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theme/themeOverride1.xml" ContentType="application/vnd.openxmlformats-officedocument.themeOverride+xml"/>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drawings/drawing3.xml" ContentType="application/vnd.openxmlformats-officedocument.drawingml.chartshap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charts/chart13.xml" ContentType="application/vnd.openxmlformats-officedocument.drawingml.chart+xml"/>
  <Override PartName="/word/charts/chart14.xml" ContentType="application/vnd.openxmlformats-officedocument.drawingml.chart+xml"/>
  <Override PartName="/word/theme/themeOverride8.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theme/themeOverride4.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A87" w:rsidRPr="00F200E7" w:rsidRDefault="006C1A87" w:rsidP="006C1A87">
      <w:pPr>
        <w:pStyle w:val="NoSpacing"/>
        <w:jc w:val="center"/>
        <w:rPr>
          <w:rFonts w:ascii="Book Antiqua" w:hAnsi="Book Antiqua"/>
          <w:b/>
          <w:sz w:val="44"/>
          <w:szCs w:val="44"/>
          <w:lang w:val="en-GB"/>
        </w:rPr>
      </w:pPr>
      <w:bookmarkStart w:id="0" w:name="_Toc302658246"/>
      <w:bookmarkStart w:id="1" w:name="_Toc333837969"/>
      <w:r w:rsidRPr="00F200E7">
        <w:rPr>
          <w:rFonts w:ascii="Book Antiqua" w:hAnsi="Book Antiqua"/>
          <w:b/>
          <w:sz w:val="44"/>
          <w:szCs w:val="44"/>
          <w:lang w:val="en-GB"/>
        </w:rPr>
        <w:t>Foreign trade and agricultural employment in Guatemala</w:t>
      </w:r>
    </w:p>
    <w:p w:rsidR="00E97B9D" w:rsidRPr="00F200E7" w:rsidRDefault="004C26B2" w:rsidP="006B41E0">
      <w:pPr>
        <w:pStyle w:val="Heading1"/>
        <w:jc w:val="center"/>
        <w:rPr>
          <w:lang w:val="es-ES"/>
        </w:rPr>
      </w:pPr>
      <w:bookmarkStart w:id="2" w:name="_Toc336527910"/>
      <w:bookmarkStart w:id="3" w:name="_Toc336607498"/>
      <w:r>
        <w:rPr>
          <w:lang w:val="es-ES"/>
        </w:rPr>
        <w:t xml:space="preserve">Luis Linares, </w:t>
      </w:r>
      <w:r w:rsidR="00F200E7" w:rsidRPr="00F200E7">
        <w:rPr>
          <w:lang w:val="es-ES"/>
        </w:rPr>
        <w:t xml:space="preserve">Pedro Prado, </w:t>
      </w:r>
      <w:bookmarkStart w:id="4" w:name="_Toc336607499"/>
      <w:bookmarkEnd w:id="2"/>
      <w:bookmarkEnd w:id="3"/>
      <w:r w:rsidR="007A4D32" w:rsidRPr="00F200E7">
        <w:rPr>
          <w:lang w:val="es-ES"/>
        </w:rPr>
        <w:t xml:space="preserve">and </w:t>
      </w:r>
      <w:r w:rsidR="00705F92" w:rsidRPr="00F200E7">
        <w:rPr>
          <w:lang w:val="es-ES"/>
        </w:rPr>
        <w:t>Raquel Zelaya</w:t>
      </w:r>
      <w:r w:rsidR="00F200E7" w:rsidRPr="00F200E7">
        <w:rPr>
          <w:rStyle w:val="FootnoteReference"/>
          <w:lang w:val="en-GB"/>
        </w:rPr>
        <w:footnoteReference w:id="1"/>
      </w:r>
    </w:p>
    <w:p w:rsidR="00A31484" w:rsidRDefault="00A31484" w:rsidP="00353EE7">
      <w:pPr>
        <w:pStyle w:val="Heading1"/>
        <w:rPr>
          <w:lang w:val="en-GB"/>
        </w:rPr>
      </w:pPr>
      <w:bookmarkStart w:id="5" w:name="_Toc332009942"/>
      <w:bookmarkStart w:id="6" w:name="_Toc336607500"/>
      <w:bookmarkStart w:id="7" w:name="_Toc333837970"/>
      <w:bookmarkEnd w:id="0"/>
      <w:bookmarkEnd w:id="1"/>
      <w:bookmarkEnd w:id="4"/>
      <w:r>
        <w:rPr>
          <w:lang w:val="en-GB"/>
        </w:rPr>
        <w:t>6.1 INTRODUCTION</w:t>
      </w:r>
    </w:p>
    <w:p w:rsidR="00A31484" w:rsidRPr="00EB2229" w:rsidRDefault="00A31484" w:rsidP="00A31484">
      <w:pPr>
        <w:pStyle w:val="NoSpacing"/>
        <w:rPr>
          <w:rFonts w:ascii="Book Antiqua" w:hAnsi="Book Antiqua"/>
          <w:lang w:val="en-GB"/>
        </w:rPr>
      </w:pPr>
    </w:p>
    <w:p w:rsidR="00026C62" w:rsidRDefault="00026C62" w:rsidP="00026C62">
      <w:pPr>
        <w:pStyle w:val="NoSpacing"/>
        <w:jc w:val="both"/>
        <w:rPr>
          <w:rFonts w:ascii="Book Antiqua" w:hAnsi="Book Antiqua"/>
          <w:lang w:val="en-GB"/>
        </w:rPr>
      </w:pPr>
      <w:r w:rsidRPr="00F200E7">
        <w:rPr>
          <w:rFonts w:ascii="Book Antiqua" w:hAnsi="Book Antiqua"/>
          <w:lang w:val="en-GB"/>
        </w:rPr>
        <w:t xml:space="preserve">Agriculture is the prime source of employment in </w:t>
      </w:r>
      <w:r>
        <w:rPr>
          <w:rFonts w:ascii="Book Antiqua" w:hAnsi="Book Antiqua"/>
          <w:lang w:val="en-GB"/>
        </w:rPr>
        <w:t xml:space="preserve">Guatemala with one of every three workers being employed in the sector. The effect of trade policy on agricultural employment is therefore likely to be </w:t>
      </w:r>
      <w:r w:rsidR="00116FF7">
        <w:rPr>
          <w:rFonts w:ascii="Book Antiqua" w:hAnsi="Book Antiqua"/>
          <w:lang w:val="en-GB"/>
        </w:rPr>
        <w:t>an important determinant of</w:t>
      </w:r>
      <w:r>
        <w:rPr>
          <w:rFonts w:ascii="Book Antiqua" w:hAnsi="Book Antiqua"/>
          <w:lang w:val="en-GB"/>
        </w:rPr>
        <w:t xml:space="preserve"> the socio-economic consequences of trade </w:t>
      </w:r>
      <w:r w:rsidR="00116FF7">
        <w:rPr>
          <w:rFonts w:ascii="Book Antiqua" w:hAnsi="Book Antiqua"/>
          <w:lang w:val="en-GB"/>
        </w:rPr>
        <w:t xml:space="preserve">in </w:t>
      </w:r>
      <w:r>
        <w:rPr>
          <w:rFonts w:ascii="Book Antiqua" w:hAnsi="Book Antiqua"/>
          <w:lang w:val="en-GB"/>
        </w:rPr>
        <w:t>Guatemala.</w:t>
      </w:r>
    </w:p>
    <w:p w:rsidR="00026C62" w:rsidRDefault="00026C62" w:rsidP="00026C62">
      <w:pPr>
        <w:pStyle w:val="NoSpacing"/>
        <w:jc w:val="both"/>
        <w:rPr>
          <w:rFonts w:ascii="Book Antiqua" w:hAnsi="Book Antiqua"/>
          <w:lang w:val="en-GB"/>
        </w:rPr>
      </w:pPr>
    </w:p>
    <w:p w:rsidR="00C6086B" w:rsidRDefault="00026C62" w:rsidP="00026C62">
      <w:pPr>
        <w:pStyle w:val="NoSpacing"/>
        <w:jc w:val="both"/>
        <w:rPr>
          <w:rFonts w:ascii="Book Antiqua" w:hAnsi="Book Antiqua"/>
          <w:lang w:val="en-GB"/>
        </w:rPr>
      </w:pPr>
      <w:r>
        <w:rPr>
          <w:rFonts w:ascii="Book Antiqua" w:hAnsi="Book Antiqua"/>
          <w:lang w:val="en-GB"/>
        </w:rPr>
        <w:t>In this chapter several aspects of the relationship between trade and agricultural employment in Guatemala are discussed. This includes a description of the situation of agri</w:t>
      </w:r>
      <w:r w:rsidR="00C6086B">
        <w:rPr>
          <w:rFonts w:ascii="Book Antiqua" w:hAnsi="Book Antiqua"/>
          <w:lang w:val="en-GB"/>
        </w:rPr>
        <w:t xml:space="preserve">cultural employment; </w:t>
      </w:r>
      <w:r>
        <w:rPr>
          <w:rFonts w:ascii="Book Antiqua" w:hAnsi="Book Antiqua"/>
          <w:lang w:val="en-GB"/>
        </w:rPr>
        <w:t>an analysis of tra</w:t>
      </w:r>
      <w:r w:rsidR="00C6086B">
        <w:rPr>
          <w:rFonts w:ascii="Book Antiqua" w:hAnsi="Book Antiqua"/>
          <w:lang w:val="en-GB"/>
        </w:rPr>
        <w:t xml:space="preserve">de in agricultural products; </w:t>
      </w:r>
      <w:r>
        <w:rPr>
          <w:rFonts w:ascii="Book Antiqua" w:hAnsi="Book Antiqua"/>
          <w:lang w:val="en-GB"/>
        </w:rPr>
        <w:t>a description of changes in trade policy including the ratification of recent trade agreements</w:t>
      </w:r>
      <w:r w:rsidR="00C6086B">
        <w:rPr>
          <w:rFonts w:ascii="Book Antiqua" w:hAnsi="Book Antiqua"/>
          <w:lang w:val="en-GB"/>
        </w:rPr>
        <w:t xml:space="preserve">; a quantitative analysis of the effects of trade on agricultural employment and a description of legal and institutional aspects relevant for employment in the sector. </w:t>
      </w:r>
    </w:p>
    <w:p w:rsidR="00C6086B" w:rsidRDefault="00C6086B" w:rsidP="00026C62">
      <w:pPr>
        <w:pStyle w:val="NoSpacing"/>
        <w:jc w:val="both"/>
        <w:rPr>
          <w:rFonts w:ascii="Book Antiqua" w:hAnsi="Book Antiqua"/>
          <w:lang w:val="en-GB"/>
        </w:rPr>
      </w:pPr>
    </w:p>
    <w:p w:rsidR="00026C62" w:rsidRDefault="00026C62" w:rsidP="00026C62">
      <w:pPr>
        <w:pStyle w:val="NoSpacing"/>
        <w:jc w:val="both"/>
        <w:rPr>
          <w:rFonts w:ascii="Book Antiqua" w:hAnsi="Book Antiqua"/>
          <w:lang w:val="en-GB"/>
        </w:rPr>
      </w:pPr>
      <w:r>
        <w:rPr>
          <w:rFonts w:ascii="Book Antiqua" w:hAnsi="Book Antiqua"/>
          <w:lang w:val="en-GB"/>
        </w:rPr>
        <w:t xml:space="preserve">When characterizing employment in the agricultural sector, a comparison is made with workers in other sectors. Income and education levels among agricultural workers are discussed and so is the role of female employment in the sector. Importantly, the use of data from the </w:t>
      </w:r>
      <w:proofErr w:type="spellStart"/>
      <w:r w:rsidRPr="00026C62">
        <w:rPr>
          <w:rFonts w:ascii="Book Antiqua" w:hAnsi="Book Antiqua"/>
          <w:lang w:val="en-GB"/>
        </w:rPr>
        <w:t>Instituto</w:t>
      </w:r>
      <w:proofErr w:type="spellEnd"/>
      <w:r w:rsidRPr="00026C62">
        <w:rPr>
          <w:rFonts w:ascii="Book Antiqua" w:hAnsi="Book Antiqua"/>
          <w:lang w:val="en-GB"/>
        </w:rPr>
        <w:t xml:space="preserve"> </w:t>
      </w:r>
      <w:proofErr w:type="spellStart"/>
      <w:r w:rsidRPr="00026C62">
        <w:rPr>
          <w:rFonts w:ascii="Book Antiqua" w:hAnsi="Book Antiqua"/>
          <w:lang w:val="en-GB"/>
        </w:rPr>
        <w:t>Guatemalteco</w:t>
      </w:r>
      <w:proofErr w:type="spellEnd"/>
      <w:r w:rsidRPr="00026C62">
        <w:rPr>
          <w:rFonts w:ascii="Book Antiqua" w:hAnsi="Book Antiqua"/>
          <w:lang w:val="en-GB"/>
        </w:rPr>
        <w:t xml:space="preserve"> de </w:t>
      </w:r>
      <w:proofErr w:type="spellStart"/>
      <w:r w:rsidRPr="00026C62">
        <w:rPr>
          <w:rFonts w:ascii="Book Antiqua" w:hAnsi="Book Antiqua"/>
          <w:lang w:val="en-GB"/>
        </w:rPr>
        <w:t>Seguridad</w:t>
      </w:r>
      <w:proofErr w:type="spellEnd"/>
      <w:r w:rsidRPr="00026C62">
        <w:rPr>
          <w:rFonts w:ascii="Book Antiqua" w:hAnsi="Book Antiqua"/>
          <w:lang w:val="en-GB"/>
        </w:rPr>
        <w:t xml:space="preserve"> Social (IGSS</w:t>
      </w:r>
      <w:r>
        <w:rPr>
          <w:rFonts w:ascii="Book Antiqua" w:hAnsi="Book Antiqua"/>
          <w:lang w:val="en-GB"/>
        </w:rPr>
        <w:t>) allows us to provide a picture of the role of social s</w:t>
      </w:r>
      <w:r w:rsidR="00C6086B">
        <w:rPr>
          <w:rFonts w:ascii="Book Antiqua" w:hAnsi="Book Antiqua"/>
          <w:lang w:val="en-GB"/>
        </w:rPr>
        <w:t>ecurity coverage in the agricul</w:t>
      </w:r>
      <w:r>
        <w:rPr>
          <w:rFonts w:ascii="Book Antiqua" w:hAnsi="Book Antiqua"/>
          <w:lang w:val="en-GB"/>
        </w:rPr>
        <w:t xml:space="preserve">tural sector. </w:t>
      </w:r>
    </w:p>
    <w:p w:rsidR="00C6086B" w:rsidRDefault="00C6086B" w:rsidP="00026C62">
      <w:pPr>
        <w:pStyle w:val="NoSpacing"/>
        <w:jc w:val="both"/>
        <w:rPr>
          <w:rFonts w:ascii="Book Antiqua" w:hAnsi="Book Antiqua"/>
          <w:lang w:val="en-GB"/>
        </w:rPr>
      </w:pPr>
    </w:p>
    <w:p w:rsidR="00C6086B" w:rsidRDefault="00C6086B" w:rsidP="00026C62">
      <w:pPr>
        <w:pStyle w:val="NoSpacing"/>
        <w:jc w:val="both"/>
        <w:rPr>
          <w:rFonts w:ascii="Book Antiqua" w:hAnsi="Book Antiqua"/>
          <w:lang w:val="en-GB"/>
        </w:rPr>
      </w:pPr>
      <w:r>
        <w:rPr>
          <w:rFonts w:ascii="Book Antiqua" w:hAnsi="Book Antiqua"/>
          <w:lang w:val="en-GB"/>
        </w:rPr>
        <w:t>The analysis of trade data pays specific attention to the evolution of traditional export products like bananas, coffee and sugar. The recent increase in non-traditional manufacturing exports is also analysed and a separate analysis is unde</w:t>
      </w:r>
      <w:r w:rsidR="00AE174D">
        <w:rPr>
          <w:rFonts w:ascii="Book Antiqua" w:hAnsi="Book Antiqua"/>
          <w:lang w:val="en-GB"/>
        </w:rPr>
        <w:t>rtaken of the evolution of Guate</w:t>
      </w:r>
      <w:r>
        <w:rPr>
          <w:rFonts w:ascii="Book Antiqua" w:hAnsi="Book Antiqua"/>
          <w:lang w:val="en-GB"/>
        </w:rPr>
        <w:t xml:space="preserve">mala's export concentration both in terms of product and in terms of geographical concentration. </w:t>
      </w:r>
    </w:p>
    <w:p w:rsidR="00C6086B" w:rsidRDefault="00C6086B" w:rsidP="00026C62">
      <w:pPr>
        <w:pStyle w:val="NoSpacing"/>
        <w:jc w:val="both"/>
        <w:rPr>
          <w:rFonts w:ascii="Book Antiqua" w:hAnsi="Book Antiqua"/>
          <w:lang w:val="en-GB"/>
        </w:rPr>
      </w:pPr>
    </w:p>
    <w:p w:rsidR="00C6086B" w:rsidRPr="00026C62" w:rsidRDefault="00C6086B" w:rsidP="00026C62">
      <w:pPr>
        <w:pStyle w:val="NoSpacing"/>
        <w:jc w:val="both"/>
        <w:rPr>
          <w:rFonts w:ascii="Book Antiqua" w:hAnsi="Book Antiqua"/>
          <w:lang w:val="en-GB"/>
        </w:rPr>
      </w:pPr>
      <w:r>
        <w:rPr>
          <w:rFonts w:ascii="Book Antiqua" w:hAnsi="Book Antiqua"/>
          <w:lang w:val="en-GB"/>
        </w:rPr>
        <w:t xml:space="preserve">Last but not least, labour regulation relevant for agricultural workers is described in a section that looks at both the national and international legal framework. Different stakeholders are discussed with a particular focus on the role of unions in the sector. </w:t>
      </w:r>
    </w:p>
    <w:p w:rsidR="00026C62" w:rsidRDefault="00026C62" w:rsidP="00A31484">
      <w:pPr>
        <w:pStyle w:val="NoSpacing"/>
        <w:rPr>
          <w:rFonts w:ascii="Book Antiqua" w:hAnsi="Book Antiqua"/>
          <w:lang w:val="en-GB"/>
        </w:rPr>
      </w:pPr>
    </w:p>
    <w:p w:rsidR="0015103E" w:rsidRPr="00F200E7" w:rsidRDefault="00353EE7" w:rsidP="00353EE7">
      <w:pPr>
        <w:pStyle w:val="Heading1"/>
        <w:rPr>
          <w:lang w:val="en-GB"/>
        </w:rPr>
      </w:pPr>
      <w:r w:rsidRPr="00F200E7">
        <w:rPr>
          <w:lang w:val="en-GB"/>
        </w:rPr>
        <w:lastRenderedPageBreak/>
        <w:t>6.</w:t>
      </w:r>
      <w:r w:rsidR="00116FF7">
        <w:rPr>
          <w:lang w:val="en-GB"/>
        </w:rPr>
        <w:t>2</w:t>
      </w:r>
      <w:r w:rsidRPr="00F200E7">
        <w:rPr>
          <w:lang w:val="en-GB"/>
        </w:rPr>
        <w:tab/>
        <w:t>AGRICULTURAL EMPLOYMENT IN GUATEMALA</w:t>
      </w:r>
      <w:bookmarkEnd w:id="5"/>
      <w:bookmarkEnd w:id="6"/>
      <w:bookmarkEnd w:id="7"/>
    </w:p>
    <w:p w:rsidR="00822FFA" w:rsidRPr="00F200E7" w:rsidRDefault="00A443BF" w:rsidP="0032057B">
      <w:pPr>
        <w:pStyle w:val="Heading2"/>
      </w:pPr>
      <w:bookmarkStart w:id="8" w:name="_Toc336607501"/>
      <w:bookmarkStart w:id="9" w:name="_Toc333837971"/>
      <w:r w:rsidRPr="00F200E7">
        <w:t>6.</w:t>
      </w:r>
      <w:r w:rsidR="00116FF7">
        <w:t>2</w:t>
      </w:r>
      <w:r w:rsidRPr="00F200E7">
        <w:t>.1</w:t>
      </w:r>
      <w:r w:rsidRPr="00F200E7">
        <w:tab/>
      </w:r>
      <w:r w:rsidR="00904929">
        <w:t>Characteriz</w:t>
      </w:r>
      <w:r w:rsidR="007006AE" w:rsidRPr="00F200E7">
        <w:t>ation of the agricultural worker</w:t>
      </w:r>
      <w:bookmarkEnd w:id="8"/>
      <w:bookmarkEnd w:id="9"/>
    </w:p>
    <w:p w:rsidR="00D0526E" w:rsidRPr="00F200E7" w:rsidRDefault="00D0526E" w:rsidP="00D0526E">
      <w:pPr>
        <w:pStyle w:val="NoSpacing"/>
        <w:jc w:val="both"/>
        <w:rPr>
          <w:rFonts w:ascii="Book Antiqua" w:hAnsi="Book Antiqua"/>
          <w:lang w:val="en-GB"/>
        </w:rPr>
      </w:pPr>
      <w:r w:rsidRPr="00F200E7">
        <w:rPr>
          <w:rFonts w:ascii="Book Antiqua" w:hAnsi="Book Antiqua"/>
          <w:lang w:val="en-GB"/>
        </w:rPr>
        <w:t xml:space="preserve">Agriculture is the prime source of employment in </w:t>
      </w:r>
      <w:r w:rsidR="008F4DE9" w:rsidRPr="00F200E7">
        <w:rPr>
          <w:rFonts w:ascii="Book Antiqua" w:hAnsi="Book Antiqua"/>
          <w:lang w:val="en-GB"/>
        </w:rPr>
        <w:t>Gu</w:t>
      </w:r>
      <w:r w:rsidR="00353EE7" w:rsidRPr="00F200E7">
        <w:rPr>
          <w:rFonts w:ascii="Book Antiqua" w:hAnsi="Book Antiqua"/>
          <w:lang w:val="en-GB"/>
        </w:rPr>
        <w:t>atemala</w:t>
      </w:r>
      <w:r w:rsidR="003573DF">
        <w:rPr>
          <w:rFonts w:ascii="Book Antiqua" w:hAnsi="Book Antiqua"/>
          <w:lang w:val="en-GB"/>
        </w:rPr>
        <w:t>,</w:t>
      </w:r>
      <w:r w:rsidR="00367B36" w:rsidRPr="00F200E7">
        <w:rPr>
          <w:rFonts w:ascii="Book Antiqua" w:hAnsi="Book Antiqua"/>
          <w:lang w:val="en-GB"/>
        </w:rPr>
        <w:t xml:space="preserve"> as</w:t>
      </w:r>
      <w:r w:rsidR="00F200E7">
        <w:rPr>
          <w:rFonts w:ascii="Book Antiqua" w:hAnsi="Book Antiqua"/>
          <w:lang w:val="en-GB"/>
        </w:rPr>
        <w:t xml:space="preserve"> shown in</w:t>
      </w:r>
      <w:r w:rsidR="0071514F" w:rsidRPr="00F200E7">
        <w:rPr>
          <w:rFonts w:ascii="Book Antiqua" w:hAnsi="Book Antiqua"/>
          <w:lang w:val="en-GB"/>
        </w:rPr>
        <w:t>table</w:t>
      </w:r>
      <w:r w:rsidR="00353EE7" w:rsidRPr="00F200E7">
        <w:rPr>
          <w:rFonts w:ascii="Book Antiqua" w:hAnsi="Book Antiqua"/>
          <w:lang w:val="en-GB"/>
        </w:rPr>
        <w:t>6.</w:t>
      </w:r>
      <w:r w:rsidRPr="00F200E7">
        <w:rPr>
          <w:rFonts w:ascii="Book Antiqua" w:hAnsi="Book Antiqua"/>
          <w:lang w:val="en-GB"/>
        </w:rPr>
        <w:t>1. Data from the 2006 National Living Conditions Survey</w:t>
      </w:r>
      <w:r w:rsidRPr="00F200E7">
        <w:rPr>
          <w:rStyle w:val="FootnoteReference"/>
          <w:rFonts w:ascii="Book Antiqua" w:hAnsi="Book Antiqua"/>
          <w:lang w:val="en-GB"/>
        </w:rPr>
        <w:footnoteReference w:id="2"/>
      </w:r>
      <w:r w:rsidRPr="00F200E7">
        <w:rPr>
          <w:rFonts w:ascii="Book Antiqua" w:hAnsi="Book Antiqua"/>
          <w:lang w:val="en-GB"/>
        </w:rPr>
        <w:t xml:space="preserve"> (</w:t>
      </w:r>
      <w:proofErr w:type="spellStart"/>
      <w:r w:rsidRPr="00F200E7">
        <w:rPr>
          <w:rFonts w:ascii="Book Antiqua" w:hAnsi="Book Antiqua"/>
          <w:lang w:val="en-GB"/>
        </w:rPr>
        <w:t>Encuesta</w:t>
      </w:r>
      <w:proofErr w:type="spellEnd"/>
      <w:r w:rsidRPr="00F200E7">
        <w:rPr>
          <w:rFonts w:ascii="Book Antiqua" w:hAnsi="Book Antiqua"/>
          <w:lang w:val="en-GB"/>
        </w:rPr>
        <w:t xml:space="preserve"> </w:t>
      </w:r>
      <w:proofErr w:type="spellStart"/>
      <w:r w:rsidRPr="00F200E7">
        <w:rPr>
          <w:rFonts w:ascii="Book Antiqua" w:hAnsi="Book Antiqua"/>
          <w:lang w:val="en-GB"/>
        </w:rPr>
        <w:t>Nacional</w:t>
      </w:r>
      <w:proofErr w:type="spellEnd"/>
      <w:r w:rsidRPr="00F200E7">
        <w:rPr>
          <w:rFonts w:ascii="Book Antiqua" w:hAnsi="Book Antiqua"/>
          <w:lang w:val="en-GB"/>
        </w:rPr>
        <w:t xml:space="preserve"> de </w:t>
      </w:r>
      <w:proofErr w:type="spellStart"/>
      <w:r w:rsidRPr="00F200E7">
        <w:rPr>
          <w:rFonts w:ascii="Book Antiqua" w:hAnsi="Book Antiqua"/>
          <w:lang w:val="en-GB"/>
        </w:rPr>
        <w:t>Condiciones</w:t>
      </w:r>
      <w:proofErr w:type="spellEnd"/>
      <w:r w:rsidRPr="00F200E7">
        <w:rPr>
          <w:rFonts w:ascii="Book Antiqua" w:hAnsi="Book Antiqua"/>
          <w:lang w:val="en-GB"/>
        </w:rPr>
        <w:t xml:space="preserve"> de Vida, </w:t>
      </w:r>
      <w:r w:rsidR="00353EE7" w:rsidRPr="00F200E7">
        <w:rPr>
          <w:rFonts w:ascii="Book Antiqua" w:hAnsi="Book Antiqua"/>
          <w:lang w:val="en-GB"/>
        </w:rPr>
        <w:t xml:space="preserve">or </w:t>
      </w:r>
      <w:r w:rsidRPr="00F200E7">
        <w:rPr>
          <w:rFonts w:ascii="Book Antiqua" w:hAnsi="Book Antiqua"/>
          <w:lang w:val="en-GB"/>
        </w:rPr>
        <w:t>ENCOVI</w:t>
      </w:r>
      <w:r w:rsidR="00353EE7" w:rsidRPr="00F200E7">
        <w:rPr>
          <w:rFonts w:ascii="Book Antiqua" w:hAnsi="Book Antiqua"/>
          <w:lang w:val="en-GB"/>
        </w:rPr>
        <w:t>)</w:t>
      </w:r>
      <w:r w:rsidR="00827790">
        <w:rPr>
          <w:rFonts w:ascii="Book Antiqua" w:hAnsi="Book Antiqua"/>
          <w:lang w:val="en-GB"/>
        </w:rPr>
        <w:t xml:space="preserve"> </w:t>
      </w:r>
      <w:r w:rsidR="00D91D4F">
        <w:rPr>
          <w:rFonts w:ascii="Book Antiqua" w:hAnsi="Book Antiqua"/>
          <w:lang w:val="en-GB"/>
        </w:rPr>
        <w:t xml:space="preserve">show </w:t>
      </w:r>
      <w:r w:rsidRPr="00F200E7">
        <w:rPr>
          <w:rFonts w:ascii="Book Antiqua" w:hAnsi="Book Antiqua"/>
          <w:lang w:val="en-GB"/>
        </w:rPr>
        <w:t xml:space="preserve">that one of </w:t>
      </w:r>
      <w:r w:rsidR="00353EE7" w:rsidRPr="00F200E7">
        <w:rPr>
          <w:rFonts w:ascii="Book Antiqua" w:hAnsi="Book Antiqua"/>
          <w:lang w:val="en-GB"/>
        </w:rPr>
        <w:t xml:space="preserve">every </w:t>
      </w:r>
      <w:r w:rsidRPr="00F200E7">
        <w:rPr>
          <w:rFonts w:ascii="Book Antiqua" w:hAnsi="Book Antiqua"/>
          <w:lang w:val="en-GB"/>
        </w:rPr>
        <w:t xml:space="preserve">three workers </w:t>
      </w:r>
      <w:r w:rsidR="00353EE7" w:rsidRPr="00F200E7">
        <w:rPr>
          <w:rFonts w:ascii="Book Antiqua" w:hAnsi="Book Antiqua"/>
          <w:lang w:val="en-GB"/>
        </w:rPr>
        <w:t>is employed</w:t>
      </w:r>
      <w:r w:rsidRPr="00F200E7">
        <w:rPr>
          <w:rFonts w:ascii="Book Antiqua" w:hAnsi="Book Antiqua"/>
          <w:lang w:val="en-GB"/>
        </w:rPr>
        <w:t xml:space="preserve"> in agriculture. Despite this, the agriculture sector</w:t>
      </w:r>
      <w:r w:rsidR="003573DF">
        <w:rPr>
          <w:rFonts w:ascii="Book Antiqua" w:hAnsi="Book Antiqua"/>
          <w:lang w:val="en-GB"/>
        </w:rPr>
        <w:t>,</w:t>
      </w:r>
      <w:r w:rsidR="0083369B" w:rsidRPr="00F200E7">
        <w:rPr>
          <w:rFonts w:ascii="Book Antiqua" w:hAnsi="Book Antiqua"/>
          <w:lang w:val="en-GB"/>
        </w:rPr>
        <w:t xml:space="preserve"> at 12 percent</w:t>
      </w:r>
      <w:r w:rsidR="003573DF">
        <w:rPr>
          <w:rFonts w:ascii="Book Antiqua" w:hAnsi="Book Antiqua"/>
          <w:lang w:val="en-GB"/>
        </w:rPr>
        <w:t>,</w:t>
      </w:r>
      <w:r w:rsidRPr="00F200E7">
        <w:rPr>
          <w:rFonts w:ascii="Book Antiqua" w:hAnsi="Book Antiqua"/>
          <w:lang w:val="en-GB"/>
        </w:rPr>
        <w:t xml:space="preserve"> is not the biggest contributor to the Gross Domestic Product (GDP)</w:t>
      </w:r>
      <w:r w:rsidR="00353EE7" w:rsidRPr="00F200E7">
        <w:rPr>
          <w:rFonts w:ascii="Book Antiqua" w:hAnsi="Book Antiqua"/>
          <w:lang w:val="en-GB"/>
        </w:rPr>
        <w:t>,</w:t>
      </w:r>
      <w:r w:rsidRPr="00F200E7">
        <w:rPr>
          <w:rStyle w:val="FootnoteReference"/>
          <w:rFonts w:ascii="Book Antiqua" w:hAnsi="Book Antiqua"/>
          <w:lang w:val="en-GB"/>
        </w:rPr>
        <w:footnoteReference w:id="3"/>
      </w:r>
      <w:r w:rsidRPr="00F200E7">
        <w:rPr>
          <w:rFonts w:ascii="Book Antiqua" w:hAnsi="Book Antiqua"/>
          <w:lang w:val="en-GB"/>
        </w:rPr>
        <w:t xml:space="preserve"> reflecting</w:t>
      </w:r>
      <w:r w:rsidR="00353EE7" w:rsidRPr="00F200E7">
        <w:rPr>
          <w:rFonts w:ascii="Book Antiqua" w:hAnsi="Book Antiqua"/>
          <w:lang w:val="en-GB"/>
        </w:rPr>
        <w:t xml:space="preserve"> the fact</w:t>
      </w:r>
      <w:r w:rsidR="00E97B9D" w:rsidRPr="00F200E7">
        <w:rPr>
          <w:rFonts w:ascii="Book Antiqua" w:hAnsi="Book Antiqua"/>
          <w:lang w:val="en-GB"/>
        </w:rPr>
        <w:t xml:space="preserve"> that </w:t>
      </w:r>
      <w:r w:rsidRPr="00F200E7">
        <w:rPr>
          <w:rFonts w:ascii="Book Antiqua" w:hAnsi="Book Antiqua"/>
          <w:lang w:val="en-GB"/>
        </w:rPr>
        <w:t xml:space="preserve">the </w:t>
      </w:r>
      <w:r w:rsidR="00353EE7" w:rsidRPr="00F200E7">
        <w:rPr>
          <w:rFonts w:ascii="Book Antiqua" w:hAnsi="Book Antiqua"/>
          <w:lang w:val="en-GB"/>
        </w:rPr>
        <w:t xml:space="preserve">average </w:t>
      </w:r>
      <w:r w:rsidRPr="00F200E7">
        <w:rPr>
          <w:rFonts w:ascii="Book Antiqua" w:hAnsi="Book Antiqua"/>
          <w:lang w:val="en-GB"/>
        </w:rPr>
        <w:t>productivity of the agricultural sector in Guatemala is low.</w:t>
      </w:r>
    </w:p>
    <w:p w:rsidR="00D0526E" w:rsidRPr="00F200E7" w:rsidRDefault="00D0526E" w:rsidP="00D12065">
      <w:pPr>
        <w:pStyle w:val="NoSpacing"/>
        <w:jc w:val="both"/>
        <w:rPr>
          <w:rFonts w:ascii="Book Antiqua" w:hAnsi="Book Antiqua"/>
          <w:lang w:val="en-GB"/>
        </w:rPr>
      </w:pPr>
    </w:p>
    <w:p w:rsidR="00E65CED" w:rsidRPr="00F200E7" w:rsidRDefault="006E7057" w:rsidP="0020111F">
      <w:pPr>
        <w:pStyle w:val="NoSpacing"/>
        <w:ind w:left="1440" w:hanging="1440"/>
        <w:rPr>
          <w:rFonts w:ascii="Book Antiqua" w:hAnsi="Book Antiqua"/>
          <w:b/>
          <w:lang w:val="en-GB"/>
        </w:rPr>
      </w:pPr>
      <w:r w:rsidRPr="00F200E7">
        <w:rPr>
          <w:rFonts w:ascii="Book Antiqua" w:hAnsi="Book Antiqua"/>
          <w:b/>
          <w:lang w:val="en-GB"/>
        </w:rPr>
        <w:t xml:space="preserve">Table </w:t>
      </w:r>
      <w:r w:rsidR="00353EE7" w:rsidRPr="00F200E7">
        <w:rPr>
          <w:rFonts w:ascii="Book Antiqua" w:hAnsi="Book Antiqua"/>
          <w:b/>
          <w:lang w:val="en-GB"/>
        </w:rPr>
        <w:t>6.</w:t>
      </w:r>
      <w:r w:rsidRPr="00F200E7">
        <w:rPr>
          <w:rFonts w:ascii="Book Antiqua" w:hAnsi="Book Antiqua"/>
          <w:b/>
          <w:lang w:val="en-GB"/>
        </w:rPr>
        <w:t>1:</w:t>
      </w:r>
      <w:r w:rsidR="007046C5" w:rsidRPr="00F200E7">
        <w:rPr>
          <w:rFonts w:ascii="Book Antiqua" w:hAnsi="Book Antiqua"/>
          <w:b/>
          <w:lang w:val="en-GB"/>
        </w:rPr>
        <w:tab/>
      </w:r>
      <w:r w:rsidRPr="00F200E7">
        <w:rPr>
          <w:rFonts w:ascii="Book Antiqua" w:hAnsi="Book Antiqua"/>
          <w:b/>
          <w:lang w:val="en-GB"/>
        </w:rPr>
        <w:t xml:space="preserve">Percentage </w:t>
      </w:r>
      <w:r w:rsidR="008978E6" w:rsidRPr="00F200E7">
        <w:rPr>
          <w:rFonts w:ascii="Book Antiqua" w:hAnsi="Book Antiqua"/>
          <w:b/>
          <w:lang w:val="en-GB"/>
        </w:rPr>
        <w:t xml:space="preserve">distribution </w:t>
      </w:r>
      <w:r w:rsidRPr="00F200E7">
        <w:rPr>
          <w:rFonts w:ascii="Book Antiqua" w:hAnsi="Book Antiqua"/>
          <w:b/>
          <w:lang w:val="en-GB"/>
        </w:rPr>
        <w:t>of workers by economic sector (both sexes)</w:t>
      </w:r>
      <w:proofErr w:type="gramStart"/>
      <w:r w:rsidR="00353EE7" w:rsidRPr="00F200E7">
        <w:rPr>
          <w:rFonts w:ascii="Book Antiqua" w:hAnsi="Book Antiqua"/>
          <w:b/>
          <w:lang w:val="en-GB"/>
        </w:rPr>
        <w:t>,</w:t>
      </w:r>
      <w:r w:rsidR="00B32CC6" w:rsidRPr="00F200E7">
        <w:rPr>
          <w:rFonts w:ascii="Book Antiqua" w:hAnsi="Book Antiqua"/>
          <w:b/>
          <w:lang w:val="en-GB"/>
        </w:rPr>
        <w:t>Guatemala</w:t>
      </w:r>
      <w:proofErr w:type="gramEnd"/>
      <w:r w:rsidR="00B32CC6" w:rsidRPr="00F200E7">
        <w:rPr>
          <w:rFonts w:ascii="Book Antiqua" w:hAnsi="Book Antiqua"/>
          <w:b/>
          <w:lang w:val="en-GB"/>
        </w:rPr>
        <w:t xml:space="preserve">, </w:t>
      </w:r>
      <w:r w:rsidR="00FB22C1" w:rsidRPr="00F200E7">
        <w:rPr>
          <w:rFonts w:ascii="Book Antiqua" w:hAnsi="Book Antiqua"/>
          <w:b/>
          <w:lang w:val="en-GB"/>
        </w:rPr>
        <w:t>2006</w:t>
      </w:r>
    </w:p>
    <w:p w:rsidR="00EA2A60" w:rsidRPr="00F200E7" w:rsidRDefault="00EA2A60" w:rsidP="00D12065">
      <w:pPr>
        <w:pStyle w:val="NoSpacing"/>
        <w:jc w:val="both"/>
        <w:rPr>
          <w:rFonts w:ascii="Book Antiqua" w:hAnsi="Book Antiqua"/>
          <w:lang w:val="en-GB"/>
        </w:rPr>
      </w:pPr>
    </w:p>
    <w:tbl>
      <w:tblPr>
        <w:tblW w:w="6072" w:type="dxa"/>
        <w:jc w:val="center"/>
        <w:tblBorders>
          <w:top w:val="single" w:sz="4" w:space="0" w:color="auto"/>
        </w:tblBorders>
        <w:tblCellMar>
          <w:left w:w="70" w:type="dxa"/>
          <w:right w:w="70" w:type="dxa"/>
        </w:tblCellMar>
        <w:tblLook w:val="04A0"/>
      </w:tblPr>
      <w:tblGrid>
        <w:gridCol w:w="4678"/>
        <w:gridCol w:w="1394"/>
      </w:tblGrid>
      <w:tr w:rsidR="006E7057" w:rsidRPr="00F200E7" w:rsidTr="000D7FCC">
        <w:trPr>
          <w:trHeight w:val="388"/>
          <w:jc w:val="center"/>
        </w:trPr>
        <w:tc>
          <w:tcPr>
            <w:tcW w:w="4678" w:type="dxa"/>
            <w:tcBorders>
              <w:top w:val="single" w:sz="4" w:space="0" w:color="auto"/>
              <w:bottom w:val="single" w:sz="4" w:space="0" w:color="auto"/>
            </w:tcBorders>
            <w:shd w:val="clear" w:color="auto" w:fill="auto"/>
            <w:vAlign w:val="center"/>
          </w:tcPr>
          <w:p w:rsidR="006E7057" w:rsidRPr="00F200E7" w:rsidRDefault="006E7057" w:rsidP="00BE0F8F">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 xml:space="preserve">Economic </w:t>
            </w:r>
            <w:r w:rsidR="00353EE7" w:rsidRPr="00F200E7">
              <w:rPr>
                <w:rFonts w:ascii="Book Antiqua" w:eastAsia="Times New Roman" w:hAnsi="Book Antiqua" w:cs="Calibri"/>
                <w:b/>
                <w:bCs/>
                <w:color w:val="000000"/>
                <w:sz w:val="20"/>
                <w:szCs w:val="20"/>
                <w:lang w:val="en-GB" w:eastAsia="es-GT"/>
              </w:rPr>
              <w:t>s</w:t>
            </w:r>
            <w:r w:rsidRPr="00F200E7">
              <w:rPr>
                <w:rFonts w:ascii="Book Antiqua" w:eastAsia="Times New Roman" w:hAnsi="Book Antiqua" w:cs="Calibri"/>
                <w:b/>
                <w:bCs/>
                <w:color w:val="000000"/>
                <w:sz w:val="20"/>
                <w:szCs w:val="20"/>
                <w:lang w:val="en-GB" w:eastAsia="es-GT"/>
              </w:rPr>
              <w:t>ector</w:t>
            </w:r>
          </w:p>
        </w:tc>
        <w:tc>
          <w:tcPr>
            <w:tcW w:w="1394" w:type="dxa"/>
            <w:tcBorders>
              <w:top w:val="single" w:sz="4" w:space="0" w:color="auto"/>
              <w:bottom w:val="single" w:sz="4" w:space="0" w:color="auto"/>
            </w:tcBorders>
            <w:shd w:val="clear" w:color="auto" w:fill="auto"/>
            <w:vAlign w:val="center"/>
          </w:tcPr>
          <w:p w:rsidR="006E7057" w:rsidRPr="00F200E7" w:rsidRDefault="006E7057" w:rsidP="00BE0F8F">
            <w:pPr>
              <w:pStyle w:val="NoSpacing"/>
              <w:jc w:val="center"/>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Percentage</w:t>
            </w:r>
          </w:p>
        </w:tc>
      </w:tr>
      <w:tr w:rsidR="006E7057" w:rsidRPr="00F200E7" w:rsidTr="000D7FCC">
        <w:trPr>
          <w:trHeight w:val="195"/>
          <w:jc w:val="center"/>
        </w:trPr>
        <w:tc>
          <w:tcPr>
            <w:tcW w:w="4678" w:type="dxa"/>
            <w:tcBorders>
              <w:top w:val="single" w:sz="4" w:space="0" w:color="auto"/>
            </w:tcBorders>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Agricultural</w:t>
            </w:r>
          </w:p>
        </w:tc>
        <w:tc>
          <w:tcPr>
            <w:tcW w:w="1394" w:type="dxa"/>
            <w:tcBorders>
              <w:top w:val="single" w:sz="4" w:space="0" w:color="auto"/>
            </w:tcBorders>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33.8</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Mining and quarrying</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0.1</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Industrial</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15.8</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Electricity and water</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0.2</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Construction</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6.5</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Retail</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22.7</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Transport and communications</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2.9</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Financial services</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3.2</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Public administration and national defence</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2.1</w:t>
            </w:r>
          </w:p>
        </w:tc>
      </w:tr>
      <w:tr w:rsidR="006E7057" w:rsidRPr="00F200E7" w:rsidTr="000D7FCC">
        <w:trPr>
          <w:trHeight w:val="195"/>
          <w:jc w:val="center"/>
        </w:trPr>
        <w:tc>
          <w:tcPr>
            <w:tcW w:w="4678" w:type="dxa"/>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Education</w:t>
            </w:r>
          </w:p>
        </w:tc>
        <w:tc>
          <w:tcPr>
            <w:tcW w:w="1394" w:type="dxa"/>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4.0</w:t>
            </w:r>
          </w:p>
        </w:tc>
      </w:tr>
      <w:tr w:rsidR="006E7057" w:rsidRPr="00F200E7" w:rsidTr="000D7FCC">
        <w:trPr>
          <w:trHeight w:val="195"/>
          <w:jc w:val="center"/>
        </w:trPr>
        <w:tc>
          <w:tcPr>
            <w:tcW w:w="4678" w:type="dxa"/>
            <w:tcBorders>
              <w:bottom w:val="nil"/>
            </w:tcBorders>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Health and social services</w:t>
            </w:r>
          </w:p>
        </w:tc>
        <w:tc>
          <w:tcPr>
            <w:tcW w:w="1394" w:type="dxa"/>
            <w:tcBorders>
              <w:bottom w:val="nil"/>
            </w:tcBorders>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8.4</w:t>
            </w:r>
          </w:p>
        </w:tc>
      </w:tr>
      <w:tr w:rsidR="006E7057" w:rsidRPr="00F200E7" w:rsidTr="000D7FCC">
        <w:trPr>
          <w:trHeight w:val="195"/>
          <w:jc w:val="center"/>
        </w:trPr>
        <w:tc>
          <w:tcPr>
            <w:tcW w:w="4678" w:type="dxa"/>
            <w:tcBorders>
              <w:top w:val="nil"/>
              <w:bottom w:val="single" w:sz="4" w:space="0" w:color="auto"/>
            </w:tcBorders>
            <w:shd w:val="clear" w:color="auto" w:fill="auto"/>
            <w:noWrap/>
            <w:vAlign w:val="bottom"/>
          </w:tcPr>
          <w:p w:rsidR="006E7057" w:rsidRPr="00F200E7" w:rsidRDefault="006E7057"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Organi</w:t>
            </w:r>
            <w:r w:rsidR="0069710A" w:rsidRPr="00F200E7">
              <w:rPr>
                <w:rFonts w:ascii="Book Antiqua" w:eastAsia="Times New Roman" w:hAnsi="Book Antiqua" w:cs="Calibri"/>
                <w:color w:val="000000"/>
                <w:sz w:val="20"/>
                <w:szCs w:val="20"/>
                <w:lang w:val="en-GB" w:eastAsia="es-GT"/>
              </w:rPr>
              <w:t>z</w:t>
            </w:r>
            <w:r w:rsidRPr="00F200E7">
              <w:rPr>
                <w:rFonts w:ascii="Book Antiqua" w:eastAsia="Times New Roman" w:hAnsi="Book Antiqua" w:cs="Calibri"/>
                <w:color w:val="000000"/>
                <w:sz w:val="20"/>
                <w:szCs w:val="20"/>
                <w:lang w:val="en-GB" w:eastAsia="es-GT"/>
              </w:rPr>
              <w:t>ations and extraterritorial entities</w:t>
            </w:r>
          </w:p>
        </w:tc>
        <w:tc>
          <w:tcPr>
            <w:tcW w:w="1394" w:type="dxa"/>
            <w:tcBorders>
              <w:top w:val="nil"/>
              <w:bottom w:val="single" w:sz="4" w:space="0" w:color="auto"/>
            </w:tcBorders>
            <w:shd w:val="clear" w:color="auto" w:fill="auto"/>
            <w:noWrap/>
            <w:vAlign w:val="bottom"/>
          </w:tcPr>
          <w:p w:rsidR="006E7057" w:rsidRPr="00F200E7" w:rsidRDefault="006E7057" w:rsidP="005F2F9F">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0.2</w:t>
            </w:r>
          </w:p>
        </w:tc>
      </w:tr>
    </w:tbl>
    <w:p w:rsidR="000D7FCC" w:rsidRPr="00F200E7" w:rsidRDefault="000D7FCC" w:rsidP="005F2F9F">
      <w:pPr>
        <w:pStyle w:val="NoSpacing"/>
        <w:ind w:firstLine="720"/>
        <w:jc w:val="both"/>
        <w:rPr>
          <w:rFonts w:ascii="Book Antiqua" w:hAnsi="Book Antiqua"/>
          <w:sz w:val="18"/>
          <w:lang w:val="en-GB"/>
        </w:rPr>
      </w:pPr>
    </w:p>
    <w:p w:rsidR="006E7057" w:rsidRPr="00F200E7" w:rsidRDefault="006E7057" w:rsidP="006E7057">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B6343E" w:rsidRPr="00F200E7">
        <w:rPr>
          <w:rFonts w:ascii="Book Antiqua" w:hAnsi="Book Antiqua"/>
          <w:sz w:val="18"/>
          <w:lang w:val="en-GB"/>
        </w:rPr>
        <w:t xml:space="preserve">from </w:t>
      </w:r>
      <w:r w:rsidRPr="00F200E7">
        <w:rPr>
          <w:rFonts w:ascii="Book Antiqua" w:hAnsi="Book Antiqua"/>
          <w:sz w:val="18"/>
          <w:lang w:val="en-GB"/>
        </w:rPr>
        <w:t>ENCOVI 2006 data.</w:t>
      </w:r>
    </w:p>
    <w:p w:rsidR="005F2F9F" w:rsidRPr="00F200E7" w:rsidRDefault="005F2F9F" w:rsidP="00D12065">
      <w:pPr>
        <w:pStyle w:val="NoSpacing"/>
        <w:jc w:val="both"/>
        <w:rPr>
          <w:rFonts w:ascii="Book Antiqua" w:hAnsi="Book Antiqua"/>
          <w:lang w:val="en-GB"/>
        </w:rPr>
      </w:pPr>
    </w:p>
    <w:p w:rsidR="00CC2AE3" w:rsidRPr="00F200E7" w:rsidRDefault="0075216C" w:rsidP="00D12065">
      <w:pPr>
        <w:pStyle w:val="NoSpacing"/>
        <w:jc w:val="both"/>
        <w:rPr>
          <w:rFonts w:ascii="Book Antiqua" w:hAnsi="Book Antiqua"/>
          <w:lang w:val="en-GB"/>
        </w:rPr>
      </w:pPr>
      <w:r w:rsidRPr="00F200E7">
        <w:rPr>
          <w:rFonts w:ascii="Book Antiqua" w:hAnsi="Book Antiqua"/>
          <w:lang w:val="en-GB"/>
        </w:rPr>
        <w:t>Most</w:t>
      </w:r>
      <w:r w:rsidR="006E7057" w:rsidRPr="00F200E7">
        <w:rPr>
          <w:rFonts w:ascii="Book Antiqua" w:hAnsi="Book Antiqua"/>
          <w:lang w:val="en-GB"/>
        </w:rPr>
        <w:t xml:space="preserve"> agricultural workers are male, </w:t>
      </w:r>
      <w:r w:rsidRPr="00F200E7">
        <w:rPr>
          <w:rFonts w:ascii="Book Antiqua" w:hAnsi="Book Antiqua"/>
          <w:lang w:val="en-GB"/>
        </w:rPr>
        <w:t xml:space="preserve">while </w:t>
      </w:r>
      <w:r w:rsidR="006E7057" w:rsidRPr="00F200E7">
        <w:rPr>
          <w:rFonts w:ascii="Book Antiqua" w:hAnsi="Book Antiqua"/>
          <w:lang w:val="en-GB"/>
        </w:rPr>
        <w:t>in activities such as retail, education</w:t>
      </w:r>
      <w:r w:rsidR="007D104F" w:rsidRPr="00F200E7">
        <w:rPr>
          <w:rFonts w:ascii="Book Antiqua" w:hAnsi="Book Antiqua"/>
          <w:lang w:val="en-GB"/>
        </w:rPr>
        <w:t>,</w:t>
      </w:r>
      <w:r w:rsidR="006E7057" w:rsidRPr="00F200E7">
        <w:rPr>
          <w:rFonts w:ascii="Book Antiqua" w:hAnsi="Book Antiqua"/>
          <w:lang w:val="en-GB"/>
        </w:rPr>
        <w:t xml:space="preserve"> and social services</w:t>
      </w:r>
      <w:r w:rsidRPr="00F200E7">
        <w:rPr>
          <w:rFonts w:ascii="Book Antiqua" w:hAnsi="Book Antiqua"/>
          <w:lang w:val="en-GB"/>
        </w:rPr>
        <w:t>,</w:t>
      </w:r>
      <w:r w:rsidR="006E7057" w:rsidRPr="00F200E7">
        <w:rPr>
          <w:rFonts w:ascii="Book Antiqua" w:hAnsi="Book Antiqua"/>
          <w:lang w:val="en-GB"/>
        </w:rPr>
        <w:t xml:space="preserve"> female participation is greater than male</w:t>
      </w:r>
      <w:r w:rsidR="003573DF">
        <w:rPr>
          <w:rFonts w:ascii="Book Antiqua" w:hAnsi="Book Antiqua"/>
          <w:lang w:val="en-GB"/>
        </w:rPr>
        <w:t>,</w:t>
      </w:r>
      <w:r w:rsidR="00486487" w:rsidRPr="00F200E7">
        <w:rPr>
          <w:rFonts w:ascii="Book Antiqua" w:hAnsi="Book Antiqua"/>
          <w:lang w:val="en-GB"/>
        </w:rPr>
        <w:t xml:space="preserve"> as</w:t>
      </w:r>
      <w:r w:rsidR="00AE174D">
        <w:rPr>
          <w:rFonts w:ascii="Book Antiqua" w:hAnsi="Book Antiqua"/>
          <w:lang w:val="en-GB"/>
        </w:rPr>
        <w:t xml:space="preserve"> </w:t>
      </w:r>
      <w:r w:rsidR="00486487" w:rsidRPr="00F200E7">
        <w:rPr>
          <w:rFonts w:ascii="Book Antiqua" w:hAnsi="Book Antiqua"/>
          <w:lang w:val="en-GB"/>
        </w:rPr>
        <w:t xml:space="preserve">shown in </w:t>
      </w:r>
      <w:r w:rsidR="007D104F" w:rsidRPr="00F200E7">
        <w:rPr>
          <w:rFonts w:ascii="Book Antiqua" w:hAnsi="Book Antiqua"/>
          <w:lang w:val="en-GB"/>
        </w:rPr>
        <w:t>table 6.2.</w:t>
      </w:r>
    </w:p>
    <w:p w:rsidR="00B46774" w:rsidRPr="00F200E7" w:rsidRDefault="00B46774" w:rsidP="00D12065">
      <w:pPr>
        <w:pStyle w:val="NoSpacing"/>
        <w:jc w:val="both"/>
        <w:rPr>
          <w:rFonts w:ascii="Book Antiqua" w:hAnsi="Book Antiqua"/>
          <w:lang w:val="en-GB"/>
        </w:rPr>
      </w:pPr>
    </w:p>
    <w:p w:rsidR="00827790" w:rsidRDefault="00827790">
      <w:pPr>
        <w:spacing w:after="0" w:line="240" w:lineRule="auto"/>
        <w:rPr>
          <w:rFonts w:ascii="Book Antiqua" w:hAnsi="Book Antiqua"/>
          <w:b/>
          <w:lang w:val="en-GB"/>
        </w:rPr>
      </w:pPr>
      <w:r>
        <w:rPr>
          <w:rFonts w:ascii="Book Antiqua" w:hAnsi="Book Antiqua"/>
          <w:b/>
          <w:lang w:val="en-GB"/>
        </w:rPr>
        <w:br w:type="page"/>
      </w:r>
    </w:p>
    <w:p w:rsidR="00E65CED" w:rsidRPr="00F200E7" w:rsidRDefault="00FA46C9" w:rsidP="0020111F">
      <w:pPr>
        <w:pStyle w:val="NoSpacing"/>
        <w:keepNext/>
        <w:rPr>
          <w:rFonts w:ascii="Book Antiqua" w:hAnsi="Book Antiqua"/>
          <w:b/>
          <w:lang w:val="en-GB"/>
        </w:rPr>
      </w:pPr>
      <w:r w:rsidRPr="00F200E7">
        <w:rPr>
          <w:rFonts w:ascii="Book Antiqua" w:hAnsi="Book Antiqua"/>
          <w:b/>
          <w:lang w:val="en-GB"/>
        </w:rPr>
        <w:lastRenderedPageBreak/>
        <w:t xml:space="preserve">Table </w:t>
      </w:r>
      <w:r w:rsidR="0075216C" w:rsidRPr="00F200E7">
        <w:rPr>
          <w:rFonts w:ascii="Book Antiqua" w:hAnsi="Book Antiqua"/>
          <w:b/>
          <w:lang w:val="en-GB"/>
        </w:rPr>
        <w:t>6.</w:t>
      </w:r>
      <w:r w:rsidRPr="00F200E7">
        <w:rPr>
          <w:rFonts w:ascii="Book Antiqua" w:hAnsi="Book Antiqua"/>
          <w:b/>
          <w:lang w:val="en-GB"/>
        </w:rPr>
        <w:t xml:space="preserve">2: </w:t>
      </w:r>
      <w:r w:rsidR="0075216C" w:rsidRPr="00F200E7">
        <w:rPr>
          <w:rFonts w:ascii="Book Antiqua" w:hAnsi="Book Antiqua"/>
          <w:b/>
          <w:lang w:val="en-GB"/>
        </w:rPr>
        <w:tab/>
      </w:r>
      <w:r w:rsidRPr="00F200E7">
        <w:rPr>
          <w:rFonts w:ascii="Book Antiqua" w:hAnsi="Book Antiqua"/>
          <w:b/>
          <w:lang w:val="en-GB"/>
        </w:rPr>
        <w:t>Percentage of female workers by economic sector</w:t>
      </w:r>
      <w:r w:rsidR="0075216C" w:rsidRPr="00F200E7">
        <w:rPr>
          <w:rFonts w:ascii="Book Antiqua" w:hAnsi="Book Antiqua"/>
          <w:b/>
          <w:lang w:val="en-GB"/>
        </w:rPr>
        <w:t xml:space="preserve">, </w:t>
      </w:r>
      <w:r w:rsidR="00B32CC6" w:rsidRPr="00F200E7">
        <w:rPr>
          <w:rFonts w:ascii="Book Antiqua" w:hAnsi="Book Antiqua"/>
          <w:b/>
          <w:lang w:val="en-GB"/>
        </w:rPr>
        <w:t xml:space="preserve">Guatemala, </w:t>
      </w:r>
      <w:r w:rsidRPr="00F200E7">
        <w:rPr>
          <w:rFonts w:ascii="Book Antiqua" w:hAnsi="Book Antiqua"/>
          <w:b/>
          <w:lang w:val="en-GB"/>
        </w:rPr>
        <w:t>2006</w:t>
      </w:r>
    </w:p>
    <w:p w:rsidR="00C87465" w:rsidRPr="00F200E7" w:rsidRDefault="00C87465" w:rsidP="00D12065">
      <w:pPr>
        <w:pStyle w:val="NoSpacing"/>
        <w:jc w:val="both"/>
        <w:rPr>
          <w:rFonts w:ascii="Book Antiqua" w:hAnsi="Book Antiqua"/>
          <w:lang w:val="en-GB"/>
        </w:rPr>
      </w:pPr>
    </w:p>
    <w:tbl>
      <w:tblPr>
        <w:tblW w:w="7141" w:type="dxa"/>
        <w:jc w:val="center"/>
        <w:tblInd w:w="-727" w:type="dxa"/>
        <w:tblCellMar>
          <w:left w:w="70" w:type="dxa"/>
          <w:right w:w="70" w:type="dxa"/>
        </w:tblCellMar>
        <w:tblLook w:val="04A0"/>
      </w:tblPr>
      <w:tblGrid>
        <w:gridCol w:w="5440"/>
        <w:gridCol w:w="1701"/>
      </w:tblGrid>
      <w:tr w:rsidR="00FA46C9" w:rsidRPr="00F200E7">
        <w:trPr>
          <w:trHeight w:val="413"/>
          <w:jc w:val="center"/>
        </w:trPr>
        <w:tc>
          <w:tcPr>
            <w:tcW w:w="5440" w:type="dxa"/>
            <w:tcBorders>
              <w:top w:val="single" w:sz="4" w:space="0" w:color="auto"/>
              <w:left w:val="nil"/>
              <w:bottom w:val="single" w:sz="4" w:space="0" w:color="auto"/>
              <w:right w:val="nil"/>
            </w:tcBorders>
            <w:shd w:val="clear" w:color="auto" w:fill="auto"/>
            <w:vAlign w:val="center"/>
          </w:tcPr>
          <w:p w:rsidR="00FA46C9" w:rsidRPr="00F200E7" w:rsidRDefault="00FA46C9" w:rsidP="00BE0F8F">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 xml:space="preserve">Economic </w:t>
            </w:r>
            <w:r w:rsidR="0075216C" w:rsidRPr="00F200E7">
              <w:rPr>
                <w:rFonts w:ascii="Book Antiqua" w:eastAsia="Times New Roman" w:hAnsi="Book Antiqua" w:cs="Calibri"/>
                <w:b/>
                <w:bCs/>
                <w:color w:val="000000"/>
                <w:sz w:val="20"/>
                <w:szCs w:val="20"/>
                <w:lang w:val="en-GB" w:eastAsia="es-GT"/>
              </w:rPr>
              <w:t>s</w:t>
            </w:r>
            <w:r w:rsidRPr="00F200E7">
              <w:rPr>
                <w:rFonts w:ascii="Book Antiqua" w:eastAsia="Times New Roman" w:hAnsi="Book Antiqua" w:cs="Calibri"/>
                <w:b/>
                <w:bCs/>
                <w:color w:val="000000"/>
                <w:sz w:val="20"/>
                <w:szCs w:val="20"/>
                <w:lang w:val="en-GB" w:eastAsia="es-GT"/>
              </w:rPr>
              <w:t>ector</w:t>
            </w:r>
          </w:p>
        </w:tc>
        <w:tc>
          <w:tcPr>
            <w:tcW w:w="1701" w:type="dxa"/>
            <w:tcBorders>
              <w:top w:val="single" w:sz="4" w:space="0" w:color="auto"/>
              <w:left w:val="nil"/>
              <w:bottom w:val="single" w:sz="4" w:space="0" w:color="auto"/>
              <w:right w:val="nil"/>
            </w:tcBorders>
            <w:shd w:val="clear" w:color="auto" w:fill="auto"/>
            <w:vAlign w:val="center"/>
          </w:tcPr>
          <w:p w:rsidR="00FA46C9" w:rsidRPr="00F200E7" w:rsidRDefault="00FA46C9" w:rsidP="00BE0F8F">
            <w:pPr>
              <w:pStyle w:val="NoSpacing"/>
              <w:jc w:val="center"/>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Percentage</w:t>
            </w:r>
          </w:p>
        </w:tc>
      </w:tr>
      <w:tr w:rsidR="00FA46C9" w:rsidRPr="00F200E7">
        <w:trPr>
          <w:trHeight w:val="205"/>
          <w:jc w:val="center"/>
        </w:trPr>
        <w:tc>
          <w:tcPr>
            <w:tcW w:w="5440" w:type="dxa"/>
            <w:tcBorders>
              <w:top w:val="single" w:sz="4" w:space="0" w:color="auto"/>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Agricultural</w:t>
            </w:r>
          </w:p>
        </w:tc>
        <w:tc>
          <w:tcPr>
            <w:tcW w:w="1701" w:type="dxa"/>
            <w:tcBorders>
              <w:top w:val="single" w:sz="4" w:space="0" w:color="auto"/>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18</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Mining and quarrying</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Industrial</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49</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Electricity and water</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11</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Construction</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2</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Retail</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57</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Transport and communications</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9</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Financial services</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27</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Public administration and national defence</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24</w:t>
            </w:r>
          </w:p>
        </w:tc>
      </w:tr>
      <w:tr w:rsidR="00FA46C9" w:rsidRPr="00F200E7">
        <w:trPr>
          <w:trHeight w:val="205"/>
          <w:jc w:val="center"/>
        </w:trPr>
        <w:tc>
          <w:tcPr>
            <w:tcW w:w="5440" w:type="dxa"/>
            <w:tcBorders>
              <w:top w:val="nil"/>
              <w:left w:val="nil"/>
              <w:bottom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Education</w:t>
            </w:r>
          </w:p>
        </w:tc>
        <w:tc>
          <w:tcPr>
            <w:tcW w:w="1701" w:type="dxa"/>
            <w:tcBorders>
              <w:top w:val="nil"/>
              <w:left w:val="nil"/>
              <w:bottom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67</w:t>
            </w:r>
          </w:p>
        </w:tc>
      </w:tr>
      <w:tr w:rsidR="00FA46C9" w:rsidRPr="00F200E7">
        <w:trPr>
          <w:trHeight w:val="205"/>
          <w:jc w:val="center"/>
        </w:trPr>
        <w:tc>
          <w:tcPr>
            <w:tcW w:w="5440" w:type="dxa"/>
            <w:tcBorders>
              <w:top w:val="nil"/>
              <w:left w:val="nil"/>
              <w:right w:val="nil"/>
            </w:tcBorders>
            <w:shd w:val="clear" w:color="auto" w:fill="auto"/>
            <w:noWrap/>
            <w:vAlign w:val="bottom"/>
          </w:tcPr>
          <w:p w:rsidR="00FA46C9" w:rsidRPr="00F200E7" w:rsidRDefault="00FA46C9"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Health and social services</w:t>
            </w:r>
          </w:p>
        </w:tc>
        <w:tc>
          <w:tcPr>
            <w:tcW w:w="1701" w:type="dxa"/>
            <w:tcBorders>
              <w:top w:val="nil"/>
              <w:left w:val="nil"/>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77</w:t>
            </w:r>
          </w:p>
        </w:tc>
      </w:tr>
      <w:tr w:rsidR="00FA46C9" w:rsidRPr="00F200E7">
        <w:trPr>
          <w:trHeight w:val="205"/>
          <w:jc w:val="center"/>
        </w:trPr>
        <w:tc>
          <w:tcPr>
            <w:tcW w:w="5440" w:type="dxa"/>
            <w:tcBorders>
              <w:top w:val="nil"/>
              <w:left w:val="nil"/>
              <w:bottom w:val="single" w:sz="4" w:space="0" w:color="auto"/>
              <w:right w:val="nil"/>
            </w:tcBorders>
            <w:shd w:val="clear" w:color="auto" w:fill="auto"/>
            <w:noWrap/>
            <w:vAlign w:val="bottom"/>
          </w:tcPr>
          <w:p w:rsidR="00FA46C9" w:rsidRPr="00F200E7" w:rsidRDefault="00BE54DF" w:rsidP="00BE0F8F">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Organization</w:t>
            </w:r>
            <w:r w:rsidR="00FA46C9" w:rsidRPr="00F200E7">
              <w:rPr>
                <w:rFonts w:ascii="Book Antiqua" w:eastAsia="Times New Roman" w:hAnsi="Book Antiqua" w:cs="Calibri"/>
                <w:color w:val="000000"/>
                <w:sz w:val="20"/>
                <w:szCs w:val="20"/>
                <w:lang w:val="en-GB" w:eastAsia="es-GT"/>
              </w:rPr>
              <w:t>s and extraterritorial entities</w:t>
            </w:r>
          </w:p>
        </w:tc>
        <w:tc>
          <w:tcPr>
            <w:tcW w:w="1701" w:type="dxa"/>
            <w:tcBorders>
              <w:top w:val="nil"/>
              <w:left w:val="nil"/>
              <w:bottom w:val="single" w:sz="4" w:space="0" w:color="auto"/>
              <w:right w:val="nil"/>
            </w:tcBorders>
            <w:shd w:val="clear" w:color="auto" w:fill="auto"/>
            <w:noWrap/>
            <w:vAlign w:val="bottom"/>
          </w:tcPr>
          <w:p w:rsidR="003B17F2" w:rsidRPr="00F200E7" w:rsidRDefault="00FA46C9">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39</w:t>
            </w:r>
          </w:p>
        </w:tc>
      </w:tr>
    </w:tbl>
    <w:p w:rsidR="005F2F9F" w:rsidRPr="00F200E7" w:rsidRDefault="005F2F9F" w:rsidP="005F2F9F">
      <w:pPr>
        <w:pStyle w:val="NoSpacing"/>
        <w:ind w:firstLine="720"/>
        <w:jc w:val="both"/>
        <w:rPr>
          <w:rFonts w:ascii="Book Antiqua" w:hAnsi="Book Antiqua"/>
          <w:sz w:val="18"/>
          <w:lang w:val="en-GB"/>
        </w:rPr>
      </w:pPr>
    </w:p>
    <w:p w:rsidR="0044787E" w:rsidRPr="00F200E7" w:rsidRDefault="0044787E" w:rsidP="0044787E">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BE54DF" w:rsidRPr="00F200E7">
        <w:rPr>
          <w:rFonts w:ascii="Book Antiqua" w:hAnsi="Book Antiqua"/>
          <w:sz w:val="18"/>
          <w:lang w:val="en-GB"/>
        </w:rPr>
        <w:t xml:space="preserve">from </w:t>
      </w:r>
      <w:r w:rsidRPr="00F200E7">
        <w:rPr>
          <w:rFonts w:ascii="Book Antiqua" w:hAnsi="Book Antiqua"/>
          <w:sz w:val="18"/>
          <w:lang w:val="en-GB"/>
        </w:rPr>
        <w:t>ENCOVI 2006 data.</w:t>
      </w:r>
    </w:p>
    <w:p w:rsidR="000111BC" w:rsidRPr="00F200E7" w:rsidRDefault="000111BC" w:rsidP="00D12065">
      <w:pPr>
        <w:pStyle w:val="NoSpacing"/>
        <w:jc w:val="both"/>
        <w:rPr>
          <w:rFonts w:ascii="Book Antiqua" w:hAnsi="Book Antiqua"/>
          <w:lang w:val="en-GB"/>
        </w:rPr>
      </w:pPr>
    </w:p>
    <w:p w:rsidR="00FA46C9" w:rsidRPr="00F200E7" w:rsidRDefault="00FA46C9" w:rsidP="00D12065">
      <w:pPr>
        <w:pStyle w:val="NoSpacing"/>
        <w:jc w:val="both"/>
        <w:rPr>
          <w:rFonts w:ascii="Book Antiqua" w:hAnsi="Book Antiqua"/>
          <w:lang w:val="en-GB"/>
        </w:rPr>
      </w:pPr>
      <w:r w:rsidRPr="00F200E7">
        <w:rPr>
          <w:rFonts w:ascii="Book Antiqua" w:hAnsi="Book Antiqua"/>
          <w:lang w:val="en-GB"/>
        </w:rPr>
        <w:t xml:space="preserve">Other </w:t>
      </w:r>
      <w:r w:rsidR="00955E75" w:rsidRPr="00F200E7">
        <w:rPr>
          <w:rFonts w:ascii="Book Antiqua" w:hAnsi="Book Antiqua"/>
          <w:lang w:val="en-GB"/>
        </w:rPr>
        <w:t xml:space="preserve">notable </w:t>
      </w:r>
      <w:r w:rsidRPr="00F200E7">
        <w:rPr>
          <w:rFonts w:ascii="Book Antiqua" w:hAnsi="Book Antiqua"/>
          <w:lang w:val="en-GB"/>
        </w:rPr>
        <w:t xml:space="preserve">characteristics </w:t>
      </w:r>
      <w:r w:rsidR="00955E75" w:rsidRPr="00F200E7">
        <w:rPr>
          <w:rFonts w:ascii="Book Antiqua" w:hAnsi="Book Antiqua"/>
          <w:lang w:val="en-GB"/>
        </w:rPr>
        <w:t>of the agricultural work force</w:t>
      </w:r>
      <w:r w:rsidR="00DA04FA" w:rsidRPr="00F200E7">
        <w:rPr>
          <w:rFonts w:ascii="Book Antiqua" w:hAnsi="Book Antiqua"/>
          <w:lang w:val="en-GB"/>
        </w:rPr>
        <w:t>, shown in tables 6.3 and 6.4</w:t>
      </w:r>
      <w:r w:rsidR="003573DF">
        <w:rPr>
          <w:rFonts w:ascii="Book Antiqua" w:hAnsi="Book Antiqua"/>
          <w:lang w:val="en-GB"/>
        </w:rPr>
        <w:t>,</w:t>
      </w:r>
      <w:r w:rsidR="00DA04FA" w:rsidRPr="00F200E7">
        <w:rPr>
          <w:rFonts w:ascii="Book Antiqua" w:hAnsi="Book Antiqua"/>
          <w:lang w:val="en-GB"/>
        </w:rPr>
        <w:t xml:space="preserve"> respectively,</w:t>
      </w:r>
      <w:r w:rsidR="00AE174D">
        <w:rPr>
          <w:rFonts w:ascii="Book Antiqua" w:hAnsi="Book Antiqua"/>
          <w:lang w:val="en-GB"/>
        </w:rPr>
        <w:t xml:space="preserve"> </w:t>
      </w:r>
      <w:r w:rsidRPr="00F200E7">
        <w:rPr>
          <w:rFonts w:ascii="Book Antiqua" w:hAnsi="Book Antiqua"/>
          <w:lang w:val="en-GB"/>
        </w:rPr>
        <w:t xml:space="preserve">are that </w:t>
      </w:r>
      <w:r w:rsidR="00744913">
        <w:rPr>
          <w:rFonts w:ascii="Book Antiqua" w:hAnsi="Book Antiqua"/>
          <w:lang w:val="en-GB"/>
        </w:rPr>
        <w:t>one third consists of smallholders. T</w:t>
      </w:r>
      <w:r w:rsidR="00744913" w:rsidRPr="00F200E7">
        <w:rPr>
          <w:rFonts w:ascii="Book Antiqua" w:hAnsi="Book Antiqua"/>
          <w:lang w:val="en-GB"/>
        </w:rPr>
        <w:t>wo</w:t>
      </w:r>
      <w:r w:rsidR="00955E75" w:rsidRPr="00F200E7">
        <w:rPr>
          <w:rFonts w:ascii="Book Antiqua" w:hAnsi="Book Antiqua"/>
          <w:lang w:val="en-GB"/>
        </w:rPr>
        <w:t>-</w:t>
      </w:r>
      <w:r w:rsidRPr="00F200E7">
        <w:rPr>
          <w:rFonts w:ascii="Book Antiqua" w:hAnsi="Book Antiqua"/>
          <w:lang w:val="en-GB"/>
        </w:rPr>
        <w:t xml:space="preserve">thirds </w:t>
      </w:r>
      <w:r w:rsidR="00744913">
        <w:rPr>
          <w:rFonts w:ascii="Book Antiqua" w:hAnsi="Book Antiqua"/>
          <w:lang w:val="en-GB"/>
        </w:rPr>
        <w:t xml:space="preserve">of the agricultural work </w:t>
      </w:r>
      <w:proofErr w:type="gramStart"/>
      <w:r w:rsidR="00744913">
        <w:rPr>
          <w:rFonts w:ascii="Book Antiqua" w:hAnsi="Book Antiqua"/>
          <w:lang w:val="en-GB"/>
        </w:rPr>
        <w:t xml:space="preserve">force </w:t>
      </w:r>
      <w:r w:rsidRPr="00F200E7">
        <w:rPr>
          <w:rFonts w:ascii="Book Antiqua" w:hAnsi="Book Antiqua"/>
          <w:lang w:val="en-GB"/>
        </w:rPr>
        <w:t>are</w:t>
      </w:r>
      <w:proofErr w:type="gramEnd"/>
      <w:r w:rsidRPr="00F200E7">
        <w:rPr>
          <w:rFonts w:ascii="Book Antiqua" w:hAnsi="Book Antiqua"/>
          <w:lang w:val="en-GB"/>
        </w:rPr>
        <w:t xml:space="preserve"> </w:t>
      </w:r>
      <w:r w:rsidR="00744913">
        <w:rPr>
          <w:rFonts w:ascii="Book Antiqua" w:hAnsi="Book Antiqua"/>
          <w:lang w:val="en-GB"/>
        </w:rPr>
        <w:t>employees</w:t>
      </w:r>
      <w:r w:rsidR="00AE174D">
        <w:rPr>
          <w:rFonts w:ascii="Book Antiqua" w:hAnsi="Book Antiqua"/>
          <w:lang w:val="en-GB"/>
        </w:rPr>
        <w:t xml:space="preserve"> </w:t>
      </w:r>
      <w:r w:rsidRPr="00F200E7">
        <w:rPr>
          <w:rFonts w:ascii="Book Antiqua" w:hAnsi="Book Antiqua"/>
          <w:lang w:val="en-GB"/>
        </w:rPr>
        <w:t xml:space="preserve">and </w:t>
      </w:r>
      <w:r w:rsidR="00955E75" w:rsidRPr="00F200E7">
        <w:rPr>
          <w:rFonts w:ascii="Book Antiqua" w:hAnsi="Book Antiqua"/>
          <w:lang w:val="en-GB"/>
        </w:rPr>
        <w:t>one-</w:t>
      </w:r>
      <w:r w:rsidRPr="00F200E7">
        <w:rPr>
          <w:rFonts w:ascii="Book Antiqua" w:hAnsi="Book Antiqua"/>
          <w:lang w:val="en-GB"/>
        </w:rPr>
        <w:t xml:space="preserve">third </w:t>
      </w:r>
      <w:r w:rsidR="00744913">
        <w:rPr>
          <w:rFonts w:ascii="Book Antiqua" w:hAnsi="Book Antiqua"/>
          <w:lang w:val="en-GB"/>
        </w:rPr>
        <w:t xml:space="preserve">of them </w:t>
      </w:r>
      <w:r w:rsidRPr="00F200E7">
        <w:rPr>
          <w:rFonts w:ascii="Book Antiqua" w:hAnsi="Book Antiqua"/>
          <w:lang w:val="en-GB"/>
        </w:rPr>
        <w:t>are less than 20 years old.</w:t>
      </w:r>
      <w:r w:rsidR="00776D54" w:rsidRPr="00F200E7">
        <w:rPr>
          <w:rFonts w:ascii="Book Antiqua" w:hAnsi="Book Antiqua"/>
          <w:lang w:val="en-GB"/>
        </w:rPr>
        <w:t xml:space="preserve"> On average, agricultural workers work six hours a day.</w:t>
      </w:r>
    </w:p>
    <w:p w:rsidR="00FA46C9" w:rsidRPr="00F200E7" w:rsidRDefault="00FA46C9" w:rsidP="00D12065">
      <w:pPr>
        <w:pStyle w:val="NoSpacing"/>
        <w:jc w:val="both"/>
        <w:rPr>
          <w:rFonts w:ascii="Book Antiqua" w:hAnsi="Book Antiqua"/>
          <w:lang w:val="en-GB"/>
        </w:rPr>
      </w:pPr>
    </w:p>
    <w:p w:rsidR="00E65CED" w:rsidRPr="00F200E7" w:rsidRDefault="0044787E" w:rsidP="0020111F">
      <w:pPr>
        <w:pStyle w:val="NoSpacing"/>
        <w:ind w:left="1440" w:hanging="1440"/>
        <w:rPr>
          <w:rFonts w:ascii="Book Antiqua" w:hAnsi="Book Antiqua"/>
          <w:b/>
          <w:lang w:val="en-GB"/>
        </w:rPr>
      </w:pPr>
      <w:r w:rsidRPr="00F200E7">
        <w:rPr>
          <w:rFonts w:ascii="Book Antiqua" w:hAnsi="Book Antiqua"/>
          <w:b/>
          <w:lang w:val="en-GB"/>
        </w:rPr>
        <w:t xml:space="preserve">Table </w:t>
      </w:r>
      <w:r w:rsidR="00955E75" w:rsidRPr="00F200E7">
        <w:rPr>
          <w:rFonts w:ascii="Book Antiqua" w:hAnsi="Book Antiqua"/>
          <w:b/>
          <w:lang w:val="en-GB"/>
        </w:rPr>
        <w:t>6.</w:t>
      </w:r>
      <w:r w:rsidRPr="00F200E7">
        <w:rPr>
          <w:rFonts w:ascii="Book Antiqua" w:hAnsi="Book Antiqua"/>
          <w:b/>
          <w:lang w:val="en-GB"/>
        </w:rPr>
        <w:t>3:</w:t>
      </w:r>
      <w:r w:rsidR="00955E75" w:rsidRPr="00F200E7">
        <w:rPr>
          <w:rFonts w:ascii="Book Antiqua" w:hAnsi="Book Antiqua"/>
          <w:b/>
          <w:lang w:val="en-GB"/>
        </w:rPr>
        <w:tab/>
      </w:r>
      <w:r w:rsidRPr="00F200E7">
        <w:rPr>
          <w:rFonts w:ascii="Book Antiqua" w:hAnsi="Book Antiqua"/>
          <w:b/>
          <w:lang w:val="en-GB"/>
        </w:rPr>
        <w:t>Number and percentage</w:t>
      </w:r>
      <w:r w:rsidR="004A1F6A">
        <w:rPr>
          <w:rFonts w:ascii="Book Antiqua" w:hAnsi="Book Antiqua"/>
          <w:b/>
          <w:lang w:val="en-GB"/>
        </w:rPr>
        <w:t xml:space="preserve"> distribution</w:t>
      </w:r>
      <w:r w:rsidRPr="00F200E7">
        <w:rPr>
          <w:rFonts w:ascii="Book Antiqua" w:hAnsi="Book Antiqua"/>
          <w:b/>
          <w:lang w:val="en-GB"/>
        </w:rPr>
        <w:t xml:space="preserve"> of people by occupation in the agricultural sector</w:t>
      </w:r>
      <w:r w:rsidR="00955E75" w:rsidRPr="00F200E7">
        <w:rPr>
          <w:rFonts w:ascii="Book Antiqua" w:hAnsi="Book Antiqua"/>
          <w:b/>
          <w:lang w:val="en-GB"/>
        </w:rPr>
        <w:t>,</w:t>
      </w:r>
      <w:r w:rsidR="00AE174D">
        <w:rPr>
          <w:rFonts w:ascii="Book Antiqua" w:hAnsi="Book Antiqua"/>
          <w:b/>
          <w:lang w:val="en-GB"/>
        </w:rPr>
        <w:t xml:space="preserve"> </w:t>
      </w:r>
      <w:r w:rsidR="00955E75" w:rsidRPr="00F200E7">
        <w:rPr>
          <w:rFonts w:ascii="Book Antiqua" w:hAnsi="Book Antiqua"/>
          <w:b/>
          <w:lang w:val="en-GB"/>
        </w:rPr>
        <w:t xml:space="preserve">Guatemala, </w:t>
      </w:r>
      <w:r w:rsidRPr="00F200E7">
        <w:rPr>
          <w:rFonts w:ascii="Book Antiqua" w:hAnsi="Book Antiqua"/>
          <w:b/>
          <w:lang w:val="en-GB"/>
        </w:rPr>
        <w:t>2006</w:t>
      </w:r>
    </w:p>
    <w:p w:rsidR="000111BC" w:rsidRPr="00F200E7" w:rsidRDefault="000111BC" w:rsidP="00D12065">
      <w:pPr>
        <w:pStyle w:val="NoSpacing"/>
        <w:jc w:val="both"/>
        <w:rPr>
          <w:rFonts w:ascii="Book Antiqua" w:hAnsi="Book Antiqua"/>
          <w:lang w:val="en-GB"/>
        </w:rPr>
      </w:pPr>
    </w:p>
    <w:tbl>
      <w:tblPr>
        <w:tblW w:w="8469" w:type="dxa"/>
        <w:tblInd w:w="55" w:type="dxa"/>
        <w:tblCellMar>
          <w:left w:w="70" w:type="dxa"/>
          <w:right w:w="70" w:type="dxa"/>
        </w:tblCellMar>
        <w:tblLook w:val="04A0"/>
      </w:tblPr>
      <w:tblGrid>
        <w:gridCol w:w="5880"/>
        <w:gridCol w:w="1389"/>
        <w:gridCol w:w="1200"/>
      </w:tblGrid>
      <w:tr w:rsidR="0044787E" w:rsidRPr="00F200E7">
        <w:trPr>
          <w:trHeight w:val="300"/>
        </w:trPr>
        <w:tc>
          <w:tcPr>
            <w:tcW w:w="5880" w:type="dxa"/>
            <w:tcBorders>
              <w:top w:val="single" w:sz="4" w:space="0" w:color="auto"/>
            </w:tcBorders>
            <w:shd w:val="clear" w:color="auto" w:fill="auto"/>
            <w:noWrap/>
            <w:vAlign w:val="bottom"/>
          </w:tcPr>
          <w:p w:rsidR="0044787E" w:rsidRPr="00F200E7" w:rsidRDefault="0044787E" w:rsidP="00BE0F8F">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szCs w:val="20"/>
                <w:lang w:val="en-GB" w:eastAsia="es-GT"/>
              </w:rPr>
              <w:t>Occupation</w:t>
            </w:r>
          </w:p>
        </w:tc>
        <w:tc>
          <w:tcPr>
            <w:tcW w:w="1389" w:type="dxa"/>
            <w:tcBorders>
              <w:top w:val="single" w:sz="4" w:space="0" w:color="auto"/>
            </w:tcBorders>
            <w:shd w:val="clear" w:color="auto" w:fill="auto"/>
            <w:noWrap/>
            <w:vAlign w:val="bottom"/>
          </w:tcPr>
          <w:p w:rsidR="0059579D" w:rsidRDefault="003573DF" w:rsidP="00744913">
            <w:pPr>
              <w:spacing w:after="0" w:line="240" w:lineRule="auto"/>
              <w:rPr>
                <w:rFonts w:ascii="Book Antiqua" w:eastAsia="Times New Roman" w:hAnsi="Book Antiqua" w:cs="Calibri"/>
                <w:b/>
                <w:color w:val="000000"/>
                <w:sz w:val="20"/>
                <w:szCs w:val="20"/>
                <w:lang w:val="en-GB" w:eastAsia="es-GT"/>
              </w:rPr>
            </w:pPr>
            <w:r>
              <w:rPr>
                <w:rFonts w:ascii="Book Antiqua" w:eastAsia="Times New Roman" w:hAnsi="Book Antiqua" w:cs="Calibri"/>
                <w:b/>
                <w:color w:val="000000"/>
                <w:sz w:val="20"/>
                <w:szCs w:val="20"/>
                <w:lang w:val="en-GB" w:eastAsia="es-GT"/>
              </w:rPr>
              <w:t>Number of p</w:t>
            </w:r>
            <w:r w:rsidR="0044787E" w:rsidRPr="00F200E7">
              <w:rPr>
                <w:rFonts w:ascii="Book Antiqua" w:eastAsia="Times New Roman" w:hAnsi="Book Antiqua" w:cs="Calibri"/>
                <w:b/>
                <w:color w:val="000000"/>
                <w:sz w:val="20"/>
                <w:szCs w:val="20"/>
                <w:lang w:val="en-GB" w:eastAsia="es-GT"/>
              </w:rPr>
              <w:t>eople</w:t>
            </w:r>
          </w:p>
        </w:tc>
        <w:tc>
          <w:tcPr>
            <w:tcW w:w="1200" w:type="dxa"/>
            <w:tcBorders>
              <w:top w:val="single" w:sz="4" w:space="0" w:color="auto"/>
            </w:tcBorders>
            <w:shd w:val="clear" w:color="auto" w:fill="auto"/>
            <w:noWrap/>
            <w:vAlign w:val="bottom"/>
          </w:tcPr>
          <w:p w:rsidR="0044787E" w:rsidRPr="00F200E7" w:rsidRDefault="0044787E" w:rsidP="004A1F6A">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szCs w:val="20"/>
                <w:lang w:val="en-GB" w:eastAsia="es-GT"/>
              </w:rPr>
              <w:t>Percentage</w:t>
            </w:r>
          </w:p>
        </w:tc>
      </w:tr>
      <w:tr w:rsidR="0044787E" w:rsidRPr="00F200E7">
        <w:trPr>
          <w:trHeight w:val="300"/>
        </w:trPr>
        <w:tc>
          <w:tcPr>
            <w:tcW w:w="5880" w:type="dxa"/>
            <w:tcBorders>
              <w:top w:val="single" w:sz="4" w:space="0" w:color="auto"/>
            </w:tcBorders>
            <w:shd w:val="clear" w:color="auto" w:fill="auto"/>
            <w:noWrap/>
            <w:vAlign w:val="bottom"/>
          </w:tcPr>
          <w:p w:rsidR="0044787E" w:rsidRPr="00F200E7" w:rsidRDefault="0044787E" w:rsidP="00BE0F8F">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Employee</w:t>
            </w:r>
          </w:p>
        </w:tc>
        <w:tc>
          <w:tcPr>
            <w:tcW w:w="1389" w:type="dxa"/>
            <w:tcBorders>
              <w:top w:val="single" w:sz="4" w:space="0" w:color="auto"/>
            </w:tcBorders>
            <w:shd w:val="clear" w:color="auto" w:fill="auto"/>
            <w:noWrap/>
            <w:vAlign w:val="bottom"/>
          </w:tcPr>
          <w:p w:rsidR="003B17F2" w:rsidRPr="00F200E7" w:rsidRDefault="0044787E" w:rsidP="00B831AB">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229</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212</w:t>
            </w:r>
          </w:p>
        </w:tc>
        <w:tc>
          <w:tcPr>
            <w:tcW w:w="1200" w:type="dxa"/>
            <w:tcBorders>
              <w:top w:val="single" w:sz="4" w:space="0" w:color="auto"/>
            </w:tcBorders>
            <w:shd w:val="clear" w:color="auto" w:fill="auto"/>
            <w:noWrap/>
            <w:vAlign w:val="bottom"/>
          </w:tcPr>
          <w:p w:rsidR="003B17F2" w:rsidRPr="00F200E7" w:rsidRDefault="00A443BF">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67</w:t>
            </w:r>
          </w:p>
        </w:tc>
      </w:tr>
      <w:tr w:rsidR="0044787E" w:rsidRPr="00F200E7">
        <w:trPr>
          <w:trHeight w:val="300"/>
        </w:trPr>
        <w:tc>
          <w:tcPr>
            <w:tcW w:w="5880" w:type="dxa"/>
            <w:shd w:val="clear" w:color="auto" w:fill="auto"/>
            <w:noWrap/>
            <w:vAlign w:val="bottom"/>
          </w:tcPr>
          <w:p w:rsidR="0044787E" w:rsidRPr="00F200E7" w:rsidRDefault="0044787E" w:rsidP="00BE0F8F">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Smallholder</w:t>
            </w:r>
          </w:p>
        </w:tc>
        <w:tc>
          <w:tcPr>
            <w:tcW w:w="1389" w:type="dxa"/>
            <w:shd w:val="clear" w:color="auto" w:fill="auto"/>
            <w:noWrap/>
            <w:vAlign w:val="bottom"/>
          </w:tcPr>
          <w:p w:rsidR="003B17F2" w:rsidRPr="00F200E7" w:rsidRDefault="0044787E" w:rsidP="00B831AB">
            <w:pPr>
              <w:spacing w:after="0" w:line="240" w:lineRule="auto"/>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576</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626</w:t>
            </w:r>
          </w:p>
        </w:tc>
        <w:tc>
          <w:tcPr>
            <w:tcW w:w="1200" w:type="dxa"/>
            <w:shd w:val="clear" w:color="auto" w:fill="auto"/>
            <w:noWrap/>
            <w:vAlign w:val="bottom"/>
          </w:tcPr>
          <w:p w:rsidR="003B17F2" w:rsidRPr="00F200E7" w:rsidRDefault="00A443BF">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32</w:t>
            </w:r>
          </w:p>
        </w:tc>
      </w:tr>
      <w:tr w:rsidR="0044787E" w:rsidRPr="00F200E7">
        <w:trPr>
          <w:trHeight w:val="300"/>
        </w:trPr>
        <w:tc>
          <w:tcPr>
            <w:tcW w:w="5880" w:type="dxa"/>
            <w:shd w:val="clear" w:color="auto" w:fill="auto"/>
            <w:noWrap/>
            <w:vAlign w:val="bottom"/>
          </w:tcPr>
          <w:p w:rsidR="0044787E" w:rsidRPr="00F200E7" w:rsidRDefault="0044787E" w:rsidP="00BE0F8F">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 xml:space="preserve">Employer </w:t>
            </w:r>
          </w:p>
        </w:tc>
        <w:tc>
          <w:tcPr>
            <w:tcW w:w="1389" w:type="dxa"/>
            <w:shd w:val="clear" w:color="auto" w:fill="auto"/>
            <w:noWrap/>
            <w:vAlign w:val="bottom"/>
          </w:tcPr>
          <w:p w:rsidR="003B17F2" w:rsidRPr="00F200E7" w:rsidRDefault="0044787E">
            <w:pPr>
              <w:spacing w:after="0" w:line="240" w:lineRule="auto"/>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20</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892</w:t>
            </w:r>
          </w:p>
        </w:tc>
        <w:tc>
          <w:tcPr>
            <w:tcW w:w="1200" w:type="dxa"/>
            <w:shd w:val="clear" w:color="auto" w:fill="auto"/>
            <w:noWrap/>
            <w:vAlign w:val="bottom"/>
          </w:tcPr>
          <w:p w:rsidR="003B17F2" w:rsidRPr="00F200E7" w:rsidRDefault="00A443BF">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w:t>
            </w:r>
          </w:p>
        </w:tc>
      </w:tr>
      <w:tr w:rsidR="0044787E" w:rsidRPr="00F200E7">
        <w:trPr>
          <w:trHeight w:val="300"/>
        </w:trPr>
        <w:tc>
          <w:tcPr>
            <w:tcW w:w="5880" w:type="dxa"/>
            <w:tcBorders>
              <w:bottom w:val="single" w:sz="4" w:space="0" w:color="auto"/>
            </w:tcBorders>
            <w:shd w:val="clear" w:color="auto" w:fill="auto"/>
            <w:noWrap/>
            <w:vAlign w:val="bottom"/>
          </w:tcPr>
          <w:p w:rsidR="0044787E" w:rsidRPr="00F200E7" w:rsidRDefault="0044787E" w:rsidP="00BE0F8F">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Total</w:t>
            </w:r>
          </w:p>
        </w:tc>
        <w:tc>
          <w:tcPr>
            <w:tcW w:w="1389" w:type="dxa"/>
            <w:tcBorders>
              <w:bottom w:val="single" w:sz="4" w:space="0" w:color="auto"/>
            </w:tcBorders>
            <w:shd w:val="clear" w:color="auto" w:fill="auto"/>
            <w:noWrap/>
            <w:vAlign w:val="bottom"/>
          </w:tcPr>
          <w:p w:rsidR="003B17F2" w:rsidRPr="00F200E7" w:rsidRDefault="0044787E" w:rsidP="00B831AB">
            <w:pPr>
              <w:spacing w:after="0" w:line="240" w:lineRule="auto"/>
              <w:jc w:val="center"/>
              <w:rPr>
                <w:rFonts w:ascii="Book Antiqua" w:eastAsia="Times New Roman" w:hAnsi="Book Antiqua" w:cs="Calibri"/>
                <w:i/>
                <w:iCs/>
                <w:color w:val="000000"/>
                <w:spacing w:val="15"/>
                <w:sz w:val="20"/>
                <w:szCs w:val="20"/>
                <w:lang w:val="en-GB" w:eastAsia="es-GT"/>
              </w:rPr>
            </w:pPr>
            <w:r w:rsidRPr="00F200E7">
              <w:rPr>
                <w:rFonts w:ascii="Book Antiqua" w:eastAsia="Times New Roman" w:hAnsi="Book Antiqua" w:cs="Calibri"/>
                <w:color w:val="000000"/>
                <w:sz w:val="20"/>
                <w:szCs w:val="20"/>
                <w:lang w:val="en-GB" w:eastAsia="es-GT"/>
              </w:rPr>
              <w:t>1</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826</w:t>
            </w:r>
            <w:r w:rsidR="00955E75" w:rsidRPr="00F200E7">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730</w:t>
            </w:r>
          </w:p>
        </w:tc>
        <w:tc>
          <w:tcPr>
            <w:tcW w:w="1200" w:type="dxa"/>
            <w:tcBorders>
              <w:bottom w:val="single" w:sz="4" w:space="0" w:color="auto"/>
            </w:tcBorders>
            <w:shd w:val="clear" w:color="auto" w:fill="auto"/>
            <w:noWrap/>
            <w:vAlign w:val="bottom"/>
          </w:tcPr>
          <w:p w:rsidR="003B17F2" w:rsidRPr="00F200E7" w:rsidRDefault="00A443BF">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100</w:t>
            </w:r>
          </w:p>
        </w:tc>
      </w:tr>
    </w:tbl>
    <w:p w:rsidR="005F2F9F" w:rsidRPr="00F200E7" w:rsidRDefault="005F2F9F" w:rsidP="005F2F9F">
      <w:pPr>
        <w:pStyle w:val="NoSpacing"/>
        <w:jc w:val="both"/>
        <w:rPr>
          <w:rFonts w:ascii="Book Antiqua" w:hAnsi="Book Antiqua"/>
          <w:sz w:val="18"/>
          <w:lang w:val="en-GB"/>
        </w:rPr>
      </w:pPr>
    </w:p>
    <w:p w:rsidR="0059579D" w:rsidRDefault="0044787E" w:rsidP="00744913">
      <w:pPr>
        <w:pStyle w:val="NoSpacing"/>
        <w:jc w:val="both"/>
        <w:rPr>
          <w:rFonts w:ascii="Book Antiqua" w:hAnsi="Book Antiqua"/>
          <w:sz w:val="18"/>
          <w:lang w:val="en-GB"/>
        </w:rPr>
      </w:pPr>
      <w:r w:rsidRPr="00F200E7">
        <w:rPr>
          <w:rFonts w:ascii="Book Antiqua" w:hAnsi="Book Antiqua"/>
          <w:sz w:val="18"/>
          <w:lang w:val="en-GB"/>
        </w:rPr>
        <w:t xml:space="preserve">Source: Authors’ calculation </w:t>
      </w:r>
      <w:r w:rsidR="00955E75" w:rsidRPr="00F200E7">
        <w:rPr>
          <w:rFonts w:ascii="Book Antiqua" w:hAnsi="Book Antiqua"/>
          <w:sz w:val="18"/>
          <w:lang w:val="en-GB"/>
        </w:rPr>
        <w:t xml:space="preserve">from </w:t>
      </w:r>
      <w:r w:rsidRPr="00F200E7">
        <w:rPr>
          <w:rFonts w:ascii="Book Antiqua" w:hAnsi="Book Antiqua"/>
          <w:sz w:val="18"/>
          <w:lang w:val="en-GB"/>
        </w:rPr>
        <w:t>ENCOVI 2006 data.</w:t>
      </w:r>
    </w:p>
    <w:p w:rsidR="006D3086" w:rsidRDefault="006D3086" w:rsidP="00D12065">
      <w:pPr>
        <w:pStyle w:val="NoSpacing"/>
        <w:jc w:val="both"/>
        <w:rPr>
          <w:rFonts w:ascii="Book Antiqua" w:hAnsi="Book Antiqua"/>
          <w:lang w:val="en-GB"/>
        </w:rPr>
      </w:pPr>
    </w:p>
    <w:p w:rsidR="00827790" w:rsidRPr="00F200E7" w:rsidRDefault="00827790" w:rsidP="00827790">
      <w:pPr>
        <w:pStyle w:val="Tabletitle"/>
      </w:pPr>
      <w:r w:rsidRPr="00F200E7">
        <w:t>Table 6.4:</w:t>
      </w:r>
      <w:r>
        <w:tab/>
      </w:r>
      <w:r w:rsidRPr="00F200E7">
        <w:t xml:space="preserve">Percentage </w:t>
      </w:r>
      <w:r>
        <w:t xml:space="preserve">distribution </w:t>
      </w:r>
      <w:r w:rsidRPr="00F200E7">
        <w:t>of agricultural workers by age group, Guatemala, 2006</w:t>
      </w:r>
    </w:p>
    <w:p w:rsidR="00827790" w:rsidRPr="00F200E7" w:rsidRDefault="00827790" w:rsidP="00827790">
      <w:pPr>
        <w:spacing w:after="0" w:line="240" w:lineRule="auto"/>
        <w:jc w:val="center"/>
        <w:rPr>
          <w:rFonts w:ascii="Book Antiqua" w:hAnsi="Book Antiqua"/>
          <w:b/>
          <w:lang w:val="en-GB"/>
        </w:rPr>
      </w:pPr>
    </w:p>
    <w:tbl>
      <w:tblPr>
        <w:tblW w:w="5360" w:type="dxa"/>
        <w:jc w:val="center"/>
        <w:tblInd w:w="55" w:type="dxa"/>
        <w:tblCellMar>
          <w:left w:w="70" w:type="dxa"/>
          <w:right w:w="70" w:type="dxa"/>
        </w:tblCellMar>
        <w:tblLook w:val="04A0"/>
      </w:tblPr>
      <w:tblGrid>
        <w:gridCol w:w="4160"/>
        <w:gridCol w:w="1200"/>
      </w:tblGrid>
      <w:tr w:rsidR="00827790" w:rsidRPr="00F200E7" w:rsidTr="00827790">
        <w:trPr>
          <w:trHeight w:val="300"/>
          <w:jc w:val="center"/>
        </w:trPr>
        <w:tc>
          <w:tcPr>
            <w:tcW w:w="4160" w:type="dxa"/>
            <w:tcBorders>
              <w:top w:val="single" w:sz="4" w:space="0" w:color="auto"/>
              <w:left w:val="nil"/>
              <w:bottom w:val="single" w:sz="4" w:space="0" w:color="auto"/>
              <w:right w:val="nil"/>
            </w:tcBorders>
            <w:shd w:val="clear" w:color="auto" w:fill="auto"/>
            <w:noWrap/>
            <w:vAlign w:val="center"/>
          </w:tcPr>
          <w:p w:rsidR="00827790" w:rsidRPr="00F200E7" w:rsidRDefault="00827790" w:rsidP="00827790">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Age range</w:t>
            </w:r>
          </w:p>
        </w:tc>
        <w:tc>
          <w:tcPr>
            <w:tcW w:w="1200" w:type="dxa"/>
            <w:tcBorders>
              <w:top w:val="single" w:sz="4" w:space="0" w:color="auto"/>
              <w:left w:val="nil"/>
              <w:bottom w:val="single" w:sz="4" w:space="0" w:color="auto"/>
              <w:right w:val="nil"/>
            </w:tcBorders>
            <w:shd w:val="clear" w:color="auto" w:fill="auto"/>
            <w:noWrap/>
            <w:vAlign w:val="center"/>
          </w:tcPr>
          <w:p w:rsidR="00827790" w:rsidRPr="00F200E7" w:rsidRDefault="00827790" w:rsidP="00827790">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w:t>
            </w:r>
            <w:r>
              <w:rPr>
                <w:rFonts w:ascii="Book Antiqua" w:eastAsia="Times New Roman" w:hAnsi="Book Antiqua" w:cs="Calibri"/>
                <w:b/>
                <w:bCs/>
                <w:color w:val="000000"/>
                <w:sz w:val="20"/>
                <w:szCs w:val="20"/>
                <w:lang w:val="en-GB" w:eastAsia="es-GT"/>
              </w:rPr>
              <w:t>age</w:t>
            </w:r>
          </w:p>
        </w:tc>
      </w:tr>
      <w:tr w:rsidR="00827790" w:rsidRPr="00F200E7" w:rsidTr="00827790">
        <w:trPr>
          <w:trHeight w:val="300"/>
          <w:jc w:val="center"/>
        </w:trPr>
        <w:tc>
          <w:tcPr>
            <w:tcW w:w="4160" w:type="dxa"/>
            <w:tcBorders>
              <w:top w:val="single" w:sz="4" w:space="0" w:color="auto"/>
              <w:left w:val="nil"/>
              <w:bottom w:val="nil"/>
              <w:right w:val="nil"/>
            </w:tcBorders>
            <w:shd w:val="clear" w:color="auto" w:fill="auto"/>
            <w:noWrap/>
            <w:vAlign w:val="bottom"/>
          </w:tcPr>
          <w:p w:rsidR="00827790" w:rsidRPr="00F200E7" w:rsidRDefault="00827790" w:rsidP="0082779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10 to 20</w:t>
            </w:r>
          </w:p>
        </w:tc>
        <w:tc>
          <w:tcPr>
            <w:tcW w:w="1200" w:type="dxa"/>
            <w:tcBorders>
              <w:top w:val="single" w:sz="4" w:space="0" w:color="auto"/>
              <w:left w:val="nil"/>
              <w:bottom w:val="nil"/>
              <w:right w:val="nil"/>
            </w:tcBorders>
            <w:shd w:val="clear" w:color="auto" w:fill="auto"/>
            <w:noWrap/>
            <w:vAlign w:val="bottom"/>
          </w:tcPr>
          <w:p w:rsidR="00827790" w:rsidRPr="00F200E7" w:rsidRDefault="00827790" w:rsidP="0082779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34</w:t>
            </w:r>
          </w:p>
        </w:tc>
      </w:tr>
      <w:tr w:rsidR="00827790" w:rsidRPr="00F200E7" w:rsidTr="00827790">
        <w:trPr>
          <w:trHeight w:val="300"/>
          <w:jc w:val="center"/>
        </w:trPr>
        <w:tc>
          <w:tcPr>
            <w:tcW w:w="4160" w:type="dxa"/>
            <w:tcBorders>
              <w:top w:val="nil"/>
              <w:left w:val="nil"/>
              <w:bottom w:val="nil"/>
              <w:right w:val="nil"/>
            </w:tcBorders>
            <w:shd w:val="clear" w:color="auto" w:fill="auto"/>
            <w:noWrap/>
            <w:vAlign w:val="bottom"/>
          </w:tcPr>
          <w:p w:rsidR="00827790" w:rsidRPr="00F200E7" w:rsidRDefault="00827790" w:rsidP="0082779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21 to 40</w:t>
            </w:r>
          </w:p>
        </w:tc>
        <w:tc>
          <w:tcPr>
            <w:tcW w:w="1200" w:type="dxa"/>
            <w:tcBorders>
              <w:top w:val="nil"/>
              <w:left w:val="nil"/>
              <w:bottom w:val="nil"/>
              <w:right w:val="nil"/>
            </w:tcBorders>
            <w:shd w:val="clear" w:color="auto" w:fill="auto"/>
            <w:noWrap/>
            <w:vAlign w:val="bottom"/>
          </w:tcPr>
          <w:p w:rsidR="00827790" w:rsidRPr="00F200E7" w:rsidRDefault="00827790" w:rsidP="0082779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32</w:t>
            </w:r>
          </w:p>
        </w:tc>
      </w:tr>
      <w:tr w:rsidR="00827790" w:rsidRPr="00F200E7" w:rsidTr="00827790">
        <w:trPr>
          <w:trHeight w:val="300"/>
          <w:jc w:val="center"/>
        </w:trPr>
        <w:tc>
          <w:tcPr>
            <w:tcW w:w="4160" w:type="dxa"/>
            <w:tcBorders>
              <w:top w:val="nil"/>
              <w:left w:val="nil"/>
              <w:right w:val="nil"/>
            </w:tcBorders>
            <w:shd w:val="clear" w:color="auto" w:fill="auto"/>
            <w:noWrap/>
            <w:vAlign w:val="bottom"/>
          </w:tcPr>
          <w:p w:rsidR="00827790" w:rsidRPr="00F200E7" w:rsidRDefault="00827790" w:rsidP="0082779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41 to 60</w:t>
            </w:r>
          </w:p>
        </w:tc>
        <w:tc>
          <w:tcPr>
            <w:tcW w:w="1200" w:type="dxa"/>
            <w:tcBorders>
              <w:top w:val="nil"/>
              <w:left w:val="nil"/>
              <w:right w:val="nil"/>
            </w:tcBorders>
            <w:shd w:val="clear" w:color="auto" w:fill="auto"/>
            <w:noWrap/>
            <w:vAlign w:val="bottom"/>
          </w:tcPr>
          <w:p w:rsidR="00827790" w:rsidRPr="00F200E7" w:rsidRDefault="00827790" w:rsidP="0082779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23</w:t>
            </w:r>
          </w:p>
        </w:tc>
      </w:tr>
      <w:tr w:rsidR="00827790" w:rsidRPr="00F200E7" w:rsidTr="00827790">
        <w:trPr>
          <w:trHeight w:val="300"/>
          <w:jc w:val="center"/>
        </w:trPr>
        <w:tc>
          <w:tcPr>
            <w:tcW w:w="4160" w:type="dxa"/>
            <w:tcBorders>
              <w:top w:val="nil"/>
              <w:left w:val="nil"/>
              <w:bottom w:val="single" w:sz="4" w:space="0" w:color="auto"/>
              <w:right w:val="nil"/>
            </w:tcBorders>
            <w:shd w:val="clear" w:color="auto" w:fill="auto"/>
            <w:noWrap/>
            <w:vAlign w:val="bottom"/>
          </w:tcPr>
          <w:p w:rsidR="00827790" w:rsidRPr="00F200E7" w:rsidRDefault="00827790" w:rsidP="0082779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61 or more</w:t>
            </w:r>
          </w:p>
        </w:tc>
        <w:tc>
          <w:tcPr>
            <w:tcW w:w="1200" w:type="dxa"/>
            <w:tcBorders>
              <w:top w:val="nil"/>
              <w:left w:val="nil"/>
              <w:bottom w:val="single" w:sz="4" w:space="0" w:color="auto"/>
              <w:right w:val="nil"/>
            </w:tcBorders>
            <w:shd w:val="clear" w:color="auto" w:fill="auto"/>
            <w:noWrap/>
            <w:vAlign w:val="bottom"/>
          </w:tcPr>
          <w:p w:rsidR="00827790" w:rsidRPr="00F200E7" w:rsidRDefault="00827790" w:rsidP="0082779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11</w:t>
            </w:r>
          </w:p>
        </w:tc>
      </w:tr>
    </w:tbl>
    <w:p w:rsidR="00827790" w:rsidRPr="00F200E7" w:rsidRDefault="00827790" w:rsidP="00827790">
      <w:pPr>
        <w:pStyle w:val="NoSpacing"/>
        <w:jc w:val="both"/>
        <w:rPr>
          <w:rFonts w:ascii="Book Antiqua" w:hAnsi="Book Antiqua"/>
          <w:lang w:val="en-GB"/>
        </w:rPr>
      </w:pPr>
    </w:p>
    <w:p w:rsidR="00827790" w:rsidRPr="00F200E7" w:rsidRDefault="00827790" w:rsidP="00827790">
      <w:pPr>
        <w:pStyle w:val="NoSpacing"/>
        <w:ind w:firstLine="720"/>
        <w:jc w:val="both"/>
        <w:rPr>
          <w:rFonts w:ascii="Book Antiqua" w:hAnsi="Book Antiqua"/>
          <w:sz w:val="18"/>
          <w:lang w:val="en-GB"/>
        </w:rPr>
      </w:pPr>
      <w:r w:rsidRPr="00F200E7">
        <w:rPr>
          <w:rFonts w:ascii="Book Antiqua" w:hAnsi="Book Antiqua"/>
          <w:sz w:val="18"/>
          <w:lang w:val="en-GB"/>
        </w:rPr>
        <w:t>Source: Authors’ calculation from ENCOVI 2006 data.</w:t>
      </w:r>
    </w:p>
    <w:p w:rsidR="00827790" w:rsidRPr="00F200E7" w:rsidRDefault="00827790" w:rsidP="00D12065">
      <w:pPr>
        <w:pStyle w:val="NoSpacing"/>
        <w:jc w:val="both"/>
        <w:rPr>
          <w:rFonts w:ascii="Book Antiqua" w:hAnsi="Book Antiqua"/>
          <w:lang w:val="en-GB"/>
        </w:rPr>
      </w:pPr>
    </w:p>
    <w:p w:rsidR="005A2133" w:rsidRPr="00F200E7" w:rsidRDefault="00C05721" w:rsidP="005A2133">
      <w:pPr>
        <w:pStyle w:val="NoSpacing"/>
        <w:jc w:val="both"/>
        <w:rPr>
          <w:rFonts w:ascii="Book Antiqua" w:hAnsi="Book Antiqua"/>
          <w:lang w:val="en-GB"/>
        </w:rPr>
      </w:pPr>
      <w:r w:rsidRPr="00F200E7">
        <w:rPr>
          <w:rFonts w:ascii="Book Antiqua" w:hAnsi="Book Antiqua"/>
          <w:lang w:val="en-GB"/>
        </w:rPr>
        <w:t>ENCOVI 2006 reported that</w:t>
      </w:r>
      <w:r w:rsidR="003A542F" w:rsidRPr="00F200E7">
        <w:rPr>
          <w:rFonts w:ascii="Book Antiqua" w:hAnsi="Book Antiqua"/>
          <w:lang w:val="en-GB"/>
        </w:rPr>
        <w:t xml:space="preserve"> there </w:t>
      </w:r>
      <w:r w:rsidR="0080233C">
        <w:rPr>
          <w:rFonts w:ascii="Book Antiqua" w:hAnsi="Book Antiqua"/>
          <w:lang w:val="en-GB"/>
        </w:rPr>
        <w:t>were</w:t>
      </w:r>
      <w:r w:rsidRPr="00F200E7">
        <w:rPr>
          <w:rFonts w:ascii="Book Antiqua" w:hAnsi="Book Antiqua"/>
          <w:lang w:val="en-GB"/>
        </w:rPr>
        <w:t xml:space="preserve"> 996,361 boys, girls</w:t>
      </w:r>
      <w:r w:rsidR="00955E75" w:rsidRPr="00F200E7">
        <w:rPr>
          <w:rFonts w:ascii="Book Antiqua" w:hAnsi="Book Antiqua"/>
          <w:lang w:val="en-GB"/>
        </w:rPr>
        <w:t>,</w:t>
      </w:r>
      <w:r w:rsidRPr="00F200E7">
        <w:rPr>
          <w:rFonts w:ascii="Book Antiqua" w:hAnsi="Book Antiqua"/>
          <w:lang w:val="en-GB"/>
        </w:rPr>
        <w:t xml:space="preserve"> and </w:t>
      </w:r>
      <w:r w:rsidR="005A2133" w:rsidRPr="00F200E7">
        <w:rPr>
          <w:rFonts w:ascii="Book Antiqua" w:hAnsi="Book Antiqua"/>
          <w:lang w:val="en-GB"/>
        </w:rPr>
        <w:t>teenagers</w:t>
      </w:r>
      <w:r w:rsidRPr="00F200E7">
        <w:rPr>
          <w:rFonts w:ascii="Book Antiqua" w:hAnsi="Book Antiqua"/>
          <w:lang w:val="en-GB"/>
        </w:rPr>
        <w:t xml:space="preserve"> (</w:t>
      </w:r>
      <w:proofErr w:type="spellStart"/>
      <w:r w:rsidRPr="00F200E7">
        <w:rPr>
          <w:rFonts w:ascii="Book Antiqua" w:hAnsi="Book Antiqua"/>
          <w:lang w:val="en-GB"/>
        </w:rPr>
        <w:t>niños</w:t>
      </w:r>
      <w:proofErr w:type="spellEnd"/>
      <w:r w:rsidRPr="00F200E7">
        <w:rPr>
          <w:rFonts w:ascii="Book Antiqua" w:hAnsi="Book Antiqua"/>
          <w:lang w:val="en-GB"/>
        </w:rPr>
        <w:t xml:space="preserve">, </w:t>
      </w:r>
      <w:proofErr w:type="spellStart"/>
      <w:r w:rsidRPr="00F200E7">
        <w:rPr>
          <w:rFonts w:ascii="Book Antiqua" w:hAnsi="Book Antiqua"/>
          <w:lang w:val="en-GB"/>
        </w:rPr>
        <w:t>niñas</w:t>
      </w:r>
      <w:proofErr w:type="spellEnd"/>
      <w:r w:rsidR="003573DF">
        <w:rPr>
          <w:rFonts w:ascii="Book Antiqua" w:hAnsi="Book Antiqua"/>
          <w:lang w:val="en-GB"/>
        </w:rPr>
        <w:t>,</w:t>
      </w:r>
      <w:r w:rsidRPr="00F200E7">
        <w:rPr>
          <w:rFonts w:ascii="Book Antiqua" w:hAnsi="Book Antiqua"/>
          <w:lang w:val="en-GB"/>
        </w:rPr>
        <w:t xml:space="preserve"> y </w:t>
      </w:r>
      <w:proofErr w:type="spellStart"/>
      <w:r w:rsidRPr="00F200E7">
        <w:rPr>
          <w:rFonts w:ascii="Book Antiqua" w:hAnsi="Book Antiqua"/>
          <w:lang w:val="en-GB"/>
        </w:rPr>
        <w:t>adolescentes</w:t>
      </w:r>
      <w:proofErr w:type="spellEnd"/>
      <w:r w:rsidRPr="00F200E7">
        <w:rPr>
          <w:rFonts w:ascii="Book Antiqua" w:hAnsi="Book Antiqua"/>
          <w:lang w:val="en-GB"/>
        </w:rPr>
        <w:t xml:space="preserve">, </w:t>
      </w:r>
      <w:r w:rsidR="00955E75" w:rsidRPr="00F200E7">
        <w:rPr>
          <w:rFonts w:ascii="Book Antiqua" w:hAnsi="Book Antiqua"/>
          <w:lang w:val="en-GB"/>
        </w:rPr>
        <w:t xml:space="preserve">or </w:t>
      </w:r>
      <w:r w:rsidRPr="00F200E7">
        <w:rPr>
          <w:rFonts w:ascii="Book Antiqua" w:hAnsi="Book Antiqua"/>
          <w:lang w:val="en-GB"/>
        </w:rPr>
        <w:t>NNA) work</w:t>
      </w:r>
      <w:r w:rsidR="00955E75" w:rsidRPr="00F200E7">
        <w:rPr>
          <w:rFonts w:ascii="Book Antiqua" w:hAnsi="Book Antiqua"/>
          <w:lang w:val="en-GB"/>
        </w:rPr>
        <w:t>ing</w:t>
      </w:r>
      <w:r w:rsidRPr="00F200E7">
        <w:rPr>
          <w:rFonts w:ascii="Book Antiqua" w:hAnsi="Book Antiqua"/>
          <w:lang w:val="en-GB"/>
        </w:rPr>
        <w:t xml:space="preserve">: </w:t>
      </w:r>
      <w:r w:rsidR="003573DF">
        <w:rPr>
          <w:rFonts w:ascii="Book Antiqua" w:hAnsi="Book Antiqua"/>
          <w:lang w:val="en-GB"/>
        </w:rPr>
        <w:t>T</w:t>
      </w:r>
      <w:r w:rsidRPr="00F200E7">
        <w:rPr>
          <w:rFonts w:ascii="Book Antiqua" w:hAnsi="Book Antiqua"/>
          <w:lang w:val="en-GB"/>
        </w:rPr>
        <w:t xml:space="preserve">his </w:t>
      </w:r>
      <w:r w:rsidR="0080233C">
        <w:rPr>
          <w:rFonts w:ascii="Book Antiqua" w:hAnsi="Book Antiqua"/>
          <w:lang w:val="en-GB"/>
        </w:rPr>
        <w:t>wa</w:t>
      </w:r>
      <w:r w:rsidRPr="00F200E7">
        <w:rPr>
          <w:rFonts w:ascii="Book Antiqua" w:hAnsi="Book Antiqua"/>
          <w:lang w:val="en-GB"/>
        </w:rPr>
        <w:t>s approximately 21% of the total</w:t>
      </w:r>
      <w:r w:rsidR="005A2133" w:rsidRPr="00F200E7">
        <w:rPr>
          <w:rFonts w:ascii="Book Antiqua" w:hAnsi="Book Antiqua"/>
          <w:lang w:val="en-GB"/>
        </w:rPr>
        <w:t xml:space="preserve"> population age</w:t>
      </w:r>
      <w:r w:rsidR="00AE174D">
        <w:rPr>
          <w:rFonts w:ascii="Book Antiqua" w:hAnsi="Book Antiqua"/>
          <w:lang w:val="en-GB"/>
        </w:rPr>
        <w:t>d</w:t>
      </w:r>
      <w:r w:rsidR="005A2133" w:rsidRPr="00F200E7">
        <w:rPr>
          <w:rFonts w:ascii="Book Antiqua" w:hAnsi="Book Antiqua"/>
          <w:lang w:val="en-GB"/>
        </w:rPr>
        <w:t xml:space="preserve"> 5 to 18. Of the NNA workers 67% live</w:t>
      </w:r>
      <w:r w:rsidR="0080233C">
        <w:rPr>
          <w:rFonts w:ascii="Book Antiqua" w:hAnsi="Book Antiqua"/>
          <w:lang w:val="en-GB"/>
        </w:rPr>
        <w:t>d</w:t>
      </w:r>
      <w:r w:rsidR="005A2133" w:rsidRPr="00F200E7">
        <w:rPr>
          <w:rFonts w:ascii="Book Antiqua" w:hAnsi="Book Antiqua"/>
          <w:lang w:val="en-GB"/>
        </w:rPr>
        <w:t xml:space="preserve"> in rural areas and 55% </w:t>
      </w:r>
      <w:r w:rsidR="0080233C">
        <w:rPr>
          <w:rFonts w:ascii="Book Antiqua" w:hAnsi="Book Antiqua"/>
          <w:lang w:val="en-GB"/>
        </w:rPr>
        <w:t>were</w:t>
      </w:r>
      <w:r w:rsidR="00AE174D">
        <w:rPr>
          <w:rFonts w:ascii="Book Antiqua" w:hAnsi="Book Antiqua"/>
          <w:lang w:val="en-GB"/>
        </w:rPr>
        <w:t xml:space="preserve"> </w:t>
      </w:r>
      <w:r w:rsidR="005A2133" w:rsidRPr="00F200E7">
        <w:rPr>
          <w:rFonts w:ascii="Book Antiqua" w:hAnsi="Book Antiqua"/>
          <w:lang w:val="en-GB"/>
        </w:rPr>
        <w:t xml:space="preserve">occupied in agriculture and related activities. </w:t>
      </w:r>
      <w:r w:rsidR="00955E75" w:rsidRPr="00F200E7">
        <w:rPr>
          <w:rFonts w:ascii="Book Antiqua" w:hAnsi="Book Antiqua"/>
          <w:lang w:val="en-GB"/>
        </w:rPr>
        <w:t xml:space="preserve">Some </w:t>
      </w:r>
      <w:r w:rsidR="005A2133" w:rsidRPr="00F200E7">
        <w:rPr>
          <w:rFonts w:ascii="Book Antiqua" w:hAnsi="Book Antiqua"/>
          <w:lang w:val="en-GB"/>
        </w:rPr>
        <w:t>6</w:t>
      </w:r>
      <w:r w:rsidR="000464E7" w:rsidRPr="00F200E7">
        <w:rPr>
          <w:rFonts w:ascii="Book Antiqua" w:hAnsi="Book Antiqua"/>
          <w:lang w:val="en-GB"/>
        </w:rPr>
        <w:t>4</w:t>
      </w:r>
      <w:r w:rsidR="005A2133" w:rsidRPr="00F200E7">
        <w:rPr>
          <w:rFonts w:ascii="Book Antiqua" w:hAnsi="Book Antiqua"/>
          <w:lang w:val="en-GB"/>
        </w:rPr>
        <w:t xml:space="preserve">% of </w:t>
      </w:r>
      <w:r w:rsidR="000464E7" w:rsidRPr="00F200E7">
        <w:rPr>
          <w:rFonts w:ascii="Book Antiqua" w:hAnsi="Book Antiqua"/>
          <w:lang w:val="en-GB"/>
        </w:rPr>
        <w:t>NNAs</w:t>
      </w:r>
      <w:r w:rsidR="005A2133" w:rsidRPr="00F200E7">
        <w:rPr>
          <w:rFonts w:ascii="Book Antiqua" w:hAnsi="Book Antiqua"/>
          <w:lang w:val="en-GB"/>
        </w:rPr>
        <w:t xml:space="preserve"> employed in agriculture </w:t>
      </w:r>
      <w:r w:rsidR="0080233C">
        <w:rPr>
          <w:rFonts w:ascii="Book Antiqua" w:hAnsi="Book Antiqua"/>
          <w:lang w:val="en-GB"/>
        </w:rPr>
        <w:t>were</w:t>
      </w:r>
      <w:r w:rsidR="00AE174D">
        <w:rPr>
          <w:rFonts w:ascii="Book Antiqua" w:hAnsi="Book Antiqua"/>
          <w:lang w:val="en-GB"/>
        </w:rPr>
        <w:t xml:space="preserve"> </w:t>
      </w:r>
      <w:r w:rsidR="005A2133" w:rsidRPr="00F200E7">
        <w:rPr>
          <w:rFonts w:ascii="Book Antiqua" w:hAnsi="Book Antiqua"/>
          <w:lang w:val="en-GB"/>
        </w:rPr>
        <w:t>unpaid family worker</w:t>
      </w:r>
      <w:r w:rsidR="00955E75" w:rsidRPr="00F200E7">
        <w:rPr>
          <w:rFonts w:ascii="Book Antiqua" w:hAnsi="Book Antiqua"/>
          <w:lang w:val="en-GB"/>
        </w:rPr>
        <w:t>s</w:t>
      </w:r>
      <w:r w:rsidR="005A2133" w:rsidRPr="00F200E7">
        <w:rPr>
          <w:rFonts w:ascii="Book Antiqua" w:hAnsi="Book Antiqua"/>
          <w:lang w:val="en-GB"/>
        </w:rPr>
        <w:t xml:space="preserve">. ENCOVI 2006 </w:t>
      </w:r>
      <w:r w:rsidR="00890383" w:rsidRPr="00F200E7">
        <w:rPr>
          <w:rFonts w:ascii="Book Antiqua" w:hAnsi="Book Antiqua"/>
          <w:lang w:val="en-GB"/>
        </w:rPr>
        <w:t xml:space="preserve">also reports </w:t>
      </w:r>
      <w:r w:rsidR="005A2133" w:rsidRPr="00F200E7">
        <w:rPr>
          <w:rFonts w:ascii="Book Antiqua" w:hAnsi="Book Antiqua"/>
          <w:lang w:val="en-GB"/>
        </w:rPr>
        <w:t xml:space="preserve">that 11% </w:t>
      </w:r>
      <w:r w:rsidR="000464E7" w:rsidRPr="00F200E7">
        <w:rPr>
          <w:rFonts w:ascii="Book Antiqua" w:hAnsi="Book Antiqua"/>
          <w:lang w:val="en-GB"/>
        </w:rPr>
        <w:t xml:space="preserve">of NNAs </w:t>
      </w:r>
      <w:r w:rsidR="0080233C">
        <w:rPr>
          <w:rFonts w:ascii="Book Antiqua" w:hAnsi="Book Antiqua"/>
          <w:lang w:val="en-GB"/>
        </w:rPr>
        <w:t>were</w:t>
      </w:r>
      <w:r w:rsidR="00AE174D">
        <w:rPr>
          <w:rFonts w:ascii="Book Antiqua" w:hAnsi="Book Antiqua"/>
          <w:lang w:val="en-GB"/>
        </w:rPr>
        <w:t xml:space="preserve"> </w:t>
      </w:r>
      <w:r w:rsidR="005A2133" w:rsidRPr="00F200E7">
        <w:rPr>
          <w:rFonts w:ascii="Book Antiqua" w:hAnsi="Book Antiqua"/>
          <w:lang w:val="en-GB"/>
        </w:rPr>
        <w:t>illiterate.</w:t>
      </w:r>
    </w:p>
    <w:p w:rsidR="005A2133" w:rsidRPr="00F200E7" w:rsidRDefault="005A2133" w:rsidP="005A2133">
      <w:pPr>
        <w:pStyle w:val="NoSpacing"/>
        <w:jc w:val="both"/>
        <w:rPr>
          <w:rFonts w:ascii="Book Antiqua" w:hAnsi="Book Antiqua"/>
          <w:lang w:val="en-GB"/>
        </w:rPr>
      </w:pPr>
    </w:p>
    <w:p w:rsidR="00673E84" w:rsidRPr="00F200E7" w:rsidRDefault="00E41D06" w:rsidP="00673E84">
      <w:pPr>
        <w:pStyle w:val="NoSpacing"/>
        <w:jc w:val="both"/>
        <w:rPr>
          <w:rFonts w:ascii="Book Antiqua" w:hAnsi="Book Antiqua"/>
          <w:lang w:val="en-GB"/>
        </w:rPr>
      </w:pPr>
      <w:r w:rsidRPr="00F200E7">
        <w:rPr>
          <w:rFonts w:ascii="Book Antiqua" w:hAnsi="Book Antiqua"/>
          <w:lang w:val="en-GB"/>
        </w:rPr>
        <w:t xml:space="preserve">Guatemala is a country with important socio-economic difficulties, as various </w:t>
      </w:r>
      <w:r w:rsidR="005A2133" w:rsidRPr="00F200E7">
        <w:rPr>
          <w:rFonts w:ascii="Book Antiqua" w:hAnsi="Book Antiqua"/>
          <w:lang w:val="en-GB"/>
        </w:rPr>
        <w:t xml:space="preserve">indicators, such as the Human Development Index (HDI), </w:t>
      </w:r>
      <w:r w:rsidRPr="00F200E7">
        <w:rPr>
          <w:rFonts w:ascii="Book Antiqua" w:hAnsi="Book Antiqua"/>
          <w:lang w:val="en-GB"/>
        </w:rPr>
        <w:t>report</w:t>
      </w:r>
      <w:r w:rsidR="005A2133" w:rsidRPr="00F200E7">
        <w:rPr>
          <w:rFonts w:ascii="Book Antiqua" w:hAnsi="Book Antiqua"/>
          <w:lang w:val="en-GB"/>
        </w:rPr>
        <w:t xml:space="preserve">. One reason for this is the large number of people living in poverty. Since agriculture is the main source of employment generation and </w:t>
      </w:r>
      <w:r w:rsidRPr="00F200E7">
        <w:rPr>
          <w:rFonts w:ascii="Book Antiqua" w:hAnsi="Book Antiqua"/>
          <w:lang w:val="en-GB"/>
        </w:rPr>
        <w:t xml:space="preserve">plays </w:t>
      </w:r>
      <w:r w:rsidR="005A2133" w:rsidRPr="00F200E7">
        <w:rPr>
          <w:rFonts w:ascii="Book Antiqua" w:hAnsi="Book Antiqua"/>
          <w:lang w:val="en-GB"/>
        </w:rPr>
        <w:t xml:space="preserve">an important </w:t>
      </w:r>
      <w:r w:rsidRPr="00F200E7">
        <w:rPr>
          <w:rFonts w:ascii="Book Antiqua" w:hAnsi="Book Antiqua"/>
          <w:lang w:val="en-GB"/>
        </w:rPr>
        <w:t>role</w:t>
      </w:r>
      <w:r w:rsidR="005A2133" w:rsidRPr="00F200E7">
        <w:rPr>
          <w:rFonts w:ascii="Book Antiqua" w:hAnsi="Book Antiqua"/>
          <w:lang w:val="en-GB"/>
        </w:rPr>
        <w:t xml:space="preserve"> in the country's economic activity, it is important to k</w:t>
      </w:r>
      <w:r w:rsidR="003A542F" w:rsidRPr="00F200E7">
        <w:rPr>
          <w:rFonts w:ascii="Book Antiqua" w:hAnsi="Book Antiqua"/>
          <w:lang w:val="en-GB"/>
        </w:rPr>
        <w:t>now the conditions of poverty</w:t>
      </w:r>
      <w:r w:rsidR="00AE174D">
        <w:rPr>
          <w:rFonts w:ascii="Book Antiqua" w:hAnsi="Book Antiqua"/>
          <w:lang w:val="en-GB"/>
        </w:rPr>
        <w:t xml:space="preserve"> </w:t>
      </w:r>
      <w:r w:rsidRPr="00F200E7">
        <w:rPr>
          <w:rFonts w:ascii="Book Antiqua" w:hAnsi="Book Antiqua"/>
          <w:lang w:val="en-GB"/>
        </w:rPr>
        <w:t>that agricultural</w:t>
      </w:r>
      <w:r w:rsidR="005A2133" w:rsidRPr="00F200E7">
        <w:rPr>
          <w:rFonts w:ascii="Book Antiqua" w:hAnsi="Book Antiqua"/>
          <w:lang w:val="en-GB"/>
        </w:rPr>
        <w:t xml:space="preserve"> workers endure.</w:t>
      </w:r>
    </w:p>
    <w:p w:rsidR="00861F28" w:rsidRPr="00F200E7" w:rsidRDefault="00861F28" w:rsidP="00D12065">
      <w:pPr>
        <w:pStyle w:val="NoSpacing"/>
        <w:jc w:val="both"/>
        <w:rPr>
          <w:rFonts w:ascii="Book Antiqua" w:hAnsi="Book Antiqua"/>
          <w:lang w:val="en-GB"/>
        </w:rPr>
      </w:pPr>
    </w:p>
    <w:p w:rsidR="00430848" w:rsidRPr="00F200E7" w:rsidRDefault="00430848" w:rsidP="00D12065">
      <w:pPr>
        <w:pStyle w:val="NoSpacing"/>
        <w:jc w:val="both"/>
        <w:rPr>
          <w:rFonts w:ascii="Book Antiqua" w:hAnsi="Book Antiqua"/>
          <w:lang w:val="en-GB"/>
        </w:rPr>
      </w:pPr>
    </w:p>
    <w:p w:rsidR="00824D54" w:rsidRDefault="00775E7E" w:rsidP="00B831AB">
      <w:pPr>
        <w:pStyle w:val="Tabletitle"/>
      </w:pPr>
      <w:r w:rsidRPr="00F200E7">
        <w:t>Table 6.5</w:t>
      </w:r>
      <w:r>
        <w:t>:</w:t>
      </w:r>
      <w:r w:rsidRPr="00F200E7">
        <w:tab/>
      </w:r>
      <w:r w:rsidR="004A1F6A" w:rsidRPr="00F200E7">
        <w:t>Percent</w:t>
      </w:r>
      <w:r w:rsidR="004A1F6A">
        <w:t>age distribution</w:t>
      </w:r>
      <w:r w:rsidR="004262CD" w:rsidRPr="00F200E7">
        <w:t>of agricultural workers by level of poverty</w:t>
      </w:r>
      <w:r w:rsidR="00E41D06" w:rsidRPr="00F200E7">
        <w:t>,</w:t>
      </w:r>
      <w:r w:rsidR="00E760D5" w:rsidRPr="00B831AB">
        <w:rPr>
          <w:rStyle w:val="FootnoteReference"/>
        </w:rPr>
        <w:footnoteReference w:id="4"/>
      </w:r>
      <w:r w:rsidR="00E41D06" w:rsidRPr="00F200E7">
        <w:t xml:space="preserve"> Guatemala, </w:t>
      </w:r>
      <w:r w:rsidR="004262CD" w:rsidRPr="00F200E7">
        <w:t>2006</w:t>
      </w:r>
    </w:p>
    <w:tbl>
      <w:tblPr>
        <w:tblW w:w="5360" w:type="dxa"/>
        <w:jc w:val="center"/>
        <w:tblInd w:w="55" w:type="dxa"/>
        <w:tblCellMar>
          <w:left w:w="70" w:type="dxa"/>
          <w:right w:w="70" w:type="dxa"/>
        </w:tblCellMar>
        <w:tblLook w:val="04A0"/>
      </w:tblPr>
      <w:tblGrid>
        <w:gridCol w:w="4160"/>
        <w:gridCol w:w="1200"/>
      </w:tblGrid>
      <w:tr w:rsidR="004262CD" w:rsidRPr="00F200E7" w:rsidTr="004262CD">
        <w:trPr>
          <w:trHeight w:val="300"/>
          <w:jc w:val="center"/>
        </w:trPr>
        <w:tc>
          <w:tcPr>
            <w:tcW w:w="4160" w:type="dxa"/>
            <w:tcBorders>
              <w:top w:val="single" w:sz="4" w:space="0" w:color="auto"/>
              <w:left w:val="nil"/>
              <w:bottom w:val="single" w:sz="4" w:space="0" w:color="auto"/>
              <w:right w:val="nil"/>
            </w:tcBorders>
            <w:shd w:val="clear" w:color="auto" w:fill="auto"/>
            <w:noWrap/>
            <w:vAlign w:val="center"/>
          </w:tcPr>
          <w:p w:rsidR="004262CD" w:rsidRPr="00F200E7" w:rsidRDefault="004262CD" w:rsidP="004262CD">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Level of poverty</w:t>
            </w:r>
          </w:p>
        </w:tc>
        <w:tc>
          <w:tcPr>
            <w:tcW w:w="1200" w:type="dxa"/>
            <w:tcBorders>
              <w:top w:val="single" w:sz="4" w:space="0" w:color="auto"/>
              <w:left w:val="nil"/>
              <w:bottom w:val="single" w:sz="4" w:space="0" w:color="auto"/>
              <w:right w:val="nil"/>
            </w:tcBorders>
            <w:shd w:val="clear" w:color="auto" w:fill="auto"/>
            <w:noWrap/>
            <w:vAlign w:val="center"/>
          </w:tcPr>
          <w:p w:rsidR="004262CD" w:rsidRPr="00F200E7" w:rsidRDefault="004262CD" w:rsidP="004262CD">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Percentage</w:t>
            </w:r>
          </w:p>
        </w:tc>
      </w:tr>
      <w:tr w:rsidR="004262CD" w:rsidRPr="00F200E7" w:rsidTr="004262CD">
        <w:trPr>
          <w:trHeight w:val="300"/>
          <w:jc w:val="center"/>
        </w:trPr>
        <w:tc>
          <w:tcPr>
            <w:tcW w:w="4160" w:type="dxa"/>
            <w:tcBorders>
              <w:top w:val="single" w:sz="4" w:space="0" w:color="auto"/>
              <w:left w:val="nil"/>
              <w:bottom w:val="nil"/>
              <w:right w:val="nil"/>
            </w:tcBorders>
            <w:shd w:val="clear" w:color="auto" w:fill="auto"/>
            <w:noWrap/>
            <w:vAlign w:val="bottom"/>
          </w:tcPr>
          <w:p w:rsidR="004262CD" w:rsidRPr="00F200E7" w:rsidRDefault="00744913" w:rsidP="00744913">
            <w:pPr>
              <w:pStyle w:val="NoSpacing"/>
              <w:jc w:val="both"/>
              <w:rPr>
                <w:rFonts w:ascii="Book Antiqua" w:eastAsia="Times New Roman" w:hAnsi="Book Antiqua" w:cs="Calibri"/>
                <w:color w:val="000000"/>
                <w:sz w:val="20"/>
                <w:szCs w:val="20"/>
                <w:lang w:val="en-GB" w:eastAsia="es-GT"/>
              </w:rPr>
            </w:pPr>
            <w:r>
              <w:rPr>
                <w:rFonts w:ascii="Book Antiqua" w:eastAsia="Times New Roman" w:hAnsi="Book Antiqua" w:cs="Calibri"/>
                <w:color w:val="000000"/>
                <w:sz w:val="20"/>
                <w:szCs w:val="20"/>
                <w:lang w:val="en-GB" w:eastAsia="es-GT"/>
              </w:rPr>
              <w:t>Extreme</w:t>
            </w:r>
            <w:r w:rsidR="00AE174D">
              <w:rPr>
                <w:rFonts w:ascii="Book Antiqua" w:eastAsia="Times New Roman" w:hAnsi="Book Antiqua" w:cs="Calibri"/>
                <w:color w:val="000000"/>
                <w:sz w:val="20"/>
                <w:szCs w:val="20"/>
                <w:lang w:val="en-GB" w:eastAsia="es-GT"/>
              </w:rPr>
              <w:t xml:space="preserve"> </w:t>
            </w:r>
            <w:r w:rsidR="004262CD" w:rsidRPr="00F200E7">
              <w:rPr>
                <w:rFonts w:ascii="Book Antiqua" w:eastAsia="Times New Roman" w:hAnsi="Book Antiqua" w:cs="Calibri"/>
                <w:color w:val="000000"/>
                <w:sz w:val="20"/>
                <w:szCs w:val="20"/>
                <w:lang w:val="en-GB" w:eastAsia="es-GT"/>
              </w:rPr>
              <w:t>poverty</w:t>
            </w:r>
          </w:p>
        </w:tc>
        <w:tc>
          <w:tcPr>
            <w:tcW w:w="1200" w:type="dxa"/>
            <w:tcBorders>
              <w:top w:val="single" w:sz="4" w:space="0" w:color="auto"/>
              <w:left w:val="nil"/>
              <w:bottom w:val="nil"/>
              <w:right w:val="nil"/>
            </w:tcBorders>
            <w:shd w:val="clear" w:color="auto" w:fill="auto"/>
            <w:noWrap/>
            <w:vAlign w:val="bottom"/>
          </w:tcPr>
          <w:p w:rsidR="004262CD" w:rsidRPr="00F200E7" w:rsidRDefault="004262CD" w:rsidP="00E41D06">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26</w:t>
            </w:r>
          </w:p>
        </w:tc>
      </w:tr>
      <w:tr w:rsidR="004262CD" w:rsidRPr="00F200E7" w:rsidTr="004262CD">
        <w:trPr>
          <w:trHeight w:val="300"/>
          <w:jc w:val="center"/>
        </w:trPr>
        <w:tc>
          <w:tcPr>
            <w:tcW w:w="4160" w:type="dxa"/>
            <w:tcBorders>
              <w:top w:val="nil"/>
              <w:left w:val="nil"/>
              <w:right w:val="nil"/>
            </w:tcBorders>
            <w:shd w:val="clear" w:color="auto" w:fill="auto"/>
            <w:noWrap/>
            <w:vAlign w:val="bottom"/>
          </w:tcPr>
          <w:p w:rsidR="004262CD" w:rsidRPr="00F200E7" w:rsidRDefault="000464E7" w:rsidP="004262CD">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P</w:t>
            </w:r>
            <w:r w:rsidR="004262CD" w:rsidRPr="00F200E7">
              <w:rPr>
                <w:rFonts w:ascii="Book Antiqua" w:eastAsia="Times New Roman" w:hAnsi="Book Antiqua" w:cs="Calibri"/>
                <w:color w:val="000000"/>
                <w:sz w:val="20"/>
                <w:szCs w:val="20"/>
                <w:lang w:val="en-GB" w:eastAsia="es-GT"/>
              </w:rPr>
              <w:t>overty</w:t>
            </w:r>
          </w:p>
        </w:tc>
        <w:tc>
          <w:tcPr>
            <w:tcW w:w="1200" w:type="dxa"/>
            <w:tcBorders>
              <w:top w:val="nil"/>
              <w:left w:val="nil"/>
              <w:right w:val="nil"/>
            </w:tcBorders>
            <w:shd w:val="clear" w:color="auto" w:fill="auto"/>
            <w:noWrap/>
            <w:vAlign w:val="bottom"/>
          </w:tcPr>
          <w:p w:rsidR="004262CD" w:rsidRPr="00F200E7" w:rsidRDefault="004262CD" w:rsidP="00E41D06">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49</w:t>
            </w:r>
          </w:p>
        </w:tc>
      </w:tr>
      <w:tr w:rsidR="004262CD" w:rsidRPr="00F200E7" w:rsidTr="004262CD">
        <w:trPr>
          <w:trHeight w:val="300"/>
          <w:jc w:val="center"/>
        </w:trPr>
        <w:tc>
          <w:tcPr>
            <w:tcW w:w="4160" w:type="dxa"/>
            <w:tcBorders>
              <w:top w:val="nil"/>
              <w:left w:val="nil"/>
              <w:bottom w:val="single" w:sz="4" w:space="0" w:color="auto"/>
              <w:right w:val="nil"/>
            </w:tcBorders>
            <w:shd w:val="clear" w:color="auto" w:fill="auto"/>
            <w:noWrap/>
            <w:vAlign w:val="bottom"/>
          </w:tcPr>
          <w:p w:rsidR="004262CD" w:rsidRPr="00F200E7" w:rsidRDefault="004262CD" w:rsidP="004262CD">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Above the poverty line</w:t>
            </w:r>
          </w:p>
        </w:tc>
        <w:tc>
          <w:tcPr>
            <w:tcW w:w="1200" w:type="dxa"/>
            <w:tcBorders>
              <w:top w:val="nil"/>
              <w:left w:val="nil"/>
              <w:bottom w:val="single" w:sz="4" w:space="0" w:color="auto"/>
              <w:right w:val="nil"/>
            </w:tcBorders>
            <w:shd w:val="clear" w:color="auto" w:fill="auto"/>
            <w:noWrap/>
            <w:vAlign w:val="bottom"/>
          </w:tcPr>
          <w:p w:rsidR="004262CD" w:rsidRPr="00F200E7" w:rsidRDefault="004262CD" w:rsidP="00E41D06">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25</w:t>
            </w:r>
          </w:p>
        </w:tc>
      </w:tr>
    </w:tbl>
    <w:p w:rsidR="005F2F9F" w:rsidRPr="00F200E7" w:rsidRDefault="005F2F9F" w:rsidP="005F2F9F">
      <w:pPr>
        <w:pStyle w:val="NoSpacing"/>
        <w:ind w:firstLine="720"/>
        <w:jc w:val="both"/>
        <w:rPr>
          <w:rFonts w:ascii="Book Antiqua" w:hAnsi="Book Antiqua"/>
          <w:sz w:val="18"/>
          <w:lang w:val="en-GB"/>
        </w:rPr>
      </w:pPr>
    </w:p>
    <w:p w:rsidR="004262CD" w:rsidRPr="00F200E7" w:rsidRDefault="004262CD" w:rsidP="004262CD">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E41D06" w:rsidRPr="00F200E7">
        <w:rPr>
          <w:rFonts w:ascii="Book Antiqua" w:hAnsi="Book Antiqua"/>
          <w:sz w:val="18"/>
          <w:lang w:val="en-GB"/>
        </w:rPr>
        <w:t xml:space="preserve">from </w:t>
      </w:r>
      <w:r w:rsidRPr="00F200E7">
        <w:rPr>
          <w:rFonts w:ascii="Book Antiqua" w:hAnsi="Book Antiqua"/>
          <w:sz w:val="18"/>
          <w:lang w:val="en-GB"/>
        </w:rPr>
        <w:t>ENCOVI 2006 data.</w:t>
      </w:r>
    </w:p>
    <w:p w:rsidR="00EE4350" w:rsidRPr="00F200E7" w:rsidRDefault="00EE4350" w:rsidP="00D12065">
      <w:pPr>
        <w:pStyle w:val="NoSpacing"/>
        <w:jc w:val="both"/>
        <w:rPr>
          <w:rFonts w:ascii="Book Antiqua" w:hAnsi="Book Antiqua"/>
          <w:lang w:val="en-GB"/>
        </w:rPr>
      </w:pPr>
    </w:p>
    <w:p w:rsidR="00D12190" w:rsidRPr="00F200E7" w:rsidRDefault="004A1F6A" w:rsidP="00D12190">
      <w:pPr>
        <w:pStyle w:val="NoSpacing"/>
        <w:jc w:val="both"/>
        <w:rPr>
          <w:rFonts w:ascii="Book Antiqua" w:hAnsi="Book Antiqua"/>
          <w:lang w:val="en-GB"/>
        </w:rPr>
      </w:pPr>
      <w:r>
        <w:rPr>
          <w:rFonts w:ascii="Book Antiqua" w:hAnsi="Book Antiqua"/>
          <w:lang w:val="en-GB"/>
        </w:rPr>
        <w:t>As</w:t>
      </w:r>
      <w:r w:rsidR="00AE174D">
        <w:rPr>
          <w:rFonts w:ascii="Book Antiqua" w:hAnsi="Book Antiqua"/>
          <w:lang w:val="en-GB"/>
        </w:rPr>
        <w:t xml:space="preserve"> </w:t>
      </w:r>
      <w:r w:rsidR="000464E7" w:rsidRPr="00F200E7">
        <w:rPr>
          <w:rFonts w:ascii="Book Antiqua" w:hAnsi="Book Antiqua"/>
          <w:lang w:val="en-GB"/>
        </w:rPr>
        <w:t>table 6.5</w:t>
      </w:r>
      <w:r>
        <w:rPr>
          <w:rFonts w:ascii="Book Antiqua" w:hAnsi="Book Antiqua"/>
          <w:lang w:val="en-GB"/>
        </w:rPr>
        <w:t xml:space="preserve"> shows</w:t>
      </w:r>
      <w:r w:rsidR="004262CD" w:rsidRPr="00F200E7">
        <w:rPr>
          <w:rFonts w:ascii="Book Antiqua" w:hAnsi="Book Antiqua"/>
          <w:lang w:val="en-GB"/>
        </w:rPr>
        <w:t>, three of every four workers in the agricultural sector live in poverty, and one of every four live</w:t>
      </w:r>
      <w:r w:rsidR="00E41D06" w:rsidRPr="00F200E7">
        <w:rPr>
          <w:rFonts w:ascii="Book Antiqua" w:hAnsi="Book Antiqua"/>
          <w:lang w:val="en-GB"/>
        </w:rPr>
        <w:t>s</w:t>
      </w:r>
      <w:r w:rsidR="004262CD" w:rsidRPr="00F200E7">
        <w:rPr>
          <w:rFonts w:ascii="Book Antiqua" w:hAnsi="Book Antiqua"/>
          <w:lang w:val="en-GB"/>
        </w:rPr>
        <w:t xml:space="preserve"> in </w:t>
      </w:r>
      <w:r w:rsidR="00744913">
        <w:rPr>
          <w:rFonts w:ascii="Book Antiqua" w:hAnsi="Book Antiqua"/>
          <w:lang w:val="en-GB"/>
        </w:rPr>
        <w:t>extreme</w:t>
      </w:r>
      <w:r w:rsidR="00AE174D">
        <w:rPr>
          <w:rFonts w:ascii="Book Antiqua" w:hAnsi="Book Antiqua"/>
          <w:lang w:val="en-GB"/>
        </w:rPr>
        <w:t xml:space="preserve"> </w:t>
      </w:r>
      <w:r w:rsidR="004262CD" w:rsidRPr="00F200E7">
        <w:rPr>
          <w:rFonts w:ascii="Book Antiqua" w:hAnsi="Book Antiqua"/>
          <w:lang w:val="en-GB"/>
        </w:rPr>
        <w:t>poverty. This shows that in Guatemala agriculture generates low income</w:t>
      </w:r>
      <w:r w:rsidR="00E41D06" w:rsidRPr="00F200E7">
        <w:rPr>
          <w:rFonts w:ascii="Book Antiqua" w:hAnsi="Book Antiqua"/>
          <w:lang w:val="en-GB"/>
        </w:rPr>
        <w:t>s</w:t>
      </w:r>
      <w:r w:rsidR="004262CD" w:rsidRPr="00F200E7">
        <w:rPr>
          <w:rFonts w:ascii="Book Antiqua" w:hAnsi="Book Antiqua"/>
          <w:lang w:val="en-GB"/>
        </w:rPr>
        <w:t xml:space="preserve"> and in </w:t>
      </w:r>
      <w:r w:rsidR="00E41D06" w:rsidRPr="00F200E7">
        <w:rPr>
          <w:rFonts w:ascii="Book Antiqua" w:hAnsi="Book Antiqua"/>
          <w:lang w:val="en-GB"/>
        </w:rPr>
        <w:t>most</w:t>
      </w:r>
      <w:r w:rsidR="004262CD" w:rsidRPr="00F200E7">
        <w:rPr>
          <w:rFonts w:ascii="Book Antiqua" w:hAnsi="Book Antiqua"/>
          <w:lang w:val="en-GB"/>
        </w:rPr>
        <w:t xml:space="preserve"> cases does not provide the means to satisfy basic needs.</w:t>
      </w:r>
      <w:r w:rsidR="00D12190" w:rsidRPr="00F200E7">
        <w:rPr>
          <w:rFonts w:ascii="Book Antiqua" w:hAnsi="Book Antiqua"/>
          <w:lang w:val="en-GB"/>
        </w:rPr>
        <w:t xml:space="preserve"> Responding to an ENCOVI question, 95 per cent of agricultural workers said that they would take an additional job if available – a testament to the low incomes that they now earn.</w:t>
      </w:r>
    </w:p>
    <w:p w:rsidR="00BD078C" w:rsidRPr="00F200E7" w:rsidRDefault="00BD078C" w:rsidP="00BD078C">
      <w:pPr>
        <w:spacing w:after="0" w:line="240" w:lineRule="auto"/>
        <w:rPr>
          <w:rFonts w:ascii="Book Antiqua" w:hAnsi="Book Antiqua"/>
          <w:lang w:val="en-GB"/>
        </w:rPr>
      </w:pPr>
    </w:p>
    <w:p w:rsidR="00824D54" w:rsidRDefault="00A9117E" w:rsidP="00B831AB">
      <w:pPr>
        <w:pStyle w:val="Tabletitle"/>
      </w:pPr>
      <w:r w:rsidRPr="00F200E7">
        <w:t xml:space="preserve">Table </w:t>
      </w:r>
      <w:r w:rsidR="00E41D06" w:rsidRPr="00F200E7">
        <w:t>6.</w:t>
      </w:r>
      <w:r w:rsidRPr="00F200E7">
        <w:t>6:</w:t>
      </w:r>
      <w:r w:rsidR="00E41D06" w:rsidRPr="00F200E7">
        <w:tab/>
      </w:r>
      <w:r w:rsidRPr="00F200E7">
        <w:t xml:space="preserve">Percentage </w:t>
      </w:r>
      <w:r w:rsidR="004A1F6A">
        <w:t>distribution</w:t>
      </w:r>
      <w:r w:rsidRPr="00F200E7">
        <w:t xml:space="preserve">of agricultural workers by </w:t>
      </w:r>
      <w:r w:rsidR="00E41D06" w:rsidRPr="00F200E7">
        <w:t xml:space="preserve">income </w:t>
      </w:r>
      <w:r w:rsidRPr="00F200E7">
        <w:t>range</w:t>
      </w:r>
      <w:r w:rsidR="00E41D06" w:rsidRPr="00F200E7">
        <w:t xml:space="preserve">, Guatemala, </w:t>
      </w:r>
      <w:r w:rsidRPr="00F200E7">
        <w:t>2006</w:t>
      </w:r>
    </w:p>
    <w:tbl>
      <w:tblPr>
        <w:tblW w:w="7760" w:type="dxa"/>
        <w:jc w:val="center"/>
        <w:tblInd w:w="55" w:type="dxa"/>
        <w:tblCellMar>
          <w:left w:w="70" w:type="dxa"/>
          <w:right w:w="70" w:type="dxa"/>
        </w:tblCellMar>
        <w:tblLook w:val="04A0"/>
      </w:tblPr>
      <w:tblGrid>
        <w:gridCol w:w="3052"/>
        <w:gridCol w:w="2308"/>
        <w:gridCol w:w="1200"/>
        <w:gridCol w:w="1200"/>
      </w:tblGrid>
      <w:tr w:rsidR="005E754C" w:rsidRPr="00F200E7" w:rsidTr="0020111F">
        <w:trPr>
          <w:trHeight w:val="300"/>
          <w:jc w:val="center"/>
        </w:trPr>
        <w:tc>
          <w:tcPr>
            <w:tcW w:w="5360" w:type="dxa"/>
            <w:gridSpan w:val="2"/>
            <w:tcBorders>
              <w:top w:val="single" w:sz="4" w:space="0" w:color="auto"/>
              <w:left w:val="nil"/>
              <w:bottom w:val="single" w:sz="4" w:space="0" w:color="auto"/>
              <w:right w:val="nil"/>
            </w:tcBorders>
            <w:shd w:val="clear" w:color="auto" w:fill="auto"/>
            <w:noWrap/>
            <w:vAlign w:val="center"/>
          </w:tcPr>
          <w:p w:rsidR="00E65CED" w:rsidRPr="00F200E7" w:rsidRDefault="005E754C" w:rsidP="000464E7">
            <w:pPr>
              <w:pStyle w:val="NoSpacing"/>
              <w:jc w:val="center"/>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Range of monthly income</w:t>
            </w:r>
          </w:p>
        </w:tc>
        <w:tc>
          <w:tcPr>
            <w:tcW w:w="1200" w:type="dxa"/>
            <w:tcBorders>
              <w:top w:val="single" w:sz="4" w:space="0" w:color="auto"/>
              <w:left w:val="nil"/>
              <w:right w:val="nil"/>
            </w:tcBorders>
          </w:tcPr>
          <w:p w:rsidR="005E754C" w:rsidRPr="00F200E7" w:rsidRDefault="005E754C" w:rsidP="00A9117E">
            <w:pPr>
              <w:pStyle w:val="NoSpacing"/>
              <w:jc w:val="both"/>
              <w:rPr>
                <w:rFonts w:ascii="Book Antiqua" w:eastAsia="Times New Roman" w:hAnsi="Book Antiqua" w:cs="Calibri"/>
                <w:b/>
                <w:bCs/>
                <w:color w:val="000000"/>
                <w:sz w:val="20"/>
                <w:szCs w:val="20"/>
                <w:lang w:val="en-GB" w:eastAsia="es-GT"/>
              </w:rPr>
            </w:pPr>
          </w:p>
        </w:tc>
        <w:tc>
          <w:tcPr>
            <w:tcW w:w="1200" w:type="dxa"/>
            <w:tcBorders>
              <w:top w:val="single" w:sz="4" w:space="0" w:color="auto"/>
              <w:left w:val="nil"/>
              <w:right w:val="nil"/>
            </w:tcBorders>
            <w:shd w:val="clear" w:color="auto" w:fill="auto"/>
            <w:noWrap/>
            <w:vAlign w:val="center"/>
          </w:tcPr>
          <w:p w:rsidR="005E754C" w:rsidRPr="00F200E7" w:rsidRDefault="005E754C" w:rsidP="00A9117E">
            <w:pPr>
              <w:pStyle w:val="NoSpacing"/>
              <w:jc w:val="both"/>
              <w:rPr>
                <w:rFonts w:ascii="Book Antiqua" w:eastAsia="Times New Roman" w:hAnsi="Book Antiqua" w:cs="Calibri"/>
                <w:b/>
                <w:bCs/>
                <w:color w:val="000000"/>
                <w:sz w:val="20"/>
                <w:szCs w:val="20"/>
                <w:lang w:val="en-GB" w:eastAsia="es-GT"/>
              </w:rPr>
            </w:pPr>
          </w:p>
        </w:tc>
      </w:tr>
      <w:tr w:rsidR="00A9117E" w:rsidRPr="00F200E7" w:rsidTr="0020111F">
        <w:trPr>
          <w:trHeight w:val="300"/>
          <w:jc w:val="center"/>
        </w:trPr>
        <w:tc>
          <w:tcPr>
            <w:tcW w:w="3052" w:type="dxa"/>
            <w:tcBorders>
              <w:top w:val="single" w:sz="4" w:space="0" w:color="auto"/>
              <w:left w:val="nil"/>
              <w:bottom w:val="single" w:sz="4" w:space="0" w:color="auto"/>
              <w:right w:val="nil"/>
            </w:tcBorders>
            <w:shd w:val="clear" w:color="auto" w:fill="auto"/>
            <w:noWrap/>
            <w:vAlign w:val="center"/>
          </w:tcPr>
          <w:p w:rsidR="00E65CED" w:rsidRPr="00F200E7" w:rsidRDefault="005E754C" w:rsidP="0020111F">
            <w:pPr>
              <w:pStyle w:val="NoSpacing"/>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I</w:t>
            </w:r>
            <w:r w:rsidR="00E41D06" w:rsidRPr="00F200E7">
              <w:rPr>
                <w:rFonts w:ascii="Book Antiqua" w:eastAsia="Times New Roman" w:hAnsi="Book Antiqua" w:cs="Calibri"/>
                <w:b/>
                <w:bCs/>
                <w:color w:val="000000"/>
                <w:sz w:val="20"/>
                <w:szCs w:val="20"/>
                <w:lang w:val="en-GB" w:eastAsia="es-GT"/>
              </w:rPr>
              <w:t xml:space="preserve">n </w:t>
            </w:r>
            <w:r w:rsidR="001021BD">
              <w:rPr>
                <w:rFonts w:ascii="Book Antiqua" w:eastAsia="Times New Roman" w:hAnsi="Book Antiqua" w:cs="Calibri"/>
                <w:b/>
                <w:bCs/>
                <w:color w:val="000000"/>
                <w:sz w:val="20"/>
                <w:szCs w:val="20"/>
                <w:lang w:val="en-GB" w:eastAsia="es-GT"/>
              </w:rPr>
              <w:t xml:space="preserve">Guatemalan </w:t>
            </w:r>
            <w:proofErr w:type="spellStart"/>
            <w:r w:rsidR="001021BD">
              <w:rPr>
                <w:rFonts w:ascii="Book Antiqua" w:eastAsia="Times New Roman" w:hAnsi="Book Antiqua" w:cs="Calibri"/>
                <w:b/>
                <w:bCs/>
                <w:color w:val="000000"/>
                <w:sz w:val="20"/>
                <w:szCs w:val="20"/>
                <w:lang w:val="en-GB" w:eastAsia="es-GT"/>
              </w:rPr>
              <w:t>Quetzales</w:t>
            </w:r>
            <w:proofErr w:type="spellEnd"/>
            <w:r w:rsidR="001021BD">
              <w:rPr>
                <w:rFonts w:ascii="Book Antiqua" w:eastAsia="Times New Roman" w:hAnsi="Book Antiqua" w:cs="Calibri"/>
                <w:b/>
                <w:bCs/>
                <w:color w:val="000000"/>
                <w:sz w:val="20"/>
                <w:szCs w:val="20"/>
                <w:lang w:val="en-GB" w:eastAsia="es-GT"/>
              </w:rPr>
              <w:t xml:space="preserve"> (</w:t>
            </w:r>
            <w:r w:rsidR="00A9117E" w:rsidRPr="00F200E7">
              <w:rPr>
                <w:rFonts w:ascii="Book Antiqua" w:eastAsia="Times New Roman" w:hAnsi="Book Antiqua" w:cs="Calibri"/>
                <w:b/>
                <w:bCs/>
                <w:color w:val="000000"/>
                <w:sz w:val="20"/>
                <w:szCs w:val="20"/>
                <w:lang w:val="en-GB" w:eastAsia="es-GT"/>
              </w:rPr>
              <w:t>GTQ</w:t>
            </w:r>
            <w:r w:rsidR="001021BD">
              <w:rPr>
                <w:rFonts w:ascii="Book Antiqua" w:eastAsia="Times New Roman" w:hAnsi="Book Antiqua" w:cs="Calibri"/>
                <w:b/>
                <w:bCs/>
                <w:color w:val="000000"/>
                <w:sz w:val="20"/>
                <w:szCs w:val="20"/>
                <w:lang w:val="en-GB" w:eastAsia="es-GT"/>
              </w:rPr>
              <w:t>)</w:t>
            </w:r>
          </w:p>
        </w:tc>
        <w:tc>
          <w:tcPr>
            <w:tcW w:w="2308" w:type="dxa"/>
            <w:tcBorders>
              <w:top w:val="single" w:sz="4" w:space="0" w:color="auto"/>
              <w:left w:val="nil"/>
              <w:bottom w:val="single" w:sz="4" w:space="0" w:color="auto"/>
              <w:right w:val="nil"/>
            </w:tcBorders>
            <w:vAlign w:val="center"/>
          </w:tcPr>
          <w:p w:rsidR="003B17F2" w:rsidRPr="00F200E7" w:rsidRDefault="005E754C">
            <w:pPr>
              <w:pStyle w:val="NoSpacing"/>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 xml:space="preserve">In </w:t>
            </w:r>
            <w:r w:rsidR="006A4A53">
              <w:rPr>
                <w:rFonts w:ascii="Book Antiqua" w:eastAsia="Times New Roman" w:hAnsi="Book Antiqua" w:cs="Calibri"/>
                <w:b/>
                <w:bCs/>
                <w:color w:val="000000"/>
                <w:sz w:val="20"/>
                <w:szCs w:val="20"/>
                <w:lang w:val="en-GB" w:eastAsia="es-GT"/>
              </w:rPr>
              <w:t>US$</w:t>
            </w:r>
          </w:p>
        </w:tc>
        <w:tc>
          <w:tcPr>
            <w:tcW w:w="1200" w:type="dxa"/>
            <w:tcBorders>
              <w:left w:val="nil"/>
              <w:bottom w:val="single" w:sz="4" w:space="0" w:color="auto"/>
              <w:right w:val="nil"/>
            </w:tcBorders>
          </w:tcPr>
          <w:p w:rsidR="00A9117E" w:rsidRPr="00F200E7" w:rsidRDefault="00A9117E" w:rsidP="00A9117E">
            <w:pPr>
              <w:pStyle w:val="NoSpacing"/>
              <w:jc w:val="both"/>
              <w:rPr>
                <w:rFonts w:ascii="Book Antiqua" w:eastAsia="Times New Roman" w:hAnsi="Book Antiqua" w:cs="Calibri"/>
                <w:b/>
                <w:bCs/>
                <w:color w:val="000000"/>
                <w:sz w:val="20"/>
                <w:szCs w:val="20"/>
                <w:lang w:val="en-GB" w:eastAsia="es-GT"/>
              </w:rPr>
            </w:pPr>
          </w:p>
        </w:tc>
        <w:tc>
          <w:tcPr>
            <w:tcW w:w="1200" w:type="dxa"/>
            <w:tcBorders>
              <w:left w:val="nil"/>
              <w:bottom w:val="single" w:sz="4" w:space="0" w:color="auto"/>
              <w:right w:val="nil"/>
            </w:tcBorders>
            <w:shd w:val="clear" w:color="auto" w:fill="auto"/>
            <w:noWrap/>
            <w:vAlign w:val="center"/>
          </w:tcPr>
          <w:p w:rsidR="00A9117E" w:rsidRPr="00F200E7" w:rsidRDefault="00A9117E" w:rsidP="00A9117E">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Percentage</w:t>
            </w:r>
          </w:p>
        </w:tc>
      </w:tr>
      <w:tr w:rsidR="00A9117E" w:rsidRPr="00F200E7" w:rsidTr="00A9117E">
        <w:trPr>
          <w:trHeight w:val="300"/>
          <w:jc w:val="center"/>
        </w:trPr>
        <w:tc>
          <w:tcPr>
            <w:tcW w:w="3052" w:type="dxa"/>
            <w:tcBorders>
              <w:top w:val="single" w:sz="4" w:space="0" w:color="auto"/>
              <w:left w:val="nil"/>
              <w:bottom w:val="nil"/>
              <w:right w:val="nil"/>
            </w:tcBorders>
            <w:shd w:val="clear" w:color="auto" w:fill="auto"/>
            <w:noWrap/>
            <w:vAlign w:val="bottom"/>
          </w:tcPr>
          <w:p w:rsidR="003B17F2" w:rsidRPr="00F200E7" w:rsidRDefault="00A9117E" w:rsidP="00EC6FE3">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 to 1</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523.80 minimum wage)</w:t>
            </w:r>
          </w:p>
        </w:tc>
        <w:tc>
          <w:tcPr>
            <w:tcW w:w="2308" w:type="dxa"/>
            <w:tcBorders>
              <w:top w:val="single" w:sz="4" w:space="0" w:color="auto"/>
              <w:left w:val="nil"/>
              <w:bottom w:val="nil"/>
              <w:right w:val="nil"/>
            </w:tcBorders>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 to211.35</w:t>
            </w:r>
          </w:p>
        </w:tc>
        <w:tc>
          <w:tcPr>
            <w:tcW w:w="1200" w:type="dxa"/>
            <w:tcBorders>
              <w:top w:val="single" w:sz="4" w:space="0" w:color="auto"/>
              <w:left w:val="nil"/>
              <w:bottom w:val="nil"/>
              <w:right w:val="nil"/>
            </w:tcBorders>
          </w:tcPr>
          <w:p w:rsidR="00A9117E" w:rsidRPr="00F200E7" w:rsidRDefault="00A9117E" w:rsidP="00A9117E">
            <w:pPr>
              <w:pStyle w:val="NoSpacing"/>
              <w:jc w:val="center"/>
              <w:rPr>
                <w:rFonts w:ascii="Book Antiqua" w:eastAsia="Times New Roman" w:hAnsi="Book Antiqua" w:cs="Calibri"/>
                <w:color w:val="000000"/>
                <w:sz w:val="20"/>
                <w:szCs w:val="20"/>
                <w:lang w:val="en-GB" w:eastAsia="es-GT"/>
              </w:rPr>
            </w:pPr>
          </w:p>
        </w:tc>
        <w:tc>
          <w:tcPr>
            <w:tcW w:w="1200" w:type="dxa"/>
            <w:tcBorders>
              <w:top w:val="single" w:sz="4" w:space="0" w:color="auto"/>
              <w:left w:val="nil"/>
              <w:bottom w:val="nil"/>
              <w:right w:val="nil"/>
            </w:tcBorders>
            <w:shd w:val="clear" w:color="auto" w:fill="auto"/>
            <w:noWrap/>
            <w:vAlign w:val="bottom"/>
          </w:tcPr>
          <w:p w:rsidR="00A9117E" w:rsidRPr="00F200E7" w:rsidRDefault="006D5640" w:rsidP="005E754C">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92.9</w:t>
            </w:r>
          </w:p>
        </w:tc>
      </w:tr>
      <w:tr w:rsidR="00A9117E" w:rsidRPr="00F200E7" w:rsidTr="00A9117E">
        <w:trPr>
          <w:trHeight w:val="300"/>
          <w:jc w:val="center"/>
        </w:trPr>
        <w:tc>
          <w:tcPr>
            <w:tcW w:w="3052" w:type="dxa"/>
            <w:tcBorders>
              <w:top w:val="nil"/>
              <w:left w:val="nil"/>
              <w:bottom w:val="nil"/>
              <w:right w:val="nil"/>
            </w:tcBorders>
            <w:shd w:val="clear" w:color="auto" w:fill="auto"/>
            <w:noWrap/>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523.81 to 3</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047.60</w:t>
            </w:r>
          </w:p>
        </w:tc>
        <w:tc>
          <w:tcPr>
            <w:tcW w:w="2308" w:type="dxa"/>
            <w:tcBorders>
              <w:top w:val="nil"/>
              <w:left w:val="nil"/>
              <w:bottom w:val="nil"/>
              <w:right w:val="nil"/>
            </w:tcBorders>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211.36 to 422.69</w:t>
            </w:r>
          </w:p>
        </w:tc>
        <w:tc>
          <w:tcPr>
            <w:tcW w:w="1200" w:type="dxa"/>
            <w:tcBorders>
              <w:top w:val="nil"/>
              <w:left w:val="nil"/>
              <w:bottom w:val="nil"/>
              <w:right w:val="nil"/>
            </w:tcBorders>
          </w:tcPr>
          <w:p w:rsidR="00A9117E" w:rsidRPr="00F200E7" w:rsidRDefault="00A9117E" w:rsidP="00A9117E">
            <w:pPr>
              <w:pStyle w:val="NoSpacing"/>
              <w:jc w:val="center"/>
              <w:rPr>
                <w:rFonts w:ascii="Book Antiqua" w:eastAsia="Times New Roman" w:hAnsi="Book Antiqua" w:cs="Calibri"/>
                <w:color w:val="000000"/>
                <w:sz w:val="20"/>
                <w:szCs w:val="20"/>
                <w:lang w:val="en-GB" w:eastAsia="es-GT"/>
              </w:rPr>
            </w:pPr>
          </w:p>
        </w:tc>
        <w:tc>
          <w:tcPr>
            <w:tcW w:w="1200" w:type="dxa"/>
            <w:tcBorders>
              <w:top w:val="nil"/>
              <w:left w:val="nil"/>
              <w:bottom w:val="nil"/>
              <w:right w:val="nil"/>
            </w:tcBorders>
            <w:shd w:val="clear" w:color="auto" w:fill="auto"/>
            <w:noWrap/>
            <w:vAlign w:val="bottom"/>
          </w:tcPr>
          <w:p w:rsidR="00A9117E" w:rsidRPr="00F200E7" w:rsidRDefault="006D5640" w:rsidP="00A9117E">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5.8</w:t>
            </w:r>
          </w:p>
        </w:tc>
      </w:tr>
      <w:tr w:rsidR="00A9117E" w:rsidRPr="00F200E7" w:rsidTr="00A9117E">
        <w:trPr>
          <w:trHeight w:val="300"/>
          <w:jc w:val="center"/>
        </w:trPr>
        <w:tc>
          <w:tcPr>
            <w:tcW w:w="3052" w:type="dxa"/>
            <w:tcBorders>
              <w:top w:val="nil"/>
              <w:left w:val="nil"/>
              <w:bottom w:val="nil"/>
              <w:right w:val="nil"/>
            </w:tcBorders>
            <w:shd w:val="clear" w:color="auto" w:fill="auto"/>
            <w:noWrap/>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047.61 to 4</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571.40</w:t>
            </w:r>
          </w:p>
        </w:tc>
        <w:tc>
          <w:tcPr>
            <w:tcW w:w="2308" w:type="dxa"/>
            <w:tcBorders>
              <w:top w:val="nil"/>
              <w:left w:val="nil"/>
              <w:bottom w:val="nil"/>
              <w:right w:val="nil"/>
            </w:tcBorders>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328.96 to 492.42</w:t>
            </w:r>
          </w:p>
        </w:tc>
        <w:tc>
          <w:tcPr>
            <w:tcW w:w="1200" w:type="dxa"/>
            <w:tcBorders>
              <w:top w:val="nil"/>
              <w:left w:val="nil"/>
              <w:bottom w:val="nil"/>
              <w:right w:val="nil"/>
            </w:tcBorders>
          </w:tcPr>
          <w:p w:rsidR="00A9117E" w:rsidRPr="00F200E7" w:rsidRDefault="00A9117E" w:rsidP="00A9117E">
            <w:pPr>
              <w:pStyle w:val="NoSpacing"/>
              <w:jc w:val="center"/>
              <w:rPr>
                <w:rFonts w:ascii="Book Antiqua" w:eastAsia="Times New Roman" w:hAnsi="Book Antiqua" w:cs="Calibri"/>
                <w:color w:val="000000"/>
                <w:sz w:val="20"/>
                <w:szCs w:val="20"/>
                <w:lang w:val="en-GB" w:eastAsia="es-GT"/>
              </w:rPr>
            </w:pPr>
          </w:p>
        </w:tc>
        <w:tc>
          <w:tcPr>
            <w:tcW w:w="1200" w:type="dxa"/>
            <w:tcBorders>
              <w:top w:val="nil"/>
              <w:left w:val="nil"/>
              <w:bottom w:val="nil"/>
              <w:right w:val="nil"/>
            </w:tcBorders>
            <w:shd w:val="clear" w:color="auto" w:fill="auto"/>
            <w:noWrap/>
            <w:vAlign w:val="bottom"/>
          </w:tcPr>
          <w:p w:rsidR="00A9117E" w:rsidRPr="00F200E7" w:rsidRDefault="006D5640" w:rsidP="00A9117E">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0.5</w:t>
            </w:r>
          </w:p>
        </w:tc>
      </w:tr>
      <w:tr w:rsidR="00A9117E" w:rsidRPr="00F200E7" w:rsidTr="00A9117E">
        <w:trPr>
          <w:trHeight w:val="300"/>
          <w:jc w:val="center"/>
        </w:trPr>
        <w:tc>
          <w:tcPr>
            <w:tcW w:w="3052" w:type="dxa"/>
            <w:tcBorders>
              <w:top w:val="nil"/>
              <w:left w:val="nil"/>
              <w:bottom w:val="single" w:sz="4" w:space="0" w:color="auto"/>
              <w:right w:val="nil"/>
            </w:tcBorders>
            <w:shd w:val="clear" w:color="auto" w:fill="auto"/>
            <w:noWrap/>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4</w:t>
            </w:r>
            <w:r w:rsidR="00816491">
              <w:rPr>
                <w:rFonts w:ascii="Book Antiqua" w:eastAsia="Times New Roman" w:hAnsi="Book Antiqua" w:cs="Calibri"/>
                <w:color w:val="000000"/>
                <w:sz w:val="20"/>
                <w:szCs w:val="20"/>
                <w:lang w:val="en-GB" w:eastAsia="es-GT"/>
              </w:rPr>
              <w:t>,</w:t>
            </w:r>
            <w:r w:rsidRPr="00F200E7">
              <w:rPr>
                <w:rFonts w:ascii="Book Antiqua" w:eastAsia="Times New Roman" w:hAnsi="Book Antiqua" w:cs="Calibri"/>
                <w:color w:val="000000"/>
                <w:sz w:val="20"/>
                <w:szCs w:val="20"/>
                <w:lang w:val="en-GB" w:eastAsia="es-GT"/>
              </w:rPr>
              <w:t>571.40 or more</w:t>
            </w:r>
          </w:p>
        </w:tc>
        <w:tc>
          <w:tcPr>
            <w:tcW w:w="2308" w:type="dxa"/>
            <w:tcBorders>
              <w:top w:val="nil"/>
              <w:left w:val="nil"/>
              <w:bottom w:val="single" w:sz="4" w:space="0" w:color="auto"/>
              <w:right w:val="nil"/>
            </w:tcBorders>
            <w:vAlign w:val="bottom"/>
          </w:tcPr>
          <w:p w:rsidR="003B17F2" w:rsidRPr="00F200E7" w:rsidRDefault="00A9117E">
            <w:pPr>
              <w:pStyle w:val="NoSpacing"/>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 xml:space="preserve">492.43 </w:t>
            </w:r>
            <w:r w:rsidR="006D5640" w:rsidRPr="00F200E7">
              <w:rPr>
                <w:rFonts w:ascii="Book Antiqua" w:eastAsia="Times New Roman" w:hAnsi="Book Antiqua" w:cs="Calibri"/>
                <w:color w:val="000000"/>
                <w:sz w:val="20"/>
                <w:szCs w:val="20"/>
                <w:lang w:val="en-GB" w:eastAsia="es-GT"/>
              </w:rPr>
              <w:t>or more</w:t>
            </w:r>
          </w:p>
        </w:tc>
        <w:tc>
          <w:tcPr>
            <w:tcW w:w="1200" w:type="dxa"/>
            <w:tcBorders>
              <w:top w:val="nil"/>
              <w:left w:val="nil"/>
              <w:bottom w:val="single" w:sz="4" w:space="0" w:color="auto"/>
              <w:right w:val="nil"/>
            </w:tcBorders>
          </w:tcPr>
          <w:p w:rsidR="00A9117E" w:rsidRPr="00F200E7" w:rsidRDefault="00A9117E" w:rsidP="00A9117E">
            <w:pPr>
              <w:pStyle w:val="NoSpacing"/>
              <w:jc w:val="center"/>
              <w:rPr>
                <w:rFonts w:ascii="Book Antiqua" w:eastAsia="Times New Roman" w:hAnsi="Book Antiqua" w:cs="Calibri"/>
                <w:color w:val="000000"/>
                <w:sz w:val="20"/>
                <w:szCs w:val="20"/>
                <w:lang w:val="en-GB" w:eastAsia="es-GT"/>
              </w:rPr>
            </w:pPr>
          </w:p>
        </w:tc>
        <w:tc>
          <w:tcPr>
            <w:tcW w:w="1200" w:type="dxa"/>
            <w:tcBorders>
              <w:top w:val="nil"/>
              <w:left w:val="nil"/>
              <w:bottom w:val="single" w:sz="4" w:space="0" w:color="auto"/>
              <w:right w:val="nil"/>
            </w:tcBorders>
            <w:shd w:val="clear" w:color="auto" w:fill="auto"/>
            <w:noWrap/>
            <w:vAlign w:val="bottom"/>
          </w:tcPr>
          <w:p w:rsidR="00A9117E" w:rsidRPr="00F200E7" w:rsidRDefault="00A9117E" w:rsidP="006D564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w:t>
            </w:r>
            <w:r w:rsidR="006D5640" w:rsidRPr="00F200E7">
              <w:rPr>
                <w:rFonts w:ascii="Book Antiqua" w:eastAsia="Times New Roman" w:hAnsi="Book Antiqua" w:cs="Calibri"/>
                <w:color w:val="000000"/>
                <w:sz w:val="20"/>
                <w:szCs w:val="20"/>
                <w:lang w:val="en-GB" w:eastAsia="es-GT"/>
              </w:rPr>
              <w:t>9</w:t>
            </w:r>
          </w:p>
        </w:tc>
      </w:tr>
    </w:tbl>
    <w:p w:rsidR="00EF29D5" w:rsidRPr="00F200E7" w:rsidRDefault="00EF29D5" w:rsidP="005F2F9F">
      <w:pPr>
        <w:pStyle w:val="NoSpacing"/>
        <w:ind w:firstLine="720"/>
        <w:jc w:val="both"/>
        <w:rPr>
          <w:rFonts w:ascii="Book Antiqua" w:hAnsi="Book Antiqua"/>
          <w:sz w:val="18"/>
          <w:lang w:val="en-GB"/>
        </w:rPr>
      </w:pPr>
    </w:p>
    <w:p w:rsidR="00A9117E" w:rsidRPr="00F200E7" w:rsidRDefault="00A9117E" w:rsidP="00A9117E">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5E754C" w:rsidRPr="00F200E7">
        <w:rPr>
          <w:rFonts w:ascii="Book Antiqua" w:hAnsi="Book Antiqua"/>
          <w:sz w:val="18"/>
          <w:lang w:val="en-GB"/>
        </w:rPr>
        <w:t>from</w:t>
      </w:r>
      <w:r w:rsidRPr="00F200E7">
        <w:rPr>
          <w:rFonts w:ascii="Book Antiqua" w:hAnsi="Book Antiqua"/>
          <w:sz w:val="18"/>
          <w:lang w:val="en-GB"/>
        </w:rPr>
        <w:t xml:space="preserve"> ENCOVI 2006 data.</w:t>
      </w:r>
    </w:p>
    <w:p w:rsidR="00EE4350" w:rsidRPr="00F200E7" w:rsidRDefault="00EE4350" w:rsidP="00D12065">
      <w:pPr>
        <w:pStyle w:val="NoSpacing"/>
        <w:jc w:val="both"/>
        <w:rPr>
          <w:rFonts w:ascii="Book Antiqua" w:hAnsi="Book Antiqua"/>
          <w:lang w:val="en-GB"/>
        </w:rPr>
      </w:pPr>
    </w:p>
    <w:p w:rsidR="006D5640" w:rsidRPr="00F200E7" w:rsidRDefault="006D5640" w:rsidP="006D5640">
      <w:pPr>
        <w:pStyle w:val="NoSpacing"/>
        <w:jc w:val="both"/>
        <w:rPr>
          <w:rFonts w:ascii="Book Antiqua" w:hAnsi="Book Antiqua"/>
          <w:lang w:val="en-GB"/>
        </w:rPr>
      </w:pPr>
      <w:r w:rsidRPr="00F200E7">
        <w:rPr>
          <w:rFonts w:ascii="Book Antiqua" w:hAnsi="Book Antiqua"/>
          <w:lang w:val="en-GB"/>
        </w:rPr>
        <w:t xml:space="preserve">One </w:t>
      </w:r>
      <w:r w:rsidR="0080233C">
        <w:rPr>
          <w:rFonts w:ascii="Book Antiqua" w:hAnsi="Book Antiqua"/>
          <w:lang w:val="en-GB"/>
        </w:rPr>
        <w:t>indication</w:t>
      </w:r>
      <w:r w:rsidR="00AE174D">
        <w:rPr>
          <w:rFonts w:ascii="Book Antiqua" w:hAnsi="Book Antiqua"/>
          <w:lang w:val="en-GB"/>
        </w:rPr>
        <w:t xml:space="preserve"> </w:t>
      </w:r>
      <w:r w:rsidR="005E754C" w:rsidRPr="00F200E7">
        <w:rPr>
          <w:rFonts w:ascii="Book Antiqua" w:hAnsi="Book Antiqua"/>
          <w:lang w:val="en-GB"/>
        </w:rPr>
        <w:t>that</w:t>
      </w:r>
      <w:r w:rsidRPr="00F200E7">
        <w:rPr>
          <w:rFonts w:ascii="Book Antiqua" w:hAnsi="Book Antiqua"/>
          <w:lang w:val="en-GB"/>
        </w:rPr>
        <w:t xml:space="preserve"> agricultural workers lack sufficient income to satisfy their </w:t>
      </w:r>
      <w:r w:rsidR="005E754C" w:rsidRPr="00F200E7">
        <w:rPr>
          <w:rFonts w:ascii="Book Antiqua" w:hAnsi="Book Antiqua"/>
          <w:lang w:val="en-GB"/>
        </w:rPr>
        <w:t xml:space="preserve">own </w:t>
      </w:r>
      <w:r w:rsidRPr="00F200E7">
        <w:rPr>
          <w:rFonts w:ascii="Book Antiqua" w:hAnsi="Book Antiqua"/>
          <w:lang w:val="en-GB"/>
        </w:rPr>
        <w:t xml:space="preserve">and their </w:t>
      </w:r>
      <w:r w:rsidR="00596A5C" w:rsidRPr="00F200E7">
        <w:rPr>
          <w:rFonts w:ascii="Book Antiqua" w:hAnsi="Book Antiqua"/>
          <w:lang w:val="en-GB"/>
        </w:rPr>
        <w:t>families’</w:t>
      </w:r>
      <w:r w:rsidR="00AE174D">
        <w:rPr>
          <w:rFonts w:ascii="Book Antiqua" w:hAnsi="Book Antiqua"/>
          <w:lang w:val="en-GB"/>
        </w:rPr>
        <w:t xml:space="preserve"> </w:t>
      </w:r>
      <w:r w:rsidR="005E754C" w:rsidRPr="00F200E7">
        <w:rPr>
          <w:rFonts w:ascii="Book Antiqua" w:hAnsi="Book Antiqua"/>
          <w:lang w:val="en-GB"/>
        </w:rPr>
        <w:t xml:space="preserve">basic </w:t>
      </w:r>
      <w:r w:rsidRPr="00F200E7">
        <w:rPr>
          <w:rFonts w:ascii="Book Antiqua" w:hAnsi="Book Antiqua"/>
          <w:lang w:val="en-GB"/>
        </w:rPr>
        <w:t>needs is that many earn less than the minimum wage.</w:t>
      </w:r>
      <w:r w:rsidRPr="00F200E7">
        <w:rPr>
          <w:rStyle w:val="FootnoteReference"/>
          <w:rFonts w:ascii="Book Antiqua" w:hAnsi="Book Antiqua"/>
          <w:lang w:val="en-GB"/>
        </w:rPr>
        <w:footnoteReference w:id="5"/>
      </w:r>
      <w:r w:rsidRPr="00F200E7">
        <w:rPr>
          <w:rFonts w:ascii="Book Antiqua" w:hAnsi="Book Antiqua"/>
          <w:lang w:val="en-GB"/>
        </w:rPr>
        <w:t xml:space="preserve"> In 2006</w:t>
      </w:r>
      <w:r w:rsidR="005E754C" w:rsidRPr="00F200E7">
        <w:rPr>
          <w:rFonts w:ascii="Book Antiqua" w:hAnsi="Book Antiqua"/>
          <w:lang w:val="en-GB"/>
        </w:rPr>
        <w:t>, for example,</w:t>
      </w:r>
      <w:r w:rsidRPr="00F200E7">
        <w:rPr>
          <w:rFonts w:ascii="Book Antiqua" w:hAnsi="Book Antiqua"/>
          <w:lang w:val="en-GB"/>
        </w:rPr>
        <w:t xml:space="preserve"> 93 per cent of </w:t>
      </w:r>
      <w:r w:rsidR="005E754C" w:rsidRPr="00F200E7">
        <w:rPr>
          <w:rFonts w:ascii="Book Antiqua" w:hAnsi="Book Antiqua"/>
          <w:lang w:val="en-GB"/>
        </w:rPr>
        <w:t xml:space="preserve">agricultural </w:t>
      </w:r>
      <w:r w:rsidRPr="00F200E7">
        <w:rPr>
          <w:rFonts w:ascii="Book Antiqua" w:hAnsi="Book Antiqua"/>
          <w:lang w:val="en-GB"/>
        </w:rPr>
        <w:t>workers earn</w:t>
      </w:r>
      <w:r w:rsidR="005E754C" w:rsidRPr="00F200E7">
        <w:rPr>
          <w:rFonts w:ascii="Book Antiqua" w:hAnsi="Book Antiqua"/>
          <w:lang w:val="en-GB"/>
        </w:rPr>
        <w:t>ed</w:t>
      </w:r>
      <w:r w:rsidRPr="00F200E7">
        <w:rPr>
          <w:rFonts w:ascii="Book Antiqua" w:hAnsi="Book Antiqua"/>
          <w:lang w:val="en-GB"/>
        </w:rPr>
        <w:t xml:space="preserve"> less than the minimum wage. In addition, </w:t>
      </w:r>
      <w:r w:rsidR="00F759FD">
        <w:rPr>
          <w:rFonts w:ascii="Book Antiqua" w:hAnsi="Book Antiqua"/>
          <w:lang w:val="en-GB"/>
        </w:rPr>
        <w:t xml:space="preserve">as table 6.7 shows, the great majority of </w:t>
      </w:r>
      <w:r w:rsidRPr="00F200E7">
        <w:rPr>
          <w:rFonts w:ascii="Book Antiqua" w:hAnsi="Book Antiqua"/>
          <w:lang w:val="en-GB"/>
        </w:rPr>
        <w:t xml:space="preserve">agricultural workers have no education or low levels of schooling, which is the main obstacle to </w:t>
      </w:r>
      <w:r w:rsidR="005E754C" w:rsidRPr="00F200E7">
        <w:rPr>
          <w:rFonts w:ascii="Book Antiqua" w:hAnsi="Book Antiqua"/>
          <w:lang w:val="en-GB"/>
        </w:rPr>
        <w:t xml:space="preserve">moving </w:t>
      </w:r>
      <w:r w:rsidRPr="00F200E7">
        <w:rPr>
          <w:rFonts w:ascii="Book Antiqua" w:hAnsi="Book Antiqua"/>
          <w:lang w:val="en-GB"/>
        </w:rPr>
        <w:t>to better employment.</w:t>
      </w:r>
    </w:p>
    <w:p w:rsidR="00B35161" w:rsidRPr="00F200E7" w:rsidRDefault="00B35161" w:rsidP="00D12065">
      <w:pPr>
        <w:pStyle w:val="NoSpacing"/>
        <w:jc w:val="both"/>
        <w:rPr>
          <w:rFonts w:ascii="Book Antiqua" w:hAnsi="Book Antiqua"/>
          <w:lang w:val="en-GB"/>
        </w:rPr>
      </w:pPr>
    </w:p>
    <w:p w:rsidR="00824D54" w:rsidRDefault="003A542F" w:rsidP="00B831AB">
      <w:pPr>
        <w:pStyle w:val="Tabletitle"/>
      </w:pPr>
      <w:r w:rsidRPr="00F200E7">
        <w:t xml:space="preserve">Table </w:t>
      </w:r>
      <w:r w:rsidR="0085716A" w:rsidRPr="00F200E7">
        <w:t>6.</w:t>
      </w:r>
      <w:r w:rsidRPr="00F200E7">
        <w:t>7:</w:t>
      </w:r>
      <w:r w:rsidR="0085716A" w:rsidRPr="00F200E7">
        <w:tab/>
      </w:r>
      <w:r w:rsidRPr="00F200E7">
        <w:t>P</w:t>
      </w:r>
      <w:r w:rsidR="006D5640" w:rsidRPr="00F200E7">
        <w:t xml:space="preserve">ercentage </w:t>
      </w:r>
      <w:r w:rsidR="00F759FD">
        <w:t xml:space="preserve">distribution </w:t>
      </w:r>
      <w:r w:rsidR="006D5640" w:rsidRPr="00F200E7">
        <w:t>of agricultural workers by educational level</w:t>
      </w:r>
      <w:r w:rsidR="0085716A" w:rsidRPr="00F200E7">
        <w:t>,</w:t>
      </w:r>
      <w:r w:rsidR="006D5640" w:rsidRPr="00F200E7">
        <w:rPr>
          <w:rStyle w:val="FootnoteReference"/>
          <w:b w:val="0"/>
        </w:rPr>
        <w:footnoteReference w:id="6"/>
      </w:r>
      <w:r w:rsidR="0085716A" w:rsidRPr="00F200E7">
        <w:t xml:space="preserve"> Guatemala, </w:t>
      </w:r>
      <w:r w:rsidR="006D5640" w:rsidRPr="00F200E7">
        <w:t>2006</w:t>
      </w:r>
    </w:p>
    <w:tbl>
      <w:tblPr>
        <w:tblW w:w="5360" w:type="dxa"/>
        <w:jc w:val="center"/>
        <w:tblInd w:w="55" w:type="dxa"/>
        <w:tblCellMar>
          <w:left w:w="70" w:type="dxa"/>
          <w:right w:w="70" w:type="dxa"/>
        </w:tblCellMar>
        <w:tblLook w:val="04A0"/>
      </w:tblPr>
      <w:tblGrid>
        <w:gridCol w:w="4160"/>
        <w:gridCol w:w="1200"/>
      </w:tblGrid>
      <w:tr w:rsidR="006D5640" w:rsidRPr="00F200E7" w:rsidTr="006D5640">
        <w:trPr>
          <w:trHeight w:val="300"/>
          <w:jc w:val="center"/>
        </w:trPr>
        <w:tc>
          <w:tcPr>
            <w:tcW w:w="4160" w:type="dxa"/>
            <w:tcBorders>
              <w:top w:val="single" w:sz="4" w:space="0" w:color="auto"/>
              <w:left w:val="nil"/>
              <w:bottom w:val="single" w:sz="4" w:space="0" w:color="auto"/>
              <w:right w:val="nil"/>
            </w:tcBorders>
            <w:shd w:val="clear" w:color="auto" w:fill="auto"/>
            <w:noWrap/>
            <w:vAlign w:val="center"/>
          </w:tcPr>
          <w:p w:rsidR="006D5640" w:rsidRPr="00F200E7" w:rsidRDefault="006D5640" w:rsidP="006D5640">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Educational level</w:t>
            </w:r>
          </w:p>
        </w:tc>
        <w:tc>
          <w:tcPr>
            <w:tcW w:w="1200" w:type="dxa"/>
            <w:tcBorders>
              <w:top w:val="single" w:sz="4" w:space="0" w:color="auto"/>
              <w:left w:val="nil"/>
              <w:bottom w:val="single" w:sz="4" w:space="0" w:color="auto"/>
              <w:right w:val="nil"/>
            </w:tcBorders>
            <w:shd w:val="clear" w:color="auto" w:fill="auto"/>
            <w:noWrap/>
            <w:vAlign w:val="center"/>
          </w:tcPr>
          <w:p w:rsidR="006D5640" w:rsidRPr="00F200E7" w:rsidRDefault="006D5640" w:rsidP="006D5640">
            <w:pPr>
              <w:pStyle w:val="NoSpacing"/>
              <w:jc w:val="both"/>
              <w:rPr>
                <w:rFonts w:ascii="Book Antiqua" w:eastAsia="Times New Roman" w:hAnsi="Book Antiqua" w:cs="Calibri"/>
                <w:b/>
                <w:bCs/>
                <w:color w:val="000000"/>
                <w:sz w:val="20"/>
                <w:szCs w:val="20"/>
                <w:lang w:val="en-GB" w:eastAsia="es-GT"/>
              </w:rPr>
            </w:pPr>
            <w:r w:rsidRPr="00F200E7">
              <w:rPr>
                <w:rFonts w:ascii="Book Antiqua" w:eastAsia="Times New Roman" w:hAnsi="Book Antiqua" w:cs="Calibri"/>
                <w:b/>
                <w:bCs/>
                <w:color w:val="000000"/>
                <w:sz w:val="20"/>
                <w:szCs w:val="20"/>
                <w:lang w:val="en-GB" w:eastAsia="es-GT"/>
              </w:rPr>
              <w:t>Percentage</w:t>
            </w:r>
          </w:p>
        </w:tc>
      </w:tr>
      <w:tr w:rsidR="006D5640" w:rsidRPr="00F200E7" w:rsidTr="006D5640">
        <w:trPr>
          <w:trHeight w:val="300"/>
          <w:jc w:val="center"/>
        </w:trPr>
        <w:tc>
          <w:tcPr>
            <w:tcW w:w="4160" w:type="dxa"/>
            <w:tcBorders>
              <w:top w:val="single" w:sz="4" w:space="0" w:color="auto"/>
              <w:left w:val="nil"/>
              <w:bottom w:val="nil"/>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None</w:t>
            </w:r>
          </w:p>
        </w:tc>
        <w:tc>
          <w:tcPr>
            <w:tcW w:w="1200" w:type="dxa"/>
            <w:tcBorders>
              <w:top w:val="single" w:sz="4" w:space="0" w:color="auto"/>
              <w:left w:val="nil"/>
              <w:bottom w:val="nil"/>
              <w:right w:val="nil"/>
            </w:tcBorders>
            <w:shd w:val="clear" w:color="auto" w:fill="auto"/>
            <w:noWrap/>
            <w:vAlign w:val="bottom"/>
          </w:tcPr>
          <w:p w:rsidR="006D5640" w:rsidRPr="00F200E7" w:rsidRDefault="006D5640" w:rsidP="0085716A">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38.3</w:t>
            </w:r>
          </w:p>
        </w:tc>
      </w:tr>
      <w:tr w:rsidR="006D5640" w:rsidRPr="00F200E7" w:rsidTr="006D5640">
        <w:trPr>
          <w:trHeight w:val="300"/>
          <w:jc w:val="center"/>
        </w:trPr>
        <w:tc>
          <w:tcPr>
            <w:tcW w:w="4160" w:type="dxa"/>
            <w:tcBorders>
              <w:top w:val="nil"/>
              <w:left w:val="nil"/>
              <w:bottom w:val="nil"/>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Primary</w:t>
            </w:r>
          </w:p>
        </w:tc>
        <w:tc>
          <w:tcPr>
            <w:tcW w:w="1200" w:type="dxa"/>
            <w:tcBorders>
              <w:top w:val="nil"/>
              <w:left w:val="nil"/>
              <w:bottom w:val="nil"/>
              <w:right w:val="nil"/>
            </w:tcBorders>
            <w:shd w:val="clear" w:color="auto" w:fill="auto"/>
            <w:noWrap/>
            <w:vAlign w:val="bottom"/>
          </w:tcPr>
          <w:p w:rsidR="006D5640" w:rsidRPr="00F200E7" w:rsidRDefault="006D5640" w:rsidP="0085716A">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53.9</w:t>
            </w:r>
          </w:p>
        </w:tc>
      </w:tr>
      <w:tr w:rsidR="006D5640" w:rsidRPr="00F200E7" w:rsidTr="006D5640">
        <w:trPr>
          <w:trHeight w:val="300"/>
          <w:jc w:val="center"/>
        </w:trPr>
        <w:tc>
          <w:tcPr>
            <w:tcW w:w="4160" w:type="dxa"/>
            <w:tcBorders>
              <w:top w:val="nil"/>
              <w:left w:val="nil"/>
              <w:bottom w:val="nil"/>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Basic</w:t>
            </w:r>
          </w:p>
        </w:tc>
        <w:tc>
          <w:tcPr>
            <w:tcW w:w="1200" w:type="dxa"/>
            <w:tcBorders>
              <w:top w:val="nil"/>
              <w:left w:val="nil"/>
              <w:bottom w:val="nil"/>
              <w:right w:val="nil"/>
            </w:tcBorders>
            <w:shd w:val="clear" w:color="auto" w:fill="auto"/>
            <w:noWrap/>
            <w:vAlign w:val="bottom"/>
          </w:tcPr>
          <w:p w:rsidR="006D5640" w:rsidRPr="00F200E7" w:rsidRDefault="006D5640" w:rsidP="0085716A">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4.9</w:t>
            </w:r>
          </w:p>
        </w:tc>
      </w:tr>
      <w:tr w:rsidR="006D5640" w:rsidRPr="00F200E7" w:rsidTr="006D5640">
        <w:trPr>
          <w:trHeight w:val="300"/>
          <w:jc w:val="center"/>
        </w:trPr>
        <w:tc>
          <w:tcPr>
            <w:tcW w:w="4160" w:type="dxa"/>
            <w:tcBorders>
              <w:top w:val="nil"/>
              <w:left w:val="nil"/>
              <w:bottom w:val="nil"/>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Diversified</w:t>
            </w:r>
          </w:p>
        </w:tc>
        <w:tc>
          <w:tcPr>
            <w:tcW w:w="1200" w:type="dxa"/>
            <w:tcBorders>
              <w:top w:val="nil"/>
              <w:left w:val="nil"/>
              <w:bottom w:val="nil"/>
              <w:right w:val="nil"/>
            </w:tcBorders>
            <w:shd w:val="clear" w:color="auto" w:fill="auto"/>
            <w:noWrap/>
            <w:vAlign w:val="bottom"/>
          </w:tcPr>
          <w:p w:rsidR="006D5640" w:rsidRPr="00F200E7" w:rsidRDefault="006D5640" w:rsidP="0085716A">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1.6</w:t>
            </w:r>
          </w:p>
        </w:tc>
      </w:tr>
      <w:tr w:rsidR="006D5640" w:rsidRPr="00F200E7" w:rsidTr="006D5640">
        <w:trPr>
          <w:trHeight w:val="300"/>
          <w:jc w:val="center"/>
        </w:trPr>
        <w:tc>
          <w:tcPr>
            <w:tcW w:w="4160" w:type="dxa"/>
            <w:tcBorders>
              <w:top w:val="nil"/>
              <w:left w:val="nil"/>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Bachelor</w:t>
            </w:r>
          </w:p>
        </w:tc>
        <w:tc>
          <w:tcPr>
            <w:tcW w:w="1200" w:type="dxa"/>
            <w:tcBorders>
              <w:top w:val="nil"/>
              <w:left w:val="nil"/>
              <w:right w:val="nil"/>
            </w:tcBorders>
            <w:shd w:val="clear" w:color="auto" w:fill="auto"/>
            <w:noWrap/>
            <w:vAlign w:val="bottom"/>
          </w:tcPr>
          <w:p w:rsidR="006D5640" w:rsidRPr="00F200E7" w:rsidRDefault="006D5640" w:rsidP="006D5640">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0.4</w:t>
            </w:r>
          </w:p>
        </w:tc>
      </w:tr>
      <w:tr w:rsidR="006D5640" w:rsidRPr="00F200E7" w:rsidTr="006D5640">
        <w:trPr>
          <w:trHeight w:val="300"/>
          <w:jc w:val="center"/>
        </w:trPr>
        <w:tc>
          <w:tcPr>
            <w:tcW w:w="4160" w:type="dxa"/>
            <w:tcBorders>
              <w:top w:val="nil"/>
              <w:left w:val="nil"/>
              <w:bottom w:val="single" w:sz="4" w:space="0" w:color="auto"/>
              <w:right w:val="nil"/>
            </w:tcBorders>
            <w:shd w:val="clear" w:color="auto" w:fill="auto"/>
            <w:noWrap/>
            <w:vAlign w:val="bottom"/>
          </w:tcPr>
          <w:p w:rsidR="006D5640" w:rsidRPr="00F200E7" w:rsidRDefault="006D5640" w:rsidP="006D5640">
            <w:pPr>
              <w:pStyle w:val="NoSpacing"/>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Postgraduate</w:t>
            </w:r>
          </w:p>
        </w:tc>
        <w:tc>
          <w:tcPr>
            <w:tcW w:w="1200" w:type="dxa"/>
            <w:tcBorders>
              <w:top w:val="nil"/>
              <w:left w:val="nil"/>
              <w:bottom w:val="single" w:sz="4" w:space="0" w:color="auto"/>
              <w:right w:val="nil"/>
            </w:tcBorders>
            <w:shd w:val="clear" w:color="auto" w:fill="auto"/>
            <w:noWrap/>
            <w:vAlign w:val="bottom"/>
          </w:tcPr>
          <w:p w:rsidR="006D5640" w:rsidRPr="00F200E7" w:rsidRDefault="006D5640" w:rsidP="0085716A">
            <w:pPr>
              <w:pStyle w:val="NoSpacing"/>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w:t>
            </w:r>
          </w:p>
        </w:tc>
      </w:tr>
    </w:tbl>
    <w:p w:rsidR="005F2F9F" w:rsidRPr="00F200E7" w:rsidRDefault="005F2F9F" w:rsidP="005F2F9F">
      <w:pPr>
        <w:pStyle w:val="NoSpacing"/>
        <w:ind w:firstLine="720"/>
        <w:jc w:val="both"/>
        <w:rPr>
          <w:rFonts w:ascii="Book Antiqua" w:hAnsi="Book Antiqua"/>
          <w:sz w:val="18"/>
          <w:lang w:val="en-GB"/>
        </w:rPr>
      </w:pPr>
    </w:p>
    <w:p w:rsidR="006D5640" w:rsidRPr="00F200E7" w:rsidRDefault="006D5640" w:rsidP="006D5640">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85716A" w:rsidRPr="00F200E7">
        <w:rPr>
          <w:rFonts w:ascii="Book Antiqua" w:hAnsi="Book Antiqua"/>
          <w:sz w:val="18"/>
          <w:lang w:val="en-GB"/>
        </w:rPr>
        <w:t xml:space="preserve">from </w:t>
      </w:r>
      <w:r w:rsidRPr="00F200E7">
        <w:rPr>
          <w:rFonts w:ascii="Book Antiqua" w:hAnsi="Book Antiqua"/>
          <w:sz w:val="18"/>
          <w:lang w:val="en-GB"/>
        </w:rPr>
        <w:t>ENCOVI 2006 data.</w:t>
      </w:r>
    </w:p>
    <w:p w:rsidR="00B63F06" w:rsidRPr="00F200E7" w:rsidRDefault="00B63F06" w:rsidP="00D12065">
      <w:pPr>
        <w:pStyle w:val="NoSpacing"/>
        <w:jc w:val="both"/>
        <w:rPr>
          <w:rFonts w:ascii="Book Antiqua" w:hAnsi="Book Antiqua"/>
          <w:lang w:val="en-GB"/>
        </w:rPr>
      </w:pPr>
    </w:p>
    <w:p w:rsidR="007846AB" w:rsidRPr="00F200E7" w:rsidRDefault="007846AB" w:rsidP="00D12065">
      <w:pPr>
        <w:pStyle w:val="NoSpacing"/>
        <w:jc w:val="both"/>
        <w:rPr>
          <w:rFonts w:ascii="Book Antiqua" w:hAnsi="Book Antiqua"/>
          <w:lang w:val="en-GB"/>
        </w:rPr>
      </w:pPr>
    </w:p>
    <w:p w:rsidR="00EA5A49" w:rsidRPr="00F200E7" w:rsidRDefault="006D5640" w:rsidP="00EA5A49">
      <w:pPr>
        <w:pStyle w:val="NoSpacing"/>
        <w:jc w:val="both"/>
        <w:rPr>
          <w:rFonts w:ascii="Book Antiqua" w:hAnsi="Book Antiqua"/>
          <w:lang w:val="en-GB"/>
        </w:rPr>
      </w:pPr>
      <w:r w:rsidRPr="00F200E7">
        <w:rPr>
          <w:rFonts w:ascii="Book Antiqua" w:hAnsi="Book Antiqua"/>
          <w:lang w:val="en-GB"/>
        </w:rPr>
        <w:t xml:space="preserve">With respect to </w:t>
      </w:r>
      <w:r w:rsidR="00116FF7">
        <w:rPr>
          <w:rFonts w:ascii="Book Antiqua" w:hAnsi="Book Antiqua"/>
          <w:lang w:val="en-GB"/>
        </w:rPr>
        <w:t>social protection</w:t>
      </w:r>
      <w:r w:rsidRPr="00F200E7">
        <w:rPr>
          <w:rFonts w:ascii="Book Antiqua" w:hAnsi="Book Antiqua"/>
          <w:lang w:val="en-GB"/>
        </w:rPr>
        <w:t xml:space="preserve">, </w:t>
      </w:r>
      <w:r w:rsidR="00F660EA" w:rsidRPr="00F200E7">
        <w:rPr>
          <w:rFonts w:ascii="Book Antiqua" w:hAnsi="Book Antiqua"/>
          <w:lang w:val="en-GB"/>
        </w:rPr>
        <w:t xml:space="preserve">figure </w:t>
      </w:r>
      <w:r w:rsidR="00A13BD7" w:rsidRPr="00F200E7">
        <w:rPr>
          <w:rFonts w:ascii="Book Antiqua" w:hAnsi="Book Antiqua"/>
          <w:lang w:val="en-GB"/>
        </w:rPr>
        <w:t>6.</w:t>
      </w:r>
      <w:r w:rsidRPr="00F200E7">
        <w:rPr>
          <w:rFonts w:ascii="Book Antiqua" w:hAnsi="Book Antiqua"/>
          <w:lang w:val="en-GB"/>
        </w:rPr>
        <w:t xml:space="preserve">1 shows the number of </w:t>
      </w:r>
      <w:r w:rsidR="00113E17" w:rsidRPr="00F200E7">
        <w:rPr>
          <w:rFonts w:ascii="Book Antiqua" w:hAnsi="Book Antiqua"/>
          <w:lang w:val="en-GB"/>
        </w:rPr>
        <w:t xml:space="preserve">agricultural workers </w:t>
      </w:r>
      <w:r w:rsidR="00924941">
        <w:rPr>
          <w:rFonts w:ascii="Book Antiqua" w:hAnsi="Book Antiqua"/>
          <w:lang w:val="en-GB"/>
        </w:rPr>
        <w:t xml:space="preserve">affiliated </w:t>
      </w:r>
      <w:r w:rsidR="00065095">
        <w:rPr>
          <w:rFonts w:ascii="Book Antiqua" w:hAnsi="Book Antiqua"/>
          <w:lang w:val="en-GB"/>
        </w:rPr>
        <w:t>to</w:t>
      </w:r>
      <w:r w:rsidR="00AE174D">
        <w:rPr>
          <w:rFonts w:ascii="Book Antiqua" w:hAnsi="Book Antiqua"/>
          <w:lang w:val="en-GB"/>
        </w:rPr>
        <w:t xml:space="preserve"> </w:t>
      </w:r>
      <w:r w:rsidR="00924941">
        <w:rPr>
          <w:rFonts w:ascii="Book Antiqua" w:hAnsi="Book Antiqua"/>
          <w:lang w:val="en-GB"/>
        </w:rPr>
        <w:t xml:space="preserve">the </w:t>
      </w:r>
      <w:r w:rsidR="00924941" w:rsidRPr="00924941">
        <w:rPr>
          <w:rFonts w:ascii="Book Antiqua" w:hAnsi="Book Antiqua"/>
          <w:lang w:val="en-GB"/>
        </w:rPr>
        <w:t>Guatemalan Institute of Social Security (</w:t>
      </w:r>
      <w:proofErr w:type="spellStart"/>
      <w:r w:rsidR="00924941" w:rsidRPr="00924941">
        <w:rPr>
          <w:rFonts w:ascii="Book Antiqua" w:hAnsi="Book Antiqua"/>
          <w:lang w:val="en-GB"/>
        </w:rPr>
        <w:t>Instituto</w:t>
      </w:r>
      <w:proofErr w:type="spellEnd"/>
      <w:r w:rsidR="00924941" w:rsidRPr="00924941">
        <w:rPr>
          <w:rFonts w:ascii="Book Antiqua" w:hAnsi="Book Antiqua"/>
          <w:lang w:val="en-GB"/>
        </w:rPr>
        <w:t xml:space="preserve"> </w:t>
      </w:r>
      <w:proofErr w:type="spellStart"/>
      <w:r w:rsidR="00924941" w:rsidRPr="00924941">
        <w:rPr>
          <w:rFonts w:ascii="Book Antiqua" w:hAnsi="Book Antiqua"/>
          <w:lang w:val="en-GB"/>
        </w:rPr>
        <w:t>Gua</w:t>
      </w:r>
      <w:r w:rsidR="00924941">
        <w:rPr>
          <w:rFonts w:ascii="Book Antiqua" w:hAnsi="Book Antiqua"/>
          <w:lang w:val="en-GB"/>
        </w:rPr>
        <w:t>temalteco</w:t>
      </w:r>
      <w:proofErr w:type="spellEnd"/>
      <w:r w:rsidR="00924941">
        <w:rPr>
          <w:rFonts w:ascii="Book Antiqua" w:hAnsi="Book Antiqua"/>
          <w:lang w:val="en-GB"/>
        </w:rPr>
        <w:t xml:space="preserve"> de </w:t>
      </w:r>
      <w:proofErr w:type="spellStart"/>
      <w:r w:rsidR="00924941">
        <w:rPr>
          <w:rFonts w:ascii="Book Antiqua" w:hAnsi="Book Antiqua"/>
          <w:lang w:val="en-GB"/>
        </w:rPr>
        <w:t>Seguridad</w:t>
      </w:r>
      <w:proofErr w:type="spellEnd"/>
      <w:r w:rsidR="00924941">
        <w:rPr>
          <w:rFonts w:ascii="Book Antiqua" w:hAnsi="Book Antiqua"/>
          <w:lang w:val="en-GB"/>
        </w:rPr>
        <w:t xml:space="preserve"> Social, </w:t>
      </w:r>
      <w:r w:rsidR="00F007F4">
        <w:rPr>
          <w:rFonts w:ascii="Book Antiqua" w:hAnsi="Book Antiqua"/>
          <w:lang w:val="en-GB"/>
        </w:rPr>
        <w:t xml:space="preserve">or </w:t>
      </w:r>
      <w:r w:rsidR="00924941">
        <w:rPr>
          <w:rFonts w:ascii="Book Antiqua" w:hAnsi="Book Antiqua"/>
          <w:lang w:val="en-GB"/>
        </w:rPr>
        <w:t xml:space="preserve">IGSS) </w:t>
      </w:r>
      <w:r w:rsidR="00643644" w:rsidRPr="00F200E7">
        <w:rPr>
          <w:rFonts w:ascii="Book Antiqua" w:hAnsi="Book Antiqua"/>
          <w:lang w:val="en-GB"/>
        </w:rPr>
        <w:t>over the first decade of the century</w:t>
      </w:r>
      <w:r w:rsidR="00113E17" w:rsidRPr="00F200E7">
        <w:rPr>
          <w:rFonts w:ascii="Book Antiqua" w:hAnsi="Book Antiqua"/>
          <w:lang w:val="en-GB"/>
        </w:rPr>
        <w:t>.</w:t>
      </w:r>
      <w:r w:rsidR="00AE174D">
        <w:rPr>
          <w:rFonts w:ascii="Book Antiqua" w:hAnsi="Book Antiqua"/>
          <w:lang w:val="en-GB"/>
        </w:rPr>
        <w:t xml:space="preserve"> </w:t>
      </w:r>
      <w:r w:rsidR="00924941">
        <w:rPr>
          <w:rFonts w:ascii="Book Antiqua" w:hAnsi="Book Antiqua"/>
          <w:lang w:val="en-GB"/>
        </w:rPr>
        <w:t>All workers</w:t>
      </w:r>
      <w:r w:rsidR="00924941" w:rsidRPr="00924941">
        <w:rPr>
          <w:rFonts w:ascii="Book Antiqua" w:hAnsi="Book Antiqua"/>
          <w:lang w:val="en-GB"/>
        </w:rPr>
        <w:t xml:space="preserve"> affiliated to the IGSS are deemed to be in the formal sector.</w:t>
      </w:r>
      <w:r w:rsidR="00AE174D">
        <w:rPr>
          <w:rFonts w:ascii="Book Antiqua" w:hAnsi="Book Antiqua"/>
          <w:lang w:val="en-GB"/>
        </w:rPr>
        <w:t xml:space="preserve"> </w:t>
      </w:r>
      <w:r w:rsidR="00077977" w:rsidRPr="00F200E7">
        <w:rPr>
          <w:rFonts w:ascii="Book Antiqua" w:hAnsi="Book Antiqua"/>
          <w:lang w:val="en-GB"/>
        </w:rPr>
        <w:t>In 2006 the number of agricultural workers affiliated to the IGSS was 140,544</w:t>
      </w:r>
      <w:r w:rsidR="00065095">
        <w:rPr>
          <w:rFonts w:ascii="Book Antiqua" w:hAnsi="Book Antiqua"/>
          <w:lang w:val="en-GB"/>
        </w:rPr>
        <w:t xml:space="preserve">, </w:t>
      </w:r>
      <w:r w:rsidR="00077977" w:rsidRPr="00F200E7">
        <w:rPr>
          <w:rFonts w:ascii="Book Antiqua" w:hAnsi="Book Antiqua"/>
          <w:lang w:val="en-GB"/>
        </w:rPr>
        <w:t>while the total number of employees, both formal and informal, in the agricultural sector was 1,229,212</w:t>
      </w:r>
      <w:r w:rsidR="00065095">
        <w:rPr>
          <w:rFonts w:ascii="Book Antiqua" w:hAnsi="Book Antiqua"/>
          <w:lang w:val="en-GB"/>
        </w:rPr>
        <w:t xml:space="preserve">. Thus, only </w:t>
      </w:r>
      <w:r w:rsidR="00077977" w:rsidRPr="00F200E7">
        <w:rPr>
          <w:rFonts w:ascii="Book Antiqua" w:hAnsi="Book Antiqua"/>
          <w:lang w:val="en-GB"/>
        </w:rPr>
        <w:t xml:space="preserve">11.4 </w:t>
      </w:r>
      <w:r w:rsidR="00EA5A49" w:rsidRPr="00F200E7">
        <w:rPr>
          <w:rFonts w:ascii="Book Antiqua" w:hAnsi="Book Antiqua"/>
          <w:lang w:val="en-GB"/>
        </w:rPr>
        <w:t>per cent of</w:t>
      </w:r>
      <w:r w:rsidR="00904929">
        <w:rPr>
          <w:rFonts w:ascii="Book Antiqua" w:hAnsi="Book Antiqua"/>
          <w:lang w:val="en-GB"/>
        </w:rPr>
        <w:t xml:space="preserve"> Guatemala’s</w:t>
      </w:r>
      <w:r w:rsidR="00EA5A49" w:rsidRPr="00F200E7">
        <w:rPr>
          <w:rFonts w:ascii="Book Antiqua" w:hAnsi="Book Antiqua"/>
          <w:lang w:val="en-GB"/>
        </w:rPr>
        <w:t xml:space="preserve"> agricultural workers </w:t>
      </w:r>
      <w:r w:rsidR="00077977" w:rsidRPr="00F200E7">
        <w:rPr>
          <w:rFonts w:ascii="Book Antiqua" w:hAnsi="Book Antiqua"/>
          <w:lang w:val="en-GB"/>
        </w:rPr>
        <w:t xml:space="preserve">were </w:t>
      </w:r>
      <w:r w:rsidR="00EA5A49" w:rsidRPr="00F200E7">
        <w:rPr>
          <w:rFonts w:ascii="Book Antiqua" w:hAnsi="Book Antiqua"/>
          <w:lang w:val="en-GB"/>
        </w:rPr>
        <w:t>in the formal sector.</w:t>
      </w:r>
    </w:p>
    <w:p w:rsidR="00E65CED" w:rsidRPr="00F200E7" w:rsidRDefault="00E65CED" w:rsidP="0020111F">
      <w:pPr>
        <w:pStyle w:val="NoSpacing"/>
        <w:rPr>
          <w:rFonts w:ascii="Book Antiqua" w:hAnsi="Book Antiqua"/>
          <w:b/>
          <w:lang w:val="en-GB"/>
        </w:rPr>
      </w:pPr>
    </w:p>
    <w:p w:rsidR="00E65CED" w:rsidRPr="00F200E7" w:rsidRDefault="00E65CED" w:rsidP="0020111F">
      <w:pPr>
        <w:pStyle w:val="NoSpacing"/>
        <w:rPr>
          <w:rFonts w:ascii="Book Antiqua" w:hAnsi="Book Antiqua"/>
          <w:b/>
          <w:lang w:val="en-GB"/>
        </w:rPr>
      </w:pPr>
    </w:p>
    <w:p w:rsidR="00E65CED" w:rsidRPr="00F200E7" w:rsidRDefault="006D5640" w:rsidP="0020111F">
      <w:pPr>
        <w:pStyle w:val="NoSpacing"/>
        <w:keepNext/>
        <w:rPr>
          <w:rFonts w:ascii="Book Antiqua" w:hAnsi="Book Antiqua"/>
          <w:b/>
          <w:lang w:val="en-GB"/>
        </w:rPr>
      </w:pPr>
      <w:r w:rsidRPr="00F200E7">
        <w:rPr>
          <w:rFonts w:ascii="Book Antiqua" w:hAnsi="Book Antiqua"/>
          <w:b/>
          <w:lang w:val="en-GB"/>
        </w:rPr>
        <w:t xml:space="preserve">Figure </w:t>
      </w:r>
      <w:r w:rsidR="00A13BD7" w:rsidRPr="00F200E7">
        <w:rPr>
          <w:rFonts w:ascii="Book Antiqua" w:hAnsi="Book Antiqua"/>
          <w:b/>
          <w:lang w:val="en-GB"/>
        </w:rPr>
        <w:t>6.</w:t>
      </w:r>
      <w:r w:rsidRPr="00F200E7">
        <w:rPr>
          <w:rFonts w:ascii="Book Antiqua" w:hAnsi="Book Antiqua"/>
          <w:b/>
          <w:lang w:val="en-GB"/>
        </w:rPr>
        <w:t xml:space="preserve">1: </w:t>
      </w:r>
      <w:r w:rsidR="00A13BD7" w:rsidRPr="00F200E7">
        <w:rPr>
          <w:rFonts w:ascii="Book Antiqua" w:hAnsi="Book Antiqua"/>
          <w:b/>
          <w:lang w:val="en-GB"/>
        </w:rPr>
        <w:tab/>
      </w:r>
      <w:r w:rsidRPr="00F200E7">
        <w:rPr>
          <w:rFonts w:ascii="Book Antiqua" w:hAnsi="Book Antiqua"/>
          <w:b/>
          <w:lang w:val="en-GB"/>
        </w:rPr>
        <w:t>Number of agricultural workers affiliated to the IGSS</w:t>
      </w:r>
      <w:r w:rsidR="00A13BD7" w:rsidRPr="00F200E7">
        <w:rPr>
          <w:rFonts w:ascii="Book Antiqua" w:hAnsi="Book Antiqua"/>
          <w:b/>
          <w:lang w:val="en-GB"/>
        </w:rPr>
        <w:t xml:space="preserve">, </w:t>
      </w:r>
      <w:r w:rsidRPr="00F200E7">
        <w:rPr>
          <w:rFonts w:ascii="Book Antiqua" w:hAnsi="Book Antiqua"/>
          <w:b/>
          <w:lang w:val="en-GB"/>
        </w:rPr>
        <w:t>2001</w:t>
      </w:r>
      <w:r w:rsidR="00A13BD7" w:rsidRPr="00F200E7">
        <w:rPr>
          <w:rFonts w:ascii="Book Antiqua" w:hAnsi="Book Antiqua"/>
          <w:b/>
          <w:lang w:val="en-GB"/>
        </w:rPr>
        <w:t>–</w:t>
      </w:r>
      <w:r w:rsidRPr="00F200E7">
        <w:rPr>
          <w:rFonts w:ascii="Book Antiqua" w:hAnsi="Book Antiqua"/>
          <w:b/>
          <w:lang w:val="en-GB"/>
        </w:rPr>
        <w:t>2010</w:t>
      </w:r>
    </w:p>
    <w:p w:rsidR="005F2F9F" w:rsidRPr="00F200E7" w:rsidRDefault="003B17F2" w:rsidP="005F2F9F">
      <w:pPr>
        <w:pStyle w:val="NoSpacing"/>
        <w:jc w:val="center"/>
        <w:rPr>
          <w:rFonts w:ascii="Book Antiqua" w:hAnsi="Book Antiqua"/>
          <w:lang w:val="en-GB"/>
        </w:rPr>
      </w:pPr>
      <w:r w:rsidRPr="00F200E7">
        <w:rPr>
          <w:noProof/>
          <w:lang w:val="en-GB" w:eastAsia="en-GB"/>
        </w:rPr>
        <w:drawing>
          <wp:inline distT="0" distB="0" distL="0" distR="0">
            <wp:extent cx="3600450" cy="18002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5640" w:rsidRPr="00F200E7" w:rsidRDefault="006D5640" w:rsidP="006D5640">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113E17" w:rsidRPr="00F200E7">
        <w:rPr>
          <w:rFonts w:ascii="Book Antiqua" w:hAnsi="Book Antiqua"/>
          <w:sz w:val="18"/>
          <w:lang w:val="en-GB"/>
        </w:rPr>
        <w:t xml:space="preserve">from </w:t>
      </w:r>
      <w:r w:rsidRPr="00F200E7">
        <w:rPr>
          <w:rFonts w:ascii="Book Antiqua" w:hAnsi="Book Antiqua"/>
          <w:sz w:val="18"/>
          <w:lang w:val="en-GB"/>
        </w:rPr>
        <w:t>IGSS data.</w:t>
      </w:r>
    </w:p>
    <w:p w:rsidR="006D5640" w:rsidRPr="00F200E7" w:rsidRDefault="006D5640" w:rsidP="006D5640">
      <w:pPr>
        <w:pStyle w:val="NoSpacing"/>
        <w:jc w:val="both"/>
        <w:rPr>
          <w:rFonts w:ascii="Book Antiqua" w:hAnsi="Book Antiqua"/>
          <w:lang w:val="en-GB"/>
        </w:rPr>
      </w:pPr>
    </w:p>
    <w:p w:rsidR="000720A2" w:rsidRPr="00F200E7" w:rsidRDefault="005B5B1D" w:rsidP="005B5B1D">
      <w:pPr>
        <w:pStyle w:val="NoSpacing"/>
        <w:jc w:val="both"/>
        <w:rPr>
          <w:rFonts w:ascii="Book Antiqua" w:hAnsi="Book Antiqua"/>
          <w:lang w:val="en-GB"/>
        </w:rPr>
      </w:pPr>
      <w:r w:rsidRPr="00F200E7">
        <w:rPr>
          <w:rFonts w:ascii="Book Antiqua" w:hAnsi="Book Antiqua"/>
          <w:lang w:val="en-GB"/>
        </w:rPr>
        <w:t>The number of agricultural workers affiliated to the IGSS generally decreased over the 10-year period, particularly in the earlier years, followed by fluctuation in the later years. With the information available, it cannot be determined if</w:t>
      </w:r>
      <w:r w:rsidR="00AE174D">
        <w:rPr>
          <w:rFonts w:ascii="Book Antiqua" w:hAnsi="Book Antiqua"/>
          <w:lang w:val="en-GB"/>
        </w:rPr>
        <w:t xml:space="preserve"> </w:t>
      </w:r>
      <w:r w:rsidRPr="00F200E7">
        <w:rPr>
          <w:rFonts w:ascii="Book Antiqua" w:hAnsi="Book Antiqua"/>
          <w:lang w:val="en-GB"/>
        </w:rPr>
        <w:t>t</w:t>
      </w:r>
      <w:r w:rsidR="000720A2" w:rsidRPr="00F200E7">
        <w:rPr>
          <w:rFonts w:ascii="Book Antiqua" w:hAnsi="Book Antiqua"/>
          <w:lang w:val="en-GB"/>
        </w:rPr>
        <w:t xml:space="preserve">he decrease between 2001 and 2006 </w:t>
      </w:r>
      <w:r w:rsidRPr="00F200E7">
        <w:rPr>
          <w:rFonts w:ascii="Book Antiqua" w:hAnsi="Book Antiqua"/>
          <w:lang w:val="en-GB"/>
        </w:rPr>
        <w:t>reflects</w:t>
      </w:r>
      <w:r w:rsidR="000720A2" w:rsidRPr="00F200E7">
        <w:rPr>
          <w:rFonts w:ascii="Book Antiqua" w:hAnsi="Book Antiqua"/>
          <w:lang w:val="en-GB"/>
        </w:rPr>
        <w:t xml:space="preserve"> an exodus from the agricultural sector to other sectors of the economy, or if there was</w:t>
      </w:r>
      <w:r w:rsidR="00744913">
        <w:rPr>
          <w:rFonts w:ascii="Book Antiqua" w:hAnsi="Book Antiqua"/>
          <w:lang w:val="en-GB"/>
        </w:rPr>
        <w:t xml:space="preserve"> a shift from the formal to the informal</w:t>
      </w:r>
      <w:r w:rsidR="00AE174D">
        <w:rPr>
          <w:rFonts w:ascii="Book Antiqua" w:hAnsi="Book Antiqua"/>
          <w:lang w:val="en-GB"/>
        </w:rPr>
        <w:t xml:space="preserve"> </w:t>
      </w:r>
      <w:r w:rsidR="00744913" w:rsidRPr="00F200E7">
        <w:rPr>
          <w:rFonts w:ascii="Book Antiqua" w:hAnsi="Book Antiqua"/>
          <w:lang w:val="en-GB"/>
        </w:rPr>
        <w:t>agricultur</w:t>
      </w:r>
      <w:r w:rsidR="00744913">
        <w:rPr>
          <w:rFonts w:ascii="Book Antiqua" w:hAnsi="Book Antiqua"/>
          <w:lang w:val="en-GB"/>
        </w:rPr>
        <w:t>al</w:t>
      </w:r>
      <w:r w:rsidR="00AE174D">
        <w:rPr>
          <w:rFonts w:ascii="Book Antiqua" w:hAnsi="Book Antiqua"/>
          <w:lang w:val="en-GB"/>
        </w:rPr>
        <w:t xml:space="preserve"> </w:t>
      </w:r>
      <w:r w:rsidR="000720A2" w:rsidRPr="00F200E7">
        <w:rPr>
          <w:rFonts w:ascii="Book Antiqua" w:hAnsi="Book Antiqua"/>
          <w:lang w:val="en-GB"/>
        </w:rPr>
        <w:t>sector. From 2001 to 2006 the contribution of agriculture</w:t>
      </w:r>
      <w:r w:rsidR="00D5475E" w:rsidRPr="00F200E7">
        <w:rPr>
          <w:rFonts w:ascii="Book Antiqua" w:hAnsi="Book Antiqua"/>
          <w:lang w:val="en-GB"/>
        </w:rPr>
        <w:t xml:space="preserve"> to GDP</w:t>
      </w:r>
      <w:r w:rsidR="00AE174D">
        <w:rPr>
          <w:rFonts w:ascii="Book Antiqua" w:hAnsi="Book Antiqua"/>
          <w:lang w:val="en-GB"/>
        </w:rPr>
        <w:t xml:space="preserve"> </w:t>
      </w:r>
      <w:r w:rsidR="00065095">
        <w:rPr>
          <w:rFonts w:ascii="Book Antiqua" w:hAnsi="Book Antiqua"/>
          <w:lang w:val="en-GB"/>
        </w:rPr>
        <w:t>declined</w:t>
      </w:r>
      <w:r w:rsidR="00AE174D">
        <w:rPr>
          <w:rFonts w:ascii="Book Antiqua" w:hAnsi="Book Antiqua"/>
          <w:lang w:val="en-GB"/>
        </w:rPr>
        <w:t xml:space="preserve"> </w:t>
      </w:r>
      <w:r w:rsidR="000720A2" w:rsidRPr="00F200E7">
        <w:rPr>
          <w:rFonts w:ascii="Book Antiqua" w:hAnsi="Book Antiqua"/>
          <w:lang w:val="en-GB"/>
        </w:rPr>
        <w:t>from 15% to 11%</w:t>
      </w:r>
      <w:r w:rsidR="005C74B1" w:rsidRPr="00F200E7">
        <w:rPr>
          <w:rFonts w:ascii="Book Antiqua" w:hAnsi="Book Antiqua"/>
          <w:lang w:val="en-GB"/>
        </w:rPr>
        <w:t>.</w:t>
      </w:r>
      <w:r w:rsidR="004A3870" w:rsidRPr="00F200E7">
        <w:rPr>
          <w:rStyle w:val="FootnoteReference"/>
          <w:rFonts w:ascii="Book Antiqua" w:hAnsi="Book Antiqua"/>
          <w:lang w:val="en-GB"/>
        </w:rPr>
        <w:footnoteReference w:id="7"/>
      </w:r>
    </w:p>
    <w:p w:rsidR="000720A2" w:rsidRPr="00F200E7" w:rsidRDefault="000720A2" w:rsidP="000720A2">
      <w:pPr>
        <w:pStyle w:val="NoSpacing"/>
        <w:jc w:val="both"/>
        <w:rPr>
          <w:rFonts w:ascii="Book Antiqua" w:hAnsi="Book Antiqua"/>
          <w:lang w:val="en-GB"/>
        </w:rPr>
      </w:pPr>
    </w:p>
    <w:p w:rsidR="000720A2" w:rsidRPr="00F200E7" w:rsidRDefault="000720A2" w:rsidP="000720A2">
      <w:pPr>
        <w:pStyle w:val="NoSpacing"/>
        <w:jc w:val="both"/>
        <w:rPr>
          <w:rFonts w:ascii="Book Antiqua" w:hAnsi="Book Antiqua"/>
          <w:lang w:val="en-GB"/>
        </w:rPr>
      </w:pPr>
      <w:r w:rsidRPr="00F200E7">
        <w:rPr>
          <w:rFonts w:ascii="Book Antiqua" w:hAnsi="Book Antiqua"/>
          <w:lang w:val="en-GB"/>
        </w:rPr>
        <w:t xml:space="preserve">Since ENCOVI </w:t>
      </w:r>
      <w:r w:rsidR="00A87F3F" w:rsidRPr="00F200E7">
        <w:rPr>
          <w:rFonts w:ascii="Book Antiqua" w:hAnsi="Book Antiqua"/>
          <w:lang w:val="en-GB"/>
        </w:rPr>
        <w:t>ask</w:t>
      </w:r>
      <w:r w:rsidR="00224E54" w:rsidRPr="00F200E7">
        <w:rPr>
          <w:rFonts w:ascii="Book Antiqua" w:hAnsi="Book Antiqua"/>
          <w:lang w:val="en-GB"/>
        </w:rPr>
        <w:t>ed</w:t>
      </w:r>
      <w:r w:rsidR="00AE174D">
        <w:rPr>
          <w:rFonts w:ascii="Book Antiqua" w:hAnsi="Book Antiqua"/>
          <w:lang w:val="en-GB"/>
        </w:rPr>
        <w:t xml:space="preserve"> </w:t>
      </w:r>
      <w:r w:rsidRPr="00F200E7">
        <w:rPr>
          <w:rFonts w:ascii="Book Antiqua" w:hAnsi="Book Antiqua"/>
          <w:lang w:val="en-GB"/>
        </w:rPr>
        <w:t xml:space="preserve">about IGSS affiliation, it is </w:t>
      </w:r>
      <w:r w:rsidR="00A87F3F" w:rsidRPr="00F200E7">
        <w:rPr>
          <w:rFonts w:ascii="Book Antiqua" w:hAnsi="Book Antiqua"/>
          <w:lang w:val="en-GB"/>
        </w:rPr>
        <w:t xml:space="preserve">possible </w:t>
      </w:r>
      <w:r w:rsidRPr="00F200E7">
        <w:rPr>
          <w:rFonts w:ascii="Book Antiqua" w:hAnsi="Book Antiqua"/>
          <w:lang w:val="en-GB"/>
        </w:rPr>
        <w:t xml:space="preserve">to compare the results of this question </w:t>
      </w:r>
      <w:r w:rsidR="00C93473">
        <w:rPr>
          <w:rFonts w:ascii="Book Antiqua" w:hAnsi="Book Antiqua"/>
          <w:lang w:val="en-GB"/>
        </w:rPr>
        <w:t>with</w:t>
      </w:r>
      <w:r w:rsidR="00AE174D">
        <w:rPr>
          <w:rFonts w:ascii="Book Antiqua" w:hAnsi="Book Antiqua"/>
          <w:lang w:val="en-GB"/>
        </w:rPr>
        <w:t xml:space="preserve"> </w:t>
      </w:r>
      <w:r w:rsidRPr="00F200E7">
        <w:rPr>
          <w:rFonts w:ascii="Book Antiqua" w:hAnsi="Book Antiqua"/>
          <w:lang w:val="en-GB"/>
        </w:rPr>
        <w:t>the records of the social insurance</w:t>
      </w:r>
      <w:r w:rsidR="00A87F3F" w:rsidRPr="00F200E7">
        <w:rPr>
          <w:rFonts w:ascii="Book Antiqua" w:hAnsi="Book Antiqua"/>
          <w:lang w:val="en-GB"/>
        </w:rPr>
        <w:t xml:space="preserve"> agency</w:t>
      </w:r>
      <w:r w:rsidR="00065095">
        <w:rPr>
          <w:rFonts w:ascii="Book Antiqua" w:hAnsi="Book Antiqua"/>
          <w:lang w:val="en-GB"/>
        </w:rPr>
        <w:t>,</w:t>
      </w:r>
      <w:r w:rsidR="00AE174D">
        <w:rPr>
          <w:rFonts w:ascii="Book Antiqua" w:hAnsi="Book Antiqua"/>
          <w:lang w:val="en-GB"/>
        </w:rPr>
        <w:t xml:space="preserve"> </w:t>
      </w:r>
      <w:r w:rsidR="00A40A81" w:rsidRPr="00F200E7">
        <w:rPr>
          <w:rFonts w:ascii="Book Antiqua" w:hAnsi="Book Antiqua"/>
          <w:lang w:val="en-GB"/>
        </w:rPr>
        <w:t xml:space="preserve">as </w:t>
      </w:r>
      <w:r w:rsidR="00065095">
        <w:rPr>
          <w:rFonts w:ascii="Book Antiqua" w:hAnsi="Book Antiqua"/>
          <w:lang w:val="en-GB"/>
        </w:rPr>
        <w:t xml:space="preserve">is </w:t>
      </w:r>
      <w:r w:rsidR="00A40A81" w:rsidRPr="00F200E7">
        <w:rPr>
          <w:rFonts w:ascii="Book Antiqua" w:hAnsi="Book Antiqua"/>
          <w:lang w:val="en-GB"/>
        </w:rPr>
        <w:t xml:space="preserve">done in </w:t>
      </w:r>
      <w:r w:rsidR="00A87F3F" w:rsidRPr="00F200E7">
        <w:rPr>
          <w:rFonts w:ascii="Book Antiqua" w:hAnsi="Book Antiqua"/>
          <w:lang w:val="en-GB"/>
        </w:rPr>
        <w:t>table 6.8 for 2006</w:t>
      </w:r>
      <w:r w:rsidRPr="00F200E7">
        <w:rPr>
          <w:rFonts w:ascii="Book Antiqua" w:hAnsi="Book Antiqua"/>
          <w:lang w:val="en-GB"/>
        </w:rPr>
        <w:t xml:space="preserve">. </w:t>
      </w:r>
    </w:p>
    <w:p w:rsidR="00D7513D" w:rsidRPr="00F200E7" w:rsidRDefault="00D7513D" w:rsidP="00D12065">
      <w:pPr>
        <w:pStyle w:val="NoSpacing"/>
        <w:jc w:val="both"/>
        <w:rPr>
          <w:rFonts w:ascii="Book Antiqua" w:hAnsi="Book Antiqua"/>
          <w:lang w:val="en-GB"/>
        </w:rPr>
      </w:pPr>
    </w:p>
    <w:p w:rsidR="00E65CED" w:rsidRPr="00F200E7" w:rsidRDefault="000720A2" w:rsidP="00A40A81">
      <w:pPr>
        <w:pStyle w:val="NoSpacing"/>
        <w:ind w:left="1440" w:hanging="1440"/>
        <w:rPr>
          <w:rFonts w:ascii="Book Antiqua" w:hAnsi="Book Antiqua"/>
          <w:lang w:val="en-GB"/>
        </w:rPr>
      </w:pPr>
      <w:r w:rsidRPr="00F200E7">
        <w:rPr>
          <w:rFonts w:ascii="Book Antiqua" w:hAnsi="Book Antiqua"/>
          <w:b/>
          <w:lang w:val="en-GB"/>
        </w:rPr>
        <w:t xml:space="preserve">Table </w:t>
      </w:r>
      <w:r w:rsidR="00A87F3F" w:rsidRPr="00F200E7">
        <w:rPr>
          <w:rFonts w:ascii="Book Antiqua" w:hAnsi="Book Antiqua"/>
          <w:b/>
          <w:lang w:val="en-GB"/>
        </w:rPr>
        <w:t>6</w:t>
      </w:r>
      <w:r w:rsidR="00BB7B74" w:rsidRPr="00F200E7">
        <w:rPr>
          <w:rFonts w:ascii="Book Antiqua" w:hAnsi="Book Antiqua"/>
          <w:b/>
          <w:lang w:val="en-GB"/>
        </w:rPr>
        <w:t>.</w:t>
      </w:r>
      <w:r w:rsidRPr="00F200E7">
        <w:rPr>
          <w:rFonts w:ascii="Book Antiqua" w:hAnsi="Book Antiqua"/>
          <w:b/>
          <w:lang w:val="en-GB"/>
        </w:rPr>
        <w:t>8:</w:t>
      </w:r>
      <w:r w:rsidR="00A87F3F" w:rsidRPr="00F200E7">
        <w:rPr>
          <w:rFonts w:ascii="Book Antiqua" w:hAnsi="Book Antiqua"/>
          <w:b/>
          <w:lang w:val="en-GB"/>
        </w:rPr>
        <w:tab/>
        <w:t xml:space="preserve">Comparison of numbers affiliated to social insurance as reported by </w:t>
      </w:r>
      <w:r w:rsidRPr="00F200E7">
        <w:rPr>
          <w:rFonts w:ascii="Book Antiqua" w:hAnsi="Book Antiqua"/>
          <w:b/>
          <w:lang w:val="en-GB"/>
        </w:rPr>
        <w:t>ENCOVI 2006 and IGSS</w:t>
      </w:r>
      <w:r w:rsidR="00A87F3F" w:rsidRPr="00F200E7">
        <w:rPr>
          <w:rFonts w:ascii="Book Antiqua" w:hAnsi="Book Antiqua"/>
          <w:b/>
          <w:lang w:val="en-GB"/>
        </w:rPr>
        <w:t xml:space="preserve">, </w:t>
      </w:r>
      <w:r w:rsidRPr="00F200E7">
        <w:rPr>
          <w:rFonts w:ascii="Book Antiqua" w:hAnsi="Book Antiqua"/>
          <w:b/>
          <w:lang w:val="en-GB"/>
        </w:rPr>
        <w:t>2006</w:t>
      </w:r>
    </w:p>
    <w:p w:rsidR="000720A2" w:rsidRPr="00F200E7" w:rsidRDefault="000720A2" w:rsidP="000720A2">
      <w:pPr>
        <w:pStyle w:val="NoSpacing"/>
        <w:jc w:val="both"/>
        <w:rPr>
          <w:rFonts w:ascii="Book Antiqua" w:hAnsi="Book Antiqua"/>
          <w:lang w:val="en-GB"/>
        </w:rPr>
      </w:pPr>
    </w:p>
    <w:tbl>
      <w:tblPr>
        <w:tblW w:w="4618" w:type="pct"/>
        <w:jc w:val="center"/>
        <w:tblCellMar>
          <w:left w:w="70" w:type="dxa"/>
          <w:right w:w="70" w:type="dxa"/>
        </w:tblCellMar>
        <w:tblLook w:val="04A0"/>
      </w:tblPr>
      <w:tblGrid>
        <w:gridCol w:w="4243"/>
        <w:gridCol w:w="1232"/>
        <w:gridCol w:w="1182"/>
        <w:gridCol w:w="1635"/>
      </w:tblGrid>
      <w:tr w:rsidR="000720A2" w:rsidRPr="00F200E7" w:rsidTr="00744913">
        <w:trPr>
          <w:trHeight w:val="300"/>
          <w:jc w:val="center"/>
        </w:trPr>
        <w:tc>
          <w:tcPr>
            <w:tcW w:w="2558" w:type="pct"/>
            <w:tcBorders>
              <w:top w:val="single" w:sz="4" w:space="0" w:color="auto"/>
              <w:bottom w:val="single" w:sz="4" w:space="0" w:color="auto"/>
            </w:tcBorders>
            <w:shd w:val="clear" w:color="auto" w:fill="auto"/>
            <w:noWrap/>
            <w:vAlign w:val="bottom"/>
          </w:tcPr>
          <w:p w:rsidR="000720A2" w:rsidRPr="00F200E7" w:rsidRDefault="000720A2" w:rsidP="000720A2">
            <w:pPr>
              <w:spacing w:after="0" w:line="240" w:lineRule="auto"/>
              <w:jc w:val="both"/>
              <w:rPr>
                <w:rFonts w:ascii="Book Antiqua" w:eastAsia="Times New Roman" w:hAnsi="Book Antiqua" w:cs="Calibri"/>
                <w:b/>
                <w:color w:val="000000"/>
                <w:sz w:val="20"/>
                <w:szCs w:val="20"/>
                <w:lang w:val="en-GB" w:eastAsia="es-GT"/>
              </w:rPr>
            </w:pPr>
          </w:p>
        </w:tc>
        <w:tc>
          <w:tcPr>
            <w:tcW w:w="743" w:type="pct"/>
            <w:tcBorders>
              <w:top w:val="single" w:sz="4" w:space="0" w:color="auto"/>
              <w:bottom w:val="single" w:sz="4" w:space="0" w:color="auto"/>
            </w:tcBorders>
            <w:shd w:val="clear" w:color="auto" w:fill="auto"/>
            <w:noWrap/>
            <w:vAlign w:val="center"/>
          </w:tcPr>
          <w:p w:rsidR="000720A2" w:rsidRPr="00F200E7" w:rsidRDefault="000720A2" w:rsidP="000720A2">
            <w:pPr>
              <w:spacing w:after="0" w:line="240" w:lineRule="auto"/>
              <w:jc w:val="center"/>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szCs w:val="20"/>
                <w:lang w:val="en-GB" w:eastAsia="es-GT"/>
              </w:rPr>
              <w:t>ENCOVI</w:t>
            </w:r>
          </w:p>
        </w:tc>
        <w:tc>
          <w:tcPr>
            <w:tcW w:w="713" w:type="pct"/>
            <w:tcBorders>
              <w:top w:val="single" w:sz="4" w:space="0" w:color="auto"/>
              <w:bottom w:val="single" w:sz="4" w:space="0" w:color="auto"/>
            </w:tcBorders>
            <w:shd w:val="clear" w:color="auto" w:fill="auto"/>
            <w:noWrap/>
            <w:vAlign w:val="center"/>
          </w:tcPr>
          <w:p w:rsidR="000720A2" w:rsidRPr="00F200E7" w:rsidRDefault="000720A2" w:rsidP="000720A2">
            <w:pPr>
              <w:spacing w:after="0" w:line="240" w:lineRule="auto"/>
              <w:jc w:val="center"/>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szCs w:val="20"/>
                <w:lang w:val="en-GB" w:eastAsia="es-GT"/>
              </w:rPr>
              <w:t>IGSS</w:t>
            </w:r>
          </w:p>
        </w:tc>
        <w:tc>
          <w:tcPr>
            <w:tcW w:w="986" w:type="pct"/>
            <w:tcBorders>
              <w:top w:val="single" w:sz="4" w:space="0" w:color="auto"/>
              <w:bottom w:val="single" w:sz="4" w:space="0" w:color="auto"/>
            </w:tcBorders>
            <w:vAlign w:val="center"/>
          </w:tcPr>
          <w:p w:rsidR="000720A2" w:rsidRPr="00F200E7" w:rsidRDefault="00A40A81" w:rsidP="000720A2">
            <w:pPr>
              <w:spacing w:after="0" w:line="240" w:lineRule="auto"/>
              <w:jc w:val="center"/>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szCs w:val="20"/>
                <w:lang w:val="en-GB" w:eastAsia="es-GT"/>
              </w:rPr>
              <w:t>Difference</w:t>
            </w:r>
            <w:r w:rsidR="00D24D6D" w:rsidRPr="00F200E7">
              <w:rPr>
                <w:rFonts w:ascii="Book Antiqua" w:eastAsia="Times New Roman" w:hAnsi="Book Antiqua" w:cs="Calibri"/>
                <w:b/>
                <w:color w:val="000000"/>
                <w:sz w:val="20"/>
                <w:szCs w:val="20"/>
                <w:lang w:val="en-GB" w:eastAsia="es-GT"/>
              </w:rPr>
              <w:t xml:space="preserve"> (%)</w:t>
            </w:r>
          </w:p>
        </w:tc>
      </w:tr>
      <w:tr w:rsidR="000720A2" w:rsidRPr="00F200E7" w:rsidTr="00744913">
        <w:trPr>
          <w:trHeight w:val="300"/>
          <w:jc w:val="center"/>
        </w:trPr>
        <w:tc>
          <w:tcPr>
            <w:tcW w:w="2558" w:type="pct"/>
            <w:tcBorders>
              <w:top w:val="single" w:sz="4" w:space="0" w:color="auto"/>
            </w:tcBorders>
            <w:shd w:val="clear" w:color="auto" w:fill="auto"/>
            <w:noWrap/>
            <w:vAlign w:val="bottom"/>
          </w:tcPr>
          <w:p w:rsidR="000720A2" w:rsidRPr="00F200E7" w:rsidRDefault="000720A2" w:rsidP="000720A2">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IGSS agricultural affiliates</w:t>
            </w:r>
          </w:p>
        </w:tc>
        <w:tc>
          <w:tcPr>
            <w:tcW w:w="743" w:type="pct"/>
            <w:tcBorders>
              <w:top w:val="single" w:sz="4" w:space="0" w:color="auto"/>
            </w:tcBorders>
            <w:shd w:val="clear" w:color="auto" w:fill="auto"/>
            <w:noWrap/>
            <w:vAlign w:val="bottom"/>
          </w:tcPr>
          <w:p w:rsidR="0059579D" w:rsidRDefault="000720A2" w:rsidP="00744913">
            <w:pPr>
              <w:spacing w:after="0" w:line="240" w:lineRule="auto"/>
              <w:jc w:val="right"/>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93,759</w:t>
            </w:r>
          </w:p>
        </w:tc>
        <w:tc>
          <w:tcPr>
            <w:tcW w:w="713" w:type="pct"/>
            <w:tcBorders>
              <w:top w:val="single" w:sz="4" w:space="0" w:color="auto"/>
            </w:tcBorders>
            <w:shd w:val="clear" w:color="auto" w:fill="auto"/>
            <w:noWrap/>
            <w:vAlign w:val="bottom"/>
          </w:tcPr>
          <w:p w:rsidR="0059579D" w:rsidRDefault="000720A2" w:rsidP="00744913">
            <w:pPr>
              <w:spacing w:after="0" w:line="240" w:lineRule="auto"/>
              <w:jc w:val="right"/>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140,554</w:t>
            </w:r>
          </w:p>
        </w:tc>
        <w:tc>
          <w:tcPr>
            <w:tcW w:w="986" w:type="pct"/>
            <w:tcBorders>
              <w:top w:val="single" w:sz="4" w:space="0" w:color="auto"/>
            </w:tcBorders>
            <w:vAlign w:val="bottom"/>
          </w:tcPr>
          <w:p w:rsidR="000720A2" w:rsidRPr="00F200E7" w:rsidRDefault="000720A2" w:rsidP="007E51E2">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33</w:t>
            </w:r>
          </w:p>
        </w:tc>
      </w:tr>
      <w:tr w:rsidR="000720A2" w:rsidRPr="00F200E7" w:rsidTr="00744913">
        <w:trPr>
          <w:trHeight w:val="300"/>
          <w:jc w:val="center"/>
        </w:trPr>
        <w:tc>
          <w:tcPr>
            <w:tcW w:w="2558" w:type="pct"/>
            <w:shd w:val="clear" w:color="auto" w:fill="auto"/>
            <w:noWrap/>
            <w:vAlign w:val="bottom"/>
          </w:tcPr>
          <w:p w:rsidR="000720A2" w:rsidRPr="00F200E7" w:rsidRDefault="000720A2" w:rsidP="000720A2">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Total IGSS affiliates</w:t>
            </w:r>
          </w:p>
        </w:tc>
        <w:tc>
          <w:tcPr>
            <w:tcW w:w="743" w:type="pct"/>
            <w:shd w:val="clear" w:color="auto" w:fill="auto"/>
            <w:noWrap/>
            <w:vAlign w:val="bottom"/>
          </w:tcPr>
          <w:p w:rsidR="0059579D" w:rsidRDefault="000720A2" w:rsidP="00744913">
            <w:pPr>
              <w:spacing w:after="0" w:line="240" w:lineRule="auto"/>
              <w:jc w:val="right"/>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981,539</w:t>
            </w:r>
          </w:p>
        </w:tc>
        <w:tc>
          <w:tcPr>
            <w:tcW w:w="713" w:type="pct"/>
            <w:shd w:val="clear" w:color="auto" w:fill="auto"/>
            <w:noWrap/>
            <w:vAlign w:val="bottom"/>
          </w:tcPr>
          <w:p w:rsidR="0059579D" w:rsidRDefault="000720A2" w:rsidP="00744913">
            <w:pPr>
              <w:spacing w:after="0" w:line="240" w:lineRule="auto"/>
              <w:jc w:val="right"/>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1,026,405</w:t>
            </w:r>
          </w:p>
        </w:tc>
        <w:tc>
          <w:tcPr>
            <w:tcW w:w="986" w:type="pct"/>
            <w:vAlign w:val="bottom"/>
          </w:tcPr>
          <w:p w:rsidR="000720A2" w:rsidRPr="00F200E7" w:rsidRDefault="000720A2" w:rsidP="007E51E2">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7</w:t>
            </w:r>
          </w:p>
        </w:tc>
      </w:tr>
      <w:tr w:rsidR="000720A2" w:rsidRPr="00F200E7" w:rsidTr="00744913">
        <w:trPr>
          <w:trHeight w:val="300"/>
          <w:jc w:val="center"/>
        </w:trPr>
        <w:tc>
          <w:tcPr>
            <w:tcW w:w="2558" w:type="pct"/>
            <w:tcBorders>
              <w:bottom w:val="single" w:sz="4" w:space="0" w:color="auto"/>
            </w:tcBorders>
            <w:shd w:val="clear" w:color="auto" w:fill="auto"/>
            <w:noWrap/>
            <w:vAlign w:val="bottom"/>
          </w:tcPr>
          <w:p w:rsidR="000720A2" w:rsidRPr="00F200E7" w:rsidRDefault="000720A2" w:rsidP="000720A2">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Mean wage in agriculture</w:t>
            </w:r>
          </w:p>
        </w:tc>
        <w:tc>
          <w:tcPr>
            <w:tcW w:w="743" w:type="pct"/>
            <w:tcBorders>
              <w:bottom w:val="single" w:sz="4" w:space="0" w:color="auto"/>
            </w:tcBorders>
            <w:shd w:val="clear" w:color="auto" w:fill="auto"/>
            <w:noWrap/>
            <w:vAlign w:val="bottom"/>
          </w:tcPr>
          <w:p w:rsidR="00E65CED" w:rsidRPr="00F200E7" w:rsidRDefault="006A4A53" w:rsidP="00C93473">
            <w:pPr>
              <w:spacing w:after="0" w:line="240" w:lineRule="auto"/>
              <w:jc w:val="right"/>
              <w:rPr>
                <w:rFonts w:ascii="Book Antiqua" w:eastAsia="Times New Roman" w:hAnsi="Book Antiqua" w:cs="Calibri"/>
                <w:color w:val="000000"/>
                <w:sz w:val="20"/>
                <w:szCs w:val="20"/>
                <w:lang w:val="en-GB" w:eastAsia="es-GT"/>
              </w:rPr>
            </w:pPr>
            <w:r>
              <w:rPr>
                <w:rFonts w:ascii="Book Antiqua" w:eastAsia="Times New Roman" w:hAnsi="Book Antiqua" w:cs="Calibri"/>
                <w:color w:val="000000"/>
                <w:sz w:val="20"/>
                <w:szCs w:val="20"/>
                <w:lang w:val="en-GB" w:eastAsia="es-GT"/>
              </w:rPr>
              <w:t>US$</w:t>
            </w:r>
            <w:r w:rsidR="000720A2" w:rsidRPr="00F200E7">
              <w:rPr>
                <w:rFonts w:ascii="Book Antiqua" w:eastAsia="Times New Roman" w:hAnsi="Book Antiqua" w:cs="Calibri"/>
                <w:color w:val="000000"/>
                <w:sz w:val="20"/>
                <w:szCs w:val="20"/>
                <w:lang w:val="en-GB" w:eastAsia="es-GT"/>
              </w:rPr>
              <w:t>203.30</w:t>
            </w:r>
          </w:p>
        </w:tc>
        <w:tc>
          <w:tcPr>
            <w:tcW w:w="713" w:type="pct"/>
            <w:tcBorders>
              <w:bottom w:val="single" w:sz="4" w:space="0" w:color="auto"/>
            </w:tcBorders>
            <w:shd w:val="clear" w:color="auto" w:fill="auto"/>
            <w:noWrap/>
            <w:vAlign w:val="bottom"/>
          </w:tcPr>
          <w:p w:rsidR="00E65CED" w:rsidRPr="00F200E7" w:rsidRDefault="006A4A53" w:rsidP="00C93473">
            <w:pPr>
              <w:spacing w:after="0" w:line="240" w:lineRule="auto"/>
              <w:jc w:val="right"/>
              <w:rPr>
                <w:rFonts w:ascii="Book Antiqua" w:eastAsia="Times New Roman" w:hAnsi="Book Antiqua" w:cs="Calibri"/>
                <w:color w:val="000000"/>
                <w:sz w:val="20"/>
                <w:szCs w:val="20"/>
                <w:lang w:val="en-GB" w:eastAsia="es-GT"/>
              </w:rPr>
            </w:pPr>
            <w:r>
              <w:rPr>
                <w:rFonts w:ascii="Book Antiqua" w:eastAsia="Times New Roman" w:hAnsi="Book Antiqua" w:cs="Calibri"/>
                <w:color w:val="000000"/>
                <w:sz w:val="20"/>
                <w:szCs w:val="20"/>
                <w:lang w:val="en-GB" w:eastAsia="es-GT"/>
              </w:rPr>
              <w:t>US$</w:t>
            </w:r>
            <w:r w:rsidR="000720A2" w:rsidRPr="00F200E7">
              <w:rPr>
                <w:rFonts w:ascii="Book Antiqua" w:eastAsia="Times New Roman" w:hAnsi="Book Antiqua" w:cs="Calibri"/>
                <w:color w:val="000000"/>
                <w:sz w:val="20"/>
                <w:szCs w:val="20"/>
                <w:lang w:val="en-GB" w:eastAsia="es-GT"/>
              </w:rPr>
              <w:t>185.02</w:t>
            </w:r>
          </w:p>
        </w:tc>
        <w:tc>
          <w:tcPr>
            <w:tcW w:w="986" w:type="pct"/>
            <w:tcBorders>
              <w:bottom w:val="single" w:sz="4" w:space="0" w:color="auto"/>
            </w:tcBorders>
            <w:vAlign w:val="bottom"/>
          </w:tcPr>
          <w:p w:rsidR="000720A2" w:rsidRPr="00F200E7" w:rsidRDefault="000720A2" w:rsidP="007E51E2">
            <w:pPr>
              <w:spacing w:after="0" w:line="240" w:lineRule="auto"/>
              <w:jc w:val="center"/>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9</w:t>
            </w:r>
          </w:p>
        </w:tc>
      </w:tr>
    </w:tbl>
    <w:p w:rsidR="000720A2" w:rsidRPr="00F200E7" w:rsidRDefault="000720A2" w:rsidP="000720A2">
      <w:pPr>
        <w:pStyle w:val="NoSpacing"/>
        <w:ind w:firstLine="720"/>
        <w:jc w:val="both"/>
        <w:rPr>
          <w:rFonts w:ascii="Book Antiqua" w:hAnsi="Book Antiqua"/>
          <w:sz w:val="18"/>
          <w:lang w:val="en-GB"/>
        </w:rPr>
      </w:pPr>
    </w:p>
    <w:p w:rsidR="0059579D" w:rsidRDefault="000720A2" w:rsidP="00744913">
      <w:pPr>
        <w:pStyle w:val="NoSpacing"/>
        <w:ind w:left="270"/>
        <w:jc w:val="both"/>
        <w:rPr>
          <w:rFonts w:ascii="Book Antiqua" w:hAnsi="Book Antiqua"/>
          <w:lang w:val="en-GB"/>
        </w:rPr>
      </w:pPr>
      <w:r w:rsidRPr="00F200E7">
        <w:rPr>
          <w:rFonts w:ascii="Book Antiqua" w:hAnsi="Book Antiqua"/>
          <w:sz w:val="18"/>
          <w:lang w:val="en-GB"/>
        </w:rPr>
        <w:t xml:space="preserve">Source: Authors’ calculation </w:t>
      </w:r>
      <w:r w:rsidR="007E51E2" w:rsidRPr="00F200E7">
        <w:rPr>
          <w:rFonts w:ascii="Book Antiqua" w:hAnsi="Book Antiqua"/>
          <w:sz w:val="18"/>
          <w:lang w:val="en-GB"/>
        </w:rPr>
        <w:t xml:space="preserve">from </w:t>
      </w:r>
      <w:r w:rsidRPr="00F200E7">
        <w:rPr>
          <w:rFonts w:ascii="Book Antiqua" w:hAnsi="Book Antiqua"/>
          <w:sz w:val="18"/>
          <w:lang w:val="en-GB"/>
        </w:rPr>
        <w:t>IGSS and ENCOVI 2006 data.</w:t>
      </w:r>
    </w:p>
    <w:p w:rsidR="00D46CB4" w:rsidRPr="00F200E7" w:rsidRDefault="00D46CB4" w:rsidP="00D12065">
      <w:pPr>
        <w:pStyle w:val="NoSpacing"/>
        <w:jc w:val="both"/>
        <w:rPr>
          <w:rFonts w:ascii="Book Antiqua" w:hAnsi="Book Antiqua"/>
          <w:lang w:val="en-GB"/>
        </w:rPr>
      </w:pPr>
    </w:p>
    <w:p w:rsidR="000720A2" w:rsidRPr="00F200E7" w:rsidRDefault="00224E54" w:rsidP="000720A2">
      <w:pPr>
        <w:pStyle w:val="NoSpacing"/>
        <w:jc w:val="both"/>
        <w:rPr>
          <w:rFonts w:ascii="Book Antiqua" w:hAnsi="Book Antiqua"/>
          <w:lang w:val="en-GB"/>
        </w:rPr>
      </w:pPr>
      <w:r w:rsidRPr="00F200E7">
        <w:rPr>
          <w:rFonts w:ascii="Book Antiqua" w:hAnsi="Book Antiqua"/>
          <w:lang w:val="en-GB"/>
        </w:rPr>
        <w:t xml:space="preserve">The sizeable difference in numbers for the </w:t>
      </w:r>
      <w:r w:rsidR="000720A2" w:rsidRPr="00F200E7">
        <w:rPr>
          <w:rFonts w:ascii="Book Antiqua" w:hAnsi="Book Antiqua"/>
          <w:lang w:val="en-GB"/>
        </w:rPr>
        <w:t xml:space="preserve">agricultural sector </w:t>
      </w:r>
      <w:r w:rsidRPr="00F200E7">
        <w:rPr>
          <w:rFonts w:ascii="Book Antiqua" w:hAnsi="Book Antiqua"/>
          <w:lang w:val="en-GB"/>
        </w:rPr>
        <w:t>may be due to</w:t>
      </w:r>
      <w:r w:rsidR="00AE174D">
        <w:rPr>
          <w:rFonts w:ascii="Book Antiqua" w:hAnsi="Book Antiqua"/>
          <w:lang w:val="en-GB"/>
        </w:rPr>
        <w:t xml:space="preserve"> </w:t>
      </w:r>
      <w:r w:rsidRPr="00F200E7">
        <w:rPr>
          <w:rFonts w:ascii="Book Antiqua" w:hAnsi="Book Antiqua"/>
          <w:lang w:val="en-GB"/>
        </w:rPr>
        <w:t xml:space="preserve">the inclusion in </w:t>
      </w:r>
      <w:r w:rsidR="000720A2" w:rsidRPr="00F200E7">
        <w:rPr>
          <w:rFonts w:ascii="Book Antiqua" w:hAnsi="Book Antiqua"/>
          <w:lang w:val="en-GB"/>
        </w:rPr>
        <w:t>the IGSS statistics</w:t>
      </w:r>
      <w:r w:rsidR="00AE174D">
        <w:rPr>
          <w:rFonts w:ascii="Book Antiqua" w:hAnsi="Book Antiqua"/>
          <w:lang w:val="en-GB"/>
        </w:rPr>
        <w:t xml:space="preserve"> </w:t>
      </w:r>
      <w:r w:rsidRPr="00F200E7">
        <w:rPr>
          <w:rFonts w:ascii="Book Antiqua" w:hAnsi="Book Antiqua"/>
          <w:lang w:val="en-GB"/>
        </w:rPr>
        <w:t xml:space="preserve">but not in the ENCOVI statistics, of </w:t>
      </w:r>
      <w:r w:rsidR="000720A2" w:rsidRPr="00F200E7">
        <w:rPr>
          <w:rFonts w:ascii="Book Antiqua" w:hAnsi="Book Antiqua"/>
          <w:lang w:val="en-GB"/>
        </w:rPr>
        <w:t>agribusiness workers (sugar mills, coffee mills</w:t>
      </w:r>
      <w:r w:rsidR="00065095">
        <w:rPr>
          <w:rFonts w:ascii="Book Antiqua" w:hAnsi="Book Antiqua"/>
          <w:lang w:val="en-GB"/>
        </w:rPr>
        <w:t>,</w:t>
      </w:r>
      <w:r w:rsidR="000720A2" w:rsidRPr="00F200E7">
        <w:rPr>
          <w:rFonts w:ascii="Book Antiqua" w:hAnsi="Book Antiqua"/>
          <w:lang w:val="en-GB"/>
        </w:rPr>
        <w:t xml:space="preserve"> and other similar activities)</w:t>
      </w:r>
      <w:r w:rsidRPr="00F200E7">
        <w:rPr>
          <w:rFonts w:ascii="Book Antiqua" w:hAnsi="Book Antiqua"/>
          <w:lang w:val="en-GB"/>
        </w:rPr>
        <w:t>,</w:t>
      </w:r>
      <w:r w:rsidR="000720A2" w:rsidRPr="00F200E7">
        <w:rPr>
          <w:rFonts w:ascii="Book Antiqua" w:hAnsi="Book Antiqua"/>
          <w:lang w:val="en-GB"/>
        </w:rPr>
        <w:t xml:space="preserve"> one of the main economic activities of Guatemala. Additionally</w:t>
      </w:r>
      <w:r w:rsidRPr="00F200E7">
        <w:rPr>
          <w:rFonts w:ascii="Book Antiqua" w:hAnsi="Book Antiqua"/>
          <w:lang w:val="en-GB"/>
        </w:rPr>
        <w:t>,</w:t>
      </w:r>
      <w:r w:rsidR="000720A2" w:rsidRPr="00F200E7">
        <w:rPr>
          <w:rFonts w:ascii="Book Antiqua" w:hAnsi="Book Antiqua"/>
          <w:lang w:val="en-GB"/>
        </w:rPr>
        <w:t xml:space="preserve"> ENCOVI 2006 was carried out in June, while the IGSS </w:t>
      </w:r>
      <w:r w:rsidRPr="00F200E7">
        <w:rPr>
          <w:rFonts w:ascii="Book Antiqua" w:hAnsi="Book Antiqua"/>
          <w:lang w:val="en-GB"/>
        </w:rPr>
        <w:t>data reflect</w:t>
      </w:r>
      <w:r w:rsidR="000720A2" w:rsidRPr="00F200E7">
        <w:rPr>
          <w:rFonts w:ascii="Book Antiqua" w:hAnsi="Book Antiqua"/>
          <w:lang w:val="en-GB"/>
        </w:rPr>
        <w:t xml:space="preserve"> the yearly </w:t>
      </w:r>
      <w:r w:rsidRPr="00F200E7">
        <w:rPr>
          <w:rFonts w:ascii="Book Antiqua" w:hAnsi="Book Antiqua"/>
          <w:lang w:val="en-GB"/>
        </w:rPr>
        <w:t>pattern</w:t>
      </w:r>
      <w:r w:rsidR="000720A2" w:rsidRPr="00F200E7">
        <w:rPr>
          <w:rFonts w:ascii="Book Antiqua" w:hAnsi="Book Antiqua"/>
          <w:lang w:val="en-GB"/>
        </w:rPr>
        <w:t xml:space="preserve"> of affiliations.</w:t>
      </w:r>
    </w:p>
    <w:p w:rsidR="000720A2" w:rsidRPr="00F200E7" w:rsidRDefault="000720A2" w:rsidP="000720A2">
      <w:pPr>
        <w:pStyle w:val="NoSpacing"/>
        <w:jc w:val="both"/>
        <w:rPr>
          <w:rFonts w:ascii="Book Antiqua" w:hAnsi="Book Antiqua"/>
          <w:lang w:val="en-GB"/>
        </w:rPr>
      </w:pPr>
    </w:p>
    <w:p w:rsidR="00D46CB4" w:rsidRPr="00F200E7" w:rsidRDefault="000720A2" w:rsidP="000720A2">
      <w:pPr>
        <w:pStyle w:val="NoSpacing"/>
        <w:jc w:val="both"/>
        <w:rPr>
          <w:rFonts w:ascii="Book Antiqua" w:hAnsi="Book Antiqua"/>
          <w:lang w:val="en-GB"/>
        </w:rPr>
      </w:pPr>
      <w:r w:rsidRPr="00F200E7">
        <w:rPr>
          <w:rFonts w:ascii="Book Antiqua" w:hAnsi="Book Antiqua"/>
          <w:lang w:val="en-GB"/>
        </w:rPr>
        <w:t>According to ENCOVI 2006</w:t>
      </w:r>
      <w:r w:rsidR="00224E54" w:rsidRPr="00F200E7">
        <w:rPr>
          <w:rFonts w:ascii="Book Antiqua" w:hAnsi="Book Antiqua"/>
          <w:lang w:val="en-GB"/>
        </w:rPr>
        <w:t xml:space="preserve"> data</w:t>
      </w:r>
      <w:r w:rsidRPr="00F200E7">
        <w:rPr>
          <w:rFonts w:ascii="Book Antiqua" w:hAnsi="Book Antiqua"/>
          <w:lang w:val="en-GB"/>
        </w:rPr>
        <w:t xml:space="preserve">, only 5.2 per cent of agricultural workers </w:t>
      </w:r>
      <w:r w:rsidR="00224E54" w:rsidRPr="00F200E7">
        <w:rPr>
          <w:rFonts w:ascii="Book Antiqua" w:hAnsi="Book Antiqua"/>
          <w:lang w:val="en-GB"/>
        </w:rPr>
        <w:t xml:space="preserve">– </w:t>
      </w:r>
      <w:r w:rsidRPr="00F200E7">
        <w:rPr>
          <w:rFonts w:ascii="Book Antiqua" w:hAnsi="Book Antiqua"/>
          <w:lang w:val="en-GB"/>
        </w:rPr>
        <w:t>employees and smallholders</w:t>
      </w:r>
      <w:r w:rsidR="00224E54" w:rsidRPr="00F200E7">
        <w:rPr>
          <w:rFonts w:ascii="Book Antiqua" w:hAnsi="Book Antiqua"/>
          <w:lang w:val="en-GB"/>
        </w:rPr>
        <w:t xml:space="preserve"> –</w:t>
      </w:r>
      <w:r w:rsidR="00D24D6D" w:rsidRPr="00F200E7">
        <w:rPr>
          <w:rFonts w:ascii="Book Antiqua" w:hAnsi="Book Antiqua"/>
          <w:lang w:val="en-GB"/>
        </w:rPr>
        <w:t>we</w:t>
      </w:r>
      <w:r w:rsidRPr="00F200E7">
        <w:rPr>
          <w:rFonts w:ascii="Book Antiqua" w:hAnsi="Book Antiqua"/>
          <w:lang w:val="en-GB"/>
        </w:rPr>
        <w:t>re affiliated to</w:t>
      </w:r>
      <w:r w:rsidR="00AE174D">
        <w:rPr>
          <w:rFonts w:ascii="Book Antiqua" w:hAnsi="Book Antiqua"/>
          <w:lang w:val="en-GB"/>
        </w:rPr>
        <w:t xml:space="preserve"> </w:t>
      </w:r>
      <w:r w:rsidRPr="00F200E7">
        <w:rPr>
          <w:rFonts w:ascii="Book Antiqua" w:hAnsi="Book Antiqua"/>
          <w:lang w:val="en-GB"/>
        </w:rPr>
        <w:t xml:space="preserve">the IGSS. The lack of periodic employment surveys </w:t>
      </w:r>
      <w:r w:rsidR="00224E54" w:rsidRPr="00F200E7">
        <w:rPr>
          <w:rFonts w:ascii="Book Antiqua" w:hAnsi="Book Antiqua"/>
          <w:lang w:val="en-GB"/>
        </w:rPr>
        <w:t>rules out</w:t>
      </w:r>
      <w:r w:rsidR="00AE174D">
        <w:rPr>
          <w:rFonts w:ascii="Book Antiqua" w:hAnsi="Book Antiqua"/>
          <w:lang w:val="en-GB"/>
        </w:rPr>
        <w:t xml:space="preserve"> </w:t>
      </w:r>
      <w:r w:rsidR="00224E54" w:rsidRPr="00F200E7">
        <w:rPr>
          <w:rFonts w:ascii="Book Antiqua" w:hAnsi="Book Antiqua"/>
          <w:lang w:val="en-GB"/>
        </w:rPr>
        <w:t>observation</w:t>
      </w:r>
      <w:r w:rsidRPr="00F200E7">
        <w:rPr>
          <w:rFonts w:ascii="Book Antiqua" w:hAnsi="Book Antiqua"/>
          <w:lang w:val="en-GB"/>
        </w:rPr>
        <w:t xml:space="preserve"> of the behaviour of the entire agricultural sector</w:t>
      </w:r>
      <w:r w:rsidR="00224E54" w:rsidRPr="00F200E7">
        <w:rPr>
          <w:rFonts w:ascii="Book Antiqua" w:hAnsi="Book Antiqua"/>
          <w:lang w:val="en-GB"/>
        </w:rPr>
        <w:t>;</w:t>
      </w:r>
      <w:r w:rsidRPr="00F200E7">
        <w:rPr>
          <w:rFonts w:ascii="Book Antiqua" w:hAnsi="Book Antiqua"/>
          <w:lang w:val="en-GB"/>
        </w:rPr>
        <w:t xml:space="preserve"> only agricultural workers with access to the social insurance</w:t>
      </w:r>
      <w:r w:rsidR="00224E54" w:rsidRPr="00F200E7">
        <w:rPr>
          <w:rFonts w:ascii="Book Antiqua" w:hAnsi="Book Antiqua"/>
          <w:lang w:val="en-GB"/>
        </w:rPr>
        <w:t xml:space="preserve"> system can be tracked</w:t>
      </w:r>
      <w:r w:rsidRPr="00F200E7">
        <w:rPr>
          <w:rFonts w:ascii="Book Antiqua" w:hAnsi="Book Antiqua"/>
          <w:lang w:val="en-GB"/>
        </w:rPr>
        <w:t>.</w:t>
      </w:r>
    </w:p>
    <w:p w:rsidR="005C2843" w:rsidRPr="00F200E7" w:rsidRDefault="005C2843" w:rsidP="00D12065">
      <w:pPr>
        <w:pStyle w:val="NoSpacing"/>
        <w:jc w:val="both"/>
        <w:rPr>
          <w:rFonts w:ascii="Book Antiqua" w:hAnsi="Book Antiqua"/>
          <w:lang w:val="en-GB"/>
        </w:rPr>
      </w:pPr>
    </w:p>
    <w:p w:rsidR="003337C1" w:rsidRPr="00F200E7" w:rsidRDefault="00776D54" w:rsidP="00D12065">
      <w:pPr>
        <w:pStyle w:val="NoSpacing"/>
        <w:jc w:val="both"/>
        <w:rPr>
          <w:rFonts w:ascii="Book Antiqua" w:hAnsi="Book Antiqua"/>
          <w:lang w:val="en-GB"/>
        </w:rPr>
      </w:pPr>
      <w:r w:rsidRPr="00F200E7">
        <w:rPr>
          <w:rFonts w:ascii="Book Antiqua" w:hAnsi="Book Antiqua"/>
          <w:lang w:val="en-GB"/>
        </w:rPr>
        <w:t>A</w:t>
      </w:r>
      <w:r w:rsidR="000720A2" w:rsidRPr="00F200E7">
        <w:rPr>
          <w:rFonts w:ascii="Book Antiqua" w:hAnsi="Book Antiqua"/>
          <w:lang w:val="en-GB"/>
        </w:rPr>
        <w:t>ccording to ENCOVI 2006 data</w:t>
      </w:r>
      <w:r w:rsidR="00F450BB" w:rsidRPr="00F200E7">
        <w:rPr>
          <w:rFonts w:ascii="Book Antiqua" w:hAnsi="Book Antiqua"/>
          <w:lang w:val="en-GB"/>
        </w:rPr>
        <w:t>,</w:t>
      </w:r>
      <w:r w:rsidR="000720A2" w:rsidRPr="00F200E7">
        <w:rPr>
          <w:rFonts w:ascii="Book Antiqua" w:hAnsi="Book Antiqua"/>
          <w:lang w:val="en-GB"/>
        </w:rPr>
        <w:t xml:space="preserve"> only 7.7 per cent </w:t>
      </w:r>
      <w:r w:rsidR="00DE40DA" w:rsidRPr="00F200E7">
        <w:rPr>
          <w:rFonts w:ascii="Book Antiqua" w:hAnsi="Book Antiqua"/>
          <w:lang w:val="en-GB"/>
        </w:rPr>
        <w:t xml:space="preserve">of agricultural workers </w:t>
      </w:r>
      <w:r w:rsidR="000720A2" w:rsidRPr="00F200E7">
        <w:rPr>
          <w:rFonts w:ascii="Book Antiqua" w:hAnsi="Book Antiqua"/>
          <w:lang w:val="en-GB"/>
        </w:rPr>
        <w:t xml:space="preserve">have a contract, </w:t>
      </w:r>
      <w:r w:rsidR="00F450BB" w:rsidRPr="00F200E7">
        <w:rPr>
          <w:rFonts w:ascii="Book Antiqua" w:hAnsi="Book Antiqua"/>
          <w:lang w:val="en-GB"/>
        </w:rPr>
        <w:t xml:space="preserve">while </w:t>
      </w:r>
      <w:r w:rsidR="000720A2" w:rsidRPr="00F200E7">
        <w:rPr>
          <w:rFonts w:ascii="Book Antiqua" w:hAnsi="Book Antiqua"/>
          <w:lang w:val="en-GB"/>
        </w:rPr>
        <w:t xml:space="preserve">82 per cent receive neither </w:t>
      </w:r>
      <w:r w:rsidR="00A443BF" w:rsidRPr="00F200E7">
        <w:rPr>
          <w:rFonts w:ascii="Book Antiqua" w:hAnsi="Book Antiqua"/>
          <w:i/>
          <w:lang w:val="en-GB"/>
        </w:rPr>
        <w:t xml:space="preserve">bono </w:t>
      </w:r>
      <w:proofErr w:type="spellStart"/>
      <w:r w:rsidR="00A443BF" w:rsidRPr="00F200E7">
        <w:rPr>
          <w:rFonts w:ascii="Book Antiqua" w:hAnsi="Book Antiqua"/>
          <w:i/>
          <w:lang w:val="en-GB"/>
        </w:rPr>
        <w:t>catorce</w:t>
      </w:r>
      <w:proofErr w:type="spellEnd"/>
      <w:r w:rsidR="000720A2" w:rsidRPr="00F200E7">
        <w:rPr>
          <w:rFonts w:ascii="Book Antiqua" w:hAnsi="Book Antiqua"/>
          <w:lang w:val="en-GB"/>
        </w:rPr>
        <w:t xml:space="preserve"> nor </w:t>
      </w:r>
      <w:proofErr w:type="spellStart"/>
      <w:r w:rsidR="00A443BF" w:rsidRPr="00F200E7">
        <w:rPr>
          <w:rFonts w:ascii="Book Antiqua" w:hAnsi="Book Antiqua"/>
          <w:i/>
          <w:lang w:val="en-GB"/>
        </w:rPr>
        <w:t>anguinaldo</w:t>
      </w:r>
      <w:proofErr w:type="spellEnd"/>
      <w:r w:rsidR="000720A2" w:rsidRPr="00F200E7">
        <w:rPr>
          <w:rFonts w:ascii="Book Antiqua" w:hAnsi="Book Antiqua"/>
          <w:lang w:val="en-GB"/>
        </w:rPr>
        <w:t>.</w:t>
      </w:r>
      <w:r w:rsidR="000720A2" w:rsidRPr="00F200E7">
        <w:rPr>
          <w:rStyle w:val="FootnoteReference"/>
          <w:rFonts w:ascii="Book Antiqua" w:hAnsi="Book Antiqua"/>
          <w:lang w:val="en-GB"/>
        </w:rPr>
        <w:footnoteReference w:id="8"/>
      </w:r>
      <w:r w:rsidR="00AE174D">
        <w:rPr>
          <w:rFonts w:ascii="Book Antiqua" w:hAnsi="Book Antiqua"/>
          <w:lang w:val="en-GB"/>
        </w:rPr>
        <w:t xml:space="preserve"> </w:t>
      </w:r>
      <w:r w:rsidRPr="00F200E7">
        <w:rPr>
          <w:rFonts w:ascii="Book Antiqua" w:hAnsi="Book Antiqua"/>
          <w:lang w:val="en-GB"/>
        </w:rPr>
        <w:t>R</w:t>
      </w:r>
      <w:r w:rsidR="000720A2" w:rsidRPr="00F200E7">
        <w:rPr>
          <w:rFonts w:ascii="Book Antiqua" w:hAnsi="Book Antiqua"/>
          <w:lang w:val="en-GB"/>
        </w:rPr>
        <w:t>ece</w:t>
      </w:r>
      <w:r w:rsidR="007F7229">
        <w:rPr>
          <w:rFonts w:ascii="Book Antiqua" w:hAnsi="Book Antiqua"/>
          <w:lang w:val="en-GB"/>
        </w:rPr>
        <w:t>i</w:t>
      </w:r>
      <w:r w:rsidR="000720A2" w:rsidRPr="00F200E7">
        <w:rPr>
          <w:rFonts w:ascii="Book Antiqua" w:hAnsi="Book Antiqua"/>
          <w:lang w:val="en-GB"/>
        </w:rPr>
        <w:t>pt of these bonuses contributes to defining the formality of the employer</w:t>
      </w:r>
      <w:r w:rsidRPr="00F200E7">
        <w:rPr>
          <w:rFonts w:ascii="Book Antiqua" w:hAnsi="Book Antiqua"/>
          <w:lang w:val="en-GB"/>
        </w:rPr>
        <w:t>–</w:t>
      </w:r>
      <w:r w:rsidR="000720A2" w:rsidRPr="00F200E7">
        <w:rPr>
          <w:rFonts w:ascii="Book Antiqua" w:hAnsi="Book Antiqua"/>
          <w:lang w:val="en-GB"/>
        </w:rPr>
        <w:t>employee relation</w:t>
      </w:r>
      <w:r w:rsidR="00904929">
        <w:rPr>
          <w:rFonts w:ascii="Book Antiqua" w:hAnsi="Book Antiqua"/>
          <w:lang w:val="en-GB"/>
        </w:rPr>
        <w:t>ship</w:t>
      </w:r>
      <w:r w:rsidR="000720A2" w:rsidRPr="00F200E7">
        <w:rPr>
          <w:rFonts w:ascii="Book Antiqua" w:hAnsi="Book Antiqua"/>
          <w:lang w:val="en-GB"/>
        </w:rPr>
        <w:t xml:space="preserve">. </w:t>
      </w:r>
    </w:p>
    <w:p w:rsidR="000153D7" w:rsidRPr="00F200E7" w:rsidRDefault="005C74B1" w:rsidP="0032057B">
      <w:pPr>
        <w:pStyle w:val="Heading2"/>
      </w:pPr>
      <w:bookmarkStart w:id="10" w:name="_Toc332009944"/>
      <w:bookmarkStart w:id="11" w:name="_Toc336607502"/>
      <w:bookmarkStart w:id="12" w:name="_Toc333837972"/>
      <w:r w:rsidRPr="00F200E7">
        <w:t>6.</w:t>
      </w:r>
      <w:r w:rsidR="00116FF7">
        <w:t>2</w:t>
      </w:r>
      <w:r w:rsidR="0032057B" w:rsidRPr="00F200E7">
        <w:t>.2</w:t>
      </w:r>
      <w:r w:rsidR="0032057B" w:rsidRPr="00F200E7">
        <w:tab/>
      </w:r>
      <w:r w:rsidR="00904929">
        <w:t>Characteriz</w:t>
      </w:r>
      <w:r w:rsidR="000153D7" w:rsidRPr="00F200E7">
        <w:t>ation of the agricultural employer</w:t>
      </w:r>
      <w:bookmarkEnd w:id="10"/>
      <w:bookmarkEnd w:id="11"/>
      <w:bookmarkEnd w:id="12"/>
    </w:p>
    <w:p w:rsidR="00ED0134" w:rsidRPr="00F200E7" w:rsidRDefault="003D3116" w:rsidP="00ED0134">
      <w:pPr>
        <w:pStyle w:val="NoSpacing"/>
        <w:jc w:val="both"/>
        <w:rPr>
          <w:rFonts w:ascii="Book Antiqua" w:hAnsi="Book Antiqua"/>
          <w:lang w:val="en-GB"/>
        </w:rPr>
      </w:pPr>
      <w:r w:rsidRPr="00F200E7">
        <w:rPr>
          <w:rFonts w:ascii="Book Antiqua" w:hAnsi="Book Antiqua"/>
          <w:lang w:val="en-GB"/>
        </w:rPr>
        <w:t>E</w:t>
      </w:r>
      <w:r w:rsidR="00ED0134" w:rsidRPr="00F200E7">
        <w:rPr>
          <w:rFonts w:ascii="Book Antiqua" w:hAnsi="Book Antiqua"/>
          <w:lang w:val="en-GB"/>
        </w:rPr>
        <w:t xml:space="preserve">mployers </w:t>
      </w:r>
      <w:r w:rsidRPr="00F200E7">
        <w:rPr>
          <w:rFonts w:ascii="Book Antiqua" w:hAnsi="Book Antiqua"/>
          <w:lang w:val="en-GB"/>
        </w:rPr>
        <w:t>in</w:t>
      </w:r>
      <w:r w:rsidR="00ED0134" w:rsidRPr="00F200E7">
        <w:rPr>
          <w:rFonts w:ascii="Book Antiqua" w:hAnsi="Book Antiqua"/>
          <w:lang w:val="en-GB"/>
        </w:rPr>
        <w:t xml:space="preserve"> the primary sector include owners </w:t>
      </w:r>
      <w:r w:rsidRPr="00F200E7">
        <w:rPr>
          <w:rFonts w:ascii="Book Antiqua" w:hAnsi="Book Antiqua"/>
          <w:lang w:val="en-GB"/>
        </w:rPr>
        <w:t xml:space="preserve">and </w:t>
      </w:r>
      <w:r w:rsidR="00ED0134" w:rsidRPr="00F200E7">
        <w:rPr>
          <w:rFonts w:ascii="Book Antiqua" w:hAnsi="Book Antiqua"/>
          <w:lang w:val="en-GB"/>
        </w:rPr>
        <w:t xml:space="preserve">stockholders of companies, </w:t>
      </w:r>
      <w:r w:rsidRPr="00F200E7">
        <w:rPr>
          <w:rFonts w:ascii="Book Antiqua" w:hAnsi="Book Antiqua"/>
          <w:lang w:val="en-GB"/>
        </w:rPr>
        <w:t>regardless</w:t>
      </w:r>
      <w:r w:rsidR="00ED0134" w:rsidRPr="00F200E7">
        <w:rPr>
          <w:rFonts w:ascii="Book Antiqua" w:hAnsi="Book Antiqua"/>
          <w:lang w:val="en-GB"/>
        </w:rPr>
        <w:t xml:space="preserve"> of their size</w:t>
      </w:r>
      <w:r w:rsidRPr="00F200E7">
        <w:rPr>
          <w:rFonts w:ascii="Book Antiqua" w:hAnsi="Book Antiqua"/>
          <w:lang w:val="en-GB"/>
        </w:rPr>
        <w:t xml:space="preserve">; </w:t>
      </w:r>
      <w:r w:rsidR="007F7229">
        <w:rPr>
          <w:rFonts w:ascii="Book Antiqua" w:hAnsi="Book Antiqua"/>
          <w:lang w:val="en-GB"/>
        </w:rPr>
        <w:t>the definition</w:t>
      </w:r>
      <w:r w:rsidR="00AE174D">
        <w:rPr>
          <w:rFonts w:ascii="Book Antiqua" w:hAnsi="Book Antiqua"/>
          <w:lang w:val="en-GB"/>
        </w:rPr>
        <w:t xml:space="preserve"> </w:t>
      </w:r>
      <w:r w:rsidR="00ED0134" w:rsidRPr="00F200E7">
        <w:rPr>
          <w:rFonts w:ascii="Book Antiqua" w:hAnsi="Book Antiqua"/>
          <w:lang w:val="en-GB"/>
        </w:rPr>
        <w:t xml:space="preserve">excludes both </w:t>
      </w:r>
      <w:r w:rsidRPr="00F200E7">
        <w:rPr>
          <w:rFonts w:ascii="Book Antiqua" w:hAnsi="Book Antiqua"/>
          <w:lang w:val="en-GB"/>
        </w:rPr>
        <w:t xml:space="preserve">non-owning </w:t>
      </w:r>
      <w:r w:rsidR="00ED0134" w:rsidRPr="00F200E7">
        <w:rPr>
          <w:rFonts w:ascii="Book Antiqua" w:hAnsi="Book Antiqua"/>
          <w:lang w:val="en-GB"/>
        </w:rPr>
        <w:t xml:space="preserve">managers of these companies and </w:t>
      </w:r>
      <w:r w:rsidRPr="00F200E7">
        <w:rPr>
          <w:rFonts w:ascii="Book Antiqua" w:hAnsi="Book Antiqua"/>
          <w:lang w:val="en-GB"/>
        </w:rPr>
        <w:t>s</w:t>
      </w:r>
      <w:r w:rsidR="00ED0134" w:rsidRPr="00F200E7">
        <w:rPr>
          <w:rFonts w:ascii="Book Antiqua" w:hAnsi="Book Antiqua"/>
          <w:lang w:val="en-GB"/>
        </w:rPr>
        <w:t xml:space="preserve">mallholders. </w:t>
      </w:r>
      <w:r w:rsidRPr="00F200E7">
        <w:rPr>
          <w:rFonts w:ascii="Book Antiqua" w:hAnsi="Book Antiqua"/>
          <w:lang w:val="en-GB"/>
        </w:rPr>
        <w:t>In contrast to</w:t>
      </w:r>
      <w:r w:rsidR="00ED0134" w:rsidRPr="00F200E7">
        <w:rPr>
          <w:rFonts w:ascii="Book Antiqua" w:hAnsi="Book Antiqua"/>
          <w:lang w:val="en-GB"/>
        </w:rPr>
        <w:t xml:space="preserve"> the agricultural workers, only one of </w:t>
      </w:r>
      <w:r w:rsidRPr="00F200E7">
        <w:rPr>
          <w:rFonts w:ascii="Book Antiqua" w:hAnsi="Book Antiqua"/>
          <w:lang w:val="en-GB"/>
        </w:rPr>
        <w:t xml:space="preserve">every </w:t>
      </w:r>
      <w:r w:rsidR="00ED0134" w:rsidRPr="00F200E7">
        <w:rPr>
          <w:rFonts w:ascii="Book Antiqua" w:hAnsi="Book Antiqua"/>
          <w:lang w:val="en-GB"/>
        </w:rPr>
        <w:t>five employers lives in poverty. This disparity can be attributed to the gap between the incomes of agricultural employers and employees.</w:t>
      </w:r>
      <w:r w:rsidR="00ED0134" w:rsidRPr="00F200E7">
        <w:rPr>
          <w:rStyle w:val="FootnoteReference"/>
          <w:rFonts w:ascii="Book Antiqua" w:hAnsi="Book Antiqua"/>
          <w:lang w:val="en-GB"/>
        </w:rPr>
        <w:footnoteReference w:id="9"/>
      </w:r>
    </w:p>
    <w:p w:rsidR="00ED0134" w:rsidRPr="00F200E7" w:rsidRDefault="00ED0134" w:rsidP="00ED0134">
      <w:pPr>
        <w:pStyle w:val="NoSpacing"/>
        <w:jc w:val="both"/>
        <w:rPr>
          <w:rFonts w:ascii="Book Antiqua" w:hAnsi="Book Antiqua"/>
          <w:lang w:val="en-GB"/>
        </w:rPr>
      </w:pPr>
    </w:p>
    <w:p w:rsidR="00ED0134" w:rsidRPr="00F200E7" w:rsidRDefault="00ED0134" w:rsidP="00ED0134">
      <w:pPr>
        <w:pStyle w:val="NoSpacing"/>
        <w:jc w:val="both"/>
        <w:rPr>
          <w:rFonts w:ascii="Book Antiqua" w:hAnsi="Book Antiqua"/>
          <w:lang w:val="en-GB"/>
        </w:rPr>
      </w:pPr>
      <w:r w:rsidRPr="00F200E7">
        <w:rPr>
          <w:rFonts w:ascii="Book Antiqua" w:hAnsi="Book Antiqua"/>
          <w:lang w:val="en-GB"/>
        </w:rPr>
        <w:t xml:space="preserve">Specifically, ENCOVI 2006 </w:t>
      </w:r>
      <w:r w:rsidR="00362868" w:rsidRPr="00F200E7">
        <w:rPr>
          <w:rFonts w:ascii="Book Antiqua" w:hAnsi="Book Antiqua"/>
          <w:lang w:val="en-GB"/>
        </w:rPr>
        <w:t xml:space="preserve">found </w:t>
      </w:r>
      <w:r w:rsidRPr="00F200E7">
        <w:rPr>
          <w:rFonts w:ascii="Book Antiqua" w:hAnsi="Book Antiqua"/>
          <w:lang w:val="en-GB"/>
        </w:rPr>
        <w:t xml:space="preserve">that the mean </w:t>
      </w:r>
      <w:r w:rsidR="00F61749" w:rsidRPr="00F200E7">
        <w:rPr>
          <w:rFonts w:ascii="Book Antiqua" w:hAnsi="Book Antiqua"/>
          <w:lang w:val="en-GB"/>
        </w:rPr>
        <w:t xml:space="preserve">monthly </w:t>
      </w:r>
      <w:r w:rsidRPr="00F200E7">
        <w:rPr>
          <w:rFonts w:ascii="Book Antiqua" w:hAnsi="Book Antiqua"/>
          <w:lang w:val="en-GB"/>
        </w:rPr>
        <w:t xml:space="preserve">wage of </w:t>
      </w:r>
      <w:r w:rsidR="00CF42F4" w:rsidRPr="00F200E7">
        <w:rPr>
          <w:rFonts w:ascii="Book Antiqua" w:hAnsi="Book Antiqua"/>
          <w:lang w:val="en-GB"/>
        </w:rPr>
        <w:t xml:space="preserve">an </w:t>
      </w:r>
      <w:r w:rsidRPr="00F200E7">
        <w:rPr>
          <w:rFonts w:ascii="Book Antiqua" w:hAnsi="Book Antiqua"/>
          <w:lang w:val="en-GB"/>
        </w:rPr>
        <w:t xml:space="preserve">agricultural worker is </w:t>
      </w:r>
      <w:r w:rsidR="00A40A81" w:rsidRPr="00F200E7">
        <w:rPr>
          <w:rFonts w:ascii="Book Antiqua" w:hAnsi="Book Antiqua"/>
          <w:lang w:val="en-GB"/>
        </w:rPr>
        <w:t>GT</w:t>
      </w:r>
      <w:r w:rsidRPr="00F200E7">
        <w:rPr>
          <w:rFonts w:ascii="Book Antiqua" w:hAnsi="Book Antiqua"/>
          <w:lang w:val="en-GB"/>
        </w:rPr>
        <w:t>Q890.00 (</w:t>
      </w:r>
      <w:r w:rsidR="006A4A53">
        <w:rPr>
          <w:rFonts w:ascii="Book Antiqua" w:hAnsi="Book Antiqua"/>
          <w:lang w:val="en-GB"/>
        </w:rPr>
        <w:t>US$</w:t>
      </w:r>
      <w:r w:rsidRPr="00F200E7">
        <w:rPr>
          <w:rFonts w:ascii="Book Antiqua" w:hAnsi="Book Antiqua"/>
          <w:lang w:val="en-GB"/>
        </w:rPr>
        <w:t xml:space="preserve">117.11), while the </w:t>
      </w:r>
      <w:r w:rsidR="00F61749" w:rsidRPr="00F200E7">
        <w:rPr>
          <w:rFonts w:ascii="Book Antiqua" w:hAnsi="Book Antiqua"/>
          <w:lang w:val="en-GB"/>
        </w:rPr>
        <w:t xml:space="preserve">mean </w:t>
      </w:r>
      <w:r w:rsidRPr="00F200E7">
        <w:rPr>
          <w:rFonts w:ascii="Book Antiqua" w:hAnsi="Book Antiqua"/>
          <w:lang w:val="en-GB"/>
        </w:rPr>
        <w:t xml:space="preserve">monthly profit </w:t>
      </w:r>
      <w:r w:rsidR="00362868" w:rsidRPr="00F200E7">
        <w:rPr>
          <w:rFonts w:ascii="Book Antiqua" w:hAnsi="Book Antiqua"/>
          <w:lang w:val="en-GB"/>
        </w:rPr>
        <w:t xml:space="preserve">that </w:t>
      </w:r>
      <w:r w:rsidR="00CF42F4" w:rsidRPr="00F200E7">
        <w:rPr>
          <w:rFonts w:ascii="Book Antiqua" w:hAnsi="Book Antiqua"/>
          <w:lang w:val="en-GB"/>
        </w:rPr>
        <w:t xml:space="preserve">an </w:t>
      </w:r>
      <w:r w:rsidRPr="00F200E7">
        <w:rPr>
          <w:rFonts w:ascii="Book Antiqua" w:hAnsi="Book Antiqua"/>
          <w:lang w:val="en-GB"/>
        </w:rPr>
        <w:t>employer receive</w:t>
      </w:r>
      <w:r w:rsidR="00CF42F4" w:rsidRPr="00F200E7">
        <w:rPr>
          <w:rFonts w:ascii="Book Antiqua" w:hAnsi="Book Antiqua"/>
          <w:lang w:val="en-GB"/>
        </w:rPr>
        <w:t>s</w:t>
      </w:r>
      <w:r w:rsidRPr="00F200E7">
        <w:rPr>
          <w:rFonts w:ascii="Book Antiqua" w:hAnsi="Book Antiqua"/>
          <w:lang w:val="en-GB"/>
        </w:rPr>
        <w:t xml:space="preserve"> is </w:t>
      </w:r>
      <w:r w:rsidR="0083369B" w:rsidRPr="00F200E7">
        <w:rPr>
          <w:rFonts w:ascii="Book Antiqua" w:hAnsi="Book Antiqua"/>
          <w:lang w:val="en-GB"/>
        </w:rPr>
        <w:t>GTQ</w:t>
      </w:r>
      <w:r w:rsidRPr="00F200E7">
        <w:rPr>
          <w:rFonts w:ascii="Book Antiqua" w:hAnsi="Book Antiqua"/>
          <w:lang w:val="en-GB"/>
        </w:rPr>
        <w:t>5</w:t>
      </w:r>
      <w:proofErr w:type="gramStart"/>
      <w:r w:rsidRPr="00F200E7">
        <w:rPr>
          <w:rFonts w:ascii="Book Antiqua" w:hAnsi="Book Antiqua"/>
          <w:lang w:val="en-GB"/>
        </w:rPr>
        <w:t>,310.00</w:t>
      </w:r>
      <w:proofErr w:type="gramEnd"/>
      <w:r w:rsidRPr="00F200E7">
        <w:rPr>
          <w:rFonts w:ascii="Book Antiqua" w:hAnsi="Book Antiqua"/>
          <w:lang w:val="en-GB"/>
        </w:rPr>
        <w:t xml:space="preserve"> (</w:t>
      </w:r>
      <w:r w:rsidR="006A4A53">
        <w:rPr>
          <w:rFonts w:ascii="Book Antiqua" w:hAnsi="Book Antiqua"/>
          <w:lang w:val="en-GB"/>
        </w:rPr>
        <w:t>US$</w:t>
      </w:r>
      <w:r w:rsidRPr="00F200E7">
        <w:rPr>
          <w:rFonts w:ascii="Book Antiqua" w:hAnsi="Book Antiqua"/>
          <w:lang w:val="en-GB"/>
        </w:rPr>
        <w:t>698.68)</w:t>
      </w:r>
      <w:r w:rsidR="00362868" w:rsidRPr="00F200E7">
        <w:rPr>
          <w:rFonts w:ascii="Book Antiqua" w:hAnsi="Book Antiqua"/>
          <w:lang w:val="en-GB"/>
        </w:rPr>
        <w:t>. In other words,</w:t>
      </w:r>
      <w:r w:rsidRPr="00F200E7">
        <w:rPr>
          <w:rFonts w:ascii="Book Antiqua" w:hAnsi="Book Antiqua"/>
          <w:lang w:val="en-GB"/>
        </w:rPr>
        <w:t xml:space="preserve"> employers earn six times as much as employees.</w:t>
      </w:r>
    </w:p>
    <w:p w:rsidR="00ED0134" w:rsidRPr="00F200E7" w:rsidRDefault="00ED0134" w:rsidP="00ED0134">
      <w:pPr>
        <w:pStyle w:val="NoSpacing"/>
        <w:jc w:val="both"/>
        <w:rPr>
          <w:rFonts w:ascii="Book Antiqua" w:hAnsi="Book Antiqua"/>
          <w:lang w:val="en-GB"/>
        </w:rPr>
      </w:pPr>
    </w:p>
    <w:p w:rsidR="00ED0134" w:rsidRPr="00F200E7" w:rsidRDefault="00362868" w:rsidP="00ED0134">
      <w:pPr>
        <w:pStyle w:val="NoSpacing"/>
        <w:jc w:val="both"/>
        <w:rPr>
          <w:rFonts w:ascii="Book Antiqua" w:hAnsi="Book Antiqua"/>
          <w:lang w:val="en-GB"/>
        </w:rPr>
      </w:pPr>
      <w:r w:rsidRPr="00F200E7">
        <w:rPr>
          <w:rFonts w:ascii="Book Antiqua" w:hAnsi="Book Antiqua"/>
          <w:lang w:val="en-GB"/>
        </w:rPr>
        <w:t>A</w:t>
      </w:r>
      <w:r w:rsidR="00ED0134" w:rsidRPr="00F200E7">
        <w:rPr>
          <w:rFonts w:ascii="Book Antiqua" w:hAnsi="Book Antiqua"/>
          <w:lang w:val="en-GB"/>
        </w:rPr>
        <w:t xml:space="preserve">ccording to ENCOVI 2006 approximately nine of </w:t>
      </w:r>
      <w:r w:rsidRPr="00F200E7">
        <w:rPr>
          <w:rFonts w:ascii="Book Antiqua" w:hAnsi="Book Antiqua"/>
          <w:lang w:val="en-GB"/>
        </w:rPr>
        <w:t xml:space="preserve">every </w:t>
      </w:r>
      <w:r w:rsidR="00ED0134" w:rsidRPr="00F200E7">
        <w:rPr>
          <w:rFonts w:ascii="Book Antiqua" w:hAnsi="Book Antiqua"/>
          <w:lang w:val="en-GB"/>
        </w:rPr>
        <w:t xml:space="preserve">ten </w:t>
      </w:r>
      <w:r w:rsidR="00596A5C" w:rsidRPr="00F200E7">
        <w:rPr>
          <w:rFonts w:ascii="Book Antiqua" w:hAnsi="Book Antiqua"/>
          <w:lang w:val="en-GB"/>
        </w:rPr>
        <w:t>agricultural</w:t>
      </w:r>
      <w:r w:rsidR="00AE174D">
        <w:rPr>
          <w:rFonts w:ascii="Book Antiqua" w:hAnsi="Book Antiqua"/>
          <w:lang w:val="en-GB"/>
        </w:rPr>
        <w:t xml:space="preserve"> </w:t>
      </w:r>
      <w:r w:rsidR="00ED0134" w:rsidRPr="00F200E7">
        <w:rPr>
          <w:rFonts w:ascii="Book Antiqua" w:hAnsi="Book Antiqua"/>
          <w:lang w:val="en-GB"/>
        </w:rPr>
        <w:t xml:space="preserve">employers are male. </w:t>
      </w:r>
      <w:r w:rsidRPr="00F200E7">
        <w:rPr>
          <w:rFonts w:ascii="Book Antiqua" w:hAnsi="Book Antiqua"/>
          <w:lang w:val="en-GB"/>
        </w:rPr>
        <w:t>Most are</w:t>
      </w:r>
      <w:r w:rsidR="00ED0134" w:rsidRPr="00F200E7">
        <w:rPr>
          <w:rFonts w:ascii="Book Antiqua" w:hAnsi="Book Antiqua"/>
          <w:lang w:val="en-GB"/>
        </w:rPr>
        <w:t xml:space="preserve"> 41 years or older.</w:t>
      </w:r>
    </w:p>
    <w:p w:rsidR="000B697C" w:rsidRPr="00F200E7" w:rsidRDefault="005C74B1" w:rsidP="0032057B">
      <w:pPr>
        <w:pStyle w:val="Heading2"/>
      </w:pPr>
      <w:bookmarkStart w:id="13" w:name="_Toc302658250"/>
      <w:bookmarkStart w:id="14" w:name="_Toc332009946"/>
      <w:bookmarkStart w:id="15" w:name="_Toc336607503"/>
      <w:bookmarkStart w:id="16" w:name="_Toc333837973"/>
      <w:r w:rsidRPr="00F200E7">
        <w:t>6.</w:t>
      </w:r>
      <w:r w:rsidR="00116FF7">
        <w:t>2</w:t>
      </w:r>
      <w:r w:rsidR="00863FAA" w:rsidRPr="00F200E7">
        <w:t>.3</w:t>
      </w:r>
      <w:r w:rsidR="00863FAA" w:rsidRPr="00F200E7">
        <w:tab/>
      </w:r>
      <w:r w:rsidR="000B697C" w:rsidRPr="00F200E7">
        <w:t>Governmental and non-governmental entities that support agro-export activities</w:t>
      </w:r>
      <w:bookmarkEnd w:id="13"/>
      <w:bookmarkEnd w:id="14"/>
      <w:bookmarkEnd w:id="15"/>
      <w:bookmarkEnd w:id="16"/>
    </w:p>
    <w:p w:rsidR="00B36F7C" w:rsidRPr="00F200E7" w:rsidRDefault="00081BB8" w:rsidP="00081BB8">
      <w:pPr>
        <w:pStyle w:val="ListParagraph"/>
        <w:ind w:left="0"/>
        <w:jc w:val="both"/>
        <w:rPr>
          <w:rFonts w:ascii="Book Antiqua" w:hAnsi="Book Antiqua"/>
          <w:lang w:val="en-GB"/>
        </w:rPr>
      </w:pPr>
      <w:r w:rsidRPr="00F200E7">
        <w:rPr>
          <w:rFonts w:ascii="Book Antiqua" w:hAnsi="Book Antiqua"/>
          <w:lang w:val="en-GB"/>
        </w:rPr>
        <w:t>Among the governmental entities that support firms seek</w:t>
      </w:r>
      <w:r w:rsidR="000C77CC" w:rsidRPr="00F200E7">
        <w:rPr>
          <w:rFonts w:ascii="Book Antiqua" w:hAnsi="Book Antiqua"/>
          <w:lang w:val="en-GB"/>
        </w:rPr>
        <w:t>ing</w:t>
      </w:r>
      <w:r w:rsidR="00AE174D">
        <w:rPr>
          <w:rFonts w:ascii="Book Antiqua" w:hAnsi="Book Antiqua"/>
          <w:lang w:val="en-GB"/>
        </w:rPr>
        <w:t xml:space="preserve"> </w:t>
      </w:r>
      <w:r w:rsidR="000C77CC" w:rsidRPr="00F200E7">
        <w:rPr>
          <w:rFonts w:ascii="Book Antiqua" w:hAnsi="Book Antiqua"/>
          <w:lang w:val="en-GB"/>
        </w:rPr>
        <w:t xml:space="preserve">to expand into </w:t>
      </w:r>
      <w:r w:rsidRPr="00F200E7">
        <w:rPr>
          <w:rFonts w:ascii="Book Antiqua" w:hAnsi="Book Antiqua"/>
          <w:lang w:val="en-GB"/>
        </w:rPr>
        <w:t xml:space="preserve">international </w:t>
      </w:r>
      <w:r w:rsidR="000C77CC" w:rsidRPr="00F200E7">
        <w:rPr>
          <w:rFonts w:ascii="Book Antiqua" w:hAnsi="Book Antiqua"/>
          <w:lang w:val="en-GB"/>
        </w:rPr>
        <w:t xml:space="preserve">markets </w:t>
      </w:r>
      <w:r w:rsidRPr="00F200E7">
        <w:rPr>
          <w:rFonts w:ascii="Book Antiqua" w:hAnsi="Book Antiqua"/>
          <w:lang w:val="en-GB"/>
        </w:rPr>
        <w:t xml:space="preserve">are the Ministry of Agriculture, Animal Husbandry and Alimentation (MAGA </w:t>
      </w:r>
      <w:r w:rsidR="00B36F7C" w:rsidRPr="00F200E7">
        <w:rPr>
          <w:rFonts w:ascii="Book Antiqua" w:hAnsi="Book Antiqua"/>
          <w:lang w:val="en-GB"/>
        </w:rPr>
        <w:t xml:space="preserve">by </w:t>
      </w:r>
      <w:r w:rsidRPr="00F200E7">
        <w:rPr>
          <w:rFonts w:ascii="Book Antiqua" w:hAnsi="Book Antiqua"/>
          <w:lang w:val="en-GB"/>
        </w:rPr>
        <w:t>its acronym in Spanish)</w:t>
      </w:r>
      <w:r w:rsidR="00B36F7C" w:rsidRPr="00F200E7">
        <w:rPr>
          <w:rFonts w:ascii="Book Antiqua" w:hAnsi="Book Antiqua"/>
          <w:lang w:val="en-GB"/>
        </w:rPr>
        <w:t>,</w:t>
      </w:r>
      <w:r w:rsidRPr="00F200E7">
        <w:rPr>
          <w:rFonts w:ascii="Book Antiqua" w:hAnsi="Book Antiqua"/>
          <w:lang w:val="en-GB"/>
        </w:rPr>
        <w:t xml:space="preserve"> and the Ministry of Economy of Guatemala (MINECO </w:t>
      </w:r>
      <w:r w:rsidR="00B36F7C" w:rsidRPr="00F200E7">
        <w:rPr>
          <w:rFonts w:ascii="Book Antiqua" w:hAnsi="Book Antiqua"/>
          <w:lang w:val="en-GB"/>
        </w:rPr>
        <w:t xml:space="preserve">by </w:t>
      </w:r>
      <w:r w:rsidRPr="00F200E7">
        <w:rPr>
          <w:rFonts w:ascii="Book Antiqua" w:hAnsi="Book Antiqua"/>
          <w:lang w:val="en-GB"/>
        </w:rPr>
        <w:t>its acronym in Spanish)</w:t>
      </w:r>
      <w:r w:rsidR="00B36F7C" w:rsidRPr="00F200E7">
        <w:rPr>
          <w:rFonts w:ascii="Book Antiqua" w:hAnsi="Book Antiqua"/>
          <w:lang w:val="en-GB"/>
        </w:rPr>
        <w:t>.</w:t>
      </w:r>
      <w:r w:rsidR="00264D66" w:rsidRPr="00F200E7">
        <w:rPr>
          <w:rFonts w:ascii="Book Antiqua" w:hAnsi="Book Antiqua"/>
          <w:lang w:val="en-GB"/>
        </w:rPr>
        <w:t xml:space="preserve">Since 2006 </w:t>
      </w:r>
      <w:r w:rsidR="00B36F7C" w:rsidRPr="00F200E7">
        <w:rPr>
          <w:rFonts w:ascii="Book Antiqua" w:hAnsi="Book Antiqua"/>
          <w:lang w:val="en-GB"/>
        </w:rPr>
        <w:t xml:space="preserve">MINECO, </w:t>
      </w:r>
      <w:r w:rsidRPr="00F200E7">
        <w:rPr>
          <w:rFonts w:ascii="Book Antiqua" w:hAnsi="Book Antiqua"/>
          <w:lang w:val="en-GB"/>
        </w:rPr>
        <w:t xml:space="preserve">through its Business Centre (Centro de </w:t>
      </w:r>
      <w:proofErr w:type="spellStart"/>
      <w:r w:rsidRPr="00F200E7">
        <w:rPr>
          <w:rFonts w:ascii="Book Antiqua" w:hAnsi="Book Antiqua"/>
          <w:lang w:val="en-GB"/>
        </w:rPr>
        <w:t>Negocios</w:t>
      </w:r>
      <w:proofErr w:type="spellEnd"/>
      <w:r w:rsidRPr="00F200E7">
        <w:rPr>
          <w:rFonts w:ascii="Book Antiqua" w:hAnsi="Book Antiqua"/>
          <w:lang w:val="en-GB"/>
        </w:rPr>
        <w:t>)</w:t>
      </w:r>
      <w:r w:rsidR="00B36F7C" w:rsidRPr="00F200E7">
        <w:rPr>
          <w:rFonts w:ascii="Book Antiqua" w:hAnsi="Book Antiqua"/>
          <w:lang w:val="en-GB"/>
        </w:rPr>
        <w:t>:</w:t>
      </w:r>
    </w:p>
    <w:p w:rsidR="00E65CED" w:rsidRPr="00F200E7" w:rsidRDefault="00081BB8" w:rsidP="00170EEB">
      <w:pPr>
        <w:pStyle w:val="ListParagraph"/>
        <w:jc w:val="both"/>
        <w:rPr>
          <w:rFonts w:ascii="Book Antiqua" w:hAnsi="Book Antiqua"/>
          <w:i/>
          <w:lang w:val="en-GB"/>
        </w:rPr>
      </w:pPr>
      <w:proofErr w:type="gramStart"/>
      <w:r w:rsidRPr="00F200E7">
        <w:rPr>
          <w:rFonts w:ascii="Book Antiqua" w:hAnsi="Book Antiqua"/>
          <w:i/>
          <w:lang w:val="en-GB"/>
        </w:rPr>
        <w:t>supports</w:t>
      </w:r>
      <w:proofErr w:type="gramEnd"/>
      <w:r w:rsidRPr="00F200E7">
        <w:rPr>
          <w:rFonts w:ascii="Book Antiqua" w:hAnsi="Book Antiqua"/>
          <w:i/>
          <w:lang w:val="en-GB"/>
        </w:rPr>
        <w:t xml:space="preserve"> the micro, small and medium firms in Guatemala with the promotion, marketing and access to information to firms seeking to internationalize, expand and achieve significant business links, </w:t>
      </w:r>
      <w:r w:rsidR="004C0C40">
        <w:rPr>
          <w:rFonts w:ascii="Book Antiqua" w:hAnsi="Book Antiqua"/>
          <w:i/>
          <w:lang w:val="en-GB"/>
        </w:rPr>
        <w:t>including</w:t>
      </w:r>
      <w:r w:rsidR="00AE174D">
        <w:rPr>
          <w:rFonts w:ascii="Book Antiqua" w:hAnsi="Book Antiqua"/>
          <w:i/>
          <w:lang w:val="en-GB"/>
        </w:rPr>
        <w:t xml:space="preserve"> </w:t>
      </w:r>
      <w:r w:rsidRPr="00F200E7">
        <w:rPr>
          <w:rFonts w:ascii="Book Antiqua" w:hAnsi="Book Antiqua"/>
          <w:i/>
          <w:lang w:val="en-GB"/>
        </w:rPr>
        <w:t>to export their products and/or services outside of Guatemala.</w:t>
      </w:r>
      <w:r w:rsidR="00A443BF" w:rsidRPr="00F200E7">
        <w:rPr>
          <w:rStyle w:val="FootnoteReference"/>
          <w:rFonts w:ascii="Book Antiqua" w:hAnsi="Book Antiqua"/>
          <w:lang w:val="en-GB"/>
        </w:rPr>
        <w:footnoteReference w:id="10"/>
      </w:r>
    </w:p>
    <w:p w:rsidR="00081BB8" w:rsidRPr="00F200E7" w:rsidRDefault="00081BB8" w:rsidP="00081BB8">
      <w:pPr>
        <w:pStyle w:val="ListParagraph"/>
        <w:ind w:left="0"/>
        <w:jc w:val="both"/>
        <w:rPr>
          <w:rFonts w:ascii="Book Antiqua" w:hAnsi="Book Antiqua"/>
          <w:i/>
          <w:lang w:val="en-GB"/>
        </w:rPr>
      </w:pPr>
    </w:p>
    <w:p w:rsidR="00264D66" w:rsidRPr="00F200E7" w:rsidRDefault="00081BB8" w:rsidP="00081BB8">
      <w:pPr>
        <w:pStyle w:val="ListParagraph"/>
        <w:ind w:left="0"/>
        <w:jc w:val="both"/>
        <w:rPr>
          <w:rFonts w:ascii="Book Antiqua" w:hAnsi="Book Antiqua"/>
          <w:lang w:val="en-GB"/>
        </w:rPr>
      </w:pPr>
      <w:r w:rsidRPr="00F200E7">
        <w:rPr>
          <w:rFonts w:ascii="Book Antiqua" w:hAnsi="Book Antiqua"/>
          <w:lang w:val="en-GB"/>
        </w:rPr>
        <w:t xml:space="preserve">AGEXPORT is a private trade </w:t>
      </w:r>
      <w:r w:rsidR="00BC151C" w:rsidRPr="00F200E7">
        <w:rPr>
          <w:rFonts w:ascii="Book Antiqua" w:hAnsi="Book Antiqua"/>
          <w:lang w:val="en-GB"/>
        </w:rPr>
        <w:t>entity that</w:t>
      </w:r>
      <w:r w:rsidRPr="00F200E7">
        <w:rPr>
          <w:rFonts w:ascii="Book Antiqua" w:hAnsi="Book Antiqua"/>
          <w:lang w:val="en-GB"/>
        </w:rPr>
        <w:t xml:space="preserve"> groups and supports agro-export firms in Guatemala by promoting the growth of exports based on competitiveness. </w:t>
      </w:r>
      <w:r w:rsidR="00077977" w:rsidRPr="00F200E7">
        <w:rPr>
          <w:rFonts w:ascii="Book Antiqua" w:hAnsi="Book Antiqua"/>
          <w:lang w:val="en-GB"/>
        </w:rPr>
        <w:t>For example,</w:t>
      </w:r>
      <w:r w:rsidR="00AE174D">
        <w:rPr>
          <w:rFonts w:ascii="Book Antiqua" w:hAnsi="Book Antiqua"/>
          <w:lang w:val="en-GB"/>
        </w:rPr>
        <w:t xml:space="preserve"> </w:t>
      </w:r>
      <w:proofErr w:type="spellStart"/>
      <w:r w:rsidRPr="00F200E7">
        <w:rPr>
          <w:rFonts w:ascii="Book Antiqua" w:hAnsi="Book Antiqua"/>
          <w:lang w:val="en-GB"/>
        </w:rPr>
        <w:t>Cuatro</w:t>
      </w:r>
      <w:proofErr w:type="spellEnd"/>
      <w:r w:rsidRPr="00F200E7">
        <w:rPr>
          <w:rFonts w:ascii="Book Antiqua" w:hAnsi="Book Antiqua"/>
          <w:lang w:val="en-GB"/>
        </w:rPr>
        <w:t xml:space="preserve"> </w:t>
      </w:r>
      <w:proofErr w:type="spellStart"/>
      <w:r w:rsidRPr="00F200E7">
        <w:rPr>
          <w:rFonts w:ascii="Book Antiqua" w:hAnsi="Book Antiqua"/>
          <w:lang w:val="en-GB"/>
        </w:rPr>
        <w:t>Pinos</w:t>
      </w:r>
      <w:proofErr w:type="spellEnd"/>
      <w:r w:rsidRPr="00F200E7">
        <w:rPr>
          <w:rFonts w:ascii="Book Antiqua" w:hAnsi="Book Antiqua"/>
          <w:lang w:val="en-GB"/>
        </w:rPr>
        <w:t xml:space="preserve"> Cooperative</w:t>
      </w:r>
      <w:r w:rsidR="002D3433">
        <w:rPr>
          <w:rFonts w:ascii="Book Antiqua" w:hAnsi="Book Antiqua"/>
          <w:lang w:val="en-GB"/>
        </w:rPr>
        <w:t>,</w:t>
      </w:r>
      <w:r w:rsidR="00AE174D">
        <w:rPr>
          <w:rFonts w:ascii="Book Antiqua" w:hAnsi="Book Antiqua"/>
          <w:lang w:val="en-GB"/>
        </w:rPr>
        <w:t xml:space="preserve"> </w:t>
      </w:r>
      <w:r w:rsidR="00F73B89" w:rsidRPr="00F200E7">
        <w:rPr>
          <w:rFonts w:ascii="Book Antiqua" w:hAnsi="Book Antiqua"/>
          <w:lang w:val="en-GB"/>
        </w:rPr>
        <w:t xml:space="preserve">which </w:t>
      </w:r>
      <w:r w:rsidRPr="00F200E7">
        <w:rPr>
          <w:rFonts w:ascii="Book Antiqua" w:hAnsi="Book Antiqua"/>
          <w:lang w:val="en-GB"/>
        </w:rPr>
        <w:t xml:space="preserve">has specialized in the export of fresh vegetables such as snow peas, string beans, </w:t>
      </w:r>
      <w:r w:rsidR="00BC151C" w:rsidRPr="00F200E7">
        <w:rPr>
          <w:rFonts w:ascii="Book Antiqua" w:hAnsi="Book Antiqua"/>
          <w:lang w:val="en-GB"/>
        </w:rPr>
        <w:t>and zucchini</w:t>
      </w:r>
      <w:r w:rsidR="00904929">
        <w:rPr>
          <w:rFonts w:ascii="Book Antiqua" w:hAnsi="Book Antiqua"/>
          <w:lang w:val="en-GB"/>
        </w:rPr>
        <w:t>, among</w:t>
      </w:r>
      <w:r w:rsidRPr="00F200E7">
        <w:rPr>
          <w:rFonts w:ascii="Book Antiqua" w:hAnsi="Book Antiqua"/>
          <w:lang w:val="en-GB"/>
        </w:rPr>
        <w:t xml:space="preserve"> others</w:t>
      </w:r>
      <w:r w:rsidR="00077977" w:rsidRPr="00F200E7">
        <w:rPr>
          <w:rFonts w:ascii="Book Antiqua" w:hAnsi="Book Antiqua"/>
          <w:lang w:val="en-GB"/>
        </w:rPr>
        <w:t>, is a member of AGEXPORT</w:t>
      </w:r>
      <w:r w:rsidRPr="00F200E7">
        <w:rPr>
          <w:rFonts w:ascii="Book Antiqua" w:hAnsi="Book Antiqua"/>
          <w:lang w:val="en-GB"/>
        </w:rPr>
        <w:t>.</w:t>
      </w:r>
      <w:r w:rsidR="002D3433" w:rsidRPr="00F200E7">
        <w:rPr>
          <w:rStyle w:val="FootnoteReference"/>
          <w:rFonts w:ascii="Book Antiqua" w:hAnsi="Book Antiqua"/>
          <w:lang w:val="en-GB"/>
        </w:rPr>
        <w:footnoteReference w:id="11"/>
      </w:r>
      <w:r w:rsidRPr="00F200E7">
        <w:rPr>
          <w:rFonts w:ascii="Book Antiqua" w:hAnsi="Book Antiqua"/>
          <w:lang w:val="en-GB"/>
        </w:rPr>
        <w:t xml:space="preserve"> The cooperative has around 580 members, of which the majority are smallholders. Its objective is to</w:t>
      </w:r>
      <w:r w:rsidR="00264D66" w:rsidRPr="00F200E7">
        <w:rPr>
          <w:rFonts w:ascii="Book Antiqua" w:hAnsi="Book Antiqua"/>
          <w:lang w:val="en-GB"/>
        </w:rPr>
        <w:t>:</w:t>
      </w:r>
    </w:p>
    <w:p w:rsidR="00E65CED" w:rsidRPr="00F200E7" w:rsidRDefault="00596A5C" w:rsidP="00F73B89">
      <w:pPr>
        <w:pStyle w:val="ListParagraph"/>
        <w:jc w:val="both"/>
        <w:rPr>
          <w:rFonts w:ascii="Book Antiqua" w:hAnsi="Book Antiqua"/>
          <w:i/>
          <w:lang w:val="en-GB"/>
        </w:rPr>
      </w:pPr>
      <w:r w:rsidRPr="00F200E7">
        <w:rPr>
          <w:rFonts w:ascii="Book Antiqua" w:hAnsi="Book Antiqua"/>
          <w:lang w:val="en-GB"/>
        </w:rPr>
        <w:t>…</w:t>
      </w:r>
      <w:r w:rsidR="00081BB8" w:rsidRPr="00F200E7">
        <w:rPr>
          <w:rFonts w:ascii="Book Antiqua" w:hAnsi="Book Antiqua"/>
          <w:i/>
          <w:lang w:val="en-GB"/>
        </w:rPr>
        <w:t>organize the production of vegetables for export, provide field-level extension, input supply, and assist in the harvesting, sorting and storage of products. It has also been carrying out its own exports to European and US markets.</w:t>
      </w:r>
      <w:r w:rsidR="00A46E0E" w:rsidRPr="00F200E7">
        <w:rPr>
          <w:rFonts w:ascii="Book Antiqua" w:hAnsi="Book Antiqua"/>
          <w:lang w:val="en-GB"/>
        </w:rPr>
        <w:t xml:space="preserve"> (</w:t>
      </w:r>
      <w:proofErr w:type="spellStart"/>
      <w:r w:rsidR="00A46E0E" w:rsidRPr="00F200E7">
        <w:rPr>
          <w:rFonts w:ascii="Book Antiqua" w:hAnsi="Book Antiqua"/>
          <w:lang w:val="en-GB"/>
        </w:rPr>
        <w:t>Santacoloma</w:t>
      </w:r>
      <w:proofErr w:type="spellEnd"/>
      <w:r w:rsidR="00A46E0E" w:rsidRPr="00F200E7">
        <w:rPr>
          <w:rFonts w:ascii="Book Antiqua" w:hAnsi="Book Antiqua"/>
          <w:lang w:val="en-GB"/>
        </w:rPr>
        <w:t xml:space="preserve"> </w:t>
      </w:r>
      <w:r w:rsidR="00EC6FE3">
        <w:rPr>
          <w:rFonts w:ascii="Book Antiqua" w:hAnsi="Book Antiqua"/>
          <w:lang w:val="en-GB"/>
        </w:rPr>
        <w:t>and Suarez</w:t>
      </w:r>
      <w:r w:rsidR="00A46E0E" w:rsidRPr="00F200E7">
        <w:rPr>
          <w:rFonts w:ascii="Book Antiqua" w:hAnsi="Book Antiqua"/>
          <w:lang w:val="en-GB"/>
        </w:rPr>
        <w:t>, 2005)</w:t>
      </w:r>
    </w:p>
    <w:p w:rsidR="00600A26" w:rsidRPr="00F200E7" w:rsidRDefault="00A443BF" w:rsidP="00264D66">
      <w:pPr>
        <w:pStyle w:val="Heading1"/>
        <w:ind w:left="720" w:hanging="720"/>
        <w:rPr>
          <w:lang w:val="en-GB"/>
        </w:rPr>
      </w:pPr>
      <w:bookmarkStart w:id="17" w:name="_Toc302658251"/>
      <w:bookmarkStart w:id="18" w:name="_Toc336607504"/>
      <w:bookmarkStart w:id="19" w:name="_Toc333837974"/>
      <w:r w:rsidRPr="00F200E7">
        <w:rPr>
          <w:rFonts w:eastAsia="Calibri"/>
          <w:szCs w:val="22"/>
          <w:lang w:val="en-GB"/>
        </w:rPr>
        <w:t>6.</w:t>
      </w:r>
      <w:r w:rsidR="00116FF7">
        <w:rPr>
          <w:rFonts w:eastAsia="Calibri"/>
          <w:szCs w:val="22"/>
          <w:lang w:val="en-GB"/>
        </w:rPr>
        <w:t>3</w:t>
      </w:r>
      <w:r w:rsidRPr="00F200E7">
        <w:rPr>
          <w:rFonts w:eastAsia="Calibri"/>
          <w:szCs w:val="22"/>
          <w:lang w:val="en-GB"/>
        </w:rPr>
        <w:tab/>
      </w:r>
      <w:r w:rsidR="00264D66" w:rsidRPr="00F200E7">
        <w:rPr>
          <w:lang w:val="en-GB"/>
        </w:rPr>
        <w:t>FOREIGN TRADE OF AGRICULTURAL PRODUCTS</w:t>
      </w:r>
      <w:bookmarkEnd w:id="17"/>
      <w:bookmarkEnd w:id="18"/>
      <w:bookmarkEnd w:id="19"/>
    </w:p>
    <w:p w:rsidR="00BF4DCF" w:rsidRPr="00F200E7" w:rsidRDefault="000C376D" w:rsidP="0032057B">
      <w:pPr>
        <w:pStyle w:val="Heading2"/>
      </w:pPr>
      <w:bookmarkStart w:id="20" w:name="_Toc302657517"/>
      <w:bookmarkStart w:id="21" w:name="_Toc302657538"/>
      <w:bookmarkStart w:id="22" w:name="_Toc302657671"/>
      <w:bookmarkStart w:id="23" w:name="_Toc302658252"/>
      <w:bookmarkStart w:id="24" w:name="_Toc302658330"/>
      <w:bookmarkStart w:id="25" w:name="_Toc302726554"/>
      <w:bookmarkStart w:id="26" w:name="_Toc303026023"/>
      <w:bookmarkStart w:id="27" w:name="_Toc314494907"/>
      <w:bookmarkStart w:id="28" w:name="_Toc314582246"/>
      <w:bookmarkStart w:id="29" w:name="_Toc328592153"/>
      <w:bookmarkStart w:id="30" w:name="_Toc330988154"/>
      <w:bookmarkStart w:id="31" w:name="_Toc331157485"/>
      <w:bookmarkStart w:id="32" w:name="_Toc331157575"/>
      <w:bookmarkStart w:id="33" w:name="_Toc331162406"/>
      <w:bookmarkStart w:id="34" w:name="_Toc331164073"/>
      <w:bookmarkStart w:id="35" w:name="_Toc331167531"/>
      <w:bookmarkStart w:id="36" w:name="_Toc331167866"/>
      <w:bookmarkStart w:id="37" w:name="_Toc333068099"/>
      <w:bookmarkStart w:id="38" w:name="_Toc333073879"/>
      <w:bookmarkStart w:id="39" w:name="_Toc333230257"/>
      <w:bookmarkStart w:id="40" w:name="_Toc333241195"/>
      <w:bookmarkStart w:id="41" w:name="_Toc333566066"/>
      <w:bookmarkStart w:id="42" w:name="_Toc333828377"/>
      <w:bookmarkStart w:id="43" w:name="_Toc333837975"/>
      <w:bookmarkStart w:id="44" w:name="_Toc302657518"/>
      <w:bookmarkStart w:id="45" w:name="_Toc302657539"/>
      <w:bookmarkStart w:id="46" w:name="_Toc302657672"/>
      <w:bookmarkStart w:id="47" w:name="_Toc302658253"/>
      <w:bookmarkStart w:id="48" w:name="_Toc302658331"/>
      <w:bookmarkStart w:id="49" w:name="_Toc302726555"/>
      <w:bookmarkStart w:id="50" w:name="_Toc303026024"/>
      <w:bookmarkStart w:id="51" w:name="_Toc314494908"/>
      <w:bookmarkStart w:id="52" w:name="_Toc314582247"/>
      <w:bookmarkStart w:id="53" w:name="_Toc328592154"/>
      <w:bookmarkStart w:id="54" w:name="_Toc330988155"/>
      <w:bookmarkStart w:id="55" w:name="_Toc331157486"/>
      <w:bookmarkStart w:id="56" w:name="_Toc331157576"/>
      <w:bookmarkStart w:id="57" w:name="_Toc331162407"/>
      <w:bookmarkStart w:id="58" w:name="_Toc331164074"/>
      <w:bookmarkStart w:id="59" w:name="_Toc331167532"/>
      <w:bookmarkStart w:id="60" w:name="_Toc331167867"/>
      <w:bookmarkStart w:id="61" w:name="_Toc333068100"/>
      <w:bookmarkStart w:id="62" w:name="_Toc333073880"/>
      <w:bookmarkStart w:id="63" w:name="_Toc333230258"/>
      <w:bookmarkStart w:id="64" w:name="_Toc333241196"/>
      <w:bookmarkStart w:id="65" w:name="_Toc333566067"/>
      <w:bookmarkStart w:id="66" w:name="_Toc333828378"/>
      <w:bookmarkStart w:id="67" w:name="_Toc333837976"/>
      <w:bookmarkStart w:id="68" w:name="_Toc332009950"/>
      <w:bookmarkStart w:id="69" w:name="_Toc333837977"/>
      <w:bookmarkStart w:id="70" w:name="_Toc302658254"/>
      <w:bookmarkStart w:id="71" w:name="_Toc33660750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200E7">
        <w:t>6.</w:t>
      </w:r>
      <w:r w:rsidR="00116FF7">
        <w:t>3</w:t>
      </w:r>
      <w:r w:rsidR="00264D66" w:rsidRPr="00F200E7">
        <w:t>.1</w:t>
      </w:r>
      <w:r w:rsidR="00264D66" w:rsidRPr="00F200E7">
        <w:tab/>
      </w:r>
      <w:r w:rsidR="00BF4DCF" w:rsidRPr="00F200E7">
        <w:t>Evolution of traditional exports</w:t>
      </w:r>
      <w:bookmarkEnd w:id="68"/>
      <w:bookmarkEnd w:id="69"/>
      <w:bookmarkEnd w:id="70"/>
      <w:bookmarkEnd w:id="71"/>
    </w:p>
    <w:p w:rsidR="007C334D" w:rsidRPr="00F200E7" w:rsidRDefault="007C334D" w:rsidP="007C334D">
      <w:pPr>
        <w:pStyle w:val="NoSpacing"/>
        <w:jc w:val="both"/>
        <w:rPr>
          <w:rFonts w:ascii="Book Antiqua" w:hAnsi="Book Antiqua"/>
          <w:lang w:val="en-GB"/>
        </w:rPr>
      </w:pPr>
      <w:r w:rsidRPr="00F200E7">
        <w:rPr>
          <w:rFonts w:ascii="Book Antiqua" w:hAnsi="Book Antiqua"/>
          <w:lang w:val="en-GB"/>
        </w:rPr>
        <w:t>Traditional exports – coffee, sugar, bananas</w:t>
      </w:r>
      <w:r w:rsidR="00264D66" w:rsidRPr="00F200E7">
        <w:rPr>
          <w:rFonts w:ascii="Book Antiqua" w:hAnsi="Book Antiqua"/>
          <w:lang w:val="en-GB"/>
        </w:rPr>
        <w:t>,</w:t>
      </w:r>
      <w:r w:rsidRPr="00F200E7">
        <w:rPr>
          <w:rFonts w:ascii="Book Antiqua" w:hAnsi="Book Antiqua"/>
          <w:lang w:val="en-GB"/>
        </w:rPr>
        <w:t xml:space="preserve"> and cardamom</w:t>
      </w:r>
      <w:r w:rsidR="00A259C1" w:rsidRPr="00F200E7">
        <w:rPr>
          <w:rStyle w:val="FootnoteReference"/>
          <w:rFonts w:ascii="Book Antiqua" w:hAnsi="Book Antiqua"/>
          <w:lang w:val="en-GB"/>
        </w:rPr>
        <w:footnoteReference w:id="12"/>
      </w:r>
      <w:r w:rsidR="00264D66" w:rsidRPr="00F200E7">
        <w:rPr>
          <w:rFonts w:ascii="Book Antiqua" w:hAnsi="Book Antiqua"/>
          <w:lang w:val="en-GB"/>
        </w:rPr>
        <w:t xml:space="preserve"> –</w:t>
      </w:r>
      <w:r w:rsidRPr="00F200E7">
        <w:rPr>
          <w:rFonts w:ascii="Book Antiqua" w:hAnsi="Book Antiqua"/>
          <w:lang w:val="en-GB"/>
        </w:rPr>
        <w:t xml:space="preserve"> accounted for 20.5 per cent on average of total exports from 2000 to 2010</w:t>
      </w:r>
      <w:r w:rsidR="00264D66" w:rsidRPr="00F200E7">
        <w:rPr>
          <w:rFonts w:ascii="Book Antiqua" w:hAnsi="Book Antiqua"/>
          <w:lang w:val="en-GB"/>
        </w:rPr>
        <w:t>,</w:t>
      </w:r>
      <w:r w:rsidRPr="00F200E7">
        <w:rPr>
          <w:rFonts w:ascii="Book Antiqua" w:hAnsi="Book Antiqua"/>
          <w:lang w:val="en-GB"/>
        </w:rPr>
        <w:t xml:space="preserve"> according to information from the </w:t>
      </w:r>
      <w:proofErr w:type="spellStart"/>
      <w:r w:rsidRPr="00F200E7">
        <w:rPr>
          <w:rFonts w:ascii="Book Antiqua" w:hAnsi="Book Antiqua"/>
          <w:lang w:val="en-GB"/>
        </w:rPr>
        <w:t>Banco</w:t>
      </w:r>
      <w:proofErr w:type="spellEnd"/>
      <w:r w:rsidRPr="00F200E7">
        <w:rPr>
          <w:rFonts w:ascii="Book Antiqua" w:hAnsi="Book Antiqua"/>
          <w:lang w:val="en-GB"/>
        </w:rPr>
        <w:t xml:space="preserve"> de </w:t>
      </w:r>
      <w:r w:rsidR="00BC151C" w:rsidRPr="00F200E7">
        <w:rPr>
          <w:rFonts w:ascii="Book Antiqua" w:hAnsi="Book Antiqua"/>
          <w:lang w:val="en-GB"/>
        </w:rPr>
        <w:t>Guatemala</w:t>
      </w:r>
      <w:r w:rsidRPr="00F200E7">
        <w:rPr>
          <w:rFonts w:ascii="Book Antiqua" w:hAnsi="Book Antiqua"/>
          <w:lang w:val="en-GB"/>
        </w:rPr>
        <w:t xml:space="preserve">. However, during the first half of the period, the overall </w:t>
      </w:r>
      <w:r w:rsidR="00264D66" w:rsidRPr="00F200E7">
        <w:rPr>
          <w:rFonts w:ascii="Book Antiqua" w:hAnsi="Book Antiqua"/>
          <w:lang w:val="en-GB"/>
        </w:rPr>
        <w:t>share</w:t>
      </w:r>
      <w:r w:rsidRPr="00F200E7">
        <w:rPr>
          <w:rFonts w:ascii="Book Antiqua" w:hAnsi="Book Antiqua"/>
          <w:lang w:val="en-GB"/>
        </w:rPr>
        <w:t xml:space="preserve"> of traditional products decreased to a minimum of 16.2 per cent in 2004</w:t>
      </w:r>
      <w:r w:rsidR="00A259C1">
        <w:rPr>
          <w:rFonts w:ascii="Book Antiqua" w:hAnsi="Book Antiqua"/>
          <w:lang w:val="en-GB"/>
        </w:rPr>
        <w:t>,</w:t>
      </w:r>
      <w:r w:rsidR="00827790">
        <w:rPr>
          <w:rFonts w:ascii="Book Antiqua" w:hAnsi="Book Antiqua"/>
          <w:lang w:val="en-GB"/>
        </w:rPr>
        <w:t xml:space="preserve"> </w:t>
      </w:r>
      <w:r w:rsidR="00A24E34">
        <w:rPr>
          <w:rFonts w:ascii="Book Antiqua" w:hAnsi="Book Antiqua"/>
          <w:lang w:val="en-GB"/>
        </w:rPr>
        <w:t>as reflected in figure 6.2. D</w:t>
      </w:r>
      <w:r w:rsidRPr="00F200E7">
        <w:rPr>
          <w:rFonts w:ascii="Book Antiqua" w:hAnsi="Book Antiqua"/>
          <w:lang w:val="en-GB"/>
        </w:rPr>
        <w:t>uring the second half</w:t>
      </w:r>
      <w:r w:rsidR="00264D66" w:rsidRPr="00F200E7">
        <w:rPr>
          <w:rFonts w:ascii="Book Antiqua" w:hAnsi="Book Antiqua"/>
          <w:lang w:val="en-GB"/>
        </w:rPr>
        <w:t xml:space="preserve"> of the decade</w:t>
      </w:r>
      <w:r w:rsidR="00827790">
        <w:rPr>
          <w:rFonts w:ascii="Book Antiqua" w:hAnsi="Book Antiqua"/>
          <w:lang w:val="en-GB"/>
        </w:rPr>
        <w:t xml:space="preserve"> </w:t>
      </w:r>
      <w:r w:rsidR="00264D66" w:rsidRPr="00F200E7">
        <w:rPr>
          <w:rFonts w:ascii="Book Antiqua" w:hAnsi="Book Antiqua"/>
          <w:lang w:val="en-GB"/>
        </w:rPr>
        <w:t>traditional agriculture’s share in total exports</w:t>
      </w:r>
      <w:r w:rsidRPr="00F200E7">
        <w:rPr>
          <w:rFonts w:ascii="Book Antiqua" w:hAnsi="Book Antiqua"/>
          <w:lang w:val="en-GB"/>
        </w:rPr>
        <w:t xml:space="preserve"> increased because of the </w:t>
      </w:r>
      <w:r w:rsidR="00264D66" w:rsidRPr="00F200E7">
        <w:rPr>
          <w:rFonts w:ascii="Book Antiqua" w:hAnsi="Book Antiqua"/>
          <w:lang w:val="en-GB"/>
        </w:rPr>
        <w:t xml:space="preserve">rise </w:t>
      </w:r>
      <w:r w:rsidRPr="00F200E7">
        <w:rPr>
          <w:rFonts w:ascii="Book Antiqua" w:hAnsi="Book Antiqua"/>
          <w:lang w:val="en-GB"/>
        </w:rPr>
        <w:t>in the international price</w:t>
      </w:r>
      <w:r w:rsidR="00264D66" w:rsidRPr="00F200E7">
        <w:rPr>
          <w:rFonts w:ascii="Book Antiqua" w:hAnsi="Book Antiqua"/>
          <w:lang w:val="en-GB"/>
        </w:rPr>
        <w:t>s</w:t>
      </w:r>
      <w:r w:rsidRPr="00F200E7">
        <w:rPr>
          <w:rFonts w:ascii="Book Antiqua" w:hAnsi="Book Antiqua"/>
          <w:lang w:val="en-GB"/>
        </w:rPr>
        <w:t xml:space="preserve"> of agricultural products, especially coffee.</w:t>
      </w:r>
    </w:p>
    <w:p w:rsidR="002B6059" w:rsidRPr="00F200E7" w:rsidRDefault="002B6059" w:rsidP="00D12065">
      <w:pPr>
        <w:pStyle w:val="NoSpacing"/>
        <w:jc w:val="both"/>
        <w:rPr>
          <w:rFonts w:ascii="Book Antiqua" w:hAnsi="Book Antiqua"/>
          <w:lang w:val="en-GB"/>
        </w:rPr>
      </w:pPr>
    </w:p>
    <w:p w:rsidR="00E65CED" w:rsidRPr="00F200E7" w:rsidRDefault="00ED1005" w:rsidP="00F73B89">
      <w:pPr>
        <w:pStyle w:val="NoSpacing"/>
        <w:ind w:left="1440" w:hanging="1440"/>
        <w:rPr>
          <w:rFonts w:ascii="Book Antiqua" w:hAnsi="Book Antiqua"/>
          <w:b/>
          <w:lang w:val="en-GB"/>
        </w:rPr>
      </w:pPr>
      <w:r w:rsidRPr="00F200E7">
        <w:rPr>
          <w:rFonts w:ascii="Book Antiqua" w:hAnsi="Book Antiqua"/>
          <w:b/>
          <w:lang w:val="en-GB"/>
        </w:rPr>
        <w:t>Figure</w:t>
      </w:r>
      <w:r w:rsidR="00264D66" w:rsidRPr="00F200E7">
        <w:rPr>
          <w:rFonts w:ascii="Book Antiqua" w:hAnsi="Book Antiqua"/>
          <w:b/>
          <w:lang w:val="en-GB"/>
        </w:rPr>
        <w:t>6.</w:t>
      </w:r>
      <w:r w:rsidR="0028579F" w:rsidRPr="00F200E7">
        <w:rPr>
          <w:rFonts w:ascii="Book Antiqua" w:hAnsi="Book Antiqua"/>
          <w:b/>
          <w:lang w:val="en-GB"/>
        </w:rPr>
        <w:t>2</w:t>
      </w:r>
      <w:r w:rsidR="00261FC2" w:rsidRPr="00F200E7">
        <w:rPr>
          <w:rFonts w:ascii="Book Antiqua" w:hAnsi="Book Antiqua"/>
          <w:b/>
          <w:lang w:val="en-GB"/>
        </w:rPr>
        <w:t xml:space="preserve">: </w:t>
      </w:r>
      <w:r w:rsidR="00264D66" w:rsidRPr="00F200E7">
        <w:rPr>
          <w:rFonts w:ascii="Book Antiqua" w:hAnsi="Book Antiqua"/>
          <w:b/>
          <w:lang w:val="en-GB"/>
        </w:rPr>
        <w:tab/>
        <w:t>Trends in</w:t>
      </w:r>
      <w:r w:rsidR="00827790">
        <w:rPr>
          <w:rFonts w:ascii="Book Antiqua" w:hAnsi="Book Antiqua"/>
          <w:b/>
          <w:lang w:val="en-GB"/>
        </w:rPr>
        <w:t xml:space="preserve"> </w:t>
      </w:r>
      <w:r w:rsidR="00477A74" w:rsidRPr="00F200E7">
        <w:rPr>
          <w:rFonts w:ascii="Book Antiqua" w:hAnsi="Book Antiqua"/>
          <w:b/>
          <w:lang w:val="en-GB"/>
        </w:rPr>
        <w:t>t</w:t>
      </w:r>
      <w:r w:rsidR="00715413" w:rsidRPr="00F200E7">
        <w:rPr>
          <w:rFonts w:ascii="Book Antiqua" w:hAnsi="Book Antiqua"/>
          <w:b/>
          <w:lang w:val="en-GB"/>
        </w:rPr>
        <w:t xml:space="preserve">raditional </w:t>
      </w:r>
      <w:r w:rsidR="00477A74" w:rsidRPr="00F200E7">
        <w:rPr>
          <w:rFonts w:ascii="Book Antiqua" w:hAnsi="Book Antiqua"/>
          <w:b/>
          <w:lang w:val="en-GB"/>
        </w:rPr>
        <w:t>a</w:t>
      </w:r>
      <w:r w:rsidR="00264D66" w:rsidRPr="00F200E7">
        <w:rPr>
          <w:rFonts w:ascii="Book Antiqua" w:hAnsi="Book Antiqua"/>
          <w:b/>
          <w:lang w:val="en-GB"/>
        </w:rPr>
        <w:t xml:space="preserve">gricultural </w:t>
      </w:r>
      <w:r w:rsidR="00477A74" w:rsidRPr="00F200E7">
        <w:rPr>
          <w:rFonts w:ascii="Book Antiqua" w:hAnsi="Book Antiqua"/>
          <w:b/>
          <w:lang w:val="en-GB"/>
        </w:rPr>
        <w:t>e</w:t>
      </w:r>
      <w:r w:rsidR="00264D66" w:rsidRPr="00F200E7">
        <w:rPr>
          <w:rFonts w:ascii="Book Antiqua" w:hAnsi="Book Antiqua"/>
          <w:b/>
          <w:lang w:val="en-GB"/>
        </w:rPr>
        <w:t xml:space="preserve">xports </w:t>
      </w:r>
      <w:r w:rsidR="00715413" w:rsidRPr="00F200E7">
        <w:rPr>
          <w:rFonts w:ascii="Book Antiqua" w:hAnsi="Book Antiqua"/>
          <w:b/>
          <w:lang w:val="en-GB"/>
        </w:rPr>
        <w:t xml:space="preserve">and </w:t>
      </w:r>
      <w:r w:rsidR="00477A74" w:rsidRPr="00F200E7">
        <w:rPr>
          <w:rFonts w:ascii="Book Antiqua" w:hAnsi="Book Antiqua"/>
          <w:b/>
          <w:lang w:val="en-GB"/>
        </w:rPr>
        <w:t>t</w:t>
      </w:r>
      <w:r w:rsidR="00715413" w:rsidRPr="00F200E7">
        <w:rPr>
          <w:rFonts w:ascii="Book Antiqua" w:hAnsi="Book Antiqua"/>
          <w:b/>
          <w:lang w:val="en-GB"/>
        </w:rPr>
        <w:t xml:space="preserve">otal </w:t>
      </w:r>
      <w:r w:rsidR="00477A74" w:rsidRPr="00F200E7">
        <w:rPr>
          <w:rFonts w:ascii="Book Antiqua" w:hAnsi="Book Antiqua"/>
          <w:b/>
          <w:lang w:val="en-GB"/>
        </w:rPr>
        <w:t>e</w:t>
      </w:r>
      <w:r w:rsidR="00715413" w:rsidRPr="00F200E7">
        <w:rPr>
          <w:rFonts w:ascii="Book Antiqua" w:hAnsi="Book Antiqua"/>
          <w:b/>
          <w:lang w:val="en-GB"/>
        </w:rPr>
        <w:t>xports</w:t>
      </w:r>
      <w:r w:rsidR="00264D66" w:rsidRPr="00F200E7">
        <w:rPr>
          <w:rFonts w:ascii="Book Antiqua" w:hAnsi="Book Antiqua"/>
          <w:b/>
          <w:lang w:val="en-GB"/>
        </w:rPr>
        <w:t xml:space="preserve">, Guatemala, </w:t>
      </w:r>
      <w:r w:rsidR="00044142" w:rsidRPr="00F200E7">
        <w:rPr>
          <w:rFonts w:ascii="Book Antiqua" w:hAnsi="Book Antiqua"/>
          <w:b/>
          <w:lang w:val="en-GB"/>
        </w:rPr>
        <w:t>2000</w:t>
      </w:r>
      <w:r w:rsidR="00D00D4E" w:rsidRPr="00F200E7">
        <w:rPr>
          <w:rFonts w:ascii="Book Antiqua" w:hAnsi="Book Antiqua"/>
          <w:b/>
          <w:lang w:val="en-GB"/>
        </w:rPr>
        <w:t>–</w:t>
      </w:r>
      <w:r w:rsidR="00044142" w:rsidRPr="00F200E7">
        <w:rPr>
          <w:rFonts w:ascii="Book Antiqua" w:hAnsi="Book Antiqua"/>
          <w:b/>
          <w:lang w:val="en-GB"/>
        </w:rPr>
        <w:t>2010</w:t>
      </w:r>
    </w:p>
    <w:p w:rsidR="00465A85" w:rsidRPr="00F200E7" w:rsidRDefault="003B17F2" w:rsidP="00B86723">
      <w:pPr>
        <w:pStyle w:val="NoSpacing"/>
        <w:jc w:val="center"/>
        <w:rPr>
          <w:rFonts w:ascii="Book Antiqua" w:hAnsi="Book Antiqua"/>
          <w:lang w:val="en-GB"/>
        </w:rPr>
      </w:pPr>
      <w:r w:rsidRPr="00F200E7">
        <w:rPr>
          <w:noProof/>
          <w:lang w:val="en-GB" w:eastAsia="en-GB"/>
        </w:rPr>
        <w:drawing>
          <wp:inline distT="0" distB="0" distL="0" distR="0">
            <wp:extent cx="3600450" cy="180022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01AAB" w:rsidRPr="00F200E7" w:rsidRDefault="00701AAB" w:rsidP="005203F9">
      <w:pPr>
        <w:pStyle w:val="NoSpacing"/>
        <w:ind w:firstLine="720"/>
        <w:jc w:val="both"/>
        <w:rPr>
          <w:rFonts w:ascii="Book Antiqua" w:hAnsi="Book Antiqua"/>
          <w:sz w:val="14"/>
          <w:lang w:val="en-GB"/>
        </w:rPr>
      </w:pPr>
    </w:p>
    <w:p w:rsidR="007C334D" w:rsidRPr="00F200E7" w:rsidRDefault="007C334D" w:rsidP="007C334D">
      <w:pPr>
        <w:pStyle w:val="NoSpacing"/>
        <w:ind w:firstLine="720"/>
        <w:jc w:val="both"/>
        <w:rPr>
          <w:rFonts w:ascii="Book Antiqua" w:hAnsi="Book Antiqua"/>
          <w:lang w:val="en-GB"/>
        </w:rPr>
      </w:pPr>
      <w:r w:rsidRPr="00F200E7">
        <w:rPr>
          <w:rFonts w:ascii="Book Antiqua" w:hAnsi="Book Antiqua"/>
          <w:sz w:val="18"/>
          <w:lang w:val="en-GB"/>
        </w:rPr>
        <w:t xml:space="preserve">Source: Authors’ calculation </w:t>
      </w:r>
      <w:r w:rsidR="00264D66" w:rsidRPr="00F200E7">
        <w:rPr>
          <w:rFonts w:ascii="Book Antiqua" w:hAnsi="Book Antiqua"/>
          <w:sz w:val="18"/>
          <w:lang w:val="en-GB"/>
        </w:rPr>
        <w:t xml:space="preserve">from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5203F9" w:rsidRPr="00F200E7" w:rsidRDefault="005203F9" w:rsidP="00D12065">
      <w:pPr>
        <w:pStyle w:val="NoSpacing"/>
        <w:jc w:val="both"/>
        <w:rPr>
          <w:rFonts w:ascii="Book Antiqua" w:hAnsi="Book Antiqua"/>
          <w:lang w:val="en-GB"/>
        </w:rPr>
      </w:pPr>
    </w:p>
    <w:p w:rsidR="007C334D" w:rsidRDefault="00A24E34" w:rsidP="007C334D">
      <w:pPr>
        <w:pStyle w:val="NoSpacing"/>
        <w:jc w:val="both"/>
        <w:rPr>
          <w:rFonts w:ascii="Book Antiqua" w:hAnsi="Book Antiqua"/>
          <w:lang w:val="en-GB"/>
        </w:rPr>
      </w:pPr>
      <w:r>
        <w:rPr>
          <w:rFonts w:ascii="Book Antiqua" w:hAnsi="Book Antiqua"/>
          <w:lang w:val="en-GB"/>
        </w:rPr>
        <w:t>Among traditional export products</w:t>
      </w:r>
      <w:r w:rsidR="00264D66" w:rsidRPr="00F200E7">
        <w:rPr>
          <w:rFonts w:ascii="Book Antiqua" w:hAnsi="Book Antiqua"/>
          <w:lang w:val="en-GB"/>
        </w:rPr>
        <w:t>,</w:t>
      </w:r>
      <w:r w:rsidR="007C334D" w:rsidRPr="00F200E7">
        <w:rPr>
          <w:rFonts w:ascii="Book Antiqua" w:hAnsi="Book Antiqua"/>
          <w:lang w:val="en-GB"/>
        </w:rPr>
        <w:t xml:space="preserve"> coffee </w:t>
      </w:r>
      <w:r w:rsidR="00264D66" w:rsidRPr="00F200E7">
        <w:rPr>
          <w:rFonts w:ascii="Book Antiqua" w:hAnsi="Book Antiqua"/>
          <w:lang w:val="en-GB"/>
        </w:rPr>
        <w:t xml:space="preserve">is Guatemala’s </w:t>
      </w:r>
      <w:r w:rsidR="007C334D" w:rsidRPr="00F200E7">
        <w:rPr>
          <w:rFonts w:ascii="Book Antiqua" w:hAnsi="Book Antiqua"/>
          <w:lang w:val="en-GB"/>
        </w:rPr>
        <w:t>biggest export, followed by sugar and bananas.</w:t>
      </w:r>
      <w:r w:rsidR="00AE174D">
        <w:rPr>
          <w:rFonts w:ascii="Book Antiqua" w:hAnsi="Book Antiqua"/>
          <w:lang w:val="en-GB"/>
        </w:rPr>
        <w:t xml:space="preserve"> </w:t>
      </w:r>
      <w:r w:rsidRPr="00F200E7">
        <w:rPr>
          <w:rFonts w:ascii="Book Antiqua" w:hAnsi="Book Antiqua"/>
          <w:lang w:val="en-GB"/>
        </w:rPr>
        <w:t>In 2000 coffee accounted for 14.5 per cent of Guatemalan exports</w:t>
      </w:r>
      <w:r>
        <w:rPr>
          <w:rFonts w:ascii="Book Antiqua" w:hAnsi="Book Antiqua"/>
          <w:lang w:val="en-GB"/>
        </w:rPr>
        <w:t>. T</w:t>
      </w:r>
      <w:r w:rsidRPr="00F200E7">
        <w:rPr>
          <w:rFonts w:ascii="Book Antiqua" w:hAnsi="Book Antiqua"/>
          <w:lang w:val="en-GB"/>
        </w:rPr>
        <w:t xml:space="preserve">his was a peak, however. </w:t>
      </w:r>
      <w:r w:rsidR="004821DC">
        <w:rPr>
          <w:rFonts w:ascii="Book Antiqua" w:hAnsi="Book Antiqua"/>
          <w:lang w:val="en-GB"/>
        </w:rPr>
        <w:t xml:space="preserve">Over the decade 2000–2010 coffee accounted for 8.0 per cent of Guatemalan exports, as illustrated in figure 6.3. </w:t>
      </w:r>
    </w:p>
    <w:p w:rsidR="00A24E34" w:rsidRPr="00F200E7" w:rsidRDefault="00A24E34" w:rsidP="007C334D">
      <w:pPr>
        <w:pStyle w:val="NoSpacing"/>
        <w:jc w:val="both"/>
        <w:rPr>
          <w:rFonts w:ascii="Book Antiqua" w:hAnsi="Book Antiqua"/>
          <w:lang w:val="en-GB"/>
        </w:rPr>
      </w:pPr>
    </w:p>
    <w:p w:rsidR="007C334D" w:rsidRPr="00F200E7" w:rsidRDefault="004821DC" w:rsidP="007C334D">
      <w:pPr>
        <w:pStyle w:val="NoSpacing"/>
        <w:jc w:val="both"/>
        <w:rPr>
          <w:rFonts w:ascii="Book Antiqua" w:hAnsi="Book Antiqua"/>
          <w:lang w:val="en-GB"/>
        </w:rPr>
      </w:pPr>
      <w:r>
        <w:rPr>
          <w:rFonts w:ascii="Book Antiqua" w:hAnsi="Book Antiqua"/>
          <w:lang w:val="en-GB"/>
        </w:rPr>
        <w:t>S</w:t>
      </w:r>
      <w:r w:rsidR="00A24E34">
        <w:rPr>
          <w:rFonts w:ascii="Book Antiqua" w:hAnsi="Book Antiqua"/>
          <w:lang w:val="en-GB"/>
        </w:rPr>
        <w:t>ugar represented</w:t>
      </w:r>
      <w:r w:rsidR="007C334D" w:rsidRPr="00F200E7">
        <w:rPr>
          <w:rFonts w:ascii="Book Antiqua" w:hAnsi="Book Antiqua"/>
          <w:lang w:val="en-GB"/>
        </w:rPr>
        <w:t xml:space="preserve"> on average 5.3 per cent of </w:t>
      </w:r>
      <w:r w:rsidR="00202588">
        <w:rPr>
          <w:rFonts w:ascii="Book Antiqua" w:hAnsi="Book Antiqua"/>
          <w:lang w:val="en-GB"/>
        </w:rPr>
        <w:t xml:space="preserve">all </w:t>
      </w:r>
      <w:r w:rsidR="00A24E34">
        <w:rPr>
          <w:rFonts w:ascii="Book Antiqua" w:hAnsi="Book Antiqua"/>
          <w:lang w:val="en-GB"/>
        </w:rPr>
        <w:t xml:space="preserve">Guatemalan export over the period 2000-2010, with </w:t>
      </w:r>
      <w:r w:rsidR="00D00D4E" w:rsidRPr="00F200E7">
        <w:rPr>
          <w:rFonts w:ascii="Book Antiqua" w:hAnsi="Book Antiqua"/>
          <w:lang w:val="en-GB"/>
        </w:rPr>
        <w:t xml:space="preserve">sugar exports </w:t>
      </w:r>
      <w:r w:rsidR="00A24E34">
        <w:rPr>
          <w:rFonts w:ascii="Book Antiqua" w:hAnsi="Book Antiqua"/>
          <w:lang w:val="en-GB"/>
        </w:rPr>
        <w:t>being higher than average in 2009 and 2010</w:t>
      </w:r>
      <w:r w:rsidR="00D00D4E" w:rsidRPr="00F200E7">
        <w:rPr>
          <w:rFonts w:ascii="Book Antiqua" w:hAnsi="Book Antiqua"/>
          <w:lang w:val="en-GB"/>
        </w:rPr>
        <w:t>.</w:t>
      </w:r>
      <w:r w:rsidR="007C334D" w:rsidRPr="00F200E7">
        <w:rPr>
          <w:rFonts w:ascii="Book Antiqua" w:hAnsi="Book Antiqua"/>
          <w:lang w:val="en-GB"/>
        </w:rPr>
        <w:t xml:space="preserve"> Banana exports average</w:t>
      </w:r>
      <w:r w:rsidR="00283793" w:rsidRPr="00F200E7">
        <w:rPr>
          <w:rFonts w:ascii="Book Antiqua" w:hAnsi="Book Antiqua"/>
          <w:lang w:val="en-GB"/>
        </w:rPr>
        <w:t>d a</w:t>
      </w:r>
      <w:r w:rsidR="00AE174D">
        <w:rPr>
          <w:rFonts w:ascii="Book Antiqua" w:hAnsi="Book Antiqua"/>
          <w:lang w:val="en-GB"/>
        </w:rPr>
        <w:t xml:space="preserve"> </w:t>
      </w:r>
      <w:r w:rsidR="00D00D4E" w:rsidRPr="00F200E7">
        <w:rPr>
          <w:rFonts w:ascii="Book Antiqua" w:hAnsi="Book Antiqua"/>
          <w:lang w:val="en-GB"/>
        </w:rPr>
        <w:t xml:space="preserve">share </w:t>
      </w:r>
      <w:r w:rsidR="007C334D" w:rsidRPr="00F200E7">
        <w:rPr>
          <w:rFonts w:ascii="Book Antiqua" w:hAnsi="Book Antiqua"/>
          <w:lang w:val="en-GB"/>
        </w:rPr>
        <w:t xml:space="preserve">of 4.9 per cent </w:t>
      </w:r>
      <w:r w:rsidR="00283793" w:rsidRPr="00F200E7">
        <w:rPr>
          <w:rFonts w:ascii="Book Antiqua" w:hAnsi="Book Antiqua"/>
          <w:lang w:val="en-GB"/>
        </w:rPr>
        <w:t xml:space="preserve">over </w:t>
      </w:r>
      <w:r w:rsidR="007C334D" w:rsidRPr="00F200E7">
        <w:rPr>
          <w:rFonts w:ascii="Book Antiqua" w:hAnsi="Book Antiqua"/>
          <w:lang w:val="en-GB"/>
        </w:rPr>
        <w:t>the decade, while cardamom exports had</w:t>
      </w:r>
      <w:r w:rsidR="00283793" w:rsidRPr="00F200E7">
        <w:rPr>
          <w:rFonts w:ascii="Book Antiqua" w:hAnsi="Book Antiqua"/>
          <w:lang w:val="en-GB"/>
        </w:rPr>
        <w:t xml:space="preserve"> a share of</w:t>
      </w:r>
      <w:r w:rsidR="007C334D" w:rsidRPr="00F200E7">
        <w:rPr>
          <w:rFonts w:ascii="Book Antiqua" w:hAnsi="Book Antiqua"/>
          <w:lang w:val="en-GB"/>
        </w:rPr>
        <w:t xml:space="preserve"> 2.3 per cent</w:t>
      </w:r>
      <w:r w:rsidR="00283793" w:rsidRPr="00F200E7">
        <w:rPr>
          <w:rFonts w:ascii="Book Antiqua" w:hAnsi="Book Antiqua"/>
          <w:lang w:val="en-GB"/>
        </w:rPr>
        <w:t>.</w:t>
      </w:r>
    </w:p>
    <w:p w:rsidR="00BC151C" w:rsidRPr="00F200E7" w:rsidRDefault="00BC151C" w:rsidP="007C334D">
      <w:pPr>
        <w:pStyle w:val="NoSpacing"/>
        <w:jc w:val="both"/>
        <w:rPr>
          <w:rFonts w:ascii="Book Antiqua" w:hAnsi="Book Antiqua"/>
          <w:lang w:val="en-GB"/>
        </w:rPr>
      </w:pPr>
    </w:p>
    <w:p w:rsidR="007C334D" w:rsidRPr="00F200E7" w:rsidRDefault="007C334D" w:rsidP="00D12065">
      <w:pPr>
        <w:pStyle w:val="NoSpacing"/>
        <w:jc w:val="both"/>
        <w:rPr>
          <w:rFonts w:ascii="Book Antiqua" w:hAnsi="Book Antiqua"/>
          <w:lang w:val="en-GB"/>
        </w:rPr>
      </w:pPr>
    </w:p>
    <w:p w:rsidR="00E65CED" w:rsidRPr="00F200E7" w:rsidRDefault="007C334D" w:rsidP="00533387">
      <w:pPr>
        <w:pStyle w:val="NoSpacing"/>
        <w:keepNext/>
        <w:ind w:left="1440" w:hanging="1440"/>
        <w:rPr>
          <w:rFonts w:ascii="Book Antiqua" w:hAnsi="Book Antiqua"/>
          <w:b/>
          <w:lang w:val="en-GB"/>
        </w:rPr>
      </w:pPr>
      <w:r w:rsidRPr="00F200E7">
        <w:rPr>
          <w:rFonts w:ascii="Book Antiqua" w:hAnsi="Book Antiqua"/>
          <w:b/>
          <w:lang w:val="en-GB"/>
        </w:rPr>
        <w:t xml:space="preserve">Figure </w:t>
      </w:r>
      <w:r w:rsidR="00D00D4E" w:rsidRPr="00F200E7">
        <w:rPr>
          <w:rFonts w:ascii="Book Antiqua" w:hAnsi="Book Antiqua"/>
          <w:b/>
          <w:lang w:val="en-GB"/>
        </w:rPr>
        <w:t>6.</w:t>
      </w:r>
      <w:r w:rsidRPr="00F200E7">
        <w:rPr>
          <w:rFonts w:ascii="Book Antiqua" w:hAnsi="Book Antiqua"/>
          <w:b/>
          <w:lang w:val="en-GB"/>
        </w:rPr>
        <w:t>3:</w:t>
      </w:r>
      <w:r w:rsidR="00D00D4E" w:rsidRPr="00F200E7">
        <w:rPr>
          <w:rFonts w:ascii="Book Antiqua" w:hAnsi="Book Antiqua"/>
          <w:b/>
          <w:lang w:val="en-GB"/>
        </w:rPr>
        <w:tab/>
      </w:r>
      <w:r w:rsidR="00283793" w:rsidRPr="00F200E7">
        <w:rPr>
          <w:rFonts w:ascii="Book Antiqua" w:hAnsi="Book Antiqua"/>
          <w:b/>
          <w:lang w:val="en-GB"/>
        </w:rPr>
        <w:t xml:space="preserve">Average annual shares </w:t>
      </w:r>
      <w:r w:rsidRPr="00F200E7">
        <w:rPr>
          <w:rFonts w:ascii="Book Antiqua" w:hAnsi="Book Antiqua"/>
          <w:b/>
          <w:lang w:val="en-GB"/>
        </w:rPr>
        <w:t xml:space="preserve">of </w:t>
      </w:r>
      <w:r w:rsidR="00283793" w:rsidRPr="00F200E7">
        <w:rPr>
          <w:rFonts w:ascii="Book Antiqua" w:hAnsi="Book Antiqua"/>
          <w:b/>
          <w:lang w:val="en-GB"/>
        </w:rPr>
        <w:t>exports</w:t>
      </w:r>
      <w:r w:rsidR="00D00D4E" w:rsidRPr="00F200E7">
        <w:rPr>
          <w:rFonts w:ascii="Book Antiqua" w:hAnsi="Book Antiqua"/>
          <w:b/>
          <w:lang w:val="en-GB"/>
        </w:rPr>
        <w:t>, Guatemala,</w:t>
      </w:r>
      <w:r w:rsidRPr="00F200E7">
        <w:rPr>
          <w:rFonts w:ascii="Book Antiqua" w:hAnsi="Book Antiqua"/>
          <w:b/>
          <w:lang w:val="en-GB"/>
        </w:rPr>
        <w:t xml:space="preserve"> 2000</w:t>
      </w:r>
      <w:r w:rsidR="00D00D4E" w:rsidRPr="00F200E7">
        <w:rPr>
          <w:rFonts w:ascii="Book Antiqua" w:hAnsi="Book Antiqua"/>
          <w:b/>
          <w:lang w:val="en-GB"/>
        </w:rPr>
        <w:t>–</w:t>
      </w:r>
      <w:r w:rsidRPr="00F200E7">
        <w:rPr>
          <w:rFonts w:ascii="Book Antiqua" w:hAnsi="Book Antiqua"/>
          <w:b/>
          <w:lang w:val="en-GB"/>
        </w:rPr>
        <w:t>2010</w:t>
      </w:r>
    </w:p>
    <w:p w:rsidR="00407894" w:rsidRPr="00F200E7" w:rsidRDefault="003B17F2" w:rsidP="00B86723">
      <w:pPr>
        <w:pStyle w:val="NoSpacing"/>
        <w:jc w:val="center"/>
        <w:rPr>
          <w:rFonts w:ascii="Book Antiqua" w:hAnsi="Book Antiqua"/>
          <w:lang w:val="en-GB"/>
        </w:rPr>
      </w:pPr>
      <w:r w:rsidRPr="00F200E7">
        <w:rPr>
          <w:noProof/>
          <w:lang w:val="en-GB" w:eastAsia="en-GB"/>
        </w:rPr>
        <w:drawing>
          <wp:inline distT="0" distB="0" distL="0" distR="0">
            <wp:extent cx="4657725" cy="1981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203F9" w:rsidRPr="00F200E7" w:rsidRDefault="007C334D" w:rsidP="007C334D">
      <w:pPr>
        <w:pStyle w:val="NoSpacing"/>
        <w:ind w:firstLine="720"/>
        <w:jc w:val="both"/>
        <w:rPr>
          <w:rFonts w:ascii="Book Antiqua" w:hAnsi="Book Antiqua"/>
          <w:lang w:val="en-GB"/>
        </w:rPr>
      </w:pPr>
      <w:r w:rsidRPr="00F200E7">
        <w:rPr>
          <w:rFonts w:ascii="Book Antiqua" w:hAnsi="Book Antiqua"/>
          <w:sz w:val="18"/>
          <w:lang w:val="en-GB"/>
        </w:rPr>
        <w:t xml:space="preserve">Source: Authors’ calculation </w:t>
      </w:r>
      <w:r w:rsidR="002D3433">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3D63F7" w:rsidRPr="00F200E7" w:rsidRDefault="000C376D" w:rsidP="0032057B">
      <w:pPr>
        <w:pStyle w:val="Heading2"/>
      </w:pPr>
      <w:bookmarkStart w:id="72" w:name="_Toc332009951"/>
      <w:bookmarkStart w:id="73" w:name="_Toc336607506"/>
      <w:bookmarkStart w:id="74" w:name="_Toc333837978"/>
      <w:bookmarkStart w:id="75" w:name="_Toc302658255"/>
      <w:r w:rsidRPr="00F200E7">
        <w:t>6.</w:t>
      </w:r>
      <w:r w:rsidR="00116FF7">
        <w:t>3</w:t>
      </w:r>
      <w:r w:rsidR="00283793" w:rsidRPr="00F200E7">
        <w:t>.2</w:t>
      </w:r>
      <w:r w:rsidR="00283793" w:rsidRPr="00F200E7">
        <w:tab/>
      </w:r>
      <w:r w:rsidR="003D63F7" w:rsidRPr="00F200E7">
        <w:t>Evolution of non-traditional export</w:t>
      </w:r>
      <w:bookmarkEnd w:id="72"/>
      <w:r w:rsidR="003D63F7" w:rsidRPr="00F200E7">
        <w:t>s</w:t>
      </w:r>
      <w:bookmarkEnd w:id="73"/>
      <w:bookmarkEnd w:id="74"/>
      <w:bookmarkEnd w:id="75"/>
    </w:p>
    <w:p w:rsidR="003D63F7" w:rsidRPr="00F200E7" w:rsidRDefault="003D63F7" w:rsidP="003D63F7">
      <w:pPr>
        <w:pStyle w:val="NoSpacing"/>
        <w:jc w:val="both"/>
        <w:rPr>
          <w:rFonts w:ascii="Book Antiqua" w:hAnsi="Book Antiqua"/>
          <w:lang w:val="en-GB"/>
        </w:rPr>
      </w:pPr>
      <w:r w:rsidRPr="00F200E7">
        <w:rPr>
          <w:rFonts w:ascii="Book Antiqua" w:hAnsi="Book Antiqua"/>
          <w:lang w:val="en-GB"/>
        </w:rPr>
        <w:t xml:space="preserve">The </w:t>
      </w:r>
      <w:r w:rsidR="00283793" w:rsidRPr="00F200E7">
        <w:rPr>
          <w:rFonts w:ascii="Book Antiqua" w:hAnsi="Book Antiqua"/>
          <w:lang w:val="en-GB"/>
        </w:rPr>
        <w:t>share</w:t>
      </w:r>
      <w:r w:rsidRPr="00F200E7">
        <w:rPr>
          <w:rFonts w:ascii="Book Antiqua" w:hAnsi="Book Antiqua"/>
          <w:lang w:val="en-GB"/>
        </w:rPr>
        <w:t xml:space="preserve"> of non-traditional products in total exports has been increasing over the past three decades. Figure </w:t>
      </w:r>
      <w:r w:rsidR="007257F3" w:rsidRPr="00F200E7">
        <w:rPr>
          <w:rFonts w:ascii="Book Antiqua" w:hAnsi="Book Antiqua"/>
          <w:lang w:val="en-GB"/>
        </w:rPr>
        <w:t>6.</w:t>
      </w:r>
      <w:r w:rsidRPr="00F200E7">
        <w:rPr>
          <w:rFonts w:ascii="Book Antiqua" w:hAnsi="Book Antiqua"/>
          <w:lang w:val="en-GB"/>
        </w:rPr>
        <w:t xml:space="preserve">4 shows that in the 1980s non-traditional products </w:t>
      </w:r>
      <w:r w:rsidR="007257F3" w:rsidRPr="00F200E7">
        <w:rPr>
          <w:rFonts w:ascii="Book Antiqua" w:hAnsi="Book Antiqua"/>
          <w:lang w:val="en-GB"/>
        </w:rPr>
        <w:t xml:space="preserve">accounted for </w:t>
      </w:r>
      <w:r w:rsidRPr="00F200E7">
        <w:rPr>
          <w:rFonts w:ascii="Book Antiqua" w:hAnsi="Book Antiqua"/>
          <w:lang w:val="en-GB"/>
        </w:rPr>
        <w:t xml:space="preserve">49 per cent of </w:t>
      </w:r>
      <w:r w:rsidR="008A1EC9">
        <w:rPr>
          <w:rFonts w:ascii="Book Antiqua" w:hAnsi="Book Antiqua"/>
          <w:lang w:val="en-GB"/>
        </w:rPr>
        <w:t xml:space="preserve">all </w:t>
      </w:r>
      <w:r w:rsidRPr="00F200E7">
        <w:rPr>
          <w:rFonts w:ascii="Book Antiqua" w:hAnsi="Book Antiqua"/>
          <w:lang w:val="en-GB"/>
        </w:rPr>
        <w:t>exports</w:t>
      </w:r>
      <w:r w:rsidR="00102ED3">
        <w:rPr>
          <w:rFonts w:ascii="Book Antiqua" w:hAnsi="Book Antiqua"/>
          <w:lang w:val="en-GB"/>
        </w:rPr>
        <w:t>.</w:t>
      </w:r>
      <w:r w:rsidR="00AE174D">
        <w:rPr>
          <w:rFonts w:ascii="Book Antiqua" w:hAnsi="Book Antiqua"/>
          <w:lang w:val="en-GB"/>
        </w:rPr>
        <w:t xml:space="preserve"> </w:t>
      </w:r>
      <w:r w:rsidR="00102ED3">
        <w:rPr>
          <w:rFonts w:ascii="Book Antiqua" w:hAnsi="Book Antiqua"/>
          <w:lang w:val="en-GB"/>
        </w:rPr>
        <w:t>D</w:t>
      </w:r>
      <w:r w:rsidRPr="00F200E7">
        <w:rPr>
          <w:rFonts w:ascii="Book Antiqua" w:hAnsi="Book Antiqua"/>
          <w:lang w:val="en-GB"/>
        </w:rPr>
        <w:t xml:space="preserve">uring the 1990s they </w:t>
      </w:r>
      <w:r w:rsidR="007257F3" w:rsidRPr="00F200E7">
        <w:rPr>
          <w:rFonts w:ascii="Book Antiqua" w:hAnsi="Book Antiqua"/>
          <w:lang w:val="en-GB"/>
        </w:rPr>
        <w:t>grew</w:t>
      </w:r>
      <w:r w:rsidRPr="00F200E7">
        <w:rPr>
          <w:rFonts w:ascii="Book Antiqua" w:hAnsi="Book Antiqua"/>
          <w:lang w:val="en-GB"/>
        </w:rPr>
        <w:t xml:space="preserve"> to </w:t>
      </w:r>
      <w:r w:rsidR="007257F3" w:rsidRPr="00F200E7">
        <w:rPr>
          <w:rFonts w:ascii="Book Antiqua" w:hAnsi="Book Antiqua"/>
          <w:lang w:val="en-GB"/>
        </w:rPr>
        <w:t xml:space="preserve">nearly </w:t>
      </w:r>
      <w:r w:rsidR="00AF709C">
        <w:rPr>
          <w:rFonts w:ascii="Book Antiqua" w:hAnsi="Book Antiqua"/>
          <w:lang w:val="en-GB"/>
        </w:rPr>
        <w:t>6</w:t>
      </w:r>
      <w:r w:rsidRPr="00F200E7">
        <w:rPr>
          <w:rFonts w:ascii="Book Antiqua" w:hAnsi="Book Antiqua"/>
          <w:lang w:val="en-GB"/>
        </w:rPr>
        <w:t xml:space="preserve">7 per cent. During the last decade non-traditional products represented </w:t>
      </w:r>
      <w:r w:rsidRPr="007624A8">
        <w:rPr>
          <w:rFonts w:ascii="Book Antiqua" w:hAnsi="Book Antiqua"/>
          <w:lang w:val="en-GB"/>
        </w:rPr>
        <w:t xml:space="preserve">79 per cent of </w:t>
      </w:r>
      <w:r w:rsidR="00D5418C">
        <w:rPr>
          <w:rFonts w:ascii="Book Antiqua" w:hAnsi="Book Antiqua"/>
          <w:lang w:val="en-GB"/>
        </w:rPr>
        <w:t>total</w:t>
      </w:r>
      <w:r w:rsidR="007257F3" w:rsidRPr="007624A8">
        <w:rPr>
          <w:rFonts w:ascii="Book Antiqua" w:hAnsi="Book Antiqua"/>
          <w:lang w:val="en-GB"/>
        </w:rPr>
        <w:t xml:space="preserve"> </w:t>
      </w:r>
      <w:r w:rsidRPr="007624A8">
        <w:rPr>
          <w:rFonts w:ascii="Book Antiqua" w:hAnsi="Book Antiqua"/>
          <w:lang w:val="en-GB"/>
        </w:rPr>
        <w:t>exports</w:t>
      </w:r>
      <w:r w:rsidR="007257F3" w:rsidRPr="00F200E7">
        <w:rPr>
          <w:rFonts w:ascii="Book Antiqua" w:hAnsi="Book Antiqua"/>
          <w:lang w:val="en-GB"/>
        </w:rPr>
        <w:t>, thus</w:t>
      </w:r>
      <w:r w:rsidRPr="00F200E7">
        <w:rPr>
          <w:rFonts w:ascii="Book Antiqua" w:hAnsi="Book Antiqua"/>
          <w:lang w:val="en-GB"/>
        </w:rPr>
        <w:t xml:space="preserve"> demonstrating sustained growth for the </w:t>
      </w:r>
      <w:r w:rsidR="007257F3" w:rsidRPr="00F200E7">
        <w:rPr>
          <w:rFonts w:ascii="Book Antiqua" w:hAnsi="Book Antiqua"/>
          <w:lang w:val="en-GB"/>
        </w:rPr>
        <w:t xml:space="preserve">last </w:t>
      </w:r>
      <w:r w:rsidRPr="00F200E7">
        <w:rPr>
          <w:rFonts w:ascii="Book Antiqua" w:hAnsi="Book Antiqua"/>
          <w:lang w:val="en-GB"/>
        </w:rPr>
        <w:t>three decades.</w:t>
      </w:r>
    </w:p>
    <w:p w:rsidR="00D95991" w:rsidRDefault="00D95991">
      <w:pPr>
        <w:spacing w:after="0" w:line="240" w:lineRule="auto"/>
        <w:rPr>
          <w:rFonts w:ascii="Book Antiqua" w:hAnsi="Book Antiqua"/>
          <w:lang w:val="en-GB"/>
        </w:rPr>
      </w:pPr>
    </w:p>
    <w:p w:rsidR="00D95991" w:rsidRPr="00F200E7" w:rsidRDefault="006F1BD4" w:rsidP="00D95991">
      <w:pPr>
        <w:pStyle w:val="NoSpacing"/>
        <w:jc w:val="both"/>
        <w:rPr>
          <w:rFonts w:ascii="Book Antiqua" w:hAnsi="Book Antiqua"/>
          <w:lang w:val="en-GB"/>
        </w:rPr>
      </w:pPr>
      <w:r>
        <w:rPr>
          <w:rFonts w:ascii="Book Antiqua" w:hAnsi="Book Antiqua"/>
          <w:lang w:val="en-GB"/>
        </w:rPr>
        <w:t>While as a whole non-traditional exports are accounting for an increasing share of total exports, non-traditional agricultural products are becoming less important.</w:t>
      </w:r>
      <w:r w:rsidR="00D95991">
        <w:rPr>
          <w:rFonts w:ascii="Book Antiqua" w:hAnsi="Book Antiqua"/>
          <w:lang w:val="en-GB"/>
        </w:rPr>
        <w:t xml:space="preserve"> Between</w:t>
      </w:r>
      <w:r w:rsidR="00D95991" w:rsidRPr="00F200E7">
        <w:rPr>
          <w:rFonts w:ascii="Book Antiqua" w:hAnsi="Book Antiqua"/>
          <w:lang w:val="en-GB"/>
        </w:rPr>
        <w:t xml:space="preserve"> the last two decades, </w:t>
      </w:r>
      <w:r w:rsidR="00D95991">
        <w:rPr>
          <w:rFonts w:ascii="Book Antiqua" w:hAnsi="Book Antiqua"/>
          <w:lang w:val="en-GB"/>
        </w:rPr>
        <w:t xml:space="preserve">the share of non-traditional </w:t>
      </w:r>
      <w:r w:rsidR="00D95991" w:rsidRPr="00F200E7">
        <w:rPr>
          <w:rFonts w:ascii="Book Antiqua" w:hAnsi="Book Antiqua"/>
          <w:lang w:val="en-GB"/>
        </w:rPr>
        <w:t xml:space="preserve">agricultural products as a percentage of total </w:t>
      </w:r>
      <w:r w:rsidR="00A24E34">
        <w:rPr>
          <w:rFonts w:ascii="Book Antiqua" w:hAnsi="Book Antiqua"/>
          <w:lang w:val="en-GB"/>
        </w:rPr>
        <w:t xml:space="preserve">non-traditional </w:t>
      </w:r>
      <w:r w:rsidR="00D95991" w:rsidRPr="00F200E7">
        <w:rPr>
          <w:rFonts w:ascii="Book Antiqua" w:hAnsi="Book Antiqua"/>
          <w:lang w:val="en-GB"/>
        </w:rPr>
        <w:t xml:space="preserve">exports decreased from 15.1 per cent to 11.2 per cent. This can be explained by the increase in exports of textiles and apparel, </w:t>
      </w:r>
      <w:r w:rsidR="00D95991">
        <w:rPr>
          <w:rFonts w:ascii="Book Antiqua" w:hAnsi="Book Antiqua"/>
          <w:lang w:val="en-GB"/>
        </w:rPr>
        <w:t>boosted</w:t>
      </w:r>
      <w:r w:rsidR="00D95991" w:rsidRPr="00F200E7">
        <w:rPr>
          <w:rFonts w:ascii="Book Antiqua" w:hAnsi="Book Antiqua"/>
          <w:lang w:val="en-GB"/>
        </w:rPr>
        <w:t xml:space="preserve"> by government incentives.</w:t>
      </w:r>
    </w:p>
    <w:p w:rsidR="00D95991" w:rsidRDefault="00D95991">
      <w:pPr>
        <w:spacing w:after="0" w:line="240" w:lineRule="auto"/>
        <w:rPr>
          <w:rFonts w:ascii="Book Antiqua" w:hAnsi="Book Antiqua"/>
          <w:lang w:val="en-GB"/>
        </w:rPr>
      </w:pPr>
    </w:p>
    <w:p w:rsidR="00E65CED" w:rsidRDefault="003D63F7" w:rsidP="00102ED3">
      <w:pPr>
        <w:pStyle w:val="NoSpacing"/>
        <w:keepNext/>
        <w:ind w:left="1440" w:hanging="1440"/>
        <w:rPr>
          <w:rFonts w:ascii="Book Antiqua" w:hAnsi="Book Antiqua"/>
          <w:b/>
          <w:lang w:val="en-GB"/>
        </w:rPr>
      </w:pPr>
      <w:r w:rsidRPr="00F200E7">
        <w:rPr>
          <w:rFonts w:ascii="Book Antiqua" w:hAnsi="Book Antiqua"/>
          <w:b/>
          <w:lang w:val="en-GB"/>
        </w:rPr>
        <w:t xml:space="preserve">Figure </w:t>
      </w:r>
      <w:r w:rsidR="00E27AC1" w:rsidRPr="00F200E7">
        <w:rPr>
          <w:rFonts w:ascii="Book Antiqua" w:hAnsi="Book Antiqua"/>
          <w:b/>
          <w:lang w:val="en-GB"/>
        </w:rPr>
        <w:t>6.</w:t>
      </w:r>
      <w:r w:rsidRPr="00F200E7">
        <w:rPr>
          <w:rFonts w:ascii="Book Antiqua" w:hAnsi="Book Antiqua"/>
          <w:b/>
          <w:lang w:val="en-GB"/>
        </w:rPr>
        <w:t>4:</w:t>
      </w:r>
      <w:r w:rsidR="00E27AC1" w:rsidRPr="00F200E7">
        <w:rPr>
          <w:rFonts w:ascii="Book Antiqua" w:hAnsi="Book Antiqua"/>
          <w:b/>
          <w:lang w:val="en-GB"/>
        </w:rPr>
        <w:tab/>
      </w:r>
      <w:r w:rsidR="005060D6">
        <w:rPr>
          <w:rFonts w:ascii="Book Antiqua" w:hAnsi="Book Antiqua"/>
          <w:b/>
          <w:lang w:val="en-GB"/>
        </w:rPr>
        <w:t>The role of non-traditional exports</w:t>
      </w:r>
      <w:r w:rsidR="00E27AC1" w:rsidRPr="00F200E7">
        <w:rPr>
          <w:rFonts w:ascii="Book Antiqua" w:hAnsi="Book Antiqua"/>
          <w:b/>
          <w:lang w:val="en-GB"/>
        </w:rPr>
        <w:t>, Guatemala, 1980–2010</w:t>
      </w:r>
    </w:p>
    <w:p w:rsidR="00102ED3" w:rsidRPr="00F200E7" w:rsidRDefault="00102ED3" w:rsidP="00102ED3">
      <w:pPr>
        <w:pStyle w:val="NoSpacing"/>
        <w:keepNext/>
        <w:ind w:left="1440" w:hanging="1440"/>
        <w:rPr>
          <w:rFonts w:ascii="Book Antiqua" w:hAnsi="Book Antiqua"/>
          <w:b/>
          <w:lang w:val="en-GB"/>
        </w:rPr>
      </w:pPr>
    </w:p>
    <w:p w:rsidR="006165EA" w:rsidRPr="00F200E7" w:rsidRDefault="00C26C27" w:rsidP="00B24C16">
      <w:pPr>
        <w:pStyle w:val="NoSpacing"/>
        <w:jc w:val="center"/>
        <w:rPr>
          <w:noProof/>
          <w:lang w:val="en-GB" w:eastAsia="es-GT"/>
        </w:rPr>
      </w:pPr>
      <w:r>
        <w:rPr>
          <w:noProof/>
          <w:lang w:val="en-GB" w:eastAsia="en-GB"/>
        </w:rPr>
        <w:drawing>
          <wp:inline distT="0" distB="0" distL="0" distR="0">
            <wp:extent cx="5610225" cy="2428875"/>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165EA" w:rsidRDefault="006165EA" w:rsidP="007624A8">
      <w:pPr>
        <w:pStyle w:val="NoSpacing"/>
        <w:ind w:left="720"/>
        <w:jc w:val="both"/>
        <w:rPr>
          <w:rFonts w:ascii="Book Antiqua" w:hAnsi="Book Antiqua"/>
          <w:sz w:val="18"/>
          <w:lang w:val="en-GB"/>
        </w:rPr>
      </w:pPr>
      <w:r>
        <w:rPr>
          <w:rFonts w:ascii="Book Antiqua" w:hAnsi="Book Antiqua"/>
          <w:sz w:val="18"/>
          <w:lang w:val="en-GB"/>
        </w:rPr>
        <w:t>Note: No data was available for 1980-1989 for non-traditional agricultural exports as a percentage of exports.</w:t>
      </w:r>
    </w:p>
    <w:p w:rsidR="003D63F7" w:rsidRPr="00F200E7" w:rsidRDefault="003D63F7" w:rsidP="003D63F7">
      <w:pPr>
        <w:pStyle w:val="NoSpacing"/>
        <w:ind w:firstLine="720"/>
        <w:jc w:val="both"/>
        <w:rPr>
          <w:rFonts w:ascii="Book Antiqua" w:hAnsi="Book Antiqua"/>
          <w:lang w:val="en-GB"/>
        </w:rPr>
      </w:pPr>
      <w:r w:rsidRPr="00F200E7">
        <w:rPr>
          <w:rFonts w:ascii="Book Antiqua" w:hAnsi="Book Antiqua"/>
          <w:sz w:val="18"/>
          <w:lang w:val="en-GB"/>
        </w:rPr>
        <w:t xml:space="preserve">Source: Authors’ calculation </w:t>
      </w:r>
      <w:r w:rsidR="002D3433">
        <w:rPr>
          <w:rFonts w:ascii="Book Antiqua" w:hAnsi="Book Antiqua"/>
          <w:sz w:val="18"/>
          <w:lang w:val="en-GB"/>
        </w:rPr>
        <w:t>using</w:t>
      </w:r>
      <w:r w:rsidRPr="00F200E7">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3D63F7" w:rsidRPr="00F200E7" w:rsidRDefault="00596A5C" w:rsidP="003D63F7">
      <w:pPr>
        <w:pStyle w:val="NoSpacing"/>
        <w:jc w:val="both"/>
        <w:rPr>
          <w:rFonts w:ascii="Book Antiqua" w:hAnsi="Book Antiqua"/>
          <w:lang w:val="en-GB"/>
        </w:rPr>
      </w:pPr>
      <w:r w:rsidRPr="00F200E7">
        <w:rPr>
          <w:rFonts w:ascii="Book Antiqua" w:hAnsi="Book Antiqua"/>
          <w:lang w:val="en-GB"/>
        </w:rPr>
        <w:t>Growth of non-traditional products as a share of total exports could be attribut</w:t>
      </w:r>
      <w:r w:rsidR="006F1BD4">
        <w:rPr>
          <w:rFonts w:ascii="Book Antiqua" w:hAnsi="Book Antiqua"/>
          <w:lang w:val="en-GB"/>
        </w:rPr>
        <w:t>able</w:t>
      </w:r>
      <w:r w:rsidRPr="00F200E7">
        <w:rPr>
          <w:rFonts w:ascii="Book Antiqua" w:hAnsi="Book Antiqua"/>
          <w:lang w:val="en-GB"/>
        </w:rPr>
        <w:t xml:space="preserve"> to the commercial openness of the recent years, which has allowed more transactions involving new products sent to other countries</w:t>
      </w:r>
      <w:r w:rsidR="006F1BD4">
        <w:rPr>
          <w:rFonts w:ascii="Book Antiqua" w:hAnsi="Book Antiqua"/>
          <w:lang w:val="en-GB"/>
        </w:rPr>
        <w:t>.</w:t>
      </w:r>
      <w:r w:rsidR="00AE174D">
        <w:rPr>
          <w:rFonts w:ascii="Book Antiqua" w:hAnsi="Book Antiqua"/>
          <w:lang w:val="en-GB"/>
        </w:rPr>
        <w:t xml:space="preserve"> </w:t>
      </w:r>
      <w:r w:rsidR="001E114B">
        <w:rPr>
          <w:rFonts w:ascii="Book Antiqua" w:hAnsi="Book Antiqua"/>
          <w:lang w:val="en-GB"/>
        </w:rPr>
        <w:t>O</w:t>
      </w:r>
      <w:r w:rsidRPr="00F200E7">
        <w:rPr>
          <w:rFonts w:ascii="Book Antiqua" w:hAnsi="Book Antiqua"/>
          <w:lang w:val="en-GB"/>
        </w:rPr>
        <w:t>ther reason</w:t>
      </w:r>
      <w:r w:rsidR="001E114B">
        <w:rPr>
          <w:rFonts w:ascii="Book Antiqua" w:hAnsi="Book Antiqua"/>
          <w:lang w:val="en-GB"/>
        </w:rPr>
        <w:t>s</w:t>
      </w:r>
      <w:r w:rsidRPr="00F200E7">
        <w:rPr>
          <w:rFonts w:ascii="Book Antiqua" w:hAnsi="Book Antiqua"/>
          <w:lang w:val="en-GB"/>
        </w:rPr>
        <w:t xml:space="preserve"> may be that this growth reflects an increase in world demand, the reduction of tariffs in importing countries, and Guatemala’s </w:t>
      </w:r>
      <w:r w:rsidR="00896A1B">
        <w:rPr>
          <w:rFonts w:ascii="Book Antiqua" w:hAnsi="Book Antiqua"/>
          <w:lang w:val="en-GB"/>
        </w:rPr>
        <w:t xml:space="preserve">increasing </w:t>
      </w:r>
      <w:r w:rsidRPr="00F200E7">
        <w:rPr>
          <w:rFonts w:ascii="Book Antiqua" w:hAnsi="Book Antiqua"/>
          <w:lang w:val="en-GB"/>
        </w:rPr>
        <w:t xml:space="preserve">ability to satisfy this demand. </w:t>
      </w:r>
      <w:r w:rsidR="003D63F7" w:rsidRPr="00F200E7">
        <w:rPr>
          <w:rFonts w:ascii="Book Antiqua" w:hAnsi="Book Antiqua"/>
          <w:lang w:val="en-GB"/>
        </w:rPr>
        <w:t xml:space="preserve">This </w:t>
      </w:r>
      <w:r w:rsidR="00A66562">
        <w:rPr>
          <w:rFonts w:ascii="Book Antiqua" w:hAnsi="Book Antiqua"/>
          <w:lang w:val="en-GB"/>
        </w:rPr>
        <w:t xml:space="preserve">last </w:t>
      </w:r>
      <w:r w:rsidR="00C15C1E" w:rsidRPr="00F200E7">
        <w:rPr>
          <w:rFonts w:ascii="Book Antiqua" w:hAnsi="Book Antiqua"/>
          <w:lang w:val="en-GB"/>
        </w:rPr>
        <w:t xml:space="preserve">explanation receives </w:t>
      </w:r>
      <w:r w:rsidR="003D63F7" w:rsidRPr="00F200E7">
        <w:rPr>
          <w:rFonts w:ascii="Book Antiqua" w:hAnsi="Book Antiqua"/>
          <w:lang w:val="en-GB"/>
        </w:rPr>
        <w:t>support</w:t>
      </w:r>
      <w:r w:rsidR="00C15C1E" w:rsidRPr="00F200E7">
        <w:rPr>
          <w:rFonts w:ascii="Book Antiqua" w:hAnsi="Book Antiqua"/>
          <w:lang w:val="en-GB"/>
        </w:rPr>
        <w:t xml:space="preserve"> from</w:t>
      </w:r>
      <w:r w:rsidR="003D63F7" w:rsidRPr="00F200E7">
        <w:rPr>
          <w:rFonts w:ascii="Book Antiqua" w:hAnsi="Book Antiqua"/>
          <w:lang w:val="en-GB"/>
        </w:rPr>
        <w:t xml:space="preserve"> the increase in the literacy rate</w:t>
      </w:r>
      <w:r w:rsidR="00C15C1E" w:rsidRPr="00F200E7">
        <w:rPr>
          <w:rFonts w:ascii="Book Antiqua" w:hAnsi="Book Antiqua"/>
          <w:lang w:val="en-GB"/>
        </w:rPr>
        <w:t xml:space="preserve"> in Guatemala,</w:t>
      </w:r>
      <w:r w:rsidR="003D63F7" w:rsidRPr="00F200E7">
        <w:rPr>
          <w:rFonts w:ascii="Book Antiqua" w:hAnsi="Book Antiqua"/>
          <w:lang w:val="en-GB"/>
        </w:rPr>
        <w:t xml:space="preserve"> which </w:t>
      </w:r>
      <w:r w:rsidR="00C15C1E" w:rsidRPr="00F200E7">
        <w:rPr>
          <w:rFonts w:ascii="Book Antiqua" w:hAnsi="Book Antiqua"/>
          <w:lang w:val="en-GB"/>
        </w:rPr>
        <w:t xml:space="preserve">has </w:t>
      </w:r>
      <w:r w:rsidR="003D63F7" w:rsidRPr="00F200E7">
        <w:rPr>
          <w:rFonts w:ascii="Book Antiqua" w:hAnsi="Book Antiqua"/>
          <w:lang w:val="en-GB"/>
        </w:rPr>
        <w:t xml:space="preserve">provided the labour market with workers </w:t>
      </w:r>
      <w:r w:rsidR="00C15C1E" w:rsidRPr="00F200E7">
        <w:rPr>
          <w:rFonts w:ascii="Book Antiqua" w:hAnsi="Book Antiqua"/>
          <w:lang w:val="en-GB"/>
        </w:rPr>
        <w:t>who</w:t>
      </w:r>
      <w:r w:rsidR="003D63F7" w:rsidRPr="00F200E7">
        <w:rPr>
          <w:rFonts w:ascii="Book Antiqua" w:hAnsi="Book Antiqua"/>
          <w:lang w:val="en-GB"/>
        </w:rPr>
        <w:t xml:space="preserve"> produce better quality non-traditional exports.</w:t>
      </w:r>
    </w:p>
    <w:p w:rsidR="00752A0C" w:rsidRPr="00F200E7" w:rsidRDefault="00752A0C" w:rsidP="00D12065">
      <w:pPr>
        <w:pStyle w:val="NoSpacing"/>
        <w:jc w:val="both"/>
        <w:rPr>
          <w:rFonts w:ascii="Book Antiqua" w:hAnsi="Book Antiqua"/>
          <w:lang w:val="en-GB"/>
        </w:rPr>
      </w:pPr>
    </w:p>
    <w:p w:rsidR="0041059B" w:rsidRPr="00F200E7" w:rsidRDefault="002D147C" w:rsidP="002D147C">
      <w:pPr>
        <w:pStyle w:val="NoSpacing"/>
        <w:jc w:val="both"/>
        <w:rPr>
          <w:rFonts w:ascii="Book Antiqua" w:hAnsi="Book Antiqua"/>
          <w:i/>
          <w:lang w:val="en-GB"/>
        </w:rPr>
      </w:pPr>
      <w:r w:rsidRPr="00F200E7">
        <w:rPr>
          <w:rFonts w:ascii="Book Antiqua" w:hAnsi="Book Antiqua"/>
          <w:lang w:val="en-GB"/>
        </w:rPr>
        <w:t xml:space="preserve">Speaking of flower exports in Latin America, the Economic Commission for Latin America and the Caribbean (ECLAC) states: </w:t>
      </w:r>
    </w:p>
    <w:p w:rsidR="00E65CED" w:rsidRPr="00F200E7" w:rsidRDefault="002D147C" w:rsidP="00230FF5">
      <w:pPr>
        <w:pStyle w:val="NoSpacing"/>
        <w:ind w:left="720"/>
        <w:jc w:val="both"/>
        <w:rPr>
          <w:rFonts w:ascii="Book Antiqua" w:hAnsi="Book Antiqua"/>
          <w:lang w:val="en-GB"/>
        </w:rPr>
      </w:pPr>
      <w:r w:rsidRPr="00F200E7">
        <w:rPr>
          <w:rFonts w:ascii="Book Antiqua" w:hAnsi="Book Antiqua"/>
          <w:i/>
          <w:lang w:val="en-GB"/>
        </w:rPr>
        <w:t xml:space="preserve">The factors </w:t>
      </w:r>
      <w:r w:rsidR="007A4D32" w:rsidRPr="00F200E7">
        <w:rPr>
          <w:rFonts w:ascii="Book Antiqua" w:hAnsi="Book Antiqua"/>
          <w:i/>
          <w:lang w:val="en-GB"/>
        </w:rPr>
        <w:t xml:space="preserve">with the most </w:t>
      </w:r>
      <w:r w:rsidRPr="00F200E7">
        <w:rPr>
          <w:rFonts w:ascii="Book Antiqua" w:hAnsi="Book Antiqua"/>
          <w:i/>
          <w:lang w:val="en-GB"/>
        </w:rPr>
        <w:t>influence</w:t>
      </w:r>
      <w:r w:rsidR="00AE174D">
        <w:rPr>
          <w:rFonts w:ascii="Book Antiqua" w:hAnsi="Book Antiqua"/>
          <w:i/>
          <w:lang w:val="en-GB"/>
        </w:rPr>
        <w:t xml:space="preserve"> </w:t>
      </w:r>
      <w:r w:rsidR="009E48F1" w:rsidRPr="00F200E7">
        <w:rPr>
          <w:rFonts w:ascii="Book Antiqua" w:hAnsi="Book Antiqua"/>
          <w:i/>
          <w:lang w:val="en-GB"/>
        </w:rPr>
        <w:t>on</w:t>
      </w:r>
      <w:r w:rsidRPr="00F200E7">
        <w:rPr>
          <w:rFonts w:ascii="Book Antiqua" w:hAnsi="Book Antiqua"/>
          <w:i/>
          <w:lang w:val="en-GB"/>
        </w:rPr>
        <w:t xml:space="preserve"> the international trade of fresh flowers are production costs, tariffs, </w:t>
      </w:r>
      <w:proofErr w:type="spellStart"/>
      <w:r w:rsidRPr="00F200E7">
        <w:rPr>
          <w:rFonts w:ascii="Book Antiqua" w:hAnsi="Book Antiqua"/>
          <w:i/>
          <w:lang w:val="en-GB"/>
        </w:rPr>
        <w:t>phytosanitary</w:t>
      </w:r>
      <w:proofErr w:type="spellEnd"/>
      <w:r w:rsidRPr="00F200E7">
        <w:rPr>
          <w:rFonts w:ascii="Book Antiqua" w:hAnsi="Book Antiqua"/>
          <w:i/>
          <w:lang w:val="en-GB"/>
        </w:rPr>
        <w:t xml:space="preserve"> controls in the importing countries</w:t>
      </w:r>
      <w:r w:rsidR="00230FF5" w:rsidRPr="00F200E7">
        <w:rPr>
          <w:rFonts w:ascii="Book Antiqua" w:hAnsi="Book Antiqua"/>
          <w:i/>
          <w:lang w:val="en-GB"/>
        </w:rPr>
        <w:t>,</w:t>
      </w:r>
      <w:r w:rsidRPr="00F200E7">
        <w:rPr>
          <w:rFonts w:ascii="Book Antiqua" w:hAnsi="Book Antiqua"/>
          <w:i/>
          <w:lang w:val="en-GB"/>
        </w:rPr>
        <w:t xml:space="preserve"> </w:t>
      </w:r>
      <w:proofErr w:type="gramStart"/>
      <w:r w:rsidRPr="00F200E7">
        <w:rPr>
          <w:rFonts w:ascii="Book Antiqua" w:hAnsi="Book Antiqua"/>
          <w:i/>
          <w:lang w:val="en-GB"/>
        </w:rPr>
        <w:t>and  technological</w:t>
      </w:r>
      <w:proofErr w:type="gramEnd"/>
      <w:r w:rsidRPr="00F200E7">
        <w:rPr>
          <w:rFonts w:ascii="Book Antiqua" w:hAnsi="Book Antiqua"/>
          <w:i/>
          <w:lang w:val="en-GB"/>
        </w:rPr>
        <w:t xml:space="preserve"> advances, especially in transport and preservation, as well as the cultivation of new varieties</w:t>
      </w:r>
      <w:r w:rsidR="0041059B" w:rsidRPr="00F200E7">
        <w:rPr>
          <w:rFonts w:ascii="Book Antiqua" w:hAnsi="Book Antiqua"/>
          <w:i/>
          <w:lang w:val="en-GB"/>
        </w:rPr>
        <w:t>.</w:t>
      </w:r>
      <w:r w:rsidRPr="00F200E7">
        <w:rPr>
          <w:rFonts w:ascii="Book Antiqua" w:hAnsi="Book Antiqua"/>
          <w:i/>
          <w:lang w:val="en-GB"/>
        </w:rPr>
        <w:t xml:space="preserve"> (</w:t>
      </w:r>
      <w:proofErr w:type="spellStart"/>
      <w:r w:rsidRPr="00F200E7">
        <w:rPr>
          <w:rFonts w:ascii="Book Antiqua" w:hAnsi="Book Antiqua"/>
          <w:lang w:val="en-GB"/>
        </w:rPr>
        <w:t>Kouzmine</w:t>
      </w:r>
      <w:proofErr w:type="spellEnd"/>
      <w:r w:rsidRPr="00F200E7">
        <w:rPr>
          <w:rFonts w:ascii="Book Antiqua" w:hAnsi="Book Antiqua"/>
          <w:lang w:val="en-GB"/>
        </w:rPr>
        <w:t>, 2000</w:t>
      </w:r>
      <w:r w:rsidR="006549CC">
        <w:rPr>
          <w:rFonts w:ascii="Book Antiqua" w:hAnsi="Book Antiqua"/>
          <w:lang w:val="en-GB"/>
        </w:rPr>
        <w:t>, p.22</w:t>
      </w:r>
      <w:r w:rsidRPr="00F200E7">
        <w:rPr>
          <w:rFonts w:ascii="Book Antiqua" w:hAnsi="Book Antiqua"/>
          <w:lang w:val="en-GB"/>
        </w:rPr>
        <w:t>)</w:t>
      </w:r>
    </w:p>
    <w:p w:rsidR="00752A0C" w:rsidRPr="00F200E7" w:rsidRDefault="00752A0C" w:rsidP="00D12065">
      <w:pPr>
        <w:pStyle w:val="NoSpacing"/>
        <w:jc w:val="both"/>
        <w:rPr>
          <w:rFonts w:ascii="Book Antiqua" w:hAnsi="Book Antiqua"/>
          <w:lang w:val="en-GB"/>
        </w:rPr>
      </w:pPr>
    </w:p>
    <w:p w:rsidR="00827790" w:rsidRDefault="002D147C" w:rsidP="00827790">
      <w:pPr>
        <w:pStyle w:val="NoSpacing"/>
        <w:jc w:val="both"/>
        <w:rPr>
          <w:rFonts w:ascii="Book Antiqua" w:hAnsi="Book Antiqua"/>
          <w:lang w:val="en-GB"/>
        </w:rPr>
      </w:pPr>
      <w:r w:rsidRPr="00F200E7">
        <w:rPr>
          <w:rFonts w:ascii="Book Antiqua" w:hAnsi="Book Antiqua"/>
          <w:lang w:val="en-GB"/>
        </w:rPr>
        <w:t xml:space="preserve">In addition, the growth </w:t>
      </w:r>
      <w:r w:rsidR="0041059B" w:rsidRPr="00F200E7">
        <w:rPr>
          <w:rFonts w:ascii="Book Antiqua" w:hAnsi="Book Antiqua"/>
          <w:lang w:val="en-GB"/>
        </w:rPr>
        <w:t xml:space="preserve">of </w:t>
      </w:r>
      <w:r w:rsidRPr="00F200E7">
        <w:rPr>
          <w:rFonts w:ascii="Book Antiqua" w:hAnsi="Book Antiqua"/>
          <w:lang w:val="en-GB"/>
        </w:rPr>
        <w:t xml:space="preserve">non-traditional exports can be attributed to public policies </w:t>
      </w:r>
      <w:r w:rsidR="0041059B" w:rsidRPr="00F200E7">
        <w:rPr>
          <w:rFonts w:ascii="Book Antiqua" w:hAnsi="Book Antiqua"/>
          <w:lang w:val="en-GB"/>
        </w:rPr>
        <w:t xml:space="preserve">encouraging </w:t>
      </w:r>
      <w:r w:rsidRPr="00F200E7">
        <w:rPr>
          <w:rFonts w:ascii="Book Antiqua" w:hAnsi="Book Antiqua"/>
          <w:lang w:val="en-GB"/>
        </w:rPr>
        <w:t>the diversification of markets and products and foster</w:t>
      </w:r>
      <w:r w:rsidR="0041059B" w:rsidRPr="00F200E7">
        <w:rPr>
          <w:rFonts w:ascii="Book Antiqua" w:hAnsi="Book Antiqua"/>
          <w:lang w:val="en-GB"/>
        </w:rPr>
        <w:t>ing</w:t>
      </w:r>
      <w:r w:rsidRPr="00F200E7">
        <w:rPr>
          <w:rFonts w:ascii="Book Antiqua" w:hAnsi="Book Antiqua"/>
          <w:lang w:val="en-GB"/>
        </w:rPr>
        <w:t xml:space="preserve"> domestic and foreign investment. Amongst these policies it is worth mentioning the Export and </w:t>
      </w:r>
      <w:proofErr w:type="spellStart"/>
      <w:r w:rsidRPr="00F200E7">
        <w:rPr>
          <w:rFonts w:ascii="Book Antiqua" w:hAnsi="Book Antiqua"/>
          <w:lang w:val="en-GB"/>
        </w:rPr>
        <w:t>Maquila</w:t>
      </w:r>
      <w:proofErr w:type="spellEnd"/>
      <w:r w:rsidRPr="00F200E7">
        <w:rPr>
          <w:rFonts w:ascii="Book Antiqua" w:hAnsi="Book Antiqua"/>
          <w:lang w:val="en-GB"/>
        </w:rPr>
        <w:t xml:space="preserve"> Promotion Act (Decree No. 29</w:t>
      </w:r>
      <w:r w:rsidR="0041059B" w:rsidRPr="00F200E7">
        <w:rPr>
          <w:rFonts w:ascii="Book Antiqua" w:hAnsi="Book Antiqua"/>
          <w:lang w:val="en-GB"/>
        </w:rPr>
        <w:t>–</w:t>
      </w:r>
      <w:r w:rsidRPr="00F200E7">
        <w:rPr>
          <w:rFonts w:ascii="Book Antiqua" w:hAnsi="Book Antiqua"/>
          <w:lang w:val="en-GB"/>
        </w:rPr>
        <w:t>89) and the Free Zone Act (Decree No. 65</w:t>
      </w:r>
      <w:r w:rsidR="0041059B" w:rsidRPr="00F200E7">
        <w:rPr>
          <w:rFonts w:ascii="Book Antiqua" w:hAnsi="Book Antiqua"/>
          <w:lang w:val="en-GB"/>
        </w:rPr>
        <w:t>–</w:t>
      </w:r>
      <w:r w:rsidRPr="00F200E7">
        <w:rPr>
          <w:rFonts w:ascii="Book Antiqua" w:hAnsi="Book Antiqua"/>
          <w:lang w:val="en-GB"/>
        </w:rPr>
        <w:t>89)</w:t>
      </w:r>
      <w:r w:rsidR="0041059B" w:rsidRPr="00F200E7">
        <w:rPr>
          <w:rFonts w:ascii="Book Antiqua" w:hAnsi="Book Antiqua"/>
          <w:lang w:val="en-GB"/>
        </w:rPr>
        <w:t>.F</w:t>
      </w:r>
      <w:r w:rsidRPr="00F200E7">
        <w:rPr>
          <w:rFonts w:ascii="Book Antiqua" w:hAnsi="Book Antiqua"/>
          <w:lang w:val="en-GB"/>
        </w:rPr>
        <w:t xml:space="preserve">igure </w:t>
      </w:r>
      <w:r w:rsidR="0041059B" w:rsidRPr="00F200E7">
        <w:rPr>
          <w:rFonts w:ascii="Book Antiqua" w:hAnsi="Book Antiqua"/>
          <w:lang w:val="en-GB"/>
        </w:rPr>
        <w:t xml:space="preserve">6.5 </w:t>
      </w:r>
      <w:r w:rsidRPr="00F200E7">
        <w:rPr>
          <w:rFonts w:ascii="Book Antiqua" w:hAnsi="Book Antiqua"/>
          <w:lang w:val="en-GB"/>
        </w:rPr>
        <w:t xml:space="preserve">shows the export values for non-traditional products </w:t>
      </w:r>
      <w:r w:rsidR="0041059B" w:rsidRPr="00F200E7">
        <w:rPr>
          <w:rFonts w:ascii="Book Antiqua" w:hAnsi="Book Antiqua"/>
          <w:lang w:val="en-GB"/>
        </w:rPr>
        <w:t xml:space="preserve">in </w:t>
      </w:r>
      <w:r w:rsidRPr="00F200E7">
        <w:rPr>
          <w:rFonts w:ascii="Book Antiqua" w:hAnsi="Book Antiqua"/>
          <w:lang w:val="en-GB"/>
        </w:rPr>
        <w:t>2010.</w:t>
      </w:r>
    </w:p>
    <w:p w:rsidR="00827790" w:rsidRDefault="00827790" w:rsidP="00827790">
      <w:pPr>
        <w:pStyle w:val="NoSpacing"/>
        <w:jc w:val="both"/>
        <w:rPr>
          <w:rFonts w:ascii="Book Antiqua" w:hAnsi="Book Antiqua"/>
          <w:lang w:val="en-GB"/>
        </w:rPr>
      </w:pPr>
    </w:p>
    <w:p w:rsidR="00E65CED" w:rsidRPr="00827790" w:rsidRDefault="002D147C" w:rsidP="00827790">
      <w:pPr>
        <w:pStyle w:val="NoSpacing"/>
        <w:jc w:val="both"/>
        <w:rPr>
          <w:rFonts w:ascii="Book Antiqua" w:hAnsi="Book Antiqua"/>
          <w:lang w:val="en-GB"/>
        </w:rPr>
      </w:pPr>
      <w:r w:rsidRPr="00F200E7">
        <w:rPr>
          <w:rFonts w:ascii="Book Antiqua" w:hAnsi="Book Antiqua"/>
          <w:b/>
          <w:lang w:val="en-GB"/>
        </w:rPr>
        <w:t xml:space="preserve">Figure </w:t>
      </w:r>
      <w:r w:rsidR="0041059B" w:rsidRPr="00F200E7">
        <w:rPr>
          <w:rFonts w:ascii="Book Antiqua" w:hAnsi="Book Antiqua"/>
          <w:b/>
          <w:lang w:val="en-GB"/>
        </w:rPr>
        <w:t>6.</w:t>
      </w:r>
      <w:r w:rsidRPr="00F200E7">
        <w:rPr>
          <w:rFonts w:ascii="Book Antiqua" w:hAnsi="Book Antiqua"/>
          <w:b/>
          <w:lang w:val="en-GB"/>
        </w:rPr>
        <w:t>5:</w:t>
      </w:r>
      <w:r w:rsidR="0041059B" w:rsidRPr="00F200E7">
        <w:rPr>
          <w:rFonts w:ascii="Book Antiqua" w:hAnsi="Book Antiqua"/>
          <w:b/>
          <w:lang w:val="en-GB"/>
        </w:rPr>
        <w:tab/>
      </w:r>
      <w:r w:rsidRPr="00F200E7">
        <w:rPr>
          <w:rFonts w:ascii="Book Antiqua" w:hAnsi="Book Antiqua"/>
          <w:b/>
          <w:lang w:val="en-GB"/>
        </w:rPr>
        <w:t>FOB value of non-traditional exports</w:t>
      </w:r>
      <w:r w:rsidR="00230FF5" w:rsidRPr="00F200E7">
        <w:rPr>
          <w:rFonts w:ascii="Book Antiqua" w:hAnsi="Book Antiqua"/>
          <w:b/>
          <w:lang w:val="en-GB"/>
        </w:rPr>
        <w:t xml:space="preserve">, </w:t>
      </w:r>
      <w:r w:rsidR="0041059B" w:rsidRPr="00F200E7">
        <w:rPr>
          <w:rFonts w:ascii="Book Antiqua" w:hAnsi="Book Antiqua"/>
          <w:b/>
          <w:lang w:val="en-GB"/>
        </w:rPr>
        <w:t xml:space="preserve">Guatemala, </w:t>
      </w:r>
      <w:r w:rsidRPr="00F200E7">
        <w:rPr>
          <w:rFonts w:ascii="Book Antiqua" w:hAnsi="Book Antiqua"/>
          <w:b/>
          <w:lang w:val="en-GB"/>
        </w:rPr>
        <w:t xml:space="preserve">2010 </w:t>
      </w:r>
    </w:p>
    <w:p w:rsidR="00CE1524" w:rsidRPr="00F200E7" w:rsidRDefault="003B17F2" w:rsidP="00B86723">
      <w:pPr>
        <w:pStyle w:val="NoSpacing"/>
        <w:jc w:val="center"/>
        <w:rPr>
          <w:noProof/>
          <w:lang w:val="en-GB" w:eastAsia="es-GT"/>
        </w:rPr>
      </w:pPr>
      <w:r w:rsidRPr="00BE51AE">
        <w:rPr>
          <w:noProof/>
          <w:color w:val="0000FF"/>
          <w:lang w:val="en-GB" w:eastAsia="en-GB"/>
        </w:rPr>
        <w:drawing>
          <wp:inline distT="0" distB="0" distL="0" distR="0">
            <wp:extent cx="4676775" cy="4181475"/>
            <wp:effectExtent l="0" t="0" r="0" b="0"/>
            <wp:docPr id="17"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56ADB" w:rsidRPr="00F200E7" w:rsidRDefault="00BD078C" w:rsidP="00827790">
      <w:pPr>
        <w:pStyle w:val="Heading2"/>
      </w:pPr>
      <w:bookmarkStart w:id="76" w:name="_Toc332009952"/>
      <w:bookmarkStart w:id="77" w:name="_Toc336607507"/>
      <w:r w:rsidRPr="00F200E7">
        <w:br w:type="page"/>
      </w:r>
      <w:r w:rsidR="000C376D" w:rsidRPr="00F200E7">
        <w:t>6.</w:t>
      </w:r>
      <w:r w:rsidR="00116FF7">
        <w:t>3</w:t>
      </w:r>
      <w:r w:rsidR="00226CA1" w:rsidRPr="00F200E7">
        <w:t>.3</w:t>
      </w:r>
      <w:r w:rsidR="00226CA1" w:rsidRPr="00F200E7">
        <w:tab/>
      </w:r>
      <w:r w:rsidR="000C376D" w:rsidRPr="00F200E7">
        <w:t>A</w:t>
      </w:r>
      <w:r w:rsidR="002D147C" w:rsidRPr="00F200E7">
        <w:t>gricultural exports</w:t>
      </w:r>
      <w:bookmarkEnd w:id="76"/>
      <w:bookmarkEnd w:id="77"/>
    </w:p>
    <w:p w:rsidR="002D147C" w:rsidRPr="00F200E7" w:rsidRDefault="009C69A8" w:rsidP="002D147C">
      <w:pPr>
        <w:pStyle w:val="NoSpacing"/>
        <w:jc w:val="both"/>
        <w:rPr>
          <w:rFonts w:ascii="Book Antiqua" w:hAnsi="Book Antiqua"/>
          <w:lang w:val="en-GB"/>
        </w:rPr>
      </w:pPr>
      <w:r>
        <w:rPr>
          <w:rFonts w:ascii="Book Antiqua" w:hAnsi="Book Antiqua"/>
          <w:lang w:val="en-GB"/>
        </w:rPr>
        <w:t xml:space="preserve">Guatemala’s agricultural exports are mainly its traditional export products (i.e. coffee, </w:t>
      </w:r>
      <w:r w:rsidRPr="009C69A8">
        <w:rPr>
          <w:rFonts w:ascii="Book Antiqua" w:hAnsi="Book Antiqua"/>
          <w:lang w:val="en-GB"/>
        </w:rPr>
        <w:t>sugar, bananas, and cardamom</w:t>
      </w:r>
      <w:r>
        <w:rPr>
          <w:rFonts w:ascii="Book Antiqua" w:hAnsi="Book Antiqua"/>
          <w:lang w:val="en-GB"/>
        </w:rPr>
        <w:t xml:space="preserve">) but also include non-traditional agricultural products. </w:t>
      </w:r>
      <w:r w:rsidR="00BC151C" w:rsidRPr="00F200E7">
        <w:rPr>
          <w:rFonts w:ascii="Book Antiqua" w:hAnsi="Book Antiqua"/>
          <w:lang w:val="en-GB"/>
        </w:rPr>
        <w:t xml:space="preserve">From 2002 to 2010 </w:t>
      </w:r>
      <w:r w:rsidR="005F4009">
        <w:rPr>
          <w:rFonts w:ascii="Book Antiqua" w:hAnsi="Book Antiqua"/>
          <w:lang w:val="en-GB"/>
        </w:rPr>
        <w:t xml:space="preserve">Guatemala’s </w:t>
      </w:r>
      <w:r w:rsidR="00BC151C" w:rsidRPr="00F200E7">
        <w:rPr>
          <w:rFonts w:ascii="Book Antiqua" w:hAnsi="Book Antiqua"/>
          <w:lang w:val="en-GB"/>
        </w:rPr>
        <w:t xml:space="preserve">agricultural exports grew from </w:t>
      </w:r>
      <w:r w:rsidR="006A4A53">
        <w:rPr>
          <w:rFonts w:ascii="Book Antiqua" w:hAnsi="Book Antiqua"/>
          <w:lang w:val="en-GB"/>
        </w:rPr>
        <w:t>US$</w:t>
      </w:r>
      <w:r w:rsidR="005F4009">
        <w:rPr>
          <w:rFonts w:ascii="Book Antiqua" w:hAnsi="Book Antiqua"/>
          <w:lang w:val="en-GB"/>
        </w:rPr>
        <w:t>1,108</w:t>
      </w:r>
      <w:r w:rsidR="00BC151C" w:rsidRPr="00F200E7">
        <w:rPr>
          <w:rFonts w:ascii="Book Antiqua" w:hAnsi="Book Antiqua"/>
          <w:lang w:val="en-GB"/>
        </w:rPr>
        <w:t xml:space="preserve"> million to </w:t>
      </w:r>
      <w:r w:rsidR="006A4A53">
        <w:rPr>
          <w:rFonts w:ascii="Book Antiqua" w:hAnsi="Book Antiqua"/>
          <w:lang w:val="en-GB"/>
        </w:rPr>
        <w:t>US$</w:t>
      </w:r>
      <w:r w:rsidR="005F4009">
        <w:rPr>
          <w:rFonts w:ascii="Book Antiqua" w:hAnsi="Book Antiqua"/>
          <w:lang w:val="en-GB"/>
        </w:rPr>
        <w:t>2,913</w:t>
      </w:r>
      <w:r w:rsidR="00BC151C" w:rsidRPr="00F200E7">
        <w:rPr>
          <w:rFonts w:ascii="Book Antiqua" w:hAnsi="Book Antiqua"/>
          <w:lang w:val="en-GB"/>
        </w:rPr>
        <w:t xml:space="preserve"> million </w:t>
      </w:r>
      <w:r w:rsidR="00BE51BB" w:rsidRPr="00F200E7">
        <w:rPr>
          <w:rFonts w:ascii="Book Antiqua" w:hAnsi="Book Antiqua"/>
          <w:lang w:val="en-GB"/>
        </w:rPr>
        <w:t xml:space="preserve">– </w:t>
      </w:r>
      <w:r w:rsidR="00BC151C" w:rsidRPr="00F200E7">
        <w:rPr>
          <w:rFonts w:ascii="Book Antiqua" w:hAnsi="Book Antiqua"/>
          <w:lang w:val="en-GB"/>
        </w:rPr>
        <w:t>an average yearly growth rate of 13%</w:t>
      </w:r>
      <w:r w:rsidR="002915FC">
        <w:rPr>
          <w:rFonts w:ascii="Book Antiqua" w:hAnsi="Book Antiqua"/>
          <w:lang w:val="en-GB"/>
        </w:rPr>
        <w:t>,</w:t>
      </w:r>
      <w:r w:rsidR="005F4009">
        <w:rPr>
          <w:rFonts w:ascii="Book Antiqua" w:hAnsi="Book Antiqua"/>
          <w:lang w:val="en-GB"/>
        </w:rPr>
        <w:t xml:space="preserve"> </w:t>
      </w:r>
      <w:r w:rsidR="00230FF5" w:rsidRPr="00F200E7">
        <w:rPr>
          <w:rFonts w:ascii="Book Antiqua" w:hAnsi="Book Antiqua"/>
          <w:lang w:val="en-GB"/>
        </w:rPr>
        <w:t xml:space="preserve">as shown in </w:t>
      </w:r>
      <w:r w:rsidR="00ED796F" w:rsidRPr="00F200E7">
        <w:rPr>
          <w:rFonts w:ascii="Book Antiqua" w:hAnsi="Book Antiqua"/>
          <w:lang w:val="en-GB"/>
        </w:rPr>
        <w:t>figure 6.6</w:t>
      </w:r>
      <w:r w:rsidR="00BC151C" w:rsidRPr="00F200E7">
        <w:rPr>
          <w:rFonts w:ascii="Book Antiqua" w:hAnsi="Book Antiqua"/>
          <w:lang w:val="en-GB"/>
        </w:rPr>
        <w:t>.</w:t>
      </w:r>
    </w:p>
    <w:p w:rsidR="002D147C" w:rsidRPr="00F200E7" w:rsidRDefault="002D147C" w:rsidP="002D147C">
      <w:pPr>
        <w:pStyle w:val="NoSpacing"/>
        <w:jc w:val="center"/>
        <w:rPr>
          <w:rFonts w:ascii="Book Antiqua" w:hAnsi="Book Antiqua"/>
          <w:b/>
          <w:lang w:val="en-GB"/>
        </w:rPr>
      </w:pPr>
    </w:p>
    <w:p w:rsidR="00E65CED" w:rsidRPr="00F200E7" w:rsidRDefault="002D147C" w:rsidP="00230FF5">
      <w:pPr>
        <w:pStyle w:val="NoSpacing"/>
        <w:keepNext/>
        <w:ind w:left="1440" w:hanging="1440"/>
        <w:rPr>
          <w:rFonts w:ascii="Book Antiqua" w:hAnsi="Book Antiqua"/>
          <w:b/>
          <w:lang w:val="en-GB"/>
        </w:rPr>
      </w:pPr>
      <w:r w:rsidRPr="00F200E7">
        <w:rPr>
          <w:rFonts w:ascii="Book Antiqua" w:hAnsi="Book Antiqua"/>
          <w:b/>
          <w:lang w:val="en-GB"/>
        </w:rPr>
        <w:t xml:space="preserve">Figure </w:t>
      </w:r>
      <w:r w:rsidR="00FC1D18" w:rsidRPr="00F200E7">
        <w:rPr>
          <w:rFonts w:ascii="Book Antiqua" w:hAnsi="Book Antiqua"/>
          <w:b/>
          <w:lang w:val="en-GB"/>
        </w:rPr>
        <w:t>6.</w:t>
      </w:r>
      <w:r w:rsidRPr="00F200E7">
        <w:rPr>
          <w:rFonts w:ascii="Book Antiqua" w:hAnsi="Book Antiqua"/>
          <w:b/>
          <w:lang w:val="en-GB"/>
        </w:rPr>
        <w:t xml:space="preserve">6: </w:t>
      </w:r>
      <w:r w:rsidR="00FC1D18" w:rsidRPr="00F200E7">
        <w:rPr>
          <w:rFonts w:ascii="Book Antiqua" w:hAnsi="Book Antiqua"/>
          <w:b/>
          <w:lang w:val="en-GB"/>
        </w:rPr>
        <w:tab/>
      </w:r>
      <w:r w:rsidRPr="00F200E7">
        <w:rPr>
          <w:rFonts w:ascii="Book Antiqua" w:hAnsi="Book Antiqua"/>
          <w:b/>
          <w:lang w:val="en-GB"/>
        </w:rPr>
        <w:t xml:space="preserve">Evolution </w:t>
      </w:r>
      <w:r w:rsidR="00BE51AE">
        <w:rPr>
          <w:rFonts w:ascii="Book Antiqua" w:hAnsi="Book Antiqua"/>
          <w:b/>
          <w:lang w:val="en-GB"/>
        </w:rPr>
        <w:t xml:space="preserve">of </w:t>
      </w:r>
      <w:r w:rsidR="00BE51AE" w:rsidRPr="00F200E7">
        <w:rPr>
          <w:rFonts w:ascii="Book Antiqua" w:hAnsi="Book Antiqua"/>
          <w:b/>
          <w:lang w:val="en-GB"/>
        </w:rPr>
        <w:t xml:space="preserve">agricultural </w:t>
      </w:r>
      <w:r w:rsidR="00BE51AE">
        <w:rPr>
          <w:rFonts w:ascii="Book Antiqua" w:hAnsi="Book Antiqua"/>
          <w:b/>
          <w:lang w:val="en-GB"/>
        </w:rPr>
        <w:t>exports</w:t>
      </w:r>
      <w:r w:rsidR="00AE174D">
        <w:rPr>
          <w:rFonts w:ascii="Book Antiqua" w:hAnsi="Book Antiqua"/>
          <w:b/>
          <w:lang w:val="en-GB"/>
        </w:rPr>
        <w:t xml:space="preserve"> </w:t>
      </w:r>
      <w:r w:rsidR="002915FC">
        <w:rPr>
          <w:rFonts w:ascii="Book Antiqua" w:hAnsi="Book Antiqua"/>
          <w:b/>
          <w:lang w:val="en-GB"/>
        </w:rPr>
        <w:t>and of</w:t>
      </w:r>
      <w:r w:rsidR="00AE174D">
        <w:rPr>
          <w:rFonts w:ascii="Book Antiqua" w:hAnsi="Book Antiqua"/>
          <w:b/>
          <w:lang w:val="en-GB"/>
        </w:rPr>
        <w:t xml:space="preserve"> </w:t>
      </w:r>
      <w:r w:rsidR="00755E57">
        <w:rPr>
          <w:rFonts w:ascii="Book Antiqua" w:hAnsi="Book Antiqua"/>
          <w:b/>
          <w:lang w:val="en-GB"/>
        </w:rPr>
        <w:t>total</w:t>
      </w:r>
      <w:r w:rsidR="00AE174D">
        <w:rPr>
          <w:rFonts w:ascii="Book Antiqua" w:hAnsi="Book Antiqua"/>
          <w:b/>
          <w:lang w:val="en-GB"/>
        </w:rPr>
        <w:t xml:space="preserve"> </w:t>
      </w:r>
      <w:r w:rsidRPr="00F200E7">
        <w:rPr>
          <w:rFonts w:ascii="Book Antiqua" w:hAnsi="Book Antiqua"/>
          <w:b/>
          <w:lang w:val="en-GB"/>
        </w:rPr>
        <w:t>exports</w:t>
      </w:r>
      <w:r w:rsidR="00A05E7A" w:rsidRPr="00F200E7">
        <w:rPr>
          <w:rFonts w:ascii="Book Antiqua" w:hAnsi="Book Antiqua"/>
          <w:b/>
          <w:lang w:val="en-GB"/>
        </w:rPr>
        <w:t>,</w:t>
      </w:r>
      <w:r w:rsidR="00BE51AE">
        <w:rPr>
          <w:rFonts w:ascii="Book Antiqua" w:hAnsi="Book Antiqua"/>
          <w:b/>
          <w:lang w:val="en-GB"/>
        </w:rPr>
        <w:t xml:space="preserve"> Guatemala,</w:t>
      </w:r>
      <w:r w:rsidRPr="00F200E7">
        <w:rPr>
          <w:rFonts w:ascii="Book Antiqua" w:hAnsi="Book Antiqua"/>
          <w:b/>
          <w:lang w:val="en-GB"/>
        </w:rPr>
        <w:t xml:space="preserve"> 2002</w:t>
      </w:r>
      <w:r w:rsidR="00FC1D18" w:rsidRPr="00F200E7">
        <w:rPr>
          <w:rFonts w:ascii="Book Antiqua" w:hAnsi="Book Antiqua"/>
          <w:b/>
          <w:lang w:val="en-GB"/>
        </w:rPr>
        <w:t>–</w:t>
      </w:r>
      <w:r w:rsidRPr="00F200E7">
        <w:rPr>
          <w:rFonts w:ascii="Book Antiqua" w:hAnsi="Book Antiqua"/>
          <w:b/>
          <w:lang w:val="en-GB"/>
        </w:rPr>
        <w:t>2010</w:t>
      </w:r>
    </w:p>
    <w:p w:rsidR="0083369B" w:rsidRPr="00F200E7" w:rsidRDefault="0083369B" w:rsidP="00230FF5">
      <w:pPr>
        <w:pStyle w:val="NoSpacing"/>
        <w:keepNext/>
        <w:ind w:left="1440" w:hanging="1440"/>
        <w:rPr>
          <w:rFonts w:ascii="Book Antiqua" w:hAnsi="Book Antiqua"/>
          <w:lang w:val="en-GB"/>
        </w:rPr>
      </w:pPr>
    </w:p>
    <w:p w:rsidR="00E65CED" w:rsidRDefault="005F4009" w:rsidP="0020111F">
      <w:pPr>
        <w:pStyle w:val="NoSpacing"/>
        <w:keepNext/>
        <w:ind w:firstLine="720"/>
        <w:jc w:val="both"/>
        <w:rPr>
          <w:rFonts w:ascii="Book Antiqua" w:hAnsi="Book Antiqua"/>
          <w:sz w:val="18"/>
          <w:lang w:val="en-GB"/>
        </w:rPr>
      </w:pPr>
      <w:r w:rsidRPr="00CF46FB">
        <w:rPr>
          <w:noProof/>
          <w:lang w:val="en-GB" w:eastAsia="en-GB"/>
        </w:rPr>
        <w:object w:dxaOrig="9608" w:dyaOrig="4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94.25pt" o:ole="">
            <v:imagedata r:id="rId18" o:title=""/>
          </v:shape>
          <o:OLEObject Type="Embed" ProgID="Excel.Sheet.12" ShapeID="_x0000_i1025" DrawAspect="Content" ObjectID="_1420279817" r:id="rId19"/>
        </w:object>
      </w:r>
    </w:p>
    <w:p w:rsidR="00246DED" w:rsidRPr="00F200E7" w:rsidRDefault="00246DED" w:rsidP="0020111F">
      <w:pPr>
        <w:pStyle w:val="NoSpacing"/>
        <w:keepNext/>
        <w:ind w:firstLine="720"/>
        <w:jc w:val="both"/>
        <w:rPr>
          <w:rFonts w:ascii="Book Antiqua" w:hAnsi="Book Antiqua"/>
          <w:sz w:val="18"/>
          <w:lang w:val="en-GB"/>
        </w:rPr>
      </w:pPr>
    </w:p>
    <w:p w:rsidR="0059579D" w:rsidRDefault="002D147C" w:rsidP="00B80F47">
      <w:pPr>
        <w:pStyle w:val="NoSpacing"/>
        <w:ind w:left="990"/>
        <w:rPr>
          <w:rFonts w:ascii="Book Antiqua" w:hAnsi="Book Antiqua"/>
          <w:lang w:val="en-GB"/>
        </w:rPr>
      </w:pPr>
      <w:r w:rsidRPr="00F200E7">
        <w:rPr>
          <w:rFonts w:ascii="Book Antiqua" w:hAnsi="Book Antiqua"/>
          <w:sz w:val="18"/>
          <w:lang w:val="en-GB"/>
        </w:rPr>
        <w:t xml:space="preserve">Source: Authors’ calculation </w:t>
      </w:r>
      <w:r w:rsidR="002D3433">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3B17F2" w:rsidRPr="00F200E7" w:rsidRDefault="003B17F2">
      <w:pPr>
        <w:pStyle w:val="NoSpacing"/>
        <w:jc w:val="center"/>
        <w:rPr>
          <w:rFonts w:ascii="Book Antiqua" w:hAnsi="Book Antiqua"/>
          <w:lang w:val="en-GB"/>
        </w:rPr>
      </w:pPr>
    </w:p>
    <w:p w:rsidR="00046D0D" w:rsidRPr="00F200E7" w:rsidRDefault="00046D0D" w:rsidP="00046D0D">
      <w:pPr>
        <w:pStyle w:val="NoSpacing"/>
        <w:jc w:val="both"/>
        <w:rPr>
          <w:rFonts w:ascii="Book Antiqua" w:hAnsi="Book Antiqua"/>
          <w:lang w:val="en-GB"/>
        </w:rPr>
      </w:pPr>
      <w:bookmarkStart w:id="78" w:name="_Toc333837979"/>
      <w:r w:rsidRPr="00F200E7">
        <w:rPr>
          <w:rFonts w:ascii="Book Antiqua" w:hAnsi="Book Antiqua"/>
          <w:lang w:val="en-GB"/>
        </w:rPr>
        <w:t>On average</w:t>
      </w:r>
      <w:r>
        <w:rPr>
          <w:rFonts w:ascii="Book Antiqua" w:hAnsi="Book Antiqua"/>
          <w:lang w:val="en-GB"/>
        </w:rPr>
        <w:t>,</w:t>
      </w:r>
      <w:r w:rsidR="00D5418C">
        <w:rPr>
          <w:rFonts w:ascii="Book Antiqua" w:hAnsi="Book Antiqua"/>
          <w:lang w:val="en-GB"/>
        </w:rPr>
        <w:t xml:space="preserve"> one of every three</w:t>
      </w:r>
      <w:r w:rsidRPr="00F200E7">
        <w:rPr>
          <w:rFonts w:ascii="Book Antiqua" w:hAnsi="Book Antiqua"/>
          <w:lang w:val="en-GB"/>
        </w:rPr>
        <w:t xml:space="preserve"> dollars in Guatemalan exports c</w:t>
      </w:r>
      <w:r>
        <w:rPr>
          <w:rFonts w:ascii="Book Antiqua" w:hAnsi="Book Antiqua"/>
          <w:lang w:val="en-GB"/>
        </w:rPr>
        <w:t>o</w:t>
      </w:r>
      <w:r w:rsidRPr="00F200E7">
        <w:rPr>
          <w:rFonts w:ascii="Book Antiqua" w:hAnsi="Book Antiqua"/>
          <w:lang w:val="en-GB"/>
        </w:rPr>
        <w:t>me</w:t>
      </w:r>
      <w:r>
        <w:rPr>
          <w:rFonts w:ascii="Book Antiqua" w:hAnsi="Book Antiqua"/>
          <w:lang w:val="en-GB"/>
        </w:rPr>
        <w:t>s</w:t>
      </w:r>
      <w:r w:rsidRPr="00F200E7">
        <w:rPr>
          <w:rFonts w:ascii="Book Antiqua" w:hAnsi="Book Antiqua"/>
          <w:lang w:val="en-GB"/>
        </w:rPr>
        <w:t xml:space="preserve"> from agricultural products</w:t>
      </w:r>
      <w:r>
        <w:rPr>
          <w:rFonts w:ascii="Book Antiqua" w:hAnsi="Book Antiqua"/>
          <w:lang w:val="en-GB"/>
        </w:rPr>
        <w:t>,</w:t>
      </w:r>
      <w:r w:rsidRPr="00F200E7">
        <w:rPr>
          <w:rFonts w:ascii="Book Antiqua" w:hAnsi="Book Antiqua"/>
          <w:lang w:val="en-GB"/>
        </w:rPr>
        <w:t xml:space="preserve"> as shown in figure 6.7. In 2009 there was a spike in the share of agricultural exports. In that year the total value of exports decreased due to the international economic crisis, while agricultural exports slightly increased their export value. </w:t>
      </w:r>
    </w:p>
    <w:bookmarkEnd w:id="78"/>
    <w:p w:rsidR="00C2317B" w:rsidRPr="00F200E7" w:rsidRDefault="00C2317B" w:rsidP="00D12065">
      <w:pPr>
        <w:pStyle w:val="NoSpacing"/>
        <w:jc w:val="both"/>
        <w:rPr>
          <w:rFonts w:ascii="Book Antiqua" w:hAnsi="Book Antiqua"/>
          <w:lang w:val="en-GB"/>
        </w:rPr>
      </w:pPr>
    </w:p>
    <w:p w:rsidR="00363B0B" w:rsidRPr="00F200E7" w:rsidRDefault="00363B0B" w:rsidP="00ED796F">
      <w:pPr>
        <w:pStyle w:val="NoSpacing"/>
        <w:ind w:left="1440" w:hanging="1440"/>
        <w:rPr>
          <w:rFonts w:ascii="Book Antiqua" w:hAnsi="Book Antiqua"/>
          <w:lang w:val="en-GB"/>
        </w:rPr>
      </w:pPr>
      <w:r w:rsidRPr="00F200E7">
        <w:rPr>
          <w:rFonts w:ascii="Book Antiqua" w:hAnsi="Book Antiqua"/>
          <w:b/>
          <w:lang w:val="en-GB"/>
        </w:rPr>
        <w:t xml:space="preserve">Figure </w:t>
      </w:r>
      <w:r w:rsidR="00ED796F" w:rsidRPr="00F200E7">
        <w:rPr>
          <w:rFonts w:ascii="Book Antiqua" w:hAnsi="Book Antiqua"/>
          <w:b/>
          <w:lang w:val="en-GB"/>
        </w:rPr>
        <w:t>6.</w:t>
      </w:r>
      <w:r w:rsidRPr="00F200E7">
        <w:rPr>
          <w:rFonts w:ascii="Book Antiqua" w:hAnsi="Book Antiqua"/>
          <w:b/>
          <w:lang w:val="en-GB"/>
        </w:rPr>
        <w:t>7:</w:t>
      </w:r>
      <w:r w:rsidR="00ED796F" w:rsidRPr="00F200E7">
        <w:rPr>
          <w:rFonts w:ascii="Book Antiqua" w:hAnsi="Book Antiqua"/>
          <w:b/>
          <w:lang w:val="en-GB"/>
        </w:rPr>
        <w:tab/>
        <w:t>A</w:t>
      </w:r>
      <w:r w:rsidRPr="00F200E7">
        <w:rPr>
          <w:rFonts w:ascii="Book Antiqua" w:hAnsi="Book Antiqua"/>
          <w:b/>
          <w:lang w:val="en-GB"/>
        </w:rPr>
        <w:t xml:space="preserve">gricultural exports </w:t>
      </w:r>
      <w:r w:rsidR="00ED796F" w:rsidRPr="00F200E7">
        <w:rPr>
          <w:rFonts w:ascii="Book Antiqua" w:hAnsi="Book Antiqua"/>
          <w:b/>
          <w:lang w:val="en-GB"/>
        </w:rPr>
        <w:t xml:space="preserve">as a percentage </w:t>
      </w:r>
      <w:r w:rsidRPr="00F200E7">
        <w:rPr>
          <w:rFonts w:ascii="Book Antiqua" w:hAnsi="Book Antiqua"/>
          <w:b/>
          <w:lang w:val="en-GB"/>
        </w:rPr>
        <w:t>of total exports</w:t>
      </w:r>
      <w:r w:rsidR="007077FF" w:rsidRPr="00F200E7">
        <w:rPr>
          <w:rFonts w:ascii="Book Antiqua" w:hAnsi="Book Antiqua"/>
          <w:b/>
          <w:lang w:val="en-GB"/>
        </w:rPr>
        <w:t>,</w:t>
      </w:r>
      <w:r w:rsidR="00AE174D">
        <w:rPr>
          <w:rFonts w:ascii="Book Antiqua" w:hAnsi="Book Antiqua"/>
          <w:b/>
          <w:lang w:val="en-GB"/>
        </w:rPr>
        <w:t xml:space="preserve"> </w:t>
      </w:r>
      <w:r w:rsidR="00ED796F" w:rsidRPr="00F200E7">
        <w:rPr>
          <w:rFonts w:ascii="Book Antiqua" w:hAnsi="Book Antiqua"/>
          <w:b/>
          <w:lang w:val="en-GB"/>
        </w:rPr>
        <w:t>Guatemala,</w:t>
      </w:r>
      <w:r w:rsidRPr="00F200E7">
        <w:rPr>
          <w:rFonts w:ascii="Book Antiqua" w:hAnsi="Book Antiqua"/>
          <w:b/>
          <w:lang w:val="en-GB"/>
        </w:rPr>
        <w:t xml:space="preserve"> 2002</w:t>
      </w:r>
      <w:r w:rsidR="00ED796F" w:rsidRPr="00F200E7">
        <w:rPr>
          <w:rFonts w:ascii="Book Antiqua" w:hAnsi="Book Antiqua"/>
          <w:b/>
          <w:lang w:val="en-GB"/>
        </w:rPr>
        <w:t>–</w:t>
      </w:r>
      <w:r w:rsidRPr="00F200E7">
        <w:rPr>
          <w:rFonts w:ascii="Book Antiqua" w:hAnsi="Book Antiqua"/>
          <w:b/>
          <w:lang w:val="en-GB"/>
        </w:rPr>
        <w:t>2010</w:t>
      </w:r>
    </w:p>
    <w:p w:rsidR="00C2317B" w:rsidRPr="00F200E7" w:rsidRDefault="00C2317B" w:rsidP="00D12065">
      <w:pPr>
        <w:pStyle w:val="NoSpacing"/>
        <w:jc w:val="both"/>
        <w:rPr>
          <w:rFonts w:ascii="Book Antiqua" w:hAnsi="Book Antiqua"/>
          <w:lang w:val="en-GB"/>
        </w:rPr>
      </w:pPr>
    </w:p>
    <w:p w:rsidR="00C2317B" w:rsidRPr="00F200E7" w:rsidRDefault="00D10F9D" w:rsidP="00C2317B">
      <w:pPr>
        <w:pStyle w:val="NoSpacing"/>
        <w:jc w:val="center"/>
        <w:rPr>
          <w:rFonts w:ascii="Book Antiqua" w:hAnsi="Book Antiqua"/>
          <w:lang w:val="en-GB"/>
        </w:rPr>
      </w:pPr>
      <w:r w:rsidRPr="00CF46FB">
        <w:rPr>
          <w:rFonts w:ascii="Book Antiqua" w:hAnsi="Book Antiqua"/>
          <w:lang w:val="en-GB"/>
        </w:rPr>
        <w:object w:dxaOrig="8992" w:dyaOrig="5677">
          <v:shape id="_x0000_i1026" type="#_x0000_t75" style="width:327.75pt;height:115.5pt" o:ole="">
            <v:imagedata r:id="rId20" o:title=""/>
          </v:shape>
          <o:OLEObject Type="Embed" ProgID="Excel.Sheet.12" ShapeID="_x0000_i1026" DrawAspect="Content" ObjectID="_1420279818" r:id="rId21"/>
        </w:object>
      </w:r>
    </w:p>
    <w:p w:rsidR="00363B0B" w:rsidRPr="00F200E7" w:rsidRDefault="00363B0B" w:rsidP="00363B0B">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BE51AE">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363B0B" w:rsidRPr="00F200E7" w:rsidRDefault="00363B0B" w:rsidP="00363B0B">
      <w:pPr>
        <w:pStyle w:val="NoSpacing"/>
        <w:ind w:firstLine="720"/>
        <w:jc w:val="both"/>
        <w:rPr>
          <w:rFonts w:ascii="Book Antiqua" w:hAnsi="Book Antiqua"/>
          <w:lang w:val="en-GB"/>
        </w:rPr>
      </w:pPr>
    </w:p>
    <w:p w:rsidR="00363B0B" w:rsidRPr="00F200E7" w:rsidRDefault="009C69A8" w:rsidP="0032057B">
      <w:pPr>
        <w:pStyle w:val="Heading2"/>
        <w:rPr>
          <w:rFonts w:asciiTheme="majorHAnsi" w:hAnsiTheme="majorHAnsi" w:cstheme="majorHAnsi"/>
        </w:rPr>
      </w:pPr>
      <w:bookmarkStart w:id="79" w:name="_Toc336607508"/>
      <w:r>
        <w:rPr>
          <w:rFonts w:asciiTheme="majorHAnsi" w:hAnsiTheme="majorHAnsi" w:cstheme="majorHAnsi"/>
        </w:rPr>
        <w:t>6.</w:t>
      </w:r>
      <w:r w:rsidR="00116FF7">
        <w:rPr>
          <w:rFonts w:asciiTheme="majorHAnsi" w:hAnsiTheme="majorHAnsi" w:cstheme="majorHAnsi"/>
        </w:rPr>
        <w:t>3</w:t>
      </w:r>
      <w:r w:rsidR="00A443BF" w:rsidRPr="00F200E7">
        <w:rPr>
          <w:rFonts w:asciiTheme="majorHAnsi" w:hAnsiTheme="majorHAnsi" w:cstheme="majorHAnsi"/>
        </w:rPr>
        <w:t>.4</w:t>
      </w:r>
      <w:r w:rsidR="00A443BF" w:rsidRPr="00F200E7">
        <w:rPr>
          <w:rFonts w:asciiTheme="majorHAnsi" w:hAnsiTheme="majorHAnsi" w:cstheme="majorHAnsi"/>
        </w:rPr>
        <w:tab/>
      </w:r>
      <w:bookmarkStart w:id="80" w:name="_Toc333837980"/>
      <w:r w:rsidR="00795186" w:rsidRPr="00F200E7">
        <w:rPr>
          <w:rFonts w:asciiTheme="majorHAnsi" w:hAnsiTheme="majorHAnsi" w:cstheme="majorHAnsi"/>
        </w:rPr>
        <w:t>Main destinations for agricultural exports</w:t>
      </w:r>
      <w:bookmarkEnd w:id="79"/>
      <w:bookmarkEnd w:id="80"/>
    </w:p>
    <w:p w:rsidR="00363B0B" w:rsidRPr="00F200E7" w:rsidRDefault="00B95D6F" w:rsidP="00D12065">
      <w:pPr>
        <w:pStyle w:val="NoSpacing"/>
        <w:jc w:val="both"/>
        <w:rPr>
          <w:rStyle w:val="apple-style-span"/>
          <w:rFonts w:ascii="Book Antiqua" w:hAnsi="Book Antiqua" w:cs="Calibri"/>
          <w:bCs/>
          <w:color w:val="333300"/>
          <w:shd w:val="clear" w:color="auto" w:fill="FFFFFF"/>
          <w:lang w:val="en-GB"/>
        </w:rPr>
      </w:pPr>
      <w:r w:rsidRPr="00F200E7">
        <w:rPr>
          <w:rFonts w:ascii="Book Antiqua" w:hAnsi="Book Antiqua"/>
          <w:lang w:val="en-GB"/>
        </w:rPr>
        <w:t xml:space="preserve">Figure 6.8 shows </w:t>
      </w:r>
      <w:r w:rsidR="00363B0B" w:rsidRPr="00F200E7">
        <w:rPr>
          <w:rStyle w:val="apple-style-span"/>
          <w:rFonts w:ascii="Book Antiqua" w:hAnsi="Book Antiqua" w:cs="Calibri"/>
          <w:bCs/>
          <w:color w:val="333300"/>
          <w:shd w:val="clear" w:color="auto" w:fill="FFFFFF"/>
          <w:lang w:val="en-GB"/>
        </w:rPr>
        <w:t xml:space="preserve">the main destinations for Guatemalan agricultural exports, </w:t>
      </w:r>
      <w:r w:rsidRPr="00F200E7">
        <w:rPr>
          <w:rStyle w:val="apple-style-span"/>
          <w:rFonts w:ascii="Book Antiqua" w:hAnsi="Book Antiqua" w:cs="Calibri"/>
          <w:bCs/>
          <w:color w:val="333300"/>
          <w:shd w:val="clear" w:color="auto" w:fill="FFFFFF"/>
          <w:lang w:val="en-GB"/>
        </w:rPr>
        <w:t xml:space="preserve">ordered </w:t>
      </w:r>
      <w:r w:rsidR="00363B0B" w:rsidRPr="00F200E7">
        <w:rPr>
          <w:rStyle w:val="apple-style-span"/>
          <w:rFonts w:ascii="Book Antiqua" w:hAnsi="Book Antiqua" w:cs="Calibri"/>
          <w:bCs/>
          <w:color w:val="333300"/>
          <w:shd w:val="clear" w:color="auto" w:fill="FFFFFF"/>
          <w:lang w:val="en-GB"/>
        </w:rPr>
        <w:t>from highest to lowest</w:t>
      </w:r>
      <w:r w:rsidRPr="00F200E7">
        <w:rPr>
          <w:rStyle w:val="apple-style-span"/>
          <w:rFonts w:ascii="Book Antiqua" w:hAnsi="Book Antiqua" w:cs="Calibri"/>
          <w:bCs/>
          <w:color w:val="333300"/>
          <w:shd w:val="clear" w:color="auto" w:fill="FFFFFF"/>
          <w:lang w:val="en-GB"/>
        </w:rPr>
        <w:t xml:space="preserve"> shares</w:t>
      </w:r>
      <w:r w:rsidR="00363B0B" w:rsidRPr="00F200E7">
        <w:rPr>
          <w:rStyle w:val="apple-style-span"/>
          <w:rFonts w:ascii="Book Antiqua" w:hAnsi="Book Antiqua" w:cs="Calibri"/>
          <w:bCs/>
          <w:color w:val="333300"/>
          <w:shd w:val="clear" w:color="auto" w:fill="FFFFFF"/>
          <w:lang w:val="en-GB"/>
        </w:rPr>
        <w:t>.</w:t>
      </w:r>
    </w:p>
    <w:p w:rsidR="00624379" w:rsidRPr="00F200E7" w:rsidRDefault="00624379" w:rsidP="00D12065">
      <w:pPr>
        <w:pStyle w:val="NoSpacing"/>
        <w:jc w:val="both"/>
        <w:rPr>
          <w:rFonts w:ascii="Book Antiqua" w:hAnsi="Book Antiqua" w:cs="Calibri"/>
          <w:bCs/>
          <w:color w:val="333300"/>
          <w:shd w:val="clear" w:color="auto" w:fill="FFFFFF"/>
          <w:lang w:val="en-GB"/>
        </w:rPr>
      </w:pPr>
    </w:p>
    <w:p w:rsidR="00E65CED" w:rsidRPr="00F200E7" w:rsidRDefault="00363B0B" w:rsidP="007077FF">
      <w:pPr>
        <w:pStyle w:val="NoSpacing"/>
        <w:ind w:left="1890" w:hanging="1800"/>
        <w:rPr>
          <w:rFonts w:ascii="Book Antiqua" w:hAnsi="Book Antiqua"/>
          <w:b/>
          <w:lang w:val="en-GB"/>
        </w:rPr>
      </w:pPr>
      <w:r w:rsidRPr="00F200E7">
        <w:rPr>
          <w:rFonts w:ascii="Book Antiqua" w:hAnsi="Book Antiqua" w:cs="Calibri"/>
          <w:b/>
          <w:shd w:val="clear" w:color="auto" w:fill="FFFFFF"/>
          <w:lang w:val="en-GB"/>
        </w:rPr>
        <w:t xml:space="preserve">Figure </w:t>
      </w:r>
      <w:r w:rsidR="005E71E7" w:rsidRPr="00F200E7">
        <w:rPr>
          <w:rFonts w:ascii="Book Antiqua" w:hAnsi="Book Antiqua" w:cs="Calibri"/>
          <w:b/>
          <w:shd w:val="clear" w:color="auto" w:fill="FFFFFF"/>
          <w:lang w:val="en-GB"/>
        </w:rPr>
        <w:t>6.</w:t>
      </w:r>
      <w:r w:rsidRPr="00F200E7">
        <w:rPr>
          <w:rFonts w:ascii="Book Antiqua" w:hAnsi="Book Antiqua" w:cs="Calibri"/>
          <w:b/>
          <w:shd w:val="clear" w:color="auto" w:fill="FFFFFF"/>
          <w:lang w:val="en-GB"/>
        </w:rPr>
        <w:t>8:</w:t>
      </w:r>
      <w:r w:rsidR="005E71E7" w:rsidRPr="00F200E7">
        <w:rPr>
          <w:rFonts w:ascii="Book Antiqua" w:hAnsi="Book Antiqua" w:cs="Calibri"/>
          <w:b/>
          <w:shd w:val="clear" w:color="auto" w:fill="FFFFFF"/>
          <w:lang w:val="en-GB"/>
        </w:rPr>
        <w:tab/>
      </w:r>
      <w:r w:rsidRPr="00F200E7">
        <w:rPr>
          <w:rFonts w:ascii="Book Antiqua" w:hAnsi="Book Antiqua" w:cs="Calibri"/>
          <w:b/>
          <w:shd w:val="clear" w:color="auto" w:fill="FFFFFF"/>
          <w:lang w:val="en-GB"/>
        </w:rPr>
        <w:t>Main destinations for Guatemalan agricultural exports</w:t>
      </w:r>
      <w:r w:rsidR="00FD09F0">
        <w:rPr>
          <w:rFonts w:ascii="Book Antiqua" w:hAnsi="Book Antiqua" w:cs="Calibri"/>
          <w:b/>
          <w:shd w:val="clear" w:color="auto" w:fill="FFFFFF"/>
          <w:lang w:val="en-GB"/>
        </w:rPr>
        <w:t xml:space="preserve"> </w:t>
      </w:r>
      <w:r w:rsidRPr="00F200E7">
        <w:rPr>
          <w:rFonts w:ascii="Book Antiqua" w:hAnsi="Book Antiqua"/>
          <w:b/>
          <w:lang w:val="en-GB"/>
        </w:rPr>
        <w:t>(</w:t>
      </w:r>
      <w:r w:rsidR="005E71E7" w:rsidRPr="00F200E7">
        <w:rPr>
          <w:rFonts w:ascii="Book Antiqua" w:hAnsi="Book Antiqua"/>
          <w:b/>
          <w:lang w:val="en-GB"/>
        </w:rPr>
        <w:t>i</w:t>
      </w:r>
      <w:r w:rsidRPr="00F200E7">
        <w:rPr>
          <w:rFonts w:ascii="Book Antiqua" w:hAnsi="Book Antiqua"/>
          <w:b/>
          <w:lang w:val="en-GB"/>
        </w:rPr>
        <w:t>n percentages)</w:t>
      </w:r>
      <w:r w:rsidR="005E71E7" w:rsidRPr="00F200E7">
        <w:rPr>
          <w:rFonts w:ascii="Book Antiqua" w:hAnsi="Book Antiqua"/>
          <w:b/>
          <w:lang w:val="en-GB"/>
        </w:rPr>
        <w:t xml:space="preserve">, </w:t>
      </w:r>
      <w:r w:rsidRPr="00F200E7">
        <w:rPr>
          <w:rFonts w:ascii="Book Antiqua" w:hAnsi="Book Antiqua"/>
          <w:b/>
          <w:lang w:val="en-GB"/>
        </w:rPr>
        <w:t>2010</w:t>
      </w:r>
    </w:p>
    <w:p w:rsidR="00135FE4" w:rsidRPr="00F200E7" w:rsidRDefault="00135FE4" w:rsidP="00B86723">
      <w:pPr>
        <w:pStyle w:val="NoSpacing"/>
        <w:jc w:val="center"/>
        <w:rPr>
          <w:noProof/>
          <w:lang w:val="en-GB" w:eastAsia="es-GT"/>
        </w:rPr>
      </w:pPr>
    </w:p>
    <w:p w:rsidR="005B59D7" w:rsidRPr="00F200E7" w:rsidRDefault="003B17F2" w:rsidP="00B86723">
      <w:pPr>
        <w:pStyle w:val="NoSpacing"/>
        <w:jc w:val="center"/>
        <w:rPr>
          <w:rFonts w:ascii="Book Antiqua" w:hAnsi="Book Antiqua" w:cs="Calibri"/>
          <w:color w:val="333300"/>
          <w:shd w:val="clear" w:color="auto" w:fill="FFFFFF"/>
          <w:lang w:val="en-GB"/>
        </w:rPr>
      </w:pPr>
      <w:r w:rsidRPr="00F200E7">
        <w:rPr>
          <w:noProof/>
          <w:lang w:val="en-GB" w:eastAsia="en-GB"/>
        </w:rPr>
        <w:drawing>
          <wp:inline distT="0" distB="0" distL="0" distR="0">
            <wp:extent cx="5612130" cy="3256354"/>
            <wp:effectExtent l="0" t="0" r="7620" b="127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B59D7" w:rsidRPr="00F200E7" w:rsidRDefault="005B59D7" w:rsidP="00B86723">
      <w:pPr>
        <w:pStyle w:val="NoSpacing"/>
        <w:jc w:val="center"/>
        <w:rPr>
          <w:rFonts w:ascii="Book Antiqua" w:hAnsi="Book Antiqua" w:cs="Calibri"/>
          <w:color w:val="333300"/>
          <w:shd w:val="clear" w:color="auto" w:fill="FFFFFF"/>
          <w:lang w:val="en-GB"/>
        </w:rPr>
      </w:pPr>
    </w:p>
    <w:p w:rsidR="00363B0B" w:rsidRPr="00F200E7" w:rsidRDefault="00363B0B" w:rsidP="00363B0B">
      <w:pPr>
        <w:pStyle w:val="NoSpacing"/>
        <w:ind w:firstLine="720"/>
        <w:jc w:val="both"/>
        <w:rPr>
          <w:rFonts w:ascii="Book Antiqua" w:hAnsi="Book Antiqua"/>
          <w:sz w:val="18"/>
          <w:lang w:val="en-GB"/>
        </w:rPr>
      </w:pPr>
      <w:r w:rsidRPr="00F200E7">
        <w:rPr>
          <w:rFonts w:ascii="Book Antiqua" w:hAnsi="Book Antiqua"/>
          <w:sz w:val="18"/>
          <w:lang w:val="en-GB"/>
        </w:rPr>
        <w:t>*Includes countries with</w:t>
      </w:r>
      <w:r w:rsidR="00EC2F41" w:rsidRPr="00F200E7">
        <w:rPr>
          <w:rFonts w:ascii="Book Antiqua" w:hAnsi="Book Antiqua"/>
          <w:sz w:val="18"/>
          <w:lang w:val="en-GB"/>
        </w:rPr>
        <w:t xml:space="preserve"> share</w:t>
      </w:r>
      <w:r w:rsidR="00046D0D">
        <w:rPr>
          <w:rFonts w:ascii="Book Antiqua" w:hAnsi="Book Antiqua"/>
          <w:sz w:val="18"/>
          <w:lang w:val="en-GB"/>
        </w:rPr>
        <w:t>s</w:t>
      </w:r>
      <w:r w:rsidR="00AE174D">
        <w:rPr>
          <w:rFonts w:ascii="Book Antiqua" w:hAnsi="Book Antiqua"/>
          <w:sz w:val="18"/>
          <w:lang w:val="en-GB"/>
        </w:rPr>
        <w:t xml:space="preserve"> </w:t>
      </w:r>
      <w:r w:rsidR="00046D0D">
        <w:rPr>
          <w:rFonts w:ascii="Book Antiqua" w:hAnsi="Book Antiqua"/>
          <w:sz w:val="18"/>
          <w:lang w:val="en-GB"/>
        </w:rPr>
        <w:t xml:space="preserve">of </w:t>
      </w:r>
      <w:r w:rsidRPr="00F200E7">
        <w:rPr>
          <w:rFonts w:ascii="Book Antiqua" w:hAnsi="Book Antiqua"/>
          <w:sz w:val="18"/>
          <w:lang w:val="en-GB"/>
        </w:rPr>
        <w:t>l</w:t>
      </w:r>
      <w:r w:rsidR="005E71E7" w:rsidRPr="00F200E7">
        <w:rPr>
          <w:rFonts w:ascii="Book Antiqua" w:hAnsi="Book Antiqua"/>
          <w:sz w:val="18"/>
          <w:lang w:val="en-GB"/>
        </w:rPr>
        <w:t>ess</w:t>
      </w:r>
      <w:r w:rsidRPr="00F200E7">
        <w:rPr>
          <w:rFonts w:ascii="Book Antiqua" w:hAnsi="Book Antiqua"/>
          <w:sz w:val="18"/>
          <w:lang w:val="en-GB"/>
        </w:rPr>
        <w:t xml:space="preserve"> than 0.5%</w:t>
      </w:r>
      <w:r w:rsidR="00046D0D">
        <w:rPr>
          <w:rFonts w:ascii="Book Antiqua" w:hAnsi="Book Antiqua"/>
          <w:sz w:val="18"/>
          <w:lang w:val="en-GB"/>
        </w:rPr>
        <w:t xml:space="preserve"> each</w:t>
      </w:r>
      <w:r w:rsidRPr="00F200E7">
        <w:rPr>
          <w:rFonts w:ascii="Book Antiqua" w:hAnsi="Book Antiqua"/>
          <w:sz w:val="18"/>
          <w:lang w:val="en-GB"/>
        </w:rPr>
        <w:t>.</w:t>
      </w:r>
    </w:p>
    <w:p w:rsidR="00363B0B" w:rsidRPr="00F200E7" w:rsidRDefault="00363B0B" w:rsidP="00363B0B">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FA4F9F">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6D09CB" w:rsidRPr="00F200E7" w:rsidRDefault="006D09CB" w:rsidP="006D09CB">
      <w:pPr>
        <w:pStyle w:val="NoSpacing"/>
        <w:ind w:firstLine="720"/>
        <w:jc w:val="both"/>
        <w:rPr>
          <w:rFonts w:ascii="Book Antiqua" w:hAnsi="Book Antiqua"/>
          <w:sz w:val="18"/>
          <w:lang w:val="en-GB"/>
        </w:rPr>
      </w:pPr>
    </w:p>
    <w:p w:rsidR="00480B94" w:rsidRDefault="00480B94" w:rsidP="00363B0B">
      <w:pPr>
        <w:pStyle w:val="NoSpacing"/>
        <w:jc w:val="both"/>
        <w:rPr>
          <w:rFonts w:ascii="Book Antiqua" w:hAnsi="Book Antiqua" w:cs="Calibri"/>
          <w:shd w:val="clear" w:color="auto" w:fill="FFFFFF"/>
          <w:lang w:val="en-GB"/>
        </w:rPr>
      </w:pPr>
      <w:r>
        <w:rPr>
          <w:rFonts w:ascii="Book Antiqua" w:hAnsi="Book Antiqua" w:cs="Calibri"/>
          <w:shd w:val="clear" w:color="auto" w:fill="FFFFFF"/>
          <w:lang w:val="en-GB"/>
        </w:rPr>
        <w:t xml:space="preserve">In this context, it is important to highlight the importance of the United States as a destination market for Guatemalan agricultural exports. The dependence on U.S. demand should probably be considered a weakness, in particular taking into account that the role of other export markets is significantly smaller. Central America, for instance, only absorbs 5.8 per cent of Guatemalan agricultural exports according to information from the </w:t>
      </w:r>
      <w:proofErr w:type="spellStart"/>
      <w:r>
        <w:rPr>
          <w:rFonts w:ascii="Book Antiqua" w:hAnsi="Book Antiqua" w:cs="Calibri"/>
          <w:shd w:val="clear" w:color="auto" w:fill="FFFFFF"/>
          <w:lang w:val="en-GB"/>
        </w:rPr>
        <w:t>Banco</w:t>
      </w:r>
      <w:proofErr w:type="spellEnd"/>
      <w:r>
        <w:rPr>
          <w:rFonts w:ascii="Book Antiqua" w:hAnsi="Book Antiqua" w:cs="Calibri"/>
          <w:shd w:val="clear" w:color="auto" w:fill="FFFFFF"/>
          <w:lang w:val="en-GB"/>
        </w:rPr>
        <w:t xml:space="preserve"> de Guatemala. This indicates that it would be important for Guatemala to diversify its exports in terms of destination markets. </w:t>
      </w:r>
    </w:p>
    <w:p w:rsidR="00480B94" w:rsidRDefault="00480B94" w:rsidP="00363B0B">
      <w:pPr>
        <w:pStyle w:val="NoSpacing"/>
        <w:jc w:val="both"/>
        <w:rPr>
          <w:rFonts w:ascii="Book Antiqua" w:hAnsi="Book Antiqua" w:cs="Calibri"/>
          <w:shd w:val="clear" w:color="auto" w:fill="FFFFFF"/>
          <w:lang w:val="en-GB"/>
        </w:rPr>
      </w:pPr>
    </w:p>
    <w:p w:rsidR="00363B0B" w:rsidRPr="00F200E7" w:rsidRDefault="00100E8D" w:rsidP="0032057B">
      <w:pPr>
        <w:pStyle w:val="Heading2"/>
      </w:pPr>
      <w:bookmarkStart w:id="81" w:name="_Toc302658257"/>
      <w:bookmarkStart w:id="82" w:name="_Toc332009954"/>
      <w:bookmarkStart w:id="83" w:name="_Toc333837981"/>
      <w:bookmarkStart w:id="84" w:name="_Toc336607509"/>
      <w:r w:rsidRPr="00F200E7">
        <w:t>6.</w:t>
      </w:r>
      <w:r w:rsidR="00116FF7">
        <w:t>3</w:t>
      </w:r>
      <w:r w:rsidRPr="00F200E7">
        <w:t>.5</w:t>
      </w:r>
      <w:r w:rsidRPr="00F200E7">
        <w:tab/>
      </w:r>
      <w:r w:rsidR="00363B0B" w:rsidRPr="00F200E7">
        <w:t>Evolution of agricultural imports</w:t>
      </w:r>
      <w:bookmarkEnd w:id="81"/>
      <w:bookmarkEnd w:id="82"/>
      <w:bookmarkEnd w:id="83"/>
      <w:bookmarkEnd w:id="84"/>
    </w:p>
    <w:p w:rsidR="00363B0B" w:rsidRPr="00F200E7" w:rsidRDefault="00112E3D" w:rsidP="00363B0B">
      <w:pPr>
        <w:pStyle w:val="NoSpacing"/>
        <w:jc w:val="both"/>
        <w:rPr>
          <w:rFonts w:ascii="Book Antiqua" w:hAnsi="Book Antiqua"/>
          <w:lang w:val="en-GB"/>
        </w:rPr>
      </w:pPr>
      <w:r w:rsidRPr="00F200E7">
        <w:rPr>
          <w:rFonts w:ascii="Book Antiqua" w:hAnsi="Book Antiqua"/>
          <w:lang w:val="en-GB"/>
        </w:rPr>
        <w:t xml:space="preserve">Agricultural imports </w:t>
      </w:r>
      <w:r w:rsidR="00012884" w:rsidRPr="00F200E7">
        <w:rPr>
          <w:rFonts w:ascii="Book Antiqua" w:hAnsi="Book Antiqua"/>
          <w:lang w:val="en-GB"/>
        </w:rPr>
        <w:t>in</w:t>
      </w:r>
      <w:r w:rsidRPr="00F200E7">
        <w:rPr>
          <w:rFonts w:ascii="Book Antiqua" w:hAnsi="Book Antiqua"/>
          <w:lang w:val="en-GB"/>
        </w:rPr>
        <w:t xml:space="preserve">to </w:t>
      </w:r>
      <w:r w:rsidR="00363B0B" w:rsidRPr="00F200E7">
        <w:rPr>
          <w:rFonts w:ascii="Book Antiqua" w:hAnsi="Book Antiqua"/>
          <w:lang w:val="en-GB"/>
        </w:rPr>
        <w:t>Guatemala have grow</w:t>
      </w:r>
      <w:r w:rsidR="00100E8D" w:rsidRPr="00F200E7">
        <w:rPr>
          <w:rFonts w:ascii="Book Antiqua" w:hAnsi="Book Antiqua"/>
          <w:lang w:val="en-GB"/>
        </w:rPr>
        <w:t>n</w:t>
      </w:r>
      <w:r w:rsidR="00363B0B" w:rsidRPr="00F200E7">
        <w:rPr>
          <w:rFonts w:ascii="Book Antiqua" w:hAnsi="Book Antiqua"/>
          <w:lang w:val="en-GB"/>
        </w:rPr>
        <w:t xml:space="preserve"> in the previous decade</w:t>
      </w:r>
      <w:r w:rsidR="00046D0D">
        <w:rPr>
          <w:rFonts w:ascii="Book Antiqua" w:hAnsi="Book Antiqua"/>
          <w:lang w:val="en-GB"/>
        </w:rPr>
        <w:t>,</w:t>
      </w:r>
      <w:r w:rsidR="00AE174D">
        <w:rPr>
          <w:rFonts w:ascii="Book Antiqua" w:hAnsi="Book Antiqua"/>
          <w:lang w:val="en-GB"/>
        </w:rPr>
        <w:t xml:space="preserve"> </w:t>
      </w:r>
      <w:r w:rsidRPr="00F200E7">
        <w:rPr>
          <w:rFonts w:ascii="Book Antiqua" w:hAnsi="Book Antiqua"/>
          <w:lang w:val="en-GB"/>
        </w:rPr>
        <w:t xml:space="preserve">as </w:t>
      </w:r>
      <w:r w:rsidR="009E73A5" w:rsidRPr="00F200E7">
        <w:rPr>
          <w:rFonts w:ascii="Book Antiqua" w:hAnsi="Book Antiqua"/>
          <w:lang w:val="en-GB"/>
        </w:rPr>
        <w:t>figure 6.9</w:t>
      </w:r>
      <w:r w:rsidRPr="00F200E7">
        <w:rPr>
          <w:rFonts w:ascii="Book Antiqua" w:hAnsi="Book Antiqua"/>
          <w:lang w:val="en-GB"/>
        </w:rPr>
        <w:t xml:space="preserve"> highlights</w:t>
      </w:r>
      <w:r w:rsidR="00363B0B" w:rsidRPr="00F200E7">
        <w:rPr>
          <w:rFonts w:ascii="Book Antiqua" w:hAnsi="Book Antiqua"/>
          <w:lang w:val="en-GB"/>
        </w:rPr>
        <w:t>, although they experienced a decrease in 2009</w:t>
      </w:r>
      <w:r w:rsidR="00A40275" w:rsidRPr="00F200E7">
        <w:rPr>
          <w:rFonts w:ascii="Book Antiqua" w:hAnsi="Book Antiqua"/>
          <w:lang w:val="en-GB"/>
        </w:rPr>
        <w:t>,</w:t>
      </w:r>
      <w:r w:rsidR="00363B0B" w:rsidRPr="00F200E7">
        <w:rPr>
          <w:rFonts w:ascii="Book Antiqua" w:hAnsi="Book Antiqua"/>
          <w:lang w:val="en-GB"/>
        </w:rPr>
        <w:t xml:space="preserve"> caused by the world crisis </w:t>
      </w:r>
      <w:r w:rsidR="00100E8D" w:rsidRPr="00F200E7">
        <w:rPr>
          <w:rFonts w:ascii="Book Antiqua" w:hAnsi="Book Antiqua"/>
          <w:lang w:val="en-GB"/>
        </w:rPr>
        <w:t xml:space="preserve">that </w:t>
      </w:r>
      <w:r w:rsidR="00363B0B" w:rsidRPr="00F200E7">
        <w:rPr>
          <w:rFonts w:ascii="Book Antiqua" w:hAnsi="Book Antiqua"/>
          <w:lang w:val="en-GB"/>
        </w:rPr>
        <w:t>emerged from the USA. However</w:t>
      </w:r>
      <w:r w:rsidR="00100E8D" w:rsidRPr="00F200E7">
        <w:rPr>
          <w:rFonts w:ascii="Book Antiqua" w:hAnsi="Book Antiqua"/>
          <w:lang w:val="en-GB"/>
        </w:rPr>
        <w:t>,</w:t>
      </w:r>
      <w:r w:rsidR="00363B0B" w:rsidRPr="00F200E7">
        <w:rPr>
          <w:rFonts w:ascii="Book Antiqua" w:hAnsi="Book Antiqua"/>
          <w:lang w:val="en-GB"/>
        </w:rPr>
        <w:t xml:space="preserve"> imports </w:t>
      </w:r>
      <w:r w:rsidR="00917962" w:rsidRPr="00F200E7">
        <w:rPr>
          <w:rFonts w:ascii="Book Antiqua" w:hAnsi="Book Antiqua"/>
          <w:lang w:val="en-GB"/>
        </w:rPr>
        <w:t xml:space="preserve">appear to have </w:t>
      </w:r>
      <w:r w:rsidR="00363B0B" w:rsidRPr="00F200E7">
        <w:rPr>
          <w:rFonts w:ascii="Book Antiqua" w:hAnsi="Book Antiqua"/>
          <w:lang w:val="en-GB"/>
        </w:rPr>
        <w:t xml:space="preserve">returned to </w:t>
      </w:r>
      <w:r w:rsidR="00100E8D" w:rsidRPr="00F200E7">
        <w:rPr>
          <w:rFonts w:ascii="Book Antiqua" w:hAnsi="Book Antiqua"/>
          <w:lang w:val="en-GB"/>
        </w:rPr>
        <w:t xml:space="preserve">their </w:t>
      </w:r>
      <w:r w:rsidR="00363B0B" w:rsidRPr="00F200E7">
        <w:rPr>
          <w:rFonts w:ascii="Book Antiqua" w:hAnsi="Book Antiqua"/>
          <w:lang w:val="en-GB"/>
        </w:rPr>
        <w:t xml:space="preserve">normal </w:t>
      </w:r>
      <w:r w:rsidR="00917962" w:rsidRPr="00F200E7">
        <w:rPr>
          <w:rFonts w:ascii="Book Antiqua" w:hAnsi="Book Antiqua"/>
          <w:lang w:val="en-GB"/>
        </w:rPr>
        <w:t xml:space="preserve">trend </w:t>
      </w:r>
      <w:r w:rsidR="00363B0B" w:rsidRPr="00F200E7">
        <w:rPr>
          <w:rFonts w:ascii="Book Antiqua" w:hAnsi="Book Antiqua"/>
          <w:lang w:val="en-GB"/>
        </w:rPr>
        <w:t xml:space="preserve">and </w:t>
      </w:r>
      <w:r w:rsidR="00100E8D" w:rsidRPr="00F200E7">
        <w:rPr>
          <w:rFonts w:ascii="Book Antiqua" w:hAnsi="Book Antiqua"/>
          <w:lang w:val="en-GB"/>
        </w:rPr>
        <w:t xml:space="preserve">now </w:t>
      </w:r>
      <w:r w:rsidR="00363B0B" w:rsidRPr="00F200E7">
        <w:rPr>
          <w:rFonts w:ascii="Book Antiqua" w:hAnsi="Book Antiqua"/>
          <w:lang w:val="en-GB"/>
        </w:rPr>
        <w:t xml:space="preserve">continue </w:t>
      </w:r>
      <w:r w:rsidRPr="00F200E7">
        <w:rPr>
          <w:rFonts w:ascii="Book Antiqua" w:hAnsi="Book Antiqua"/>
          <w:lang w:val="en-GB"/>
        </w:rPr>
        <w:t xml:space="preserve">to </w:t>
      </w:r>
      <w:r w:rsidR="00363B0B" w:rsidRPr="00F200E7">
        <w:rPr>
          <w:rFonts w:ascii="Book Antiqua" w:hAnsi="Book Antiqua"/>
          <w:lang w:val="en-GB"/>
        </w:rPr>
        <w:t xml:space="preserve">grow. This </w:t>
      </w:r>
      <w:r w:rsidR="00917962" w:rsidRPr="00F200E7">
        <w:rPr>
          <w:rFonts w:ascii="Book Antiqua" w:hAnsi="Book Antiqua"/>
          <w:lang w:val="en-GB"/>
        </w:rPr>
        <w:t xml:space="preserve">slight </w:t>
      </w:r>
      <w:r w:rsidR="00363B0B" w:rsidRPr="00F200E7">
        <w:rPr>
          <w:rFonts w:ascii="Book Antiqua" w:hAnsi="Book Antiqua"/>
          <w:lang w:val="en-GB"/>
        </w:rPr>
        <w:t xml:space="preserve">increase in imports </w:t>
      </w:r>
      <w:r w:rsidR="00100E8D" w:rsidRPr="00F200E7">
        <w:rPr>
          <w:rFonts w:ascii="Book Antiqua" w:hAnsi="Book Antiqua"/>
          <w:lang w:val="en-GB"/>
        </w:rPr>
        <w:t xml:space="preserve">has </w:t>
      </w:r>
      <w:r w:rsidR="00363B0B" w:rsidRPr="00F200E7">
        <w:rPr>
          <w:rFonts w:ascii="Book Antiqua" w:hAnsi="Book Antiqua"/>
          <w:lang w:val="en-GB"/>
        </w:rPr>
        <w:t xml:space="preserve">coincided with </w:t>
      </w:r>
      <w:r w:rsidRPr="00F200E7">
        <w:rPr>
          <w:rFonts w:ascii="Book Antiqua" w:hAnsi="Book Antiqua"/>
          <w:lang w:val="en-GB"/>
        </w:rPr>
        <w:t xml:space="preserve">an </w:t>
      </w:r>
      <w:r w:rsidR="00363B0B" w:rsidRPr="00F200E7">
        <w:rPr>
          <w:rFonts w:ascii="Book Antiqua" w:hAnsi="Book Antiqua"/>
          <w:lang w:val="en-GB"/>
        </w:rPr>
        <w:t>improvement in economic conditions worldwide, accompanied by an overall increase in production.</w:t>
      </w:r>
    </w:p>
    <w:p w:rsidR="009E73A5" w:rsidRPr="00F200E7" w:rsidRDefault="009E73A5" w:rsidP="009E73A5">
      <w:pPr>
        <w:pStyle w:val="NoSpacing"/>
        <w:jc w:val="both"/>
        <w:rPr>
          <w:rFonts w:ascii="Book Antiqua" w:hAnsi="Book Antiqua"/>
          <w:lang w:val="en-GB"/>
        </w:rPr>
      </w:pPr>
    </w:p>
    <w:p w:rsidR="009E73A5" w:rsidRPr="00F200E7" w:rsidRDefault="009E73A5" w:rsidP="009E73A5">
      <w:pPr>
        <w:pStyle w:val="NoSpacing"/>
        <w:jc w:val="both"/>
        <w:rPr>
          <w:rFonts w:ascii="Book Antiqua" w:hAnsi="Book Antiqua"/>
          <w:lang w:val="en-GB"/>
        </w:rPr>
      </w:pPr>
      <w:r w:rsidRPr="00F200E7">
        <w:rPr>
          <w:rFonts w:ascii="Book Antiqua" w:hAnsi="Book Antiqua"/>
          <w:lang w:val="en-GB"/>
        </w:rPr>
        <w:t xml:space="preserve">All of </w:t>
      </w:r>
      <w:r w:rsidR="00FA4F9F">
        <w:rPr>
          <w:rFonts w:ascii="Book Antiqua" w:hAnsi="Book Antiqua"/>
          <w:lang w:val="en-GB"/>
        </w:rPr>
        <w:t>Guatemala’s</w:t>
      </w:r>
      <w:r w:rsidRPr="00F200E7">
        <w:rPr>
          <w:rFonts w:ascii="Book Antiqua" w:hAnsi="Book Antiqua"/>
          <w:lang w:val="en-GB"/>
        </w:rPr>
        <w:t xml:space="preserve"> agricultural imports come from the USA, Mexico, and </w:t>
      </w:r>
      <w:r w:rsidR="008A33A7" w:rsidRPr="00F200E7">
        <w:rPr>
          <w:rFonts w:ascii="Book Antiqua" w:hAnsi="Book Antiqua"/>
          <w:lang w:val="en-GB"/>
        </w:rPr>
        <w:t>Central America</w:t>
      </w:r>
      <w:r w:rsidRPr="00F200E7">
        <w:rPr>
          <w:rFonts w:ascii="Book Antiqua" w:hAnsi="Book Antiqua"/>
          <w:lang w:val="en-GB"/>
        </w:rPr>
        <w:t>. In 2010 these imports amounted to 4.5% of total imports.</w:t>
      </w:r>
    </w:p>
    <w:p w:rsidR="00861F28" w:rsidRPr="00F200E7" w:rsidRDefault="00861F28" w:rsidP="00D12065">
      <w:pPr>
        <w:pStyle w:val="NoSpacing"/>
        <w:jc w:val="both"/>
        <w:rPr>
          <w:rFonts w:ascii="Book Antiqua" w:hAnsi="Book Antiqua"/>
          <w:lang w:val="en-GB"/>
        </w:rPr>
      </w:pPr>
    </w:p>
    <w:p w:rsidR="004E6B3E" w:rsidRPr="00F200E7" w:rsidRDefault="004E6B3E" w:rsidP="00D12065">
      <w:pPr>
        <w:pStyle w:val="NoSpacing"/>
        <w:jc w:val="both"/>
        <w:rPr>
          <w:rFonts w:ascii="Book Antiqua" w:hAnsi="Book Antiqua"/>
          <w:lang w:val="en-GB"/>
        </w:rPr>
      </w:pPr>
    </w:p>
    <w:p w:rsidR="00E65CED" w:rsidRPr="00F200E7" w:rsidRDefault="00A40275" w:rsidP="00112E3D">
      <w:pPr>
        <w:pStyle w:val="NoSpacing"/>
        <w:keepNext/>
        <w:rPr>
          <w:rFonts w:ascii="Book Antiqua" w:hAnsi="Book Antiqua"/>
          <w:b/>
          <w:noProof/>
          <w:lang w:val="en-GB" w:eastAsia="es-GT"/>
        </w:rPr>
      </w:pPr>
      <w:r w:rsidRPr="00F200E7">
        <w:rPr>
          <w:rFonts w:ascii="Book Antiqua" w:hAnsi="Book Antiqua"/>
          <w:b/>
          <w:noProof/>
          <w:lang w:val="en-GB" w:eastAsia="es-GT"/>
        </w:rPr>
        <w:t xml:space="preserve">Figure </w:t>
      </w:r>
      <w:r w:rsidR="00100E8D" w:rsidRPr="00F200E7">
        <w:rPr>
          <w:rFonts w:ascii="Book Antiqua" w:hAnsi="Book Antiqua"/>
          <w:b/>
          <w:noProof/>
          <w:lang w:val="en-GB" w:eastAsia="es-GT"/>
        </w:rPr>
        <w:t>6.</w:t>
      </w:r>
      <w:r w:rsidRPr="00F200E7">
        <w:rPr>
          <w:rFonts w:ascii="Book Antiqua" w:hAnsi="Book Antiqua"/>
          <w:b/>
          <w:noProof/>
          <w:lang w:val="en-GB" w:eastAsia="es-GT"/>
        </w:rPr>
        <w:t xml:space="preserve">9: </w:t>
      </w:r>
      <w:r w:rsidR="00100E8D" w:rsidRPr="00F200E7">
        <w:rPr>
          <w:rFonts w:ascii="Book Antiqua" w:hAnsi="Book Antiqua"/>
          <w:b/>
          <w:noProof/>
          <w:lang w:val="en-GB" w:eastAsia="es-GT"/>
        </w:rPr>
        <w:tab/>
        <w:t>Trend in</w:t>
      </w:r>
      <w:r w:rsidRPr="00F200E7">
        <w:rPr>
          <w:rFonts w:ascii="Book Antiqua" w:hAnsi="Book Antiqua"/>
          <w:b/>
          <w:noProof/>
          <w:lang w:val="en-GB" w:eastAsia="es-GT"/>
        </w:rPr>
        <w:t xml:space="preserve"> agricultural imports</w:t>
      </w:r>
      <w:r w:rsidR="00100E8D" w:rsidRPr="00F200E7">
        <w:rPr>
          <w:rFonts w:ascii="Book Antiqua" w:hAnsi="Book Antiqua"/>
          <w:b/>
          <w:noProof/>
          <w:lang w:val="en-GB" w:eastAsia="es-GT"/>
        </w:rPr>
        <w:t>, Guatemala, 2001–2010</w:t>
      </w:r>
    </w:p>
    <w:p w:rsidR="00310302" w:rsidRPr="00F200E7" w:rsidRDefault="003B17F2" w:rsidP="00B86723">
      <w:pPr>
        <w:pStyle w:val="NoSpacing"/>
        <w:jc w:val="center"/>
        <w:rPr>
          <w:rFonts w:ascii="Book Antiqua" w:hAnsi="Book Antiqua"/>
          <w:lang w:val="en-GB"/>
        </w:rPr>
      </w:pPr>
      <w:r w:rsidRPr="00F200E7">
        <w:rPr>
          <w:noProof/>
          <w:lang w:val="en-GB" w:eastAsia="en-GB"/>
        </w:rPr>
        <w:drawing>
          <wp:inline distT="0" distB="0" distL="0" distR="0">
            <wp:extent cx="3598545" cy="1799590"/>
            <wp:effectExtent l="0" t="0" r="0" b="0"/>
            <wp:docPr id="11" name="Gráfico 29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40275" w:rsidRPr="00F200E7" w:rsidRDefault="00A40275" w:rsidP="00A40275">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FA4F9F">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p>
    <w:p w:rsidR="00310302" w:rsidRPr="00F200E7" w:rsidRDefault="00310302" w:rsidP="00D12065">
      <w:pPr>
        <w:pStyle w:val="NoSpacing"/>
        <w:jc w:val="both"/>
        <w:rPr>
          <w:rFonts w:ascii="Book Antiqua" w:hAnsi="Book Antiqua"/>
          <w:lang w:val="en-GB"/>
        </w:rPr>
      </w:pPr>
    </w:p>
    <w:p w:rsidR="00924D75" w:rsidRPr="00F200E7" w:rsidRDefault="000C376D" w:rsidP="009E73A5">
      <w:pPr>
        <w:pStyle w:val="Heading1"/>
        <w:ind w:left="720" w:hanging="720"/>
        <w:rPr>
          <w:lang w:val="en-GB"/>
        </w:rPr>
      </w:pPr>
      <w:bookmarkStart w:id="85" w:name="_Toc302658258"/>
      <w:bookmarkStart w:id="86" w:name="_Toc332009955"/>
      <w:bookmarkStart w:id="87" w:name="_Toc336607510"/>
      <w:bookmarkStart w:id="88" w:name="_Toc333837982"/>
      <w:r w:rsidRPr="00F200E7">
        <w:rPr>
          <w:lang w:val="en-GB"/>
        </w:rPr>
        <w:t>6.</w:t>
      </w:r>
      <w:r w:rsidR="00116FF7">
        <w:rPr>
          <w:lang w:val="en-GB"/>
        </w:rPr>
        <w:t>4</w:t>
      </w:r>
      <w:r w:rsidR="009E73A5" w:rsidRPr="00F200E7">
        <w:rPr>
          <w:lang w:val="en-GB"/>
        </w:rPr>
        <w:tab/>
        <w:t>TRADE AGREEMENTS SIGNED BY GUATEMALA THAT INCLUDE RULES ON AGRICULTURAL PRODUCTS</w:t>
      </w:r>
      <w:bookmarkEnd w:id="85"/>
      <w:bookmarkEnd w:id="86"/>
      <w:bookmarkEnd w:id="87"/>
      <w:bookmarkEnd w:id="88"/>
    </w:p>
    <w:p w:rsidR="007F5A4B" w:rsidRPr="00F200E7" w:rsidRDefault="000C376D" w:rsidP="0032057B">
      <w:pPr>
        <w:pStyle w:val="Heading2"/>
      </w:pPr>
      <w:bookmarkStart w:id="89" w:name="_Toc302657524"/>
      <w:bookmarkStart w:id="90" w:name="_Toc302657545"/>
      <w:bookmarkStart w:id="91" w:name="_Toc302657678"/>
      <w:bookmarkStart w:id="92" w:name="_Toc302658259"/>
      <w:bookmarkStart w:id="93" w:name="_Toc302658337"/>
      <w:bookmarkStart w:id="94" w:name="_Toc302726561"/>
      <w:bookmarkStart w:id="95" w:name="_Toc303026030"/>
      <w:bookmarkStart w:id="96" w:name="_Toc314494914"/>
      <w:bookmarkStart w:id="97" w:name="_Toc314582253"/>
      <w:bookmarkStart w:id="98" w:name="_Toc328592161"/>
      <w:bookmarkStart w:id="99" w:name="_Toc330988162"/>
      <w:bookmarkStart w:id="100" w:name="_Toc331157493"/>
      <w:bookmarkStart w:id="101" w:name="_Toc331157583"/>
      <w:bookmarkStart w:id="102" w:name="_Toc331162414"/>
      <w:bookmarkStart w:id="103" w:name="_Toc331164081"/>
      <w:bookmarkStart w:id="104" w:name="_Toc331167539"/>
      <w:bookmarkStart w:id="105" w:name="_Toc331167874"/>
      <w:bookmarkStart w:id="106" w:name="_Toc333068107"/>
      <w:bookmarkStart w:id="107" w:name="_Toc333073887"/>
      <w:bookmarkStart w:id="108" w:name="_Toc333230265"/>
      <w:bookmarkStart w:id="109" w:name="_Toc333241203"/>
      <w:bookmarkStart w:id="110" w:name="_Toc333566074"/>
      <w:bookmarkStart w:id="111" w:name="_Toc333828385"/>
      <w:bookmarkStart w:id="112" w:name="_Toc333837983"/>
      <w:bookmarkStart w:id="113" w:name="_Toc331157495"/>
      <w:bookmarkStart w:id="114" w:name="_Toc331157585"/>
      <w:bookmarkStart w:id="115" w:name="_Toc331162416"/>
      <w:bookmarkStart w:id="116" w:name="_Toc331164083"/>
      <w:bookmarkStart w:id="117" w:name="_Toc331167541"/>
      <w:bookmarkStart w:id="118" w:name="_Toc331167876"/>
      <w:bookmarkStart w:id="119" w:name="_Toc333068109"/>
      <w:bookmarkStart w:id="120" w:name="_Toc333073889"/>
      <w:bookmarkStart w:id="121" w:name="_Toc333230267"/>
      <w:bookmarkStart w:id="122" w:name="_Toc333241205"/>
      <w:bookmarkStart w:id="123" w:name="_Toc333566076"/>
      <w:bookmarkStart w:id="124" w:name="_Toc333828387"/>
      <w:bookmarkStart w:id="125" w:name="_Toc333837985"/>
      <w:bookmarkStart w:id="126" w:name="_Toc336607511"/>
      <w:bookmarkStart w:id="127" w:name="_Toc33383798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F200E7">
        <w:t>6.</w:t>
      </w:r>
      <w:r w:rsidR="00116FF7">
        <w:t>4</w:t>
      </w:r>
      <w:r w:rsidR="009E73A5" w:rsidRPr="00F200E7">
        <w:t>.1</w:t>
      </w:r>
      <w:r w:rsidR="009E73A5" w:rsidRPr="00F200E7">
        <w:tab/>
      </w:r>
      <w:r w:rsidR="00C6403F" w:rsidRPr="00F200E7">
        <w:t>The policy of trade liberalization</w:t>
      </w:r>
      <w:bookmarkEnd w:id="126"/>
      <w:bookmarkEnd w:id="127"/>
    </w:p>
    <w:p w:rsidR="00C6403F" w:rsidRPr="00F200E7" w:rsidRDefault="00C6403F" w:rsidP="00C6403F">
      <w:pPr>
        <w:pStyle w:val="NoSpacing"/>
        <w:jc w:val="both"/>
        <w:rPr>
          <w:rFonts w:ascii="Book Antiqua" w:hAnsi="Book Antiqua"/>
          <w:lang w:val="en-GB"/>
        </w:rPr>
      </w:pPr>
      <w:r w:rsidRPr="00F200E7">
        <w:rPr>
          <w:rFonts w:ascii="Book Antiqua" w:hAnsi="Book Antiqua"/>
          <w:lang w:val="en-GB"/>
        </w:rPr>
        <w:t>Beginnin</w:t>
      </w:r>
      <w:r w:rsidR="00FC07DF" w:rsidRPr="00F200E7">
        <w:rPr>
          <w:rFonts w:ascii="Book Antiqua" w:hAnsi="Book Antiqua"/>
          <w:lang w:val="en-GB"/>
        </w:rPr>
        <w:t>g in the mid-1990s Guatemala</w:t>
      </w:r>
      <w:r w:rsidRPr="00F200E7">
        <w:rPr>
          <w:rFonts w:ascii="Book Antiqua" w:hAnsi="Book Antiqua"/>
          <w:lang w:val="en-GB"/>
        </w:rPr>
        <w:t xml:space="preserve"> signed trade agreements with several countries and regions. This policy increment</w:t>
      </w:r>
      <w:r w:rsidR="009E73A5" w:rsidRPr="00F200E7">
        <w:rPr>
          <w:rFonts w:ascii="Book Antiqua" w:hAnsi="Book Antiqua"/>
          <w:lang w:val="en-GB"/>
        </w:rPr>
        <w:t>ally pursued</w:t>
      </w:r>
      <w:r w:rsidR="00AE174D">
        <w:rPr>
          <w:rFonts w:ascii="Book Antiqua" w:hAnsi="Book Antiqua"/>
          <w:lang w:val="en-GB"/>
        </w:rPr>
        <w:t xml:space="preserve"> </w:t>
      </w:r>
      <w:r w:rsidR="009E73A5" w:rsidRPr="00F200E7">
        <w:rPr>
          <w:rFonts w:ascii="Book Antiqua" w:hAnsi="Book Antiqua"/>
          <w:lang w:val="en-GB"/>
        </w:rPr>
        <w:t xml:space="preserve">wider </w:t>
      </w:r>
      <w:r w:rsidRPr="00F200E7">
        <w:rPr>
          <w:rFonts w:ascii="Book Antiqua" w:hAnsi="Book Antiqua"/>
          <w:lang w:val="en-GB"/>
        </w:rPr>
        <w:t xml:space="preserve">market access for Guatemalan products, as well as promoting the export of products that traditionally </w:t>
      </w:r>
      <w:r w:rsidR="009E73A5" w:rsidRPr="00F200E7">
        <w:rPr>
          <w:rFonts w:ascii="Book Antiqua" w:hAnsi="Book Antiqua"/>
          <w:lang w:val="en-GB"/>
        </w:rPr>
        <w:t xml:space="preserve">had not been </w:t>
      </w:r>
      <w:r w:rsidRPr="00F200E7">
        <w:rPr>
          <w:rFonts w:ascii="Book Antiqua" w:hAnsi="Book Antiqua"/>
          <w:lang w:val="en-GB"/>
        </w:rPr>
        <w:t>exported. These objectives were in line with the trade liberalization that the international markets were experiencing.</w:t>
      </w:r>
      <w:r w:rsidR="00500143" w:rsidRPr="00F200E7">
        <w:rPr>
          <w:rFonts w:ascii="Book Antiqua" w:hAnsi="Book Antiqua"/>
          <w:lang w:val="en-GB"/>
        </w:rPr>
        <w:t xml:space="preserve"> For Guatemala trade liberalization has led to a larger role for non-traditional export as a share of total exports.</w:t>
      </w:r>
    </w:p>
    <w:p w:rsidR="00C6403F" w:rsidRPr="00F200E7" w:rsidRDefault="00C6403F" w:rsidP="00C6403F">
      <w:pPr>
        <w:pStyle w:val="NoSpacing"/>
        <w:jc w:val="both"/>
        <w:rPr>
          <w:rFonts w:ascii="Book Antiqua" w:hAnsi="Book Antiqua"/>
          <w:lang w:val="en-GB"/>
        </w:rPr>
      </w:pPr>
    </w:p>
    <w:p w:rsidR="00C6403F" w:rsidRPr="00F200E7" w:rsidRDefault="004F03E7" w:rsidP="00C6403F">
      <w:pPr>
        <w:pStyle w:val="NoSpacing"/>
        <w:jc w:val="both"/>
        <w:rPr>
          <w:rFonts w:ascii="Book Antiqua" w:hAnsi="Book Antiqua"/>
          <w:lang w:val="en-GB"/>
        </w:rPr>
      </w:pPr>
      <w:r>
        <w:rPr>
          <w:rFonts w:ascii="Book Antiqua" w:hAnsi="Book Antiqua"/>
          <w:lang w:val="en-GB"/>
        </w:rPr>
        <w:t>T</w:t>
      </w:r>
      <w:r w:rsidR="00C6403F" w:rsidRPr="00F200E7">
        <w:rPr>
          <w:rFonts w:ascii="Book Antiqua" w:hAnsi="Book Antiqua"/>
          <w:lang w:val="en-GB"/>
        </w:rPr>
        <w:t xml:space="preserve">rade liberalization has been consistent and has endured throughout </w:t>
      </w:r>
      <w:r w:rsidR="00500143" w:rsidRPr="00F200E7">
        <w:rPr>
          <w:rFonts w:ascii="Book Antiqua" w:hAnsi="Book Antiqua"/>
          <w:lang w:val="en-GB"/>
        </w:rPr>
        <w:t xml:space="preserve">various </w:t>
      </w:r>
      <w:r w:rsidR="00C6403F" w:rsidRPr="00F200E7">
        <w:rPr>
          <w:rFonts w:ascii="Book Antiqua" w:hAnsi="Book Antiqua"/>
          <w:lang w:val="en-GB"/>
        </w:rPr>
        <w:t>administrations. For example</w:t>
      </w:r>
      <w:r w:rsidR="00500143" w:rsidRPr="00F200E7">
        <w:rPr>
          <w:rFonts w:ascii="Book Antiqua" w:hAnsi="Book Antiqua"/>
          <w:lang w:val="en-GB"/>
        </w:rPr>
        <w:t>,</w:t>
      </w:r>
      <w:r w:rsidR="00C6403F" w:rsidRPr="00F200E7">
        <w:rPr>
          <w:rFonts w:ascii="Book Antiqua" w:hAnsi="Book Antiqua"/>
          <w:lang w:val="en-GB"/>
        </w:rPr>
        <w:t xml:space="preserve"> negotiations for </w:t>
      </w:r>
      <w:r w:rsidR="00C50424">
        <w:rPr>
          <w:rFonts w:ascii="Book Antiqua" w:hAnsi="Book Antiqua"/>
          <w:lang w:val="en-GB"/>
        </w:rPr>
        <w:t>the Dominican Republic–Central America–Unites State Free Trade Agreement (</w:t>
      </w:r>
      <w:r w:rsidR="00C6403F" w:rsidRPr="00F200E7">
        <w:rPr>
          <w:rFonts w:ascii="Book Antiqua" w:hAnsi="Book Antiqua"/>
          <w:lang w:val="en-GB"/>
        </w:rPr>
        <w:t>DR</w:t>
      </w:r>
      <w:r w:rsidR="00500143" w:rsidRPr="00F200E7">
        <w:rPr>
          <w:rFonts w:ascii="Book Antiqua" w:hAnsi="Book Antiqua"/>
          <w:lang w:val="en-GB"/>
        </w:rPr>
        <w:t>–</w:t>
      </w:r>
      <w:r w:rsidR="00C6403F" w:rsidRPr="00F200E7">
        <w:rPr>
          <w:rFonts w:ascii="Book Antiqua" w:hAnsi="Book Antiqua"/>
          <w:lang w:val="en-GB"/>
        </w:rPr>
        <w:t>CAFTA</w:t>
      </w:r>
      <w:r w:rsidR="00C50424">
        <w:rPr>
          <w:rFonts w:ascii="Book Antiqua" w:hAnsi="Book Antiqua"/>
          <w:lang w:val="en-GB"/>
        </w:rPr>
        <w:t>)</w:t>
      </w:r>
      <w:r w:rsidR="00C6403F" w:rsidRPr="00F200E7">
        <w:rPr>
          <w:rFonts w:ascii="Book Antiqua" w:hAnsi="Book Antiqua"/>
          <w:lang w:val="en-GB"/>
        </w:rPr>
        <w:t xml:space="preserve"> began </w:t>
      </w:r>
      <w:r w:rsidR="00500143" w:rsidRPr="00F200E7">
        <w:rPr>
          <w:rFonts w:ascii="Book Antiqua" w:hAnsi="Book Antiqua"/>
          <w:lang w:val="en-GB"/>
        </w:rPr>
        <w:t xml:space="preserve">under </w:t>
      </w:r>
      <w:r w:rsidR="00C6403F" w:rsidRPr="00F200E7">
        <w:rPr>
          <w:rFonts w:ascii="Book Antiqua" w:hAnsi="Book Antiqua"/>
          <w:lang w:val="en-GB"/>
        </w:rPr>
        <w:t xml:space="preserve">the government of </w:t>
      </w:r>
      <w:r w:rsidR="00BC151C" w:rsidRPr="00F200E7">
        <w:rPr>
          <w:rFonts w:ascii="Book Antiqua" w:hAnsi="Book Antiqua"/>
          <w:lang w:val="en-GB"/>
        </w:rPr>
        <w:t>President</w:t>
      </w:r>
      <w:r w:rsidR="00C6403F" w:rsidRPr="00F200E7">
        <w:rPr>
          <w:rFonts w:ascii="Book Antiqua" w:hAnsi="Book Antiqua"/>
          <w:lang w:val="en-GB"/>
        </w:rPr>
        <w:t xml:space="preserve"> Alfonso Portillo (200</w:t>
      </w:r>
      <w:r w:rsidR="00500143" w:rsidRPr="00F200E7">
        <w:rPr>
          <w:rFonts w:ascii="Book Antiqua" w:hAnsi="Book Antiqua"/>
          <w:lang w:val="en-GB"/>
        </w:rPr>
        <w:t>0–</w:t>
      </w:r>
      <w:r w:rsidR="00C6403F" w:rsidRPr="00F200E7">
        <w:rPr>
          <w:rFonts w:ascii="Book Antiqua" w:hAnsi="Book Antiqua"/>
          <w:lang w:val="en-GB"/>
        </w:rPr>
        <w:t xml:space="preserve">2004), and its subscription and ratification </w:t>
      </w:r>
      <w:r w:rsidR="00500143" w:rsidRPr="00F200E7">
        <w:rPr>
          <w:rFonts w:ascii="Book Antiqua" w:hAnsi="Book Antiqua"/>
          <w:lang w:val="en-GB"/>
        </w:rPr>
        <w:t>took place under</w:t>
      </w:r>
      <w:r w:rsidR="00C6403F" w:rsidRPr="00F200E7">
        <w:rPr>
          <w:rFonts w:ascii="Book Antiqua" w:hAnsi="Book Antiqua"/>
          <w:lang w:val="en-GB"/>
        </w:rPr>
        <w:t xml:space="preserve"> the administration of </w:t>
      </w:r>
      <w:r w:rsidR="00BC151C" w:rsidRPr="00F200E7">
        <w:rPr>
          <w:rFonts w:ascii="Book Antiqua" w:hAnsi="Book Antiqua"/>
          <w:lang w:val="en-GB"/>
        </w:rPr>
        <w:t>President</w:t>
      </w:r>
      <w:r w:rsidR="00C6403F" w:rsidRPr="00F200E7">
        <w:rPr>
          <w:rFonts w:ascii="Book Antiqua" w:hAnsi="Book Antiqua"/>
          <w:lang w:val="en-GB"/>
        </w:rPr>
        <w:t xml:space="preserve"> Oscar Berger (2004</w:t>
      </w:r>
      <w:r w:rsidR="00500143" w:rsidRPr="00F200E7">
        <w:rPr>
          <w:rFonts w:ascii="Book Antiqua" w:hAnsi="Book Antiqua"/>
          <w:lang w:val="en-GB"/>
        </w:rPr>
        <w:t>–</w:t>
      </w:r>
      <w:r w:rsidR="00C6403F" w:rsidRPr="00F200E7">
        <w:rPr>
          <w:rFonts w:ascii="Book Antiqua" w:hAnsi="Book Antiqua"/>
          <w:lang w:val="en-GB"/>
        </w:rPr>
        <w:t>2008).</w:t>
      </w:r>
    </w:p>
    <w:p w:rsidR="002C5163" w:rsidRPr="00F200E7" w:rsidRDefault="00795186" w:rsidP="0032057B">
      <w:pPr>
        <w:pStyle w:val="Heading2"/>
        <w:rPr>
          <w:rFonts w:asciiTheme="majorHAnsi" w:hAnsiTheme="majorHAnsi" w:cstheme="majorHAnsi"/>
        </w:rPr>
      </w:pPr>
      <w:bookmarkStart w:id="128" w:name="_Toc336607512"/>
      <w:r w:rsidRPr="00F200E7">
        <w:rPr>
          <w:rFonts w:asciiTheme="majorHAnsi" w:hAnsiTheme="majorHAnsi" w:cstheme="majorHAnsi"/>
        </w:rPr>
        <w:t>6.</w:t>
      </w:r>
      <w:r w:rsidR="00116FF7">
        <w:rPr>
          <w:rFonts w:asciiTheme="majorHAnsi" w:hAnsiTheme="majorHAnsi" w:cstheme="majorHAnsi"/>
        </w:rPr>
        <w:t>4</w:t>
      </w:r>
      <w:r w:rsidRPr="00F200E7">
        <w:rPr>
          <w:rFonts w:asciiTheme="majorHAnsi" w:hAnsiTheme="majorHAnsi" w:cstheme="majorHAnsi"/>
        </w:rPr>
        <w:t>.2</w:t>
      </w:r>
      <w:r w:rsidR="00FC75B0">
        <w:t>Dominican Republic</w:t>
      </w:r>
      <w:r w:rsidR="00C50424">
        <w:t>–</w:t>
      </w:r>
      <w:r w:rsidR="00FC75B0">
        <w:t>Central America</w:t>
      </w:r>
      <w:r w:rsidR="00C50424">
        <w:t>–</w:t>
      </w:r>
      <w:r w:rsidR="00FC75B0">
        <w:t>United States Free Trade Agreement</w:t>
      </w:r>
      <w:bookmarkEnd w:id="128"/>
    </w:p>
    <w:p w:rsidR="00C6403F" w:rsidRPr="00F200E7" w:rsidRDefault="00500143" w:rsidP="00C6403F">
      <w:pPr>
        <w:pStyle w:val="NoSpacing"/>
        <w:jc w:val="both"/>
        <w:rPr>
          <w:rFonts w:ascii="Book Antiqua" w:hAnsi="Book Antiqua"/>
          <w:lang w:val="en-GB"/>
        </w:rPr>
      </w:pPr>
      <w:r w:rsidRPr="00F200E7">
        <w:rPr>
          <w:rFonts w:ascii="Book Antiqua" w:hAnsi="Book Antiqua"/>
          <w:lang w:val="en-GB"/>
        </w:rPr>
        <w:t>The DR–CAFTA</w:t>
      </w:r>
      <w:r w:rsidR="003B2A12" w:rsidRPr="00F200E7">
        <w:rPr>
          <w:rFonts w:ascii="Book Antiqua" w:hAnsi="Book Antiqua"/>
          <w:lang w:val="en-GB"/>
        </w:rPr>
        <w:t>, ratified in 2006,</w:t>
      </w:r>
      <w:r w:rsidR="00C6403F" w:rsidRPr="00F200E7">
        <w:rPr>
          <w:rFonts w:ascii="Book Antiqua" w:hAnsi="Book Antiqua"/>
          <w:lang w:val="en-GB"/>
        </w:rPr>
        <w:t xml:space="preserve"> is one of the most important trade agreements for Guatemala, </w:t>
      </w:r>
      <w:r w:rsidR="00C50424">
        <w:rPr>
          <w:rFonts w:ascii="Book Antiqua" w:hAnsi="Book Antiqua"/>
          <w:lang w:val="en-GB"/>
        </w:rPr>
        <w:t>as</w:t>
      </w:r>
      <w:r w:rsidR="00AE174D">
        <w:rPr>
          <w:rFonts w:ascii="Book Antiqua" w:hAnsi="Book Antiqua"/>
          <w:lang w:val="en-GB"/>
        </w:rPr>
        <w:t xml:space="preserve"> </w:t>
      </w:r>
      <w:r w:rsidR="00C6403F" w:rsidRPr="00F200E7">
        <w:rPr>
          <w:rFonts w:ascii="Book Antiqua" w:hAnsi="Book Antiqua"/>
          <w:lang w:val="en-GB"/>
        </w:rPr>
        <w:t>trade between Central America and the US</w:t>
      </w:r>
      <w:r w:rsidR="00874A8D" w:rsidRPr="00F200E7">
        <w:rPr>
          <w:rFonts w:ascii="Book Antiqua" w:hAnsi="Book Antiqua"/>
          <w:lang w:val="en-GB"/>
        </w:rPr>
        <w:t>A</w:t>
      </w:r>
      <w:r w:rsidR="00C6403F" w:rsidRPr="00F200E7">
        <w:rPr>
          <w:rFonts w:ascii="Book Antiqua" w:hAnsi="Book Antiqua"/>
          <w:lang w:val="en-GB"/>
        </w:rPr>
        <w:t xml:space="preserve"> accounts for nearly 70</w:t>
      </w:r>
      <w:r w:rsidR="00C50424">
        <w:rPr>
          <w:rFonts w:ascii="Book Antiqua" w:hAnsi="Book Antiqua"/>
          <w:lang w:val="en-GB"/>
        </w:rPr>
        <w:t xml:space="preserve"> per cent</w:t>
      </w:r>
      <w:r w:rsidR="00C6403F" w:rsidRPr="00F200E7">
        <w:rPr>
          <w:rFonts w:ascii="Book Antiqua" w:hAnsi="Book Antiqua"/>
          <w:lang w:val="en-GB"/>
        </w:rPr>
        <w:t xml:space="preserve"> of the region’s total international trade.</w:t>
      </w:r>
    </w:p>
    <w:p w:rsidR="00C6403F" w:rsidRPr="00F200E7" w:rsidRDefault="00C6403F" w:rsidP="00C6403F">
      <w:pPr>
        <w:pStyle w:val="NoSpacing"/>
        <w:jc w:val="both"/>
        <w:rPr>
          <w:rFonts w:ascii="Book Antiqua" w:hAnsi="Book Antiqua"/>
          <w:lang w:val="en-GB"/>
        </w:rPr>
      </w:pPr>
    </w:p>
    <w:p w:rsidR="00827790" w:rsidRDefault="00827790" w:rsidP="00C6403F">
      <w:pPr>
        <w:pStyle w:val="NoSpacing"/>
        <w:jc w:val="both"/>
        <w:rPr>
          <w:rFonts w:ascii="Book Antiqua" w:hAnsi="Book Antiqua"/>
          <w:lang w:val="en-GB"/>
        </w:rPr>
      </w:pPr>
    </w:p>
    <w:p w:rsidR="00C6403F" w:rsidRPr="00F200E7" w:rsidRDefault="00C6403F" w:rsidP="00C6403F">
      <w:pPr>
        <w:pStyle w:val="NoSpacing"/>
        <w:jc w:val="both"/>
        <w:rPr>
          <w:rFonts w:ascii="Book Antiqua" w:hAnsi="Book Antiqua"/>
          <w:lang w:val="en-GB"/>
        </w:rPr>
      </w:pPr>
      <w:r w:rsidRPr="00F200E7">
        <w:rPr>
          <w:rFonts w:ascii="Book Antiqua" w:hAnsi="Book Antiqua"/>
          <w:lang w:val="en-GB"/>
        </w:rPr>
        <w:t>The objectives of the treaty, established in Chapter 1, are the following:</w:t>
      </w:r>
    </w:p>
    <w:p w:rsidR="00A5139A" w:rsidRPr="00F200E7" w:rsidRDefault="00A5139A" w:rsidP="00E05B37">
      <w:pPr>
        <w:pStyle w:val="NoSpacing"/>
        <w:jc w:val="both"/>
        <w:rPr>
          <w:rFonts w:ascii="Book Antiqua" w:hAnsi="Book Antiqua"/>
          <w:i/>
          <w:lang w:val="en-GB"/>
        </w:rPr>
      </w:pP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(a) </w:t>
      </w:r>
      <w:proofErr w:type="gramStart"/>
      <w:r w:rsidRPr="00F200E7">
        <w:rPr>
          <w:rFonts w:ascii="Book Antiqua" w:hAnsi="Book Antiqua"/>
          <w:i/>
          <w:lang w:val="en-GB"/>
        </w:rPr>
        <w:t>encourage</w:t>
      </w:r>
      <w:proofErr w:type="gramEnd"/>
      <w:r w:rsidRPr="00F200E7">
        <w:rPr>
          <w:rFonts w:ascii="Book Antiqua" w:hAnsi="Book Antiqua"/>
          <w:i/>
          <w:lang w:val="en-GB"/>
        </w:rPr>
        <w:t xml:space="preserve"> expansion and diversification of trade between the Parties;</w:t>
      </w: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(b) </w:t>
      </w:r>
      <w:proofErr w:type="gramStart"/>
      <w:r w:rsidRPr="00F200E7">
        <w:rPr>
          <w:rFonts w:ascii="Book Antiqua" w:hAnsi="Book Antiqua"/>
          <w:i/>
          <w:lang w:val="en-GB"/>
        </w:rPr>
        <w:t>eliminate</w:t>
      </w:r>
      <w:proofErr w:type="gramEnd"/>
      <w:r w:rsidRPr="00F200E7">
        <w:rPr>
          <w:rFonts w:ascii="Book Antiqua" w:hAnsi="Book Antiqua"/>
          <w:i/>
          <w:lang w:val="en-GB"/>
        </w:rPr>
        <w:t xml:space="preserve"> barriers to trade in, and facilitate the cross-border movement of, goods and services between the territories of the Parties;</w:t>
      </w: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(c) </w:t>
      </w:r>
      <w:proofErr w:type="gramStart"/>
      <w:r w:rsidRPr="00F200E7">
        <w:rPr>
          <w:rFonts w:ascii="Book Antiqua" w:hAnsi="Book Antiqua"/>
          <w:i/>
          <w:lang w:val="en-GB"/>
        </w:rPr>
        <w:t>promote</w:t>
      </w:r>
      <w:proofErr w:type="gramEnd"/>
      <w:r w:rsidRPr="00F200E7">
        <w:rPr>
          <w:rFonts w:ascii="Book Antiqua" w:hAnsi="Book Antiqua"/>
          <w:i/>
          <w:lang w:val="en-GB"/>
        </w:rPr>
        <w:t xml:space="preserve"> conditions of fair competition in the free trade area;</w:t>
      </w: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(d) </w:t>
      </w:r>
      <w:proofErr w:type="gramStart"/>
      <w:r w:rsidRPr="00F200E7">
        <w:rPr>
          <w:rFonts w:ascii="Book Antiqua" w:hAnsi="Book Antiqua"/>
          <w:i/>
          <w:lang w:val="en-GB"/>
        </w:rPr>
        <w:t>substantially</w:t>
      </w:r>
      <w:proofErr w:type="gramEnd"/>
      <w:r w:rsidRPr="00F200E7">
        <w:rPr>
          <w:rFonts w:ascii="Book Antiqua" w:hAnsi="Book Antiqua"/>
          <w:i/>
          <w:lang w:val="en-GB"/>
        </w:rPr>
        <w:t xml:space="preserve"> increase investment opportunities in the territories of the Parties;</w:t>
      </w: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(e) </w:t>
      </w:r>
      <w:proofErr w:type="gramStart"/>
      <w:r w:rsidRPr="00F200E7">
        <w:rPr>
          <w:rFonts w:ascii="Book Antiqua" w:hAnsi="Book Antiqua"/>
          <w:i/>
          <w:lang w:val="en-GB"/>
        </w:rPr>
        <w:t>provide</w:t>
      </w:r>
      <w:proofErr w:type="gramEnd"/>
      <w:r w:rsidRPr="00F200E7">
        <w:rPr>
          <w:rFonts w:ascii="Book Antiqua" w:hAnsi="Book Antiqua"/>
          <w:i/>
          <w:lang w:val="en-GB"/>
        </w:rPr>
        <w:t xml:space="preserve"> adequate and effective protection and enforcement of intellectual property rights in each Party’s territory;</w:t>
      </w:r>
    </w:p>
    <w:p w:rsidR="00C6403F"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(f) </w:t>
      </w:r>
      <w:proofErr w:type="gramStart"/>
      <w:r w:rsidRPr="00F200E7">
        <w:rPr>
          <w:rFonts w:ascii="Book Antiqua" w:hAnsi="Book Antiqua"/>
          <w:i/>
          <w:lang w:val="en-GB"/>
        </w:rPr>
        <w:t>create</w:t>
      </w:r>
      <w:proofErr w:type="gramEnd"/>
      <w:r w:rsidRPr="00F200E7">
        <w:rPr>
          <w:rFonts w:ascii="Book Antiqua" w:hAnsi="Book Antiqua"/>
          <w:i/>
          <w:lang w:val="en-GB"/>
        </w:rPr>
        <w:t xml:space="preserve"> effective procedures for the implementation and application of this Agreement, for its joint administration, and for the resolution of disputes; and</w:t>
      </w:r>
    </w:p>
    <w:p w:rsidR="00E05B37" w:rsidRPr="00F200E7" w:rsidRDefault="00C6403F" w:rsidP="00C6403F">
      <w:pPr>
        <w:pStyle w:val="NoSpacing"/>
        <w:ind w:left="720"/>
        <w:jc w:val="both"/>
        <w:rPr>
          <w:rFonts w:ascii="Book Antiqua" w:hAnsi="Book Antiqua"/>
          <w:i/>
          <w:lang w:val="en-GB"/>
        </w:rPr>
      </w:pPr>
      <w:r w:rsidRPr="00F200E7">
        <w:rPr>
          <w:rFonts w:ascii="Book Antiqua" w:hAnsi="Book Antiqua"/>
          <w:i/>
          <w:lang w:val="en-GB"/>
        </w:rPr>
        <w:t xml:space="preserve">(g) </w:t>
      </w:r>
      <w:proofErr w:type="gramStart"/>
      <w:r w:rsidRPr="00F200E7">
        <w:rPr>
          <w:rFonts w:ascii="Book Antiqua" w:hAnsi="Book Antiqua"/>
          <w:i/>
          <w:lang w:val="en-GB"/>
        </w:rPr>
        <w:t>establish</w:t>
      </w:r>
      <w:proofErr w:type="gramEnd"/>
      <w:r w:rsidRPr="00F200E7">
        <w:rPr>
          <w:rFonts w:ascii="Book Antiqua" w:hAnsi="Book Antiqua"/>
          <w:i/>
          <w:lang w:val="en-GB"/>
        </w:rPr>
        <w:t xml:space="preserve"> a framework for further bilateral, regional, and multilateral cooperation to expand and enhance the benefits of this Agreement</w:t>
      </w:r>
      <w:r w:rsidR="00E05B37" w:rsidRPr="00F200E7">
        <w:rPr>
          <w:rFonts w:ascii="Book Antiqua" w:hAnsi="Book Antiqua"/>
          <w:i/>
          <w:lang w:val="en-GB"/>
        </w:rPr>
        <w:t>.</w:t>
      </w:r>
    </w:p>
    <w:p w:rsidR="00842930" w:rsidRPr="00F200E7" w:rsidRDefault="00842930" w:rsidP="00E05B37">
      <w:pPr>
        <w:pStyle w:val="NoSpacing"/>
        <w:ind w:left="720"/>
        <w:jc w:val="both"/>
        <w:rPr>
          <w:rFonts w:ascii="Book Antiqua" w:hAnsi="Book Antiqua"/>
          <w:i/>
          <w:lang w:val="en-GB"/>
        </w:rPr>
      </w:pPr>
    </w:p>
    <w:p w:rsidR="00C6403F" w:rsidRPr="00F200E7" w:rsidRDefault="00C6403F" w:rsidP="00C6403F">
      <w:pPr>
        <w:pStyle w:val="NoSpacing"/>
        <w:jc w:val="both"/>
        <w:rPr>
          <w:rFonts w:ascii="Book Antiqua" w:hAnsi="Book Antiqua"/>
          <w:lang w:val="en-GB"/>
        </w:rPr>
      </w:pPr>
      <w:r w:rsidRPr="00F200E7">
        <w:rPr>
          <w:rFonts w:ascii="Book Antiqua" w:hAnsi="Book Antiqua"/>
          <w:lang w:val="en-GB"/>
        </w:rPr>
        <w:t>Although the negotiation, subscription</w:t>
      </w:r>
      <w:r w:rsidR="00500143" w:rsidRPr="00F200E7">
        <w:rPr>
          <w:rFonts w:ascii="Book Antiqua" w:hAnsi="Book Antiqua"/>
          <w:lang w:val="en-GB"/>
        </w:rPr>
        <w:t>,</w:t>
      </w:r>
      <w:r w:rsidRPr="00F200E7">
        <w:rPr>
          <w:rFonts w:ascii="Book Antiqua" w:hAnsi="Book Antiqua"/>
          <w:lang w:val="en-GB"/>
        </w:rPr>
        <w:t xml:space="preserve"> and ratification of this treaty generated much controversy, five years after its entry into force </w:t>
      </w:r>
      <w:r w:rsidR="004F03E7">
        <w:rPr>
          <w:rFonts w:ascii="Book Antiqua" w:hAnsi="Book Antiqua"/>
          <w:lang w:val="en-GB"/>
        </w:rPr>
        <w:t xml:space="preserve">only </w:t>
      </w:r>
      <w:r w:rsidRPr="00F200E7">
        <w:rPr>
          <w:rFonts w:ascii="Book Antiqua" w:hAnsi="Book Antiqua"/>
          <w:lang w:val="en-GB"/>
        </w:rPr>
        <w:t xml:space="preserve">few studies </w:t>
      </w:r>
      <w:r w:rsidR="004F03E7">
        <w:rPr>
          <w:rFonts w:ascii="Book Antiqua" w:hAnsi="Book Antiqua"/>
          <w:lang w:val="en-GB"/>
        </w:rPr>
        <w:t xml:space="preserve">exist </w:t>
      </w:r>
      <w:r w:rsidR="00500143" w:rsidRPr="00F200E7">
        <w:rPr>
          <w:rFonts w:ascii="Book Antiqua" w:hAnsi="Book Antiqua"/>
          <w:lang w:val="en-GB"/>
        </w:rPr>
        <w:t xml:space="preserve">that </w:t>
      </w:r>
      <w:r w:rsidRPr="00F200E7">
        <w:rPr>
          <w:rFonts w:ascii="Book Antiqua" w:hAnsi="Book Antiqua"/>
          <w:lang w:val="en-GB"/>
        </w:rPr>
        <w:t xml:space="preserve">analyse </w:t>
      </w:r>
      <w:r w:rsidR="00500143" w:rsidRPr="00F200E7">
        <w:rPr>
          <w:rFonts w:ascii="Book Antiqua" w:hAnsi="Book Antiqua"/>
          <w:lang w:val="en-GB"/>
        </w:rPr>
        <w:t xml:space="preserve">its </w:t>
      </w:r>
      <w:r w:rsidRPr="00F200E7">
        <w:rPr>
          <w:rFonts w:ascii="Book Antiqua" w:hAnsi="Book Antiqua"/>
          <w:lang w:val="en-GB"/>
        </w:rPr>
        <w:t xml:space="preserve">effects </w:t>
      </w:r>
      <w:r w:rsidR="00907E96" w:rsidRPr="00F200E7">
        <w:rPr>
          <w:rFonts w:ascii="Book Antiqua" w:hAnsi="Book Antiqua"/>
          <w:lang w:val="en-GB"/>
        </w:rPr>
        <w:t>o</w:t>
      </w:r>
      <w:r w:rsidRPr="00F200E7">
        <w:rPr>
          <w:rFonts w:ascii="Book Antiqua" w:hAnsi="Book Antiqua"/>
          <w:lang w:val="en-GB"/>
        </w:rPr>
        <w:t>n Guatemala’s economy and, specifically, its effects on employment.</w:t>
      </w:r>
    </w:p>
    <w:p w:rsidR="00C6403F" w:rsidRPr="00F200E7" w:rsidRDefault="00C6403F" w:rsidP="00C6403F">
      <w:pPr>
        <w:pStyle w:val="NoSpacing"/>
        <w:jc w:val="both"/>
        <w:rPr>
          <w:rFonts w:ascii="Book Antiqua" w:hAnsi="Book Antiqua"/>
          <w:lang w:val="en-GB"/>
        </w:rPr>
      </w:pPr>
    </w:p>
    <w:p w:rsidR="00907E96" w:rsidRDefault="00C6403F" w:rsidP="00C6403F">
      <w:pPr>
        <w:pStyle w:val="NoSpacing"/>
        <w:jc w:val="both"/>
        <w:rPr>
          <w:rFonts w:ascii="Book Antiqua" w:hAnsi="Book Antiqua"/>
          <w:lang w:val="en-GB"/>
        </w:rPr>
      </w:pPr>
      <w:r w:rsidRPr="00F200E7">
        <w:rPr>
          <w:rFonts w:ascii="Book Antiqua" w:hAnsi="Book Antiqua"/>
          <w:lang w:val="en-GB"/>
        </w:rPr>
        <w:t xml:space="preserve">Surveys carried out by </w:t>
      </w:r>
      <w:r w:rsidR="004E5690" w:rsidRPr="00F200E7">
        <w:rPr>
          <w:rFonts w:ascii="Book Antiqua" w:hAnsi="Book Antiqua"/>
          <w:lang w:val="en-GB"/>
        </w:rPr>
        <w:t xml:space="preserve">the </w:t>
      </w:r>
      <w:proofErr w:type="spellStart"/>
      <w:r w:rsidR="004E5690" w:rsidRPr="00F200E7">
        <w:rPr>
          <w:rFonts w:ascii="Book Antiqua" w:hAnsi="Book Antiqua"/>
          <w:lang w:val="en-GB"/>
        </w:rPr>
        <w:t>Asociación</w:t>
      </w:r>
      <w:proofErr w:type="spellEnd"/>
      <w:r w:rsidR="004E5690" w:rsidRPr="00F200E7">
        <w:rPr>
          <w:rFonts w:ascii="Book Antiqua" w:hAnsi="Book Antiqua"/>
          <w:lang w:val="en-GB"/>
        </w:rPr>
        <w:t xml:space="preserve"> de </w:t>
      </w:r>
      <w:proofErr w:type="spellStart"/>
      <w:r w:rsidR="004E5690" w:rsidRPr="00F200E7">
        <w:rPr>
          <w:rFonts w:ascii="Book Antiqua" w:hAnsi="Book Antiqua"/>
          <w:lang w:val="en-GB"/>
        </w:rPr>
        <w:t>Investigación</w:t>
      </w:r>
      <w:proofErr w:type="spellEnd"/>
      <w:r w:rsidR="004E5690" w:rsidRPr="00F200E7">
        <w:rPr>
          <w:rFonts w:ascii="Book Antiqua" w:hAnsi="Book Antiqua"/>
          <w:lang w:val="en-GB"/>
        </w:rPr>
        <w:t xml:space="preserve"> y </w:t>
      </w:r>
      <w:proofErr w:type="spellStart"/>
      <w:r w:rsidR="004E5690" w:rsidRPr="00F200E7">
        <w:rPr>
          <w:rFonts w:ascii="Book Antiqua" w:hAnsi="Book Antiqua"/>
          <w:lang w:val="en-GB"/>
        </w:rPr>
        <w:t>Estudios</w:t>
      </w:r>
      <w:proofErr w:type="spellEnd"/>
      <w:r w:rsidR="004E5690" w:rsidRPr="00F200E7">
        <w:rPr>
          <w:rFonts w:ascii="Book Antiqua" w:hAnsi="Book Antiqua"/>
          <w:lang w:val="en-GB"/>
        </w:rPr>
        <w:t xml:space="preserve"> </w:t>
      </w:r>
      <w:proofErr w:type="spellStart"/>
      <w:r w:rsidR="004E5690" w:rsidRPr="00F200E7">
        <w:rPr>
          <w:rFonts w:ascii="Book Antiqua" w:hAnsi="Book Antiqua"/>
          <w:lang w:val="en-GB"/>
        </w:rPr>
        <w:t>Sociales</w:t>
      </w:r>
      <w:proofErr w:type="spellEnd"/>
      <w:r w:rsidR="004E5690" w:rsidRPr="00F200E7">
        <w:rPr>
          <w:rFonts w:ascii="Book Antiqua" w:hAnsi="Book Antiqua"/>
          <w:lang w:val="en-GB"/>
        </w:rPr>
        <w:t xml:space="preserve"> (</w:t>
      </w:r>
      <w:r w:rsidRPr="00F200E7">
        <w:rPr>
          <w:rFonts w:ascii="Book Antiqua" w:hAnsi="Book Antiqua"/>
          <w:lang w:val="en-GB"/>
        </w:rPr>
        <w:t>ASIES</w:t>
      </w:r>
      <w:r w:rsidR="004E5690" w:rsidRPr="00F200E7">
        <w:rPr>
          <w:rFonts w:ascii="Book Antiqua" w:hAnsi="Book Antiqua"/>
          <w:lang w:val="en-GB"/>
        </w:rPr>
        <w:t>)</w:t>
      </w:r>
      <w:r w:rsidR="00827790">
        <w:rPr>
          <w:rFonts w:ascii="Book Antiqua" w:hAnsi="Book Antiqua"/>
          <w:lang w:val="en-GB"/>
        </w:rPr>
        <w:t xml:space="preserve"> </w:t>
      </w:r>
      <w:r w:rsidR="00907E96" w:rsidRPr="00F200E7">
        <w:rPr>
          <w:rFonts w:ascii="Book Antiqua" w:hAnsi="Book Antiqua"/>
          <w:lang w:val="en-GB"/>
        </w:rPr>
        <w:t xml:space="preserve">of </w:t>
      </w:r>
      <w:r w:rsidRPr="00F200E7">
        <w:rPr>
          <w:rFonts w:ascii="Book Antiqua" w:hAnsi="Book Antiqua"/>
          <w:lang w:val="en-GB"/>
        </w:rPr>
        <w:t>the textile and apparel industries reveal that DR</w:t>
      </w:r>
      <w:r w:rsidR="00907E96" w:rsidRPr="00F200E7">
        <w:rPr>
          <w:rFonts w:ascii="Book Antiqua" w:hAnsi="Book Antiqua"/>
          <w:lang w:val="en-GB"/>
        </w:rPr>
        <w:t>–</w:t>
      </w:r>
      <w:r w:rsidRPr="00F200E7">
        <w:rPr>
          <w:rFonts w:ascii="Book Antiqua" w:hAnsi="Book Antiqua"/>
          <w:lang w:val="en-GB"/>
        </w:rPr>
        <w:t xml:space="preserve">CAFTA’s impact has not been homogenous. </w:t>
      </w:r>
      <w:r w:rsidR="00907E96" w:rsidRPr="00F200E7">
        <w:rPr>
          <w:rFonts w:ascii="Book Antiqua" w:hAnsi="Book Antiqua"/>
          <w:lang w:val="en-GB"/>
        </w:rPr>
        <w:t>T</w:t>
      </w:r>
      <w:r w:rsidRPr="00F200E7">
        <w:rPr>
          <w:rFonts w:ascii="Book Antiqua" w:hAnsi="Book Antiqua"/>
          <w:lang w:val="en-GB"/>
        </w:rPr>
        <w:t xml:space="preserve">he textile industry says </w:t>
      </w:r>
      <w:r w:rsidR="00907E96" w:rsidRPr="00F200E7">
        <w:rPr>
          <w:rFonts w:ascii="Book Antiqua" w:hAnsi="Book Antiqua"/>
          <w:lang w:val="en-GB"/>
        </w:rPr>
        <w:t xml:space="preserve">that it is </w:t>
      </w:r>
      <w:r w:rsidRPr="00F200E7">
        <w:rPr>
          <w:rFonts w:ascii="Book Antiqua" w:hAnsi="Book Antiqua"/>
          <w:lang w:val="en-GB"/>
        </w:rPr>
        <w:t>benefiting from the agreement, while the apparel industry has a different perception, considering the agreement not as beneficial as expected. The opinion survey states</w:t>
      </w:r>
      <w:r w:rsidR="00907E96" w:rsidRPr="00F200E7">
        <w:rPr>
          <w:rFonts w:ascii="Book Antiqua" w:hAnsi="Book Antiqua"/>
          <w:lang w:val="en-GB"/>
        </w:rPr>
        <w:t>,</w:t>
      </w:r>
    </w:p>
    <w:p w:rsidR="00E17472" w:rsidRPr="00F200E7" w:rsidRDefault="00E17472" w:rsidP="00C6403F">
      <w:pPr>
        <w:pStyle w:val="NoSpacing"/>
        <w:jc w:val="both"/>
        <w:rPr>
          <w:rFonts w:ascii="Book Antiqua" w:hAnsi="Book Antiqua"/>
          <w:lang w:val="en-GB"/>
        </w:rPr>
      </w:pPr>
    </w:p>
    <w:p w:rsidR="00E65CED" w:rsidRPr="00F200E7" w:rsidRDefault="00C6403F" w:rsidP="00F709ED">
      <w:pPr>
        <w:pStyle w:val="NoSpacing"/>
        <w:ind w:left="720"/>
        <w:jc w:val="both"/>
        <w:rPr>
          <w:rFonts w:ascii="Book Antiqua" w:hAnsi="Book Antiqua"/>
          <w:i/>
          <w:lang w:val="en-GB"/>
        </w:rPr>
      </w:pPr>
      <w:r w:rsidRPr="00F200E7">
        <w:rPr>
          <w:rFonts w:ascii="Book Antiqua" w:hAnsi="Book Antiqua"/>
          <w:i/>
          <w:lang w:val="en-GB"/>
        </w:rPr>
        <w:t>When differentiating by industry, the textile industry is the greatest beneficiary</w:t>
      </w:r>
      <w:r w:rsidR="00907E96" w:rsidRPr="00F200E7">
        <w:rPr>
          <w:rFonts w:ascii="Book Antiqua" w:hAnsi="Book Antiqua"/>
          <w:i/>
          <w:lang w:val="en-GB"/>
        </w:rPr>
        <w:t>.</w:t>
      </w:r>
      <w:r w:rsidR="00AE174D">
        <w:rPr>
          <w:rFonts w:ascii="Book Antiqua" w:hAnsi="Book Antiqua"/>
          <w:i/>
          <w:lang w:val="en-GB"/>
        </w:rPr>
        <w:t xml:space="preserve"> </w:t>
      </w:r>
      <w:r w:rsidR="00907E96" w:rsidRPr="00F200E7">
        <w:rPr>
          <w:rFonts w:ascii="Book Antiqua" w:hAnsi="Book Antiqua"/>
          <w:i/>
          <w:lang w:val="en-GB"/>
        </w:rPr>
        <w:t>T</w:t>
      </w:r>
      <w:r w:rsidRPr="00F200E7">
        <w:rPr>
          <w:rFonts w:ascii="Book Antiqua" w:hAnsi="Book Antiqua"/>
          <w:i/>
          <w:lang w:val="en-GB"/>
        </w:rPr>
        <w:t xml:space="preserve">his can be explained by the rule of origin negotiated for some inputs. 86% of the sample </w:t>
      </w:r>
      <w:r w:rsidR="00907E96" w:rsidRPr="00F200E7">
        <w:rPr>
          <w:rFonts w:ascii="Book Antiqua" w:hAnsi="Book Antiqua"/>
          <w:i/>
          <w:lang w:val="en-GB"/>
        </w:rPr>
        <w:t xml:space="preserve">said </w:t>
      </w:r>
      <w:r w:rsidRPr="00F200E7">
        <w:rPr>
          <w:rFonts w:ascii="Book Antiqua" w:hAnsi="Book Antiqua"/>
          <w:i/>
          <w:lang w:val="en-GB"/>
        </w:rPr>
        <w:t>that the impact has been positive, while only 47% of the apparel industry believes it has been beneficial</w:t>
      </w:r>
      <w:r w:rsidR="00907E96" w:rsidRPr="00F200E7">
        <w:rPr>
          <w:rFonts w:ascii="Book Antiqua" w:hAnsi="Book Antiqua"/>
          <w:i/>
          <w:lang w:val="en-GB"/>
        </w:rPr>
        <w:t>.</w:t>
      </w:r>
      <w:r w:rsidRPr="00F200E7">
        <w:rPr>
          <w:rFonts w:ascii="Book Antiqua" w:hAnsi="Book Antiqua"/>
          <w:lang w:val="en-GB"/>
        </w:rPr>
        <w:t xml:space="preserve"> (ASIES, 2006)</w:t>
      </w:r>
    </w:p>
    <w:p w:rsidR="00C6403F" w:rsidRPr="00F200E7" w:rsidRDefault="00C6403F" w:rsidP="00C6403F">
      <w:pPr>
        <w:pStyle w:val="NoSpacing"/>
        <w:jc w:val="both"/>
        <w:rPr>
          <w:rFonts w:ascii="Book Antiqua" w:hAnsi="Book Antiqua"/>
          <w:i/>
          <w:lang w:val="en-GB"/>
        </w:rPr>
      </w:pPr>
    </w:p>
    <w:p w:rsidR="00C6403F" w:rsidRPr="00F200E7" w:rsidRDefault="00C6403F" w:rsidP="00C6403F">
      <w:pPr>
        <w:pStyle w:val="NoSpacing"/>
        <w:jc w:val="both"/>
        <w:rPr>
          <w:rFonts w:ascii="Book Antiqua" w:hAnsi="Book Antiqua"/>
          <w:lang w:val="en-GB"/>
        </w:rPr>
      </w:pPr>
      <w:r w:rsidRPr="00F200E7">
        <w:rPr>
          <w:rFonts w:ascii="Book Antiqua" w:hAnsi="Book Antiqua"/>
          <w:lang w:val="en-GB"/>
        </w:rPr>
        <w:t xml:space="preserve">Chapter III of the Agreement, National Treatment and Market Access for Goods, has several sections: a) National </w:t>
      </w:r>
      <w:r w:rsidR="00907E96" w:rsidRPr="00F200E7">
        <w:rPr>
          <w:rFonts w:ascii="Book Antiqua" w:hAnsi="Book Antiqua"/>
          <w:lang w:val="en-GB"/>
        </w:rPr>
        <w:t>t</w:t>
      </w:r>
      <w:r w:rsidRPr="00F200E7">
        <w:rPr>
          <w:rFonts w:ascii="Book Antiqua" w:hAnsi="Book Antiqua"/>
          <w:lang w:val="en-GB"/>
        </w:rPr>
        <w:t xml:space="preserve">reatment; b) Tariff </w:t>
      </w:r>
      <w:r w:rsidR="00907E96" w:rsidRPr="00F200E7">
        <w:rPr>
          <w:rFonts w:ascii="Book Antiqua" w:hAnsi="Book Antiqua"/>
          <w:lang w:val="en-GB"/>
        </w:rPr>
        <w:t>e</w:t>
      </w:r>
      <w:r w:rsidRPr="00F200E7">
        <w:rPr>
          <w:rFonts w:ascii="Book Antiqua" w:hAnsi="Book Antiqua"/>
          <w:lang w:val="en-GB"/>
        </w:rPr>
        <w:t xml:space="preserve">limination; c) Special </w:t>
      </w:r>
      <w:r w:rsidR="00907E96" w:rsidRPr="00F200E7">
        <w:rPr>
          <w:rFonts w:ascii="Book Antiqua" w:hAnsi="Book Antiqua"/>
          <w:lang w:val="en-GB"/>
        </w:rPr>
        <w:t>r</w:t>
      </w:r>
      <w:r w:rsidRPr="00F200E7">
        <w:rPr>
          <w:rFonts w:ascii="Book Antiqua" w:hAnsi="Book Antiqua"/>
          <w:lang w:val="en-GB"/>
        </w:rPr>
        <w:t>egimes; d) Non-</w:t>
      </w:r>
      <w:r w:rsidR="00907E96" w:rsidRPr="00F200E7">
        <w:rPr>
          <w:rFonts w:ascii="Book Antiqua" w:hAnsi="Book Antiqua"/>
          <w:lang w:val="en-GB"/>
        </w:rPr>
        <w:t>ta</w:t>
      </w:r>
      <w:r w:rsidRPr="00F200E7">
        <w:rPr>
          <w:rFonts w:ascii="Book Antiqua" w:hAnsi="Book Antiqua"/>
          <w:lang w:val="en-GB"/>
        </w:rPr>
        <w:t xml:space="preserve">riff </w:t>
      </w:r>
      <w:r w:rsidR="00907E96" w:rsidRPr="00F200E7">
        <w:rPr>
          <w:rFonts w:ascii="Book Antiqua" w:hAnsi="Book Antiqua"/>
          <w:lang w:val="en-GB"/>
        </w:rPr>
        <w:t>m</w:t>
      </w:r>
      <w:r w:rsidRPr="00F200E7">
        <w:rPr>
          <w:rFonts w:ascii="Book Antiqua" w:hAnsi="Book Antiqua"/>
          <w:lang w:val="en-GB"/>
        </w:rPr>
        <w:t xml:space="preserve">easures; e) Other </w:t>
      </w:r>
      <w:r w:rsidR="00907E96" w:rsidRPr="00F200E7">
        <w:rPr>
          <w:rFonts w:ascii="Book Antiqua" w:hAnsi="Book Antiqua"/>
          <w:lang w:val="en-GB"/>
        </w:rPr>
        <w:t>m</w:t>
      </w:r>
      <w:r w:rsidRPr="00F200E7">
        <w:rPr>
          <w:rFonts w:ascii="Book Antiqua" w:hAnsi="Book Antiqua"/>
          <w:lang w:val="en-GB"/>
        </w:rPr>
        <w:t xml:space="preserve">easures; f) Agriculture; g) Textiles and </w:t>
      </w:r>
      <w:r w:rsidR="00907E96" w:rsidRPr="00F200E7">
        <w:rPr>
          <w:rFonts w:ascii="Book Antiqua" w:hAnsi="Book Antiqua"/>
          <w:lang w:val="en-GB"/>
        </w:rPr>
        <w:t>a</w:t>
      </w:r>
      <w:r w:rsidRPr="00F200E7">
        <w:rPr>
          <w:rFonts w:ascii="Book Antiqua" w:hAnsi="Book Antiqua"/>
          <w:lang w:val="en-GB"/>
        </w:rPr>
        <w:t xml:space="preserve">pparel; and h) Institutional </w:t>
      </w:r>
      <w:r w:rsidR="00907E96" w:rsidRPr="00F200E7">
        <w:rPr>
          <w:rFonts w:ascii="Book Antiqua" w:hAnsi="Book Antiqua"/>
          <w:lang w:val="en-GB"/>
        </w:rPr>
        <w:t>p</w:t>
      </w:r>
      <w:r w:rsidRPr="00F200E7">
        <w:rPr>
          <w:rFonts w:ascii="Book Antiqua" w:hAnsi="Book Antiqua"/>
          <w:lang w:val="en-GB"/>
        </w:rPr>
        <w:t xml:space="preserve">rovisions. </w:t>
      </w:r>
      <w:r w:rsidR="00FC07DF" w:rsidRPr="00F200E7">
        <w:rPr>
          <w:rFonts w:ascii="Book Antiqua" w:hAnsi="Book Antiqua"/>
          <w:lang w:val="en-GB"/>
        </w:rPr>
        <w:t>T</w:t>
      </w:r>
      <w:r w:rsidRPr="00F200E7">
        <w:rPr>
          <w:rFonts w:ascii="Book Antiqua" w:hAnsi="Book Antiqua"/>
          <w:lang w:val="en-GB"/>
        </w:rPr>
        <w:t xml:space="preserve">he section </w:t>
      </w:r>
      <w:r w:rsidR="00907E96" w:rsidRPr="00F200E7">
        <w:rPr>
          <w:rFonts w:ascii="Book Antiqua" w:hAnsi="Book Antiqua"/>
          <w:lang w:val="en-GB"/>
        </w:rPr>
        <w:t xml:space="preserve">on </w:t>
      </w:r>
      <w:r w:rsidRPr="00F200E7">
        <w:rPr>
          <w:rFonts w:ascii="Book Antiqua" w:hAnsi="Book Antiqua"/>
          <w:lang w:val="en-GB"/>
        </w:rPr>
        <w:t>agriculture includes the administration and implementation of tariff-rate quotas, agricultural safeguard measures, sugar compensation mechanisms, consultations on trade in chicken, the agriculture review commission</w:t>
      </w:r>
      <w:r w:rsidR="00AA7FFB" w:rsidRPr="00F200E7">
        <w:rPr>
          <w:rFonts w:ascii="Book Antiqua" w:hAnsi="Book Antiqua"/>
          <w:lang w:val="en-GB"/>
        </w:rPr>
        <w:t>,</w:t>
      </w:r>
      <w:r w:rsidRPr="00F200E7">
        <w:rPr>
          <w:rFonts w:ascii="Book Antiqua" w:hAnsi="Book Antiqua"/>
          <w:lang w:val="en-GB"/>
        </w:rPr>
        <w:t xml:space="preserve"> the committee on agricultural trade</w:t>
      </w:r>
      <w:r w:rsidR="00AA7FFB" w:rsidRPr="00F200E7">
        <w:rPr>
          <w:rFonts w:ascii="Book Antiqua" w:hAnsi="Book Antiqua"/>
          <w:lang w:val="en-GB"/>
        </w:rPr>
        <w:t>, and subs</w:t>
      </w:r>
      <w:r w:rsidR="004F03E7">
        <w:rPr>
          <w:rFonts w:ascii="Book Antiqua" w:hAnsi="Book Antiqua"/>
          <w:lang w:val="en-GB"/>
        </w:rPr>
        <w:t>idies to agricultural exports.</w:t>
      </w:r>
      <w:r w:rsidR="004F03E7">
        <w:rPr>
          <w:rStyle w:val="FootnoteReference"/>
          <w:rFonts w:ascii="Book Antiqua" w:hAnsi="Book Antiqua"/>
          <w:lang w:val="en-GB"/>
        </w:rPr>
        <w:footnoteReference w:id="13"/>
      </w:r>
    </w:p>
    <w:p w:rsidR="00C6403F" w:rsidRPr="00F200E7" w:rsidRDefault="00C6403F" w:rsidP="00C6403F">
      <w:pPr>
        <w:pStyle w:val="NoSpacing"/>
        <w:jc w:val="both"/>
        <w:rPr>
          <w:rFonts w:ascii="Book Antiqua" w:hAnsi="Book Antiqua"/>
          <w:lang w:val="en-GB"/>
        </w:rPr>
      </w:pPr>
    </w:p>
    <w:p w:rsidR="00F509E4" w:rsidRDefault="00C6403F" w:rsidP="00C6403F">
      <w:pPr>
        <w:pStyle w:val="NoSpacing"/>
        <w:jc w:val="both"/>
        <w:rPr>
          <w:rFonts w:ascii="Book Antiqua" w:hAnsi="Book Antiqua"/>
          <w:lang w:val="en-GB"/>
        </w:rPr>
      </w:pPr>
      <w:r w:rsidRPr="00F200E7">
        <w:rPr>
          <w:rFonts w:ascii="Book Antiqua" w:hAnsi="Book Antiqua"/>
          <w:lang w:val="en-GB"/>
        </w:rPr>
        <w:t xml:space="preserve">According </w:t>
      </w:r>
      <w:r w:rsidR="00F509E4" w:rsidRPr="00F200E7">
        <w:rPr>
          <w:rFonts w:ascii="Book Antiqua" w:hAnsi="Book Antiqua"/>
          <w:lang w:val="en-GB"/>
        </w:rPr>
        <w:t xml:space="preserve">to research </w:t>
      </w:r>
      <w:r w:rsidR="00FC75B0" w:rsidRPr="00F200E7">
        <w:rPr>
          <w:rFonts w:ascii="Book Antiqua" w:hAnsi="Book Antiqua"/>
          <w:lang w:val="en-GB"/>
        </w:rPr>
        <w:t>carried out by ASIES (2006</w:t>
      </w:r>
      <w:r w:rsidR="00FC75B0">
        <w:rPr>
          <w:rFonts w:ascii="Book Antiqua" w:hAnsi="Book Antiqua"/>
          <w:lang w:val="en-GB"/>
        </w:rPr>
        <w:t xml:space="preserve">) </w:t>
      </w:r>
      <w:r w:rsidR="00F509E4" w:rsidRPr="00F200E7">
        <w:rPr>
          <w:rFonts w:ascii="Book Antiqua" w:hAnsi="Book Antiqua"/>
          <w:lang w:val="en-GB"/>
        </w:rPr>
        <w:t>on DR–CAFTA</w:t>
      </w:r>
      <w:r w:rsidR="00FC75B0">
        <w:rPr>
          <w:rFonts w:ascii="Book Antiqua" w:hAnsi="Book Antiqua"/>
          <w:lang w:val="en-GB"/>
        </w:rPr>
        <w:t>’s</w:t>
      </w:r>
      <w:r w:rsidR="00AE174D">
        <w:rPr>
          <w:rFonts w:ascii="Book Antiqua" w:hAnsi="Book Antiqua"/>
          <w:lang w:val="en-GB"/>
        </w:rPr>
        <w:t xml:space="preserve"> </w:t>
      </w:r>
      <w:r w:rsidRPr="00F200E7">
        <w:rPr>
          <w:rFonts w:ascii="Book Antiqua" w:hAnsi="Book Antiqua"/>
          <w:lang w:val="en-GB"/>
        </w:rPr>
        <w:t xml:space="preserve">tariff elimination schedule, </w:t>
      </w:r>
    </w:p>
    <w:p w:rsidR="00E17472" w:rsidRPr="00F200E7" w:rsidRDefault="00E17472" w:rsidP="00C6403F">
      <w:pPr>
        <w:pStyle w:val="NoSpacing"/>
        <w:jc w:val="both"/>
        <w:rPr>
          <w:rFonts w:ascii="Book Antiqua" w:hAnsi="Book Antiqua"/>
          <w:lang w:val="en-GB"/>
        </w:rPr>
      </w:pPr>
    </w:p>
    <w:p w:rsidR="00E65CED" w:rsidRPr="00F200E7" w:rsidRDefault="00596A5C" w:rsidP="00F709ED">
      <w:pPr>
        <w:pStyle w:val="NoSpacing"/>
        <w:ind w:left="720"/>
        <w:jc w:val="both"/>
        <w:rPr>
          <w:rFonts w:ascii="Book Antiqua" w:hAnsi="Book Antiqua"/>
          <w:lang w:val="en-GB"/>
        </w:rPr>
      </w:pPr>
      <w:r w:rsidRPr="00F200E7">
        <w:rPr>
          <w:rFonts w:ascii="Book Antiqua" w:hAnsi="Book Antiqua"/>
          <w:i/>
          <w:lang w:val="en-GB"/>
        </w:rPr>
        <w:t xml:space="preserve">DR–CAFTA seeks to consolidate the benefits granted under the Caribbean Basin Initiative (CBI): some benefits were expanded and relatively long tariff reduction periods were given to </w:t>
      </w:r>
      <w:r w:rsidRPr="00F200E7">
        <w:rPr>
          <w:rFonts w:ascii="Book Antiqua" w:hAnsi="Book Antiqua"/>
          <w:lang w:val="en-GB"/>
        </w:rPr>
        <w:t>sensitive products</w:t>
      </w:r>
      <w:r w:rsidRPr="00F200E7">
        <w:rPr>
          <w:rFonts w:ascii="Book Antiqua" w:hAnsi="Book Antiqua"/>
          <w:i/>
          <w:lang w:val="en-GB"/>
        </w:rPr>
        <w:t xml:space="preserve"> – staple grains, beef and dairy</w:t>
      </w:r>
      <w:r w:rsidR="00755E57">
        <w:rPr>
          <w:rFonts w:ascii="Book Antiqua" w:hAnsi="Book Antiqua"/>
          <w:i/>
          <w:lang w:val="en-GB"/>
        </w:rPr>
        <w:t>:</w:t>
      </w:r>
      <w:r w:rsidR="00AE174D">
        <w:rPr>
          <w:rFonts w:ascii="Book Antiqua" w:hAnsi="Book Antiqua"/>
          <w:i/>
          <w:lang w:val="en-GB"/>
        </w:rPr>
        <w:t xml:space="preserve"> </w:t>
      </w:r>
      <w:r w:rsidRPr="00F200E7">
        <w:rPr>
          <w:rFonts w:ascii="Book Antiqua" w:hAnsi="Book Antiqua"/>
          <w:i/>
          <w:lang w:val="en-GB"/>
        </w:rPr>
        <w:t>non-linear reductions with a period of grace for those products, the establishment of tariff-rate quotas for sensitive products, the establishment of an agricultural safeguard for some of these products and the exclusion of a reduced group of products like sugar from the USA and white maize for Guatemala</w:t>
      </w:r>
      <w:r w:rsidRPr="00F200E7">
        <w:rPr>
          <w:rFonts w:ascii="Book Antiqua" w:hAnsi="Book Antiqua"/>
          <w:lang w:val="en-GB"/>
        </w:rPr>
        <w:t>.</w:t>
      </w:r>
    </w:p>
    <w:p w:rsidR="00C6403F" w:rsidRPr="00F200E7" w:rsidRDefault="00C6403F" w:rsidP="00C6403F">
      <w:pPr>
        <w:pStyle w:val="NoSpacing"/>
        <w:jc w:val="both"/>
        <w:rPr>
          <w:rFonts w:ascii="Book Antiqua" w:hAnsi="Book Antiqua"/>
          <w:lang w:val="en-GB"/>
        </w:rPr>
      </w:pPr>
    </w:p>
    <w:p w:rsidR="00611D26" w:rsidRPr="00F200E7" w:rsidRDefault="00611D26" w:rsidP="00611D26">
      <w:pPr>
        <w:pStyle w:val="NoSpacing"/>
        <w:jc w:val="both"/>
        <w:rPr>
          <w:rFonts w:ascii="Book Antiqua" w:hAnsi="Book Antiqua"/>
          <w:lang w:val="en-GB"/>
        </w:rPr>
      </w:pPr>
      <w:r w:rsidRPr="00F200E7">
        <w:rPr>
          <w:rFonts w:ascii="Book Antiqua" w:hAnsi="Book Antiqua"/>
          <w:lang w:val="en-GB"/>
        </w:rPr>
        <w:t>Agricultural products account for the biggest share of trade with the USA. DR-CAFTA gr</w:t>
      </w:r>
      <w:r w:rsidR="00FC07DF" w:rsidRPr="00F200E7">
        <w:rPr>
          <w:rFonts w:ascii="Book Antiqua" w:hAnsi="Book Antiqua"/>
          <w:lang w:val="en-GB"/>
        </w:rPr>
        <w:t xml:space="preserve">ants most </w:t>
      </w:r>
      <w:r w:rsidR="00F709ED" w:rsidRPr="00F200E7">
        <w:rPr>
          <w:rFonts w:ascii="Book Antiqua" w:hAnsi="Book Antiqua"/>
          <w:lang w:val="en-GB"/>
        </w:rPr>
        <w:t xml:space="preserve">Central American </w:t>
      </w:r>
      <w:r w:rsidR="00FC07DF" w:rsidRPr="00F200E7">
        <w:rPr>
          <w:rFonts w:ascii="Book Antiqua" w:hAnsi="Book Antiqua"/>
          <w:lang w:val="en-GB"/>
        </w:rPr>
        <w:t>agricultural and agro-</w:t>
      </w:r>
      <w:r w:rsidRPr="00F200E7">
        <w:rPr>
          <w:rFonts w:ascii="Book Antiqua" w:hAnsi="Book Antiqua"/>
          <w:lang w:val="en-GB"/>
        </w:rPr>
        <w:t>industrial products immediate access</w:t>
      </w:r>
      <w:r w:rsidR="00E17472">
        <w:rPr>
          <w:rFonts w:ascii="Book Antiqua" w:hAnsi="Book Antiqua"/>
          <w:lang w:val="en-GB"/>
        </w:rPr>
        <w:t xml:space="preserve"> to the USA</w:t>
      </w:r>
      <w:r w:rsidRPr="00F200E7">
        <w:rPr>
          <w:rFonts w:ascii="Book Antiqua" w:hAnsi="Book Antiqua"/>
          <w:lang w:val="en-GB"/>
        </w:rPr>
        <w:t xml:space="preserve">. This access may be beneficial for </w:t>
      </w:r>
      <w:r w:rsidR="00D67E96" w:rsidRPr="00F200E7">
        <w:rPr>
          <w:rFonts w:ascii="Book Antiqua" w:hAnsi="Book Antiqua"/>
          <w:lang w:val="en-GB"/>
        </w:rPr>
        <w:t xml:space="preserve">Guatemalan </w:t>
      </w:r>
      <w:r w:rsidRPr="00F200E7">
        <w:rPr>
          <w:rFonts w:ascii="Book Antiqua" w:hAnsi="Book Antiqua"/>
          <w:lang w:val="en-GB"/>
        </w:rPr>
        <w:t>fresh</w:t>
      </w:r>
      <w:r w:rsidR="00F709ED" w:rsidRPr="00F200E7">
        <w:rPr>
          <w:rFonts w:ascii="Book Antiqua" w:hAnsi="Book Antiqua"/>
          <w:lang w:val="en-GB"/>
        </w:rPr>
        <w:t>, chilled</w:t>
      </w:r>
      <w:r w:rsidR="00E17472">
        <w:rPr>
          <w:rFonts w:ascii="Book Antiqua" w:hAnsi="Book Antiqua"/>
          <w:lang w:val="en-GB"/>
        </w:rPr>
        <w:t>,</w:t>
      </w:r>
      <w:r w:rsidR="00F709ED" w:rsidRPr="00F200E7">
        <w:rPr>
          <w:rFonts w:ascii="Book Antiqua" w:hAnsi="Book Antiqua"/>
          <w:lang w:val="en-GB"/>
        </w:rPr>
        <w:t xml:space="preserve"> and frozen</w:t>
      </w:r>
      <w:r w:rsidRPr="00F200E7">
        <w:rPr>
          <w:rFonts w:ascii="Book Antiqua" w:hAnsi="Book Antiqua"/>
          <w:lang w:val="en-GB"/>
        </w:rPr>
        <w:t xml:space="preserve"> fruits and vegetables, seeds, spices and grains th</w:t>
      </w:r>
      <w:r w:rsidR="00D67E96" w:rsidRPr="00F200E7">
        <w:rPr>
          <w:rFonts w:ascii="Book Antiqua" w:hAnsi="Book Antiqua"/>
          <w:lang w:val="en-GB"/>
        </w:rPr>
        <w:t>at</w:t>
      </w:r>
      <w:r w:rsidRPr="00F200E7">
        <w:rPr>
          <w:rFonts w:ascii="Book Antiqua" w:hAnsi="Book Antiqua"/>
          <w:lang w:val="en-GB"/>
        </w:rPr>
        <w:t xml:space="preserve"> may have potential niche markets (ASIES, 2006).</w:t>
      </w:r>
    </w:p>
    <w:p w:rsidR="00611D26" w:rsidRPr="00F200E7" w:rsidRDefault="00611D26" w:rsidP="00611D26">
      <w:pPr>
        <w:pStyle w:val="NoSpacing"/>
        <w:jc w:val="both"/>
        <w:rPr>
          <w:rFonts w:ascii="Book Antiqua" w:hAnsi="Book Antiqua"/>
          <w:lang w:val="en-GB"/>
        </w:rPr>
      </w:pPr>
    </w:p>
    <w:p w:rsidR="00611D26" w:rsidRPr="00F200E7" w:rsidRDefault="00611D26" w:rsidP="00611D26">
      <w:pPr>
        <w:pStyle w:val="NoSpacing"/>
        <w:jc w:val="both"/>
        <w:rPr>
          <w:rFonts w:ascii="Book Antiqua" w:hAnsi="Book Antiqua"/>
          <w:lang w:val="en-GB"/>
        </w:rPr>
      </w:pPr>
      <w:r w:rsidRPr="00F200E7">
        <w:rPr>
          <w:rFonts w:ascii="Book Antiqua" w:hAnsi="Book Antiqua"/>
          <w:lang w:val="en-GB"/>
        </w:rPr>
        <w:t>However, some Guatemalan agricultural products will not have immediate access to the US market, among them beef, cotton, tobacco</w:t>
      </w:r>
      <w:r w:rsidR="000828E1" w:rsidRPr="00F200E7">
        <w:rPr>
          <w:rFonts w:ascii="Book Antiqua" w:hAnsi="Book Antiqua"/>
          <w:lang w:val="en-GB"/>
        </w:rPr>
        <w:t>,</w:t>
      </w:r>
      <w:r w:rsidRPr="00F200E7">
        <w:rPr>
          <w:rFonts w:ascii="Book Antiqua" w:hAnsi="Book Antiqua"/>
          <w:lang w:val="en-GB"/>
        </w:rPr>
        <w:t xml:space="preserve"> and peanuts, which will eventually enter the market through a tariff-rate quota in 15 to 20 years (ASIES, 2006).</w:t>
      </w:r>
    </w:p>
    <w:p w:rsidR="00611D26" w:rsidRPr="00F200E7" w:rsidRDefault="00611D26" w:rsidP="00611D26">
      <w:pPr>
        <w:pStyle w:val="NoSpacing"/>
        <w:jc w:val="both"/>
        <w:rPr>
          <w:rFonts w:ascii="Book Antiqua" w:hAnsi="Book Antiqua"/>
          <w:lang w:val="en-GB"/>
        </w:rPr>
      </w:pPr>
    </w:p>
    <w:p w:rsidR="00611D26" w:rsidRPr="00F200E7" w:rsidRDefault="00611D26" w:rsidP="00611D26">
      <w:pPr>
        <w:pStyle w:val="NoSpacing"/>
        <w:jc w:val="both"/>
        <w:rPr>
          <w:rFonts w:ascii="Book Antiqua" w:hAnsi="Book Antiqua"/>
          <w:lang w:val="en-GB"/>
        </w:rPr>
      </w:pPr>
      <w:r w:rsidRPr="00F200E7">
        <w:rPr>
          <w:rFonts w:ascii="Book Antiqua" w:hAnsi="Book Antiqua"/>
          <w:lang w:val="en-GB"/>
        </w:rPr>
        <w:t>As for the agricultural products most consumed by Guatemalans</w:t>
      </w:r>
      <w:r w:rsidR="001269A9">
        <w:rPr>
          <w:rFonts w:ascii="Book Antiqua" w:hAnsi="Book Antiqua"/>
          <w:lang w:val="en-GB"/>
        </w:rPr>
        <w:t xml:space="preserve"> –</w:t>
      </w:r>
      <w:r w:rsidRPr="00F200E7">
        <w:rPr>
          <w:rFonts w:ascii="Book Antiqua" w:hAnsi="Book Antiqua"/>
          <w:lang w:val="en-GB"/>
        </w:rPr>
        <w:t xml:space="preserve"> maize, beans</w:t>
      </w:r>
      <w:r w:rsidR="000828E1" w:rsidRPr="00F200E7">
        <w:rPr>
          <w:rFonts w:ascii="Book Antiqua" w:hAnsi="Book Antiqua"/>
          <w:lang w:val="en-GB"/>
        </w:rPr>
        <w:t>,</w:t>
      </w:r>
      <w:r w:rsidRPr="00F200E7">
        <w:rPr>
          <w:rFonts w:ascii="Book Antiqua" w:hAnsi="Book Antiqua"/>
          <w:lang w:val="en-GB"/>
        </w:rPr>
        <w:t xml:space="preserve"> and rice</w:t>
      </w:r>
      <w:r w:rsidR="001269A9">
        <w:rPr>
          <w:rFonts w:ascii="Book Antiqua" w:hAnsi="Book Antiqua"/>
          <w:lang w:val="en-GB"/>
        </w:rPr>
        <w:t xml:space="preserve"> –</w:t>
      </w:r>
      <w:r w:rsidRPr="00F200E7">
        <w:rPr>
          <w:rFonts w:ascii="Book Antiqua" w:hAnsi="Book Antiqua"/>
          <w:lang w:val="en-GB"/>
        </w:rPr>
        <w:t xml:space="preserve"> these were subject to different treatment in the negotiation of the agreement</w:t>
      </w:r>
      <w:r w:rsidR="000828E1" w:rsidRPr="00F200E7">
        <w:rPr>
          <w:rFonts w:ascii="Book Antiqua" w:hAnsi="Book Antiqua"/>
          <w:lang w:val="en-GB"/>
        </w:rPr>
        <w:t>.</w:t>
      </w:r>
      <w:r w:rsidR="00AE174D">
        <w:rPr>
          <w:rFonts w:ascii="Book Antiqua" w:hAnsi="Book Antiqua"/>
          <w:lang w:val="en-GB"/>
        </w:rPr>
        <w:t xml:space="preserve"> </w:t>
      </w:r>
      <w:r w:rsidR="00AA1541">
        <w:rPr>
          <w:rFonts w:ascii="Book Antiqua" w:hAnsi="Book Antiqua"/>
          <w:lang w:val="en-GB"/>
        </w:rPr>
        <w:t>This is, for instance, the case for m</w:t>
      </w:r>
      <w:r w:rsidR="004F03E7">
        <w:rPr>
          <w:rFonts w:ascii="Book Antiqua" w:hAnsi="Book Antiqua"/>
          <w:lang w:val="en-GB"/>
        </w:rPr>
        <w:t xml:space="preserve">aize </w:t>
      </w:r>
      <w:r w:rsidR="00AA1541">
        <w:rPr>
          <w:rFonts w:ascii="Book Antiqua" w:hAnsi="Book Antiqua"/>
          <w:lang w:val="en-GB"/>
        </w:rPr>
        <w:t xml:space="preserve">that </w:t>
      </w:r>
      <w:r w:rsidR="004F03E7">
        <w:rPr>
          <w:rFonts w:ascii="Book Antiqua" w:hAnsi="Book Antiqua"/>
          <w:lang w:val="en-GB"/>
        </w:rPr>
        <w:t>represents the m</w:t>
      </w:r>
      <w:r w:rsidR="00AA1541">
        <w:rPr>
          <w:rFonts w:ascii="Book Antiqua" w:hAnsi="Book Antiqua"/>
          <w:lang w:val="en-GB"/>
        </w:rPr>
        <w:t>ain component of the Guatemalan population's diet (</w:t>
      </w:r>
      <w:proofErr w:type="spellStart"/>
      <w:r w:rsidR="00AA1541">
        <w:rPr>
          <w:rFonts w:ascii="Book Antiqua" w:hAnsi="Book Antiqua"/>
          <w:lang w:val="en-GB"/>
        </w:rPr>
        <w:t>Pingali</w:t>
      </w:r>
      <w:proofErr w:type="spellEnd"/>
      <w:r w:rsidR="00AA1541">
        <w:rPr>
          <w:rFonts w:ascii="Book Antiqua" w:hAnsi="Book Antiqua"/>
          <w:lang w:val="en-GB"/>
        </w:rPr>
        <w:t xml:space="preserve">, 2001). Yellow maize is mainly used as an industrial input and was allocated a liberalization period of ten years. White maize, instead, is mainly used for human consumption and was pretty much left out of the agreement as it was allocated </w:t>
      </w:r>
      <w:r w:rsidRPr="00F200E7">
        <w:rPr>
          <w:rFonts w:ascii="Book Antiqua" w:hAnsi="Book Antiqua"/>
          <w:lang w:val="en-GB"/>
        </w:rPr>
        <w:t xml:space="preserve">a tariff-rate quota of 20,000 </w:t>
      </w:r>
      <w:r w:rsidR="00C5048C" w:rsidRPr="00F200E7">
        <w:rPr>
          <w:rFonts w:ascii="Book Antiqua" w:hAnsi="Book Antiqua"/>
          <w:lang w:val="en-GB"/>
        </w:rPr>
        <w:t>metric tons (</w:t>
      </w:r>
      <w:r w:rsidRPr="00F200E7">
        <w:rPr>
          <w:rFonts w:ascii="Book Antiqua" w:hAnsi="Book Antiqua"/>
          <w:lang w:val="en-GB"/>
        </w:rPr>
        <w:t>MT</w:t>
      </w:r>
      <w:r w:rsidR="00C5048C" w:rsidRPr="00F200E7">
        <w:rPr>
          <w:rFonts w:ascii="Book Antiqua" w:hAnsi="Book Antiqua"/>
          <w:lang w:val="en-GB"/>
        </w:rPr>
        <w:t>)</w:t>
      </w:r>
      <w:r w:rsidR="00F64609">
        <w:rPr>
          <w:rFonts w:ascii="Book Antiqua" w:hAnsi="Book Antiqua"/>
          <w:lang w:val="en-GB"/>
        </w:rPr>
        <w:t xml:space="preserve">, </w:t>
      </w:r>
      <w:r w:rsidRPr="00F200E7">
        <w:rPr>
          <w:rFonts w:ascii="Book Antiqua" w:hAnsi="Book Antiqua"/>
          <w:lang w:val="en-GB"/>
        </w:rPr>
        <w:t>with an annual growth of 2%</w:t>
      </w:r>
      <w:r w:rsidR="00AA1541">
        <w:rPr>
          <w:rFonts w:ascii="Book Antiqua" w:hAnsi="Book Antiqua"/>
          <w:lang w:val="en-GB"/>
        </w:rPr>
        <w:t xml:space="preserve"> (ASIES, 2006)</w:t>
      </w:r>
      <w:r w:rsidRPr="00F200E7">
        <w:rPr>
          <w:rFonts w:ascii="Book Antiqua" w:hAnsi="Book Antiqua"/>
          <w:lang w:val="en-GB"/>
        </w:rPr>
        <w:t>.</w:t>
      </w:r>
      <w:r w:rsidR="00AA1541">
        <w:rPr>
          <w:rStyle w:val="FootnoteReference"/>
          <w:rFonts w:ascii="Book Antiqua" w:hAnsi="Book Antiqua"/>
          <w:lang w:val="en-GB"/>
        </w:rPr>
        <w:footnoteReference w:id="14"/>
      </w:r>
    </w:p>
    <w:p w:rsidR="00611D26" w:rsidRPr="00F200E7" w:rsidRDefault="00611D26" w:rsidP="00611D26">
      <w:pPr>
        <w:pStyle w:val="NoSpacing"/>
        <w:jc w:val="both"/>
        <w:rPr>
          <w:rFonts w:ascii="Book Antiqua" w:hAnsi="Book Antiqua"/>
          <w:lang w:val="en-GB"/>
        </w:rPr>
      </w:pPr>
    </w:p>
    <w:p w:rsidR="00E05B37" w:rsidRPr="00F200E7" w:rsidRDefault="00611D26" w:rsidP="00611D26">
      <w:pPr>
        <w:pStyle w:val="NoSpacing"/>
        <w:jc w:val="both"/>
        <w:rPr>
          <w:rFonts w:ascii="Book Antiqua" w:hAnsi="Book Antiqua"/>
          <w:lang w:val="en-GB"/>
        </w:rPr>
      </w:pPr>
      <w:r w:rsidRPr="00F200E7">
        <w:rPr>
          <w:rFonts w:ascii="Book Antiqua" w:hAnsi="Book Antiqua"/>
          <w:lang w:val="en-GB"/>
        </w:rPr>
        <w:t>Some agricultural products, such as sugar, cheese, ice cream, milk, fluid cream, sour cream</w:t>
      </w:r>
      <w:r w:rsidR="000828E1" w:rsidRPr="00F200E7">
        <w:rPr>
          <w:rFonts w:ascii="Book Antiqua" w:hAnsi="Book Antiqua"/>
          <w:lang w:val="en-GB"/>
        </w:rPr>
        <w:t>,</w:t>
      </w:r>
      <w:r w:rsidRPr="00F200E7">
        <w:rPr>
          <w:rFonts w:ascii="Book Antiqua" w:hAnsi="Book Antiqua"/>
          <w:lang w:val="en-GB"/>
        </w:rPr>
        <w:t xml:space="preserve"> and other dairy products, are subject to tariff-rate quotas when exported under DR</w:t>
      </w:r>
      <w:r w:rsidR="000828E1" w:rsidRPr="00F200E7">
        <w:rPr>
          <w:rFonts w:ascii="Book Antiqua" w:hAnsi="Book Antiqua"/>
          <w:lang w:val="en-GB"/>
        </w:rPr>
        <w:noBreakHyphen/>
      </w:r>
      <w:r w:rsidRPr="00F200E7">
        <w:rPr>
          <w:rFonts w:ascii="Book Antiqua" w:hAnsi="Book Antiqua"/>
          <w:lang w:val="en-GB"/>
        </w:rPr>
        <w:t xml:space="preserve">CAFTA. </w:t>
      </w:r>
      <w:r w:rsidR="00A443BF" w:rsidRPr="00F200E7">
        <w:rPr>
          <w:rFonts w:ascii="Book Antiqua" w:hAnsi="Book Antiqua"/>
          <w:lang w:val="en-GB"/>
        </w:rPr>
        <w:t>In</w:t>
      </w:r>
      <w:r w:rsidRPr="00F200E7">
        <w:rPr>
          <w:rFonts w:ascii="Book Antiqua" w:hAnsi="Book Antiqua"/>
          <w:lang w:val="en-GB"/>
        </w:rPr>
        <w:t xml:space="preserve"> the case of sugar, Guatemala negotiated quotas starting with 32,000 MT d</w:t>
      </w:r>
      <w:r w:rsidR="00FC07DF" w:rsidRPr="00F200E7">
        <w:rPr>
          <w:rFonts w:ascii="Book Antiqua" w:hAnsi="Book Antiqua"/>
          <w:lang w:val="en-GB"/>
        </w:rPr>
        <w:t>uty</w:t>
      </w:r>
      <w:r w:rsidR="00C5048C" w:rsidRPr="00F200E7">
        <w:rPr>
          <w:rFonts w:ascii="Book Antiqua" w:hAnsi="Book Antiqua"/>
          <w:lang w:val="en-GB"/>
        </w:rPr>
        <w:t>-</w:t>
      </w:r>
      <w:r w:rsidR="00FC07DF" w:rsidRPr="00F200E7">
        <w:rPr>
          <w:rFonts w:ascii="Book Antiqua" w:hAnsi="Book Antiqua"/>
          <w:lang w:val="en-GB"/>
        </w:rPr>
        <w:t>free in year 1, reaching 49,</w:t>
      </w:r>
      <w:r w:rsidRPr="00F200E7">
        <w:rPr>
          <w:rFonts w:ascii="Book Antiqua" w:hAnsi="Book Antiqua"/>
          <w:lang w:val="en-GB"/>
        </w:rPr>
        <w:t>820 MT in year 15, and</w:t>
      </w:r>
      <w:r w:rsidR="00253CAD" w:rsidRPr="00F200E7">
        <w:rPr>
          <w:rFonts w:ascii="Book Antiqua" w:hAnsi="Book Antiqua"/>
          <w:lang w:val="en-GB"/>
        </w:rPr>
        <w:t>,</w:t>
      </w:r>
      <w:r w:rsidR="00AE174D">
        <w:rPr>
          <w:rFonts w:ascii="Book Antiqua" w:hAnsi="Book Antiqua"/>
          <w:lang w:val="en-GB"/>
        </w:rPr>
        <w:t xml:space="preserve"> </w:t>
      </w:r>
      <w:r w:rsidR="00253CAD" w:rsidRPr="00F200E7">
        <w:rPr>
          <w:rFonts w:ascii="Book Antiqua" w:hAnsi="Book Antiqua"/>
          <w:lang w:val="en-GB"/>
        </w:rPr>
        <w:t>starting</w:t>
      </w:r>
      <w:r w:rsidR="000C376D" w:rsidRPr="00F200E7">
        <w:rPr>
          <w:rFonts w:ascii="Book Antiqua" w:hAnsi="Book Antiqua"/>
          <w:lang w:val="en-GB"/>
        </w:rPr>
        <w:t xml:space="preserve"> from the </w:t>
      </w:r>
      <w:r w:rsidR="00690C36">
        <w:rPr>
          <w:rFonts w:ascii="Book Antiqua" w:hAnsi="Book Antiqua"/>
          <w:lang w:val="en-GB"/>
        </w:rPr>
        <w:t>15</w:t>
      </w:r>
      <w:r w:rsidR="000C376D" w:rsidRPr="00F200E7">
        <w:rPr>
          <w:rFonts w:ascii="Book Antiqua" w:hAnsi="Book Antiqua"/>
          <w:lang w:val="en-GB"/>
        </w:rPr>
        <w:t>th</w:t>
      </w:r>
      <w:r w:rsidRPr="00F200E7">
        <w:rPr>
          <w:rFonts w:ascii="Book Antiqua" w:hAnsi="Book Antiqua"/>
          <w:lang w:val="en-GB"/>
        </w:rPr>
        <w:t xml:space="preserve"> year</w:t>
      </w:r>
      <w:r w:rsidR="00253CAD" w:rsidRPr="00F200E7">
        <w:rPr>
          <w:rFonts w:ascii="Book Antiqua" w:hAnsi="Book Antiqua"/>
          <w:lang w:val="en-GB"/>
        </w:rPr>
        <w:t>,</w:t>
      </w:r>
      <w:r w:rsidRPr="00F200E7">
        <w:rPr>
          <w:rFonts w:ascii="Book Antiqua" w:hAnsi="Book Antiqua"/>
          <w:lang w:val="en-GB"/>
        </w:rPr>
        <w:t xml:space="preserve"> the quota increases </w:t>
      </w:r>
      <w:r w:rsidR="00253CAD" w:rsidRPr="00F200E7">
        <w:rPr>
          <w:rFonts w:ascii="Book Antiqua" w:hAnsi="Book Antiqua"/>
          <w:lang w:val="en-GB"/>
        </w:rPr>
        <w:t xml:space="preserve">by </w:t>
      </w:r>
      <w:r w:rsidRPr="00F200E7">
        <w:rPr>
          <w:rFonts w:ascii="Book Antiqua" w:hAnsi="Book Antiqua"/>
          <w:lang w:val="en-GB"/>
        </w:rPr>
        <w:t xml:space="preserve">940 MT </w:t>
      </w:r>
      <w:r w:rsidR="0095481E">
        <w:rPr>
          <w:rFonts w:ascii="Book Antiqua" w:hAnsi="Book Antiqua"/>
          <w:lang w:val="en-GB"/>
        </w:rPr>
        <w:t>per year</w:t>
      </w:r>
      <w:r w:rsidRPr="00F200E7">
        <w:rPr>
          <w:rFonts w:ascii="Book Antiqua" w:hAnsi="Book Antiqua"/>
          <w:lang w:val="en-GB"/>
        </w:rPr>
        <w:t>.</w:t>
      </w:r>
      <w:r w:rsidRPr="00F200E7">
        <w:rPr>
          <w:rStyle w:val="FootnoteReference"/>
          <w:rFonts w:ascii="Book Antiqua" w:hAnsi="Book Antiqua"/>
          <w:lang w:val="en-GB"/>
        </w:rPr>
        <w:footnoteReference w:id="15"/>
      </w:r>
    </w:p>
    <w:p w:rsidR="00D228A0" w:rsidRPr="00F200E7" w:rsidRDefault="00D228A0" w:rsidP="00D228A0">
      <w:pPr>
        <w:pStyle w:val="NoSpacing"/>
        <w:jc w:val="both"/>
        <w:rPr>
          <w:rFonts w:ascii="Book Antiqua" w:hAnsi="Book Antiqua"/>
          <w:lang w:val="en-GB"/>
        </w:rPr>
      </w:pPr>
    </w:p>
    <w:p w:rsidR="00F72E60" w:rsidRPr="00F200E7" w:rsidRDefault="00253CAD" w:rsidP="00F72E60">
      <w:pPr>
        <w:pStyle w:val="NoSpacing"/>
        <w:jc w:val="both"/>
        <w:rPr>
          <w:rFonts w:ascii="Book Antiqua" w:hAnsi="Book Antiqua"/>
          <w:lang w:val="en-GB"/>
        </w:rPr>
      </w:pPr>
      <w:r w:rsidRPr="00F200E7">
        <w:rPr>
          <w:rFonts w:ascii="Book Antiqua" w:hAnsi="Book Antiqua"/>
          <w:lang w:val="en-GB"/>
        </w:rPr>
        <w:t>C</w:t>
      </w:r>
      <w:r w:rsidR="00F72E60" w:rsidRPr="00F200E7">
        <w:rPr>
          <w:rFonts w:ascii="Book Antiqua" w:hAnsi="Book Antiqua"/>
          <w:lang w:val="en-GB"/>
        </w:rPr>
        <w:t xml:space="preserve">heese exported from Guatemala to the USA </w:t>
      </w:r>
      <w:r w:rsidRPr="00F200E7">
        <w:rPr>
          <w:rFonts w:ascii="Book Antiqua" w:hAnsi="Book Antiqua"/>
          <w:lang w:val="en-GB"/>
        </w:rPr>
        <w:t xml:space="preserve">is </w:t>
      </w:r>
      <w:r w:rsidR="00F72E60" w:rsidRPr="00F200E7">
        <w:rPr>
          <w:rFonts w:ascii="Book Antiqua" w:hAnsi="Book Antiqua"/>
          <w:lang w:val="en-GB"/>
        </w:rPr>
        <w:t>exempt from duty as long as the specified amounts are not surpassed</w:t>
      </w:r>
      <w:r w:rsidRPr="00F200E7">
        <w:rPr>
          <w:rFonts w:ascii="Book Antiqua" w:hAnsi="Book Antiqua"/>
          <w:lang w:val="en-GB"/>
        </w:rPr>
        <w:t>.</w:t>
      </w:r>
      <w:r w:rsidR="00AE174D">
        <w:rPr>
          <w:rFonts w:ascii="Book Antiqua" w:hAnsi="Book Antiqua"/>
          <w:lang w:val="en-GB"/>
        </w:rPr>
        <w:t xml:space="preserve"> </w:t>
      </w:r>
      <w:r w:rsidRPr="00F200E7">
        <w:rPr>
          <w:rFonts w:ascii="Book Antiqua" w:hAnsi="Book Antiqua"/>
          <w:lang w:val="en-GB"/>
        </w:rPr>
        <w:t>F</w:t>
      </w:r>
      <w:r w:rsidR="00F72E60" w:rsidRPr="00F200E7">
        <w:rPr>
          <w:rFonts w:ascii="Book Antiqua" w:hAnsi="Book Antiqua"/>
          <w:lang w:val="en-GB"/>
        </w:rPr>
        <w:t>or the first year there is a 500 MT tariff-rate quota</w:t>
      </w:r>
      <w:r w:rsidRPr="00F200E7">
        <w:rPr>
          <w:rFonts w:ascii="Book Antiqua" w:hAnsi="Book Antiqua"/>
          <w:lang w:val="en-GB"/>
        </w:rPr>
        <w:t>;</w:t>
      </w:r>
      <w:r w:rsidR="00AE174D">
        <w:rPr>
          <w:rFonts w:ascii="Book Antiqua" w:hAnsi="Book Antiqua"/>
          <w:lang w:val="en-GB"/>
        </w:rPr>
        <w:t xml:space="preserve"> </w:t>
      </w:r>
      <w:r w:rsidR="00DC1455" w:rsidRPr="00F200E7">
        <w:rPr>
          <w:rFonts w:ascii="Book Antiqua" w:hAnsi="Book Antiqua"/>
          <w:lang w:val="en-GB"/>
        </w:rPr>
        <w:t xml:space="preserve">as of </w:t>
      </w:r>
      <w:r w:rsidR="00F72E60" w:rsidRPr="00F200E7">
        <w:rPr>
          <w:rFonts w:ascii="Book Antiqua" w:hAnsi="Book Antiqua"/>
          <w:lang w:val="en-GB"/>
        </w:rPr>
        <w:t>the 10</w:t>
      </w:r>
      <w:r w:rsidR="00F72E60" w:rsidRPr="00690C36">
        <w:rPr>
          <w:rFonts w:ascii="Book Antiqua" w:hAnsi="Book Antiqua"/>
          <w:lang w:val="en-GB"/>
        </w:rPr>
        <w:t>th</w:t>
      </w:r>
      <w:r w:rsidR="00F72E60" w:rsidRPr="00F200E7">
        <w:rPr>
          <w:rFonts w:ascii="Book Antiqua" w:hAnsi="Book Antiqua"/>
          <w:lang w:val="en-GB"/>
        </w:rPr>
        <w:t xml:space="preserve"> year</w:t>
      </w:r>
      <w:r w:rsidR="00690C36">
        <w:rPr>
          <w:rFonts w:ascii="Book Antiqua" w:hAnsi="Book Antiqua"/>
          <w:lang w:val="en-GB"/>
        </w:rPr>
        <w:t>,</w:t>
      </w:r>
      <w:r w:rsidR="00F72E60" w:rsidRPr="00F200E7">
        <w:rPr>
          <w:rFonts w:ascii="Book Antiqua" w:hAnsi="Book Antiqua"/>
          <w:lang w:val="en-GB"/>
        </w:rPr>
        <w:t xml:space="preserve"> there will be a 776 MT tariff-rate quota</w:t>
      </w:r>
      <w:r w:rsidR="00DC1455" w:rsidRPr="00F200E7">
        <w:rPr>
          <w:rFonts w:ascii="Book Antiqua" w:hAnsi="Book Antiqua"/>
          <w:lang w:val="en-GB"/>
        </w:rPr>
        <w:t>,</w:t>
      </w:r>
      <w:r w:rsidR="00F72E60" w:rsidRPr="00F200E7">
        <w:rPr>
          <w:rFonts w:ascii="Book Antiqua" w:hAnsi="Book Antiqua"/>
          <w:lang w:val="en-GB"/>
        </w:rPr>
        <w:t xml:space="preserve"> and from year 20 the amount is unlimited. The same is true for other dairy products, starting with 250 TM </w:t>
      </w:r>
      <w:r w:rsidR="00DC1455" w:rsidRPr="00F200E7">
        <w:rPr>
          <w:rFonts w:ascii="Book Antiqua" w:hAnsi="Book Antiqua"/>
          <w:lang w:val="en-GB"/>
        </w:rPr>
        <w:t xml:space="preserve">in </w:t>
      </w:r>
      <w:r w:rsidR="00F72E60" w:rsidRPr="00F200E7">
        <w:rPr>
          <w:rFonts w:ascii="Book Antiqua" w:hAnsi="Book Antiqua"/>
          <w:lang w:val="en-GB"/>
        </w:rPr>
        <w:t>the first year and no limit</w:t>
      </w:r>
      <w:r w:rsidR="00DC1455" w:rsidRPr="00F200E7">
        <w:rPr>
          <w:rFonts w:ascii="Book Antiqua" w:hAnsi="Book Antiqua"/>
          <w:lang w:val="en-GB"/>
        </w:rPr>
        <w:t xml:space="preserve"> from 20 years on</w:t>
      </w:r>
      <w:r w:rsidR="00F72E60" w:rsidRPr="00F200E7">
        <w:rPr>
          <w:rFonts w:ascii="Book Antiqua" w:hAnsi="Book Antiqua"/>
          <w:lang w:val="en-GB"/>
        </w:rPr>
        <w:t>.</w:t>
      </w:r>
    </w:p>
    <w:p w:rsidR="00F72E60" w:rsidRDefault="00F72E60" w:rsidP="00F72E60">
      <w:pPr>
        <w:pStyle w:val="NoSpacing"/>
        <w:jc w:val="both"/>
        <w:rPr>
          <w:rFonts w:ascii="Book Antiqua" w:hAnsi="Book Antiqua"/>
          <w:lang w:val="en-GB"/>
        </w:rPr>
      </w:pPr>
    </w:p>
    <w:p w:rsidR="0095481E" w:rsidRPr="00F200E7" w:rsidRDefault="0095481E" w:rsidP="0095481E">
      <w:pPr>
        <w:pStyle w:val="NoSpacing"/>
        <w:jc w:val="both"/>
        <w:rPr>
          <w:rFonts w:ascii="Book Antiqua" w:hAnsi="Book Antiqua"/>
          <w:lang w:val="en-GB"/>
        </w:rPr>
      </w:pPr>
      <w:r w:rsidRPr="00F200E7">
        <w:rPr>
          <w:rFonts w:ascii="Book Antiqua" w:hAnsi="Book Antiqua"/>
          <w:lang w:val="en-GB"/>
        </w:rPr>
        <w:t>As for imports, tariff-rate quotas were negotiated for agricultural products that come to Guatemala from the USA, such as beef, pork, cheese, powdered milk, ice cream, butter, other dairy products, yellow corn, maize, paddy and milled rice, and chicken quarters.</w:t>
      </w:r>
    </w:p>
    <w:p w:rsidR="0095481E" w:rsidRDefault="0095481E" w:rsidP="00F72E60">
      <w:pPr>
        <w:pStyle w:val="NoSpacing"/>
        <w:jc w:val="both"/>
        <w:rPr>
          <w:rFonts w:ascii="Book Antiqua" w:hAnsi="Book Antiqua"/>
          <w:lang w:val="en-GB"/>
        </w:rPr>
      </w:pPr>
    </w:p>
    <w:p w:rsidR="0095481E" w:rsidRPr="00F200E7" w:rsidRDefault="0095481E" w:rsidP="0095481E">
      <w:pPr>
        <w:pStyle w:val="NoSpacing"/>
        <w:jc w:val="both"/>
        <w:rPr>
          <w:rFonts w:ascii="Book Antiqua" w:hAnsi="Book Antiqua"/>
          <w:lang w:val="en-GB"/>
        </w:rPr>
      </w:pPr>
      <w:r w:rsidRPr="00F200E7">
        <w:rPr>
          <w:rFonts w:ascii="Book Antiqua" w:hAnsi="Book Antiqua"/>
          <w:lang w:val="en-GB"/>
        </w:rPr>
        <w:t>It should be noted that agricultural safeguard measures were included. This provision allows one of the parties</w:t>
      </w:r>
      <w:r>
        <w:rPr>
          <w:rFonts w:ascii="Book Antiqua" w:hAnsi="Book Antiqua"/>
          <w:lang w:val="en-GB"/>
        </w:rPr>
        <w:t xml:space="preserve"> to modify </w:t>
      </w:r>
      <w:r w:rsidRPr="00F200E7">
        <w:rPr>
          <w:rFonts w:ascii="Book Antiqua" w:hAnsi="Book Antiqua"/>
          <w:lang w:val="en-GB"/>
        </w:rPr>
        <w:t xml:space="preserve">preferences temporarily for products of national interest by </w:t>
      </w:r>
      <w:r>
        <w:rPr>
          <w:rFonts w:ascii="Book Antiqua" w:hAnsi="Book Antiqua"/>
          <w:lang w:val="en-GB"/>
        </w:rPr>
        <w:t>raising</w:t>
      </w:r>
      <w:r w:rsidRPr="00F200E7">
        <w:rPr>
          <w:rFonts w:ascii="Book Antiqua" w:hAnsi="Book Antiqua"/>
          <w:lang w:val="en-GB"/>
        </w:rPr>
        <w:t xml:space="preserve"> the tariff of the tariff-rate quotas. By the 14</w:t>
      </w:r>
      <w:r w:rsidRPr="00E760D5">
        <w:rPr>
          <w:rFonts w:ascii="Book Antiqua" w:hAnsi="Book Antiqua"/>
          <w:lang w:val="en-GB"/>
        </w:rPr>
        <w:t>th</w:t>
      </w:r>
      <w:r w:rsidRPr="00F200E7">
        <w:rPr>
          <w:rFonts w:ascii="Book Antiqua" w:hAnsi="Book Antiqua"/>
          <w:lang w:val="en-GB"/>
        </w:rPr>
        <w:t xml:space="preserve"> year of the treaty, a Commission of Agricultural Revision will be established to assess the effects of trade liberalization and the possible extension of these safeguards.</w:t>
      </w:r>
    </w:p>
    <w:p w:rsidR="0095481E" w:rsidRPr="00F200E7" w:rsidRDefault="0095481E" w:rsidP="0095481E">
      <w:pPr>
        <w:pStyle w:val="NoSpacing"/>
        <w:jc w:val="both"/>
        <w:rPr>
          <w:rFonts w:ascii="Book Antiqua" w:hAnsi="Book Antiqua"/>
          <w:lang w:val="en-GB"/>
        </w:rPr>
      </w:pPr>
    </w:p>
    <w:p w:rsidR="0095481E" w:rsidRPr="00F200E7" w:rsidRDefault="0095481E" w:rsidP="0095481E">
      <w:pPr>
        <w:pStyle w:val="NoSpacing"/>
        <w:jc w:val="both"/>
        <w:rPr>
          <w:rFonts w:ascii="Book Antiqua" w:hAnsi="Book Antiqua"/>
          <w:lang w:val="en-GB"/>
        </w:rPr>
      </w:pPr>
      <w:r>
        <w:rPr>
          <w:rFonts w:ascii="Book Antiqua" w:hAnsi="Book Antiqua"/>
          <w:lang w:val="en-GB"/>
        </w:rPr>
        <w:t xml:space="preserve">More generally, </w:t>
      </w:r>
      <w:r w:rsidRPr="00F200E7">
        <w:rPr>
          <w:rFonts w:ascii="Book Antiqua" w:hAnsi="Book Antiqua"/>
          <w:lang w:val="en-GB"/>
        </w:rPr>
        <w:t>DR</w:t>
      </w:r>
      <w:r w:rsidRPr="00F200E7">
        <w:rPr>
          <w:rFonts w:ascii="Book Antiqua" w:hAnsi="Book Antiqua"/>
          <w:lang w:val="en-GB"/>
        </w:rPr>
        <w:noBreakHyphen/>
        <w:t xml:space="preserve">CAFTA establishes the possibility </w:t>
      </w:r>
      <w:r>
        <w:rPr>
          <w:rFonts w:ascii="Book Antiqua" w:hAnsi="Book Antiqua"/>
          <w:lang w:val="en-GB"/>
        </w:rPr>
        <w:t xml:space="preserve">that, </w:t>
      </w:r>
      <w:r w:rsidRPr="00F200E7">
        <w:rPr>
          <w:rFonts w:ascii="Book Antiqua" w:hAnsi="Book Antiqua"/>
          <w:lang w:val="en-GB"/>
        </w:rPr>
        <w:t>and sets out the conditions under which</w:t>
      </w:r>
      <w:r>
        <w:rPr>
          <w:rFonts w:ascii="Book Antiqua" w:hAnsi="Book Antiqua"/>
          <w:lang w:val="en-GB"/>
        </w:rPr>
        <w:t>,</w:t>
      </w:r>
      <w:r w:rsidRPr="00F200E7">
        <w:rPr>
          <w:rFonts w:ascii="Book Antiqua" w:hAnsi="Book Antiqua"/>
          <w:lang w:val="en-GB"/>
        </w:rPr>
        <w:t xml:space="preserve"> some of the parties can use the special agricultural safeguard (SAE by its acronym in Spanish), which is automatic and lasts for one calendar year. This safeguard allows each country to limit temporarily the imports of an agricultural product, if these have increased to an amount that would threaten or damage domestic production, in accordance with what has been established by the WTO. Among the products eligible for this measure are chicken, fluid milk, cheese, powdered milk, butter, ice cream, other dairies, pork, milled and paddy rice, whole beans, vegetable oil, peppers, tomatoes, fresh potatoes, high fructose corn syrup</w:t>
      </w:r>
      <w:r>
        <w:rPr>
          <w:rFonts w:ascii="Book Antiqua" w:hAnsi="Book Antiqua"/>
          <w:lang w:val="en-GB"/>
        </w:rPr>
        <w:t>,</w:t>
      </w:r>
      <w:r w:rsidRPr="00F200E7">
        <w:rPr>
          <w:rFonts w:ascii="Book Antiqua" w:hAnsi="Book Antiqua"/>
          <w:lang w:val="en-GB"/>
        </w:rPr>
        <w:t xml:space="preserve"> and onions.</w:t>
      </w:r>
    </w:p>
    <w:p w:rsidR="0095481E" w:rsidRDefault="0095481E" w:rsidP="00F72E60">
      <w:pPr>
        <w:pStyle w:val="NoSpacing"/>
        <w:jc w:val="both"/>
        <w:rPr>
          <w:rFonts w:ascii="Book Antiqua" w:hAnsi="Book Antiqua"/>
          <w:lang w:val="en-GB"/>
        </w:rPr>
      </w:pPr>
    </w:p>
    <w:p w:rsidR="00F72E60" w:rsidRPr="00F200E7" w:rsidRDefault="00F72E60" w:rsidP="00F72E60">
      <w:pPr>
        <w:pStyle w:val="NoSpacing"/>
        <w:jc w:val="both"/>
        <w:rPr>
          <w:rFonts w:ascii="Book Antiqua" w:hAnsi="Book Antiqua"/>
          <w:lang w:val="en-GB"/>
        </w:rPr>
      </w:pPr>
      <w:r w:rsidRPr="00F200E7">
        <w:rPr>
          <w:rFonts w:ascii="Book Antiqua" w:hAnsi="Book Antiqua"/>
          <w:lang w:val="en-GB"/>
        </w:rPr>
        <w:t xml:space="preserve">The agreement clearly </w:t>
      </w:r>
      <w:r w:rsidR="00551F12" w:rsidRPr="00F200E7">
        <w:rPr>
          <w:rFonts w:ascii="Book Antiqua" w:hAnsi="Book Antiqua"/>
          <w:lang w:val="en-GB"/>
        </w:rPr>
        <w:t xml:space="preserve">calls for </w:t>
      </w:r>
      <w:r w:rsidRPr="00F200E7">
        <w:rPr>
          <w:rFonts w:ascii="Book Antiqua" w:hAnsi="Book Antiqua"/>
          <w:lang w:val="en-GB"/>
        </w:rPr>
        <w:t xml:space="preserve">the elimination of any agricultural export subsidy and establishes the </w:t>
      </w:r>
      <w:r w:rsidR="00BC151C" w:rsidRPr="00F200E7">
        <w:rPr>
          <w:rFonts w:ascii="Book Antiqua" w:hAnsi="Book Antiqua"/>
          <w:lang w:val="en-GB"/>
        </w:rPr>
        <w:t>endeavours</w:t>
      </w:r>
      <w:r w:rsidR="00AE174D">
        <w:rPr>
          <w:rFonts w:ascii="Book Antiqua" w:hAnsi="Book Antiqua"/>
          <w:lang w:val="en-GB"/>
        </w:rPr>
        <w:t xml:space="preserve"> </w:t>
      </w:r>
      <w:r w:rsidR="00A04260" w:rsidRPr="00F200E7">
        <w:rPr>
          <w:rFonts w:ascii="Book Antiqua" w:hAnsi="Book Antiqua"/>
          <w:lang w:val="en-GB"/>
        </w:rPr>
        <w:t xml:space="preserve">that </w:t>
      </w:r>
      <w:r w:rsidRPr="00F200E7">
        <w:rPr>
          <w:rFonts w:ascii="Book Antiqua" w:hAnsi="Book Antiqua"/>
          <w:lang w:val="en-GB"/>
        </w:rPr>
        <w:t>both parties will pursue to eliminate the subsidies on a multilateral level. However, no reference is made to domestic production subsidies and other policies to s</w:t>
      </w:r>
      <w:r w:rsidR="0095481E">
        <w:rPr>
          <w:rFonts w:ascii="Book Antiqua" w:hAnsi="Book Antiqua"/>
          <w:lang w:val="en-GB"/>
        </w:rPr>
        <w:t xml:space="preserve">upport agricultural production. As a result, production subsidies and other </w:t>
      </w:r>
      <w:proofErr w:type="spellStart"/>
      <w:r w:rsidR="0095481E">
        <w:rPr>
          <w:rFonts w:ascii="Book Antiqua" w:hAnsi="Book Antiqua"/>
          <w:lang w:val="en-GB"/>
        </w:rPr>
        <w:t>sectoral</w:t>
      </w:r>
      <w:proofErr w:type="spellEnd"/>
      <w:r w:rsidR="0095481E">
        <w:rPr>
          <w:rFonts w:ascii="Book Antiqua" w:hAnsi="Book Antiqua"/>
          <w:lang w:val="en-GB"/>
        </w:rPr>
        <w:t xml:space="preserve"> policies in support of agriculture, have a tendency to create </w:t>
      </w:r>
      <w:r w:rsidRPr="00F200E7">
        <w:rPr>
          <w:rFonts w:ascii="Book Antiqua" w:hAnsi="Book Antiqua"/>
          <w:lang w:val="en-GB"/>
        </w:rPr>
        <w:t>asymmetries between the parties (</w:t>
      </w:r>
      <w:proofErr w:type="spellStart"/>
      <w:r w:rsidRPr="00F200E7">
        <w:rPr>
          <w:rFonts w:ascii="Book Antiqua" w:hAnsi="Book Antiqua"/>
          <w:lang w:val="en-GB"/>
        </w:rPr>
        <w:t>Rodrigues</w:t>
      </w:r>
      <w:proofErr w:type="spellEnd"/>
      <w:r w:rsidRPr="00F200E7">
        <w:rPr>
          <w:rFonts w:ascii="Book Antiqua" w:hAnsi="Book Antiqua"/>
          <w:lang w:val="en-GB"/>
        </w:rPr>
        <w:t>, 2006).</w:t>
      </w:r>
    </w:p>
    <w:p w:rsidR="00E05B37" w:rsidRPr="00F200E7" w:rsidRDefault="00E05B37" w:rsidP="00D228A0">
      <w:pPr>
        <w:pStyle w:val="NoSpacing"/>
        <w:jc w:val="both"/>
        <w:rPr>
          <w:rFonts w:ascii="Book Antiqua" w:hAnsi="Book Antiqua"/>
          <w:lang w:val="en-GB"/>
        </w:rPr>
      </w:pPr>
    </w:p>
    <w:p w:rsidR="00D322A9" w:rsidRPr="00F200E7" w:rsidRDefault="001C121E" w:rsidP="00D12065">
      <w:pPr>
        <w:pStyle w:val="NoSpacing"/>
        <w:jc w:val="both"/>
        <w:rPr>
          <w:rFonts w:ascii="Book Antiqua" w:hAnsi="Book Antiqua"/>
          <w:lang w:val="en-GB"/>
        </w:rPr>
      </w:pPr>
      <w:r w:rsidRPr="00F200E7">
        <w:rPr>
          <w:rFonts w:ascii="Book Antiqua" w:hAnsi="Book Antiqua"/>
          <w:lang w:val="en-GB"/>
        </w:rPr>
        <w:t>With regards to investment, the Agreement in Chapter X specifically sets out rules to increase legal security. Likewise</w:t>
      </w:r>
      <w:r w:rsidR="0017522B" w:rsidRPr="00F200E7">
        <w:rPr>
          <w:rFonts w:ascii="Book Antiqua" w:hAnsi="Book Antiqua"/>
          <w:lang w:val="en-GB"/>
        </w:rPr>
        <w:t>,</w:t>
      </w:r>
      <w:r w:rsidRPr="00F200E7">
        <w:rPr>
          <w:rFonts w:ascii="Book Antiqua" w:hAnsi="Book Antiqua"/>
          <w:lang w:val="en-GB"/>
        </w:rPr>
        <w:t xml:space="preserve"> it has a section relating to settl</w:t>
      </w:r>
      <w:r w:rsidR="0017522B" w:rsidRPr="00F200E7">
        <w:rPr>
          <w:rFonts w:ascii="Book Antiqua" w:hAnsi="Book Antiqua"/>
          <w:lang w:val="en-GB"/>
        </w:rPr>
        <w:t>ing disputes</w:t>
      </w:r>
      <w:r w:rsidRPr="00F200E7">
        <w:rPr>
          <w:rFonts w:ascii="Book Antiqua" w:hAnsi="Book Antiqua"/>
          <w:lang w:val="en-GB"/>
        </w:rPr>
        <w:t xml:space="preserve"> between the investor and the State.</w:t>
      </w:r>
    </w:p>
    <w:p w:rsidR="002C5163" w:rsidRPr="00F200E7" w:rsidRDefault="0017522B" w:rsidP="0032057B">
      <w:pPr>
        <w:pStyle w:val="Heading2"/>
      </w:pPr>
      <w:bookmarkStart w:id="129" w:name="_Toc336607513"/>
      <w:bookmarkStart w:id="130" w:name="_Toc333837988"/>
      <w:r w:rsidRPr="00F200E7">
        <w:t>6.</w:t>
      </w:r>
      <w:r w:rsidR="00116FF7">
        <w:t>4</w:t>
      </w:r>
      <w:r w:rsidRPr="00F200E7">
        <w:t>.3</w:t>
      </w:r>
      <w:r w:rsidRPr="00F200E7">
        <w:tab/>
      </w:r>
      <w:r w:rsidR="005B4E96" w:rsidRPr="00F200E7">
        <w:t>Other trade agreements signed by Guatemala</w:t>
      </w:r>
      <w:bookmarkEnd w:id="129"/>
      <w:bookmarkEnd w:id="130"/>
    </w:p>
    <w:p w:rsidR="00C12A5B" w:rsidRPr="00F200E7" w:rsidRDefault="00776B4D" w:rsidP="00D12065">
      <w:pPr>
        <w:pStyle w:val="NoSpacing"/>
        <w:jc w:val="both"/>
        <w:rPr>
          <w:rFonts w:ascii="Book Antiqua" w:hAnsi="Book Antiqua"/>
          <w:lang w:val="en-GB"/>
        </w:rPr>
      </w:pPr>
      <w:r w:rsidRPr="00F200E7">
        <w:rPr>
          <w:rFonts w:ascii="Book Antiqua" w:hAnsi="Book Antiqua"/>
          <w:lang w:val="en-GB"/>
        </w:rPr>
        <w:t xml:space="preserve">The Central American General Treaty of Economic Integration </w:t>
      </w:r>
      <w:r w:rsidR="00C24CE4" w:rsidRPr="00F200E7">
        <w:rPr>
          <w:rFonts w:ascii="Book Antiqua" w:hAnsi="Book Antiqua"/>
          <w:lang w:val="en-GB"/>
        </w:rPr>
        <w:t xml:space="preserve">was </w:t>
      </w:r>
      <w:r w:rsidRPr="00F200E7">
        <w:rPr>
          <w:rFonts w:ascii="Book Antiqua" w:hAnsi="Book Antiqua"/>
          <w:lang w:val="en-GB"/>
        </w:rPr>
        <w:t>signed in 1960 by El Salvador, Guatemala, Honduras</w:t>
      </w:r>
      <w:r w:rsidR="00C24CE4" w:rsidRPr="00F200E7">
        <w:rPr>
          <w:rFonts w:ascii="Book Antiqua" w:hAnsi="Book Antiqua"/>
          <w:lang w:val="en-GB"/>
        </w:rPr>
        <w:t>,</w:t>
      </w:r>
      <w:r w:rsidRPr="00F200E7">
        <w:rPr>
          <w:rFonts w:ascii="Book Antiqua" w:hAnsi="Book Antiqua"/>
          <w:lang w:val="en-GB"/>
        </w:rPr>
        <w:t xml:space="preserve"> and Nicaragua</w:t>
      </w:r>
      <w:r w:rsidR="00C24CE4" w:rsidRPr="00F200E7">
        <w:rPr>
          <w:rFonts w:ascii="Book Antiqua" w:hAnsi="Book Antiqua"/>
          <w:lang w:val="en-GB"/>
        </w:rPr>
        <w:t>.</w:t>
      </w:r>
      <w:r w:rsidRPr="00F200E7">
        <w:rPr>
          <w:rFonts w:ascii="Book Antiqua" w:hAnsi="Book Antiqua"/>
          <w:lang w:val="en-GB"/>
        </w:rPr>
        <w:t xml:space="preserve"> Costa Rica subscribed in June 1962</w:t>
      </w:r>
      <w:r w:rsidR="006F203F" w:rsidRPr="00F200E7">
        <w:rPr>
          <w:rFonts w:ascii="Book Antiqua" w:hAnsi="Book Antiqua"/>
          <w:lang w:val="en-GB"/>
        </w:rPr>
        <w:t>. This treaty</w:t>
      </w:r>
      <w:r w:rsidRPr="00F200E7">
        <w:rPr>
          <w:rFonts w:ascii="Book Antiqua" w:hAnsi="Book Antiqua"/>
          <w:lang w:val="en-GB"/>
        </w:rPr>
        <w:t xml:space="preserve"> may be the most important commercial agreement for Guatemala since it is part of a bigger project of social, economic</w:t>
      </w:r>
      <w:r w:rsidR="00A5746E">
        <w:rPr>
          <w:rFonts w:ascii="Book Antiqua" w:hAnsi="Book Antiqua"/>
          <w:lang w:val="en-GB"/>
        </w:rPr>
        <w:t>,</w:t>
      </w:r>
      <w:r w:rsidRPr="00F200E7">
        <w:rPr>
          <w:rFonts w:ascii="Book Antiqua" w:hAnsi="Book Antiqua"/>
          <w:lang w:val="en-GB"/>
        </w:rPr>
        <w:t xml:space="preserve"> and political integration, the System of Central American Integration (</w:t>
      </w:r>
      <w:proofErr w:type="spellStart"/>
      <w:r w:rsidRPr="00F200E7">
        <w:rPr>
          <w:rFonts w:ascii="Book Antiqua" w:hAnsi="Book Antiqua"/>
          <w:lang w:val="en-GB"/>
        </w:rPr>
        <w:t>Sistema</w:t>
      </w:r>
      <w:proofErr w:type="spellEnd"/>
      <w:r w:rsidRPr="00F200E7">
        <w:rPr>
          <w:rFonts w:ascii="Book Antiqua" w:hAnsi="Book Antiqua"/>
          <w:lang w:val="en-GB"/>
        </w:rPr>
        <w:t xml:space="preserve"> de </w:t>
      </w:r>
      <w:proofErr w:type="spellStart"/>
      <w:r w:rsidRPr="00F200E7">
        <w:rPr>
          <w:rFonts w:ascii="Book Antiqua" w:hAnsi="Book Antiqua"/>
          <w:lang w:val="en-GB"/>
        </w:rPr>
        <w:t>Integración</w:t>
      </w:r>
      <w:proofErr w:type="spellEnd"/>
      <w:r w:rsidRPr="00F200E7">
        <w:rPr>
          <w:rFonts w:ascii="Book Antiqua" w:hAnsi="Book Antiqua"/>
          <w:lang w:val="en-GB"/>
        </w:rPr>
        <w:t xml:space="preserve"> </w:t>
      </w:r>
      <w:proofErr w:type="spellStart"/>
      <w:r w:rsidRPr="00F200E7">
        <w:rPr>
          <w:rFonts w:ascii="Book Antiqua" w:hAnsi="Book Antiqua"/>
          <w:lang w:val="en-GB"/>
        </w:rPr>
        <w:t>Centroamericana</w:t>
      </w:r>
      <w:proofErr w:type="spellEnd"/>
      <w:r w:rsidRPr="00F200E7">
        <w:rPr>
          <w:rFonts w:ascii="Book Antiqua" w:hAnsi="Book Antiqua"/>
          <w:lang w:val="en-GB"/>
        </w:rPr>
        <w:t xml:space="preserve">, </w:t>
      </w:r>
      <w:r w:rsidR="006F203F" w:rsidRPr="00F200E7">
        <w:rPr>
          <w:rFonts w:ascii="Book Antiqua" w:hAnsi="Book Antiqua"/>
          <w:lang w:val="en-GB"/>
        </w:rPr>
        <w:t xml:space="preserve">or </w:t>
      </w:r>
      <w:r w:rsidRPr="00F200E7">
        <w:rPr>
          <w:rFonts w:ascii="Book Antiqua" w:hAnsi="Book Antiqua"/>
          <w:lang w:val="en-GB"/>
        </w:rPr>
        <w:t>SICA).</w:t>
      </w:r>
      <w:r w:rsidRPr="00F200E7">
        <w:rPr>
          <w:rStyle w:val="FootnoteReference"/>
          <w:rFonts w:ascii="Book Antiqua" w:hAnsi="Book Antiqua"/>
          <w:lang w:val="en-GB"/>
        </w:rPr>
        <w:footnoteReference w:id="16"/>
      </w:r>
      <w:r w:rsidR="002D595A" w:rsidRPr="00F200E7">
        <w:rPr>
          <w:rStyle w:val="FootnoteReference"/>
          <w:rFonts w:ascii="Book Antiqua" w:hAnsi="Book Antiqua"/>
          <w:vertAlign w:val="baseline"/>
          <w:lang w:val="en-GB"/>
        </w:rPr>
        <w:t xml:space="preserve"> The General Treaty was modified by the Guatemala Protocol to </w:t>
      </w:r>
      <w:r w:rsidR="00A443BF" w:rsidRPr="00F200E7">
        <w:rPr>
          <w:rStyle w:val="FootnoteReference"/>
          <w:rFonts w:ascii="Book Antiqua" w:hAnsi="Book Antiqua"/>
          <w:vertAlign w:val="baseline"/>
          <w:lang w:val="en-GB"/>
        </w:rPr>
        <w:t>The</w:t>
      </w:r>
      <w:r w:rsidR="00705F92" w:rsidRPr="00F200E7">
        <w:rPr>
          <w:rStyle w:val="FootnoteReference"/>
          <w:rFonts w:ascii="Book Antiqua" w:hAnsi="Book Antiqua"/>
          <w:vertAlign w:val="baseline"/>
          <w:lang w:val="en-GB"/>
        </w:rPr>
        <w:t xml:space="preserve"> Central American General Treaty of Economic Integration, of 1993, which adapted the treaty to the international context and the institutions created by the Tegucigalpa Protocol.</w:t>
      </w:r>
    </w:p>
    <w:p w:rsidR="005B4E96" w:rsidRPr="00F200E7" w:rsidRDefault="005B4E96" w:rsidP="00E243E6">
      <w:pPr>
        <w:pStyle w:val="NoSpacing"/>
        <w:jc w:val="both"/>
        <w:rPr>
          <w:rFonts w:ascii="Book Antiqua" w:hAnsi="Book Antiqua"/>
          <w:lang w:val="en-GB"/>
        </w:rPr>
      </w:pPr>
    </w:p>
    <w:p w:rsidR="005B4E96" w:rsidRPr="00F200E7" w:rsidRDefault="002D595A" w:rsidP="005B4E96">
      <w:pPr>
        <w:pStyle w:val="NoSpacing"/>
        <w:jc w:val="both"/>
        <w:rPr>
          <w:rFonts w:ascii="Book Antiqua" w:hAnsi="Book Antiqua"/>
          <w:lang w:val="en-GB"/>
        </w:rPr>
      </w:pPr>
      <w:r w:rsidRPr="00F200E7">
        <w:rPr>
          <w:rFonts w:ascii="Book Antiqua" w:hAnsi="Book Antiqua"/>
          <w:lang w:val="en-GB"/>
        </w:rPr>
        <w:t>Another important step in the integration process was the approval, in June 2004, of the General Framework for the Negotiation of the Central America</w:t>
      </w:r>
      <w:r w:rsidR="00882FA5" w:rsidRPr="00F200E7">
        <w:rPr>
          <w:rFonts w:ascii="Book Antiqua" w:hAnsi="Book Antiqua"/>
          <w:lang w:val="en-GB"/>
        </w:rPr>
        <w:t xml:space="preserve">n Customs Union. </w:t>
      </w:r>
      <w:r w:rsidR="000170D3" w:rsidRPr="00F200E7">
        <w:rPr>
          <w:rFonts w:ascii="Book Antiqua" w:hAnsi="Book Antiqua"/>
          <w:lang w:val="en-GB"/>
        </w:rPr>
        <w:t xml:space="preserve">In </w:t>
      </w:r>
      <w:r w:rsidR="00882FA5" w:rsidRPr="00F200E7">
        <w:rPr>
          <w:rFonts w:ascii="Book Antiqua" w:hAnsi="Book Antiqua"/>
          <w:lang w:val="en-GB"/>
        </w:rPr>
        <w:t xml:space="preserve">January 2000 El Salvador and Guatemala approved </w:t>
      </w:r>
      <w:r w:rsidR="00BA262B" w:rsidRPr="00F200E7">
        <w:rPr>
          <w:rFonts w:ascii="Book Antiqua" w:hAnsi="Book Antiqua"/>
          <w:lang w:val="en-GB"/>
        </w:rPr>
        <w:t>the</w:t>
      </w:r>
      <w:r w:rsidR="00AE174D">
        <w:rPr>
          <w:rFonts w:ascii="Book Antiqua" w:hAnsi="Book Antiqua"/>
          <w:lang w:val="en-GB"/>
        </w:rPr>
        <w:t xml:space="preserve"> </w:t>
      </w:r>
      <w:r w:rsidR="00A443BF" w:rsidRPr="00F200E7">
        <w:rPr>
          <w:rFonts w:ascii="Book Antiqua" w:hAnsi="Book Antiqua"/>
          <w:lang w:val="en-GB"/>
        </w:rPr>
        <w:t xml:space="preserve">Convention Framework for the </w:t>
      </w:r>
      <w:r w:rsidR="00BA262B" w:rsidRPr="00F200E7">
        <w:rPr>
          <w:rFonts w:ascii="Book Antiqua" w:hAnsi="Book Antiqua"/>
          <w:lang w:val="en-GB"/>
        </w:rPr>
        <w:t>E</w:t>
      </w:r>
      <w:r w:rsidR="00A443BF" w:rsidRPr="00F200E7">
        <w:rPr>
          <w:rFonts w:ascii="Book Antiqua" w:hAnsi="Book Antiqua"/>
          <w:lang w:val="en-GB"/>
        </w:rPr>
        <w:t xml:space="preserve">stablishment of a Customs Union </w:t>
      </w:r>
      <w:r w:rsidR="00827790">
        <w:rPr>
          <w:rFonts w:ascii="Book Antiqua" w:hAnsi="Book Antiqua"/>
          <w:lang w:val="en-GB"/>
        </w:rPr>
        <w:t>b</w:t>
      </w:r>
      <w:r w:rsidR="00A443BF" w:rsidRPr="00F200E7">
        <w:rPr>
          <w:rFonts w:ascii="Book Antiqua" w:hAnsi="Book Antiqua"/>
          <w:lang w:val="en-GB"/>
        </w:rPr>
        <w:t>etween El Salvador and Guatemala</w:t>
      </w:r>
      <w:r w:rsidR="00882FA5" w:rsidRPr="00F200E7">
        <w:rPr>
          <w:rFonts w:ascii="Book Antiqua" w:hAnsi="Book Antiqua"/>
          <w:lang w:val="en-GB"/>
        </w:rPr>
        <w:t xml:space="preserve">, given the </w:t>
      </w:r>
      <w:r w:rsidR="000170D3" w:rsidRPr="00F200E7">
        <w:rPr>
          <w:rFonts w:ascii="Book Antiqua" w:hAnsi="Book Antiqua"/>
          <w:lang w:val="en-GB"/>
        </w:rPr>
        <w:t xml:space="preserve">options </w:t>
      </w:r>
      <w:r w:rsidR="00882FA5" w:rsidRPr="00F200E7">
        <w:rPr>
          <w:rFonts w:ascii="Book Antiqua" w:hAnsi="Book Antiqua"/>
          <w:lang w:val="en-GB"/>
        </w:rPr>
        <w:t>granted under the Guatemala Protocol.</w:t>
      </w:r>
    </w:p>
    <w:p w:rsidR="005B4E96" w:rsidRPr="00F200E7" w:rsidRDefault="005B4E96" w:rsidP="005B4E96">
      <w:pPr>
        <w:pStyle w:val="NoSpacing"/>
        <w:jc w:val="both"/>
        <w:rPr>
          <w:rFonts w:ascii="Book Antiqua" w:hAnsi="Book Antiqua"/>
          <w:lang w:val="en-GB"/>
        </w:rPr>
      </w:pPr>
    </w:p>
    <w:p w:rsidR="005B4E96" w:rsidRPr="00F200E7" w:rsidRDefault="001269A9" w:rsidP="005B4E96">
      <w:pPr>
        <w:pStyle w:val="NoSpacing"/>
        <w:jc w:val="both"/>
        <w:rPr>
          <w:rFonts w:ascii="Book Antiqua" w:hAnsi="Book Antiqua"/>
          <w:lang w:val="en-GB"/>
        </w:rPr>
      </w:pPr>
      <w:r>
        <w:rPr>
          <w:rFonts w:ascii="Book Antiqua" w:hAnsi="Book Antiqua"/>
          <w:lang w:val="en-GB"/>
        </w:rPr>
        <w:t>As for</w:t>
      </w:r>
      <w:r w:rsidR="00AE174D">
        <w:rPr>
          <w:rFonts w:ascii="Book Antiqua" w:hAnsi="Book Antiqua"/>
          <w:lang w:val="en-GB"/>
        </w:rPr>
        <w:t xml:space="preserve"> </w:t>
      </w:r>
      <w:r w:rsidR="00882FA5" w:rsidRPr="00F200E7">
        <w:rPr>
          <w:rFonts w:ascii="Book Antiqua" w:hAnsi="Book Antiqua"/>
          <w:lang w:val="en-GB"/>
        </w:rPr>
        <w:t xml:space="preserve">the achievements of the integration process, </w:t>
      </w:r>
      <w:r w:rsidR="00656956" w:rsidRPr="00F200E7">
        <w:rPr>
          <w:rFonts w:ascii="Book Antiqua" w:hAnsi="Book Antiqua"/>
          <w:lang w:val="en-GB"/>
        </w:rPr>
        <w:t>o</w:t>
      </w:r>
      <w:r w:rsidR="00882FA5" w:rsidRPr="00F200E7">
        <w:rPr>
          <w:rFonts w:ascii="Book Antiqua" w:hAnsi="Book Antiqua"/>
          <w:lang w:val="en-GB"/>
        </w:rPr>
        <w:t xml:space="preserve">n the commercial side there has been a growth of </w:t>
      </w:r>
      <w:r w:rsidR="00917962" w:rsidRPr="00F200E7">
        <w:rPr>
          <w:rFonts w:ascii="Book Antiqua" w:hAnsi="Book Antiqua"/>
          <w:lang w:val="en-GB"/>
        </w:rPr>
        <w:t xml:space="preserve">intraregional </w:t>
      </w:r>
      <w:r w:rsidR="00882FA5" w:rsidRPr="00F200E7">
        <w:rPr>
          <w:rFonts w:ascii="Book Antiqua" w:hAnsi="Book Antiqua"/>
          <w:lang w:val="en-GB"/>
        </w:rPr>
        <w:t xml:space="preserve">trade. As shown in </w:t>
      </w:r>
      <w:r w:rsidR="00A5746E">
        <w:rPr>
          <w:rFonts w:ascii="Book Antiqua" w:hAnsi="Book Antiqua"/>
          <w:lang w:val="en-GB"/>
        </w:rPr>
        <w:t>t</w:t>
      </w:r>
      <w:r w:rsidR="00882FA5" w:rsidRPr="00F200E7">
        <w:rPr>
          <w:rFonts w:ascii="Book Antiqua" w:hAnsi="Book Antiqua"/>
          <w:lang w:val="en-GB"/>
        </w:rPr>
        <w:t xml:space="preserve">able </w:t>
      </w:r>
      <w:r w:rsidR="00656956" w:rsidRPr="00F200E7">
        <w:rPr>
          <w:rFonts w:ascii="Book Antiqua" w:hAnsi="Book Antiqua"/>
          <w:lang w:val="en-GB"/>
        </w:rPr>
        <w:t>6.</w:t>
      </w:r>
      <w:r w:rsidR="00882FA5" w:rsidRPr="00F200E7">
        <w:rPr>
          <w:rFonts w:ascii="Book Antiqua" w:hAnsi="Book Antiqua"/>
          <w:lang w:val="en-GB"/>
        </w:rPr>
        <w:t xml:space="preserve">9, </w:t>
      </w:r>
      <w:r w:rsidR="00917962" w:rsidRPr="00F200E7">
        <w:rPr>
          <w:rFonts w:ascii="Book Antiqua" w:hAnsi="Book Antiqua"/>
          <w:lang w:val="en-GB"/>
        </w:rPr>
        <w:t xml:space="preserve">intraregional </w:t>
      </w:r>
      <w:r w:rsidR="00882FA5" w:rsidRPr="00F200E7">
        <w:rPr>
          <w:rFonts w:ascii="Book Antiqua" w:hAnsi="Book Antiqua"/>
          <w:lang w:val="en-GB"/>
        </w:rPr>
        <w:t xml:space="preserve">trade </w:t>
      </w:r>
      <w:r w:rsidR="005835D9" w:rsidRPr="00F200E7">
        <w:rPr>
          <w:rFonts w:ascii="Book Antiqua" w:hAnsi="Book Antiqua"/>
          <w:lang w:val="en-GB"/>
        </w:rPr>
        <w:t>has grown</w:t>
      </w:r>
      <w:r w:rsidR="00882FA5" w:rsidRPr="00F200E7">
        <w:rPr>
          <w:rFonts w:ascii="Book Antiqua" w:hAnsi="Book Antiqua"/>
          <w:lang w:val="en-GB"/>
        </w:rPr>
        <w:t xml:space="preserve"> considerably </w:t>
      </w:r>
      <w:r w:rsidR="005835D9" w:rsidRPr="00F200E7">
        <w:rPr>
          <w:rFonts w:ascii="Book Antiqua" w:hAnsi="Book Antiqua"/>
          <w:lang w:val="en-GB"/>
        </w:rPr>
        <w:t xml:space="preserve">since </w:t>
      </w:r>
      <w:r w:rsidR="00882FA5" w:rsidRPr="00F200E7">
        <w:rPr>
          <w:rFonts w:ascii="Book Antiqua" w:hAnsi="Book Antiqua"/>
          <w:lang w:val="en-GB"/>
        </w:rPr>
        <w:t>the signing of the General Treaty of Integration in 1960</w:t>
      </w:r>
      <w:r w:rsidR="002C249E" w:rsidRPr="00F200E7">
        <w:rPr>
          <w:rFonts w:ascii="Book Antiqua" w:hAnsi="Book Antiqua"/>
          <w:lang w:val="en-GB"/>
        </w:rPr>
        <w:t xml:space="preserve">. This </w:t>
      </w:r>
      <w:r w:rsidR="005835D9" w:rsidRPr="00F200E7">
        <w:rPr>
          <w:rFonts w:ascii="Book Antiqua" w:hAnsi="Book Antiqua"/>
          <w:lang w:val="en-GB"/>
        </w:rPr>
        <w:t xml:space="preserve">growth </w:t>
      </w:r>
      <w:r w:rsidR="002C249E" w:rsidRPr="00F200E7">
        <w:rPr>
          <w:rFonts w:ascii="Book Antiqua" w:hAnsi="Book Antiqua"/>
          <w:lang w:val="en-GB"/>
        </w:rPr>
        <w:t>stopped in the early 1980s</w:t>
      </w:r>
      <w:r w:rsidR="00882FA5" w:rsidRPr="00F200E7">
        <w:rPr>
          <w:rFonts w:ascii="Book Antiqua" w:hAnsi="Book Antiqua"/>
          <w:lang w:val="en-GB"/>
        </w:rPr>
        <w:t xml:space="preserve"> because of the economic crisis</w:t>
      </w:r>
      <w:r w:rsidR="002C249E" w:rsidRPr="00F200E7">
        <w:rPr>
          <w:rFonts w:ascii="Book Antiqua" w:hAnsi="Book Antiqua"/>
          <w:lang w:val="en-GB"/>
        </w:rPr>
        <w:t xml:space="preserve"> known as the “lost decade”, </w:t>
      </w:r>
      <w:r w:rsidR="00882FA5" w:rsidRPr="00F200E7">
        <w:rPr>
          <w:rFonts w:ascii="Book Antiqua" w:hAnsi="Book Antiqua"/>
          <w:lang w:val="en-GB"/>
        </w:rPr>
        <w:t>which</w:t>
      </w:r>
      <w:r w:rsidR="002C249E" w:rsidRPr="00F200E7">
        <w:rPr>
          <w:rFonts w:ascii="Book Antiqua" w:hAnsi="Book Antiqua"/>
          <w:lang w:val="en-GB"/>
        </w:rPr>
        <w:t xml:space="preserve"> was aggravated by</w:t>
      </w:r>
      <w:r w:rsidR="00882FA5" w:rsidRPr="00F200E7">
        <w:rPr>
          <w:rFonts w:ascii="Book Antiqua" w:hAnsi="Book Antiqua"/>
          <w:lang w:val="en-GB"/>
        </w:rPr>
        <w:t xml:space="preserve"> the armed conflicts that hit El Salvador, Guatemala</w:t>
      </w:r>
      <w:r w:rsidR="005835D9" w:rsidRPr="00F200E7">
        <w:rPr>
          <w:rFonts w:ascii="Book Antiqua" w:hAnsi="Book Antiqua"/>
          <w:lang w:val="en-GB"/>
        </w:rPr>
        <w:t>,</w:t>
      </w:r>
      <w:r w:rsidR="00882FA5" w:rsidRPr="00F200E7">
        <w:rPr>
          <w:rFonts w:ascii="Book Antiqua" w:hAnsi="Book Antiqua"/>
          <w:lang w:val="en-GB"/>
        </w:rPr>
        <w:t xml:space="preserve"> and Nicaragua. </w:t>
      </w:r>
      <w:r w:rsidR="005835D9" w:rsidRPr="00F200E7">
        <w:rPr>
          <w:rFonts w:ascii="Book Antiqua" w:hAnsi="Book Antiqua"/>
          <w:lang w:val="en-GB"/>
        </w:rPr>
        <w:t xml:space="preserve">Since </w:t>
      </w:r>
      <w:r w:rsidR="00882FA5" w:rsidRPr="00F200E7">
        <w:rPr>
          <w:rFonts w:ascii="Book Antiqua" w:hAnsi="Book Antiqua"/>
          <w:lang w:val="en-GB"/>
        </w:rPr>
        <w:t xml:space="preserve">the </w:t>
      </w:r>
      <w:r w:rsidR="002C249E" w:rsidRPr="00F200E7">
        <w:rPr>
          <w:rFonts w:ascii="Book Antiqua" w:hAnsi="Book Antiqua"/>
          <w:lang w:val="en-GB"/>
        </w:rPr>
        <w:t>19</w:t>
      </w:r>
      <w:r w:rsidR="00882FA5" w:rsidRPr="00F200E7">
        <w:rPr>
          <w:rFonts w:ascii="Book Antiqua" w:hAnsi="Book Antiqua"/>
          <w:lang w:val="en-GB"/>
        </w:rPr>
        <w:t>90</w:t>
      </w:r>
      <w:r w:rsidR="002C249E" w:rsidRPr="00F200E7">
        <w:rPr>
          <w:rFonts w:ascii="Book Antiqua" w:hAnsi="Book Antiqua"/>
          <w:lang w:val="en-GB"/>
        </w:rPr>
        <w:t xml:space="preserve">s there </w:t>
      </w:r>
      <w:r w:rsidR="005835D9" w:rsidRPr="00F200E7">
        <w:rPr>
          <w:rFonts w:ascii="Book Antiqua" w:hAnsi="Book Antiqua"/>
          <w:lang w:val="en-GB"/>
        </w:rPr>
        <w:t xml:space="preserve">has been </w:t>
      </w:r>
      <w:r w:rsidR="002C249E" w:rsidRPr="00F200E7">
        <w:rPr>
          <w:rFonts w:ascii="Book Antiqua" w:hAnsi="Book Antiqua"/>
          <w:lang w:val="en-GB"/>
        </w:rPr>
        <w:t>a</w:t>
      </w:r>
      <w:r w:rsidR="00882FA5" w:rsidRPr="00F200E7">
        <w:rPr>
          <w:rFonts w:ascii="Book Antiqua" w:hAnsi="Book Antiqua"/>
          <w:lang w:val="en-GB"/>
        </w:rPr>
        <w:t xml:space="preserve"> reactiv</w:t>
      </w:r>
      <w:r w:rsidR="002C249E" w:rsidRPr="00F200E7">
        <w:rPr>
          <w:rFonts w:ascii="Book Antiqua" w:hAnsi="Book Antiqua"/>
          <w:lang w:val="en-GB"/>
        </w:rPr>
        <w:t>ation of</w:t>
      </w:r>
      <w:r w:rsidR="00882FA5" w:rsidRPr="00F200E7">
        <w:rPr>
          <w:rFonts w:ascii="Book Antiqua" w:hAnsi="Book Antiqua"/>
          <w:lang w:val="en-GB"/>
        </w:rPr>
        <w:t xml:space="preserve"> intraregional trade, coinciding with the democratization process and the signing of the</w:t>
      </w:r>
      <w:r w:rsidR="002C249E" w:rsidRPr="00F200E7">
        <w:rPr>
          <w:rFonts w:ascii="Book Antiqua" w:hAnsi="Book Antiqua"/>
          <w:lang w:val="en-GB"/>
        </w:rPr>
        <w:t xml:space="preserve"> Guatemala and Tegucigalpa</w:t>
      </w:r>
      <w:r w:rsidR="00AE174D">
        <w:rPr>
          <w:rFonts w:ascii="Book Antiqua" w:hAnsi="Book Antiqua"/>
          <w:lang w:val="en-GB"/>
        </w:rPr>
        <w:t xml:space="preserve"> </w:t>
      </w:r>
      <w:r w:rsidR="002C249E" w:rsidRPr="00F200E7">
        <w:rPr>
          <w:rFonts w:ascii="Book Antiqua" w:hAnsi="Book Antiqua"/>
          <w:lang w:val="en-GB"/>
        </w:rPr>
        <w:t>P</w:t>
      </w:r>
      <w:r w:rsidR="00882FA5" w:rsidRPr="00F200E7">
        <w:rPr>
          <w:rFonts w:ascii="Book Antiqua" w:hAnsi="Book Antiqua"/>
          <w:lang w:val="en-GB"/>
        </w:rPr>
        <w:t>rotocols</w:t>
      </w:r>
      <w:r w:rsidR="00827790">
        <w:rPr>
          <w:rFonts w:ascii="Book Antiqua" w:hAnsi="Book Antiqua"/>
          <w:lang w:val="en-GB"/>
        </w:rPr>
        <w:t xml:space="preserve"> </w:t>
      </w:r>
      <w:r w:rsidR="005B4E96" w:rsidRPr="00F200E7">
        <w:rPr>
          <w:rFonts w:ascii="Book Antiqua" w:hAnsi="Book Antiqua"/>
          <w:lang w:val="en-GB"/>
        </w:rPr>
        <w:t>(Guerra Borges, 1997).</w:t>
      </w:r>
    </w:p>
    <w:p w:rsidR="00BD078C" w:rsidRPr="00F200E7" w:rsidRDefault="00BD078C" w:rsidP="005B4E96">
      <w:pPr>
        <w:pStyle w:val="NoSpacing"/>
        <w:jc w:val="both"/>
        <w:rPr>
          <w:rFonts w:ascii="Book Antiqua" w:hAnsi="Book Antiqua"/>
          <w:lang w:val="en-GB"/>
        </w:rPr>
      </w:pPr>
    </w:p>
    <w:p w:rsidR="00E65CED" w:rsidRPr="00F200E7" w:rsidRDefault="002C249E" w:rsidP="000170D3">
      <w:pPr>
        <w:spacing w:after="0"/>
        <w:ind w:left="1440" w:hanging="1440"/>
        <w:rPr>
          <w:rFonts w:ascii="Book Antiqua" w:hAnsi="Book Antiqua"/>
          <w:lang w:val="en-GB"/>
        </w:rPr>
      </w:pPr>
      <w:r w:rsidRPr="00F200E7">
        <w:rPr>
          <w:rFonts w:ascii="Book Antiqua" w:hAnsi="Book Antiqua"/>
          <w:b/>
          <w:lang w:val="en-GB"/>
        </w:rPr>
        <w:t>Table</w:t>
      </w:r>
      <w:r w:rsidR="00C31A33" w:rsidRPr="00F200E7">
        <w:rPr>
          <w:rFonts w:ascii="Book Antiqua" w:hAnsi="Book Antiqua"/>
          <w:b/>
          <w:lang w:val="en-GB"/>
        </w:rPr>
        <w:t>6.</w:t>
      </w:r>
      <w:r w:rsidR="005B4E96" w:rsidRPr="00F200E7">
        <w:rPr>
          <w:rFonts w:ascii="Book Antiqua" w:hAnsi="Book Antiqua"/>
          <w:b/>
          <w:lang w:val="en-GB"/>
        </w:rPr>
        <w:t xml:space="preserve">9: </w:t>
      </w:r>
      <w:r w:rsidR="00C31A33" w:rsidRPr="00F200E7">
        <w:rPr>
          <w:rFonts w:ascii="Book Antiqua" w:hAnsi="Book Antiqua"/>
          <w:b/>
          <w:lang w:val="en-GB"/>
        </w:rPr>
        <w:tab/>
      </w:r>
      <w:r w:rsidRPr="00F200E7">
        <w:rPr>
          <w:rFonts w:ascii="Book Antiqua" w:hAnsi="Book Antiqua"/>
          <w:b/>
          <w:lang w:val="en-GB"/>
        </w:rPr>
        <w:t>Central American trade</w:t>
      </w:r>
      <w:r w:rsidR="00C31A33" w:rsidRPr="00F200E7">
        <w:rPr>
          <w:rFonts w:ascii="Book Antiqua" w:hAnsi="Book Antiqua"/>
          <w:b/>
          <w:lang w:val="en-GB"/>
        </w:rPr>
        <w:noBreakHyphen/>
      </w:r>
      <w:r w:rsidR="00AE174D">
        <w:rPr>
          <w:rFonts w:ascii="Book Antiqua" w:hAnsi="Book Antiqua"/>
          <w:b/>
          <w:lang w:val="en-GB"/>
        </w:rPr>
        <w:t xml:space="preserve"> </w:t>
      </w:r>
      <w:r w:rsidR="00E47119" w:rsidRPr="00F200E7">
        <w:rPr>
          <w:rFonts w:ascii="Book Antiqua" w:hAnsi="Book Antiqua"/>
          <w:b/>
          <w:lang w:val="en-GB"/>
        </w:rPr>
        <w:t>i</w:t>
      </w:r>
      <w:r w:rsidR="00EC2F41" w:rsidRPr="00F200E7">
        <w:rPr>
          <w:rFonts w:ascii="Book Antiqua" w:hAnsi="Book Antiqua"/>
          <w:b/>
          <w:lang w:val="en-GB"/>
        </w:rPr>
        <w:t>ntraregional</w:t>
      </w:r>
      <w:r w:rsidRPr="00F200E7">
        <w:rPr>
          <w:rFonts w:ascii="Book Antiqua" w:hAnsi="Book Antiqua"/>
          <w:b/>
          <w:lang w:val="en-GB"/>
        </w:rPr>
        <w:t xml:space="preserve"> and with the </w:t>
      </w:r>
      <w:r w:rsidR="00C31A33" w:rsidRPr="00F200E7">
        <w:rPr>
          <w:rFonts w:ascii="Book Antiqua" w:hAnsi="Book Antiqua"/>
          <w:b/>
          <w:lang w:val="en-GB"/>
        </w:rPr>
        <w:t>r</w:t>
      </w:r>
      <w:r w:rsidRPr="00F200E7">
        <w:rPr>
          <w:rFonts w:ascii="Book Antiqua" w:hAnsi="Book Antiqua"/>
          <w:b/>
          <w:lang w:val="en-GB"/>
        </w:rPr>
        <w:t xml:space="preserve">est of the </w:t>
      </w:r>
      <w:r w:rsidR="00C31A33" w:rsidRPr="00F200E7">
        <w:rPr>
          <w:rFonts w:ascii="Book Antiqua" w:hAnsi="Book Antiqua"/>
          <w:b/>
          <w:lang w:val="en-GB"/>
        </w:rPr>
        <w:t>w</w:t>
      </w:r>
      <w:r w:rsidRPr="00F200E7">
        <w:rPr>
          <w:rFonts w:ascii="Book Antiqua" w:hAnsi="Book Antiqua"/>
          <w:b/>
          <w:lang w:val="en-GB"/>
        </w:rPr>
        <w:t>orld (</w:t>
      </w:r>
      <w:proofErr w:type="spellStart"/>
      <w:r w:rsidRPr="00F200E7">
        <w:rPr>
          <w:rFonts w:ascii="Book Antiqua" w:hAnsi="Book Antiqua"/>
          <w:b/>
          <w:lang w:val="en-GB"/>
        </w:rPr>
        <w:t>R</w:t>
      </w:r>
      <w:r w:rsidR="00A5746E">
        <w:rPr>
          <w:rFonts w:ascii="Book Antiqua" w:hAnsi="Book Antiqua"/>
          <w:b/>
          <w:lang w:val="en-GB"/>
        </w:rPr>
        <w:t>o</w:t>
      </w:r>
      <w:r w:rsidRPr="00F200E7">
        <w:rPr>
          <w:rFonts w:ascii="Book Antiqua" w:hAnsi="Book Antiqua"/>
          <w:b/>
          <w:lang w:val="en-GB"/>
        </w:rPr>
        <w:t>W</w:t>
      </w:r>
      <w:proofErr w:type="spellEnd"/>
      <w:r w:rsidRPr="00F200E7">
        <w:rPr>
          <w:rFonts w:ascii="Book Antiqua" w:hAnsi="Book Antiqua"/>
          <w:b/>
          <w:lang w:val="en-GB"/>
        </w:rPr>
        <w:t>)</w:t>
      </w:r>
      <w:r w:rsidR="00C31A33" w:rsidRPr="00F200E7">
        <w:rPr>
          <w:rFonts w:ascii="Book Antiqua" w:hAnsi="Book Antiqua"/>
          <w:b/>
          <w:lang w:val="en-GB"/>
        </w:rPr>
        <w:t>, 1960</w:t>
      </w:r>
      <w:r w:rsidR="00C31A33" w:rsidRPr="00F200E7">
        <w:rPr>
          <w:rFonts w:ascii="Book Antiqua" w:hAnsi="Book Antiqua"/>
          <w:b/>
          <w:lang w:val="en-GB"/>
        </w:rPr>
        <w:noBreakHyphen/>
        <w:t xml:space="preserve">2010 </w:t>
      </w:r>
      <w:r w:rsidR="00C31A33" w:rsidRPr="00F200E7">
        <w:rPr>
          <w:rFonts w:ascii="Book Antiqua" w:hAnsi="Book Antiqua"/>
          <w:lang w:val="en-GB"/>
        </w:rPr>
        <w:t>(i</w:t>
      </w:r>
      <w:r w:rsidRPr="00F200E7">
        <w:rPr>
          <w:rFonts w:ascii="Book Antiqua" w:hAnsi="Book Antiqua"/>
          <w:lang w:val="en-GB"/>
        </w:rPr>
        <w:t xml:space="preserve">n millions </w:t>
      </w:r>
      <w:r w:rsidR="003A4B99" w:rsidRPr="00F200E7">
        <w:rPr>
          <w:rFonts w:ascii="Book Antiqua" w:hAnsi="Book Antiqua"/>
          <w:lang w:val="en-GB"/>
        </w:rPr>
        <w:t xml:space="preserve">of </w:t>
      </w:r>
      <w:r w:rsidR="006A4A53">
        <w:rPr>
          <w:rFonts w:ascii="Book Antiqua" w:hAnsi="Book Antiqua"/>
          <w:lang w:val="en-GB"/>
        </w:rPr>
        <w:t>US$</w:t>
      </w:r>
      <w:r w:rsidR="000170D3" w:rsidRPr="00F200E7">
        <w:rPr>
          <w:rFonts w:ascii="Book Antiqua" w:hAnsi="Book Antiqua"/>
          <w:lang w:val="en-GB"/>
        </w:rPr>
        <w:t>)</w:t>
      </w:r>
    </w:p>
    <w:tbl>
      <w:tblPr>
        <w:tblW w:w="5688" w:type="dxa"/>
        <w:jc w:val="center"/>
        <w:tblInd w:w="70" w:type="dxa"/>
        <w:tblCellMar>
          <w:left w:w="70" w:type="dxa"/>
          <w:right w:w="70" w:type="dxa"/>
        </w:tblCellMar>
        <w:tblLook w:val="04A0"/>
      </w:tblPr>
      <w:tblGrid>
        <w:gridCol w:w="1216"/>
        <w:gridCol w:w="2436"/>
        <w:gridCol w:w="2036"/>
      </w:tblGrid>
      <w:tr w:rsidR="005B4E96" w:rsidRPr="00F200E7" w:rsidTr="005B4E96">
        <w:trPr>
          <w:trHeight w:val="300"/>
          <w:jc w:val="center"/>
        </w:trPr>
        <w:tc>
          <w:tcPr>
            <w:tcW w:w="1216" w:type="dxa"/>
            <w:tcBorders>
              <w:top w:val="nil"/>
              <w:left w:val="nil"/>
              <w:bottom w:val="single" w:sz="4" w:space="0" w:color="auto"/>
              <w:right w:val="nil"/>
            </w:tcBorders>
            <w:shd w:val="clear" w:color="auto" w:fill="auto"/>
            <w:noWrap/>
            <w:vAlign w:val="bottom"/>
            <w:hideMark/>
          </w:tcPr>
          <w:p w:rsidR="005B4E96" w:rsidRPr="00F200E7" w:rsidRDefault="005B4E96" w:rsidP="005B4E96">
            <w:pPr>
              <w:spacing w:after="0" w:line="240" w:lineRule="auto"/>
              <w:rPr>
                <w:rFonts w:eastAsia="Times New Roman"/>
                <w:color w:val="000000"/>
                <w:lang w:val="en-GB" w:eastAsia="es-GT"/>
              </w:rPr>
            </w:pPr>
            <w:r w:rsidRPr="00F200E7">
              <w:rPr>
                <w:rFonts w:eastAsia="Times New Roman"/>
                <w:color w:val="000000"/>
                <w:lang w:val="en-GB" w:eastAsia="es-GT"/>
              </w:rPr>
              <w:t> </w:t>
            </w:r>
          </w:p>
        </w:tc>
        <w:tc>
          <w:tcPr>
            <w:tcW w:w="2436" w:type="dxa"/>
            <w:tcBorders>
              <w:top w:val="nil"/>
              <w:left w:val="nil"/>
              <w:bottom w:val="single" w:sz="4" w:space="0" w:color="auto"/>
              <w:right w:val="nil"/>
            </w:tcBorders>
            <w:shd w:val="clear" w:color="auto" w:fill="auto"/>
            <w:noWrap/>
            <w:vAlign w:val="bottom"/>
            <w:hideMark/>
          </w:tcPr>
          <w:p w:rsidR="005B4E96" w:rsidRPr="00F200E7" w:rsidRDefault="005B4E96" w:rsidP="005B4E96">
            <w:pPr>
              <w:spacing w:after="0" w:line="240" w:lineRule="auto"/>
              <w:rPr>
                <w:rFonts w:eastAsia="Times New Roman"/>
                <w:color w:val="000000"/>
                <w:lang w:val="en-GB" w:eastAsia="es-GT"/>
              </w:rPr>
            </w:pPr>
            <w:r w:rsidRPr="00F200E7">
              <w:rPr>
                <w:rFonts w:eastAsia="Times New Roman"/>
                <w:color w:val="000000"/>
                <w:lang w:val="en-GB" w:eastAsia="es-GT"/>
              </w:rPr>
              <w:t> </w:t>
            </w:r>
          </w:p>
        </w:tc>
        <w:tc>
          <w:tcPr>
            <w:tcW w:w="2036" w:type="dxa"/>
            <w:tcBorders>
              <w:top w:val="nil"/>
              <w:left w:val="nil"/>
              <w:bottom w:val="single" w:sz="4" w:space="0" w:color="auto"/>
              <w:right w:val="nil"/>
            </w:tcBorders>
            <w:shd w:val="clear" w:color="auto" w:fill="auto"/>
            <w:noWrap/>
            <w:vAlign w:val="bottom"/>
            <w:hideMark/>
          </w:tcPr>
          <w:p w:rsidR="005B4E96" w:rsidRPr="00F200E7" w:rsidRDefault="005B4E96" w:rsidP="005B4E96">
            <w:pPr>
              <w:spacing w:after="0" w:line="240" w:lineRule="auto"/>
              <w:rPr>
                <w:rFonts w:eastAsia="Times New Roman"/>
                <w:color w:val="000000"/>
                <w:lang w:val="en-GB" w:eastAsia="es-GT"/>
              </w:rPr>
            </w:pPr>
          </w:p>
        </w:tc>
      </w:tr>
      <w:tr w:rsidR="005B4E96" w:rsidRPr="00F200E7" w:rsidTr="005B4E96">
        <w:trPr>
          <w:trHeight w:val="315"/>
          <w:jc w:val="center"/>
        </w:trPr>
        <w:tc>
          <w:tcPr>
            <w:tcW w:w="1216" w:type="dxa"/>
            <w:tcBorders>
              <w:top w:val="nil"/>
              <w:left w:val="nil"/>
              <w:bottom w:val="single" w:sz="4" w:space="0" w:color="auto"/>
              <w:right w:val="nil"/>
            </w:tcBorders>
            <w:shd w:val="clear" w:color="auto" w:fill="auto"/>
            <w:noWrap/>
            <w:vAlign w:val="bottom"/>
            <w:hideMark/>
          </w:tcPr>
          <w:p w:rsidR="005B4E96" w:rsidRPr="00F200E7" w:rsidRDefault="002C249E" w:rsidP="005B4E96">
            <w:pPr>
              <w:spacing w:after="0" w:line="240" w:lineRule="auto"/>
              <w:jc w:val="center"/>
              <w:rPr>
                <w:rFonts w:ascii="Book Antiqua" w:eastAsia="Times New Roman" w:hAnsi="Book Antiqua"/>
                <w:b/>
                <w:bCs/>
                <w:color w:val="000000"/>
                <w:sz w:val="20"/>
                <w:szCs w:val="20"/>
                <w:lang w:val="en-GB" w:eastAsia="es-GT"/>
              </w:rPr>
            </w:pPr>
            <w:r w:rsidRPr="00F200E7">
              <w:rPr>
                <w:rFonts w:ascii="Book Antiqua" w:eastAsia="Times New Roman" w:hAnsi="Book Antiqua"/>
                <w:b/>
                <w:bCs/>
                <w:color w:val="000000"/>
                <w:sz w:val="20"/>
                <w:szCs w:val="20"/>
                <w:lang w:val="en-GB" w:eastAsia="es-GT"/>
              </w:rPr>
              <w:t>Year</w:t>
            </w:r>
          </w:p>
        </w:tc>
        <w:tc>
          <w:tcPr>
            <w:tcW w:w="2436" w:type="dxa"/>
            <w:tcBorders>
              <w:top w:val="nil"/>
              <w:left w:val="nil"/>
              <w:bottom w:val="single" w:sz="4" w:space="0" w:color="auto"/>
              <w:right w:val="nil"/>
            </w:tcBorders>
            <w:shd w:val="clear" w:color="auto" w:fill="auto"/>
            <w:noWrap/>
            <w:vAlign w:val="bottom"/>
            <w:hideMark/>
          </w:tcPr>
          <w:p w:rsidR="003B17F2" w:rsidRPr="00F200E7" w:rsidRDefault="00BC151C">
            <w:pPr>
              <w:spacing w:after="0" w:line="240" w:lineRule="auto"/>
              <w:jc w:val="center"/>
              <w:rPr>
                <w:rFonts w:ascii="Book Antiqua" w:eastAsia="Times New Roman" w:hAnsi="Book Antiqua"/>
                <w:b/>
                <w:bCs/>
                <w:color w:val="000000"/>
                <w:sz w:val="20"/>
                <w:szCs w:val="20"/>
                <w:lang w:val="en-GB" w:eastAsia="es-GT"/>
              </w:rPr>
            </w:pPr>
            <w:r w:rsidRPr="00F200E7">
              <w:rPr>
                <w:rFonts w:ascii="Book Antiqua" w:eastAsia="Times New Roman" w:hAnsi="Book Antiqua"/>
                <w:b/>
                <w:bCs/>
                <w:color w:val="000000"/>
                <w:sz w:val="20"/>
                <w:szCs w:val="20"/>
                <w:lang w:val="en-GB" w:eastAsia="es-GT"/>
              </w:rPr>
              <w:t>Intraregional</w:t>
            </w:r>
          </w:p>
        </w:tc>
        <w:tc>
          <w:tcPr>
            <w:tcW w:w="2036" w:type="dxa"/>
            <w:tcBorders>
              <w:top w:val="nil"/>
              <w:left w:val="nil"/>
              <w:bottom w:val="single" w:sz="4" w:space="0" w:color="auto"/>
              <w:right w:val="nil"/>
            </w:tcBorders>
            <w:shd w:val="clear" w:color="auto" w:fill="auto"/>
            <w:noWrap/>
            <w:vAlign w:val="bottom"/>
            <w:hideMark/>
          </w:tcPr>
          <w:p w:rsidR="003B17F2" w:rsidRPr="00F200E7" w:rsidRDefault="002C249E" w:rsidP="00A5746E">
            <w:pPr>
              <w:spacing w:after="0" w:line="240" w:lineRule="auto"/>
              <w:jc w:val="center"/>
              <w:rPr>
                <w:rFonts w:ascii="Book Antiqua" w:eastAsia="Times New Roman" w:hAnsi="Book Antiqua"/>
                <w:b/>
                <w:bCs/>
                <w:color w:val="000000"/>
                <w:sz w:val="20"/>
                <w:szCs w:val="20"/>
                <w:lang w:val="en-GB" w:eastAsia="es-GT"/>
              </w:rPr>
            </w:pPr>
            <w:proofErr w:type="spellStart"/>
            <w:r w:rsidRPr="00F200E7">
              <w:rPr>
                <w:rFonts w:ascii="Book Antiqua" w:eastAsia="Times New Roman" w:hAnsi="Book Antiqua"/>
                <w:b/>
                <w:bCs/>
                <w:color w:val="000000"/>
                <w:sz w:val="20"/>
                <w:szCs w:val="20"/>
                <w:lang w:val="en-GB" w:eastAsia="es-GT"/>
              </w:rPr>
              <w:t>R</w:t>
            </w:r>
            <w:r w:rsidR="00A5746E">
              <w:rPr>
                <w:rFonts w:ascii="Book Antiqua" w:eastAsia="Times New Roman" w:hAnsi="Book Antiqua"/>
                <w:b/>
                <w:bCs/>
                <w:color w:val="000000"/>
                <w:sz w:val="20"/>
                <w:szCs w:val="20"/>
                <w:lang w:val="en-GB" w:eastAsia="es-GT"/>
              </w:rPr>
              <w:t>o</w:t>
            </w:r>
            <w:r w:rsidRPr="00F200E7">
              <w:rPr>
                <w:rFonts w:ascii="Book Antiqua" w:eastAsia="Times New Roman" w:hAnsi="Book Antiqua"/>
                <w:b/>
                <w:bCs/>
                <w:color w:val="000000"/>
                <w:sz w:val="20"/>
                <w:szCs w:val="20"/>
                <w:lang w:val="en-GB" w:eastAsia="es-GT"/>
              </w:rPr>
              <w:t>W</w:t>
            </w:r>
            <w:proofErr w:type="spellEnd"/>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1960</w:t>
            </w:r>
          </w:p>
        </w:tc>
        <w:tc>
          <w:tcPr>
            <w:tcW w:w="24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30</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409</w:t>
            </w:r>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1970</w:t>
            </w:r>
          </w:p>
        </w:tc>
        <w:tc>
          <w:tcPr>
            <w:tcW w:w="24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286</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812</w:t>
            </w:r>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1980</w:t>
            </w:r>
          </w:p>
        </w:tc>
        <w:tc>
          <w:tcPr>
            <w:tcW w:w="24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129</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3</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315</w:t>
            </w:r>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1986</w:t>
            </w:r>
          </w:p>
        </w:tc>
        <w:tc>
          <w:tcPr>
            <w:tcW w:w="24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413</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3</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460</w:t>
            </w:r>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1993</w:t>
            </w:r>
          </w:p>
        </w:tc>
        <w:tc>
          <w:tcPr>
            <w:tcW w:w="24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160</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3</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979</w:t>
            </w:r>
          </w:p>
        </w:tc>
      </w:tr>
      <w:tr w:rsidR="005B4E96" w:rsidRPr="00F200E7" w:rsidTr="005B4E96">
        <w:trPr>
          <w:trHeight w:val="300"/>
          <w:jc w:val="center"/>
        </w:trPr>
        <w:tc>
          <w:tcPr>
            <w:tcW w:w="1216" w:type="dxa"/>
            <w:tcBorders>
              <w:top w:val="nil"/>
              <w:left w:val="nil"/>
              <w:bottom w:val="nil"/>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2000</w:t>
            </w:r>
          </w:p>
        </w:tc>
        <w:tc>
          <w:tcPr>
            <w:tcW w:w="2436" w:type="dxa"/>
            <w:tcBorders>
              <w:top w:val="nil"/>
              <w:left w:val="nil"/>
              <w:bottom w:val="nil"/>
              <w:right w:val="nil"/>
            </w:tcBorders>
            <w:shd w:val="clear" w:color="auto" w:fill="auto"/>
            <w:noWrap/>
            <w:vAlign w:val="bottom"/>
            <w:hideMark/>
          </w:tcPr>
          <w:p w:rsidR="003B17F2" w:rsidRPr="00F200E7" w:rsidRDefault="005B4E96" w:rsidP="00A5746E">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2</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617</w:t>
            </w:r>
          </w:p>
        </w:tc>
        <w:tc>
          <w:tcPr>
            <w:tcW w:w="2036" w:type="dxa"/>
            <w:tcBorders>
              <w:top w:val="nil"/>
              <w:left w:val="nil"/>
              <w:bottom w:val="nil"/>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8</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895</w:t>
            </w:r>
          </w:p>
        </w:tc>
      </w:tr>
      <w:tr w:rsidR="005B4E96" w:rsidRPr="00F200E7" w:rsidTr="005B4E96">
        <w:trPr>
          <w:trHeight w:val="300"/>
          <w:jc w:val="center"/>
        </w:trPr>
        <w:tc>
          <w:tcPr>
            <w:tcW w:w="1216" w:type="dxa"/>
            <w:tcBorders>
              <w:top w:val="nil"/>
              <w:left w:val="nil"/>
              <w:bottom w:val="single" w:sz="4" w:space="0" w:color="auto"/>
              <w:right w:val="nil"/>
            </w:tcBorders>
            <w:shd w:val="clear" w:color="auto" w:fill="auto"/>
            <w:noWrap/>
            <w:vAlign w:val="bottom"/>
            <w:hideMark/>
          </w:tcPr>
          <w:p w:rsidR="005B4E96" w:rsidRPr="00F200E7" w:rsidRDefault="005B4E96" w:rsidP="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2010</w:t>
            </w:r>
          </w:p>
        </w:tc>
        <w:tc>
          <w:tcPr>
            <w:tcW w:w="2436" w:type="dxa"/>
            <w:tcBorders>
              <w:top w:val="nil"/>
              <w:left w:val="nil"/>
              <w:bottom w:val="single" w:sz="4" w:space="0" w:color="auto"/>
              <w:right w:val="nil"/>
            </w:tcBorders>
            <w:shd w:val="clear" w:color="auto" w:fill="auto"/>
            <w:noWrap/>
            <w:vAlign w:val="bottom"/>
            <w:hideMark/>
          </w:tcPr>
          <w:p w:rsidR="003B17F2" w:rsidRPr="00F200E7" w:rsidRDefault="005B4E96">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5</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902</w:t>
            </w:r>
          </w:p>
        </w:tc>
        <w:tc>
          <w:tcPr>
            <w:tcW w:w="2036" w:type="dxa"/>
            <w:tcBorders>
              <w:top w:val="nil"/>
              <w:left w:val="nil"/>
              <w:bottom w:val="single" w:sz="4" w:space="0" w:color="auto"/>
              <w:right w:val="nil"/>
            </w:tcBorders>
            <w:shd w:val="clear" w:color="auto" w:fill="auto"/>
            <w:noWrap/>
            <w:vAlign w:val="bottom"/>
            <w:hideMark/>
          </w:tcPr>
          <w:p w:rsidR="003B17F2" w:rsidRPr="00F200E7" w:rsidRDefault="005B4E96" w:rsidP="00A5746E">
            <w:pPr>
              <w:spacing w:after="0" w:line="240" w:lineRule="auto"/>
              <w:jc w:val="center"/>
              <w:rPr>
                <w:rFonts w:ascii="Book Antiqua" w:eastAsia="Times New Roman" w:hAnsi="Book Antiqua"/>
                <w:color w:val="000000"/>
                <w:sz w:val="20"/>
                <w:szCs w:val="20"/>
                <w:lang w:val="en-GB" w:eastAsia="es-GT"/>
              </w:rPr>
            </w:pPr>
            <w:r w:rsidRPr="00F200E7">
              <w:rPr>
                <w:rFonts w:ascii="Book Antiqua" w:eastAsia="Times New Roman" w:hAnsi="Book Antiqua"/>
                <w:color w:val="000000"/>
                <w:sz w:val="20"/>
                <w:szCs w:val="20"/>
                <w:lang w:val="en-GB" w:eastAsia="es-GT"/>
              </w:rPr>
              <w:t>16</w:t>
            </w:r>
            <w:r w:rsidR="00A5746E">
              <w:rPr>
                <w:rFonts w:ascii="Book Antiqua" w:eastAsia="Times New Roman" w:hAnsi="Book Antiqua"/>
                <w:color w:val="000000"/>
                <w:sz w:val="20"/>
                <w:szCs w:val="20"/>
                <w:lang w:val="en-GB" w:eastAsia="es-GT"/>
              </w:rPr>
              <w:t> </w:t>
            </w:r>
            <w:r w:rsidRPr="00F200E7">
              <w:rPr>
                <w:rFonts w:ascii="Book Antiqua" w:eastAsia="Times New Roman" w:hAnsi="Book Antiqua"/>
                <w:color w:val="000000"/>
                <w:sz w:val="20"/>
                <w:szCs w:val="20"/>
                <w:lang w:val="en-GB" w:eastAsia="es-GT"/>
              </w:rPr>
              <w:t>241</w:t>
            </w:r>
          </w:p>
        </w:tc>
      </w:tr>
    </w:tbl>
    <w:p w:rsidR="0059579D" w:rsidRDefault="00D7535E" w:rsidP="000542F1">
      <w:pPr>
        <w:spacing w:before="120"/>
        <w:rPr>
          <w:rFonts w:ascii="Book Antiqua" w:hAnsi="Book Antiqua"/>
          <w:sz w:val="16"/>
          <w:szCs w:val="16"/>
          <w:lang w:val="en-GB"/>
        </w:rPr>
      </w:pPr>
      <w:r w:rsidRPr="00F200E7">
        <w:rPr>
          <w:rFonts w:ascii="Book Antiqua" w:hAnsi="Book Antiqua"/>
          <w:sz w:val="16"/>
          <w:szCs w:val="16"/>
          <w:lang w:val="en-GB"/>
        </w:rPr>
        <w:t>Source</w:t>
      </w:r>
      <w:r w:rsidR="005B4E96" w:rsidRPr="00F200E7">
        <w:rPr>
          <w:rFonts w:ascii="Book Antiqua" w:hAnsi="Book Antiqua"/>
          <w:sz w:val="16"/>
          <w:szCs w:val="16"/>
          <w:lang w:val="en-GB"/>
        </w:rPr>
        <w:t xml:space="preserve">: </w:t>
      </w:r>
      <w:r w:rsidR="005835D9" w:rsidRPr="00F200E7">
        <w:rPr>
          <w:rFonts w:ascii="Book Antiqua" w:hAnsi="Book Antiqua"/>
          <w:sz w:val="16"/>
          <w:szCs w:val="16"/>
          <w:lang w:val="en-GB"/>
        </w:rPr>
        <w:t xml:space="preserve">SIECA, 2012. </w:t>
      </w:r>
      <w:hyperlink r:id="rId24" w:history="1">
        <w:r w:rsidR="005B4E96" w:rsidRPr="00F200E7">
          <w:rPr>
            <w:rStyle w:val="Hyperlink"/>
            <w:rFonts w:ascii="Book Antiqua" w:hAnsi="Book Antiqua"/>
            <w:color w:val="auto"/>
            <w:sz w:val="16"/>
            <w:szCs w:val="16"/>
            <w:u w:val="none"/>
            <w:lang w:val="en-GB"/>
          </w:rPr>
          <w:t>http://www.sieca.int/Publico/CA_en_cifras/CA_EVOLUCION_DEL_COMERCIO/Evolucion_1960-2010/CA_Evolucion_1960-2010.htm</w:t>
        </w:r>
      </w:hyperlink>
      <w:r w:rsidR="005B4E96" w:rsidRPr="00F200E7">
        <w:rPr>
          <w:rFonts w:ascii="Book Antiqua" w:hAnsi="Book Antiqua"/>
          <w:sz w:val="16"/>
          <w:szCs w:val="16"/>
          <w:lang w:val="en-GB"/>
        </w:rPr>
        <w:t xml:space="preserve"> (</w:t>
      </w:r>
      <w:r w:rsidRPr="00F200E7">
        <w:rPr>
          <w:rFonts w:ascii="Book Antiqua" w:hAnsi="Book Antiqua"/>
          <w:sz w:val="16"/>
          <w:szCs w:val="16"/>
          <w:lang w:val="en-GB"/>
        </w:rPr>
        <w:t xml:space="preserve">accessed </w:t>
      </w:r>
      <w:r w:rsidR="005B4E96" w:rsidRPr="00F200E7">
        <w:rPr>
          <w:rFonts w:ascii="Book Antiqua" w:hAnsi="Book Antiqua"/>
          <w:sz w:val="16"/>
          <w:szCs w:val="16"/>
          <w:lang w:val="en-GB"/>
        </w:rPr>
        <w:t>16/08/12).</w:t>
      </w:r>
    </w:p>
    <w:p w:rsidR="005B4E96" w:rsidRPr="00F200E7" w:rsidRDefault="005B4E96" w:rsidP="005B4E96">
      <w:pPr>
        <w:pStyle w:val="NoSpacing"/>
        <w:jc w:val="both"/>
        <w:rPr>
          <w:rFonts w:ascii="Book Antiqua" w:hAnsi="Book Antiqua"/>
          <w:highlight w:val="cyan"/>
          <w:lang w:val="en-GB"/>
        </w:rPr>
      </w:pPr>
    </w:p>
    <w:p w:rsidR="00EC2F41" w:rsidRPr="00F200E7" w:rsidRDefault="00ED7A7E" w:rsidP="005B4E96">
      <w:pPr>
        <w:pStyle w:val="NoSpacing"/>
        <w:jc w:val="both"/>
        <w:rPr>
          <w:rFonts w:ascii="Book Antiqua" w:hAnsi="Book Antiqua"/>
          <w:lang w:val="en-GB"/>
        </w:rPr>
      </w:pPr>
      <w:r w:rsidRPr="00F200E7">
        <w:rPr>
          <w:rFonts w:ascii="Book Antiqua" w:hAnsi="Book Antiqua"/>
          <w:lang w:val="en-GB"/>
        </w:rPr>
        <w:t xml:space="preserve">It is worth noting that </w:t>
      </w:r>
      <w:r w:rsidR="005835D9" w:rsidRPr="00F200E7">
        <w:rPr>
          <w:rFonts w:ascii="Book Antiqua" w:hAnsi="Book Antiqua"/>
          <w:lang w:val="en-GB"/>
        </w:rPr>
        <w:t xml:space="preserve">the </w:t>
      </w:r>
      <w:r w:rsidR="00604E0D" w:rsidRPr="00F200E7">
        <w:rPr>
          <w:rFonts w:ascii="Book Antiqua" w:hAnsi="Book Antiqua"/>
          <w:lang w:val="en-GB"/>
        </w:rPr>
        <w:t xml:space="preserve">export </w:t>
      </w:r>
      <w:r w:rsidRPr="00F200E7">
        <w:rPr>
          <w:rFonts w:ascii="Book Antiqua" w:hAnsi="Book Antiqua"/>
          <w:lang w:val="en-GB"/>
        </w:rPr>
        <w:t xml:space="preserve">statistics </w:t>
      </w:r>
      <w:r w:rsidR="00604E0D" w:rsidRPr="00F200E7">
        <w:rPr>
          <w:rFonts w:ascii="Book Antiqua" w:hAnsi="Book Antiqua"/>
          <w:lang w:val="en-GB"/>
        </w:rPr>
        <w:t xml:space="preserve">from </w:t>
      </w:r>
      <w:r w:rsidR="005835D9" w:rsidRPr="00F200E7">
        <w:rPr>
          <w:rFonts w:ascii="Book Antiqua" w:hAnsi="Book Antiqua"/>
          <w:lang w:val="en-GB"/>
        </w:rPr>
        <w:t xml:space="preserve">the </w:t>
      </w:r>
      <w:proofErr w:type="spellStart"/>
      <w:r w:rsidR="005835D9" w:rsidRPr="00F200E7">
        <w:rPr>
          <w:rFonts w:ascii="Book Antiqua" w:hAnsi="Book Antiqua"/>
          <w:lang w:val="en-GB"/>
        </w:rPr>
        <w:t>Secretaría</w:t>
      </w:r>
      <w:proofErr w:type="spellEnd"/>
      <w:r w:rsidR="005835D9" w:rsidRPr="00F200E7">
        <w:rPr>
          <w:rFonts w:ascii="Book Antiqua" w:hAnsi="Book Antiqua"/>
          <w:lang w:val="en-GB"/>
        </w:rPr>
        <w:t xml:space="preserve"> de </w:t>
      </w:r>
      <w:proofErr w:type="spellStart"/>
      <w:r w:rsidR="005835D9" w:rsidRPr="00F200E7">
        <w:rPr>
          <w:rFonts w:ascii="Book Antiqua" w:hAnsi="Book Antiqua"/>
          <w:lang w:val="en-GB"/>
        </w:rPr>
        <w:t>Integración</w:t>
      </w:r>
      <w:proofErr w:type="spellEnd"/>
      <w:r w:rsidR="005835D9" w:rsidRPr="00F200E7">
        <w:rPr>
          <w:rFonts w:ascii="Book Antiqua" w:hAnsi="Book Antiqua"/>
          <w:lang w:val="en-GB"/>
        </w:rPr>
        <w:t xml:space="preserve"> </w:t>
      </w:r>
      <w:proofErr w:type="spellStart"/>
      <w:r w:rsidR="005835D9" w:rsidRPr="00F200E7">
        <w:rPr>
          <w:rFonts w:ascii="Book Antiqua" w:hAnsi="Book Antiqua"/>
          <w:lang w:val="en-GB"/>
        </w:rPr>
        <w:t>Económica</w:t>
      </w:r>
      <w:proofErr w:type="spellEnd"/>
      <w:r w:rsidR="005835D9" w:rsidRPr="00F200E7">
        <w:rPr>
          <w:rFonts w:ascii="Book Antiqua" w:hAnsi="Book Antiqua"/>
          <w:lang w:val="en-GB"/>
        </w:rPr>
        <w:t xml:space="preserve"> </w:t>
      </w:r>
      <w:proofErr w:type="spellStart"/>
      <w:r w:rsidR="005835D9" w:rsidRPr="00F200E7">
        <w:rPr>
          <w:rFonts w:ascii="Book Antiqua" w:hAnsi="Book Antiqua"/>
          <w:lang w:val="en-GB"/>
        </w:rPr>
        <w:t>Centroamericana</w:t>
      </w:r>
      <w:proofErr w:type="spellEnd"/>
      <w:r w:rsidR="005835D9" w:rsidRPr="00F200E7">
        <w:rPr>
          <w:rFonts w:ascii="Book Antiqua" w:hAnsi="Book Antiqua"/>
          <w:lang w:val="en-GB"/>
        </w:rPr>
        <w:t xml:space="preserve"> (SIEC</w:t>
      </w:r>
      <w:r w:rsidR="000170D3" w:rsidRPr="00F200E7">
        <w:rPr>
          <w:rFonts w:ascii="Book Antiqua" w:hAnsi="Book Antiqua"/>
          <w:lang w:val="en-GB"/>
        </w:rPr>
        <w:t>A</w:t>
      </w:r>
      <w:r w:rsidR="005835D9" w:rsidRPr="00F200E7">
        <w:rPr>
          <w:rFonts w:ascii="Book Antiqua" w:hAnsi="Book Antiqua"/>
          <w:lang w:val="en-GB"/>
        </w:rPr>
        <w:t xml:space="preserve">), shown in table 6.9, </w:t>
      </w:r>
      <w:r w:rsidRPr="00F200E7">
        <w:rPr>
          <w:rFonts w:ascii="Book Antiqua" w:hAnsi="Book Antiqua"/>
          <w:lang w:val="en-GB"/>
        </w:rPr>
        <w:t>do not include</w:t>
      </w:r>
      <w:r w:rsidR="000542F1">
        <w:rPr>
          <w:rFonts w:ascii="Book Antiqua" w:hAnsi="Book Antiqua"/>
          <w:lang w:val="en-GB"/>
        </w:rPr>
        <w:t xml:space="preserve"> textile exports from</w:t>
      </w:r>
      <w:r w:rsidR="00EB2641" w:rsidRPr="00F200E7">
        <w:rPr>
          <w:rFonts w:ascii="Book Antiqua" w:hAnsi="Book Antiqua"/>
          <w:lang w:val="en-GB"/>
        </w:rPr>
        <w:t xml:space="preserve"> the</w:t>
      </w:r>
      <w:r w:rsidR="00AE174D">
        <w:rPr>
          <w:rFonts w:ascii="Book Antiqua" w:hAnsi="Book Antiqua"/>
          <w:lang w:val="en-GB"/>
        </w:rPr>
        <w:t xml:space="preserve"> </w:t>
      </w:r>
      <w:proofErr w:type="spellStart"/>
      <w:r w:rsidR="00B826ED" w:rsidRPr="00F200E7">
        <w:rPr>
          <w:rFonts w:ascii="Book Antiqua" w:hAnsi="Book Antiqua"/>
          <w:i/>
          <w:lang w:val="en-GB"/>
        </w:rPr>
        <w:t>m</w:t>
      </w:r>
      <w:r w:rsidRPr="00F200E7">
        <w:rPr>
          <w:rFonts w:ascii="Book Antiqua" w:hAnsi="Book Antiqua"/>
          <w:i/>
          <w:lang w:val="en-GB"/>
        </w:rPr>
        <w:t>aquila</w:t>
      </w:r>
      <w:r w:rsidR="000542F1">
        <w:rPr>
          <w:rFonts w:ascii="Book Antiqua" w:hAnsi="Book Antiqua"/>
          <w:i/>
          <w:lang w:val="en-GB"/>
        </w:rPr>
        <w:t>s</w:t>
      </w:r>
      <w:proofErr w:type="spellEnd"/>
      <w:r w:rsidR="00827790">
        <w:rPr>
          <w:rFonts w:ascii="Book Antiqua" w:hAnsi="Book Antiqua"/>
          <w:i/>
          <w:lang w:val="en-GB"/>
        </w:rPr>
        <w:t xml:space="preserve"> </w:t>
      </w:r>
      <w:r w:rsidR="00B826ED" w:rsidRPr="00F200E7">
        <w:rPr>
          <w:rFonts w:ascii="Book Antiqua" w:hAnsi="Book Antiqua"/>
          <w:lang w:val="en-GB"/>
        </w:rPr>
        <w:t>(free-trade zones where products are processed or manufactured from materials imported duty-free)</w:t>
      </w:r>
      <w:r w:rsidR="000542F1">
        <w:rPr>
          <w:rFonts w:ascii="Book Antiqua" w:hAnsi="Book Antiqua"/>
          <w:lang w:val="en-GB"/>
        </w:rPr>
        <w:t xml:space="preserve">. Given that </w:t>
      </w:r>
      <w:proofErr w:type="spellStart"/>
      <w:r w:rsidR="000542F1" w:rsidRPr="000542F1">
        <w:rPr>
          <w:rFonts w:ascii="Book Antiqua" w:hAnsi="Book Antiqua"/>
          <w:i/>
          <w:lang w:val="en-GB"/>
        </w:rPr>
        <w:t>maquila</w:t>
      </w:r>
      <w:proofErr w:type="spellEnd"/>
      <w:r w:rsidR="000542F1">
        <w:rPr>
          <w:rFonts w:ascii="Book Antiqua" w:hAnsi="Book Antiqua"/>
          <w:lang w:val="en-GB"/>
        </w:rPr>
        <w:t xml:space="preserve"> exports play a more important role in trade with the rest of the world than in intraregional trade, the weight of intraregional exports in total exports is likely to be overvalued in Table 6.9. T</w:t>
      </w:r>
      <w:r w:rsidRPr="00F200E7">
        <w:rPr>
          <w:rFonts w:ascii="Book Antiqua" w:hAnsi="Book Antiqua"/>
          <w:lang w:val="en-GB"/>
        </w:rPr>
        <w:t xml:space="preserve">he Central American </w:t>
      </w:r>
      <w:r w:rsidR="00D85D3A" w:rsidRPr="00F200E7">
        <w:rPr>
          <w:rFonts w:ascii="Book Antiqua" w:hAnsi="Book Antiqua"/>
          <w:lang w:val="en-GB"/>
        </w:rPr>
        <w:t>C</w:t>
      </w:r>
      <w:r w:rsidRPr="00F200E7">
        <w:rPr>
          <w:rFonts w:ascii="Book Antiqua" w:hAnsi="Book Antiqua"/>
          <w:lang w:val="en-GB"/>
        </w:rPr>
        <w:t xml:space="preserve">ommon </w:t>
      </w:r>
      <w:r w:rsidR="00D85D3A" w:rsidRPr="00F200E7">
        <w:rPr>
          <w:rFonts w:ascii="Book Antiqua" w:hAnsi="Book Antiqua"/>
          <w:lang w:val="en-GB"/>
        </w:rPr>
        <w:t xml:space="preserve">Market </w:t>
      </w:r>
      <w:r w:rsidRPr="00F200E7">
        <w:rPr>
          <w:rFonts w:ascii="Book Antiqua" w:hAnsi="Book Antiqua"/>
          <w:lang w:val="en-GB"/>
        </w:rPr>
        <w:t>is</w:t>
      </w:r>
      <w:r w:rsidR="000542F1">
        <w:rPr>
          <w:rFonts w:ascii="Book Antiqua" w:hAnsi="Book Antiqua"/>
          <w:lang w:val="en-GB"/>
        </w:rPr>
        <w:t xml:space="preserve"> nevertheless</w:t>
      </w:r>
      <w:r w:rsidRPr="00F200E7">
        <w:rPr>
          <w:rFonts w:ascii="Book Antiqua" w:hAnsi="Book Antiqua"/>
          <w:lang w:val="en-GB"/>
        </w:rPr>
        <w:t xml:space="preserve"> of great importance for all its parties</w:t>
      </w:r>
      <w:r w:rsidR="00B676FB" w:rsidRPr="00F200E7">
        <w:rPr>
          <w:rFonts w:ascii="Book Antiqua" w:hAnsi="Book Antiqua"/>
          <w:lang w:val="en-GB"/>
        </w:rPr>
        <w:t>, and its share of trade has been increasing</w:t>
      </w:r>
      <w:r w:rsidRPr="00F200E7">
        <w:rPr>
          <w:rFonts w:ascii="Book Antiqua" w:hAnsi="Book Antiqua"/>
          <w:lang w:val="en-GB"/>
        </w:rPr>
        <w:t>. In 2010 it represented 11.2 per cent of Costa Rican exports, 35.5 per cent for El Salvador, 28.2 per cent for Guatemala, 22.7 per cent for Honduras</w:t>
      </w:r>
      <w:r w:rsidR="00B826ED" w:rsidRPr="00F200E7">
        <w:rPr>
          <w:rFonts w:ascii="Book Antiqua" w:hAnsi="Book Antiqua"/>
          <w:lang w:val="en-GB"/>
        </w:rPr>
        <w:t>,</w:t>
      </w:r>
      <w:r w:rsidRPr="00F200E7">
        <w:rPr>
          <w:rFonts w:ascii="Book Antiqua" w:hAnsi="Book Antiqua"/>
          <w:lang w:val="en-GB"/>
        </w:rPr>
        <w:t xml:space="preserve"> and 14.5 per cent for Nicaragua (</w:t>
      </w:r>
      <w:proofErr w:type="spellStart"/>
      <w:r w:rsidRPr="00F200E7">
        <w:rPr>
          <w:rFonts w:ascii="Book Antiqua" w:hAnsi="Book Antiqua"/>
          <w:lang w:val="en-GB"/>
        </w:rPr>
        <w:t>Urrutia</w:t>
      </w:r>
      <w:proofErr w:type="spellEnd"/>
      <w:r w:rsidRPr="00F200E7">
        <w:rPr>
          <w:rFonts w:ascii="Book Antiqua" w:hAnsi="Book Antiqua"/>
          <w:lang w:val="en-GB"/>
        </w:rPr>
        <w:t>, 2011).</w:t>
      </w:r>
    </w:p>
    <w:p w:rsidR="00ED7A7E" w:rsidRPr="00F200E7" w:rsidRDefault="00ED7A7E" w:rsidP="005B4E96">
      <w:pPr>
        <w:pStyle w:val="NoSpacing"/>
        <w:jc w:val="both"/>
        <w:rPr>
          <w:rFonts w:ascii="Book Antiqua" w:hAnsi="Book Antiqua"/>
          <w:lang w:val="en-GB"/>
        </w:rPr>
      </w:pPr>
    </w:p>
    <w:p w:rsidR="00ED7A7E" w:rsidRPr="00F200E7" w:rsidRDefault="00ED7A7E" w:rsidP="005B4E96">
      <w:pPr>
        <w:pStyle w:val="NoSpacing"/>
        <w:jc w:val="both"/>
        <w:rPr>
          <w:rFonts w:ascii="Book Antiqua" w:hAnsi="Book Antiqua"/>
          <w:lang w:val="en-GB"/>
        </w:rPr>
      </w:pPr>
      <w:r w:rsidRPr="00F200E7">
        <w:rPr>
          <w:rFonts w:ascii="Book Antiqua" w:hAnsi="Book Antiqua"/>
          <w:lang w:val="en-GB"/>
        </w:rPr>
        <w:t xml:space="preserve">To </w:t>
      </w:r>
      <w:r w:rsidR="00A5746E">
        <w:rPr>
          <w:rFonts w:ascii="Book Antiqua" w:hAnsi="Book Antiqua"/>
          <w:lang w:val="en-GB"/>
        </w:rPr>
        <w:t>mark</w:t>
      </w:r>
      <w:r w:rsidR="00AE174D">
        <w:rPr>
          <w:rFonts w:ascii="Book Antiqua" w:hAnsi="Book Antiqua"/>
          <w:lang w:val="en-GB"/>
        </w:rPr>
        <w:t xml:space="preserve"> </w:t>
      </w:r>
      <w:r w:rsidRPr="00F200E7">
        <w:rPr>
          <w:rFonts w:ascii="Book Antiqua" w:hAnsi="Book Antiqua"/>
          <w:lang w:val="en-GB"/>
        </w:rPr>
        <w:t xml:space="preserve">its </w:t>
      </w:r>
      <w:r w:rsidR="00A5746E">
        <w:rPr>
          <w:rFonts w:ascii="Book Antiqua" w:hAnsi="Book Antiqua"/>
          <w:lang w:val="en-GB"/>
        </w:rPr>
        <w:t>50</w:t>
      </w:r>
      <w:r w:rsidR="00A5746E" w:rsidRPr="00F200E7">
        <w:rPr>
          <w:rFonts w:ascii="Book Antiqua" w:hAnsi="Book Antiqua"/>
          <w:lang w:val="en-GB"/>
        </w:rPr>
        <w:t xml:space="preserve">th </w:t>
      </w:r>
      <w:r w:rsidRPr="00F200E7">
        <w:rPr>
          <w:rFonts w:ascii="Book Antiqua" w:hAnsi="Book Antiqua"/>
          <w:lang w:val="en-GB"/>
        </w:rPr>
        <w:t>anniversary in 2010</w:t>
      </w:r>
      <w:r w:rsidR="00604E0D" w:rsidRPr="00F200E7">
        <w:rPr>
          <w:rFonts w:ascii="Book Antiqua" w:hAnsi="Book Antiqua"/>
          <w:lang w:val="en-GB"/>
        </w:rPr>
        <w:t>,</w:t>
      </w:r>
      <w:r w:rsidRPr="00F200E7">
        <w:rPr>
          <w:rFonts w:ascii="Book Antiqua" w:hAnsi="Book Antiqua"/>
          <w:lang w:val="en-GB"/>
        </w:rPr>
        <w:t xml:space="preserve"> the Central American Bank of Economic Integration (</w:t>
      </w:r>
      <w:proofErr w:type="spellStart"/>
      <w:r w:rsidRPr="00F200E7">
        <w:rPr>
          <w:rFonts w:ascii="Book Antiqua" w:hAnsi="Book Antiqua"/>
          <w:lang w:val="en-GB"/>
        </w:rPr>
        <w:t>Banco</w:t>
      </w:r>
      <w:proofErr w:type="spellEnd"/>
      <w:r w:rsidRPr="00F200E7">
        <w:rPr>
          <w:rFonts w:ascii="Book Antiqua" w:hAnsi="Book Antiqua"/>
          <w:lang w:val="en-GB"/>
        </w:rPr>
        <w:t xml:space="preserve"> </w:t>
      </w:r>
      <w:proofErr w:type="spellStart"/>
      <w:r w:rsidRPr="00F200E7">
        <w:rPr>
          <w:rFonts w:ascii="Book Antiqua" w:hAnsi="Book Antiqua"/>
          <w:lang w:val="en-GB"/>
        </w:rPr>
        <w:t>Centroamericano</w:t>
      </w:r>
      <w:proofErr w:type="spellEnd"/>
      <w:r w:rsidRPr="00F200E7">
        <w:rPr>
          <w:rFonts w:ascii="Book Antiqua" w:hAnsi="Book Antiqua"/>
          <w:lang w:val="en-GB"/>
        </w:rPr>
        <w:t xml:space="preserve"> de </w:t>
      </w:r>
      <w:proofErr w:type="spellStart"/>
      <w:r w:rsidRPr="00F200E7">
        <w:rPr>
          <w:rFonts w:ascii="Book Antiqua" w:hAnsi="Book Antiqua"/>
          <w:lang w:val="en-GB"/>
        </w:rPr>
        <w:t>Integración</w:t>
      </w:r>
      <w:proofErr w:type="spellEnd"/>
      <w:r w:rsidRPr="00F200E7">
        <w:rPr>
          <w:rFonts w:ascii="Book Antiqua" w:hAnsi="Book Antiqua"/>
          <w:lang w:val="en-GB"/>
        </w:rPr>
        <w:t xml:space="preserve"> </w:t>
      </w:r>
      <w:proofErr w:type="spellStart"/>
      <w:r w:rsidRPr="00F200E7">
        <w:rPr>
          <w:rFonts w:ascii="Book Antiqua" w:hAnsi="Book Antiqua"/>
          <w:lang w:val="en-GB"/>
        </w:rPr>
        <w:t>Económica</w:t>
      </w:r>
      <w:proofErr w:type="spellEnd"/>
      <w:r w:rsidRPr="00F200E7">
        <w:rPr>
          <w:rFonts w:ascii="Book Antiqua" w:hAnsi="Book Antiqua"/>
          <w:lang w:val="en-GB"/>
        </w:rPr>
        <w:t xml:space="preserve">, </w:t>
      </w:r>
      <w:r w:rsidR="00604E0D" w:rsidRPr="00F200E7">
        <w:rPr>
          <w:rFonts w:ascii="Book Antiqua" w:hAnsi="Book Antiqua"/>
          <w:lang w:val="en-GB"/>
        </w:rPr>
        <w:t xml:space="preserve">or </w:t>
      </w:r>
      <w:r w:rsidRPr="00F200E7">
        <w:rPr>
          <w:rFonts w:ascii="Book Antiqua" w:hAnsi="Book Antiqua"/>
          <w:lang w:val="en-GB"/>
        </w:rPr>
        <w:t>BCIE) evaluated the economic integration process</w:t>
      </w:r>
      <w:r w:rsidR="00604E0D" w:rsidRPr="00F200E7">
        <w:rPr>
          <w:rFonts w:ascii="Book Antiqua" w:hAnsi="Book Antiqua"/>
          <w:lang w:val="en-GB"/>
        </w:rPr>
        <w:t>,</w:t>
      </w:r>
      <w:r w:rsidRPr="00F200E7">
        <w:rPr>
          <w:rFonts w:ascii="Book Antiqua" w:hAnsi="Book Antiqua"/>
          <w:lang w:val="en-GB"/>
        </w:rPr>
        <w:t xml:space="preserve"> highlighting among its achievements its endurance </w:t>
      </w:r>
      <w:r w:rsidR="00604E0D" w:rsidRPr="00F200E7">
        <w:rPr>
          <w:rFonts w:ascii="Book Antiqua" w:hAnsi="Book Antiqua"/>
          <w:lang w:val="en-GB"/>
        </w:rPr>
        <w:t xml:space="preserve">in the face of </w:t>
      </w:r>
      <w:r w:rsidRPr="00F200E7">
        <w:rPr>
          <w:rFonts w:ascii="Book Antiqua" w:hAnsi="Book Antiqua"/>
          <w:lang w:val="en-GB"/>
        </w:rPr>
        <w:t>diversity and adversity. It also pointed out that the region is strategically located, with a common language</w:t>
      </w:r>
      <w:r w:rsidR="008A0D49" w:rsidRPr="00F200E7">
        <w:rPr>
          <w:rFonts w:ascii="Book Antiqua" w:hAnsi="Book Antiqua"/>
          <w:lang w:val="en-GB"/>
        </w:rPr>
        <w:t xml:space="preserve">, </w:t>
      </w:r>
      <w:r w:rsidR="00604E0D" w:rsidRPr="00F200E7">
        <w:rPr>
          <w:rFonts w:ascii="Book Antiqua" w:hAnsi="Book Antiqua"/>
          <w:lang w:val="en-GB"/>
        </w:rPr>
        <w:t xml:space="preserve">and has </w:t>
      </w:r>
      <w:r w:rsidR="008A0D49" w:rsidRPr="00F200E7">
        <w:rPr>
          <w:rFonts w:ascii="Book Antiqua" w:hAnsi="Book Antiqua"/>
          <w:lang w:val="en-GB"/>
        </w:rPr>
        <w:t>no ideological adversaries and that it has expanded its scope and geographical presence.</w:t>
      </w:r>
      <w:r w:rsidR="008A0D49" w:rsidRPr="00F200E7">
        <w:rPr>
          <w:rStyle w:val="FootnoteReference"/>
          <w:rFonts w:ascii="Book Antiqua" w:hAnsi="Book Antiqua" w:cs="Arial"/>
          <w:lang w:val="en-GB"/>
        </w:rPr>
        <w:footnoteReference w:id="17"/>
      </w:r>
      <w:r w:rsidR="008A0D49" w:rsidRPr="00F200E7">
        <w:rPr>
          <w:rFonts w:ascii="Book Antiqua" w:hAnsi="Book Antiqua"/>
          <w:lang w:val="en-GB"/>
        </w:rPr>
        <w:t xml:space="preserve"> In addition</w:t>
      </w:r>
      <w:r w:rsidR="000E4FA1" w:rsidRPr="00F200E7">
        <w:rPr>
          <w:rFonts w:ascii="Book Antiqua" w:hAnsi="Book Antiqua"/>
          <w:lang w:val="en-GB"/>
        </w:rPr>
        <w:t>,</w:t>
      </w:r>
      <w:r w:rsidR="008A0D49" w:rsidRPr="00F200E7">
        <w:rPr>
          <w:rFonts w:ascii="Book Antiqua" w:hAnsi="Book Antiqua"/>
          <w:lang w:val="en-GB"/>
        </w:rPr>
        <w:t xml:space="preserve"> the report pointed out that it is the most successful process of integration in the developing world</w:t>
      </w:r>
      <w:r w:rsidR="000E4FA1" w:rsidRPr="00F200E7">
        <w:rPr>
          <w:rFonts w:ascii="Book Antiqua" w:hAnsi="Book Antiqua"/>
          <w:lang w:val="en-GB"/>
        </w:rPr>
        <w:t>,</w:t>
      </w:r>
      <w:r w:rsidR="008A0D49" w:rsidRPr="00F200E7">
        <w:rPr>
          <w:rFonts w:ascii="Book Antiqua" w:hAnsi="Book Antiqua"/>
          <w:lang w:val="en-GB"/>
        </w:rPr>
        <w:t xml:space="preserve"> for it is a complete</w:t>
      </w:r>
      <w:r w:rsidR="000E4FA1" w:rsidRPr="00F200E7">
        <w:rPr>
          <w:rFonts w:ascii="Book Antiqua" w:hAnsi="Book Antiqua"/>
          <w:lang w:val="en-GB"/>
        </w:rPr>
        <w:t>ly</w:t>
      </w:r>
      <w:r w:rsidR="008A0D49" w:rsidRPr="00F200E7">
        <w:rPr>
          <w:rFonts w:ascii="Book Antiqua" w:hAnsi="Book Antiqua"/>
          <w:lang w:val="en-GB"/>
        </w:rPr>
        <w:t xml:space="preserve"> free trade area, except for sugar and coffee. Moreover</w:t>
      </w:r>
      <w:r w:rsidR="0053153B">
        <w:rPr>
          <w:rFonts w:ascii="Book Antiqua" w:hAnsi="Book Antiqua"/>
          <w:lang w:val="en-GB"/>
        </w:rPr>
        <w:t>,</w:t>
      </w:r>
      <w:r w:rsidR="008A0D49" w:rsidRPr="00F200E7">
        <w:rPr>
          <w:rFonts w:ascii="Book Antiqua" w:hAnsi="Book Antiqua"/>
          <w:lang w:val="en-GB"/>
        </w:rPr>
        <w:t xml:space="preserve"> the process is supported </w:t>
      </w:r>
      <w:r w:rsidR="000E4FA1" w:rsidRPr="00F200E7">
        <w:rPr>
          <w:rFonts w:ascii="Book Antiqua" w:hAnsi="Book Antiqua"/>
          <w:lang w:val="en-GB"/>
        </w:rPr>
        <w:t xml:space="preserve">by </w:t>
      </w:r>
      <w:r w:rsidR="008A0D49" w:rsidRPr="00F200E7">
        <w:rPr>
          <w:rFonts w:ascii="Book Antiqua" w:hAnsi="Book Antiqua"/>
          <w:lang w:val="en-GB"/>
        </w:rPr>
        <w:t>both governments and civil society (BCIE, 2010).</w:t>
      </w:r>
    </w:p>
    <w:p w:rsidR="008A0D49" w:rsidRPr="00F200E7" w:rsidRDefault="008A0D49" w:rsidP="005B4E96">
      <w:pPr>
        <w:pStyle w:val="NoSpacing"/>
        <w:jc w:val="both"/>
        <w:rPr>
          <w:rFonts w:ascii="Book Antiqua" w:hAnsi="Book Antiqua"/>
          <w:lang w:val="en-GB"/>
        </w:rPr>
      </w:pPr>
    </w:p>
    <w:p w:rsidR="005B4E96" w:rsidRPr="00F200E7" w:rsidRDefault="008A0D49" w:rsidP="008A0D49">
      <w:pPr>
        <w:pStyle w:val="NoSpacing"/>
        <w:jc w:val="both"/>
        <w:rPr>
          <w:rFonts w:ascii="Book Antiqua" w:hAnsi="Book Antiqua"/>
          <w:lang w:val="en-GB"/>
        </w:rPr>
      </w:pPr>
      <w:r w:rsidRPr="00F200E7">
        <w:rPr>
          <w:rFonts w:ascii="Book Antiqua" w:hAnsi="Book Antiqua"/>
          <w:lang w:val="en-GB"/>
        </w:rPr>
        <w:t xml:space="preserve">Additionally, Guatemala has preferential trade agreements signed and </w:t>
      </w:r>
      <w:r w:rsidR="00BC151C" w:rsidRPr="00F200E7">
        <w:rPr>
          <w:rFonts w:ascii="Book Antiqua" w:hAnsi="Book Antiqua"/>
          <w:lang w:val="en-GB"/>
        </w:rPr>
        <w:t>in force</w:t>
      </w:r>
      <w:r w:rsidRPr="00F200E7">
        <w:rPr>
          <w:rFonts w:ascii="Book Antiqua" w:hAnsi="Book Antiqua"/>
          <w:lang w:val="en-GB"/>
        </w:rPr>
        <w:t xml:space="preserve"> with Chile, Colombia, </w:t>
      </w:r>
      <w:r w:rsidR="000E4FA1" w:rsidRPr="00F200E7">
        <w:rPr>
          <w:rFonts w:ascii="Book Antiqua" w:hAnsi="Book Antiqua"/>
          <w:lang w:val="en-GB"/>
        </w:rPr>
        <w:t xml:space="preserve">the Dominican Republic, </w:t>
      </w:r>
      <w:r w:rsidRPr="00F200E7">
        <w:rPr>
          <w:rFonts w:ascii="Book Antiqua" w:hAnsi="Book Antiqua"/>
          <w:lang w:val="en-GB"/>
        </w:rPr>
        <w:t xml:space="preserve">Mexico, Panama, and Taiwan; and partial </w:t>
      </w:r>
      <w:r w:rsidR="001313A4">
        <w:rPr>
          <w:rFonts w:ascii="Book Antiqua" w:hAnsi="Book Antiqua"/>
          <w:lang w:val="en-GB"/>
        </w:rPr>
        <w:t>preferential</w:t>
      </w:r>
      <w:r w:rsidRPr="00F200E7">
        <w:rPr>
          <w:rFonts w:ascii="Book Antiqua" w:hAnsi="Book Antiqua"/>
          <w:lang w:val="en-GB"/>
        </w:rPr>
        <w:t xml:space="preserve"> agreements with Belize, Cuba</w:t>
      </w:r>
      <w:r w:rsidR="000E4FA1" w:rsidRPr="00F200E7">
        <w:rPr>
          <w:rFonts w:ascii="Book Antiqua" w:hAnsi="Book Antiqua"/>
          <w:lang w:val="en-GB"/>
        </w:rPr>
        <w:t>,</w:t>
      </w:r>
      <w:r w:rsidRPr="00F200E7">
        <w:rPr>
          <w:rFonts w:ascii="Book Antiqua" w:hAnsi="Book Antiqua"/>
          <w:lang w:val="en-GB"/>
        </w:rPr>
        <w:t xml:space="preserve"> and Venezuela. Additionally</w:t>
      </w:r>
      <w:r w:rsidR="000E4FA1" w:rsidRPr="00F200E7">
        <w:rPr>
          <w:rFonts w:ascii="Book Antiqua" w:hAnsi="Book Antiqua"/>
          <w:lang w:val="en-GB"/>
        </w:rPr>
        <w:t>,</w:t>
      </w:r>
      <w:r w:rsidRPr="00F200E7">
        <w:rPr>
          <w:rFonts w:ascii="Book Antiqua" w:hAnsi="Book Antiqua"/>
          <w:lang w:val="en-GB"/>
        </w:rPr>
        <w:t xml:space="preserve"> it is eligible for the Canadian and European </w:t>
      </w:r>
      <w:r w:rsidR="00DB3EB6" w:rsidRPr="00F200E7">
        <w:rPr>
          <w:rFonts w:ascii="Book Antiqua" w:hAnsi="Book Antiqua"/>
          <w:lang w:val="en-GB"/>
        </w:rPr>
        <w:t>Generalized System of Preference (</w:t>
      </w:r>
      <w:r w:rsidRPr="00F200E7">
        <w:rPr>
          <w:rFonts w:ascii="Book Antiqua" w:hAnsi="Book Antiqua"/>
          <w:lang w:val="en-GB"/>
        </w:rPr>
        <w:t>GSP</w:t>
      </w:r>
      <w:r w:rsidR="00DB3EB6" w:rsidRPr="00F200E7">
        <w:rPr>
          <w:rFonts w:ascii="Book Antiqua" w:hAnsi="Book Antiqua"/>
          <w:lang w:val="en-GB"/>
        </w:rPr>
        <w:t>)</w:t>
      </w:r>
      <w:r w:rsidRPr="00F200E7">
        <w:rPr>
          <w:rFonts w:ascii="Book Antiqua" w:hAnsi="Book Antiqua"/>
          <w:lang w:val="en-GB"/>
        </w:rPr>
        <w:t>.</w:t>
      </w:r>
    </w:p>
    <w:p w:rsidR="008A0D49" w:rsidRPr="00F200E7" w:rsidRDefault="008A0D49" w:rsidP="005B4E96">
      <w:pPr>
        <w:pStyle w:val="NoSpacing"/>
        <w:jc w:val="both"/>
        <w:rPr>
          <w:rFonts w:ascii="Book Antiqua" w:hAnsi="Book Antiqua"/>
          <w:lang w:val="en-GB"/>
        </w:rPr>
      </w:pPr>
    </w:p>
    <w:p w:rsidR="00320088" w:rsidRPr="00F200E7" w:rsidRDefault="00DB3EB6" w:rsidP="005B4E96">
      <w:pPr>
        <w:pStyle w:val="NoSpacing"/>
        <w:jc w:val="both"/>
        <w:rPr>
          <w:rFonts w:ascii="Book Antiqua" w:hAnsi="Book Antiqua"/>
          <w:lang w:val="en-GB"/>
        </w:rPr>
      </w:pPr>
      <w:r w:rsidRPr="00F200E7">
        <w:rPr>
          <w:rFonts w:ascii="Book Antiqua" w:hAnsi="Book Antiqua"/>
          <w:lang w:val="en-GB"/>
        </w:rPr>
        <w:t>I</w:t>
      </w:r>
      <w:r w:rsidR="008A0D49" w:rsidRPr="00F200E7">
        <w:rPr>
          <w:rFonts w:ascii="Book Antiqua" w:hAnsi="Book Antiqua"/>
          <w:lang w:val="en-GB"/>
        </w:rPr>
        <w:t xml:space="preserve">n the majority of these </w:t>
      </w:r>
      <w:r w:rsidR="00320088" w:rsidRPr="00F200E7">
        <w:rPr>
          <w:rFonts w:ascii="Book Antiqua" w:hAnsi="Book Antiqua"/>
          <w:lang w:val="en-GB"/>
        </w:rPr>
        <w:t>agreements</w:t>
      </w:r>
      <w:r w:rsidRPr="00F200E7">
        <w:rPr>
          <w:rFonts w:ascii="Book Antiqua" w:hAnsi="Book Antiqua"/>
          <w:lang w:val="en-GB"/>
        </w:rPr>
        <w:t>,</w:t>
      </w:r>
      <w:r w:rsidR="008A0D49" w:rsidRPr="00F200E7">
        <w:rPr>
          <w:rFonts w:ascii="Book Antiqua" w:hAnsi="Book Antiqua"/>
          <w:lang w:val="en-GB"/>
        </w:rPr>
        <w:t xml:space="preserve"> Guatemala has negotiated </w:t>
      </w:r>
      <w:r w:rsidRPr="00F200E7">
        <w:rPr>
          <w:rFonts w:ascii="Book Antiqua" w:hAnsi="Book Antiqua"/>
          <w:lang w:val="en-GB"/>
        </w:rPr>
        <w:t xml:space="preserve">the </w:t>
      </w:r>
      <w:r w:rsidR="008A0D49" w:rsidRPr="00F200E7">
        <w:rPr>
          <w:rFonts w:ascii="Book Antiqua" w:hAnsi="Book Antiqua"/>
          <w:lang w:val="en-GB"/>
        </w:rPr>
        <w:t>reduction or elimination</w:t>
      </w:r>
      <w:r w:rsidR="00AE174D">
        <w:rPr>
          <w:rFonts w:ascii="Book Antiqua" w:hAnsi="Book Antiqua"/>
          <w:lang w:val="en-GB"/>
        </w:rPr>
        <w:t xml:space="preserve"> </w:t>
      </w:r>
      <w:r w:rsidRPr="00F200E7">
        <w:rPr>
          <w:rFonts w:ascii="Book Antiqua" w:hAnsi="Book Antiqua"/>
          <w:lang w:val="en-GB"/>
        </w:rPr>
        <w:t xml:space="preserve">of tariffs </w:t>
      </w:r>
      <w:r w:rsidR="00320088" w:rsidRPr="00F200E7">
        <w:rPr>
          <w:rFonts w:ascii="Book Antiqua" w:hAnsi="Book Antiqua"/>
          <w:lang w:val="en-GB"/>
        </w:rPr>
        <w:t xml:space="preserve">for agricultural products. This </w:t>
      </w:r>
      <w:r w:rsidRPr="00F200E7">
        <w:rPr>
          <w:rFonts w:ascii="Book Antiqua" w:hAnsi="Book Antiqua"/>
          <w:lang w:val="en-GB"/>
        </w:rPr>
        <w:t xml:space="preserve">is important because </w:t>
      </w:r>
      <w:r w:rsidR="00320088" w:rsidRPr="00F200E7">
        <w:rPr>
          <w:rFonts w:ascii="Book Antiqua" w:hAnsi="Book Antiqua"/>
          <w:lang w:val="en-GB"/>
        </w:rPr>
        <w:t xml:space="preserve">agricultural products are the ones </w:t>
      </w:r>
      <w:r w:rsidRPr="00F200E7">
        <w:rPr>
          <w:rFonts w:ascii="Book Antiqua" w:hAnsi="Book Antiqua"/>
          <w:lang w:val="en-GB"/>
        </w:rPr>
        <w:t xml:space="preserve">that </w:t>
      </w:r>
      <w:r w:rsidR="00320088" w:rsidRPr="00F200E7">
        <w:rPr>
          <w:rFonts w:ascii="Book Antiqua" w:hAnsi="Book Antiqua"/>
          <w:lang w:val="en-GB"/>
        </w:rPr>
        <w:t>Guatemala exports the most.</w:t>
      </w:r>
      <w:r w:rsidR="00AE174D">
        <w:rPr>
          <w:rFonts w:ascii="Book Antiqua" w:hAnsi="Book Antiqua"/>
          <w:lang w:val="en-GB"/>
        </w:rPr>
        <w:t xml:space="preserve"> </w:t>
      </w:r>
      <w:r w:rsidR="00320088" w:rsidRPr="00F200E7">
        <w:rPr>
          <w:rFonts w:ascii="Book Antiqua" w:hAnsi="Book Antiqua"/>
          <w:lang w:val="en-GB"/>
        </w:rPr>
        <w:t>An example of this is the 2005 FTA with Taiwan, w</w:t>
      </w:r>
      <w:r w:rsidRPr="00F200E7">
        <w:rPr>
          <w:rFonts w:ascii="Book Antiqua" w:hAnsi="Book Antiqua"/>
          <w:lang w:val="en-GB"/>
        </w:rPr>
        <w:t>h</w:t>
      </w:r>
      <w:r w:rsidR="00320088" w:rsidRPr="00F200E7">
        <w:rPr>
          <w:rFonts w:ascii="Book Antiqua" w:hAnsi="Book Antiqua"/>
          <w:lang w:val="en-GB"/>
        </w:rPr>
        <w:t xml:space="preserve">ere tariff reductions were negotiated for coffee, sugar, cardamom, asparagus, capers, vegetable seeds, </w:t>
      </w:r>
      <w:r w:rsidRPr="00F200E7">
        <w:rPr>
          <w:rFonts w:ascii="Book Antiqua" w:hAnsi="Book Antiqua"/>
          <w:lang w:val="en-GB"/>
        </w:rPr>
        <w:t>and other agricultural goods</w:t>
      </w:r>
      <w:r w:rsidR="00320088" w:rsidRPr="00F200E7">
        <w:rPr>
          <w:rFonts w:ascii="Book Antiqua" w:hAnsi="Book Antiqua"/>
          <w:lang w:val="en-GB"/>
        </w:rPr>
        <w:t>.</w:t>
      </w:r>
      <w:r w:rsidRPr="00F200E7">
        <w:rPr>
          <w:rFonts w:ascii="Book Antiqua" w:hAnsi="Book Antiqua"/>
          <w:lang w:val="en-GB"/>
        </w:rPr>
        <w:t xml:space="preserve"> Under </w:t>
      </w:r>
      <w:r w:rsidR="00320088" w:rsidRPr="00F200E7">
        <w:rPr>
          <w:rFonts w:ascii="Book Antiqua" w:hAnsi="Book Antiqua"/>
          <w:lang w:val="en-GB"/>
        </w:rPr>
        <w:t>the FTA with Chile, coffee, mangoes</w:t>
      </w:r>
      <w:r w:rsidRPr="00F200E7">
        <w:rPr>
          <w:rFonts w:ascii="Book Antiqua" w:hAnsi="Book Antiqua"/>
          <w:lang w:val="en-GB"/>
        </w:rPr>
        <w:t>,</w:t>
      </w:r>
      <w:r w:rsidR="00320088" w:rsidRPr="00F200E7">
        <w:rPr>
          <w:rFonts w:ascii="Book Antiqua" w:hAnsi="Book Antiqua"/>
          <w:lang w:val="en-GB"/>
        </w:rPr>
        <w:t xml:space="preserve"> and other tropical fruits enter Chilean territory </w:t>
      </w:r>
      <w:r w:rsidRPr="00F200E7">
        <w:rPr>
          <w:rFonts w:ascii="Book Antiqua" w:hAnsi="Book Antiqua"/>
          <w:lang w:val="en-GB"/>
        </w:rPr>
        <w:t>duty-free.</w:t>
      </w:r>
    </w:p>
    <w:p w:rsidR="005B4E96" w:rsidRPr="00F200E7" w:rsidRDefault="008B0A0C" w:rsidP="0032057B">
      <w:pPr>
        <w:pStyle w:val="Heading2"/>
      </w:pPr>
      <w:bookmarkStart w:id="131" w:name="_Toc333411865"/>
      <w:bookmarkStart w:id="132" w:name="_Toc336607514"/>
      <w:bookmarkStart w:id="133" w:name="_Toc333837989"/>
      <w:r w:rsidRPr="00F200E7">
        <w:t>6.</w:t>
      </w:r>
      <w:r w:rsidR="00116FF7">
        <w:t>4</w:t>
      </w:r>
      <w:r w:rsidRPr="00F200E7">
        <w:t>.4</w:t>
      </w:r>
      <w:r w:rsidRPr="00F200E7">
        <w:tab/>
      </w:r>
      <w:r w:rsidR="00320088" w:rsidRPr="00F200E7">
        <w:t>Association Agreement between the European Union and Central America</w:t>
      </w:r>
      <w:bookmarkEnd w:id="131"/>
      <w:bookmarkEnd w:id="132"/>
      <w:bookmarkEnd w:id="133"/>
    </w:p>
    <w:p w:rsidR="0059579D" w:rsidRDefault="00320088" w:rsidP="00253593">
      <w:pPr>
        <w:pStyle w:val="NoSpacing"/>
        <w:jc w:val="both"/>
        <w:rPr>
          <w:rFonts w:ascii="Book Antiqua" w:hAnsi="Book Antiqua"/>
          <w:lang w:val="en-GB"/>
        </w:rPr>
      </w:pPr>
      <w:r w:rsidRPr="00F200E7">
        <w:rPr>
          <w:rFonts w:ascii="Book Antiqua" w:hAnsi="Book Antiqua"/>
          <w:lang w:val="en-GB"/>
        </w:rPr>
        <w:t>On 29 June 2012 in Tegucigalpa, Honduras</w:t>
      </w:r>
      <w:r w:rsidR="008B0A0C" w:rsidRPr="00F200E7">
        <w:rPr>
          <w:rFonts w:ascii="Book Antiqua" w:hAnsi="Book Antiqua"/>
          <w:lang w:val="en-GB"/>
        </w:rPr>
        <w:t>,</w:t>
      </w:r>
      <w:r w:rsidRPr="00F200E7">
        <w:rPr>
          <w:rFonts w:ascii="Book Antiqua" w:hAnsi="Book Antiqua"/>
          <w:lang w:val="en-GB"/>
        </w:rPr>
        <w:t xml:space="preserve"> a document </w:t>
      </w:r>
      <w:r w:rsidR="008B0A0C" w:rsidRPr="00F200E7">
        <w:rPr>
          <w:rFonts w:ascii="Book Antiqua" w:hAnsi="Book Antiqua"/>
          <w:lang w:val="en-GB"/>
        </w:rPr>
        <w:t>was signed that</w:t>
      </w:r>
      <w:r w:rsidRPr="00F200E7">
        <w:rPr>
          <w:rFonts w:ascii="Book Antiqua" w:hAnsi="Book Antiqua"/>
          <w:lang w:val="en-GB"/>
        </w:rPr>
        <w:t xml:space="preserve"> formalizes th</w:t>
      </w:r>
      <w:r w:rsidR="008B0A0C" w:rsidRPr="00F200E7">
        <w:rPr>
          <w:rFonts w:ascii="Book Antiqua" w:hAnsi="Book Antiqua"/>
          <w:lang w:val="en-GB"/>
        </w:rPr>
        <w:t xml:space="preserve">e Association Agreement </w:t>
      </w:r>
      <w:r w:rsidR="00FC75B0">
        <w:rPr>
          <w:rFonts w:ascii="Book Antiqua" w:hAnsi="Book Antiqua"/>
          <w:lang w:val="en-GB"/>
        </w:rPr>
        <w:t xml:space="preserve">between </w:t>
      </w:r>
      <w:r w:rsidRPr="00F200E7">
        <w:rPr>
          <w:rFonts w:ascii="Book Antiqua" w:hAnsi="Book Antiqua"/>
          <w:lang w:val="en-GB"/>
        </w:rPr>
        <w:t xml:space="preserve">the European Union </w:t>
      </w:r>
      <w:r w:rsidR="00D76714">
        <w:rPr>
          <w:rFonts w:ascii="Book Antiqua" w:hAnsi="Book Antiqua"/>
          <w:lang w:val="en-GB"/>
        </w:rPr>
        <w:t xml:space="preserve">(EU) </w:t>
      </w:r>
      <w:r w:rsidRPr="00F200E7">
        <w:rPr>
          <w:rFonts w:ascii="Book Antiqua" w:hAnsi="Book Antiqua"/>
          <w:lang w:val="en-GB"/>
        </w:rPr>
        <w:t>and Costa Rica, El Salvador, Guatemala, Honduras, Nicaragua</w:t>
      </w:r>
      <w:r w:rsidR="008B0A0C" w:rsidRPr="00F200E7">
        <w:rPr>
          <w:rFonts w:ascii="Book Antiqua" w:hAnsi="Book Antiqua"/>
          <w:lang w:val="en-GB"/>
        </w:rPr>
        <w:t>,</w:t>
      </w:r>
      <w:r w:rsidRPr="00F200E7">
        <w:rPr>
          <w:rFonts w:ascii="Book Antiqua" w:hAnsi="Book Antiqua"/>
          <w:lang w:val="en-GB"/>
        </w:rPr>
        <w:t xml:space="preserve"> and Panama</w:t>
      </w:r>
      <w:r w:rsidR="00827959" w:rsidRPr="00F200E7">
        <w:rPr>
          <w:rFonts w:ascii="Book Antiqua" w:hAnsi="Book Antiqua"/>
          <w:lang w:val="en-GB"/>
        </w:rPr>
        <w:t xml:space="preserve">. The signing of this document is the last administrative step </w:t>
      </w:r>
      <w:r w:rsidR="008B0A0C" w:rsidRPr="00F200E7">
        <w:rPr>
          <w:rFonts w:ascii="Book Antiqua" w:hAnsi="Book Antiqua"/>
          <w:lang w:val="en-GB"/>
        </w:rPr>
        <w:t xml:space="preserve">that </w:t>
      </w:r>
      <w:r w:rsidR="00827959" w:rsidRPr="00F200E7">
        <w:rPr>
          <w:rFonts w:ascii="Book Antiqua" w:hAnsi="Book Antiqua"/>
          <w:lang w:val="en-GB"/>
        </w:rPr>
        <w:t xml:space="preserve">the governments </w:t>
      </w:r>
      <w:r w:rsidR="008B0A0C" w:rsidRPr="00F200E7">
        <w:rPr>
          <w:rFonts w:ascii="Book Antiqua" w:hAnsi="Book Antiqua"/>
          <w:lang w:val="en-GB"/>
        </w:rPr>
        <w:t xml:space="preserve">must </w:t>
      </w:r>
      <w:r w:rsidR="00827959" w:rsidRPr="00F200E7">
        <w:rPr>
          <w:rFonts w:ascii="Book Antiqua" w:hAnsi="Book Antiqua"/>
          <w:lang w:val="en-GB"/>
        </w:rPr>
        <w:t>take</w:t>
      </w:r>
      <w:r w:rsidR="008B0A0C" w:rsidRPr="00F200E7">
        <w:rPr>
          <w:rFonts w:ascii="Book Antiqua" w:hAnsi="Book Antiqua"/>
          <w:lang w:val="en-GB"/>
        </w:rPr>
        <w:t>; it</w:t>
      </w:r>
      <w:r w:rsidR="00827959" w:rsidRPr="00F200E7">
        <w:rPr>
          <w:rFonts w:ascii="Book Antiqua" w:hAnsi="Book Antiqua"/>
          <w:lang w:val="en-GB"/>
        </w:rPr>
        <w:t xml:space="preserve"> finalizes the negotiating phase</w:t>
      </w:r>
      <w:r w:rsidR="008B0A0C" w:rsidRPr="00F200E7">
        <w:rPr>
          <w:rFonts w:ascii="Book Antiqua" w:hAnsi="Book Antiqua"/>
          <w:lang w:val="en-GB"/>
        </w:rPr>
        <w:t>,</w:t>
      </w:r>
      <w:r w:rsidR="00827959" w:rsidRPr="00F200E7">
        <w:rPr>
          <w:rFonts w:ascii="Book Antiqua" w:hAnsi="Book Antiqua"/>
          <w:lang w:val="en-GB"/>
        </w:rPr>
        <w:t xml:space="preserve"> which started in 2007.</w:t>
      </w:r>
      <w:r w:rsidR="009213EF" w:rsidRPr="00F200E7">
        <w:rPr>
          <w:rFonts w:ascii="Book Antiqua" w:hAnsi="Book Antiqua"/>
          <w:lang w:val="en-GB"/>
        </w:rPr>
        <w:t xml:space="preserve"> However</w:t>
      </w:r>
      <w:r w:rsidR="008B0A0C" w:rsidRPr="00F200E7">
        <w:rPr>
          <w:rFonts w:ascii="Book Antiqua" w:hAnsi="Book Antiqua"/>
          <w:lang w:val="en-GB"/>
        </w:rPr>
        <w:t>,</w:t>
      </w:r>
      <w:r w:rsidR="009213EF" w:rsidRPr="00F200E7">
        <w:rPr>
          <w:rFonts w:ascii="Book Antiqua" w:hAnsi="Book Antiqua"/>
          <w:lang w:val="en-GB"/>
        </w:rPr>
        <w:t xml:space="preserve"> for the Agreement to enter into force</w:t>
      </w:r>
      <w:r w:rsidR="008B0A0C" w:rsidRPr="00F200E7">
        <w:rPr>
          <w:rFonts w:ascii="Book Antiqua" w:hAnsi="Book Antiqua"/>
          <w:lang w:val="en-GB"/>
        </w:rPr>
        <w:t>,</w:t>
      </w:r>
      <w:r w:rsidR="009213EF" w:rsidRPr="00F200E7">
        <w:rPr>
          <w:rFonts w:ascii="Book Antiqua" w:hAnsi="Book Antiqua"/>
          <w:lang w:val="en-GB"/>
        </w:rPr>
        <w:t xml:space="preserve"> the Central American and European parliament</w:t>
      </w:r>
      <w:r w:rsidR="008B0A0C" w:rsidRPr="00F200E7">
        <w:rPr>
          <w:rFonts w:ascii="Book Antiqua" w:hAnsi="Book Antiqua"/>
          <w:lang w:val="en-GB"/>
        </w:rPr>
        <w:t>s</w:t>
      </w:r>
      <w:r w:rsidR="009213EF" w:rsidRPr="00F200E7">
        <w:rPr>
          <w:rFonts w:ascii="Book Antiqua" w:hAnsi="Book Antiqua"/>
          <w:lang w:val="en-GB"/>
        </w:rPr>
        <w:t xml:space="preserve"> need to ratify it. It is expected that the Guatemalan parliament will do so by 2013.</w:t>
      </w:r>
    </w:p>
    <w:p w:rsidR="0059579D" w:rsidRDefault="0059579D" w:rsidP="00253593">
      <w:pPr>
        <w:spacing w:after="0" w:line="240" w:lineRule="auto"/>
        <w:jc w:val="both"/>
        <w:rPr>
          <w:rFonts w:ascii="Book Antiqua" w:hAnsi="Book Antiqua"/>
          <w:lang w:val="en-GB"/>
        </w:rPr>
      </w:pPr>
    </w:p>
    <w:p w:rsidR="005B4E96" w:rsidRPr="00F200E7" w:rsidRDefault="009213EF" w:rsidP="005B4E96">
      <w:pPr>
        <w:pStyle w:val="NoSpacing"/>
        <w:jc w:val="both"/>
        <w:rPr>
          <w:rFonts w:ascii="Book Antiqua" w:hAnsi="Book Antiqua"/>
          <w:lang w:val="en-GB"/>
        </w:rPr>
      </w:pPr>
      <w:r w:rsidRPr="00F200E7">
        <w:rPr>
          <w:rFonts w:ascii="Book Antiqua" w:hAnsi="Book Antiqua"/>
          <w:lang w:val="en-GB"/>
        </w:rPr>
        <w:t xml:space="preserve">This is the first </w:t>
      </w:r>
      <w:r w:rsidR="00FC07DF" w:rsidRPr="00F200E7">
        <w:rPr>
          <w:rFonts w:ascii="Book Antiqua" w:hAnsi="Book Antiqua"/>
          <w:lang w:val="en-GB"/>
        </w:rPr>
        <w:t>region-to-region agreement</w:t>
      </w:r>
      <w:r w:rsidRPr="00F200E7">
        <w:rPr>
          <w:rFonts w:ascii="Book Antiqua" w:hAnsi="Book Antiqua"/>
          <w:lang w:val="en-GB"/>
        </w:rPr>
        <w:t xml:space="preserve"> negotiated by the EU, and its content</w:t>
      </w:r>
      <w:r w:rsidR="00FC07DF" w:rsidRPr="00F200E7">
        <w:rPr>
          <w:rFonts w:ascii="Book Antiqua" w:hAnsi="Book Antiqua"/>
          <w:lang w:val="en-GB"/>
        </w:rPr>
        <w:t xml:space="preserve"> is based on three pillars: </w:t>
      </w:r>
      <w:r w:rsidRPr="00F200E7">
        <w:rPr>
          <w:rFonts w:ascii="Book Antiqua" w:hAnsi="Book Antiqua"/>
          <w:lang w:val="en-GB"/>
        </w:rPr>
        <w:t>political dialogue, cooperation</w:t>
      </w:r>
      <w:r w:rsidR="00EB0BD5" w:rsidRPr="00F200E7">
        <w:rPr>
          <w:rFonts w:ascii="Book Antiqua" w:hAnsi="Book Antiqua"/>
          <w:lang w:val="en-GB"/>
        </w:rPr>
        <w:t>,</w:t>
      </w:r>
      <w:r w:rsidRPr="00F200E7">
        <w:rPr>
          <w:rFonts w:ascii="Book Antiqua" w:hAnsi="Book Antiqua"/>
          <w:lang w:val="en-GB"/>
        </w:rPr>
        <w:t xml:space="preserve"> and free trade.</w:t>
      </w:r>
      <w:r w:rsidR="00D04CC1" w:rsidRPr="00F200E7">
        <w:rPr>
          <w:rFonts w:ascii="Book Antiqua" w:hAnsi="Book Antiqua"/>
          <w:lang w:val="en-GB"/>
        </w:rPr>
        <w:t xml:space="preserve"> The agreement gives Central America the possibility of exporting</w:t>
      </w:r>
      <w:r w:rsidR="00E369DF" w:rsidRPr="00F200E7">
        <w:rPr>
          <w:rFonts w:ascii="Book Antiqua" w:hAnsi="Book Antiqua"/>
          <w:lang w:val="en-GB"/>
        </w:rPr>
        <w:t xml:space="preserve"> with preferential access</w:t>
      </w:r>
      <w:r w:rsidR="00D04CC1" w:rsidRPr="00F200E7">
        <w:rPr>
          <w:rFonts w:ascii="Book Antiqua" w:hAnsi="Book Antiqua"/>
          <w:lang w:val="en-GB"/>
        </w:rPr>
        <w:t xml:space="preserve"> the following products, among others, to the EU: coffee, ethyl alcohol, cane sugar, cardamom, tobacco, ornamental greens, bananas, and molasses. </w:t>
      </w:r>
      <w:r w:rsidR="00EB0BD5" w:rsidRPr="00F200E7">
        <w:rPr>
          <w:rFonts w:ascii="Book Antiqua" w:hAnsi="Book Antiqua"/>
          <w:lang w:val="en-GB"/>
        </w:rPr>
        <w:t xml:space="preserve">In turn, </w:t>
      </w:r>
      <w:r w:rsidR="00D04CC1" w:rsidRPr="00F200E7">
        <w:rPr>
          <w:rFonts w:ascii="Book Antiqua" w:hAnsi="Book Antiqua"/>
          <w:lang w:val="en-GB"/>
        </w:rPr>
        <w:t xml:space="preserve">Central America provided preferential access to European fertilizers, machinery and industrial equipment, cars, medicines, </w:t>
      </w:r>
      <w:r w:rsidR="000F479C" w:rsidRPr="00F200E7">
        <w:rPr>
          <w:rFonts w:ascii="Book Antiqua" w:hAnsi="Book Antiqua"/>
          <w:lang w:val="en-GB"/>
        </w:rPr>
        <w:t>and</w:t>
      </w:r>
      <w:r w:rsidR="00AE174D">
        <w:rPr>
          <w:rFonts w:ascii="Book Antiqua" w:hAnsi="Book Antiqua"/>
          <w:lang w:val="en-GB"/>
        </w:rPr>
        <w:t xml:space="preserve"> </w:t>
      </w:r>
      <w:r w:rsidR="00D04CC1" w:rsidRPr="00F200E7">
        <w:rPr>
          <w:rFonts w:ascii="Book Antiqua" w:hAnsi="Book Antiqua"/>
          <w:lang w:val="en-GB"/>
        </w:rPr>
        <w:t xml:space="preserve">petroleum products, among others. The EU grants immediate access to 60 per cent of the tariff headings, </w:t>
      </w:r>
      <w:r w:rsidR="00081F8B" w:rsidRPr="00F200E7">
        <w:rPr>
          <w:rFonts w:ascii="Book Antiqua" w:hAnsi="Book Antiqua"/>
          <w:lang w:val="en-GB"/>
        </w:rPr>
        <w:t xml:space="preserve">access in up to 10 years to </w:t>
      </w:r>
      <w:r w:rsidR="000F479C" w:rsidRPr="00F200E7">
        <w:rPr>
          <w:rFonts w:ascii="Book Antiqua" w:hAnsi="Book Antiqua"/>
          <w:lang w:val="en-GB"/>
        </w:rPr>
        <w:t xml:space="preserve">an additional </w:t>
      </w:r>
      <w:r w:rsidR="00D04CC1" w:rsidRPr="00F200E7">
        <w:rPr>
          <w:rFonts w:ascii="Book Antiqua" w:hAnsi="Book Antiqua"/>
          <w:lang w:val="en-GB"/>
        </w:rPr>
        <w:t>17 per cent</w:t>
      </w:r>
      <w:r w:rsidR="000F479C" w:rsidRPr="00F200E7">
        <w:rPr>
          <w:rFonts w:ascii="Book Antiqua" w:hAnsi="Book Antiqua"/>
          <w:lang w:val="en-GB"/>
        </w:rPr>
        <w:t>,</w:t>
      </w:r>
      <w:r w:rsidR="00081F8B" w:rsidRPr="00F200E7">
        <w:rPr>
          <w:rFonts w:ascii="Book Antiqua" w:hAnsi="Book Antiqua"/>
          <w:lang w:val="en-GB"/>
        </w:rPr>
        <w:t xml:space="preserve"> and </w:t>
      </w:r>
      <w:r w:rsidR="000F479C" w:rsidRPr="00F200E7">
        <w:rPr>
          <w:rFonts w:ascii="Book Antiqua" w:hAnsi="Book Antiqua"/>
          <w:lang w:val="en-GB"/>
        </w:rPr>
        <w:t xml:space="preserve">to </w:t>
      </w:r>
      <w:r w:rsidR="00D04CC1" w:rsidRPr="00F200E7">
        <w:rPr>
          <w:rFonts w:ascii="Book Antiqua" w:hAnsi="Book Antiqua"/>
          <w:lang w:val="en-GB"/>
        </w:rPr>
        <w:t xml:space="preserve">5.23 per cent </w:t>
      </w:r>
      <w:r w:rsidR="000F479C" w:rsidRPr="00F200E7">
        <w:rPr>
          <w:rFonts w:ascii="Book Antiqua" w:hAnsi="Book Antiqua"/>
          <w:lang w:val="en-GB"/>
        </w:rPr>
        <w:t xml:space="preserve">under </w:t>
      </w:r>
      <w:r w:rsidR="00D04CC1" w:rsidRPr="00F200E7">
        <w:rPr>
          <w:rFonts w:ascii="Book Antiqua" w:hAnsi="Book Antiqua"/>
          <w:lang w:val="en-GB"/>
        </w:rPr>
        <w:t xml:space="preserve">tariff-rate quotas. Central America grants immediate access to </w:t>
      </w:r>
      <w:r w:rsidR="00D10F9D">
        <w:rPr>
          <w:rFonts w:ascii="Book Antiqua" w:hAnsi="Book Antiqua"/>
          <w:lang w:val="en-GB"/>
        </w:rPr>
        <w:t>34</w:t>
      </w:r>
      <w:r w:rsidR="00081F8B" w:rsidRPr="00F200E7">
        <w:rPr>
          <w:rFonts w:ascii="Book Antiqua" w:hAnsi="Book Antiqua"/>
          <w:lang w:val="en-GB"/>
        </w:rPr>
        <w:t xml:space="preserve"> per cent of the tariff headings, </w:t>
      </w:r>
      <w:r w:rsidR="00F61655" w:rsidRPr="00F200E7">
        <w:rPr>
          <w:rFonts w:ascii="Book Antiqua" w:hAnsi="Book Antiqua"/>
          <w:lang w:val="en-GB"/>
        </w:rPr>
        <w:t xml:space="preserve">access in up to 15 years to </w:t>
      </w:r>
      <w:r w:rsidR="000F479C" w:rsidRPr="00F200E7">
        <w:rPr>
          <w:rFonts w:ascii="Book Antiqua" w:hAnsi="Book Antiqua"/>
          <w:lang w:val="en-GB"/>
        </w:rPr>
        <w:t xml:space="preserve">an additional </w:t>
      </w:r>
      <w:r w:rsidR="00F61655" w:rsidRPr="00F200E7">
        <w:rPr>
          <w:rFonts w:ascii="Book Antiqua" w:hAnsi="Book Antiqua"/>
          <w:lang w:val="en-GB"/>
        </w:rPr>
        <w:t>36 per cent, access through tariff-rate quotas to 2.37 per cent, and no preferential access to 27.18 per cent.</w:t>
      </w:r>
    </w:p>
    <w:p w:rsidR="00D04CC1" w:rsidRPr="00F200E7" w:rsidRDefault="00D04CC1" w:rsidP="005B4E96">
      <w:pPr>
        <w:pStyle w:val="NoSpacing"/>
        <w:jc w:val="both"/>
        <w:rPr>
          <w:rFonts w:ascii="Book Antiqua" w:hAnsi="Book Antiqua"/>
          <w:lang w:val="en-GB"/>
        </w:rPr>
      </w:pPr>
    </w:p>
    <w:p w:rsidR="00F61655" w:rsidRPr="00F200E7" w:rsidRDefault="003D59C9" w:rsidP="005B4E96">
      <w:pPr>
        <w:pStyle w:val="NoSpacing"/>
        <w:jc w:val="both"/>
        <w:rPr>
          <w:rFonts w:ascii="Book Antiqua" w:hAnsi="Book Antiqua"/>
          <w:lang w:val="en-GB"/>
        </w:rPr>
      </w:pPr>
      <w:r w:rsidRPr="00F200E7">
        <w:rPr>
          <w:rFonts w:ascii="Book Antiqua" w:hAnsi="Book Antiqua"/>
          <w:lang w:val="en-GB"/>
        </w:rPr>
        <w:t>T</w:t>
      </w:r>
      <w:r w:rsidR="00F61655" w:rsidRPr="00F200E7">
        <w:rPr>
          <w:rFonts w:ascii="Book Antiqua" w:hAnsi="Book Antiqua"/>
          <w:lang w:val="en-GB"/>
        </w:rPr>
        <w:t>he</w:t>
      </w:r>
      <w:r w:rsidR="00AE174D">
        <w:rPr>
          <w:rFonts w:ascii="Book Antiqua" w:hAnsi="Book Antiqua"/>
          <w:lang w:val="en-GB"/>
        </w:rPr>
        <w:t xml:space="preserve"> </w:t>
      </w:r>
      <w:r w:rsidR="00CA0CF2" w:rsidRPr="00F200E7">
        <w:rPr>
          <w:rFonts w:ascii="Book Antiqua" w:hAnsi="Book Antiqua"/>
          <w:lang w:val="en-GB"/>
        </w:rPr>
        <w:t>A</w:t>
      </w:r>
      <w:r w:rsidRPr="00F200E7">
        <w:rPr>
          <w:rFonts w:ascii="Book Antiqua" w:hAnsi="Book Antiqua"/>
          <w:lang w:val="en-GB"/>
        </w:rPr>
        <w:t xml:space="preserve">greement also </w:t>
      </w:r>
      <w:r w:rsidR="00F61655" w:rsidRPr="00F200E7">
        <w:rPr>
          <w:rFonts w:ascii="Book Antiqua" w:hAnsi="Book Antiqua"/>
          <w:lang w:val="en-GB"/>
        </w:rPr>
        <w:t xml:space="preserve">includes provisions </w:t>
      </w:r>
      <w:r w:rsidRPr="00F200E7">
        <w:rPr>
          <w:rFonts w:ascii="Book Antiqua" w:hAnsi="Book Antiqua"/>
          <w:lang w:val="en-GB"/>
        </w:rPr>
        <w:t>on</w:t>
      </w:r>
      <w:r w:rsidR="00AE174D">
        <w:rPr>
          <w:rFonts w:ascii="Book Antiqua" w:hAnsi="Book Antiqua"/>
          <w:lang w:val="en-GB"/>
        </w:rPr>
        <w:t xml:space="preserve"> </w:t>
      </w:r>
      <w:r w:rsidR="00CA0CF2" w:rsidRPr="00F200E7">
        <w:rPr>
          <w:rFonts w:ascii="Book Antiqua" w:hAnsi="Book Antiqua"/>
          <w:lang w:val="en-GB"/>
        </w:rPr>
        <w:t>trademark and other intellectual property rights</w:t>
      </w:r>
      <w:r w:rsidR="00253593">
        <w:rPr>
          <w:rFonts w:ascii="Book Antiqua" w:hAnsi="Book Antiqua"/>
          <w:lang w:val="en-GB"/>
        </w:rPr>
        <w:t xml:space="preserve"> (e.g. </w:t>
      </w:r>
      <w:r w:rsidR="00F61655" w:rsidRPr="00F200E7">
        <w:rPr>
          <w:rFonts w:ascii="Book Antiqua" w:hAnsi="Book Antiqua"/>
          <w:lang w:val="en-GB"/>
        </w:rPr>
        <w:t>geographical indications, industrial designs, patents</w:t>
      </w:r>
      <w:r w:rsidRPr="00F200E7">
        <w:rPr>
          <w:rFonts w:ascii="Book Antiqua" w:hAnsi="Book Antiqua"/>
          <w:lang w:val="en-GB"/>
        </w:rPr>
        <w:t>,</w:t>
      </w:r>
      <w:r w:rsidR="00F61655" w:rsidRPr="00F200E7">
        <w:rPr>
          <w:rFonts w:ascii="Book Antiqua" w:hAnsi="Book Antiqua"/>
          <w:lang w:val="en-GB"/>
        </w:rPr>
        <w:t xml:space="preserve"> and plant varieties</w:t>
      </w:r>
      <w:r w:rsidR="00253593">
        <w:rPr>
          <w:rFonts w:ascii="Book Antiqua" w:hAnsi="Book Antiqua"/>
          <w:lang w:val="en-GB"/>
        </w:rPr>
        <w:t>)</w:t>
      </w:r>
      <w:r w:rsidR="000F3302" w:rsidRPr="00F200E7">
        <w:rPr>
          <w:rFonts w:ascii="Book Antiqua" w:hAnsi="Book Antiqua"/>
          <w:lang w:val="en-GB"/>
        </w:rPr>
        <w:t xml:space="preserve"> and provisions to safeguard these rights. </w:t>
      </w:r>
    </w:p>
    <w:p w:rsidR="005B4E96" w:rsidRPr="00F200E7" w:rsidRDefault="00FC75B0" w:rsidP="0032057B">
      <w:pPr>
        <w:pStyle w:val="Heading2"/>
      </w:pPr>
      <w:bookmarkStart w:id="134" w:name="_Toc333411866"/>
      <w:bookmarkStart w:id="135" w:name="_Toc336607515"/>
      <w:bookmarkStart w:id="136" w:name="_Toc333837990"/>
      <w:r>
        <w:t>6.</w:t>
      </w:r>
      <w:r w:rsidR="00116FF7">
        <w:t>4</w:t>
      </w:r>
      <w:r w:rsidR="003D59C9" w:rsidRPr="00F200E7">
        <w:t>.5</w:t>
      </w:r>
      <w:r w:rsidR="003D59C9" w:rsidRPr="00F200E7">
        <w:tab/>
      </w:r>
      <w:r w:rsidR="00565418" w:rsidRPr="00F200E7">
        <w:t xml:space="preserve">Trade of agricultural </w:t>
      </w:r>
      <w:r w:rsidR="00870244" w:rsidRPr="00F200E7">
        <w:t>good</w:t>
      </w:r>
      <w:r w:rsidR="00565418" w:rsidRPr="00F200E7">
        <w:t>s between Central America and the USA</w:t>
      </w:r>
      <w:bookmarkEnd w:id="134"/>
      <w:bookmarkEnd w:id="135"/>
      <w:bookmarkEnd w:id="136"/>
    </w:p>
    <w:p w:rsidR="00565418" w:rsidRDefault="00565418" w:rsidP="005B4E96">
      <w:pPr>
        <w:pStyle w:val="NoSpacing"/>
        <w:jc w:val="both"/>
        <w:rPr>
          <w:rFonts w:ascii="Book Antiqua" w:hAnsi="Book Antiqua"/>
          <w:lang w:val="en-GB"/>
        </w:rPr>
      </w:pPr>
      <w:r w:rsidRPr="00F200E7">
        <w:rPr>
          <w:rFonts w:ascii="Book Antiqua" w:hAnsi="Book Antiqua"/>
          <w:lang w:val="en-GB"/>
        </w:rPr>
        <w:t xml:space="preserve">The balance of trade between Central America and the USA for agricultural products is in </w:t>
      </w:r>
      <w:r w:rsidR="00BC151C" w:rsidRPr="00F200E7">
        <w:rPr>
          <w:rFonts w:ascii="Book Antiqua" w:hAnsi="Book Antiqua"/>
          <w:lang w:val="en-GB"/>
        </w:rPr>
        <w:t>favour</w:t>
      </w:r>
      <w:r w:rsidRPr="00F200E7">
        <w:rPr>
          <w:rFonts w:ascii="Book Antiqua" w:hAnsi="Book Antiqua"/>
          <w:lang w:val="en-GB"/>
        </w:rPr>
        <w:t xml:space="preserve"> of Central America</w:t>
      </w:r>
      <w:r w:rsidR="00DD21CA">
        <w:rPr>
          <w:rFonts w:ascii="Book Antiqua" w:hAnsi="Book Antiqua"/>
          <w:lang w:val="en-GB"/>
        </w:rPr>
        <w:t>,</w:t>
      </w:r>
      <w:r w:rsidRPr="00F200E7">
        <w:rPr>
          <w:rFonts w:ascii="Book Antiqua" w:hAnsi="Book Antiqua"/>
          <w:lang w:val="en-GB"/>
        </w:rPr>
        <w:t xml:space="preserve"> as </w:t>
      </w:r>
      <w:r w:rsidR="00DD21CA">
        <w:rPr>
          <w:rFonts w:ascii="Book Antiqua" w:hAnsi="Book Antiqua"/>
          <w:lang w:val="en-GB"/>
        </w:rPr>
        <w:t>f</w:t>
      </w:r>
      <w:r w:rsidRPr="00F200E7">
        <w:rPr>
          <w:rFonts w:ascii="Book Antiqua" w:hAnsi="Book Antiqua"/>
          <w:lang w:val="en-GB"/>
        </w:rPr>
        <w:t xml:space="preserve">igure </w:t>
      </w:r>
      <w:r w:rsidR="00FC75B0">
        <w:rPr>
          <w:rFonts w:ascii="Book Antiqua" w:hAnsi="Book Antiqua"/>
          <w:lang w:val="en-GB"/>
        </w:rPr>
        <w:t>6.</w:t>
      </w:r>
      <w:r w:rsidRPr="00F200E7">
        <w:rPr>
          <w:rFonts w:ascii="Book Antiqua" w:hAnsi="Book Antiqua"/>
          <w:lang w:val="en-GB"/>
        </w:rPr>
        <w:t>10</w:t>
      </w:r>
      <w:r w:rsidR="00DD21CA">
        <w:rPr>
          <w:rFonts w:ascii="Book Antiqua" w:hAnsi="Book Antiqua"/>
          <w:lang w:val="en-GB"/>
        </w:rPr>
        <w:t xml:space="preserve"> shows</w:t>
      </w:r>
      <w:r w:rsidRPr="00F200E7">
        <w:rPr>
          <w:rFonts w:ascii="Book Antiqua" w:hAnsi="Book Antiqua"/>
          <w:lang w:val="en-GB"/>
        </w:rPr>
        <w:t xml:space="preserve">. </w:t>
      </w:r>
      <w:r w:rsidR="00870244" w:rsidRPr="00F200E7">
        <w:rPr>
          <w:rFonts w:ascii="Book Antiqua" w:hAnsi="Book Antiqua"/>
          <w:lang w:val="en-GB"/>
        </w:rPr>
        <w:t xml:space="preserve">According to SIECA data, in 2010 the total value of </w:t>
      </w:r>
      <w:r w:rsidR="00C142A9">
        <w:rPr>
          <w:rFonts w:ascii="Book Antiqua" w:hAnsi="Book Antiqua"/>
          <w:lang w:val="en-GB"/>
        </w:rPr>
        <w:t xml:space="preserve">Central American </w:t>
      </w:r>
      <w:r w:rsidR="00870244" w:rsidRPr="00F200E7">
        <w:rPr>
          <w:rFonts w:ascii="Book Antiqua" w:hAnsi="Book Antiqua"/>
          <w:lang w:val="en-GB"/>
        </w:rPr>
        <w:t xml:space="preserve">agricultural imports from the USA was </w:t>
      </w:r>
      <w:r w:rsidR="006A4A53">
        <w:rPr>
          <w:rFonts w:ascii="Book Antiqua" w:hAnsi="Book Antiqua"/>
          <w:lang w:val="en-GB"/>
        </w:rPr>
        <w:t>US$</w:t>
      </w:r>
      <w:r w:rsidR="00870244" w:rsidRPr="00F200E7">
        <w:rPr>
          <w:rFonts w:ascii="Book Antiqua" w:hAnsi="Book Antiqua"/>
          <w:lang w:val="en-GB"/>
        </w:rPr>
        <w:t xml:space="preserve"> 1,282.71 million, while the total value of Central American agricultural exports</w:t>
      </w:r>
      <w:r w:rsidR="00C142A9">
        <w:rPr>
          <w:rFonts w:ascii="Book Antiqua" w:hAnsi="Book Antiqua"/>
          <w:lang w:val="en-GB"/>
        </w:rPr>
        <w:t xml:space="preserve"> to the USA</w:t>
      </w:r>
      <w:r w:rsidR="00870244" w:rsidRPr="00F200E7">
        <w:rPr>
          <w:rFonts w:ascii="Book Antiqua" w:hAnsi="Book Antiqua"/>
          <w:lang w:val="en-GB"/>
        </w:rPr>
        <w:t xml:space="preserve"> was </w:t>
      </w:r>
      <w:r w:rsidR="006A4A53">
        <w:rPr>
          <w:rFonts w:ascii="Book Antiqua" w:hAnsi="Book Antiqua"/>
          <w:lang w:val="en-GB"/>
        </w:rPr>
        <w:t>US$</w:t>
      </w:r>
      <w:r w:rsidR="00870244" w:rsidRPr="00F200E7">
        <w:rPr>
          <w:rFonts w:ascii="Book Antiqua" w:hAnsi="Book Antiqua"/>
          <w:lang w:val="en-GB"/>
        </w:rPr>
        <w:t xml:space="preserve"> 2,249.06 million</w:t>
      </w:r>
      <w:r w:rsidR="00A75BC5" w:rsidRPr="00F200E7">
        <w:rPr>
          <w:rFonts w:ascii="Book Antiqua" w:hAnsi="Book Antiqua"/>
          <w:lang w:val="en-GB"/>
        </w:rPr>
        <w:t>.</w:t>
      </w:r>
    </w:p>
    <w:p w:rsidR="00EC3FA8" w:rsidRPr="00F200E7" w:rsidRDefault="00EC3FA8" w:rsidP="005B4E96">
      <w:pPr>
        <w:pStyle w:val="NoSpacing"/>
        <w:jc w:val="both"/>
        <w:rPr>
          <w:rFonts w:ascii="Book Antiqua" w:hAnsi="Book Antiqua"/>
          <w:lang w:val="en-GB"/>
        </w:rPr>
      </w:pPr>
    </w:p>
    <w:p w:rsidR="005E51BA" w:rsidRDefault="00A75BC5">
      <w:pPr>
        <w:pStyle w:val="Tabletitle"/>
      </w:pPr>
      <w:r w:rsidRPr="00EC3FA8">
        <w:t>Figure</w:t>
      </w:r>
      <w:r w:rsidR="00FD09F0">
        <w:t xml:space="preserve"> </w:t>
      </w:r>
      <w:r w:rsidR="003D59C9" w:rsidRPr="00EC3FA8">
        <w:t>6.</w:t>
      </w:r>
      <w:r w:rsidR="005B4E96" w:rsidRPr="00EC3FA8">
        <w:t>10:</w:t>
      </w:r>
      <w:r w:rsidR="003D59C9" w:rsidRPr="00EC3FA8">
        <w:tab/>
        <w:t>Trend in</w:t>
      </w:r>
      <w:r w:rsidR="00E51AF2" w:rsidRPr="00EC3FA8">
        <w:t xml:space="preserve"> foreign trade of agricultural products</w:t>
      </w:r>
      <w:r w:rsidR="003D59C9" w:rsidRPr="00EC3FA8">
        <w:t xml:space="preserve"> between</w:t>
      </w:r>
      <w:r w:rsidR="00E51AF2" w:rsidRPr="00EC3FA8">
        <w:t xml:space="preserve">Central America </w:t>
      </w:r>
      <w:r w:rsidR="003D59C9" w:rsidRPr="00EC3FA8">
        <w:t xml:space="preserve">(CA) </w:t>
      </w:r>
      <w:r w:rsidR="00E51AF2" w:rsidRPr="00EC3FA8">
        <w:t>and the USA</w:t>
      </w:r>
      <w:r w:rsidR="003D59C9" w:rsidRPr="00EC3FA8">
        <w:t>, 2001–2010</w:t>
      </w:r>
    </w:p>
    <w:p w:rsidR="005B4E96" w:rsidRPr="00F200E7" w:rsidRDefault="003B17F2" w:rsidP="005B4E96">
      <w:pPr>
        <w:pStyle w:val="NoSpacing"/>
        <w:jc w:val="center"/>
        <w:rPr>
          <w:rFonts w:ascii="Book Antiqua" w:hAnsi="Book Antiqua"/>
          <w:lang w:val="en-GB"/>
        </w:rPr>
      </w:pPr>
      <w:r w:rsidRPr="00F200E7">
        <w:rPr>
          <w:noProof/>
          <w:lang w:val="en-GB" w:eastAsia="en-GB"/>
        </w:rPr>
        <w:drawing>
          <wp:inline distT="0" distB="0" distL="0" distR="0">
            <wp:extent cx="3600450" cy="1800225"/>
            <wp:effectExtent l="0" t="0" r="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B4E96" w:rsidRPr="00F200E7" w:rsidRDefault="00E51AF2" w:rsidP="005B4E96">
      <w:pPr>
        <w:pStyle w:val="NoSpacing"/>
        <w:ind w:firstLine="720"/>
        <w:jc w:val="both"/>
        <w:rPr>
          <w:rFonts w:ascii="Book Antiqua" w:hAnsi="Book Antiqua"/>
          <w:sz w:val="18"/>
          <w:lang w:val="en-GB"/>
        </w:rPr>
      </w:pPr>
      <w:r w:rsidRPr="00F200E7">
        <w:rPr>
          <w:rFonts w:ascii="Book Antiqua" w:hAnsi="Book Antiqua"/>
          <w:sz w:val="18"/>
          <w:lang w:val="en-GB"/>
        </w:rPr>
        <w:t>Source</w:t>
      </w:r>
      <w:r w:rsidR="005B4E96" w:rsidRPr="00F200E7">
        <w:rPr>
          <w:rFonts w:ascii="Book Antiqua" w:hAnsi="Book Antiqua"/>
          <w:sz w:val="18"/>
          <w:lang w:val="en-GB"/>
        </w:rPr>
        <w:t xml:space="preserve">: </w:t>
      </w:r>
      <w:r w:rsidRPr="00F200E7">
        <w:rPr>
          <w:rFonts w:ascii="Book Antiqua" w:hAnsi="Book Antiqua"/>
          <w:sz w:val="18"/>
          <w:lang w:val="en-GB"/>
        </w:rPr>
        <w:t xml:space="preserve">Authors’ calculation </w:t>
      </w:r>
      <w:r w:rsidR="00FC75B0">
        <w:rPr>
          <w:rFonts w:ascii="Book Antiqua" w:hAnsi="Book Antiqua"/>
          <w:sz w:val="18"/>
          <w:lang w:val="en-GB"/>
        </w:rPr>
        <w:t>using</w:t>
      </w:r>
      <w:r w:rsidR="00AE174D">
        <w:rPr>
          <w:rFonts w:ascii="Book Antiqua" w:hAnsi="Book Antiqua"/>
          <w:sz w:val="18"/>
          <w:lang w:val="en-GB"/>
        </w:rPr>
        <w:t xml:space="preserve"> </w:t>
      </w:r>
      <w:r w:rsidRPr="00F200E7">
        <w:rPr>
          <w:rFonts w:ascii="Book Antiqua" w:hAnsi="Book Antiqua"/>
          <w:sz w:val="18"/>
          <w:lang w:val="en-GB"/>
        </w:rPr>
        <w:t>data from</w:t>
      </w:r>
      <w:r w:rsidR="005B4E96" w:rsidRPr="00F200E7">
        <w:rPr>
          <w:rFonts w:ascii="Book Antiqua" w:hAnsi="Book Antiqua"/>
          <w:sz w:val="18"/>
          <w:lang w:val="en-GB"/>
        </w:rPr>
        <w:t xml:space="preserve"> </w:t>
      </w:r>
      <w:proofErr w:type="spellStart"/>
      <w:r w:rsidR="005B4E96" w:rsidRPr="00F200E7">
        <w:rPr>
          <w:rFonts w:ascii="Book Antiqua" w:hAnsi="Book Antiqua"/>
          <w:sz w:val="18"/>
          <w:lang w:val="en-GB"/>
        </w:rPr>
        <w:t>Consejo</w:t>
      </w:r>
      <w:proofErr w:type="spellEnd"/>
      <w:r w:rsidR="005B4E96" w:rsidRPr="00F200E7">
        <w:rPr>
          <w:rFonts w:ascii="Book Antiqua" w:hAnsi="Book Antiqua"/>
          <w:sz w:val="18"/>
          <w:lang w:val="en-GB"/>
        </w:rPr>
        <w:t xml:space="preserve"> </w:t>
      </w:r>
      <w:proofErr w:type="spellStart"/>
      <w:r w:rsidR="005B4E96" w:rsidRPr="00F200E7">
        <w:rPr>
          <w:rFonts w:ascii="Book Antiqua" w:hAnsi="Book Antiqua"/>
          <w:sz w:val="18"/>
          <w:lang w:val="en-GB"/>
        </w:rPr>
        <w:t>Monetario</w:t>
      </w:r>
      <w:proofErr w:type="spellEnd"/>
      <w:r w:rsidR="005B4E96" w:rsidRPr="00F200E7">
        <w:rPr>
          <w:rFonts w:ascii="Book Antiqua" w:hAnsi="Book Antiqua"/>
          <w:sz w:val="18"/>
          <w:lang w:val="en-GB"/>
        </w:rPr>
        <w:t xml:space="preserve"> </w:t>
      </w:r>
      <w:proofErr w:type="spellStart"/>
      <w:r w:rsidR="005B4E96" w:rsidRPr="00F200E7">
        <w:rPr>
          <w:rFonts w:ascii="Book Antiqua" w:hAnsi="Book Antiqua"/>
          <w:sz w:val="18"/>
          <w:lang w:val="en-GB"/>
        </w:rPr>
        <w:t>Centroamericano</w:t>
      </w:r>
      <w:proofErr w:type="spellEnd"/>
      <w:r w:rsidR="005B4E96" w:rsidRPr="00F200E7">
        <w:rPr>
          <w:rFonts w:ascii="Book Antiqua" w:hAnsi="Book Antiqua"/>
          <w:sz w:val="18"/>
          <w:lang w:val="en-GB"/>
        </w:rPr>
        <w:t>.</w:t>
      </w:r>
    </w:p>
    <w:p w:rsidR="005B4E96" w:rsidRPr="00F200E7" w:rsidRDefault="00AE174D" w:rsidP="005B4E96">
      <w:pPr>
        <w:pStyle w:val="NoSpacing"/>
        <w:jc w:val="both"/>
        <w:rPr>
          <w:rFonts w:ascii="Book Antiqua" w:hAnsi="Book Antiqua"/>
          <w:lang w:val="en-GB"/>
        </w:rPr>
      </w:pPr>
      <w:r>
        <w:rPr>
          <w:rFonts w:ascii="Book Antiqua" w:hAnsi="Book Antiqua"/>
          <w:lang w:val="en-GB"/>
        </w:rPr>
        <w:t xml:space="preserve"> </w:t>
      </w:r>
    </w:p>
    <w:p w:rsidR="005B4E96" w:rsidRPr="00F200E7" w:rsidRDefault="00831289" w:rsidP="00DB14FE">
      <w:pPr>
        <w:pStyle w:val="NoSpacing"/>
        <w:jc w:val="both"/>
        <w:rPr>
          <w:rFonts w:ascii="Book Antiqua" w:hAnsi="Book Antiqua"/>
          <w:lang w:val="en-GB"/>
        </w:rPr>
      </w:pPr>
      <w:r w:rsidRPr="00F200E7">
        <w:rPr>
          <w:rFonts w:ascii="Book Antiqua" w:hAnsi="Book Antiqua"/>
          <w:lang w:val="en-GB"/>
        </w:rPr>
        <w:t>The case of agricultural products is unique, for generally the balance of trade favours the USA. For example, SIECA data show that</w:t>
      </w:r>
      <w:r w:rsidR="00135A8B" w:rsidRPr="00F200E7">
        <w:rPr>
          <w:rFonts w:ascii="Book Antiqua" w:hAnsi="Book Antiqua"/>
          <w:lang w:val="en-GB"/>
        </w:rPr>
        <w:t>,</w:t>
      </w:r>
      <w:r w:rsidRPr="00F200E7">
        <w:rPr>
          <w:rFonts w:ascii="Book Antiqua" w:hAnsi="Book Antiqua"/>
          <w:lang w:val="en-GB"/>
        </w:rPr>
        <w:t xml:space="preserve"> for metal products and manufactures, Central America imports from the USA five times more than </w:t>
      </w:r>
      <w:r w:rsidR="00135A8B" w:rsidRPr="00F200E7">
        <w:rPr>
          <w:rFonts w:ascii="Book Antiqua" w:hAnsi="Book Antiqua"/>
          <w:lang w:val="en-GB"/>
        </w:rPr>
        <w:t xml:space="preserve">it </w:t>
      </w:r>
      <w:r w:rsidRPr="00F200E7">
        <w:rPr>
          <w:rFonts w:ascii="Book Antiqua" w:hAnsi="Book Antiqua"/>
          <w:lang w:val="en-GB"/>
        </w:rPr>
        <w:t>export</w:t>
      </w:r>
      <w:r w:rsidR="00135A8B" w:rsidRPr="00F200E7">
        <w:rPr>
          <w:rFonts w:ascii="Book Antiqua" w:hAnsi="Book Antiqua"/>
          <w:lang w:val="en-GB"/>
        </w:rPr>
        <w:t>s to the USA</w:t>
      </w:r>
      <w:r w:rsidRPr="00F200E7">
        <w:rPr>
          <w:rFonts w:ascii="Book Antiqua" w:hAnsi="Book Antiqua"/>
          <w:lang w:val="en-GB"/>
        </w:rPr>
        <w:t>.</w:t>
      </w:r>
      <w:r w:rsidR="00FD09F0">
        <w:rPr>
          <w:rFonts w:ascii="Book Antiqua" w:hAnsi="Book Antiqua"/>
          <w:lang w:val="en-GB"/>
        </w:rPr>
        <w:t xml:space="preserve"> </w:t>
      </w:r>
      <w:r w:rsidR="00596A5C" w:rsidRPr="00F200E7">
        <w:rPr>
          <w:rFonts w:ascii="Book Antiqua" w:hAnsi="Book Antiqua"/>
          <w:lang w:val="en-GB"/>
        </w:rPr>
        <w:t xml:space="preserve">However, the trends in agricultural trade between the </w:t>
      </w:r>
      <w:r w:rsidR="00C142A9">
        <w:rPr>
          <w:rFonts w:ascii="Book Antiqua" w:hAnsi="Book Antiqua"/>
          <w:lang w:val="en-GB"/>
        </w:rPr>
        <w:t xml:space="preserve">two </w:t>
      </w:r>
      <w:r w:rsidR="00596A5C" w:rsidRPr="00F200E7">
        <w:rPr>
          <w:rFonts w:ascii="Book Antiqua" w:hAnsi="Book Antiqua"/>
          <w:lang w:val="en-GB"/>
        </w:rPr>
        <w:t xml:space="preserve">regions show that </w:t>
      </w:r>
      <w:r w:rsidR="00C142A9">
        <w:rPr>
          <w:rFonts w:ascii="Book Antiqua" w:hAnsi="Book Antiqua"/>
          <w:lang w:val="en-GB"/>
        </w:rPr>
        <w:t xml:space="preserve">Central America’s </w:t>
      </w:r>
      <w:r w:rsidR="00596A5C" w:rsidRPr="00F200E7">
        <w:rPr>
          <w:rFonts w:ascii="Book Antiqua" w:hAnsi="Book Antiqua"/>
          <w:lang w:val="en-GB"/>
        </w:rPr>
        <w:t>imports are growing faster than</w:t>
      </w:r>
      <w:r w:rsidR="00C142A9">
        <w:rPr>
          <w:rFonts w:ascii="Book Antiqua" w:hAnsi="Book Antiqua"/>
          <w:lang w:val="en-GB"/>
        </w:rPr>
        <w:t xml:space="preserve"> its</w:t>
      </w:r>
      <w:r w:rsidR="00596A5C" w:rsidRPr="00F200E7">
        <w:rPr>
          <w:rFonts w:ascii="Book Antiqua" w:hAnsi="Book Antiqua"/>
          <w:lang w:val="en-GB"/>
        </w:rPr>
        <w:t xml:space="preserve"> exports. </w:t>
      </w:r>
      <w:r w:rsidR="00DB14FE" w:rsidRPr="00F200E7">
        <w:rPr>
          <w:rFonts w:ascii="Book Antiqua" w:hAnsi="Book Antiqua"/>
          <w:lang w:val="en-GB"/>
        </w:rPr>
        <w:t xml:space="preserve">Central America is demanding more agricultural products from the USA, not only in value but in </w:t>
      </w:r>
      <w:r w:rsidR="009A6416" w:rsidRPr="00F200E7">
        <w:rPr>
          <w:rFonts w:ascii="Book Antiqua" w:hAnsi="Book Antiqua"/>
          <w:lang w:val="en-GB"/>
        </w:rPr>
        <w:t>share</w:t>
      </w:r>
      <w:r w:rsidR="00DB14FE" w:rsidRPr="00F200E7">
        <w:rPr>
          <w:rFonts w:ascii="Book Antiqua" w:hAnsi="Book Antiqua"/>
          <w:lang w:val="en-GB"/>
        </w:rPr>
        <w:t xml:space="preserve"> as well.</w:t>
      </w:r>
    </w:p>
    <w:p w:rsidR="005B4E96" w:rsidRPr="00F200E7" w:rsidRDefault="005B4E96" w:rsidP="005B4E96">
      <w:pPr>
        <w:pStyle w:val="NoSpacing"/>
        <w:jc w:val="both"/>
        <w:rPr>
          <w:rFonts w:ascii="Book Antiqua" w:hAnsi="Book Antiqua"/>
          <w:lang w:val="en-GB"/>
        </w:rPr>
      </w:pPr>
    </w:p>
    <w:p w:rsidR="005B4E96" w:rsidRPr="00F200E7" w:rsidRDefault="00DB14FE" w:rsidP="00EC3FA8">
      <w:pPr>
        <w:pStyle w:val="Tabletitle"/>
      </w:pPr>
      <w:r w:rsidRPr="00F200E7">
        <w:t>Figure</w:t>
      </w:r>
      <w:r w:rsidR="00FD09F0">
        <w:t xml:space="preserve"> </w:t>
      </w:r>
      <w:r w:rsidR="00293D6E" w:rsidRPr="00F200E7">
        <w:t>6.</w:t>
      </w:r>
      <w:r w:rsidR="005B4E96" w:rsidRPr="00F200E7">
        <w:t xml:space="preserve">11: </w:t>
      </w:r>
      <w:r w:rsidR="00293D6E" w:rsidRPr="00F200E7">
        <w:tab/>
        <w:t xml:space="preserve">Ratio of </w:t>
      </w:r>
      <w:r w:rsidR="00DE74FF" w:rsidRPr="00F200E7">
        <w:t xml:space="preserve">Central American </w:t>
      </w:r>
      <w:r w:rsidR="00293D6E" w:rsidRPr="00F200E7">
        <w:t>agricultu</w:t>
      </w:r>
      <w:r w:rsidR="00DE74FF">
        <w:t>r</w:t>
      </w:r>
      <w:r w:rsidR="00293D6E" w:rsidRPr="00F200E7">
        <w:t>al imports</w:t>
      </w:r>
      <w:r w:rsidR="00DE74FF">
        <w:t xml:space="preserve"> from the USA</w:t>
      </w:r>
      <w:r w:rsidR="00293D6E" w:rsidRPr="00F200E7">
        <w:t xml:space="preserve"> to </w:t>
      </w:r>
      <w:r w:rsidR="00DE74FF" w:rsidRPr="00F200E7">
        <w:t>Central American agricultu</w:t>
      </w:r>
      <w:r w:rsidR="00DE74FF">
        <w:t>r</w:t>
      </w:r>
      <w:r w:rsidR="00DE74FF" w:rsidRPr="00F200E7">
        <w:t xml:space="preserve">al </w:t>
      </w:r>
      <w:r w:rsidR="00293D6E" w:rsidRPr="00F200E7">
        <w:t xml:space="preserve">exports </w:t>
      </w:r>
      <w:r w:rsidR="00EC3FA8">
        <w:t>to</w:t>
      </w:r>
      <w:r w:rsidRPr="00F200E7">
        <w:t>the USA</w:t>
      </w:r>
      <w:r w:rsidR="00293D6E" w:rsidRPr="00F200E7">
        <w:t>, 2001–2010</w:t>
      </w:r>
    </w:p>
    <w:p w:rsidR="005B4E96" w:rsidRPr="00F200E7" w:rsidRDefault="00C15F70" w:rsidP="005B4E96">
      <w:pPr>
        <w:pStyle w:val="NoSpacing"/>
        <w:jc w:val="center"/>
        <w:rPr>
          <w:rFonts w:ascii="Book Antiqua" w:hAnsi="Book Antiqua"/>
          <w:lang w:val="en-GB"/>
        </w:rPr>
      </w:pPr>
      <w:r>
        <w:rPr>
          <w:noProof/>
          <w:lang w:val="en-GB" w:eastAsia="en-GB"/>
        </w:rPr>
        <w:drawing>
          <wp:inline distT="0" distB="0" distL="0" distR="0">
            <wp:extent cx="3600450" cy="1619250"/>
            <wp:effectExtent l="0" t="0" r="0" b="0"/>
            <wp:docPr id="13" name="Gráfico 29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B14FE" w:rsidRPr="00F200E7" w:rsidRDefault="00DB14FE" w:rsidP="00DB14FE">
      <w:pPr>
        <w:pStyle w:val="NoSpacing"/>
        <w:ind w:firstLine="720"/>
        <w:jc w:val="both"/>
        <w:rPr>
          <w:rFonts w:ascii="Book Antiqua" w:hAnsi="Book Antiqua"/>
          <w:sz w:val="18"/>
          <w:lang w:val="en-GB"/>
        </w:rPr>
      </w:pPr>
      <w:r w:rsidRPr="00F200E7">
        <w:rPr>
          <w:rFonts w:ascii="Book Antiqua" w:hAnsi="Book Antiqua"/>
          <w:sz w:val="18"/>
          <w:lang w:val="en-GB"/>
        </w:rPr>
        <w:t xml:space="preserve">Source: Authors’ calculation </w:t>
      </w:r>
      <w:r w:rsidR="00DE74FF">
        <w:rPr>
          <w:rFonts w:ascii="Book Antiqua" w:hAnsi="Book Antiqua"/>
          <w:sz w:val="18"/>
          <w:lang w:val="en-GB"/>
        </w:rPr>
        <w:t>using</w:t>
      </w:r>
      <w:r w:rsidR="00AE174D">
        <w:rPr>
          <w:rFonts w:ascii="Book Antiqua" w:hAnsi="Book Antiqua"/>
          <w:sz w:val="18"/>
          <w:lang w:val="en-GB"/>
        </w:rPr>
        <w:t xml:space="preserve"> </w:t>
      </w:r>
      <w:r w:rsidRPr="00F200E7">
        <w:rPr>
          <w:rFonts w:ascii="Book Antiqua" w:hAnsi="Book Antiqua"/>
          <w:sz w:val="18"/>
          <w:lang w:val="en-GB"/>
        </w:rPr>
        <w:t xml:space="preserve">data from </w:t>
      </w:r>
      <w:proofErr w:type="spellStart"/>
      <w:r w:rsidRPr="00F200E7">
        <w:rPr>
          <w:rFonts w:ascii="Book Antiqua" w:hAnsi="Book Antiqua"/>
          <w:sz w:val="18"/>
          <w:lang w:val="en-GB"/>
        </w:rPr>
        <w:t>Consejo</w:t>
      </w:r>
      <w:proofErr w:type="spellEnd"/>
      <w:r w:rsidRPr="00F200E7">
        <w:rPr>
          <w:rFonts w:ascii="Book Antiqua" w:hAnsi="Book Antiqua"/>
          <w:sz w:val="18"/>
          <w:lang w:val="en-GB"/>
        </w:rPr>
        <w:t xml:space="preserve"> </w:t>
      </w:r>
      <w:proofErr w:type="spellStart"/>
      <w:r w:rsidRPr="00F200E7">
        <w:rPr>
          <w:rFonts w:ascii="Book Antiqua" w:hAnsi="Book Antiqua"/>
          <w:sz w:val="18"/>
          <w:lang w:val="en-GB"/>
        </w:rPr>
        <w:t>Monetario</w:t>
      </w:r>
      <w:proofErr w:type="spellEnd"/>
      <w:r w:rsidRPr="00F200E7">
        <w:rPr>
          <w:rFonts w:ascii="Book Antiqua" w:hAnsi="Book Antiqua"/>
          <w:sz w:val="18"/>
          <w:lang w:val="en-GB"/>
        </w:rPr>
        <w:t xml:space="preserve"> </w:t>
      </w:r>
      <w:proofErr w:type="spellStart"/>
      <w:r w:rsidRPr="00F200E7">
        <w:rPr>
          <w:rFonts w:ascii="Book Antiqua" w:hAnsi="Book Antiqua"/>
          <w:sz w:val="18"/>
          <w:lang w:val="en-GB"/>
        </w:rPr>
        <w:t>Centroamericano</w:t>
      </w:r>
      <w:proofErr w:type="spellEnd"/>
      <w:r w:rsidRPr="00F200E7">
        <w:rPr>
          <w:rFonts w:ascii="Book Antiqua" w:hAnsi="Book Antiqua"/>
          <w:sz w:val="18"/>
          <w:lang w:val="en-GB"/>
        </w:rPr>
        <w:t>.</w:t>
      </w:r>
    </w:p>
    <w:p w:rsidR="00DB14FE" w:rsidRPr="00F200E7" w:rsidRDefault="00F26F35" w:rsidP="005B4E96">
      <w:pPr>
        <w:pStyle w:val="NoSpacing"/>
        <w:jc w:val="both"/>
        <w:rPr>
          <w:rFonts w:ascii="Book Antiqua" w:hAnsi="Book Antiqua"/>
          <w:lang w:val="en-GB"/>
        </w:rPr>
      </w:pPr>
      <w:r w:rsidRPr="00F200E7">
        <w:rPr>
          <w:rFonts w:ascii="Book Antiqua" w:hAnsi="Book Antiqua"/>
          <w:lang w:val="en-GB"/>
        </w:rPr>
        <w:t>A</w:t>
      </w:r>
      <w:r w:rsidR="00642123" w:rsidRPr="00F200E7">
        <w:rPr>
          <w:rFonts w:ascii="Book Antiqua" w:hAnsi="Book Antiqua"/>
          <w:lang w:val="en-GB"/>
        </w:rPr>
        <w:t xml:space="preserve">gricultural products from the USA </w:t>
      </w:r>
      <w:r w:rsidRPr="00F200E7">
        <w:rPr>
          <w:rFonts w:ascii="Book Antiqua" w:hAnsi="Book Antiqua"/>
          <w:lang w:val="en-GB"/>
        </w:rPr>
        <w:t xml:space="preserve">account for 6 percent of the </w:t>
      </w:r>
      <w:r w:rsidR="00917962" w:rsidRPr="00F200E7">
        <w:rPr>
          <w:rFonts w:ascii="Book Antiqua" w:hAnsi="Book Antiqua"/>
          <w:lang w:val="en-GB"/>
        </w:rPr>
        <w:t xml:space="preserve">agricultural import </w:t>
      </w:r>
      <w:r w:rsidRPr="00F200E7">
        <w:rPr>
          <w:rFonts w:ascii="Book Antiqua" w:hAnsi="Book Antiqua"/>
          <w:lang w:val="en-GB"/>
        </w:rPr>
        <w:t xml:space="preserve">market </w:t>
      </w:r>
      <w:r w:rsidR="00642123" w:rsidRPr="00F200E7">
        <w:rPr>
          <w:rFonts w:ascii="Book Antiqua" w:hAnsi="Book Antiqua"/>
          <w:lang w:val="en-GB"/>
        </w:rPr>
        <w:t>in Guatemal</w:t>
      </w:r>
      <w:r w:rsidR="006A2FCA">
        <w:rPr>
          <w:rFonts w:ascii="Book Antiqua" w:hAnsi="Book Antiqua"/>
          <w:lang w:val="en-GB"/>
        </w:rPr>
        <w:t>a</w:t>
      </w:r>
      <w:r w:rsidRPr="00F200E7">
        <w:rPr>
          <w:rFonts w:ascii="Book Antiqua" w:hAnsi="Book Antiqua"/>
          <w:lang w:val="en-GB"/>
        </w:rPr>
        <w:t>.</w:t>
      </w:r>
      <w:r w:rsidR="00642123" w:rsidRPr="00F200E7">
        <w:rPr>
          <w:rFonts w:ascii="Book Antiqua" w:hAnsi="Book Antiqua"/>
          <w:lang w:val="en-GB"/>
        </w:rPr>
        <w:t xml:space="preserve"> In the period prior to the signing of the Agreement, the </w:t>
      </w:r>
      <w:r w:rsidRPr="00F200E7">
        <w:rPr>
          <w:rFonts w:ascii="Book Antiqua" w:hAnsi="Book Antiqua"/>
          <w:lang w:val="en-GB"/>
        </w:rPr>
        <w:t xml:space="preserve">share </w:t>
      </w:r>
      <w:r w:rsidR="00642123" w:rsidRPr="00F200E7">
        <w:rPr>
          <w:rFonts w:ascii="Book Antiqua" w:hAnsi="Book Antiqua"/>
          <w:lang w:val="en-GB"/>
        </w:rPr>
        <w:t xml:space="preserve">was around 5.5 per cent; in the years after the </w:t>
      </w:r>
      <w:r w:rsidR="00CA0CF2" w:rsidRPr="00F200E7">
        <w:rPr>
          <w:rFonts w:ascii="Book Antiqua" w:hAnsi="Book Antiqua"/>
          <w:lang w:val="en-GB"/>
        </w:rPr>
        <w:t xml:space="preserve">ratification </w:t>
      </w:r>
      <w:r w:rsidR="00642123" w:rsidRPr="00F200E7">
        <w:rPr>
          <w:rFonts w:ascii="Book Antiqua" w:hAnsi="Book Antiqua"/>
          <w:lang w:val="en-GB"/>
        </w:rPr>
        <w:t>of DR</w:t>
      </w:r>
      <w:r w:rsidRPr="00F200E7">
        <w:rPr>
          <w:rFonts w:ascii="Book Antiqua" w:hAnsi="Book Antiqua"/>
          <w:lang w:val="en-GB"/>
        </w:rPr>
        <w:t>–</w:t>
      </w:r>
      <w:r w:rsidR="00642123" w:rsidRPr="00F200E7">
        <w:rPr>
          <w:rFonts w:ascii="Book Antiqua" w:hAnsi="Book Antiqua"/>
          <w:lang w:val="en-GB"/>
        </w:rPr>
        <w:t xml:space="preserve">CAFTA </w:t>
      </w:r>
      <w:r w:rsidR="00603759" w:rsidRPr="00F200E7">
        <w:rPr>
          <w:rFonts w:ascii="Book Antiqua" w:hAnsi="Book Antiqua"/>
          <w:lang w:val="en-GB"/>
        </w:rPr>
        <w:t xml:space="preserve">in 2006 </w:t>
      </w:r>
      <w:r w:rsidR="00642123" w:rsidRPr="00F200E7">
        <w:rPr>
          <w:rFonts w:ascii="Book Antiqua" w:hAnsi="Book Antiqua"/>
          <w:lang w:val="en-GB"/>
        </w:rPr>
        <w:t xml:space="preserve">the </w:t>
      </w:r>
      <w:r w:rsidRPr="00F200E7">
        <w:rPr>
          <w:rFonts w:ascii="Book Antiqua" w:hAnsi="Book Antiqua"/>
          <w:lang w:val="en-GB"/>
        </w:rPr>
        <w:t xml:space="preserve">share </w:t>
      </w:r>
      <w:r w:rsidR="00642123" w:rsidRPr="00F200E7">
        <w:rPr>
          <w:rFonts w:ascii="Book Antiqua" w:hAnsi="Book Antiqua"/>
          <w:lang w:val="en-GB"/>
        </w:rPr>
        <w:t>average</w:t>
      </w:r>
      <w:r w:rsidRPr="00F200E7">
        <w:rPr>
          <w:rFonts w:ascii="Book Antiqua" w:hAnsi="Book Antiqua"/>
          <w:lang w:val="en-GB"/>
        </w:rPr>
        <w:t>d</w:t>
      </w:r>
      <w:r w:rsidR="00642123" w:rsidRPr="00F200E7">
        <w:rPr>
          <w:rFonts w:ascii="Book Antiqua" w:hAnsi="Book Antiqua"/>
          <w:lang w:val="en-GB"/>
        </w:rPr>
        <w:t xml:space="preserve"> 6.3 per cent.</w:t>
      </w:r>
    </w:p>
    <w:p w:rsidR="00642123" w:rsidRPr="00F200E7" w:rsidRDefault="00642123" w:rsidP="005B4E96">
      <w:pPr>
        <w:pStyle w:val="NoSpacing"/>
        <w:jc w:val="both"/>
        <w:rPr>
          <w:rFonts w:ascii="Book Antiqua" w:hAnsi="Book Antiqua"/>
          <w:lang w:val="en-GB"/>
        </w:rPr>
      </w:pPr>
    </w:p>
    <w:p w:rsidR="00642123" w:rsidRPr="00F200E7" w:rsidRDefault="00642123" w:rsidP="005B4E96">
      <w:pPr>
        <w:pStyle w:val="NoSpacing"/>
        <w:jc w:val="both"/>
        <w:rPr>
          <w:rFonts w:ascii="Book Antiqua" w:hAnsi="Book Antiqua"/>
          <w:lang w:val="en-GB"/>
        </w:rPr>
      </w:pPr>
      <w:r w:rsidRPr="00F200E7">
        <w:rPr>
          <w:rFonts w:ascii="Book Antiqua" w:hAnsi="Book Antiqua"/>
          <w:lang w:val="en-GB"/>
        </w:rPr>
        <w:t xml:space="preserve">As </w:t>
      </w:r>
      <w:r w:rsidR="00D60793" w:rsidRPr="00F200E7">
        <w:rPr>
          <w:rFonts w:ascii="Book Antiqua" w:hAnsi="Book Antiqua"/>
          <w:lang w:val="en-GB"/>
        </w:rPr>
        <w:t>f</w:t>
      </w:r>
      <w:r w:rsidRPr="00F200E7">
        <w:rPr>
          <w:rFonts w:ascii="Book Antiqua" w:hAnsi="Book Antiqua"/>
          <w:lang w:val="en-GB"/>
        </w:rPr>
        <w:t xml:space="preserve">igure </w:t>
      </w:r>
      <w:r w:rsidR="00DC167F" w:rsidRPr="00F200E7">
        <w:rPr>
          <w:rFonts w:ascii="Book Antiqua" w:hAnsi="Book Antiqua"/>
          <w:lang w:val="en-GB"/>
        </w:rPr>
        <w:t>6.</w:t>
      </w:r>
      <w:r w:rsidRPr="00F200E7">
        <w:rPr>
          <w:rFonts w:ascii="Book Antiqua" w:hAnsi="Book Antiqua"/>
          <w:lang w:val="en-GB"/>
        </w:rPr>
        <w:t xml:space="preserve">12 shows, </w:t>
      </w:r>
      <w:r w:rsidR="006A2FCA">
        <w:rPr>
          <w:rFonts w:ascii="Book Antiqua" w:hAnsi="Book Antiqua"/>
          <w:lang w:val="en-GB"/>
        </w:rPr>
        <w:t xml:space="preserve">Guatemala’s </w:t>
      </w:r>
      <w:r w:rsidRPr="00F200E7">
        <w:rPr>
          <w:rFonts w:ascii="Book Antiqua" w:hAnsi="Book Antiqua"/>
          <w:lang w:val="en-GB"/>
        </w:rPr>
        <w:t xml:space="preserve">exports </w:t>
      </w:r>
      <w:r w:rsidR="006A2FCA">
        <w:rPr>
          <w:rFonts w:ascii="Book Antiqua" w:hAnsi="Book Antiqua"/>
          <w:lang w:val="en-GB"/>
        </w:rPr>
        <w:t xml:space="preserve">became less concentrated in terms of products </w:t>
      </w:r>
      <w:r w:rsidRPr="00F200E7">
        <w:rPr>
          <w:rFonts w:ascii="Book Antiqua" w:hAnsi="Book Antiqua"/>
          <w:lang w:val="en-GB"/>
        </w:rPr>
        <w:t xml:space="preserve">in the first decade of </w:t>
      </w:r>
      <w:r w:rsidR="005D26F8" w:rsidRPr="00F200E7">
        <w:rPr>
          <w:rFonts w:ascii="Book Antiqua" w:hAnsi="Book Antiqua"/>
          <w:lang w:val="en-GB"/>
        </w:rPr>
        <w:t>the 21</w:t>
      </w:r>
      <w:r w:rsidR="00E760D5" w:rsidRPr="00E760D5">
        <w:rPr>
          <w:rFonts w:ascii="Book Antiqua" w:hAnsi="Book Antiqua"/>
          <w:lang w:val="en-GB"/>
        </w:rPr>
        <w:t>st</w:t>
      </w:r>
      <w:r w:rsidR="005D26F8" w:rsidRPr="00F200E7">
        <w:rPr>
          <w:rFonts w:ascii="Book Antiqua" w:hAnsi="Book Antiqua"/>
          <w:lang w:val="en-GB"/>
        </w:rPr>
        <w:t xml:space="preserve"> century. In 2001 the </w:t>
      </w:r>
      <w:proofErr w:type="spellStart"/>
      <w:r w:rsidR="005D26F8" w:rsidRPr="00F200E7">
        <w:rPr>
          <w:rFonts w:ascii="Book Antiqua" w:hAnsi="Book Antiqua"/>
          <w:lang w:val="en-GB"/>
        </w:rPr>
        <w:t>Herfindahl</w:t>
      </w:r>
      <w:proofErr w:type="spellEnd"/>
      <w:r w:rsidR="00AE174D">
        <w:rPr>
          <w:rFonts w:ascii="Book Antiqua" w:hAnsi="Book Antiqua"/>
          <w:lang w:val="en-GB"/>
        </w:rPr>
        <w:t xml:space="preserve"> </w:t>
      </w:r>
      <w:r w:rsidR="005D26F8" w:rsidRPr="00F200E7">
        <w:rPr>
          <w:rFonts w:ascii="Book Antiqua" w:hAnsi="Book Antiqua"/>
          <w:lang w:val="en-GB"/>
        </w:rPr>
        <w:t xml:space="preserve">Index </w:t>
      </w:r>
      <w:r w:rsidR="00102D74" w:rsidRPr="00F200E7">
        <w:rPr>
          <w:rFonts w:ascii="Book Antiqua" w:hAnsi="Book Antiqua"/>
          <w:lang w:val="en-GB"/>
        </w:rPr>
        <w:t>stood</w:t>
      </w:r>
      <w:r w:rsidR="00AF54EE" w:rsidRPr="00F200E7">
        <w:rPr>
          <w:rFonts w:ascii="Book Antiqua" w:hAnsi="Book Antiqua"/>
          <w:lang w:val="en-GB"/>
        </w:rPr>
        <w:t xml:space="preserve"> at </w:t>
      </w:r>
      <w:r w:rsidR="005D26F8" w:rsidRPr="00F200E7">
        <w:rPr>
          <w:rFonts w:ascii="Book Antiqua" w:hAnsi="Book Antiqua"/>
          <w:lang w:val="en-GB"/>
        </w:rPr>
        <w:t xml:space="preserve">0.62, while in 2010 it </w:t>
      </w:r>
      <w:r w:rsidR="00AF54EE" w:rsidRPr="00F200E7">
        <w:rPr>
          <w:rFonts w:ascii="Book Antiqua" w:hAnsi="Book Antiqua"/>
          <w:lang w:val="en-GB"/>
        </w:rPr>
        <w:t xml:space="preserve">had </w:t>
      </w:r>
      <w:r w:rsidR="005D26F8" w:rsidRPr="00F200E7">
        <w:rPr>
          <w:rFonts w:ascii="Book Antiqua" w:hAnsi="Book Antiqua"/>
          <w:lang w:val="en-GB"/>
        </w:rPr>
        <w:t>decreased to 0.49.</w:t>
      </w:r>
      <w:r w:rsidR="006A2FCA" w:rsidRPr="00F200E7">
        <w:rPr>
          <w:rStyle w:val="FootnoteReference"/>
          <w:rFonts w:ascii="Book Antiqua" w:hAnsi="Book Antiqua"/>
          <w:lang w:val="en-GB"/>
        </w:rPr>
        <w:footnoteReference w:id="18"/>
      </w:r>
      <w:r w:rsidR="00AF54EE" w:rsidRPr="00F200E7">
        <w:rPr>
          <w:rFonts w:ascii="Book Antiqua" w:hAnsi="Book Antiqua"/>
          <w:lang w:val="en-GB"/>
        </w:rPr>
        <w:t>While t</w:t>
      </w:r>
      <w:r w:rsidR="005D26F8" w:rsidRPr="00F200E7">
        <w:rPr>
          <w:rFonts w:ascii="Book Antiqua" w:hAnsi="Book Antiqua"/>
          <w:lang w:val="en-GB"/>
        </w:rPr>
        <w:t>he concentration of exports decreas</w:t>
      </w:r>
      <w:r w:rsidR="00A9379D" w:rsidRPr="00F200E7">
        <w:rPr>
          <w:rFonts w:ascii="Book Antiqua" w:hAnsi="Book Antiqua"/>
          <w:lang w:val="en-GB"/>
        </w:rPr>
        <w:t>ed</w:t>
      </w:r>
      <w:r w:rsidR="00AE174D">
        <w:rPr>
          <w:rFonts w:ascii="Book Antiqua" w:hAnsi="Book Antiqua"/>
          <w:lang w:val="en-GB"/>
        </w:rPr>
        <w:t xml:space="preserve"> </w:t>
      </w:r>
      <w:r w:rsidR="00225CE8">
        <w:rPr>
          <w:rFonts w:ascii="Book Antiqua" w:hAnsi="Book Antiqua"/>
          <w:lang w:val="en-GB"/>
        </w:rPr>
        <w:t>throughout</w:t>
      </w:r>
      <w:r w:rsidR="00AE174D">
        <w:rPr>
          <w:rFonts w:ascii="Book Antiqua" w:hAnsi="Book Antiqua"/>
          <w:lang w:val="en-GB"/>
        </w:rPr>
        <w:t xml:space="preserve"> </w:t>
      </w:r>
      <w:r w:rsidR="005D26F8" w:rsidRPr="00F200E7">
        <w:rPr>
          <w:rFonts w:ascii="Book Antiqua" w:hAnsi="Book Antiqua"/>
          <w:lang w:val="en-GB"/>
        </w:rPr>
        <w:t xml:space="preserve">the decade, </w:t>
      </w:r>
      <w:r w:rsidR="00AF54EE" w:rsidRPr="00F200E7">
        <w:rPr>
          <w:rFonts w:ascii="Book Antiqua" w:hAnsi="Book Antiqua"/>
          <w:lang w:val="en-GB"/>
        </w:rPr>
        <w:t xml:space="preserve">the decrease accelerated </w:t>
      </w:r>
      <w:r w:rsidR="005D26F8" w:rsidRPr="00F200E7">
        <w:rPr>
          <w:rFonts w:ascii="Book Antiqua" w:hAnsi="Book Antiqua"/>
          <w:lang w:val="en-GB"/>
        </w:rPr>
        <w:t>after DR</w:t>
      </w:r>
      <w:r w:rsidR="00A9379D" w:rsidRPr="00F200E7">
        <w:rPr>
          <w:rFonts w:ascii="Book Antiqua" w:hAnsi="Book Antiqua"/>
          <w:lang w:val="en-GB"/>
        </w:rPr>
        <w:t>–</w:t>
      </w:r>
      <w:r w:rsidR="005D26F8" w:rsidRPr="00F200E7">
        <w:rPr>
          <w:rFonts w:ascii="Book Antiqua" w:hAnsi="Book Antiqua"/>
          <w:lang w:val="en-GB"/>
        </w:rPr>
        <w:t>CAFTA</w:t>
      </w:r>
      <w:r w:rsidR="00A9379D" w:rsidRPr="00F200E7">
        <w:rPr>
          <w:rFonts w:ascii="Book Antiqua" w:hAnsi="Book Antiqua"/>
          <w:lang w:val="en-GB"/>
        </w:rPr>
        <w:t xml:space="preserve"> came into force in 2006</w:t>
      </w:r>
      <w:r w:rsidR="00102D74" w:rsidRPr="00F200E7">
        <w:rPr>
          <w:rFonts w:ascii="Book Antiqua" w:hAnsi="Book Antiqua"/>
          <w:lang w:val="en-GB"/>
        </w:rPr>
        <w:t>.</w:t>
      </w:r>
    </w:p>
    <w:p w:rsidR="00225CE8" w:rsidRDefault="00225CE8">
      <w:pPr>
        <w:spacing w:after="0" w:line="240" w:lineRule="auto"/>
        <w:rPr>
          <w:b/>
          <w:lang w:val="en-GB"/>
        </w:rPr>
      </w:pPr>
    </w:p>
    <w:p w:rsidR="00E65CED" w:rsidRPr="00F200E7" w:rsidRDefault="00CD0629" w:rsidP="005F354C">
      <w:pPr>
        <w:pStyle w:val="NoSpacing"/>
        <w:keepNext/>
        <w:rPr>
          <w:rFonts w:ascii="Book Antiqua" w:hAnsi="Book Antiqua"/>
          <w:b/>
          <w:noProof/>
          <w:lang w:val="en-GB" w:eastAsia="es-GT"/>
        </w:rPr>
      </w:pPr>
      <w:r w:rsidRPr="00F200E7">
        <w:rPr>
          <w:rFonts w:ascii="Book Antiqua" w:hAnsi="Book Antiqua"/>
          <w:b/>
          <w:noProof/>
          <w:lang w:val="en-GB" w:eastAsia="es-GT"/>
        </w:rPr>
        <w:t>Figure</w:t>
      </w:r>
      <w:r w:rsidR="002F77DD" w:rsidRPr="00F200E7">
        <w:rPr>
          <w:rFonts w:ascii="Book Antiqua" w:hAnsi="Book Antiqua"/>
          <w:b/>
          <w:noProof/>
          <w:lang w:val="en-GB" w:eastAsia="es-GT"/>
        </w:rPr>
        <w:t>6.</w:t>
      </w:r>
      <w:r w:rsidR="005B4E96" w:rsidRPr="00F200E7">
        <w:rPr>
          <w:rFonts w:ascii="Book Antiqua" w:hAnsi="Book Antiqua"/>
          <w:b/>
          <w:noProof/>
          <w:lang w:val="en-GB" w:eastAsia="es-GT"/>
        </w:rPr>
        <w:t xml:space="preserve">12: </w:t>
      </w:r>
      <w:r w:rsidR="002F77DD" w:rsidRPr="00F200E7">
        <w:rPr>
          <w:rFonts w:ascii="Book Antiqua" w:hAnsi="Book Antiqua"/>
          <w:b/>
          <w:noProof/>
          <w:lang w:val="en-GB" w:eastAsia="es-GT"/>
        </w:rPr>
        <w:tab/>
      </w:r>
      <w:r w:rsidRPr="00F200E7">
        <w:rPr>
          <w:rFonts w:ascii="Book Antiqua" w:hAnsi="Book Antiqua"/>
          <w:b/>
          <w:noProof/>
          <w:lang w:val="en-GB" w:eastAsia="es-GT"/>
        </w:rPr>
        <w:t xml:space="preserve">Exports </w:t>
      </w:r>
      <w:r w:rsidR="00DC167F" w:rsidRPr="00F200E7">
        <w:rPr>
          <w:rFonts w:ascii="Book Antiqua" w:hAnsi="Book Antiqua"/>
          <w:b/>
          <w:noProof/>
          <w:lang w:val="en-GB" w:eastAsia="es-GT"/>
        </w:rPr>
        <w:t xml:space="preserve">–  </w:t>
      </w:r>
      <w:r w:rsidRPr="00F200E7">
        <w:rPr>
          <w:rFonts w:ascii="Book Antiqua" w:hAnsi="Book Antiqua"/>
          <w:b/>
          <w:noProof/>
          <w:lang w:val="en-GB" w:eastAsia="es-GT"/>
        </w:rPr>
        <w:t>Herfindahl Index</w:t>
      </w:r>
      <w:r w:rsidR="005F354C" w:rsidRPr="00F200E7">
        <w:rPr>
          <w:rFonts w:ascii="Book Antiqua" w:hAnsi="Book Antiqua"/>
          <w:b/>
          <w:noProof/>
          <w:lang w:val="en-GB" w:eastAsia="es-GT"/>
        </w:rPr>
        <w:t xml:space="preserve">, </w:t>
      </w:r>
      <w:r w:rsidR="00DE74FF">
        <w:rPr>
          <w:rFonts w:ascii="Book Antiqua" w:hAnsi="Book Antiqua"/>
          <w:b/>
          <w:noProof/>
          <w:lang w:val="en-GB" w:eastAsia="es-GT"/>
        </w:rPr>
        <w:t xml:space="preserve">Guatemala, </w:t>
      </w:r>
      <w:r w:rsidR="005B4E96" w:rsidRPr="00F200E7">
        <w:rPr>
          <w:rFonts w:ascii="Book Antiqua" w:hAnsi="Book Antiqua"/>
          <w:b/>
          <w:noProof/>
          <w:lang w:val="en-GB" w:eastAsia="es-GT"/>
        </w:rPr>
        <w:t>2</w:t>
      </w:r>
      <w:r w:rsidR="00DE74FF">
        <w:rPr>
          <w:rFonts w:ascii="Book Antiqua" w:hAnsi="Book Antiqua"/>
          <w:b/>
          <w:noProof/>
          <w:lang w:val="en-GB" w:eastAsia="es-GT"/>
        </w:rPr>
        <w:t>001</w:t>
      </w:r>
      <w:r w:rsidR="00152B63">
        <w:rPr>
          <w:rFonts w:ascii="Book Antiqua" w:hAnsi="Book Antiqua"/>
          <w:b/>
          <w:noProof/>
          <w:lang w:val="en-GB" w:eastAsia="es-GT"/>
        </w:rPr>
        <w:t>–</w:t>
      </w:r>
      <w:r w:rsidR="005B4E96" w:rsidRPr="00F200E7">
        <w:rPr>
          <w:rFonts w:ascii="Book Antiqua" w:hAnsi="Book Antiqua"/>
          <w:b/>
          <w:noProof/>
          <w:lang w:val="en-GB" w:eastAsia="es-GT"/>
        </w:rPr>
        <w:t>2010</w:t>
      </w:r>
    </w:p>
    <w:p w:rsidR="005B4E96" w:rsidRDefault="005B4E96" w:rsidP="005B4E96">
      <w:pPr>
        <w:pStyle w:val="NoSpacing"/>
        <w:jc w:val="center"/>
        <w:rPr>
          <w:lang w:val="en-GB"/>
        </w:rPr>
      </w:pPr>
    </w:p>
    <w:p w:rsidR="00C26C27" w:rsidRPr="00F200E7" w:rsidRDefault="00C26C27" w:rsidP="005B4E96">
      <w:pPr>
        <w:pStyle w:val="NoSpacing"/>
        <w:jc w:val="center"/>
        <w:rPr>
          <w:lang w:val="en-GB"/>
        </w:rPr>
      </w:pPr>
      <w:r>
        <w:rPr>
          <w:noProof/>
          <w:lang w:val="en-GB" w:eastAsia="en-GB"/>
        </w:rPr>
        <w:drawing>
          <wp:inline distT="0" distB="0" distL="0" distR="0">
            <wp:extent cx="539115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B4E96" w:rsidRPr="00F200E7" w:rsidRDefault="00CD0629" w:rsidP="005B4E96">
      <w:pPr>
        <w:pStyle w:val="NoSpacing"/>
        <w:tabs>
          <w:tab w:val="left" w:pos="5984"/>
        </w:tabs>
        <w:jc w:val="both"/>
        <w:rPr>
          <w:rFonts w:ascii="Book Antiqua" w:hAnsi="Book Antiqua"/>
          <w:sz w:val="18"/>
          <w:lang w:val="en-GB"/>
        </w:rPr>
      </w:pPr>
      <w:r w:rsidRPr="00F200E7">
        <w:rPr>
          <w:rFonts w:ascii="Book Antiqua" w:hAnsi="Book Antiqua"/>
          <w:sz w:val="18"/>
          <w:lang w:val="en-GB"/>
        </w:rPr>
        <w:t>Source</w:t>
      </w:r>
      <w:r w:rsidR="005B4E96" w:rsidRPr="00F200E7">
        <w:rPr>
          <w:rFonts w:ascii="Book Antiqua" w:hAnsi="Book Antiqua"/>
          <w:sz w:val="18"/>
          <w:lang w:val="en-GB"/>
        </w:rPr>
        <w:t xml:space="preserve">: </w:t>
      </w:r>
      <w:r w:rsidRPr="00F200E7">
        <w:rPr>
          <w:rFonts w:ascii="Book Antiqua" w:hAnsi="Book Antiqua"/>
          <w:sz w:val="18"/>
          <w:lang w:val="en-GB"/>
        </w:rPr>
        <w:t xml:space="preserve">Authors’ calculation </w:t>
      </w:r>
      <w:r w:rsidR="00DE74FF">
        <w:rPr>
          <w:rFonts w:ascii="Book Antiqua" w:hAnsi="Book Antiqua"/>
          <w:sz w:val="18"/>
          <w:lang w:val="en-GB"/>
        </w:rPr>
        <w:t>using</w:t>
      </w:r>
      <w:r w:rsidR="00AE174D">
        <w:rPr>
          <w:rFonts w:ascii="Book Antiqua" w:hAnsi="Book Antiqua"/>
          <w:sz w:val="18"/>
          <w:lang w:val="en-GB"/>
        </w:rPr>
        <w:t xml:space="preserve"> </w:t>
      </w:r>
      <w:proofErr w:type="spellStart"/>
      <w:r w:rsidRPr="00F200E7">
        <w:rPr>
          <w:rFonts w:ascii="Book Antiqua" w:hAnsi="Book Antiqua"/>
          <w:sz w:val="18"/>
          <w:lang w:val="en-GB"/>
        </w:rPr>
        <w:t>Banco</w:t>
      </w:r>
      <w:proofErr w:type="spellEnd"/>
      <w:r w:rsidRPr="00F200E7">
        <w:rPr>
          <w:rFonts w:ascii="Book Antiqua" w:hAnsi="Book Antiqua"/>
          <w:sz w:val="18"/>
          <w:lang w:val="en-GB"/>
        </w:rPr>
        <w:t xml:space="preserve"> de Guatemala data</w:t>
      </w:r>
      <w:r w:rsidR="005B4E96" w:rsidRPr="00F200E7">
        <w:rPr>
          <w:rFonts w:ascii="Book Antiqua" w:hAnsi="Book Antiqua"/>
          <w:sz w:val="18"/>
          <w:lang w:val="en-GB"/>
        </w:rPr>
        <w:t>.</w:t>
      </w:r>
    </w:p>
    <w:p w:rsidR="00E65CED" w:rsidRPr="00F200E7" w:rsidRDefault="005B4E96" w:rsidP="0020111F">
      <w:pPr>
        <w:pStyle w:val="Heading1"/>
        <w:ind w:left="720" w:hanging="720"/>
        <w:rPr>
          <w:lang w:val="en-GB"/>
        </w:rPr>
      </w:pPr>
      <w:r w:rsidRPr="00F200E7">
        <w:rPr>
          <w:rFonts w:eastAsia="Calibri"/>
          <w:lang w:val="en-GB"/>
        </w:rPr>
        <w:br w:type="page"/>
      </w:r>
      <w:bookmarkStart w:id="137" w:name="_Toc302658265"/>
      <w:bookmarkStart w:id="138" w:name="_Toc333411867"/>
      <w:bookmarkStart w:id="139" w:name="_Toc336607516"/>
      <w:bookmarkStart w:id="140" w:name="_Toc333837991"/>
      <w:r w:rsidR="006A2FCA">
        <w:rPr>
          <w:rFonts w:eastAsia="Calibri"/>
          <w:lang w:val="en-GB"/>
        </w:rPr>
        <w:t>6.</w:t>
      </w:r>
      <w:r w:rsidR="00116FF7">
        <w:rPr>
          <w:rFonts w:eastAsia="Calibri"/>
          <w:lang w:val="en-GB"/>
        </w:rPr>
        <w:t>5</w:t>
      </w:r>
      <w:r w:rsidR="00102D74" w:rsidRPr="00F200E7">
        <w:rPr>
          <w:rFonts w:eastAsia="Calibri"/>
          <w:lang w:val="en-GB"/>
        </w:rPr>
        <w:tab/>
        <w:t>EFFECTS OF PREFERENTIAL TRADE AGREEMENTS ON AGRICULTURAL EMPLOYMENT IN GUATEMALA</w:t>
      </w:r>
      <w:bookmarkEnd w:id="137"/>
      <w:bookmarkEnd w:id="138"/>
      <w:bookmarkEnd w:id="139"/>
      <w:bookmarkEnd w:id="140"/>
    </w:p>
    <w:p w:rsidR="005B4E96" w:rsidRPr="00F200E7" w:rsidRDefault="006A2FCA" w:rsidP="0032057B">
      <w:pPr>
        <w:pStyle w:val="Heading2"/>
      </w:pPr>
      <w:bookmarkStart w:id="141" w:name="_Toc302658266"/>
      <w:bookmarkStart w:id="142" w:name="_Toc302658344"/>
      <w:bookmarkStart w:id="143" w:name="_Toc302726568"/>
      <w:bookmarkStart w:id="144" w:name="_Toc303026037"/>
      <w:bookmarkStart w:id="145" w:name="_Toc314494922"/>
      <w:bookmarkStart w:id="146" w:name="_Toc314582261"/>
      <w:bookmarkStart w:id="147" w:name="_Toc328592169"/>
      <w:bookmarkStart w:id="148" w:name="_Toc330988170"/>
      <w:bookmarkStart w:id="149" w:name="_Toc331157501"/>
      <w:bookmarkStart w:id="150" w:name="_Toc331157591"/>
      <w:bookmarkStart w:id="151" w:name="_Toc331162422"/>
      <w:bookmarkStart w:id="152" w:name="_Toc331164089"/>
      <w:bookmarkStart w:id="153" w:name="_Toc331167547"/>
      <w:bookmarkStart w:id="154" w:name="_Toc331167882"/>
      <w:bookmarkStart w:id="155" w:name="_Toc333068116"/>
      <w:bookmarkStart w:id="156" w:name="_Toc333073896"/>
      <w:bookmarkStart w:id="157" w:name="_Toc333230274"/>
      <w:bookmarkStart w:id="158" w:name="_Toc333241212"/>
      <w:bookmarkStart w:id="159" w:name="_Toc333411868"/>
      <w:bookmarkStart w:id="160" w:name="_Toc333566083"/>
      <w:bookmarkStart w:id="161" w:name="_Toc333828394"/>
      <w:bookmarkStart w:id="162" w:name="_Toc333837992"/>
      <w:bookmarkStart w:id="163" w:name="_Toc336607517"/>
      <w:bookmarkStart w:id="164" w:name="_Toc333837993"/>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6.</w:t>
      </w:r>
      <w:r w:rsidR="00116FF7">
        <w:t>5</w:t>
      </w:r>
      <w:r w:rsidR="00102D74" w:rsidRPr="00F200E7">
        <w:t>.1</w:t>
      </w:r>
      <w:r w:rsidR="00102D74" w:rsidRPr="00F200E7">
        <w:tab/>
      </w:r>
      <w:r w:rsidR="00DF0A3D" w:rsidRPr="00F200E7">
        <w:t>Econometric model</w:t>
      </w:r>
      <w:bookmarkEnd w:id="163"/>
      <w:bookmarkEnd w:id="164"/>
    </w:p>
    <w:p w:rsidR="005B4E96" w:rsidRPr="00AF45BA" w:rsidRDefault="006A2FCA" w:rsidP="00AF741B">
      <w:pPr>
        <w:pStyle w:val="Heading3"/>
        <w:rPr>
          <w:color w:val="auto"/>
        </w:rPr>
      </w:pPr>
      <w:bookmarkStart w:id="165" w:name="_Toc336607518"/>
      <w:r w:rsidRPr="00AF45BA">
        <w:rPr>
          <w:color w:val="auto"/>
        </w:rPr>
        <w:t>6.</w:t>
      </w:r>
      <w:r w:rsidR="00116FF7">
        <w:rPr>
          <w:color w:val="auto"/>
        </w:rPr>
        <w:t>5</w:t>
      </w:r>
      <w:r w:rsidR="00A443BF" w:rsidRPr="00AF45BA">
        <w:rPr>
          <w:color w:val="auto"/>
        </w:rPr>
        <w:t>.1.1</w:t>
      </w:r>
      <w:r w:rsidR="00A443BF" w:rsidRPr="00AF45BA">
        <w:rPr>
          <w:color w:val="auto"/>
        </w:rPr>
        <w:tab/>
        <w:t>Data</w:t>
      </w:r>
      <w:bookmarkEnd w:id="165"/>
    </w:p>
    <w:p w:rsidR="005B4E96" w:rsidRPr="00F200E7" w:rsidRDefault="00F128D0" w:rsidP="00F128D0">
      <w:pPr>
        <w:pStyle w:val="NoSpacing"/>
        <w:jc w:val="both"/>
        <w:rPr>
          <w:rFonts w:ascii="Book Antiqua" w:hAnsi="Book Antiqua"/>
          <w:lang w:val="en-GB"/>
        </w:rPr>
      </w:pPr>
      <w:r w:rsidRPr="00F200E7">
        <w:rPr>
          <w:rFonts w:ascii="Book Antiqua" w:hAnsi="Book Antiqua"/>
          <w:lang w:val="en-GB"/>
        </w:rPr>
        <w:t xml:space="preserve">Guatemala has serious deficiencies regarding employment statistics. For example, information regarding the labour market </w:t>
      </w:r>
      <w:r w:rsidR="0093676F" w:rsidRPr="00F200E7">
        <w:rPr>
          <w:rFonts w:ascii="Book Antiqua" w:hAnsi="Book Antiqua"/>
          <w:lang w:val="en-GB"/>
        </w:rPr>
        <w:t xml:space="preserve">in the past decade </w:t>
      </w:r>
      <w:r w:rsidRPr="00F200E7">
        <w:rPr>
          <w:rFonts w:ascii="Book Antiqua" w:hAnsi="Book Antiqua"/>
          <w:lang w:val="en-GB"/>
        </w:rPr>
        <w:t xml:space="preserve">comes </w:t>
      </w:r>
      <w:r w:rsidR="0093676F" w:rsidRPr="00F200E7">
        <w:rPr>
          <w:rFonts w:ascii="Book Antiqua" w:hAnsi="Book Antiqua"/>
          <w:lang w:val="en-GB"/>
        </w:rPr>
        <w:t xml:space="preserve">only </w:t>
      </w:r>
      <w:r w:rsidRPr="00F200E7">
        <w:rPr>
          <w:rFonts w:ascii="Book Antiqua" w:hAnsi="Book Antiqua"/>
          <w:lang w:val="en-GB"/>
        </w:rPr>
        <w:t>from ho</w:t>
      </w:r>
      <w:r w:rsidR="0093676F" w:rsidRPr="00F200E7">
        <w:rPr>
          <w:rFonts w:ascii="Book Antiqua" w:hAnsi="Book Antiqua"/>
          <w:lang w:val="en-GB"/>
        </w:rPr>
        <w:t>usehold</w:t>
      </w:r>
      <w:r w:rsidRPr="00F200E7">
        <w:rPr>
          <w:rFonts w:ascii="Book Antiqua" w:hAnsi="Book Antiqua"/>
          <w:lang w:val="en-GB"/>
        </w:rPr>
        <w:t xml:space="preserve"> surveys in 2004 and 2006. </w:t>
      </w:r>
      <w:r w:rsidR="0093676F" w:rsidRPr="00F200E7">
        <w:rPr>
          <w:rFonts w:ascii="Book Antiqua" w:hAnsi="Book Antiqua"/>
          <w:lang w:val="en-GB"/>
        </w:rPr>
        <w:t xml:space="preserve">Furthermore, the findings of these two surveys are not comparable; </w:t>
      </w:r>
      <w:r w:rsidRPr="00F200E7">
        <w:rPr>
          <w:rFonts w:ascii="Book Antiqua" w:hAnsi="Book Antiqua"/>
          <w:lang w:val="en-GB"/>
        </w:rPr>
        <w:t xml:space="preserve">the 2004 </w:t>
      </w:r>
      <w:r w:rsidR="0093676F" w:rsidRPr="00F200E7">
        <w:rPr>
          <w:rFonts w:ascii="Book Antiqua" w:hAnsi="Book Antiqua"/>
          <w:lang w:val="en-GB"/>
        </w:rPr>
        <w:t xml:space="preserve">survey was </w:t>
      </w:r>
      <w:r w:rsidRPr="00F200E7">
        <w:rPr>
          <w:rFonts w:ascii="Book Antiqua" w:hAnsi="Book Antiqua"/>
          <w:lang w:val="en-GB"/>
        </w:rPr>
        <w:t xml:space="preserve">an employment survey, whereas the </w:t>
      </w:r>
      <w:r w:rsidR="0093676F" w:rsidRPr="00F200E7">
        <w:rPr>
          <w:rFonts w:ascii="Book Antiqua" w:hAnsi="Book Antiqua"/>
          <w:lang w:val="en-GB"/>
        </w:rPr>
        <w:t xml:space="preserve">2006 survey </w:t>
      </w:r>
      <w:r w:rsidR="00596A5C" w:rsidRPr="00F200E7">
        <w:rPr>
          <w:rFonts w:ascii="Book Antiqua" w:hAnsi="Book Antiqua"/>
          <w:lang w:val="en-GB"/>
        </w:rPr>
        <w:t>was a</w:t>
      </w:r>
      <w:r w:rsidR="0093676F" w:rsidRPr="00F200E7">
        <w:rPr>
          <w:rFonts w:ascii="Book Antiqua" w:hAnsi="Book Antiqua"/>
          <w:lang w:val="en-GB"/>
        </w:rPr>
        <w:t xml:space="preserve"> survey of</w:t>
      </w:r>
      <w:r w:rsidRPr="00F200E7">
        <w:rPr>
          <w:rFonts w:ascii="Book Antiqua" w:hAnsi="Book Antiqua"/>
          <w:lang w:val="en-GB"/>
        </w:rPr>
        <w:t xml:space="preserve"> living conditions</w:t>
      </w:r>
      <w:r w:rsidR="0093676F" w:rsidRPr="00F200E7">
        <w:rPr>
          <w:rFonts w:ascii="Book Antiqua" w:hAnsi="Book Antiqua"/>
          <w:lang w:val="en-GB"/>
        </w:rPr>
        <w:t>.</w:t>
      </w:r>
    </w:p>
    <w:p w:rsidR="00F128D0" w:rsidRPr="00F200E7" w:rsidRDefault="00F128D0" w:rsidP="00F128D0">
      <w:pPr>
        <w:pStyle w:val="NoSpacing"/>
        <w:jc w:val="both"/>
        <w:rPr>
          <w:rFonts w:ascii="Book Antiqua" w:hAnsi="Book Antiqua"/>
          <w:lang w:val="en-GB"/>
        </w:rPr>
      </w:pPr>
    </w:p>
    <w:p w:rsidR="00F128D0" w:rsidRPr="00F200E7" w:rsidRDefault="00F128D0" w:rsidP="00F128D0">
      <w:pPr>
        <w:pStyle w:val="NoSpacing"/>
        <w:jc w:val="both"/>
        <w:rPr>
          <w:rFonts w:ascii="Book Antiqua" w:hAnsi="Book Antiqua"/>
          <w:lang w:val="en-GB"/>
        </w:rPr>
      </w:pPr>
      <w:r w:rsidRPr="00F200E7">
        <w:rPr>
          <w:rFonts w:ascii="Book Antiqua" w:hAnsi="Book Antiqua"/>
          <w:lang w:val="en-GB"/>
        </w:rPr>
        <w:t xml:space="preserve">The lack of periodic statistical information makes </w:t>
      </w:r>
      <w:r w:rsidR="0093676F" w:rsidRPr="00F200E7">
        <w:rPr>
          <w:rFonts w:ascii="Book Antiqua" w:hAnsi="Book Antiqua"/>
          <w:lang w:val="en-GB"/>
        </w:rPr>
        <w:t xml:space="preserve">it </w:t>
      </w:r>
      <w:r w:rsidRPr="00F200E7">
        <w:rPr>
          <w:rFonts w:ascii="Book Antiqua" w:hAnsi="Book Antiqua"/>
          <w:lang w:val="en-GB"/>
        </w:rPr>
        <w:t xml:space="preserve">extremely difficult </w:t>
      </w:r>
      <w:r w:rsidR="0093676F" w:rsidRPr="00F200E7">
        <w:rPr>
          <w:rFonts w:ascii="Book Antiqua" w:hAnsi="Book Antiqua"/>
          <w:lang w:val="en-GB"/>
        </w:rPr>
        <w:t>to</w:t>
      </w:r>
      <w:r w:rsidRPr="00F200E7">
        <w:rPr>
          <w:rFonts w:ascii="Book Antiqua" w:hAnsi="Book Antiqua"/>
          <w:lang w:val="en-GB"/>
        </w:rPr>
        <w:t xml:space="preserve"> construct </w:t>
      </w:r>
      <w:r w:rsidR="0093676F" w:rsidRPr="00F200E7">
        <w:rPr>
          <w:rFonts w:ascii="Book Antiqua" w:hAnsi="Book Antiqua"/>
          <w:lang w:val="en-GB"/>
        </w:rPr>
        <w:t xml:space="preserve">a </w:t>
      </w:r>
      <w:r w:rsidRPr="00F200E7">
        <w:rPr>
          <w:rFonts w:ascii="Book Antiqua" w:hAnsi="Book Antiqua"/>
          <w:lang w:val="en-GB"/>
        </w:rPr>
        <w:t>consistent historical series</w:t>
      </w:r>
      <w:r w:rsidR="000B550F" w:rsidRPr="00F200E7">
        <w:rPr>
          <w:rFonts w:ascii="Book Antiqua" w:hAnsi="Book Antiqua"/>
          <w:lang w:val="en-GB"/>
        </w:rPr>
        <w:t xml:space="preserve">. This in turn hinders </w:t>
      </w:r>
      <w:r w:rsidR="00F124DB" w:rsidRPr="00F200E7">
        <w:rPr>
          <w:rFonts w:ascii="Book Antiqua" w:hAnsi="Book Antiqua"/>
          <w:lang w:val="en-GB"/>
        </w:rPr>
        <w:t>development</w:t>
      </w:r>
      <w:r w:rsidR="0093676F" w:rsidRPr="00F200E7">
        <w:rPr>
          <w:rFonts w:ascii="Book Antiqua" w:hAnsi="Book Antiqua"/>
          <w:lang w:val="en-GB"/>
        </w:rPr>
        <w:t xml:space="preserve"> of</w:t>
      </w:r>
      <w:r w:rsidR="000B550F" w:rsidRPr="00F200E7">
        <w:rPr>
          <w:rFonts w:ascii="Book Antiqua" w:hAnsi="Book Antiqua"/>
          <w:lang w:val="en-GB"/>
        </w:rPr>
        <w:t xml:space="preserve"> solid statistical models</w:t>
      </w:r>
      <w:r w:rsidR="0093676F" w:rsidRPr="00F200E7">
        <w:rPr>
          <w:rFonts w:ascii="Book Antiqua" w:hAnsi="Book Antiqua"/>
          <w:lang w:val="en-GB"/>
        </w:rPr>
        <w:t xml:space="preserve"> that</w:t>
      </w:r>
      <w:r w:rsidR="000B550F" w:rsidRPr="00F200E7">
        <w:rPr>
          <w:rFonts w:ascii="Book Antiqua" w:hAnsi="Book Antiqua"/>
          <w:lang w:val="en-GB"/>
        </w:rPr>
        <w:t xml:space="preserve"> would yield relevant results.</w:t>
      </w:r>
    </w:p>
    <w:p w:rsidR="005B4E96" w:rsidRPr="00F200E7" w:rsidRDefault="005B4E96" w:rsidP="005B4E96">
      <w:pPr>
        <w:pStyle w:val="NoSpacing"/>
        <w:jc w:val="both"/>
        <w:rPr>
          <w:rFonts w:ascii="Book Antiqua" w:hAnsi="Book Antiqua"/>
          <w:lang w:val="en-GB"/>
        </w:rPr>
      </w:pPr>
    </w:p>
    <w:p w:rsidR="000B550F" w:rsidRPr="00F200E7" w:rsidRDefault="000B550F" w:rsidP="005B4E96">
      <w:pPr>
        <w:pStyle w:val="NoSpacing"/>
        <w:jc w:val="both"/>
        <w:rPr>
          <w:rFonts w:ascii="Book Antiqua" w:hAnsi="Book Antiqua"/>
          <w:lang w:val="en-GB"/>
        </w:rPr>
      </w:pPr>
      <w:r w:rsidRPr="00F200E7">
        <w:rPr>
          <w:rFonts w:ascii="Book Antiqua" w:hAnsi="Book Antiqua"/>
          <w:lang w:val="en-GB"/>
        </w:rPr>
        <w:t xml:space="preserve">Due to the </w:t>
      </w:r>
      <w:r w:rsidR="00F124DB" w:rsidRPr="00F200E7">
        <w:rPr>
          <w:rFonts w:ascii="Book Antiqua" w:hAnsi="Book Antiqua"/>
          <w:lang w:val="en-GB"/>
        </w:rPr>
        <w:t xml:space="preserve">lack of more comprehensive </w:t>
      </w:r>
      <w:r w:rsidRPr="00F200E7">
        <w:rPr>
          <w:rFonts w:ascii="Book Antiqua" w:hAnsi="Book Antiqua"/>
          <w:lang w:val="en-GB"/>
        </w:rPr>
        <w:t xml:space="preserve">information, the number of </w:t>
      </w:r>
      <w:r w:rsidR="00143F09" w:rsidRPr="00F200E7">
        <w:rPr>
          <w:rFonts w:ascii="Book Antiqua" w:hAnsi="Book Antiqua"/>
          <w:lang w:val="en-GB"/>
        </w:rPr>
        <w:t xml:space="preserve">agricultural </w:t>
      </w:r>
      <w:r w:rsidRPr="00F200E7">
        <w:rPr>
          <w:rFonts w:ascii="Book Antiqua" w:hAnsi="Book Antiqua"/>
          <w:lang w:val="en-GB"/>
        </w:rPr>
        <w:t>workers</w:t>
      </w:r>
      <w:r w:rsidR="00143F09" w:rsidRPr="00F200E7">
        <w:rPr>
          <w:rFonts w:ascii="Book Antiqua" w:hAnsi="Book Antiqua"/>
          <w:lang w:val="en-GB"/>
        </w:rPr>
        <w:t xml:space="preserve"> contributing to IGSS </w:t>
      </w:r>
      <w:r w:rsidR="00F124DB" w:rsidRPr="00F200E7">
        <w:rPr>
          <w:rFonts w:ascii="Book Antiqua" w:hAnsi="Book Antiqua"/>
          <w:lang w:val="en-GB"/>
        </w:rPr>
        <w:t>i</w:t>
      </w:r>
      <w:r w:rsidR="00143F09" w:rsidRPr="00F200E7">
        <w:rPr>
          <w:rFonts w:ascii="Book Antiqua" w:hAnsi="Book Antiqua"/>
          <w:lang w:val="en-GB"/>
        </w:rPr>
        <w:t>s used as the dependent variable and</w:t>
      </w:r>
      <w:r w:rsidR="00F124DB" w:rsidRPr="00F200E7">
        <w:rPr>
          <w:rFonts w:ascii="Book Antiqua" w:hAnsi="Book Antiqua"/>
          <w:lang w:val="en-GB"/>
        </w:rPr>
        <w:t>,</w:t>
      </w:r>
      <w:r w:rsidR="00143F09" w:rsidRPr="00F200E7">
        <w:rPr>
          <w:rFonts w:ascii="Book Antiqua" w:hAnsi="Book Antiqua"/>
          <w:lang w:val="en-GB"/>
        </w:rPr>
        <w:t xml:space="preserve"> as independent </w:t>
      </w:r>
      <w:proofErr w:type="gramStart"/>
      <w:r w:rsidR="00143F09" w:rsidRPr="00F200E7">
        <w:rPr>
          <w:rFonts w:ascii="Book Antiqua" w:hAnsi="Book Antiqua"/>
          <w:lang w:val="en-GB"/>
        </w:rPr>
        <w:t>variables</w:t>
      </w:r>
      <w:r w:rsidR="00F124DB" w:rsidRPr="00F200E7">
        <w:rPr>
          <w:rFonts w:ascii="Book Antiqua" w:hAnsi="Book Antiqua"/>
          <w:lang w:val="en-GB"/>
        </w:rPr>
        <w:t>,</w:t>
      </w:r>
      <w:proofErr w:type="gramEnd"/>
      <w:r w:rsidR="00143F09" w:rsidRPr="00F200E7">
        <w:rPr>
          <w:rFonts w:ascii="Book Antiqua" w:hAnsi="Book Antiqua"/>
          <w:lang w:val="en-GB"/>
        </w:rPr>
        <w:t xml:space="preserve"> the value</w:t>
      </w:r>
      <w:r w:rsidR="00F124DB" w:rsidRPr="00F200E7">
        <w:rPr>
          <w:rFonts w:ascii="Book Antiqua" w:hAnsi="Book Antiqua"/>
          <w:lang w:val="en-GB"/>
        </w:rPr>
        <w:t>s</w:t>
      </w:r>
      <w:r w:rsidR="00143F09" w:rsidRPr="00F200E7">
        <w:rPr>
          <w:rFonts w:ascii="Book Antiqua" w:hAnsi="Book Antiqua"/>
          <w:lang w:val="en-GB"/>
        </w:rPr>
        <w:t xml:space="preserve"> of exports of traditional goods</w:t>
      </w:r>
      <w:r w:rsidR="0015001C">
        <w:rPr>
          <w:rFonts w:ascii="Book Antiqua" w:hAnsi="Book Antiqua"/>
          <w:lang w:val="en-GB"/>
        </w:rPr>
        <w:t xml:space="preserve"> are used </w:t>
      </w:r>
      <w:r w:rsidR="00143F09" w:rsidRPr="00F200E7">
        <w:rPr>
          <w:rFonts w:ascii="Book Antiqua" w:hAnsi="Book Antiqua"/>
          <w:lang w:val="en-GB"/>
        </w:rPr>
        <w:t xml:space="preserve">to determine the effects of foreign trade </w:t>
      </w:r>
      <w:r w:rsidR="00F124DB" w:rsidRPr="00F200E7">
        <w:rPr>
          <w:rFonts w:ascii="Book Antiqua" w:hAnsi="Book Antiqua"/>
          <w:lang w:val="en-GB"/>
        </w:rPr>
        <w:t>o</w:t>
      </w:r>
      <w:r w:rsidR="00143F09" w:rsidRPr="00F200E7">
        <w:rPr>
          <w:rFonts w:ascii="Book Antiqua" w:hAnsi="Book Antiqua"/>
          <w:lang w:val="en-GB"/>
        </w:rPr>
        <w:t xml:space="preserve">n agricultural employment. The data used </w:t>
      </w:r>
      <w:r w:rsidR="00F124DB" w:rsidRPr="00F200E7">
        <w:rPr>
          <w:rFonts w:ascii="Book Antiqua" w:hAnsi="Book Antiqua"/>
          <w:lang w:val="en-GB"/>
        </w:rPr>
        <w:t xml:space="preserve">for the </w:t>
      </w:r>
      <w:r w:rsidR="00143F09" w:rsidRPr="00F200E7">
        <w:rPr>
          <w:rFonts w:ascii="Book Antiqua" w:hAnsi="Book Antiqua"/>
          <w:lang w:val="en-GB"/>
        </w:rPr>
        <w:t>dependent</w:t>
      </w:r>
      <w:r w:rsidR="00D81D62" w:rsidRPr="00F200E7">
        <w:rPr>
          <w:rFonts w:ascii="Book Antiqua" w:hAnsi="Book Antiqua"/>
          <w:lang w:val="en-GB"/>
        </w:rPr>
        <w:t xml:space="preserve"> variable </w:t>
      </w:r>
      <w:r w:rsidR="00F124DB" w:rsidRPr="00F200E7">
        <w:rPr>
          <w:rFonts w:ascii="Book Antiqua" w:hAnsi="Book Antiqua"/>
          <w:lang w:val="en-GB"/>
        </w:rPr>
        <w:t>are those shown in f</w:t>
      </w:r>
      <w:r w:rsidR="00143F09" w:rsidRPr="00F200E7">
        <w:rPr>
          <w:rFonts w:ascii="Book Antiqua" w:hAnsi="Book Antiqua"/>
          <w:lang w:val="en-GB"/>
        </w:rPr>
        <w:t xml:space="preserve">igure </w:t>
      </w:r>
      <w:r w:rsidR="00F124DB" w:rsidRPr="00F200E7">
        <w:rPr>
          <w:rFonts w:ascii="Book Antiqua" w:hAnsi="Book Antiqua"/>
          <w:lang w:val="en-GB"/>
        </w:rPr>
        <w:t>6.</w:t>
      </w:r>
      <w:r w:rsidR="00143F09" w:rsidRPr="00F200E7">
        <w:rPr>
          <w:rFonts w:ascii="Book Antiqua" w:hAnsi="Book Antiqua"/>
          <w:lang w:val="en-GB"/>
        </w:rPr>
        <w:t>1.</w:t>
      </w:r>
    </w:p>
    <w:p w:rsidR="005B4E96" w:rsidRPr="00F200E7" w:rsidRDefault="005B4E96" w:rsidP="005B4E96">
      <w:pPr>
        <w:pStyle w:val="NoSpacing"/>
        <w:jc w:val="both"/>
        <w:rPr>
          <w:rFonts w:ascii="Book Antiqua" w:hAnsi="Book Antiqua"/>
          <w:lang w:val="en-GB"/>
        </w:rPr>
      </w:pPr>
    </w:p>
    <w:p w:rsidR="00143F09" w:rsidRPr="00F200E7" w:rsidRDefault="00BC0D47" w:rsidP="005B4E96">
      <w:pPr>
        <w:pStyle w:val="NoSpacing"/>
        <w:jc w:val="both"/>
        <w:rPr>
          <w:rFonts w:ascii="Book Antiqua" w:hAnsi="Book Antiqua"/>
          <w:lang w:val="en-GB"/>
        </w:rPr>
      </w:pPr>
      <w:r>
        <w:rPr>
          <w:rFonts w:ascii="Book Antiqua" w:hAnsi="Book Antiqua"/>
          <w:lang w:val="en-GB"/>
        </w:rPr>
        <w:t xml:space="preserve">With the available information </w:t>
      </w:r>
      <w:proofErr w:type="spellStart"/>
      <w:r w:rsidR="00143F09" w:rsidRPr="00F200E7">
        <w:rPr>
          <w:rFonts w:ascii="Book Antiqua" w:hAnsi="Book Antiqua"/>
          <w:lang w:val="en-GB"/>
        </w:rPr>
        <w:t>univariate</w:t>
      </w:r>
      <w:proofErr w:type="spellEnd"/>
      <w:r w:rsidR="00143F09" w:rsidRPr="00F200E7">
        <w:rPr>
          <w:rStyle w:val="FootnoteReference"/>
          <w:rFonts w:ascii="Book Antiqua" w:hAnsi="Book Antiqua"/>
          <w:lang w:val="en-GB"/>
        </w:rPr>
        <w:footnoteReference w:id="19"/>
      </w:r>
      <w:r>
        <w:rPr>
          <w:rFonts w:ascii="Book Antiqua" w:hAnsi="Book Antiqua"/>
          <w:lang w:val="en-GB"/>
        </w:rPr>
        <w:t xml:space="preserve"> and </w:t>
      </w:r>
      <w:proofErr w:type="spellStart"/>
      <w:r>
        <w:rPr>
          <w:rFonts w:ascii="Book Antiqua" w:hAnsi="Book Antiqua"/>
          <w:lang w:val="en-GB"/>
        </w:rPr>
        <w:t>bivariate</w:t>
      </w:r>
      <w:proofErr w:type="spellEnd"/>
      <w:r w:rsidR="00143F09" w:rsidRPr="00F200E7">
        <w:rPr>
          <w:rStyle w:val="FootnoteReference"/>
          <w:rFonts w:ascii="Book Antiqua" w:hAnsi="Book Antiqua"/>
          <w:lang w:val="en-GB"/>
        </w:rPr>
        <w:footnoteReference w:id="20"/>
      </w:r>
      <w:r>
        <w:rPr>
          <w:rFonts w:ascii="Book Antiqua" w:hAnsi="Book Antiqua"/>
          <w:lang w:val="en-GB"/>
        </w:rPr>
        <w:t xml:space="preserve"> econometric models were constructed.</w:t>
      </w:r>
      <w:r w:rsidR="00143F09" w:rsidRPr="00F200E7">
        <w:rPr>
          <w:rFonts w:ascii="Book Antiqua" w:hAnsi="Book Antiqua"/>
          <w:lang w:val="en-GB"/>
        </w:rPr>
        <w:t xml:space="preserve"> The</w:t>
      </w:r>
      <w:r w:rsidR="0017662D" w:rsidRPr="00F200E7">
        <w:rPr>
          <w:rFonts w:ascii="Book Antiqua" w:hAnsi="Book Antiqua"/>
          <w:lang w:val="en-GB"/>
        </w:rPr>
        <w:t>y</w:t>
      </w:r>
      <w:r w:rsidR="00143F09" w:rsidRPr="00F200E7">
        <w:rPr>
          <w:rFonts w:ascii="Book Antiqua" w:hAnsi="Book Antiqua"/>
          <w:lang w:val="en-GB"/>
        </w:rPr>
        <w:t xml:space="preserve"> provide useful information on the effect of trade liberalization </w:t>
      </w:r>
      <w:r w:rsidR="00F124DB" w:rsidRPr="00F200E7">
        <w:rPr>
          <w:rFonts w:ascii="Book Antiqua" w:hAnsi="Book Antiqua"/>
          <w:lang w:val="en-GB"/>
        </w:rPr>
        <w:t>o</w:t>
      </w:r>
      <w:r w:rsidR="00143F09" w:rsidRPr="00F200E7">
        <w:rPr>
          <w:rFonts w:ascii="Book Antiqua" w:hAnsi="Book Antiqua"/>
          <w:lang w:val="en-GB"/>
        </w:rPr>
        <w:t xml:space="preserve">n formal agricultural employment and allow for </w:t>
      </w:r>
      <w:r w:rsidR="006F167C" w:rsidRPr="00F200E7">
        <w:rPr>
          <w:rFonts w:ascii="Book Antiqua" w:hAnsi="Book Antiqua"/>
          <w:lang w:val="en-GB"/>
        </w:rPr>
        <w:t xml:space="preserve">analysis of the </w:t>
      </w:r>
      <w:r w:rsidR="00FA5143">
        <w:rPr>
          <w:rFonts w:ascii="Book Antiqua" w:hAnsi="Book Antiqua"/>
          <w:lang w:val="en-GB"/>
        </w:rPr>
        <w:t>relationship between</w:t>
      </w:r>
      <w:r w:rsidR="006F167C" w:rsidRPr="00F200E7">
        <w:rPr>
          <w:rFonts w:ascii="Book Antiqua" w:hAnsi="Book Antiqua"/>
          <w:lang w:val="en-GB"/>
        </w:rPr>
        <w:t xml:space="preserve"> trade and employment before </w:t>
      </w:r>
      <w:r w:rsidR="00F124DB" w:rsidRPr="00F200E7">
        <w:rPr>
          <w:rFonts w:ascii="Book Antiqua" w:hAnsi="Book Antiqua"/>
          <w:lang w:val="en-GB"/>
        </w:rPr>
        <w:t>DR-CAFTA</w:t>
      </w:r>
      <w:r w:rsidR="006F167C" w:rsidRPr="00F200E7">
        <w:rPr>
          <w:rFonts w:ascii="Book Antiqua" w:hAnsi="Book Antiqua"/>
          <w:lang w:val="en-GB"/>
        </w:rPr>
        <w:t xml:space="preserve"> (2001</w:t>
      </w:r>
      <w:r w:rsidR="00F124DB" w:rsidRPr="00F200E7">
        <w:rPr>
          <w:rFonts w:ascii="Book Antiqua" w:hAnsi="Book Antiqua"/>
          <w:lang w:val="en-GB"/>
        </w:rPr>
        <w:t>–</w:t>
      </w:r>
      <w:r w:rsidR="006F167C" w:rsidRPr="00F200E7">
        <w:rPr>
          <w:rFonts w:ascii="Book Antiqua" w:hAnsi="Book Antiqua"/>
          <w:lang w:val="en-GB"/>
        </w:rPr>
        <w:t xml:space="preserve">2005) and </w:t>
      </w:r>
      <w:r w:rsidR="00F124DB" w:rsidRPr="00F200E7">
        <w:rPr>
          <w:rFonts w:ascii="Book Antiqua" w:hAnsi="Book Antiqua"/>
          <w:lang w:val="en-GB"/>
        </w:rPr>
        <w:t>since</w:t>
      </w:r>
      <w:r w:rsidR="006F167C" w:rsidRPr="00F200E7">
        <w:rPr>
          <w:rFonts w:ascii="Book Antiqua" w:hAnsi="Book Antiqua"/>
          <w:lang w:val="en-GB"/>
        </w:rPr>
        <w:t xml:space="preserve"> (2006</w:t>
      </w:r>
      <w:r w:rsidR="00F124DB" w:rsidRPr="00F200E7">
        <w:rPr>
          <w:rFonts w:ascii="Book Antiqua" w:hAnsi="Book Antiqua"/>
          <w:lang w:val="en-GB"/>
        </w:rPr>
        <w:t>–</w:t>
      </w:r>
      <w:r w:rsidR="006F167C" w:rsidRPr="00F200E7">
        <w:rPr>
          <w:rFonts w:ascii="Book Antiqua" w:hAnsi="Book Antiqua"/>
          <w:lang w:val="en-GB"/>
        </w:rPr>
        <w:t>2010).</w:t>
      </w:r>
    </w:p>
    <w:p w:rsidR="005B4E96" w:rsidRPr="00F200E7" w:rsidRDefault="005B4E96" w:rsidP="005B4E96">
      <w:pPr>
        <w:pStyle w:val="NoSpacing"/>
        <w:jc w:val="both"/>
        <w:rPr>
          <w:rFonts w:ascii="Book Antiqua" w:hAnsi="Book Antiqua"/>
          <w:lang w:val="en-GB"/>
        </w:rPr>
      </w:pPr>
    </w:p>
    <w:p w:rsidR="005B4E96" w:rsidRPr="00F200E7" w:rsidRDefault="00AF45BA" w:rsidP="005B4E96">
      <w:pPr>
        <w:pStyle w:val="NoSpacing"/>
        <w:jc w:val="both"/>
        <w:rPr>
          <w:rFonts w:asciiTheme="majorHAnsi" w:hAnsiTheme="majorHAnsi" w:cstheme="majorHAnsi"/>
          <w:b/>
          <w:lang w:val="en-GB"/>
        </w:rPr>
      </w:pPr>
      <w:r>
        <w:rPr>
          <w:rFonts w:asciiTheme="majorHAnsi" w:hAnsiTheme="majorHAnsi" w:cstheme="majorHAnsi"/>
          <w:b/>
          <w:lang w:val="en-GB"/>
        </w:rPr>
        <w:t>6.</w:t>
      </w:r>
      <w:r w:rsidR="00116FF7">
        <w:rPr>
          <w:rFonts w:asciiTheme="majorHAnsi" w:hAnsiTheme="majorHAnsi" w:cstheme="majorHAnsi"/>
          <w:b/>
          <w:lang w:val="en-GB"/>
        </w:rPr>
        <w:t>5</w:t>
      </w:r>
      <w:r w:rsidR="0017662D" w:rsidRPr="00F200E7">
        <w:rPr>
          <w:rFonts w:asciiTheme="majorHAnsi" w:hAnsiTheme="majorHAnsi" w:cstheme="majorHAnsi"/>
          <w:b/>
          <w:lang w:val="en-GB"/>
        </w:rPr>
        <w:t>.1.2</w:t>
      </w:r>
      <w:r w:rsidR="0017662D" w:rsidRPr="00F200E7">
        <w:rPr>
          <w:rFonts w:asciiTheme="majorHAnsi" w:hAnsiTheme="majorHAnsi" w:cstheme="majorHAnsi"/>
          <w:b/>
          <w:lang w:val="en-GB"/>
        </w:rPr>
        <w:tab/>
      </w:r>
      <w:r w:rsidR="003A348F" w:rsidRPr="00F200E7">
        <w:rPr>
          <w:rFonts w:asciiTheme="majorHAnsi" w:hAnsiTheme="majorHAnsi" w:cstheme="majorHAnsi"/>
          <w:b/>
          <w:lang w:val="en-GB"/>
        </w:rPr>
        <w:t>Some results</w:t>
      </w:r>
    </w:p>
    <w:p w:rsidR="005B4E96" w:rsidRPr="00F200E7" w:rsidRDefault="003A348F" w:rsidP="003A348F">
      <w:pPr>
        <w:pStyle w:val="NoSpacing"/>
        <w:jc w:val="both"/>
        <w:rPr>
          <w:rFonts w:ascii="Book Antiqua" w:hAnsi="Book Antiqua"/>
          <w:lang w:val="en-GB"/>
        </w:rPr>
      </w:pPr>
      <w:r w:rsidRPr="00F200E7">
        <w:rPr>
          <w:rFonts w:ascii="Book Antiqua" w:hAnsi="Book Antiqua"/>
          <w:lang w:val="en-GB"/>
        </w:rPr>
        <w:t xml:space="preserve">The first model, the </w:t>
      </w:r>
      <w:proofErr w:type="spellStart"/>
      <w:r w:rsidRPr="00F200E7">
        <w:rPr>
          <w:rFonts w:ascii="Book Antiqua" w:hAnsi="Book Antiqua"/>
          <w:lang w:val="en-GB"/>
        </w:rPr>
        <w:t>bivariate</w:t>
      </w:r>
      <w:proofErr w:type="spellEnd"/>
      <w:r w:rsidRPr="00F200E7">
        <w:rPr>
          <w:rFonts w:ascii="Book Antiqua" w:hAnsi="Book Antiqua"/>
          <w:lang w:val="en-GB"/>
        </w:rPr>
        <w:t xml:space="preserve">, </w:t>
      </w:r>
      <w:r w:rsidR="00C11A24" w:rsidRPr="00F200E7">
        <w:rPr>
          <w:rFonts w:ascii="Book Antiqua" w:hAnsi="Book Antiqua"/>
          <w:lang w:val="en-GB"/>
        </w:rPr>
        <w:t>assesses</w:t>
      </w:r>
      <w:r w:rsidR="00C56A9A" w:rsidRPr="00F200E7">
        <w:rPr>
          <w:rFonts w:ascii="Book Antiqua" w:hAnsi="Book Antiqua"/>
          <w:lang w:val="en-GB"/>
        </w:rPr>
        <w:t xml:space="preserve"> the</w:t>
      </w:r>
      <w:r w:rsidRPr="00F200E7">
        <w:rPr>
          <w:rFonts w:ascii="Book Antiqua" w:hAnsi="Book Antiqua"/>
          <w:lang w:val="en-GB"/>
        </w:rPr>
        <w:t xml:space="preserve"> change in the trend of formal agricultural employment after the entry into force of DR</w:t>
      </w:r>
      <w:r w:rsidR="0017662D" w:rsidRPr="00F200E7">
        <w:rPr>
          <w:rFonts w:ascii="Book Antiqua" w:hAnsi="Book Antiqua"/>
          <w:lang w:val="en-GB"/>
        </w:rPr>
        <w:t>–</w:t>
      </w:r>
      <w:r w:rsidRPr="00F200E7">
        <w:rPr>
          <w:rFonts w:ascii="Book Antiqua" w:hAnsi="Book Antiqua"/>
          <w:lang w:val="en-GB"/>
        </w:rPr>
        <w:t xml:space="preserve">CAFTA. The </w:t>
      </w:r>
      <w:r w:rsidR="001A39B8" w:rsidRPr="00F200E7">
        <w:rPr>
          <w:rFonts w:ascii="Book Antiqua" w:hAnsi="Book Antiqua"/>
          <w:lang w:val="en-GB"/>
        </w:rPr>
        <w:t xml:space="preserve">justification </w:t>
      </w:r>
      <w:r w:rsidR="00C56A9A" w:rsidRPr="00F200E7">
        <w:rPr>
          <w:rFonts w:ascii="Book Antiqua" w:hAnsi="Book Antiqua"/>
          <w:lang w:val="en-GB"/>
        </w:rPr>
        <w:t xml:space="preserve">for </w:t>
      </w:r>
      <w:r w:rsidR="0017662D" w:rsidRPr="00F200E7">
        <w:rPr>
          <w:rFonts w:ascii="Book Antiqua" w:hAnsi="Book Antiqua"/>
          <w:lang w:val="en-GB"/>
        </w:rPr>
        <w:t xml:space="preserve">looking </w:t>
      </w:r>
      <w:r w:rsidRPr="00F200E7">
        <w:rPr>
          <w:rFonts w:ascii="Book Antiqua" w:hAnsi="Book Antiqua"/>
          <w:lang w:val="en-GB"/>
        </w:rPr>
        <w:t xml:space="preserve">only </w:t>
      </w:r>
      <w:r w:rsidR="0017662D" w:rsidRPr="00F200E7">
        <w:rPr>
          <w:rFonts w:ascii="Book Antiqua" w:hAnsi="Book Antiqua"/>
          <w:lang w:val="en-GB"/>
        </w:rPr>
        <w:t xml:space="preserve">at </w:t>
      </w:r>
      <w:r w:rsidRPr="00F200E7">
        <w:rPr>
          <w:rFonts w:ascii="Book Antiqua" w:hAnsi="Book Antiqua"/>
          <w:lang w:val="en-GB"/>
        </w:rPr>
        <w:t xml:space="preserve">this agreement is that, as </w:t>
      </w:r>
      <w:r w:rsidR="0017662D" w:rsidRPr="00F200E7">
        <w:rPr>
          <w:rFonts w:ascii="Book Antiqua" w:hAnsi="Book Antiqua"/>
          <w:lang w:val="en-GB"/>
        </w:rPr>
        <w:t>noted</w:t>
      </w:r>
      <w:r w:rsidRPr="00F200E7">
        <w:rPr>
          <w:rFonts w:ascii="Book Antiqua" w:hAnsi="Book Antiqua"/>
          <w:lang w:val="en-GB"/>
        </w:rPr>
        <w:t xml:space="preserve"> (</w:t>
      </w:r>
      <w:r w:rsidR="0017662D" w:rsidRPr="00F200E7">
        <w:rPr>
          <w:rFonts w:ascii="Book Antiqua" w:hAnsi="Book Antiqua"/>
          <w:lang w:val="en-GB"/>
        </w:rPr>
        <w:t xml:space="preserve">see </w:t>
      </w:r>
      <w:r w:rsidRPr="00F200E7">
        <w:rPr>
          <w:rFonts w:ascii="Book Antiqua" w:hAnsi="Book Antiqua"/>
          <w:lang w:val="en-GB"/>
        </w:rPr>
        <w:t xml:space="preserve">specifically </w:t>
      </w:r>
      <w:r w:rsidR="0017662D" w:rsidRPr="00F200E7">
        <w:rPr>
          <w:rFonts w:ascii="Book Antiqua" w:hAnsi="Book Antiqua"/>
          <w:lang w:val="en-GB"/>
        </w:rPr>
        <w:t>f</w:t>
      </w:r>
      <w:r w:rsidRPr="00F200E7">
        <w:rPr>
          <w:rFonts w:ascii="Book Antiqua" w:hAnsi="Book Antiqua"/>
          <w:lang w:val="en-GB"/>
        </w:rPr>
        <w:t xml:space="preserve">igure </w:t>
      </w:r>
      <w:r w:rsidR="0017662D" w:rsidRPr="00F200E7">
        <w:rPr>
          <w:rFonts w:ascii="Book Antiqua" w:hAnsi="Book Antiqua"/>
          <w:lang w:val="en-GB"/>
        </w:rPr>
        <w:t>6.</w:t>
      </w:r>
      <w:r w:rsidRPr="00F200E7">
        <w:rPr>
          <w:rFonts w:ascii="Book Antiqua" w:hAnsi="Book Antiqua"/>
          <w:lang w:val="en-GB"/>
        </w:rPr>
        <w:t xml:space="preserve">8), trade in agricultural products between the USA and Central America </w:t>
      </w:r>
      <w:r w:rsidR="00BC4B65" w:rsidRPr="00F200E7">
        <w:rPr>
          <w:rFonts w:ascii="Book Antiqua" w:hAnsi="Book Antiqua"/>
          <w:lang w:val="en-GB"/>
        </w:rPr>
        <w:t xml:space="preserve">accounts for </w:t>
      </w:r>
      <w:r w:rsidRPr="00F200E7">
        <w:rPr>
          <w:rFonts w:ascii="Book Antiqua" w:hAnsi="Book Antiqua"/>
          <w:lang w:val="en-GB"/>
        </w:rPr>
        <w:t xml:space="preserve">more than 52 per cent of what </w:t>
      </w:r>
      <w:r w:rsidR="0017662D" w:rsidRPr="00F200E7">
        <w:rPr>
          <w:rFonts w:ascii="Book Antiqua" w:hAnsi="Book Antiqua"/>
          <w:lang w:val="en-GB"/>
        </w:rPr>
        <w:t xml:space="preserve">Guatemala </w:t>
      </w:r>
      <w:r w:rsidRPr="00F200E7">
        <w:rPr>
          <w:rFonts w:ascii="Book Antiqua" w:hAnsi="Book Antiqua"/>
          <w:lang w:val="en-GB"/>
        </w:rPr>
        <w:t>export</w:t>
      </w:r>
      <w:r w:rsidR="0017662D" w:rsidRPr="00F200E7">
        <w:rPr>
          <w:rFonts w:ascii="Book Antiqua" w:hAnsi="Book Antiqua"/>
          <w:lang w:val="en-GB"/>
        </w:rPr>
        <w:t>s</w:t>
      </w:r>
      <w:r w:rsidRPr="00F200E7">
        <w:rPr>
          <w:rFonts w:ascii="Book Antiqua" w:hAnsi="Book Antiqua"/>
          <w:lang w:val="en-GB"/>
        </w:rPr>
        <w:t>.</w:t>
      </w:r>
    </w:p>
    <w:p w:rsidR="005B4E96" w:rsidRPr="00F200E7" w:rsidRDefault="005B4E96" w:rsidP="005B4E96">
      <w:pPr>
        <w:pStyle w:val="NoSpacing"/>
        <w:jc w:val="both"/>
        <w:rPr>
          <w:rFonts w:ascii="Book Antiqua" w:hAnsi="Book Antiqua"/>
          <w:lang w:val="en-GB"/>
        </w:rPr>
      </w:pPr>
    </w:p>
    <w:p w:rsidR="005B4E96" w:rsidRPr="00F200E7" w:rsidRDefault="00DE68C2" w:rsidP="00DE68C2">
      <w:pPr>
        <w:pStyle w:val="NoSpacing"/>
        <w:jc w:val="both"/>
        <w:rPr>
          <w:rFonts w:ascii="Book Antiqua" w:hAnsi="Book Antiqua"/>
          <w:lang w:val="en-GB"/>
        </w:rPr>
      </w:pPr>
      <w:r w:rsidRPr="00F200E7">
        <w:rPr>
          <w:rFonts w:ascii="Book Antiqua" w:hAnsi="Book Antiqua"/>
          <w:lang w:val="en-GB"/>
        </w:rPr>
        <w:t>Specifically</w:t>
      </w:r>
      <w:r w:rsidR="001A39B8" w:rsidRPr="00F200E7">
        <w:rPr>
          <w:rFonts w:ascii="Book Antiqua" w:hAnsi="Book Antiqua"/>
          <w:lang w:val="en-GB"/>
        </w:rPr>
        <w:t>,</w:t>
      </w:r>
      <w:r w:rsidR="00FB5615">
        <w:rPr>
          <w:rFonts w:ascii="Book Antiqua" w:hAnsi="Book Antiqua"/>
          <w:lang w:val="en-GB"/>
        </w:rPr>
        <w:t xml:space="preserve"> </w:t>
      </w:r>
      <w:r w:rsidR="001A39B8" w:rsidRPr="00F200E7">
        <w:rPr>
          <w:rFonts w:ascii="Book Antiqua" w:hAnsi="Book Antiqua"/>
          <w:lang w:val="en-GB"/>
        </w:rPr>
        <w:t xml:space="preserve">the following model was run </w:t>
      </w:r>
      <w:r w:rsidRPr="00F200E7">
        <w:rPr>
          <w:rFonts w:ascii="Book Antiqua" w:hAnsi="Book Antiqua"/>
          <w:lang w:val="en-GB"/>
        </w:rPr>
        <w:t>to determine if there is a change in the trend:</w:t>
      </w:r>
    </w:p>
    <w:p w:rsidR="005B4E96" w:rsidRPr="00F200E7" w:rsidRDefault="005B4E96" w:rsidP="005B4E96">
      <w:pPr>
        <w:pStyle w:val="NoSpacing"/>
        <w:jc w:val="both"/>
        <w:rPr>
          <w:rFonts w:ascii="Book Antiqua" w:hAnsi="Book Antiqua"/>
          <w:lang w:val="en-GB"/>
        </w:rPr>
      </w:pPr>
    </w:p>
    <w:p w:rsidR="005B4E96" w:rsidRPr="00F200E7" w:rsidRDefault="00137356" w:rsidP="005B4E96">
      <w:pPr>
        <w:pStyle w:val="NoSpacing"/>
        <w:jc w:val="center"/>
        <w:rPr>
          <w:rFonts w:ascii="Book Antiqua" w:hAnsi="Book Antiqua"/>
          <w:lang w:val="en-GB"/>
        </w:rPr>
      </w:pPr>
      <w:r w:rsidRPr="00F200E7">
        <w:rPr>
          <w:rFonts w:ascii="Book Antiqua" w:hAnsi="Book Antiqua"/>
          <w:noProof/>
          <w:position w:val="-12"/>
          <w:lang w:val="en-GB" w:eastAsia="en-GB"/>
        </w:rPr>
        <w:drawing>
          <wp:inline distT="0" distB="0" distL="0" distR="0">
            <wp:extent cx="1296670" cy="2317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6670" cy="231775"/>
                    </a:xfrm>
                    <a:prstGeom prst="rect">
                      <a:avLst/>
                    </a:prstGeom>
                    <a:noFill/>
                    <a:ln>
                      <a:noFill/>
                    </a:ln>
                  </pic:spPr>
                </pic:pic>
              </a:graphicData>
            </a:graphic>
          </wp:inline>
        </w:drawing>
      </w:r>
    </w:p>
    <w:p w:rsidR="005B4E96" w:rsidRPr="00F200E7" w:rsidRDefault="005B4E96" w:rsidP="005B4E96">
      <w:pPr>
        <w:pStyle w:val="NoSpacing"/>
        <w:jc w:val="both"/>
        <w:rPr>
          <w:rFonts w:ascii="Book Antiqua" w:hAnsi="Book Antiqua"/>
          <w:lang w:val="en-GB"/>
        </w:rPr>
      </w:pPr>
    </w:p>
    <w:p w:rsidR="005B4E96" w:rsidRPr="00F200E7" w:rsidRDefault="00FB5615" w:rsidP="005B4E96">
      <w:pPr>
        <w:pStyle w:val="NoSpacing"/>
        <w:jc w:val="both"/>
        <w:rPr>
          <w:rFonts w:ascii="Book Antiqua" w:hAnsi="Book Antiqua"/>
          <w:lang w:val="en-GB"/>
        </w:rPr>
      </w:pPr>
      <w:r w:rsidRPr="00F200E7">
        <w:rPr>
          <w:rFonts w:ascii="Book Antiqua" w:hAnsi="Book Antiqua"/>
          <w:lang w:val="en-GB"/>
        </w:rPr>
        <w:t>W</w:t>
      </w:r>
      <w:r w:rsidR="00D202C6" w:rsidRPr="00F200E7">
        <w:rPr>
          <w:rFonts w:ascii="Book Antiqua" w:hAnsi="Book Antiqua"/>
          <w:lang w:val="en-GB"/>
        </w:rPr>
        <w:t>here</w:t>
      </w:r>
      <w:r>
        <w:rPr>
          <w:rFonts w:ascii="Book Antiqua" w:hAnsi="Book Antiqua"/>
          <w:lang w:val="en-GB"/>
        </w:rPr>
        <w:t xml:space="preserve"> </w:t>
      </w:r>
      <w:proofErr w:type="gramStart"/>
      <w:r w:rsidR="005B4E96" w:rsidRPr="00F200E7">
        <w:rPr>
          <w:rFonts w:ascii="Book Antiqua" w:hAnsi="Book Antiqua"/>
          <w:i/>
          <w:lang w:val="en-GB"/>
        </w:rPr>
        <w:t>E</w:t>
      </w:r>
      <w:r w:rsidR="005B4E96" w:rsidRPr="00F200E7">
        <w:rPr>
          <w:rFonts w:ascii="Book Antiqua" w:hAnsi="Book Antiqua"/>
          <w:i/>
          <w:vertAlign w:val="subscript"/>
          <w:lang w:val="en-GB"/>
        </w:rPr>
        <w:t>t</w:t>
      </w:r>
      <w:proofErr w:type="gramEnd"/>
      <w:r>
        <w:rPr>
          <w:rFonts w:ascii="Book Antiqua" w:hAnsi="Book Antiqua"/>
          <w:i/>
          <w:vertAlign w:val="subscript"/>
          <w:lang w:val="en-GB"/>
        </w:rPr>
        <w:t xml:space="preserve"> </w:t>
      </w:r>
      <w:r w:rsidR="00D202C6" w:rsidRPr="00F200E7">
        <w:rPr>
          <w:rFonts w:ascii="Book Antiqua" w:hAnsi="Book Antiqua"/>
          <w:lang w:val="en-GB"/>
        </w:rPr>
        <w:t>is the number of formal agricultural employees (according to IGSS data);</w:t>
      </w:r>
      <w:r>
        <w:rPr>
          <w:rFonts w:ascii="Book Antiqua" w:hAnsi="Book Antiqua"/>
          <w:lang w:val="en-GB"/>
        </w:rPr>
        <w:t xml:space="preserve"> </w:t>
      </w:r>
      <w:r w:rsidR="005B4E96" w:rsidRPr="00F200E7">
        <w:rPr>
          <w:rFonts w:ascii="Book Antiqua" w:hAnsi="Book Antiqua"/>
          <w:i/>
          <w:lang w:val="en-GB"/>
        </w:rPr>
        <w:t>t</w:t>
      </w:r>
      <w:r>
        <w:rPr>
          <w:rFonts w:ascii="Book Antiqua" w:hAnsi="Book Antiqua"/>
          <w:i/>
          <w:lang w:val="en-GB"/>
        </w:rPr>
        <w:t xml:space="preserve"> </w:t>
      </w:r>
      <w:r w:rsidR="00D202C6" w:rsidRPr="00F200E7">
        <w:rPr>
          <w:rFonts w:ascii="Book Antiqua" w:hAnsi="Book Antiqua"/>
          <w:lang w:val="en-GB"/>
        </w:rPr>
        <w:t>is time</w:t>
      </w:r>
      <w:r w:rsidR="0027411C" w:rsidRPr="00F200E7">
        <w:rPr>
          <w:rFonts w:ascii="Book Antiqua" w:hAnsi="Book Antiqua"/>
          <w:lang w:val="en-GB"/>
        </w:rPr>
        <w:t>,</w:t>
      </w:r>
      <w:r w:rsidR="00D202C6" w:rsidRPr="00F200E7">
        <w:rPr>
          <w:rFonts w:ascii="Book Antiqua" w:hAnsi="Book Antiqua"/>
          <w:lang w:val="en-GB"/>
        </w:rPr>
        <w:t xml:space="preserve"> and</w:t>
      </w:r>
      <w:r>
        <w:rPr>
          <w:rFonts w:ascii="Book Antiqua" w:hAnsi="Book Antiqua"/>
          <w:lang w:val="en-GB"/>
        </w:rPr>
        <w:t xml:space="preserve"> </w:t>
      </w:r>
      <w:proofErr w:type="spellStart"/>
      <w:r w:rsidR="005B4E96" w:rsidRPr="00F200E7">
        <w:rPr>
          <w:rFonts w:ascii="Book Antiqua" w:hAnsi="Book Antiqua"/>
          <w:i/>
          <w:lang w:val="en-GB"/>
        </w:rPr>
        <w:t>D</w:t>
      </w:r>
      <w:r w:rsidR="00D202C6" w:rsidRPr="00F200E7">
        <w:rPr>
          <w:rFonts w:ascii="Book Antiqua" w:hAnsi="Book Antiqua"/>
          <w:lang w:val="en-GB"/>
        </w:rPr>
        <w:t>is</w:t>
      </w:r>
      <w:proofErr w:type="spellEnd"/>
      <w:r w:rsidR="00D202C6" w:rsidRPr="00F200E7">
        <w:rPr>
          <w:rFonts w:ascii="Book Antiqua" w:hAnsi="Book Antiqua"/>
          <w:lang w:val="en-GB"/>
        </w:rPr>
        <w:t xml:space="preserve"> </w:t>
      </w:r>
      <w:r w:rsidR="00FA5143">
        <w:rPr>
          <w:rFonts w:ascii="Book Antiqua" w:hAnsi="Book Antiqua"/>
          <w:lang w:val="en-GB"/>
        </w:rPr>
        <w:t>a dummy</w:t>
      </w:r>
      <w:r w:rsidR="00D202C6" w:rsidRPr="00F200E7">
        <w:rPr>
          <w:rFonts w:ascii="Book Antiqua" w:hAnsi="Book Antiqua"/>
          <w:lang w:val="en-GB"/>
        </w:rPr>
        <w:t xml:space="preserve"> variable </w:t>
      </w:r>
      <w:r w:rsidR="0027411C" w:rsidRPr="00F200E7">
        <w:rPr>
          <w:rFonts w:ascii="Book Antiqua" w:hAnsi="Book Antiqua"/>
          <w:lang w:val="en-GB"/>
        </w:rPr>
        <w:t xml:space="preserve">that </w:t>
      </w:r>
      <w:r w:rsidR="00D202C6" w:rsidRPr="00F200E7">
        <w:rPr>
          <w:rFonts w:ascii="Book Antiqua" w:hAnsi="Book Antiqua"/>
          <w:lang w:val="en-GB"/>
        </w:rPr>
        <w:t>takes the value of 1 for the years when DR</w:t>
      </w:r>
      <w:r w:rsidR="00B064AB" w:rsidRPr="00F200E7">
        <w:rPr>
          <w:rFonts w:ascii="Book Antiqua" w:hAnsi="Book Antiqua"/>
          <w:lang w:val="en-GB"/>
        </w:rPr>
        <w:t>–</w:t>
      </w:r>
      <w:r w:rsidR="00D202C6" w:rsidRPr="00F200E7">
        <w:rPr>
          <w:rFonts w:ascii="Book Antiqua" w:hAnsi="Book Antiqua"/>
          <w:lang w:val="en-GB"/>
        </w:rPr>
        <w:t xml:space="preserve">CAFTA was in force and 0 </w:t>
      </w:r>
      <w:r w:rsidR="0027411C" w:rsidRPr="00F200E7">
        <w:rPr>
          <w:rFonts w:ascii="Book Antiqua" w:hAnsi="Book Antiqua"/>
          <w:lang w:val="en-GB"/>
        </w:rPr>
        <w:t xml:space="preserve">for </w:t>
      </w:r>
      <w:r w:rsidR="00D202C6" w:rsidRPr="00F200E7">
        <w:rPr>
          <w:rFonts w:ascii="Book Antiqua" w:hAnsi="Book Antiqua"/>
          <w:lang w:val="en-GB"/>
        </w:rPr>
        <w:t xml:space="preserve">the </w:t>
      </w:r>
      <w:r w:rsidR="0027411C" w:rsidRPr="00F200E7">
        <w:rPr>
          <w:rFonts w:ascii="Book Antiqua" w:hAnsi="Book Antiqua"/>
          <w:lang w:val="en-GB"/>
        </w:rPr>
        <w:t>preceding</w:t>
      </w:r>
      <w:r>
        <w:rPr>
          <w:rFonts w:ascii="Book Antiqua" w:hAnsi="Book Antiqua"/>
          <w:lang w:val="en-GB"/>
        </w:rPr>
        <w:t xml:space="preserve"> </w:t>
      </w:r>
      <w:r w:rsidR="0027411C" w:rsidRPr="00F200E7">
        <w:rPr>
          <w:rFonts w:ascii="Book Antiqua" w:hAnsi="Book Antiqua"/>
          <w:lang w:val="en-GB"/>
        </w:rPr>
        <w:t>years</w:t>
      </w:r>
      <w:r w:rsidR="00D202C6" w:rsidRPr="00F200E7">
        <w:rPr>
          <w:rFonts w:ascii="Book Antiqua" w:hAnsi="Book Antiqua"/>
          <w:lang w:val="en-GB"/>
        </w:rPr>
        <w:t xml:space="preserve">. The betas are the coefficients to </w:t>
      </w:r>
      <w:r w:rsidR="00D81D62" w:rsidRPr="00F200E7">
        <w:rPr>
          <w:rFonts w:ascii="Book Antiqua" w:hAnsi="Book Antiqua"/>
          <w:lang w:val="en-GB"/>
        </w:rPr>
        <w:t xml:space="preserve">be </w:t>
      </w:r>
      <w:r w:rsidR="00D202C6" w:rsidRPr="00F200E7">
        <w:rPr>
          <w:rFonts w:ascii="Book Antiqua" w:hAnsi="Book Antiqua"/>
          <w:lang w:val="en-GB"/>
        </w:rPr>
        <w:t>estimate</w:t>
      </w:r>
      <w:r w:rsidR="00D81D62" w:rsidRPr="00F200E7">
        <w:rPr>
          <w:rFonts w:ascii="Book Antiqua" w:hAnsi="Book Antiqua"/>
          <w:lang w:val="en-GB"/>
        </w:rPr>
        <w:t>d</w:t>
      </w:r>
      <w:r w:rsidR="00D202C6" w:rsidRPr="00F200E7">
        <w:rPr>
          <w:rFonts w:ascii="Book Antiqua" w:hAnsi="Book Antiqua"/>
          <w:lang w:val="en-GB"/>
        </w:rPr>
        <w:t>.</w:t>
      </w:r>
    </w:p>
    <w:p w:rsidR="005B4E96" w:rsidRPr="00F200E7" w:rsidRDefault="005B4E96" w:rsidP="005B4E96">
      <w:pPr>
        <w:pStyle w:val="NoSpacing"/>
        <w:jc w:val="both"/>
        <w:rPr>
          <w:rFonts w:ascii="Book Antiqua" w:hAnsi="Book Antiqua"/>
          <w:lang w:val="en-GB"/>
        </w:rPr>
      </w:pPr>
    </w:p>
    <w:p w:rsidR="00D202C6" w:rsidRPr="00F200E7" w:rsidRDefault="00FA5143" w:rsidP="005B4E96">
      <w:pPr>
        <w:pStyle w:val="NoSpacing"/>
        <w:jc w:val="both"/>
        <w:rPr>
          <w:rFonts w:ascii="Book Antiqua" w:hAnsi="Book Antiqua"/>
          <w:lang w:val="en-GB"/>
        </w:rPr>
      </w:pPr>
      <w:r>
        <w:rPr>
          <w:rFonts w:ascii="Book Antiqua" w:hAnsi="Book Antiqua"/>
          <w:lang w:val="en-GB"/>
        </w:rPr>
        <w:t>T</w:t>
      </w:r>
      <w:r w:rsidR="00D202C6" w:rsidRPr="00F200E7">
        <w:rPr>
          <w:rFonts w:ascii="Book Antiqua" w:hAnsi="Book Antiqua"/>
          <w:lang w:val="en-GB"/>
        </w:rPr>
        <w:t>he results of the model suggest that there was a change in the trend starting in 2006</w:t>
      </w:r>
      <w:r w:rsidR="000D0BB6">
        <w:rPr>
          <w:rFonts w:ascii="Book Antiqua" w:hAnsi="Book Antiqua"/>
          <w:lang w:val="en-GB"/>
        </w:rPr>
        <w:t>,</w:t>
      </w:r>
      <w:r w:rsidR="00D202C6" w:rsidRPr="00F200E7">
        <w:rPr>
          <w:rStyle w:val="FootnoteReference"/>
          <w:rFonts w:ascii="Book Antiqua" w:hAnsi="Book Antiqua"/>
          <w:lang w:val="en-GB"/>
        </w:rPr>
        <w:footnoteReference w:id="21"/>
      </w:r>
      <w:r w:rsidR="00AA759A" w:rsidRPr="00F200E7">
        <w:rPr>
          <w:rFonts w:ascii="Book Antiqua" w:hAnsi="Book Antiqua"/>
          <w:lang w:val="en-GB"/>
        </w:rPr>
        <w:t xml:space="preserve"> as seen in </w:t>
      </w:r>
      <w:r w:rsidR="0027411C" w:rsidRPr="00F200E7">
        <w:rPr>
          <w:rFonts w:ascii="Book Antiqua" w:hAnsi="Book Antiqua"/>
          <w:lang w:val="en-GB"/>
        </w:rPr>
        <w:t>figure 6.13.</w:t>
      </w:r>
      <w:r w:rsidR="00261B80" w:rsidRPr="00F200E7">
        <w:rPr>
          <w:rFonts w:ascii="Book Antiqua" w:hAnsi="Book Antiqua"/>
          <w:lang w:val="en-GB"/>
        </w:rPr>
        <w:t>Formal agricul</w:t>
      </w:r>
      <w:r w:rsidR="006D0CA9" w:rsidRPr="00F200E7">
        <w:rPr>
          <w:rFonts w:ascii="Book Antiqua" w:hAnsi="Book Antiqua"/>
          <w:lang w:val="en-GB"/>
        </w:rPr>
        <w:t>t</w:t>
      </w:r>
      <w:r w:rsidR="00261B80" w:rsidRPr="00F200E7">
        <w:rPr>
          <w:rFonts w:ascii="Book Antiqua" w:hAnsi="Book Antiqua"/>
          <w:lang w:val="en-GB"/>
        </w:rPr>
        <w:t>ural employment</w:t>
      </w:r>
      <w:r w:rsidR="00D202C6" w:rsidRPr="00F200E7">
        <w:rPr>
          <w:rFonts w:ascii="Book Antiqua" w:hAnsi="Book Antiqua"/>
          <w:lang w:val="en-GB"/>
        </w:rPr>
        <w:t xml:space="preserve"> continued </w:t>
      </w:r>
      <w:r w:rsidR="000150EF" w:rsidRPr="00F200E7">
        <w:rPr>
          <w:rFonts w:ascii="Book Antiqua" w:hAnsi="Book Antiqua"/>
          <w:lang w:val="en-GB"/>
        </w:rPr>
        <w:t xml:space="preserve">to </w:t>
      </w:r>
      <w:r w:rsidR="00261B80" w:rsidRPr="00F200E7">
        <w:rPr>
          <w:rFonts w:ascii="Book Antiqua" w:hAnsi="Book Antiqua"/>
          <w:lang w:val="en-GB"/>
        </w:rPr>
        <w:t>decrease (except for the substantial increase between 2007 and 200</w:t>
      </w:r>
      <w:r w:rsidR="00AF741B" w:rsidRPr="00F200E7">
        <w:rPr>
          <w:rFonts w:ascii="Book Antiqua" w:hAnsi="Book Antiqua"/>
          <w:lang w:val="en-GB"/>
        </w:rPr>
        <w:t>8</w:t>
      </w:r>
      <w:r w:rsidR="00261B80" w:rsidRPr="00F200E7">
        <w:rPr>
          <w:rFonts w:ascii="Book Antiqua" w:hAnsi="Book Antiqua"/>
          <w:lang w:val="en-GB"/>
        </w:rPr>
        <w:t>)</w:t>
      </w:r>
      <w:r w:rsidR="00D202C6" w:rsidRPr="00F200E7">
        <w:rPr>
          <w:rFonts w:ascii="Book Antiqua" w:hAnsi="Book Antiqua"/>
          <w:lang w:val="en-GB"/>
        </w:rPr>
        <w:t xml:space="preserve">, </w:t>
      </w:r>
      <w:r w:rsidR="000150EF" w:rsidRPr="00F200E7">
        <w:rPr>
          <w:rFonts w:ascii="Book Antiqua" w:hAnsi="Book Antiqua"/>
          <w:lang w:val="en-GB"/>
        </w:rPr>
        <w:t xml:space="preserve">but </w:t>
      </w:r>
      <w:r w:rsidR="006D0CA9" w:rsidRPr="00F200E7">
        <w:rPr>
          <w:rFonts w:ascii="Book Antiqua" w:hAnsi="Book Antiqua"/>
          <w:lang w:val="en-GB"/>
        </w:rPr>
        <w:t>the</w:t>
      </w:r>
      <w:r w:rsidR="000150EF" w:rsidRPr="00F200E7">
        <w:rPr>
          <w:rFonts w:ascii="Book Antiqua" w:hAnsi="Book Antiqua"/>
          <w:lang w:val="en-GB"/>
        </w:rPr>
        <w:t xml:space="preserve"> slope </w:t>
      </w:r>
      <w:r w:rsidR="006D0CA9" w:rsidRPr="00F200E7">
        <w:rPr>
          <w:rFonts w:ascii="Book Antiqua" w:hAnsi="Book Antiqua"/>
          <w:lang w:val="en-GB"/>
        </w:rPr>
        <w:t xml:space="preserve">of the decline </w:t>
      </w:r>
      <w:r w:rsidR="000150EF" w:rsidRPr="00F200E7">
        <w:rPr>
          <w:rFonts w:ascii="Book Antiqua" w:hAnsi="Book Antiqua"/>
          <w:lang w:val="en-GB"/>
        </w:rPr>
        <w:t>wa</w:t>
      </w:r>
      <w:r w:rsidR="0027411C" w:rsidRPr="00F200E7">
        <w:rPr>
          <w:rFonts w:ascii="Book Antiqua" w:hAnsi="Book Antiqua"/>
          <w:lang w:val="en-GB"/>
        </w:rPr>
        <w:t>s</w:t>
      </w:r>
      <w:r w:rsidR="00D202C6" w:rsidRPr="00F200E7">
        <w:rPr>
          <w:rFonts w:ascii="Book Antiqua" w:hAnsi="Book Antiqua"/>
          <w:lang w:val="en-GB"/>
        </w:rPr>
        <w:t xml:space="preserve"> less steep than before DR</w:t>
      </w:r>
      <w:r w:rsidR="00B064AB" w:rsidRPr="00F200E7">
        <w:rPr>
          <w:rFonts w:ascii="Book Antiqua" w:hAnsi="Book Antiqua"/>
          <w:lang w:val="en-GB"/>
        </w:rPr>
        <w:t>–</w:t>
      </w:r>
      <w:r w:rsidR="00D202C6" w:rsidRPr="00F200E7">
        <w:rPr>
          <w:rFonts w:ascii="Book Antiqua" w:hAnsi="Book Antiqua"/>
          <w:lang w:val="en-GB"/>
        </w:rPr>
        <w:t>CAFTA</w:t>
      </w:r>
      <w:r w:rsidR="00064C49" w:rsidRPr="00F200E7">
        <w:rPr>
          <w:rFonts w:ascii="Book Antiqua" w:hAnsi="Book Antiqua"/>
          <w:lang w:val="en-GB"/>
        </w:rPr>
        <w:t xml:space="preserve"> (</w:t>
      </w:r>
      <w:r w:rsidR="0027411C" w:rsidRPr="00F200E7">
        <w:rPr>
          <w:rFonts w:ascii="Book Antiqua" w:hAnsi="Book Antiqua"/>
          <w:lang w:val="en-GB"/>
        </w:rPr>
        <w:t xml:space="preserve">that is, </w:t>
      </w:r>
      <w:r w:rsidR="00064C49" w:rsidRPr="00F200E7">
        <w:rPr>
          <w:rFonts w:ascii="Book Antiqua" w:hAnsi="Book Antiqua"/>
          <w:lang w:val="en-GB"/>
        </w:rPr>
        <w:t xml:space="preserve">the red line has a steeper negative slope </w:t>
      </w:r>
      <w:r w:rsidR="0027411C" w:rsidRPr="00F200E7">
        <w:rPr>
          <w:rFonts w:ascii="Book Antiqua" w:hAnsi="Book Antiqua"/>
          <w:lang w:val="en-GB"/>
        </w:rPr>
        <w:t xml:space="preserve">for </w:t>
      </w:r>
      <w:r w:rsidR="00064C49" w:rsidRPr="00F200E7">
        <w:rPr>
          <w:rFonts w:ascii="Book Antiqua" w:hAnsi="Book Antiqua"/>
          <w:lang w:val="en-GB"/>
        </w:rPr>
        <w:t>2001</w:t>
      </w:r>
      <w:r w:rsidR="00B064AB" w:rsidRPr="00F200E7">
        <w:rPr>
          <w:rFonts w:ascii="Book Antiqua" w:hAnsi="Book Antiqua"/>
          <w:lang w:val="en-GB"/>
        </w:rPr>
        <w:t>–</w:t>
      </w:r>
      <w:r w:rsidR="00064C49" w:rsidRPr="00F200E7">
        <w:rPr>
          <w:rFonts w:ascii="Book Antiqua" w:hAnsi="Book Antiqua"/>
          <w:lang w:val="en-GB"/>
        </w:rPr>
        <w:t xml:space="preserve">2006 than </w:t>
      </w:r>
      <w:r w:rsidR="0027411C" w:rsidRPr="00F200E7">
        <w:rPr>
          <w:rFonts w:ascii="Book Antiqua" w:hAnsi="Book Antiqua"/>
          <w:lang w:val="en-GB"/>
        </w:rPr>
        <w:t xml:space="preserve">for </w:t>
      </w:r>
      <w:r w:rsidR="00064C49" w:rsidRPr="00F200E7">
        <w:rPr>
          <w:rFonts w:ascii="Book Antiqua" w:hAnsi="Book Antiqua"/>
          <w:lang w:val="en-GB"/>
        </w:rPr>
        <w:t>2007</w:t>
      </w:r>
      <w:r w:rsidR="00B064AB" w:rsidRPr="00F200E7">
        <w:rPr>
          <w:rFonts w:ascii="Book Antiqua" w:hAnsi="Book Antiqua"/>
          <w:lang w:val="en-GB"/>
        </w:rPr>
        <w:t>–</w:t>
      </w:r>
      <w:r w:rsidR="00064C49" w:rsidRPr="00F200E7">
        <w:rPr>
          <w:rFonts w:ascii="Book Antiqua" w:hAnsi="Book Antiqua"/>
          <w:lang w:val="en-GB"/>
        </w:rPr>
        <w:t>2010).</w:t>
      </w:r>
    </w:p>
    <w:p w:rsidR="005B4E96" w:rsidRPr="00F200E7" w:rsidRDefault="005B4E96" w:rsidP="005B4E96">
      <w:pPr>
        <w:pStyle w:val="NoSpacing"/>
        <w:jc w:val="both"/>
        <w:rPr>
          <w:rFonts w:ascii="Book Antiqua" w:hAnsi="Book Antiqua"/>
          <w:lang w:val="en-GB"/>
        </w:rPr>
      </w:pPr>
    </w:p>
    <w:p w:rsidR="00C15F70" w:rsidRDefault="002C5F08" w:rsidP="000D0BB6">
      <w:pPr>
        <w:pStyle w:val="Tabletitle"/>
      </w:pPr>
      <w:r w:rsidRPr="00F200E7">
        <w:t>Figure</w:t>
      </w:r>
      <w:r w:rsidR="0027411C" w:rsidRPr="00F200E7">
        <w:t>6.</w:t>
      </w:r>
      <w:r w:rsidR="005B4E96" w:rsidRPr="00F200E7">
        <w:t>13:</w:t>
      </w:r>
      <w:r w:rsidR="0027411C" w:rsidRPr="00F200E7">
        <w:tab/>
      </w:r>
      <w:r w:rsidRPr="00F200E7">
        <w:t xml:space="preserve">Agricultural </w:t>
      </w:r>
      <w:r w:rsidR="0027411C" w:rsidRPr="00F200E7">
        <w:t>m</w:t>
      </w:r>
      <w:r w:rsidRPr="00F200E7">
        <w:t>embers of IGSS and model</w:t>
      </w:r>
      <w:r w:rsidR="00B064AB" w:rsidRPr="00F200E7">
        <w:t>led estimate of formal agricultural employment</w:t>
      </w:r>
      <w:r w:rsidR="0027411C" w:rsidRPr="00F200E7">
        <w:t>,</w:t>
      </w:r>
      <w:r w:rsidR="00B064AB" w:rsidRPr="00F200E7">
        <w:t xml:space="preserve"> Guatemala, </w:t>
      </w:r>
      <w:r w:rsidR="005B4E96" w:rsidRPr="00F200E7">
        <w:t>2001</w:t>
      </w:r>
      <w:r w:rsidR="000D0BB6">
        <w:t>–</w:t>
      </w:r>
      <w:r w:rsidR="005B4E96" w:rsidRPr="00F200E7">
        <w:t>2010</w:t>
      </w:r>
    </w:p>
    <w:p w:rsidR="005B4E96" w:rsidRPr="00F200E7" w:rsidRDefault="00CF46FB" w:rsidP="005B4E96">
      <w:pPr>
        <w:pStyle w:val="NoSpacing"/>
        <w:jc w:val="center"/>
        <w:rPr>
          <w:rFonts w:ascii="Book Antiqua" w:hAnsi="Book Antiqua"/>
          <w:lang w:val="en-GB"/>
        </w:rPr>
      </w:pPr>
      <w:bookmarkStart w:id="166" w:name="_GoBack"/>
      <w:bookmarkEnd w:id="166"/>
      <w:r w:rsidRPr="00CF46FB">
        <w:rPr>
          <w:noProof/>
          <w:lang w:val="en-GB" w:eastAsia="en-GB"/>
        </w:rPr>
        <w:pict>
          <v:shapetype id="_x0000_t202" coordsize="21600,21600" o:spt="202" path="m,l,21600r21600,l21600,xe">
            <v:stroke joinstyle="miter"/>
            <v:path gradientshapeok="t" o:connecttype="rect"/>
          </v:shapetype>
          <v:shape id="Cuadro de texto 2" o:spid="_x0000_s1026" type="#_x0000_t202" style="position:absolute;left:0;text-align:left;margin-left:169.45pt;margin-top:7.8pt;width:74.25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" filled="f" stroked="f">
            <v:textbox style="mso-next-textbox:#Cuadro de texto 2">
              <w:txbxContent>
                <w:p w:rsidR="008D56CD" w:rsidRDefault="008D56CD" w:rsidP="00DD4F1E">
                  <w:pPr>
                    <w:pStyle w:val="NormalWeb"/>
                    <w:spacing w:before="0" w:beforeAutospacing="0" w:after="0" w:afterAutospacing="0" w:line="160" w:lineRule="exact"/>
                  </w:pPr>
                  <w:proofErr w:type="spellStart"/>
                  <w:r>
                    <w:rPr>
                      <w:rFonts w:ascii="Book Antiqua" w:hAnsi="Book Antiqua" w:cstheme="minorBidi"/>
                      <w:color w:val="000000"/>
                      <w:sz w:val="14"/>
                      <w:szCs w:val="14"/>
                    </w:rPr>
                    <w:t>Before</w:t>
                  </w:r>
                  <w:proofErr w:type="spellEnd"/>
                  <w:r>
                    <w:rPr>
                      <w:rFonts w:ascii="Book Antiqua" w:hAnsi="Book Antiqua" w:cstheme="minorBidi"/>
                      <w:color w:val="000000"/>
                      <w:sz w:val="14"/>
                      <w:szCs w:val="14"/>
                    </w:rPr>
                    <w:t xml:space="preserve"> DR</w:t>
                  </w:r>
                  <w:r w:rsidRPr="00DE4F1B">
                    <w:rPr>
                      <w:rFonts w:ascii="Book Antiqua" w:hAnsi="Book Antiqua" w:cstheme="minorBidi"/>
                      <w:color w:val="000000"/>
                      <w:sz w:val="14"/>
                      <w:szCs w:val="14"/>
                    </w:rPr>
                    <w:t>–</w:t>
                  </w:r>
                  <w:r>
                    <w:rPr>
                      <w:rFonts w:ascii="Book Antiqua" w:hAnsi="Book Antiqua" w:cstheme="minorBidi"/>
                      <w:color w:val="000000"/>
                      <w:sz w:val="14"/>
                      <w:szCs w:val="14"/>
                    </w:rPr>
                    <w:t xml:space="preserve">CAFTA </w:t>
                  </w:r>
                </w:p>
              </w:txbxContent>
            </v:textbox>
          </v:shape>
        </w:pict>
      </w:r>
      <w:r w:rsidRPr="00CF46FB">
        <w:rPr>
          <w:noProof/>
          <w:lang w:val="en-GB" w:eastAsia="en-GB"/>
        </w:rPr>
        <w:pict>
          <v:shape id="_x0000_s1027" type="#_x0000_t202" style="position:absolute;left:0;text-align:left;margin-left:280pt;margin-top:0;width:88.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" filled="f" stroked="f">
            <v:textbox style="mso-next-textbox:#_x0000_s1027">
              <w:txbxContent>
                <w:p w:rsidR="008D56CD" w:rsidRDefault="008D56CD" w:rsidP="00DD4F1E">
                  <w:pPr>
                    <w:pStyle w:val="NormalWeb"/>
                    <w:spacing w:before="0" w:beforeAutospacing="0" w:after="0" w:afterAutospacing="0" w:line="160" w:lineRule="exact"/>
                  </w:pPr>
                  <w:proofErr w:type="spellStart"/>
                  <w:r>
                    <w:rPr>
                      <w:rFonts w:ascii="Book Antiqua" w:hAnsi="Book Antiqua" w:cstheme="minorBidi"/>
                      <w:color w:val="000000"/>
                      <w:sz w:val="14"/>
                      <w:szCs w:val="14"/>
                    </w:rPr>
                    <w:t>After</w:t>
                  </w:r>
                  <w:proofErr w:type="spellEnd"/>
                  <w:r>
                    <w:rPr>
                      <w:rFonts w:ascii="Book Antiqua" w:hAnsi="Book Antiqua" w:cstheme="minorBidi"/>
                      <w:color w:val="000000"/>
                      <w:sz w:val="14"/>
                      <w:szCs w:val="14"/>
                    </w:rPr>
                    <w:t xml:space="preserve"> DR</w:t>
                  </w:r>
                  <w:r w:rsidRPr="00DE4F1B">
                    <w:rPr>
                      <w:rFonts w:ascii="Book Antiqua" w:hAnsi="Book Antiqua" w:cstheme="minorBidi"/>
                      <w:color w:val="000000"/>
                      <w:sz w:val="14"/>
                      <w:szCs w:val="14"/>
                    </w:rPr>
                    <w:t>–</w:t>
                  </w:r>
                  <w:r>
                    <w:rPr>
                      <w:rFonts w:ascii="Book Antiqua" w:hAnsi="Book Antiqua" w:cstheme="minorBidi"/>
                      <w:color w:val="000000"/>
                      <w:sz w:val="14"/>
                      <w:szCs w:val="14"/>
                    </w:rPr>
                    <w:t>CAFTA</w:t>
                  </w:r>
                </w:p>
              </w:txbxContent>
            </v:textbox>
          </v:shape>
        </w:pict>
      </w:r>
      <w:r w:rsidR="00C15F70">
        <w:rPr>
          <w:noProof/>
          <w:lang w:val="en-GB" w:eastAsia="en-GB"/>
        </w:rPr>
        <w:drawing>
          <wp:inline distT="0" distB="0" distL="0" distR="0">
            <wp:extent cx="3964838" cy="2136039"/>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B4E96" w:rsidRPr="00F200E7" w:rsidRDefault="005B4E96" w:rsidP="005B4E96">
      <w:pPr>
        <w:pStyle w:val="NoSpacing"/>
        <w:jc w:val="center"/>
        <w:rPr>
          <w:rFonts w:ascii="Book Antiqua" w:hAnsi="Book Antiqua"/>
          <w:lang w:val="en-GB"/>
        </w:rPr>
      </w:pPr>
    </w:p>
    <w:p w:rsidR="005B4E96" w:rsidRPr="00F200E7" w:rsidRDefault="002C5F08" w:rsidP="002C5F08">
      <w:pPr>
        <w:pStyle w:val="NoSpacing"/>
        <w:ind w:firstLine="720"/>
        <w:jc w:val="both"/>
        <w:rPr>
          <w:rFonts w:ascii="Book Antiqua" w:hAnsi="Book Antiqua"/>
          <w:lang w:val="en-GB"/>
        </w:rPr>
      </w:pPr>
      <w:r w:rsidRPr="00F200E7">
        <w:rPr>
          <w:rFonts w:ascii="Book Antiqua" w:hAnsi="Book Antiqua"/>
          <w:sz w:val="18"/>
          <w:lang w:val="en-GB"/>
        </w:rPr>
        <w:t xml:space="preserve">Source: Authors’ calculation </w:t>
      </w:r>
      <w:r w:rsidR="000150EF" w:rsidRPr="00F200E7">
        <w:rPr>
          <w:rFonts w:ascii="Book Antiqua" w:hAnsi="Book Antiqua"/>
          <w:sz w:val="18"/>
          <w:lang w:val="en-GB"/>
        </w:rPr>
        <w:t xml:space="preserve">from </w:t>
      </w:r>
      <w:r w:rsidRPr="00F200E7">
        <w:rPr>
          <w:rFonts w:ascii="Book Antiqua" w:hAnsi="Book Antiqua"/>
          <w:sz w:val="18"/>
          <w:lang w:val="en-GB"/>
        </w:rPr>
        <w:t>IGSS data.</w:t>
      </w:r>
    </w:p>
    <w:p w:rsidR="005B4E96" w:rsidRPr="00F200E7" w:rsidRDefault="005B4E96" w:rsidP="005B4E96">
      <w:pPr>
        <w:pStyle w:val="NoSpacing"/>
        <w:jc w:val="both"/>
        <w:rPr>
          <w:rFonts w:ascii="Book Antiqua" w:hAnsi="Book Antiqua"/>
          <w:lang w:val="en-GB"/>
        </w:rPr>
      </w:pPr>
    </w:p>
    <w:p w:rsidR="00ED1005" w:rsidRPr="00F200E7" w:rsidRDefault="00571B03" w:rsidP="00ED1005">
      <w:pPr>
        <w:pStyle w:val="NoSpacing"/>
        <w:jc w:val="both"/>
        <w:rPr>
          <w:rFonts w:ascii="Book Antiqua" w:hAnsi="Book Antiqua"/>
          <w:lang w:val="en-GB"/>
        </w:rPr>
      </w:pPr>
      <w:r w:rsidRPr="00F200E7">
        <w:rPr>
          <w:rFonts w:ascii="Book Antiqua" w:hAnsi="Book Antiqua"/>
          <w:lang w:val="en-GB"/>
        </w:rPr>
        <w:t>Next</w:t>
      </w:r>
      <w:r w:rsidR="00ED1005" w:rsidRPr="00F200E7">
        <w:rPr>
          <w:rFonts w:ascii="Book Antiqua" w:hAnsi="Book Antiqua"/>
          <w:lang w:val="en-GB"/>
        </w:rPr>
        <w:t xml:space="preserve">, </w:t>
      </w:r>
      <w:r w:rsidRPr="00F200E7">
        <w:rPr>
          <w:rFonts w:ascii="Book Antiqua" w:hAnsi="Book Antiqua"/>
          <w:lang w:val="en-GB"/>
        </w:rPr>
        <w:t xml:space="preserve">we examined the relationship between </w:t>
      </w:r>
      <w:r w:rsidR="00ED1005" w:rsidRPr="00F200E7">
        <w:rPr>
          <w:rFonts w:ascii="Book Antiqua" w:hAnsi="Book Antiqua"/>
          <w:lang w:val="en-GB"/>
        </w:rPr>
        <w:t xml:space="preserve">formal agricultural employment </w:t>
      </w:r>
      <w:r w:rsidRPr="00F200E7">
        <w:rPr>
          <w:rFonts w:ascii="Book Antiqua" w:hAnsi="Book Antiqua"/>
          <w:lang w:val="en-GB"/>
        </w:rPr>
        <w:t xml:space="preserve">and </w:t>
      </w:r>
      <w:r w:rsidR="00ED1005" w:rsidRPr="00F200E7">
        <w:rPr>
          <w:rFonts w:ascii="Book Antiqua" w:hAnsi="Book Antiqua"/>
          <w:lang w:val="en-GB"/>
        </w:rPr>
        <w:t xml:space="preserve">the volumes of traditional </w:t>
      </w:r>
      <w:r w:rsidRPr="00F200E7">
        <w:rPr>
          <w:rFonts w:ascii="Book Antiqua" w:hAnsi="Book Antiqua"/>
          <w:lang w:val="en-GB"/>
        </w:rPr>
        <w:t>exports</w:t>
      </w:r>
      <w:r w:rsidR="00ED1005" w:rsidRPr="00F200E7">
        <w:rPr>
          <w:rFonts w:ascii="Book Antiqua" w:hAnsi="Book Antiqua"/>
          <w:lang w:val="en-GB"/>
        </w:rPr>
        <w:t>. Specifically</w:t>
      </w:r>
      <w:r w:rsidR="00261B80" w:rsidRPr="00F200E7">
        <w:rPr>
          <w:rFonts w:ascii="Book Antiqua" w:hAnsi="Book Antiqua"/>
          <w:lang w:val="en-GB"/>
        </w:rPr>
        <w:t>,</w:t>
      </w:r>
      <w:r w:rsidR="00ED1005" w:rsidRPr="00F200E7">
        <w:rPr>
          <w:rFonts w:ascii="Book Antiqua" w:hAnsi="Book Antiqua"/>
          <w:lang w:val="en-GB"/>
        </w:rPr>
        <w:t xml:space="preserve"> for each product (coffee, bananas, sugar</w:t>
      </w:r>
      <w:r w:rsidR="000D0BB6">
        <w:rPr>
          <w:rFonts w:ascii="Book Antiqua" w:hAnsi="Book Antiqua"/>
          <w:lang w:val="en-GB"/>
        </w:rPr>
        <w:t>,</w:t>
      </w:r>
      <w:r w:rsidR="00ED1005" w:rsidRPr="00F200E7">
        <w:rPr>
          <w:rFonts w:ascii="Book Antiqua" w:hAnsi="Book Antiqua"/>
          <w:lang w:val="en-GB"/>
        </w:rPr>
        <w:t xml:space="preserve"> and cardamom)</w:t>
      </w:r>
      <w:r w:rsidRPr="00F200E7">
        <w:rPr>
          <w:rFonts w:ascii="Book Antiqua" w:hAnsi="Book Antiqua"/>
          <w:lang w:val="en-GB"/>
        </w:rPr>
        <w:t>,</w:t>
      </w:r>
      <w:r w:rsidR="00ED1005" w:rsidRPr="00F200E7">
        <w:rPr>
          <w:rFonts w:ascii="Book Antiqua" w:hAnsi="Book Antiqua"/>
          <w:lang w:val="en-GB"/>
        </w:rPr>
        <w:t xml:space="preserve"> the following model was estimated:</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center"/>
        <w:rPr>
          <w:rFonts w:ascii="Book Antiqua" w:hAnsi="Book Antiqua"/>
          <w:lang w:val="en-GB"/>
        </w:rPr>
      </w:pPr>
      <w:r w:rsidRPr="00F200E7">
        <w:rPr>
          <w:rFonts w:ascii="Book Antiqua" w:hAnsi="Book Antiqua"/>
          <w:noProof/>
          <w:position w:val="-12"/>
          <w:lang w:val="en-GB" w:eastAsia="en-GB"/>
        </w:rPr>
        <w:drawing>
          <wp:inline distT="0" distB="0" distL="0" distR="0">
            <wp:extent cx="1313180" cy="2273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3180" cy="227330"/>
                    </a:xfrm>
                    <a:prstGeom prst="rect">
                      <a:avLst/>
                    </a:prstGeom>
                    <a:noFill/>
                    <a:ln>
                      <a:noFill/>
                    </a:ln>
                  </pic:spPr>
                </pic:pic>
              </a:graphicData>
            </a:graphic>
          </wp:inline>
        </w:drawing>
      </w:r>
    </w:p>
    <w:p w:rsidR="00ED1005" w:rsidRPr="00F200E7" w:rsidRDefault="00ED1005" w:rsidP="00ED1005">
      <w:pPr>
        <w:pStyle w:val="NoSpacing"/>
        <w:jc w:val="both"/>
        <w:rPr>
          <w:rFonts w:ascii="Book Antiqua" w:hAnsi="Book Antiqua"/>
          <w:lang w:val="en-GB"/>
        </w:rPr>
      </w:pPr>
    </w:p>
    <w:p w:rsidR="00ED1005" w:rsidRPr="00F200E7" w:rsidRDefault="00AA79C7" w:rsidP="00ED1005">
      <w:pPr>
        <w:pStyle w:val="NoSpacing"/>
        <w:jc w:val="both"/>
        <w:rPr>
          <w:rFonts w:ascii="Book Antiqua" w:hAnsi="Book Antiqua"/>
          <w:lang w:val="en-GB"/>
        </w:rPr>
      </w:pPr>
      <w:proofErr w:type="gramStart"/>
      <w:r w:rsidRPr="00F200E7">
        <w:rPr>
          <w:rFonts w:ascii="Book Antiqua" w:hAnsi="Book Antiqua"/>
          <w:lang w:val="en-GB"/>
        </w:rPr>
        <w:t>w</w:t>
      </w:r>
      <w:r w:rsidR="00ED1005" w:rsidRPr="00F200E7">
        <w:rPr>
          <w:rFonts w:ascii="Book Antiqua" w:hAnsi="Book Antiqua"/>
          <w:lang w:val="en-GB"/>
        </w:rPr>
        <w:t>here</w:t>
      </w:r>
      <w:proofErr w:type="gramEnd"/>
      <w:r w:rsidR="00ED1005" w:rsidRPr="00F200E7">
        <w:rPr>
          <w:rFonts w:ascii="Book Antiqua" w:hAnsi="Book Antiqua"/>
          <w:lang w:val="en-GB"/>
        </w:rPr>
        <w:t xml:space="preserve"> </w:t>
      </w:r>
      <w:r w:rsidR="00ED1005" w:rsidRPr="00F200E7">
        <w:rPr>
          <w:rFonts w:ascii="Book Antiqua" w:hAnsi="Book Antiqua"/>
          <w:i/>
          <w:lang w:val="en-GB"/>
        </w:rPr>
        <w:t>E</w:t>
      </w:r>
      <w:r w:rsidR="00ED1005" w:rsidRPr="00F200E7">
        <w:rPr>
          <w:rFonts w:ascii="Book Antiqua" w:hAnsi="Book Antiqua"/>
          <w:i/>
          <w:vertAlign w:val="subscript"/>
          <w:lang w:val="en-GB"/>
        </w:rPr>
        <w:t xml:space="preserve">t </w:t>
      </w:r>
      <w:r w:rsidR="00ED1005" w:rsidRPr="00F200E7">
        <w:rPr>
          <w:rFonts w:ascii="Book Antiqua" w:hAnsi="Book Antiqua"/>
          <w:lang w:val="en-GB"/>
        </w:rPr>
        <w:t xml:space="preserve">is the number of formal agricultural employees; </w:t>
      </w:r>
      <w:proofErr w:type="spellStart"/>
      <w:r w:rsidR="00ED1005" w:rsidRPr="00F200E7">
        <w:rPr>
          <w:rFonts w:ascii="Book Antiqua" w:hAnsi="Book Antiqua"/>
          <w:i/>
          <w:lang w:val="en-GB"/>
        </w:rPr>
        <w:t>X</w:t>
      </w:r>
      <w:r w:rsidR="00ED1005" w:rsidRPr="00F200E7">
        <w:rPr>
          <w:rFonts w:ascii="Book Antiqua" w:hAnsi="Book Antiqua"/>
          <w:i/>
          <w:vertAlign w:val="subscript"/>
          <w:lang w:val="en-GB"/>
        </w:rPr>
        <w:t>t</w:t>
      </w:r>
      <w:proofErr w:type="spellEnd"/>
      <w:r w:rsidR="00ED1005" w:rsidRPr="00F200E7">
        <w:rPr>
          <w:rFonts w:ascii="Book Antiqua" w:hAnsi="Book Antiqua"/>
          <w:lang w:val="en-GB"/>
        </w:rPr>
        <w:t xml:space="preserve"> is the export volume for each product; and the betas are the coefficients to be determined. Natural logarithms were used to measure the elasticity of agricultural employment with the exports of each of the products. </w:t>
      </w:r>
      <w:r w:rsidR="00BE1089">
        <w:rPr>
          <w:rFonts w:ascii="Book Antiqua" w:hAnsi="Book Antiqua"/>
          <w:lang w:val="en-GB"/>
        </w:rPr>
        <w:t>F</w:t>
      </w:r>
      <w:r w:rsidR="00ED1005" w:rsidRPr="00F200E7">
        <w:rPr>
          <w:rFonts w:ascii="Book Antiqua" w:hAnsi="Book Antiqua"/>
          <w:lang w:val="en-GB"/>
        </w:rPr>
        <w:t xml:space="preserve">igures </w:t>
      </w:r>
      <w:r w:rsidR="00571B03" w:rsidRPr="00F200E7">
        <w:rPr>
          <w:rFonts w:ascii="Book Antiqua" w:hAnsi="Book Antiqua"/>
          <w:lang w:val="en-GB"/>
        </w:rPr>
        <w:t>6.14</w:t>
      </w:r>
      <w:r w:rsidR="00BE1089">
        <w:rPr>
          <w:rFonts w:ascii="Book Antiqua" w:hAnsi="Book Antiqua"/>
          <w:lang w:val="en-GB"/>
        </w:rPr>
        <w:t xml:space="preserve"> through </w:t>
      </w:r>
      <w:r w:rsidR="00571B03" w:rsidRPr="00F200E7">
        <w:rPr>
          <w:rFonts w:ascii="Book Antiqua" w:hAnsi="Book Antiqua"/>
          <w:lang w:val="en-GB"/>
        </w:rPr>
        <w:t xml:space="preserve">6.17 </w:t>
      </w:r>
      <w:r w:rsidR="00596A5C" w:rsidRPr="00F200E7">
        <w:rPr>
          <w:rFonts w:ascii="Book Antiqua" w:hAnsi="Book Antiqua"/>
          <w:lang w:val="en-GB"/>
        </w:rPr>
        <w:t>present</w:t>
      </w:r>
      <w:r w:rsidR="00FB5615">
        <w:rPr>
          <w:rFonts w:ascii="Book Antiqua" w:hAnsi="Book Antiqua"/>
          <w:lang w:val="en-GB"/>
        </w:rPr>
        <w:t xml:space="preserve"> </w:t>
      </w:r>
      <w:r w:rsidR="006C1417" w:rsidRPr="00F200E7">
        <w:rPr>
          <w:rFonts w:ascii="Book Antiqua" w:hAnsi="Book Antiqua"/>
          <w:lang w:val="en-GB"/>
        </w:rPr>
        <w:t>scatter</w:t>
      </w:r>
      <w:r w:rsidR="00ED1005" w:rsidRPr="00F200E7">
        <w:rPr>
          <w:rFonts w:ascii="Book Antiqua" w:hAnsi="Book Antiqua"/>
          <w:lang w:val="en-GB"/>
        </w:rPr>
        <w:t xml:space="preserve"> diagrams of these relations</w:t>
      </w:r>
      <w:r w:rsidR="000D0BB6">
        <w:rPr>
          <w:rFonts w:ascii="Book Antiqua" w:hAnsi="Book Antiqua"/>
          <w:lang w:val="en-GB"/>
        </w:rPr>
        <w:t>hips</w:t>
      </w:r>
      <w:r w:rsidR="00ED1005" w:rsidRPr="00F200E7">
        <w:rPr>
          <w:rFonts w:ascii="Book Antiqua" w:hAnsi="Book Antiqua"/>
          <w:lang w:val="en-GB"/>
        </w:rPr>
        <w:t xml:space="preserve"> (all the variables in logarithms) along with their respective statistical value of </w:t>
      </w:r>
      <w:r w:rsidR="00ED1005" w:rsidRPr="00F200E7">
        <w:rPr>
          <w:rFonts w:ascii="Book Antiqua" w:hAnsi="Book Antiqua"/>
          <w:i/>
          <w:lang w:val="en-GB"/>
        </w:rPr>
        <w:t>p</w:t>
      </w:r>
      <w:r w:rsidR="00F06F3A" w:rsidRPr="00F200E7">
        <w:rPr>
          <w:rFonts w:ascii="Book Antiqua" w:hAnsi="Book Antiqua"/>
          <w:i/>
          <w:lang w:val="en-GB"/>
        </w:rPr>
        <w:t>.</w:t>
      </w:r>
      <w:r w:rsidR="00ED1005" w:rsidRPr="00F200E7">
        <w:rPr>
          <w:rStyle w:val="FootnoteReference"/>
          <w:rFonts w:ascii="Book Antiqua" w:hAnsi="Book Antiqua"/>
          <w:lang w:val="en-GB"/>
        </w:rPr>
        <w:footnoteReference w:id="22"/>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65CED" w:rsidRPr="00F200E7" w:rsidRDefault="00ED1005" w:rsidP="000D0BB6">
      <w:pPr>
        <w:pStyle w:val="Tabletitle"/>
      </w:pPr>
      <w:r w:rsidRPr="00F200E7">
        <w:t xml:space="preserve">Figure </w:t>
      </w:r>
      <w:r w:rsidR="00571B03" w:rsidRPr="00F200E7">
        <w:t>6.</w:t>
      </w:r>
      <w:r w:rsidRPr="00F200E7">
        <w:t xml:space="preserve">14: </w:t>
      </w:r>
      <w:r w:rsidR="00F06F3A" w:rsidRPr="00F200E7">
        <w:tab/>
        <w:t>Relationship between m</w:t>
      </w:r>
      <w:r w:rsidRPr="00F200E7">
        <w:t>embers</w:t>
      </w:r>
      <w:r w:rsidR="00F06F3A" w:rsidRPr="00F200E7">
        <w:t xml:space="preserve">hip </w:t>
      </w:r>
      <w:r w:rsidRPr="00F200E7">
        <w:t>of the IGSS in agriculture and sugar exports</w:t>
      </w:r>
      <w:r w:rsidR="00F06F3A" w:rsidRPr="00F200E7">
        <w:t>, Guatemala, 2001–2010, s</w:t>
      </w:r>
      <w:r w:rsidR="006C1417" w:rsidRPr="00F200E7">
        <w:t>catter</w:t>
      </w:r>
      <w:r w:rsidR="00AF45BA">
        <w:t xml:space="preserve"> diagram in logari</w:t>
      </w:r>
      <w:r w:rsidRPr="00F200E7">
        <w:t>thms</w:t>
      </w:r>
    </w:p>
    <w:p w:rsidR="00ED1005" w:rsidRPr="00F200E7" w:rsidRDefault="00ED1005" w:rsidP="00ED1005">
      <w:pPr>
        <w:pStyle w:val="NoSpacing"/>
        <w:jc w:val="both"/>
        <w:rPr>
          <w:rFonts w:ascii="Book Antiqua" w:hAnsi="Book Antiqua"/>
          <w:lang w:val="en-GB"/>
        </w:rPr>
      </w:pPr>
    </w:p>
    <w:p w:rsidR="00ED1005" w:rsidRPr="00F200E7" w:rsidRDefault="00CF46FB" w:rsidP="00ED1005">
      <w:pPr>
        <w:pStyle w:val="NoSpacing"/>
        <w:jc w:val="center"/>
        <w:rPr>
          <w:rFonts w:ascii="Book Antiqua" w:hAnsi="Book Antiqua"/>
          <w:lang w:val="en-GB"/>
        </w:rPr>
      </w:pPr>
      <w:r w:rsidRPr="00CF46FB">
        <w:rPr>
          <w:noProof/>
          <w:lang w:val="en-GB" w:eastAsia="en-GB"/>
        </w:rPr>
        <w:pict>
          <v:shape id="7 CuadroTexto" o:spid="_x0000_s1028" type="#_x0000_t202" style="position:absolute;left:0;text-align:left;margin-left:224.2pt;margin-top:33.55pt;width:74.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" filled="f" stroked="f">
            <v:path arrowok="t"/>
            <v:textbox style="mso-next-textbox:#7 CuadroTexto">
              <w:txbxContent>
                <w:p w:rsidR="008D56CD" w:rsidRPr="00BE3273" w:rsidRDefault="008D56CD" w:rsidP="00ED1005">
                  <w:pPr>
                    <w:pStyle w:val="NormalWeb"/>
                    <w:spacing w:before="0" w:beforeAutospacing="0" w:after="0" w:afterAutospacing="0"/>
                    <w:rPr>
                      <w:sz w:val="18"/>
                    </w:rPr>
                  </w:pPr>
                  <w:r w:rsidRPr="002A74E9">
                    <w:rPr>
                      <w:rFonts w:ascii="Book Antiqua" w:hAnsi="Book Antiqua"/>
                      <w:i/>
                      <w:iCs/>
                      <w:color w:val="000000"/>
                      <w:sz w:val="16"/>
                      <w:szCs w:val="21"/>
                    </w:rPr>
                    <w:t>p</w:t>
                  </w:r>
                  <w:r w:rsidRPr="002A74E9">
                    <w:rPr>
                      <w:rFonts w:ascii="Book Antiqua" w:hAnsi="Book Antiqua"/>
                      <w:color w:val="000000"/>
                      <w:sz w:val="16"/>
                      <w:szCs w:val="21"/>
                    </w:rPr>
                    <w:t xml:space="preserve"> = 0.745</w:t>
                  </w:r>
                </w:p>
              </w:txbxContent>
            </v:textbox>
          </v:shape>
        </w:pict>
      </w:r>
      <w:r w:rsidR="00C15F70">
        <w:rPr>
          <w:noProof/>
          <w:lang w:val="en-GB" w:eastAsia="en-GB"/>
        </w:rPr>
        <w:drawing>
          <wp:inline distT="0" distB="0" distL="0" distR="0">
            <wp:extent cx="3237230" cy="1983740"/>
            <wp:effectExtent l="0" t="0" r="0" b="0"/>
            <wp:docPr id="22" name="Gráfico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D1005" w:rsidRPr="00F200E7" w:rsidRDefault="00ED1005" w:rsidP="00ED1005">
      <w:pPr>
        <w:pStyle w:val="NoSpacing"/>
        <w:ind w:firstLine="720"/>
        <w:jc w:val="both"/>
        <w:rPr>
          <w:rFonts w:ascii="Book Antiqua" w:hAnsi="Book Antiqua"/>
          <w:sz w:val="18"/>
          <w:lang w:val="en-GB"/>
        </w:rPr>
      </w:pPr>
    </w:p>
    <w:p w:rsidR="00ED1005" w:rsidRPr="00F200E7" w:rsidRDefault="00ED1005" w:rsidP="00ED1005">
      <w:pPr>
        <w:pStyle w:val="NoSpacing"/>
        <w:ind w:left="1440" w:firstLine="720"/>
        <w:jc w:val="both"/>
        <w:rPr>
          <w:rFonts w:ascii="Book Antiqua" w:hAnsi="Book Antiqua"/>
          <w:sz w:val="18"/>
          <w:lang w:val="en-GB"/>
        </w:rPr>
      </w:pPr>
      <w:r w:rsidRPr="00F200E7">
        <w:rPr>
          <w:rFonts w:ascii="Book Antiqua" w:hAnsi="Book Antiqua"/>
          <w:sz w:val="18"/>
          <w:lang w:val="en-GB"/>
        </w:rPr>
        <w:t>Source: Authors’ calculation.</w:t>
      </w:r>
    </w:p>
    <w:p w:rsidR="00ED1005" w:rsidRPr="00F200E7" w:rsidRDefault="00ED1005" w:rsidP="00ED1005">
      <w:pPr>
        <w:pStyle w:val="NoSpacing"/>
        <w:jc w:val="center"/>
        <w:rPr>
          <w:rFonts w:ascii="Book Antiqua" w:hAnsi="Book Antiqua"/>
          <w:b/>
          <w:noProof/>
          <w:lang w:val="en-GB" w:eastAsia="es-GT"/>
        </w:rPr>
      </w:pPr>
    </w:p>
    <w:p w:rsidR="00ED1005" w:rsidRPr="00F200E7" w:rsidRDefault="00ED1005" w:rsidP="00ED1005">
      <w:pPr>
        <w:pStyle w:val="NoSpacing"/>
        <w:jc w:val="center"/>
        <w:rPr>
          <w:rFonts w:ascii="Book Antiqua" w:hAnsi="Book Antiqua"/>
          <w:b/>
          <w:noProof/>
          <w:lang w:val="en-GB" w:eastAsia="es-GT"/>
        </w:rPr>
      </w:pPr>
    </w:p>
    <w:p w:rsidR="00ED1005" w:rsidRPr="00F200E7" w:rsidRDefault="00ED1005" w:rsidP="00DE4F1B">
      <w:pPr>
        <w:pStyle w:val="NoSpacing"/>
        <w:keepNext/>
        <w:ind w:left="1440" w:hanging="1440"/>
        <w:rPr>
          <w:rFonts w:ascii="Book Antiqua" w:hAnsi="Book Antiqua"/>
          <w:b/>
          <w:noProof/>
          <w:lang w:val="en-GB" w:eastAsia="es-GT"/>
        </w:rPr>
      </w:pPr>
      <w:r w:rsidRPr="00F200E7">
        <w:rPr>
          <w:rFonts w:ascii="Book Antiqua" w:hAnsi="Book Antiqua"/>
          <w:b/>
          <w:noProof/>
          <w:lang w:val="en-GB" w:eastAsia="es-GT"/>
        </w:rPr>
        <w:t xml:space="preserve">Figure </w:t>
      </w:r>
      <w:r w:rsidR="00E65CED" w:rsidRPr="00F200E7">
        <w:rPr>
          <w:rFonts w:ascii="Book Antiqua" w:hAnsi="Book Antiqua"/>
          <w:b/>
          <w:noProof/>
          <w:lang w:val="en-GB" w:eastAsia="es-GT"/>
        </w:rPr>
        <w:t>6.</w:t>
      </w:r>
      <w:r w:rsidRPr="00F200E7">
        <w:rPr>
          <w:rFonts w:ascii="Book Antiqua" w:hAnsi="Book Antiqua"/>
          <w:b/>
          <w:noProof/>
          <w:lang w:val="en-GB" w:eastAsia="es-GT"/>
        </w:rPr>
        <w:t xml:space="preserve">15: </w:t>
      </w:r>
      <w:r w:rsidR="00E65CED" w:rsidRPr="00F200E7">
        <w:rPr>
          <w:rFonts w:ascii="Book Antiqua" w:hAnsi="Book Antiqua"/>
          <w:b/>
          <w:noProof/>
          <w:lang w:val="en-GB" w:eastAsia="es-GT"/>
        </w:rPr>
        <w:tab/>
        <w:t>Relationship between membership of the IGSS in agriculture and banana exports, Guatemala, 2001</w:t>
      </w:r>
      <w:r w:rsidR="00AF45BA">
        <w:rPr>
          <w:rFonts w:ascii="Book Antiqua" w:hAnsi="Book Antiqua"/>
          <w:b/>
          <w:noProof/>
          <w:lang w:val="en-GB" w:eastAsia="es-GT"/>
        </w:rPr>
        <w:t>–2010, scatter diagram in logari</w:t>
      </w:r>
      <w:r w:rsidR="00E65CED" w:rsidRPr="00F200E7">
        <w:rPr>
          <w:rFonts w:ascii="Book Antiqua" w:hAnsi="Book Antiqua"/>
          <w:b/>
          <w:noProof/>
          <w:lang w:val="en-GB" w:eastAsia="es-GT"/>
        </w:rPr>
        <w:t>thms</w:t>
      </w:r>
    </w:p>
    <w:p w:rsidR="00ED1005" w:rsidRPr="00F200E7" w:rsidRDefault="00ED1005" w:rsidP="00ED1005">
      <w:pPr>
        <w:pStyle w:val="NoSpacing"/>
        <w:jc w:val="center"/>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D1005" w:rsidRPr="00F200E7" w:rsidRDefault="00CF46FB" w:rsidP="00ED1005">
      <w:pPr>
        <w:pStyle w:val="NoSpacing"/>
        <w:jc w:val="center"/>
        <w:rPr>
          <w:rFonts w:ascii="Book Antiqua" w:hAnsi="Book Antiqua"/>
          <w:lang w:val="en-GB"/>
        </w:rPr>
      </w:pPr>
      <w:r w:rsidRPr="00CF46FB">
        <w:rPr>
          <w:noProof/>
          <w:lang w:val="en-GB" w:eastAsia="en-GB"/>
        </w:rPr>
        <w:pict>
          <v:shape id="8 CuadroTexto" o:spid="_x0000_s1029" type="#_x0000_t202" style="position:absolute;left:0;text-align:left;margin-left:215.4pt;margin-top:30.65pt;width:91.4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" filled="f" stroked="f">
            <v:path arrowok="t"/>
            <v:textbox style="mso-next-textbox:#8 CuadroTexto">
              <w:txbxContent>
                <w:p w:rsidR="008D56CD" w:rsidRPr="00BE3273" w:rsidRDefault="008D56CD" w:rsidP="00ED1005">
                  <w:pPr>
                    <w:pStyle w:val="NormalWeb"/>
                    <w:spacing w:before="0" w:beforeAutospacing="0" w:after="0" w:afterAutospacing="0"/>
                    <w:rPr>
                      <w:sz w:val="18"/>
                    </w:rPr>
                  </w:pPr>
                  <w:r w:rsidRPr="002A74E9">
                    <w:rPr>
                      <w:rFonts w:ascii="Book Antiqua" w:hAnsi="Book Antiqua"/>
                      <w:i/>
                      <w:iCs/>
                      <w:color w:val="000000"/>
                      <w:sz w:val="16"/>
                      <w:szCs w:val="21"/>
                    </w:rPr>
                    <w:t>p</w:t>
                  </w:r>
                  <w:r w:rsidRPr="002A74E9">
                    <w:rPr>
                      <w:rFonts w:ascii="Book Antiqua" w:hAnsi="Book Antiqua"/>
                      <w:color w:val="000000"/>
                      <w:sz w:val="16"/>
                      <w:szCs w:val="21"/>
                    </w:rPr>
                    <w:t xml:space="preserve"> = 0.310</w:t>
                  </w:r>
                </w:p>
              </w:txbxContent>
            </v:textbox>
          </v:shape>
        </w:pict>
      </w:r>
      <w:r w:rsidR="00C15F70">
        <w:rPr>
          <w:noProof/>
          <w:lang w:val="en-GB" w:eastAsia="en-GB"/>
        </w:rPr>
        <w:drawing>
          <wp:inline distT="0" distB="0" distL="0" distR="0">
            <wp:extent cx="3237230" cy="1976120"/>
            <wp:effectExtent l="0" t="0" r="0" b="0"/>
            <wp:docPr id="23" name="Gráfico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ED1005" w:rsidRPr="00F200E7" w:rsidRDefault="00ED1005" w:rsidP="00ED1005">
      <w:pPr>
        <w:pStyle w:val="NoSpacing"/>
        <w:ind w:firstLine="720"/>
        <w:jc w:val="both"/>
        <w:rPr>
          <w:rFonts w:ascii="Book Antiqua" w:hAnsi="Book Antiqua"/>
          <w:sz w:val="18"/>
          <w:lang w:val="en-GB"/>
        </w:rPr>
      </w:pPr>
    </w:p>
    <w:p w:rsidR="00ED1005" w:rsidRPr="00F200E7" w:rsidRDefault="00ED1005" w:rsidP="00ED1005">
      <w:pPr>
        <w:pStyle w:val="NoSpacing"/>
        <w:ind w:left="1440" w:firstLine="720"/>
        <w:jc w:val="both"/>
        <w:rPr>
          <w:rFonts w:ascii="Book Antiqua" w:hAnsi="Book Antiqua"/>
          <w:sz w:val="18"/>
          <w:lang w:val="en-GB"/>
        </w:rPr>
      </w:pPr>
      <w:r w:rsidRPr="00F200E7">
        <w:rPr>
          <w:rFonts w:ascii="Book Antiqua" w:hAnsi="Book Antiqua"/>
          <w:sz w:val="18"/>
          <w:lang w:val="en-GB"/>
        </w:rPr>
        <w:t>Source: Authors’ calculation.</w:t>
      </w:r>
    </w:p>
    <w:p w:rsidR="00ED1005" w:rsidRPr="00F200E7" w:rsidRDefault="00ED1005" w:rsidP="00ED1005">
      <w:pPr>
        <w:pStyle w:val="NoSpacing"/>
        <w:rPr>
          <w:rFonts w:ascii="Book Antiqua" w:hAnsi="Book Antiqua"/>
          <w:b/>
          <w:noProof/>
          <w:lang w:val="en-GB" w:eastAsia="es-GT"/>
        </w:rPr>
      </w:pPr>
    </w:p>
    <w:p w:rsidR="00E65CED" w:rsidRPr="00F200E7" w:rsidRDefault="00E65CED">
      <w:pPr>
        <w:spacing w:after="0" w:line="240" w:lineRule="auto"/>
        <w:rPr>
          <w:rFonts w:ascii="Book Antiqua" w:hAnsi="Book Antiqua"/>
          <w:b/>
          <w:noProof/>
          <w:lang w:val="en-GB" w:eastAsia="es-GT"/>
        </w:rPr>
      </w:pPr>
      <w:r w:rsidRPr="00F200E7">
        <w:rPr>
          <w:rFonts w:ascii="Book Antiqua" w:hAnsi="Book Antiqua"/>
          <w:b/>
          <w:noProof/>
          <w:lang w:val="en-GB" w:eastAsia="es-GT"/>
        </w:rPr>
        <w:br w:type="page"/>
      </w:r>
    </w:p>
    <w:p w:rsidR="00ED1005" w:rsidRPr="00F200E7" w:rsidRDefault="00ED1005" w:rsidP="00E65CED">
      <w:pPr>
        <w:pStyle w:val="NoSpacing"/>
        <w:ind w:left="1440" w:hanging="1440"/>
        <w:rPr>
          <w:rFonts w:ascii="Book Antiqua" w:hAnsi="Book Antiqua"/>
          <w:lang w:val="en-GB"/>
        </w:rPr>
      </w:pPr>
      <w:r w:rsidRPr="00F200E7">
        <w:rPr>
          <w:rFonts w:ascii="Book Antiqua" w:hAnsi="Book Antiqua"/>
          <w:b/>
          <w:noProof/>
          <w:lang w:val="en-GB" w:eastAsia="es-GT"/>
        </w:rPr>
        <w:t xml:space="preserve">Figure </w:t>
      </w:r>
      <w:r w:rsidR="00E65CED" w:rsidRPr="00F200E7">
        <w:rPr>
          <w:rFonts w:ascii="Book Antiqua" w:hAnsi="Book Antiqua"/>
          <w:b/>
          <w:noProof/>
          <w:lang w:val="en-GB" w:eastAsia="es-GT"/>
        </w:rPr>
        <w:t>6.</w:t>
      </w:r>
      <w:r w:rsidRPr="00F200E7">
        <w:rPr>
          <w:rFonts w:ascii="Book Antiqua" w:hAnsi="Book Antiqua"/>
          <w:b/>
          <w:noProof/>
          <w:lang w:val="en-GB" w:eastAsia="es-GT"/>
        </w:rPr>
        <w:t>16:</w:t>
      </w:r>
      <w:r w:rsidR="00E65CED" w:rsidRPr="00F200E7">
        <w:rPr>
          <w:rFonts w:ascii="Book Antiqua" w:hAnsi="Book Antiqua"/>
          <w:b/>
          <w:noProof/>
          <w:lang w:val="en-GB" w:eastAsia="es-GT"/>
        </w:rPr>
        <w:tab/>
        <w:t>Relationship between membership of the IGSS in agriculture and coffee exports, Guatemala, 2001</w:t>
      </w:r>
      <w:r w:rsidR="00AF45BA">
        <w:rPr>
          <w:rFonts w:ascii="Book Antiqua" w:hAnsi="Book Antiqua"/>
          <w:b/>
          <w:noProof/>
          <w:lang w:val="en-GB" w:eastAsia="es-GT"/>
        </w:rPr>
        <w:t>–2010, scatter diagram in logari</w:t>
      </w:r>
      <w:r w:rsidR="00E65CED" w:rsidRPr="00F200E7">
        <w:rPr>
          <w:rFonts w:ascii="Book Antiqua" w:hAnsi="Book Antiqua"/>
          <w:b/>
          <w:noProof/>
          <w:lang w:val="en-GB" w:eastAsia="es-GT"/>
        </w:rPr>
        <w:t>thms</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D1005" w:rsidRPr="00F200E7" w:rsidRDefault="00C15F70" w:rsidP="00ED1005">
      <w:pPr>
        <w:pStyle w:val="NoSpacing"/>
        <w:jc w:val="center"/>
        <w:rPr>
          <w:rFonts w:ascii="Book Antiqua" w:hAnsi="Book Antiqua"/>
          <w:lang w:val="en-GB"/>
        </w:rPr>
      </w:pPr>
      <w:r>
        <w:rPr>
          <w:noProof/>
          <w:lang w:val="en-GB" w:eastAsia="en-GB"/>
        </w:rPr>
        <w:drawing>
          <wp:inline distT="0" distB="0" distL="0" distR="0">
            <wp:extent cx="3237230" cy="1983740"/>
            <wp:effectExtent l="0" t="0" r="0" b="0"/>
            <wp:docPr id="15" name="Gráfico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D1005" w:rsidRPr="00F200E7" w:rsidRDefault="00ED1005" w:rsidP="00ED1005">
      <w:pPr>
        <w:pStyle w:val="NoSpacing"/>
        <w:ind w:left="1440" w:firstLine="720"/>
        <w:jc w:val="both"/>
        <w:rPr>
          <w:rFonts w:ascii="Book Antiqua" w:hAnsi="Book Antiqua"/>
          <w:sz w:val="18"/>
          <w:lang w:val="en-GB"/>
        </w:rPr>
      </w:pPr>
      <w:r w:rsidRPr="00F200E7">
        <w:rPr>
          <w:rFonts w:ascii="Book Antiqua" w:hAnsi="Book Antiqua"/>
          <w:sz w:val="18"/>
          <w:lang w:val="en-GB"/>
        </w:rPr>
        <w:t>Source: Authors’ calculation.</w:t>
      </w:r>
    </w:p>
    <w:p w:rsidR="00ED1005" w:rsidRPr="00F200E7" w:rsidRDefault="00ED1005" w:rsidP="00ED1005">
      <w:pPr>
        <w:pStyle w:val="NoSpacing"/>
        <w:jc w:val="both"/>
        <w:rPr>
          <w:rFonts w:ascii="Book Antiqua" w:hAnsi="Book Antiqua"/>
          <w:sz w:val="18"/>
          <w:lang w:val="en-GB"/>
        </w:rPr>
      </w:pPr>
    </w:p>
    <w:p w:rsidR="00ED1005" w:rsidRPr="00F200E7" w:rsidRDefault="00ED1005" w:rsidP="00ED1005">
      <w:pPr>
        <w:pStyle w:val="NoSpacing"/>
        <w:rPr>
          <w:rFonts w:ascii="Book Antiqua" w:hAnsi="Book Antiqua"/>
          <w:b/>
          <w:noProof/>
          <w:lang w:val="en-GB" w:eastAsia="es-GT"/>
        </w:rPr>
      </w:pPr>
    </w:p>
    <w:p w:rsidR="00ED1005" w:rsidRPr="00F200E7" w:rsidRDefault="00ED1005" w:rsidP="00ED1005">
      <w:pPr>
        <w:pStyle w:val="NoSpacing"/>
        <w:jc w:val="center"/>
        <w:rPr>
          <w:rFonts w:ascii="Book Antiqua" w:hAnsi="Book Antiqua"/>
          <w:b/>
          <w:noProof/>
          <w:lang w:val="en-GB" w:eastAsia="es-GT"/>
        </w:rPr>
      </w:pPr>
    </w:p>
    <w:p w:rsidR="00ED1005" w:rsidRPr="00F200E7" w:rsidRDefault="00ED1005" w:rsidP="00232363">
      <w:pPr>
        <w:pStyle w:val="NoSpacing"/>
        <w:ind w:left="1440" w:hanging="1440"/>
        <w:rPr>
          <w:rFonts w:ascii="Book Antiqua" w:hAnsi="Book Antiqua"/>
          <w:lang w:val="en-GB"/>
        </w:rPr>
      </w:pPr>
      <w:r w:rsidRPr="00F200E7">
        <w:rPr>
          <w:rFonts w:ascii="Book Antiqua" w:hAnsi="Book Antiqua"/>
          <w:b/>
          <w:noProof/>
          <w:lang w:val="en-GB" w:eastAsia="es-GT"/>
        </w:rPr>
        <w:t xml:space="preserve">Figure </w:t>
      </w:r>
      <w:r w:rsidR="00554D37" w:rsidRPr="00F200E7">
        <w:rPr>
          <w:rFonts w:ascii="Book Antiqua" w:hAnsi="Book Antiqua"/>
          <w:b/>
          <w:noProof/>
          <w:lang w:val="en-GB" w:eastAsia="es-GT"/>
        </w:rPr>
        <w:t>6.</w:t>
      </w:r>
      <w:r w:rsidRPr="00F200E7">
        <w:rPr>
          <w:rFonts w:ascii="Book Antiqua" w:hAnsi="Book Antiqua"/>
          <w:b/>
          <w:noProof/>
          <w:lang w:val="en-GB" w:eastAsia="es-GT"/>
        </w:rPr>
        <w:t xml:space="preserve">17: </w:t>
      </w:r>
      <w:r w:rsidR="00E65CED" w:rsidRPr="00F200E7">
        <w:rPr>
          <w:rFonts w:ascii="Book Antiqua" w:hAnsi="Book Antiqua"/>
          <w:b/>
          <w:noProof/>
          <w:lang w:val="en-GB" w:eastAsia="es-GT"/>
        </w:rPr>
        <w:tab/>
        <w:t>Relationship between membership of the IGSS in agriculture and cardamon  exports, Guatemala, 2001</w:t>
      </w:r>
      <w:r w:rsidR="00AF45BA">
        <w:rPr>
          <w:rFonts w:ascii="Book Antiqua" w:hAnsi="Book Antiqua"/>
          <w:b/>
          <w:noProof/>
          <w:lang w:val="en-GB" w:eastAsia="es-GT"/>
        </w:rPr>
        <w:t>–2010, scatter diagram in logari</w:t>
      </w:r>
      <w:r w:rsidR="00E65CED" w:rsidRPr="00F200E7">
        <w:rPr>
          <w:rFonts w:ascii="Book Antiqua" w:hAnsi="Book Antiqua"/>
          <w:b/>
          <w:noProof/>
          <w:lang w:val="en-GB" w:eastAsia="es-GT"/>
        </w:rPr>
        <w:t>thms</w:t>
      </w:r>
    </w:p>
    <w:p w:rsidR="00ED1005" w:rsidRPr="00F200E7" w:rsidRDefault="00ED1005" w:rsidP="00ED1005">
      <w:pPr>
        <w:pStyle w:val="NoSpacing"/>
        <w:jc w:val="both"/>
        <w:rPr>
          <w:rFonts w:ascii="Book Antiqua" w:hAnsi="Book Antiqua"/>
          <w:lang w:val="en-GB"/>
        </w:rPr>
      </w:pPr>
    </w:p>
    <w:p w:rsidR="00ED1005" w:rsidRPr="00F200E7" w:rsidRDefault="00C15F70" w:rsidP="00ED1005">
      <w:pPr>
        <w:pStyle w:val="NoSpacing"/>
        <w:jc w:val="center"/>
        <w:rPr>
          <w:rFonts w:ascii="Book Antiqua" w:hAnsi="Book Antiqua"/>
          <w:lang w:val="en-GB"/>
        </w:rPr>
      </w:pPr>
      <w:r>
        <w:rPr>
          <w:noProof/>
          <w:lang w:val="en-GB" w:eastAsia="en-GB"/>
        </w:rPr>
        <w:drawing>
          <wp:inline distT="0" distB="0" distL="0" distR="0">
            <wp:extent cx="3244850" cy="1983740"/>
            <wp:effectExtent l="0" t="0" r="0" b="0"/>
            <wp:docPr id="16" name="Gráfico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D1005" w:rsidRPr="00F200E7" w:rsidRDefault="00ED1005" w:rsidP="00ED1005">
      <w:pPr>
        <w:pStyle w:val="NoSpacing"/>
        <w:ind w:left="1440" w:firstLine="720"/>
        <w:jc w:val="both"/>
        <w:rPr>
          <w:rFonts w:ascii="Book Antiqua" w:hAnsi="Book Antiqua"/>
          <w:sz w:val="18"/>
          <w:lang w:val="en-GB"/>
        </w:rPr>
      </w:pPr>
      <w:r w:rsidRPr="00F200E7">
        <w:rPr>
          <w:rFonts w:ascii="Book Antiqua" w:hAnsi="Book Antiqua"/>
          <w:sz w:val="18"/>
          <w:lang w:val="en-GB"/>
        </w:rPr>
        <w:t>Source: Authors’ calculation.</w:t>
      </w:r>
    </w:p>
    <w:p w:rsidR="00ED1005" w:rsidRPr="00F200E7" w:rsidRDefault="00ED1005" w:rsidP="00ED1005">
      <w:pPr>
        <w:pStyle w:val="NoSpacing"/>
        <w:ind w:left="1440" w:firstLine="720"/>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From the estimates it can be inferred that </w:t>
      </w:r>
      <w:r w:rsidR="00E65CED" w:rsidRPr="00F200E7">
        <w:rPr>
          <w:rFonts w:ascii="Book Antiqua" w:hAnsi="Book Antiqua"/>
          <w:lang w:val="en-GB"/>
        </w:rPr>
        <w:t xml:space="preserve">formal </w:t>
      </w:r>
      <w:r w:rsidRPr="00F200E7">
        <w:rPr>
          <w:rFonts w:ascii="Book Antiqua" w:hAnsi="Book Antiqua"/>
          <w:lang w:val="en-GB"/>
        </w:rPr>
        <w:t xml:space="preserve">agricultural employment </w:t>
      </w:r>
      <w:r w:rsidR="00E65CED" w:rsidRPr="00F200E7">
        <w:rPr>
          <w:rFonts w:ascii="Book Antiqua" w:hAnsi="Book Antiqua"/>
          <w:lang w:val="en-GB"/>
        </w:rPr>
        <w:t>is</w:t>
      </w:r>
      <w:r w:rsidRPr="00F200E7">
        <w:rPr>
          <w:rFonts w:ascii="Book Antiqua" w:hAnsi="Book Antiqua"/>
          <w:lang w:val="en-GB"/>
        </w:rPr>
        <w:t xml:space="preserve"> sensitiv</w:t>
      </w:r>
      <w:r w:rsidR="00E65CED" w:rsidRPr="00F200E7">
        <w:rPr>
          <w:rFonts w:ascii="Book Antiqua" w:hAnsi="Book Antiqua"/>
          <w:lang w:val="en-GB"/>
        </w:rPr>
        <w:t>e</w:t>
      </w:r>
      <w:r w:rsidRPr="00F200E7">
        <w:rPr>
          <w:rFonts w:ascii="Book Antiqua" w:hAnsi="Book Antiqua"/>
          <w:lang w:val="en-GB"/>
        </w:rPr>
        <w:t xml:space="preserve"> only to coffee exports</w:t>
      </w:r>
      <w:r w:rsidR="00FB5615">
        <w:rPr>
          <w:rFonts w:ascii="Book Antiqua" w:hAnsi="Book Antiqua"/>
          <w:lang w:val="en-GB"/>
        </w:rPr>
        <w:t xml:space="preserve"> </w:t>
      </w:r>
      <w:r w:rsidR="00D8755F">
        <w:rPr>
          <w:rFonts w:ascii="Book Antiqua" w:hAnsi="Book Antiqua"/>
          <w:lang w:val="en-GB"/>
        </w:rPr>
        <w:t xml:space="preserve">and cardamom exports </w:t>
      </w:r>
      <w:r w:rsidR="00311C72">
        <w:rPr>
          <w:rFonts w:ascii="Book Antiqua" w:hAnsi="Book Antiqua"/>
          <w:lang w:val="en-GB"/>
        </w:rPr>
        <w:t xml:space="preserve">if a cut off rate of </w:t>
      </w:r>
      <w:r w:rsidR="00D8755F">
        <w:rPr>
          <w:rFonts w:ascii="Book Antiqua" w:hAnsi="Book Antiqua"/>
          <w:lang w:val="en-GB"/>
        </w:rPr>
        <w:t>10</w:t>
      </w:r>
      <w:r w:rsidR="00311C72">
        <w:rPr>
          <w:rFonts w:ascii="Book Antiqua" w:hAnsi="Book Antiqua"/>
          <w:lang w:val="en-GB"/>
        </w:rPr>
        <w:t xml:space="preserve"> per cent is used</w:t>
      </w:r>
      <w:r w:rsidR="00D8755F">
        <w:rPr>
          <w:rFonts w:ascii="Book Antiqua" w:hAnsi="Book Antiqua"/>
          <w:lang w:val="en-GB"/>
        </w:rPr>
        <w:t>. The relationship is positive in the case of coffee and negative in the case of cardamom. For the other two</w:t>
      </w:r>
      <w:r w:rsidRPr="00F200E7">
        <w:rPr>
          <w:rFonts w:ascii="Book Antiqua" w:hAnsi="Book Antiqua"/>
          <w:lang w:val="en-GB"/>
        </w:rPr>
        <w:t xml:space="preserve"> variables, no relation</w:t>
      </w:r>
      <w:r w:rsidR="007B2E90" w:rsidRPr="00F200E7">
        <w:rPr>
          <w:rFonts w:ascii="Book Antiqua" w:hAnsi="Book Antiqua"/>
          <w:lang w:val="en-GB"/>
        </w:rPr>
        <w:t>ship</w:t>
      </w:r>
      <w:r w:rsidRPr="00F200E7">
        <w:rPr>
          <w:rFonts w:ascii="Book Antiqua" w:hAnsi="Book Antiqua"/>
          <w:lang w:val="en-GB"/>
        </w:rPr>
        <w:t xml:space="preserve"> could be established.</w:t>
      </w:r>
      <w:r w:rsidR="00311C72">
        <w:rPr>
          <w:rStyle w:val="FootnoteReference"/>
          <w:rFonts w:ascii="Book Antiqua" w:hAnsi="Book Antiqua"/>
          <w:lang w:val="en-GB"/>
        </w:rPr>
        <w:footnoteReference w:id="23"/>
      </w:r>
      <w:r w:rsidR="00FD09F0">
        <w:rPr>
          <w:rFonts w:ascii="Book Antiqua" w:hAnsi="Book Antiqua"/>
          <w:lang w:val="en-GB"/>
        </w:rPr>
        <w:t xml:space="preserve"> </w:t>
      </w:r>
      <w:r w:rsidRPr="00F200E7">
        <w:rPr>
          <w:rFonts w:ascii="Book Antiqua" w:hAnsi="Book Antiqua"/>
          <w:lang w:val="en-GB"/>
        </w:rPr>
        <w:t xml:space="preserve">The results of the estimations provide the following scenario: </w:t>
      </w:r>
      <w:r w:rsidR="007B2E90" w:rsidRPr="00F200E7">
        <w:rPr>
          <w:rFonts w:ascii="Book Antiqua" w:hAnsi="Book Antiqua"/>
          <w:lang w:val="en-GB"/>
        </w:rPr>
        <w:t>T</w:t>
      </w:r>
      <w:r w:rsidRPr="00F200E7">
        <w:rPr>
          <w:rFonts w:ascii="Book Antiqua" w:hAnsi="Book Antiqua"/>
          <w:lang w:val="en-GB"/>
        </w:rPr>
        <w:t>he signing of DR</w:t>
      </w:r>
      <w:r w:rsidR="00E65CED" w:rsidRPr="00F200E7">
        <w:rPr>
          <w:rFonts w:ascii="Book Antiqua" w:hAnsi="Book Antiqua"/>
          <w:lang w:val="en-GB"/>
        </w:rPr>
        <w:t>–</w:t>
      </w:r>
      <w:r w:rsidRPr="00F200E7">
        <w:rPr>
          <w:rFonts w:ascii="Book Antiqua" w:hAnsi="Book Antiqua"/>
          <w:lang w:val="en-GB"/>
        </w:rPr>
        <w:t xml:space="preserve">CAFTA improved formal employment </w:t>
      </w:r>
      <w:r w:rsidR="007B2E90" w:rsidRPr="00F200E7">
        <w:rPr>
          <w:rFonts w:ascii="Book Antiqua" w:hAnsi="Book Antiqua"/>
          <w:lang w:val="en-GB"/>
        </w:rPr>
        <w:t xml:space="preserve">by moderating </w:t>
      </w:r>
      <w:r w:rsidRPr="00F200E7">
        <w:rPr>
          <w:rFonts w:ascii="Book Antiqua" w:hAnsi="Book Antiqua"/>
          <w:lang w:val="en-GB"/>
        </w:rPr>
        <w:t xml:space="preserve">the negative trend that this variable had exhibited during the first half of the decade. </w:t>
      </w:r>
      <w:r w:rsidR="005E5393">
        <w:rPr>
          <w:rFonts w:ascii="Book Antiqua" w:hAnsi="Book Antiqua"/>
          <w:lang w:val="en-GB"/>
        </w:rPr>
        <w:t>T</w:t>
      </w:r>
      <w:r w:rsidRPr="00F200E7">
        <w:rPr>
          <w:rFonts w:ascii="Book Antiqua" w:hAnsi="Book Antiqua"/>
          <w:lang w:val="en-GB"/>
        </w:rPr>
        <w:t xml:space="preserve">he agricultural export that most contributed to job creation was coffee. </w:t>
      </w:r>
    </w:p>
    <w:p w:rsidR="00ED1005" w:rsidRPr="00F200E7" w:rsidRDefault="00AF45BA" w:rsidP="0032057B">
      <w:pPr>
        <w:pStyle w:val="Heading2"/>
      </w:pPr>
      <w:bookmarkStart w:id="167" w:name="_Toc336607519"/>
      <w:bookmarkStart w:id="168" w:name="_Toc333837994"/>
      <w:r>
        <w:t>6.</w:t>
      </w:r>
      <w:r w:rsidR="00116FF7">
        <w:t>5</w:t>
      </w:r>
      <w:r w:rsidR="00554D37" w:rsidRPr="00F200E7">
        <w:t>.2</w:t>
      </w:r>
      <w:r w:rsidR="00554D37" w:rsidRPr="00F200E7">
        <w:tab/>
      </w:r>
      <w:r w:rsidR="00ED1005" w:rsidRPr="00F200E7">
        <w:t>Social Accounting Matrix</w:t>
      </w:r>
      <w:bookmarkEnd w:id="167"/>
      <w:bookmarkEnd w:id="168"/>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 </w:t>
      </w:r>
      <w:r w:rsidR="00554D37" w:rsidRPr="00F200E7">
        <w:rPr>
          <w:rFonts w:ascii="Book Antiqua" w:hAnsi="Book Antiqua"/>
          <w:lang w:val="en-GB"/>
        </w:rPr>
        <w:t>s</w:t>
      </w:r>
      <w:r w:rsidRPr="00F200E7">
        <w:rPr>
          <w:rFonts w:ascii="Book Antiqua" w:hAnsi="Book Antiqua"/>
          <w:lang w:val="en-GB"/>
        </w:rPr>
        <w:t xml:space="preserve">ocial </w:t>
      </w:r>
      <w:r w:rsidR="00554D37" w:rsidRPr="00F200E7">
        <w:rPr>
          <w:rFonts w:ascii="Book Antiqua" w:hAnsi="Book Antiqua"/>
          <w:lang w:val="en-GB"/>
        </w:rPr>
        <w:t>a</w:t>
      </w:r>
      <w:r w:rsidRPr="00F200E7">
        <w:rPr>
          <w:rFonts w:ascii="Book Antiqua" w:hAnsi="Book Antiqua"/>
          <w:lang w:val="en-GB"/>
        </w:rPr>
        <w:t xml:space="preserve">ccounting </w:t>
      </w:r>
      <w:r w:rsidR="00554D37" w:rsidRPr="00F200E7">
        <w:rPr>
          <w:rFonts w:ascii="Book Antiqua" w:hAnsi="Book Antiqua"/>
          <w:lang w:val="en-GB"/>
        </w:rPr>
        <w:t>m</w:t>
      </w:r>
      <w:r w:rsidRPr="00F200E7">
        <w:rPr>
          <w:rFonts w:ascii="Book Antiqua" w:hAnsi="Book Antiqua"/>
          <w:lang w:val="en-GB"/>
        </w:rPr>
        <w:t xml:space="preserve">atrix (SAM) is a </w:t>
      </w:r>
      <w:r w:rsidR="00554D37" w:rsidRPr="00F200E7">
        <w:rPr>
          <w:rFonts w:ascii="Book Antiqua" w:hAnsi="Book Antiqua"/>
          <w:lang w:val="en-GB"/>
        </w:rPr>
        <w:t>broad</w:t>
      </w:r>
      <w:r w:rsidRPr="00F200E7">
        <w:rPr>
          <w:rFonts w:ascii="Book Antiqua" w:hAnsi="Book Antiqua"/>
          <w:lang w:val="en-GB"/>
        </w:rPr>
        <w:t xml:space="preserve"> framework of economic data that represents the economy of a nation. It is set out like a square matrix whose value lies in double entry bookkeeping; debits </w:t>
      </w:r>
      <w:r w:rsidR="00554D37" w:rsidRPr="00F200E7">
        <w:rPr>
          <w:rFonts w:ascii="Book Antiqua" w:hAnsi="Book Antiqua"/>
          <w:lang w:val="en-GB"/>
        </w:rPr>
        <w:t xml:space="preserve">in </w:t>
      </w:r>
      <w:r w:rsidRPr="00F200E7">
        <w:rPr>
          <w:rFonts w:ascii="Book Antiqua" w:hAnsi="Book Antiqua"/>
          <w:lang w:val="en-GB"/>
        </w:rPr>
        <w:t>any account are reflected along a row</w:t>
      </w:r>
      <w:r w:rsidR="00554D37" w:rsidRPr="00F200E7">
        <w:rPr>
          <w:rFonts w:ascii="Book Antiqua" w:hAnsi="Book Antiqua"/>
          <w:lang w:val="en-GB"/>
        </w:rPr>
        <w:t>,</w:t>
      </w:r>
      <w:r w:rsidRPr="00F200E7">
        <w:rPr>
          <w:rFonts w:ascii="Book Antiqua" w:hAnsi="Book Antiqua"/>
          <w:lang w:val="en-GB"/>
        </w:rPr>
        <w:t xml:space="preserve"> while the credits for the same account are reflected in a column.</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For the different national accounts, </w:t>
      </w:r>
      <w:r w:rsidR="00554D37" w:rsidRPr="00F200E7">
        <w:rPr>
          <w:rFonts w:ascii="Book Antiqua" w:hAnsi="Book Antiqua"/>
          <w:lang w:val="en-GB"/>
        </w:rPr>
        <w:t xml:space="preserve">a SAM </w:t>
      </w:r>
      <w:r w:rsidR="00111BFB" w:rsidRPr="00F200E7">
        <w:rPr>
          <w:rFonts w:ascii="Book Antiqua" w:hAnsi="Book Antiqua"/>
          <w:lang w:val="en-GB"/>
        </w:rPr>
        <w:t>reports information on</w:t>
      </w:r>
      <w:r w:rsidR="00FB5615">
        <w:rPr>
          <w:rFonts w:ascii="Book Antiqua" w:hAnsi="Book Antiqua"/>
          <w:lang w:val="en-GB"/>
        </w:rPr>
        <w:t xml:space="preserve"> </w:t>
      </w:r>
      <w:r w:rsidR="00AF45BA">
        <w:rPr>
          <w:rFonts w:ascii="Book Antiqua" w:hAnsi="Book Antiqua"/>
          <w:lang w:val="en-GB"/>
        </w:rPr>
        <w:t>production</w:t>
      </w:r>
      <w:r w:rsidRPr="00F200E7">
        <w:rPr>
          <w:rFonts w:ascii="Book Antiqua" w:hAnsi="Book Antiqua"/>
          <w:lang w:val="en-GB"/>
        </w:rPr>
        <w:t xml:space="preserve">, local and international demand, </w:t>
      </w:r>
      <w:r w:rsidR="00554D37" w:rsidRPr="00F200E7">
        <w:rPr>
          <w:rFonts w:ascii="Book Antiqua" w:hAnsi="Book Antiqua"/>
          <w:lang w:val="en-GB"/>
        </w:rPr>
        <w:t xml:space="preserve">and </w:t>
      </w:r>
      <w:r w:rsidRPr="00F200E7">
        <w:rPr>
          <w:rFonts w:ascii="Book Antiqua" w:hAnsi="Book Antiqua"/>
          <w:lang w:val="en-GB"/>
        </w:rPr>
        <w:t xml:space="preserve">the components of </w:t>
      </w:r>
      <w:r w:rsidR="00111BFB" w:rsidRPr="00F200E7">
        <w:rPr>
          <w:rFonts w:ascii="Book Antiqua" w:hAnsi="Book Antiqua"/>
          <w:lang w:val="en-GB"/>
        </w:rPr>
        <w:t xml:space="preserve">value </w:t>
      </w:r>
      <w:r w:rsidRPr="00F200E7">
        <w:rPr>
          <w:rFonts w:ascii="Book Antiqua" w:hAnsi="Book Antiqua"/>
          <w:lang w:val="en-GB"/>
        </w:rPr>
        <w:t>added (</w:t>
      </w:r>
      <w:r w:rsidR="00AF45BA">
        <w:rPr>
          <w:rFonts w:ascii="Book Antiqua" w:hAnsi="Book Antiqua"/>
          <w:lang w:val="en-GB"/>
        </w:rPr>
        <w:t xml:space="preserve">i.e., </w:t>
      </w:r>
      <w:r w:rsidRPr="00F200E7">
        <w:rPr>
          <w:rFonts w:ascii="Book Antiqua" w:hAnsi="Book Antiqua"/>
          <w:lang w:val="en-GB"/>
        </w:rPr>
        <w:t>wages, capital</w:t>
      </w:r>
      <w:r w:rsidR="00AF45BA">
        <w:rPr>
          <w:rFonts w:ascii="Book Antiqua" w:hAnsi="Book Antiqua"/>
          <w:lang w:val="en-GB"/>
        </w:rPr>
        <w:t xml:space="preserve"> return</w:t>
      </w:r>
      <w:r w:rsidRPr="00F200E7">
        <w:rPr>
          <w:rFonts w:ascii="Book Antiqua" w:hAnsi="Book Antiqua"/>
          <w:lang w:val="en-GB"/>
        </w:rPr>
        <w:t>)</w:t>
      </w:r>
      <w:r w:rsidR="00D8755F">
        <w:rPr>
          <w:rFonts w:ascii="Book Antiqua" w:hAnsi="Book Antiqua"/>
          <w:lang w:val="en-GB"/>
        </w:rPr>
        <w:t>. I</w:t>
      </w:r>
      <w:r w:rsidRPr="00F200E7">
        <w:rPr>
          <w:rFonts w:ascii="Book Antiqua" w:hAnsi="Book Antiqua"/>
          <w:lang w:val="en-GB"/>
        </w:rPr>
        <w:t>t includes households as an important component of the economy.</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Because of </w:t>
      </w:r>
      <w:r w:rsidR="00690650">
        <w:rPr>
          <w:rFonts w:ascii="Book Antiqua" w:hAnsi="Book Antiqua"/>
          <w:lang w:val="en-GB"/>
        </w:rPr>
        <w:t>their</w:t>
      </w:r>
      <w:r w:rsidR="00FB5615">
        <w:rPr>
          <w:rFonts w:ascii="Book Antiqua" w:hAnsi="Book Antiqua"/>
          <w:lang w:val="en-GB"/>
        </w:rPr>
        <w:t xml:space="preserve"> </w:t>
      </w:r>
      <w:r w:rsidRPr="00F200E7">
        <w:rPr>
          <w:rFonts w:ascii="Book Antiqua" w:hAnsi="Book Antiqua"/>
          <w:lang w:val="en-GB"/>
        </w:rPr>
        <w:t xml:space="preserve">versatility, these types of matrices are used to determine the possible economic effects of public policies and external shocks. Additionally, the matrices are essential for the calibration of </w:t>
      </w:r>
      <w:r w:rsidR="007539D4" w:rsidRPr="00F200E7">
        <w:rPr>
          <w:rFonts w:ascii="Book Antiqua" w:hAnsi="Book Antiqua"/>
          <w:lang w:val="en-GB"/>
        </w:rPr>
        <w:t xml:space="preserve">a </w:t>
      </w:r>
      <w:r w:rsidRPr="00F200E7">
        <w:rPr>
          <w:rFonts w:ascii="Book Antiqua" w:hAnsi="Book Antiqua"/>
          <w:lang w:val="en-GB"/>
        </w:rPr>
        <w:t xml:space="preserve">computable general equilibrium </w:t>
      </w:r>
      <w:r w:rsidR="00F66304" w:rsidRPr="00F200E7">
        <w:rPr>
          <w:rFonts w:ascii="Book Antiqua" w:hAnsi="Book Antiqua"/>
          <w:lang w:val="en-GB"/>
        </w:rPr>
        <w:t xml:space="preserve">(CGE) </w:t>
      </w:r>
      <w:r w:rsidRPr="00F200E7">
        <w:rPr>
          <w:rFonts w:ascii="Book Antiqua" w:hAnsi="Book Antiqua"/>
          <w:lang w:val="en-GB"/>
        </w:rPr>
        <w:t>model, a tool that is increasingly being used for macroeconomic simulations.</w:t>
      </w:r>
      <w:r w:rsidR="00AF45BA" w:rsidRPr="00F200E7">
        <w:rPr>
          <w:rStyle w:val="FootnoteReference"/>
          <w:rFonts w:ascii="Book Antiqua" w:hAnsi="Book Antiqua"/>
          <w:lang w:val="en-GB"/>
        </w:rPr>
        <w:footnoteReference w:id="24"/>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Constructing a SAM for a developing country is not an easy task; sufficient information must exist about production and consumption of goods and services, government income and its expenditure, balance of payments, and household incomes (all this with a high level of disaggregation). </w:t>
      </w:r>
      <w:r w:rsidR="007539D4" w:rsidRPr="00F200E7">
        <w:rPr>
          <w:rFonts w:ascii="Book Antiqua" w:hAnsi="Book Antiqua"/>
          <w:lang w:val="en-GB"/>
        </w:rPr>
        <w:t xml:space="preserve">Furthermore, </w:t>
      </w:r>
      <w:r w:rsidRPr="00F200E7">
        <w:rPr>
          <w:rFonts w:ascii="Book Antiqua" w:hAnsi="Book Antiqua"/>
          <w:lang w:val="en-GB"/>
        </w:rPr>
        <w:t>the availability of this information is not sufficient for the construction of a SAM</w:t>
      </w:r>
      <w:r w:rsidR="007539D4" w:rsidRPr="00F200E7">
        <w:rPr>
          <w:rFonts w:ascii="Book Antiqua" w:hAnsi="Book Antiqua"/>
          <w:lang w:val="en-GB"/>
        </w:rPr>
        <w:t>;</w:t>
      </w:r>
      <w:r w:rsidRPr="00F200E7">
        <w:rPr>
          <w:rFonts w:ascii="Book Antiqua" w:hAnsi="Book Antiqua"/>
          <w:lang w:val="en-GB"/>
        </w:rPr>
        <w:t xml:space="preserve"> also</w:t>
      </w:r>
      <w:r w:rsidR="007539D4" w:rsidRPr="00F200E7">
        <w:rPr>
          <w:rFonts w:ascii="Book Antiqua" w:hAnsi="Book Antiqua"/>
          <w:lang w:val="en-GB"/>
        </w:rPr>
        <w:t>,</w:t>
      </w:r>
      <w:r w:rsidRPr="00F200E7">
        <w:rPr>
          <w:rFonts w:ascii="Book Antiqua" w:hAnsi="Book Antiqua"/>
          <w:lang w:val="en-GB"/>
        </w:rPr>
        <w:t xml:space="preserve"> the information</w:t>
      </w:r>
      <w:r w:rsidR="007539D4" w:rsidRPr="00F200E7">
        <w:rPr>
          <w:rFonts w:ascii="Book Antiqua" w:hAnsi="Book Antiqua"/>
          <w:lang w:val="en-GB"/>
        </w:rPr>
        <w:t xml:space="preserve"> must be</w:t>
      </w:r>
      <w:r w:rsidRPr="00F200E7">
        <w:rPr>
          <w:rFonts w:ascii="Book Antiqua" w:hAnsi="Book Antiqua"/>
          <w:lang w:val="en-GB"/>
        </w:rPr>
        <w:t xml:space="preserve"> consistent, </w:t>
      </w:r>
      <w:r w:rsidR="007539D4" w:rsidRPr="00F200E7">
        <w:rPr>
          <w:rFonts w:ascii="Book Antiqua" w:hAnsi="Book Antiqua"/>
          <w:lang w:val="en-GB"/>
        </w:rPr>
        <w:t xml:space="preserve">or else </w:t>
      </w:r>
      <w:r w:rsidRPr="00F200E7">
        <w:rPr>
          <w:rFonts w:ascii="Book Antiqua" w:hAnsi="Book Antiqua"/>
          <w:lang w:val="en-GB"/>
        </w:rPr>
        <w:t>it is impossible to construct a balanced matrix.</w:t>
      </w:r>
    </w:p>
    <w:p w:rsidR="00ED1005" w:rsidRPr="00AF45BA" w:rsidRDefault="00AF45BA" w:rsidP="003F5348">
      <w:pPr>
        <w:pStyle w:val="Heading3"/>
        <w:rPr>
          <w:color w:val="auto"/>
        </w:rPr>
      </w:pPr>
      <w:bookmarkStart w:id="169" w:name="_Toc336607520"/>
      <w:r w:rsidRPr="00AF45BA">
        <w:rPr>
          <w:color w:val="auto"/>
        </w:rPr>
        <w:t>6.</w:t>
      </w:r>
      <w:r w:rsidR="00116FF7">
        <w:rPr>
          <w:color w:val="auto"/>
        </w:rPr>
        <w:t>5</w:t>
      </w:r>
      <w:r w:rsidR="007539D4" w:rsidRPr="00AF45BA">
        <w:rPr>
          <w:color w:val="auto"/>
        </w:rPr>
        <w:t>.2.1</w:t>
      </w:r>
      <w:r w:rsidR="007539D4" w:rsidRPr="00AF45BA">
        <w:rPr>
          <w:color w:val="auto"/>
        </w:rPr>
        <w:tab/>
      </w:r>
      <w:r w:rsidR="00ED1005" w:rsidRPr="00AF45BA">
        <w:rPr>
          <w:color w:val="auto"/>
        </w:rPr>
        <w:t>Social Accounting Matrix Used</w:t>
      </w:r>
      <w:bookmarkEnd w:id="169"/>
    </w:p>
    <w:p w:rsidR="0059579D" w:rsidRDefault="00F15B2E" w:rsidP="00D8755F">
      <w:pPr>
        <w:pStyle w:val="NoSpacing"/>
        <w:jc w:val="both"/>
        <w:rPr>
          <w:rFonts w:ascii="Book Antiqua" w:hAnsi="Book Antiqua"/>
          <w:lang w:val="en-GB"/>
        </w:rPr>
      </w:pPr>
      <w:r w:rsidRPr="00F15B2E">
        <w:rPr>
          <w:rFonts w:ascii="Book Antiqua" w:hAnsi="Book Antiqua"/>
          <w:lang w:val="en-GB"/>
        </w:rPr>
        <w:t>For this study a macroeconomic SAM and a microeconomic SAM were constructed, using the matrices developed by Cabrera et al. (2009)</w:t>
      </w:r>
      <w:r w:rsidR="00D61E09">
        <w:rPr>
          <w:rFonts w:ascii="Book Antiqua" w:hAnsi="Book Antiqua"/>
          <w:lang w:val="en-GB"/>
        </w:rPr>
        <w:t xml:space="preserve"> from </w:t>
      </w:r>
      <w:r w:rsidR="00D61E09" w:rsidRPr="00F15B2E">
        <w:rPr>
          <w:rFonts w:ascii="Book Antiqua" w:hAnsi="Book Antiqua"/>
          <w:lang w:val="en-GB"/>
        </w:rPr>
        <w:t xml:space="preserve">the </w:t>
      </w:r>
      <w:proofErr w:type="spellStart"/>
      <w:r w:rsidR="00D61E09" w:rsidRPr="00F15B2E">
        <w:rPr>
          <w:rFonts w:ascii="Book Antiqua" w:hAnsi="Book Antiqua"/>
          <w:lang w:val="en-GB"/>
        </w:rPr>
        <w:t>Instituto</w:t>
      </w:r>
      <w:proofErr w:type="spellEnd"/>
      <w:r w:rsidR="00D61E09" w:rsidRPr="00F15B2E">
        <w:rPr>
          <w:rFonts w:ascii="Book Antiqua" w:hAnsi="Book Antiqua"/>
          <w:lang w:val="en-GB"/>
        </w:rPr>
        <w:t xml:space="preserve"> </w:t>
      </w:r>
      <w:proofErr w:type="spellStart"/>
      <w:r w:rsidR="00D61E09" w:rsidRPr="00F15B2E">
        <w:rPr>
          <w:rFonts w:ascii="Book Antiqua" w:hAnsi="Book Antiqua"/>
          <w:lang w:val="en-GB"/>
        </w:rPr>
        <w:t>Centroamericano</w:t>
      </w:r>
      <w:proofErr w:type="spellEnd"/>
      <w:r w:rsidR="00D61E09" w:rsidRPr="00F15B2E">
        <w:rPr>
          <w:rFonts w:ascii="Book Antiqua" w:hAnsi="Book Antiqua"/>
          <w:lang w:val="en-GB"/>
        </w:rPr>
        <w:t xml:space="preserve"> de </w:t>
      </w:r>
      <w:proofErr w:type="spellStart"/>
      <w:r w:rsidR="00D61E09" w:rsidRPr="00F15B2E">
        <w:rPr>
          <w:rFonts w:ascii="Book Antiqua" w:hAnsi="Book Antiqua"/>
          <w:lang w:val="en-GB"/>
        </w:rPr>
        <w:t>Estudios</w:t>
      </w:r>
      <w:proofErr w:type="spellEnd"/>
      <w:r w:rsidR="00D61E09" w:rsidRPr="00F15B2E">
        <w:rPr>
          <w:rFonts w:ascii="Book Antiqua" w:hAnsi="Book Antiqua"/>
          <w:lang w:val="en-GB"/>
        </w:rPr>
        <w:t xml:space="preserve"> </w:t>
      </w:r>
      <w:proofErr w:type="spellStart"/>
      <w:r w:rsidR="00D61E09" w:rsidRPr="00F15B2E">
        <w:rPr>
          <w:rFonts w:ascii="Book Antiqua" w:hAnsi="Book Antiqua"/>
          <w:lang w:val="en-GB"/>
        </w:rPr>
        <w:t>Fiscales</w:t>
      </w:r>
      <w:proofErr w:type="spellEnd"/>
      <w:r w:rsidR="00D61E09" w:rsidRPr="00F15B2E">
        <w:rPr>
          <w:rFonts w:ascii="Book Antiqua" w:hAnsi="Book Antiqua"/>
          <w:lang w:val="en-GB"/>
        </w:rPr>
        <w:t xml:space="preserve"> (ICEFI)</w:t>
      </w:r>
      <w:r w:rsidRPr="00F15B2E">
        <w:rPr>
          <w:rFonts w:ascii="Book Antiqua" w:hAnsi="Book Antiqua"/>
          <w:lang w:val="en-GB"/>
        </w:rPr>
        <w:t>. However, to satisfy the objectives of the study, several changes were made to the SAMs published by</w:t>
      </w:r>
      <w:r w:rsidR="00FB5615">
        <w:rPr>
          <w:rFonts w:ascii="Book Antiqua" w:hAnsi="Book Antiqua"/>
          <w:lang w:val="en-GB"/>
        </w:rPr>
        <w:t xml:space="preserve"> </w:t>
      </w:r>
      <w:r w:rsidR="004801DD">
        <w:rPr>
          <w:rFonts w:ascii="Book Antiqua" w:hAnsi="Book Antiqua"/>
          <w:lang w:val="en-GB"/>
        </w:rPr>
        <w:t xml:space="preserve">the </w:t>
      </w:r>
      <w:r w:rsidR="00D61E09">
        <w:rPr>
          <w:rFonts w:ascii="Book Antiqua" w:hAnsi="Book Antiqua"/>
          <w:lang w:val="en-GB"/>
        </w:rPr>
        <w:t>ICEFI</w:t>
      </w:r>
      <w:r w:rsidRPr="00F15B2E">
        <w:rPr>
          <w:rFonts w:ascii="Book Antiqua" w:hAnsi="Book Antiqua"/>
          <w:lang w:val="en-GB"/>
        </w:rPr>
        <w:t xml:space="preserve">. </w:t>
      </w:r>
      <w:r w:rsidR="00690650">
        <w:rPr>
          <w:rFonts w:ascii="Book Antiqua" w:hAnsi="Book Antiqua"/>
          <w:lang w:val="en-GB"/>
        </w:rPr>
        <w:t>T</w:t>
      </w:r>
      <w:r>
        <w:rPr>
          <w:rFonts w:ascii="Book Antiqua" w:hAnsi="Book Antiqua"/>
          <w:lang w:val="en-GB"/>
        </w:rPr>
        <w:t>he</w:t>
      </w:r>
      <w:r w:rsidR="00FB5615">
        <w:rPr>
          <w:rFonts w:ascii="Book Antiqua" w:hAnsi="Book Antiqua"/>
          <w:lang w:val="en-GB"/>
        </w:rPr>
        <w:t xml:space="preserve"> </w:t>
      </w:r>
      <w:r>
        <w:rPr>
          <w:rFonts w:ascii="Book Antiqua" w:hAnsi="Book Antiqua"/>
          <w:lang w:val="en-GB"/>
        </w:rPr>
        <w:t xml:space="preserve">main modification </w:t>
      </w:r>
      <w:r w:rsidR="00D61E09">
        <w:rPr>
          <w:rFonts w:ascii="Book Antiqua" w:hAnsi="Book Antiqua"/>
          <w:lang w:val="en-GB"/>
        </w:rPr>
        <w:t>was to value transactions within the</w:t>
      </w:r>
      <w:r w:rsidR="00D61E09" w:rsidRPr="00F200E7">
        <w:rPr>
          <w:rFonts w:ascii="Book Antiqua" w:hAnsi="Book Antiqua"/>
          <w:lang w:val="en-GB"/>
        </w:rPr>
        <w:t xml:space="preserve"> rows and columns of activities and products</w:t>
      </w:r>
      <w:r w:rsidR="00D61E09">
        <w:rPr>
          <w:rFonts w:ascii="Book Antiqua" w:hAnsi="Book Antiqua"/>
          <w:lang w:val="en-GB"/>
        </w:rPr>
        <w:t xml:space="preserve"> using </w:t>
      </w:r>
      <w:r w:rsidR="00D8755F">
        <w:rPr>
          <w:rFonts w:ascii="Book Antiqua" w:hAnsi="Book Antiqua"/>
          <w:lang w:val="en-GB"/>
        </w:rPr>
        <w:t>'</w:t>
      </w:r>
      <w:r w:rsidR="00D61E09">
        <w:rPr>
          <w:rFonts w:ascii="Book Antiqua" w:hAnsi="Book Antiqua"/>
          <w:lang w:val="en-GB"/>
        </w:rPr>
        <w:t>basic prices</w:t>
      </w:r>
      <w:r w:rsidR="00D8755F">
        <w:rPr>
          <w:rFonts w:ascii="Book Antiqua" w:hAnsi="Book Antiqua"/>
          <w:lang w:val="en-GB"/>
        </w:rPr>
        <w:t>'</w:t>
      </w:r>
      <w:r w:rsidR="00D61E09">
        <w:rPr>
          <w:rFonts w:ascii="Book Antiqua" w:hAnsi="Book Antiqua"/>
          <w:lang w:val="en-GB"/>
        </w:rPr>
        <w:t xml:space="preserve">. This modification </w:t>
      </w:r>
      <w:r w:rsidR="00ED1005" w:rsidRPr="00F200E7">
        <w:rPr>
          <w:rFonts w:ascii="Book Antiqua" w:hAnsi="Book Antiqua"/>
          <w:lang w:val="en-GB"/>
        </w:rPr>
        <w:t xml:space="preserve">allows for a homogeneous valuation of intermediate and final demand for domestic products, as </w:t>
      </w:r>
      <w:proofErr w:type="spellStart"/>
      <w:r w:rsidR="00ED1005" w:rsidRPr="00F200E7">
        <w:rPr>
          <w:rFonts w:ascii="Book Antiqua" w:hAnsi="Book Antiqua"/>
          <w:lang w:val="en-GB"/>
        </w:rPr>
        <w:t>Pyatt</w:t>
      </w:r>
      <w:proofErr w:type="spellEnd"/>
      <w:r w:rsidR="00ED1005" w:rsidRPr="00F200E7">
        <w:rPr>
          <w:rFonts w:ascii="Book Antiqua" w:hAnsi="Book Antiqua"/>
          <w:lang w:val="en-GB"/>
        </w:rPr>
        <w:t xml:space="preserve"> </w:t>
      </w:r>
      <w:r w:rsidR="00EC6FE3">
        <w:rPr>
          <w:rFonts w:ascii="Book Antiqua" w:hAnsi="Book Antiqua"/>
          <w:lang w:val="en-GB"/>
        </w:rPr>
        <w:t xml:space="preserve">and </w:t>
      </w:r>
      <w:proofErr w:type="spellStart"/>
      <w:r w:rsidR="00EC6FE3">
        <w:rPr>
          <w:rFonts w:ascii="Book Antiqua" w:hAnsi="Book Antiqua"/>
          <w:lang w:val="en-GB"/>
        </w:rPr>
        <w:t>Thorbecke</w:t>
      </w:r>
      <w:proofErr w:type="spellEnd"/>
      <w:r w:rsidR="00ED1005" w:rsidRPr="00F200E7">
        <w:rPr>
          <w:rFonts w:ascii="Book Antiqua" w:hAnsi="Book Antiqua"/>
          <w:lang w:val="en-GB"/>
        </w:rPr>
        <w:t xml:space="preserve"> (1976) recommend.</w:t>
      </w:r>
      <w:r w:rsidR="00FB5615">
        <w:rPr>
          <w:rFonts w:ascii="Book Antiqua" w:hAnsi="Book Antiqua"/>
          <w:lang w:val="en-GB"/>
        </w:rPr>
        <w:t xml:space="preserve"> </w:t>
      </w:r>
      <w:r w:rsidR="00D8755F">
        <w:rPr>
          <w:rFonts w:ascii="Book Antiqua" w:hAnsi="Book Antiqua"/>
          <w:lang w:val="en-GB"/>
        </w:rPr>
        <w:t>The</w:t>
      </w:r>
      <w:r w:rsidR="00ED1005" w:rsidRPr="00F200E7">
        <w:rPr>
          <w:rFonts w:ascii="Book Antiqua" w:hAnsi="Book Antiqua"/>
          <w:lang w:val="en-GB"/>
        </w:rPr>
        <w:t xml:space="preserve"> formula for basic prices </w:t>
      </w:r>
      <w:r w:rsidR="00D8755F">
        <w:rPr>
          <w:rFonts w:ascii="Book Antiqua" w:hAnsi="Book Antiqua"/>
          <w:lang w:val="en-GB"/>
        </w:rPr>
        <w:t xml:space="preserve">used </w:t>
      </w:r>
      <w:r w:rsidR="00ED1005" w:rsidRPr="00F200E7">
        <w:rPr>
          <w:rFonts w:ascii="Book Antiqua" w:hAnsi="Book Antiqua"/>
          <w:lang w:val="en-GB"/>
        </w:rPr>
        <w:t xml:space="preserve">is </w:t>
      </w:r>
      <w:r w:rsidR="005E51BA">
        <w:rPr>
          <w:rFonts w:ascii="Book Antiqua" w:hAnsi="Book Antiqua"/>
          <w:lang w:val="en-GB"/>
        </w:rPr>
        <w:t>as follows</w:t>
      </w:r>
      <w:r w:rsidR="00ED1005" w:rsidRPr="00F200E7">
        <w:rPr>
          <w:rFonts w:ascii="Book Antiqua" w:hAnsi="Book Antiqua"/>
          <w:lang w:val="en-GB"/>
        </w:rPr>
        <w:t>:</w:t>
      </w:r>
    </w:p>
    <w:p w:rsidR="00D61E09" w:rsidRDefault="00D61E09" w:rsidP="00ED1005">
      <w:pPr>
        <w:pStyle w:val="NoSpacing"/>
        <w:ind w:left="720"/>
        <w:jc w:val="both"/>
        <w:rPr>
          <w:rFonts w:ascii="Book Antiqua" w:hAnsi="Book Antiqua"/>
          <w:lang w:val="en-GB"/>
        </w:rPr>
      </w:pPr>
    </w:p>
    <w:p w:rsidR="0059579D" w:rsidRPr="00D8755F" w:rsidRDefault="00E760D5" w:rsidP="00D8755F">
      <w:pPr>
        <w:pStyle w:val="NoSpacing"/>
        <w:jc w:val="both"/>
        <w:rPr>
          <w:rFonts w:ascii="Book Antiqua" w:hAnsi="Book Antiqua"/>
          <w:i/>
          <w:sz w:val="20"/>
          <w:szCs w:val="20"/>
          <w:lang w:val="en-GB"/>
        </w:rPr>
      </w:pPr>
      <w:r w:rsidRPr="00D8755F">
        <w:rPr>
          <w:rFonts w:ascii="Book Antiqua" w:hAnsi="Book Antiqua"/>
          <w:i/>
          <w:sz w:val="20"/>
          <w:szCs w:val="20"/>
          <w:lang w:val="en-GB"/>
        </w:rPr>
        <w:t>Basic price = buyer’s price − product taxes with subsidies deduc</w:t>
      </w:r>
      <w:r w:rsidR="00D10F9D">
        <w:rPr>
          <w:rFonts w:ascii="Book Antiqua" w:hAnsi="Book Antiqua"/>
          <w:i/>
          <w:sz w:val="20"/>
          <w:szCs w:val="20"/>
          <w:lang w:val="en-GB"/>
        </w:rPr>
        <w:t>t</w:t>
      </w:r>
      <w:r w:rsidRPr="00D8755F">
        <w:rPr>
          <w:rFonts w:ascii="Book Antiqua" w:hAnsi="Book Antiqua"/>
          <w:i/>
          <w:sz w:val="20"/>
          <w:szCs w:val="20"/>
          <w:lang w:val="en-GB"/>
        </w:rPr>
        <w:t>ed − commercialization margins − transport margins − public service (electricity, water, gas) margins.</w:t>
      </w:r>
    </w:p>
    <w:p w:rsidR="00D61E09" w:rsidRPr="00F200E7" w:rsidRDefault="00D61E09" w:rsidP="00ED1005">
      <w:pPr>
        <w:pStyle w:val="NoSpacing"/>
        <w:jc w:val="both"/>
        <w:rPr>
          <w:rFonts w:ascii="Book Antiqua" w:hAnsi="Book Antiqua"/>
          <w:lang w:val="en-GB"/>
        </w:rPr>
      </w:pPr>
    </w:p>
    <w:p w:rsidR="00ED1005" w:rsidRPr="00F200E7" w:rsidRDefault="007539D4" w:rsidP="00ED1005">
      <w:pPr>
        <w:pStyle w:val="NoSpacing"/>
        <w:jc w:val="both"/>
        <w:rPr>
          <w:rFonts w:ascii="Book Antiqua" w:hAnsi="Book Antiqua"/>
          <w:lang w:val="en-GB"/>
        </w:rPr>
      </w:pPr>
      <w:r w:rsidRPr="00F200E7">
        <w:rPr>
          <w:rFonts w:ascii="Book Antiqua" w:hAnsi="Book Antiqua"/>
          <w:lang w:val="en-GB"/>
        </w:rPr>
        <w:t>Table 6.10 presents t</w:t>
      </w:r>
      <w:r w:rsidR="00ED1005" w:rsidRPr="00F200E7">
        <w:rPr>
          <w:rFonts w:ascii="Book Antiqua" w:hAnsi="Book Antiqua"/>
          <w:lang w:val="en-GB"/>
        </w:rPr>
        <w:t xml:space="preserve">he </w:t>
      </w:r>
      <w:r w:rsidR="004801DD">
        <w:rPr>
          <w:rFonts w:ascii="Book Antiqua" w:hAnsi="Book Antiqua"/>
          <w:lang w:val="en-GB"/>
        </w:rPr>
        <w:t xml:space="preserve">macroeconomic </w:t>
      </w:r>
      <w:r w:rsidR="00ED1005" w:rsidRPr="00F200E7">
        <w:rPr>
          <w:rFonts w:ascii="Book Antiqua" w:hAnsi="Book Antiqua"/>
          <w:lang w:val="en-GB"/>
        </w:rPr>
        <w:t>matrix used</w:t>
      </w:r>
      <w:r w:rsidRPr="00F200E7">
        <w:rPr>
          <w:rFonts w:ascii="Book Antiqua" w:hAnsi="Book Antiqua"/>
          <w:lang w:val="en-GB"/>
        </w:rPr>
        <w:t xml:space="preserve"> in this analysis.</w:t>
      </w:r>
    </w:p>
    <w:p w:rsidR="006A7C29" w:rsidRPr="00F200E7" w:rsidRDefault="006A7C29" w:rsidP="00293DCE">
      <w:pPr>
        <w:pStyle w:val="NoSpacing"/>
        <w:rPr>
          <w:rFonts w:ascii="Book Antiqua" w:hAnsi="Book Antiqua"/>
          <w:b/>
          <w:lang w:val="en-GB"/>
        </w:rPr>
        <w:sectPr w:rsidR="006A7C29" w:rsidRPr="00F200E7" w:rsidSect="00DB1AE7">
          <w:headerReference w:type="even" r:id="rId35"/>
          <w:headerReference w:type="default" r:id="rId36"/>
          <w:footerReference w:type="even" r:id="rId37"/>
          <w:footerReference w:type="default" r:id="rId38"/>
          <w:headerReference w:type="first" r:id="rId39"/>
          <w:footerReference w:type="first" r:id="rId40"/>
          <w:pgSz w:w="12240" w:h="15840" w:code="1"/>
          <w:pgMar w:top="1418" w:right="1701" w:bottom="1418" w:left="1701" w:header="709" w:footer="709" w:gutter="0"/>
          <w:cols w:space="708"/>
          <w:titlePg/>
          <w:docGrid w:linePitch="360"/>
        </w:sectPr>
      </w:pPr>
    </w:p>
    <w:p w:rsidR="00ED1005" w:rsidRPr="00F200E7" w:rsidRDefault="00ED1005" w:rsidP="00293DCE">
      <w:pPr>
        <w:pStyle w:val="NoSpacing"/>
        <w:rPr>
          <w:rFonts w:ascii="Book Antiqua" w:hAnsi="Book Antiqua"/>
          <w:b/>
          <w:lang w:val="en-GB"/>
        </w:rPr>
      </w:pPr>
      <w:r w:rsidRPr="00F200E7">
        <w:rPr>
          <w:rFonts w:ascii="Book Antiqua" w:hAnsi="Book Antiqua"/>
          <w:b/>
          <w:lang w:val="en-GB"/>
        </w:rPr>
        <w:t xml:space="preserve">Table </w:t>
      </w:r>
      <w:r w:rsidR="007539D4" w:rsidRPr="00F200E7">
        <w:rPr>
          <w:rFonts w:ascii="Book Antiqua" w:hAnsi="Book Antiqua"/>
          <w:b/>
          <w:lang w:val="en-GB"/>
        </w:rPr>
        <w:t>6.</w:t>
      </w:r>
      <w:r w:rsidRPr="00F200E7">
        <w:rPr>
          <w:rFonts w:ascii="Book Antiqua" w:hAnsi="Book Antiqua"/>
          <w:b/>
          <w:lang w:val="en-GB"/>
        </w:rPr>
        <w:t xml:space="preserve">10: </w:t>
      </w:r>
      <w:r w:rsidR="007539D4" w:rsidRPr="00F200E7">
        <w:rPr>
          <w:rFonts w:ascii="Book Antiqua" w:hAnsi="Book Antiqua"/>
          <w:b/>
          <w:lang w:val="en-GB"/>
        </w:rPr>
        <w:tab/>
      </w:r>
      <w:r w:rsidRPr="00F200E7">
        <w:rPr>
          <w:rFonts w:ascii="Book Antiqua" w:hAnsi="Book Antiqua"/>
          <w:b/>
          <w:lang w:val="en-GB"/>
        </w:rPr>
        <w:t xml:space="preserve">Macroeconomic </w:t>
      </w:r>
      <w:r w:rsidR="00FD09F0">
        <w:rPr>
          <w:rFonts w:ascii="Book Antiqua" w:hAnsi="Book Antiqua"/>
          <w:b/>
          <w:lang w:val="en-GB"/>
        </w:rPr>
        <w:t>Social Accounting M</w:t>
      </w:r>
      <w:r w:rsidRPr="00F200E7">
        <w:rPr>
          <w:rFonts w:ascii="Book Antiqua" w:hAnsi="Book Antiqua"/>
          <w:b/>
          <w:lang w:val="en-GB"/>
        </w:rPr>
        <w:t>atrix</w:t>
      </w:r>
      <w:r w:rsidR="0090173E" w:rsidRPr="00F200E7">
        <w:rPr>
          <w:rFonts w:ascii="Book Antiqua" w:hAnsi="Book Antiqua"/>
          <w:b/>
          <w:lang w:val="en-GB"/>
        </w:rPr>
        <w:t>, Guatemala,</w:t>
      </w:r>
      <w:r w:rsidR="00FD09F0" w:rsidRPr="00FD09F0">
        <w:rPr>
          <w:lang w:val="en-GB"/>
        </w:rPr>
        <w:t xml:space="preserve"> </w:t>
      </w:r>
      <w:r w:rsidR="00FD09F0">
        <w:rPr>
          <w:rFonts w:ascii="Book Antiqua" w:hAnsi="Book Antiqua"/>
          <w:b/>
          <w:lang w:val="en-GB"/>
        </w:rPr>
        <w:t>i</w:t>
      </w:r>
      <w:r w:rsidR="00FD09F0" w:rsidRPr="00FD09F0">
        <w:rPr>
          <w:rFonts w:ascii="Book Antiqua" w:hAnsi="Book Antiqua"/>
          <w:b/>
          <w:lang w:val="en-GB"/>
        </w:rPr>
        <w:t>n</w:t>
      </w:r>
      <w:r w:rsidR="00FD09F0">
        <w:rPr>
          <w:rFonts w:ascii="Book Antiqua" w:hAnsi="Book Antiqua"/>
          <w:b/>
          <w:lang w:val="en-GB"/>
        </w:rPr>
        <w:t xml:space="preserve"> millions of</w:t>
      </w:r>
      <w:r w:rsidR="00FD09F0" w:rsidRPr="00FD09F0">
        <w:rPr>
          <w:rFonts w:ascii="Book Antiqua" w:hAnsi="Book Antiqua"/>
          <w:b/>
          <w:lang w:val="en-GB"/>
        </w:rPr>
        <w:t xml:space="preserve"> Guatemalan </w:t>
      </w:r>
      <w:proofErr w:type="spellStart"/>
      <w:r w:rsidR="00FD09F0" w:rsidRPr="00FD09F0">
        <w:rPr>
          <w:rFonts w:ascii="Book Antiqua" w:hAnsi="Book Antiqua"/>
          <w:b/>
          <w:lang w:val="en-GB"/>
        </w:rPr>
        <w:t>Quetzales</w:t>
      </w:r>
      <w:proofErr w:type="spellEnd"/>
      <w:r w:rsidR="00FD09F0" w:rsidRPr="00FD09F0">
        <w:rPr>
          <w:rFonts w:ascii="Book Antiqua" w:hAnsi="Book Antiqua"/>
          <w:b/>
          <w:lang w:val="en-GB"/>
        </w:rPr>
        <w:t xml:space="preserve"> (GTQ)</w:t>
      </w:r>
      <w:r w:rsidR="00FD09F0">
        <w:rPr>
          <w:rFonts w:ascii="Book Antiqua" w:hAnsi="Book Antiqua"/>
          <w:b/>
          <w:lang w:val="en-GB"/>
        </w:rPr>
        <w:t>,</w:t>
      </w:r>
      <w:r w:rsidR="0090173E" w:rsidRPr="00F200E7">
        <w:rPr>
          <w:rFonts w:ascii="Book Antiqua" w:hAnsi="Book Antiqua"/>
          <w:b/>
          <w:lang w:val="en-GB"/>
        </w:rPr>
        <w:t xml:space="preserve"> 2006</w:t>
      </w:r>
    </w:p>
    <w:p w:rsidR="00ED1005" w:rsidRPr="00F200E7" w:rsidRDefault="00ED1005" w:rsidP="00ED1005">
      <w:pPr>
        <w:pStyle w:val="NoSpacing"/>
        <w:jc w:val="both"/>
        <w:rPr>
          <w:rFonts w:ascii="Book Antiqua" w:hAnsi="Book Antiqua"/>
          <w:b/>
          <w:lang w:val="en-GB"/>
        </w:rPr>
      </w:pPr>
    </w:p>
    <w:bookmarkStart w:id="170" w:name="_MON_1410787854"/>
    <w:bookmarkEnd w:id="170"/>
    <w:p w:rsidR="006A7C29" w:rsidRPr="00F200E7" w:rsidRDefault="00FD09F0">
      <w:pPr>
        <w:spacing w:after="0" w:line="240" w:lineRule="auto"/>
        <w:rPr>
          <w:rFonts w:ascii="Book Antiqua" w:hAnsi="Book Antiqua"/>
          <w:lang w:val="en-GB"/>
        </w:rPr>
        <w:sectPr w:rsidR="006A7C29" w:rsidRPr="00F200E7" w:rsidSect="006A7C29">
          <w:pgSz w:w="15840" w:h="12240" w:orient="landscape" w:code="1"/>
          <w:pgMar w:top="1701" w:right="1418" w:bottom="1701" w:left="1418" w:header="709" w:footer="709" w:gutter="0"/>
          <w:cols w:space="708"/>
          <w:titlePg/>
          <w:docGrid w:linePitch="360"/>
        </w:sectPr>
      </w:pPr>
      <w:r w:rsidRPr="00F200E7">
        <w:rPr>
          <w:rFonts w:ascii="Book Antiqua" w:hAnsi="Book Antiqua"/>
          <w:lang w:val="en-GB"/>
        </w:rPr>
        <w:object w:dxaOrig="22267" w:dyaOrig="7184">
          <v:shape id="_x0000_i1027" type="#_x0000_t75" style="width:641.25pt;height:398.25pt" o:ole="">
            <v:imagedata r:id="rId41" o:title=""/>
          </v:shape>
          <o:OLEObject Type="Embed" ProgID="Excel.Sheet.8" ShapeID="_x0000_i1027" DrawAspect="Content" ObjectID="_1420279819" r:id="rId42"/>
        </w:object>
      </w: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For </w:t>
      </w:r>
      <w:r w:rsidR="006A4A53">
        <w:rPr>
          <w:rFonts w:ascii="Book Antiqua" w:hAnsi="Book Antiqua"/>
          <w:lang w:val="en-GB"/>
        </w:rPr>
        <w:t xml:space="preserve">the </w:t>
      </w:r>
      <w:r w:rsidRPr="00F200E7">
        <w:rPr>
          <w:rFonts w:ascii="Book Antiqua" w:hAnsi="Book Antiqua"/>
          <w:lang w:val="en-GB"/>
        </w:rPr>
        <w:t xml:space="preserve">products analysed, the </w:t>
      </w:r>
      <w:r w:rsidR="006A4A53">
        <w:rPr>
          <w:rFonts w:ascii="Book Antiqua" w:hAnsi="Book Antiqua"/>
          <w:lang w:val="en-GB"/>
        </w:rPr>
        <w:t xml:space="preserve">values of intermediate inputs and </w:t>
      </w:r>
      <w:r w:rsidRPr="00F200E7">
        <w:rPr>
          <w:rFonts w:ascii="Book Antiqua" w:hAnsi="Book Antiqua"/>
          <w:lang w:val="en-GB"/>
        </w:rPr>
        <w:t>factors of production</w:t>
      </w:r>
      <w:r w:rsidR="006A4A53">
        <w:rPr>
          <w:rFonts w:ascii="Book Antiqua" w:hAnsi="Book Antiqua"/>
          <w:lang w:val="en-GB"/>
        </w:rPr>
        <w:t xml:space="preserve"> (i.</w:t>
      </w:r>
      <w:r w:rsidR="00E415E6">
        <w:rPr>
          <w:rFonts w:ascii="Book Antiqua" w:hAnsi="Book Antiqua"/>
          <w:lang w:val="en-GB"/>
        </w:rPr>
        <w:t>e.</w:t>
      </w:r>
      <w:r w:rsidR="006A4A53">
        <w:rPr>
          <w:rFonts w:ascii="Book Antiqua" w:hAnsi="Book Antiqua"/>
          <w:lang w:val="en-GB"/>
        </w:rPr>
        <w:t xml:space="preserve"> labour and capital)</w:t>
      </w:r>
      <w:r w:rsidR="00FD09F0">
        <w:rPr>
          <w:rFonts w:ascii="Book Antiqua" w:hAnsi="Book Antiqua"/>
          <w:lang w:val="en-GB"/>
        </w:rPr>
        <w:t xml:space="preserve"> </w:t>
      </w:r>
      <w:r w:rsidR="006A4A53">
        <w:rPr>
          <w:rFonts w:ascii="Book Antiqua" w:hAnsi="Book Antiqua"/>
          <w:lang w:val="en-GB"/>
        </w:rPr>
        <w:t xml:space="preserve">can be found in the SAM </w:t>
      </w:r>
      <w:r w:rsidR="0090173E" w:rsidRPr="00F200E7">
        <w:rPr>
          <w:rFonts w:ascii="Book Antiqua" w:hAnsi="Book Antiqua"/>
          <w:lang w:val="en-GB"/>
        </w:rPr>
        <w:t>shown in table 6.11.</w:t>
      </w:r>
    </w:p>
    <w:p w:rsidR="00ED1005" w:rsidRPr="00F200E7" w:rsidRDefault="00ED1005" w:rsidP="00ED1005">
      <w:pPr>
        <w:pStyle w:val="NoSpacing"/>
        <w:jc w:val="both"/>
        <w:rPr>
          <w:rFonts w:ascii="Book Antiqua" w:hAnsi="Book Antiqua"/>
          <w:lang w:val="en-GB"/>
        </w:rPr>
      </w:pPr>
    </w:p>
    <w:p w:rsidR="00ED1005" w:rsidRPr="00F200E7" w:rsidRDefault="00ED1005" w:rsidP="00293DCE">
      <w:pPr>
        <w:pStyle w:val="NoSpacing"/>
        <w:rPr>
          <w:rFonts w:ascii="Book Antiqua" w:hAnsi="Book Antiqua"/>
          <w:b/>
          <w:lang w:val="en-GB"/>
        </w:rPr>
      </w:pPr>
      <w:r w:rsidRPr="00F200E7">
        <w:rPr>
          <w:rFonts w:ascii="Book Antiqua" w:hAnsi="Book Antiqua"/>
          <w:b/>
          <w:lang w:val="en-GB"/>
        </w:rPr>
        <w:t xml:space="preserve">Table </w:t>
      </w:r>
      <w:r w:rsidR="0090173E" w:rsidRPr="00F200E7">
        <w:rPr>
          <w:rFonts w:ascii="Book Antiqua" w:hAnsi="Book Antiqua"/>
          <w:b/>
          <w:lang w:val="en-GB"/>
        </w:rPr>
        <w:t>6.</w:t>
      </w:r>
      <w:r w:rsidRPr="00F200E7">
        <w:rPr>
          <w:rFonts w:ascii="Book Antiqua" w:hAnsi="Book Antiqua"/>
          <w:b/>
          <w:lang w:val="en-GB"/>
        </w:rPr>
        <w:t xml:space="preserve">11: </w:t>
      </w:r>
      <w:r w:rsidR="0090173E" w:rsidRPr="00F200E7">
        <w:rPr>
          <w:rFonts w:ascii="Book Antiqua" w:hAnsi="Book Antiqua"/>
          <w:b/>
          <w:lang w:val="en-GB"/>
        </w:rPr>
        <w:tab/>
      </w:r>
      <w:r w:rsidRPr="00F200E7">
        <w:rPr>
          <w:rFonts w:ascii="Book Antiqua" w:hAnsi="Book Antiqua"/>
          <w:b/>
          <w:lang w:val="en-GB"/>
        </w:rPr>
        <w:t xml:space="preserve">Microeconomic </w:t>
      </w:r>
      <w:r w:rsidR="00FD09F0">
        <w:rPr>
          <w:rFonts w:ascii="Book Antiqua" w:hAnsi="Book Antiqua"/>
          <w:b/>
          <w:lang w:val="en-GB"/>
        </w:rPr>
        <w:t>Social Accounting M</w:t>
      </w:r>
      <w:r w:rsidRPr="00F200E7">
        <w:rPr>
          <w:rFonts w:ascii="Book Antiqua" w:hAnsi="Book Antiqua"/>
          <w:b/>
          <w:lang w:val="en-GB"/>
        </w:rPr>
        <w:t>atrix</w:t>
      </w:r>
      <w:proofErr w:type="gramStart"/>
      <w:r w:rsidR="0090173E" w:rsidRPr="00F200E7">
        <w:rPr>
          <w:rFonts w:ascii="Book Antiqua" w:hAnsi="Book Antiqua"/>
          <w:b/>
          <w:lang w:val="en-GB"/>
        </w:rPr>
        <w:t xml:space="preserve">, </w:t>
      </w:r>
      <w:r w:rsidR="00C204C2">
        <w:rPr>
          <w:rFonts w:ascii="Book Antiqua" w:hAnsi="Book Antiqua"/>
          <w:b/>
          <w:lang w:val="en-GB"/>
        </w:rPr>
        <w:t xml:space="preserve"> </w:t>
      </w:r>
      <w:r w:rsidR="0090173E" w:rsidRPr="00F200E7">
        <w:rPr>
          <w:rFonts w:ascii="Book Antiqua" w:hAnsi="Book Antiqua"/>
          <w:b/>
          <w:lang w:val="en-GB"/>
        </w:rPr>
        <w:t>Guatemala</w:t>
      </w:r>
      <w:proofErr w:type="gramEnd"/>
      <w:r w:rsidR="0090173E" w:rsidRPr="00F200E7">
        <w:rPr>
          <w:rFonts w:ascii="Book Antiqua" w:hAnsi="Book Antiqua"/>
          <w:b/>
          <w:lang w:val="en-GB"/>
        </w:rPr>
        <w:t>,</w:t>
      </w:r>
      <w:r w:rsidR="00C204C2">
        <w:rPr>
          <w:rFonts w:ascii="Book Antiqua" w:hAnsi="Book Antiqua"/>
          <w:b/>
          <w:lang w:val="en-GB"/>
        </w:rPr>
        <w:t xml:space="preserve"> Agriculture and Livestock Vector, i</w:t>
      </w:r>
      <w:r w:rsidR="00C204C2" w:rsidRPr="00FD09F0">
        <w:rPr>
          <w:rFonts w:ascii="Book Antiqua" w:hAnsi="Book Antiqua"/>
          <w:b/>
          <w:lang w:val="en-GB"/>
        </w:rPr>
        <w:t>n</w:t>
      </w:r>
      <w:r w:rsidR="00C204C2">
        <w:rPr>
          <w:rFonts w:ascii="Book Antiqua" w:hAnsi="Book Antiqua"/>
          <w:b/>
          <w:lang w:val="en-GB"/>
        </w:rPr>
        <w:t xml:space="preserve"> millions of</w:t>
      </w:r>
      <w:r w:rsidR="00C204C2" w:rsidRPr="00FD09F0">
        <w:rPr>
          <w:rFonts w:ascii="Book Antiqua" w:hAnsi="Book Antiqua"/>
          <w:b/>
          <w:lang w:val="en-GB"/>
        </w:rPr>
        <w:t xml:space="preserve"> Guatemalan </w:t>
      </w:r>
      <w:proofErr w:type="spellStart"/>
      <w:r w:rsidR="00C204C2" w:rsidRPr="00FD09F0">
        <w:rPr>
          <w:rFonts w:ascii="Book Antiqua" w:hAnsi="Book Antiqua"/>
          <w:b/>
          <w:lang w:val="en-GB"/>
        </w:rPr>
        <w:t>Quetzales</w:t>
      </w:r>
      <w:proofErr w:type="spellEnd"/>
      <w:r w:rsidR="00C204C2" w:rsidRPr="00FD09F0">
        <w:rPr>
          <w:rFonts w:ascii="Book Antiqua" w:hAnsi="Book Antiqua"/>
          <w:b/>
          <w:lang w:val="en-GB"/>
        </w:rPr>
        <w:t xml:space="preserve"> (GTQ)</w:t>
      </w:r>
      <w:r w:rsidR="00C204C2">
        <w:rPr>
          <w:rFonts w:ascii="Book Antiqua" w:hAnsi="Book Antiqua"/>
          <w:b/>
          <w:lang w:val="en-GB"/>
        </w:rPr>
        <w:t>,</w:t>
      </w:r>
      <w:r w:rsidR="00C204C2" w:rsidRPr="00F200E7">
        <w:rPr>
          <w:rFonts w:ascii="Book Antiqua" w:hAnsi="Book Antiqua"/>
          <w:b/>
          <w:lang w:val="en-GB"/>
        </w:rPr>
        <w:t xml:space="preserve"> 2006</w:t>
      </w:r>
    </w:p>
    <w:p w:rsidR="00ED1005" w:rsidRPr="00F200E7" w:rsidRDefault="00ED1005" w:rsidP="00ED1005">
      <w:pPr>
        <w:pStyle w:val="NoSpacing"/>
        <w:jc w:val="both"/>
        <w:rPr>
          <w:rFonts w:ascii="Book Antiqua" w:hAnsi="Book Antiqua"/>
          <w:lang w:val="en-GB"/>
        </w:rPr>
      </w:pPr>
    </w:p>
    <w:bookmarkStart w:id="171" w:name="_MON_1416210462"/>
    <w:bookmarkStart w:id="172" w:name="_MON_1416210701"/>
    <w:bookmarkStart w:id="173" w:name="_MON_1410787997"/>
    <w:bookmarkStart w:id="174" w:name="_MON_1416210342"/>
    <w:bookmarkStart w:id="175" w:name="_MON_1416210400"/>
    <w:bookmarkEnd w:id="171"/>
    <w:bookmarkEnd w:id="172"/>
    <w:bookmarkEnd w:id="173"/>
    <w:bookmarkEnd w:id="174"/>
    <w:bookmarkEnd w:id="175"/>
    <w:p w:rsidR="00ED1005" w:rsidRPr="00F200E7" w:rsidRDefault="00C204C2" w:rsidP="00ED1005">
      <w:pPr>
        <w:pStyle w:val="NoSpacing"/>
        <w:jc w:val="center"/>
        <w:rPr>
          <w:rFonts w:ascii="Book Antiqua" w:hAnsi="Book Antiqua"/>
          <w:lang w:val="en-GB"/>
        </w:rPr>
      </w:pPr>
      <w:r w:rsidRPr="00F200E7">
        <w:rPr>
          <w:rFonts w:ascii="Book Antiqua" w:hAnsi="Book Antiqua"/>
          <w:lang w:val="en-GB"/>
        </w:rPr>
        <w:object w:dxaOrig="8794" w:dyaOrig="11618">
          <v:shape id="_x0000_i1028" type="#_x0000_t75" style="width:366pt;height:483.75pt" o:ole="">
            <v:imagedata r:id="rId43" o:title=""/>
          </v:shape>
          <o:OLEObject Type="Embed" ProgID="Excel.Sheet.8" ShapeID="_x0000_i1028" DrawAspect="Content" ObjectID="_1420279820" r:id="rId44"/>
        </w:object>
      </w:r>
    </w:p>
    <w:p w:rsidR="00ED1005" w:rsidRPr="00F200E7" w:rsidRDefault="00ED1005" w:rsidP="00ED1005">
      <w:pPr>
        <w:pStyle w:val="NoSpacing"/>
        <w:jc w:val="both"/>
        <w:rPr>
          <w:rFonts w:ascii="Book Antiqua" w:hAnsi="Book Antiqua"/>
          <w:lang w:val="en-GB"/>
        </w:rPr>
      </w:pPr>
    </w:p>
    <w:p w:rsidR="00ED1005" w:rsidRPr="00F200E7" w:rsidRDefault="0090173E" w:rsidP="00ED1005">
      <w:pPr>
        <w:pStyle w:val="NoSpacing"/>
        <w:jc w:val="both"/>
        <w:rPr>
          <w:rFonts w:ascii="Book Antiqua" w:hAnsi="Book Antiqua"/>
          <w:lang w:val="en-GB"/>
        </w:rPr>
      </w:pPr>
      <w:r w:rsidRPr="00F200E7">
        <w:rPr>
          <w:rFonts w:ascii="Book Antiqua" w:hAnsi="Book Antiqua"/>
          <w:lang w:val="en-GB"/>
        </w:rPr>
        <w:t xml:space="preserve">In table 6.11 </w:t>
      </w:r>
      <w:r w:rsidR="00ED1005" w:rsidRPr="00F200E7">
        <w:rPr>
          <w:rFonts w:ascii="Book Antiqua" w:hAnsi="Book Antiqua"/>
          <w:lang w:val="en-GB"/>
        </w:rPr>
        <w:t>it can be observed</w:t>
      </w:r>
      <w:r w:rsidRPr="00F200E7">
        <w:rPr>
          <w:rFonts w:ascii="Book Antiqua" w:hAnsi="Book Antiqua"/>
          <w:lang w:val="en-GB"/>
        </w:rPr>
        <w:t xml:space="preserve">, for example, </w:t>
      </w:r>
      <w:r w:rsidR="00ED1005" w:rsidRPr="00F200E7">
        <w:rPr>
          <w:rFonts w:ascii="Book Antiqua" w:hAnsi="Book Antiqua"/>
          <w:lang w:val="en-GB"/>
        </w:rPr>
        <w:t xml:space="preserve"> that</w:t>
      </w:r>
      <w:r w:rsidRPr="00F200E7">
        <w:rPr>
          <w:rFonts w:ascii="Book Antiqua" w:hAnsi="Book Antiqua"/>
          <w:lang w:val="en-GB"/>
        </w:rPr>
        <w:t>,</w:t>
      </w:r>
      <w:r w:rsidR="00ED1005" w:rsidRPr="00F200E7">
        <w:rPr>
          <w:rFonts w:ascii="Book Antiqua" w:hAnsi="Book Antiqua"/>
          <w:lang w:val="en-GB"/>
        </w:rPr>
        <w:t xml:space="preserve"> for the generation of GTQ 16,200 million (</w:t>
      </w:r>
      <w:r w:rsidR="006A4A53">
        <w:rPr>
          <w:rFonts w:ascii="Book Antiqua" w:hAnsi="Book Antiqua"/>
          <w:lang w:val="en-GB"/>
        </w:rPr>
        <w:t>US$</w:t>
      </w:r>
      <w:r w:rsidR="00ED1005" w:rsidRPr="00F200E7">
        <w:rPr>
          <w:rFonts w:ascii="Book Antiqua" w:hAnsi="Book Antiqua"/>
          <w:lang w:val="en-GB"/>
        </w:rPr>
        <w:t xml:space="preserve"> 2,247 million) of agricultural products</w:t>
      </w:r>
      <w:r w:rsidRPr="00F200E7">
        <w:rPr>
          <w:rFonts w:ascii="Book Antiqua" w:hAnsi="Book Antiqua"/>
          <w:lang w:val="en-GB"/>
        </w:rPr>
        <w:t xml:space="preserve">, </w:t>
      </w:r>
      <w:r w:rsidR="00ED1005" w:rsidRPr="00F200E7">
        <w:rPr>
          <w:rFonts w:ascii="Book Antiqua" w:hAnsi="Book Antiqua"/>
          <w:lang w:val="en-GB"/>
        </w:rPr>
        <w:t>GTQ 7 million (</w:t>
      </w:r>
      <w:r w:rsidR="006A4A53">
        <w:rPr>
          <w:rFonts w:ascii="Book Antiqua" w:hAnsi="Book Antiqua"/>
          <w:lang w:val="en-GB"/>
        </w:rPr>
        <w:t>US$</w:t>
      </w:r>
      <w:r w:rsidR="0077313F">
        <w:rPr>
          <w:rFonts w:ascii="Book Antiqua" w:hAnsi="Book Antiqua"/>
          <w:lang w:val="en-GB"/>
        </w:rPr>
        <w:t>1</w:t>
      </w:r>
      <w:r w:rsidR="00ED1005" w:rsidRPr="00F200E7">
        <w:rPr>
          <w:rFonts w:ascii="Book Antiqua" w:hAnsi="Book Antiqua"/>
          <w:lang w:val="en-GB"/>
        </w:rPr>
        <w:t xml:space="preserve"> million) of cereals, GTQ 102 million (</w:t>
      </w:r>
      <w:r w:rsidR="006A4A53">
        <w:rPr>
          <w:rFonts w:ascii="Book Antiqua" w:hAnsi="Book Antiqua"/>
          <w:lang w:val="en-GB"/>
        </w:rPr>
        <w:t>US$</w:t>
      </w:r>
      <w:r w:rsidR="0077313F">
        <w:rPr>
          <w:rFonts w:ascii="Book Antiqua" w:hAnsi="Book Antiqua"/>
          <w:lang w:val="en-GB"/>
        </w:rPr>
        <w:t xml:space="preserve"> 14</w:t>
      </w:r>
      <w:r w:rsidR="00ED1005" w:rsidRPr="00F200E7">
        <w:rPr>
          <w:rFonts w:ascii="Book Antiqua" w:hAnsi="Book Antiqua"/>
          <w:lang w:val="en-GB"/>
        </w:rPr>
        <w:t xml:space="preserve"> million) of sugar plants, </w:t>
      </w:r>
      <w:r w:rsidR="002F09EC">
        <w:rPr>
          <w:rFonts w:ascii="Book Antiqua" w:hAnsi="Book Antiqua"/>
          <w:lang w:val="en-GB"/>
        </w:rPr>
        <w:t xml:space="preserve">and </w:t>
      </w:r>
      <w:r w:rsidR="00ED1005" w:rsidRPr="00F200E7">
        <w:rPr>
          <w:rFonts w:ascii="Book Antiqua" w:hAnsi="Book Antiqua"/>
          <w:lang w:val="en-GB"/>
        </w:rPr>
        <w:t>GTQ 75 million (</w:t>
      </w:r>
      <w:r w:rsidR="006A4A53">
        <w:rPr>
          <w:rFonts w:ascii="Book Antiqua" w:hAnsi="Book Antiqua"/>
          <w:lang w:val="en-GB"/>
        </w:rPr>
        <w:t>US$</w:t>
      </w:r>
      <w:r w:rsidR="0077313F">
        <w:rPr>
          <w:rFonts w:ascii="Book Antiqua" w:hAnsi="Book Antiqua"/>
          <w:lang w:val="en-GB"/>
        </w:rPr>
        <w:t xml:space="preserve"> 10</w:t>
      </w:r>
      <w:r w:rsidR="00ED1005" w:rsidRPr="00F200E7">
        <w:rPr>
          <w:rFonts w:ascii="Book Antiqua" w:hAnsi="Book Antiqua"/>
          <w:lang w:val="en-GB"/>
        </w:rPr>
        <w:t xml:space="preserve"> million) of </w:t>
      </w:r>
      <w:r w:rsidR="00BC151C" w:rsidRPr="00F200E7">
        <w:rPr>
          <w:rFonts w:ascii="Book Antiqua" w:hAnsi="Book Antiqua"/>
          <w:lang w:val="en-GB"/>
        </w:rPr>
        <w:t>non-traditional</w:t>
      </w:r>
      <w:r w:rsidR="00ED1005" w:rsidRPr="00F200E7">
        <w:rPr>
          <w:rFonts w:ascii="Book Antiqua" w:hAnsi="Book Antiqua"/>
          <w:lang w:val="en-GB"/>
        </w:rPr>
        <w:t xml:space="preserve"> crops are used, while the qualified</w:t>
      </w:r>
      <w:r w:rsidR="00FB5615">
        <w:rPr>
          <w:rFonts w:ascii="Book Antiqua" w:hAnsi="Book Antiqua"/>
          <w:lang w:val="en-GB"/>
        </w:rPr>
        <w:t xml:space="preserve"> </w:t>
      </w:r>
      <w:r w:rsidR="00ED1005" w:rsidRPr="00F200E7">
        <w:rPr>
          <w:rFonts w:ascii="Book Antiqua" w:hAnsi="Book Antiqua"/>
          <w:lang w:val="en-GB"/>
        </w:rPr>
        <w:t>workers in the i</w:t>
      </w:r>
      <w:r w:rsidR="0077313F">
        <w:rPr>
          <w:rFonts w:ascii="Book Antiqua" w:hAnsi="Book Antiqua"/>
          <w:lang w:val="en-GB"/>
        </w:rPr>
        <w:t>nformal sector receive GTQ 303</w:t>
      </w:r>
      <w:r w:rsidR="00ED1005" w:rsidRPr="00F200E7">
        <w:rPr>
          <w:rFonts w:ascii="Book Antiqua" w:hAnsi="Book Antiqua"/>
          <w:lang w:val="en-GB"/>
        </w:rPr>
        <w:t xml:space="preserve"> million (</w:t>
      </w:r>
      <w:r w:rsidR="006A4A53">
        <w:rPr>
          <w:rFonts w:ascii="Book Antiqua" w:hAnsi="Book Antiqua"/>
          <w:lang w:val="en-GB"/>
        </w:rPr>
        <w:t>US$</w:t>
      </w:r>
      <w:r w:rsidR="00ED1005" w:rsidRPr="00F200E7">
        <w:rPr>
          <w:rFonts w:ascii="Book Antiqua" w:hAnsi="Book Antiqua"/>
          <w:lang w:val="en-GB"/>
        </w:rPr>
        <w:t xml:space="preserve"> 42 million) in wages and the qualified</w:t>
      </w:r>
      <w:r w:rsidR="00FB5615">
        <w:rPr>
          <w:rFonts w:ascii="Book Antiqua" w:hAnsi="Book Antiqua"/>
          <w:lang w:val="en-GB"/>
        </w:rPr>
        <w:t xml:space="preserve"> </w:t>
      </w:r>
      <w:r w:rsidR="00ED1005" w:rsidRPr="00F200E7">
        <w:rPr>
          <w:rFonts w:ascii="Book Antiqua" w:hAnsi="Book Antiqua"/>
          <w:lang w:val="en-GB"/>
        </w:rPr>
        <w:t xml:space="preserve">workers </w:t>
      </w:r>
      <w:r w:rsidRPr="00F200E7">
        <w:rPr>
          <w:rFonts w:ascii="Book Antiqua" w:hAnsi="Book Antiqua"/>
          <w:lang w:val="en-GB"/>
        </w:rPr>
        <w:t xml:space="preserve">in </w:t>
      </w:r>
      <w:r w:rsidR="00ED1005" w:rsidRPr="00F200E7">
        <w:rPr>
          <w:rFonts w:ascii="Book Antiqua" w:hAnsi="Book Antiqua"/>
          <w:lang w:val="en-GB"/>
        </w:rPr>
        <w:t>the formal sector receive GTQ 414 million (</w:t>
      </w:r>
      <w:r w:rsidR="006A4A53">
        <w:rPr>
          <w:rFonts w:ascii="Book Antiqua" w:hAnsi="Book Antiqua"/>
          <w:lang w:val="en-GB"/>
        </w:rPr>
        <w:t>US$</w:t>
      </w:r>
      <w:r w:rsidR="0077313F">
        <w:rPr>
          <w:rFonts w:ascii="Book Antiqua" w:hAnsi="Book Antiqua"/>
          <w:lang w:val="en-GB"/>
        </w:rPr>
        <w:t xml:space="preserve"> 57</w:t>
      </w:r>
      <w:r w:rsidR="00ED1005" w:rsidRPr="00F200E7">
        <w:rPr>
          <w:rFonts w:ascii="Book Antiqua" w:hAnsi="Book Antiqua"/>
          <w:lang w:val="en-GB"/>
        </w:rPr>
        <w:t xml:space="preserve"> million). Additionally</w:t>
      </w:r>
      <w:r w:rsidRPr="00F200E7">
        <w:rPr>
          <w:rFonts w:ascii="Book Antiqua" w:hAnsi="Book Antiqua"/>
          <w:lang w:val="en-GB"/>
        </w:rPr>
        <w:t>,</w:t>
      </w:r>
      <w:r w:rsidR="00ED1005" w:rsidRPr="00F200E7">
        <w:rPr>
          <w:rFonts w:ascii="Book Antiqua" w:hAnsi="Book Antiqua"/>
          <w:lang w:val="en-GB"/>
        </w:rPr>
        <w:t xml:space="preserve"> the employers receive GTQ 2,843 million (</w:t>
      </w:r>
      <w:r w:rsidR="006A4A53">
        <w:rPr>
          <w:rFonts w:ascii="Book Antiqua" w:hAnsi="Book Antiqua"/>
          <w:lang w:val="en-GB"/>
        </w:rPr>
        <w:t>US$</w:t>
      </w:r>
      <w:r w:rsidR="0077313F">
        <w:rPr>
          <w:rFonts w:ascii="Book Antiqua" w:hAnsi="Book Antiqua"/>
          <w:lang w:val="en-GB"/>
        </w:rPr>
        <w:t xml:space="preserve"> 394</w:t>
      </w:r>
      <w:r w:rsidR="00ED1005" w:rsidRPr="00F200E7">
        <w:rPr>
          <w:rFonts w:ascii="Book Antiqua" w:hAnsi="Book Antiqua"/>
          <w:lang w:val="en-GB"/>
        </w:rPr>
        <w:t xml:space="preserve"> million)</w:t>
      </w:r>
      <w:r w:rsidRPr="00F200E7">
        <w:rPr>
          <w:rFonts w:ascii="Book Antiqua" w:hAnsi="Book Antiqua"/>
          <w:lang w:val="en-GB"/>
        </w:rPr>
        <w:t>,</w:t>
      </w:r>
      <w:r w:rsidR="00ED1005" w:rsidRPr="00F200E7">
        <w:rPr>
          <w:rFonts w:ascii="Book Antiqua" w:hAnsi="Book Antiqua"/>
          <w:lang w:val="en-GB"/>
        </w:rPr>
        <w:t xml:space="preserve"> and the government receives through indirect taxes GTQ </w:t>
      </w:r>
      <w:r w:rsidR="0077313F">
        <w:rPr>
          <w:rFonts w:ascii="Book Antiqua" w:hAnsi="Book Antiqua"/>
          <w:lang w:val="en-GB"/>
        </w:rPr>
        <w:t>50</w:t>
      </w:r>
      <w:r w:rsidR="00ED1005" w:rsidRPr="00F200E7">
        <w:rPr>
          <w:rFonts w:ascii="Book Antiqua" w:hAnsi="Book Antiqua"/>
          <w:lang w:val="en-GB"/>
        </w:rPr>
        <w:t xml:space="preserve"> million (</w:t>
      </w:r>
      <w:r w:rsidR="006A4A53">
        <w:rPr>
          <w:rFonts w:ascii="Book Antiqua" w:hAnsi="Book Antiqua"/>
          <w:lang w:val="en-GB"/>
        </w:rPr>
        <w:t>US$</w:t>
      </w:r>
      <w:r w:rsidR="0077313F">
        <w:rPr>
          <w:rFonts w:ascii="Book Antiqua" w:hAnsi="Book Antiqua"/>
          <w:lang w:val="en-GB"/>
        </w:rPr>
        <w:t>7</w:t>
      </w:r>
      <w:r w:rsidR="00ED1005" w:rsidRPr="00F200E7">
        <w:rPr>
          <w:rFonts w:ascii="Book Antiqua" w:hAnsi="Book Antiqua"/>
          <w:lang w:val="en-GB"/>
        </w:rPr>
        <w:t xml:space="preserve"> million) </w:t>
      </w:r>
      <w:r w:rsidR="0077313F">
        <w:rPr>
          <w:rFonts w:ascii="Book Antiqua" w:hAnsi="Book Antiqua"/>
          <w:lang w:val="en-GB"/>
        </w:rPr>
        <w:t>and through import taxes GTQ 42</w:t>
      </w:r>
      <w:r w:rsidR="00ED1005" w:rsidRPr="00F200E7">
        <w:rPr>
          <w:rFonts w:ascii="Book Antiqua" w:hAnsi="Book Antiqua"/>
          <w:lang w:val="en-GB"/>
        </w:rPr>
        <w:t xml:space="preserve"> million (</w:t>
      </w:r>
      <w:r w:rsidR="006A4A53">
        <w:rPr>
          <w:rFonts w:ascii="Book Antiqua" w:hAnsi="Book Antiqua"/>
          <w:lang w:val="en-GB"/>
        </w:rPr>
        <w:t>US$</w:t>
      </w:r>
      <w:r w:rsidR="0077313F">
        <w:rPr>
          <w:rFonts w:ascii="Book Antiqua" w:hAnsi="Book Antiqua"/>
          <w:lang w:val="en-GB"/>
        </w:rPr>
        <w:t>6 million). GTQ 1,967</w:t>
      </w:r>
      <w:r w:rsidR="00ED1005" w:rsidRPr="00F200E7">
        <w:rPr>
          <w:rFonts w:ascii="Book Antiqua" w:hAnsi="Book Antiqua"/>
          <w:lang w:val="en-GB"/>
        </w:rPr>
        <w:t xml:space="preserve"> million (</w:t>
      </w:r>
      <w:r w:rsidR="006A4A53">
        <w:rPr>
          <w:rFonts w:ascii="Book Antiqua" w:hAnsi="Book Antiqua"/>
          <w:lang w:val="en-GB"/>
        </w:rPr>
        <w:t>US$</w:t>
      </w:r>
      <w:r w:rsidR="0077313F">
        <w:rPr>
          <w:rFonts w:ascii="Book Antiqua" w:hAnsi="Book Antiqua"/>
          <w:lang w:val="en-GB"/>
        </w:rPr>
        <w:t xml:space="preserve"> 134</w:t>
      </w:r>
      <w:r w:rsidR="00ED1005" w:rsidRPr="00F200E7">
        <w:rPr>
          <w:rFonts w:ascii="Book Antiqua" w:hAnsi="Book Antiqua"/>
          <w:lang w:val="en-GB"/>
        </w:rPr>
        <w:t xml:space="preserve"> million) </w:t>
      </w:r>
      <w:r w:rsidRPr="00F200E7">
        <w:rPr>
          <w:rFonts w:ascii="Book Antiqua" w:hAnsi="Book Antiqua"/>
          <w:lang w:val="en-GB"/>
        </w:rPr>
        <w:t xml:space="preserve">in </w:t>
      </w:r>
      <w:r w:rsidR="00ED1005" w:rsidRPr="00F200E7">
        <w:rPr>
          <w:rFonts w:ascii="Book Antiqua" w:hAnsi="Book Antiqua"/>
          <w:lang w:val="en-GB"/>
        </w:rPr>
        <w:t xml:space="preserve">agricultural products </w:t>
      </w:r>
      <w:r w:rsidRPr="00F200E7">
        <w:rPr>
          <w:rFonts w:ascii="Book Antiqua" w:hAnsi="Book Antiqua"/>
          <w:lang w:val="en-GB"/>
        </w:rPr>
        <w:t xml:space="preserve">is </w:t>
      </w:r>
      <w:r w:rsidR="00ED1005" w:rsidRPr="00F200E7">
        <w:rPr>
          <w:rFonts w:ascii="Book Antiqua" w:hAnsi="Book Antiqua"/>
          <w:lang w:val="en-GB"/>
        </w:rPr>
        <w:t>imported</w:t>
      </w:r>
      <w:r w:rsidRPr="00F200E7">
        <w:rPr>
          <w:rFonts w:ascii="Book Antiqua" w:hAnsi="Book Antiqua"/>
          <w:lang w:val="en-GB"/>
        </w:rPr>
        <w:t xml:space="preserve"> from the rest of the world</w:t>
      </w:r>
      <w:r w:rsidR="00ED1005" w:rsidRPr="00F200E7">
        <w:rPr>
          <w:rFonts w:ascii="Book Antiqua" w:hAnsi="Book Antiqua"/>
          <w:lang w:val="en-GB"/>
        </w:rPr>
        <w:t>.</w:t>
      </w:r>
    </w:p>
    <w:p w:rsidR="00ED1005" w:rsidRPr="00F200E7" w:rsidRDefault="00ED1005" w:rsidP="00ED1005">
      <w:pPr>
        <w:pStyle w:val="NoSpacing"/>
        <w:jc w:val="both"/>
        <w:rPr>
          <w:rFonts w:ascii="Book Antiqua" w:hAnsi="Book Antiqua"/>
          <w:b/>
          <w:lang w:val="en-GB"/>
        </w:rPr>
      </w:pPr>
    </w:p>
    <w:p w:rsidR="00ED1005" w:rsidRPr="00F200E7" w:rsidRDefault="008F272B" w:rsidP="00ED1005">
      <w:pPr>
        <w:pStyle w:val="NoSpacing"/>
        <w:jc w:val="both"/>
        <w:rPr>
          <w:rFonts w:ascii="Book Antiqua" w:hAnsi="Book Antiqua"/>
          <w:b/>
          <w:lang w:val="en-GB"/>
        </w:rPr>
      </w:pPr>
      <w:r w:rsidRPr="00F200E7">
        <w:rPr>
          <w:rFonts w:ascii="Book Antiqua" w:hAnsi="Book Antiqua"/>
          <w:b/>
          <w:lang w:val="en-GB"/>
        </w:rPr>
        <w:t>6.</w:t>
      </w:r>
      <w:r w:rsidR="00116FF7">
        <w:rPr>
          <w:rFonts w:ascii="Book Antiqua" w:hAnsi="Book Antiqua"/>
          <w:b/>
          <w:lang w:val="en-GB"/>
        </w:rPr>
        <w:t>5</w:t>
      </w:r>
      <w:r w:rsidRPr="00F200E7">
        <w:rPr>
          <w:rFonts w:ascii="Book Antiqua" w:hAnsi="Book Antiqua"/>
          <w:b/>
          <w:lang w:val="en-GB"/>
        </w:rPr>
        <w:t>.2.2</w:t>
      </w:r>
      <w:r w:rsidRPr="00F200E7">
        <w:rPr>
          <w:rFonts w:ascii="Book Antiqua" w:hAnsi="Book Antiqua"/>
          <w:b/>
          <w:lang w:val="en-GB"/>
        </w:rPr>
        <w:tab/>
      </w:r>
      <w:r w:rsidR="00ED1005" w:rsidRPr="00F200E7">
        <w:rPr>
          <w:rFonts w:ascii="Book Antiqua" w:hAnsi="Book Antiqua"/>
          <w:b/>
          <w:lang w:val="en-GB"/>
        </w:rPr>
        <w:t>Procedure for compiling the SAM</w:t>
      </w: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The starting point for compiling the SAM was assessing the structure and the information in the SAM produced by</w:t>
      </w:r>
      <w:r w:rsidR="004801DD">
        <w:rPr>
          <w:rFonts w:ascii="Book Antiqua" w:hAnsi="Book Antiqua"/>
          <w:lang w:val="en-GB"/>
        </w:rPr>
        <w:t xml:space="preserve"> the</w:t>
      </w:r>
      <w:r w:rsidRPr="00F200E7">
        <w:rPr>
          <w:rFonts w:ascii="Book Antiqua" w:hAnsi="Book Antiqua"/>
          <w:lang w:val="en-GB"/>
        </w:rPr>
        <w:t xml:space="preserve"> ICEFI. </w:t>
      </w:r>
      <w:r w:rsidR="00D81D62" w:rsidRPr="00F200E7">
        <w:rPr>
          <w:rFonts w:ascii="Book Antiqua" w:hAnsi="Book Antiqua"/>
          <w:lang w:val="en-GB"/>
        </w:rPr>
        <w:t xml:space="preserve">The structure of the ICEFI SAM </w:t>
      </w:r>
      <w:r w:rsidRPr="00F200E7">
        <w:rPr>
          <w:rFonts w:ascii="Book Antiqua" w:hAnsi="Book Antiqua"/>
          <w:lang w:val="en-GB"/>
        </w:rPr>
        <w:t>is based on National Accounts in the quadrants of economic information</w:t>
      </w:r>
      <w:r w:rsidR="008F272B" w:rsidRPr="00F200E7">
        <w:rPr>
          <w:rFonts w:ascii="Book Antiqua" w:hAnsi="Book Antiqua"/>
          <w:lang w:val="en-GB"/>
        </w:rPr>
        <w:t>,</w:t>
      </w:r>
      <w:r w:rsidRPr="00F200E7">
        <w:rPr>
          <w:rFonts w:ascii="Book Antiqua" w:hAnsi="Book Antiqua"/>
          <w:lang w:val="en-GB"/>
        </w:rPr>
        <w:t xml:space="preserve"> with a focus on production and consumption.</w:t>
      </w:r>
    </w:p>
    <w:p w:rsidR="00D81D62" w:rsidRPr="00F200E7" w:rsidRDefault="00D81D62" w:rsidP="00ED1005">
      <w:pPr>
        <w:pStyle w:val="NoSpacing"/>
        <w:jc w:val="both"/>
        <w:rPr>
          <w:rFonts w:ascii="Book Antiqua" w:hAnsi="Book Antiqua"/>
          <w:lang w:val="en-GB"/>
        </w:rPr>
      </w:pPr>
    </w:p>
    <w:p w:rsidR="00ED1005" w:rsidRPr="00F200E7" w:rsidRDefault="008F272B" w:rsidP="00ED1005">
      <w:pPr>
        <w:pStyle w:val="NoSpacing"/>
        <w:jc w:val="both"/>
        <w:rPr>
          <w:rFonts w:ascii="Book Antiqua" w:hAnsi="Book Antiqua"/>
          <w:lang w:val="en-GB"/>
        </w:rPr>
      </w:pPr>
      <w:r w:rsidRPr="00F200E7">
        <w:rPr>
          <w:rFonts w:ascii="Book Antiqua" w:hAnsi="Book Antiqua"/>
          <w:lang w:val="en-GB"/>
        </w:rPr>
        <w:t>T</w:t>
      </w:r>
      <w:r w:rsidR="00ED1005" w:rsidRPr="00F200E7">
        <w:rPr>
          <w:rFonts w:ascii="Book Antiqua" w:hAnsi="Book Antiqua"/>
          <w:lang w:val="en-GB"/>
        </w:rPr>
        <w:t>he matrix consists of 13 activities</w:t>
      </w:r>
      <w:r w:rsidR="002F09EC">
        <w:rPr>
          <w:rFonts w:ascii="Book Antiqua" w:hAnsi="Book Antiqua"/>
          <w:lang w:val="en-GB"/>
        </w:rPr>
        <w:t>,</w:t>
      </w:r>
      <w:r w:rsidR="006D3059">
        <w:rPr>
          <w:rFonts w:ascii="Book Antiqua" w:hAnsi="Book Antiqua"/>
          <w:lang w:val="en-GB"/>
        </w:rPr>
        <w:t xml:space="preserve"> as listed in Table 6.12</w:t>
      </w:r>
      <w:r w:rsidR="00293DCE" w:rsidRPr="00F200E7">
        <w:rPr>
          <w:rFonts w:ascii="Book Antiqua" w:hAnsi="Book Antiqua"/>
          <w:lang w:val="en-GB"/>
        </w:rPr>
        <w:t>.</w:t>
      </w:r>
      <w:r w:rsidR="004801DD">
        <w:rPr>
          <w:rFonts w:ascii="Book Antiqua" w:hAnsi="Book Antiqua"/>
          <w:lang w:val="en-GB"/>
        </w:rPr>
        <w:t>For products t</w:t>
      </w:r>
      <w:r w:rsidR="00ED1005" w:rsidRPr="00F200E7">
        <w:rPr>
          <w:rFonts w:ascii="Book Antiqua" w:hAnsi="Book Antiqua"/>
          <w:lang w:val="en-GB"/>
        </w:rPr>
        <w:t xml:space="preserve">he level of detail is </w:t>
      </w:r>
      <w:r w:rsidRPr="00F200E7">
        <w:rPr>
          <w:rFonts w:ascii="Book Antiqua" w:hAnsi="Book Antiqua"/>
          <w:lang w:val="en-GB"/>
        </w:rPr>
        <w:t>greater;</w:t>
      </w:r>
      <w:r w:rsidR="00ED1005" w:rsidRPr="00F200E7">
        <w:rPr>
          <w:rFonts w:ascii="Book Antiqua" w:hAnsi="Book Antiqua"/>
          <w:lang w:val="en-GB"/>
        </w:rPr>
        <w:t xml:space="preserve"> 20 products and services </w:t>
      </w:r>
      <w:r w:rsidRPr="00F200E7">
        <w:rPr>
          <w:rFonts w:ascii="Book Antiqua" w:hAnsi="Book Antiqua"/>
          <w:lang w:val="en-GB"/>
        </w:rPr>
        <w:t xml:space="preserve">are </w:t>
      </w:r>
      <w:r w:rsidR="00ED1005" w:rsidRPr="00F200E7">
        <w:rPr>
          <w:rFonts w:ascii="Book Antiqua" w:hAnsi="Book Antiqua"/>
          <w:lang w:val="en-GB"/>
        </w:rPr>
        <w:t xml:space="preserve">included. In the quadrants of additional information, the matrix includes </w:t>
      </w:r>
      <w:r w:rsidRPr="00F200E7">
        <w:rPr>
          <w:rFonts w:ascii="Book Antiqua" w:hAnsi="Book Antiqua"/>
          <w:lang w:val="en-GB"/>
        </w:rPr>
        <w:t>eight</w:t>
      </w:r>
      <w:r w:rsidR="00ED1005" w:rsidRPr="00F200E7">
        <w:rPr>
          <w:rFonts w:ascii="Book Antiqua" w:hAnsi="Book Antiqua"/>
          <w:lang w:val="en-GB"/>
        </w:rPr>
        <w:t xml:space="preserve"> breakdowns of employment, </w:t>
      </w:r>
      <w:r w:rsidR="004E6076">
        <w:rPr>
          <w:rFonts w:ascii="Book Antiqua" w:hAnsi="Book Antiqua"/>
          <w:lang w:val="en-GB"/>
        </w:rPr>
        <w:t>i.e. reflecting payments to the factor labour, and one aggregate reflecting p</w:t>
      </w:r>
      <w:r w:rsidR="00ED1005" w:rsidRPr="00F200E7">
        <w:rPr>
          <w:rFonts w:ascii="Book Antiqua" w:hAnsi="Book Antiqua"/>
          <w:lang w:val="en-GB"/>
        </w:rPr>
        <w:t xml:space="preserve">ayment to </w:t>
      </w:r>
      <w:r w:rsidR="004E6076">
        <w:rPr>
          <w:rFonts w:ascii="Book Antiqua" w:hAnsi="Book Antiqua"/>
          <w:lang w:val="en-GB"/>
        </w:rPr>
        <w:t xml:space="preserve">the factor </w:t>
      </w:r>
      <w:r w:rsidR="00ED1005" w:rsidRPr="00F200E7">
        <w:rPr>
          <w:rFonts w:ascii="Book Antiqua" w:hAnsi="Book Antiqua"/>
          <w:lang w:val="en-GB"/>
        </w:rPr>
        <w:t>capital.</w:t>
      </w:r>
    </w:p>
    <w:p w:rsidR="00ED1005" w:rsidRPr="00F200E7" w:rsidRDefault="00ED1005" w:rsidP="00ED1005">
      <w:pPr>
        <w:pStyle w:val="NoSpacing"/>
        <w:jc w:val="both"/>
        <w:rPr>
          <w:rFonts w:ascii="Book Antiqua" w:hAnsi="Book Antiqua"/>
          <w:lang w:val="en-GB"/>
        </w:rPr>
      </w:pPr>
    </w:p>
    <w:p w:rsidR="00ED1005" w:rsidRDefault="00ED1005" w:rsidP="00ED1005">
      <w:pPr>
        <w:pStyle w:val="NoSpacing"/>
        <w:jc w:val="both"/>
        <w:rPr>
          <w:rFonts w:ascii="Book Antiqua" w:hAnsi="Book Antiqua"/>
          <w:lang w:val="en-GB"/>
        </w:rPr>
      </w:pPr>
      <w:r w:rsidRPr="00F200E7">
        <w:rPr>
          <w:rFonts w:ascii="Book Antiqua" w:hAnsi="Book Antiqua"/>
          <w:lang w:val="en-GB"/>
        </w:rPr>
        <w:t>Additionally</w:t>
      </w:r>
      <w:r w:rsidR="008F272B" w:rsidRPr="00F200E7">
        <w:rPr>
          <w:rFonts w:ascii="Book Antiqua" w:hAnsi="Book Antiqua"/>
          <w:lang w:val="en-GB"/>
        </w:rPr>
        <w:t>,</w:t>
      </w:r>
      <w:r w:rsidRPr="00F200E7">
        <w:rPr>
          <w:rFonts w:ascii="Book Antiqua" w:hAnsi="Book Antiqua"/>
          <w:lang w:val="en-GB"/>
        </w:rPr>
        <w:t xml:space="preserve"> the ICEFI SAM includes a quadrant for poverty analysis, breaking down households into six categories</w:t>
      </w:r>
      <w:r w:rsidR="004E6076">
        <w:rPr>
          <w:rFonts w:ascii="Book Antiqua" w:hAnsi="Book Antiqua"/>
          <w:lang w:val="en-GB"/>
        </w:rPr>
        <w:t xml:space="preserve"> and government into two categories to allow for the </w:t>
      </w:r>
      <w:r w:rsidRPr="00F200E7">
        <w:rPr>
          <w:rFonts w:ascii="Book Antiqua" w:hAnsi="Book Antiqua"/>
          <w:lang w:val="en-GB"/>
        </w:rPr>
        <w:t>analysis of social insurance. The matrix also has a quadrant for saving and investment, and</w:t>
      </w:r>
      <w:r w:rsidR="008F272B" w:rsidRPr="00F200E7">
        <w:rPr>
          <w:rFonts w:ascii="Book Antiqua" w:hAnsi="Book Antiqua"/>
          <w:lang w:val="en-GB"/>
        </w:rPr>
        <w:t>,</w:t>
      </w:r>
      <w:r w:rsidRPr="00F200E7">
        <w:rPr>
          <w:rFonts w:ascii="Book Antiqua" w:hAnsi="Book Antiqua"/>
          <w:lang w:val="en-GB"/>
        </w:rPr>
        <w:t xml:space="preserve"> finally</w:t>
      </w:r>
      <w:r w:rsidR="008F272B" w:rsidRPr="00F200E7">
        <w:rPr>
          <w:rFonts w:ascii="Book Antiqua" w:hAnsi="Book Antiqua"/>
          <w:lang w:val="en-GB"/>
        </w:rPr>
        <w:t>,</w:t>
      </w:r>
      <w:r w:rsidRPr="00F200E7">
        <w:rPr>
          <w:rFonts w:ascii="Book Antiqua" w:hAnsi="Book Antiqua"/>
          <w:lang w:val="en-GB"/>
        </w:rPr>
        <w:t xml:space="preserve"> it includes a quadrant broken</w:t>
      </w:r>
      <w:r w:rsidR="00FB5615">
        <w:rPr>
          <w:rFonts w:ascii="Book Antiqua" w:hAnsi="Book Antiqua"/>
          <w:lang w:val="en-GB"/>
        </w:rPr>
        <w:t xml:space="preserve"> </w:t>
      </w:r>
      <w:r w:rsidRPr="00F200E7">
        <w:rPr>
          <w:rFonts w:ascii="Book Antiqua" w:hAnsi="Book Antiqua"/>
          <w:lang w:val="en-GB"/>
        </w:rPr>
        <w:t xml:space="preserve">down </w:t>
      </w:r>
      <w:r w:rsidR="008F272B" w:rsidRPr="00F200E7">
        <w:rPr>
          <w:rFonts w:ascii="Book Antiqua" w:hAnsi="Book Antiqua"/>
          <w:lang w:val="en-GB"/>
        </w:rPr>
        <w:t>in</w:t>
      </w:r>
      <w:r w:rsidRPr="00F200E7">
        <w:rPr>
          <w:rFonts w:ascii="Book Antiqua" w:hAnsi="Book Antiqua"/>
          <w:lang w:val="en-GB"/>
        </w:rPr>
        <w:t xml:space="preserve">to taxes and </w:t>
      </w:r>
      <w:r w:rsidR="00B173CC">
        <w:rPr>
          <w:rFonts w:ascii="Book Antiqua" w:hAnsi="Book Antiqua"/>
          <w:lang w:val="en-GB"/>
        </w:rPr>
        <w:t xml:space="preserve">employees’ </w:t>
      </w:r>
      <w:r w:rsidRPr="00F200E7">
        <w:rPr>
          <w:rFonts w:ascii="Book Antiqua" w:hAnsi="Book Antiqua"/>
          <w:lang w:val="en-GB"/>
        </w:rPr>
        <w:t>contributions to the social insurance program</w:t>
      </w:r>
      <w:r w:rsidR="004C499C" w:rsidRPr="00F200E7">
        <w:rPr>
          <w:rFonts w:ascii="Book Antiqua" w:hAnsi="Book Antiqua"/>
          <w:lang w:val="en-GB"/>
        </w:rPr>
        <w:t>me</w:t>
      </w:r>
      <w:r w:rsidRPr="00F200E7">
        <w:rPr>
          <w:rFonts w:ascii="Book Antiqua" w:hAnsi="Book Antiqua"/>
          <w:lang w:val="en-GB"/>
        </w:rPr>
        <w:t xml:space="preserve">. </w:t>
      </w:r>
      <w:r w:rsidR="008F272B" w:rsidRPr="00F200E7">
        <w:rPr>
          <w:rFonts w:ascii="Book Antiqua" w:hAnsi="Book Antiqua"/>
          <w:lang w:val="en-GB"/>
        </w:rPr>
        <w:t>In s</w:t>
      </w:r>
      <w:r w:rsidRPr="00F200E7">
        <w:rPr>
          <w:rFonts w:ascii="Book Antiqua" w:hAnsi="Book Antiqua"/>
          <w:lang w:val="en-GB"/>
        </w:rPr>
        <w:t>ummar</w:t>
      </w:r>
      <w:r w:rsidR="008F272B" w:rsidRPr="00F200E7">
        <w:rPr>
          <w:rFonts w:ascii="Book Antiqua" w:hAnsi="Book Antiqua"/>
          <w:lang w:val="en-GB"/>
        </w:rPr>
        <w:t>y</w:t>
      </w:r>
      <w:r w:rsidRPr="00F200E7">
        <w:rPr>
          <w:rFonts w:ascii="Book Antiqua" w:hAnsi="Book Antiqua"/>
          <w:lang w:val="en-GB"/>
        </w:rPr>
        <w:t>, the ICEFI SAM is a matrix with a fiscal, poverty</w:t>
      </w:r>
      <w:r w:rsidR="008F272B" w:rsidRPr="00F200E7">
        <w:rPr>
          <w:rFonts w:ascii="Book Antiqua" w:hAnsi="Book Antiqua"/>
          <w:lang w:val="en-GB"/>
        </w:rPr>
        <w:t>,</w:t>
      </w:r>
      <w:r w:rsidRPr="00F200E7">
        <w:rPr>
          <w:rFonts w:ascii="Book Antiqua" w:hAnsi="Book Antiqua"/>
          <w:lang w:val="en-GB"/>
        </w:rPr>
        <w:t xml:space="preserve"> and employment focus. This last characteristic favoured it</w:t>
      </w:r>
      <w:r w:rsidR="008F272B" w:rsidRPr="00F200E7">
        <w:rPr>
          <w:rFonts w:ascii="Book Antiqua" w:hAnsi="Book Antiqua"/>
          <w:lang w:val="en-GB"/>
        </w:rPr>
        <w:t>s use</w:t>
      </w:r>
      <w:r w:rsidRPr="00F200E7">
        <w:rPr>
          <w:rFonts w:ascii="Book Antiqua" w:hAnsi="Book Antiqua"/>
          <w:lang w:val="en-GB"/>
        </w:rPr>
        <w:t xml:space="preserve"> for the analysis</w:t>
      </w:r>
      <w:r w:rsidR="008F272B" w:rsidRPr="00F200E7">
        <w:rPr>
          <w:rFonts w:ascii="Book Antiqua" w:hAnsi="Book Antiqua"/>
          <w:lang w:val="en-GB"/>
        </w:rPr>
        <w:t>, by means of a generalized Leontief model based on the SAM,</w:t>
      </w:r>
      <w:r w:rsidRPr="00F200E7">
        <w:rPr>
          <w:rFonts w:ascii="Book Antiqua" w:hAnsi="Book Antiqua"/>
          <w:lang w:val="en-GB"/>
        </w:rPr>
        <w:t xml:space="preserve"> of the impact </w:t>
      </w:r>
      <w:r w:rsidR="008F272B" w:rsidRPr="00F200E7">
        <w:rPr>
          <w:rFonts w:ascii="Book Antiqua" w:hAnsi="Book Antiqua"/>
          <w:lang w:val="en-GB"/>
        </w:rPr>
        <w:t xml:space="preserve">that </w:t>
      </w:r>
      <w:r w:rsidR="00562AE0" w:rsidRPr="00F200E7">
        <w:rPr>
          <w:rFonts w:ascii="Book Antiqua" w:hAnsi="Book Antiqua"/>
          <w:lang w:val="en-GB"/>
        </w:rPr>
        <w:t xml:space="preserve">the </w:t>
      </w:r>
      <w:r w:rsidRPr="00F200E7">
        <w:rPr>
          <w:rFonts w:ascii="Book Antiqua" w:hAnsi="Book Antiqua"/>
          <w:lang w:val="en-GB"/>
        </w:rPr>
        <w:t>DR</w:t>
      </w:r>
      <w:r w:rsidR="00562AE0" w:rsidRPr="00F200E7">
        <w:rPr>
          <w:rFonts w:ascii="Book Antiqua" w:hAnsi="Book Antiqua"/>
          <w:lang w:val="en-GB"/>
        </w:rPr>
        <w:t>–</w:t>
      </w:r>
      <w:r w:rsidRPr="00F200E7">
        <w:rPr>
          <w:rFonts w:ascii="Book Antiqua" w:hAnsi="Book Antiqua"/>
          <w:lang w:val="en-GB"/>
        </w:rPr>
        <w:t>CAFTA has had on agricultural employment</w:t>
      </w:r>
      <w:r w:rsidR="006D3059">
        <w:rPr>
          <w:rFonts w:ascii="Book Antiqua" w:hAnsi="Book Antiqua"/>
          <w:lang w:val="en-GB"/>
        </w:rPr>
        <w:t>.</w:t>
      </w:r>
    </w:p>
    <w:p w:rsidR="002F09EC" w:rsidRPr="00F200E7" w:rsidRDefault="002F09EC" w:rsidP="00ED1005">
      <w:pPr>
        <w:pStyle w:val="NoSpacing"/>
        <w:jc w:val="both"/>
        <w:rPr>
          <w:rFonts w:ascii="Book Antiqua" w:hAnsi="Book Antiqua"/>
          <w:lang w:val="en-GB"/>
        </w:rPr>
      </w:pPr>
    </w:p>
    <w:p w:rsidR="00ED1005" w:rsidRPr="00F200E7" w:rsidRDefault="00ED1005" w:rsidP="002F09EC">
      <w:pPr>
        <w:pStyle w:val="Tabletitle"/>
        <w:keepNext/>
      </w:pPr>
      <w:r w:rsidRPr="00F200E7">
        <w:t xml:space="preserve">Table </w:t>
      </w:r>
      <w:r w:rsidR="00562AE0" w:rsidRPr="00F200E7">
        <w:t>6.</w:t>
      </w:r>
      <w:r w:rsidRPr="00F200E7">
        <w:t xml:space="preserve">12: </w:t>
      </w:r>
      <w:r w:rsidR="00562AE0" w:rsidRPr="00F200E7">
        <w:tab/>
      </w:r>
      <w:r w:rsidRPr="00F200E7">
        <w:t xml:space="preserve">Employment </w:t>
      </w:r>
      <w:r w:rsidR="00562AE0" w:rsidRPr="00F200E7">
        <w:t>m</w:t>
      </w:r>
      <w:r w:rsidRPr="00F200E7">
        <w:t>atrix</w:t>
      </w:r>
      <w:r w:rsidR="006D3059">
        <w:t xml:space="preserve">, </w:t>
      </w:r>
      <w:r w:rsidR="00562AE0" w:rsidRPr="00F200E7">
        <w:t>Guatemala, 2006</w:t>
      </w:r>
    </w:p>
    <w:bookmarkStart w:id="176" w:name="_MON_1411473670"/>
    <w:bookmarkEnd w:id="176"/>
    <w:p w:rsidR="00ED1005" w:rsidRPr="00F200E7" w:rsidRDefault="00C204C2" w:rsidP="00ED1005">
      <w:pPr>
        <w:pStyle w:val="NoSpacing"/>
        <w:rPr>
          <w:rFonts w:ascii="Book Antiqua" w:hAnsi="Book Antiqua"/>
          <w:lang w:val="en-GB"/>
        </w:rPr>
      </w:pPr>
      <w:r w:rsidRPr="00F200E7">
        <w:rPr>
          <w:noProof/>
          <w:lang w:val="en-GB"/>
        </w:rPr>
        <w:object w:dxaOrig="10908" w:dyaOrig="5449">
          <v:shape id="_x0000_i1029" type="#_x0000_t75" style="width:424.5pt;height:212.25pt" o:ole="">
            <v:imagedata r:id="rId45" o:title=""/>
          </v:shape>
          <o:OLEObject Type="Embed" ProgID="Excel.Sheet.8" ShapeID="_x0000_i1029" DrawAspect="Content" ObjectID="_1420279821" r:id="rId46"/>
        </w:object>
      </w:r>
    </w:p>
    <w:p w:rsidR="00362D81" w:rsidRDefault="00362D81" w:rsidP="00ED1005">
      <w:pPr>
        <w:pStyle w:val="NoSpacing"/>
        <w:jc w:val="both"/>
        <w:rPr>
          <w:rFonts w:ascii="Book Antiqua" w:hAnsi="Book Antiqua"/>
          <w:lang w:val="en-GB"/>
        </w:rPr>
      </w:pPr>
    </w:p>
    <w:p w:rsidR="00C204C2" w:rsidRDefault="00362D81" w:rsidP="00ED1005">
      <w:pPr>
        <w:pStyle w:val="NoSpacing"/>
        <w:jc w:val="both"/>
        <w:rPr>
          <w:rFonts w:ascii="Book Antiqua" w:hAnsi="Book Antiqua"/>
          <w:sz w:val="16"/>
          <w:szCs w:val="16"/>
          <w:lang w:val="es-ES"/>
        </w:rPr>
      </w:pPr>
      <w:proofErr w:type="spellStart"/>
      <w:r w:rsidRPr="00362D81">
        <w:rPr>
          <w:rFonts w:ascii="Book Antiqua" w:hAnsi="Book Antiqua"/>
          <w:sz w:val="16"/>
          <w:szCs w:val="16"/>
          <w:lang w:val="es-ES"/>
        </w:rPr>
        <w:t>Source</w:t>
      </w:r>
      <w:proofErr w:type="spellEnd"/>
      <w:r w:rsidRPr="00362D81">
        <w:rPr>
          <w:rFonts w:ascii="Book Antiqua" w:hAnsi="Book Antiqua"/>
          <w:sz w:val="16"/>
          <w:szCs w:val="16"/>
          <w:lang w:val="es-ES"/>
        </w:rPr>
        <w:t>: Instituto Centroamericano de Estudios Fiscales (ICEFI).</w:t>
      </w:r>
    </w:p>
    <w:p w:rsidR="00ED1005" w:rsidRPr="00F200E7" w:rsidRDefault="008A5724" w:rsidP="00ED1005">
      <w:pPr>
        <w:pStyle w:val="NoSpacing"/>
        <w:jc w:val="both"/>
        <w:rPr>
          <w:rFonts w:ascii="Book Antiqua" w:hAnsi="Book Antiqua"/>
          <w:lang w:val="en-GB"/>
        </w:rPr>
      </w:pPr>
      <w:r w:rsidRPr="00F200E7">
        <w:rPr>
          <w:rFonts w:ascii="Book Antiqua" w:hAnsi="Book Antiqua"/>
          <w:lang w:val="en-GB"/>
        </w:rPr>
        <w:t xml:space="preserve">Based on </w:t>
      </w:r>
      <w:r w:rsidR="00ED1005" w:rsidRPr="00F200E7">
        <w:rPr>
          <w:rFonts w:ascii="Book Antiqua" w:hAnsi="Book Antiqua"/>
          <w:lang w:val="en-GB"/>
        </w:rPr>
        <w:t xml:space="preserve">the </w:t>
      </w:r>
      <w:r w:rsidRPr="00F200E7">
        <w:rPr>
          <w:rFonts w:ascii="Book Antiqua" w:hAnsi="Book Antiqua"/>
          <w:lang w:val="en-GB"/>
        </w:rPr>
        <w:t xml:space="preserve">relationships </w:t>
      </w:r>
      <w:r w:rsidR="008A144A" w:rsidRPr="00F200E7">
        <w:rPr>
          <w:rFonts w:ascii="Book Antiqua" w:hAnsi="Book Antiqua"/>
          <w:lang w:val="en-GB"/>
        </w:rPr>
        <w:t>between</w:t>
      </w:r>
      <w:r w:rsidRPr="00F200E7">
        <w:rPr>
          <w:rFonts w:ascii="Book Antiqua" w:hAnsi="Book Antiqua"/>
          <w:lang w:val="en-GB"/>
        </w:rPr>
        <w:t xml:space="preserve"> table</w:t>
      </w:r>
      <w:r w:rsidR="008A144A" w:rsidRPr="00F200E7">
        <w:rPr>
          <w:rFonts w:ascii="Book Antiqua" w:hAnsi="Book Antiqua"/>
          <w:lang w:val="en-GB"/>
        </w:rPr>
        <w:t>s 6.11 and</w:t>
      </w:r>
      <w:r w:rsidRPr="00F200E7">
        <w:rPr>
          <w:rFonts w:ascii="Book Antiqua" w:hAnsi="Book Antiqua"/>
          <w:lang w:val="en-GB"/>
        </w:rPr>
        <w:t xml:space="preserve"> 6.12,</w:t>
      </w:r>
      <w:r w:rsidR="00ED1005" w:rsidRPr="00F200E7">
        <w:rPr>
          <w:rFonts w:ascii="Book Antiqua" w:hAnsi="Book Antiqua"/>
          <w:lang w:val="en-GB"/>
        </w:rPr>
        <w:t xml:space="preserve"> the </w:t>
      </w:r>
      <w:r w:rsidR="00151980" w:rsidRPr="00F200E7">
        <w:rPr>
          <w:rFonts w:ascii="Book Antiqua" w:hAnsi="Book Antiqua"/>
          <w:lang w:val="en-GB"/>
        </w:rPr>
        <w:t xml:space="preserve">labour </w:t>
      </w:r>
      <w:r w:rsidR="00ED1005" w:rsidRPr="00F200E7">
        <w:rPr>
          <w:rFonts w:ascii="Book Antiqua" w:hAnsi="Book Antiqua"/>
          <w:lang w:val="en-GB"/>
        </w:rPr>
        <w:t>requirements</w:t>
      </w:r>
      <w:r w:rsidR="008A144A" w:rsidRPr="00F200E7">
        <w:rPr>
          <w:rFonts w:ascii="Book Antiqua" w:hAnsi="Book Antiqua"/>
          <w:lang w:val="en-GB"/>
        </w:rPr>
        <w:t>, expressed as a technical coefficient,</w:t>
      </w:r>
      <w:r w:rsidR="00ED1005" w:rsidRPr="00F200E7">
        <w:rPr>
          <w:rFonts w:ascii="Book Antiqua" w:hAnsi="Book Antiqua"/>
          <w:lang w:val="en-GB"/>
        </w:rPr>
        <w:t xml:space="preserve"> were established for each activity by dividing the number of workers in the activity by the millions of GTQ produced each year, resulting in an employment ratio for each activity. This ratio</w:t>
      </w:r>
      <w:r w:rsidR="008A144A" w:rsidRPr="00F200E7">
        <w:rPr>
          <w:rFonts w:ascii="Book Antiqua" w:hAnsi="Book Antiqua"/>
          <w:lang w:val="en-GB"/>
        </w:rPr>
        <w:t>,</w:t>
      </w:r>
      <w:r w:rsidR="00ED1005" w:rsidRPr="00F200E7">
        <w:rPr>
          <w:rFonts w:ascii="Book Antiqua" w:hAnsi="Book Antiqua"/>
          <w:lang w:val="en-GB"/>
        </w:rPr>
        <w:t xml:space="preserve"> multiplied by the vector result</w:t>
      </w:r>
      <w:r w:rsidR="008A144A" w:rsidRPr="00F200E7">
        <w:rPr>
          <w:rFonts w:ascii="Book Antiqua" w:hAnsi="Book Antiqua"/>
          <w:lang w:val="en-GB"/>
        </w:rPr>
        <w:t>ing</w:t>
      </w:r>
      <w:r w:rsidR="00FB5615">
        <w:rPr>
          <w:rFonts w:ascii="Book Antiqua" w:hAnsi="Book Antiqua"/>
          <w:lang w:val="en-GB"/>
        </w:rPr>
        <w:t xml:space="preserve"> </w:t>
      </w:r>
      <w:r w:rsidR="008A144A" w:rsidRPr="00F200E7">
        <w:rPr>
          <w:rFonts w:ascii="Book Antiqua" w:hAnsi="Book Antiqua"/>
          <w:lang w:val="en-GB"/>
        </w:rPr>
        <w:t xml:space="preserve">from </w:t>
      </w:r>
      <w:r w:rsidR="00ED1005" w:rsidRPr="00F200E7">
        <w:rPr>
          <w:rFonts w:ascii="Book Antiqua" w:hAnsi="Book Antiqua"/>
          <w:lang w:val="en-GB"/>
        </w:rPr>
        <w:t>the shock in the agricultural sector</w:t>
      </w:r>
      <w:r w:rsidR="008A144A" w:rsidRPr="00F200E7">
        <w:rPr>
          <w:rFonts w:ascii="Book Antiqua" w:hAnsi="Book Antiqua"/>
          <w:lang w:val="en-GB"/>
        </w:rPr>
        <w:t>,</w:t>
      </w:r>
      <w:r w:rsidR="00ED1005" w:rsidRPr="00F200E7">
        <w:rPr>
          <w:rFonts w:ascii="Book Antiqua" w:hAnsi="Book Antiqua"/>
          <w:lang w:val="en-GB"/>
        </w:rPr>
        <w:t xml:space="preserve"> yields the number of jobs created, if positive, or the number of jobs lost, if negative.</w:t>
      </w:r>
    </w:p>
    <w:p w:rsidR="006A59E3" w:rsidRPr="00F200E7" w:rsidRDefault="006A59E3" w:rsidP="00ED1005">
      <w:pPr>
        <w:pStyle w:val="NoSpacing"/>
        <w:jc w:val="both"/>
        <w:rPr>
          <w:rFonts w:ascii="Book Antiqua" w:hAnsi="Book Antiqua"/>
          <w:b/>
          <w:lang w:val="en-GB"/>
        </w:rPr>
      </w:pPr>
    </w:p>
    <w:p w:rsidR="00ED1005" w:rsidRPr="00F200E7" w:rsidRDefault="006A59E3" w:rsidP="00ED1005">
      <w:pPr>
        <w:pStyle w:val="NoSpacing"/>
        <w:jc w:val="both"/>
        <w:rPr>
          <w:rFonts w:ascii="Book Antiqua" w:hAnsi="Book Antiqua"/>
          <w:b/>
          <w:lang w:val="en-GB"/>
        </w:rPr>
      </w:pPr>
      <w:r w:rsidRPr="00F200E7">
        <w:rPr>
          <w:rFonts w:ascii="Book Antiqua" w:hAnsi="Book Antiqua"/>
          <w:b/>
          <w:lang w:val="en-GB"/>
        </w:rPr>
        <w:t>6.</w:t>
      </w:r>
      <w:r w:rsidR="00116FF7">
        <w:rPr>
          <w:rFonts w:ascii="Book Antiqua" w:hAnsi="Book Antiqua"/>
          <w:b/>
          <w:lang w:val="en-GB"/>
        </w:rPr>
        <w:t>5</w:t>
      </w:r>
      <w:r w:rsidRPr="00F200E7">
        <w:rPr>
          <w:rFonts w:ascii="Book Antiqua" w:hAnsi="Book Antiqua"/>
          <w:b/>
          <w:lang w:val="en-GB"/>
        </w:rPr>
        <w:t>.2.3</w:t>
      </w:r>
      <w:r w:rsidRPr="00F200E7">
        <w:rPr>
          <w:rFonts w:ascii="Book Antiqua" w:hAnsi="Book Antiqua"/>
          <w:b/>
          <w:lang w:val="en-GB"/>
        </w:rPr>
        <w:tab/>
      </w:r>
      <w:r w:rsidR="00ED1005" w:rsidRPr="00F200E7">
        <w:rPr>
          <w:rFonts w:ascii="Book Antiqua" w:hAnsi="Book Antiqua"/>
          <w:b/>
          <w:lang w:val="en-GB"/>
        </w:rPr>
        <w:t xml:space="preserve">Exogenous </w:t>
      </w:r>
      <w:r w:rsidRPr="00F200E7">
        <w:rPr>
          <w:rFonts w:ascii="Book Antiqua" w:hAnsi="Book Antiqua"/>
          <w:b/>
          <w:lang w:val="en-GB"/>
        </w:rPr>
        <w:t>v</w:t>
      </w:r>
      <w:r w:rsidR="00ED1005" w:rsidRPr="00F200E7">
        <w:rPr>
          <w:rFonts w:ascii="Book Antiqua" w:hAnsi="Book Antiqua"/>
          <w:b/>
          <w:lang w:val="en-GB"/>
        </w:rPr>
        <w:t>ector</w:t>
      </w:r>
    </w:p>
    <w:p w:rsidR="00ED1005" w:rsidRDefault="00ED1005" w:rsidP="00ED1005">
      <w:pPr>
        <w:pStyle w:val="NoSpacing"/>
        <w:jc w:val="both"/>
        <w:rPr>
          <w:rFonts w:ascii="Book Antiqua" w:hAnsi="Book Antiqua"/>
          <w:lang w:val="en-GB"/>
        </w:rPr>
      </w:pPr>
      <w:r w:rsidRPr="00F200E7">
        <w:rPr>
          <w:rFonts w:ascii="Book Antiqua" w:hAnsi="Book Antiqua"/>
          <w:lang w:val="en-GB"/>
        </w:rPr>
        <w:t xml:space="preserve">To calculate the exogenous vector, the average </w:t>
      </w:r>
      <w:r w:rsidR="006D3059" w:rsidRPr="007624A8">
        <w:rPr>
          <w:rFonts w:ascii="Book Antiqua" w:hAnsi="Book Antiqua"/>
          <w:lang w:val="en-GB"/>
        </w:rPr>
        <w:t>annual</w:t>
      </w:r>
      <w:r w:rsidR="00FB5615">
        <w:rPr>
          <w:rFonts w:ascii="Book Antiqua" w:hAnsi="Book Antiqua"/>
          <w:lang w:val="en-GB"/>
        </w:rPr>
        <w:t xml:space="preserve"> </w:t>
      </w:r>
      <w:r w:rsidRPr="00F200E7">
        <w:rPr>
          <w:rFonts w:ascii="Book Antiqua" w:hAnsi="Book Antiqua"/>
          <w:lang w:val="en-GB"/>
        </w:rPr>
        <w:t>growth in agricultural export volumes before and after DF</w:t>
      </w:r>
      <w:r w:rsidR="006A59E3" w:rsidRPr="00F200E7">
        <w:rPr>
          <w:rFonts w:ascii="Book Antiqua" w:hAnsi="Book Antiqua"/>
          <w:lang w:val="en-GB"/>
        </w:rPr>
        <w:t>–</w:t>
      </w:r>
      <w:r w:rsidRPr="00F200E7">
        <w:rPr>
          <w:rFonts w:ascii="Book Antiqua" w:hAnsi="Book Antiqua"/>
          <w:lang w:val="en-GB"/>
        </w:rPr>
        <w:t>CAFTA</w:t>
      </w:r>
      <w:r w:rsidR="006A59E3" w:rsidRPr="00F200E7">
        <w:rPr>
          <w:rFonts w:ascii="Book Antiqua" w:hAnsi="Book Antiqua"/>
          <w:lang w:val="en-GB"/>
        </w:rPr>
        <w:t xml:space="preserve"> was used</w:t>
      </w:r>
      <w:r w:rsidRPr="00F200E7">
        <w:rPr>
          <w:rFonts w:ascii="Book Antiqua" w:hAnsi="Book Antiqua"/>
          <w:lang w:val="en-GB"/>
        </w:rPr>
        <w:t xml:space="preserve">. </w:t>
      </w:r>
      <w:r w:rsidR="00596A5C" w:rsidRPr="00F200E7">
        <w:rPr>
          <w:rFonts w:ascii="Book Antiqua" w:hAnsi="Book Antiqua"/>
          <w:lang w:val="en-GB"/>
        </w:rPr>
        <w:t xml:space="preserve">The average annual growth </w:t>
      </w:r>
      <w:r w:rsidR="00C55A8D" w:rsidRPr="00DA2553">
        <w:rPr>
          <w:rFonts w:ascii="Book Antiqua" w:hAnsi="Book Antiqua"/>
          <w:lang w:val="en-GB"/>
        </w:rPr>
        <w:t>rates</w:t>
      </w:r>
      <w:r w:rsidR="00FB5615">
        <w:rPr>
          <w:rFonts w:ascii="Book Antiqua" w:hAnsi="Book Antiqua"/>
          <w:lang w:val="en-GB"/>
        </w:rPr>
        <w:t xml:space="preserve"> </w:t>
      </w:r>
      <w:r w:rsidR="00596A5C" w:rsidRPr="00F200E7">
        <w:rPr>
          <w:rFonts w:ascii="Book Antiqua" w:hAnsi="Book Antiqua"/>
          <w:lang w:val="en-GB"/>
        </w:rPr>
        <w:t>in the export volumes of coffee, sugar</w:t>
      </w:r>
      <w:r w:rsidR="00B173CC">
        <w:rPr>
          <w:rFonts w:ascii="Book Antiqua" w:hAnsi="Book Antiqua"/>
          <w:lang w:val="en-GB"/>
        </w:rPr>
        <w:t>,</w:t>
      </w:r>
      <w:r w:rsidR="00596A5C" w:rsidRPr="00F200E7">
        <w:rPr>
          <w:rFonts w:ascii="Book Antiqua" w:hAnsi="Book Antiqua"/>
          <w:lang w:val="en-GB"/>
        </w:rPr>
        <w:t xml:space="preserve"> and bananas before and after the Agreement </w:t>
      </w:r>
      <w:r w:rsidR="00B173CC">
        <w:rPr>
          <w:rFonts w:ascii="Book Antiqua" w:hAnsi="Book Antiqua"/>
          <w:lang w:val="en-GB"/>
        </w:rPr>
        <w:t>are</w:t>
      </w:r>
      <w:r w:rsidR="00FB5615">
        <w:rPr>
          <w:rFonts w:ascii="Book Antiqua" w:hAnsi="Book Antiqua"/>
          <w:lang w:val="en-GB"/>
        </w:rPr>
        <w:t xml:space="preserve"> </w:t>
      </w:r>
      <w:r w:rsidR="00596A5C" w:rsidRPr="00F200E7">
        <w:rPr>
          <w:rFonts w:ascii="Book Antiqua" w:hAnsi="Book Antiqua"/>
          <w:lang w:val="en-GB"/>
        </w:rPr>
        <w:t>shown in table 6.13.</w:t>
      </w:r>
    </w:p>
    <w:p w:rsidR="0060333E" w:rsidRPr="00F200E7" w:rsidRDefault="0060333E" w:rsidP="00ED1005">
      <w:pPr>
        <w:pStyle w:val="NoSpacing"/>
        <w:jc w:val="both"/>
        <w:rPr>
          <w:rFonts w:ascii="Book Antiqua" w:hAnsi="Book Antiqua"/>
          <w:lang w:val="en-GB"/>
        </w:rPr>
      </w:pPr>
    </w:p>
    <w:p w:rsidR="00ED1005" w:rsidRPr="00F200E7" w:rsidRDefault="00ED1005" w:rsidP="00C55A8D">
      <w:pPr>
        <w:pStyle w:val="Tabletitle"/>
      </w:pPr>
      <w:r w:rsidRPr="00F200E7">
        <w:t xml:space="preserve">Table </w:t>
      </w:r>
      <w:r w:rsidR="00B421EC" w:rsidRPr="00F200E7">
        <w:t>6.</w:t>
      </w:r>
      <w:r w:rsidRPr="00F200E7">
        <w:t>13:</w:t>
      </w:r>
      <w:r w:rsidR="00B421EC" w:rsidRPr="00F200E7">
        <w:tab/>
      </w:r>
      <w:r w:rsidRPr="00F200E7">
        <w:t xml:space="preserve">Growth rates </w:t>
      </w:r>
      <w:r w:rsidR="00B421EC" w:rsidRPr="00F200E7">
        <w:t xml:space="preserve">in </w:t>
      </w:r>
      <w:r w:rsidRPr="00F200E7">
        <w:t>volume of agricultural exports</w:t>
      </w:r>
    </w:p>
    <w:p w:rsidR="00ED1005" w:rsidRPr="00F200E7" w:rsidRDefault="00ED1005" w:rsidP="00ED1005">
      <w:pPr>
        <w:pStyle w:val="NoSpacing"/>
        <w:ind w:left="720"/>
        <w:jc w:val="both"/>
        <w:rPr>
          <w:rFonts w:ascii="Book Antiqua" w:hAnsi="Book Antiqua"/>
          <w:lang w:val="en-GB"/>
        </w:rPr>
      </w:pPr>
    </w:p>
    <w:tbl>
      <w:tblPr>
        <w:tblW w:w="7766" w:type="dxa"/>
        <w:tblInd w:w="779" w:type="dxa"/>
        <w:tblCellMar>
          <w:left w:w="70" w:type="dxa"/>
          <w:right w:w="70" w:type="dxa"/>
        </w:tblCellMar>
        <w:tblLook w:val="04A0"/>
      </w:tblPr>
      <w:tblGrid>
        <w:gridCol w:w="2966"/>
        <w:gridCol w:w="2400"/>
        <w:gridCol w:w="2400"/>
      </w:tblGrid>
      <w:tr w:rsidR="00ED1005" w:rsidRPr="00F200E7" w:rsidTr="00ED1005">
        <w:trPr>
          <w:trHeight w:val="900"/>
        </w:trPr>
        <w:tc>
          <w:tcPr>
            <w:tcW w:w="2966" w:type="dxa"/>
            <w:tcBorders>
              <w:top w:val="single" w:sz="4" w:space="0" w:color="auto"/>
              <w:bottom w:val="single" w:sz="4" w:space="0" w:color="auto"/>
            </w:tcBorders>
            <w:shd w:val="clear" w:color="auto" w:fill="auto"/>
            <w:noWrap/>
            <w:vAlign w:val="center"/>
            <w:hideMark/>
          </w:tcPr>
          <w:p w:rsidR="00ED1005" w:rsidRPr="00F200E7" w:rsidRDefault="00ED1005" w:rsidP="00ED1005">
            <w:pPr>
              <w:spacing w:after="0" w:line="240" w:lineRule="auto"/>
              <w:jc w:val="both"/>
              <w:rPr>
                <w:rFonts w:ascii="Book Antiqua" w:eastAsia="Times New Roman" w:hAnsi="Book Antiqua" w:cs="Calibri"/>
                <w:b/>
                <w:bCs/>
                <w:color w:val="000000"/>
                <w:sz w:val="20"/>
                <w:lang w:val="en-GB" w:eastAsia="es-GT"/>
              </w:rPr>
            </w:pPr>
            <w:r w:rsidRPr="00F200E7">
              <w:rPr>
                <w:rFonts w:ascii="Book Antiqua" w:eastAsia="Times New Roman" w:hAnsi="Book Antiqua" w:cs="Calibri"/>
                <w:b/>
                <w:bCs/>
                <w:color w:val="000000"/>
                <w:sz w:val="20"/>
                <w:lang w:val="en-GB" w:eastAsia="es-GT"/>
              </w:rPr>
              <w:t>Product</w:t>
            </w:r>
          </w:p>
        </w:tc>
        <w:tc>
          <w:tcPr>
            <w:tcW w:w="2400" w:type="dxa"/>
            <w:tcBorders>
              <w:top w:val="single" w:sz="4" w:space="0" w:color="auto"/>
              <w:bottom w:val="single" w:sz="4" w:space="0" w:color="auto"/>
            </w:tcBorders>
            <w:shd w:val="clear" w:color="auto" w:fill="auto"/>
            <w:vAlign w:val="center"/>
            <w:hideMark/>
          </w:tcPr>
          <w:p w:rsidR="00ED1005" w:rsidRPr="00F200E7" w:rsidRDefault="007624A8" w:rsidP="007624A8">
            <w:pPr>
              <w:spacing w:after="0" w:line="240" w:lineRule="auto"/>
              <w:jc w:val="center"/>
              <w:rPr>
                <w:rFonts w:ascii="Book Antiqua" w:eastAsia="Times New Roman" w:hAnsi="Book Antiqua" w:cs="Calibri"/>
                <w:b/>
                <w:bCs/>
                <w:color w:val="000000"/>
                <w:sz w:val="20"/>
                <w:lang w:val="en-GB" w:eastAsia="es-GT"/>
              </w:rPr>
            </w:pPr>
            <w:r>
              <w:rPr>
                <w:rFonts w:ascii="Book Antiqua" w:eastAsia="Times New Roman" w:hAnsi="Book Antiqua" w:cs="Calibri"/>
                <w:b/>
                <w:bCs/>
                <w:color w:val="000000"/>
                <w:sz w:val="20"/>
                <w:lang w:val="en-GB" w:eastAsia="es-GT"/>
              </w:rPr>
              <w:t>Average annual g</w:t>
            </w:r>
            <w:r w:rsidR="00ED1005" w:rsidRPr="00F200E7">
              <w:rPr>
                <w:rFonts w:ascii="Book Antiqua" w:eastAsia="Times New Roman" w:hAnsi="Book Antiqua" w:cs="Calibri"/>
                <w:b/>
                <w:bCs/>
                <w:color w:val="000000"/>
                <w:sz w:val="20"/>
                <w:lang w:val="en-GB" w:eastAsia="es-GT"/>
              </w:rPr>
              <w:t xml:space="preserve">rowth rate before </w:t>
            </w:r>
            <w:r w:rsidR="00B421EC" w:rsidRPr="00F200E7">
              <w:rPr>
                <w:rFonts w:ascii="Book Antiqua" w:eastAsia="Times New Roman" w:hAnsi="Book Antiqua" w:cs="Calibri"/>
                <w:b/>
                <w:bCs/>
                <w:color w:val="000000"/>
                <w:sz w:val="20"/>
                <w:lang w:val="en-GB" w:eastAsia="es-GT"/>
              </w:rPr>
              <w:br/>
            </w:r>
            <w:r w:rsidR="00ED1005" w:rsidRPr="00F200E7">
              <w:rPr>
                <w:rFonts w:ascii="Book Antiqua" w:eastAsia="Times New Roman" w:hAnsi="Book Antiqua" w:cs="Calibri"/>
                <w:b/>
                <w:bCs/>
                <w:color w:val="000000"/>
                <w:sz w:val="20"/>
                <w:lang w:val="en-GB" w:eastAsia="es-GT"/>
              </w:rPr>
              <w:t>DR</w:t>
            </w:r>
            <w:r w:rsidR="00B421EC" w:rsidRPr="00F200E7">
              <w:rPr>
                <w:rFonts w:ascii="Book Antiqua" w:eastAsia="Times New Roman" w:hAnsi="Book Antiqua" w:cs="Calibri"/>
                <w:b/>
                <w:bCs/>
                <w:color w:val="000000"/>
                <w:sz w:val="20"/>
                <w:lang w:val="en-GB" w:eastAsia="es-GT"/>
              </w:rPr>
              <w:t>–</w:t>
            </w:r>
            <w:r w:rsidR="00ED1005" w:rsidRPr="00F200E7">
              <w:rPr>
                <w:rFonts w:ascii="Book Antiqua" w:eastAsia="Times New Roman" w:hAnsi="Book Antiqua" w:cs="Calibri"/>
                <w:b/>
                <w:bCs/>
                <w:color w:val="000000"/>
                <w:sz w:val="20"/>
                <w:lang w:val="en-GB" w:eastAsia="es-GT"/>
              </w:rPr>
              <w:t>CAFTA (2000</w:t>
            </w:r>
            <w:r w:rsidR="00B421EC" w:rsidRPr="00F200E7">
              <w:rPr>
                <w:rFonts w:ascii="Book Antiqua" w:eastAsia="Times New Roman" w:hAnsi="Book Antiqua" w:cs="Calibri"/>
                <w:b/>
                <w:bCs/>
                <w:color w:val="000000"/>
                <w:sz w:val="20"/>
                <w:lang w:val="en-GB" w:eastAsia="es-GT"/>
              </w:rPr>
              <w:t>–</w:t>
            </w:r>
            <w:r w:rsidR="00ED1005" w:rsidRPr="00F200E7">
              <w:rPr>
                <w:rFonts w:ascii="Book Antiqua" w:eastAsia="Times New Roman" w:hAnsi="Book Antiqua" w:cs="Calibri"/>
                <w:b/>
                <w:bCs/>
                <w:color w:val="000000"/>
                <w:sz w:val="20"/>
                <w:lang w:val="en-GB" w:eastAsia="es-GT"/>
              </w:rPr>
              <w:t>2006)</w:t>
            </w:r>
          </w:p>
        </w:tc>
        <w:tc>
          <w:tcPr>
            <w:tcW w:w="2400" w:type="dxa"/>
            <w:tcBorders>
              <w:top w:val="single" w:sz="4" w:space="0" w:color="auto"/>
              <w:bottom w:val="single" w:sz="4" w:space="0" w:color="auto"/>
            </w:tcBorders>
            <w:shd w:val="clear" w:color="auto" w:fill="auto"/>
            <w:vAlign w:val="center"/>
            <w:hideMark/>
          </w:tcPr>
          <w:p w:rsidR="00ED1005" w:rsidRPr="00F200E7" w:rsidRDefault="007624A8" w:rsidP="007624A8">
            <w:pPr>
              <w:spacing w:after="0" w:line="240" w:lineRule="auto"/>
              <w:jc w:val="center"/>
              <w:rPr>
                <w:rFonts w:ascii="Book Antiqua" w:eastAsia="Times New Roman" w:hAnsi="Book Antiqua" w:cs="Calibri"/>
                <w:b/>
                <w:bCs/>
                <w:color w:val="000000"/>
                <w:sz w:val="20"/>
                <w:lang w:val="en-GB" w:eastAsia="es-GT"/>
              </w:rPr>
            </w:pPr>
            <w:r>
              <w:rPr>
                <w:rFonts w:ascii="Book Antiqua" w:eastAsia="Times New Roman" w:hAnsi="Book Antiqua" w:cs="Calibri"/>
                <w:b/>
                <w:bCs/>
                <w:color w:val="000000"/>
                <w:sz w:val="20"/>
                <w:lang w:val="en-GB" w:eastAsia="es-GT"/>
              </w:rPr>
              <w:t>Average annual g</w:t>
            </w:r>
            <w:r w:rsidR="00ED1005" w:rsidRPr="00F200E7">
              <w:rPr>
                <w:rFonts w:ascii="Book Antiqua" w:eastAsia="Times New Roman" w:hAnsi="Book Antiqua" w:cs="Calibri"/>
                <w:b/>
                <w:bCs/>
                <w:color w:val="000000"/>
                <w:sz w:val="20"/>
                <w:lang w:val="en-GB" w:eastAsia="es-GT"/>
              </w:rPr>
              <w:t xml:space="preserve">rowth </w:t>
            </w:r>
            <w:r w:rsidR="00B421EC" w:rsidRPr="00F200E7">
              <w:rPr>
                <w:rFonts w:ascii="Book Antiqua" w:eastAsia="Times New Roman" w:hAnsi="Book Antiqua" w:cs="Calibri"/>
                <w:b/>
                <w:bCs/>
                <w:color w:val="000000"/>
                <w:sz w:val="20"/>
                <w:lang w:val="en-GB" w:eastAsia="es-GT"/>
              </w:rPr>
              <w:t>r</w:t>
            </w:r>
            <w:r w:rsidR="00ED1005" w:rsidRPr="00F200E7">
              <w:rPr>
                <w:rFonts w:ascii="Book Antiqua" w:eastAsia="Times New Roman" w:hAnsi="Book Antiqua" w:cs="Calibri"/>
                <w:b/>
                <w:bCs/>
                <w:color w:val="000000"/>
                <w:sz w:val="20"/>
                <w:lang w:val="en-GB" w:eastAsia="es-GT"/>
              </w:rPr>
              <w:t xml:space="preserve">ate after </w:t>
            </w:r>
            <w:r w:rsidR="00B421EC" w:rsidRPr="00F200E7">
              <w:rPr>
                <w:rFonts w:ascii="Book Antiqua" w:eastAsia="Times New Roman" w:hAnsi="Book Antiqua" w:cs="Calibri"/>
                <w:b/>
                <w:bCs/>
                <w:color w:val="000000"/>
                <w:sz w:val="20"/>
                <w:lang w:val="en-GB" w:eastAsia="es-GT"/>
              </w:rPr>
              <w:br/>
            </w:r>
            <w:r w:rsidR="00ED1005" w:rsidRPr="00F200E7">
              <w:rPr>
                <w:rFonts w:ascii="Book Antiqua" w:eastAsia="Times New Roman" w:hAnsi="Book Antiqua" w:cs="Calibri"/>
                <w:b/>
                <w:bCs/>
                <w:color w:val="000000"/>
                <w:sz w:val="20"/>
                <w:lang w:val="en-GB" w:eastAsia="es-GT"/>
              </w:rPr>
              <w:t>DR</w:t>
            </w:r>
            <w:r w:rsidR="00B421EC" w:rsidRPr="00F200E7">
              <w:rPr>
                <w:rFonts w:ascii="Book Antiqua" w:eastAsia="Times New Roman" w:hAnsi="Book Antiqua" w:cs="Calibri"/>
                <w:b/>
                <w:bCs/>
                <w:color w:val="000000"/>
                <w:sz w:val="20"/>
                <w:lang w:val="en-GB" w:eastAsia="es-GT"/>
              </w:rPr>
              <w:t>–</w:t>
            </w:r>
            <w:r w:rsidR="00ED1005" w:rsidRPr="00F200E7">
              <w:rPr>
                <w:rFonts w:ascii="Book Antiqua" w:eastAsia="Times New Roman" w:hAnsi="Book Antiqua" w:cs="Calibri"/>
                <w:b/>
                <w:bCs/>
                <w:color w:val="000000"/>
                <w:sz w:val="20"/>
                <w:lang w:val="en-GB" w:eastAsia="es-GT"/>
              </w:rPr>
              <w:t>CAFTA (2007</w:t>
            </w:r>
            <w:r w:rsidR="00B421EC" w:rsidRPr="00F200E7">
              <w:rPr>
                <w:rFonts w:ascii="Book Antiqua" w:eastAsia="Times New Roman" w:hAnsi="Book Antiqua" w:cs="Calibri"/>
                <w:b/>
                <w:bCs/>
                <w:color w:val="000000"/>
                <w:sz w:val="20"/>
                <w:lang w:val="en-GB" w:eastAsia="es-GT"/>
              </w:rPr>
              <w:t>–</w:t>
            </w:r>
            <w:r w:rsidR="00ED1005" w:rsidRPr="00F200E7">
              <w:rPr>
                <w:rFonts w:ascii="Book Antiqua" w:eastAsia="Times New Roman" w:hAnsi="Book Antiqua" w:cs="Calibri"/>
                <w:b/>
                <w:bCs/>
                <w:color w:val="000000"/>
                <w:sz w:val="20"/>
                <w:lang w:val="en-GB" w:eastAsia="es-GT"/>
              </w:rPr>
              <w:t>2011)</w:t>
            </w:r>
          </w:p>
        </w:tc>
      </w:tr>
      <w:tr w:rsidR="00ED1005" w:rsidRPr="00F200E7" w:rsidTr="00ED1005">
        <w:trPr>
          <w:trHeight w:val="300"/>
        </w:trPr>
        <w:tc>
          <w:tcPr>
            <w:tcW w:w="2966" w:type="dxa"/>
            <w:tcBorders>
              <w:top w:val="single" w:sz="4" w:space="0" w:color="auto"/>
            </w:tcBorders>
            <w:shd w:val="clear" w:color="auto" w:fill="auto"/>
            <w:noWrap/>
            <w:vAlign w:val="bottom"/>
            <w:hideMark/>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Coffee</w:t>
            </w:r>
          </w:p>
        </w:tc>
        <w:tc>
          <w:tcPr>
            <w:tcW w:w="2400" w:type="dxa"/>
            <w:tcBorders>
              <w:top w:val="single" w:sz="4" w:space="0" w:color="auto"/>
            </w:tcBorders>
            <w:shd w:val="clear" w:color="auto" w:fill="auto"/>
            <w:noWrap/>
            <w:vAlign w:val="bottom"/>
            <w:hideMark/>
          </w:tcPr>
          <w:p w:rsidR="00C15F70" w:rsidRDefault="00B421EC">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w:t>
            </w:r>
            <w:r w:rsidR="00ED1005" w:rsidRPr="00F200E7">
              <w:rPr>
                <w:rFonts w:ascii="Book Antiqua" w:eastAsia="Times New Roman" w:hAnsi="Book Antiqua" w:cs="Calibri"/>
                <w:color w:val="000000"/>
                <w:sz w:val="20"/>
                <w:lang w:val="en-GB" w:eastAsia="es-GT"/>
              </w:rPr>
              <w:t>5.1</w:t>
            </w:r>
          </w:p>
        </w:tc>
        <w:tc>
          <w:tcPr>
            <w:tcW w:w="2400" w:type="dxa"/>
            <w:tcBorders>
              <w:top w:val="single" w:sz="4" w:space="0" w:color="auto"/>
            </w:tcBorders>
            <w:shd w:val="clear" w:color="auto" w:fill="auto"/>
            <w:noWrap/>
            <w:vAlign w:val="bottom"/>
            <w:hideMark/>
          </w:tcPr>
          <w:p w:rsidR="00C15F70" w:rsidRDefault="00ED1005">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0.3</w:t>
            </w:r>
          </w:p>
        </w:tc>
      </w:tr>
      <w:tr w:rsidR="00ED1005" w:rsidRPr="00F200E7" w:rsidTr="00ED1005">
        <w:trPr>
          <w:trHeight w:val="300"/>
        </w:trPr>
        <w:tc>
          <w:tcPr>
            <w:tcW w:w="2966" w:type="dxa"/>
            <w:shd w:val="clear" w:color="auto" w:fill="auto"/>
            <w:noWrap/>
            <w:vAlign w:val="bottom"/>
            <w:hideMark/>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Sugar</w:t>
            </w:r>
          </w:p>
        </w:tc>
        <w:tc>
          <w:tcPr>
            <w:tcW w:w="2400" w:type="dxa"/>
            <w:shd w:val="clear" w:color="auto" w:fill="auto"/>
            <w:noWrap/>
            <w:vAlign w:val="bottom"/>
            <w:hideMark/>
          </w:tcPr>
          <w:p w:rsidR="00C15F70" w:rsidRDefault="00ED1005">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2.0</w:t>
            </w:r>
          </w:p>
        </w:tc>
        <w:tc>
          <w:tcPr>
            <w:tcW w:w="2400" w:type="dxa"/>
            <w:shd w:val="clear" w:color="auto" w:fill="auto"/>
            <w:noWrap/>
            <w:vAlign w:val="bottom"/>
            <w:hideMark/>
          </w:tcPr>
          <w:p w:rsidR="00C15F70" w:rsidRDefault="00ED1005">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11.6</w:t>
            </w:r>
          </w:p>
        </w:tc>
      </w:tr>
      <w:tr w:rsidR="00ED1005" w:rsidRPr="00F200E7" w:rsidTr="00ED1005">
        <w:trPr>
          <w:trHeight w:val="300"/>
        </w:trPr>
        <w:tc>
          <w:tcPr>
            <w:tcW w:w="2966" w:type="dxa"/>
            <w:tcBorders>
              <w:bottom w:val="single" w:sz="4" w:space="0" w:color="auto"/>
            </w:tcBorders>
            <w:shd w:val="clear" w:color="auto" w:fill="auto"/>
            <w:noWrap/>
            <w:vAlign w:val="bottom"/>
            <w:hideMark/>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Bananas</w:t>
            </w:r>
          </w:p>
        </w:tc>
        <w:tc>
          <w:tcPr>
            <w:tcW w:w="2400" w:type="dxa"/>
            <w:tcBorders>
              <w:bottom w:val="single" w:sz="4" w:space="0" w:color="auto"/>
            </w:tcBorders>
            <w:shd w:val="clear" w:color="auto" w:fill="auto"/>
            <w:noWrap/>
            <w:vAlign w:val="bottom"/>
            <w:hideMark/>
          </w:tcPr>
          <w:p w:rsidR="005E51BA" w:rsidRDefault="00ED1005">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5.4</w:t>
            </w:r>
          </w:p>
        </w:tc>
        <w:tc>
          <w:tcPr>
            <w:tcW w:w="2400" w:type="dxa"/>
            <w:tcBorders>
              <w:bottom w:val="single" w:sz="4" w:space="0" w:color="auto"/>
            </w:tcBorders>
            <w:shd w:val="clear" w:color="auto" w:fill="auto"/>
            <w:noWrap/>
            <w:vAlign w:val="bottom"/>
            <w:hideMark/>
          </w:tcPr>
          <w:p w:rsidR="005E51BA" w:rsidRDefault="00B421EC">
            <w:pPr>
              <w:spacing w:after="0" w:line="240" w:lineRule="auto"/>
              <w:jc w:val="center"/>
              <w:rPr>
                <w:rFonts w:ascii="Book Antiqua" w:eastAsia="Times New Roman" w:hAnsi="Book Antiqua" w:cs="Calibri"/>
                <w:bCs/>
                <w:color w:val="000000"/>
                <w:kern w:val="32"/>
                <w:sz w:val="20"/>
                <w:lang w:val="en-GB" w:eastAsia="es-GT"/>
              </w:rPr>
            </w:pPr>
            <w:r w:rsidRPr="00F200E7">
              <w:rPr>
                <w:rFonts w:ascii="Book Antiqua" w:eastAsia="Times New Roman" w:hAnsi="Book Antiqua" w:cs="Calibri"/>
                <w:color w:val="000000"/>
                <w:sz w:val="20"/>
                <w:lang w:val="en-GB" w:eastAsia="es-GT"/>
              </w:rPr>
              <w:t>−</w:t>
            </w:r>
            <w:r w:rsidR="00ED1005" w:rsidRPr="00F200E7">
              <w:rPr>
                <w:rFonts w:ascii="Book Antiqua" w:eastAsia="Times New Roman" w:hAnsi="Book Antiqua" w:cs="Calibri"/>
                <w:color w:val="000000"/>
                <w:sz w:val="20"/>
                <w:lang w:val="en-GB" w:eastAsia="es-GT"/>
              </w:rPr>
              <w:t>0.2</w:t>
            </w:r>
          </w:p>
        </w:tc>
      </w:tr>
    </w:tbl>
    <w:p w:rsidR="00ED1005" w:rsidRPr="00F200E7" w:rsidRDefault="00ED1005" w:rsidP="00ED1005">
      <w:pPr>
        <w:pStyle w:val="NoSpacing"/>
        <w:ind w:left="720"/>
        <w:jc w:val="both"/>
        <w:rPr>
          <w:rFonts w:ascii="Book Antiqua" w:hAnsi="Book Antiqua"/>
          <w:lang w:val="en-GB"/>
        </w:rPr>
      </w:pPr>
    </w:p>
    <w:p w:rsidR="00ED1005" w:rsidRPr="00F200E7" w:rsidRDefault="00ED1005" w:rsidP="00ED1005">
      <w:pPr>
        <w:pStyle w:val="NoSpacing"/>
        <w:ind w:left="720"/>
        <w:jc w:val="both"/>
        <w:rPr>
          <w:rFonts w:ascii="Book Antiqua" w:hAnsi="Book Antiqua"/>
          <w:sz w:val="16"/>
          <w:szCs w:val="16"/>
          <w:lang w:val="en-GB"/>
        </w:rPr>
      </w:pPr>
      <w:r w:rsidRPr="00F200E7">
        <w:rPr>
          <w:rFonts w:ascii="Book Antiqua" w:hAnsi="Book Antiqua"/>
          <w:sz w:val="16"/>
          <w:szCs w:val="16"/>
          <w:lang w:val="en-GB"/>
        </w:rPr>
        <w:t xml:space="preserve">Source: Authors’ calculation </w:t>
      </w:r>
      <w:r w:rsidR="00B421EC" w:rsidRPr="00F200E7">
        <w:rPr>
          <w:rFonts w:ascii="Book Antiqua" w:hAnsi="Book Antiqua"/>
          <w:sz w:val="16"/>
          <w:szCs w:val="16"/>
          <w:lang w:val="en-GB"/>
        </w:rPr>
        <w:t xml:space="preserve">from </w:t>
      </w:r>
      <w:proofErr w:type="spellStart"/>
      <w:r w:rsidRPr="00F200E7">
        <w:rPr>
          <w:rFonts w:ascii="Book Antiqua" w:hAnsi="Book Antiqua"/>
          <w:sz w:val="16"/>
          <w:szCs w:val="16"/>
          <w:lang w:val="en-GB"/>
        </w:rPr>
        <w:t>Banco</w:t>
      </w:r>
      <w:proofErr w:type="spellEnd"/>
      <w:r w:rsidRPr="00F200E7">
        <w:rPr>
          <w:rFonts w:ascii="Book Antiqua" w:hAnsi="Book Antiqua"/>
          <w:sz w:val="16"/>
          <w:szCs w:val="16"/>
          <w:lang w:val="en-GB"/>
        </w:rPr>
        <w:t xml:space="preserve"> de Guatemala data.</w:t>
      </w:r>
    </w:p>
    <w:p w:rsidR="00ED1005" w:rsidRPr="00F200E7" w:rsidRDefault="00ED1005" w:rsidP="00ED1005">
      <w:pPr>
        <w:pStyle w:val="NoSpacing"/>
        <w:ind w:left="720"/>
        <w:jc w:val="both"/>
        <w:rPr>
          <w:rFonts w:ascii="Book Antiqua" w:hAnsi="Book Antiqua"/>
          <w:lang w:val="en-GB"/>
        </w:rPr>
      </w:pPr>
    </w:p>
    <w:p w:rsidR="00C204C2" w:rsidRDefault="00ED1005" w:rsidP="00ED1005">
      <w:pPr>
        <w:pStyle w:val="NoSpacing"/>
        <w:jc w:val="both"/>
        <w:rPr>
          <w:rFonts w:ascii="Book Antiqua" w:hAnsi="Book Antiqua"/>
          <w:lang w:val="en-GB"/>
        </w:rPr>
      </w:pPr>
      <w:r w:rsidRPr="00F200E7">
        <w:rPr>
          <w:rFonts w:ascii="Book Antiqua" w:hAnsi="Book Antiqua"/>
          <w:lang w:val="en-GB"/>
        </w:rPr>
        <w:t xml:space="preserve">With </w:t>
      </w:r>
      <w:r w:rsidR="006F070F" w:rsidRPr="00F200E7">
        <w:rPr>
          <w:rFonts w:ascii="Book Antiqua" w:hAnsi="Book Antiqua"/>
          <w:lang w:val="en-GB"/>
        </w:rPr>
        <w:t xml:space="preserve">this </w:t>
      </w:r>
      <w:r w:rsidRPr="00F200E7">
        <w:rPr>
          <w:rFonts w:ascii="Book Antiqua" w:hAnsi="Book Antiqua"/>
          <w:lang w:val="en-GB"/>
        </w:rPr>
        <w:t>information the exogenous vector for exports was calculated</w:t>
      </w:r>
      <w:r w:rsidR="000F0572">
        <w:rPr>
          <w:rFonts w:ascii="Book Antiqua" w:hAnsi="Book Antiqua"/>
          <w:lang w:val="en-GB"/>
        </w:rPr>
        <w:t>, as shown in table 6.14</w:t>
      </w:r>
      <w:r w:rsidRPr="00F200E7">
        <w:rPr>
          <w:rFonts w:ascii="Book Antiqua" w:hAnsi="Book Antiqua"/>
          <w:lang w:val="en-GB"/>
        </w:rPr>
        <w:t>:</w:t>
      </w:r>
    </w:p>
    <w:p w:rsidR="00C204C2" w:rsidRDefault="00C204C2" w:rsidP="00ED1005">
      <w:pPr>
        <w:pStyle w:val="NoSpacing"/>
        <w:jc w:val="both"/>
        <w:rPr>
          <w:rFonts w:ascii="Book Antiqua" w:hAnsi="Book Antiqua"/>
          <w:lang w:val="en-GB"/>
        </w:rPr>
      </w:pPr>
    </w:p>
    <w:tbl>
      <w:tblPr>
        <w:tblW w:w="8040" w:type="dxa"/>
        <w:tblInd w:w="93" w:type="dxa"/>
        <w:tblLook w:val="04A0"/>
      </w:tblPr>
      <w:tblGrid>
        <w:gridCol w:w="2803"/>
        <w:gridCol w:w="1394"/>
        <w:gridCol w:w="1210"/>
        <w:gridCol w:w="1087"/>
        <w:gridCol w:w="1546"/>
      </w:tblGrid>
      <w:tr w:rsidR="000E402D" w:rsidRPr="00F200E7" w:rsidTr="000E402D">
        <w:trPr>
          <w:trHeight w:val="300"/>
        </w:trPr>
        <w:tc>
          <w:tcPr>
            <w:tcW w:w="8040" w:type="dxa"/>
            <w:gridSpan w:val="5"/>
            <w:tcBorders>
              <w:top w:val="nil"/>
              <w:left w:val="nil"/>
              <w:bottom w:val="nil"/>
              <w:right w:val="nil"/>
            </w:tcBorders>
            <w:shd w:val="clear" w:color="auto" w:fill="auto"/>
            <w:noWrap/>
            <w:vAlign w:val="bottom"/>
            <w:hideMark/>
          </w:tcPr>
          <w:p w:rsidR="000E402D" w:rsidRPr="00F200E7" w:rsidRDefault="00C204C2" w:rsidP="00C204C2">
            <w:pPr>
              <w:spacing w:after="0" w:line="240" w:lineRule="auto"/>
              <w:rPr>
                <w:rFonts w:ascii="Arial" w:eastAsia="Times New Roman" w:hAnsi="Arial" w:cs="Arial"/>
                <w:b/>
                <w:bCs/>
                <w:color w:val="000000"/>
                <w:sz w:val="16"/>
                <w:szCs w:val="16"/>
                <w:lang w:val="en-GB"/>
              </w:rPr>
            </w:pPr>
            <w:r w:rsidRPr="00F200E7">
              <w:rPr>
                <w:rFonts w:ascii="Book Antiqua" w:hAnsi="Book Antiqua"/>
                <w:b/>
                <w:lang w:val="en-GB"/>
              </w:rPr>
              <w:t>Table 6.14:</w:t>
            </w:r>
            <w:r w:rsidRPr="00F200E7">
              <w:rPr>
                <w:rFonts w:ascii="Book Antiqua" w:hAnsi="Book Antiqua"/>
                <w:b/>
                <w:lang w:val="en-GB"/>
              </w:rPr>
              <w:tab/>
            </w:r>
            <w:r>
              <w:rPr>
                <w:rFonts w:ascii="Book Antiqua" w:hAnsi="Book Antiqua"/>
                <w:b/>
                <w:lang w:val="en-GB"/>
              </w:rPr>
              <w:t>Exogenous vector for e</w:t>
            </w:r>
            <w:r w:rsidRPr="00F200E7">
              <w:rPr>
                <w:rFonts w:ascii="Book Antiqua" w:hAnsi="Book Antiqua"/>
                <w:b/>
                <w:lang w:val="en-GB"/>
              </w:rPr>
              <w:t>xports</w:t>
            </w:r>
            <w:r>
              <w:rPr>
                <w:rFonts w:ascii="Book Antiqua" w:hAnsi="Book Antiqua"/>
                <w:b/>
                <w:lang w:val="en-GB"/>
              </w:rPr>
              <w:t>, Guatemala</w:t>
            </w:r>
          </w:p>
        </w:tc>
      </w:tr>
      <w:tr w:rsidR="002B10EB" w:rsidRPr="00F200E7" w:rsidTr="00DA2553">
        <w:trPr>
          <w:trHeight w:val="300"/>
        </w:trPr>
        <w:tc>
          <w:tcPr>
            <w:tcW w:w="2803" w:type="dxa"/>
            <w:tcBorders>
              <w:top w:val="single" w:sz="4" w:space="0" w:color="auto"/>
            </w:tcBorders>
            <w:shd w:val="clear" w:color="auto" w:fill="auto"/>
            <w:noWrap/>
            <w:vAlign w:val="bottom"/>
            <w:hideMark/>
          </w:tcPr>
          <w:p w:rsidR="002B10EB" w:rsidRPr="00F200E7" w:rsidRDefault="002B10EB" w:rsidP="000E402D">
            <w:pPr>
              <w:spacing w:after="0" w:line="240" w:lineRule="auto"/>
              <w:rPr>
                <w:rFonts w:eastAsia="Times New Roman" w:cs="Calibri"/>
                <w:color w:val="000000"/>
                <w:lang w:val="en-GB"/>
              </w:rPr>
            </w:pPr>
          </w:p>
        </w:tc>
        <w:tc>
          <w:tcPr>
            <w:tcW w:w="5237" w:type="dxa"/>
            <w:gridSpan w:val="4"/>
            <w:tcBorders>
              <w:top w:val="single" w:sz="4" w:space="0" w:color="auto"/>
              <w:left w:val="nil"/>
              <w:bottom w:val="single" w:sz="4" w:space="0" w:color="auto"/>
            </w:tcBorders>
            <w:shd w:val="clear" w:color="auto" w:fill="auto"/>
            <w:noWrap/>
            <w:vAlign w:val="bottom"/>
            <w:hideMark/>
          </w:tcPr>
          <w:p w:rsidR="002B10EB" w:rsidRPr="00F200E7" w:rsidRDefault="002B10EB" w:rsidP="002B10EB">
            <w:pPr>
              <w:spacing w:after="0" w:line="240" w:lineRule="auto"/>
              <w:jc w:val="center"/>
              <w:rPr>
                <w:rFonts w:ascii="Arial" w:eastAsia="Times New Roman" w:hAnsi="Arial" w:cs="Arial"/>
                <w:color w:val="000000"/>
                <w:sz w:val="16"/>
                <w:szCs w:val="16"/>
                <w:lang w:val="en-GB"/>
              </w:rPr>
            </w:pPr>
            <w:r w:rsidRPr="00F200E7">
              <w:rPr>
                <w:rFonts w:ascii="Arial" w:eastAsia="Times New Roman" w:hAnsi="Arial" w:cs="Arial"/>
                <w:b/>
                <w:bCs/>
                <w:color w:val="000000"/>
                <w:sz w:val="16"/>
                <w:szCs w:val="16"/>
                <w:lang w:val="en-GB"/>
              </w:rPr>
              <w:t xml:space="preserve">Impact </w:t>
            </w:r>
            <w:r>
              <w:rPr>
                <w:rFonts w:ascii="Arial" w:eastAsia="Times New Roman" w:hAnsi="Arial" w:cs="Arial"/>
                <w:b/>
                <w:bCs/>
                <w:color w:val="000000"/>
                <w:sz w:val="16"/>
                <w:szCs w:val="16"/>
                <w:lang w:val="en-GB"/>
              </w:rPr>
              <w:t>v</w:t>
            </w:r>
            <w:r w:rsidRPr="00F200E7">
              <w:rPr>
                <w:rFonts w:ascii="Arial" w:eastAsia="Times New Roman" w:hAnsi="Arial" w:cs="Arial"/>
                <w:b/>
                <w:bCs/>
                <w:color w:val="000000"/>
                <w:sz w:val="16"/>
                <w:szCs w:val="16"/>
                <w:lang w:val="en-GB"/>
              </w:rPr>
              <w:t>ector</w:t>
            </w:r>
          </w:p>
        </w:tc>
      </w:tr>
      <w:tr w:rsidR="000E402D" w:rsidRPr="00F200E7" w:rsidTr="00DA2553">
        <w:trPr>
          <w:trHeight w:val="300"/>
        </w:trPr>
        <w:tc>
          <w:tcPr>
            <w:tcW w:w="2803" w:type="dxa"/>
            <w:tcBorders>
              <w:bottom w:val="single" w:sz="4" w:space="0" w:color="auto"/>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r w:rsidRPr="00F200E7">
              <w:rPr>
                <w:rFonts w:eastAsia="Times New Roman" w:cs="Calibri"/>
                <w:color w:val="000000"/>
                <w:lang w:val="en-GB"/>
              </w:rPr>
              <w:t>SAM</w:t>
            </w:r>
          </w:p>
        </w:tc>
        <w:tc>
          <w:tcPr>
            <w:tcW w:w="1394" w:type="dxa"/>
            <w:tcBorders>
              <w:top w:val="single" w:sz="4" w:space="0" w:color="auto"/>
              <w:left w:val="nil"/>
              <w:bottom w:val="single" w:sz="4" w:space="0" w:color="auto"/>
              <w:right w:val="nil"/>
            </w:tcBorders>
            <w:shd w:val="clear" w:color="auto" w:fill="auto"/>
            <w:noWrap/>
            <w:vAlign w:val="bottom"/>
            <w:hideMark/>
          </w:tcPr>
          <w:p w:rsidR="000E402D" w:rsidRPr="002B10EB" w:rsidRDefault="00C55A8D" w:rsidP="000E402D">
            <w:pPr>
              <w:spacing w:after="0" w:line="240" w:lineRule="auto"/>
              <w:rPr>
                <w:rFonts w:ascii="Arial" w:eastAsia="Times New Roman" w:hAnsi="Arial" w:cs="Arial"/>
                <w:b/>
                <w:color w:val="000000"/>
                <w:sz w:val="16"/>
                <w:szCs w:val="16"/>
                <w:lang w:val="en-GB"/>
              </w:rPr>
            </w:pPr>
            <w:r w:rsidRPr="002B10EB">
              <w:rPr>
                <w:rFonts w:ascii="Arial" w:eastAsia="Times New Roman" w:hAnsi="Arial" w:cs="Arial"/>
                <w:b/>
                <w:color w:val="000000"/>
                <w:sz w:val="16"/>
                <w:szCs w:val="16"/>
                <w:lang w:val="en-GB"/>
              </w:rPr>
              <w:t>Activity bananas</w:t>
            </w:r>
          </w:p>
        </w:tc>
        <w:tc>
          <w:tcPr>
            <w:tcW w:w="1210" w:type="dxa"/>
            <w:tcBorders>
              <w:top w:val="single" w:sz="4" w:space="0" w:color="auto"/>
              <w:left w:val="nil"/>
              <w:bottom w:val="single" w:sz="4" w:space="0" w:color="auto"/>
              <w:right w:val="nil"/>
            </w:tcBorders>
            <w:shd w:val="clear" w:color="auto" w:fill="auto"/>
            <w:noWrap/>
            <w:vAlign w:val="bottom"/>
            <w:hideMark/>
          </w:tcPr>
          <w:p w:rsidR="000E402D" w:rsidRPr="002B10EB" w:rsidRDefault="00C55A8D" w:rsidP="000E402D">
            <w:pPr>
              <w:spacing w:after="0" w:line="240" w:lineRule="auto"/>
              <w:rPr>
                <w:rFonts w:ascii="Arial" w:eastAsia="Times New Roman" w:hAnsi="Arial" w:cs="Arial"/>
                <w:b/>
                <w:color w:val="000000"/>
                <w:sz w:val="16"/>
                <w:szCs w:val="16"/>
                <w:lang w:val="en-GB"/>
              </w:rPr>
            </w:pPr>
            <w:r w:rsidRPr="002B10EB">
              <w:rPr>
                <w:rFonts w:ascii="Arial" w:eastAsia="Times New Roman" w:hAnsi="Arial" w:cs="Arial"/>
                <w:b/>
                <w:color w:val="000000"/>
                <w:sz w:val="16"/>
                <w:szCs w:val="16"/>
                <w:lang w:val="en-GB"/>
              </w:rPr>
              <w:t>Activity coffee</w:t>
            </w:r>
          </w:p>
        </w:tc>
        <w:tc>
          <w:tcPr>
            <w:tcW w:w="1087" w:type="dxa"/>
            <w:tcBorders>
              <w:top w:val="single" w:sz="4" w:space="0" w:color="auto"/>
              <w:left w:val="nil"/>
              <w:bottom w:val="single" w:sz="4" w:space="0" w:color="auto"/>
              <w:right w:val="nil"/>
            </w:tcBorders>
            <w:shd w:val="clear" w:color="auto" w:fill="auto"/>
            <w:noWrap/>
            <w:vAlign w:val="bottom"/>
            <w:hideMark/>
          </w:tcPr>
          <w:p w:rsidR="000E402D" w:rsidRPr="002B10EB" w:rsidRDefault="00C55A8D" w:rsidP="000E402D">
            <w:pPr>
              <w:spacing w:after="0" w:line="240" w:lineRule="auto"/>
              <w:rPr>
                <w:rFonts w:ascii="Arial" w:eastAsia="Times New Roman" w:hAnsi="Arial" w:cs="Arial"/>
                <w:b/>
                <w:color w:val="000000"/>
                <w:sz w:val="16"/>
                <w:szCs w:val="16"/>
                <w:lang w:val="en-GB"/>
              </w:rPr>
            </w:pPr>
            <w:r w:rsidRPr="002B10EB">
              <w:rPr>
                <w:rFonts w:ascii="Arial" w:eastAsia="Times New Roman" w:hAnsi="Arial" w:cs="Arial"/>
                <w:b/>
                <w:color w:val="000000"/>
                <w:sz w:val="16"/>
                <w:szCs w:val="16"/>
                <w:lang w:val="en-GB"/>
              </w:rPr>
              <w:t>Activity food</w:t>
            </w:r>
          </w:p>
        </w:tc>
        <w:tc>
          <w:tcPr>
            <w:tcW w:w="1546" w:type="dxa"/>
            <w:tcBorders>
              <w:top w:val="single" w:sz="4" w:space="0" w:color="auto"/>
              <w:left w:val="nil"/>
              <w:bottom w:val="single" w:sz="4" w:space="0" w:color="auto"/>
            </w:tcBorders>
            <w:shd w:val="clear" w:color="auto" w:fill="auto"/>
            <w:noWrap/>
            <w:vAlign w:val="bottom"/>
            <w:hideMark/>
          </w:tcPr>
          <w:p w:rsidR="000E402D" w:rsidRPr="002B10EB" w:rsidRDefault="00C55A8D" w:rsidP="000E402D">
            <w:pPr>
              <w:spacing w:after="0" w:line="240" w:lineRule="auto"/>
              <w:rPr>
                <w:rFonts w:ascii="Arial" w:eastAsia="Times New Roman" w:hAnsi="Arial" w:cs="Arial"/>
                <w:b/>
                <w:color w:val="000000"/>
                <w:sz w:val="16"/>
                <w:szCs w:val="16"/>
                <w:lang w:val="en-GB"/>
              </w:rPr>
            </w:pPr>
            <w:r w:rsidRPr="002B10EB">
              <w:rPr>
                <w:rFonts w:ascii="Arial" w:eastAsia="Times New Roman" w:hAnsi="Arial" w:cs="Arial"/>
                <w:b/>
                <w:color w:val="000000"/>
                <w:sz w:val="16"/>
                <w:szCs w:val="16"/>
                <w:lang w:val="en-GB"/>
              </w:rPr>
              <w:t>Activity agriculture</w:t>
            </w:r>
          </w:p>
        </w:tc>
      </w:tr>
      <w:tr w:rsidR="000E402D" w:rsidRPr="00F200E7" w:rsidTr="00C204C2">
        <w:trPr>
          <w:trHeight w:val="300"/>
        </w:trPr>
        <w:tc>
          <w:tcPr>
            <w:tcW w:w="2803" w:type="dxa"/>
            <w:tcBorders>
              <w:top w:val="single" w:sz="4" w:space="0" w:color="auto"/>
              <w:bottom w:val="nil"/>
            </w:tcBorders>
            <w:shd w:val="clear" w:color="auto" w:fill="auto"/>
            <w:noWrap/>
            <w:vAlign w:val="bottom"/>
            <w:hideMark/>
          </w:tcPr>
          <w:p w:rsidR="000E402D" w:rsidRPr="00F200E7" w:rsidRDefault="000E402D" w:rsidP="00C55A8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 xml:space="preserve">Commodity </w:t>
            </w:r>
            <w:r w:rsidR="00C55A8D">
              <w:rPr>
                <w:rFonts w:ascii="Arial" w:eastAsia="Times New Roman" w:hAnsi="Arial" w:cs="Arial"/>
                <w:color w:val="000000"/>
                <w:sz w:val="16"/>
                <w:szCs w:val="16"/>
                <w:lang w:val="en-GB"/>
              </w:rPr>
              <w:t>t</w:t>
            </w:r>
            <w:r w:rsidRPr="00F200E7">
              <w:rPr>
                <w:rFonts w:ascii="Arial" w:eastAsia="Times New Roman" w:hAnsi="Arial" w:cs="Arial"/>
                <w:color w:val="000000"/>
                <w:sz w:val="16"/>
                <w:szCs w:val="16"/>
                <w:lang w:val="en-GB"/>
              </w:rPr>
              <w:t xml:space="preserve">raditional </w:t>
            </w:r>
            <w:r w:rsidR="00C55A8D">
              <w:rPr>
                <w:rFonts w:ascii="Arial" w:eastAsia="Times New Roman" w:hAnsi="Arial" w:cs="Arial"/>
                <w:color w:val="000000"/>
                <w:sz w:val="16"/>
                <w:szCs w:val="16"/>
                <w:lang w:val="en-GB"/>
              </w:rPr>
              <w:t>c</w:t>
            </w:r>
            <w:r w:rsidRPr="00F200E7">
              <w:rPr>
                <w:rFonts w:ascii="Arial" w:eastAsia="Times New Roman" w:hAnsi="Arial" w:cs="Arial"/>
                <w:color w:val="000000"/>
                <w:sz w:val="16"/>
                <w:szCs w:val="16"/>
                <w:lang w:val="en-GB"/>
              </w:rPr>
              <w:t>rops</w:t>
            </w:r>
          </w:p>
        </w:tc>
        <w:tc>
          <w:tcPr>
            <w:tcW w:w="1394" w:type="dxa"/>
            <w:tcBorders>
              <w:top w:val="single" w:sz="4" w:space="0" w:color="auto"/>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bananas</w:t>
            </w:r>
          </w:p>
        </w:tc>
        <w:tc>
          <w:tcPr>
            <w:tcW w:w="1394" w:type="dxa"/>
            <w:tcBorders>
              <w:top w:val="nil"/>
              <w:bottom w:val="nil"/>
              <w:right w:val="nil"/>
            </w:tcBorders>
            <w:shd w:val="clear" w:color="auto" w:fill="auto"/>
            <w:noWrap/>
            <w:vAlign w:val="bottom"/>
            <w:hideMark/>
          </w:tcPr>
          <w:p w:rsidR="000E402D" w:rsidRPr="00F200E7" w:rsidRDefault="00B35E1C" w:rsidP="00B35E1C">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r w:rsidR="000E402D" w:rsidRPr="00F200E7">
              <w:rPr>
                <w:rFonts w:ascii="Arial" w:eastAsia="Times New Roman" w:hAnsi="Arial" w:cs="Arial"/>
                <w:color w:val="000000"/>
                <w:sz w:val="16"/>
                <w:szCs w:val="16"/>
                <w:lang w:val="en-GB"/>
              </w:rPr>
              <w:t>89</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coffee</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jc w:val="center"/>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183</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cereals</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sugar cane</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non traditional crops</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0E402D" w:rsidP="000E402D">
            <w:pPr>
              <w:spacing w:after="0" w:line="240" w:lineRule="auto"/>
              <w:jc w:val="center"/>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234.40</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0E402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w:t>
            </w:r>
            <w:r w:rsidR="00C55A8D" w:rsidRPr="00F200E7">
              <w:rPr>
                <w:rFonts w:ascii="Arial" w:eastAsia="Times New Roman" w:hAnsi="Arial" w:cs="Arial"/>
                <w:color w:val="000000"/>
                <w:sz w:val="16"/>
                <w:szCs w:val="16"/>
                <w:lang w:val="en-GB"/>
              </w:rPr>
              <w:t>ity livestock</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petroleum</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mining</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food</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sugar</w:t>
            </w:r>
          </w:p>
        </w:tc>
        <w:tc>
          <w:tcPr>
            <w:tcW w:w="1394"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jc w:val="center"/>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208.81</w:t>
            </w:r>
          </w:p>
        </w:tc>
        <w:tc>
          <w:tcPr>
            <w:tcW w:w="1546"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803" w:type="dxa"/>
            <w:tcBorders>
              <w:top w:val="nil"/>
              <w:bottom w:val="single" w:sz="4" w:space="0" w:color="auto"/>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textiles</w:t>
            </w:r>
          </w:p>
        </w:tc>
        <w:tc>
          <w:tcPr>
            <w:tcW w:w="1394" w:type="dxa"/>
            <w:tcBorders>
              <w:top w:val="nil"/>
              <w:bottom w:val="single" w:sz="4" w:space="0" w:color="auto"/>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210" w:type="dxa"/>
            <w:tcBorders>
              <w:top w:val="nil"/>
              <w:left w:val="nil"/>
              <w:bottom w:val="single" w:sz="4" w:space="0" w:color="auto"/>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Book Antiqua" w:hAnsi="Book Antiqua"/>
                <w:lang w:val="en-GB"/>
              </w:rPr>
              <w:t>–</w:t>
            </w:r>
          </w:p>
        </w:tc>
        <w:tc>
          <w:tcPr>
            <w:tcW w:w="1087" w:type="dxa"/>
            <w:tcBorders>
              <w:top w:val="nil"/>
              <w:left w:val="nil"/>
              <w:bottom w:val="single" w:sz="4" w:space="0" w:color="auto"/>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546" w:type="dxa"/>
            <w:tcBorders>
              <w:top w:val="nil"/>
              <w:left w:val="nil"/>
              <w:bottom w:val="single" w:sz="4" w:space="0" w:color="auto"/>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0E402D">
        <w:trPr>
          <w:trHeight w:val="300"/>
        </w:trPr>
        <w:tc>
          <w:tcPr>
            <w:tcW w:w="2803" w:type="dxa"/>
            <w:tcBorders>
              <w:top w:val="nil"/>
              <w:left w:val="nil"/>
              <w:bottom w:val="nil"/>
              <w:right w:val="nil"/>
            </w:tcBorders>
            <w:shd w:val="clear" w:color="auto" w:fill="auto"/>
            <w:noWrap/>
            <w:vAlign w:val="bottom"/>
            <w:hideMark/>
          </w:tcPr>
          <w:p w:rsidR="000E402D" w:rsidRPr="00F200E7" w:rsidRDefault="00C55A8D" w:rsidP="000E402D">
            <w:pPr>
              <w:spacing w:after="0" w:line="240" w:lineRule="auto"/>
              <w:rPr>
                <w:rFonts w:ascii="Arial" w:eastAsia="Times New Roman" w:hAnsi="Arial" w:cs="Arial"/>
                <w:color w:val="000000"/>
                <w:sz w:val="16"/>
                <w:szCs w:val="16"/>
                <w:lang w:val="en-GB"/>
              </w:rPr>
            </w:pPr>
            <w:r>
              <w:rPr>
                <w:rFonts w:ascii="Arial" w:eastAsia="Times New Roman" w:hAnsi="Arial" w:cs="Arial"/>
                <w:color w:val="000000"/>
                <w:sz w:val="16"/>
                <w:szCs w:val="16"/>
                <w:lang w:val="en-GB"/>
              </w:rPr>
              <w:t xml:space="preserve">Source: </w:t>
            </w:r>
            <w:r w:rsidR="000E402D" w:rsidRPr="00F200E7">
              <w:rPr>
                <w:rFonts w:ascii="Arial" w:eastAsia="Times New Roman" w:hAnsi="Arial" w:cs="Arial"/>
                <w:color w:val="000000"/>
                <w:sz w:val="16"/>
                <w:szCs w:val="16"/>
                <w:lang w:val="en-GB"/>
              </w:rPr>
              <w:t xml:space="preserve">Authors' </w:t>
            </w:r>
            <w:r w:rsidR="0060333E">
              <w:rPr>
                <w:rFonts w:ascii="Arial" w:eastAsia="Times New Roman" w:hAnsi="Arial" w:cs="Arial"/>
                <w:color w:val="000000"/>
                <w:sz w:val="16"/>
                <w:szCs w:val="16"/>
                <w:lang w:val="en-GB"/>
              </w:rPr>
              <w:t>c</w:t>
            </w:r>
            <w:r w:rsidR="000E402D" w:rsidRPr="00F200E7">
              <w:rPr>
                <w:rFonts w:ascii="Arial" w:eastAsia="Times New Roman" w:hAnsi="Arial" w:cs="Arial"/>
                <w:color w:val="000000"/>
                <w:sz w:val="16"/>
                <w:szCs w:val="16"/>
                <w:lang w:val="en-GB"/>
              </w:rPr>
              <w:t>alculation</w:t>
            </w:r>
          </w:p>
        </w:tc>
        <w:tc>
          <w:tcPr>
            <w:tcW w:w="1394"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c>
          <w:tcPr>
            <w:tcW w:w="1210"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c>
          <w:tcPr>
            <w:tcW w:w="1087"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c>
          <w:tcPr>
            <w:tcW w:w="1546"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r>
    </w:tbl>
    <w:p w:rsidR="002B10EB" w:rsidRDefault="00C204C2" w:rsidP="00ED1005">
      <w:pPr>
        <w:pStyle w:val="NoSpacing"/>
        <w:jc w:val="both"/>
        <w:rPr>
          <w:rFonts w:ascii="Book Antiqua" w:hAnsi="Book Antiqua"/>
          <w:lang w:val="en-GB"/>
        </w:rPr>
      </w:pPr>
      <w:r>
        <w:rPr>
          <w:rFonts w:ascii="Book Antiqua" w:hAnsi="Book Antiqua"/>
          <w:lang w:val="en-GB"/>
        </w:rPr>
        <w:t>T</w:t>
      </w:r>
      <w:r w:rsidR="00ED1005" w:rsidRPr="00F200E7">
        <w:rPr>
          <w:rFonts w:ascii="Book Antiqua" w:hAnsi="Book Antiqua"/>
          <w:lang w:val="en-GB"/>
        </w:rPr>
        <w:t xml:space="preserve">he information on </w:t>
      </w:r>
      <w:r w:rsidR="00362D81">
        <w:rPr>
          <w:rFonts w:ascii="Book Antiqua" w:hAnsi="Book Antiqua"/>
          <w:lang w:val="en-GB"/>
        </w:rPr>
        <w:t>imports</w:t>
      </w:r>
      <w:r w:rsidR="00ED1005" w:rsidRPr="00F200E7">
        <w:rPr>
          <w:rFonts w:ascii="Book Antiqua" w:hAnsi="Book Antiqua"/>
          <w:lang w:val="en-GB"/>
        </w:rPr>
        <w:t xml:space="preserve"> show</w:t>
      </w:r>
      <w:r w:rsidR="00B35E9D" w:rsidRPr="00F200E7">
        <w:rPr>
          <w:rFonts w:ascii="Book Antiqua" w:hAnsi="Book Antiqua"/>
          <w:lang w:val="en-GB"/>
        </w:rPr>
        <w:t>s</w:t>
      </w:r>
      <w:r w:rsidR="00ED1005" w:rsidRPr="00F200E7">
        <w:rPr>
          <w:rFonts w:ascii="Book Antiqua" w:hAnsi="Book Antiqua"/>
          <w:lang w:val="en-GB"/>
        </w:rPr>
        <w:t xml:space="preserve"> that </w:t>
      </w:r>
      <w:r w:rsidR="008D326B" w:rsidRPr="00F200E7">
        <w:rPr>
          <w:rFonts w:ascii="Book Antiqua" w:hAnsi="Book Antiqua"/>
          <w:lang w:val="en-GB"/>
        </w:rPr>
        <w:t xml:space="preserve">the </w:t>
      </w:r>
      <w:r w:rsidR="00FB5615">
        <w:rPr>
          <w:rFonts w:ascii="Book Antiqua" w:hAnsi="Book Antiqua"/>
          <w:lang w:val="en-GB"/>
        </w:rPr>
        <w:t>impact</w:t>
      </w:r>
      <w:r w:rsidR="008D326B" w:rsidRPr="00F200E7">
        <w:rPr>
          <w:rFonts w:ascii="Book Antiqua" w:hAnsi="Book Antiqua"/>
          <w:lang w:val="en-GB"/>
        </w:rPr>
        <w:t xml:space="preserve"> vector </w:t>
      </w:r>
      <w:r w:rsidR="00ED1005" w:rsidRPr="00F200E7">
        <w:rPr>
          <w:rFonts w:ascii="Book Antiqua" w:hAnsi="Book Antiqua"/>
          <w:lang w:val="en-GB"/>
        </w:rPr>
        <w:t xml:space="preserve">is significant </w:t>
      </w:r>
      <w:r w:rsidR="00B35E9D" w:rsidRPr="00F200E7">
        <w:rPr>
          <w:rFonts w:ascii="Book Antiqua" w:hAnsi="Book Antiqua"/>
          <w:lang w:val="en-GB"/>
        </w:rPr>
        <w:t xml:space="preserve">only </w:t>
      </w:r>
      <w:r w:rsidR="00ED1005" w:rsidRPr="00F200E7">
        <w:rPr>
          <w:rFonts w:ascii="Book Antiqua" w:hAnsi="Book Antiqua"/>
          <w:lang w:val="en-GB"/>
        </w:rPr>
        <w:t>for cereals, sugar</w:t>
      </w:r>
      <w:r w:rsidR="005D71DC" w:rsidRPr="00F200E7">
        <w:rPr>
          <w:rFonts w:ascii="Book Antiqua" w:hAnsi="Book Antiqua"/>
          <w:lang w:val="en-GB"/>
        </w:rPr>
        <w:t>,</w:t>
      </w:r>
      <w:r w:rsidR="00ED1005" w:rsidRPr="00F200E7">
        <w:rPr>
          <w:rFonts w:ascii="Book Antiqua" w:hAnsi="Book Antiqua"/>
          <w:lang w:val="en-GB"/>
        </w:rPr>
        <w:t xml:space="preserve"> and non-traditional products. The behaviour of those imports </w:t>
      </w:r>
      <w:r w:rsidR="00151980" w:rsidRPr="00F200E7">
        <w:rPr>
          <w:rFonts w:ascii="Book Antiqua" w:hAnsi="Book Antiqua"/>
          <w:lang w:val="en-GB"/>
        </w:rPr>
        <w:t>w</w:t>
      </w:r>
      <w:r w:rsidR="0060333E">
        <w:rPr>
          <w:rFonts w:ascii="Book Antiqua" w:hAnsi="Book Antiqua"/>
          <w:lang w:val="en-GB"/>
        </w:rPr>
        <w:t>as</w:t>
      </w:r>
      <w:r w:rsidR="00FB5615">
        <w:rPr>
          <w:rFonts w:ascii="Book Antiqua" w:hAnsi="Book Antiqua"/>
          <w:lang w:val="en-GB"/>
        </w:rPr>
        <w:t xml:space="preserve"> </w:t>
      </w:r>
      <w:r w:rsidR="00ED1005" w:rsidRPr="00F200E7">
        <w:rPr>
          <w:rFonts w:ascii="Book Antiqua" w:hAnsi="Book Antiqua"/>
          <w:lang w:val="en-GB"/>
        </w:rPr>
        <w:t>obtained using</w:t>
      </w:r>
      <w:r w:rsidR="001F0FED" w:rsidRPr="00F200E7">
        <w:rPr>
          <w:rFonts w:ascii="Book Antiqua" w:hAnsi="Book Antiqua"/>
          <w:lang w:val="en-GB"/>
        </w:rPr>
        <w:t xml:space="preserve"> information from the </w:t>
      </w:r>
      <w:proofErr w:type="spellStart"/>
      <w:r w:rsidR="001F0FED" w:rsidRPr="00362D81">
        <w:rPr>
          <w:rFonts w:ascii="Book Antiqua" w:hAnsi="Book Antiqua"/>
          <w:bCs/>
          <w:lang w:val="en-GB"/>
        </w:rPr>
        <w:t>Clasificación</w:t>
      </w:r>
      <w:proofErr w:type="spellEnd"/>
      <w:r w:rsidR="001F0FED" w:rsidRPr="00362D81">
        <w:rPr>
          <w:rFonts w:ascii="Book Antiqua" w:hAnsi="Book Antiqua"/>
          <w:bCs/>
          <w:lang w:val="en-GB"/>
        </w:rPr>
        <w:t xml:space="preserve"> </w:t>
      </w:r>
      <w:proofErr w:type="spellStart"/>
      <w:r w:rsidR="001F0FED" w:rsidRPr="00362D81">
        <w:rPr>
          <w:rFonts w:ascii="Book Antiqua" w:hAnsi="Book Antiqua"/>
          <w:bCs/>
          <w:lang w:val="en-GB"/>
        </w:rPr>
        <w:t>según</w:t>
      </w:r>
      <w:proofErr w:type="spellEnd"/>
      <w:r w:rsidR="001F0FED" w:rsidRPr="00362D81">
        <w:rPr>
          <w:rFonts w:ascii="Book Antiqua" w:hAnsi="Book Antiqua"/>
          <w:bCs/>
          <w:lang w:val="en-GB"/>
        </w:rPr>
        <w:t xml:space="preserve"> </w:t>
      </w:r>
      <w:proofErr w:type="spellStart"/>
      <w:proofErr w:type="gramStart"/>
      <w:r w:rsidR="001F0FED" w:rsidRPr="00362D81">
        <w:rPr>
          <w:rFonts w:ascii="Book Antiqua" w:hAnsi="Book Antiqua"/>
          <w:bCs/>
          <w:lang w:val="en-GB"/>
        </w:rPr>
        <w:t>Uso</w:t>
      </w:r>
      <w:proofErr w:type="spellEnd"/>
      <w:proofErr w:type="gramEnd"/>
      <w:r w:rsidR="001F0FED" w:rsidRPr="00362D81">
        <w:rPr>
          <w:rFonts w:ascii="Book Antiqua" w:hAnsi="Book Antiqua"/>
          <w:bCs/>
          <w:lang w:val="en-GB"/>
        </w:rPr>
        <w:t xml:space="preserve"> o </w:t>
      </w:r>
      <w:proofErr w:type="spellStart"/>
      <w:r w:rsidR="001F0FED" w:rsidRPr="00362D81">
        <w:rPr>
          <w:rFonts w:ascii="Book Antiqua" w:hAnsi="Book Antiqua"/>
          <w:bCs/>
          <w:lang w:val="en-GB"/>
        </w:rPr>
        <w:t>Destino</w:t>
      </w:r>
      <w:proofErr w:type="spellEnd"/>
      <w:r w:rsidR="001F0FED" w:rsidRPr="00362D81">
        <w:rPr>
          <w:rFonts w:ascii="Book Antiqua" w:hAnsi="Book Antiqua"/>
          <w:bCs/>
          <w:lang w:val="en-GB"/>
        </w:rPr>
        <w:t xml:space="preserve"> </w:t>
      </w:r>
      <w:proofErr w:type="spellStart"/>
      <w:r w:rsidR="001F0FED" w:rsidRPr="00362D81">
        <w:rPr>
          <w:rFonts w:ascii="Book Antiqua" w:hAnsi="Book Antiqua"/>
          <w:bCs/>
          <w:lang w:val="en-GB"/>
        </w:rPr>
        <w:t>Económico</w:t>
      </w:r>
      <w:proofErr w:type="spellEnd"/>
      <w:r w:rsidR="001F0FED" w:rsidRPr="00362D81">
        <w:rPr>
          <w:rFonts w:ascii="Book Antiqua" w:hAnsi="Book Antiqua"/>
          <w:bCs/>
          <w:lang w:val="en-GB"/>
        </w:rPr>
        <w:t xml:space="preserve"> (CUODE)</w:t>
      </w:r>
      <w:r w:rsidR="00FB5615">
        <w:rPr>
          <w:rFonts w:ascii="Book Antiqua" w:hAnsi="Book Antiqua"/>
          <w:bCs/>
          <w:lang w:val="en-GB"/>
        </w:rPr>
        <w:t xml:space="preserve"> </w:t>
      </w:r>
      <w:r w:rsidR="00ED1005" w:rsidRPr="00F200E7">
        <w:rPr>
          <w:rFonts w:ascii="Book Antiqua" w:hAnsi="Book Antiqua"/>
          <w:lang w:val="en-GB"/>
        </w:rPr>
        <w:t xml:space="preserve">specifically </w:t>
      </w:r>
      <w:r w:rsidR="006F070F" w:rsidRPr="00F200E7">
        <w:rPr>
          <w:rFonts w:ascii="Book Antiqua" w:hAnsi="Book Antiqua"/>
          <w:lang w:val="en-GB"/>
        </w:rPr>
        <w:t xml:space="preserve">for </w:t>
      </w:r>
      <w:r w:rsidR="00ED1005" w:rsidRPr="00F200E7">
        <w:rPr>
          <w:rFonts w:ascii="Book Antiqua" w:hAnsi="Book Antiqua"/>
          <w:lang w:val="en-GB"/>
        </w:rPr>
        <w:t>the imports from the USA. The data reveal an average growth of 5.1</w:t>
      </w:r>
      <w:r w:rsidR="00F76782">
        <w:rPr>
          <w:rFonts w:ascii="Book Antiqua" w:hAnsi="Book Antiqua"/>
          <w:lang w:val="en-GB"/>
        </w:rPr>
        <w:t xml:space="preserve"> per cent</w:t>
      </w:r>
      <w:r w:rsidR="00FB5615">
        <w:rPr>
          <w:rFonts w:ascii="Book Antiqua" w:hAnsi="Book Antiqua"/>
          <w:lang w:val="en-GB"/>
        </w:rPr>
        <w:t xml:space="preserve"> </w:t>
      </w:r>
      <w:r w:rsidR="00ED1005" w:rsidRPr="00F200E7">
        <w:rPr>
          <w:rFonts w:ascii="Book Antiqua" w:hAnsi="Book Antiqua"/>
          <w:lang w:val="en-GB"/>
        </w:rPr>
        <w:t xml:space="preserve">for imports. The </w:t>
      </w:r>
      <w:r w:rsidR="008D56CD">
        <w:rPr>
          <w:rFonts w:ascii="Book Antiqua" w:hAnsi="Book Antiqua"/>
          <w:lang w:val="en-GB"/>
        </w:rPr>
        <w:t xml:space="preserve">resulting </w:t>
      </w:r>
      <w:r w:rsidR="00FB5615">
        <w:rPr>
          <w:rFonts w:ascii="Book Antiqua" w:hAnsi="Book Antiqua"/>
          <w:lang w:val="en-GB"/>
        </w:rPr>
        <w:t>impact</w:t>
      </w:r>
      <w:r w:rsidR="008D56CD">
        <w:rPr>
          <w:rFonts w:ascii="Book Antiqua" w:hAnsi="Book Antiqua"/>
          <w:lang w:val="en-GB"/>
        </w:rPr>
        <w:t xml:space="preserve"> of import growth was assumed to be negative on domestic production. The exogenous import</w:t>
      </w:r>
      <w:r w:rsidR="00ED1005" w:rsidRPr="00F200E7">
        <w:rPr>
          <w:rFonts w:ascii="Book Antiqua" w:hAnsi="Book Antiqua"/>
          <w:lang w:val="en-GB"/>
        </w:rPr>
        <w:t xml:space="preserve"> vector</w:t>
      </w:r>
      <w:r w:rsidR="008D56CD">
        <w:rPr>
          <w:rFonts w:ascii="Book Antiqua" w:hAnsi="Book Antiqua"/>
          <w:lang w:val="en-GB"/>
        </w:rPr>
        <w:t xml:space="preserve"> was calculated and is </w:t>
      </w:r>
      <w:r w:rsidR="001F0FED" w:rsidRPr="00F200E7">
        <w:rPr>
          <w:rFonts w:ascii="Book Antiqua" w:hAnsi="Book Antiqua"/>
          <w:lang w:val="en-GB"/>
        </w:rPr>
        <w:t>shown in table 6.15.</w:t>
      </w:r>
    </w:p>
    <w:p w:rsidR="00DA2553" w:rsidRPr="00F200E7" w:rsidRDefault="00DA2553" w:rsidP="00ED1005">
      <w:pPr>
        <w:pStyle w:val="NoSpacing"/>
        <w:jc w:val="both"/>
        <w:rPr>
          <w:rFonts w:ascii="Book Antiqua" w:hAnsi="Book Antiqua"/>
          <w:lang w:val="en-GB"/>
        </w:rPr>
      </w:pPr>
    </w:p>
    <w:tbl>
      <w:tblPr>
        <w:tblW w:w="7920" w:type="dxa"/>
        <w:tblInd w:w="93" w:type="dxa"/>
        <w:tblLook w:val="04A0"/>
      </w:tblPr>
      <w:tblGrid>
        <w:gridCol w:w="2534"/>
        <w:gridCol w:w="1490"/>
        <w:gridCol w:w="2534"/>
        <w:gridCol w:w="1362"/>
      </w:tblGrid>
      <w:tr w:rsidR="000E402D" w:rsidRPr="00F200E7" w:rsidTr="000E402D">
        <w:trPr>
          <w:trHeight w:val="300"/>
        </w:trPr>
        <w:tc>
          <w:tcPr>
            <w:tcW w:w="7920" w:type="dxa"/>
            <w:gridSpan w:val="4"/>
            <w:tcBorders>
              <w:top w:val="nil"/>
              <w:left w:val="nil"/>
              <w:bottom w:val="nil"/>
              <w:right w:val="nil"/>
            </w:tcBorders>
            <w:shd w:val="clear" w:color="auto" w:fill="auto"/>
            <w:noWrap/>
            <w:vAlign w:val="bottom"/>
            <w:hideMark/>
          </w:tcPr>
          <w:p w:rsidR="000E402D" w:rsidRPr="00C204C2" w:rsidRDefault="00ED1005" w:rsidP="00C204C2">
            <w:pPr>
              <w:spacing w:after="0" w:line="240" w:lineRule="auto"/>
              <w:rPr>
                <w:rFonts w:ascii="Book Antiqua" w:eastAsia="Times New Roman" w:hAnsi="Book Antiqua" w:cs="Arial"/>
                <w:b/>
                <w:bCs/>
                <w:color w:val="000000"/>
                <w:sz w:val="16"/>
                <w:szCs w:val="16"/>
                <w:lang w:val="en-GB"/>
              </w:rPr>
            </w:pPr>
            <w:r w:rsidRPr="00C204C2">
              <w:rPr>
                <w:rFonts w:ascii="Book Antiqua" w:hAnsi="Book Antiqua"/>
                <w:b/>
              </w:rPr>
              <w:t xml:space="preserve">Table </w:t>
            </w:r>
            <w:r w:rsidR="00D82216" w:rsidRPr="00C204C2">
              <w:rPr>
                <w:rFonts w:ascii="Book Antiqua" w:hAnsi="Book Antiqua"/>
                <w:b/>
              </w:rPr>
              <w:t>6.</w:t>
            </w:r>
            <w:r w:rsidRPr="00C204C2">
              <w:rPr>
                <w:rFonts w:ascii="Book Antiqua" w:hAnsi="Book Antiqua"/>
                <w:b/>
              </w:rPr>
              <w:t xml:space="preserve">15: </w:t>
            </w:r>
            <w:r w:rsidR="00D82216" w:rsidRPr="00C204C2">
              <w:rPr>
                <w:rFonts w:ascii="Book Antiqua" w:hAnsi="Book Antiqua"/>
                <w:b/>
              </w:rPr>
              <w:tab/>
            </w:r>
            <w:r w:rsidR="000F0572" w:rsidRPr="00C204C2">
              <w:rPr>
                <w:rFonts w:ascii="Book Antiqua" w:hAnsi="Book Antiqua"/>
                <w:b/>
              </w:rPr>
              <w:t>E</w:t>
            </w:r>
            <w:r w:rsidR="00F76782" w:rsidRPr="00C204C2">
              <w:rPr>
                <w:rFonts w:ascii="Book Antiqua" w:hAnsi="Book Antiqua"/>
                <w:b/>
              </w:rPr>
              <w:t xml:space="preserve">xogenous </w:t>
            </w:r>
            <w:r w:rsidR="002B10EB" w:rsidRPr="00C204C2">
              <w:rPr>
                <w:rFonts w:ascii="Book Antiqua" w:hAnsi="Book Antiqua"/>
                <w:b/>
              </w:rPr>
              <w:t>v</w:t>
            </w:r>
            <w:r w:rsidR="00F76782" w:rsidRPr="00C204C2">
              <w:rPr>
                <w:rFonts w:ascii="Book Antiqua" w:hAnsi="Book Antiqua"/>
                <w:b/>
              </w:rPr>
              <w:t xml:space="preserve">ector for </w:t>
            </w:r>
            <w:r w:rsidR="002B10EB" w:rsidRPr="00C204C2">
              <w:rPr>
                <w:rFonts w:ascii="Book Antiqua" w:hAnsi="Book Antiqua"/>
                <w:b/>
              </w:rPr>
              <w:t>i</w:t>
            </w:r>
            <w:r w:rsidR="00F76782" w:rsidRPr="00C204C2">
              <w:rPr>
                <w:rFonts w:ascii="Book Antiqua" w:hAnsi="Book Antiqua"/>
                <w:b/>
              </w:rPr>
              <w:t>mports</w:t>
            </w:r>
            <w:r w:rsidR="002B10EB" w:rsidRPr="00C204C2">
              <w:rPr>
                <w:rFonts w:ascii="Book Antiqua" w:hAnsi="Book Antiqua"/>
                <w:b/>
              </w:rPr>
              <w:t>, Guatemala</w:t>
            </w:r>
          </w:p>
        </w:tc>
      </w:tr>
      <w:tr w:rsidR="0060333E" w:rsidRPr="00F200E7" w:rsidTr="00DA2553">
        <w:trPr>
          <w:trHeight w:val="300"/>
        </w:trPr>
        <w:tc>
          <w:tcPr>
            <w:tcW w:w="2534" w:type="dxa"/>
            <w:tcBorders>
              <w:top w:val="single" w:sz="4" w:space="0" w:color="auto"/>
            </w:tcBorders>
            <w:shd w:val="clear" w:color="auto" w:fill="auto"/>
            <w:noWrap/>
            <w:vAlign w:val="bottom"/>
            <w:hideMark/>
          </w:tcPr>
          <w:p w:rsidR="0060333E" w:rsidRPr="00F200E7" w:rsidRDefault="0060333E" w:rsidP="000E402D">
            <w:pPr>
              <w:spacing w:after="0" w:line="240" w:lineRule="auto"/>
              <w:rPr>
                <w:rFonts w:ascii="Arial Bold" w:eastAsia="Times New Roman" w:hAnsi="Arial Bold" w:cs="Calibri"/>
                <w:color w:val="000000"/>
                <w:sz w:val="16"/>
                <w:szCs w:val="16"/>
                <w:lang w:val="en-GB"/>
              </w:rPr>
            </w:pPr>
          </w:p>
        </w:tc>
        <w:tc>
          <w:tcPr>
            <w:tcW w:w="5386" w:type="dxa"/>
            <w:gridSpan w:val="3"/>
            <w:tcBorders>
              <w:top w:val="single" w:sz="4" w:space="0" w:color="auto"/>
              <w:left w:val="nil"/>
              <w:bottom w:val="single" w:sz="4" w:space="0" w:color="auto"/>
            </w:tcBorders>
            <w:shd w:val="clear" w:color="auto" w:fill="auto"/>
            <w:noWrap/>
            <w:vAlign w:val="bottom"/>
            <w:hideMark/>
          </w:tcPr>
          <w:p w:rsidR="0060333E" w:rsidRPr="00F200E7" w:rsidRDefault="0060333E" w:rsidP="0060333E">
            <w:pPr>
              <w:spacing w:after="0" w:line="240" w:lineRule="auto"/>
              <w:jc w:val="center"/>
              <w:rPr>
                <w:rFonts w:ascii="Arial" w:eastAsia="Times New Roman" w:hAnsi="Arial" w:cs="Arial"/>
                <w:color w:val="000000"/>
                <w:sz w:val="16"/>
                <w:szCs w:val="16"/>
                <w:lang w:val="en-GB"/>
              </w:rPr>
            </w:pPr>
            <w:r w:rsidRPr="00F200E7">
              <w:rPr>
                <w:rFonts w:ascii="Arial" w:eastAsia="Times New Roman" w:hAnsi="Arial" w:cs="Arial"/>
                <w:b/>
                <w:bCs/>
                <w:color w:val="000000"/>
                <w:sz w:val="16"/>
                <w:szCs w:val="16"/>
                <w:lang w:val="en-GB"/>
              </w:rPr>
              <w:t xml:space="preserve">Impact </w:t>
            </w:r>
            <w:r w:rsidR="000F0572">
              <w:rPr>
                <w:rFonts w:ascii="Arial" w:eastAsia="Times New Roman" w:hAnsi="Arial" w:cs="Arial"/>
                <w:b/>
                <w:bCs/>
                <w:color w:val="000000"/>
                <w:sz w:val="16"/>
                <w:szCs w:val="16"/>
                <w:lang w:val="en-GB"/>
              </w:rPr>
              <w:t>v</w:t>
            </w:r>
            <w:r w:rsidRPr="00F200E7">
              <w:rPr>
                <w:rFonts w:ascii="Arial" w:eastAsia="Times New Roman" w:hAnsi="Arial" w:cs="Arial"/>
                <w:b/>
                <w:bCs/>
                <w:color w:val="000000"/>
                <w:sz w:val="16"/>
                <w:szCs w:val="16"/>
                <w:lang w:val="en-GB"/>
              </w:rPr>
              <w:t>ectors</w:t>
            </w:r>
          </w:p>
        </w:tc>
      </w:tr>
      <w:tr w:rsidR="000E402D" w:rsidRPr="00F200E7" w:rsidTr="00DA2553">
        <w:trPr>
          <w:trHeight w:val="300"/>
        </w:trPr>
        <w:tc>
          <w:tcPr>
            <w:tcW w:w="2534" w:type="dxa"/>
            <w:tcBorders>
              <w:bottom w:val="single" w:sz="4" w:space="0" w:color="auto"/>
            </w:tcBorders>
            <w:shd w:val="clear" w:color="auto" w:fill="auto"/>
            <w:noWrap/>
            <w:vAlign w:val="bottom"/>
            <w:hideMark/>
          </w:tcPr>
          <w:p w:rsidR="000E402D" w:rsidRPr="00F200E7" w:rsidRDefault="000E402D" w:rsidP="000E402D">
            <w:pPr>
              <w:spacing w:after="0" w:line="240" w:lineRule="auto"/>
              <w:rPr>
                <w:rFonts w:ascii="Arial Bold" w:eastAsia="Times New Roman" w:hAnsi="Arial Bold" w:cs="Calibri"/>
                <w:color w:val="000000"/>
                <w:sz w:val="16"/>
                <w:szCs w:val="16"/>
                <w:lang w:val="en-GB"/>
              </w:rPr>
            </w:pPr>
            <w:r w:rsidRPr="00F200E7">
              <w:rPr>
                <w:rFonts w:ascii="Arial Bold" w:eastAsia="Times New Roman" w:hAnsi="Arial Bold" w:cs="Calibri"/>
                <w:color w:val="000000"/>
                <w:sz w:val="16"/>
                <w:szCs w:val="16"/>
                <w:lang w:val="en-GB"/>
              </w:rPr>
              <w:t>SAM</w:t>
            </w:r>
          </w:p>
        </w:tc>
        <w:tc>
          <w:tcPr>
            <w:tcW w:w="1490" w:type="dxa"/>
            <w:tcBorders>
              <w:top w:val="single" w:sz="4" w:space="0" w:color="auto"/>
              <w:left w:val="nil"/>
              <w:bottom w:val="single" w:sz="4" w:space="0" w:color="auto"/>
              <w:right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cereals</w:t>
            </w:r>
          </w:p>
        </w:tc>
        <w:tc>
          <w:tcPr>
            <w:tcW w:w="2534" w:type="dxa"/>
            <w:tcBorders>
              <w:top w:val="single" w:sz="4" w:space="0" w:color="auto"/>
              <w:left w:val="nil"/>
              <w:bottom w:val="single" w:sz="4" w:space="0" w:color="auto"/>
              <w:right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non traditional crops</w:t>
            </w:r>
          </w:p>
        </w:tc>
        <w:tc>
          <w:tcPr>
            <w:tcW w:w="1362" w:type="dxa"/>
            <w:tcBorders>
              <w:top w:val="single" w:sz="4" w:space="0" w:color="auto"/>
              <w:left w:val="nil"/>
              <w:bottom w:val="single" w:sz="4" w:space="0" w:color="auto"/>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sugar</w:t>
            </w:r>
          </w:p>
        </w:tc>
      </w:tr>
      <w:tr w:rsidR="000E402D" w:rsidRPr="00F200E7" w:rsidTr="00C204C2">
        <w:trPr>
          <w:trHeight w:val="300"/>
        </w:trPr>
        <w:tc>
          <w:tcPr>
            <w:tcW w:w="2534" w:type="dxa"/>
            <w:tcBorders>
              <w:top w:val="single" w:sz="4" w:space="0" w:color="auto"/>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traditional crops</w:t>
            </w:r>
          </w:p>
        </w:tc>
        <w:tc>
          <w:tcPr>
            <w:tcW w:w="1490" w:type="dxa"/>
            <w:tcBorders>
              <w:top w:val="single" w:sz="4" w:space="0" w:color="auto"/>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bananas</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coffee</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cereals</w:t>
            </w:r>
          </w:p>
        </w:tc>
        <w:tc>
          <w:tcPr>
            <w:tcW w:w="1490" w:type="dxa"/>
            <w:tcBorders>
              <w:top w:val="nil"/>
              <w:bottom w:val="nil"/>
              <w:right w:val="nil"/>
            </w:tcBorders>
            <w:shd w:val="clear" w:color="auto" w:fill="auto"/>
            <w:noWrap/>
            <w:vAlign w:val="bottom"/>
            <w:hideMark/>
          </w:tcPr>
          <w:p w:rsidR="000E402D" w:rsidRPr="00F200E7" w:rsidRDefault="00B35E1C" w:rsidP="00B35E1C">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r w:rsidR="000E402D" w:rsidRPr="00F200E7">
              <w:rPr>
                <w:rFonts w:ascii="Arial" w:eastAsia="Times New Roman" w:hAnsi="Arial" w:cs="Arial"/>
                <w:color w:val="000000"/>
                <w:sz w:val="16"/>
                <w:szCs w:val="16"/>
                <w:lang w:val="en-GB"/>
              </w:rPr>
              <w:t>70.40</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sugar cane</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non traditional crops</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B35E1C">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r w:rsidR="000E402D" w:rsidRPr="00F200E7">
              <w:rPr>
                <w:rFonts w:ascii="Arial" w:eastAsia="Times New Roman" w:hAnsi="Arial" w:cs="Arial"/>
                <w:color w:val="000000"/>
                <w:sz w:val="16"/>
                <w:szCs w:val="16"/>
                <w:lang w:val="en-GB"/>
              </w:rPr>
              <w:t>38.20</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livestock</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petroleum</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mining</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food</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C204C2">
        <w:trPr>
          <w:trHeight w:val="300"/>
        </w:trPr>
        <w:tc>
          <w:tcPr>
            <w:tcW w:w="2534" w:type="dxa"/>
            <w:tcBorders>
              <w:top w:val="nil"/>
              <w:bottom w:val="nil"/>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sugar</w:t>
            </w:r>
          </w:p>
        </w:tc>
        <w:tc>
          <w:tcPr>
            <w:tcW w:w="1490" w:type="dxa"/>
            <w:tcBorders>
              <w:top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nil"/>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nil"/>
            </w:tcBorders>
            <w:shd w:val="clear" w:color="auto" w:fill="auto"/>
            <w:noWrap/>
            <w:vAlign w:val="bottom"/>
            <w:hideMark/>
          </w:tcPr>
          <w:p w:rsidR="000E402D" w:rsidRPr="00F200E7" w:rsidRDefault="00B35E1C" w:rsidP="00B35E1C">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r w:rsidR="000E402D" w:rsidRPr="00F200E7">
              <w:rPr>
                <w:rFonts w:ascii="Arial" w:eastAsia="Times New Roman" w:hAnsi="Arial" w:cs="Arial"/>
                <w:color w:val="000000"/>
                <w:sz w:val="16"/>
                <w:szCs w:val="16"/>
                <w:lang w:val="en-GB"/>
              </w:rPr>
              <w:t>0.67</w:t>
            </w:r>
          </w:p>
        </w:tc>
      </w:tr>
      <w:tr w:rsidR="000E402D" w:rsidRPr="00F200E7" w:rsidTr="00C204C2">
        <w:trPr>
          <w:trHeight w:val="300"/>
        </w:trPr>
        <w:tc>
          <w:tcPr>
            <w:tcW w:w="2534" w:type="dxa"/>
            <w:tcBorders>
              <w:top w:val="nil"/>
              <w:bottom w:val="single" w:sz="4" w:space="0" w:color="auto"/>
            </w:tcBorders>
            <w:shd w:val="clear" w:color="auto" w:fill="auto"/>
            <w:noWrap/>
            <w:vAlign w:val="bottom"/>
            <w:hideMark/>
          </w:tcPr>
          <w:p w:rsidR="000E402D" w:rsidRPr="00F200E7" w:rsidRDefault="0060333E"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Commodity textiles</w:t>
            </w:r>
          </w:p>
        </w:tc>
        <w:tc>
          <w:tcPr>
            <w:tcW w:w="1490" w:type="dxa"/>
            <w:tcBorders>
              <w:top w:val="nil"/>
              <w:bottom w:val="single" w:sz="4" w:space="0" w:color="auto"/>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2534" w:type="dxa"/>
            <w:tcBorders>
              <w:top w:val="nil"/>
              <w:left w:val="nil"/>
              <w:bottom w:val="single" w:sz="4" w:space="0" w:color="auto"/>
              <w:right w:val="nil"/>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c>
          <w:tcPr>
            <w:tcW w:w="1362" w:type="dxa"/>
            <w:tcBorders>
              <w:top w:val="nil"/>
              <w:left w:val="nil"/>
              <w:bottom w:val="single" w:sz="4" w:space="0" w:color="auto"/>
            </w:tcBorders>
            <w:shd w:val="clear" w:color="auto" w:fill="auto"/>
            <w:noWrap/>
            <w:vAlign w:val="bottom"/>
            <w:hideMark/>
          </w:tcPr>
          <w:p w:rsidR="000E402D" w:rsidRPr="00F200E7" w:rsidRDefault="00B35E1C" w:rsidP="000E402D">
            <w:pPr>
              <w:spacing w:after="0" w:line="240" w:lineRule="auto"/>
              <w:jc w:val="center"/>
              <w:rPr>
                <w:rFonts w:ascii="Arial" w:eastAsia="Times New Roman" w:hAnsi="Arial" w:cs="Arial"/>
                <w:color w:val="000000"/>
                <w:sz w:val="16"/>
                <w:szCs w:val="16"/>
                <w:lang w:val="en-GB"/>
              </w:rPr>
            </w:pPr>
            <w:r>
              <w:rPr>
                <w:rFonts w:ascii="Arial" w:eastAsia="Times New Roman" w:hAnsi="Arial" w:cs="Arial"/>
                <w:color w:val="000000"/>
                <w:sz w:val="16"/>
                <w:szCs w:val="16"/>
                <w:lang w:val="en-GB"/>
              </w:rPr>
              <w:t>–</w:t>
            </w:r>
          </w:p>
        </w:tc>
      </w:tr>
      <w:tr w:rsidR="000E402D" w:rsidRPr="00F200E7" w:rsidTr="000E402D">
        <w:trPr>
          <w:trHeight w:val="300"/>
        </w:trPr>
        <w:tc>
          <w:tcPr>
            <w:tcW w:w="2534"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ascii="Arial" w:eastAsia="Times New Roman" w:hAnsi="Arial" w:cs="Arial"/>
                <w:color w:val="000000"/>
                <w:sz w:val="16"/>
                <w:szCs w:val="16"/>
                <w:lang w:val="en-GB"/>
              </w:rPr>
            </w:pPr>
            <w:r w:rsidRPr="00F200E7">
              <w:rPr>
                <w:rFonts w:ascii="Arial" w:eastAsia="Times New Roman" w:hAnsi="Arial" w:cs="Arial"/>
                <w:color w:val="000000"/>
                <w:sz w:val="16"/>
                <w:szCs w:val="16"/>
                <w:lang w:val="en-GB"/>
              </w:rPr>
              <w:t xml:space="preserve">Authors' </w:t>
            </w:r>
            <w:r w:rsidR="0060333E">
              <w:rPr>
                <w:rFonts w:ascii="Arial" w:eastAsia="Times New Roman" w:hAnsi="Arial" w:cs="Arial"/>
                <w:color w:val="000000"/>
                <w:sz w:val="16"/>
                <w:szCs w:val="16"/>
                <w:lang w:val="en-GB"/>
              </w:rPr>
              <w:t>c</w:t>
            </w:r>
            <w:r w:rsidRPr="00F200E7">
              <w:rPr>
                <w:rFonts w:ascii="Arial" w:eastAsia="Times New Roman" w:hAnsi="Arial" w:cs="Arial"/>
                <w:color w:val="000000"/>
                <w:sz w:val="16"/>
                <w:szCs w:val="16"/>
                <w:lang w:val="en-GB"/>
              </w:rPr>
              <w:t>alculation</w:t>
            </w:r>
          </w:p>
        </w:tc>
        <w:tc>
          <w:tcPr>
            <w:tcW w:w="1490"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c>
          <w:tcPr>
            <w:tcW w:w="2534"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c>
          <w:tcPr>
            <w:tcW w:w="1362" w:type="dxa"/>
            <w:tcBorders>
              <w:top w:val="nil"/>
              <w:left w:val="nil"/>
              <w:bottom w:val="nil"/>
              <w:right w:val="nil"/>
            </w:tcBorders>
            <w:shd w:val="clear" w:color="auto" w:fill="auto"/>
            <w:noWrap/>
            <w:vAlign w:val="bottom"/>
            <w:hideMark/>
          </w:tcPr>
          <w:p w:rsidR="000E402D" w:rsidRPr="00F200E7" w:rsidRDefault="000E402D" w:rsidP="000E402D">
            <w:pPr>
              <w:spacing w:after="0" w:line="240" w:lineRule="auto"/>
              <w:rPr>
                <w:rFonts w:eastAsia="Times New Roman" w:cs="Calibri"/>
                <w:color w:val="000000"/>
                <w:lang w:val="en-GB"/>
              </w:rPr>
            </w:pPr>
          </w:p>
        </w:tc>
      </w:tr>
    </w:tbl>
    <w:p w:rsidR="00294716" w:rsidRPr="00F200E7" w:rsidRDefault="00294716" w:rsidP="00294716">
      <w:pPr>
        <w:pStyle w:val="NoSpacing"/>
        <w:jc w:val="center"/>
        <w:rPr>
          <w:rFonts w:ascii="Book Antiqua" w:hAnsi="Book Antiqua"/>
          <w:lang w:val="en-GB"/>
        </w:rPr>
      </w:pPr>
    </w:p>
    <w:p w:rsidR="0059579D" w:rsidRDefault="0059579D" w:rsidP="00CF30F2">
      <w:pPr>
        <w:pStyle w:val="NoSpacing"/>
        <w:jc w:val="center"/>
        <w:rPr>
          <w:rFonts w:ascii="Book Antiqua" w:hAnsi="Book Antiqua"/>
          <w:lang w:val="en-GB"/>
        </w:rPr>
      </w:pPr>
    </w:p>
    <w:p w:rsidR="00ED1005" w:rsidRPr="00F200E7" w:rsidRDefault="003D4912" w:rsidP="00ED1005">
      <w:pPr>
        <w:pStyle w:val="NoSpacing"/>
        <w:jc w:val="both"/>
        <w:rPr>
          <w:rFonts w:ascii="Book Antiqua" w:hAnsi="Book Antiqua"/>
          <w:b/>
          <w:lang w:val="en-GB"/>
        </w:rPr>
      </w:pPr>
      <w:r w:rsidRPr="00C204C2">
        <w:rPr>
          <w:rFonts w:ascii="Book Antiqua" w:hAnsi="Book Antiqua"/>
          <w:b/>
          <w:lang w:val="en-GB"/>
        </w:rPr>
        <w:t>6.</w:t>
      </w:r>
      <w:r w:rsidR="00116FF7" w:rsidRPr="00C204C2">
        <w:rPr>
          <w:rFonts w:ascii="Book Antiqua" w:hAnsi="Book Antiqua"/>
          <w:b/>
          <w:lang w:val="en-GB"/>
        </w:rPr>
        <w:t>5</w:t>
      </w:r>
      <w:r w:rsidRPr="00C204C2">
        <w:rPr>
          <w:rFonts w:ascii="Book Antiqua" w:hAnsi="Book Antiqua"/>
          <w:b/>
          <w:lang w:val="en-GB"/>
        </w:rPr>
        <w:t>.2.4</w:t>
      </w:r>
      <w:r w:rsidRPr="00C204C2">
        <w:rPr>
          <w:rFonts w:ascii="Book Antiqua" w:hAnsi="Book Antiqua"/>
          <w:b/>
          <w:lang w:val="en-GB"/>
        </w:rPr>
        <w:tab/>
      </w:r>
      <w:r w:rsidR="00ED1005" w:rsidRPr="00C204C2">
        <w:rPr>
          <w:rFonts w:ascii="Book Antiqua" w:hAnsi="Book Antiqua"/>
          <w:b/>
          <w:lang w:val="en-GB"/>
        </w:rPr>
        <w:t>Results</w:t>
      </w:r>
      <w:r w:rsidR="00ED1005" w:rsidRPr="00F200E7">
        <w:rPr>
          <w:rFonts w:ascii="Book Antiqua" w:hAnsi="Book Antiqua"/>
          <w:b/>
          <w:lang w:val="en-GB"/>
        </w:rPr>
        <w:t xml:space="preserve"> of the SAM simulation</w:t>
      </w:r>
    </w:p>
    <w:p w:rsidR="00CF30F2" w:rsidRDefault="00CF30F2"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Taking into consideration</w:t>
      </w:r>
      <w:r w:rsidR="003D4912" w:rsidRPr="00F200E7">
        <w:rPr>
          <w:rFonts w:ascii="Book Antiqua" w:hAnsi="Book Antiqua"/>
          <w:lang w:val="en-GB"/>
        </w:rPr>
        <w:t>,</w:t>
      </w:r>
      <w:r w:rsidRPr="00F200E7">
        <w:rPr>
          <w:rFonts w:ascii="Book Antiqua" w:hAnsi="Book Antiqua"/>
          <w:lang w:val="en-GB"/>
        </w:rPr>
        <w:t xml:space="preserve"> as shocks t</w:t>
      </w:r>
      <w:r w:rsidR="00D81D62" w:rsidRPr="00F200E7">
        <w:rPr>
          <w:rFonts w:ascii="Book Antiqua" w:hAnsi="Book Antiqua"/>
          <w:lang w:val="en-GB"/>
        </w:rPr>
        <w:t>riggered by DR</w:t>
      </w:r>
      <w:r w:rsidR="003D4912" w:rsidRPr="00F200E7">
        <w:rPr>
          <w:rFonts w:ascii="Book Antiqua" w:hAnsi="Book Antiqua"/>
          <w:lang w:val="en-GB"/>
        </w:rPr>
        <w:t>–</w:t>
      </w:r>
      <w:r w:rsidR="00D81D62" w:rsidRPr="00F200E7">
        <w:rPr>
          <w:rFonts w:ascii="Book Antiqua" w:hAnsi="Book Antiqua"/>
          <w:lang w:val="en-GB"/>
        </w:rPr>
        <w:t>CAFTA, the change</w:t>
      </w:r>
      <w:r w:rsidRPr="00F200E7">
        <w:rPr>
          <w:rFonts w:ascii="Book Antiqua" w:hAnsi="Book Antiqua"/>
          <w:lang w:val="en-GB"/>
        </w:rPr>
        <w:t xml:space="preserve"> in th</w:t>
      </w:r>
      <w:r w:rsidR="00240D7C">
        <w:rPr>
          <w:rFonts w:ascii="Book Antiqua" w:hAnsi="Book Antiqua"/>
          <w:lang w:val="en-GB"/>
        </w:rPr>
        <w:t>e growth of agricultural exports</w:t>
      </w:r>
      <w:r w:rsidRPr="00F200E7">
        <w:rPr>
          <w:rFonts w:ascii="Book Antiqua" w:hAnsi="Book Antiqua"/>
          <w:lang w:val="en-GB"/>
        </w:rPr>
        <w:t xml:space="preserve">, the </w:t>
      </w:r>
      <w:r w:rsidR="003D4912" w:rsidRPr="00F200E7">
        <w:rPr>
          <w:rFonts w:ascii="Book Antiqua" w:hAnsi="Book Antiqua"/>
          <w:lang w:val="en-GB"/>
        </w:rPr>
        <w:t>analysis finds</w:t>
      </w:r>
      <w:r w:rsidRPr="00F200E7">
        <w:rPr>
          <w:rFonts w:ascii="Book Antiqua" w:hAnsi="Book Antiqua"/>
          <w:lang w:val="en-GB"/>
        </w:rPr>
        <w:t xml:space="preserve"> that 25,900 agricultural jobs were created in 2006. This represents a 1.6 per cent growth in </w:t>
      </w:r>
      <w:r w:rsidR="008A4B5E">
        <w:rPr>
          <w:rFonts w:ascii="Book Antiqua" w:hAnsi="Book Antiqua"/>
          <w:lang w:val="en-GB"/>
        </w:rPr>
        <w:t xml:space="preserve">total </w:t>
      </w:r>
      <w:r w:rsidR="00853849" w:rsidRPr="00F200E7">
        <w:rPr>
          <w:rFonts w:ascii="Book Antiqua" w:hAnsi="Book Antiqua"/>
          <w:lang w:val="en-GB"/>
        </w:rPr>
        <w:t xml:space="preserve">agricultural </w:t>
      </w:r>
      <w:r w:rsidRPr="00F200E7">
        <w:rPr>
          <w:rFonts w:ascii="Book Antiqua" w:hAnsi="Book Antiqua"/>
          <w:lang w:val="en-GB"/>
        </w:rPr>
        <w:t xml:space="preserve">employment. </w:t>
      </w:r>
      <w:r w:rsidR="003D4912" w:rsidRPr="00F200E7">
        <w:rPr>
          <w:rFonts w:ascii="Book Antiqua" w:hAnsi="Book Antiqua"/>
          <w:lang w:val="en-GB"/>
        </w:rPr>
        <w:t xml:space="preserve">Also, </w:t>
      </w:r>
      <w:r w:rsidRPr="00F200E7">
        <w:rPr>
          <w:rFonts w:ascii="Book Antiqua" w:hAnsi="Book Antiqua"/>
          <w:lang w:val="en-GB"/>
        </w:rPr>
        <w:t xml:space="preserve">9,800 indirect jobs were created, </w:t>
      </w:r>
      <w:r w:rsidR="003D4912" w:rsidRPr="00F200E7">
        <w:rPr>
          <w:rFonts w:ascii="Book Antiqua" w:hAnsi="Book Antiqua"/>
          <w:lang w:val="en-GB"/>
        </w:rPr>
        <w:t>which</w:t>
      </w:r>
      <w:r w:rsidRPr="00F200E7">
        <w:rPr>
          <w:rFonts w:ascii="Book Antiqua" w:hAnsi="Book Antiqua"/>
          <w:lang w:val="en-GB"/>
        </w:rPr>
        <w:t xml:space="preserve"> represent</w:t>
      </w:r>
      <w:r w:rsidR="003D4912" w:rsidRPr="00F200E7">
        <w:rPr>
          <w:rFonts w:ascii="Book Antiqua" w:hAnsi="Book Antiqua"/>
          <w:lang w:val="en-GB"/>
        </w:rPr>
        <w:t>s</w:t>
      </w:r>
      <w:r w:rsidRPr="00F200E7">
        <w:rPr>
          <w:rFonts w:ascii="Book Antiqua" w:hAnsi="Book Antiqua"/>
          <w:lang w:val="en-GB"/>
        </w:rPr>
        <w:t xml:space="preserve"> a</w:t>
      </w:r>
      <w:r w:rsidR="001E1682" w:rsidRPr="00F200E7">
        <w:rPr>
          <w:rFonts w:ascii="Book Antiqua" w:hAnsi="Book Antiqua"/>
          <w:lang w:val="en-GB"/>
        </w:rPr>
        <w:t xml:space="preserve">n </w:t>
      </w:r>
      <w:r w:rsidR="00596A5C" w:rsidRPr="00F200E7">
        <w:rPr>
          <w:rFonts w:ascii="Book Antiqua" w:hAnsi="Book Antiqua"/>
          <w:lang w:val="en-GB"/>
        </w:rPr>
        <w:t>increase</w:t>
      </w:r>
      <w:r w:rsidR="001E1682" w:rsidRPr="00F200E7">
        <w:rPr>
          <w:rFonts w:ascii="Book Antiqua" w:hAnsi="Book Antiqua"/>
          <w:lang w:val="en-GB"/>
        </w:rPr>
        <w:t xml:space="preserve"> of</w:t>
      </w:r>
      <w:r w:rsidRPr="00F200E7">
        <w:rPr>
          <w:rFonts w:ascii="Book Antiqua" w:hAnsi="Book Antiqua"/>
          <w:lang w:val="en-GB"/>
        </w:rPr>
        <w:t xml:space="preserve"> 0.3 per cent. </w:t>
      </w:r>
      <w:r w:rsidR="00240D7C">
        <w:rPr>
          <w:rFonts w:ascii="Book Antiqua" w:hAnsi="Book Antiqua"/>
          <w:lang w:val="en-GB"/>
        </w:rPr>
        <w:t>On the other hand,</w:t>
      </w:r>
      <w:r w:rsidR="00240D7C" w:rsidRPr="00240D7C">
        <w:rPr>
          <w:rFonts w:ascii="Book Antiqua" w:hAnsi="Book Antiqua"/>
          <w:lang w:val="en-GB"/>
        </w:rPr>
        <w:t xml:space="preserve"> according to the results of the simulat</w:t>
      </w:r>
      <w:r w:rsidR="00240D7C">
        <w:rPr>
          <w:rFonts w:ascii="Book Antiqua" w:hAnsi="Book Antiqua"/>
          <w:lang w:val="en-GB"/>
        </w:rPr>
        <w:t>ion of the growth in agricultural imports, DR-CAFTA eliminated</w:t>
      </w:r>
      <w:r w:rsidR="00240D7C" w:rsidRPr="00240D7C">
        <w:rPr>
          <w:rFonts w:ascii="Book Antiqua" w:hAnsi="Book Antiqua"/>
          <w:lang w:val="en-GB"/>
        </w:rPr>
        <w:t xml:space="preserve"> a total of </w:t>
      </w:r>
      <w:r w:rsidR="00240D7C">
        <w:rPr>
          <w:rFonts w:ascii="Book Antiqua" w:hAnsi="Book Antiqua"/>
          <w:lang w:val="en-GB"/>
        </w:rPr>
        <w:t>8,400 jobs annually, of which 6,900 were</w:t>
      </w:r>
      <w:r w:rsidR="00240D7C" w:rsidRPr="00240D7C">
        <w:rPr>
          <w:rFonts w:ascii="Book Antiqua" w:hAnsi="Book Antiqua"/>
          <w:lang w:val="en-GB"/>
        </w:rPr>
        <w:t xml:space="preserve"> agricultural jobs and 1,500 </w:t>
      </w:r>
      <w:r w:rsidR="00240D7C">
        <w:rPr>
          <w:rFonts w:ascii="Book Antiqua" w:hAnsi="Book Antiqua"/>
          <w:lang w:val="en-GB"/>
        </w:rPr>
        <w:t xml:space="preserve">were jobs in other sectors. Using </w:t>
      </w:r>
      <w:r w:rsidR="00596A5C" w:rsidRPr="00F200E7">
        <w:rPr>
          <w:rFonts w:ascii="Book Antiqua" w:hAnsi="Book Antiqua"/>
          <w:lang w:val="en-GB"/>
        </w:rPr>
        <w:t>results</w:t>
      </w:r>
      <w:r w:rsidR="00240D7C">
        <w:rPr>
          <w:rFonts w:ascii="Book Antiqua" w:hAnsi="Book Antiqua"/>
          <w:lang w:val="en-GB"/>
        </w:rPr>
        <w:t xml:space="preserve"> from both simulations</w:t>
      </w:r>
      <w:r w:rsidR="00596A5C" w:rsidRPr="00F200E7">
        <w:rPr>
          <w:rFonts w:ascii="Book Antiqua" w:hAnsi="Book Antiqua"/>
          <w:lang w:val="en-GB"/>
        </w:rPr>
        <w:t xml:space="preserve"> and taking into consideration the unemployment rate of 3.5 </w:t>
      </w:r>
      <w:r w:rsidR="00DE70C5">
        <w:rPr>
          <w:rFonts w:ascii="Book Antiqua" w:hAnsi="Book Antiqua"/>
          <w:lang w:val="en-GB"/>
        </w:rPr>
        <w:t>per cent according to ENEI (2010</w:t>
      </w:r>
      <w:r w:rsidR="00596A5C" w:rsidRPr="00F200E7">
        <w:rPr>
          <w:rFonts w:ascii="Book Antiqua" w:hAnsi="Book Antiqua"/>
          <w:lang w:val="en-GB"/>
        </w:rPr>
        <w:t xml:space="preserve">), the overall impact of the Agreement on employment is </w:t>
      </w:r>
      <w:r w:rsidR="00240D7C">
        <w:rPr>
          <w:rFonts w:ascii="Book Antiqua" w:hAnsi="Book Antiqua"/>
          <w:lang w:val="en-GB"/>
        </w:rPr>
        <w:t xml:space="preserve">still </w:t>
      </w:r>
      <w:r w:rsidR="00596A5C" w:rsidRPr="00F200E7">
        <w:rPr>
          <w:rFonts w:ascii="Book Antiqua" w:hAnsi="Book Antiqua"/>
          <w:lang w:val="en-GB"/>
        </w:rPr>
        <w:t>positive.</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Relating the previous results </w:t>
      </w:r>
      <w:r w:rsidR="008A4B5E">
        <w:rPr>
          <w:rFonts w:ascii="Book Antiqua" w:hAnsi="Book Antiqua"/>
          <w:lang w:val="en-GB"/>
        </w:rPr>
        <w:t>to</w:t>
      </w:r>
      <w:r w:rsidR="00FB5615">
        <w:rPr>
          <w:rFonts w:ascii="Book Antiqua" w:hAnsi="Book Antiqua"/>
          <w:lang w:val="en-GB"/>
        </w:rPr>
        <w:t xml:space="preserve"> </w:t>
      </w:r>
      <w:r w:rsidRPr="00F200E7">
        <w:rPr>
          <w:rFonts w:ascii="Book Antiqua" w:hAnsi="Book Antiqua"/>
          <w:lang w:val="en-GB"/>
        </w:rPr>
        <w:t>those from the econometric regression, it can be observed that DR</w:t>
      </w:r>
      <w:r w:rsidR="00A05D22" w:rsidRPr="00F200E7">
        <w:rPr>
          <w:rFonts w:ascii="Book Antiqua" w:hAnsi="Book Antiqua"/>
          <w:lang w:val="en-GB"/>
        </w:rPr>
        <w:t>–</w:t>
      </w:r>
      <w:r w:rsidRPr="00F200E7">
        <w:rPr>
          <w:rFonts w:ascii="Book Antiqua" w:hAnsi="Book Antiqua"/>
          <w:lang w:val="en-GB"/>
        </w:rPr>
        <w:t xml:space="preserve">CAFTA improved formal agricultural employment in Guatemala. This is attributable </w:t>
      </w:r>
      <w:r w:rsidR="00C7517F">
        <w:rPr>
          <w:rFonts w:ascii="Book Antiqua" w:hAnsi="Book Antiqua"/>
          <w:lang w:val="en-GB"/>
        </w:rPr>
        <w:t xml:space="preserve">partly </w:t>
      </w:r>
      <w:r w:rsidRPr="00F200E7">
        <w:rPr>
          <w:rFonts w:ascii="Book Antiqua" w:hAnsi="Book Antiqua"/>
          <w:lang w:val="en-GB"/>
        </w:rPr>
        <w:t xml:space="preserve">to the increase in </w:t>
      </w:r>
      <w:r w:rsidR="00A05D22" w:rsidRPr="00F200E7">
        <w:rPr>
          <w:rFonts w:ascii="Book Antiqua" w:hAnsi="Book Antiqua"/>
          <w:lang w:val="en-GB"/>
        </w:rPr>
        <w:t xml:space="preserve">exports of </w:t>
      </w:r>
      <w:r w:rsidRPr="00F200E7">
        <w:rPr>
          <w:rFonts w:ascii="Book Antiqua" w:hAnsi="Book Antiqua"/>
          <w:lang w:val="en-GB"/>
        </w:rPr>
        <w:t xml:space="preserve">coffee (the only product </w:t>
      </w:r>
      <w:r w:rsidR="00A05D22" w:rsidRPr="00F200E7">
        <w:rPr>
          <w:rFonts w:ascii="Book Antiqua" w:hAnsi="Book Antiqua"/>
          <w:lang w:val="en-GB"/>
        </w:rPr>
        <w:t xml:space="preserve">that </w:t>
      </w:r>
      <w:r w:rsidRPr="00F200E7">
        <w:rPr>
          <w:rFonts w:ascii="Book Antiqua" w:hAnsi="Book Antiqua"/>
          <w:lang w:val="en-GB"/>
        </w:rPr>
        <w:t xml:space="preserve">had an effect on </w:t>
      </w:r>
      <w:r w:rsidR="00A05D22" w:rsidRPr="00F200E7">
        <w:rPr>
          <w:rFonts w:ascii="Book Antiqua" w:hAnsi="Book Antiqua"/>
          <w:lang w:val="en-GB"/>
        </w:rPr>
        <w:t xml:space="preserve">formal </w:t>
      </w:r>
      <w:r w:rsidRPr="00F200E7">
        <w:rPr>
          <w:rFonts w:ascii="Book Antiqua" w:hAnsi="Book Antiqua"/>
          <w:lang w:val="en-GB"/>
        </w:rPr>
        <w:t xml:space="preserve">employment) and </w:t>
      </w:r>
      <w:r w:rsidR="00C7517F">
        <w:rPr>
          <w:rFonts w:ascii="Book Antiqua" w:hAnsi="Book Antiqua"/>
          <w:lang w:val="en-GB"/>
        </w:rPr>
        <w:t xml:space="preserve">partly to </w:t>
      </w:r>
      <w:r w:rsidRPr="00F200E7">
        <w:rPr>
          <w:rFonts w:ascii="Book Antiqua" w:hAnsi="Book Antiqua"/>
          <w:lang w:val="en-GB"/>
        </w:rPr>
        <w:t xml:space="preserve">other factors that indirectly affect agricultural employment that were not taken into consideration </w:t>
      </w:r>
      <w:r w:rsidR="00A05D22" w:rsidRPr="00F200E7">
        <w:rPr>
          <w:rFonts w:ascii="Book Antiqua" w:hAnsi="Book Antiqua"/>
          <w:lang w:val="en-GB"/>
        </w:rPr>
        <w:t xml:space="preserve">in </w:t>
      </w:r>
      <w:r w:rsidRPr="00F200E7">
        <w:rPr>
          <w:rFonts w:ascii="Book Antiqua" w:hAnsi="Book Antiqua"/>
          <w:lang w:val="en-GB"/>
        </w:rPr>
        <w:t>this study, such as exports of non-traditional products.</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As for </w:t>
      </w:r>
      <w:r w:rsidR="003467D0" w:rsidRPr="00F200E7">
        <w:rPr>
          <w:rFonts w:ascii="Book Antiqua" w:hAnsi="Book Antiqua"/>
          <w:lang w:val="en-GB"/>
        </w:rPr>
        <w:t>impacts</w:t>
      </w:r>
      <w:r w:rsidRPr="00F200E7">
        <w:rPr>
          <w:rFonts w:ascii="Book Antiqua" w:hAnsi="Book Antiqua"/>
          <w:lang w:val="en-GB"/>
        </w:rPr>
        <w:t xml:space="preserve"> by sub-sector, the textile industry is one</w:t>
      </w:r>
      <w:r w:rsidR="00F76782">
        <w:rPr>
          <w:rFonts w:ascii="Book Antiqua" w:hAnsi="Book Antiqua"/>
          <w:lang w:val="en-GB"/>
        </w:rPr>
        <w:t xml:space="preserve"> of the main beneficiaries</w:t>
      </w:r>
      <w:r w:rsidR="00FB5615">
        <w:rPr>
          <w:rFonts w:ascii="Book Antiqua" w:hAnsi="Book Antiqua"/>
          <w:lang w:val="en-GB"/>
        </w:rPr>
        <w:t xml:space="preserve"> </w:t>
      </w:r>
      <w:r w:rsidR="00F76782">
        <w:rPr>
          <w:rFonts w:ascii="Book Antiqua" w:hAnsi="Book Antiqua"/>
          <w:lang w:val="en-GB"/>
        </w:rPr>
        <w:t xml:space="preserve">of </w:t>
      </w:r>
      <w:r w:rsidRPr="00F200E7">
        <w:rPr>
          <w:rFonts w:ascii="Book Antiqua" w:hAnsi="Book Antiqua"/>
          <w:lang w:val="en-GB"/>
        </w:rPr>
        <w:t xml:space="preserve">the Treaty; employment </w:t>
      </w:r>
      <w:r w:rsidR="00D81D62" w:rsidRPr="00F200E7">
        <w:rPr>
          <w:rFonts w:ascii="Book Antiqua" w:hAnsi="Book Antiqua"/>
          <w:lang w:val="en-GB"/>
        </w:rPr>
        <w:t xml:space="preserve">generated in </w:t>
      </w:r>
      <w:r w:rsidR="003467D0" w:rsidRPr="00F200E7">
        <w:rPr>
          <w:rFonts w:ascii="Book Antiqua" w:hAnsi="Book Antiqua"/>
          <w:lang w:val="en-GB"/>
        </w:rPr>
        <w:t xml:space="preserve">this sector </w:t>
      </w:r>
      <w:r w:rsidR="00D81D62" w:rsidRPr="00F200E7">
        <w:rPr>
          <w:rFonts w:ascii="Book Antiqua" w:hAnsi="Book Antiqua"/>
          <w:lang w:val="en-GB"/>
        </w:rPr>
        <w:t xml:space="preserve">amounts to </w:t>
      </w:r>
      <w:r w:rsidR="00DE70C5">
        <w:rPr>
          <w:rFonts w:ascii="Book Antiqua" w:hAnsi="Book Antiqua"/>
          <w:lang w:val="en-GB"/>
        </w:rPr>
        <w:t xml:space="preserve">an increase </w:t>
      </w:r>
      <w:r w:rsidR="00CF30F2">
        <w:rPr>
          <w:rFonts w:ascii="Book Antiqua" w:hAnsi="Book Antiqua"/>
          <w:lang w:val="en-GB"/>
        </w:rPr>
        <w:t xml:space="preserve">in employment </w:t>
      </w:r>
      <w:r w:rsidR="00DE70C5">
        <w:rPr>
          <w:rFonts w:ascii="Book Antiqua" w:hAnsi="Book Antiqua"/>
          <w:lang w:val="en-GB"/>
        </w:rPr>
        <w:t>of</w:t>
      </w:r>
      <w:r w:rsidR="00240D7C">
        <w:rPr>
          <w:rFonts w:ascii="Book Antiqua" w:hAnsi="Book Antiqua"/>
          <w:lang w:val="en-GB"/>
        </w:rPr>
        <w:t xml:space="preserve"> </w:t>
      </w:r>
      <w:r w:rsidR="00D81D62" w:rsidRPr="00F200E7">
        <w:rPr>
          <w:rFonts w:ascii="Book Antiqua" w:hAnsi="Book Antiqua"/>
          <w:lang w:val="en-GB"/>
        </w:rPr>
        <w:t>35.7 per cent</w:t>
      </w:r>
      <w:r w:rsidR="003467D0" w:rsidRPr="00F200E7">
        <w:rPr>
          <w:rFonts w:ascii="Book Antiqua" w:hAnsi="Book Antiqua"/>
          <w:lang w:val="en-GB"/>
        </w:rPr>
        <w:t>.</w:t>
      </w:r>
      <w:r w:rsidR="00FB5615">
        <w:rPr>
          <w:rFonts w:ascii="Book Antiqua" w:hAnsi="Book Antiqua"/>
          <w:lang w:val="en-GB"/>
        </w:rPr>
        <w:t xml:space="preserve"> </w:t>
      </w:r>
      <w:r w:rsidR="003467D0" w:rsidRPr="00F200E7">
        <w:rPr>
          <w:rFonts w:ascii="Book Antiqua" w:hAnsi="Book Antiqua"/>
          <w:lang w:val="en-GB"/>
        </w:rPr>
        <w:t>T</w:t>
      </w:r>
      <w:r w:rsidRPr="00F200E7">
        <w:rPr>
          <w:rFonts w:ascii="Book Antiqua" w:hAnsi="Book Antiqua"/>
          <w:lang w:val="en-GB"/>
        </w:rPr>
        <w:t xml:space="preserve">he services sector benefited </w:t>
      </w:r>
      <w:r w:rsidR="008A4B5E">
        <w:rPr>
          <w:rFonts w:ascii="Book Antiqua" w:hAnsi="Book Antiqua"/>
          <w:lang w:val="en-GB"/>
        </w:rPr>
        <w:t>from</w:t>
      </w:r>
      <w:r w:rsidR="00FB5615">
        <w:rPr>
          <w:rFonts w:ascii="Book Antiqua" w:hAnsi="Book Antiqua"/>
          <w:lang w:val="en-GB"/>
        </w:rPr>
        <w:t xml:space="preserve"> </w:t>
      </w:r>
      <w:r w:rsidR="00D81D62" w:rsidRPr="00F200E7">
        <w:rPr>
          <w:rFonts w:ascii="Book Antiqua" w:hAnsi="Book Antiqua"/>
          <w:lang w:val="en-GB"/>
        </w:rPr>
        <w:t>an even greater increase</w:t>
      </w:r>
      <w:r w:rsidR="008A4B5E">
        <w:rPr>
          <w:rFonts w:ascii="Book Antiqua" w:hAnsi="Book Antiqua"/>
          <w:lang w:val="en-GB"/>
        </w:rPr>
        <w:t>,</w:t>
      </w:r>
      <w:r w:rsidR="00F76782">
        <w:rPr>
          <w:rFonts w:ascii="Book Antiqua" w:hAnsi="Book Antiqua"/>
          <w:lang w:val="en-GB"/>
        </w:rPr>
        <w:t xml:space="preserve"> of </w:t>
      </w:r>
      <w:r w:rsidR="00D81D62" w:rsidRPr="00F200E7">
        <w:rPr>
          <w:rFonts w:ascii="Book Antiqua" w:hAnsi="Book Antiqua"/>
          <w:lang w:val="en-GB"/>
        </w:rPr>
        <w:t>37.5 per cent</w:t>
      </w:r>
      <w:r w:rsidRPr="00F200E7">
        <w:rPr>
          <w:rFonts w:ascii="Book Antiqua" w:hAnsi="Book Antiqua"/>
          <w:lang w:val="en-GB"/>
        </w:rPr>
        <w:t>.</w:t>
      </w:r>
    </w:p>
    <w:p w:rsidR="00ED1005" w:rsidRPr="00F200E7" w:rsidRDefault="00B52570" w:rsidP="006C1A87">
      <w:pPr>
        <w:pStyle w:val="Heading1"/>
        <w:rPr>
          <w:lang w:val="en-GB"/>
        </w:rPr>
      </w:pPr>
      <w:bookmarkStart w:id="177" w:name="_Toc333411871"/>
      <w:bookmarkStart w:id="178" w:name="_Toc336607521"/>
      <w:bookmarkStart w:id="179" w:name="_Toc333837995"/>
      <w:r w:rsidRPr="00F200E7">
        <w:rPr>
          <w:lang w:val="en-GB"/>
        </w:rPr>
        <w:t>6.</w:t>
      </w:r>
      <w:r w:rsidR="00116FF7">
        <w:rPr>
          <w:lang w:val="en-GB"/>
        </w:rPr>
        <w:t>6</w:t>
      </w:r>
      <w:r w:rsidRPr="00F200E7">
        <w:rPr>
          <w:lang w:val="en-GB"/>
        </w:rPr>
        <w:tab/>
        <w:t>AGRICULTURAL LABOUR LEGISLATION AND TRADE UNIONS</w:t>
      </w:r>
      <w:bookmarkEnd w:id="177"/>
      <w:bookmarkEnd w:id="178"/>
      <w:bookmarkEnd w:id="179"/>
    </w:p>
    <w:p w:rsidR="00ED1005" w:rsidRPr="00F200E7" w:rsidRDefault="00B52570" w:rsidP="0032057B">
      <w:pPr>
        <w:pStyle w:val="Heading2"/>
      </w:pPr>
      <w:bookmarkStart w:id="180" w:name="_Toc333411872"/>
      <w:bookmarkStart w:id="181" w:name="_Toc336607522"/>
      <w:bookmarkStart w:id="182" w:name="_Toc333837996"/>
      <w:r w:rsidRPr="00F200E7">
        <w:t>6.</w:t>
      </w:r>
      <w:r w:rsidR="00116FF7">
        <w:t>6</w:t>
      </w:r>
      <w:r w:rsidR="00ED1005" w:rsidRPr="00F200E7">
        <w:t>.1.</w:t>
      </w:r>
      <w:r w:rsidR="009E1E5C" w:rsidRPr="00F200E7">
        <w:tab/>
      </w:r>
      <w:bookmarkEnd w:id="180"/>
      <w:r w:rsidR="00ED1005" w:rsidRPr="00F200E7">
        <w:t>Constitutional legislation</w:t>
      </w:r>
      <w:bookmarkEnd w:id="181"/>
      <w:bookmarkEnd w:id="182"/>
    </w:p>
    <w:p w:rsidR="00ED1005" w:rsidRPr="00F200E7" w:rsidRDefault="00ED1005" w:rsidP="00ED1005">
      <w:pPr>
        <w:pStyle w:val="NoSpacing"/>
        <w:spacing w:before="240"/>
        <w:jc w:val="both"/>
        <w:rPr>
          <w:rFonts w:ascii="Book Antiqua" w:hAnsi="Book Antiqua"/>
          <w:lang w:val="en-GB"/>
        </w:rPr>
      </w:pPr>
      <w:r w:rsidRPr="00F200E7">
        <w:rPr>
          <w:rFonts w:ascii="Book Antiqua" w:hAnsi="Book Antiqua"/>
          <w:lang w:val="en-GB"/>
        </w:rPr>
        <w:t>Guatemala has well-developed labour legi</w:t>
      </w:r>
      <w:r w:rsidR="00356691">
        <w:rPr>
          <w:rFonts w:ascii="Book Antiqua" w:hAnsi="Book Antiqua"/>
          <w:lang w:val="en-GB"/>
        </w:rPr>
        <w:t xml:space="preserve">slation that regulates </w:t>
      </w:r>
      <w:r w:rsidRPr="00F200E7">
        <w:rPr>
          <w:rFonts w:ascii="Book Antiqua" w:hAnsi="Book Antiqua"/>
          <w:lang w:val="en-GB"/>
        </w:rPr>
        <w:t>the relation</w:t>
      </w:r>
      <w:r w:rsidR="009E1E5C" w:rsidRPr="00F200E7">
        <w:rPr>
          <w:rFonts w:ascii="Book Antiqua" w:hAnsi="Book Antiqua"/>
          <w:lang w:val="en-GB"/>
        </w:rPr>
        <w:t>ship</w:t>
      </w:r>
      <w:r w:rsidRPr="00F200E7">
        <w:rPr>
          <w:rFonts w:ascii="Book Antiqua" w:hAnsi="Book Antiqua"/>
          <w:lang w:val="en-GB"/>
        </w:rPr>
        <w:t xml:space="preserve"> between employers and employees. </w:t>
      </w:r>
      <w:r w:rsidR="00356691">
        <w:rPr>
          <w:rFonts w:ascii="Book Antiqua" w:hAnsi="Book Antiqua"/>
          <w:lang w:val="en-GB"/>
        </w:rPr>
        <w:t xml:space="preserve">In its discussion of </w:t>
      </w:r>
      <w:r w:rsidR="00356691" w:rsidRPr="00F200E7">
        <w:rPr>
          <w:rFonts w:ascii="Book Antiqua" w:hAnsi="Book Antiqua"/>
          <w:lang w:val="en-GB"/>
        </w:rPr>
        <w:t>the constitutions and labour codes of Central American countries</w:t>
      </w:r>
      <w:r w:rsidR="00356691">
        <w:rPr>
          <w:rFonts w:ascii="Book Antiqua" w:hAnsi="Book Antiqua"/>
          <w:lang w:val="en-GB"/>
        </w:rPr>
        <w:t xml:space="preserve">, </w:t>
      </w:r>
      <w:r w:rsidR="00BC151C" w:rsidRPr="00F200E7">
        <w:rPr>
          <w:rFonts w:ascii="Book Antiqua" w:hAnsi="Book Antiqua"/>
          <w:lang w:val="en-GB"/>
        </w:rPr>
        <w:t>the so-called White Book (</w:t>
      </w:r>
      <w:proofErr w:type="spellStart"/>
      <w:r w:rsidR="00BC151C" w:rsidRPr="00F200E7">
        <w:rPr>
          <w:rFonts w:ascii="Book Antiqua" w:hAnsi="Book Antiqua"/>
          <w:lang w:val="en-GB"/>
        </w:rPr>
        <w:t>Libro</w:t>
      </w:r>
      <w:proofErr w:type="spellEnd"/>
      <w:r w:rsidR="00BC151C" w:rsidRPr="00F200E7">
        <w:rPr>
          <w:rFonts w:ascii="Book Antiqua" w:hAnsi="Book Antiqua"/>
          <w:lang w:val="en-GB"/>
        </w:rPr>
        <w:t xml:space="preserve"> Blanco) (</w:t>
      </w:r>
      <w:proofErr w:type="spellStart"/>
      <w:r w:rsidR="00BC151C" w:rsidRPr="00F200E7">
        <w:rPr>
          <w:rFonts w:ascii="Book Antiqua" w:hAnsi="Book Antiqua"/>
          <w:lang w:val="en-GB"/>
        </w:rPr>
        <w:t>Grupo</w:t>
      </w:r>
      <w:proofErr w:type="spellEnd"/>
      <w:r w:rsidR="00BC151C" w:rsidRPr="00F200E7">
        <w:rPr>
          <w:rFonts w:ascii="Book Antiqua" w:hAnsi="Book Antiqua"/>
          <w:lang w:val="en-GB"/>
        </w:rPr>
        <w:t xml:space="preserve"> de </w:t>
      </w:r>
      <w:proofErr w:type="spellStart"/>
      <w:r w:rsidR="00BC151C" w:rsidRPr="00F200E7">
        <w:rPr>
          <w:rFonts w:ascii="Book Antiqua" w:hAnsi="Book Antiqua"/>
          <w:lang w:val="en-GB"/>
        </w:rPr>
        <w:t>Trabajo</w:t>
      </w:r>
      <w:proofErr w:type="spellEnd"/>
      <w:r w:rsidR="00BC151C" w:rsidRPr="00F200E7">
        <w:rPr>
          <w:rFonts w:ascii="Book Antiqua" w:hAnsi="Book Antiqua"/>
          <w:lang w:val="en-GB"/>
        </w:rPr>
        <w:t xml:space="preserve">, 2005) indicates that </w:t>
      </w:r>
      <w:r w:rsidR="00AC41CC">
        <w:rPr>
          <w:rFonts w:ascii="Book Antiqua" w:hAnsi="Book Antiqua"/>
          <w:lang w:val="en-GB"/>
        </w:rPr>
        <w:t>Guatemala’s</w:t>
      </w:r>
      <w:r w:rsidR="00FB5615">
        <w:rPr>
          <w:rFonts w:ascii="Book Antiqua" w:hAnsi="Book Antiqua"/>
          <w:lang w:val="en-GB"/>
        </w:rPr>
        <w:t xml:space="preserve"> </w:t>
      </w:r>
      <w:r w:rsidR="00C7517F">
        <w:rPr>
          <w:rFonts w:ascii="Book Antiqua" w:hAnsi="Book Antiqua"/>
          <w:lang w:val="en-GB"/>
        </w:rPr>
        <w:t xml:space="preserve">codes </w:t>
      </w:r>
      <w:r w:rsidR="00BC151C" w:rsidRPr="00F200E7">
        <w:rPr>
          <w:rFonts w:ascii="Book Antiqua" w:hAnsi="Book Antiqua"/>
          <w:lang w:val="en-GB"/>
        </w:rPr>
        <w:t xml:space="preserve">are fulfilling the fundamental obligations set out by </w:t>
      </w:r>
      <w:r w:rsidR="00AC41CC">
        <w:rPr>
          <w:rFonts w:ascii="Book Antiqua" w:hAnsi="Book Antiqua"/>
          <w:lang w:val="en-GB"/>
        </w:rPr>
        <w:t xml:space="preserve">the </w:t>
      </w:r>
      <w:r w:rsidR="009E1E5C" w:rsidRPr="00F200E7">
        <w:rPr>
          <w:rFonts w:ascii="Book Antiqua" w:hAnsi="Book Antiqua"/>
          <w:lang w:val="en-GB"/>
        </w:rPr>
        <w:t xml:space="preserve">International Labour </w:t>
      </w:r>
      <w:proofErr w:type="gramStart"/>
      <w:r w:rsidR="00F76782">
        <w:rPr>
          <w:rFonts w:ascii="Book Antiqua" w:hAnsi="Book Antiqua"/>
          <w:lang w:val="en-GB"/>
        </w:rPr>
        <w:t>Organiz</w:t>
      </w:r>
      <w:r w:rsidR="002727FB" w:rsidRPr="00F200E7">
        <w:rPr>
          <w:rFonts w:ascii="Book Antiqua" w:hAnsi="Book Antiqua"/>
          <w:lang w:val="en-GB"/>
        </w:rPr>
        <w:t>ation</w:t>
      </w:r>
      <w:r w:rsidR="009E1E5C" w:rsidRPr="00F200E7">
        <w:rPr>
          <w:rFonts w:ascii="Book Antiqua" w:hAnsi="Book Antiqua"/>
          <w:lang w:val="en-GB"/>
        </w:rPr>
        <w:t>(</w:t>
      </w:r>
      <w:proofErr w:type="gramEnd"/>
      <w:r w:rsidR="00BC151C" w:rsidRPr="00F200E7">
        <w:rPr>
          <w:rFonts w:ascii="Book Antiqua" w:hAnsi="Book Antiqua"/>
          <w:lang w:val="en-GB"/>
        </w:rPr>
        <w:t>ILO</w:t>
      </w:r>
      <w:r w:rsidR="009E1E5C" w:rsidRPr="00F200E7">
        <w:rPr>
          <w:rFonts w:ascii="Book Antiqua" w:hAnsi="Book Antiqua"/>
          <w:lang w:val="en-GB"/>
        </w:rPr>
        <w:t>)</w:t>
      </w:r>
      <w:r w:rsidR="00BC151C" w:rsidRPr="00F200E7">
        <w:rPr>
          <w:rFonts w:ascii="Book Antiqua" w:hAnsi="Book Antiqua"/>
          <w:lang w:val="en-GB"/>
        </w:rPr>
        <w: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Guatemalan labour legislation </w:t>
      </w:r>
      <w:r w:rsidR="00AC0414" w:rsidRPr="00F200E7">
        <w:rPr>
          <w:rFonts w:ascii="Book Antiqua" w:hAnsi="Book Antiqua"/>
          <w:lang w:val="en-GB"/>
        </w:rPr>
        <w:t>reflects the emphasis on</w:t>
      </w:r>
      <w:r w:rsidRPr="00F200E7">
        <w:rPr>
          <w:rFonts w:ascii="Book Antiqua" w:hAnsi="Book Antiqua"/>
          <w:lang w:val="en-GB"/>
        </w:rPr>
        <w:t xml:space="preserve"> protection of worker</w:t>
      </w:r>
      <w:r w:rsidR="00AC0414" w:rsidRPr="00F200E7">
        <w:rPr>
          <w:rFonts w:ascii="Book Antiqua" w:hAnsi="Book Antiqua"/>
          <w:lang w:val="en-GB"/>
        </w:rPr>
        <w:t>s’</w:t>
      </w:r>
      <w:r w:rsidRPr="00F200E7">
        <w:rPr>
          <w:rFonts w:ascii="Book Antiqua" w:hAnsi="Book Antiqua"/>
          <w:lang w:val="en-GB"/>
        </w:rPr>
        <w:t xml:space="preserve"> rights </w:t>
      </w:r>
      <w:r w:rsidR="00AC0414" w:rsidRPr="00F200E7">
        <w:rPr>
          <w:rFonts w:ascii="Book Antiqua" w:hAnsi="Book Antiqua"/>
          <w:lang w:val="en-GB"/>
        </w:rPr>
        <w:t>that</w:t>
      </w:r>
      <w:r w:rsidRPr="00F200E7">
        <w:rPr>
          <w:rFonts w:ascii="Book Antiqua" w:hAnsi="Book Antiqua"/>
          <w:lang w:val="en-GB"/>
        </w:rPr>
        <w:t xml:space="preserve"> characteri</w:t>
      </w:r>
      <w:r w:rsidR="00AC0414" w:rsidRPr="00F200E7">
        <w:rPr>
          <w:rFonts w:ascii="Book Antiqua" w:hAnsi="Book Antiqua"/>
          <w:lang w:val="en-GB"/>
        </w:rPr>
        <w:t>z</w:t>
      </w:r>
      <w:r w:rsidRPr="00F200E7">
        <w:rPr>
          <w:rFonts w:ascii="Book Antiqua" w:hAnsi="Book Antiqua"/>
          <w:lang w:val="en-GB"/>
        </w:rPr>
        <w:t xml:space="preserve">ed Latin American labour legislation during the first decades of the </w:t>
      </w:r>
      <w:r w:rsidR="00AC41CC">
        <w:rPr>
          <w:rFonts w:ascii="Book Antiqua" w:hAnsi="Book Antiqua"/>
          <w:lang w:val="en-GB"/>
        </w:rPr>
        <w:t>20th</w:t>
      </w:r>
      <w:r w:rsidR="00AC0414" w:rsidRPr="00F200E7">
        <w:rPr>
          <w:rFonts w:ascii="Book Antiqua" w:hAnsi="Book Antiqua"/>
          <w:lang w:val="en-GB"/>
        </w:rPr>
        <w:t>c</w:t>
      </w:r>
      <w:r w:rsidRPr="00F200E7">
        <w:rPr>
          <w:rFonts w:ascii="Book Antiqua" w:hAnsi="Book Antiqua"/>
          <w:lang w:val="en-GB"/>
        </w:rPr>
        <w:t>entury. For Latin American labour law</w:t>
      </w:r>
      <w:r w:rsidR="00AC0414" w:rsidRPr="00F200E7">
        <w:rPr>
          <w:rFonts w:ascii="Book Antiqua" w:hAnsi="Book Antiqua"/>
          <w:lang w:val="en-GB"/>
        </w:rPr>
        <w:t>,</w:t>
      </w:r>
      <w:r w:rsidRPr="00F200E7">
        <w:rPr>
          <w:rFonts w:ascii="Book Antiqua" w:hAnsi="Book Antiqua"/>
          <w:lang w:val="en-GB"/>
        </w:rPr>
        <w:t xml:space="preserve"> the principle of protection or guardianship is basic </w:t>
      </w:r>
      <w:r w:rsidR="00AC0414" w:rsidRPr="00F200E7">
        <w:rPr>
          <w:rFonts w:ascii="Book Antiqua" w:hAnsi="Book Antiqua"/>
          <w:lang w:val="en-GB"/>
        </w:rPr>
        <w:t xml:space="preserve">and </w:t>
      </w:r>
      <w:r w:rsidRPr="00F200E7">
        <w:rPr>
          <w:rFonts w:ascii="Book Antiqua" w:hAnsi="Book Antiqua"/>
          <w:lang w:val="en-GB"/>
        </w:rPr>
        <w:t>central.</w:t>
      </w:r>
      <w:r w:rsidR="00AC41CC">
        <w:rPr>
          <w:rFonts w:ascii="Book Antiqua" w:hAnsi="Book Antiqua"/>
          <w:lang w:val="en-GB"/>
        </w:rPr>
        <w:t xml:space="preserve"> “</w:t>
      </w:r>
      <w:r w:rsidRPr="00F200E7">
        <w:rPr>
          <w:rFonts w:ascii="Book Antiqua" w:hAnsi="Book Antiqua"/>
          <w:lang w:val="en-GB"/>
        </w:rPr>
        <w:t>Labour law must be protective or there is no reason for its existence</w:t>
      </w:r>
      <w:r w:rsidR="00AC0414" w:rsidRPr="00F200E7">
        <w:rPr>
          <w:rFonts w:ascii="Book Antiqua" w:hAnsi="Book Antiqua"/>
          <w:lang w:val="en-GB"/>
        </w:rPr>
        <w:t>,</w:t>
      </w:r>
      <w:r w:rsidR="00AC41CC">
        <w:rPr>
          <w:rFonts w:ascii="Book Antiqua" w:hAnsi="Book Antiqua"/>
          <w:lang w:val="en-GB"/>
        </w:rPr>
        <w:t>”</w:t>
      </w:r>
      <w:r w:rsidRPr="00F200E7">
        <w:rPr>
          <w:rFonts w:ascii="Book Antiqua" w:hAnsi="Book Antiqua"/>
          <w:lang w:val="en-GB"/>
        </w:rPr>
        <w:t xml:space="preserve"> sa</w:t>
      </w:r>
      <w:r w:rsidR="00C7517F">
        <w:rPr>
          <w:rFonts w:ascii="Book Antiqua" w:hAnsi="Book Antiqua"/>
          <w:lang w:val="en-GB"/>
        </w:rPr>
        <w:t>ys</w:t>
      </w:r>
      <w:r w:rsidRPr="00F200E7">
        <w:rPr>
          <w:rFonts w:ascii="Book Antiqua" w:hAnsi="Book Antiqua"/>
          <w:lang w:val="en-GB"/>
        </w:rPr>
        <w:t xml:space="preserve"> a prominent Uruguayan labour lawyer (</w:t>
      </w:r>
      <w:proofErr w:type="spellStart"/>
      <w:r w:rsidRPr="00F200E7">
        <w:rPr>
          <w:rFonts w:ascii="Book Antiqua" w:hAnsi="Book Antiqua"/>
          <w:lang w:val="en-GB"/>
        </w:rPr>
        <w:t>Ermida</w:t>
      </w:r>
      <w:proofErr w:type="spellEnd"/>
      <w:r w:rsidRPr="00F200E7">
        <w:rPr>
          <w:rFonts w:ascii="Book Antiqua" w:hAnsi="Book Antiqua"/>
          <w:lang w:val="en-GB"/>
        </w:rPr>
        <w:t>, 2011).</w:t>
      </w:r>
    </w:p>
    <w:p w:rsidR="00ED1005" w:rsidRPr="00F200E7" w:rsidRDefault="00ED1005" w:rsidP="00ED1005">
      <w:pPr>
        <w:pStyle w:val="NoSpacing"/>
        <w:jc w:val="both"/>
        <w:rPr>
          <w:rFonts w:ascii="Book Antiqua" w:hAnsi="Book Antiqua"/>
          <w:lang w:val="en-GB"/>
        </w:rPr>
      </w:pPr>
    </w:p>
    <w:p w:rsidR="00AC0414" w:rsidRPr="00F200E7" w:rsidRDefault="00596A5C" w:rsidP="00ED1005">
      <w:pPr>
        <w:pStyle w:val="NoSpacing"/>
        <w:jc w:val="both"/>
        <w:rPr>
          <w:rFonts w:ascii="Book Antiqua" w:hAnsi="Book Antiqua"/>
          <w:lang w:val="en-GB"/>
        </w:rPr>
      </w:pPr>
      <w:r w:rsidRPr="00F200E7">
        <w:rPr>
          <w:rFonts w:ascii="Book Antiqua" w:hAnsi="Book Antiqua"/>
          <w:lang w:val="en-GB"/>
        </w:rPr>
        <w:t>Starting in the 1970s, some reforms took place aim</w:t>
      </w:r>
      <w:r w:rsidR="00AC41CC">
        <w:rPr>
          <w:rFonts w:ascii="Book Antiqua" w:hAnsi="Book Antiqua"/>
          <w:lang w:val="en-GB"/>
        </w:rPr>
        <w:t>ing</w:t>
      </w:r>
      <w:r w:rsidRPr="00F200E7">
        <w:rPr>
          <w:rFonts w:ascii="Book Antiqua" w:hAnsi="Book Antiqua"/>
          <w:lang w:val="en-GB"/>
        </w:rPr>
        <w:t xml:space="preserve"> to </w:t>
      </w:r>
      <w:r w:rsidR="00AC41CC">
        <w:rPr>
          <w:rFonts w:ascii="Book Antiqua" w:hAnsi="Book Antiqua"/>
          <w:lang w:val="en-GB"/>
        </w:rPr>
        <w:t>remove</w:t>
      </w:r>
      <w:r w:rsidR="00FB5615">
        <w:rPr>
          <w:rFonts w:ascii="Book Antiqua" w:hAnsi="Book Antiqua"/>
          <w:lang w:val="en-GB"/>
        </w:rPr>
        <w:t xml:space="preserve"> </w:t>
      </w:r>
      <w:r w:rsidRPr="00F200E7">
        <w:rPr>
          <w:rFonts w:ascii="Book Antiqua" w:hAnsi="Book Antiqua"/>
          <w:lang w:val="en-GB"/>
        </w:rPr>
        <w:t xml:space="preserve">the rigidities that restrained competitiveness and job creation. </w:t>
      </w:r>
      <w:r w:rsidR="00ED1005" w:rsidRPr="00F200E7">
        <w:rPr>
          <w:rFonts w:ascii="Book Antiqua" w:hAnsi="Book Antiqua"/>
          <w:lang w:val="en-GB"/>
        </w:rPr>
        <w:t>These reforms, according to their promoters, made the legislation more flexible and reduced its protect</w:t>
      </w:r>
      <w:r w:rsidR="00AC0414" w:rsidRPr="00F200E7">
        <w:rPr>
          <w:rFonts w:ascii="Book Antiqua" w:hAnsi="Book Antiqua"/>
          <w:lang w:val="en-GB"/>
        </w:rPr>
        <w:t>ive</w:t>
      </w:r>
      <w:r w:rsidR="00ED1005" w:rsidRPr="00F200E7">
        <w:rPr>
          <w:rFonts w:ascii="Book Antiqua" w:hAnsi="Book Antiqua"/>
          <w:lang w:val="en-GB"/>
        </w:rPr>
        <w:t xml:space="preserve"> nature. </w:t>
      </w:r>
    </w:p>
    <w:p w:rsidR="00AC0414" w:rsidRPr="00F200E7" w:rsidRDefault="00AC0414" w:rsidP="00ED1005">
      <w:pPr>
        <w:pStyle w:val="NoSpacing"/>
        <w:jc w:val="both"/>
        <w:rPr>
          <w:rFonts w:ascii="Book Antiqua" w:hAnsi="Book Antiqua"/>
          <w:lang w:val="en-GB"/>
        </w:rPr>
      </w:pPr>
    </w:p>
    <w:p w:rsidR="00ED1005" w:rsidRPr="00F200E7" w:rsidRDefault="00AC0414" w:rsidP="00ED1005">
      <w:pPr>
        <w:pStyle w:val="NoSpacing"/>
        <w:jc w:val="both"/>
        <w:rPr>
          <w:rFonts w:ascii="Book Antiqua" w:hAnsi="Book Antiqua"/>
          <w:lang w:val="en-GB"/>
        </w:rPr>
      </w:pPr>
      <w:r w:rsidRPr="00F200E7">
        <w:rPr>
          <w:rFonts w:ascii="Book Antiqua" w:hAnsi="Book Antiqua"/>
          <w:lang w:val="en-GB"/>
        </w:rPr>
        <w:t xml:space="preserve">However, </w:t>
      </w:r>
      <w:r w:rsidR="00ED1005" w:rsidRPr="00F200E7">
        <w:rPr>
          <w:rFonts w:ascii="Book Antiqua" w:hAnsi="Book Antiqua"/>
          <w:lang w:val="en-GB"/>
        </w:rPr>
        <w:t xml:space="preserve">a significant part of </w:t>
      </w:r>
      <w:r w:rsidR="00BC151C" w:rsidRPr="00F200E7">
        <w:rPr>
          <w:rFonts w:ascii="Book Antiqua" w:hAnsi="Book Antiqua"/>
          <w:lang w:val="en-GB"/>
        </w:rPr>
        <w:t>workers’</w:t>
      </w:r>
      <w:r w:rsidR="00ED1005" w:rsidRPr="00F200E7">
        <w:rPr>
          <w:rFonts w:ascii="Book Antiqua" w:hAnsi="Book Antiqua"/>
          <w:lang w:val="en-GB"/>
        </w:rPr>
        <w:t xml:space="preserve"> rights </w:t>
      </w:r>
      <w:r w:rsidRPr="00F200E7">
        <w:rPr>
          <w:rFonts w:ascii="Book Antiqua" w:hAnsi="Book Antiqua"/>
          <w:lang w:val="en-GB"/>
        </w:rPr>
        <w:t>law is</w:t>
      </w:r>
      <w:r w:rsidR="00ED1005" w:rsidRPr="00F200E7">
        <w:rPr>
          <w:rFonts w:ascii="Book Antiqua" w:hAnsi="Book Antiqua"/>
          <w:lang w:val="en-GB"/>
        </w:rPr>
        <w:t xml:space="preserve"> found in the Constitution</w:t>
      </w:r>
      <w:r w:rsidR="00AC41CC">
        <w:rPr>
          <w:rFonts w:ascii="Book Antiqua" w:hAnsi="Book Antiqua"/>
          <w:lang w:val="en-GB"/>
        </w:rPr>
        <w:t>.</w:t>
      </w:r>
      <w:r w:rsidR="00FB5615">
        <w:rPr>
          <w:rFonts w:ascii="Book Antiqua" w:hAnsi="Book Antiqua"/>
          <w:lang w:val="en-GB"/>
        </w:rPr>
        <w:t xml:space="preserve"> </w:t>
      </w:r>
      <w:r w:rsidR="00AC41CC">
        <w:rPr>
          <w:rFonts w:ascii="Book Antiqua" w:hAnsi="Book Antiqua"/>
          <w:lang w:val="en-GB"/>
        </w:rPr>
        <w:t>M</w:t>
      </w:r>
      <w:r w:rsidR="00ED1005" w:rsidRPr="00F200E7">
        <w:rPr>
          <w:rFonts w:ascii="Book Antiqua" w:hAnsi="Book Antiqua"/>
          <w:lang w:val="en-GB"/>
        </w:rPr>
        <w:t>odif</w:t>
      </w:r>
      <w:r w:rsidR="00AC41CC">
        <w:rPr>
          <w:rFonts w:ascii="Book Antiqua" w:hAnsi="Book Antiqua"/>
          <w:lang w:val="en-GB"/>
        </w:rPr>
        <w:t>ying the Constitution</w:t>
      </w:r>
      <w:r w:rsidR="00ED1005" w:rsidRPr="00F200E7">
        <w:rPr>
          <w:rFonts w:ascii="Book Antiqua" w:hAnsi="Book Antiqua"/>
          <w:lang w:val="en-GB"/>
        </w:rPr>
        <w:t xml:space="preserve"> is </w:t>
      </w:r>
      <w:r w:rsidRPr="00F200E7">
        <w:rPr>
          <w:rFonts w:ascii="Book Antiqua" w:hAnsi="Book Antiqua"/>
          <w:lang w:val="en-GB"/>
        </w:rPr>
        <w:t>difficult</w:t>
      </w:r>
      <w:r w:rsidR="00ED1005" w:rsidRPr="00F200E7">
        <w:rPr>
          <w:rFonts w:ascii="Book Antiqua" w:hAnsi="Book Antiqua"/>
          <w:lang w:val="en-GB"/>
        </w:rPr>
        <w:t>, and thus the protective nature has been preserved.</w:t>
      </w:r>
    </w:p>
    <w:p w:rsidR="00ED1005" w:rsidRPr="00F200E7" w:rsidRDefault="00ED1005" w:rsidP="00ED1005">
      <w:pPr>
        <w:pStyle w:val="NoSpacing"/>
        <w:jc w:val="both"/>
        <w:rPr>
          <w:rFonts w:ascii="Book Antiqua" w:hAnsi="Book Antiqua"/>
          <w:lang w:val="en-GB"/>
        </w:rPr>
      </w:pPr>
    </w:p>
    <w:p w:rsidR="00ED1005" w:rsidRPr="00F200E7" w:rsidRDefault="00775E7E" w:rsidP="00ED1005">
      <w:pPr>
        <w:pStyle w:val="NoSpacing"/>
        <w:jc w:val="both"/>
        <w:rPr>
          <w:rFonts w:ascii="Book Antiqua" w:hAnsi="Book Antiqua"/>
          <w:lang w:val="en-GB"/>
        </w:rPr>
      </w:pPr>
      <w:r w:rsidRPr="00F200E7">
        <w:rPr>
          <w:rFonts w:ascii="Book Antiqua" w:hAnsi="Book Antiqua"/>
          <w:lang w:val="en-GB"/>
        </w:rPr>
        <w:t>The 198</w:t>
      </w:r>
      <w:r>
        <w:rPr>
          <w:rFonts w:ascii="Book Antiqua" w:hAnsi="Book Antiqua"/>
          <w:lang w:val="en-GB"/>
        </w:rPr>
        <w:t>5 Constitution, in Chapter II, "</w:t>
      </w:r>
      <w:r w:rsidRPr="00F200E7">
        <w:rPr>
          <w:rFonts w:ascii="Book Antiqua" w:hAnsi="Book Antiqua"/>
          <w:lang w:val="en-GB"/>
        </w:rPr>
        <w:t xml:space="preserve">Social Rights”, has a section devoted to labour (articles 101 to 106). </w:t>
      </w:r>
      <w:r w:rsidR="00ED1005" w:rsidRPr="00F200E7">
        <w:rPr>
          <w:rFonts w:ascii="Book Antiqua" w:hAnsi="Book Antiqua"/>
          <w:lang w:val="en-GB"/>
        </w:rPr>
        <w:t>Article 101, of the</w:t>
      </w:r>
      <w:r w:rsidR="00D81D62" w:rsidRPr="00F200E7">
        <w:rPr>
          <w:rFonts w:ascii="Book Antiqua" w:hAnsi="Book Antiqua"/>
          <w:lang w:val="en-GB"/>
        </w:rPr>
        <w:t xml:space="preserve"> section on</w:t>
      </w:r>
      <w:r w:rsidR="00ED1005" w:rsidRPr="00F200E7">
        <w:rPr>
          <w:rFonts w:ascii="Book Antiqua" w:hAnsi="Book Antiqua"/>
          <w:lang w:val="en-GB"/>
        </w:rPr>
        <w:t xml:space="preserve"> health, safe</w:t>
      </w:r>
      <w:r w:rsidR="00D81D62" w:rsidRPr="00F200E7">
        <w:rPr>
          <w:rFonts w:ascii="Book Antiqua" w:hAnsi="Book Antiqua"/>
          <w:lang w:val="en-GB"/>
        </w:rPr>
        <w:t>ty</w:t>
      </w:r>
      <w:r w:rsidR="00AC41CC">
        <w:rPr>
          <w:rFonts w:ascii="Book Antiqua" w:hAnsi="Book Antiqua"/>
          <w:lang w:val="en-GB"/>
        </w:rPr>
        <w:t>,</w:t>
      </w:r>
      <w:r w:rsidR="00D81D62" w:rsidRPr="00F200E7">
        <w:rPr>
          <w:rFonts w:ascii="Book Antiqua" w:hAnsi="Book Antiqua"/>
          <w:lang w:val="en-GB"/>
        </w:rPr>
        <w:t xml:space="preserve"> and social assistance</w:t>
      </w:r>
      <w:r w:rsidR="00ED1005" w:rsidRPr="00F200E7">
        <w:rPr>
          <w:rFonts w:ascii="Book Antiqua" w:hAnsi="Book Antiqua"/>
          <w:lang w:val="en-GB"/>
        </w:rPr>
        <w:t>, has provisions relating to social insurance.</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Article 102 lists 21 minimum social rights, on which labour legislation is based: </w:t>
      </w:r>
      <w:r w:rsidR="00AC0414" w:rsidRPr="00F200E7">
        <w:rPr>
          <w:rFonts w:ascii="Book Antiqua" w:hAnsi="Book Antiqua"/>
          <w:lang w:val="en-GB"/>
        </w:rPr>
        <w:t>f</w:t>
      </w:r>
      <w:r w:rsidRPr="00F200E7">
        <w:rPr>
          <w:rFonts w:ascii="Book Antiqua" w:hAnsi="Book Antiqua"/>
          <w:lang w:val="en-GB"/>
        </w:rPr>
        <w:t>ree choice of employment</w:t>
      </w:r>
      <w:r w:rsidR="00AC0414" w:rsidRPr="00F200E7">
        <w:rPr>
          <w:rFonts w:ascii="Book Antiqua" w:hAnsi="Book Antiqua"/>
          <w:lang w:val="en-GB"/>
        </w:rPr>
        <w:t>;</w:t>
      </w:r>
      <w:r w:rsidRPr="00F200E7">
        <w:rPr>
          <w:rFonts w:ascii="Book Antiqua" w:hAnsi="Book Antiqua"/>
          <w:lang w:val="en-GB"/>
        </w:rPr>
        <w:t xml:space="preserve"> equal remuneration</w:t>
      </w:r>
      <w:r w:rsidR="00AC0414" w:rsidRPr="00F200E7">
        <w:rPr>
          <w:rFonts w:ascii="Book Antiqua" w:hAnsi="Book Antiqua"/>
          <w:lang w:val="en-GB"/>
        </w:rPr>
        <w:t>;</w:t>
      </w:r>
      <w:r w:rsidRPr="00F200E7">
        <w:rPr>
          <w:rFonts w:ascii="Book Antiqua" w:hAnsi="Book Antiqua"/>
          <w:lang w:val="en-GB"/>
        </w:rPr>
        <w:t xml:space="preserve"> regular </w:t>
      </w:r>
      <w:r w:rsidR="00C5255E" w:rsidRPr="00F200E7">
        <w:rPr>
          <w:rFonts w:ascii="Book Antiqua" w:hAnsi="Book Antiqua"/>
          <w:lang w:val="en-GB"/>
        </w:rPr>
        <w:t xml:space="preserve">adjustments </w:t>
      </w:r>
      <w:r w:rsidR="00AC0414" w:rsidRPr="00F200E7">
        <w:rPr>
          <w:rFonts w:ascii="Book Antiqua" w:hAnsi="Book Antiqua"/>
          <w:lang w:val="en-GB"/>
        </w:rPr>
        <w:t xml:space="preserve">of </w:t>
      </w:r>
      <w:r w:rsidRPr="00F200E7">
        <w:rPr>
          <w:rFonts w:ascii="Book Antiqua" w:hAnsi="Book Antiqua"/>
          <w:lang w:val="en-GB"/>
        </w:rPr>
        <w:t>the minimum wage</w:t>
      </w:r>
      <w:r w:rsidR="00AC0414" w:rsidRPr="00F200E7">
        <w:rPr>
          <w:rFonts w:ascii="Book Antiqua" w:hAnsi="Book Antiqua"/>
          <w:lang w:val="en-GB"/>
        </w:rPr>
        <w:t>;</w:t>
      </w:r>
      <w:r w:rsidRPr="00F200E7">
        <w:rPr>
          <w:rFonts w:ascii="Book Antiqua" w:hAnsi="Book Antiqua"/>
          <w:lang w:val="en-GB"/>
        </w:rPr>
        <w:t xml:space="preserve"> limits on day, night</w:t>
      </w:r>
      <w:r w:rsidR="00536FD4">
        <w:rPr>
          <w:rFonts w:ascii="Book Antiqua" w:hAnsi="Book Antiqua"/>
          <w:lang w:val="en-GB"/>
        </w:rPr>
        <w:t>,</w:t>
      </w:r>
      <w:r w:rsidRPr="00F200E7">
        <w:rPr>
          <w:rFonts w:ascii="Book Antiqua" w:hAnsi="Book Antiqua"/>
          <w:lang w:val="en-GB"/>
        </w:rPr>
        <w:t xml:space="preserve"> and mixed working hours</w:t>
      </w:r>
      <w:r w:rsidR="00AC0414" w:rsidRPr="00F200E7">
        <w:rPr>
          <w:rFonts w:ascii="Book Antiqua" w:hAnsi="Book Antiqua"/>
          <w:lang w:val="en-GB"/>
        </w:rPr>
        <w:t>;</w:t>
      </w:r>
      <w:r w:rsidRPr="00F200E7">
        <w:rPr>
          <w:rFonts w:ascii="Book Antiqua" w:hAnsi="Book Antiqua"/>
          <w:lang w:val="en-GB"/>
        </w:rPr>
        <w:t xml:space="preserve"> overtime compensation</w:t>
      </w:r>
      <w:r w:rsidR="00AC0414" w:rsidRPr="00F200E7">
        <w:rPr>
          <w:rFonts w:ascii="Book Antiqua" w:hAnsi="Book Antiqua"/>
          <w:lang w:val="en-GB"/>
        </w:rPr>
        <w:t>;</w:t>
      </w:r>
      <w:r w:rsidRPr="00F200E7">
        <w:rPr>
          <w:rFonts w:ascii="Book Antiqua" w:hAnsi="Book Antiqua"/>
          <w:lang w:val="en-GB"/>
        </w:rPr>
        <w:t xml:space="preserve"> paid weekly day </w:t>
      </w:r>
      <w:r w:rsidR="00BC151C" w:rsidRPr="00F200E7">
        <w:rPr>
          <w:rFonts w:ascii="Book Antiqua" w:hAnsi="Book Antiqua"/>
          <w:lang w:val="en-GB"/>
        </w:rPr>
        <w:t>off</w:t>
      </w:r>
      <w:r w:rsidR="00AC0414" w:rsidRPr="00F200E7">
        <w:rPr>
          <w:rFonts w:ascii="Book Antiqua" w:hAnsi="Book Antiqua"/>
          <w:lang w:val="en-GB"/>
        </w:rPr>
        <w:t>;</w:t>
      </w:r>
      <w:r w:rsidRPr="00F200E7">
        <w:rPr>
          <w:rFonts w:ascii="Book Antiqua" w:hAnsi="Book Antiqua"/>
          <w:lang w:val="en-GB"/>
        </w:rPr>
        <w:t xml:space="preserve"> annual bonus payment (</w:t>
      </w:r>
      <w:r w:rsidR="00AC41CC">
        <w:rPr>
          <w:rFonts w:ascii="Book Antiqua" w:hAnsi="Book Antiqua"/>
          <w:lang w:val="en-GB"/>
        </w:rPr>
        <w:t>13th</w:t>
      </w:r>
      <w:r w:rsidR="00C5255E" w:rsidRPr="00F200E7">
        <w:rPr>
          <w:rFonts w:ascii="Book Antiqua" w:hAnsi="Book Antiqua"/>
          <w:lang w:val="en-GB"/>
        </w:rPr>
        <w:t>month</w:t>
      </w:r>
      <w:r w:rsidRPr="00F200E7">
        <w:rPr>
          <w:rFonts w:ascii="Book Antiqua" w:hAnsi="Book Antiqua"/>
          <w:lang w:val="en-GB"/>
        </w:rPr>
        <w:t xml:space="preserve"> or Christmas wage)</w:t>
      </w:r>
      <w:r w:rsidR="00231924" w:rsidRPr="00F200E7">
        <w:rPr>
          <w:rFonts w:ascii="Book Antiqua" w:hAnsi="Book Antiqua"/>
          <w:lang w:val="en-GB"/>
        </w:rPr>
        <w:t>;</w:t>
      </w:r>
      <w:r w:rsidRPr="00F200E7">
        <w:rPr>
          <w:rFonts w:ascii="Book Antiqua" w:hAnsi="Book Antiqua"/>
          <w:lang w:val="en-GB"/>
        </w:rPr>
        <w:t xml:space="preserve"> paid maternity leave of 85 days</w:t>
      </w:r>
      <w:r w:rsidR="00231924" w:rsidRPr="00F200E7">
        <w:rPr>
          <w:rFonts w:ascii="Book Antiqua" w:hAnsi="Book Antiqua"/>
          <w:lang w:val="en-GB"/>
        </w:rPr>
        <w:t>;</w:t>
      </w:r>
      <w:r w:rsidRPr="00F200E7">
        <w:rPr>
          <w:rFonts w:ascii="Book Antiqua" w:hAnsi="Book Antiqua"/>
          <w:lang w:val="en-GB"/>
        </w:rPr>
        <w:t xml:space="preserve"> minimum age for work</w:t>
      </w:r>
      <w:r w:rsidR="00231924" w:rsidRPr="00F200E7">
        <w:rPr>
          <w:rFonts w:ascii="Book Antiqua" w:hAnsi="Book Antiqua"/>
          <w:lang w:val="en-GB"/>
        </w:rPr>
        <w:t>;</w:t>
      </w:r>
      <w:r w:rsidRPr="00F200E7">
        <w:rPr>
          <w:rFonts w:ascii="Book Antiqua" w:hAnsi="Book Antiqua"/>
          <w:lang w:val="en-GB"/>
        </w:rPr>
        <w:t xml:space="preserve"> compensation of one month per year of service in the event of unjustified dismissal</w:t>
      </w:r>
      <w:r w:rsidR="00231924" w:rsidRPr="00F200E7">
        <w:rPr>
          <w:rFonts w:ascii="Book Antiqua" w:hAnsi="Book Antiqua"/>
          <w:lang w:val="en-GB"/>
        </w:rPr>
        <w:t>;</w:t>
      </w:r>
      <w:r w:rsidRPr="00F200E7">
        <w:rPr>
          <w:rFonts w:ascii="Book Antiqua" w:hAnsi="Book Antiqua"/>
          <w:lang w:val="en-GB"/>
        </w:rPr>
        <w:t xml:space="preserve"> and the right to organize unions, among others.</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Other </w:t>
      </w:r>
      <w:r w:rsidR="00231924" w:rsidRPr="00F200E7">
        <w:rPr>
          <w:rFonts w:ascii="Book Antiqua" w:hAnsi="Book Antiqua"/>
          <w:lang w:val="en-GB"/>
        </w:rPr>
        <w:t>provision</w:t>
      </w:r>
      <w:r w:rsidR="00974222" w:rsidRPr="00F200E7">
        <w:rPr>
          <w:rFonts w:ascii="Book Antiqua" w:hAnsi="Book Antiqua"/>
          <w:lang w:val="en-GB"/>
        </w:rPr>
        <w:t>s</w:t>
      </w:r>
      <w:r w:rsidR="00231924" w:rsidRPr="00F200E7">
        <w:rPr>
          <w:rFonts w:ascii="Book Antiqua" w:hAnsi="Book Antiqua"/>
          <w:lang w:val="en-GB"/>
        </w:rPr>
        <w:t xml:space="preserve"> in</w:t>
      </w:r>
      <w:r w:rsidRPr="00F200E7">
        <w:rPr>
          <w:rFonts w:ascii="Book Antiqua" w:hAnsi="Book Antiqua"/>
          <w:lang w:val="en-GB"/>
        </w:rPr>
        <w:t xml:space="preserve"> that section refer to the guardianship or protect</w:t>
      </w:r>
      <w:r w:rsidR="00231924" w:rsidRPr="00F200E7">
        <w:rPr>
          <w:rFonts w:ascii="Book Antiqua" w:hAnsi="Book Antiqua"/>
          <w:lang w:val="en-GB"/>
        </w:rPr>
        <w:t>ive</w:t>
      </w:r>
      <w:r w:rsidRPr="00F200E7">
        <w:rPr>
          <w:rFonts w:ascii="Book Antiqua" w:hAnsi="Book Antiqua"/>
          <w:lang w:val="en-GB"/>
        </w:rPr>
        <w:t xml:space="preserve"> character of labour laws; the right to employee strikes; the impossibility of renouncing rights granted by the law; the protection and encouragement of collect</w:t>
      </w:r>
      <w:r w:rsidR="00231924" w:rsidRPr="00F200E7">
        <w:rPr>
          <w:rFonts w:ascii="Book Antiqua" w:hAnsi="Book Antiqua"/>
          <w:lang w:val="en-GB"/>
        </w:rPr>
        <w:t>ive bargaining</w:t>
      </w:r>
      <w:r w:rsidRPr="00F200E7">
        <w:rPr>
          <w:rFonts w:ascii="Book Antiqua" w:hAnsi="Book Antiqua"/>
          <w:lang w:val="en-GB"/>
        </w:rPr>
        <w:t xml:space="preserve">; and that the law will be interpreted </w:t>
      </w:r>
      <w:r w:rsidRPr="00F200E7">
        <w:rPr>
          <w:rFonts w:ascii="Book Antiqua" w:hAnsi="Book Antiqua"/>
          <w:i/>
          <w:lang w:val="en-GB"/>
        </w:rPr>
        <w:t xml:space="preserve">in </w:t>
      </w:r>
      <w:proofErr w:type="spellStart"/>
      <w:r w:rsidRPr="00F200E7">
        <w:rPr>
          <w:rFonts w:ascii="Book Antiqua" w:hAnsi="Book Antiqua"/>
          <w:i/>
          <w:lang w:val="en-GB"/>
        </w:rPr>
        <w:t>dubio</w:t>
      </w:r>
      <w:proofErr w:type="spellEnd"/>
      <w:r w:rsidRPr="00F200E7">
        <w:rPr>
          <w:rFonts w:ascii="Book Antiqua" w:hAnsi="Book Antiqua"/>
          <w:i/>
          <w:lang w:val="en-GB"/>
        </w:rPr>
        <w:t xml:space="preserve"> pro </w:t>
      </w:r>
      <w:proofErr w:type="spellStart"/>
      <w:r w:rsidRPr="00F200E7">
        <w:rPr>
          <w:rFonts w:ascii="Book Antiqua" w:hAnsi="Book Antiqua"/>
          <w:i/>
          <w:lang w:val="en-GB"/>
        </w:rPr>
        <w:t>operario</w:t>
      </w:r>
      <w:proofErr w:type="spellEnd"/>
      <w:r w:rsidRPr="00F200E7">
        <w:rPr>
          <w:rFonts w:ascii="Book Antiqua" w:hAnsi="Book Antiqua"/>
          <w:lang w:val="en-GB"/>
        </w:rPr>
        <w:t xml:space="preserve"> (</w:t>
      </w:r>
      <w:r w:rsidR="00AC41CC">
        <w:rPr>
          <w:rFonts w:ascii="Book Antiqua" w:hAnsi="Book Antiqua"/>
          <w:lang w:val="en-GB"/>
        </w:rPr>
        <w:t xml:space="preserve">that is, in case of doubt, </w:t>
      </w:r>
      <w:r w:rsidRPr="00F200E7">
        <w:rPr>
          <w:rFonts w:ascii="Book Antiqua" w:hAnsi="Book Antiqua"/>
          <w:lang w:val="en-GB"/>
        </w:rPr>
        <w:t>in a sense that favours the worker).</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In addition, </w:t>
      </w:r>
      <w:r w:rsidR="0073693E" w:rsidRPr="00F200E7">
        <w:rPr>
          <w:rFonts w:ascii="Book Antiqua" w:hAnsi="Book Antiqua"/>
          <w:lang w:val="en-GB"/>
        </w:rPr>
        <w:t>A</w:t>
      </w:r>
      <w:r w:rsidRPr="00F200E7">
        <w:rPr>
          <w:rFonts w:ascii="Book Antiqua" w:hAnsi="Book Antiqua"/>
          <w:lang w:val="en-GB"/>
        </w:rPr>
        <w:t>rticle 4 of the individual rights chapter states that no person may be subjected to servitude. Article 69 is devoted to agricultural workers</w:t>
      </w:r>
      <w:r w:rsidR="00847388" w:rsidRPr="00F200E7">
        <w:rPr>
          <w:rFonts w:ascii="Book Antiqua" w:hAnsi="Book Antiqua"/>
          <w:lang w:val="en-GB"/>
        </w:rPr>
        <w:t xml:space="preserve"> particularly</w:t>
      </w:r>
      <w:r w:rsidRPr="00F200E7">
        <w:rPr>
          <w:rFonts w:ascii="Book Antiqua" w:hAnsi="Book Antiqua"/>
          <w:lang w:val="en-GB"/>
        </w:rPr>
        <w:t xml:space="preserve">, </w:t>
      </w:r>
      <w:r w:rsidR="00847388" w:rsidRPr="00F200E7">
        <w:rPr>
          <w:rFonts w:ascii="Book Antiqua" w:hAnsi="Book Antiqua"/>
          <w:lang w:val="en-GB"/>
        </w:rPr>
        <w:t>mandating</w:t>
      </w:r>
      <w:r w:rsidRPr="00F200E7">
        <w:rPr>
          <w:rFonts w:ascii="Book Antiqua" w:hAnsi="Book Antiqua"/>
          <w:lang w:val="en-GB"/>
        </w:rPr>
        <w:t xml:space="preserve"> that “jobs requiring the transfer of workers outside their communities should be protected by legislation to ensure the proper health, safety and welfare, to prevent wage payment contrary to the law, the disintegration of these communities and generally all discriminatory treatment”.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Social insurance is recognized as a right and a public function, which </w:t>
      </w:r>
      <w:r w:rsidR="00AD1CA5">
        <w:rPr>
          <w:rFonts w:ascii="Book Antiqua" w:hAnsi="Book Antiqua"/>
          <w:lang w:val="en-GB"/>
        </w:rPr>
        <w:t>is</w:t>
      </w:r>
      <w:r w:rsidRPr="00F200E7">
        <w:rPr>
          <w:rFonts w:ascii="Book Antiqua" w:hAnsi="Book Antiqua"/>
          <w:lang w:val="en-GB"/>
        </w:rPr>
        <w:t xml:space="preserve"> obligatory</w:t>
      </w:r>
      <w:r w:rsidR="00356682" w:rsidRPr="00F200E7">
        <w:rPr>
          <w:rFonts w:ascii="Book Antiqua" w:hAnsi="Book Antiqua"/>
          <w:lang w:val="en-GB"/>
        </w:rPr>
        <w:t>;</w:t>
      </w:r>
      <w:r w:rsidR="00FB5615">
        <w:rPr>
          <w:rFonts w:ascii="Book Antiqua" w:hAnsi="Book Antiqua"/>
          <w:lang w:val="en-GB"/>
        </w:rPr>
        <w:t xml:space="preserve"> </w:t>
      </w:r>
      <w:r w:rsidR="00BC151C" w:rsidRPr="00F200E7">
        <w:rPr>
          <w:rFonts w:ascii="Book Antiqua" w:hAnsi="Book Antiqua"/>
          <w:lang w:val="en-GB"/>
        </w:rPr>
        <w:t>financed</w:t>
      </w:r>
      <w:r w:rsidR="00FB5615">
        <w:rPr>
          <w:rFonts w:ascii="Book Antiqua" w:hAnsi="Book Antiqua"/>
          <w:lang w:val="en-GB"/>
        </w:rPr>
        <w:t xml:space="preserve"> </w:t>
      </w:r>
      <w:r w:rsidR="00AD1CA5">
        <w:rPr>
          <w:rFonts w:ascii="Book Antiqua" w:hAnsi="Book Antiqua"/>
          <w:lang w:val="en-GB"/>
        </w:rPr>
        <w:t xml:space="preserve">jointly </w:t>
      </w:r>
      <w:r w:rsidRPr="00F200E7">
        <w:rPr>
          <w:rFonts w:ascii="Book Antiqua" w:hAnsi="Book Antiqua"/>
          <w:lang w:val="en-GB"/>
        </w:rPr>
        <w:t>by the government, employers</w:t>
      </w:r>
      <w:r w:rsidR="00356682" w:rsidRPr="00F200E7">
        <w:rPr>
          <w:rFonts w:ascii="Book Antiqua" w:hAnsi="Book Antiqua"/>
          <w:lang w:val="en-GB"/>
        </w:rPr>
        <w:t>,</w:t>
      </w:r>
      <w:r w:rsidRPr="00F200E7">
        <w:rPr>
          <w:rFonts w:ascii="Book Antiqua" w:hAnsi="Book Antiqua"/>
          <w:lang w:val="en-GB"/>
        </w:rPr>
        <w:t xml:space="preserve"> and employees</w:t>
      </w:r>
      <w:r w:rsidR="00356682" w:rsidRPr="00F200E7">
        <w:rPr>
          <w:rFonts w:ascii="Book Antiqua" w:hAnsi="Book Antiqua"/>
          <w:lang w:val="en-GB"/>
        </w:rPr>
        <w:t>.</w:t>
      </w:r>
      <w:r w:rsidR="00FB5615">
        <w:rPr>
          <w:rFonts w:ascii="Book Antiqua" w:hAnsi="Book Antiqua"/>
          <w:lang w:val="en-GB"/>
        </w:rPr>
        <w:t xml:space="preserve"> </w:t>
      </w:r>
      <w:r w:rsidR="00356682" w:rsidRPr="00F200E7">
        <w:rPr>
          <w:rFonts w:ascii="Book Antiqua" w:hAnsi="Book Antiqua"/>
          <w:lang w:val="en-GB"/>
        </w:rPr>
        <w:t>I</w:t>
      </w:r>
      <w:r w:rsidRPr="00F200E7">
        <w:rPr>
          <w:rFonts w:ascii="Book Antiqua" w:hAnsi="Book Antiqua"/>
          <w:lang w:val="en-GB"/>
        </w:rPr>
        <w:t xml:space="preserve">ts application </w:t>
      </w:r>
      <w:r w:rsidR="00356682" w:rsidRPr="00F200E7">
        <w:rPr>
          <w:rFonts w:ascii="Book Antiqua" w:hAnsi="Book Antiqua"/>
          <w:lang w:val="en-GB"/>
        </w:rPr>
        <w:t>is the responsibility of the</w:t>
      </w:r>
      <w:r w:rsidRPr="00F200E7">
        <w:rPr>
          <w:rFonts w:ascii="Book Antiqua" w:hAnsi="Book Antiqua"/>
          <w:lang w:val="en-GB"/>
        </w:rPr>
        <w:t xml:space="preserve"> IGSS, an autonomous entity </w:t>
      </w:r>
      <w:r w:rsidR="00EB2301">
        <w:rPr>
          <w:rFonts w:ascii="Book Antiqua" w:hAnsi="Book Antiqua"/>
          <w:lang w:val="en-GB"/>
        </w:rPr>
        <w:t xml:space="preserve">in whose management </w:t>
      </w:r>
      <w:proofErr w:type="gramStart"/>
      <w:r w:rsidRPr="00F200E7">
        <w:rPr>
          <w:rFonts w:ascii="Book Antiqua" w:hAnsi="Book Antiqua"/>
          <w:lang w:val="en-GB"/>
        </w:rPr>
        <w:t>are</w:t>
      </w:r>
      <w:proofErr w:type="gramEnd"/>
      <w:r w:rsidRPr="00F200E7">
        <w:rPr>
          <w:rFonts w:ascii="Book Antiqua" w:hAnsi="Book Antiqua"/>
          <w:lang w:val="en-GB"/>
        </w:rPr>
        <w:t xml:space="preserve"> representatives of </w:t>
      </w:r>
      <w:r w:rsidR="00356682" w:rsidRPr="00F200E7">
        <w:rPr>
          <w:rFonts w:ascii="Book Antiqua" w:hAnsi="Book Antiqua"/>
          <w:lang w:val="en-GB"/>
        </w:rPr>
        <w:t xml:space="preserve">both </w:t>
      </w:r>
      <w:r w:rsidRPr="00F200E7">
        <w:rPr>
          <w:rFonts w:ascii="Book Antiqua" w:hAnsi="Book Antiqua"/>
          <w:lang w:val="en-GB"/>
        </w:rPr>
        <w:t>employers and employees.</w:t>
      </w:r>
    </w:p>
    <w:p w:rsidR="00ED1005" w:rsidRPr="00F200E7" w:rsidRDefault="00356682" w:rsidP="0032057B">
      <w:pPr>
        <w:pStyle w:val="Heading2"/>
      </w:pPr>
      <w:bookmarkStart w:id="183" w:name="_Toc333411873"/>
      <w:bookmarkStart w:id="184" w:name="_Toc336607523"/>
      <w:bookmarkStart w:id="185" w:name="_Toc333837997"/>
      <w:r w:rsidRPr="00F200E7">
        <w:t>6.</w:t>
      </w:r>
      <w:r w:rsidR="00116FF7">
        <w:t>6</w:t>
      </w:r>
      <w:r w:rsidR="00ED1005" w:rsidRPr="00F200E7">
        <w:t xml:space="preserve">.2. </w:t>
      </w:r>
      <w:bookmarkEnd w:id="183"/>
      <w:r w:rsidR="00ED1005" w:rsidRPr="00F200E7">
        <w:t>International legislation</w:t>
      </w:r>
      <w:bookmarkEnd w:id="184"/>
      <w:bookmarkEnd w:id="185"/>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Domestic labour legislation is compl</w:t>
      </w:r>
      <w:r w:rsidR="00356682" w:rsidRPr="00F200E7">
        <w:rPr>
          <w:rFonts w:ascii="Book Antiqua" w:hAnsi="Book Antiqua"/>
          <w:lang w:val="en-GB"/>
        </w:rPr>
        <w:t>e</w:t>
      </w:r>
      <w:r w:rsidRPr="00F200E7">
        <w:rPr>
          <w:rFonts w:ascii="Book Antiqua" w:hAnsi="Book Antiqua"/>
          <w:lang w:val="en-GB"/>
        </w:rPr>
        <w:t xml:space="preserve">mented and reinforced by the 72 international conventions on labour that </w:t>
      </w:r>
      <w:r w:rsidR="00BC151C" w:rsidRPr="00F200E7">
        <w:rPr>
          <w:rFonts w:ascii="Book Antiqua" w:hAnsi="Book Antiqua"/>
          <w:lang w:val="en-GB"/>
        </w:rPr>
        <w:t>Guatemala</w:t>
      </w:r>
      <w:r w:rsidRPr="00F200E7">
        <w:rPr>
          <w:rFonts w:ascii="Book Antiqua" w:hAnsi="Book Antiqua"/>
          <w:lang w:val="en-GB"/>
        </w:rPr>
        <w:t xml:space="preserve"> has ratified,</w:t>
      </w:r>
      <w:r w:rsidRPr="00F200E7">
        <w:rPr>
          <w:rStyle w:val="FootnoteReference"/>
          <w:rFonts w:ascii="Book Antiqua" w:hAnsi="Book Antiqua" w:cs="Arial"/>
          <w:lang w:val="en-GB"/>
        </w:rPr>
        <w:footnoteReference w:id="25"/>
      </w:r>
      <w:r w:rsidRPr="00F200E7">
        <w:rPr>
          <w:rFonts w:ascii="Book Antiqua" w:hAnsi="Book Antiqua" w:cs="Arial"/>
          <w:lang w:val="en-GB"/>
        </w:rPr>
        <w:t xml:space="preserve">among them the eight conventions that the ILO </w:t>
      </w:r>
      <w:r w:rsidR="00BC151C" w:rsidRPr="00F200E7">
        <w:rPr>
          <w:rFonts w:ascii="Book Antiqua" w:hAnsi="Book Antiqua" w:cs="Arial"/>
          <w:lang w:val="en-GB"/>
        </w:rPr>
        <w:t>considers</w:t>
      </w:r>
      <w:r w:rsidRPr="00F200E7">
        <w:rPr>
          <w:rFonts w:ascii="Book Antiqua" w:hAnsi="Book Antiqua" w:cs="Arial"/>
          <w:lang w:val="en-GB"/>
        </w:rPr>
        <w:t xml:space="preserve"> fundamental (those relating to the elimination of forced labour, freedom </w:t>
      </w:r>
      <w:r w:rsidR="00356682" w:rsidRPr="00F200E7">
        <w:rPr>
          <w:rFonts w:ascii="Book Antiqua" w:hAnsi="Book Antiqua" w:cs="Arial"/>
          <w:lang w:val="en-GB"/>
        </w:rPr>
        <w:t>to</w:t>
      </w:r>
      <w:r w:rsidRPr="00F200E7">
        <w:rPr>
          <w:rFonts w:ascii="Book Antiqua" w:hAnsi="Book Antiqua" w:cs="Arial"/>
          <w:lang w:val="en-GB"/>
        </w:rPr>
        <w:t xml:space="preserve"> form unions and collective</w:t>
      </w:r>
      <w:r w:rsidR="00356682" w:rsidRPr="00F200E7">
        <w:rPr>
          <w:rFonts w:ascii="Book Antiqua" w:hAnsi="Book Antiqua" w:cs="Arial"/>
          <w:lang w:val="en-GB"/>
        </w:rPr>
        <w:t xml:space="preserve"> bargaining</w:t>
      </w:r>
      <w:r w:rsidRPr="00F200E7">
        <w:rPr>
          <w:rFonts w:ascii="Book Antiqua" w:hAnsi="Book Antiqua" w:cs="Arial"/>
          <w:lang w:val="en-GB"/>
        </w:rPr>
        <w:t xml:space="preserve">, elimination of discrimination, and the abolition of child labour) and four </w:t>
      </w:r>
      <w:r w:rsidR="00BC151C" w:rsidRPr="00F200E7">
        <w:rPr>
          <w:rFonts w:ascii="Book Antiqua" w:hAnsi="Book Antiqua" w:cs="Arial"/>
          <w:lang w:val="en-GB"/>
        </w:rPr>
        <w:t>priority</w:t>
      </w:r>
      <w:r w:rsidRPr="00F200E7">
        <w:rPr>
          <w:rFonts w:ascii="Book Antiqua" w:hAnsi="Book Antiqua" w:cs="Arial"/>
          <w:lang w:val="en-GB"/>
        </w:rPr>
        <w:t xml:space="preserve"> conventions </w:t>
      </w:r>
      <w:r w:rsidR="00356682" w:rsidRPr="00F200E7">
        <w:rPr>
          <w:rFonts w:ascii="Book Antiqua" w:hAnsi="Book Antiqua" w:cs="Arial"/>
          <w:lang w:val="en-GB"/>
        </w:rPr>
        <w:t>(</w:t>
      </w:r>
      <w:r w:rsidR="00A20730">
        <w:rPr>
          <w:rFonts w:ascii="Book Antiqua" w:hAnsi="Book Antiqua" w:cs="Arial"/>
          <w:lang w:val="en-GB"/>
        </w:rPr>
        <w:t xml:space="preserve">Convention </w:t>
      </w:r>
      <w:r w:rsidRPr="00F200E7">
        <w:rPr>
          <w:rFonts w:ascii="Book Antiqua" w:hAnsi="Book Antiqua" w:cs="Arial"/>
          <w:lang w:val="en-GB"/>
        </w:rPr>
        <w:t>81 and 129 on labour inspection, 144 on tripartite consultation</w:t>
      </w:r>
      <w:r w:rsidR="00356682" w:rsidRPr="00F200E7">
        <w:rPr>
          <w:rFonts w:ascii="Book Antiqua" w:hAnsi="Book Antiqua" w:cs="Arial"/>
          <w:lang w:val="en-GB"/>
        </w:rPr>
        <w:t>,</w:t>
      </w:r>
      <w:r w:rsidRPr="00F200E7">
        <w:rPr>
          <w:rFonts w:ascii="Book Antiqua" w:hAnsi="Book Antiqua" w:cs="Arial"/>
          <w:lang w:val="en-GB"/>
        </w:rPr>
        <w:t xml:space="preserve"> and 122 on employment policy).</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 </w:t>
      </w:r>
      <w:r w:rsidR="006A0D00" w:rsidRPr="00F200E7">
        <w:rPr>
          <w:rFonts w:ascii="Book Antiqua" w:hAnsi="Book Antiqua"/>
          <w:lang w:val="en-GB"/>
        </w:rPr>
        <w:t xml:space="preserve">following </w:t>
      </w:r>
      <w:r w:rsidRPr="00F200E7">
        <w:rPr>
          <w:rFonts w:ascii="Book Antiqua" w:hAnsi="Book Antiqua"/>
          <w:lang w:val="en-GB"/>
        </w:rPr>
        <w:t xml:space="preserve">ratified conventions are </w:t>
      </w:r>
      <w:r w:rsidR="00A87C30">
        <w:rPr>
          <w:rFonts w:ascii="Book Antiqua" w:hAnsi="Book Antiqua"/>
          <w:lang w:val="en-GB"/>
        </w:rPr>
        <w:t xml:space="preserve">particularly </w:t>
      </w:r>
      <w:r w:rsidRPr="00F200E7">
        <w:rPr>
          <w:rFonts w:ascii="Book Antiqua" w:hAnsi="Book Antiqua"/>
          <w:lang w:val="en-GB"/>
        </w:rPr>
        <w:t xml:space="preserve">relevant for agricultural employment: C97 concerning migrant workers, </w:t>
      </w:r>
      <w:proofErr w:type="gramStart"/>
      <w:r w:rsidRPr="00F200E7">
        <w:rPr>
          <w:rFonts w:ascii="Book Antiqua" w:hAnsi="Book Antiqua"/>
          <w:lang w:val="en-GB"/>
        </w:rPr>
        <w:t>C99 concerning</w:t>
      </w:r>
      <w:proofErr w:type="gramEnd"/>
      <w:r w:rsidRPr="00F200E7">
        <w:rPr>
          <w:rFonts w:ascii="Book Antiqua" w:hAnsi="Book Antiqua"/>
          <w:lang w:val="en-GB"/>
        </w:rPr>
        <w:t xml:space="preserve"> the methods of </w:t>
      </w:r>
      <w:r w:rsidR="006A0D00" w:rsidRPr="00F200E7">
        <w:rPr>
          <w:rFonts w:ascii="Book Antiqua" w:hAnsi="Book Antiqua"/>
          <w:lang w:val="en-GB"/>
        </w:rPr>
        <w:t xml:space="preserve">determining the </w:t>
      </w:r>
      <w:r w:rsidRPr="00F200E7">
        <w:rPr>
          <w:rFonts w:ascii="Book Antiqua" w:hAnsi="Book Antiqua"/>
          <w:lang w:val="en-GB"/>
        </w:rPr>
        <w:t>agricultural minimum wage, C101 concerning agricultural paid leave, C110 concerning plantations</w:t>
      </w:r>
      <w:r w:rsidR="00974222" w:rsidRPr="00F200E7">
        <w:rPr>
          <w:rFonts w:ascii="Book Antiqua" w:hAnsi="Book Antiqua"/>
          <w:lang w:val="en-GB"/>
        </w:rPr>
        <w:t xml:space="preserve">, </w:t>
      </w:r>
      <w:r w:rsidRPr="00F200E7">
        <w:rPr>
          <w:rFonts w:ascii="Book Antiqua" w:hAnsi="Book Antiqua"/>
          <w:lang w:val="en-GB"/>
        </w:rPr>
        <w:t xml:space="preserve">and C141 concerning </w:t>
      </w:r>
      <w:r w:rsidR="00A87C30">
        <w:rPr>
          <w:rFonts w:ascii="Book Antiqua" w:hAnsi="Book Antiqua"/>
          <w:lang w:val="en-GB"/>
        </w:rPr>
        <w:t>rural workers' organizations.</w:t>
      </w:r>
    </w:p>
    <w:p w:rsidR="00ED1005" w:rsidRPr="00F200E7" w:rsidRDefault="00ED1005" w:rsidP="00ED1005">
      <w:pPr>
        <w:pStyle w:val="NoSpacing"/>
        <w:jc w:val="both"/>
        <w:rPr>
          <w:rFonts w:ascii="Book Antiqua" w:hAnsi="Book Antiqua"/>
          <w:lang w:val="en-GB"/>
        </w:rPr>
      </w:pPr>
    </w:p>
    <w:p w:rsidR="00C5255E" w:rsidRPr="00F200E7" w:rsidRDefault="00ED1005" w:rsidP="00ED1005">
      <w:pPr>
        <w:pStyle w:val="NoSpacing"/>
        <w:jc w:val="both"/>
        <w:rPr>
          <w:rFonts w:ascii="Book Antiqua" w:hAnsi="Book Antiqua"/>
          <w:lang w:val="en-GB"/>
        </w:rPr>
      </w:pPr>
      <w:r w:rsidRPr="00F200E7">
        <w:rPr>
          <w:rFonts w:ascii="Book Antiqua" w:hAnsi="Book Antiqua"/>
          <w:lang w:val="en-GB"/>
        </w:rPr>
        <w:t>Another mechanism</w:t>
      </w:r>
      <w:r w:rsidR="007E35B1" w:rsidRPr="00F200E7">
        <w:rPr>
          <w:rFonts w:ascii="Book Antiqua" w:hAnsi="Book Antiqua"/>
          <w:lang w:val="en-GB"/>
        </w:rPr>
        <w:t>,</w:t>
      </w:r>
      <w:r w:rsidRPr="00F200E7">
        <w:rPr>
          <w:rFonts w:ascii="Book Antiqua" w:hAnsi="Book Antiqua"/>
          <w:lang w:val="en-GB"/>
        </w:rPr>
        <w:t xml:space="preserve"> derive</w:t>
      </w:r>
      <w:r w:rsidR="007E35B1" w:rsidRPr="00F200E7">
        <w:rPr>
          <w:rFonts w:ascii="Book Antiqua" w:hAnsi="Book Antiqua"/>
          <w:lang w:val="en-GB"/>
        </w:rPr>
        <w:t>d</w:t>
      </w:r>
      <w:r w:rsidRPr="00F200E7">
        <w:rPr>
          <w:rFonts w:ascii="Book Antiqua" w:hAnsi="Book Antiqua"/>
          <w:lang w:val="en-GB"/>
        </w:rPr>
        <w:t xml:space="preserve"> from international </w:t>
      </w:r>
      <w:proofErr w:type="gramStart"/>
      <w:r w:rsidR="007E756B" w:rsidRPr="00F200E7">
        <w:rPr>
          <w:rFonts w:ascii="Book Antiqua" w:hAnsi="Book Antiqua"/>
          <w:lang w:val="en-GB"/>
        </w:rPr>
        <w:t>agreements</w:t>
      </w:r>
      <w:r w:rsidR="007E35B1" w:rsidRPr="00F200E7">
        <w:rPr>
          <w:rFonts w:ascii="Book Antiqua" w:hAnsi="Book Antiqua"/>
          <w:lang w:val="en-GB"/>
        </w:rPr>
        <w:t>,</w:t>
      </w:r>
      <w:r w:rsidR="00FB5615">
        <w:rPr>
          <w:rFonts w:ascii="Book Antiqua" w:hAnsi="Book Antiqua"/>
          <w:lang w:val="en-GB"/>
        </w:rPr>
        <w:t xml:space="preserve"> </w:t>
      </w:r>
      <w:r w:rsidR="00BC151C" w:rsidRPr="00F200E7">
        <w:rPr>
          <w:rFonts w:ascii="Book Antiqua" w:hAnsi="Book Antiqua"/>
          <w:lang w:val="en-GB"/>
        </w:rPr>
        <w:t>that</w:t>
      </w:r>
      <w:proofErr w:type="gramEnd"/>
      <w:r w:rsidRPr="00F200E7">
        <w:rPr>
          <w:rFonts w:ascii="Book Antiqua" w:hAnsi="Book Antiqua"/>
          <w:lang w:val="en-GB"/>
        </w:rPr>
        <w:t xml:space="preserve"> may contribute to </w:t>
      </w:r>
      <w:r w:rsidR="007E35B1" w:rsidRPr="00F200E7">
        <w:rPr>
          <w:rFonts w:ascii="Book Antiqua" w:hAnsi="Book Antiqua"/>
          <w:lang w:val="en-GB"/>
        </w:rPr>
        <w:t>better</w:t>
      </w:r>
      <w:r w:rsidRPr="00F200E7">
        <w:rPr>
          <w:rFonts w:ascii="Book Antiqua" w:hAnsi="Book Antiqua"/>
          <w:lang w:val="en-GB"/>
        </w:rPr>
        <w:t xml:space="preserve"> compliance </w:t>
      </w:r>
      <w:r w:rsidR="007E35B1" w:rsidRPr="00F200E7">
        <w:rPr>
          <w:rFonts w:ascii="Book Antiqua" w:hAnsi="Book Antiqua"/>
          <w:lang w:val="en-GB"/>
        </w:rPr>
        <w:t xml:space="preserve">with </w:t>
      </w:r>
      <w:r w:rsidRPr="00F200E7">
        <w:rPr>
          <w:rFonts w:ascii="Book Antiqua" w:hAnsi="Book Antiqua"/>
          <w:lang w:val="en-GB"/>
        </w:rPr>
        <w:t>labour legislation is Chapter 16 (Labour) of DR</w:t>
      </w:r>
      <w:r w:rsidR="007E35B1" w:rsidRPr="00F200E7">
        <w:rPr>
          <w:rFonts w:ascii="Book Antiqua" w:hAnsi="Book Antiqua"/>
          <w:lang w:val="en-GB"/>
        </w:rPr>
        <w:t>–</w:t>
      </w:r>
      <w:r w:rsidRPr="00F200E7">
        <w:rPr>
          <w:rFonts w:ascii="Book Antiqua" w:hAnsi="Book Antiqua"/>
          <w:lang w:val="en-GB"/>
        </w:rPr>
        <w:t xml:space="preserve">CAFTA. In Article 16.2 </w:t>
      </w:r>
      <w:r w:rsidR="00A87C30">
        <w:rPr>
          <w:rFonts w:ascii="Book Antiqua" w:hAnsi="Book Antiqua"/>
          <w:lang w:val="en-GB"/>
        </w:rPr>
        <w:t>each party</w:t>
      </w:r>
      <w:r w:rsidRPr="00F200E7">
        <w:rPr>
          <w:rFonts w:ascii="Book Antiqua" w:hAnsi="Book Antiqua"/>
          <w:lang w:val="en-GB"/>
        </w:rPr>
        <w:t xml:space="preserve"> agree</w:t>
      </w:r>
      <w:r w:rsidR="00A87C30">
        <w:rPr>
          <w:rFonts w:ascii="Book Antiqua" w:hAnsi="Book Antiqua"/>
          <w:lang w:val="en-GB"/>
        </w:rPr>
        <w:t>s</w:t>
      </w:r>
      <w:r w:rsidR="00FB5615">
        <w:rPr>
          <w:rFonts w:ascii="Book Antiqua" w:hAnsi="Book Antiqua"/>
          <w:lang w:val="en-GB"/>
        </w:rPr>
        <w:t xml:space="preserve"> </w:t>
      </w:r>
      <w:r w:rsidR="00A87C30">
        <w:rPr>
          <w:rFonts w:ascii="Book Antiqua" w:hAnsi="Book Antiqua"/>
          <w:lang w:val="en-GB"/>
        </w:rPr>
        <w:t xml:space="preserve">not </w:t>
      </w:r>
      <w:r w:rsidRPr="00F200E7">
        <w:rPr>
          <w:rFonts w:ascii="Book Antiqua" w:hAnsi="Book Antiqua"/>
          <w:lang w:val="en-GB"/>
        </w:rPr>
        <w:t>to “</w:t>
      </w:r>
      <w:r w:rsidR="00A87C30">
        <w:rPr>
          <w:rFonts w:ascii="Book Antiqua" w:hAnsi="Book Antiqua"/>
          <w:lang w:val="en-GB"/>
        </w:rPr>
        <w:t xml:space="preserve">fail to </w:t>
      </w:r>
      <w:r w:rsidR="00C5255E" w:rsidRPr="00F200E7">
        <w:rPr>
          <w:rFonts w:ascii="Book Antiqua" w:hAnsi="Book Antiqua"/>
          <w:lang w:val="en-GB"/>
        </w:rPr>
        <w:t>effectively enforce its labour laws, through a sustained or recurring course of action or inaction, in a manner affecting trade between the Parties</w:t>
      </w:r>
      <w:r w:rsidRPr="00F200E7">
        <w:rPr>
          <w:rFonts w:ascii="Book Antiqua" w:hAnsi="Book Antiqua"/>
          <w:lang w:val="en-GB"/>
        </w:rPr>
        <w:t xml:space="preserve">” and </w:t>
      </w:r>
      <w:r w:rsidR="00DC1E8C" w:rsidRPr="00F200E7">
        <w:rPr>
          <w:rFonts w:ascii="Book Antiqua" w:hAnsi="Book Antiqua"/>
          <w:lang w:val="en-GB"/>
        </w:rPr>
        <w:t xml:space="preserve">to </w:t>
      </w:r>
      <w:r w:rsidRPr="00F200E7">
        <w:rPr>
          <w:rFonts w:ascii="Book Antiqua" w:hAnsi="Book Antiqua"/>
          <w:lang w:val="en-GB"/>
        </w:rPr>
        <w:t>recognize that “</w:t>
      </w:r>
      <w:r w:rsidR="00C5255E" w:rsidRPr="00F200E7">
        <w:rPr>
          <w:rFonts w:ascii="Book Antiqua" w:hAnsi="Book Antiqua"/>
          <w:lang w:val="en-GB"/>
        </w:rPr>
        <w:t>it is inappropriate to encourage trade or investment by weakening or reducing the protections afforded in domestic labo</w:t>
      </w:r>
      <w:r w:rsidR="00822F56" w:rsidRPr="00F200E7">
        <w:rPr>
          <w:rFonts w:ascii="Book Antiqua" w:hAnsi="Book Antiqua"/>
          <w:lang w:val="en-GB"/>
        </w:rPr>
        <w:t>u</w:t>
      </w:r>
      <w:r w:rsidR="00C5255E" w:rsidRPr="00F200E7">
        <w:rPr>
          <w:rFonts w:ascii="Book Antiqua" w:hAnsi="Book Antiqua"/>
          <w:lang w:val="en-GB"/>
        </w:rPr>
        <w:t>r laws</w:t>
      </w:r>
      <w:r w:rsidRPr="00F200E7">
        <w:rPr>
          <w:rFonts w:ascii="Book Antiqua" w:hAnsi="Book Antiqua"/>
          <w:lang w:val="en-GB"/>
        </w:rPr>
        <w:t>”.</w:t>
      </w:r>
    </w:p>
    <w:p w:rsidR="00A87C30" w:rsidRPr="00F200E7" w:rsidRDefault="00A87C30" w:rsidP="00ED1005">
      <w:pPr>
        <w:autoSpaceDE w:val="0"/>
        <w:autoSpaceDN w:val="0"/>
        <w:adjustRightInd w:val="0"/>
        <w:spacing w:after="0"/>
        <w:jc w:val="both"/>
        <w:rPr>
          <w:rFonts w:ascii="Book Antiqua" w:hAnsi="Book Antiqua" w:cs="Arial"/>
          <w:lang w:val="en-GB"/>
        </w:rPr>
      </w:pPr>
    </w:p>
    <w:p w:rsidR="00ED1005" w:rsidRPr="00F200E7" w:rsidRDefault="009029E0" w:rsidP="00ED1005">
      <w:pPr>
        <w:pStyle w:val="NoSpacing"/>
        <w:jc w:val="both"/>
        <w:rPr>
          <w:rFonts w:ascii="Book Antiqua" w:hAnsi="Book Antiqua"/>
          <w:lang w:val="en-GB"/>
        </w:rPr>
      </w:pPr>
      <w:r w:rsidRPr="00F200E7">
        <w:rPr>
          <w:rFonts w:ascii="Book Antiqua" w:hAnsi="Book Antiqua"/>
          <w:lang w:val="en-GB"/>
        </w:rPr>
        <w:t>For the application of Chapter 16, “</w:t>
      </w:r>
      <w:r w:rsidR="00ED1005" w:rsidRPr="00F200E7">
        <w:rPr>
          <w:rFonts w:ascii="Book Antiqua" w:hAnsi="Book Antiqua"/>
          <w:lang w:val="en-GB"/>
        </w:rPr>
        <w:t>labour legislation</w:t>
      </w:r>
      <w:r w:rsidRPr="00F200E7">
        <w:rPr>
          <w:rFonts w:ascii="Book Antiqua" w:hAnsi="Book Antiqua"/>
          <w:lang w:val="en-GB"/>
        </w:rPr>
        <w:t>” is intended to refer to</w:t>
      </w:r>
      <w:r w:rsidR="00ED1005" w:rsidRPr="00F200E7">
        <w:rPr>
          <w:rFonts w:ascii="Book Antiqua" w:hAnsi="Book Antiqua"/>
          <w:lang w:val="en-GB"/>
        </w:rPr>
        <w:t xml:space="preserve"> labour rights as </w:t>
      </w:r>
      <w:r w:rsidR="00F76782">
        <w:rPr>
          <w:rFonts w:ascii="Book Antiqua" w:hAnsi="Book Antiqua"/>
          <w:lang w:val="en-GB"/>
        </w:rPr>
        <w:t>recogniz</w:t>
      </w:r>
      <w:r w:rsidR="00ED1005" w:rsidRPr="00F200E7">
        <w:rPr>
          <w:rFonts w:ascii="Book Antiqua" w:hAnsi="Book Antiqua"/>
          <w:lang w:val="en-GB"/>
        </w:rPr>
        <w:t>ed internationally: a) the right of association; b) the right to organize and negotiate collectively; c) prohibiti</w:t>
      </w:r>
      <w:r w:rsidR="00974222" w:rsidRPr="00F200E7">
        <w:rPr>
          <w:rFonts w:ascii="Book Antiqua" w:hAnsi="Book Antiqua"/>
          <w:lang w:val="en-GB"/>
        </w:rPr>
        <w:t>on of</w:t>
      </w:r>
      <w:r w:rsidR="00ED1005" w:rsidRPr="00F200E7">
        <w:rPr>
          <w:rFonts w:ascii="Book Antiqua" w:hAnsi="Book Antiqua"/>
          <w:lang w:val="en-GB"/>
        </w:rPr>
        <w:t xml:space="preserve"> the use of any form of forced or compulsory </w:t>
      </w:r>
      <w:r w:rsidR="00BC151C" w:rsidRPr="00F200E7">
        <w:rPr>
          <w:rFonts w:ascii="Book Antiqua" w:hAnsi="Book Antiqua"/>
          <w:lang w:val="en-GB"/>
        </w:rPr>
        <w:t>labour</w:t>
      </w:r>
      <w:r w:rsidR="00ED1005" w:rsidRPr="00F200E7">
        <w:rPr>
          <w:rFonts w:ascii="Book Antiqua" w:hAnsi="Book Antiqua"/>
          <w:lang w:val="en-GB"/>
        </w:rPr>
        <w:t xml:space="preserve">; d) a minimum age for the employment of children and the prohibition and elimination of the worst forms of child </w:t>
      </w:r>
      <w:r w:rsidR="00BC151C" w:rsidRPr="00F200E7">
        <w:rPr>
          <w:rFonts w:ascii="Book Antiqua" w:hAnsi="Book Antiqua"/>
          <w:lang w:val="en-GB"/>
        </w:rPr>
        <w:t>labour</w:t>
      </w:r>
      <w:r w:rsidR="00ED1005" w:rsidRPr="00F200E7">
        <w:rPr>
          <w:rFonts w:ascii="Book Antiqua" w:hAnsi="Book Antiqua"/>
          <w:lang w:val="en-GB"/>
        </w:rPr>
        <w:t>, and e) acceptable conditions of work with respect to minimum wages, hours of work</w:t>
      </w:r>
      <w:r w:rsidR="00DC1E8C" w:rsidRPr="00F200E7">
        <w:rPr>
          <w:rFonts w:ascii="Book Antiqua" w:hAnsi="Book Antiqua"/>
          <w:lang w:val="en-GB"/>
        </w:rPr>
        <w:t xml:space="preserve">, </w:t>
      </w:r>
      <w:r w:rsidR="00ED1005" w:rsidRPr="00F200E7">
        <w:rPr>
          <w:rFonts w:ascii="Book Antiqua" w:hAnsi="Book Antiqua"/>
          <w:lang w:val="en-GB"/>
        </w:rPr>
        <w:t>and occupational safety and health.</w:t>
      </w:r>
    </w:p>
    <w:p w:rsidR="00ED1005" w:rsidRPr="00F200E7" w:rsidRDefault="0026449A" w:rsidP="0032057B">
      <w:pPr>
        <w:pStyle w:val="Heading2"/>
      </w:pPr>
      <w:bookmarkStart w:id="186" w:name="_Toc333411874"/>
      <w:bookmarkStart w:id="187" w:name="_Toc336607524"/>
      <w:bookmarkStart w:id="188" w:name="_Toc333837998"/>
      <w:r w:rsidRPr="00F200E7">
        <w:t>6.</w:t>
      </w:r>
      <w:r w:rsidR="00116FF7">
        <w:t>6</w:t>
      </w:r>
      <w:r w:rsidR="00ED1005" w:rsidRPr="00F200E7">
        <w:t>.3</w:t>
      </w:r>
      <w:bookmarkEnd w:id="186"/>
      <w:r w:rsidRPr="00F200E7">
        <w:tab/>
      </w:r>
      <w:r w:rsidR="00ED1005" w:rsidRPr="00F200E7">
        <w:t>Labour Code</w:t>
      </w:r>
      <w:bookmarkEnd w:id="187"/>
      <w:bookmarkEnd w:id="188"/>
    </w:p>
    <w:p w:rsidR="00ED1005" w:rsidRPr="00F200E7" w:rsidRDefault="00C31441" w:rsidP="00ED1005">
      <w:pPr>
        <w:pStyle w:val="NoSpacing"/>
        <w:jc w:val="both"/>
        <w:rPr>
          <w:rFonts w:ascii="Book Antiqua" w:hAnsi="Book Antiqua"/>
          <w:lang w:val="en-GB"/>
        </w:rPr>
      </w:pPr>
      <w:r>
        <w:rPr>
          <w:rFonts w:ascii="Book Antiqua" w:hAnsi="Book Antiqua"/>
          <w:lang w:val="en-GB"/>
        </w:rPr>
        <w:t>Legislation</w:t>
      </w:r>
      <w:r w:rsidR="00ED1005" w:rsidRPr="00F200E7">
        <w:rPr>
          <w:rFonts w:ascii="Book Antiqua" w:hAnsi="Book Antiqua"/>
          <w:lang w:val="en-GB"/>
        </w:rPr>
        <w:t xml:space="preserve"> relating to labour </w:t>
      </w:r>
      <w:r>
        <w:rPr>
          <w:rFonts w:ascii="Book Antiqua" w:hAnsi="Book Antiqua"/>
          <w:lang w:val="en-GB"/>
        </w:rPr>
        <w:t>is</w:t>
      </w:r>
      <w:r w:rsidR="00FB5615">
        <w:rPr>
          <w:rFonts w:ascii="Book Antiqua" w:hAnsi="Book Antiqua"/>
          <w:lang w:val="en-GB"/>
        </w:rPr>
        <w:t xml:space="preserve"> </w:t>
      </w:r>
      <w:r w:rsidR="00F70FDD" w:rsidRPr="00F200E7">
        <w:rPr>
          <w:rFonts w:ascii="Book Antiqua" w:hAnsi="Book Antiqua"/>
          <w:lang w:val="en-GB"/>
        </w:rPr>
        <w:t xml:space="preserve">found </w:t>
      </w:r>
      <w:r w:rsidR="00ED1005" w:rsidRPr="00F200E7">
        <w:rPr>
          <w:rFonts w:ascii="Book Antiqua" w:hAnsi="Book Antiqua"/>
          <w:lang w:val="en-GB"/>
        </w:rPr>
        <w:t>in the Labour Code (Decree No. 1441). The code was issued in 1961</w:t>
      </w:r>
      <w:r w:rsidR="00F70FDD" w:rsidRPr="00F200E7">
        <w:rPr>
          <w:rFonts w:ascii="Book Antiqua" w:hAnsi="Book Antiqua"/>
          <w:lang w:val="en-GB"/>
        </w:rPr>
        <w:t xml:space="preserve">. It has since </w:t>
      </w:r>
      <w:r w:rsidR="00ED1005" w:rsidRPr="00F200E7">
        <w:rPr>
          <w:rFonts w:ascii="Book Antiqua" w:hAnsi="Book Antiqua"/>
          <w:lang w:val="en-GB"/>
        </w:rPr>
        <w:t xml:space="preserve">been </w:t>
      </w:r>
      <w:r w:rsidR="00F70FDD" w:rsidRPr="00F200E7">
        <w:rPr>
          <w:rFonts w:ascii="Book Antiqua" w:hAnsi="Book Antiqua"/>
          <w:lang w:val="en-GB"/>
        </w:rPr>
        <w:t xml:space="preserve">the </w:t>
      </w:r>
      <w:r w:rsidR="00ED1005" w:rsidRPr="00F200E7">
        <w:rPr>
          <w:rFonts w:ascii="Book Antiqua" w:hAnsi="Book Antiqua"/>
          <w:lang w:val="en-GB"/>
        </w:rPr>
        <w:t xml:space="preserve">object of many reforms. The most profound of these </w:t>
      </w:r>
      <w:r w:rsidR="00BC151C" w:rsidRPr="00F200E7">
        <w:rPr>
          <w:rFonts w:ascii="Book Antiqua" w:hAnsi="Book Antiqua"/>
          <w:lang w:val="en-GB"/>
        </w:rPr>
        <w:t>reforms</w:t>
      </w:r>
      <w:r w:rsidR="00FB5615">
        <w:rPr>
          <w:rFonts w:ascii="Book Antiqua" w:hAnsi="Book Antiqua"/>
          <w:lang w:val="en-GB"/>
        </w:rPr>
        <w:t xml:space="preserve"> </w:t>
      </w:r>
      <w:r w:rsidR="00F70FDD" w:rsidRPr="00F200E7">
        <w:rPr>
          <w:rFonts w:ascii="Book Antiqua" w:hAnsi="Book Antiqua"/>
          <w:lang w:val="en-GB"/>
        </w:rPr>
        <w:t>came</w:t>
      </w:r>
      <w:r w:rsidR="00ED1005" w:rsidRPr="00F200E7">
        <w:rPr>
          <w:rFonts w:ascii="Book Antiqua" w:hAnsi="Book Antiqua"/>
          <w:lang w:val="en-GB"/>
        </w:rPr>
        <w:t xml:space="preserve"> in 1992 and 2002, with the objective of addressing the observations made by the </w:t>
      </w:r>
      <w:r w:rsidR="00BC151C" w:rsidRPr="00F200E7">
        <w:rPr>
          <w:rFonts w:ascii="Book Antiqua" w:hAnsi="Book Antiqua"/>
          <w:lang w:val="en-GB"/>
        </w:rPr>
        <w:t>Commission</w:t>
      </w:r>
      <w:r w:rsidR="00ED1005" w:rsidRPr="00F200E7">
        <w:rPr>
          <w:rFonts w:ascii="Book Antiqua" w:hAnsi="Book Antiqua"/>
          <w:lang w:val="en-GB"/>
        </w:rPr>
        <w:t xml:space="preserve"> of Experts in </w:t>
      </w:r>
      <w:r w:rsidR="00BC151C" w:rsidRPr="00F200E7">
        <w:rPr>
          <w:rFonts w:ascii="Book Antiqua" w:hAnsi="Book Antiqua"/>
          <w:lang w:val="en-GB"/>
        </w:rPr>
        <w:t>Application</w:t>
      </w:r>
      <w:r w:rsidR="00ED1005" w:rsidRPr="00F200E7">
        <w:rPr>
          <w:rFonts w:ascii="Book Antiqua" w:hAnsi="Book Antiqua"/>
          <w:lang w:val="en-GB"/>
        </w:rPr>
        <w:t xml:space="preserve"> of Conventions and Recommendations of</w:t>
      </w:r>
      <w:r w:rsidR="00D14779">
        <w:rPr>
          <w:rFonts w:ascii="Book Antiqua" w:hAnsi="Book Antiqua"/>
          <w:lang w:val="en-GB"/>
        </w:rPr>
        <w:t xml:space="preserve"> the</w:t>
      </w:r>
      <w:r w:rsidR="00ED1005" w:rsidRPr="00F200E7">
        <w:rPr>
          <w:rFonts w:ascii="Book Antiqua" w:hAnsi="Book Antiqua"/>
          <w:lang w:val="en-GB"/>
        </w:rPr>
        <w:t xml:space="preserve"> ILO.</w:t>
      </w:r>
    </w:p>
    <w:p w:rsidR="00ED1005" w:rsidRPr="00F200E7" w:rsidRDefault="00ED1005" w:rsidP="00ED1005">
      <w:pPr>
        <w:pStyle w:val="NoSpacing"/>
        <w:jc w:val="both"/>
        <w:rPr>
          <w:rFonts w:ascii="Book Antiqua" w:hAnsi="Book Antiqua"/>
          <w:lang w:val="en-GB"/>
        </w:rPr>
      </w:pPr>
    </w:p>
    <w:p w:rsidR="00ED1005" w:rsidRPr="00F200E7" w:rsidRDefault="00F64CBE" w:rsidP="00ED1005">
      <w:pPr>
        <w:pStyle w:val="NoSpacing"/>
        <w:jc w:val="both"/>
        <w:rPr>
          <w:rFonts w:ascii="Book Antiqua" w:hAnsi="Book Antiqua"/>
          <w:lang w:val="en-GB"/>
        </w:rPr>
      </w:pPr>
      <w:r w:rsidRPr="00F200E7">
        <w:rPr>
          <w:rFonts w:ascii="Book Antiqua" w:hAnsi="Book Antiqua"/>
          <w:lang w:val="en-GB"/>
        </w:rPr>
        <w:t>T</w:t>
      </w:r>
      <w:r w:rsidR="00ED1005" w:rsidRPr="00F200E7">
        <w:rPr>
          <w:rFonts w:ascii="Book Antiqua" w:hAnsi="Book Antiqua"/>
          <w:lang w:val="en-GB"/>
        </w:rPr>
        <w:t>he laws contained in the code, applicable to any work relation</w:t>
      </w:r>
      <w:r w:rsidRPr="00F200E7">
        <w:rPr>
          <w:rFonts w:ascii="Book Antiqua" w:hAnsi="Book Antiqua"/>
          <w:lang w:val="en-GB"/>
        </w:rPr>
        <w:t>ship</w:t>
      </w:r>
      <w:r w:rsidR="00ED1005" w:rsidRPr="00F200E7">
        <w:rPr>
          <w:rFonts w:ascii="Book Antiqua" w:hAnsi="Book Antiqua"/>
          <w:lang w:val="en-GB"/>
        </w:rPr>
        <w:t xml:space="preserve"> and thus to agricultural activities, include the </w:t>
      </w:r>
      <w:r w:rsidRPr="00F200E7">
        <w:rPr>
          <w:rFonts w:ascii="Book Antiqua" w:hAnsi="Book Antiqua"/>
          <w:lang w:val="en-GB"/>
        </w:rPr>
        <w:t>provision that</w:t>
      </w:r>
      <w:r w:rsidR="00FB5615">
        <w:rPr>
          <w:rFonts w:ascii="Book Antiqua" w:hAnsi="Book Antiqua"/>
          <w:lang w:val="en-GB"/>
        </w:rPr>
        <w:t xml:space="preserve"> </w:t>
      </w:r>
      <w:r w:rsidRPr="00F200E7">
        <w:rPr>
          <w:rFonts w:ascii="Book Antiqua" w:hAnsi="Book Antiqua"/>
          <w:lang w:val="en-GB"/>
        </w:rPr>
        <w:t>a</w:t>
      </w:r>
      <w:r w:rsidR="00ED1005" w:rsidRPr="00F200E7">
        <w:rPr>
          <w:rFonts w:ascii="Book Antiqua" w:hAnsi="Book Antiqua"/>
          <w:lang w:val="en-GB"/>
        </w:rPr>
        <w:t>ll employment contract</w:t>
      </w:r>
      <w:r w:rsidR="00D81D62" w:rsidRPr="00F200E7">
        <w:rPr>
          <w:rFonts w:ascii="Book Antiqua" w:hAnsi="Book Antiqua"/>
          <w:lang w:val="en-GB"/>
        </w:rPr>
        <w:t>s</w:t>
      </w:r>
      <w:r w:rsidR="00FB5615">
        <w:rPr>
          <w:rFonts w:ascii="Book Antiqua" w:hAnsi="Book Antiqua"/>
          <w:lang w:val="en-GB"/>
        </w:rPr>
        <w:t xml:space="preserve"> </w:t>
      </w:r>
      <w:r w:rsidR="00D81D62" w:rsidRPr="00F200E7">
        <w:rPr>
          <w:rFonts w:ascii="Book Antiqua" w:hAnsi="Book Antiqua"/>
          <w:lang w:val="en-GB"/>
        </w:rPr>
        <w:t>are</w:t>
      </w:r>
      <w:r w:rsidR="00ED1005" w:rsidRPr="00F200E7">
        <w:rPr>
          <w:rFonts w:ascii="Book Antiqua" w:hAnsi="Book Antiqua"/>
          <w:lang w:val="en-GB"/>
        </w:rPr>
        <w:t xml:space="preserve"> indefinite unless otherwise stated </w:t>
      </w:r>
      <w:r w:rsidRPr="00F200E7">
        <w:rPr>
          <w:rFonts w:ascii="Book Antiqua" w:hAnsi="Book Antiqua"/>
          <w:lang w:val="en-GB"/>
        </w:rPr>
        <w:t xml:space="preserve">(although </w:t>
      </w:r>
      <w:r w:rsidR="00ED1005" w:rsidRPr="00F200E7">
        <w:rPr>
          <w:rFonts w:ascii="Book Antiqua" w:hAnsi="Book Antiqua"/>
          <w:lang w:val="en-GB"/>
        </w:rPr>
        <w:t xml:space="preserve">fixed-term contracts </w:t>
      </w:r>
      <w:r w:rsidR="00F71782">
        <w:rPr>
          <w:rFonts w:ascii="Book Antiqua" w:hAnsi="Book Antiqua"/>
          <w:lang w:val="en-GB"/>
        </w:rPr>
        <w:t>should remain</w:t>
      </w:r>
      <w:r w:rsidR="00ED1005" w:rsidRPr="00F200E7">
        <w:rPr>
          <w:rFonts w:ascii="Book Antiqua" w:hAnsi="Book Antiqua"/>
          <w:lang w:val="en-GB"/>
        </w:rPr>
        <w:t xml:space="preserve"> an exception</w:t>
      </w:r>
      <w:r w:rsidRPr="00F200E7">
        <w:rPr>
          <w:rFonts w:ascii="Book Antiqua" w:hAnsi="Book Antiqua"/>
          <w:lang w:val="en-GB"/>
        </w:rPr>
        <w:t xml:space="preserve">). Also, </w:t>
      </w:r>
      <w:r w:rsidR="00ED1005" w:rsidRPr="00F200E7">
        <w:rPr>
          <w:rFonts w:ascii="Book Antiqua" w:hAnsi="Book Antiqua"/>
          <w:lang w:val="en-GB"/>
        </w:rPr>
        <w:t>the contract may be verbal</w:t>
      </w:r>
      <w:r w:rsidR="00F71782">
        <w:rPr>
          <w:rFonts w:ascii="Book Antiqua" w:hAnsi="Book Antiqua"/>
          <w:lang w:val="en-GB"/>
        </w:rPr>
        <w:t xml:space="preserve"> i</w:t>
      </w:r>
      <w:r w:rsidR="00ED1005" w:rsidRPr="00F200E7">
        <w:rPr>
          <w:rFonts w:ascii="Book Antiqua" w:hAnsi="Book Antiqua"/>
          <w:lang w:val="en-GB"/>
        </w:rPr>
        <w:t>n the case of farming or ranching</w:t>
      </w:r>
      <w:r w:rsidR="00F71782">
        <w:rPr>
          <w:rFonts w:ascii="Book Antiqua" w:hAnsi="Book Antiqua"/>
          <w:lang w:val="en-GB"/>
        </w:rPr>
        <w:t>.</w:t>
      </w:r>
      <w:r w:rsidR="00FB5615">
        <w:rPr>
          <w:rFonts w:ascii="Book Antiqua" w:hAnsi="Book Antiqua"/>
          <w:lang w:val="en-GB"/>
        </w:rPr>
        <w:t xml:space="preserve"> </w:t>
      </w:r>
      <w:r w:rsidR="00F71782">
        <w:rPr>
          <w:rFonts w:ascii="Book Antiqua" w:hAnsi="Book Antiqua"/>
          <w:lang w:val="en-GB"/>
        </w:rPr>
        <w:t>I</w:t>
      </w:r>
      <w:r w:rsidR="00ED1005" w:rsidRPr="00F200E7">
        <w:rPr>
          <w:rFonts w:ascii="Book Antiqua" w:hAnsi="Book Antiqua"/>
          <w:lang w:val="en-GB"/>
        </w:rPr>
        <w:t xml:space="preserve">n the absence of a written contract the terms </w:t>
      </w:r>
      <w:r w:rsidR="00BC151C" w:rsidRPr="00F200E7">
        <w:rPr>
          <w:rFonts w:ascii="Book Antiqua" w:hAnsi="Book Antiqua"/>
          <w:lang w:val="en-GB"/>
        </w:rPr>
        <w:t>affirmed</w:t>
      </w:r>
      <w:r w:rsidR="00ED1005" w:rsidRPr="00F200E7">
        <w:rPr>
          <w:rFonts w:ascii="Book Antiqua" w:hAnsi="Book Antiqua"/>
          <w:lang w:val="en-GB"/>
        </w:rPr>
        <w:t xml:space="preserve"> by the employee are taken as true, unless proven otherwise.</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Regarding collective negotiations, </w:t>
      </w:r>
      <w:r w:rsidR="00142998" w:rsidRPr="00F200E7">
        <w:rPr>
          <w:rFonts w:ascii="Book Antiqua" w:hAnsi="Book Antiqua"/>
          <w:lang w:val="en-GB"/>
        </w:rPr>
        <w:t xml:space="preserve">a </w:t>
      </w:r>
      <w:r w:rsidRPr="00F200E7">
        <w:rPr>
          <w:rFonts w:ascii="Book Antiqua" w:hAnsi="Book Antiqua"/>
          <w:lang w:val="en-GB"/>
        </w:rPr>
        <w:t xml:space="preserve">collective agreement on working conditions </w:t>
      </w:r>
      <w:r w:rsidR="00F71782">
        <w:rPr>
          <w:rFonts w:ascii="Book Antiqua" w:hAnsi="Book Antiqua"/>
          <w:lang w:val="en-GB"/>
        </w:rPr>
        <w:t>takes a legal character in that its</w:t>
      </w:r>
      <w:r w:rsidRPr="00F200E7">
        <w:rPr>
          <w:rFonts w:ascii="Book Antiqua" w:hAnsi="Book Antiqua"/>
          <w:lang w:val="en-GB"/>
        </w:rPr>
        <w:t xml:space="preserve"> provisions must apply to all contracts, individual or collective, </w:t>
      </w:r>
      <w:r w:rsidR="00F03646" w:rsidRPr="00F200E7">
        <w:rPr>
          <w:rFonts w:ascii="Book Antiqua" w:hAnsi="Book Antiqua"/>
          <w:lang w:val="en-GB"/>
        </w:rPr>
        <w:t xml:space="preserve">to which </w:t>
      </w:r>
      <w:r w:rsidRPr="00F200E7">
        <w:rPr>
          <w:rFonts w:ascii="Book Antiqua" w:hAnsi="Book Antiqua"/>
          <w:lang w:val="en-GB"/>
        </w:rPr>
        <w:t xml:space="preserve">the employer is </w:t>
      </w:r>
      <w:r w:rsidR="00F03646" w:rsidRPr="00F200E7">
        <w:rPr>
          <w:rFonts w:ascii="Book Antiqua" w:hAnsi="Book Antiqua"/>
          <w:lang w:val="en-GB"/>
        </w:rPr>
        <w:t xml:space="preserve">a </w:t>
      </w:r>
      <w:r w:rsidRPr="00F200E7">
        <w:rPr>
          <w:rFonts w:ascii="Book Antiqua" w:hAnsi="Book Antiqua"/>
          <w:lang w:val="en-GB"/>
        </w:rPr>
        <w:t>party. A</w:t>
      </w:r>
      <w:r w:rsidR="00685DE4" w:rsidRPr="00F200E7">
        <w:rPr>
          <w:rFonts w:ascii="Book Antiqua" w:hAnsi="Book Antiqua"/>
          <w:lang w:val="en-GB"/>
        </w:rPr>
        <w:t>ny</w:t>
      </w:r>
      <w:r w:rsidRPr="00F200E7">
        <w:rPr>
          <w:rFonts w:ascii="Book Antiqua" w:hAnsi="Book Antiqua"/>
          <w:lang w:val="en-GB"/>
        </w:rPr>
        <w:t xml:space="preserve"> employer that ha</w:t>
      </w:r>
      <w:r w:rsidR="00685DE4" w:rsidRPr="00F200E7">
        <w:rPr>
          <w:rFonts w:ascii="Book Antiqua" w:hAnsi="Book Antiqua"/>
          <w:lang w:val="en-GB"/>
        </w:rPr>
        <w:t>s</w:t>
      </w:r>
      <w:r w:rsidRPr="00F200E7">
        <w:rPr>
          <w:rFonts w:ascii="Book Antiqua" w:hAnsi="Book Antiqua"/>
          <w:lang w:val="en-GB"/>
        </w:rPr>
        <w:t xml:space="preserve"> more than 25 per cent of its employees affiliated </w:t>
      </w:r>
      <w:r w:rsidR="00AE2D2C" w:rsidRPr="00F200E7">
        <w:rPr>
          <w:rFonts w:ascii="Book Antiqua" w:hAnsi="Book Antiqua"/>
          <w:lang w:val="en-GB"/>
        </w:rPr>
        <w:t xml:space="preserve">with </w:t>
      </w:r>
      <w:r w:rsidRPr="00F200E7">
        <w:rPr>
          <w:rFonts w:ascii="Book Antiqua" w:hAnsi="Book Antiqua"/>
          <w:lang w:val="en-GB"/>
        </w:rPr>
        <w:t xml:space="preserve">a </w:t>
      </w:r>
      <w:r w:rsidR="004F5E2F" w:rsidRPr="00F200E7">
        <w:rPr>
          <w:rFonts w:ascii="Book Antiqua" w:hAnsi="Book Antiqua"/>
          <w:lang w:val="en-GB"/>
        </w:rPr>
        <w:t>union</w:t>
      </w:r>
      <w:r w:rsidRPr="00F200E7">
        <w:rPr>
          <w:rFonts w:ascii="Book Antiqua" w:hAnsi="Book Antiqua"/>
          <w:lang w:val="en-GB"/>
        </w:rPr>
        <w:t xml:space="preserve"> must negotiate a collective agreement when requested. To establish </w:t>
      </w:r>
      <w:r w:rsidR="00AE2D2C" w:rsidRPr="00F200E7">
        <w:rPr>
          <w:rFonts w:ascii="Book Antiqua" w:hAnsi="Book Antiqua"/>
          <w:lang w:val="en-GB"/>
        </w:rPr>
        <w:t xml:space="preserve">itself, a </w:t>
      </w:r>
      <w:r w:rsidRPr="00F200E7">
        <w:rPr>
          <w:rFonts w:ascii="Book Antiqua" w:hAnsi="Book Antiqua"/>
          <w:lang w:val="en-GB"/>
        </w:rPr>
        <w:t>union must have at least 20</w:t>
      </w:r>
      <w:r w:rsidR="00AE2D2C" w:rsidRPr="00F200E7">
        <w:rPr>
          <w:rFonts w:ascii="Book Antiqua" w:hAnsi="Book Antiqua"/>
          <w:lang w:val="en-GB"/>
        </w:rPr>
        <w:t xml:space="preserve"> members.</w:t>
      </w:r>
      <w:r w:rsidR="00FB5615">
        <w:rPr>
          <w:rFonts w:ascii="Book Antiqua" w:hAnsi="Book Antiqua"/>
          <w:lang w:val="en-GB"/>
        </w:rPr>
        <w:t xml:space="preserve"> </w:t>
      </w:r>
      <w:r w:rsidR="00AE2D2C" w:rsidRPr="00F200E7">
        <w:rPr>
          <w:rFonts w:ascii="Book Antiqua" w:hAnsi="Book Antiqua"/>
          <w:lang w:val="en-GB"/>
        </w:rPr>
        <w:t>T</w:t>
      </w:r>
      <w:r w:rsidRPr="00F200E7">
        <w:rPr>
          <w:rFonts w:ascii="Book Antiqua" w:hAnsi="Book Antiqua"/>
          <w:lang w:val="en-GB"/>
        </w:rPr>
        <w:t>he workers that form the union may not be dismissed from the moment</w:t>
      </w:r>
      <w:r w:rsidR="00AE2D2C" w:rsidRPr="00F200E7">
        <w:rPr>
          <w:rFonts w:ascii="Book Antiqua" w:hAnsi="Book Antiqua"/>
          <w:lang w:val="en-GB"/>
        </w:rPr>
        <w:t xml:space="preserve"> that</w:t>
      </w:r>
      <w:r w:rsidRPr="00F200E7">
        <w:rPr>
          <w:rFonts w:ascii="Book Antiqua" w:hAnsi="Book Antiqua"/>
          <w:lang w:val="en-GB"/>
        </w:rPr>
        <w:t xml:space="preserve"> they notify the General Labour Inspectors </w:t>
      </w:r>
      <w:r w:rsidR="00F71782">
        <w:rPr>
          <w:rFonts w:ascii="Book Antiqua" w:hAnsi="Book Antiqua"/>
          <w:lang w:val="en-GB"/>
        </w:rPr>
        <w:t>and for</w:t>
      </w:r>
      <w:r w:rsidR="00FB5615">
        <w:rPr>
          <w:rFonts w:ascii="Book Antiqua" w:hAnsi="Book Antiqua"/>
          <w:lang w:val="en-GB"/>
        </w:rPr>
        <w:t xml:space="preserve"> </w:t>
      </w:r>
      <w:r w:rsidRPr="00F200E7">
        <w:rPr>
          <w:rFonts w:ascii="Book Antiqua" w:hAnsi="Book Antiqua"/>
          <w:lang w:val="en-GB"/>
        </w:rPr>
        <w:t>a 60</w:t>
      </w:r>
      <w:r w:rsidR="00EA25E5" w:rsidRPr="00F200E7">
        <w:rPr>
          <w:rFonts w:ascii="Book Antiqua" w:hAnsi="Book Antiqua"/>
          <w:lang w:val="en-GB"/>
        </w:rPr>
        <w:t>-</w:t>
      </w:r>
      <w:r w:rsidRPr="00F200E7">
        <w:rPr>
          <w:rFonts w:ascii="Book Antiqua" w:hAnsi="Book Antiqua"/>
          <w:lang w:val="en-GB"/>
        </w:rPr>
        <w:t xml:space="preserve">day period after the </w:t>
      </w:r>
      <w:r w:rsidR="00F71782">
        <w:rPr>
          <w:rFonts w:ascii="Book Antiqua" w:hAnsi="Book Antiqua"/>
          <w:lang w:val="en-GB"/>
        </w:rPr>
        <w:t>registration</w:t>
      </w:r>
      <w:r w:rsidRPr="00F200E7">
        <w:rPr>
          <w:rFonts w:ascii="Book Antiqua" w:hAnsi="Book Antiqua"/>
          <w:lang w:val="en-GB"/>
        </w:rPr>
        <w:t xml:space="preserve"> of the union.</w:t>
      </w:r>
    </w:p>
    <w:p w:rsidR="00ED1005" w:rsidRPr="00F200E7" w:rsidRDefault="00ED1005" w:rsidP="00ED1005">
      <w:pPr>
        <w:pStyle w:val="NoSpacing"/>
        <w:jc w:val="both"/>
        <w:rPr>
          <w:rFonts w:ascii="Book Antiqua" w:hAnsi="Book Antiqua"/>
          <w:lang w:val="en-GB"/>
        </w:rPr>
      </w:pPr>
    </w:p>
    <w:p w:rsidR="00ED1005" w:rsidRPr="00F200E7" w:rsidRDefault="00C31441" w:rsidP="00ED1005">
      <w:pPr>
        <w:pStyle w:val="NoSpacing"/>
        <w:jc w:val="both"/>
        <w:rPr>
          <w:rFonts w:ascii="Book Antiqua" w:hAnsi="Book Antiqua"/>
          <w:lang w:val="en-GB"/>
        </w:rPr>
      </w:pPr>
      <w:r>
        <w:rPr>
          <w:rFonts w:ascii="Book Antiqua" w:hAnsi="Book Antiqua"/>
          <w:lang w:val="en-GB"/>
        </w:rPr>
        <w:t>W</w:t>
      </w:r>
      <w:r w:rsidR="00ED1005" w:rsidRPr="00F200E7">
        <w:rPr>
          <w:rFonts w:ascii="Book Antiqua" w:hAnsi="Book Antiqua"/>
          <w:lang w:val="en-GB"/>
        </w:rPr>
        <w:t>ages can be set per unit</w:t>
      </w:r>
      <w:r w:rsidR="00D81D62" w:rsidRPr="00F200E7">
        <w:rPr>
          <w:rFonts w:ascii="Book Antiqua" w:hAnsi="Book Antiqua"/>
          <w:lang w:val="en-GB"/>
        </w:rPr>
        <w:t xml:space="preserve"> of time or task</w:t>
      </w:r>
      <w:r w:rsidR="00ED1005" w:rsidRPr="00F200E7">
        <w:rPr>
          <w:rFonts w:ascii="Book Antiqua" w:hAnsi="Book Antiqua"/>
          <w:lang w:val="en-GB"/>
        </w:rPr>
        <w:t xml:space="preserve"> or </w:t>
      </w:r>
      <w:r w:rsidR="00685DE4" w:rsidRPr="00F200E7">
        <w:rPr>
          <w:rFonts w:ascii="Book Antiqua" w:hAnsi="Book Antiqua"/>
          <w:lang w:val="en-GB"/>
        </w:rPr>
        <w:t xml:space="preserve">as </w:t>
      </w:r>
      <w:r w:rsidR="00ED1005" w:rsidRPr="00F200E7">
        <w:rPr>
          <w:rFonts w:ascii="Book Antiqua" w:hAnsi="Book Antiqua"/>
          <w:lang w:val="en-GB"/>
        </w:rPr>
        <w:t>profit</w:t>
      </w:r>
      <w:r w:rsidR="00685DE4" w:rsidRPr="00F200E7">
        <w:rPr>
          <w:rFonts w:ascii="Book Antiqua" w:hAnsi="Book Antiqua"/>
          <w:lang w:val="en-GB"/>
        </w:rPr>
        <w:t>-</w:t>
      </w:r>
      <w:r w:rsidR="00ED1005" w:rsidRPr="00F200E7">
        <w:rPr>
          <w:rFonts w:ascii="Book Antiqua" w:hAnsi="Book Antiqua"/>
          <w:lang w:val="en-GB"/>
        </w:rPr>
        <w:t xml:space="preserve">sharing, and all workers are entitled to earn a minimum wage. The normal working </w:t>
      </w:r>
      <w:r w:rsidR="00705BB0">
        <w:rPr>
          <w:rFonts w:ascii="Book Antiqua" w:hAnsi="Book Antiqua"/>
          <w:lang w:val="en-GB"/>
        </w:rPr>
        <w:t xml:space="preserve">hours </w:t>
      </w:r>
      <w:r w:rsidR="00ED1005" w:rsidRPr="00F200E7">
        <w:rPr>
          <w:rFonts w:ascii="Book Antiqua" w:hAnsi="Book Antiqua"/>
          <w:lang w:val="en-GB"/>
        </w:rPr>
        <w:t xml:space="preserve">may not exceed </w:t>
      </w:r>
      <w:r w:rsidR="00685DE4" w:rsidRPr="00F200E7">
        <w:rPr>
          <w:rFonts w:ascii="Book Antiqua" w:hAnsi="Book Antiqua"/>
          <w:lang w:val="en-GB"/>
        </w:rPr>
        <w:t xml:space="preserve">8 hours </w:t>
      </w:r>
      <w:r w:rsidR="00ED1005" w:rsidRPr="00F200E7">
        <w:rPr>
          <w:rFonts w:ascii="Book Antiqua" w:hAnsi="Book Antiqua"/>
          <w:lang w:val="en-GB"/>
        </w:rPr>
        <w:t xml:space="preserve">per day or 48 </w:t>
      </w:r>
      <w:r w:rsidR="00685DE4" w:rsidRPr="00F200E7">
        <w:rPr>
          <w:rFonts w:ascii="Book Antiqua" w:hAnsi="Book Antiqua"/>
          <w:lang w:val="en-GB"/>
        </w:rPr>
        <w:t xml:space="preserve">hours </w:t>
      </w:r>
      <w:r w:rsidR="00ED1005" w:rsidRPr="00F200E7">
        <w:rPr>
          <w:rFonts w:ascii="Book Antiqua" w:hAnsi="Book Antiqua"/>
          <w:lang w:val="en-GB"/>
        </w:rPr>
        <w:t xml:space="preserve">a week, and paid leave </w:t>
      </w:r>
      <w:r w:rsidR="00BC151C" w:rsidRPr="00F200E7">
        <w:rPr>
          <w:rFonts w:ascii="Book Antiqua" w:hAnsi="Book Antiqua"/>
          <w:lang w:val="en-GB"/>
        </w:rPr>
        <w:t>cannot</w:t>
      </w:r>
      <w:r w:rsidR="00ED1005" w:rsidRPr="00F200E7">
        <w:rPr>
          <w:rFonts w:ascii="Book Antiqua" w:hAnsi="Book Antiqua"/>
          <w:lang w:val="en-GB"/>
        </w:rPr>
        <w:t xml:space="preserve"> be less than 15 working days</w:t>
      </w:r>
      <w:r w:rsidR="00685DE4" w:rsidRPr="00F200E7">
        <w:rPr>
          <w:rFonts w:ascii="Book Antiqua" w:hAnsi="Book Antiqua"/>
          <w:lang w:val="en-GB"/>
        </w:rPr>
        <w:t xml:space="preserve"> annually</w:t>
      </w:r>
      <w:r w:rsidR="00ED1005" w:rsidRPr="00F200E7">
        <w:rPr>
          <w:rFonts w:ascii="Book Antiqua" w:hAnsi="Book Antiqua"/>
          <w:lang w:val="en-GB"/>
        </w:rPr>
        <w:t xml:space="preserve">. </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There are also rules for work subject to special regimes, which may have a lower or higher level </w:t>
      </w:r>
      <w:r w:rsidR="00685DE4" w:rsidRPr="00F200E7">
        <w:rPr>
          <w:rFonts w:ascii="Book Antiqua" w:hAnsi="Book Antiqua"/>
          <w:lang w:val="en-GB"/>
        </w:rPr>
        <w:t xml:space="preserve">of </w:t>
      </w:r>
      <w:r w:rsidRPr="00F200E7">
        <w:rPr>
          <w:rFonts w:ascii="Book Antiqua" w:hAnsi="Book Antiqua"/>
          <w:lang w:val="en-GB"/>
        </w:rPr>
        <w:t xml:space="preserve">protection. One of these </w:t>
      </w:r>
      <w:r w:rsidR="00F71782">
        <w:rPr>
          <w:rFonts w:ascii="Book Antiqua" w:hAnsi="Book Antiqua"/>
          <w:lang w:val="en-GB"/>
        </w:rPr>
        <w:t>concerns</w:t>
      </w:r>
      <w:r w:rsidRPr="00F200E7">
        <w:rPr>
          <w:rFonts w:ascii="Book Antiqua" w:hAnsi="Book Antiqua"/>
          <w:lang w:val="en-GB"/>
        </w:rPr>
        <w:t xml:space="preserve"> agricultural workers and farmers. Article 139 states that the work done with the consent of the employer by women or children, as helpers or complementing the work performed by the head of </w:t>
      </w:r>
      <w:r w:rsidR="00F71782">
        <w:rPr>
          <w:rFonts w:ascii="Book Antiqua" w:hAnsi="Book Antiqua"/>
          <w:lang w:val="en-GB"/>
        </w:rPr>
        <w:t xml:space="preserve">a </w:t>
      </w:r>
      <w:r w:rsidRPr="00F200E7">
        <w:rPr>
          <w:rFonts w:ascii="Book Antiqua" w:hAnsi="Book Antiqua"/>
          <w:lang w:val="en-GB"/>
        </w:rPr>
        <w:t xml:space="preserve">household, gives them the character of workers and </w:t>
      </w:r>
      <w:r w:rsidR="00C87401" w:rsidRPr="00F200E7">
        <w:rPr>
          <w:rFonts w:ascii="Book Antiqua" w:hAnsi="Book Antiqua"/>
          <w:lang w:val="en-GB"/>
        </w:rPr>
        <w:t xml:space="preserve">entitles them to be </w:t>
      </w:r>
      <w:r w:rsidRPr="00F200E7">
        <w:rPr>
          <w:rFonts w:ascii="Book Antiqua" w:hAnsi="Book Antiqua"/>
          <w:lang w:val="en-GB"/>
        </w:rPr>
        <w:t>consider</w:t>
      </w:r>
      <w:r w:rsidR="00C87401" w:rsidRPr="00F200E7">
        <w:rPr>
          <w:rFonts w:ascii="Book Antiqua" w:hAnsi="Book Antiqua"/>
          <w:lang w:val="en-GB"/>
        </w:rPr>
        <w:t>ed</w:t>
      </w:r>
      <w:r w:rsidRPr="00F200E7">
        <w:rPr>
          <w:rFonts w:ascii="Book Antiqua" w:hAnsi="Book Antiqua"/>
          <w:lang w:val="en-GB"/>
        </w:rPr>
        <w:t xml:space="preserve"> bound to the employer by an employment contract</w:t>
      </w:r>
      <w:r w:rsidR="00C87401" w:rsidRPr="00F200E7">
        <w:rPr>
          <w:rFonts w:ascii="Book Antiqua" w:hAnsi="Book Antiqua"/>
          <w:lang w:val="en-GB"/>
        </w:rPr>
        <w:t>.</w:t>
      </w:r>
      <w:r w:rsidR="00FB5615">
        <w:rPr>
          <w:rFonts w:ascii="Book Antiqua" w:hAnsi="Book Antiqua"/>
          <w:lang w:val="en-GB"/>
        </w:rPr>
        <w:t xml:space="preserve"> </w:t>
      </w:r>
      <w:r w:rsidR="00C87401" w:rsidRPr="00F200E7">
        <w:rPr>
          <w:rFonts w:ascii="Book Antiqua" w:hAnsi="Book Antiqua"/>
          <w:lang w:val="en-GB"/>
        </w:rPr>
        <w:t xml:space="preserve">This provision </w:t>
      </w:r>
      <w:r w:rsidRPr="00F200E7">
        <w:rPr>
          <w:rFonts w:ascii="Book Antiqua" w:hAnsi="Book Antiqua"/>
          <w:lang w:val="en-GB"/>
        </w:rPr>
        <w:t xml:space="preserve">aims to </w:t>
      </w:r>
      <w:r w:rsidR="00C87401" w:rsidRPr="00F200E7">
        <w:rPr>
          <w:rFonts w:ascii="Book Antiqua" w:hAnsi="Book Antiqua"/>
          <w:lang w:val="en-GB"/>
        </w:rPr>
        <w:t xml:space="preserve">support </w:t>
      </w:r>
      <w:r w:rsidRPr="00F200E7">
        <w:rPr>
          <w:rFonts w:ascii="Book Antiqua" w:hAnsi="Book Antiqua"/>
          <w:lang w:val="en-GB"/>
        </w:rPr>
        <w:t>workers who move</w:t>
      </w:r>
      <w:r w:rsidR="00C87401" w:rsidRPr="00F200E7">
        <w:rPr>
          <w:rFonts w:ascii="Book Antiqua" w:hAnsi="Book Antiqua"/>
          <w:lang w:val="en-GB"/>
        </w:rPr>
        <w:t>,</w:t>
      </w:r>
      <w:r w:rsidRPr="00F200E7">
        <w:rPr>
          <w:rFonts w:ascii="Book Antiqua" w:hAnsi="Book Antiqua"/>
          <w:lang w:val="en-GB"/>
        </w:rPr>
        <w:t xml:space="preserve"> accompanied by their families</w:t>
      </w:r>
      <w:r w:rsidR="00C87401" w:rsidRPr="00F200E7">
        <w:rPr>
          <w:rFonts w:ascii="Book Antiqua" w:hAnsi="Book Antiqua"/>
          <w:lang w:val="en-GB"/>
        </w:rPr>
        <w:t>,</w:t>
      </w:r>
      <w:r w:rsidRPr="00F200E7">
        <w:rPr>
          <w:rFonts w:ascii="Book Antiqua" w:hAnsi="Book Antiqua"/>
          <w:lang w:val="en-GB"/>
        </w:rPr>
        <w:t xml:space="preserve"> for the harvest of certain crops, especially coffee.</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There are also rules to regulate the activity of representatives of employers or intermediaries to recruit workers. </w:t>
      </w:r>
      <w:r w:rsidR="0031620F" w:rsidRPr="00F200E7">
        <w:rPr>
          <w:rFonts w:ascii="Book Antiqua" w:hAnsi="Book Antiqua"/>
          <w:lang w:val="en-GB"/>
        </w:rPr>
        <w:t xml:space="preserve">Also, </w:t>
      </w:r>
      <w:r w:rsidRPr="00F200E7">
        <w:rPr>
          <w:rFonts w:ascii="Book Antiqua" w:hAnsi="Book Antiqua"/>
          <w:lang w:val="en-GB"/>
        </w:rPr>
        <w:t xml:space="preserve">Article 145 states that agricultural workers are entitled to </w:t>
      </w:r>
      <w:r w:rsidR="0062037A" w:rsidRPr="00F200E7">
        <w:rPr>
          <w:rFonts w:ascii="Book Antiqua" w:hAnsi="Book Antiqua"/>
          <w:lang w:val="en-GB"/>
        </w:rPr>
        <w:t xml:space="preserve">living accommodations </w:t>
      </w:r>
      <w:r w:rsidR="00C87401" w:rsidRPr="00F200E7">
        <w:rPr>
          <w:rFonts w:ascii="Book Antiqua" w:hAnsi="Book Antiqua"/>
          <w:lang w:val="en-GB"/>
        </w:rPr>
        <w:t xml:space="preserve">that meet </w:t>
      </w:r>
      <w:r w:rsidRPr="00F200E7">
        <w:rPr>
          <w:rFonts w:ascii="Book Antiqua" w:hAnsi="Book Antiqua"/>
          <w:lang w:val="en-GB"/>
        </w:rPr>
        <w:t xml:space="preserve">the conditions </w:t>
      </w:r>
      <w:r w:rsidR="00C87401" w:rsidRPr="00F200E7">
        <w:rPr>
          <w:rFonts w:ascii="Book Antiqua" w:hAnsi="Book Antiqua"/>
          <w:lang w:val="en-GB"/>
        </w:rPr>
        <w:t>for hygiene and sanitation l</w:t>
      </w:r>
      <w:r w:rsidRPr="00F200E7">
        <w:rPr>
          <w:rFonts w:ascii="Book Antiqua" w:hAnsi="Book Antiqua"/>
          <w:lang w:val="en-GB"/>
        </w:rPr>
        <w:t>aid down in the regulations.</w:t>
      </w:r>
    </w:p>
    <w:p w:rsidR="00ED1005" w:rsidRPr="00F200E7" w:rsidRDefault="00070053" w:rsidP="0032057B">
      <w:pPr>
        <w:pStyle w:val="Heading2"/>
      </w:pPr>
      <w:bookmarkStart w:id="189" w:name="_Toc333411875"/>
      <w:bookmarkStart w:id="190" w:name="_Toc336607525"/>
      <w:bookmarkStart w:id="191" w:name="_Toc333837999"/>
      <w:r w:rsidRPr="00F200E7">
        <w:t>6.</w:t>
      </w:r>
      <w:r w:rsidR="00116FF7">
        <w:t>6</w:t>
      </w:r>
      <w:r w:rsidR="00ED1005" w:rsidRPr="00F200E7">
        <w:t>.4</w:t>
      </w:r>
      <w:r w:rsidRPr="00F200E7">
        <w:tab/>
      </w:r>
      <w:bookmarkEnd w:id="189"/>
      <w:r w:rsidR="00ED1005" w:rsidRPr="00F200E7">
        <w:t>Compliance with labour legislation</w:t>
      </w:r>
      <w:bookmarkEnd w:id="190"/>
      <w:bookmarkEnd w:id="191"/>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 biggest problem </w:t>
      </w:r>
      <w:r w:rsidR="00763BBD" w:rsidRPr="00F200E7">
        <w:rPr>
          <w:rFonts w:ascii="Book Antiqua" w:hAnsi="Book Antiqua"/>
          <w:lang w:val="en-GB"/>
        </w:rPr>
        <w:t xml:space="preserve">with </w:t>
      </w:r>
      <w:r w:rsidRPr="00F200E7">
        <w:rPr>
          <w:rFonts w:ascii="Book Antiqua" w:hAnsi="Book Antiqua"/>
          <w:lang w:val="en-GB"/>
        </w:rPr>
        <w:t xml:space="preserve">labour legislation is non-compliance. </w:t>
      </w:r>
      <w:r w:rsidR="00763BBD" w:rsidRPr="00F200E7">
        <w:rPr>
          <w:rFonts w:ascii="Book Antiqua" w:hAnsi="Book Antiqua"/>
          <w:lang w:val="en-GB"/>
        </w:rPr>
        <w:t>Non-compliance is probably more common with labour law than with most other legislation.</w:t>
      </w:r>
      <w:r w:rsidRPr="00F200E7">
        <w:rPr>
          <w:rFonts w:ascii="Book Antiqua" w:hAnsi="Book Antiqua"/>
          <w:lang w:val="en-GB"/>
        </w:rPr>
        <w:t xml:space="preserve"> “By acting as a </w:t>
      </w:r>
      <w:r w:rsidR="0062037A" w:rsidRPr="00F200E7">
        <w:rPr>
          <w:rFonts w:ascii="Book Antiqua" w:hAnsi="Book Antiqua"/>
          <w:lang w:val="en-GB"/>
        </w:rPr>
        <w:t xml:space="preserve">correction to </w:t>
      </w:r>
      <w:r w:rsidRPr="00F200E7">
        <w:rPr>
          <w:rFonts w:ascii="Book Antiqua" w:hAnsi="Book Antiqua"/>
          <w:lang w:val="en-GB"/>
        </w:rPr>
        <w:t xml:space="preserve">reality, employment law is more exposed than others to noncompliance and needs assurance mechanisms to ensure its effectiveness, such as </w:t>
      </w:r>
      <w:r w:rsidR="00BC151C" w:rsidRPr="00F200E7">
        <w:rPr>
          <w:rFonts w:ascii="Book Antiqua" w:hAnsi="Book Antiqua"/>
          <w:lang w:val="en-GB"/>
        </w:rPr>
        <w:t>labour</w:t>
      </w:r>
      <w:r w:rsidRPr="00F200E7">
        <w:rPr>
          <w:rFonts w:ascii="Book Antiqua" w:hAnsi="Book Antiqua"/>
          <w:lang w:val="en-GB"/>
        </w:rPr>
        <w:t xml:space="preserve"> inspection, justice and specialized process, collective </w:t>
      </w:r>
      <w:r w:rsidR="00BC151C" w:rsidRPr="00F200E7">
        <w:rPr>
          <w:rFonts w:ascii="Book Antiqua" w:hAnsi="Book Antiqua"/>
          <w:lang w:val="en-GB"/>
        </w:rPr>
        <w:t>self-protection</w:t>
      </w:r>
      <w:r w:rsidRPr="00F200E7">
        <w:rPr>
          <w:rFonts w:ascii="Book Antiqua" w:hAnsi="Book Antiqua"/>
          <w:lang w:val="en-GB"/>
        </w:rPr>
        <w:t xml:space="preserve"> and </w:t>
      </w:r>
      <w:r w:rsidR="002E418C">
        <w:rPr>
          <w:rFonts w:ascii="Book Antiqua" w:hAnsi="Book Antiqua"/>
          <w:lang w:val="en-GB"/>
        </w:rPr>
        <w:t>possibly an application of criminal law</w:t>
      </w:r>
      <w:r w:rsidR="00FB5615">
        <w:rPr>
          <w:rFonts w:ascii="Book Antiqua" w:hAnsi="Book Antiqua"/>
          <w:lang w:val="en-GB"/>
        </w:rPr>
        <w:t xml:space="preserve"> </w:t>
      </w:r>
      <w:r w:rsidR="002E418C">
        <w:rPr>
          <w:rFonts w:ascii="Book Antiqua" w:hAnsi="Book Antiqua"/>
          <w:lang w:val="en-GB"/>
        </w:rPr>
        <w:t>to situations of noncompliance</w:t>
      </w:r>
      <w:r w:rsidRPr="00F200E7">
        <w:rPr>
          <w:rFonts w:ascii="Book Antiqua" w:hAnsi="Book Antiqua"/>
          <w:lang w:val="en-GB"/>
        </w:rPr>
        <w:t>” (</w:t>
      </w:r>
      <w:proofErr w:type="spellStart"/>
      <w:r w:rsidRPr="00F200E7">
        <w:rPr>
          <w:rFonts w:ascii="Book Antiqua" w:hAnsi="Book Antiqua"/>
          <w:lang w:val="en-GB"/>
        </w:rPr>
        <w:t>Ermida</w:t>
      </w:r>
      <w:proofErr w:type="spellEnd"/>
      <w:r w:rsidRPr="00F200E7">
        <w:rPr>
          <w:rFonts w:ascii="Book Antiqua" w:hAnsi="Book Antiqua"/>
          <w:lang w:val="en-GB"/>
        </w:rPr>
        <w:t>, 2011).</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 poor performance of these mechanisms in Guatemala </w:t>
      </w:r>
      <w:r w:rsidR="00D81D62" w:rsidRPr="00F200E7">
        <w:rPr>
          <w:rFonts w:ascii="Book Antiqua" w:hAnsi="Book Antiqua"/>
          <w:lang w:val="en-GB"/>
        </w:rPr>
        <w:t>today</w:t>
      </w:r>
      <w:r w:rsidR="00FB5615">
        <w:rPr>
          <w:rFonts w:ascii="Book Antiqua" w:hAnsi="Book Antiqua"/>
          <w:lang w:val="en-GB"/>
        </w:rPr>
        <w:t xml:space="preserve"> </w:t>
      </w:r>
      <w:r w:rsidR="00AB50F9" w:rsidRPr="00F200E7">
        <w:rPr>
          <w:rFonts w:ascii="Book Antiqua" w:hAnsi="Book Antiqua"/>
          <w:lang w:val="en-GB"/>
        </w:rPr>
        <w:t xml:space="preserve">allows </w:t>
      </w:r>
      <w:r w:rsidRPr="00F200E7">
        <w:rPr>
          <w:rFonts w:ascii="Book Antiqua" w:hAnsi="Book Antiqua"/>
          <w:lang w:val="en-GB"/>
        </w:rPr>
        <w:t>a high level of impunity</w:t>
      </w:r>
      <w:r w:rsidR="00AB50F9" w:rsidRPr="00F200E7">
        <w:rPr>
          <w:rFonts w:ascii="Book Antiqua" w:hAnsi="Book Antiqua"/>
          <w:lang w:val="en-GB"/>
        </w:rPr>
        <w:t xml:space="preserve"> for employers</w:t>
      </w:r>
      <w:r w:rsidRPr="00F200E7">
        <w:rPr>
          <w:rFonts w:ascii="Book Antiqua" w:hAnsi="Book Antiqua"/>
          <w:lang w:val="en-GB"/>
        </w:rPr>
        <w:t xml:space="preserve"> in areas such as payment of minimum wages, social security coverage, health conditions and hygiene at work, the limit </w:t>
      </w:r>
      <w:r w:rsidR="0062037A" w:rsidRPr="00F200E7">
        <w:rPr>
          <w:rFonts w:ascii="Book Antiqua" w:hAnsi="Book Antiqua"/>
          <w:lang w:val="en-GB"/>
        </w:rPr>
        <w:t>on hours of work</w:t>
      </w:r>
      <w:r w:rsidR="0020171D">
        <w:rPr>
          <w:rFonts w:ascii="Book Antiqua" w:hAnsi="Book Antiqua"/>
          <w:lang w:val="en-GB"/>
        </w:rPr>
        <w:t>,</w:t>
      </w:r>
      <w:r w:rsidRPr="00F200E7">
        <w:rPr>
          <w:rFonts w:ascii="Book Antiqua" w:hAnsi="Book Antiqua"/>
          <w:lang w:val="en-GB"/>
        </w:rPr>
        <w:t xml:space="preserve"> and, crucially, the right to freedom of association and collective negotiation.</w:t>
      </w:r>
    </w:p>
    <w:p w:rsidR="00D81D62" w:rsidRPr="00F200E7" w:rsidRDefault="00D81D62"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According to </w:t>
      </w:r>
      <w:r w:rsidR="0020171D">
        <w:rPr>
          <w:rFonts w:ascii="Book Antiqua" w:hAnsi="Book Antiqua"/>
          <w:lang w:val="en-GB"/>
        </w:rPr>
        <w:t xml:space="preserve">2010 </w:t>
      </w:r>
      <w:r w:rsidR="00BC151C" w:rsidRPr="00F200E7">
        <w:rPr>
          <w:rFonts w:ascii="Book Antiqua" w:hAnsi="Book Antiqua"/>
          <w:lang w:val="en-GB"/>
        </w:rPr>
        <w:t>data</w:t>
      </w:r>
      <w:r w:rsidRPr="00F200E7">
        <w:rPr>
          <w:rFonts w:ascii="Book Antiqua" w:hAnsi="Book Antiqua"/>
          <w:lang w:val="en-GB"/>
        </w:rPr>
        <w:t xml:space="preserve"> from ENEI, 74 per cent of rural employees and 96 per cent of </w:t>
      </w:r>
      <w:r w:rsidR="00BC151C" w:rsidRPr="00F200E7">
        <w:rPr>
          <w:rFonts w:ascii="Book Antiqua" w:hAnsi="Book Antiqua"/>
          <w:lang w:val="en-GB"/>
        </w:rPr>
        <w:t>labourers</w:t>
      </w:r>
      <w:r w:rsidRPr="00F200E7">
        <w:rPr>
          <w:rFonts w:ascii="Book Antiqua" w:hAnsi="Book Antiqua"/>
          <w:lang w:val="en-GB"/>
        </w:rPr>
        <w:t xml:space="preserve"> had a yearly income below the minimum wage for agriculture (GTQ 1930</w:t>
      </w:r>
      <w:r w:rsidR="00AB50F9" w:rsidRPr="00F200E7">
        <w:rPr>
          <w:rFonts w:ascii="Book Antiqua" w:hAnsi="Book Antiqua"/>
          <w:lang w:val="en-GB"/>
        </w:rPr>
        <w:t>,</w:t>
      </w:r>
      <w:r w:rsidRPr="00F200E7">
        <w:rPr>
          <w:rFonts w:ascii="Book Antiqua" w:hAnsi="Book Antiqua"/>
          <w:lang w:val="en-GB"/>
        </w:rPr>
        <w:t xml:space="preserve"> or </w:t>
      </w:r>
      <w:r w:rsidR="006A4A53">
        <w:rPr>
          <w:rFonts w:ascii="Book Antiqua" w:hAnsi="Book Antiqua"/>
          <w:lang w:val="en-GB"/>
        </w:rPr>
        <w:t>US$</w:t>
      </w:r>
      <w:r w:rsidRPr="00F200E7">
        <w:rPr>
          <w:rFonts w:ascii="Book Antiqua" w:hAnsi="Book Antiqua"/>
          <w:lang w:val="en-GB"/>
        </w:rPr>
        <w:t xml:space="preserve"> 240). Only one of every six employees had a written </w:t>
      </w:r>
      <w:r w:rsidR="00BC151C" w:rsidRPr="00F200E7">
        <w:rPr>
          <w:rFonts w:ascii="Book Antiqua" w:hAnsi="Book Antiqua"/>
          <w:lang w:val="en-GB"/>
        </w:rPr>
        <w:t>contract</w:t>
      </w:r>
      <w:r w:rsidR="00AB50F9" w:rsidRPr="00F200E7">
        <w:rPr>
          <w:rFonts w:ascii="Book Antiqua" w:hAnsi="Book Antiqua"/>
          <w:lang w:val="en-GB"/>
        </w:rPr>
        <w:t>,</w:t>
      </w:r>
      <w:r w:rsidRPr="00F200E7">
        <w:rPr>
          <w:rFonts w:ascii="Book Antiqua" w:hAnsi="Book Antiqua"/>
          <w:lang w:val="en-GB"/>
        </w:rPr>
        <w:t xml:space="preserve"> and 88.3</w:t>
      </w:r>
      <w:r w:rsidR="00D81D62" w:rsidRPr="00F200E7">
        <w:rPr>
          <w:rFonts w:ascii="Book Antiqua" w:hAnsi="Book Antiqua"/>
          <w:lang w:val="en-GB"/>
        </w:rPr>
        <w:t xml:space="preserve"> per cent</w:t>
      </w:r>
      <w:r w:rsidRPr="00F200E7">
        <w:rPr>
          <w:rFonts w:ascii="Book Antiqua" w:hAnsi="Book Antiqua"/>
          <w:lang w:val="en-GB"/>
        </w:rPr>
        <w:t xml:space="preserve"> of the </w:t>
      </w:r>
      <w:r w:rsidR="008A7D9F" w:rsidRPr="00F200E7">
        <w:rPr>
          <w:rFonts w:ascii="Book Antiqua" w:hAnsi="Book Antiqua"/>
          <w:lang w:val="en-GB"/>
        </w:rPr>
        <w:t xml:space="preserve">economically active population </w:t>
      </w:r>
      <w:r w:rsidRPr="00F200E7">
        <w:rPr>
          <w:rFonts w:ascii="Book Antiqua" w:hAnsi="Book Antiqua"/>
          <w:lang w:val="en-GB"/>
        </w:rPr>
        <w:t xml:space="preserve">was </w:t>
      </w:r>
      <w:r w:rsidR="002E418C">
        <w:rPr>
          <w:rFonts w:ascii="Book Antiqua" w:hAnsi="Book Antiqua"/>
          <w:lang w:val="en-GB"/>
        </w:rPr>
        <w:t xml:space="preserve">not </w:t>
      </w:r>
      <w:r w:rsidRPr="00F200E7">
        <w:rPr>
          <w:rFonts w:ascii="Book Antiqua" w:hAnsi="Book Antiqua"/>
          <w:lang w:val="en-GB"/>
        </w:rPr>
        <w:t>covered by social insurance (Linares, 2012).</w:t>
      </w:r>
    </w:p>
    <w:p w:rsidR="00ED1005" w:rsidRPr="00F200E7" w:rsidRDefault="00ED1005" w:rsidP="00ED1005">
      <w:pPr>
        <w:pStyle w:val="NoSpacing"/>
        <w:jc w:val="both"/>
        <w:rPr>
          <w:rFonts w:ascii="Book Antiqua" w:hAnsi="Book Antiqua"/>
          <w:lang w:val="en-GB"/>
        </w:rPr>
      </w:pPr>
    </w:p>
    <w:p w:rsidR="00ED1005" w:rsidRPr="00F200E7" w:rsidRDefault="00BC151C" w:rsidP="00ED1005">
      <w:pPr>
        <w:pStyle w:val="NoSpacing"/>
        <w:jc w:val="both"/>
        <w:rPr>
          <w:rFonts w:ascii="Book Antiqua" w:hAnsi="Book Antiqua"/>
          <w:lang w:val="en-GB"/>
        </w:rPr>
      </w:pPr>
      <w:r w:rsidRPr="00F200E7">
        <w:rPr>
          <w:rFonts w:ascii="Book Antiqua" w:hAnsi="Book Antiqua"/>
          <w:lang w:val="en-GB"/>
        </w:rPr>
        <w:t>The non-compliance problem is recognized in the White Book: “Some of the major concerns that have been expressed about the region refer to the degree of compliance with laws relating to formation of trade unions, freedom of association and labour relations”</w:t>
      </w:r>
      <w:r w:rsidR="002265AC" w:rsidRPr="00F200E7">
        <w:rPr>
          <w:rFonts w:ascii="Book Antiqua" w:hAnsi="Book Antiqua"/>
          <w:lang w:val="en-GB"/>
        </w:rPr>
        <w:t>.</w:t>
      </w:r>
      <w:r w:rsidR="00FB5615">
        <w:rPr>
          <w:rFonts w:ascii="Book Antiqua" w:hAnsi="Book Antiqua"/>
          <w:lang w:val="en-GB"/>
        </w:rPr>
        <w:t xml:space="preserve"> </w:t>
      </w:r>
      <w:r w:rsidR="002265AC" w:rsidRPr="00F200E7">
        <w:rPr>
          <w:rFonts w:ascii="Book Antiqua" w:hAnsi="Book Antiqua"/>
          <w:lang w:val="en-GB"/>
        </w:rPr>
        <w:t xml:space="preserve">The book </w:t>
      </w:r>
      <w:r w:rsidRPr="00F200E7">
        <w:rPr>
          <w:rFonts w:ascii="Book Antiqua" w:hAnsi="Book Antiqua"/>
          <w:lang w:val="en-GB"/>
        </w:rPr>
        <w:t>add</w:t>
      </w:r>
      <w:r w:rsidR="002265AC" w:rsidRPr="00F200E7">
        <w:rPr>
          <w:rFonts w:ascii="Book Antiqua" w:hAnsi="Book Antiqua"/>
          <w:lang w:val="en-GB"/>
        </w:rPr>
        <w:t>s</w:t>
      </w:r>
      <w:r w:rsidRPr="00F200E7">
        <w:rPr>
          <w:rFonts w:ascii="Book Antiqua" w:hAnsi="Book Antiqua"/>
          <w:lang w:val="en-GB"/>
        </w:rPr>
        <w:t xml:space="preserve"> that </w:t>
      </w:r>
      <w:r w:rsidR="0020171D">
        <w:rPr>
          <w:rFonts w:ascii="Book Antiqua" w:hAnsi="Book Antiqua"/>
          <w:lang w:val="en-GB"/>
        </w:rPr>
        <w:t>“</w:t>
      </w:r>
      <w:r w:rsidRPr="00F200E7">
        <w:rPr>
          <w:rFonts w:ascii="Book Antiqua" w:hAnsi="Book Antiqua"/>
          <w:lang w:val="en-GB"/>
        </w:rPr>
        <w:t>closely linked with those concerns are aspects related to inspection and compliance” (</w:t>
      </w:r>
      <w:proofErr w:type="spellStart"/>
      <w:r w:rsidRPr="00F200E7">
        <w:rPr>
          <w:rFonts w:ascii="Book Antiqua" w:hAnsi="Book Antiqua"/>
          <w:lang w:val="en-GB"/>
        </w:rPr>
        <w:t>Grupo</w:t>
      </w:r>
      <w:proofErr w:type="spellEnd"/>
      <w:r w:rsidRPr="00F200E7">
        <w:rPr>
          <w:rFonts w:ascii="Book Antiqua" w:hAnsi="Book Antiqua"/>
          <w:lang w:val="en-GB"/>
        </w:rPr>
        <w:t xml:space="preserve"> de </w:t>
      </w:r>
      <w:proofErr w:type="spellStart"/>
      <w:r w:rsidRPr="00F200E7">
        <w:rPr>
          <w:rFonts w:ascii="Book Antiqua" w:hAnsi="Book Antiqua"/>
          <w:lang w:val="en-GB"/>
        </w:rPr>
        <w:t>Trabajo</w:t>
      </w:r>
      <w:proofErr w:type="spellEnd"/>
      <w:r w:rsidRPr="00F200E7">
        <w:rPr>
          <w:rFonts w:ascii="Book Antiqua" w:hAnsi="Book Antiqua"/>
          <w:lang w:val="en-GB"/>
        </w:rPr>
        <w:t>, 2005).</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After repeated complaints of non-compliance with the rights recogni</w:t>
      </w:r>
      <w:r w:rsidR="002265AC" w:rsidRPr="00F200E7">
        <w:rPr>
          <w:rFonts w:ascii="Book Antiqua" w:hAnsi="Book Antiqua"/>
          <w:lang w:val="en-GB"/>
        </w:rPr>
        <w:t>z</w:t>
      </w:r>
      <w:r w:rsidRPr="00F200E7">
        <w:rPr>
          <w:rFonts w:ascii="Book Antiqua" w:hAnsi="Book Antiqua"/>
          <w:lang w:val="en-GB"/>
        </w:rPr>
        <w:t>ed in the Labour Chapter of DR</w:t>
      </w:r>
      <w:r w:rsidR="00070053" w:rsidRPr="00F200E7">
        <w:rPr>
          <w:rFonts w:ascii="Book Antiqua" w:hAnsi="Book Antiqua"/>
          <w:lang w:val="en-GB"/>
        </w:rPr>
        <w:t>–</w:t>
      </w:r>
      <w:r w:rsidRPr="00F200E7">
        <w:rPr>
          <w:rFonts w:ascii="Book Antiqua" w:hAnsi="Book Antiqua"/>
          <w:lang w:val="en-GB"/>
        </w:rPr>
        <w:t xml:space="preserve">CAFTA, the </w:t>
      </w:r>
      <w:r w:rsidR="002265AC" w:rsidRPr="00F200E7">
        <w:rPr>
          <w:rFonts w:ascii="Book Antiqua" w:hAnsi="Book Antiqua"/>
          <w:lang w:val="en-GB"/>
        </w:rPr>
        <w:t xml:space="preserve">Office of the </w:t>
      </w:r>
      <w:r w:rsidRPr="00F200E7">
        <w:rPr>
          <w:rFonts w:ascii="Book Antiqua" w:hAnsi="Book Antiqua"/>
          <w:lang w:val="en-GB"/>
        </w:rPr>
        <w:t>U</w:t>
      </w:r>
      <w:r w:rsidR="002265AC" w:rsidRPr="00F200E7">
        <w:rPr>
          <w:rFonts w:ascii="Book Antiqua" w:hAnsi="Book Antiqua"/>
          <w:lang w:val="en-GB"/>
        </w:rPr>
        <w:t xml:space="preserve">nited </w:t>
      </w:r>
      <w:r w:rsidRPr="00F200E7">
        <w:rPr>
          <w:rFonts w:ascii="Book Antiqua" w:hAnsi="Book Antiqua"/>
          <w:lang w:val="en-GB"/>
        </w:rPr>
        <w:t>S</w:t>
      </w:r>
      <w:r w:rsidR="002265AC" w:rsidRPr="00F200E7">
        <w:rPr>
          <w:rFonts w:ascii="Book Antiqua" w:hAnsi="Book Antiqua"/>
          <w:lang w:val="en-GB"/>
        </w:rPr>
        <w:t xml:space="preserve">tates </w:t>
      </w:r>
      <w:r w:rsidRPr="00F200E7">
        <w:rPr>
          <w:rFonts w:ascii="Book Antiqua" w:hAnsi="Book Antiqua"/>
          <w:lang w:val="en-GB"/>
        </w:rPr>
        <w:t>T</w:t>
      </w:r>
      <w:r w:rsidR="002265AC" w:rsidRPr="00F200E7">
        <w:rPr>
          <w:rFonts w:ascii="Book Antiqua" w:hAnsi="Book Antiqua"/>
          <w:lang w:val="en-GB"/>
        </w:rPr>
        <w:t xml:space="preserve">rade </w:t>
      </w:r>
      <w:r w:rsidRPr="00F200E7">
        <w:rPr>
          <w:rFonts w:ascii="Book Antiqua" w:hAnsi="Book Antiqua"/>
          <w:lang w:val="en-GB"/>
        </w:rPr>
        <w:t>R</w:t>
      </w:r>
      <w:r w:rsidR="002265AC" w:rsidRPr="00F200E7">
        <w:rPr>
          <w:rFonts w:ascii="Book Antiqua" w:hAnsi="Book Antiqua"/>
          <w:lang w:val="en-GB"/>
        </w:rPr>
        <w:t>epresentative</w:t>
      </w:r>
      <w:r w:rsidRPr="00F200E7">
        <w:rPr>
          <w:rFonts w:ascii="Book Antiqua" w:hAnsi="Book Antiqua"/>
          <w:lang w:val="en-GB"/>
        </w:rPr>
        <w:t xml:space="preserve"> requested in August 2011 the </w:t>
      </w:r>
      <w:r w:rsidR="00BC151C" w:rsidRPr="00F200E7">
        <w:rPr>
          <w:rFonts w:ascii="Book Antiqua" w:hAnsi="Book Antiqua"/>
          <w:lang w:val="en-GB"/>
        </w:rPr>
        <w:t>establishment</w:t>
      </w:r>
      <w:r w:rsidRPr="00F200E7">
        <w:rPr>
          <w:rFonts w:ascii="Book Antiqua" w:hAnsi="Book Antiqua"/>
          <w:lang w:val="en-GB"/>
        </w:rPr>
        <w:t xml:space="preserve"> of an arbitration panel, in accordance with the requirements set out in the Dispute Settlement </w:t>
      </w:r>
      <w:r w:rsidR="00AA0A06">
        <w:rPr>
          <w:rFonts w:ascii="Book Antiqua" w:hAnsi="Book Antiqua"/>
          <w:lang w:val="en-GB"/>
        </w:rPr>
        <w:t>c</w:t>
      </w:r>
      <w:r w:rsidRPr="00F200E7">
        <w:rPr>
          <w:rFonts w:ascii="Book Antiqua" w:hAnsi="Book Antiqua"/>
          <w:lang w:val="en-GB"/>
        </w:rPr>
        <w:t>hapter (Alvarez, 2011).</w:t>
      </w:r>
    </w:p>
    <w:p w:rsidR="00ED1005" w:rsidRPr="00F200E7" w:rsidRDefault="00070053" w:rsidP="0032057B">
      <w:pPr>
        <w:pStyle w:val="Heading2"/>
      </w:pPr>
      <w:bookmarkStart w:id="192" w:name="_Toc336607526"/>
      <w:r w:rsidRPr="00F200E7">
        <w:t>6.</w:t>
      </w:r>
      <w:bookmarkStart w:id="193" w:name="_Toc333411876"/>
      <w:bookmarkStart w:id="194" w:name="_Toc333838000"/>
      <w:r w:rsidR="00116FF7">
        <w:t>6</w:t>
      </w:r>
      <w:r w:rsidR="00ED1005" w:rsidRPr="00F200E7">
        <w:t>.5</w:t>
      </w:r>
      <w:bookmarkEnd w:id="193"/>
      <w:r w:rsidRPr="00F200E7">
        <w:tab/>
      </w:r>
      <w:r w:rsidR="00ED1005" w:rsidRPr="00F200E7">
        <w:t>Trade unions in the agricultural sector</w:t>
      </w:r>
      <w:bookmarkEnd w:id="192"/>
      <w:bookmarkEnd w:id="194"/>
    </w:p>
    <w:p w:rsidR="00ED1005" w:rsidRPr="00F200E7" w:rsidRDefault="00527C02" w:rsidP="00ED1005">
      <w:pPr>
        <w:pStyle w:val="NoSpacing"/>
        <w:jc w:val="both"/>
        <w:rPr>
          <w:rFonts w:ascii="Book Antiqua" w:hAnsi="Book Antiqua"/>
          <w:lang w:val="en-GB"/>
        </w:rPr>
      </w:pPr>
      <w:r>
        <w:rPr>
          <w:rFonts w:ascii="Book Antiqua" w:hAnsi="Book Antiqua"/>
          <w:lang w:val="en-GB"/>
        </w:rPr>
        <w:t>As mentioned before, t</w:t>
      </w:r>
      <w:r w:rsidR="00ED1005" w:rsidRPr="00F200E7">
        <w:rPr>
          <w:rFonts w:ascii="Book Antiqua" w:hAnsi="Book Antiqua"/>
          <w:lang w:val="en-GB"/>
        </w:rPr>
        <w:t>he Constitution, the Labour Code</w:t>
      </w:r>
      <w:r w:rsidR="00CB4BAA" w:rsidRPr="00F200E7">
        <w:rPr>
          <w:rFonts w:ascii="Book Antiqua" w:hAnsi="Book Antiqua"/>
          <w:lang w:val="en-GB"/>
        </w:rPr>
        <w:t>,</w:t>
      </w:r>
      <w:r w:rsidR="00ED1005" w:rsidRPr="00F200E7">
        <w:rPr>
          <w:rFonts w:ascii="Book Antiqua" w:hAnsi="Book Antiqua"/>
          <w:lang w:val="en-GB"/>
        </w:rPr>
        <w:t xml:space="preserve"> and </w:t>
      </w:r>
      <w:r w:rsidR="00CB4BAA" w:rsidRPr="00F200E7">
        <w:rPr>
          <w:rFonts w:ascii="Book Antiqua" w:hAnsi="Book Antiqua"/>
          <w:lang w:val="en-GB"/>
        </w:rPr>
        <w:t>i</w:t>
      </w:r>
      <w:r w:rsidR="00ED1005" w:rsidRPr="00F200E7">
        <w:rPr>
          <w:rFonts w:ascii="Book Antiqua" w:hAnsi="Book Antiqua"/>
          <w:lang w:val="en-GB"/>
        </w:rPr>
        <w:t xml:space="preserve">nternational </w:t>
      </w:r>
      <w:r w:rsidR="00CB4BAA" w:rsidRPr="00F200E7">
        <w:rPr>
          <w:rFonts w:ascii="Book Antiqua" w:hAnsi="Book Antiqua"/>
          <w:lang w:val="en-GB"/>
        </w:rPr>
        <w:t>c</w:t>
      </w:r>
      <w:r w:rsidR="00ED1005" w:rsidRPr="00F200E7">
        <w:rPr>
          <w:rFonts w:ascii="Book Antiqua" w:hAnsi="Book Antiqua"/>
          <w:lang w:val="en-GB"/>
        </w:rPr>
        <w:t xml:space="preserve">onventions grant the right to form unions and </w:t>
      </w:r>
      <w:r w:rsidR="00CB4BAA" w:rsidRPr="00F200E7">
        <w:rPr>
          <w:rFonts w:ascii="Book Antiqua" w:hAnsi="Book Antiqua"/>
          <w:lang w:val="en-GB"/>
        </w:rPr>
        <w:t>negotiate collectively</w:t>
      </w:r>
      <w:r w:rsidR="00ED1005" w:rsidRPr="00F200E7">
        <w:rPr>
          <w:rFonts w:ascii="Book Antiqua" w:hAnsi="Book Antiqua"/>
          <w:lang w:val="en-GB"/>
        </w:rPr>
        <w:t xml:space="preserve">. Unions </w:t>
      </w:r>
      <w:r>
        <w:rPr>
          <w:rFonts w:ascii="Book Antiqua" w:hAnsi="Book Antiqua"/>
          <w:lang w:val="en-GB"/>
        </w:rPr>
        <w:t xml:space="preserve">may take the form of craft unions – made up of </w:t>
      </w:r>
      <w:r w:rsidR="00ED1005" w:rsidRPr="00F200E7">
        <w:rPr>
          <w:rFonts w:ascii="Book Antiqua" w:hAnsi="Book Antiqua"/>
          <w:lang w:val="en-GB"/>
        </w:rPr>
        <w:t>workers or employers in the same trade or profession</w:t>
      </w:r>
      <w:r>
        <w:rPr>
          <w:rFonts w:ascii="Book Antiqua" w:hAnsi="Book Antiqua"/>
          <w:lang w:val="en-GB"/>
        </w:rPr>
        <w:t xml:space="preserve"> – or of enterprise unions</w:t>
      </w:r>
      <w:r w:rsidR="00ED1005" w:rsidRPr="00F200E7">
        <w:rPr>
          <w:rFonts w:ascii="Book Antiqua" w:hAnsi="Book Antiqua"/>
          <w:lang w:val="en-GB"/>
        </w:rPr>
        <w: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According to ENEI 2010 data, only 0.79 per cent of the </w:t>
      </w:r>
      <w:r w:rsidR="006128D7" w:rsidRPr="00F200E7">
        <w:rPr>
          <w:rFonts w:ascii="Book Antiqua" w:hAnsi="Book Antiqua"/>
          <w:lang w:val="en-GB"/>
        </w:rPr>
        <w:t xml:space="preserve">economically active rural population </w:t>
      </w:r>
      <w:r w:rsidRPr="00F200E7">
        <w:rPr>
          <w:rFonts w:ascii="Book Antiqua" w:hAnsi="Book Antiqua"/>
          <w:lang w:val="en-GB"/>
        </w:rPr>
        <w:t xml:space="preserve">and </w:t>
      </w:r>
      <w:r w:rsidR="0049437A" w:rsidRPr="00F200E7">
        <w:rPr>
          <w:rFonts w:ascii="Book Antiqua" w:hAnsi="Book Antiqua"/>
          <w:lang w:val="en-GB"/>
        </w:rPr>
        <w:t xml:space="preserve">just </w:t>
      </w:r>
      <w:r w:rsidRPr="00F200E7">
        <w:rPr>
          <w:rFonts w:ascii="Book Antiqua" w:hAnsi="Book Antiqua"/>
          <w:lang w:val="en-GB"/>
        </w:rPr>
        <w:t xml:space="preserve">1.6 per cent of the entire </w:t>
      </w:r>
      <w:r w:rsidR="006128D7" w:rsidRPr="00F200E7">
        <w:rPr>
          <w:rFonts w:ascii="Book Antiqua" w:hAnsi="Book Antiqua"/>
          <w:lang w:val="en-GB"/>
        </w:rPr>
        <w:t>economically active population</w:t>
      </w:r>
      <w:r w:rsidRPr="00F200E7">
        <w:rPr>
          <w:rFonts w:ascii="Book Antiqua" w:hAnsi="Book Antiqua"/>
          <w:lang w:val="en-GB"/>
        </w:rPr>
        <w:t xml:space="preserve"> belong to unions. The presence of trade unions in the agricultural sector is limited to the banana plantations in the department of Izabal, some coffee plantations in the departments of San Marcos </w:t>
      </w:r>
      <w:r w:rsidR="006128D7" w:rsidRPr="00F200E7">
        <w:rPr>
          <w:rFonts w:ascii="Book Antiqua" w:hAnsi="Book Antiqua"/>
          <w:lang w:val="en-GB"/>
        </w:rPr>
        <w:t xml:space="preserve">and </w:t>
      </w:r>
      <w:r w:rsidRPr="00F200E7">
        <w:rPr>
          <w:rFonts w:ascii="Book Antiqua" w:hAnsi="Book Antiqua"/>
          <w:lang w:val="en-GB"/>
        </w:rPr>
        <w:t>Quetzaltenango</w:t>
      </w:r>
      <w:r w:rsidR="006128D7" w:rsidRPr="00F200E7">
        <w:rPr>
          <w:rFonts w:ascii="Book Antiqua" w:hAnsi="Book Antiqua"/>
          <w:lang w:val="en-GB"/>
        </w:rPr>
        <w:t>,</w:t>
      </w:r>
      <w:r w:rsidRPr="00F200E7">
        <w:rPr>
          <w:rFonts w:ascii="Book Antiqua" w:hAnsi="Book Antiqua"/>
          <w:lang w:val="en-GB"/>
        </w:rPr>
        <w:t xml:space="preserve"> and one sugar mill of the 12 that are active in the country. It can be assumed that the main reason</w:t>
      </w:r>
      <w:r w:rsidR="00FB5615">
        <w:rPr>
          <w:rFonts w:ascii="Book Antiqua" w:hAnsi="Book Antiqua"/>
          <w:lang w:val="en-GB"/>
        </w:rPr>
        <w:t xml:space="preserve"> </w:t>
      </w:r>
      <w:proofErr w:type="gramStart"/>
      <w:r w:rsidR="00527C02">
        <w:rPr>
          <w:rFonts w:ascii="Book Antiqua" w:hAnsi="Book Antiqua"/>
          <w:lang w:val="en-GB"/>
        </w:rPr>
        <w:t>a</w:t>
      </w:r>
      <w:r w:rsidRPr="00F200E7">
        <w:rPr>
          <w:rFonts w:ascii="Book Antiqua" w:hAnsi="Book Antiqua"/>
          <w:lang w:val="en-GB"/>
        </w:rPr>
        <w:t xml:space="preserve"> for</w:t>
      </w:r>
      <w:proofErr w:type="gramEnd"/>
      <w:r w:rsidRPr="00F200E7">
        <w:rPr>
          <w:rFonts w:ascii="Book Antiqua" w:hAnsi="Book Antiqua"/>
          <w:lang w:val="en-GB"/>
        </w:rPr>
        <w:t xml:space="preserve"> the low </w:t>
      </w:r>
      <w:r w:rsidR="006128D7" w:rsidRPr="00F200E7">
        <w:rPr>
          <w:rFonts w:ascii="Book Antiqua" w:hAnsi="Book Antiqua"/>
          <w:lang w:val="en-GB"/>
        </w:rPr>
        <w:t xml:space="preserve">level of </w:t>
      </w:r>
      <w:r w:rsidRPr="00F200E7">
        <w:rPr>
          <w:rFonts w:ascii="Book Antiqua" w:hAnsi="Book Antiqua"/>
          <w:lang w:val="en-GB"/>
        </w:rPr>
        <w:t xml:space="preserve">union membership </w:t>
      </w:r>
      <w:proofErr w:type="spellStart"/>
      <w:r w:rsidR="00527C02">
        <w:rPr>
          <w:rFonts w:ascii="Book Antiqua" w:hAnsi="Book Antiqua"/>
          <w:lang w:val="en-GB"/>
        </w:rPr>
        <w:t>are</w:t>
      </w:r>
      <w:r w:rsidRPr="00F200E7">
        <w:rPr>
          <w:rFonts w:ascii="Book Antiqua" w:hAnsi="Book Antiqua"/>
          <w:lang w:val="en-GB"/>
        </w:rPr>
        <w:t>anti</w:t>
      </w:r>
      <w:proofErr w:type="spellEnd"/>
      <w:r w:rsidRPr="00F200E7">
        <w:rPr>
          <w:rFonts w:ascii="Book Antiqua" w:hAnsi="Book Antiqua"/>
          <w:lang w:val="en-GB"/>
        </w:rPr>
        <w:t>-union practices, open or subtle, that many companies use and the lack of effectiveness of the rules and institutions to guarantee the exercise of this fundamental right.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It is sometimes argued that many workers choose not to participate in unions because the institution itself is discredited. However, in a public opinion survey conducted by ASIE</w:t>
      </w:r>
      <w:r w:rsidR="00D81D62" w:rsidRPr="00F200E7">
        <w:rPr>
          <w:rFonts w:ascii="Book Antiqua" w:hAnsi="Book Antiqua"/>
          <w:lang w:val="en-GB"/>
        </w:rPr>
        <w:t>S in the first half of 2012, 56 per cent</w:t>
      </w:r>
      <w:r w:rsidRPr="00F200E7">
        <w:rPr>
          <w:rFonts w:ascii="Book Antiqua" w:hAnsi="Book Antiqua"/>
          <w:lang w:val="en-GB"/>
        </w:rPr>
        <w:t xml:space="preserve"> of employees surveyed said </w:t>
      </w:r>
      <w:r w:rsidR="0049437A" w:rsidRPr="00F200E7">
        <w:rPr>
          <w:rFonts w:ascii="Book Antiqua" w:hAnsi="Book Antiqua"/>
          <w:lang w:val="en-GB"/>
        </w:rPr>
        <w:t xml:space="preserve">that </w:t>
      </w:r>
      <w:r w:rsidRPr="00F200E7">
        <w:rPr>
          <w:rFonts w:ascii="Book Antiqua" w:hAnsi="Book Antiqua"/>
          <w:lang w:val="en-GB"/>
        </w:rPr>
        <w:t>they considered uni</w:t>
      </w:r>
      <w:r w:rsidR="00D81D62" w:rsidRPr="00F200E7">
        <w:rPr>
          <w:rFonts w:ascii="Book Antiqua" w:hAnsi="Book Antiqua"/>
          <w:lang w:val="en-GB"/>
        </w:rPr>
        <w:t xml:space="preserve">ons </w:t>
      </w:r>
      <w:r w:rsidR="0020171D">
        <w:rPr>
          <w:rFonts w:ascii="Book Antiqua" w:hAnsi="Book Antiqua"/>
          <w:lang w:val="en-GB"/>
        </w:rPr>
        <w:t>to be</w:t>
      </w:r>
      <w:r w:rsidR="00FB5615">
        <w:rPr>
          <w:rFonts w:ascii="Book Antiqua" w:hAnsi="Book Antiqua"/>
          <w:lang w:val="en-GB"/>
        </w:rPr>
        <w:t xml:space="preserve"> </w:t>
      </w:r>
      <w:r w:rsidR="00D81D62" w:rsidRPr="00F200E7">
        <w:rPr>
          <w:rFonts w:ascii="Book Antiqua" w:hAnsi="Book Antiqua"/>
          <w:lang w:val="en-GB"/>
        </w:rPr>
        <w:t>good for workers</w:t>
      </w:r>
      <w:r w:rsidR="0049437A" w:rsidRPr="00F200E7">
        <w:rPr>
          <w:rFonts w:ascii="Book Antiqua" w:hAnsi="Book Antiqua"/>
          <w:lang w:val="en-GB"/>
        </w:rPr>
        <w:t>,</w:t>
      </w:r>
      <w:r w:rsidR="00D81D62" w:rsidRPr="00F200E7">
        <w:rPr>
          <w:rFonts w:ascii="Book Antiqua" w:hAnsi="Book Antiqua"/>
          <w:lang w:val="en-GB"/>
        </w:rPr>
        <w:t xml:space="preserve"> and 46 per cent</w:t>
      </w:r>
      <w:r w:rsidR="00FB5615">
        <w:rPr>
          <w:rFonts w:ascii="Book Antiqua" w:hAnsi="Book Antiqua"/>
          <w:lang w:val="en-GB"/>
        </w:rPr>
        <w:t xml:space="preserve"> </w:t>
      </w:r>
      <w:r w:rsidR="0049437A" w:rsidRPr="00F200E7">
        <w:rPr>
          <w:rFonts w:ascii="Book Antiqua" w:hAnsi="Book Antiqua"/>
          <w:lang w:val="en-GB"/>
        </w:rPr>
        <w:t xml:space="preserve">said </w:t>
      </w:r>
      <w:r w:rsidRPr="00F200E7">
        <w:rPr>
          <w:rFonts w:ascii="Book Antiqua" w:hAnsi="Book Antiqua"/>
          <w:lang w:val="en-GB"/>
        </w:rPr>
        <w:t xml:space="preserve">that they are </w:t>
      </w:r>
      <w:r w:rsidR="0049437A" w:rsidRPr="00F200E7">
        <w:rPr>
          <w:rFonts w:ascii="Book Antiqua" w:hAnsi="Book Antiqua"/>
          <w:lang w:val="en-GB"/>
        </w:rPr>
        <w:t xml:space="preserve">good </w:t>
      </w:r>
      <w:r w:rsidRPr="00F200E7">
        <w:rPr>
          <w:rFonts w:ascii="Book Antiqua" w:hAnsi="Book Antiqua"/>
          <w:lang w:val="en-GB"/>
        </w:rPr>
        <w:t>for society</w:t>
      </w:r>
      <w:r w:rsidR="0049437A" w:rsidRPr="00F200E7">
        <w:rPr>
          <w:rFonts w:ascii="Book Antiqua" w:hAnsi="Book Antiqua"/>
          <w:lang w:val="en-GB"/>
        </w:rPr>
        <w: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Due to the small number </w:t>
      </w:r>
      <w:r w:rsidR="0049437A" w:rsidRPr="00F200E7">
        <w:rPr>
          <w:rFonts w:ascii="Book Antiqua" w:hAnsi="Book Antiqua"/>
          <w:lang w:val="en-GB"/>
        </w:rPr>
        <w:t xml:space="preserve">and size </w:t>
      </w:r>
      <w:r w:rsidRPr="00F200E7">
        <w:rPr>
          <w:rFonts w:ascii="Book Antiqua" w:hAnsi="Book Antiqua"/>
          <w:lang w:val="en-GB"/>
        </w:rPr>
        <w:t xml:space="preserve">of unions, collective negotiating has limited coverage. </w:t>
      </w:r>
      <w:r w:rsidR="0049437A" w:rsidRPr="00F200E7">
        <w:rPr>
          <w:rFonts w:ascii="Book Antiqua" w:hAnsi="Book Antiqua"/>
          <w:lang w:val="en-GB"/>
        </w:rPr>
        <w:t>For example, i</w:t>
      </w:r>
      <w:r w:rsidRPr="00F200E7">
        <w:rPr>
          <w:rFonts w:ascii="Book Antiqua" w:hAnsi="Book Antiqua"/>
          <w:lang w:val="en-GB"/>
        </w:rPr>
        <w:t xml:space="preserve">n 2008 the Ministry of Labour and Social Welfare </w:t>
      </w:r>
      <w:r w:rsidR="0049437A" w:rsidRPr="00F200E7">
        <w:rPr>
          <w:rFonts w:ascii="Book Antiqua" w:hAnsi="Book Antiqua"/>
          <w:lang w:val="en-GB"/>
        </w:rPr>
        <w:t xml:space="preserve">approved 15 collective agreements, </w:t>
      </w:r>
      <w:r w:rsidRPr="00F200E7">
        <w:rPr>
          <w:rFonts w:ascii="Book Antiqua" w:hAnsi="Book Antiqua"/>
          <w:lang w:val="en-GB"/>
        </w:rPr>
        <w:t>only three</w:t>
      </w:r>
      <w:r w:rsidR="00FB5615">
        <w:rPr>
          <w:rFonts w:ascii="Book Antiqua" w:hAnsi="Book Antiqua"/>
          <w:lang w:val="en-GB"/>
        </w:rPr>
        <w:t xml:space="preserve"> </w:t>
      </w:r>
      <w:r w:rsidR="0049437A" w:rsidRPr="00F200E7">
        <w:rPr>
          <w:rFonts w:ascii="Book Antiqua" w:hAnsi="Book Antiqua"/>
          <w:lang w:val="en-GB"/>
        </w:rPr>
        <w:t xml:space="preserve">of which </w:t>
      </w:r>
      <w:r w:rsidRPr="00F200E7">
        <w:rPr>
          <w:rFonts w:ascii="Book Antiqua" w:hAnsi="Book Antiqua"/>
          <w:lang w:val="en-GB"/>
        </w:rPr>
        <w:t>were in the agricultural sector (Linares, 2012).</w:t>
      </w:r>
    </w:p>
    <w:p w:rsidR="00ED1005" w:rsidRPr="00F200E7" w:rsidRDefault="00ED1005" w:rsidP="00ED1005">
      <w:pPr>
        <w:pStyle w:val="NoSpacing"/>
        <w:jc w:val="both"/>
        <w:rPr>
          <w:rFonts w:ascii="Book Antiqua" w:hAnsi="Book Antiqua"/>
          <w:lang w:val="en-GB"/>
        </w:rPr>
      </w:pPr>
    </w:p>
    <w:p w:rsidR="00ED1005" w:rsidRPr="005F4009" w:rsidRDefault="00ED1005" w:rsidP="00ED1005">
      <w:pPr>
        <w:pStyle w:val="NoSpacing"/>
        <w:jc w:val="both"/>
        <w:rPr>
          <w:rFonts w:ascii="Book Antiqua" w:hAnsi="Book Antiqua"/>
          <w:lang w:val="en-GB"/>
        </w:rPr>
      </w:pPr>
      <w:r w:rsidRPr="00F200E7">
        <w:rPr>
          <w:rFonts w:ascii="Book Antiqua" w:hAnsi="Book Antiqua"/>
          <w:lang w:val="en-GB"/>
        </w:rPr>
        <w:t xml:space="preserve">The </w:t>
      </w:r>
      <w:r w:rsidR="0049437A" w:rsidRPr="00F200E7">
        <w:rPr>
          <w:rFonts w:ascii="Book Antiqua" w:hAnsi="Book Antiqua"/>
          <w:lang w:val="en-GB"/>
        </w:rPr>
        <w:t xml:space="preserve">largest federations of </w:t>
      </w:r>
      <w:r w:rsidR="00F4465A" w:rsidRPr="00F200E7">
        <w:rPr>
          <w:rFonts w:ascii="Book Antiqua" w:hAnsi="Book Antiqua"/>
          <w:lang w:val="en-GB"/>
        </w:rPr>
        <w:t xml:space="preserve">agricultural </w:t>
      </w:r>
      <w:r w:rsidR="0049437A" w:rsidRPr="00F200E7">
        <w:rPr>
          <w:rFonts w:ascii="Book Antiqua" w:hAnsi="Book Antiqua"/>
          <w:lang w:val="en-GB"/>
        </w:rPr>
        <w:t>unions are three</w:t>
      </w:r>
      <w:r w:rsidR="001F2450" w:rsidRPr="00F200E7">
        <w:rPr>
          <w:rFonts w:ascii="Book Antiqua" w:hAnsi="Book Antiqua"/>
          <w:lang w:val="en-GB"/>
        </w:rPr>
        <w:t>.</w:t>
      </w:r>
      <w:r w:rsidR="00FB5615">
        <w:rPr>
          <w:rFonts w:ascii="Book Antiqua" w:hAnsi="Book Antiqua"/>
          <w:lang w:val="en-GB"/>
        </w:rPr>
        <w:t xml:space="preserve"> </w:t>
      </w:r>
      <w:r w:rsidR="00B53966" w:rsidRPr="005F4009">
        <w:rPr>
          <w:rFonts w:ascii="Book Antiqua" w:hAnsi="Book Antiqua"/>
          <w:lang w:val="en-GB"/>
        </w:rPr>
        <w:t xml:space="preserve">One is the </w:t>
      </w:r>
      <w:r w:rsidR="00F4465A" w:rsidRPr="005F4009">
        <w:rPr>
          <w:rFonts w:ascii="Book Antiqua" w:hAnsi="Book Antiqua"/>
          <w:lang w:val="en-GB"/>
        </w:rPr>
        <w:t xml:space="preserve">Unión </w:t>
      </w:r>
      <w:proofErr w:type="spellStart"/>
      <w:r w:rsidR="00F4465A" w:rsidRPr="005F4009">
        <w:rPr>
          <w:rFonts w:ascii="Book Antiqua" w:hAnsi="Book Antiqua"/>
          <w:lang w:val="en-GB"/>
        </w:rPr>
        <w:t>Guatemalteca</w:t>
      </w:r>
      <w:proofErr w:type="spellEnd"/>
      <w:r w:rsidR="00F4465A" w:rsidRPr="005F4009">
        <w:rPr>
          <w:rFonts w:ascii="Book Antiqua" w:hAnsi="Book Antiqua"/>
          <w:lang w:val="en-GB"/>
        </w:rPr>
        <w:t xml:space="preserve"> de </w:t>
      </w:r>
      <w:proofErr w:type="spellStart"/>
      <w:r w:rsidR="00F4465A" w:rsidRPr="005F4009">
        <w:rPr>
          <w:rFonts w:ascii="Book Antiqua" w:hAnsi="Book Antiqua"/>
          <w:lang w:val="en-GB"/>
        </w:rPr>
        <w:t>Trabajadores</w:t>
      </w:r>
      <w:proofErr w:type="spellEnd"/>
      <w:r w:rsidR="00FB5615" w:rsidRPr="005F4009">
        <w:rPr>
          <w:rFonts w:ascii="Book Antiqua" w:hAnsi="Book Antiqua"/>
          <w:lang w:val="en-GB"/>
        </w:rPr>
        <w:t xml:space="preserve"> </w:t>
      </w:r>
      <w:r w:rsidR="00F4465A" w:rsidRPr="005F4009">
        <w:rPr>
          <w:rFonts w:ascii="Book Antiqua" w:hAnsi="Book Antiqua"/>
          <w:lang w:val="en-GB"/>
        </w:rPr>
        <w:t>(</w:t>
      </w:r>
      <w:r w:rsidR="00B53966" w:rsidRPr="005F4009">
        <w:rPr>
          <w:rFonts w:ascii="Book Antiqua" w:hAnsi="Book Antiqua"/>
          <w:lang w:val="en-GB"/>
        </w:rPr>
        <w:t>UGT</w:t>
      </w:r>
      <w:r w:rsidR="00F4465A" w:rsidRPr="005F4009">
        <w:rPr>
          <w:rFonts w:ascii="Book Antiqua" w:hAnsi="Book Antiqua"/>
          <w:lang w:val="en-GB"/>
        </w:rPr>
        <w:t>)</w:t>
      </w:r>
      <w:r w:rsidRPr="005F4009">
        <w:rPr>
          <w:rFonts w:ascii="Book Antiqua" w:hAnsi="Book Antiqua"/>
          <w:lang w:val="en-GB"/>
        </w:rPr>
        <w:t>,</w:t>
      </w:r>
      <w:r w:rsidR="00B53966" w:rsidRPr="005F4009">
        <w:rPr>
          <w:rFonts w:ascii="Book Antiqua" w:hAnsi="Book Antiqua"/>
          <w:lang w:val="en-GB"/>
        </w:rPr>
        <w:t xml:space="preserve"> which includes</w:t>
      </w:r>
      <w:r w:rsidR="00D35E15" w:rsidRPr="005F4009">
        <w:rPr>
          <w:rFonts w:ascii="Book Antiqua" w:hAnsi="Book Antiqua"/>
          <w:lang w:val="en-GB"/>
        </w:rPr>
        <w:t xml:space="preserve"> the</w:t>
      </w:r>
      <w:r w:rsidR="00FB5615" w:rsidRPr="005F4009">
        <w:rPr>
          <w:rFonts w:ascii="Book Antiqua" w:hAnsi="Book Antiqua"/>
          <w:lang w:val="en-GB"/>
        </w:rPr>
        <w:t xml:space="preserve"> </w:t>
      </w:r>
      <w:proofErr w:type="spellStart"/>
      <w:r w:rsidR="00F4465A" w:rsidRPr="005F4009">
        <w:rPr>
          <w:rFonts w:ascii="Book Antiqua" w:hAnsi="Book Antiqua"/>
          <w:lang w:val="en-GB"/>
        </w:rPr>
        <w:t>Federación</w:t>
      </w:r>
      <w:proofErr w:type="spellEnd"/>
      <w:r w:rsidR="00F4465A" w:rsidRPr="005F4009">
        <w:rPr>
          <w:rFonts w:ascii="Book Antiqua" w:hAnsi="Book Antiqua"/>
          <w:lang w:val="en-GB"/>
        </w:rPr>
        <w:t xml:space="preserve"> de </w:t>
      </w:r>
      <w:proofErr w:type="spellStart"/>
      <w:r w:rsidR="00F4465A" w:rsidRPr="005F4009">
        <w:rPr>
          <w:rFonts w:ascii="Book Antiqua" w:hAnsi="Book Antiqua"/>
          <w:lang w:val="en-GB"/>
        </w:rPr>
        <w:t>Trabajadores</w:t>
      </w:r>
      <w:proofErr w:type="spellEnd"/>
      <w:r w:rsidR="00F4465A" w:rsidRPr="005F4009">
        <w:rPr>
          <w:rFonts w:ascii="Book Antiqua" w:hAnsi="Book Antiqua"/>
          <w:lang w:val="en-GB"/>
        </w:rPr>
        <w:t xml:space="preserve"> </w:t>
      </w:r>
      <w:proofErr w:type="spellStart"/>
      <w:r w:rsidR="00F4465A" w:rsidRPr="005F4009">
        <w:rPr>
          <w:rFonts w:ascii="Book Antiqua" w:hAnsi="Book Antiqua"/>
          <w:lang w:val="en-GB"/>
        </w:rPr>
        <w:t>Campesinos</w:t>
      </w:r>
      <w:proofErr w:type="spellEnd"/>
      <w:r w:rsidR="00F4465A" w:rsidRPr="005F4009">
        <w:rPr>
          <w:rFonts w:ascii="Book Antiqua" w:hAnsi="Book Antiqua"/>
          <w:lang w:val="en-GB"/>
        </w:rPr>
        <w:t xml:space="preserve"> y </w:t>
      </w:r>
      <w:proofErr w:type="spellStart"/>
      <w:r w:rsidR="00F4465A" w:rsidRPr="005F4009">
        <w:rPr>
          <w:rFonts w:ascii="Book Antiqua" w:hAnsi="Book Antiqua"/>
          <w:lang w:val="en-GB"/>
        </w:rPr>
        <w:t>Urbanos</w:t>
      </w:r>
      <w:proofErr w:type="spellEnd"/>
      <w:r w:rsidR="00F4465A" w:rsidRPr="005F4009">
        <w:rPr>
          <w:rFonts w:ascii="Book Antiqua" w:hAnsi="Book Antiqua"/>
          <w:lang w:val="en-GB"/>
        </w:rPr>
        <w:t xml:space="preserve"> (</w:t>
      </w:r>
      <w:r w:rsidR="00B53966" w:rsidRPr="005F4009">
        <w:rPr>
          <w:rFonts w:ascii="Book Antiqua" w:hAnsi="Book Antiqua"/>
          <w:lang w:val="en-GB"/>
        </w:rPr>
        <w:t>FETRACUR</w:t>
      </w:r>
      <w:r w:rsidR="00F4465A" w:rsidRPr="005F4009">
        <w:rPr>
          <w:rFonts w:ascii="Book Antiqua" w:hAnsi="Book Antiqua"/>
          <w:lang w:val="en-GB"/>
        </w:rPr>
        <w:t>)</w:t>
      </w:r>
      <w:r w:rsidR="001F2450" w:rsidRPr="005F4009">
        <w:rPr>
          <w:rFonts w:ascii="Book Antiqua" w:hAnsi="Book Antiqua"/>
          <w:lang w:val="en-GB"/>
        </w:rPr>
        <w:t>,</w:t>
      </w:r>
      <w:r w:rsidR="00B53966" w:rsidRPr="005F4009">
        <w:rPr>
          <w:rFonts w:ascii="Book Antiqua" w:hAnsi="Book Antiqua"/>
          <w:lang w:val="en-GB"/>
        </w:rPr>
        <w:t xml:space="preserve"> with five agricultural unions</w:t>
      </w:r>
      <w:r w:rsidR="00AA0A06" w:rsidRPr="005F4009">
        <w:rPr>
          <w:rFonts w:ascii="Book Antiqua" w:hAnsi="Book Antiqua"/>
          <w:lang w:val="en-GB"/>
        </w:rPr>
        <w:t>;</w:t>
      </w:r>
      <w:r w:rsidR="00B53966" w:rsidRPr="005F4009">
        <w:rPr>
          <w:rFonts w:ascii="Book Antiqua" w:hAnsi="Book Antiqua"/>
          <w:lang w:val="en-GB"/>
        </w:rPr>
        <w:t xml:space="preserve"> the Central de </w:t>
      </w:r>
      <w:proofErr w:type="spellStart"/>
      <w:r w:rsidR="00B53966" w:rsidRPr="005F4009">
        <w:rPr>
          <w:rFonts w:ascii="Book Antiqua" w:hAnsi="Book Antiqua"/>
          <w:lang w:val="en-GB"/>
        </w:rPr>
        <w:t>Trabajadores</w:t>
      </w:r>
      <w:proofErr w:type="spellEnd"/>
      <w:r w:rsidR="00B53966" w:rsidRPr="005F4009">
        <w:rPr>
          <w:rFonts w:ascii="Book Antiqua" w:hAnsi="Book Antiqua"/>
          <w:lang w:val="en-GB"/>
        </w:rPr>
        <w:t xml:space="preserve"> del Campo, with five unions</w:t>
      </w:r>
      <w:r w:rsidR="00AA0A06" w:rsidRPr="005F4009">
        <w:rPr>
          <w:rFonts w:ascii="Book Antiqua" w:hAnsi="Book Antiqua"/>
          <w:lang w:val="en-GB"/>
        </w:rPr>
        <w:t>;</w:t>
      </w:r>
      <w:r w:rsidR="00B53966" w:rsidRPr="005F4009">
        <w:rPr>
          <w:rFonts w:ascii="Book Antiqua" w:hAnsi="Book Antiqua"/>
          <w:lang w:val="en-GB"/>
        </w:rPr>
        <w:t xml:space="preserve"> and </w:t>
      </w:r>
      <w:r w:rsidR="00D35E15" w:rsidRPr="005F4009">
        <w:rPr>
          <w:rFonts w:ascii="Book Antiqua" w:hAnsi="Book Antiqua"/>
          <w:lang w:val="en-GB"/>
        </w:rPr>
        <w:t xml:space="preserve">the </w:t>
      </w:r>
      <w:proofErr w:type="spellStart"/>
      <w:r w:rsidR="00F4465A" w:rsidRPr="005F4009">
        <w:rPr>
          <w:rFonts w:ascii="Book Antiqua" w:hAnsi="Book Antiqua"/>
          <w:lang w:val="en-GB"/>
        </w:rPr>
        <w:t>Federación</w:t>
      </w:r>
      <w:proofErr w:type="spellEnd"/>
      <w:r w:rsidR="00F4465A" w:rsidRPr="005F4009">
        <w:rPr>
          <w:rFonts w:ascii="Book Antiqua" w:hAnsi="Book Antiqua"/>
          <w:lang w:val="en-GB"/>
        </w:rPr>
        <w:t xml:space="preserve"> de </w:t>
      </w:r>
      <w:proofErr w:type="spellStart"/>
      <w:r w:rsidR="00F4465A" w:rsidRPr="005F4009">
        <w:rPr>
          <w:rFonts w:ascii="Book Antiqua" w:hAnsi="Book Antiqua"/>
          <w:lang w:val="en-GB"/>
        </w:rPr>
        <w:t>Trabajadores</w:t>
      </w:r>
      <w:proofErr w:type="spellEnd"/>
      <w:r w:rsidR="00F4465A" w:rsidRPr="005F4009">
        <w:rPr>
          <w:rFonts w:ascii="Book Antiqua" w:hAnsi="Book Antiqua"/>
          <w:lang w:val="en-GB"/>
        </w:rPr>
        <w:t xml:space="preserve"> de </w:t>
      </w:r>
      <w:proofErr w:type="spellStart"/>
      <w:r w:rsidR="00F4465A" w:rsidRPr="005F4009">
        <w:rPr>
          <w:rFonts w:ascii="Book Antiqua" w:hAnsi="Book Antiqua"/>
          <w:lang w:val="en-GB"/>
        </w:rPr>
        <w:t>Alimentos</w:t>
      </w:r>
      <w:proofErr w:type="spellEnd"/>
      <w:r w:rsidR="00F4465A" w:rsidRPr="005F4009">
        <w:rPr>
          <w:rFonts w:ascii="Book Antiqua" w:hAnsi="Book Antiqua"/>
          <w:lang w:val="en-GB"/>
        </w:rPr>
        <w:t xml:space="preserve">, </w:t>
      </w:r>
      <w:proofErr w:type="spellStart"/>
      <w:r w:rsidR="00F4465A" w:rsidRPr="005F4009">
        <w:rPr>
          <w:rFonts w:ascii="Book Antiqua" w:hAnsi="Book Antiqua"/>
          <w:lang w:val="en-GB"/>
        </w:rPr>
        <w:t>Agroindustria</w:t>
      </w:r>
      <w:proofErr w:type="spellEnd"/>
      <w:r w:rsidR="00F4465A" w:rsidRPr="005F4009">
        <w:rPr>
          <w:rFonts w:ascii="Book Antiqua" w:hAnsi="Book Antiqua"/>
          <w:lang w:val="en-GB"/>
        </w:rPr>
        <w:t xml:space="preserve"> y </w:t>
      </w:r>
      <w:proofErr w:type="spellStart"/>
      <w:r w:rsidR="00F4465A" w:rsidRPr="005F4009">
        <w:rPr>
          <w:rFonts w:ascii="Book Antiqua" w:hAnsi="Book Antiqua"/>
          <w:lang w:val="en-GB"/>
        </w:rPr>
        <w:t>Similares</w:t>
      </w:r>
      <w:proofErr w:type="spellEnd"/>
      <w:r w:rsidR="00F4465A" w:rsidRPr="005F4009">
        <w:rPr>
          <w:rFonts w:ascii="Book Antiqua" w:hAnsi="Book Antiqua"/>
          <w:lang w:val="en-GB"/>
        </w:rPr>
        <w:t xml:space="preserve"> (</w:t>
      </w:r>
      <w:r w:rsidR="00B53966" w:rsidRPr="005F4009">
        <w:rPr>
          <w:rFonts w:ascii="Book Antiqua" w:hAnsi="Book Antiqua"/>
          <w:lang w:val="en-GB"/>
        </w:rPr>
        <w:t>FESTRAS</w:t>
      </w:r>
      <w:r w:rsidR="00F4465A" w:rsidRPr="005F4009">
        <w:rPr>
          <w:rFonts w:ascii="Book Antiqua" w:hAnsi="Book Antiqua"/>
          <w:lang w:val="en-GB"/>
        </w:rPr>
        <w:t>)</w:t>
      </w:r>
      <w:r w:rsidRPr="005F4009">
        <w:rPr>
          <w:rFonts w:ascii="Book Antiqua" w:hAnsi="Book Antiqua"/>
          <w:lang w:val="en-GB"/>
        </w:rPr>
        <w:t>,</w:t>
      </w:r>
      <w:r w:rsidR="00B53966" w:rsidRPr="005F4009">
        <w:rPr>
          <w:rFonts w:ascii="Book Antiqua" w:hAnsi="Book Antiqua"/>
          <w:lang w:val="en-GB"/>
        </w:rPr>
        <w:t xml:space="preserve"> with </w:t>
      </w:r>
      <w:r w:rsidRPr="005F4009">
        <w:rPr>
          <w:rFonts w:ascii="Book Antiqua" w:hAnsi="Book Antiqua"/>
          <w:lang w:val="en-GB"/>
        </w:rPr>
        <w:t>a</w:t>
      </w:r>
      <w:r w:rsidR="00F4465A" w:rsidRPr="005F4009">
        <w:rPr>
          <w:rFonts w:ascii="Book Antiqua" w:hAnsi="Book Antiqua"/>
          <w:lang w:val="en-GB"/>
        </w:rPr>
        <w:t>n agribusiness</w:t>
      </w:r>
      <w:r w:rsidR="00B53966" w:rsidRPr="005F4009">
        <w:rPr>
          <w:rFonts w:ascii="Book Antiqua" w:hAnsi="Book Antiqua"/>
          <w:lang w:val="en-GB"/>
        </w:rPr>
        <w:t xml:space="preserve"> union</w:t>
      </w:r>
      <w:r w:rsidRPr="005F4009">
        <w:rPr>
          <w:rFonts w:ascii="Book Antiqua" w:hAnsi="Book Antiqua"/>
          <w:lang w:val="en-GB"/>
        </w:rPr>
        <w:t>.</w:t>
      </w:r>
    </w:p>
    <w:p w:rsidR="00ED1005" w:rsidRPr="005F4009" w:rsidRDefault="00ED1005" w:rsidP="00ED1005">
      <w:pPr>
        <w:pStyle w:val="NoSpacing"/>
        <w:jc w:val="both"/>
        <w:rPr>
          <w:rFonts w:ascii="Book Antiqua" w:hAnsi="Book Antiqua"/>
          <w:lang w:val="en-GB"/>
        </w:rPr>
      </w:pPr>
    </w:p>
    <w:p w:rsidR="00ED1005" w:rsidRPr="00F200E7" w:rsidRDefault="00775E7E" w:rsidP="00ED1005">
      <w:pPr>
        <w:pStyle w:val="NoSpacing"/>
        <w:jc w:val="both"/>
        <w:rPr>
          <w:rFonts w:ascii="Book Antiqua" w:hAnsi="Book Antiqua"/>
          <w:lang w:val="en-GB"/>
        </w:rPr>
      </w:pPr>
      <w:r w:rsidRPr="00F200E7">
        <w:rPr>
          <w:rFonts w:ascii="Book Antiqua" w:hAnsi="Book Antiqua"/>
          <w:lang w:val="en-GB"/>
        </w:rPr>
        <w:t xml:space="preserve">The second consists of the unions affiliated to the International Trade Union Confederation (ITUC) and the </w:t>
      </w:r>
      <w:proofErr w:type="spellStart"/>
      <w:r w:rsidRPr="00F200E7">
        <w:rPr>
          <w:rFonts w:ascii="Book Antiqua" w:hAnsi="Book Antiqua"/>
          <w:lang w:val="en-GB"/>
        </w:rPr>
        <w:t>Confederación</w:t>
      </w:r>
      <w:proofErr w:type="spellEnd"/>
      <w:r w:rsidRPr="00F200E7">
        <w:rPr>
          <w:rFonts w:ascii="Book Antiqua" w:hAnsi="Book Antiqua"/>
          <w:lang w:val="en-GB"/>
        </w:rPr>
        <w:t xml:space="preserve"> </w:t>
      </w:r>
      <w:proofErr w:type="spellStart"/>
      <w:r w:rsidRPr="00F200E7">
        <w:rPr>
          <w:rFonts w:ascii="Book Antiqua" w:hAnsi="Book Antiqua"/>
          <w:lang w:val="en-GB"/>
        </w:rPr>
        <w:t>Sindical</w:t>
      </w:r>
      <w:proofErr w:type="spellEnd"/>
      <w:r w:rsidRPr="00F200E7">
        <w:rPr>
          <w:rFonts w:ascii="Book Antiqua" w:hAnsi="Book Antiqua"/>
          <w:lang w:val="en-GB"/>
        </w:rPr>
        <w:t xml:space="preserve"> de </w:t>
      </w:r>
      <w:proofErr w:type="spellStart"/>
      <w:r w:rsidRPr="00F200E7">
        <w:rPr>
          <w:rFonts w:ascii="Book Antiqua" w:hAnsi="Book Antiqua"/>
          <w:lang w:val="en-GB"/>
        </w:rPr>
        <w:t>Trabajadores</w:t>
      </w:r>
      <w:proofErr w:type="spellEnd"/>
      <w:r w:rsidRPr="00F200E7">
        <w:rPr>
          <w:rFonts w:ascii="Book Antiqua" w:hAnsi="Book Antiqua"/>
          <w:lang w:val="en-GB"/>
        </w:rPr>
        <w:t xml:space="preserve"> y </w:t>
      </w:r>
      <w:proofErr w:type="spellStart"/>
      <w:r w:rsidRPr="00F200E7">
        <w:rPr>
          <w:rFonts w:ascii="Book Antiqua" w:hAnsi="Book Antiqua"/>
          <w:lang w:val="en-GB"/>
        </w:rPr>
        <w:t>Trabajadoras</w:t>
      </w:r>
      <w:proofErr w:type="spellEnd"/>
      <w:r w:rsidRPr="00F200E7">
        <w:rPr>
          <w:rFonts w:ascii="Book Antiqua" w:hAnsi="Book Antiqua"/>
          <w:lang w:val="en-GB"/>
        </w:rPr>
        <w:t xml:space="preserve"> de </w:t>
      </w:r>
      <w:proofErr w:type="spellStart"/>
      <w:r w:rsidRPr="00F200E7">
        <w:rPr>
          <w:rFonts w:ascii="Book Antiqua" w:hAnsi="Book Antiqua"/>
          <w:lang w:val="en-GB"/>
        </w:rPr>
        <w:t>las</w:t>
      </w:r>
      <w:proofErr w:type="spellEnd"/>
      <w:r w:rsidRPr="00F200E7">
        <w:rPr>
          <w:rFonts w:ascii="Book Antiqua" w:hAnsi="Book Antiqua"/>
          <w:lang w:val="en-GB"/>
        </w:rPr>
        <w:t xml:space="preserve"> </w:t>
      </w:r>
      <w:proofErr w:type="spellStart"/>
      <w:r w:rsidRPr="00F200E7">
        <w:rPr>
          <w:rFonts w:ascii="Book Antiqua" w:hAnsi="Book Antiqua"/>
          <w:lang w:val="en-GB"/>
        </w:rPr>
        <w:t>Américas</w:t>
      </w:r>
      <w:proofErr w:type="spellEnd"/>
      <w:r w:rsidRPr="00F200E7">
        <w:rPr>
          <w:rFonts w:ascii="Book Antiqua" w:hAnsi="Book Antiqua"/>
          <w:lang w:val="en-GB"/>
        </w:rPr>
        <w:t xml:space="preserve"> (CSA), including the </w:t>
      </w:r>
      <w:r w:rsidR="00527C02">
        <w:rPr>
          <w:rFonts w:ascii="Book Antiqua" w:hAnsi="Book Antiqua"/>
          <w:lang w:val="en-GB"/>
        </w:rPr>
        <w:t xml:space="preserve">Central General de </w:t>
      </w:r>
      <w:proofErr w:type="spellStart"/>
      <w:r w:rsidR="00527C02">
        <w:rPr>
          <w:rFonts w:ascii="Book Antiqua" w:hAnsi="Book Antiqua"/>
          <w:lang w:val="en-GB"/>
        </w:rPr>
        <w:t>Trabajadores</w:t>
      </w:r>
      <w:proofErr w:type="spellEnd"/>
      <w:r w:rsidR="00527C02">
        <w:rPr>
          <w:rFonts w:ascii="Book Antiqua" w:hAnsi="Book Antiqua"/>
          <w:lang w:val="en-GB"/>
        </w:rPr>
        <w:t xml:space="preserve"> de Guatemala (CGTG)</w:t>
      </w:r>
      <w:r w:rsidRPr="00F200E7">
        <w:rPr>
          <w:rFonts w:ascii="Book Antiqua" w:hAnsi="Book Antiqua"/>
          <w:lang w:val="en-GB"/>
        </w:rPr>
        <w:t xml:space="preserve">, founded in 1999, with three agricultural unions; the </w:t>
      </w:r>
      <w:proofErr w:type="spellStart"/>
      <w:r w:rsidRPr="00F200E7">
        <w:rPr>
          <w:rFonts w:ascii="Book Antiqua" w:hAnsi="Book Antiqua"/>
          <w:lang w:val="en-GB"/>
        </w:rPr>
        <w:t>Confederación</w:t>
      </w:r>
      <w:proofErr w:type="spellEnd"/>
      <w:r w:rsidRPr="00F200E7">
        <w:rPr>
          <w:rFonts w:ascii="Book Antiqua" w:hAnsi="Book Antiqua"/>
          <w:lang w:val="en-GB"/>
        </w:rPr>
        <w:t xml:space="preserve"> de </w:t>
      </w:r>
      <w:proofErr w:type="spellStart"/>
      <w:r w:rsidRPr="00F200E7">
        <w:rPr>
          <w:rFonts w:ascii="Book Antiqua" w:hAnsi="Book Antiqua"/>
          <w:lang w:val="en-GB"/>
        </w:rPr>
        <w:t>Unidad</w:t>
      </w:r>
      <w:proofErr w:type="spellEnd"/>
      <w:r w:rsidRPr="00F200E7">
        <w:rPr>
          <w:rFonts w:ascii="Book Antiqua" w:hAnsi="Book Antiqua"/>
          <w:lang w:val="en-GB"/>
        </w:rPr>
        <w:t xml:space="preserve"> </w:t>
      </w:r>
      <w:proofErr w:type="spellStart"/>
      <w:r w:rsidRPr="00F200E7">
        <w:rPr>
          <w:rFonts w:ascii="Book Antiqua" w:hAnsi="Book Antiqua"/>
          <w:lang w:val="en-GB"/>
        </w:rPr>
        <w:t>Sindical</w:t>
      </w:r>
      <w:proofErr w:type="spellEnd"/>
      <w:r w:rsidRPr="00F200E7">
        <w:rPr>
          <w:rFonts w:ascii="Book Antiqua" w:hAnsi="Book Antiqua"/>
          <w:lang w:val="en-GB"/>
        </w:rPr>
        <w:t xml:space="preserve"> de Guatemala (CUSG), with three, including</w:t>
      </w:r>
      <w:r>
        <w:rPr>
          <w:rFonts w:ascii="Book Antiqua" w:hAnsi="Book Antiqua"/>
          <w:lang w:val="en-GB"/>
        </w:rPr>
        <w:t xml:space="preserve"> the</w:t>
      </w:r>
      <w:r w:rsidRPr="00F200E7">
        <w:rPr>
          <w:rFonts w:ascii="Book Antiqua" w:hAnsi="Book Antiqua"/>
          <w:lang w:val="en-GB"/>
        </w:rPr>
        <w:t xml:space="preserve"> </w:t>
      </w:r>
      <w:proofErr w:type="spellStart"/>
      <w:r w:rsidRPr="00F200E7">
        <w:rPr>
          <w:rFonts w:ascii="Book Antiqua" w:hAnsi="Book Antiqua"/>
          <w:lang w:val="en-GB"/>
        </w:rPr>
        <w:t>Sindicato</w:t>
      </w:r>
      <w:proofErr w:type="spellEnd"/>
      <w:r w:rsidRPr="00F200E7">
        <w:rPr>
          <w:rFonts w:ascii="Book Antiqua" w:hAnsi="Book Antiqua"/>
          <w:lang w:val="en-GB"/>
        </w:rPr>
        <w:t xml:space="preserve"> de </w:t>
      </w:r>
      <w:proofErr w:type="spellStart"/>
      <w:r w:rsidRPr="00F200E7">
        <w:rPr>
          <w:rFonts w:ascii="Book Antiqua" w:hAnsi="Book Antiqua"/>
          <w:lang w:val="en-GB"/>
        </w:rPr>
        <w:t>Trabajadores</w:t>
      </w:r>
      <w:proofErr w:type="spellEnd"/>
      <w:r w:rsidRPr="00F200E7">
        <w:rPr>
          <w:rFonts w:ascii="Book Antiqua" w:hAnsi="Book Antiqua"/>
          <w:lang w:val="en-GB"/>
        </w:rPr>
        <w:t xml:space="preserve"> </w:t>
      </w:r>
      <w:proofErr w:type="spellStart"/>
      <w:r w:rsidRPr="00F200E7">
        <w:rPr>
          <w:rFonts w:ascii="Book Antiqua" w:hAnsi="Book Antiqua"/>
          <w:lang w:val="en-GB"/>
        </w:rPr>
        <w:t>Bananeros</w:t>
      </w:r>
      <w:proofErr w:type="spellEnd"/>
      <w:r w:rsidRPr="00F200E7">
        <w:rPr>
          <w:rFonts w:ascii="Book Antiqua" w:hAnsi="Book Antiqua"/>
          <w:lang w:val="en-GB"/>
        </w:rPr>
        <w:t xml:space="preserve"> de Izabal (SITRABI)</w:t>
      </w:r>
      <w:r>
        <w:rPr>
          <w:rFonts w:ascii="Book Antiqua" w:hAnsi="Book Antiqua"/>
          <w:lang w:val="en-GB"/>
        </w:rPr>
        <w:t>,</w:t>
      </w:r>
      <w:r w:rsidRPr="00F200E7">
        <w:rPr>
          <w:rFonts w:ascii="Book Antiqua" w:hAnsi="Book Antiqua"/>
          <w:lang w:val="en-GB"/>
        </w:rPr>
        <w:t xml:space="preserve"> which is probably the union with the largest membership in the private sector, and</w:t>
      </w:r>
      <w:r>
        <w:rPr>
          <w:rFonts w:ascii="Book Antiqua" w:hAnsi="Book Antiqua"/>
          <w:lang w:val="en-GB"/>
        </w:rPr>
        <w:t xml:space="preserve"> the</w:t>
      </w:r>
      <w:r w:rsidRPr="00F200E7">
        <w:rPr>
          <w:rFonts w:ascii="Book Antiqua" w:hAnsi="Book Antiqua"/>
          <w:lang w:val="en-GB"/>
        </w:rPr>
        <w:t xml:space="preserve"> Unión </w:t>
      </w:r>
      <w:proofErr w:type="spellStart"/>
      <w:r w:rsidRPr="00F200E7">
        <w:rPr>
          <w:rFonts w:ascii="Book Antiqua" w:hAnsi="Book Antiqua"/>
          <w:lang w:val="en-GB"/>
        </w:rPr>
        <w:t>Sindical</w:t>
      </w:r>
      <w:proofErr w:type="spellEnd"/>
      <w:r w:rsidRPr="00F200E7">
        <w:rPr>
          <w:rFonts w:ascii="Book Antiqua" w:hAnsi="Book Antiqua"/>
          <w:lang w:val="en-GB"/>
        </w:rPr>
        <w:t xml:space="preserve"> de </w:t>
      </w:r>
      <w:proofErr w:type="spellStart"/>
      <w:r w:rsidRPr="00F200E7">
        <w:rPr>
          <w:rFonts w:ascii="Book Antiqua" w:hAnsi="Book Antiqua"/>
          <w:lang w:val="en-GB"/>
        </w:rPr>
        <w:t>Trabajadores</w:t>
      </w:r>
      <w:proofErr w:type="spellEnd"/>
      <w:r w:rsidRPr="00F200E7">
        <w:rPr>
          <w:rFonts w:ascii="Book Antiqua" w:hAnsi="Book Antiqua"/>
          <w:lang w:val="en-GB"/>
        </w:rPr>
        <w:t xml:space="preserve"> de Guatemala (UNSITRAGUA), with eight members including the </w:t>
      </w:r>
      <w:proofErr w:type="spellStart"/>
      <w:r w:rsidR="00527C02">
        <w:rPr>
          <w:rFonts w:ascii="Book Antiqua" w:hAnsi="Book Antiqua"/>
          <w:lang w:val="en-GB"/>
        </w:rPr>
        <w:t>Sindicato</w:t>
      </w:r>
      <w:proofErr w:type="spellEnd"/>
      <w:r w:rsidR="00527C02">
        <w:rPr>
          <w:rFonts w:ascii="Book Antiqua" w:hAnsi="Book Antiqua"/>
          <w:lang w:val="en-GB"/>
        </w:rPr>
        <w:t xml:space="preserve"> de </w:t>
      </w:r>
      <w:proofErr w:type="spellStart"/>
      <w:r w:rsidR="00527C02">
        <w:rPr>
          <w:rFonts w:ascii="Book Antiqua" w:hAnsi="Book Antiqua"/>
          <w:lang w:val="en-GB"/>
        </w:rPr>
        <w:t>Trabajadores</w:t>
      </w:r>
      <w:proofErr w:type="spellEnd"/>
      <w:r w:rsidR="00527C02">
        <w:rPr>
          <w:rFonts w:ascii="Book Antiqua" w:hAnsi="Book Antiqua"/>
          <w:lang w:val="en-GB"/>
        </w:rPr>
        <w:t xml:space="preserve"> del </w:t>
      </w:r>
      <w:proofErr w:type="spellStart"/>
      <w:r w:rsidR="00527C02">
        <w:rPr>
          <w:rFonts w:ascii="Book Antiqua" w:hAnsi="Book Antiqua"/>
          <w:lang w:val="en-GB"/>
        </w:rPr>
        <w:t>Ingenio</w:t>
      </w:r>
      <w:proofErr w:type="spellEnd"/>
      <w:r w:rsidR="00527C02">
        <w:rPr>
          <w:rFonts w:ascii="Book Antiqua" w:hAnsi="Book Antiqua"/>
          <w:lang w:val="en-GB"/>
        </w:rPr>
        <w:t xml:space="preserve"> Palo </w:t>
      </w:r>
      <w:proofErr w:type="spellStart"/>
      <w:r w:rsidR="00527C02">
        <w:rPr>
          <w:rFonts w:ascii="Book Antiqua" w:hAnsi="Book Antiqua"/>
          <w:lang w:val="en-GB"/>
        </w:rPr>
        <w:t>Gordo</w:t>
      </w:r>
      <w:proofErr w:type="spellEnd"/>
      <w:r w:rsidRPr="00F200E7">
        <w:rPr>
          <w:rFonts w:ascii="Book Antiqua" w:hAnsi="Book Antiqua"/>
          <w:lang w:val="en-GB"/>
        </w:rPr>
        <w:t>.</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lang w:val="en-GB"/>
        </w:rPr>
        <w:t>T</w:t>
      </w:r>
      <w:r w:rsidRPr="00F200E7">
        <w:rPr>
          <w:rFonts w:ascii="Book Antiqua" w:hAnsi="Book Antiqua"/>
          <w:lang w:val="en-GB"/>
        </w:rPr>
        <w:t xml:space="preserve">he third block is composed </w:t>
      </w:r>
      <w:r w:rsidR="00AA0A06">
        <w:rPr>
          <w:rFonts w:ascii="Book Antiqua" w:hAnsi="Book Antiqua"/>
          <w:lang w:val="en-GB"/>
        </w:rPr>
        <w:t xml:space="preserve">of </w:t>
      </w:r>
      <w:r w:rsidRPr="00F200E7">
        <w:rPr>
          <w:rFonts w:ascii="Book Antiqua" w:hAnsi="Book Antiqua"/>
          <w:lang w:val="en-GB"/>
        </w:rPr>
        <w:t xml:space="preserve">the </w:t>
      </w:r>
      <w:proofErr w:type="spellStart"/>
      <w:r w:rsidR="00735CEF" w:rsidRPr="00F200E7">
        <w:rPr>
          <w:rFonts w:ascii="Book Antiqua" w:hAnsi="Book Antiqua"/>
          <w:lang w:val="en-GB"/>
        </w:rPr>
        <w:t>Movimiento</w:t>
      </w:r>
      <w:proofErr w:type="spellEnd"/>
      <w:r w:rsidR="00735CEF" w:rsidRPr="00F200E7">
        <w:rPr>
          <w:rFonts w:ascii="Book Antiqua" w:hAnsi="Book Antiqua"/>
          <w:lang w:val="en-GB"/>
        </w:rPr>
        <w:t xml:space="preserve"> </w:t>
      </w:r>
      <w:proofErr w:type="spellStart"/>
      <w:r w:rsidR="00735CEF" w:rsidRPr="00F200E7">
        <w:rPr>
          <w:rFonts w:ascii="Book Antiqua" w:hAnsi="Book Antiqua"/>
          <w:lang w:val="en-GB"/>
        </w:rPr>
        <w:t>Sindical</w:t>
      </w:r>
      <w:proofErr w:type="spellEnd"/>
      <w:r w:rsidR="00735CEF" w:rsidRPr="00F200E7">
        <w:rPr>
          <w:rFonts w:ascii="Book Antiqua" w:hAnsi="Book Antiqua"/>
          <w:lang w:val="en-GB"/>
        </w:rPr>
        <w:t xml:space="preserve">, </w:t>
      </w:r>
      <w:proofErr w:type="spellStart"/>
      <w:r w:rsidR="00735CEF" w:rsidRPr="00F200E7">
        <w:rPr>
          <w:rFonts w:ascii="Book Antiqua" w:hAnsi="Book Antiqua"/>
          <w:lang w:val="en-GB"/>
        </w:rPr>
        <w:t>Indígena</w:t>
      </w:r>
      <w:proofErr w:type="spellEnd"/>
      <w:r w:rsidR="00735CEF" w:rsidRPr="00F200E7">
        <w:rPr>
          <w:rFonts w:ascii="Book Antiqua" w:hAnsi="Book Antiqua"/>
          <w:lang w:val="en-GB"/>
        </w:rPr>
        <w:t xml:space="preserve"> y </w:t>
      </w:r>
      <w:proofErr w:type="spellStart"/>
      <w:r w:rsidR="00735CEF" w:rsidRPr="00F200E7">
        <w:rPr>
          <w:rFonts w:ascii="Book Antiqua" w:hAnsi="Book Antiqua"/>
          <w:lang w:val="en-GB"/>
        </w:rPr>
        <w:t>Campesino</w:t>
      </w:r>
      <w:proofErr w:type="spellEnd"/>
      <w:r w:rsidR="00735CEF" w:rsidRPr="00F200E7">
        <w:rPr>
          <w:rFonts w:ascii="Book Antiqua" w:hAnsi="Book Antiqua"/>
          <w:lang w:val="en-GB"/>
        </w:rPr>
        <w:t xml:space="preserve"> de Guatemala (</w:t>
      </w:r>
      <w:r w:rsidRPr="00F200E7">
        <w:rPr>
          <w:rFonts w:ascii="Book Antiqua" w:hAnsi="Book Antiqua"/>
          <w:lang w:val="en-GB"/>
        </w:rPr>
        <w:t>MSICG</w:t>
      </w:r>
      <w:r w:rsidR="00735CEF" w:rsidRPr="00F200E7">
        <w:rPr>
          <w:rFonts w:ascii="Book Antiqua" w:hAnsi="Book Antiqua"/>
          <w:lang w:val="en-GB"/>
        </w:rPr>
        <w:t>)</w:t>
      </w:r>
      <w:r w:rsidRPr="00F200E7">
        <w:rPr>
          <w:rFonts w:ascii="Book Antiqua" w:hAnsi="Book Antiqua"/>
          <w:lang w:val="en-GB"/>
        </w:rPr>
        <w:t>, which includes trade unions and peasant and indigenous sector</w:t>
      </w:r>
      <w:r w:rsidR="009620E9" w:rsidRPr="00F200E7">
        <w:rPr>
          <w:rFonts w:ascii="Book Antiqua" w:hAnsi="Book Antiqua"/>
          <w:lang w:val="en-GB"/>
        </w:rPr>
        <w:t xml:space="preserve"> groups</w:t>
      </w:r>
      <w:r w:rsidRPr="00F200E7">
        <w:rPr>
          <w:rFonts w:ascii="Book Antiqua" w:hAnsi="Book Antiqua"/>
          <w:lang w:val="en-GB"/>
        </w:rPr>
        <w:t xml:space="preserve"> set </w:t>
      </w:r>
      <w:r w:rsidR="009620E9" w:rsidRPr="00F200E7">
        <w:rPr>
          <w:rFonts w:ascii="Book Antiqua" w:hAnsi="Book Antiqua"/>
          <w:lang w:val="en-GB"/>
        </w:rPr>
        <w:t xml:space="preserve">up </w:t>
      </w:r>
      <w:r w:rsidRPr="00F200E7">
        <w:rPr>
          <w:rFonts w:ascii="Book Antiqua" w:hAnsi="Book Antiqua"/>
          <w:lang w:val="en-GB"/>
        </w:rPr>
        <w:t xml:space="preserve">under </w:t>
      </w:r>
      <w:r w:rsidR="009620E9" w:rsidRPr="00F200E7">
        <w:rPr>
          <w:rFonts w:ascii="Book Antiqua" w:hAnsi="Book Antiqua"/>
          <w:lang w:val="en-GB"/>
        </w:rPr>
        <w:t xml:space="preserve">as </w:t>
      </w:r>
      <w:r w:rsidRPr="00F200E7">
        <w:rPr>
          <w:rFonts w:ascii="Book Antiqua" w:hAnsi="Book Antiqua"/>
          <w:lang w:val="en-GB"/>
        </w:rPr>
        <w:t xml:space="preserve">civil associations. </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Added to this are the </w:t>
      </w:r>
      <w:r w:rsidR="00527C02">
        <w:rPr>
          <w:rFonts w:ascii="Book Antiqua" w:hAnsi="Book Antiqua"/>
          <w:lang w:val="en-GB"/>
        </w:rPr>
        <w:t>rural</w:t>
      </w:r>
      <w:r w:rsidR="00FB5615">
        <w:rPr>
          <w:rFonts w:ascii="Book Antiqua" w:hAnsi="Book Antiqua"/>
          <w:lang w:val="en-GB"/>
        </w:rPr>
        <w:t xml:space="preserve"> </w:t>
      </w:r>
      <w:r w:rsidR="00BE54DF" w:rsidRPr="00F200E7">
        <w:rPr>
          <w:rFonts w:ascii="Book Antiqua" w:hAnsi="Book Antiqua"/>
          <w:lang w:val="en-GB"/>
        </w:rPr>
        <w:t>organization</w:t>
      </w:r>
      <w:r w:rsidR="00D81D62" w:rsidRPr="00F200E7">
        <w:rPr>
          <w:rFonts w:ascii="Book Antiqua" w:hAnsi="Book Antiqua"/>
          <w:lang w:val="en-GB"/>
        </w:rPr>
        <w:t>s dedicated to ensuring</w:t>
      </w:r>
      <w:r w:rsidRPr="00F200E7">
        <w:rPr>
          <w:rFonts w:ascii="Book Antiqua" w:hAnsi="Book Antiqua"/>
          <w:lang w:val="en-GB"/>
        </w:rPr>
        <w:t xml:space="preserve"> access to land, requesting legislation to promote rural development, and opposing the establishment of mines and hydroelectric power plants. These organizations have a great capacity for mobilization</w:t>
      </w:r>
      <w:r w:rsidR="00563266" w:rsidRPr="00F200E7">
        <w:rPr>
          <w:rFonts w:ascii="Book Antiqua" w:hAnsi="Book Antiqua"/>
          <w:lang w:val="en-GB"/>
        </w:rPr>
        <w:t>. T</w:t>
      </w:r>
      <w:r w:rsidR="002D65B6" w:rsidRPr="00F200E7">
        <w:rPr>
          <w:rFonts w:ascii="Book Antiqua" w:hAnsi="Book Antiqua"/>
          <w:lang w:val="en-GB"/>
        </w:rPr>
        <w:t>hey</w:t>
      </w:r>
      <w:r w:rsidRPr="00F200E7">
        <w:rPr>
          <w:rFonts w:ascii="Book Antiqua" w:hAnsi="Book Antiqua"/>
          <w:lang w:val="en-GB"/>
        </w:rPr>
        <w:t xml:space="preserve"> frequently organize marches </w:t>
      </w:r>
      <w:r w:rsidR="00563266" w:rsidRPr="00F200E7">
        <w:rPr>
          <w:rFonts w:ascii="Book Antiqua" w:hAnsi="Book Antiqua"/>
          <w:lang w:val="en-GB"/>
        </w:rPr>
        <w:t xml:space="preserve">that </w:t>
      </w:r>
      <w:r w:rsidRPr="00F200E7">
        <w:rPr>
          <w:rFonts w:ascii="Book Antiqua" w:hAnsi="Book Antiqua"/>
          <w:lang w:val="en-GB"/>
        </w:rPr>
        <w:t xml:space="preserve">converge </w:t>
      </w:r>
      <w:r w:rsidR="00563266" w:rsidRPr="00F200E7">
        <w:rPr>
          <w:rFonts w:ascii="Book Antiqua" w:hAnsi="Book Antiqua"/>
          <w:lang w:val="en-GB"/>
        </w:rPr>
        <w:t>on</w:t>
      </w:r>
      <w:r w:rsidRPr="00F200E7">
        <w:rPr>
          <w:rFonts w:ascii="Book Antiqua" w:hAnsi="Book Antiqua"/>
          <w:lang w:val="en-GB"/>
        </w:rPr>
        <w:t xml:space="preserve"> the </w:t>
      </w:r>
      <w:r w:rsidR="00D81D62" w:rsidRPr="00F200E7">
        <w:rPr>
          <w:rFonts w:ascii="Book Antiqua" w:hAnsi="Book Antiqua"/>
          <w:lang w:val="en-GB"/>
        </w:rPr>
        <w:t>capital from across the country</w:t>
      </w:r>
      <w:r w:rsidR="00563266" w:rsidRPr="00F200E7">
        <w:rPr>
          <w:rFonts w:ascii="Book Antiqua" w:hAnsi="Book Antiqua"/>
          <w:lang w:val="en-GB"/>
        </w:rPr>
        <w:t>.</w:t>
      </w:r>
      <w:r w:rsidR="00FB5615">
        <w:rPr>
          <w:rFonts w:ascii="Book Antiqua" w:hAnsi="Book Antiqua"/>
          <w:lang w:val="en-GB"/>
        </w:rPr>
        <w:t xml:space="preserve"> </w:t>
      </w: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r w:rsidRPr="00F200E7">
        <w:rPr>
          <w:rFonts w:ascii="Book Antiqua" w:hAnsi="Book Antiqua"/>
          <w:lang w:val="en-GB"/>
        </w:rPr>
        <w:t xml:space="preserve">The three most important </w:t>
      </w:r>
      <w:r w:rsidR="00527C02">
        <w:rPr>
          <w:rFonts w:ascii="Book Antiqua" w:hAnsi="Book Antiqua"/>
          <w:lang w:val="en-GB"/>
        </w:rPr>
        <w:t>rural</w:t>
      </w:r>
      <w:r w:rsidR="00FB5615">
        <w:rPr>
          <w:rFonts w:ascii="Book Antiqua" w:hAnsi="Book Antiqua"/>
          <w:lang w:val="en-GB"/>
        </w:rPr>
        <w:t xml:space="preserve"> </w:t>
      </w:r>
      <w:r w:rsidR="00BE54DF" w:rsidRPr="00F200E7">
        <w:rPr>
          <w:rFonts w:ascii="Book Antiqua" w:hAnsi="Book Antiqua"/>
          <w:lang w:val="en-GB"/>
        </w:rPr>
        <w:t>organization</w:t>
      </w:r>
      <w:r w:rsidRPr="00F200E7">
        <w:rPr>
          <w:rFonts w:ascii="Book Antiqua" w:hAnsi="Book Antiqua"/>
          <w:lang w:val="en-GB"/>
        </w:rPr>
        <w:t xml:space="preserve">s, because of their ability to apply </w:t>
      </w:r>
      <w:r w:rsidR="009620E9" w:rsidRPr="00F200E7">
        <w:rPr>
          <w:rFonts w:ascii="Book Antiqua" w:hAnsi="Book Antiqua"/>
          <w:lang w:val="en-GB"/>
        </w:rPr>
        <w:t xml:space="preserve">political </w:t>
      </w:r>
      <w:r w:rsidRPr="00F200E7">
        <w:rPr>
          <w:rFonts w:ascii="Book Antiqua" w:hAnsi="Book Antiqua"/>
          <w:lang w:val="en-GB"/>
        </w:rPr>
        <w:t>pressure by mobilizing large groups of peasants, in chronological order of their found</w:t>
      </w:r>
      <w:r w:rsidR="006D1E96" w:rsidRPr="00F200E7">
        <w:rPr>
          <w:rFonts w:ascii="Book Antiqua" w:hAnsi="Book Antiqua"/>
          <w:lang w:val="en-GB"/>
        </w:rPr>
        <w:t>ing,</w:t>
      </w:r>
      <w:r w:rsidRPr="00F200E7">
        <w:rPr>
          <w:rFonts w:ascii="Book Antiqua" w:hAnsi="Book Antiqua"/>
          <w:lang w:val="en-GB"/>
        </w:rPr>
        <w:t xml:space="preserve"> are: </w:t>
      </w:r>
      <w:r w:rsidR="009E01F0" w:rsidRPr="00F200E7">
        <w:rPr>
          <w:rFonts w:ascii="Book Antiqua" w:hAnsi="Book Antiqua"/>
          <w:lang w:val="en-GB"/>
        </w:rPr>
        <w:t>the</w:t>
      </w:r>
      <w:r w:rsidR="00735CEF" w:rsidRPr="00F200E7">
        <w:rPr>
          <w:rFonts w:ascii="Book Antiqua" w:hAnsi="Book Antiqua"/>
          <w:lang w:val="en-GB"/>
        </w:rPr>
        <w:t xml:space="preserve"> </w:t>
      </w:r>
      <w:proofErr w:type="spellStart"/>
      <w:r w:rsidR="00735CEF" w:rsidRPr="00F200E7">
        <w:rPr>
          <w:rFonts w:ascii="Book Antiqua" w:hAnsi="Book Antiqua"/>
          <w:lang w:val="en-GB"/>
        </w:rPr>
        <w:t>Comité</w:t>
      </w:r>
      <w:proofErr w:type="spellEnd"/>
      <w:r w:rsidR="00735CEF" w:rsidRPr="00F200E7">
        <w:rPr>
          <w:rFonts w:ascii="Book Antiqua" w:hAnsi="Book Antiqua"/>
          <w:lang w:val="en-GB"/>
        </w:rPr>
        <w:t xml:space="preserve"> de </w:t>
      </w:r>
      <w:proofErr w:type="spellStart"/>
      <w:r w:rsidR="00735CEF" w:rsidRPr="00F200E7">
        <w:rPr>
          <w:rFonts w:ascii="Book Antiqua" w:hAnsi="Book Antiqua"/>
          <w:lang w:val="en-GB"/>
        </w:rPr>
        <w:t>Unidad</w:t>
      </w:r>
      <w:proofErr w:type="spellEnd"/>
      <w:r w:rsidR="00735CEF" w:rsidRPr="00F200E7">
        <w:rPr>
          <w:rFonts w:ascii="Book Antiqua" w:hAnsi="Book Antiqua"/>
          <w:lang w:val="en-GB"/>
        </w:rPr>
        <w:t xml:space="preserve"> </w:t>
      </w:r>
      <w:proofErr w:type="spellStart"/>
      <w:r w:rsidR="00735CEF" w:rsidRPr="00F200E7">
        <w:rPr>
          <w:rFonts w:ascii="Book Antiqua" w:hAnsi="Book Antiqua"/>
          <w:lang w:val="en-GB"/>
        </w:rPr>
        <w:t>Campesina</w:t>
      </w:r>
      <w:proofErr w:type="spellEnd"/>
      <w:r w:rsidR="00FB5615">
        <w:rPr>
          <w:rFonts w:ascii="Book Antiqua" w:hAnsi="Book Antiqua"/>
          <w:lang w:val="en-GB"/>
        </w:rPr>
        <w:t xml:space="preserve"> </w:t>
      </w:r>
      <w:r w:rsidR="00735CEF" w:rsidRPr="00F200E7">
        <w:rPr>
          <w:rFonts w:ascii="Book Antiqua" w:hAnsi="Book Antiqua"/>
          <w:lang w:val="en-GB"/>
        </w:rPr>
        <w:t>(</w:t>
      </w:r>
      <w:r w:rsidRPr="00F200E7">
        <w:rPr>
          <w:rFonts w:ascii="Book Antiqua" w:hAnsi="Book Antiqua"/>
          <w:lang w:val="en-GB"/>
        </w:rPr>
        <w:t>CUC</w:t>
      </w:r>
      <w:r w:rsidR="00735CEF" w:rsidRPr="00F200E7">
        <w:rPr>
          <w:rFonts w:ascii="Book Antiqua" w:hAnsi="Book Antiqua"/>
          <w:lang w:val="en-GB"/>
        </w:rPr>
        <w:t>)</w:t>
      </w:r>
      <w:r w:rsidR="009E01F0" w:rsidRPr="00F200E7">
        <w:rPr>
          <w:rFonts w:ascii="Book Antiqua" w:hAnsi="Book Antiqua"/>
          <w:lang w:val="en-GB"/>
        </w:rPr>
        <w:t>,</w:t>
      </w:r>
      <w:r w:rsidRPr="00F200E7">
        <w:rPr>
          <w:rFonts w:ascii="Book Antiqua" w:hAnsi="Book Antiqua"/>
          <w:lang w:val="en-GB"/>
        </w:rPr>
        <w:t xml:space="preserve"> founded in 1979 and a victim of repression as a result </w:t>
      </w:r>
      <w:r w:rsidR="009E01F0" w:rsidRPr="00F200E7">
        <w:rPr>
          <w:rFonts w:ascii="Book Antiqua" w:hAnsi="Book Antiqua"/>
          <w:lang w:val="en-GB"/>
        </w:rPr>
        <w:t xml:space="preserve">of </w:t>
      </w:r>
      <w:r w:rsidRPr="00F200E7">
        <w:rPr>
          <w:rFonts w:ascii="Book Antiqua" w:hAnsi="Book Antiqua"/>
          <w:lang w:val="en-GB"/>
        </w:rPr>
        <w:t>the armed conflict</w:t>
      </w:r>
      <w:r w:rsidR="00214555" w:rsidRPr="00F200E7">
        <w:rPr>
          <w:rFonts w:ascii="Book Antiqua" w:hAnsi="Book Antiqua"/>
          <w:lang w:val="en-GB"/>
        </w:rPr>
        <w:t xml:space="preserve"> from 1960 to 1996</w:t>
      </w:r>
      <w:r w:rsidR="006D1E96" w:rsidRPr="00F200E7">
        <w:rPr>
          <w:rFonts w:ascii="Book Antiqua" w:hAnsi="Book Antiqua"/>
          <w:lang w:val="en-GB"/>
        </w:rPr>
        <w:t>;</w:t>
      </w:r>
      <w:r w:rsidRPr="00F200E7">
        <w:rPr>
          <w:rFonts w:ascii="Book Antiqua" w:hAnsi="Book Antiqua"/>
          <w:lang w:val="en-GB"/>
        </w:rPr>
        <w:t xml:space="preserve"> the </w:t>
      </w:r>
      <w:proofErr w:type="spellStart"/>
      <w:r w:rsidR="00657D12" w:rsidRPr="00F200E7">
        <w:rPr>
          <w:rFonts w:ascii="Book Antiqua" w:hAnsi="Book Antiqua"/>
          <w:lang w:val="en-GB"/>
        </w:rPr>
        <w:t>Coordinadora</w:t>
      </w:r>
      <w:proofErr w:type="spellEnd"/>
      <w:r w:rsidR="00657D12" w:rsidRPr="00F200E7">
        <w:rPr>
          <w:rFonts w:ascii="Book Antiqua" w:hAnsi="Book Antiqua"/>
          <w:lang w:val="en-GB"/>
        </w:rPr>
        <w:t xml:space="preserve"> </w:t>
      </w:r>
      <w:proofErr w:type="spellStart"/>
      <w:r w:rsidR="00657D12" w:rsidRPr="00F200E7">
        <w:rPr>
          <w:rFonts w:ascii="Book Antiqua" w:hAnsi="Book Antiqua"/>
          <w:lang w:val="en-GB"/>
        </w:rPr>
        <w:t>Nacional</w:t>
      </w:r>
      <w:proofErr w:type="spellEnd"/>
      <w:r w:rsidR="00657D12" w:rsidRPr="00F200E7">
        <w:rPr>
          <w:rFonts w:ascii="Book Antiqua" w:hAnsi="Book Antiqua"/>
          <w:lang w:val="en-GB"/>
        </w:rPr>
        <w:t xml:space="preserve"> de </w:t>
      </w:r>
      <w:proofErr w:type="spellStart"/>
      <w:r w:rsidR="00657D12" w:rsidRPr="00F200E7">
        <w:rPr>
          <w:rFonts w:ascii="Book Antiqua" w:hAnsi="Book Antiqua"/>
          <w:lang w:val="en-GB"/>
        </w:rPr>
        <w:t>Organizaciones</w:t>
      </w:r>
      <w:proofErr w:type="spellEnd"/>
      <w:r w:rsidR="00657D12" w:rsidRPr="00F200E7">
        <w:rPr>
          <w:rFonts w:ascii="Book Antiqua" w:hAnsi="Book Antiqua"/>
          <w:lang w:val="en-GB"/>
        </w:rPr>
        <w:t xml:space="preserve"> </w:t>
      </w:r>
      <w:proofErr w:type="spellStart"/>
      <w:r w:rsidR="00657D12" w:rsidRPr="00F200E7">
        <w:rPr>
          <w:rFonts w:ascii="Book Antiqua" w:hAnsi="Book Antiqua"/>
          <w:lang w:val="en-GB"/>
        </w:rPr>
        <w:t>Campesinas</w:t>
      </w:r>
      <w:proofErr w:type="spellEnd"/>
      <w:r w:rsidR="00657D12" w:rsidRPr="00F200E7">
        <w:rPr>
          <w:rFonts w:ascii="Book Antiqua" w:hAnsi="Book Antiqua"/>
          <w:lang w:val="en-GB"/>
        </w:rPr>
        <w:t xml:space="preserve"> (</w:t>
      </w:r>
      <w:r w:rsidRPr="00F200E7">
        <w:rPr>
          <w:rFonts w:ascii="Book Antiqua" w:hAnsi="Book Antiqua"/>
          <w:lang w:val="en-GB"/>
        </w:rPr>
        <w:t>CNOC</w:t>
      </w:r>
      <w:r w:rsidR="00657D12" w:rsidRPr="00F200E7">
        <w:rPr>
          <w:rFonts w:ascii="Book Antiqua" w:hAnsi="Book Antiqua"/>
          <w:lang w:val="en-GB"/>
        </w:rPr>
        <w:t>)</w:t>
      </w:r>
      <w:r w:rsidRPr="00F200E7">
        <w:rPr>
          <w:rFonts w:ascii="Book Antiqua" w:hAnsi="Book Antiqua"/>
          <w:lang w:val="en-GB"/>
        </w:rPr>
        <w:t>, wh</w:t>
      </w:r>
      <w:r w:rsidR="006D1E96" w:rsidRPr="00F200E7">
        <w:rPr>
          <w:rFonts w:ascii="Book Antiqua" w:hAnsi="Book Antiqua"/>
          <w:lang w:val="en-GB"/>
        </w:rPr>
        <w:t>ich</w:t>
      </w:r>
      <w:r w:rsidRPr="00F200E7">
        <w:rPr>
          <w:rFonts w:ascii="Book Antiqua" w:hAnsi="Book Antiqua"/>
          <w:lang w:val="en-GB"/>
        </w:rPr>
        <w:t xml:space="preserve"> called the march of April 2012</w:t>
      </w:r>
      <w:r w:rsidR="006D1E96" w:rsidRPr="00F200E7">
        <w:rPr>
          <w:rFonts w:ascii="Book Antiqua" w:hAnsi="Book Antiqua"/>
          <w:lang w:val="en-GB"/>
        </w:rPr>
        <w:t>; it</w:t>
      </w:r>
      <w:r w:rsidRPr="00F200E7">
        <w:rPr>
          <w:rFonts w:ascii="Book Antiqua" w:hAnsi="Book Antiqua"/>
          <w:lang w:val="en-GB"/>
        </w:rPr>
        <w:t xml:space="preserve"> was founded in 1992 by the CUC in order to bind </w:t>
      </w:r>
      <w:r w:rsidR="009E01F0" w:rsidRPr="00F200E7">
        <w:rPr>
          <w:rFonts w:ascii="Book Antiqua" w:hAnsi="Book Antiqua"/>
          <w:lang w:val="en-GB"/>
        </w:rPr>
        <w:t xml:space="preserve">together </w:t>
      </w:r>
      <w:r w:rsidRPr="00F200E7">
        <w:rPr>
          <w:rFonts w:ascii="Book Antiqua" w:hAnsi="Book Antiqua"/>
          <w:lang w:val="en-GB"/>
        </w:rPr>
        <w:t>the other peasant organi</w:t>
      </w:r>
      <w:r w:rsidR="00016221">
        <w:rPr>
          <w:rFonts w:ascii="Book Antiqua" w:hAnsi="Book Antiqua"/>
          <w:lang w:val="en-GB"/>
        </w:rPr>
        <w:t>z</w:t>
      </w:r>
      <w:r w:rsidRPr="00F200E7">
        <w:rPr>
          <w:rFonts w:ascii="Book Antiqua" w:hAnsi="Book Antiqua"/>
          <w:lang w:val="en-GB"/>
        </w:rPr>
        <w:t>ations</w:t>
      </w:r>
      <w:r w:rsidR="009E01F0" w:rsidRPr="00F200E7">
        <w:rPr>
          <w:rFonts w:ascii="Book Antiqua" w:hAnsi="Book Antiqua"/>
          <w:lang w:val="en-GB"/>
        </w:rPr>
        <w:t>;</w:t>
      </w:r>
      <w:r w:rsidRPr="00F200E7">
        <w:rPr>
          <w:rFonts w:ascii="Book Antiqua" w:hAnsi="Book Antiqua"/>
          <w:lang w:val="en-GB"/>
        </w:rPr>
        <w:t xml:space="preserve"> and the </w:t>
      </w:r>
      <w:proofErr w:type="spellStart"/>
      <w:r w:rsidR="00657D12" w:rsidRPr="00F200E7">
        <w:rPr>
          <w:rFonts w:ascii="Book Antiqua" w:hAnsi="Book Antiqua"/>
          <w:lang w:val="en-GB"/>
        </w:rPr>
        <w:t>Coordinadora</w:t>
      </w:r>
      <w:proofErr w:type="spellEnd"/>
      <w:r w:rsidR="00657D12" w:rsidRPr="00F200E7">
        <w:rPr>
          <w:rFonts w:ascii="Book Antiqua" w:hAnsi="Book Antiqua"/>
          <w:lang w:val="en-GB"/>
        </w:rPr>
        <w:t xml:space="preserve"> </w:t>
      </w:r>
      <w:proofErr w:type="spellStart"/>
      <w:r w:rsidR="00657D12" w:rsidRPr="00F200E7">
        <w:rPr>
          <w:rFonts w:ascii="Book Antiqua" w:hAnsi="Book Antiqua"/>
          <w:lang w:val="en-GB"/>
        </w:rPr>
        <w:t>Nacional</w:t>
      </w:r>
      <w:proofErr w:type="spellEnd"/>
      <w:r w:rsidR="00657D12" w:rsidRPr="00F200E7">
        <w:rPr>
          <w:rFonts w:ascii="Book Antiqua" w:hAnsi="Book Antiqua"/>
          <w:lang w:val="en-GB"/>
        </w:rPr>
        <w:t xml:space="preserve"> </w:t>
      </w:r>
      <w:proofErr w:type="spellStart"/>
      <w:r w:rsidR="00657D12" w:rsidRPr="00F200E7">
        <w:rPr>
          <w:rFonts w:ascii="Book Antiqua" w:hAnsi="Book Antiqua"/>
          <w:lang w:val="en-GB"/>
        </w:rPr>
        <w:t>Indígena</w:t>
      </w:r>
      <w:proofErr w:type="spellEnd"/>
      <w:r w:rsidR="00657D12" w:rsidRPr="00F200E7">
        <w:rPr>
          <w:rFonts w:ascii="Book Antiqua" w:hAnsi="Book Antiqua"/>
          <w:lang w:val="en-GB"/>
        </w:rPr>
        <w:t xml:space="preserve"> y </w:t>
      </w:r>
      <w:proofErr w:type="spellStart"/>
      <w:r w:rsidR="00657D12" w:rsidRPr="00F200E7">
        <w:rPr>
          <w:rFonts w:ascii="Book Antiqua" w:hAnsi="Book Antiqua"/>
          <w:lang w:val="en-GB"/>
        </w:rPr>
        <w:t>Campesina</w:t>
      </w:r>
      <w:proofErr w:type="spellEnd"/>
      <w:r w:rsidR="00657D12" w:rsidRPr="00F200E7">
        <w:rPr>
          <w:rFonts w:ascii="Book Antiqua" w:hAnsi="Book Antiqua"/>
          <w:lang w:val="en-GB"/>
        </w:rPr>
        <w:t xml:space="preserve"> (</w:t>
      </w:r>
      <w:r w:rsidRPr="00F200E7">
        <w:rPr>
          <w:rFonts w:ascii="Book Antiqua" w:hAnsi="Book Antiqua"/>
          <w:lang w:val="en-GB"/>
        </w:rPr>
        <w:t>CONIC</w:t>
      </w:r>
      <w:r w:rsidR="00657D12" w:rsidRPr="00F200E7">
        <w:rPr>
          <w:rFonts w:ascii="Book Antiqua" w:hAnsi="Book Antiqua"/>
          <w:lang w:val="en-GB"/>
        </w:rPr>
        <w:t>)</w:t>
      </w:r>
      <w:r w:rsidRPr="00F200E7">
        <w:rPr>
          <w:rFonts w:ascii="Book Antiqua" w:hAnsi="Book Antiqua"/>
          <w:lang w:val="en-GB"/>
        </w:rPr>
        <w:t xml:space="preserve">, </w:t>
      </w:r>
      <w:r w:rsidR="009E01F0" w:rsidRPr="00F200E7">
        <w:rPr>
          <w:rFonts w:ascii="Book Antiqua" w:hAnsi="Book Antiqua"/>
          <w:lang w:val="en-GB"/>
        </w:rPr>
        <w:t xml:space="preserve">which </w:t>
      </w:r>
      <w:r w:rsidRPr="00F200E7">
        <w:rPr>
          <w:rFonts w:ascii="Book Antiqua" w:hAnsi="Book Antiqua"/>
          <w:lang w:val="en-GB"/>
        </w:rPr>
        <w:t>ar</w:t>
      </w:r>
      <w:r w:rsidR="009E01F0" w:rsidRPr="00F200E7">
        <w:rPr>
          <w:rFonts w:ascii="Book Antiqua" w:hAnsi="Book Antiqua"/>
          <w:lang w:val="en-GB"/>
        </w:rPr>
        <w:t>ose</w:t>
      </w:r>
      <w:r w:rsidRPr="00F200E7">
        <w:rPr>
          <w:rFonts w:ascii="Book Antiqua" w:hAnsi="Book Antiqua"/>
          <w:lang w:val="en-GB"/>
        </w:rPr>
        <w:t xml:space="preserve"> in 1992 as a division of </w:t>
      </w:r>
      <w:r w:rsidR="009E01F0" w:rsidRPr="00F200E7">
        <w:rPr>
          <w:rFonts w:ascii="Book Antiqua" w:hAnsi="Book Antiqua"/>
          <w:lang w:val="en-GB"/>
        </w:rPr>
        <w:t xml:space="preserve">the </w:t>
      </w:r>
      <w:r w:rsidRPr="00F200E7">
        <w:rPr>
          <w:rFonts w:ascii="Book Antiqua" w:hAnsi="Book Antiqua"/>
          <w:lang w:val="en-GB"/>
        </w:rPr>
        <w:t>CUC. The two coordinat</w:t>
      </w:r>
      <w:r w:rsidR="006D1E96" w:rsidRPr="00F200E7">
        <w:rPr>
          <w:rFonts w:ascii="Book Antiqua" w:hAnsi="Book Antiqua"/>
          <w:lang w:val="en-GB"/>
        </w:rPr>
        <w:t xml:space="preserve">ing </w:t>
      </w:r>
      <w:proofErr w:type="gramStart"/>
      <w:r w:rsidR="00527C02">
        <w:rPr>
          <w:rFonts w:ascii="Book Antiqua" w:hAnsi="Book Antiqua"/>
          <w:lang w:val="en-GB"/>
        </w:rPr>
        <w:t>organizations(</w:t>
      </w:r>
      <w:proofErr w:type="gramEnd"/>
      <w:r w:rsidR="00527C02">
        <w:rPr>
          <w:rFonts w:ascii="Book Antiqua" w:hAnsi="Book Antiqua"/>
          <w:lang w:val="en-GB"/>
        </w:rPr>
        <w:t xml:space="preserve">CNOC and CONIC) </w:t>
      </w:r>
      <w:r w:rsidRPr="00F200E7">
        <w:rPr>
          <w:rFonts w:ascii="Book Antiqua" w:hAnsi="Book Antiqua"/>
          <w:lang w:val="en-GB"/>
        </w:rPr>
        <w:t xml:space="preserve">are composed of </w:t>
      </w:r>
      <w:r w:rsidR="00527C02">
        <w:rPr>
          <w:rFonts w:ascii="Book Antiqua" w:hAnsi="Book Antiqua"/>
          <w:lang w:val="en-GB"/>
        </w:rPr>
        <w:t>numerous</w:t>
      </w:r>
      <w:r w:rsidR="00FB5615">
        <w:rPr>
          <w:rFonts w:ascii="Book Antiqua" w:hAnsi="Book Antiqua"/>
          <w:lang w:val="en-GB"/>
        </w:rPr>
        <w:t xml:space="preserve"> </w:t>
      </w:r>
      <w:r w:rsidR="00527C02" w:rsidRPr="00F200E7">
        <w:rPr>
          <w:rFonts w:ascii="Book Antiqua" w:hAnsi="Book Antiqua"/>
          <w:lang w:val="en-GB"/>
        </w:rPr>
        <w:t>grassroots</w:t>
      </w:r>
      <w:r w:rsidR="00527C02">
        <w:rPr>
          <w:rFonts w:ascii="Book Antiqua" w:hAnsi="Book Antiqua"/>
          <w:lang w:val="en-GB"/>
        </w:rPr>
        <w:t xml:space="preserve"> organizations and of second level coordinating </w:t>
      </w:r>
      <w:r w:rsidRPr="00F200E7">
        <w:rPr>
          <w:rFonts w:ascii="Book Antiqua" w:hAnsi="Book Antiqua"/>
          <w:lang w:val="en-GB"/>
        </w:rPr>
        <w:t>and alliance organizations (</w:t>
      </w:r>
      <w:proofErr w:type="spellStart"/>
      <w:r w:rsidRPr="00F200E7">
        <w:rPr>
          <w:rFonts w:ascii="Book Antiqua" w:hAnsi="Book Antiqua"/>
          <w:lang w:val="en-GB"/>
        </w:rPr>
        <w:t>Menchú</w:t>
      </w:r>
      <w:proofErr w:type="spellEnd"/>
      <w:r w:rsidRPr="00F200E7">
        <w:rPr>
          <w:rFonts w:ascii="Book Antiqua" w:hAnsi="Book Antiqua"/>
          <w:lang w:val="en-GB"/>
        </w:rPr>
        <w:t xml:space="preserve"> </w:t>
      </w:r>
      <w:r w:rsidR="00EC6FE3">
        <w:rPr>
          <w:rFonts w:ascii="Book Antiqua" w:hAnsi="Book Antiqua"/>
          <w:lang w:val="en-GB"/>
        </w:rPr>
        <w:t xml:space="preserve">and </w:t>
      </w:r>
      <w:proofErr w:type="spellStart"/>
      <w:r w:rsidR="00EC6FE3">
        <w:rPr>
          <w:rFonts w:ascii="Book Antiqua" w:hAnsi="Book Antiqua"/>
          <w:lang w:val="en-GB"/>
        </w:rPr>
        <w:t>Gamazo</w:t>
      </w:r>
      <w:proofErr w:type="spellEnd"/>
      <w:r w:rsidRPr="00F200E7">
        <w:rPr>
          <w:rFonts w:ascii="Book Antiqua" w:hAnsi="Book Antiqua"/>
          <w:lang w:val="en-GB"/>
        </w:rPr>
        <w:t>, 2012).</w:t>
      </w:r>
    </w:p>
    <w:p w:rsidR="00ED1005" w:rsidRPr="00F200E7" w:rsidRDefault="00ED1005" w:rsidP="006C1A87">
      <w:pPr>
        <w:pStyle w:val="Heading1"/>
        <w:rPr>
          <w:lang w:val="en-GB"/>
        </w:rPr>
      </w:pPr>
      <w:r w:rsidRPr="00F200E7">
        <w:rPr>
          <w:lang w:val="en-GB"/>
        </w:rPr>
        <w:br w:type="page"/>
      </w:r>
      <w:bookmarkStart w:id="195" w:name="_Toc336607527"/>
      <w:bookmarkStart w:id="196" w:name="_Toc333838001"/>
      <w:r w:rsidR="00070053" w:rsidRPr="00F200E7">
        <w:rPr>
          <w:lang w:val="en-GB"/>
        </w:rPr>
        <w:t>6.</w:t>
      </w:r>
      <w:r w:rsidR="00116FF7">
        <w:rPr>
          <w:lang w:val="en-GB"/>
        </w:rPr>
        <w:t>7</w:t>
      </w:r>
      <w:r w:rsidR="00070053" w:rsidRPr="00F200E7">
        <w:rPr>
          <w:lang w:val="en-GB"/>
        </w:rPr>
        <w:tab/>
        <w:t>CONCLUSIONS AND RECOMMENDATIONS</w:t>
      </w:r>
      <w:bookmarkEnd w:id="195"/>
      <w:bookmarkEnd w:id="196"/>
    </w:p>
    <w:p w:rsidR="00ED1005" w:rsidRPr="00F200E7" w:rsidRDefault="00070053" w:rsidP="0032057B">
      <w:pPr>
        <w:pStyle w:val="Heading2"/>
      </w:pPr>
      <w:bookmarkStart w:id="197" w:name="_Toc336607528"/>
      <w:bookmarkStart w:id="198" w:name="_Toc333838002"/>
      <w:r w:rsidRPr="00F200E7">
        <w:t>6.</w:t>
      </w:r>
      <w:r w:rsidR="00116FF7">
        <w:t>7</w:t>
      </w:r>
      <w:r w:rsidRPr="00F200E7">
        <w:t>.1</w:t>
      </w:r>
      <w:r w:rsidRPr="00F200E7">
        <w:tab/>
      </w:r>
      <w:r w:rsidR="00ED1005" w:rsidRPr="00F200E7">
        <w:t>Conclusions</w:t>
      </w:r>
      <w:bookmarkEnd w:id="197"/>
      <w:bookmarkEnd w:id="198"/>
    </w:p>
    <w:p w:rsidR="00ED1005" w:rsidRPr="00F200E7" w:rsidRDefault="00ED1005" w:rsidP="00ED1005">
      <w:pPr>
        <w:spacing w:after="0" w:line="240" w:lineRule="auto"/>
        <w:jc w:val="both"/>
        <w:rPr>
          <w:rFonts w:ascii="Book Antiqua" w:hAnsi="Book Antiqua"/>
          <w:lang w:val="en-GB"/>
        </w:rPr>
      </w:pPr>
      <w:r w:rsidRPr="00F200E7">
        <w:rPr>
          <w:rFonts w:ascii="Book Antiqua" w:hAnsi="Book Antiqua"/>
          <w:lang w:val="en-GB"/>
        </w:rPr>
        <w:t>Th</w:t>
      </w:r>
      <w:r w:rsidR="00A82BBA">
        <w:rPr>
          <w:rFonts w:ascii="Book Antiqua" w:hAnsi="Book Antiqua"/>
          <w:lang w:val="en-GB"/>
        </w:rPr>
        <w:t>is</w:t>
      </w:r>
      <w:r w:rsidRPr="00F200E7">
        <w:rPr>
          <w:rFonts w:ascii="Book Antiqua" w:hAnsi="Book Antiqua"/>
          <w:lang w:val="en-GB"/>
        </w:rPr>
        <w:t xml:space="preserve"> study </w:t>
      </w:r>
      <w:r w:rsidR="00293C9B" w:rsidRPr="00F200E7">
        <w:rPr>
          <w:rFonts w:ascii="Book Antiqua" w:hAnsi="Book Antiqua"/>
          <w:lang w:val="en-GB"/>
        </w:rPr>
        <w:t>has noted</w:t>
      </w:r>
      <w:r w:rsidRPr="00F200E7">
        <w:rPr>
          <w:rFonts w:ascii="Book Antiqua" w:hAnsi="Book Antiqua"/>
          <w:lang w:val="en-GB"/>
        </w:rPr>
        <w:t xml:space="preserve"> that </w:t>
      </w:r>
      <w:r w:rsidR="00293C9B" w:rsidRPr="00F200E7">
        <w:rPr>
          <w:rFonts w:ascii="Book Antiqua" w:hAnsi="Book Antiqua"/>
          <w:lang w:val="en-GB"/>
        </w:rPr>
        <w:t xml:space="preserve">the productivity of the </w:t>
      </w:r>
      <w:r w:rsidRPr="00F200E7">
        <w:rPr>
          <w:rFonts w:ascii="Book Antiqua" w:hAnsi="Book Antiqua"/>
          <w:lang w:val="en-GB"/>
        </w:rPr>
        <w:t>domestic agricultural sector is very low</w:t>
      </w:r>
      <w:r w:rsidR="005C4ED1" w:rsidRPr="00F200E7">
        <w:rPr>
          <w:rFonts w:ascii="Book Antiqua" w:hAnsi="Book Antiqua"/>
          <w:lang w:val="en-GB"/>
        </w:rPr>
        <w:t>.</w:t>
      </w:r>
      <w:r w:rsidR="00FB5615">
        <w:rPr>
          <w:rFonts w:ascii="Book Antiqua" w:hAnsi="Book Antiqua"/>
          <w:lang w:val="en-GB"/>
        </w:rPr>
        <w:t xml:space="preserve"> </w:t>
      </w:r>
      <w:r w:rsidR="00293C9B" w:rsidRPr="00F200E7">
        <w:rPr>
          <w:rFonts w:ascii="Book Antiqua" w:hAnsi="Book Antiqua"/>
          <w:lang w:val="en-GB"/>
        </w:rPr>
        <w:t>T</w:t>
      </w:r>
      <w:r w:rsidRPr="00F200E7">
        <w:rPr>
          <w:rFonts w:ascii="Book Antiqua" w:hAnsi="Book Antiqua"/>
          <w:lang w:val="en-GB"/>
        </w:rPr>
        <w:t xml:space="preserve">his economic activity employs many workers but generates little value added. One reason for this low productivity </w:t>
      </w:r>
      <w:r w:rsidR="00293C9B" w:rsidRPr="00F200E7">
        <w:rPr>
          <w:rFonts w:ascii="Book Antiqua" w:hAnsi="Book Antiqua"/>
          <w:lang w:val="en-GB"/>
        </w:rPr>
        <w:t xml:space="preserve">may be </w:t>
      </w:r>
      <w:r w:rsidRPr="00F200E7">
        <w:rPr>
          <w:rFonts w:ascii="Book Antiqua" w:hAnsi="Book Antiqua"/>
          <w:lang w:val="en-GB"/>
        </w:rPr>
        <w:t xml:space="preserve">that workers have </w:t>
      </w:r>
      <w:r w:rsidR="00293C9B" w:rsidRPr="00F200E7">
        <w:rPr>
          <w:rFonts w:ascii="Book Antiqua" w:hAnsi="Book Antiqua"/>
          <w:lang w:val="en-GB"/>
        </w:rPr>
        <w:t xml:space="preserve">little </w:t>
      </w:r>
      <w:r w:rsidRPr="00F200E7">
        <w:rPr>
          <w:rFonts w:ascii="Book Antiqua" w:hAnsi="Book Antiqua"/>
          <w:lang w:val="en-GB"/>
        </w:rPr>
        <w:t xml:space="preserve">education, which </w:t>
      </w:r>
      <w:r w:rsidR="00293C9B" w:rsidRPr="00F200E7">
        <w:rPr>
          <w:rFonts w:ascii="Book Antiqua" w:hAnsi="Book Antiqua"/>
          <w:lang w:val="en-GB"/>
        </w:rPr>
        <w:t xml:space="preserve">also </w:t>
      </w:r>
      <w:r w:rsidRPr="00F200E7">
        <w:rPr>
          <w:rFonts w:ascii="Book Antiqua" w:hAnsi="Book Antiqua"/>
          <w:lang w:val="en-GB"/>
        </w:rPr>
        <w:t xml:space="preserve">results in </w:t>
      </w:r>
      <w:r w:rsidR="00293C9B" w:rsidRPr="00F200E7">
        <w:rPr>
          <w:rFonts w:ascii="Book Antiqua" w:hAnsi="Book Antiqua"/>
          <w:lang w:val="en-GB"/>
        </w:rPr>
        <w:t xml:space="preserve">very low incomes and a </w:t>
      </w:r>
      <w:r w:rsidRPr="00F200E7">
        <w:rPr>
          <w:rFonts w:ascii="Book Antiqua" w:hAnsi="Book Antiqua"/>
          <w:lang w:val="en-GB"/>
        </w:rPr>
        <w:t xml:space="preserve">high </w:t>
      </w:r>
      <w:r w:rsidR="00293C9B" w:rsidRPr="00F200E7">
        <w:rPr>
          <w:rFonts w:ascii="Book Antiqua" w:hAnsi="Book Antiqua"/>
          <w:lang w:val="en-GB"/>
        </w:rPr>
        <w:t xml:space="preserve">level of </w:t>
      </w:r>
      <w:r w:rsidRPr="00F200E7">
        <w:rPr>
          <w:rFonts w:ascii="Book Antiqua" w:hAnsi="Book Antiqua"/>
          <w:lang w:val="en-GB"/>
        </w:rPr>
        <w:t>poverty</w:t>
      </w:r>
      <w:r w:rsidR="00293C9B" w:rsidRPr="00F200E7">
        <w:rPr>
          <w:rFonts w:ascii="Book Antiqua" w:hAnsi="Book Antiqua"/>
          <w:lang w:val="en-GB"/>
        </w:rPr>
        <w:t>.</w:t>
      </w:r>
      <w:r w:rsidR="00FB5615">
        <w:rPr>
          <w:rFonts w:ascii="Book Antiqua" w:hAnsi="Book Antiqua"/>
          <w:lang w:val="en-GB"/>
        </w:rPr>
        <w:t xml:space="preserve"> </w:t>
      </w:r>
      <w:r w:rsidR="00596A5C" w:rsidRPr="00F200E7">
        <w:rPr>
          <w:rFonts w:ascii="Book Antiqua" w:hAnsi="Book Antiqua"/>
          <w:lang w:val="en-GB"/>
        </w:rPr>
        <w:t xml:space="preserve">In contrast, </w:t>
      </w:r>
      <w:r w:rsidR="00A82BBA">
        <w:rPr>
          <w:rFonts w:ascii="Book Antiqua" w:hAnsi="Book Antiqua"/>
          <w:lang w:val="en-GB"/>
        </w:rPr>
        <w:t xml:space="preserve">the </w:t>
      </w:r>
      <w:r w:rsidR="00596A5C" w:rsidRPr="00F200E7">
        <w:rPr>
          <w:rFonts w:ascii="Book Antiqua" w:hAnsi="Book Antiqua"/>
          <w:lang w:val="en-GB"/>
        </w:rPr>
        <w:t xml:space="preserve">average employer in the agricultural sector </w:t>
      </w:r>
      <w:r w:rsidR="00A82BBA">
        <w:rPr>
          <w:rFonts w:ascii="Book Antiqua" w:hAnsi="Book Antiqua"/>
          <w:lang w:val="en-GB"/>
        </w:rPr>
        <w:t xml:space="preserve">is </w:t>
      </w:r>
      <w:r w:rsidR="00596A5C" w:rsidRPr="00F200E7">
        <w:rPr>
          <w:rFonts w:ascii="Book Antiqua" w:hAnsi="Book Antiqua"/>
          <w:lang w:val="en-GB"/>
        </w:rPr>
        <w:t xml:space="preserve">not poor. </w:t>
      </w:r>
      <w:r w:rsidR="00A82BBA">
        <w:rPr>
          <w:rFonts w:ascii="Book Antiqua" w:hAnsi="Book Antiqua"/>
          <w:lang w:val="en-GB"/>
        </w:rPr>
        <w:t>Employers’</w:t>
      </w:r>
      <w:r w:rsidR="00FB5615">
        <w:rPr>
          <w:rFonts w:ascii="Book Antiqua" w:hAnsi="Book Antiqua"/>
          <w:lang w:val="en-GB"/>
        </w:rPr>
        <w:t xml:space="preserve"> </w:t>
      </w:r>
      <w:r w:rsidR="00596A5C" w:rsidRPr="00F200E7">
        <w:rPr>
          <w:rFonts w:ascii="Book Antiqua" w:hAnsi="Book Antiqua"/>
          <w:lang w:val="en-GB"/>
        </w:rPr>
        <w:t>incom</w:t>
      </w:r>
      <w:r w:rsidR="001D2B68">
        <w:rPr>
          <w:rFonts w:ascii="Book Antiqua" w:hAnsi="Book Antiqua"/>
          <w:lang w:val="en-GB"/>
        </w:rPr>
        <w:t>es far surpass those of workers</w:t>
      </w:r>
      <w:r w:rsidR="00596A5C" w:rsidRPr="00F200E7">
        <w:rPr>
          <w:rFonts w:ascii="Book Antiqua" w:hAnsi="Book Antiqua"/>
          <w:lang w:val="en-GB"/>
        </w:rPr>
        <w:t>.</w:t>
      </w:r>
    </w:p>
    <w:p w:rsidR="00ED1005" w:rsidRPr="00F200E7" w:rsidRDefault="00ED1005" w:rsidP="00ED1005">
      <w:pPr>
        <w:spacing w:after="0" w:line="240" w:lineRule="auto"/>
        <w:jc w:val="both"/>
        <w:rPr>
          <w:rFonts w:ascii="Book Antiqua" w:hAnsi="Book Antiqua"/>
          <w:lang w:val="en-GB"/>
        </w:rPr>
      </w:pPr>
    </w:p>
    <w:p w:rsidR="001D2B68" w:rsidRPr="00F200E7" w:rsidRDefault="00ED1005" w:rsidP="001D2B68">
      <w:pPr>
        <w:spacing w:after="0" w:line="240" w:lineRule="auto"/>
        <w:jc w:val="both"/>
        <w:rPr>
          <w:rFonts w:ascii="Book Antiqua" w:hAnsi="Book Antiqua"/>
          <w:lang w:val="en-GB"/>
        </w:rPr>
      </w:pPr>
      <w:r w:rsidRPr="00F200E7">
        <w:rPr>
          <w:rFonts w:ascii="Book Antiqua" w:hAnsi="Book Antiqua"/>
          <w:lang w:val="en-GB"/>
        </w:rPr>
        <w:t xml:space="preserve">Another relevant fact is that the </w:t>
      </w:r>
      <w:r w:rsidR="009C7D25">
        <w:rPr>
          <w:rFonts w:ascii="Book Antiqua" w:hAnsi="Book Antiqua"/>
          <w:lang w:val="en-GB"/>
        </w:rPr>
        <w:t xml:space="preserve">importance of the </w:t>
      </w:r>
      <w:r w:rsidRPr="00F200E7">
        <w:rPr>
          <w:rFonts w:ascii="Book Antiqua" w:hAnsi="Book Antiqua"/>
          <w:lang w:val="en-GB"/>
        </w:rPr>
        <w:t xml:space="preserve">export of </w:t>
      </w:r>
      <w:r w:rsidR="00BC151C" w:rsidRPr="00F200E7">
        <w:rPr>
          <w:rFonts w:ascii="Book Antiqua" w:hAnsi="Book Antiqua"/>
          <w:lang w:val="en-GB"/>
        </w:rPr>
        <w:t>non-traditional</w:t>
      </w:r>
      <w:r w:rsidRPr="00F200E7">
        <w:rPr>
          <w:rFonts w:ascii="Book Antiqua" w:hAnsi="Book Antiqua"/>
          <w:lang w:val="en-GB"/>
        </w:rPr>
        <w:t xml:space="preserve"> products has </w:t>
      </w:r>
      <w:r w:rsidR="009C7D25">
        <w:rPr>
          <w:rFonts w:ascii="Book Antiqua" w:hAnsi="Book Antiqua"/>
          <w:lang w:val="en-GB"/>
        </w:rPr>
        <w:t>grown</w:t>
      </w:r>
      <w:r w:rsidRPr="00F200E7">
        <w:rPr>
          <w:rFonts w:ascii="Book Antiqua" w:hAnsi="Book Antiqua"/>
          <w:lang w:val="en-GB"/>
        </w:rPr>
        <w:t xml:space="preserve"> in the last </w:t>
      </w:r>
      <w:r w:rsidR="00293C9B" w:rsidRPr="00F200E7">
        <w:rPr>
          <w:rFonts w:ascii="Book Antiqua" w:hAnsi="Book Antiqua"/>
          <w:lang w:val="en-GB"/>
        </w:rPr>
        <w:t>20</w:t>
      </w:r>
      <w:r w:rsidRPr="00F200E7">
        <w:rPr>
          <w:rFonts w:ascii="Book Antiqua" w:hAnsi="Book Antiqua"/>
          <w:lang w:val="en-GB"/>
        </w:rPr>
        <w:t xml:space="preserve"> years. Some possible reasons for this phenomenon are trade liberalization, tariff reduction, and </w:t>
      </w:r>
      <w:r w:rsidR="00657D12" w:rsidRPr="00F200E7">
        <w:rPr>
          <w:rFonts w:ascii="Book Antiqua" w:hAnsi="Book Antiqua"/>
          <w:lang w:val="en-GB"/>
        </w:rPr>
        <w:t>increases</w:t>
      </w:r>
      <w:r w:rsidRPr="00F200E7">
        <w:rPr>
          <w:rFonts w:ascii="Book Antiqua" w:hAnsi="Book Antiqua"/>
          <w:lang w:val="en-GB"/>
        </w:rPr>
        <w:t xml:space="preserve"> in national production.</w:t>
      </w:r>
      <w:r w:rsidR="001D2B68">
        <w:rPr>
          <w:rFonts w:ascii="Book Antiqua" w:hAnsi="Book Antiqua"/>
          <w:lang w:val="en-GB"/>
        </w:rPr>
        <w:t xml:space="preserve"> Overall, export concentration – as measured by the </w:t>
      </w:r>
      <w:proofErr w:type="spellStart"/>
      <w:r w:rsidR="001D2B68">
        <w:rPr>
          <w:rFonts w:ascii="Book Antiqua" w:hAnsi="Book Antiqua"/>
          <w:lang w:val="en-GB"/>
        </w:rPr>
        <w:t>Herfindahl</w:t>
      </w:r>
      <w:proofErr w:type="spellEnd"/>
      <w:r w:rsidR="001D2B68">
        <w:rPr>
          <w:rFonts w:ascii="Book Antiqua" w:hAnsi="Book Antiqua"/>
          <w:lang w:val="en-GB"/>
        </w:rPr>
        <w:t xml:space="preserve"> index, has decreased since the signing of DR-CAFTA. Geographical concentration may have increased, though. M</w:t>
      </w:r>
      <w:r w:rsidRPr="00F200E7">
        <w:rPr>
          <w:rFonts w:ascii="Book Antiqua" w:hAnsi="Book Antiqua"/>
          <w:lang w:val="en-GB"/>
        </w:rPr>
        <w:t xml:space="preserve">ore than half of agricultural exports </w:t>
      </w:r>
      <w:r w:rsidR="005F5B0D" w:rsidRPr="00F200E7">
        <w:rPr>
          <w:rFonts w:ascii="Book Antiqua" w:hAnsi="Book Antiqua"/>
          <w:lang w:val="en-GB"/>
        </w:rPr>
        <w:t>go to</w:t>
      </w:r>
      <w:r w:rsidRPr="00F200E7">
        <w:rPr>
          <w:rFonts w:ascii="Book Antiqua" w:hAnsi="Book Antiqua"/>
          <w:lang w:val="en-GB"/>
        </w:rPr>
        <w:t xml:space="preserve"> the </w:t>
      </w:r>
      <w:r w:rsidR="00FB5615">
        <w:rPr>
          <w:rFonts w:ascii="Book Antiqua" w:hAnsi="Book Antiqua"/>
          <w:lang w:val="en-GB"/>
        </w:rPr>
        <w:t xml:space="preserve">US </w:t>
      </w:r>
      <w:r w:rsidRPr="00F200E7">
        <w:rPr>
          <w:rFonts w:ascii="Book Antiqua" w:hAnsi="Book Antiqua"/>
          <w:lang w:val="en-GB"/>
        </w:rPr>
        <w:t xml:space="preserve">and Central America, which </w:t>
      </w:r>
      <w:r w:rsidR="005F5B0D" w:rsidRPr="00F200E7">
        <w:rPr>
          <w:rFonts w:ascii="Book Antiqua" w:hAnsi="Book Antiqua"/>
          <w:lang w:val="en-GB"/>
        </w:rPr>
        <w:t>could expose this sector to risks if sudden changes occurred in these markets.</w:t>
      </w:r>
      <w:r w:rsidR="001D2B68">
        <w:rPr>
          <w:rFonts w:ascii="Book Antiqua" w:hAnsi="Book Antiqua"/>
          <w:lang w:val="en-GB"/>
        </w:rPr>
        <w:t xml:space="preserve"> On the import side</w:t>
      </w:r>
      <w:r w:rsidR="001D2B68" w:rsidRPr="00F200E7">
        <w:rPr>
          <w:rFonts w:ascii="Book Antiqua" w:hAnsi="Book Antiqua"/>
          <w:lang w:val="en-GB"/>
        </w:rPr>
        <w:t xml:space="preserve"> US agricultural </w:t>
      </w:r>
      <w:r w:rsidR="001D2B68">
        <w:rPr>
          <w:rFonts w:ascii="Book Antiqua" w:hAnsi="Book Antiqua"/>
          <w:lang w:val="en-GB"/>
        </w:rPr>
        <w:t>products</w:t>
      </w:r>
      <w:r w:rsidR="001D2B68" w:rsidRPr="00F200E7">
        <w:rPr>
          <w:rFonts w:ascii="Book Antiqua" w:hAnsi="Book Antiqua"/>
          <w:lang w:val="en-GB"/>
        </w:rPr>
        <w:t xml:space="preserve"> accounted for an average of 5.5 per cent </w:t>
      </w:r>
      <w:r w:rsidR="001D2B68">
        <w:rPr>
          <w:rFonts w:ascii="Book Antiqua" w:hAnsi="Book Antiqua"/>
          <w:lang w:val="en-GB"/>
        </w:rPr>
        <w:t xml:space="preserve">of the Guatemalan market </w:t>
      </w:r>
      <w:r w:rsidR="001D2B68" w:rsidRPr="00F200E7">
        <w:rPr>
          <w:rFonts w:ascii="Book Antiqua" w:hAnsi="Book Antiqua"/>
          <w:lang w:val="en-GB"/>
        </w:rPr>
        <w:t xml:space="preserve">prior to the </w:t>
      </w:r>
      <w:r w:rsidR="001D2B68">
        <w:rPr>
          <w:rFonts w:ascii="Book Antiqua" w:hAnsi="Book Antiqua"/>
          <w:lang w:val="en-GB"/>
        </w:rPr>
        <w:t>t</w:t>
      </w:r>
      <w:r w:rsidR="001D2B68" w:rsidRPr="00F200E7">
        <w:rPr>
          <w:rFonts w:ascii="Book Antiqua" w:hAnsi="Book Antiqua"/>
          <w:lang w:val="en-GB"/>
        </w:rPr>
        <w:t xml:space="preserve">reaty and 6.3 per cent after its ratification. </w:t>
      </w:r>
    </w:p>
    <w:p w:rsidR="00ED1005" w:rsidRPr="00F200E7" w:rsidRDefault="00ED1005" w:rsidP="00ED1005">
      <w:pPr>
        <w:spacing w:after="0" w:line="240" w:lineRule="auto"/>
        <w:jc w:val="both"/>
        <w:rPr>
          <w:rFonts w:ascii="Book Antiqua" w:hAnsi="Book Antiqua"/>
          <w:lang w:val="en-GB"/>
        </w:rPr>
      </w:pPr>
    </w:p>
    <w:p w:rsidR="00ED1005" w:rsidRPr="00F200E7" w:rsidRDefault="005F5B0D" w:rsidP="00ED1005">
      <w:pPr>
        <w:spacing w:after="0" w:line="240" w:lineRule="auto"/>
        <w:jc w:val="both"/>
        <w:rPr>
          <w:rFonts w:ascii="Book Antiqua" w:hAnsi="Book Antiqua"/>
          <w:lang w:val="en-GB"/>
        </w:rPr>
      </w:pPr>
      <w:r w:rsidRPr="00F200E7">
        <w:rPr>
          <w:rFonts w:ascii="Book Antiqua" w:hAnsi="Book Antiqua"/>
          <w:lang w:val="en-GB"/>
        </w:rPr>
        <w:t>E</w:t>
      </w:r>
      <w:r w:rsidR="00ED1005" w:rsidRPr="00F200E7">
        <w:rPr>
          <w:rFonts w:ascii="Book Antiqua" w:hAnsi="Book Antiqua"/>
          <w:lang w:val="en-GB"/>
        </w:rPr>
        <w:t xml:space="preserve">vidence </w:t>
      </w:r>
      <w:r w:rsidRPr="00F200E7">
        <w:rPr>
          <w:rFonts w:ascii="Book Antiqua" w:hAnsi="Book Antiqua"/>
          <w:lang w:val="en-GB"/>
        </w:rPr>
        <w:t>suggests</w:t>
      </w:r>
      <w:r w:rsidR="00ED1005" w:rsidRPr="00F200E7">
        <w:rPr>
          <w:rFonts w:ascii="Book Antiqua" w:hAnsi="Book Antiqua"/>
          <w:lang w:val="en-GB"/>
        </w:rPr>
        <w:t xml:space="preserve"> that </w:t>
      </w:r>
      <w:r w:rsidRPr="00F200E7">
        <w:rPr>
          <w:rFonts w:ascii="Book Antiqua" w:hAnsi="Book Antiqua"/>
          <w:lang w:val="en-GB"/>
        </w:rPr>
        <w:t xml:space="preserve">the trend in </w:t>
      </w:r>
      <w:r w:rsidR="00ED1005" w:rsidRPr="00F200E7">
        <w:rPr>
          <w:rFonts w:ascii="Book Antiqua" w:hAnsi="Book Antiqua"/>
          <w:lang w:val="en-GB"/>
        </w:rPr>
        <w:t xml:space="preserve">agricultural formal employment </w:t>
      </w:r>
      <w:r w:rsidRPr="00F200E7">
        <w:rPr>
          <w:rFonts w:ascii="Book Antiqua" w:hAnsi="Book Antiqua"/>
          <w:lang w:val="en-GB"/>
        </w:rPr>
        <w:t xml:space="preserve">changed after Guatemala </w:t>
      </w:r>
      <w:r w:rsidR="00657D12" w:rsidRPr="00F200E7">
        <w:rPr>
          <w:rFonts w:ascii="Book Antiqua" w:hAnsi="Book Antiqua"/>
          <w:lang w:val="en-GB"/>
        </w:rPr>
        <w:t>ratified</w:t>
      </w:r>
      <w:r w:rsidRPr="00F200E7">
        <w:rPr>
          <w:rFonts w:ascii="Book Antiqua" w:hAnsi="Book Antiqua"/>
          <w:lang w:val="en-GB"/>
        </w:rPr>
        <w:t xml:space="preserve"> the DR–CAFTA in 2006</w:t>
      </w:r>
      <w:r w:rsidR="00ED1005" w:rsidRPr="00F200E7">
        <w:rPr>
          <w:rFonts w:ascii="Book Antiqua" w:hAnsi="Book Antiqua"/>
          <w:lang w:val="en-GB"/>
        </w:rPr>
        <w:t xml:space="preserve">. This change </w:t>
      </w:r>
      <w:r w:rsidR="009C7D25">
        <w:rPr>
          <w:rFonts w:ascii="Book Antiqua" w:hAnsi="Book Antiqua"/>
          <w:lang w:val="en-GB"/>
        </w:rPr>
        <w:t>amounted to</w:t>
      </w:r>
      <w:r w:rsidR="00ED1005" w:rsidRPr="00F200E7">
        <w:rPr>
          <w:rFonts w:ascii="Book Antiqua" w:hAnsi="Book Antiqua"/>
          <w:lang w:val="en-GB"/>
        </w:rPr>
        <w:t xml:space="preserve"> a reduction </w:t>
      </w:r>
      <w:r w:rsidRPr="00F200E7">
        <w:rPr>
          <w:rFonts w:ascii="Book Antiqua" w:hAnsi="Book Antiqua"/>
          <w:lang w:val="en-GB"/>
        </w:rPr>
        <w:t>in</w:t>
      </w:r>
      <w:r w:rsidR="00ED1005" w:rsidRPr="00F200E7">
        <w:rPr>
          <w:rFonts w:ascii="Book Antiqua" w:hAnsi="Book Antiqua"/>
          <w:lang w:val="en-GB"/>
        </w:rPr>
        <w:t xml:space="preserve"> the </w:t>
      </w:r>
      <w:r w:rsidRPr="00F200E7">
        <w:rPr>
          <w:rFonts w:ascii="Book Antiqua" w:hAnsi="Book Antiqua"/>
          <w:lang w:val="en-GB"/>
        </w:rPr>
        <w:t xml:space="preserve">rate of decline in </w:t>
      </w:r>
      <w:r w:rsidR="00ED1005" w:rsidRPr="00F200E7">
        <w:rPr>
          <w:rFonts w:ascii="Book Antiqua" w:hAnsi="Book Antiqua"/>
          <w:lang w:val="en-GB"/>
        </w:rPr>
        <w:t xml:space="preserve">this type of employment </w:t>
      </w:r>
      <w:r w:rsidRPr="00F200E7">
        <w:rPr>
          <w:rFonts w:ascii="Book Antiqua" w:hAnsi="Book Antiqua"/>
          <w:lang w:val="en-GB"/>
        </w:rPr>
        <w:t xml:space="preserve">compared with that </w:t>
      </w:r>
      <w:r w:rsidR="00ED1005" w:rsidRPr="00F200E7">
        <w:rPr>
          <w:rFonts w:ascii="Book Antiqua" w:hAnsi="Book Antiqua"/>
          <w:lang w:val="en-GB"/>
        </w:rPr>
        <w:t>experienced</w:t>
      </w:r>
      <w:r w:rsidR="00FB5615">
        <w:rPr>
          <w:rFonts w:ascii="Book Antiqua" w:hAnsi="Book Antiqua"/>
          <w:lang w:val="en-GB"/>
        </w:rPr>
        <w:t xml:space="preserve"> </w:t>
      </w:r>
      <w:r w:rsidR="00ED1005" w:rsidRPr="00F200E7">
        <w:rPr>
          <w:rFonts w:ascii="Book Antiqua" w:hAnsi="Book Antiqua"/>
          <w:lang w:val="en-GB"/>
        </w:rPr>
        <w:t xml:space="preserve">in the first half of </w:t>
      </w:r>
      <w:r w:rsidR="009C7D25">
        <w:rPr>
          <w:rFonts w:ascii="Book Antiqua" w:hAnsi="Book Antiqua"/>
          <w:lang w:val="en-GB"/>
        </w:rPr>
        <w:t xml:space="preserve">the </w:t>
      </w:r>
      <w:r w:rsidR="00ED1005" w:rsidRPr="00F200E7">
        <w:rPr>
          <w:rFonts w:ascii="Book Antiqua" w:hAnsi="Book Antiqua"/>
          <w:lang w:val="en-GB"/>
        </w:rPr>
        <w:t xml:space="preserve">last decade. </w:t>
      </w:r>
      <w:r w:rsidR="009C7D25">
        <w:rPr>
          <w:rFonts w:ascii="Book Antiqua" w:hAnsi="Book Antiqua"/>
          <w:lang w:val="en-GB"/>
        </w:rPr>
        <w:t>The volume</w:t>
      </w:r>
      <w:r w:rsidR="00AA0A06">
        <w:rPr>
          <w:rFonts w:ascii="Book Antiqua" w:hAnsi="Book Antiqua"/>
          <w:lang w:val="en-GB"/>
        </w:rPr>
        <w:t>s</w:t>
      </w:r>
      <w:r w:rsidR="009C7D25">
        <w:rPr>
          <w:rFonts w:ascii="Book Antiqua" w:hAnsi="Book Antiqua"/>
          <w:lang w:val="en-GB"/>
        </w:rPr>
        <w:t xml:space="preserve"> of e</w:t>
      </w:r>
      <w:r w:rsidR="00ED1005" w:rsidRPr="00F200E7">
        <w:rPr>
          <w:rFonts w:ascii="Book Antiqua" w:hAnsi="Book Antiqua"/>
          <w:lang w:val="en-GB"/>
        </w:rPr>
        <w:t>xports of sugar, bananas</w:t>
      </w:r>
      <w:r w:rsidR="00D87686" w:rsidRPr="00F200E7">
        <w:rPr>
          <w:rFonts w:ascii="Book Antiqua" w:hAnsi="Book Antiqua"/>
          <w:lang w:val="en-GB"/>
        </w:rPr>
        <w:t>,</w:t>
      </w:r>
      <w:r w:rsidR="00ED1005" w:rsidRPr="00F200E7">
        <w:rPr>
          <w:rFonts w:ascii="Book Antiqua" w:hAnsi="Book Antiqua"/>
          <w:lang w:val="en-GB"/>
        </w:rPr>
        <w:t xml:space="preserve"> and cardamom were not related </w:t>
      </w:r>
      <w:r w:rsidR="001D2B68">
        <w:rPr>
          <w:rFonts w:ascii="Book Antiqua" w:hAnsi="Book Antiqua"/>
          <w:lang w:val="en-GB"/>
        </w:rPr>
        <w:t xml:space="preserve">positively </w:t>
      </w:r>
      <w:r w:rsidR="00ED1005" w:rsidRPr="00F200E7">
        <w:rPr>
          <w:rFonts w:ascii="Book Antiqua" w:hAnsi="Book Antiqua"/>
          <w:lang w:val="en-GB"/>
        </w:rPr>
        <w:t xml:space="preserve">to the number of formal employees in the agricultural sector, </w:t>
      </w:r>
      <w:r w:rsidR="00D87686" w:rsidRPr="00F200E7">
        <w:rPr>
          <w:rFonts w:ascii="Book Antiqua" w:hAnsi="Book Antiqua"/>
          <w:lang w:val="en-GB"/>
        </w:rPr>
        <w:t xml:space="preserve">and </w:t>
      </w:r>
      <w:r w:rsidR="00ED1005" w:rsidRPr="00F200E7">
        <w:rPr>
          <w:rFonts w:ascii="Book Antiqua" w:hAnsi="Book Antiqua"/>
          <w:lang w:val="en-GB"/>
        </w:rPr>
        <w:t>so the increase in employment in th</w:t>
      </w:r>
      <w:r w:rsidR="00D87686" w:rsidRPr="00F200E7">
        <w:rPr>
          <w:rFonts w:ascii="Book Antiqua" w:hAnsi="Book Antiqua"/>
          <w:lang w:val="en-GB"/>
        </w:rPr>
        <w:t>e</w:t>
      </w:r>
      <w:r w:rsidR="00ED1005" w:rsidRPr="00F200E7">
        <w:rPr>
          <w:rFonts w:ascii="Book Antiqua" w:hAnsi="Book Antiqua"/>
          <w:lang w:val="en-GB"/>
        </w:rPr>
        <w:t>s</w:t>
      </w:r>
      <w:r w:rsidR="00D87686" w:rsidRPr="00F200E7">
        <w:rPr>
          <w:rFonts w:ascii="Book Antiqua" w:hAnsi="Book Antiqua"/>
          <w:lang w:val="en-GB"/>
        </w:rPr>
        <w:t>e sub-sectors</w:t>
      </w:r>
      <w:r w:rsidR="00FB5615">
        <w:rPr>
          <w:rFonts w:ascii="Book Antiqua" w:hAnsi="Book Antiqua"/>
          <w:lang w:val="en-GB"/>
        </w:rPr>
        <w:t xml:space="preserve"> </w:t>
      </w:r>
      <w:r w:rsidR="009C7D25">
        <w:rPr>
          <w:rFonts w:ascii="Book Antiqua" w:hAnsi="Book Antiqua"/>
          <w:lang w:val="en-GB"/>
        </w:rPr>
        <w:t xml:space="preserve">must be </w:t>
      </w:r>
      <w:r w:rsidR="00ED1005" w:rsidRPr="00F200E7">
        <w:rPr>
          <w:rFonts w:ascii="Book Antiqua" w:hAnsi="Book Antiqua"/>
          <w:lang w:val="en-GB"/>
        </w:rPr>
        <w:t xml:space="preserve">due to factors other than the performance of </w:t>
      </w:r>
      <w:r w:rsidR="00D87686" w:rsidRPr="00F200E7">
        <w:rPr>
          <w:rFonts w:ascii="Book Antiqua" w:hAnsi="Book Antiqua"/>
          <w:lang w:val="en-GB"/>
        </w:rPr>
        <w:t xml:space="preserve">these </w:t>
      </w:r>
      <w:r w:rsidR="00ED1005" w:rsidRPr="00F200E7">
        <w:rPr>
          <w:rFonts w:ascii="Book Antiqua" w:hAnsi="Book Antiqua"/>
          <w:lang w:val="en-GB"/>
        </w:rPr>
        <w:t xml:space="preserve">exports. </w:t>
      </w:r>
      <w:r w:rsidR="00D87686" w:rsidRPr="00F200E7">
        <w:rPr>
          <w:rFonts w:ascii="Book Antiqua" w:hAnsi="Book Antiqua"/>
          <w:lang w:val="en-GB"/>
        </w:rPr>
        <w:t xml:space="preserve">In contrast, </w:t>
      </w:r>
      <w:r w:rsidR="009C7D25">
        <w:rPr>
          <w:rFonts w:ascii="Book Antiqua" w:hAnsi="Book Antiqua"/>
          <w:lang w:val="en-GB"/>
        </w:rPr>
        <w:t xml:space="preserve">increases in </w:t>
      </w:r>
      <w:r w:rsidR="00ED1005" w:rsidRPr="00F200E7">
        <w:rPr>
          <w:rFonts w:ascii="Book Antiqua" w:hAnsi="Book Antiqua"/>
          <w:lang w:val="en-GB"/>
        </w:rPr>
        <w:t xml:space="preserve">coffee exports </w:t>
      </w:r>
      <w:r w:rsidR="00D87686" w:rsidRPr="00F200E7">
        <w:rPr>
          <w:rFonts w:ascii="Book Antiqua" w:hAnsi="Book Antiqua"/>
          <w:lang w:val="en-GB"/>
        </w:rPr>
        <w:t xml:space="preserve">did appear to create greater formal </w:t>
      </w:r>
      <w:r w:rsidR="00ED1005" w:rsidRPr="00F200E7">
        <w:rPr>
          <w:rFonts w:ascii="Book Antiqua" w:hAnsi="Book Antiqua"/>
          <w:lang w:val="en-GB"/>
        </w:rPr>
        <w:t>agricultural employment.</w:t>
      </w:r>
    </w:p>
    <w:p w:rsidR="00ED1005" w:rsidRPr="00F200E7" w:rsidRDefault="00ED1005" w:rsidP="00ED1005">
      <w:pPr>
        <w:spacing w:after="0" w:line="240" w:lineRule="auto"/>
        <w:jc w:val="both"/>
        <w:rPr>
          <w:rFonts w:ascii="Book Antiqua" w:hAnsi="Book Antiqua"/>
          <w:lang w:val="en-GB"/>
        </w:rPr>
      </w:pPr>
    </w:p>
    <w:p w:rsidR="00ED1005" w:rsidRPr="00F200E7" w:rsidRDefault="00ED1005" w:rsidP="00ED1005">
      <w:pPr>
        <w:spacing w:after="0" w:line="240" w:lineRule="auto"/>
        <w:jc w:val="both"/>
        <w:rPr>
          <w:rFonts w:ascii="Book Antiqua" w:hAnsi="Book Antiqua"/>
          <w:lang w:val="en-GB"/>
        </w:rPr>
      </w:pPr>
      <w:r w:rsidRPr="00F200E7">
        <w:rPr>
          <w:rFonts w:ascii="Book Antiqua" w:hAnsi="Book Antiqua"/>
          <w:lang w:val="en-GB"/>
        </w:rPr>
        <w:t xml:space="preserve">Interestingly, although </w:t>
      </w:r>
      <w:r w:rsidR="00D87686" w:rsidRPr="00F200E7">
        <w:rPr>
          <w:rFonts w:ascii="Book Antiqua" w:hAnsi="Book Antiqua"/>
          <w:lang w:val="en-GB"/>
        </w:rPr>
        <w:t xml:space="preserve">the volume of </w:t>
      </w:r>
      <w:r w:rsidRPr="00F200E7">
        <w:rPr>
          <w:rFonts w:ascii="Book Antiqua" w:hAnsi="Book Antiqua"/>
          <w:lang w:val="en-GB"/>
        </w:rPr>
        <w:t>some agro</w:t>
      </w:r>
      <w:r w:rsidR="00D87686" w:rsidRPr="00F200E7">
        <w:rPr>
          <w:rFonts w:ascii="Book Antiqua" w:hAnsi="Book Antiqua"/>
          <w:lang w:val="en-GB"/>
        </w:rPr>
        <w:t>-</w:t>
      </w:r>
      <w:r w:rsidRPr="00F200E7">
        <w:rPr>
          <w:rFonts w:ascii="Book Antiqua" w:hAnsi="Book Antiqua"/>
          <w:lang w:val="en-GB"/>
        </w:rPr>
        <w:t xml:space="preserve">industry exports </w:t>
      </w:r>
      <w:r w:rsidR="00D87686" w:rsidRPr="00F200E7">
        <w:rPr>
          <w:rFonts w:ascii="Book Antiqua" w:hAnsi="Book Antiqua"/>
          <w:lang w:val="en-GB"/>
        </w:rPr>
        <w:t xml:space="preserve">such as </w:t>
      </w:r>
      <w:r w:rsidRPr="00F200E7">
        <w:rPr>
          <w:rFonts w:ascii="Book Antiqua" w:hAnsi="Book Antiqua"/>
          <w:lang w:val="en-GB"/>
        </w:rPr>
        <w:t xml:space="preserve">sugar </w:t>
      </w:r>
      <w:r w:rsidR="009C7D25">
        <w:rPr>
          <w:rFonts w:ascii="Book Antiqua" w:hAnsi="Book Antiqua"/>
          <w:lang w:val="en-GB"/>
        </w:rPr>
        <w:t>increased</w:t>
      </w:r>
      <w:r w:rsidR="00FB5615">
        <w:rPr>
          <w:rFonts w:ascii="Book Antiqua" w:hAnsi="Book Antiqua"/>
          <w:lang w:val="en-GB"/>
        </w:rPr>
        <w:t xml:space="preserve"> </w:t>
      </w:r>
      <w:r w:rsidRPr="00F200E7">
        <w:rPr>
          <w:rFonts w:ascii="Book Antiqua" w:hAnsi="Book Antiqua"/>
          <w:lang w:val="en-GB"/>
        </w:rPr>
        <w:t>significantly after implementation of DR</w:t>
      </w:r>
      <w:r w:rsidR="00D87686" w:rsidRPr="00F200E7">
        <w:rPr>
          <w:rFonts w:ascii="Book Antiqua" w:hAnsi="Book Antiqua"/>
          <w:lang w:val="en-GB"/>
        </w:rPr>
        <w:t>–</w:t>
      </w:r>
      <w:r w:rsidRPr="00F200E7">
        <w:rPr>
          <w:rFonts w:ascii="Book Antiqua" w:hAnsi="Book Antiqua"/>
          <w:lang w:val="en-GB"/>
        </w:rPr>
        <w:t>CAFTA</w:t>
      </w:r>
      <w:r w:rsidR="00D87686" w:rsidRPr="00F200E7">
        <w:rPr>
          <w:rFonts w:ascii="Book Antiqua" w:hAnsi="Book Antiqua"/>
          <w:lang w:val="en-GB"/>
        </w:rPr>
        <w:t>,</w:t>
      </w:r>
      <w:r w:rsidR="00FB5615">
        <w:rPr>
          <w:rFonts w:ascii="Book Antiqua" w:hAnsi="Book Antiqua"/>
          <w:lang w:val="en-GB"/>
        </w:rPr>
        <w:t xml:space="preserve"> </w:t>
      </w:r>
      <w:r w:rsidR="00D87686" w:rsidRPr="00F200E7">
        <w:rPr>
          <w:rFonts w:ascii="Book Antiqua" w:hAnsi="Book Antiqua"/>
          <w:lang w:val="en-GB"/>
        </w:rPr>
        <w:t>t</w:t>
      </w:r>
      <w:r w:rsidRPr="00F200E7">
        <w:rPr>
          <w:rFonts w:ascii="Book Antiqua" w:hAnsi="Book Antiqua"/>
          <w:lang w:val="en-GB"/>
        </w:rPr>
        <w:t>h</w:t>
      </w:r>
      <w:r w:rsidR="00D87686" w:rsidRPr="00F200E7">
        <w:rPr>
          <w:rFonts w:ascii="Book Antiqua" w:hAnsi="Book Antiqua"/>
          <w:lang w:val="en-GB"/>
        </w:rPr>
        <w:t>is</w:t>
      </w:r>
      <w:r w:rsidRPr="00F200E7">
        <w:rPr>
          <w:rFonts w:ascii="Book Antiqua" w:hAnsi="Book Antiqua"/>
          <w:lang w:val="en-GB"/>
        </w:rPr>
        <w:t xml:space="preserve"> improved performance has not translated into </w:t>
      </w:r>
      <w:r w:rsidR="00D87686" w:rsidRPr="00F200E7">
        <w:rPr>
          <w:rFonts w:ascii="Book Antiqua" w:hAnsi="Book Antiqua"/>
          <w:lang w:val="en-GB"/>
        </w:rPr>
        <w:t>growth in</w:t>
      </w:r>
      <w:r w:rsidRPr="00F200E7">
        <w:rPr>
          <w:rFonts w:ascii="Book Antiqua" w:hAnsi="Book Antiqua"/>
          <w:lang w:val="en-GB"/>
        </w:rPr>
        <w:t xml:space="preserve"> formal agricultural employment</w:t>
      </w:r>
      <w:r w:rsidR="00F7401E" w:rsidRPr="00F200E7">
        <w:rPr>
          <w:rFonts w:ascii="Book Antiqua" w:hAnsi="Book Antiqua"/>
          <w:lang w:val="en-GB"/>
        </w:rPr>
        <w:t xml:space="preserve"> in these sub-sectors</w:t>
      </w:r>
      <w:r w:rsidR="00D87686" w:rsidRPr="00F200E7">
        <w:rPr>
          <w:rFonts w:ascii="Book Antiqua" w:hAnsi="Book Antiqua"/>
          <w:lang w:val="en-GB"/>
        </w:rPr>
        <w:t xml:space="preserve">. </w:t>
      </w:r>
      <w:r w:rsidR="00F7401E" w:rsidRPr="00F200E7">
        <w:rPr>
          <w:rFonts w:ascii="Book Antiqua" w:hAnsi="Book Antiqua"/>
          <w:lang w:val="en-GB"/>
        </w:rPr>
        <w:t>T</w:t>
      </w:r>
      <w:r w:rsidR="00D87686" w:rsidRPr="00F200E7">
        <w:rPr>
          <w:rFonts w:ascii="Book Antiqua" w:hAnsi="Book Antiqua"/>
          <w:lang w:val="en-GB"/>
        </w:rPr>
        <w:t xml:space="preserve">he growth in </w:t>
      </w:r>
      <w:r w:rsidR="00F7401E" w:rsidRPr="00F200E7">
        <w:rPr>
          <w:rFonts w:ascii="Book Antiqua" w:hAnsi="Book Antiqua"/>
          <w:lang w:val="en-GB"/>
        </w:rPr>
        <w:t xml:space="preserve">the volume of these </w:t>
      </w:r>
      <w:r w:rsidR="00D87686" w:rsidRPr="00F200E7">
        <w:rPr>
          <w:rFonts w:ascii="Book Antiqua" w:hAnsi="Book Antiqua"/>
          <w:lang w:val="en-GB"/>
        </w:rPr>
        <w:t>export</w:t>
      </w:r>
      <w:r w:rsidR="00F7401E" w:rsidRPr="00F200E7">
        <w:rPr>
          <w:rFonts w:ascii="Book Antiqua" w:hAnsi="Book Antiqua"/>
          <w:lang w:val="en-GB"/>
        </w:rPr>
        <w:t>s</w:t>
      </w:r>
      <w:r w:rsidR="00FB5615">
        <w:rPr>
          <w:rFonts w:ascii="Book Antiqua" w:hAnsi="Book Antiqua"/>
          <w:lang w:val="en-GB"/>
        </w:rPr>
        <w:t xml:space="preserve"> </w:t>
      </w:r>
      <w:r w:rsidRPr="00F200E7">
        <w:rPr>
          <w:rFonts w:ascii="Book Antiqua" w:hAnsi="Book Antiqua"/>
          <w:lang w:val="en-GB"/>
        </w:rPr>
        <w:t xml:space="preserve">could reflect </w:t>
      </w:r>
      <w:r w:rsidR="00D87686" w:rsidRPr="00F200E7">
        <w:rPr>
          <w:rFonts w:ascii="Book Antiqua" w:hAnsi="Book Antiqua"/>
          <w:lang w:val="en-GB"/>
        </w:rPr>
        <w:t xml:space="preserve">the fact </w:t>
      </w:r>
      <w:r w:rsidRPr="00F200E7">
        <w:rPr>
          <w:rFonts w:ascii="Book Antiqua" w:hAnsi="Book Antiqua"/>
          <w:lang w:val="en-GB"/>
        </w:rPr>
        <w:t>that th</w:t>
      </w:r>
      <w:r w:rsidR="00D87686" w:rsidRPr="00F200E7">
        <w:rPr>
          <w:rFonts w:ascii="Book Antiqua" w:hAnsi="Book Antiqua"/>
          <w:lang w:val="en-GB"/>
        </w:rPr>
        <w:t>e</w:t>
      </w:r>
      <w:r w:rsidRPr="00F200E7">
        <w:rPr>
          <w:rFonts w:ascii="Book Antiqua" w:hAnsi="Book Antiqua"/>
          <w:lang w:val="en-GB"/>
        </w:rPr>
        <w:t>s</w:t>
      </w:r>
      <w:r w:rsidR="00D87686" w:rsidRPr="00F200E7">
        <w:rPr>
          <w:rFonts w:ascii="Book Antiqua" w:hAnsi="Book Antiqua"/>
          <w:lang w:val="en-GB"/>
        </w:rPr>
        <w:t>e</w:t>
      </w:r>
      <w:r w:rsidRPr="00F200E7">
        <w:rPr>
          <w:rFonts w:ascii="Book Antiqua" w:hAnsi="Book Antiqua"/>
          <w:lang w:val="en-GB"/>
        </w:rPr>
        <w:t xml:space="preserve"> activit</w:t>
      </w:r>
      <w:r w:rsidR="00D87686" w:rsidRPr="00F200E7">
        <w:rPr>
          <w:rFonts w:ascii="Book Antiqua" w:hAnsi="Book Antiqua"/>
          <w:lang w:val="en-GB"/>
        </w:rPr>
        <w:t>ies are</w:t>
      </w:r>
      <w:r w:rsidRPr="00F200E7">
        <w:rPr>
          <w:rFonts w:ascii="Book Antiqua" w:hAnsi="Book Antiqua"/>
          <w:lang w:val="en-GB"/>
        </w:rPr>
        <w:t xml:space="preserve"> intensive in the use of capital and not </w:t>
      </w:r>
      <w:r w:rsidR="00D87686" w:rsidRPr="00F200E7">
        <w:rPr>
          <w:rFonts w:ascii="Book Antiqua" w:hAnsi="Book Antiqua"/>
          <w:lang w:val="en-GB"/>
        </w:rPr>
        <w:t xml:space="preserve">of </w:t>
      </w:r>
      <w:r w:rsidRPr="00F200E7">
        <w:rPr>
          <w:rFonts w:ascii="Book Antiqua" w:hAnsi="Book Antiqua"/>
          <w:lang w:val="en-GB"/>
        </w:rPr>
        <w:t>labour.</w:t>
      </w:r>
    </w:p>
    <w:p w:rsidR="00ED1005" w:rsidRPr="00F200E7" w:rsidRDefault="00ED1005" w:rsidP="00ED1005">
      <w:pPr>
        <w:spacing w:after="0" w:line="240" w:lineRule="auto"/>
        <w:jc w:val="both"/>
        <w:rPr>
          <w:rFonts w:ascii="Book Antiqua" w:hAnsi="Book Antiqua"/>
          <w:lang w:val="en-GB"/>
        </w:rPr>
      </w:pPr>
    </w:p>
    <w:p w:rsidR="00ED1005" w:rsidRPr="00F200E7" w:rsidRDefault="00D87686" w:rsidP="00ED1005">
      <w:pPr>
        <w:spacing w:after="0" w:line="240" w:lineRule="auto"/>
        <w:jc w:val="both"/>
        <w:rPr>
          <w:rFonts w:ascii="Book Antiqua" w:hAnsi="Book Antiqua"/>
          <w:lang w:val="en-GB"/>
        </w:rPr>
      </w:pPr>
      <w:r w:rsidRPr="00F200E7">
        <w:rPr>
          <w:rFonts w:ascii="Book Antiqua" w:hAnsi="Book Antiqua"/>
          <w:lang w:val="en-GB"/>
        </w:rPr>
        <w:t>Still</w:t>
      </w:r>
      <w:r w:rsidR="00ED1005" w:rsidRPr="00F200E7">
        <w:rPr>
          <w:rFonts w:ascii="Book Antiqua" w:hAnsi="Book Antiqua"/>
          <w:lang w:val="en-GB"/>
        </w:rPr>
        <w:t>, the signing of DR</w:t>
      </w:r>
      <w:r w:rsidRPr="00F200E7">
        <w:rPr>
          <w:rFonts w:ascii="Book Antiqua" w:hAnsi="Book Antiqua"/>
          <w:lang w:val="en-GB"/>
        </w:rPr>
        <w:t>–</w:t>
      </w:r>
      <w:r w:rsidR="00ED1005" w:rsidRPr="00F200E7">
        <w:rPr>
          <w:rFonts w:ascii="Book Antiqua" w:hAnsi="Book Antiqua"/>
          <w:lang w:val="en-GB"/>
        </w:rPr>
        <w:t xml:space="preserve">CAFTA and its impact on </w:t>
      </w:r>
      <w:r w:rsidRPr="00F200E7">
        <w:rPr>
          <w:rFonts w:ascii="Book Antiqua" w:hAnsi="Book Antiqua"/>
          <w:lang w:val="en-GB"/>
        </w:rPr>
        <w:t xml:space="preserve">the </w:t>
      </w:r>
      <w:r w:rsidR="00ED1005" w:rsidRPr="00F200E7">
        <w:rPr>
          <w:rFonts w:ascii="Book Antiqua" w:hAnsi="Book Antiqua"/>
          <w:lang w:val="en-GB"/>
        </w:rPr>
        <w:t>volume of traditional export</w:t>
      </w:r>
      <w:r w:rsidRPr="00F200E7">
        <w:rPr>
          <w:rFonts w:ascii="Book Antiqua" w:hAnsi="Book Antiqua"/>
          <w:lang w:val="en-GB"/>
        </w:rPr>
        <w:t>s</w:t>
      </w:r>
      <w:r w:rsidR="00FB5615">
        <w:rPr>
          <w:rFonts w:ascii="Book Antiqua" w:hAnsi="Book Antiqua"/>
          <w:lang w:val="en-GB"/>
        </w:rPr>
        <w:t xml:space="preserve"> </w:t>
      </w:r>
      <w:r w:rsidRPr="00F200E7">
        <w:rPr>
          <w:rFonts w:ascii="Book Antiqua" w:hAnsi="Book Antiqua"/>
          <w:lang w:val="en-GB"/>
        </w:rPr>
        <w:t xml:space="preserve">did </w:t>
      </w:r>
      <w:r w:rsidR="00ED1005" w:rsidRPr="00F200E7">
        <w:rPr>
          <w:rFonts w:ascii="Book Antiqua" w:hAnsi="Book Antiqua"/>
          <w:lang w:val="en-GB"/>
        </w:rPr>
        <w:t xml:space="preserve">generate jobs, mostly informal, leading to a </w:t>
      </w:r>
      <w:r w:rsidR="00FE0E43" w:rsidRPr="00F200E7">
        <w:rPr>
          <w:rFonts w:ascii="Book Antiqua" w:hAnsi="Book Antiqua"/>
          <w:lang w:val="en-GB"/>
        </w:rPr>
        <w:t xml:space="preserve">net </w:t>
      </w:r>
      <w:r w:rsidR="00ED1005" w:rsidRPr="00F200E7">
        <w:rPr>
          <w:rFonts w:ascii="Book Antiqua" w:hAnsi="Book Antiqua"/>
          <w:lang w:val="en-GB"/>
        </w:rPr>
        <w:t xml:space="preserve">positive effect on </w:t>
      </w:r>
      <w:r w:rsidR="00FE0E43" w:rsidRPr="00F200E7">
        <w:rPr>
          <w:rFonts w:ascii="Book Antiqua" w:hAnsi="Book Antiqua"/>
          <w:lang w:val="en-GB"/>
        </w:rPr>
        <w:t xml:space="preserve">overall </w:t>
      </w:r>
      <w:r w:rsidR="00ED1005" w:rsidRPr="00F200E7">
        <w:rPr>
          <w:rFonts w:ascii="Book Antiqua" w:hAnsi="Book Antiqua"/>
          <w:lang w:val="en-GB"/>
        </w:rPr>
        <w:t>employment in the simulations.</w:t>
      </w:r>
      <w:r w:rsidR="00FE0E43" w:rsidRPr="00F200E7">
        <w:rPr>
          <w:rFonts w:ascii="Book Antiqua" w:hAnsi="Book Antiqua"/>
          <w:lang w:val="en-GB"/>
        </w:rPr>
        <w:t xml:space="preserve"> The SAM methodology shows that</w:t>
      </w:r>
      <w:r w:rsidR="00ED1005" w:rsidRPr="00F200E7">
        <w:rPr>
          <w:rFonts w:ascii="Book Antiqua" w:hAnsi="Book Antiqua"/>
          <w:lang w:val="en-GB"/>
        </w:rPr>
        <w:t xml:space="preserve"> exports of traditional products </w:t>
      </w:r>
      <w:r w:rsidR="00FE0E43" w:rsidRPr="00F200E7">
        <w:rPr>
          <w:rFonts w:ascii="Book Antiqua" w:hAnsi="Book Antiqua"/>
          <w:lang w:val="en-GB"/>
        </w:rPr>
        <w:t xml:space="preserve">increased </w:t>
      </w:r>
      <w:r w:rsidR="00ED1005" w:rsidRPr="00F200E7">
        <w:rPr>
          <w:rFonts w:ascii="Book Antiqua" w:hAnsi="Book Antiqua"/>
          <w:lang w:val="en-GB"/>
        </w:rPr>
        <w:t>due to DR</w:t>
      </w:r>
      <w:r w:rsidR="00FE0E43" w:rsidRPr="00F200E7">
        <w:rPr>
          <w:rFonts w:ascii="Book Antiqua" w:hAnsi="Book Antiqua"/>
          <w:lang w:val="en-GB"/>
        </w:rPr>
        <w:t>–</w:t>
      </w:r>
      <w:r w:rsidR="00ED1005" w:rsidRPr="00F200E7">
        <w:rPr>
          <w:rFonts w:ascii="Book Antiqua" w:hAnsi="Book Antiqua"/>
          <w:lang w:val="en-GB"/>
        </w:rPr>
        <w:t xml:space="preserve">CAFTA, and </w:t>
      </w:r>
      <w:r w:rsidR="00FE0E43" w:rsidRPr="00F200E7">
        <w:rPr>
          <w:rFonts w:ascii="Book Antiqua" w:hAnsi="Book Antiqua"/>
          <w:lang w:val="en-GB"/>
        </w:rPr>
        <w:t xml:space="preserve">that increase </w:t>
      </w:r>
      <w:r w:rsidR="00ED1005" w:rsidRPr="00F200E7">
        <w:rPr>
          <w:rFonts w:ascii="Book Antiqua" w:hAnsi="Book Antiqua"/>
          <w:lang w:val="en-GB"/>
        </w:rPr>
        <w:t xml:space="preserve">had </w:t>
      </w:r>
      <w:r w:rsidR="00016221">
        <w:rPr>
          <w:rFonts w:ascii="Book Antiqua" w:hAnsi="Book Antiqua"/>
          <w:lang w:val="en-GB"/>
        </w:rPr>
        <w:t xml:space="preserve">a positive but </w:t>
      </w:r>
      <w:r w:rsidR="00ED1005" w:rsidRPr="00F200E7">
        <w:rPr>
          <w:rFonts w:ascii="Book Antiqua" w:hAnsi="Book Antiqua"/>
          <w:lang w:val="en-GB"/>
        </w:rPr>
        <w:t>no</w:t>
      </w:r>
      <w:r w:rsidR="00016221">
        <w:rPr>
          <w:rFonts w:ascii="Book Antiqua" w:hAnsi="Book Antiqua"/>
          <w:lang w:val="en-GB"/>
        </w:rPr>
        <w:t>t very</w:t>
      </w:r>
      <w:r w:rsidR="00ED1005" w:rsidRPr="00F200E7">
        <w:rPr>
          <w:rFonts w:ascii="Book Antiqua" w:hAnsi="Book Antiqua"/>
          <w:lang w:val="en-GB"/>
        </w:rPr>
        <w:t xml:space="preserve"> significant effect on agricultural employment or </w:t>
      </w:r>
      <w:r w:rsidR="00214555" w:rsidRPr="00F200E7">
        <w:rPr>
          <w:rFonts w:ascii="Book Antiqua" w:hAnsi="Book Antiqua"/>
          <w:lang w:val="en-GB"/>
        </w:rPr>
        <w:t>employment in other sectors</w:t>
      </w:r>
      <w:r w:rsidR="00ED1005" w:rsidRPr="00F200E7">
        <w:rPr>
          <w:rFonts w:ascii="Book Antiqua" w:hAnsi="Book Antiqua"/>
          <w:lang w:val="en-GB"/>
        </w:rPr>
        <w:t>. Specifically</w:t>
      </w:r>
      <w:r w:rsidR="00FE0E43" w:rsidRPr="00F200E7">
        <w:rPr>
          <w:rFonts w:ascii="Book Antiqua" w:hAnsi="Book Antiqua"/>
          <w:lang w:val="en-GB"/>
        </w:rPr>
        <w:t>,</w:t>
      </w:r>
      <w:r w:rsidR="00ED1005" w:rsidRPr="00F200E7">
        <w:rPr>
          <w:rFonts w:ascii="Book Antiqua" w:hAnsi="Book Antiqua"/>
          <w:lang w:val="en-GB"/>
        </w:rPr>
        <w:t xml:space="preserve"> the increase in exports of traditional agricultural products following the ratification of DR</w:t>
      </w:r>
      <w:r w:rsidR="00FE0E43" w:rsidRPr="00F200E7">
        <w:rPr>
          <w:rFonts w:ascii="Book Antiqua" w:hAnsi="Book Antiqua"/>
          <w:lang w:val="en-GB"/>
        </w:rPr>
        <w:t>–</w:t>
      </w:r>
      <w:r w:rsidR="00ED1005" w:rsidRPr="00F200E7">
        <w:rPr>
          <w:rFonts w:ascii="Book Antiqua" w:hAnsi="Book Antiqua"/>
          <w:lang w:val="en-GB"/>
        </w:rPr>
        <w:t>CAFTA</w:t>
      </w:r>
      <w:r w:rsidR="00EA31F2" w:rsidRPr="00F200E7">
        <w:rPr>
          <w:rFonts w:ascii="Book Antiqua" w:hAnsi="Book Antiqua"/>
          <w:lang w:val="en-GB"/>
        </w:rPr>
        <w:t xml:space="preserve"> created an estimated</w:t>
      </w:r>
      <w:r w:rsidR="00ED1005" w:rsidRPr="00F200E7">
        <w:rPr>
          <w:rFonts w:ascii="Book Antiqua" w:hAnsi="Book Antiqua"/>
          <w:lang w:val="en-GB"/>
        </w:rPr>
        <w:t xml:space="preserve"> 25,900 </w:t>
      </w:r>
      <w:r w:rsidR="00EA31F2" w:rsidRPr="00F200E7">
        <w:rPr>
          <w:rFonts w:ascii="Book Antiqua" w:hAnsi="Book Antiqua"/>
          <w:lang w:val="en-GB"/>
        </w:rPr>
        <w:t xml:space="preserve">or so new </w:t>
      </w:r>
      <w:r w:rsidR="00ED1005" w:rsidRPr="00F200E7">
        <w:rPr>
          <w:rFonts w:ascii="Book Antiqua" w:hAnsi="Book Antiqua"/>
          <w:lang w:val="en-GB"/>
        </w:rPr>
        <w:t>jobs.</w:t>
      </w:r>
    </w:p>
    <w:p w:rsidR="00ED1005" w:rsidRPr="00F200E7" w:rsidRDefault="00ED1005" w:rsidP="00ED1005">
      <w:pPr>
        <w:spacing w:after="0" w:line="240" w:lineRule="auto"/>
        <w:jc w:val="both"/>
        <w:rPr>
          <w:rFonts w:ascii="Book Antiqua" w:hAnsi="Book Antiqua"/>
          <w:lang w:val="en-GB"/>
        </w:rPr>
      </w:pPr>
    </w:p>
    <w:p w:rsidR="00ED1005" w:rsidRPr="00F200E7" w:rsidRDefault="00EA31F2" w:rsidP="00ED1005">
      <w:pPr>
        <w:spacing w:after="0" w:line="240" w:lineRule="auto"/>
        <w:jc w:val="both"/>
        <w:rPr>
          <w:rFonts w:ascii="Book Antiqua" w:hAnsi="Book Antiqua"/>
          <w:lang w:val="en-GB"/>
        </w:rPr>
      </w:pPr>
      <w:r w:rsidRPr="00F200E7">
        <w:rPr>
          <w:rFonts w:ascii="Book Antiqua" w:hAnsi="Book Antiqua"/>
          <w:lang w:val="en-GB"/>
        </w:rPr>
        <w:t xml:space="preserve">At the same time, </w:t>
      </w:r>
      <w:r w:rsidR="00ED1005" w:rsidRPr="00F200E7">
        <w:rPr>
          <w:rFonts w:ascii="Book Antiqua" w:hAnsi="Book Antiqua"/>
          <w:lang w:val="en-GB"/>
        </w:rPr>
        <w:t xml:space="preserve">banana </w:t>
      </w:r>
      <w:r w:rsidRPr="00F200E7">
        <w:rPr>
          <w:rFonts w:ascii="Book Antiqua" w:hAnsi="Book Antiqua"/>
          <w:lang w:val="en-GB"/>
        </w:rPr>
        <w:t xml:space="preserve">exports </w:t>
      </w:r>
      <w:r w:rsidR="00ED1005" w:rsidRPr="00F200E7">
        <w:rPr>
          <w:rFonts w:ascii="Book Antiqua" w:hAnsi="Book Antiqua"/>
          <w:lang w:val="en-GB"/>
        </w:rPr>
        <w:t>decline</w:t>
      </w:r>
      <w:r w:rsidRPr="00F200E7">
        <w:rPr>
          <w:rFonts w:ascii="Book Antiqua" w:hAnsi="Book Antiqua"/>
          <w:lang w:val="en-GB"/>
        </w:rPr>
        <w:t>d</w:t>
      </w:r>
      <w:r w:rsidR="00ED1005" w:rsidRPr="00F200E7">
        <w:rPr>
          <w:rFonts w:ascii="Book Antiqua" w:hAnsi="Book Antiqua"/>
          <w:lang w:val="en-GB"/>
        </w:rPr>
        <w:t xml:space="preserve"> after DR</w:t>
      </w:r>
      <w:r w:rsidR="00FE0E43" w:rsidRPr="00F200E7">
        <w:rPr>
          <w:rFonts w:ascii="Book Antiqua" w:hAnsi="Book Antiqua"/>
          <w:lang w:val="en-GB"/>
        </w:rPr>
        <w:t>–</w:t>
      </w:r>
      <w:r w:rsidR="00ED1005" w:rsidRPr="00F200E7">
        <w:rPr>
          <w:rFonts w:ascii="Book Antiqua" w:hAnsi="Book Antiqua"/>
          <w:lang w:val="en-GB"/>
        </w:rPr>
        <w:t>CAFTA</w:t>
      </w:r>
      <w:r w:rsidR="00F7401E" w:rsidRPr="00F200E7">
        <w:rPr>
          <w:rFonts w:ascii="Book Antiqua" w:hAnsi="Book Antiqua"/>
          <w:lang w:val="en-GB"/>
        </w:rPr>
        <w:t xml:space="preserve"> came into force</w:t>
      </w:r>
      <w:r w:rsidR="001D2B68">
        <w:rPr>
          <w:rFonts w:ascii="Book Antiqua" w:hAnsi="Book Antiqua"/>
          <w:lang w:val="en-GB"/>
        </w:rPr>
        <w:t xml:space="preserve"> which, a</w:t>
      </w:r>
      <w:r w:rsidR="00BC151C" w:rsidRPr="00F200E7">
        <w:rPr>
          <w:rFonts w:ascii="Book Antiqua" w:hAnsi="Book Antiqua"/>
          <w:lang w:val="en-GB"/>
        </w:rPr>
        <w:t xml:space="preserve">ccording to </w:t>
      </w:r>
      <w:r w:rsidRPr="00F200E7">
        <w:rPr>
          <w:rFonts w:ascii="Book Antiqua" w:hAnsi="Book Antiqua"/>
          <w:lang w:val="en-GB"/>
        </w:rPr>
        <w:t xml:space="preserve">the </w:t>
      </w:r>
      <w:r w:rsidR="00BC151C" w:rsidRPr="00F200E7">
        <w:rPr>
          <w:rFonts w:ascii="Book Antiqua" w:hAnsi="Book Antiqua"/>
          <w:lang w:val="en-GB"/>
        </w:rPr>
        <w:t xml:space="preserve">SAM simulations, </w:t>
      </w:r>
      <w:r w:rsidR="001D2B68">
        <w:rPr>
          <w:rFonts w:ascii="Book Antiqua" w:hAnsi="Book Antiqua"/>
          <w:lang w:val="en-GB"/>
        </w:rPr>
        <w:t xml:space="preserve">affected employment negatively in a number of agricultural sectors. Overall around 8,400 jobs were destroyed in agriculture which, taking into account the 25,000 jobs that were created, implies an estimated net increase of 17,500 jobs in the sector since Guatemala's entry into </w:t>
      </w:r>
      <w:r w:rsidRPr="00F200E7">
        <w:rPr>
          <w:rFonts w:ascii="Book Antiqua" w:hAnsi="Book Antiqua"/>
          <w:lang w:val="en-GB"/>
        </w:rPr>
        <w:t>DR–CAFTA.</w:t>
      </w:r>
      <w:r w:rsidR="00FB5615">
        <w:rPr>
          <w:rFonts w:ascii="Book Antiqua" w:hAnsi="Book Antiqua"/>
          <w:lang w:val="en-GB"/>
        </w:rPr>
        <w:t xml:space="preserve"> </w:t>
      </w:r>
      <w:r w:rsidR="00ED1005" w:rsidRPr="00F200E7">
        <w:rPr>
          <w:rFonts w:ascii="Book Antiqua" w:hAnsi="Book Antiqua"/>
          <w:lang w:val="en-GB"/>
        </w:rPr>
        <w:t xml:space="preserve">Overall, </w:t>
      </w:r>
      <w:r w:rsidR="001D2B68">
        <w:rPr>
          <w:rFonts w:ascii="Book Antiqua" w:hAnsi="Book Antiqua"/>
          <w:lang w:val="en-GB"/>
        </w:rPr>
        <w:t xml:space="preserve">therefore, </w:t>
      </w:r>
      <w:r w:rsidR="00ED1005" w:rsidRPr="00F200E7">
        <w:rPr>
          <w:rFonts w:ascii="Book Antiqua" w:hAnsi="Book Antiqua"/>
          <w:lang w:val="en-GB"/>
        </w:rPr>
        <w:t xml:space="preserve">the results of econometric </w:t>
      </w:r>
      <w:r w:rsidR="00BC151C" w:rsidRPr="00F200E7">
        <w:rPr>
          <w:rFonts w:ascii="Book Antiqua" w:hAnsi="Book Antiqua"/>
          <w:lang w:val="en-GB"/>
        </w:rPr>
        <w:t>modelling</w:t>
      </w:r>
      <w:r w:rsidR="00ED1005" w:rsidRPr="00F200E7">
        <w:rPr>
          <w:rFonts w:ascii="Book Antiqua" w:hAnsi="Book Antiqua"/>
          <w:lang w:val="en-GB"/>
        </w:rPr>
        <w:t xml:space="preserve"> and </w:t>
      </w:r>
      <w:r w:rsidR="00F7401E" w:rsidRPr="00F200E7">
        <w:rPr>
          <w:rFonts w:ascii="Book Antiqua" w:hAnsi="Book Antiqua"/>
          <w:lang w:val="en-GB"/>
        </w:rPr>
        <w:t xml:space="preserve">of the SAM </w:t>
      </w:r>
      <w:r w:rsidR="00ED1005" w:rsidRPr="00F200E7">
        <w:rPr>
          <w:rFonts w:ascii="Book Antiqua" w:hAnsi="Book Antiqua"/>
          <w:lang w:val="en-GB"/>
        </w:rPr>
        <w:t xml:space="preserve">simulation are consistent in the sense that the </w:t>
      </w:r>
      <w:r w:rsidR="00F7401E" w:rsidRPr="00F200E7">
        <w:rPr>
          <w:rFonts w:ascii="Book Antiqua" w:hAnsi="Book Antiqua"/>
          <w:lang w:val="en-GB"/>
        </w:rPr>
        <w:t xml:space="preserve">effect of </w:t>
      </w:r>
      <w:r w:rsidR="00ED1005" w:rsidRPr="00F200E7">
        <w:rPr>
          <w:rFonts w:ascii="Book Antiqua" w:hAnsi="Book Antiqua"/>
          <w:lang w:val="en-GB"/>
        </w:rPr>
        <w:t>DR</w:t>
      </w:r>
      <w:r w:rsidR="00F7401E" w:rsidRPr="00F200E7">
        <w:rPr>
          <w:rFonts w:ascii="Book Antiqua" w:hAnsi="Book Antiqua"/>
          <w:lang w:val="en-GB"/>
        </w:rPr>
        <w:t>–</w:t>
      </w:r>
      <w:r w:rsidR="00ED1005" w:rsidRPr="00F200E7">
        <w:rPr>
          <w:rFonts w:ascii="Book Antiqua" w:hAnsi="Book Antiqua"/>
          <w:lang w:val="en-GB"/>
        </w:rPr>
        <w:t>CAFTA on agricultural employment has been modest.</w:t>
      </w:r>
    </w:p>
    <w:p w:rsidR="00ED1005" w:rsidRPr="00F200E7" w:rsidRDefault="00ED1005" w:rsidP="00ED1005">
      <w:pPr>
        <w:spacing w:after="0" w:line="240" w:lineRule="auto"/>
        <w:jc w:val="both"/>
        <w:rPr>
          <w:rFonts w:ascii="Book Antiqua" w:hAnsi="Book Antiqua"/>
          <w:lang w:val="en-GB"/>
        </w:rPr>
      </w:pPr>
    </w:p>
    <w:p w:rsidR="00ED1005" w:rsidRPr="00F200E7" w:rsidRDefault="00596A5C" w:rsidP="00ED1005">
      <w:pPr>
        <w:spacing w:after="0" w:line="240" w:lineRule="auto"/>
        <w:jc w:val="both"/>
        <w:rPr>
          <w:rFonts w:ascii="Book Antiqua" w:hAnsi="Book Antiqua"/>
          <w:lang w:val="en-GB"/>
        </w:rPr>
      </w:pPr>
      <w:r w:rsidRPr="00F200E7">
        <w:rPr>
          <w:rFonts w:ascii="Book Antiqua" w:hAnsi="Book Antiqua"/>
          <w:lang w:val="en-GB"/>
        </w:rPr>
        <w:t>Existing</w:t>
      </w:r>
      <w:r w:rsidR="00BC151C" w:rsidRPr="00F200E7">
        <w:rPr>
          <w:rFonts w:ascii="Book Antiqua" w:hAnsi="Book Antiqua"/>
          <w:lang w:val="en-GB"/>
        </w:rPr>
        <w:t xml:space="preserve"> labour law </w:t>
      </w:r>
      <w:r w:rsidR="00ED1005" w:rsidRPr="00F200E7">
        <w:rPr>
          <w:rFonts w:ascii="Book Antiqua" w:hAnsi="Book Antiqua"/>
          <w:lang w:val="en-GB"/>
        </w:rPr>
        <w:t>cover</w:t>
      </w:r>
      <w:r w:rsidR="009C7D25">
        <w:rPr>
          <w:rFonts w:ascii="Book Antiqua" w:hAnsi="Book Antiqua"/>
          <w:lang w:val="en-GB"/>
        </w:rPr>
        <w:t>s</w:t>
      </w:r>
      <w:r w:rsidR="00ED1005" w:rsidRPr="00F200E7">
        <w:rPr>
          <w:rFonts w:ascii="Book Antiqua" w:hAnsi="Book Antiqua"/>
          <w:lang w:val="en-GB"/>
        </w:rPr>
        <w:t xml:space="preserve"> the fundamental aspects of </w:t>
      </w:r>
      <w:r w:rsidR="00BC151C" w:rsidRPr="00F200E7">
        <w:rPr>
          <w:rFonts w:ascii="Book Antiqua" w:hAnsi="Book Antiqua"/>
          <w:lang w:val="en-GB"/>
        </w:rPr>
        <w:t>labour</w:t>
      </w:r>
      <w:r w:rsidR="00ED1005" w:rsidRPr="00F200E7">
        <w:rPr>
          <w:rFonts w:ascii="Book Antiqua" w:hAnsi="Book Antiqua"/>
          <w:lang w:val="en-GB"/>
        </w:rPr>
        <w:t xml:space="preserve"> relations</w:t>
      </w:r>
      <w:r w:rsidR="00F7401E" w:rsidRPr="00F200E7">
        <w:rPr>
          <w:rFonts w:ascii="Book Antiqua" w:hAnsi="Book Antiqua"/>
          <w:lang w:val="en-GB"/>
        </w:rPr>
        <w:t>. Its</w:t>
      </w:r>
      <w:r w:rsidR="00ED1005" w:rsidRPr="00F200E7">
        <w:rPr>
          <w:rFonts w:ascii="Book Antiqua" w:hAnsi="Book Antiqua"/>
          <w:lang w:val="en-GB"/>
        </w:rPr>
        <w:t xml:space="preserve"> main provisions are embodied in the </w:t>
      </w:r>
      <w:r w:rsidR="00BC151C" w:rsidRPr="00F200E7">
        <w:rPr>
          <w:rFonts w:ascii="Book Antiqua" w:hAnsi="Book Antiqua"/>
          <w:lang w:val="en-GB"/>
        </w:rPr>
        <w:t xml:space="preserve">Constitution. </w:t>
      </w:r>
      <w:r w:rsidR="00ED1005" w:rsidRPr="00F200E7">
        <w:rPr>
          <w:rFonts w:ascii="Book Antiqua" w:hAnsi="Book Antiqua"/>
          <w:lang w:val="en-GB"/>
        </w:rPr>
        <w:t xml:space="preserve">The </w:t>
      </w:r>
      <w:r w:rsidR="00F7401E" w:rsidRPr="00F200E7">
        <w:rPr>
          <w:rFonts w:ascii="Book Antiqua" w:hAnsi="Book Antiqua"/>
          <w:lang w:val="en-GB"/>
        </w:rPr>
        <w:t>laws are</w:t>
      </w:r>
      <w:r w:rsidR="00FB5615">
        <w:rPr>
          <w:rFonts w:ascii="Book Antiqua" w:hAnsi="Book Antiqua"/>
          <w:lang w:val="en-GB"/>
        </w:rPr>
        <w:t xml:space="preserve"> </w:t>
      </w:r>
      <w:r w:rsidR="00F7401E" w:rsidRPr="00F200E7">
        <w:rPr>
          <w:rFonts w:ascii="Book Antiqua" w:hAnsi="Book Antiqua"/>
          <w:lang w:val="en-GB"/>
        </w:rPr>
        <w:t xml:space="preserve">strongly </w:t>
      </w:r>
      <w:r w:rsidR="00ED1005" w:rsidRPr="00F200E7">
        <w:rPr>
          <w:rFonts w:ascii="Book Antiqua" w:hAnsi="Book Antiqua"/>
          <w:lang w:val="en-GB"/>
        </w:rPr>
        <w:t>protective of workers, consistent with the principles</w:t>
      </w:r>
      <w:r w:rsidR="00FB5615">
        <w:rPr>
          <w:rFonts w:ascii="Book Antiqua" w:hAnsi="Book Antiqua"/>
          <w:lang w:val="en-GB"/>
        </w:rPr>
        <w:t xml:space="preserve"> </w:t>
      </w:r>
      <w:r w:rsidR="00ED1005" w:rsidRPr="00F200E7">
        <w:rPr>
          <w:rFonts w:ascii="Book Antiqua" w:hAnsi="Book Antiqua"/>
          <w:lang w:val="en-GB"/>
        </w:rPr>
        <w:t>of Latin American labour law. Generally</w:t>
      </w:r>
      <w:r w:rsidR="00F7401E" w:rsidRPr="00F200E7">
        <w:rPr>
          <w:rFonts w:ascii="Book Antiqua" w:hAnsi="Book Antiqua"/>
          <w:lang w:val="en-GB"/>
        </w:rPr>
        <w:t>,</w:t>
      </w:r>
      <w:r w:rsidR="00FB5615">
        <w:rPr>
          <w:rFonts w:ascii="Book Antiqua" w:hAnsi="Book Antiqua"/>
          <w:lang w:val="en-GB"/>
        </w:rPr>
        <w:t xml:space="preserve"> </w:t>
      </w:r>
      <w:r w:rsidR="00F7401E" w:rsidRPr="00F200E7">
        <w:rPr>
          <w:rFonts w:ascii="Book Antiqua" w:hAnsi="Book Antiqua"/>
          <w:lang w:val="en-GB"/>
        </w:rPr>
        <w:t>the laws</w:t>
      </w:r>
      <w:r w:rsidR="00ED1005" w:rsidRPr="00F200E7">
        <w:rPr>
          <w:rFonts w:ascii="Book Antiqua" w:hAnsi="Book Antiqua"/>
          <w:lang w:val="en-GB"/>
        </w:rPr>
        <w:t xml:space="preserve"> cover all workers, </w:t>
      </w:r>
      <w:r w:rsidR="00BC151C" w:rsidRPr="00F200E7">
        <w:rPr>
          <w:rFonts w:ascii="Book Antiqua" w:hAnsi="Book Antiqua"/>
          <w:lang w:val="en-GB"/>
        </w:rPr>
        <w:t>urban</w:t>
      </w:r>
      <w:r w:rsidR="00ED1005" w:rsidRPr="00F200E7">
        <w:rPr>
          <w:rFonts w:ascii="Book Antiqua" w:hAnsi="Book Antiqua"/>
          <w:lang w:val="en-GB"/>
        </w:rPr>
        <w:t xml:space="preserve"> and rural,</w:t>
      </w:r>
      <w:r w:rsidR="00BC151C" w:rsidRPr="00F200E7">
        <w:rPr>
          <w:rFonts w:ascii="Book Antiqua" w:hAnsi="Book Antiqua"/>
          <w:lang w:val="en-GB"/>
        </w:rPr>
        <w:t xml:space="preserve"> agricultural and </w:t>
      </w:r>
      <w:r w:rsidR="00F7401E" w:rsidRPr="00F200E7">
        <w:rPr>
          <w:rFonts w:ascii="Book Antiqua" w:hAnsi="Book Antiqua"/>
          <w:lang w:val="en-GB"/>
        </w:rPr>
        <w:t xml:space="preserve">in </w:t>
      </w:r>
      <w:r w:rsidR="00BC151C" w:rsidRPr="00F200E7">
        <w:rPr>
          <w:rFonts w:ascii="Book Antiqua" w:hAnsi="Book Antiqua"/>
          <w:lang w:val="en-GB"/>
        </w:rPr>
        <w:t>other sectors,</w:t>
      </w:r>
      <w:r w:rsidR="00ED1005" w:rsidRPr="00F200E7">
        <w:rPr>
          <w:rFonts w:ascii="Book Antiqua" w:hAnsi="Book Antiqua"/>
          <w:lang w:val="en-GB"/>
        </w:rPr>
        <w:t xml:space="preserve"> and ha</w:t>
      </w:r>
      <w:r w:rsidR="00F7401E" w:rsidRPr="00F200E7">
        <w:rPr>
          <w:rFonts w:ascii="Book Antiqua" w:hAnsi="Book Antiqua"/>
          <w:lang w:val="en-GB"/>
        </w:rPr>
        <w:t>ve</w:t>
      </w:r>
      <w:r w:rsidR="00ED1005" w:rsidRPr="00F200E7">
        <w:rPr>
          <w:rFonts w:ascii="Book Antiqua" w:hAnsi="Book Antiqua"/>
          <w:lang w:val="en-GB"/>
        </w:rPr>
        <w:t xml:space="preserve"> provisions </w:t>
      </w:r>
      <w:r w:rsidR="00F7401E" w:rsidRPr="00F200E7">
        <w:rPr>
          <w:rFonts w:ascii="Book Antiqua" w:hAnsi="Book Antiqua"/>
          <w:lang w:val="en-GB"/>
        </w:rPr>
        <w:t>giving</w:t>
      </w:r>
      <w:r w:rsidR="00ED1005" w:rsidRPr="00F200E7">
        <w:rPr>
          <w:rFonts w:ascii="Book Antiqua" w:hAnsi="Book Antiqua"/>
          <w:lang w:val="en-GB"/>
        </w:rPr>
        <w:t xml:space="preserve"> special protection </w:t>
      </w:r>
      <w:r w:rsidR="00F7401E" w:rsidRPr="00F200E7">
        <w:rPr>
          <w:rFonts w:ascii="Book Antiqua" w:hAnsi="Book Antiqua"/>
          <w:lang w:val="en-GB"/>
        </w:rPr>
        <w:t>to</w:t>
      </w:r>
      <w:r w:rsidR="00ED1005" w:rsidRPr="00F200E7">
        <w:rPr>
          <w:rFonts w:ascii="Book Antiqua" w:hAnsi="Book Antiqua"/>
          <w:lang w:val="en-GB"/>
        </w:rPr>
        <w:t xml:space="preserve"> agricultural workers. </w:t>
      </w:r>
      <w:r w:rsidR="00F7401E" w:rsidRPr="00F200E7">
        <w:rPr>
          <w:rFonts w:ascii="Book Antiqua" w:hAnsi="Book Antiqua"/>
          <w:lang w:val="en-GB"/>
        </w:rPr>
        <w:t xml:space="preserve">Also, </w:t>
      </w:r>
      <w:r w:rsidRPr="00F200E7">
        <w:rPr>
          <w:rFonts w:ascii="Book Antiqua" w:hAnsi="Book Antiqua"/>
          <w:lang w:val="en-GB"/>
        </w:rPr>
        <w:t>Guatemala</w:t>
      </w:r>
      <w:r w:rsidR="00F7401E" w:rsidRPr="00F200E7">
        <w:rPr>
          <w:rFonts w:ascii="Book Antiqua" w:hAnsi="Book Antiqua"/>
          <w:lang w:val="en-GB"/>
        </w:rPr>
        <w:t xml:space="preserve"> has ratified many </w:t>
      </w:r>
      <w:r w:rsidR="00ED1005" w:rsidRPr="00F200E7">
        <w:rPr>
          <w:rFonts w:ascii="Book Antiqua" w:hAnsi="Book Antiqua"/>
          <w:lang w:val="en-GB"/>
        </w:rPr>
        <w:t xml:space="preserve">international </w:t>
      </w:r>
      <w:r w:rsidR="00BC151C" w:rsidRPr="00F200E7">
        <w:rPr>
          <w:rFonts w:ascii="Book Antiqua" w:hAnsi="Book Antiqua"/>
          <w:lang w:val="en-GB"/>
        </w:rPr>
        <w:t>labour</w:t>
      </w:r>
      <w:r w:rsidR="00ED1005" w:rsidRPr="00F200E7">
        <w:rPr>
          <w:rFonts w:ascii="Book Antiqua" w:hAnsi="Book Antiqua"/>
          <w:lang w:val="en-GB"/>
        </w:rPr>
        <w:t xml:space="preserve"> conventions. </w:t>
      </w:r>
      <w:r w:rsidR="00F7401E" w:rsidRPr="00F200E7">
        <w:rPr>
          <w:rFonts w:ascii="Book Antiqua" w:hAnsi="Book Antiqua"/>
          <w:lang w:val="en-GB"/>
        </w:rPr>
        <w:t>N</w:t>
      </w:r>
      <w:r w:rsidR="00ED1005" w:rsidRPr="00F200E7">
        <w:rPr>
          <w:rFonts w:ascii="Book Antiqua" w:hAnsi="Book Antiqua"/>
          <w:lang w:val="en-GB"/>
        </w:rPr>
        <w:t xml:space="preserve">on-compliance with </w:t>
      </w:r>
      <w:r w:rsidR="00BC151C" w:rsidRPr="00F200E7">
        <w:rPr>
          <w:rFonts w:ascii="Book Antiqua" w:hAnsi="Book Antiqua"/>
          <w:lang w:val="en-GB"/>
        </w:rPr>
        <w:t>labour standards</w:t>
      </w:r>
      <w:r w:rsidR="00F7401E" w:rsidRPr="00F200E7">
        <w:rPr>
          <w:rFonts w:ascii="Book Antiqua" w:hAnsi="Book Antiqua"/>
          <w:lang w:val="en-GB"/>
        </w:rPr>
        <w:t xml:space="preserve"> is widespread, however</w:t>
      </w:r>
      <w:r w:rsidR="00BC151C" w:rsidRPr="00F200E7">
        <w:rPr>
          <w:rFonts w:ascii="Book Antiqua" w:hAnsi="Book Antiqua"/>
          <w:lang w:val="en-GB"/>
        </w:rPr>
        <w:t>,</w:t>
      </w:r>
      <w:r w:rsidR="00F7401E" w:rsidRPr="00F200E7">
        <w:rPr>
          <w:rFonts w:ascii="Book Antiqua" w:hAnsi="Book Antiqua"/>
          <w:lang w:val="en-GB"/>
        </w:rPr>
        <w:t xml:space="preserve"> in</w:t>
      </w:r>
      <w:r w:rsidR="00ED1005" w:rsidRPr="00F200E7">
        <w:rPr>
          <w:rFonts w:ascii="Book Antiqua" w:hAnsi="Book Antiqua"/>
          <w:lang w:val="en-GB"/>
        </w:rPr>
        <w:t xml:space="preserve"> both the urban and rural sectors.</w:t>
      </w:r>
    </w:p>
    <w:p w:rsidR="00ED1005" w:rsidRPr="00F200E7" w:rsidRDefault="00ED1005" w:rsidP="00ED1005">
      <w:pPr>
        <w:spacing w:after="0" w:line="240" w:lineRule="auto"/>
        <w:jc w:val="both"/>
        <w:rPr>
          <w:rFonts w:ascii="Book Antiqua" w:hAnsi="Book Antiqua"/>
          <w:lang w:val="en-GB"/>
        </w:rPr>
      </w:pPr>
    </w:p>
    <w:p w:rsidR="00ED1005" w:rsidRPr="00F200E7" w:rsidRDefault="00F7401E" w:rsidP="00ED1005">
      <w:pPr>
        <w:spacing w:after="0" w:line="240" w:lineRule="auto"/>
        <w:jc w:val="both"/>
        <w:rPr>
          <w:rFonts w:ascii="Book Antiqua" w:hAnsi="Book Antiqua"/>
          <w:lang w:val="en-GB"/>
        </w:rPr>
      </w:pPr>
      <w:r w:rsidRPr="00F200E7">
        <w:rPr>
          <w:rFonts w:ascii="Book Antiqua" w:hAnsi="Book Antiqua"/>
          <w:lang w:val="en-GB"/>
        </w:rPr>
        <w:t>T</w:t>
      </w:r>
      <w:r w:rsidR="00ED1005" w:rsidRPr="00F200E7">
        <w:rPr>
          <w:rFonts w:ascii="Book Antiqua" w:hAnsi="Book Antiqua"/>
          <w:lang w:val="en-GB"/>
        </w:rPr>
        <w:t>rade union organization is weak due to the limited capacity of the authorities to ensure the effective respect of</w:t>
      </w:r>
      <w:r w:rsidR="00FB5615">
        <w:rPr>
          <w:rFonts w:ascii="Book Antiqua" w:hAnsi="Book Antiqua"/>
          <w:lang w:val="en-GB"/>
        </w:rPr>
        <w:t xml:space="preserve"> </w:t>
      </w:r>
      <w:r w:rsidRPr="00F200E7">
        <w:rPr>
          <w:rFonts w:ascii="Book Antiqua" w:hAnsi="Book Antiqua"/>
          <w:lang w:val="en-GB"/>
        </w:rPr>
        <w:t xml:space="preserve">workers’ </w:t>
      </w:r>
      <w:r w:rsidR="00ED1005" w:rsidRPr="00F200E7">
        <w:rPr>
          <w:rFonts w:ascii="Book Antiqua" w:hAnsi="Book Antiqua"/>
          <w:lang w:val="en-GB"/>
        </w:rPr>
        <w:t xml:space="preserve">rights to freedom of association and collective negotiating. Additionally, there is division </w:t>
      </w:r>
      <w:r w:rsidRPr="00F200E7">
        <w:rPr>
          <w:rFonts w:ascii="Book Antiqua" w:hAnsi="Book Antiqua"/>
          <w:lang w:val="en-GB"/>
        </w:rPr>
        <w:t xml:space="preserve">among </w:t>
      </w:r>
      <w:r w:rsidR="00ED1005" w:rsidRPr="00F200E7">
        <w:rPr>
          <w:rFonts w:ascii="Book Antiqua" w:hAnsi="Book Antiqua"/>
          <w:lang w:val="en-GB"/>
        </w:rPr>
        <w:t xml:space="preserve">the unions, which hinders their ability to defend workers' rights and to influence public policy related to </w:t>
      </w:r>
      <w:r w:rsidR="00BC151C" w:rsidRPr="00F200E7">
        <w:rPr>
          <w:rFonts w:ascii="Book Antiqua" w:hAnsi="Book Antiqua"/>
          <w:lang w:val="en-GB"/>
        </w:rPr>
        <w:t>labour</w:t>
      </w:r>
      <w:r w:rsidR="00ED1005" w:rsidRPr="00F200E7">
        <w:rPr>
          <w:rFonts w:ascii="Book Antiqua" w:hAnsi="Book Antiqua"/>
          <w:lang w:val="en-GB"/>
        </w:rPr>
        <w:t>.</w:t>
      </w:r>
    </w:p>
    <w:p w:rsidR="00ED1005" w:rsidRPr="00F200E7" w:rsidRDefault="00070053" w:rsidP="0032057B">
      <w:pPr>
        <w:pStyle w:val="Heading2"/>
      </w:pPr>
      <w:bookmarkStart w:id="199" w:name="_Toc336607529"/>
      <w:bookmarkStart w:id="200" w:name="_Toc333838003"/>
      <w:r w:rsidRPr="00F200E7">
        <w:t>6.</w:t>
      </w:r>
      <w:r w:rsidR="00116FF7">
        <w:t>7</w:t>
      </w:r>
      <w:r w:rsidRPr="00F200E7">
        <w:t>.2</w:t>
      </w:r>
      <w:r w:rsidRPr="00F200E7">
        <w:tab/>
      </w:r>
      <w:r w:rsidR="00ED1005" w:rsidRPr="00F200E7">
        <w:t>Recommendations</w:t>
      </w:r>
      <w:bookmarkEnd w:id="199"/>
      <w:bookmarkEnd w:id="200"/>
    </w:p>
    <w:p w:rsidR="00ED1005" w:rsidRPr="00F200E7" w:rsidRDefault="00ED1005" w:rsidP="00ED1005">
      <w:pPr>
        <w:spacing w:after="0" w:line="240" w:lineRule="auto"/>
        <w:jc w:val="both"/>
        <w:rPr>
          <w:rFonts w:ascii="Book Antiqua" w:hAnsi="Book Antiqua"/>
          <w:lang w:val="en-GB"/>
        </w:rPr>
      </w:pPr>
      <w:r w:rsidRPr="00F200E7">
        <w:rPr>
          <w:rFonts w:ascii="Book Antiqua" w:hAnsi="Book Antiqua"/>
          <w:lang w:val="en-GB"/>
        </w:rPr>
        <w:t xml:space="preserve">The limited statistical information on employment did not allow the construction of econometric models that </w:t>
      </w:r>
      <w:r w:rsidR="00F7401E" w:rsidRPr="00F200E7">
        <w:rPr>
          <w:rFonts w:ascii="Book Antiqua" w:hAnsi="Book Antiqua"/>
          <w:lang w:val="en-GB"/>
        </w:rPr>
        <w:t xml:space="preserve">would provide </w:t>
      </w:r>
      <w:r w:rsidRPr="00F200E7">
        <w:rPr>
          <w:rFonts w:ascii="Book Antiqua" w:hAnsi="Book Antiqua"/>
          <w:lang w:val="en-GB"/>
        </w:rPr>
        <w:t xml:space="preserve">a </w:t>
      </w:r>
      <w:r w:rsidR="00F7401E" w:rsidRPr="00F200E7">
        <w:rPr>
          <w:rFonts w:ascii="Book Antiqua" w:hAnsi="Book Antiqua"/>
          <w:lang w:val="en-GB"/>
        </w:rPr>
        <w:t xml:space="preserve">clearer </w:t>
      </w:r>
      <w:r w:rsidRPr="00F200E7">
        <w:rPr>
          <w:rFonts w:ascii="Book Antiqua" w:hAnsi="Book Antiqua"/>
          <w:lang w:val="en-GB"/>
        </w:rPr>
        <w:t>understanding of</w:t>
      </w:r>
      <w:r w:rsidR="00FB5615">
        <w:rPr>
          <w:rFonts w:ascii="Book Antiqua" w:hAnsi="Book Antiqua"/>
          <w:lang w:val="en-GB"/>
        </w:rPr>
        <w:t xml:space="preserve"> </w:t>
      </w:r>
      <w:r w:rsidRPr="00F200E7">
        <w:rPr>
          <w:rFonts w:ascii="Book Antiqua" w:hAnsi="Book Antiqua"/>
          <w:lang w:val="en-GB"/>
        </w:rPr>
        <w:t>the relationship between trade and employment. It is recommended</w:t>
      </w:r>
      <w:r w:rsidR="00D271AC" w:rsidRPr="00F200E7">
        <w:rPr>
          <w:rFonts w:ascii="Book Antiqua" w:hAnsi="Book Antiqua"/>
          <w:lang w:val="en-GB"/>
        </w:rPr>
        <w:t>, therefore,</w:t>
      </w:r>
      <w:r w:rsidRPr="00F200E7">
        <w:rPr>
          <w:rFonts w:ascii="Book Antiqua" w:hAnsi="Book Antiqua"/>
          <w:lang w:val="en-GB"/>
        </w:rPr>
        <w:t xml:space="preserve"> to continue improving the national statistical system.</w:t>
      </w:r>
    </w:p>
    <w:p w:rsidR="00ED1005" w:rsidRPr="00F200E7" w:rsidRDefault="00ED1005" w:rsidP="00ED1005">
      <w:pPr>
        <w:spacing w:after="0" w:line="240" w:lineRule="auto"/>
        <w:jc w:val="both"/>
        <w:rPr>
          <w:rFonts w:ascii="Book Antiqua" w:hAnsi="Book Antiqua"/>
          <w:lang w:val="en-GB"/>
        </w:rPr>
      </w:pPr>
    </w:p>
    <w:p w:rsidR="00ED1005" w:rsidRPr="00F200E7" w:rsidRDefault="00B34BBE" w:rsidP="00ED1005">
      <w:pPr>
        <w:spacing w:after="0" w:line="240" w:lineRule="auto"/>
        <w:jc w:val="both"/>
        <w:rPr>
          <w:rFonts w:ascii="Book Antiqua" w:hAnsi="Book Antiqua"/>
          <w:lang w:val="en-GB"/>
        </w:rPr>
      </w:pPr>
      <w:r>
        <w:rPr>
          <w:rFonts w:ascii="Book Antiqua" w:hAnsi="Book Antiqua"/>
          <w:lang w:val="en-GB"/>
        </w:rPr>
        <w:t>Information presented in this study shows that the number of workers affiliated to the social security system declined during the first decade of this century</w:t>
      </w:r>
      <w:r w:rsidR="00ED1005" w:rsidRPr="00F200E7">
        <w:rPr>
          <w:rFonts w:ascii="Book Antiqua" w:hAnsi="Book Antiqua"/>
          <w:lang w:val="en-GB"/>
        </w:rPr>
        <w:t>, despite population growth and substantial improvement in agribusiness exports. This</w:t>
      </w:r>
      <w:r w:rsidR="009550AA" w:rsidRPr="00F200E7">
        <w:rPr>
          <w:rFonts w:ascii="Book Antiqua" w:hAnsi="Book Antiqua"/>
          <w:lang w:val="en-GB"/>
        </w:rPr>
        <w:t xml:space="preserve"> decline</w:t>
      </w:r>
      <w:r w:rsidR="00ED1005" w:rsidRPr="00F200E7">
        <w:rPr>
          <w:rFonts w:ascii="Book Antiqua" w:hAnsi="Book Antiqua"/>
          <w:lang w:val="en-GB"/>
        </w:rPr>
        <w:t xml:space="preserve"> shows how vulnerable this group of employees is. </w:t>
      </w:r>
      <w:r w:rsidR="00BD25DF" w:rsidRPr="00F200E7">
        <w:rPr>
          <w:rFonts w:ascii="Book Antiqua" w:hAnsi="Book Antiqua"/>
          <w:lang w:val="en-GB"/>
        </w:rPr>
        <w:t>W</w:t>
      </w:r>
      <w:r w:rsidR="00ED1005" w:rsidRPr="00F200E7">
        <w:rPr>
          <w:rFonts w:ascii="Book Antiqua" w:hAnsi="Book Antiqua"/>
          <w:lang w:val="en-GB"/>
        </w:rPr>
        <w:t>ell</w:t>
      </w:r>
      <w:r w:rsidR="00BD25DF" w:rsidRPr="00F200E7">
        <w:rPr>
          <w:rFonts w:ascii="Book Antiqua" w:hAnsi="Book Antiqua"/>
          <w:lang w:val="en-GB"/>
        </w:rPr>
        <w:t>-</w:t>
      </w:r>
      <w:r w:rsidR="00ED1005" w:rsidRPr="00F200E7">
        <w:rPr>
          <w:rFonts w:ascii="Book Antiqua" w:hAnsi="Book Antiqua"/>
          <w:lang w:val="en-GB"/>
        </w:rPr>
        <w:t xml:space="preserve">directed actions </w:t>
      </w:r>
      <w:r w:rsidR="00BD25DF" w:rsidRPr="00F200E7">
        <w:rPr>
          <w:rFonts w:ascii="Book Antiqua" w:hAnsi="Book Antiqua"/>
          <w:lang w:val="en-GB"/>
        </w:rPr>
        <w:t xml:space="preserve">need </w:t>
      </w:r>
      <w:r w:rsidR="00ED1005" w:rsidRPr="00F200E7">
        <w:rPr>
          <w:rFonts w:ascii="Book Antiqua" w:hAnsi="Book Antiqua"/>
          <w:lang w:val="en-GB"/>
        </w:rPr>
        <w:t xml:space="preserve">to improve monitoring and compliance with </w:t>
      </w:r>
      <w:r w:rsidR="00BD25DF" w:rsidRPr="00F200E7">
        <w:rPr>
          <w:rFonts w:ascii="Book Antiqua" w:hAnsi="Book Antiqua"/>
          <w:lang w:val="en-GB"/>
        </w:rPr>
        <w:t xml:space="preserve">employers’ </w:t>
      </w:r>
      <w:r w:rsidR="00ED1005" w:rsidRPr="00F200E7">
        <w:rPr>
          <w:rFonts w:ascii="Book Antiqua" w:hAnsi="Book Antiqua"/>
          <w:lang w:val="en-GB"/>
        </w:rPr>
        <w:t xml:space="preserve">obligation to </w:t>
      </w:r>
      <w:r w:rsidR="00BC151C" w:rsidRPr="00F200E7">
        <w:rPr>
          <w:rFonts w:ascii="Book Antiqua" w:hAnsi="Book Antiqua"/>
          <w:lang w:val="en-GB"/>
        </w:rPr>
        <w:t>enrol</w:t>
      </w:r>
      <w:r w:rsidR="00FB5615">
        <w:rPr>
          <w:rFonts w:ascii="Book Antiqua" w:hAnsi="Book Antiqua"/>
          <w:lang w:val="en-GB"/>
        </w:rPr>
        <w:t xml:space="preserve"> </w:t>
      </w:r>
      <w:r w:rsidR="00BD25DF" w:rsidRPr="00F200E7">
        <w:rPr>
          <w:rFonts w:ascii="Book Antiqua" w:hAnsi="Book Antiqua"/>
          <w:lang w:val="en-GB"/>
        </w:rPr>
        <w:t xml:space="preserve">their employees </w:t>
      </w:r>
      <w:r w:rsidR="00ED1005" w:rsidRPr="00F200E7">
        <w:rPr>
          <w:rFonts w:ascii="Book Antiqua" w:hAnsi="Book Antiqua"/>
          <w:lang w:val="en-GB"/>
        </w:rPr>
        <w:t>in the social insurance program</w:t>
      </w:r>
      <w:r w:rsidR="00BD25DF" w:rsidRPr="00F200E7">
        <w:rPr>
          <w:rFonts w:ascii="Book Antiqua" w:hAnsi="Book Antiqua"/>
          <w:lang w:val="en-GB"/>
        </w:rPr>
        <w:t>me.</w:t>
      </w:r>
    </w:p>
    <w:p w:rsidR="00ED1005" w:rsidRPr="00F200E7" w:rsidRDefault="00ED1005" w:rsidP="00ED1005">
      <w:pPr>
        <w:spacing w:after="0" w:line="240" w:lineRule="auto"/>
        <w:jc w:val="both"/>
        <w:rPr>
          <w:rFonts w:ascii="Book Antiqua" w:hAnsi="Book Antiqua"/>
          <w:lang w:val="en-GB"/>
        </w:rPr>
      </w:pPr>
    </w:p>
    <w:p w:rsidR="00ED1005" w:rsidRPr="00F200E7" w:rsidRDefault="00ED1005" w:rsidP="00ED1005">
      <w:pPr>
        <w:spacing w:after="0" w:line="240" w:lineRule="auto"/>
        <w:jc w:val="both"/>
        <w:rPr>
          <w:rFonts w:ascii="Book Antiqua" w:hAnsi="Book Antiqua"/>
          <w:lang w:val="en-GB"/>
        </w:rPr>
      </w:pPr>
      <w:r w:rsidRPr="00F200E7">
        <w:rPr>
          <w:rFonts w:ascii="Book Antiqua" w:hAnsi="Book Antiqua"/>
          <w:lang w:val="en-GB"/>
        </w:rPr>
        <w:t>Finally</w:t>
      </w:r>
      <w:r w:rsidR="00BD25DF" w:rsidRPr="00F200E7">
        <w:rPr>
          <w:rFonts w:ascii="Book Antiqua" w:hAnsi="Book Antiqua"/>
          <w:lang w:val="en-GB"/>
        </w:rPr>
        <w:t>,</w:t>
      </w:r>
      <w:r w:rsidRPr="00F200E7">
        <w:rPr>
          <w:rFonts w:ascii="Book Antiqua" w:hAnsi="Book Antiqua"/>
          <w:lang w:val="en-GB"/>
        </w:rPr>
        <w:t xml:space="preserve"> due to DR</w:t>
      </w:r>
      <w:r w:rsidR="00BD25DF" w:rsidRPr="00F200E7">
        <w:rPr>
          <w:rFonts w:ascii="Book Antiqua" w:hAnsi="Book Antiqua"/>
          <w:lang w:val="en-GB"/>
        </w:rPr>
        <w:t>–</w:t>
      </w:r>
      <w:r w:rsidRPr="00F200E7">
        <w:rPr>
          <w:rFonts w:ascii="Book Antiqua" w:hAnsi="Book Antiqua"/>
          <w:lang w:val="en-GB"/>
        </w:rPr>
        <w:t xml:space="preserve">CAFTA’s limited effects on formal agricultural employment, it </w:t>
      </w:r>
      <w:r w:rsidR="00B34BBE">
        <w:rPr>
          <w:rFonts w:ascii="Book Antiqua" w:hAnsi="Book Antiqua"/>
          <w:lang w:val="en-GB"/>
        </w:rPr>
        <w:t>may be desirable</w:t>
      </w:r>
      <w:r w:rsidRPr="00F200E7">
        <w:rPr>
          <w:rFonts w:ascii="Book Antiqua" w:hAnsi="Book Antiqua"/>
          <w:lang w:val="en-GB"/>
        </w:rPr>
        <w:t xml:space="preserve"> to implement other policies that </w:t>
      </w:r>
      <w:r w:rsidR="00BD25DF" w:rsidRPr="00F200E7">
        <w:rPr>
          <w:rFonts w:ascii="Book Antiqua" w:hAnsi="Book Antiqua"/>
          <w:lang w:val="en-GB"/>
        </w:rPr>
        <w:t xml:space="preserve">promote </w:t>
      </w:r>
      <w:r w:rsidRPr="00F200E7">
        <w:rPr>
          <w:rFonts w:ascii="Book Antiqua" w:hAnsi="Book Antiqua"/>
          <w:lang w:val="en-GB"/>
        </w:rPr>
        <w:t>the creation of decent job</w:t>
      </w:r>
      <w:r w:rsidR="00BD25DF" w:rsidRPr="00F200E7">
        <w:rPr>
          <w:rFonts w:ascii="Book Antiqua" w:hAnsi="Book Antiqua"/>
          <w:lang w:val="en-GB"/>
        </w:rPr>
        <w:t>s</w:t>
      </w:r>
      <w:r w:rsidRPr="00F200E7">
        <w:rPr>
          <w:rFonts w:ascii="Book Antiqua" w:hAnsi="Book Antiqua"/>
          <w:lang w:val="en-GB"/>
        </w:rPr>
        <w:t xml:space="preserve"> in agriculture. In this </w:t>
      </w:r>
      <w:r w:rsidR="00614BB4" w:rsidRPr="00F200E7">
        <w:rPr>
          <w:rFonts w:ascii="Book Antiqua" w:hAnsi="Book Antiqua"/>
          <w:lang w:val="en-GB"/>
        </w:rPr>
        <w:t>regard</w:t>
      </w:r>
      <w:r w:rsidRPr="00F200E7">
        <w:rPr>
          <w:rFonts w:ascii="Book Antiqua" w:hAnsi="Book Antiqua"/>
          <w:lang w:val="en-GB"/>
        </w:rPr>
        <w:t>, the actions recommended in Chapter 3 of the Peace Accords (</w:t>
      </w:r>
      <w:proofErr w:type="spellStart"/>
      <w:r w:rsidRPr="00F200E7">
        <w:rPr>
          <w:rFonts w:ascii="Book Antiqua" w:hAnsi="Book Antiqua"/>
          <w:lang w:val="en-GB"/>
        </w:rPr>
        <w:t>Acuerdo</w:t>
      </w:r>
      <w:proofErr w:type="spellEnd"/>
      <w:r w:rsidRPr="00F200E7">
        <w:rPr>
          <w:rFonts w:ascii="Book Antiqua" w:hAnsi="Book Antiqua"/>
          <w:lang w:val="en-GB"/>
        </w:rPr>
        <w:t xml:space="preserve"> </w:t>
      </w:r>
      <w:proofErr w:type="spellStart"/>
      <w:r w:rsidRPr="00F200E7">
        <w:rPr>
          <w:rFonts w:ascii="Book Antiqua" w:hAnsi="Book Antiqua"/>
          <w:lang w:val="en-GB"/>
        </w:rPr>
        <w:t>sobre</w:t>
      </w:r>
      <w:proofErr w:type="spellEnd"/>
      <w:r w:rsidRPr="00F200E7">
        <w:rPr>
          <w:rFonts w:ascii="Book Antiqua" w:hAnsi="Book Antiqua"/>
          <w:lang w:val="en-GB"/>
        </w:rPr>
        <w:t xml:space="preserve"> </w:t>
      </w:r>
      <w:proofErr w:type="spellStart"/>
      <w:r w:rsidRPr="00F200E7">
        <w:rPr>
          <w:rFonts w:ascii="Book Antiqua" w:hAnsi="Book Antiqua"/>
          <w:lang w:val="en-GB"/>
        </w:rPr>
        <w:t>Aspectos</w:t>
      </w:r>
      <w:proofErr w:type="spellEnd"/>
      <w:r w:rsidRPr="00F200E7">
        <w:rPr>
          <w:rFonts w:ascii="Book Antiqua" w:hAnsi="Book Antiqua"/>
          <w:lang w:val="en-GB"/>
        </w:rPr>
        <w:t xml:space="preserve"> </w:t>
      </w:r>
      <w:proofErr w:type="spellStart"/>
      <w:r w:rsidRPr="00F200E7">
        <w:rPr>
          <w:rFonts w:ascii="Book Antiqua" w:hAnsi="Book Antiqua"/>
          <w:lang w:val="en-GB"/>
        </w:rPr>
        <w:t>Socioeconómico</w:t>
      </w:r>
      <w:proofErr w:type="spellEnd"/>
      <w:r w:rsidRPr="00F200E7">
        <w:rPr>
          <w:rFonts w:ascii="Book Antiqua" w:hAnsi="Book Antiqua"/>
          <w:lang w:val="en-GB"/>
        </w:rPr>
        <w:t xml:space="preserve"> y </w:t>
      </w:r>
      <w:proofErr w:type="spellStart"/>
      <w:r w:rsidRPr="00F200E7">
        <w:rPr>
          <w:rFonts w:ascii="Book Antiqua" w:hAnsi="Book Antiqua"/>
          <w:lang w:val="en-GB"/>
        </w:rPr>
        <w:t>Situación</w:t>
      </w:r>
      <w:proofErr w:type="spellEnd"/>
      <w:r w:rsidRPr="00F200E7">
        <w:rPr>
          <w:rFonts w:ascii="Book Antiqua" w:hAnsi="Book Antiqua"/>
          <w:lang w:val="en-GB"/>
        </w:rPr>
        <w:t xml:space="preserve"> </w:t>
      </w:r>
      <w:proofErr w:type="spellStart"/>
      <w:r w:rsidRPr="00F200E7">
        <w:rPr>
          <w:rFonts w:ascii="Book Antiqua" w:hAnsi="Book Antiqua"/>
          <w:lang w:val="en-GB"/>
        </w:rPr>
        <w:t>Agraria</w:t>
      </w:r>
      <w:proofErr w:type="spellEnd"/>
      <w:r w:rsidRPr="00F200E7">
        <w:rPr>
          <w:rFonts w:ascii="Book Antiqua" w:hAnsi="Book Antiqua"/>
          <w:lang w:val="en-GB"/>
        </w:rPr>
        <w:t xml:space="preserve"> de los </w:t>
      </w:r>
      <w:proofErr w:type="spellStart"/>
      <w:r w:rsidRPr="00F200E7">
        <w:rPr>
          <w:rFonts w:ascii="Book Antiqua" w:hAnsi="Book Antiqua"/>
          <w:lang w:val="en-GB"/>
        </w:rPr>
        <w:t>Acuerdos</w:t>
      </w:r>
      <w:proofErr w:type="spellEnd"/>
      <w:r w:rsidRPr="00F200E7">
        <w:rPr>
          <w:rFonts w:ascii="Book Antiqua" w:hAnsi="Book Antiqua"/>
          <w:lang w:val="en-GB"/>
        </w:rPr>
        <w:t xml:space="preserve"> de Paz) of 1996</w:t>
      </w:r>
      <w:r w:rsidR="00FB5615">
        <w:rPr>
          <w:rFonts w:ascii="Book Antiqua" w:hAnsi="Book Antiqua"/>
          <w:lang w:val="en-GB"/>
        </w:rPr>
        <w:t xml:space="preserve"> </w:t>
      </w:r>
      <w:r w:rsidR="00B34BBE">
        <w:rPr>
          <w:rFonts w:ascii="Book Antiqua" w:hAnsi="Book Antiqua"/>
          <w:lang w:val="en-GB"/>
        </w:rPr>
        <w:t>could be useful</w:t>
      </w:r>
      <w:r w:rsidRPr="00F200E7">
        <w:rPr>
          <w:rFonts w:ascii="Book Antiqua" w:hAnsi="Book Antiqua"/>
          <w:lang w:val="en-GB"/>
        </w:rPr>
        <w:t>.</w:t>
      </w:r>
    </w:p>
    <w:p w:rsidR="00ED1005" w:rsidRPr="00F200E7" w:rsidRDefault="00ED1005" w:rsidP="00ED1005">
      <w:pPr>
        <w:spacing w:after="0" w:line="240" w:lineRule="auto"/>
        <w:rPr>
          <w:rFonts w:ascii="Book Antiqua" w:hAnsi="Book Antiqua"/>
          <w:lang w:val="en-GB"/>
        </w:rPr>
      </w:pPr>
      <w:r w:rsidRPr="00F200E7">
        <w:rPr>
          <w:rFonts w:ascii="Book Antiqua" w:hAnsi="Book Antiqua"/>
          <w:lang w:val="en-GB"/>
        </w:rPr>
        <w:br w:type="page"/>
      </w:r>
    </w:p>
    <w:p w:rsidR="00ED1005" w:rsidRPr="00F200E7" w:rsidRDefault="00287AE1" w:rsidP="009550AA">
      <w:pPr>
        <w:pStyle w:val="Heading1"/>
        <w:rPr>
          <w:lang w:val="en-GB"/>
        </w:rPr>
      </w:pPr>
      <w:bookmarkStart w:id="201" w:name="_Toc336607530"/>
      <w:r>
        <w:rPr>
          <w:lang w:val="en-GB"/>
        </w:rPr>
        <w:t>ANNEX:</w:t>
      </w:r>
      <w:r w:rsidR="005C3016" w:rsidRPr="00F200E7">
        <w:rPr>
          <w:lang w:val="en-GB"/>
        </w:rPr>
        <w:tab/>
      </w:r>
      <w:r w:rsidR="00070053" w:rsidRPr="00F200E7">
        <w:rPr>
          <w:lang w:val="en-GB"/>
        </w:rPr>
        <w:t>RESULTS OF THE REGRESSIONS</w:t>
      </w:r>
      <w:bookmarkEnd w:id="201"/>
    </w:p>
    <w:p w:rsidR="00ED1005" w:rsidRPr="00F200E7" w:rsidRDefault="00ED1005" w:rsidP="009550AA">
      <w:pPr>
        <w:pStyle w:val="NoSpacing"/>
        <w:rPr>
          <w:rFonts w:ascii="Book Antiqua" w:hAnsi="Book Antiqua"/>
          <w:lang w:val="en-GB"/>
        </w:rPr>
      </w:pPr>
    </w:p>
    <w:p w:rsidR="00ED1005" w:rsidRPr="00F200E7" w:rsidRDefault="00ED1005" w:rsidP="009550AA">
      <w:pPr>
        <w:pStyle w:val="NoSpacing"/>
        <w:rPr>
          <w:rFonts w:ascii="Book Antiqua" w:hAnsi="Book Antiqua"/>
          <w:b/>
          <w:lang w:val="en-GB"/>
        </w:rPr>
      </w:pPr>
      <w:r w:rsidRPr="00F200E7">
        <w:rPr>
          <w:rFonts w:ascii="Book Antiqua" w:hAnsi="Book Antiqua"/>
          <w:b/>
          <w:lang w:val="en-GB"/>
        </w:rPr>
        <w:t xml:space="preserve">Table </w:t>
      </w:r>
      <w:r w:rsidR="007C2F0F">
        <w:rPr>
          <w:rFonts w:ascii="Book Antiqua" w:hAnsi="Book Antiqua"/>
          <w:b/>
          <w:lang w:val="en-GB"/>
        </w:rPr>
        <w:t>6.</w:t>
      </w:r>
      <w:r w:rsidRPr="00F200E7">
        <w:rPr>
          <w:rFonts w:ascii="Book Antiqua" w:hAnsi="Book Antiqua"/>
          <w:b/>
          <w:lang w:val="en-GB"/>
        </w:rPr>
        <w:t>A.1</w:t>
      </w:r>
      <w:r w:rsidR="00070053" w:rsidRPr="00F200E7">
        <w:rPr>
          <w:rFonts w:ascii="Book Antiqua" w:hAnsi="Book Antiqua"/>
          <w:b/>
          <w:lang w:val="en-GB"/>
        </w:rPr>
        <w:t>:</w:t>
      </w:r>
      <w:r w:rsidR="00070053" w:rsidRPr="00F200E7">
        <w:rPr>
          <w:rFonts w:ascii="Book Antiqua" w:hAnsi="Book Antiqua"/>
          <w:b/>
          <w:lang w:val="en-GB"/>
        </w:rPr>
        <w:tab/>
      </w:r>
      <w:r w:rsidRPr="00F200E7">
        <w:rPr>
          <w:rFonts w:ascii="Book Antiqua" w:hAnsi="Book Antiqua"/>
          <w:b/>
          <w:lang w:val="en-GB"/>
        </w:rPr>
        <w:t>Change of trend model results</w:t>
      </w:r>
    </w:p>
    <w:p w:rsidR="00ED1005" w:rsidRPr="00F200E7" w:rsidRDefault="00ED1005" w:rsidP="00ED1005">
      <w:pPr>
        <w:pStyle w:val="NoSpacing"/>
        <w:jc w:val="both"/>
        <w:rPr>
          <w:rFonts w:ascii="Book Antiqua" w:hAnsi="Book Antiqua"/>
          <w:lang w:val="en-GB"/>
        </w:rPr>
      </w:pPr>
    </w:p>
    <w:tbl>
      <w:tblPr>
        <w:tblW w:w="5987" w:type="dxa"/>
        <w:jc w:val="center"/>
        <w:tblInd w:w="-515" w:type="dxa"/>
        <w:tblCellMar>
          <w:left w:w="70" w:type="dxa"/>
          <w:right w:w="70" w:type="dxa"/>
        </w:tblCellMar>
        <w:tblLook w:val="04A0"/>
      </w:tblPr>
      <w:tblGrid>
        <w:gridCol w:w="2230"/>
        <w:gridCol w:w="1325"/>
        <w:gridCol w:w="1216"/>
        <w:gridCol w:w="1216"/>
      </w:tblGrid>
      <w:tr w:rsidR="00ED1005" w:rsidRPr="00F200E7" w:rsidTr="00ED1005">
        <w:trPr>
          <w:trHeight w:val="330"/>
          <w:jc w:val="center"/>
        </w:trPr>
        <w:tc>
          <w:tcPr>
            <w:tcW w:w="2230" w:type="dxa"/>
            <w:tcBorders>
              <w:top w:val="single" w:sz="4" w:space="0" w:color="auto"/>
              <w:left w:val="nil"/>
              <w:bottom w:val="single" w:sz="4"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lang w:val="en-GB" w:eastAsia="es-GT"/>
              </w:rPr>
            </w:pPr>
          </w:p>
        </w:tc>
        <w:tc>
          <w:tcPr>
            <w:tcW w:w="1325" w:type="dxa"/>
            <w:tcBorders>
              <w:top w:val="single" w:sz="4" w:space="0" w:color="auto"/>
              <w:left w:val="nil"/>
              <w:bottom w:val="single" w:sz="4" w:space="0" w:color="auto"/>
              <w:right w:val="nil"/>
            </w:tcBorders>
            <w:shd w:val="clear" w:color="auto" w:fill="auto"/>
            <w:noWrap/>
            <w:vAlign w:val="center"/>
          </w:tcPr>
          <w:p w:rsidR="00C15F70" w:rsidRDefault="00ED1005">
            <w:pPr>
              <w:spacing w:after="0" w:line="240" w:lineRule="auto"/>
              <w:jc w:val="center"/>
              <w:rPr>
                <w:rFonts w:ascii="Book Antiqua" w:eastAsia="Times New Roman" w:hAnsi="Book Antiqua" w:cs="Calibri"/>
                <w:b/>
                <w:color w:val="000000"/>
                <w:sz w:val="20"/>
                <w:lang w:val="en-GB" w:eastAsia="es-GT"/>
              </w:rPr>
            </w:pPr>
            <w:r w:rsidRPr="00F200E7">
              <w:rPr>
                <w:rFonts w:ascii="Book Antiqua" w:eastAsia="Times New Roman" w:hAnsi="Book Antiqua" w:cs="Calibri"/>
                <w:b/>
                <w:color w:val="000000"/>
                <w:sz w:val="20"/>
                <w:lang w:val="en-GB" w:eastAsia="es-GT"/>
              </w:rPr>
              <w:t>Coefficients</w:t>
            </w:r>
          </w:p>
        </w:tc>
        <w:tc>
          <w:tcPr>
            <w:tcW w:w="1216" w:type="dxa"/>
            <w:tcBorders>
              <w:top w:val="single" w:sz="4" w:space="0" w:color="auto"/>
              <w:left w:val="nil"/>
              <w:bottom w:val="single" w:sz="4" w:space="0" w:color="auto"/>
              <w:right w:val="nil"/>
            </w:tcBorders>
            <w:shd w:val="clear" w:color="auto" w:fill="auto"/>
            <w:noWrap/>
            <w:vAlign w:val="center"/>
          </w:tcPr>
          <w:p w:rsidR="00C15F70" w:rsidRDefault="00ED1005">
            <w:pPr>
              <w:spacing w:after="0" w:line="240" w:lineRule="auto"/>
              <w:jc w:val="center"/>
              <w:rPr>
                <w:rFonts w:ascii="Book Antiqua" w:eastAsia="Times New Roman" w:hAnsi="Book Antiqua" w:cs="Calibri"/>
                <w:b/>
                <w:color w:val="000000"/>
                <w:sz w:val="20"/>
                <w:lang w:val="en-GB" w:eastAsia="es-GT"/>
              </w:rPr>
            </w:pPr>
            <w:r w:rsidRPr="00F200E7">
              <w:rPr>
                <w:rFonts w:ascii="Book Antiqua" w:eastAsia="Times New Roman" w:hAnsi="Book Antiqua" w:cs="Calibri"/>
                <w:b/>
                <w:color w:val="000000"/>
                <w:sz w:val="20"/>
                <w:lang w:val="en-GB" w:eastAsia="es-GT"/>
              </w:rPr>
              <w:t>Standard error</w:t>
            </w:r>
          </w:p>
        </w:tc>
        <w:tc>
          <w:tcPr>
            <w:tcW w:w="1216" w:type="dxa"/>
            <w:tcBorders>
              <w:top w:val="single" w:sz="4" w:space="0" w:color="auto"/>
              <w:left w:val="nil"/>
              <w:bottom w:val="single" w:sz="4" w:space="0" w:color="auto"/>
              <w:right w:val="nil"/>
            </w:tcBorders>
            <w:shd w:val="clear" w:color="auto" w:fill="auto"/>
            <w:noWrap/>
            <w:vAlign w:val="center"/>
          </w:tcPr>
          <w:p w:rsidR="00C15F70" w:rsidRDefault="00ED1005">
            <w:pPr>
              <w:spacing w:after="0" w:line="240" w:lineRule="auto"/>
              <w:jc w:val="center"/>
              <w:rPr>
                <w:rFonts w:ascii="Book Antiqua" w:eastAsia="Times New Roman" w:hAnsi="Book Antiqua" w:cs="Calibri"/>
                <w:b/>
                <w:color w:val="000000"/>
                <w:sz w:val="20"/>
                <w:lang w:val="en-GB" w:eastAsia="es-GT"/>
              </w:rPr>
            </w:pPr>
            <w:r w:rsidRPr="00F200E7">
              <w:rPr>
                <w:rFonts w:ascii="Book Antiqua" w:eastAsia="Times New Roman" w:hAnsi="Book Antiqua" w:cs="Calibri"/>
                <w:b/>
                <w:i/>
                <w:color w:val="000000"/>
                <w:sz w:val="20"/>
                <w:lang w:val="en-GB" w:eastAsia="es-GT"/>
              </w:rPr>
              <w:t>p</w:t>
            </w:r>
          </w:p>
        </w:tc>
      </w:tr>
      <w:tr w:rsidR="00ED1005" w:rsidRPr="00F200E7" w:rsidTr="00ED1005">
        <w:trPr>
          <w:trHeight w:val="330"/>
          <w:jc w:val="center"/>
        </w:trPr>
        <w:tc>
          <w:tcPr>
            <w:tcW w:w="2230" w:type="dxa"/>
            <w:tcBorders>
              <w:top w:val="single" w:sz="4" w:space="0" w:color="auto"/>
              <w:left w:val="nil"/>
              <w:bottom w:val="nil"/>
              <w:right w:val="nil"/>
            </w:tcBorders>
            <w:shd w:val="clear" w:color="auto" w:fill="auto"/>
            <w:noWrap/>
            <w:vAlign w:val="bottom"/>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Constant</w:t>
            </w:r>
          </w:p>
        </w:tc>
        <w:tc>
          <w:tcPr>
            <w:tcW w:w="1325" w:type="dxa"/>
            <w:tcBorders>
              <w:top w:val="single" w:sz="4" w:space="0" w:color="auto"/>
              <w:left w:val="nil"/>
              <w:bottom w:val="nil"/>
              <w:right w:val="nil"/>
            </w:tcBorders>
            <w:shd w:val="clear" w:color="auto" w:fill="auto"/>
            <w:noWrap/>
            <w:vAlign w:val="bottom"/>
          </w:tcPr>
          <w:p w:rsidR="00C15F70" w:rsidRDefault="00ED1005" w:rsidP="00C21E1E">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151</w:t>
            </w:r>
            <w:r w:rsidR="00C21E1E">
              <w:rPr>
                <w:rFonts w:ascii="Book Antiqua" w:eastAsia="Times New Roman" w:hAnsi="Book Antiqua" w:cs="Calibri"/>
                <w:color w:val="000000"/>
                <w:sz w:val="20"/>
                <w:lang w:val="en-GB" w:eastAsia="es-GT"/>
              </w:rPr>
              <w:t> </w:t>
            </w:r>
            <w:r w:rsidRPr="00F200E7">
              <w:rPr>
                <w:rFonts w:ascii="Book Antiqua" w:eastAsia="Times New Roman" w:hAnsi="Book Antiqua" w:cs="Calibri"/>
                <w:color w:val="000000"/>
                <w:sz w:val="20"/>
                <w:lang w:val="en-GB" w:eastAsia="es-GT"/>
              </w:rPr>
              <w:t>619.9</w:t>
            </w:r>
          </w:p>
        </w:tc>
        <w:tc>
          <w:tcPr>
            <w:tcW w:w="1216" w:type="dxa"/>
            <w:tcBorders>
              <w:top w:val="single" w:sz="4" w:space="0" w:color="auto"/>
              <w:left w:val="nil"/>
              <w:bottom w:val="nil"/>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2</w:t>
            </w:r>
            <w:r w:rsidR="00C21E1E">
              <w:rPr>
                <w:rFonts w:ascii="Book Antiqua" w:eastAsia="Times New Roman" w:hAnsi="Book Antiqua" w:cs="Calibri"/>
                <w:color w:val="000000"/>
                <w:sz w:val="20"/>
                <w:lang w:val="en-GB" w:eastAsia="es-GT"/>
              </w:rPr>
              <w:t> </w:t>
            </w:r>
            <w:r w:rsidRPr="00F200E7">
              <w:rPr>
                <w:rFonts w:ascii="Book Antiqua" w:eastAsia="Times New Roman" w:hAnsi="Book Antiqua" w:cs="Calibri"/>
                <w:color w:val="000000"/>
                <w:sz w:val="20"/>
                <w:lang w:val="en-GB" w:eastAsia="es-GT"/>
              </w:rPr>
              <w:t>567.3</w:t>
            </w:r>
          </w:p>
        </w:tc>
        <w:tc>
          <w:tcPr>
            <w:tcW w:w="1216" w:type="dxa"/>
            <w:tcBorders>
              <w:top w:val="single" w:sz="4" w:space="0" w:color="auto"/>
              <w:left w:val="nil"/>
              <w:bottom w:val="nil"/>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0.000</w:t>
            </w:r>
          </w:p>
        </w:tc>
      </w:tr>
      <w:tr w:rsidR="00ED1005" w:rsidRPr="00F200E7" w:rsidTr="00ED1005">
        <w:trPr>
          <w:trHeight w:val="330"/>
          <w:jc w:val="center"/>
        </w:trPr>
        <w:tc>
          <w:tcPr>
            <w:tcW w:w="2230" w:type="dxa"/>
            <w:tcBorders>
              <w:top w:val="nil"/>
              <w:left w:val="nil"/>
              <w:right w:val="nil"/>
            </w:tcBorders>
            <w:shd w:val="clear" w:color="auto" w:fill="auto"/>
            <w:noWrap/>
            <w:vAlign w:val="bottom"/>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Tendency</w:t>
            </w:r>
          </w:p>
        </w:tc>
        <w:tc>
          <w:tcPr>
            <w:tcW w:w="1325" w:type="dxa"/>
            <w:tcBorders>
              <w:top w:val="nil"/>
              <w:left w:val="nil"/>
              <w:right w:val="nil"/>
            </w:tcBorders>
            <w:shd w:val="clear" w:color="auto" w:fill="auto"/>
            <w:noWrap/>
            <w:vAlign w:val="bottom"/>
          </w:tcPr>
          <w:p w:rsidR="00C15F70" w:rsidRDefault="00C21E1E">
            <w:pPr>
              <w:spacing w:after="0" w:line="240" w:lineRule="auto"/>
              <w:jc w:val="center"/>
              <w:rPr>
                <w:rFonts w:ascii="Book Antiqua" w:eastAsia="Times New Roman" w:hAnsi="Book Antiqua" w:cs="Calibri"/>
                <w:color w:val="000000"/>
                <w:sz w:val="20"/>
                <w:lang w:val="en-GB" w:eastAsia="es-GT"/>
              </w:rPr>
            </w:pPr>
            <w:r>
              <w:rPr>
                <w:rFonts w:ascii="Book Antiqua" w:eastAsia="Times New Roman" w:hAnsi="Book Antiqua" w:cs="Calibri"/>
                <w:color w:val="000000"/>
                <w:sz w:val="20"/>
                <w:lang w:val="en-GB" w:eastAsia="es-GT"/>
              </w:rPr>
              <w:t>−</w:t>
            </w:r>
            <w:r w:rsidR="00ED1005" w:rsidRPr="00F200E7">
              <w:rPr>
                <w:rFonts w:ascii="Book Antiqua" w:eastAsia="Times New Roman" w:hAnsi="Book Antiqua" w:cs="Calibri"/>
                <w:color w:val="000000"/>
                <w:sz w:val="20"/>
                <w:lang w:val="en-GB" w:eastAsia="es-GT"/>
              </w:rPr>
              <w:t>1</w:t>
            </w:r>
            <w:r>
              <w:rPr>
                <w:rFonts w:ascii="Book Antiqua" w:eastAsia="Times New Roman" w:hAnsi="Book Antiqua" w:cs="Calibri"/>
                <w:color w:val="000000"/>
                <w:sz w:val="20"/>
                <w:lang w:val="en-GB" w:eastAsia="es-GT"/>
              </w:rPr>
              <w:t> </w:t>
            </w:r>
            <w:r w:rsidR="00ED1005" w:rsidRPr="00F200E7">
              <w:rPr>
                <w:rFonts w:ascii="Book Antiqua" w:eastAsia="Times New Roman" w:hAnsi="Book Antiqua" w:cs="Calibri"/>
                <w:color w:val="000000"/>
                <w:sz w:val="20"/>
                <w:lang w:val="en-GB" w:eastAsia="es-GT"/>
              </w:rPr>
              <w:t>978.2</w:t>
            </w:r>
          </w:p>
        </w:tc>
        <w:tc>
          <w:tcPr>
            <w:tcW w:w="1216" w:type="dxa"/>
            <w:tcBorders>
              <w:top w:val="nil"/>
              <w:left w:val="nil"/>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662.9</w:t>
            </w:r>
          </w:p>
        </w:tc>
        <w:tc>
          <w:tcPr>
            <w:tcW w:w="1216" w:type="dxa"/>
            <w:tcBorders>
              <w:top w:val="nil"/>
              <w:left w:val="nil"/>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0.020</w:t>
            </w:r>
          </w:p>
        </w:tc>
      </w:tr>
      <w:tr w:rsidR="00ED1005" w:rsidRPr="00F200E7" w:rsidTr="00ED1005">
        <w:trPr>
          <w:trHeight w:val="330"/>
          <w:jc w:val="center"/>
        </w:trPr>
        <w:tc>
          <w:tcPr>
            <w:tcW w:w="2230" w:type="dxa"/>
            <w:tcBorders>
              <w:left w:val="nil"/>
              <w:bottom w:val="single" w:sz="4" w:space="0" w:color="auto"/>
              <w:right w:val="nil"/>
            </w:tcBorders>
            <w:shd w:val="clear" w:color="auto" w:fill="auto"/>
            <w:noWrap/>
            <w:vAlign w:val="bottom"/>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Cross effect</w:t>
            </w:r>
          </w:p>
        </w:tc>
        <w:tc>
          <w:tcPr>
            <w:tcW w:w="1325" w:type="dxa"/>
            <w:tcBorders>
              <w:left w:val="nil"/>
              <w:bottom w:val="single" w:sz="4" w:space="0" w:color="auto"/>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1</w:t>
            </w:r>
            <w:r w:rsidR="00C21E1E">
              <w:rPr>
                <w:rFonts w:ascii="Book Antiqua" w:eastAsia="Times New Roman" w:hAnsi="Book Antiqua" w:cs="Calibri"/>
                <w:color w:val="000000"/>
                <w:sz w:val="20"/>
                <w:lang w:val="en-GB" w:eastAsia="es-GT"/>
              </w:rPr>
              <w:t> </w:t>
            </w:r>
            <w:r w:rsidRPr="00F200E7">
              <w:rPr>
                <w:rFonts w:ascii="Book Antiqua" w:eastAsia="Times New Roman" w:hAnsi="Book Antiqua" w:cs="Calibri"/>
                <w:color w:val="000000"/>
                <w:sz w:val="20"/>
                <w:lang w:val="en-GB" w:eastAsia="es-GT"/>
              </w:rPr>
              <w:t>709.9</w:t>
            </w:r>
          </w:p>
        </w:tc>
        <w:tc>
          <w:tcPr>
            <w:tcW w:w="1216" w:type="dxa"/>
            <w:tcBorders>
              <w:left w:val="nil"/>
              <w:bottom w:val="single" w:sz="4" w:space="0" w:color="auto"/>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450.8</w:t>
            </w:r>
          </w:p>
        </w:tc>
        <w:tc>
          <w:tcPr>
            <w:tcW w:w="1216" w:type="dxa"/>
            <w:tcBorders>
              <w:left w:val="nil"/>
              <w:bottom w:val="single" w:sz="4" w:space="0" w:color="auto"/>
              <w:right w:val="nil"/>
            </w:tcBorders>
            <w:shd w:val="clear" w:color="auto" w:fill="auto"/>
            <w:noWrap/>
            <w:vAlign w:val="bottom"/>
          </w:tcPr>
          <w:p w:rsidR="00C15F70" w:rsidRDefault="00ED1005">
            <w:pPr>
              <w:spacing w:after="0" w:line="240" w:lineRule="auto"/>
              <w:jc w:val="center"/>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0.007</w:t>
            </w:r>
          </w:p>
        </w:tc>
      </w:tr>
      <w:tr w:rsidR="00ED1005" w:rsidRPr="00F200E7" w:rsidTr="00ED1005">
        <w:trPr>
          <w:trHeight w:val="330"/>
          <w:jc w:val="center"/>
        </w:trPr>
        <w:tc>
          <w:tcPr>
            <w:tcW w:w="5987" w:type="dxa"/>
            <w:gridSpan w:val="4"/>
            <w:tcBorders>
              <w:top w:val="single" w:sz="4" w:space="0" w:color="auto"/>
              <w:left w:val="nil"/>
              <w:bottom w:val="single" w:sz="4" w:space="0" w:color="auto"/>
              <w:right w:val="nil"/>
            </w:tcBorders>
            <w:shd w:val="clear" w:color="auto" w:fill="auto"/>
            <w:noWrap/>
            <w:vAlign w:val="bottom"/>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 xml:space="preserve">Dependent variable: </w:t>
            </w:r>
            <w:r w:rsidR="00245A85" w:rsidRPr="00F200E7">
              <w:rPr>
                <w:rFonts w:ascii="Book Antiqua" w:eastAsia="Times New Roman" w:hAnsi="Book Antiqua" w:cs="Calibri"/>
                <w:color w:val="000000"/>
                <w:sz w:val="20"/>
                <w:lang w:val="en-GB" w:eastAsia="es-GT"/>
              </w:rPr>
              <w:t>f</w:t>
            </w:r>
            <w:r w:rsidRPr="00F200E7">
              <w:rPr>
                <w:rFonts w:ascii="Book Antiqua" w:eastAsia="Times New Roman" w:hAnsi="Book Antiqua" w:cs="Calibri"/>
                <w:color w:val="000000"/>
                <w:sz w:val="20"/>
                <w:lang w:val="en-GB" w:eastAsia="es-GT"/>
              </w:rPr>
              <w:t>ormal agricultural employment</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Number of observations: 10</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R</w:t>
            </w:r>
            <w:r w:rsidRPr="00F200E7">
              <w:rPr>
                <w:rFonts w:ascii="Book Antiqua" w:eastAsia="Times New Roman" w:hAnsi="Book Antiqua" w:cs="Calibri"/>
                <w:color w:val="000000"/>
                <w:sz w:val="20"/>
                <w:vertAlign w:val="superscript"/>
                <w:lang w:val="en-GB" w:eastAsia="es-GT"/>
              </w:rPr>
              <w:t>2</w:t>
            </w:r>
            <w:r w:rsidRPr="00F200E7">
              <w:rPr>
                <w:rFonts w:ascii="Book Antiqua" w:eastAsia="Times New Roman" w:hAnsi="Book Antiqua" w:cs="Calibri"/>
                <w:color w:val="000000"/>
                <w:sz w:val="20"/>
                <w:lang w:val="en-GB" w:eastAsia="es-GT"/>
              </w:rPr>
              <w:t xml:space="preserve"> = 0.825</w:t>
            </w:r>
          </w:p>
        </w:tc>
      </w:tr>
    </w:tbl>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center"/>
        <w:rPr>
          <w:rFonts w:ascii="Book Antiqua" w:hAnsi="Book Antiqua"/>
          <w:b/>
          <w:lang w:val="en-GB"/>
        </w:rPr>
      </w:pPr>
    </w:p>
    <w:p w:rsidR="00ED1005" w:rsidRPr="00F200E7" w:rsidRDefault="00ED1005" w:rsidP="00ED1005">
      <w:pPr>
        <w:pStyle w:val="NoSpacing"/>
        <w:jc w:val="center"/>
        <w:rPr>
          <w:rFonts w:ascii="Book Antiqua" w:hAnsi="Book Antiqua"/>
          <w:b/>
          <w:lang w:val="en-GB"/>
        </w:rPr>
      </w:pPr>
    </w:p>
    <w:p w:rsidR="00ED1005" w:rsidRPr="00F200E7" w:rsidRDefault="00ED1005" w:rsidP="009550AA">
      <w:pPr>
        <w:pStyle w:val="NoSpacing"/>
        <w:rPr>
          <w:rFonts w:ascii="Book Antiqua" w:hAnsi="Book Antiqua"/>
          <w:b/>
          <w:lang w:val="en-GB"/>
        </w:rPr>
      </w:pPr>
      <w:r w:rsidRPr="00F200E7">
        <w:rPr>
          <w:rFonts w:ascii="Book Antiqua" w:hAnsi="Book Antiqua"/>
          <w:b/>
          <w:lang w:val="en-GB"/>
        </w:rPr>
        <w:t xml:space="preserve">Table </w:t>
      </w:r>
      <w:r w:rsidR="007C2F0F">
        <w:rPr>
          <w:rFonts w:ascii="Book Antiqua" w:hAnsi="Book Antiqua"/>
          <w:b/>
          <w:lang w:val="en-GB"/>
        </w:rPr>
        <w:t>6.</w:t>
      </w:r>
      <w:r w:rsidRPr="00F200E7">
        <w:rPr>
          <w:rFonts w:ascii="Book Antiqua" w:hAnsi="Book Antiqua"/>
          <w:b/>
          <w:lang w:val="en-GB"/>
        </w:rPr>
        <w:t>A.2</w:t>
      </w:r>
      <w:r w:rsidR="00FA2A9F" w:rsidRPr="00F200E7">
        <w:rPr>
          <w:rFonts w:ascii="Book Antiqua" w:hAnsi="Book Antiqua"/>
          <w:b/>
          <w:lang w:val="en-GB"/>
        </w:rPr>
        <w:t>:</w:t>
      </w:r>
      <w:r w:rsidR="00FA2A9F" w:rsidRPr="00F200E7">
        <w:rPr>
          <w:rFonts w:ascii="Book Antiqua" w:hAnsi="Book Antiqua"/>
          <w:b/>
          <w:lang w:val="en-GB"/>
        </w:rPr>
        <w:tab/>
      </w:r>
      <w:r w:rsidR="00BC151C" w:rsidRPr="00F200E7">
        <w:rPr>
          <w:rFonts w:ascii="Book Antiqua" w:hAnsi="Book Antiqua"/>
          <w:b/>
          <w:lang w:val="en-GB"/>
        </w:rPr>
        <w:t>Agriculture</w:t>
      </w:r>
      <w:r w:rsidRPr="00F200E7">
        <w:rPr>
          <w:rFonts w:ascii="Book Antiqua" w:hAnsi="Book Antiqua"/>
          <w:b/>
          <w:lang w:val="en-GB"/>
        </w:rPr>
        <w:t xml:space="preserve"> employment – banana exports </w:t>
      </w:r>
      <w:proofErr w:type="spellStart"/>
      <w:r w:rsidRPr="00F200E7">
        <w:rPr>
          <w:rFonts w:ascii="Book Antiqua" w:hAnsi="Book Antiqua"/>
          <w:b/>
          <w:lang w:val="en-GB"/>
        </w:rPr>
        <w:t>elasticities</w:t>
      </w:r>
      <w:proofErr w:type="spellEnd"/>
    </w:p>
    <w:p w:rsidR="00ED1005" w:rsidRPr="00F200E7" w:rsidRDefault="00ED1005" w:rsidP="00ED1005">
      <w:pPr>
        <w:pStyle w:val="NoSpacing"/>
        <w:jc w:val="both"/>
        <w:rPr>
          <w:rFonts w:ascii="Book Antiqua" w:hAnsi="Book Antiqua"/>
          <w:lang w:val="en-GB"/>
        </w:rPr>
      </w:pPr>
    </w:p>
    <w:tbl>
      <w:tblPr>
        <w:tblW w:w="4925" w:type="dxa"/>
        <w:jc w:val="center"/>
        <w:tblInd w:w="55" w:type="dxa"/>
        <w:tblCellMar>
          <w:left w:w="70" w:type="dxa"/>
          <w:right w:w="70" w:type="dxa"/>
        </w:tblCellMar>
        <w:tblLook w:val="04A0"/>
      </w:tblPr>
      <w:tblGrid>
        <w:gridCol w:w="1200"/>
        <w:gridCol w:w="1325"/>
        <w:gridCol w:w="1200"/>
        <w:gridCol w:w="1200"/>
      </w:tblGrid>
      <w:tr w:rsidR="00ED1005" w:rsidRPr="00F200E7" w:rsidTr="00ED1005">
        <w:trPr>
          <w:trHeight w:val="345"/>
          <w:jc w:val="center"/>
        </w:trPr>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eastAsia="Times New Roman" w:cs="Calibri"/>
                <w:color w:val="000000"/>
                <w:sz w:val="20"/>
                <w:szCs w:val="20"/>
                <w:lang w:val="en-GB" w:eastAsia="es-GT"/>
              </w:rPr>
            </w:pPr>
            <w:r w:rsidRPr="00F200E7">
              <w:rPr>
                <w:rFonts w:eastAsia="Times New Roman" w:cs="Calibri"/>
                <w:color w:val="000000"/>
                <w:sz w:val="20"/>
                <w:szCs w:val="20"/>
                <w:lang w:val="en-GB" w:eastAsia="es-GT"/>
              </w:rPr>
              <w:t> </w:t>
            </w:r>
          </w:p>
        </w:tc>
        <w:tc>
          <w:tcPr>
            <w:tcW w:w="1325"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Coefficients</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Standard error</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i/>
                <w:color w:val="000000"/>
                <w:sz w:val="20"/>
                <w:lang w:val="en-GB" w:eastAsia="es-GT"/>
              </w:rPr>
              <w:t>p</w:t>
            </w:r>
          </w:p>
        </w:tc>
      </w:tr>
      <w:tr w:rsidR="00ED1005" w:rsidRPr="00F200E7" w:rsidTr="00ED1005">
        <w:trPr>
          <w:trHeight w:val="330"/>
          <w:jc w:val="center"/>
        </w:trPr>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Constant</w:t>
            </w:r>
          </w:p>
        </w:tc>
        <w:tc>
          <w:tcPr>
            <w:tcW w:w="1325"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137</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843.38</w:t>
            </w:r>
          </w:p>
        </w:tc>
        <w:tc>
          <w:tcPr>
            <w:tcW w:w="1200"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8</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160.1212</w:t>
            </w:r>
          </w:p>
        </w:tc>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0.000</w:t>
            </w:r>
          </w:p>
        </w:tc>
      </w:tr>
      <w:tr w:rsidR="00ED1005" w:rsidRPr="00F200E7" w:rsidTr="00ED1005">
        <w:trPr>
          <w:trHeight w:val="345"/>
          <w:jc w:val="center"/>
        </w:trPr>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Bananas</w:t>
            </w:r>
          </w:p>
        </w:tc>
        <w:tc>
          <w:tcPr>
            <w:tcW w:w="1325"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0.0078585</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0.0072548</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0.310</w:t>
            </w:r>
          </w:p>
        </w:tc>
      </w:tr>
      <w:tr w:rsidR="00ED1005" w:rsidRPr="00F200E7" w:rsidTr="00ED1005">
        <w:trPr>
          <w:trHeight w:val="330"/>
          <w:jc w:val="center"/>
        </w:trPr>
        <w:tc>
          <w:tcPr>
            <w:tcW w:w="4925" w:type="dxa"/>
            <w:gridSpan w:val="4"/>
            <w:tcBorders>
              <w:top w:val="single" w:sz="8" w:space="0" w:color="auto"/>
              <w:left w:val="nil"/>
              <w:bottom w:val="single" w:sz="4"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 xml:space="preserve">Dependent variable: </w:t>
            </w:r>
            <w:r w:rsidR="00245A85" w:rsidRPr="00F200E7">
              <w:rPr>
                <w:rFonts w:ascii="Book Antiqua" w:eastAsia="Times New Roman" w:hAnsi="Book Antiqua" w:cs="Calibri"/>
                <w:color w:val="000000"/>
                <w:sz w:val="20"/>
                <w:lang w:val="en-GB" w:eastAsia="es-GT"/>
              </w:rPr>
              <w:t>f</w:t>
            </w:r>
            <w:r w:rsidRPr="00F200E7">
              <w:rPr>
                <w:rFonts w:ascii="Book Antiqua" w:eastAsia="Times New Roman" w:hAnsi="Book Antiqua" w:cs="Calibri"/>
                <w:color w:val="000000"/>
                <w:sz w:val="20"/>
                <w:lang w:val="en-GB" w:eastAsia="es-GT"/>
              </w:rPr>
              <w:t>ormal agricultural employment</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Number of observations: 10</w:t>
            </w:r>
          </w:p>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w:t>
            </w:r>
            <w:r w:rsidRPr="00F200E7">
              <w:rPr>
                <w:rFonts w:ascii="Book Antiqua" w:eastAsia="Times New Roman" w:hAnsi="Book Antiqua" w:cs="Calibri"/>
                <w:color w:val="000000"/>
                <w:sz w:val="20"/>
                <w:szCs w:val="20"/>
                <w:vertAlign w:val="superscript"/>
                <w:lang w:val="en-GB" w:eastAsia="es-GT"/>
              </w:rPr>
              <w:t>2</w:t>
            </w:r>
            <w:r w:rsidRPr="00F200E7">
              <w:rPr>
                <w:rFonts w:ascii="Book Antiqua" w:eastAsia="Times New Roman" w:hAnsi="Book Antiqua" w:cs="Calibri"/>
                <w:color w:val="000000"/>
                <w:sz w:val="20"/>
                <w:szCs w:val="20"/>
                <w:lang w:val="en-GB" w:eastAsia="es-GT"/>
              </w:rPr>
              <w:t xml:space="preserve"> = 0.091</w:t>
            </w:r>
          </w:p>
        </w:tc>
      </w:tr>
    </w:tbl>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D1005" w:rsidRPr="00F200E7" w:rsidRDefault="00ED1005" w:rsidP="009550AA">
      <w:pPr>
        <w:pStyle w:val="NoSpacing"/>
        <w:rPr>
          <w:rFonts w:ascii="Book Antiqua" w:hAnsi="Book Antiqua"/>
          <w:b/>
          <w:lang w:val="en-GB"/>
        </w:rPr>
      </w:pPr>
      <w:r w:rsidRPr="00F200E7">
        <w:rPr>
          <w:rFonts w:ascii="Book Antiqua" w:hAnsi="Book Antiqua"/>
          <w:b/>
          <w:lang w:val="en-GB"/>
        </w:rPr>
        <w:t xml:space="preserve">Table </w:t>
      </w:r>
      <w:r w:rsidR="00C21E1E">
        <w:rPr>
          <w:rFonts w:ascii="Book Antiqua" w:hAnsi="Book Antiqua"/>
          <w:b/>
          <w:lang w:val="en-GB"/>
        </w:rPr>
        <w:t>6.</w:t>
      </w:r>
      <w:r w:rsidRPr="00F200E7">
        <w:rPr>
          <w:rFonts w:ascii="Book Antiqua" w:hAnsi="Book Antiqua"/>
          <w:b/>
          <w:lang w:val="en-GB"/>
        </w:rPr>
        <w:t>A.3</w:t>
      </w:r>
      <w:r w:rsidR="00FA2A9F" w:rsidRPr="00F200E7">
        <w:rPr>
          <w:rFonts w:ascii="Book Antiqua" w:hAnsi="Book Antiqua"/>
          <w:b/>
          <w:lang w:val="en-GB"/>
        </w:rPr>
        <w:t>:</w:t>
      </w:r>
      <w:r w:rsidR="00FA2A9F" w:rsidRPr="00F200E7">
        <w:rPr>
          <w:rFonts w:ascii="Book Antiqua" w:hAnsi="Book Antiqua"/>
          <w:b/>
          <w:lang w:val="en-GB"/>
        </w:rPr>
        <w:tab/>
      </w:r>
      <w:r w:rsidRPr="00F200E7">
        <w:rPr>
          <w:rFonts w:ascii="Book Antiqua" w:hAnsi="Book Antiqua"/>
          <w:b/>
          <w:lang w:val="en-GB"/>
        </w:rPr>
        <w:t xml:space="preserve">Agricultural employment – coffee exports </w:t>
      </w:r>
      <w:proofErr w:type="spellStart"/>
      <w:r w:rsidRPr="00F200E7">
        <w:rPr>
          <w:rFonts w:ascii="Book Antiqua" w:hAnsi="Book Antiqua"/>
          <w:b/>
          <w:lang w:val="en-GB"/>
        </w:rPr>
        <w:t>elasticities</w:t>
      </w:r>
      <w:proofErr w:type="spellEnd"/>
    </w:p>
    <w:p w:rsidR="00ED1005" w:rsidRPr="00F200E7" w:rsidRDefault="00ED1005" w:rsidP="00ED1005">
      <w:pPr>
        <w:pStyle w:val="NoSpacing"/>
        <w:jc w:val="both"/>
        <w:rPr>
          <w:rFonts w:ascii="Book Antiqua" w:hAnsi="Book Antiqua"/>
          <w:lang w:val="en-GB"/>
        </w:rPr>
      </w:pPr>
    </w:p>
    <w:tbl>
      <w:tblPr>
        <w:tblW w:w="4817" w:type="dxa"/>
        <w:jc w:val="center"/>
        <w:tblInd w:w="55" w:type="dxa"/>
        <w:tblCellMar>
          <w:left w:w="70" w:type="dxa"/>
          <w:right w:w="70" w:type="dxa"/>
        </w:tblCellMar>
        <w:tblLook w:val="04A0"/>
      </w:tblPr>
      <w:tblGrid>
        <w:gridCol w:w="1200"/>
        <w:gridCol w:w="1251"/>
        <w:gridCol w:w="1200"/>
        <w:gridCol w:w="1200"/>
      </w:tblGrid>
      <w:tr w:rsidR="00ED1005" w:rsidRPr="00F200E7" w:rsidTr="00ED1005">
        <w:trPr>
          <w:trHeight w:val="345"/>
          <w:jc w:val="center"/>
        </w:trPr>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eastAsia="Times New Roman" w:cs="Calibri"/>
                <w:color w:val="000000"/>
                <w:sz w:val="20"/>
                <w:szCs w:val="20"/>
                <w:lang w:val="en-GB" w:eastAsia="es-GT"/>
              </w:rPr>
            </w:pPr>
            <w:r w:rsidRPr="00F200E7">
              <w:rPr>
                <w:rFonts w:eastAsia="Times New Roman" w:cs="Calibri"/>
                <w:color w:val="000000"/>
                <w:sz w:val="20"/>
                <w:szCs w:val="20"/>
                <w:lang w:val="en-GB" w:eastAsia="es-GT"/>
              </w:rPr>
              <w:t> </w:t>
            </w:r>
          </w:p>
        </w:tc>
        <w:tc>
          <w:tcPr>
            <w:tcW w:w="1217"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Coefficients</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Standard error</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i/>
                <w:color w:val="000000"/>
                <w:sz w:val="20"/>
                <w:lang w:val="en-GB" w:eastAsia="es-GT"/>
              </w:rPr>
              <w:t>p</w:t>
            </w:r>
          </w:p>
        </w:tc>
      </w:tr>
      <w:tr w:rsidR="00ED1005" w:rsidRPr="00F200E7" w:rsidTr="00ED1005">
        <w:trPr>
          <w:trHeight w:val="330"/>
          <w:jc w:val="center"/>
        </w:trPr>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Constant</w:t>
            </w:r>
          </w:p>
        </w:tc>
        <w:tc>
          <w:tcPr>
            <w:tcW w:w="1217"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107</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634.92</w:t>
            </w:r>
          </w:p>
        </w:tc>
        <w:tc>
          <w:tcPr>
            <w:tcW w:w="1200"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14</w:t>
            </w:r>
            <w:r w:rsidR="00C21E1E">
              <w:rPr>
                <w:rFonts w:ascii="Book Antiqua" w:eastAsia="Times New Roman" w:hAnsi="Book Antiqua" w:cs="Calibri"/>
                <w:color w:val="000000"/>
                <w:sz w:val="18"/>
                <w:szCs w:val="20"/>
                <w:lang w:val="en-GB" w:eastAsia="es-GT"/>
              </w:rPr>
              <w:t> </w:t>
            </w:r>
            <w:r w:rsidRPr="00F200E7">
              <w:rPr>
                <w:rFonts w:ascii="Book Antiqua" w:eastAsia="Times New Roman" w:hAnsi="Book Antiqua" w:cs="Calibri"/>
                <w:color w:val="000000"/>
                <w:sz w:val="20"/>
                <w:szCs w:val="20"/>
                <w:lang w:val="en-GB" w:eastAsia="es-GT"/>
              </w:rPr>
              <w:t>317.729</w:t>
            </w:r>
          </w:p>
        </w:tc>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0.000</w:t>
            </w:r>
          </w:p>
        </w:tc>
      </w:tr>
      <w:tr w:rsidR="00ED1005" w:rsidRPr="00F200E7" w:rsidTr="00ED1005">
        <w:trPr>
          <w:trHeight w:val="345"/>
          <w:jc w:val="center"/>
        </w:trPr>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Coffee</w:t>
            </w:r>
          </w:p>
        </w:tc>
        <w:tc>
          <w:tcPr>
            <w:tcW w:w="1217"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0.173624</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0.0636953</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0.026</w:t>
            </w:r>
          </w:p>
        </w:tc>
      </w:tr>
      <w:tr w:rsidR="00ED1005" w:rsidRPr="00F200E7" w:rsidTr="00ED1005">
        <w:trPr>
          <w:trHeight w:val="330"/>
          <w:jc w:val="center"/>
        </w:trPr>
        <w:tc>
          <w:tcPr>
            <w:tcW w:w="4817" w:type="dxa"/>
            <w:gridSpan w:val="4"/>
            <w:tcBorders>
              <w:top w:val="single" w:sz="8" w:space="0" w:color="auto"/>
              <w:left w:val="nil"/>
              <w:bottom w:val="single" w:sz="4" w:space="0" w:color="auto"/>
              <w:right w:val="nil"/>
            </w:tcBorders>
            <w:shd w:val="clear" w:color="auto" w:fill="auto"/>
            <w:noWrap/>
            <w:vAlign w:val="center"/>
          </w:tcPr>
          <w:p w:rsidR="00ED1005" w:rsidRPr="00F200E7" w:rsidRDefault="00ED1005" w:rsidP="00ED1005">
            <w:pPr>
              <w:spacing w:after="0" w:line="240" w:lineRule="auto"/>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 xml:space="preserve">Dependent variable: </w:t>
            </w:r>
            <w:r w:rsidR="00C21E1E">
              <w:rPr>
                <w:rFonts w:ascii="Book Antiqua" w:eastAsia="Times New Roman" w:hAnsi="Book Antiqua" w:cs="Calibri"/>
                <w:color w:val="000000"/>
                <w:sz w:val="20"/>
                <w:lang w:val="en-GB" w:eastAsia="es-GT"/>
              </w:rPr>
              <w:t xml:space="preserve">formal </w:t>
            </w:r>
            <w:r w:rsidR="00245A85" w:rsidRPr="00F200E7">
              <w:rPr>
                <w:rFonts w:ascii="Book Antiqua" w:eastAsia="Times New Roman" w:hAnsi="Book Antiqua" w:cs="Calibri"/>
                <w:color w:val="000000"/>
                <w:sz w:val="20"/>
                <w:lang w:val="en-GB" w:eastAsia="es-GT"/>
              </w:rPr>
              <w:t>a</w:t>
            </w:r>
            <w:r w:rsidRPr="00F200E7">
              <w:rPr>
                <w:rFonts w:ascii="Book Antiqua" w:eastAsia="Times New Roman" w:hAnsi="Book Antiqua" w:cs="Calibri"/>
                <w:color w:val="000000"/>
                <w:sz w:val="20"/>
                <w:lang w:val="en-GB" w:eastAsia="es-GT"/>
              </w:rPr>
              <w:t>gricultural employment</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Number of observations: 10</w:t>
            </w:r>
          </w:p>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w:t>
            </w:r>
            <w:r w:rsidRPr="00F200E7">
              <w:rPr>
                <w:rFonts w:ascii="Book Antiqua" w:eastAsia="Times New Roman" w:hAnsi="Book Antiqua" w:cs="Calibri"/>
                <w:color w:val="000000"/>
                <w:sz w:val="20"/>
                <w:szCs w:val="20"/>
                <w:vertAlign w:val="superscript"/>
                <w:lang w:val="en-GB" w:eastAsia="es-GT"/>
              </w:rPr>
              <w:t>2</w:t>
            </w:r>
            <w:r w:rsidRPr="00F200E7">
              <w:rPr>
                <w:rFonts w:ascii="Book Antiqua" w:eastAsia="Times New Roman" w:hAnsi="Book Antiqua" w:cs="Calibri"/>
                <w:color w:val="000000"/>
                <w:sz w:val="20"/>
                <w:szCs w:val="20"/>
                <w:lang w:val="en-GB" w:eastAsia="es-GT"/>
              </w:rPr>
              <w:t xml:space="preserve"> = 0.499</w:t>
            </w:r>
          </w:p>
        </w:tc>
      </w:tr>
    </w:tbl>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b/>
          <w:lang w:val="en-GB"/>
        </w:rPr>
      </w:pPr>
    </w:p>
    <w:p w:rsidR="00BC151C" w:rsidRPr="00F200E7" w:rsidRDefault="00BC151C" w:rsidP="00ED1005">
      <w:pPr>
        <w:pStyle w:val="NoSpacing"/>
        <w:jc w:val="both"/>
        <w:rPr>
          <w:rFonts w:ascii="Book Antiqua" w:hAnsi="Book Antiqua"/>
          <w:b/>
          <w:lang w:val="en-GB"/>
        </w:rPr>
      </w:pPr>
    </w:p>
    <w:p w:rsidR="00BC151C" w:rsidRPr="00F200E7" w:rsidRDefault="00BC151C" w:rsidP="00ED1005">
      <w:pPr>
        <w:pStyle w:val="NoSpacing"/>
        <w:jc w:val="both"/>
        <w:rPr>
          <w:rFonts w:ascii="Book Antiqua" w:hAnsi="Book Antiqua"/>
          <w:b/>
          <w:lang w:val="en-GB"/>
        </w:rPr>
      </w:pPr>
    </w:p>
    <w:p w:rsidR="00BC151C" w:rsidRPr="00F200E7" w:rsidRDefault="00BC151C" w:rsidP="00ED1005">
      <w:pPr>
        <w:pStyle w:val="NoSpacing"/>
        <w:jc w:val="both"/>
        <w:rPr>
          <w:rFonts w:ascii="Book Antiqua" w:hAnsi="Book Antiqua"/>
          <w:b/>
          <w:lang w:val="en-GB"/>
        </w:rPr>
      </w:pPr>
    </w:p>
    <w:p w:rsidR="006D7986" w:rsidRPr="00F200E7" w:rsidRDefault="006D7986">
      <w:pPr>
        <w:spacing w:after="0" w:line="240" w:lineRule="auto"/>
        <w:rPr>
          <w:rFonts w:ascii="Book Antiqua" w:hAnsi="Book Antiqua"/>
          <w:b/>
          <w:lang w:val="en-GB"/>
        </w:rPr>
      </w:pPr>
      <w:r w:rsidRPr="00F200E7">
        <w:rPr>
          <w:rFonts w:ascii="Book Antiqua" w:hAnsi="Book Antiqua"/>
          <w:b/>
          <w:lang w:val="en-GB"/>
        </w:rPr>
        <w:br w:type="page"/>
      </w:r>
    </w:p>
    <w:p w:rsidR="00ED1005" w:rsidRPr="00F200E7" w:rsidRDefault="00ED1005" w:rsidP="009550AA">
      <w:pPr>
        <w:pStyle w:val="NoSpacing"/>
        <w:keepNext/>
        <w:rPr>
          <w:rFonts w:ascii="Book Antiqua" w:hAnsi="Book Antiqua"/>
          <w:b/>
          <w:lang w:val="en-GB"/>
        </w:rPr>
      </w:pPr>
      <w:r w:rsidRPr="00F200E7">
        <w:rPr>
          <w:rFonts w:ascii="Book Antiqua" w:hAnsi="Book Antiqua"/>
          <w:b/>
          <w:lang w:val="en-GB"/>
        </w:rPr>
        <w:t xml:space="preserve">Table </w:t>
      </w:r>
      <w:r w:rsidR="00C21E1E">
        <w:rPr>
          <w:rFonts w:ascii="Book Antiqua" w:hAnsi="Book Antiqua"/>
          <w:b/>
          <w:lang w:val="en-GB"/>
        </w:rPr>
        <w:t>6.</w:t>
      </w:r>
      <w:r w:rsidRPr="00F200E7">
        <w:rPr>
          <w:rFonts w:ascii="Book Antiqua" w:hAnsi="Book Antiqua"/>
          <w:b/>
          <w:lang w:val="en-GB"/>
        </w:rPr>
        <w:t>A.4</w:t>
      </w:r>
      <w:r w:rsidR="006D7986" w:rsidRPr="00F200E7">
        <w:rPr>
          <w:rFonts w:ascii="Book Antiqua" w:hAnsi="Book Antiqua"/>
          <w:b/>
          <w:lang w:val="en-GB"/>
        </w:rPr>
        <w:t xml:space="preserve">: </w:t>
      </w:r>
      <w:r w:rsidR="006D7986" w:rsidRPr="00F200E7">
        <w:rPr>
          <w:rFonts w:ascii="Book Antiqua" w:hAnsi="Book Antiqua"/>
          <w:b/>
          <w:lang w:val="en-GB"/>
        </w:rPr>
        <w:tab/>
      </w:r>
      <w:r w:rsidRPr="00F200E7">
        <w:rPr>
          <w:rFonts w:ascii="Book Antiqua" w:hAnsi="Book Antiqua"/>
          <w:b/>
          <w:lang w:val="en-GB"/>
        </w:rPr>
        <w:t xml:space="preserve">Agricultural employment – cardamom exports </w:t>
      </w:r>
      <w:proofErr w:type="spellStart"/>
      <w:r w:rsidRPr="00F200E7">
        <w:rPr>
          <w:rFonts w:ascii="Book Antiqua" w:hAnsi="Book Antiqua"/>
          <w:b/>
          <w:lang w:val="en-GB"/>
        </w:rPr>
        <w:t>elasticities</w:t>
      </w:r>
      <w:proofErr w:type="spellEnd"/>
    </w:p>
    <w:p w:rsidR="006D7986" w:rsidRPr="00F200E7" w:rsidRDefault="006D7986" w:rsidP="009550AA">
      <w:pPr>
        <w:pStyle w:val="NoSpacing"/>
        <w:keepNext/>
        <w:rPr>
          <w:rFonts w:ascii="Book Antiqua" w:hAnsi="Book Antiqua"/>
          <w:b/>
          <w:lang w:val="en-GB"/>
        </w:rPr>
      </w:pPr>
    </w:p>
    <w:tbl>
      <w:tblPr>
        <w:tblW w:w="4872" w:type="dxa"/>
        <w:jc w:val="center"/>
        <w:tblInd w:w="55" w:type="dxa"/>
        <w:tblCellMar>
          <w:left w:w="70" w:type="dxa"/>
          <w:right w:w="70" w:type="dxa"/>
        </w:tblCellMar>
        <w:tblLook w:val="04A0"/>
      </w:tblPr>
      <w:tblGrid>
        <w:gridCol w:w="1255"/>
        <w:gridCol w:w="1251"/>
        <w:gridCol w:w="1200"/>
        <w:gridCol w:w="1200"/>
      </w:tblGrid>
      <w:tr w:rsidR="00ED1005" w:rsidRPr="00F200E7" w:rsidTr="00ED1005">
        <w:trPr>
          <w:trHeight w:val="345"/>
          <w:jc w:val="center"/>
        </w:trPr>
        <w:tc>
          <w:tcPr>
            <w:tcW w:w="1255"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eastAsia="Times New Roman" w:cs="Calibri"/>
                <w:color w:val="000000"/>
                <w:sz w:val="20"/>
                <w:szCs w:val="20"/>
                <w:lang w:val="en-GB" w:eastAsia="es-GT"/>
              </w:rPr>
            </w:pPr>
            <w:r w:rsidRPr="00F200E7">
              <w:rPr>
                <w:rFonts w:eastAsia="Times New Roman" w:cs="Calibri"/>
                <w:color w:val="000000"/>
                <w:sz w:val="20"/>
                <w:szCs w:val="20"/>
                <w:lang w:val="en-GB" w:eastAsia="es-GT"/>
              </w:rPr>
              <w:t> </w:t>
            </w:r>
          </w:p>
        </w:tc>
        <w:tc>
          <w:tcPr>
            <w:tcW w:w="1217"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Coefficients</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Standard error</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i/>
                <w:color w:val="000000"/>
                <w:sz w:val="20"/>
                <w:lang w:val="en-GB" w:eastAsia="es-GT"/>
              </w:rPr>
              <w:t>p</w:t>
            </w:r>
          </w:p>
        </w:tc>
      </w:tr>
      <w:tr w:rsidR="00ED1005" w:rsidRPr="00F200E7" w:rsidTr="00ED1005">
        <w:trPr>
          <w:trHeight w:val="330"/>
          <w:jc w:val="center"/>
        </w:trPr>
        <w:tc>
          <w:tcPr>
            <w:tcW w:w="1255"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Constant</w:t>
            </w:r>
          </w:p>
        </w:tc>
        <w:tc>
          <w:tcPr>
            <w:tcW w:w="1217"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158</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551.88</w:t>
            </w:r>
          </w:p>
        </w:tc>
        <w:tc>
          <w:tcPr>
            <w:tcW w:w="1200"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5</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912.4356</w:t>
            </w:r>
          </w:p>
        </w:tc>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0.000</w:t>
            </w:r>
          </w:p>
        </w:tc>
      </w:tr>
      <w:tr w:rsidR="00ED1005" w:rsidRPr="00F200E7" w:rsidTr="00ED1005">
        <w:trPr>
          <w:trHeight w:val="345"/>
          <w:jc w:val="center"/>
        </w:trPr>
        <w:tc>
          <w:tcPr>
            <w:tcW w:w="1255"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Cardamom</w:t>
            </w:r>
          </w:p>
        </w:tc>
        <w:tc>
          <w:tcPr>
            <w:tcW w:w="1217" w:type="dxa"/>
            <w:tcBorders>
              <w:top w:val="nil"/>
              <w:left w:val="nil"/>
              <w:bottom w:val="single" w:sz="8" w:space="0" w:color="auto"/>
              <w:right w:val="nil"/>
            </w:tcBorders>
            <w:shd w:val="clear" w:color="auto" w:fill="auto"/>
            <w:noWrap/>
            <w:vAlign w:val="center"/>
          </w:tcPr>
          <w:p w:rsidR="00ED1005" w:rsidRPr="00F200E7" w:rsidRDefault="00C21E1E" w:rsidP="00ED1005">
            <w:pPr>
              <w:spacing w:after="0" w:line="240" w:lineRule="auto"/>
              <w:jc w:val="both"/>
              <w:rPr>
                <w:rFonts w:ascii="Book Antiqua" w:eastAsia="Times New Roman" w:hAnsi="Book Antiqua" w:cs="Calibri"/>
                <w:color w:val="000000"/>
                <w:sz w:val="20"/>
                <w:szCs w:val="20"/>
                <w:lang w:val="en-GB" w:eastAsia="es-GT"/>
              </w:rPr>
            </w:pPr>
            <w:r>
              <w:rPr>
                <w:rFonts w:ascii="Book Antiqua" w:eastAsia="Times New Roman" w:hAnsi="Book Antiqua" w:cs="Calibri"/>
                <w:color w:val="000000"/>
                <w:sz w:val="20"/>
                <w:szCs w:val="20"/>
                <w:lang w:val="en-GB" w:eastAsia="es-GT"/>
              </w:rPr>
              <w:t>−</w:t>
            </w:r>
            <w:r w:rsidR="00ED1005" w:rsidRPr="00F200E7">
              <w:rPr>
                <w:rFonts w:ascii="Book Antiqua" w:eastAsia="Times New Roman" w:hAnsi="Book Antiqua" w:cs="Calibri"/>
                <w:color w:val="000000"/>
                <w:sz w:val="20"/>
                <w:szCs w:val="20"/>
                <w:lang w:val="en-GB" w:eastAsia="es-GT"/>
              </w:rPr>
              <w:t>0.480027</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0.2316239</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0.072</w:t>
            </w:r>
          </w:p>
        </w:tc>
      </w:tr>
      <w:tr w:rsidR="00ED1005" w:rsidRPr="00F200E7" w:rsidTr="00ED1005">
        <w:trPr>
          <w:trHeight w:val="330"/>
          <w:jc w:val="center"/>
        </w:trPr>
        <w:tc>
          <w:tcPr>
            <w:tcW w:w="4872" w:type="dxa"/>
            <w:gridSpan w:val="4"/>
            <w:tcBorders>
              <w:top w:val="single" w:sz="8" w:space="0" w:color="auto"/>
              <w:left w:val="nil"/>
              <w:bottom w:val="single" w:sz="4" w:space="0" w:color="auto"/>
              <w:right w:val="nil"/>
            </w:tcBorders>
            <w:shd w:val="clear" w:color="auto" w:fill="auto"/>
            <w:noWrap/>
            <w:vAlign w:val="center"/>
          </w:tcPr>
          <w:p w:rsidR="00ED1005" w:rsidRPr="00F200E7" w:rsidRDefault="00ED1005" w:rsidP="00ED1005">
            <w:pPr>
              <w:spacing w:after="0" w:line="240" w:lineRule="auto"/>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 xml:space="preserve">Dependent variable: </w:t>
            </w:r>
            <w:r w:rsidR="00C21E1E">
              <w:rPr>
                <w:rFonts w:ascii="Book Antiqua" w:eastAsia="Times New Roman" w:hAnsi="Book Antiqua" w:cs="Calibri"/>
                <w:color w:val="000000"/>
                <w:sz w:val="20"/>
                <w:lang w:val="en-GB" w:eastAsia="es-GT"/>
              </w:rPr>
              <w:t xml:space="preserve">formal </w:t>
            </w:r>
            <w:r w:rsidR="00245A85" w:rsidRPr="00F200E7">
              <w:rPr>
                <w:rFonts w:ascii="Book Antiqua" w:eastAsia="Times New Roman" w:hAnsi="Book Antiqua" w:cs="Calibri"/>
                <w:color w:val="000000"/>
                <w:sz w:val="20"/>
                <w:lang w:val="en-GB" w:eastAsia="es-GT"/>
              </w:rPr>
              <w:t>a</w:t>
            </w:r>
            <w:r w:rsidRPr="00F200E7">
              <w:rPr>
                <w:rFonts w:ascii="Book Antiqua" w:eastAsia="Times New Roman" w:hAnsi="Book Antiqua" w:cs="Calibri"/>
                <w:color w:val="000000"/>
                <w:sz w:val="20"/>
                <w:lang w:val="en-GB" w:eastAsia="es-GT"/>
              </w:rPr>
              <w:t>gricultural employment</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Number of observations: 10</w:t>
            </w:r>
          </w:p>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w:t>
            </w:r>
            <w:r w:rsidRPr="00F200E7">
              <w:rPr>
                <w:rFonts w:ascii="Book Antiqua" w:eastAsia="Times New Roman" w:hAnsi="Book Antiqua" w:cs="Calibri"/>
                <w:color w:val="000000"/>
                <w:sz w:val="20"/>
                <w:szCs w:val="20"/>
                <w:vertAlign w:val="superscript"/>
                <w:lang w:val="en-GB" w:eastAsia="es-GT"/>
              </w:rPr>
              <w:t>2</w:t>
            </w:r>
            <w:r w:rsidRPr="00F200E7">
              <w:rPr>
                <w:rFonts w:ascii="Book Antiqua" w:eastAsia="Times New Roman" w:hAnsi="Book Antiqua" w:cs="Calibri"/>
                <w:color w:val="000000"/>
                <w:sz w:val="20"/>
                <w:szCs w:val="20"/>
                <w:lang w:val="en-GB" w:eastAsia="es-GT"/>
              </w:rPr>
              <w:t xml:space="preserve"> = 0.3282</w:t>
            </w:r>
          </w:p>
        </w:tc>
      </w:tr>
    </w:tbl>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b/>
          <w:lang w:val="en-GB"/>
        </w:rPr>
      </w:pPr>
    </w:p>
    <w:p w:rsidR="00ED1005" w:rsidRPr="00F200E7" w:rsidRDefault="00ED1005" w:rsidP="00ED1005">
      <w:pPr>
        <w:pStyle w:val="NoSpacing"/>
        <w:jc w:val="both"/>
        <w:rPr>
          <w:rFonts w:ascii="Book Antiqua" w:hAnsi="Book Antiqua"/>
          <w:b/>
          <w:lang w:val="en-GB"/>
        </w:rPr>
      </w:pPr>
    </w:p>
    <w:p w:rsidR="00ED1005" w:rsidRPr="00F200E7" w:rsidRDefault="00ED1005" w:rsidP="009550AA">
      <w:pPr>
        <w:pStyle w:val="NoSpacing"/>
        <w:rPr>
          <w:rFonts w:ascii="Book Antiqua" w:hAnsi="Book Antiqua"/>
          <w:b/>
          <w:lang w:val="en-GB"/>
        </w:rPr>
      </w:pPr>
      <w:r w:rsidRPr="00F200E7">
        <w:rPr>
          <w:rFonts w:ascii="Book Antiqua" w:hAnsi="Book Antiqua"/>
          <w:b/>
          <w:lang w:val="en-GB"/>
        </w:rPr>
        <w:t xml:space="preserve">Table </w:t>
      </w:r>
      <w:r w:rsidR="00C21E1E">
        <w:rPr>
          <w:rFonts w:ascii="Book Antiqua" w:hAnsi="Book Antiqua"/>
          <w:b/>
          <w:lang w:val="en-GB"/>
        </w:rPr>
        <w:t>6.</w:t>
      </w:r>
      <w:r w:rsidRPr="00F200E7">
        <w:rPr>
          <w:rFonts w:ascii="Book Antiqua" w:hAnsi="Book Antiqua"/>
          <w:b/>
          <w:lang w:val="en-GB"/>
        </w:rPr>
        <w:t>A.5</w:t>
      </w:r>
      <w:r w:rsidR="006D7986" w:rsidRPr="00F200E7">
        <w:rPr>
          <w:rFonts w:ascii="Book Antiqua" w:hAnsi="Book Antiqua"/>
          <w:b/>
          <w:lang w:val="en-GB"/>
        </w:rPr>
        <w:t>:</w:t>
      </w:r>
      <w:r w:rsidR="006D7986" w:rsidRPr="00F200E7">
        <w:rPr>
          <w:rFonts w:ascii="Book Antiqua" w:hAnsi="Book Antiqua"/>
          <w:b/>
          <w:lang w:val="en-GB"/>
        </w:rPr>
        <w:tab/>
      </w:r>
      <w:r w:rsidRPr="00F200E7">
        <w:rPr>
          <w:rFonts w:ascii="Book Antiqua" w:hAnsi="Book Antiqua"/>
          <w:b/>
          <w:lang w:val="en-GB"/>
        </w:rPr>
        <w:t xml:space="preserve"> Agricultural employment – sugar exports </w:t>
      </w:r>
      <w:proofErr w:type="spellStart"/>
      <w:r w:rsidRPr="00F200E7">
        <w:rPr>
          <w:rFonts w:ascii="Book Antiqua" w:hAnsi="Book Antiqua"/>
          <w:b/>
          <w:lang w:val="en-GB"/>
        </w:rPr>
        <w:t>elasticities</w:t>
      </w:r>
      <w:proofErr w:type="spellEnd"/>
    </w:p>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tbl>
      <w:tblPr>
        <w:tblW w:w="4817" w:type="dxa"/>
        <w:jc w:val="center"/>
        <w:tblInd w:w="55" w:type="dxa"/>
        <w:tblCellMar>
          <w:left w:w="70" w:type="dxa"/>
          <w:right w:w="70" w:type="dxa"/>
        </w:tblCellMar>
        <w:tblLook w:val="04A0"/>
      </w:tblPr>
      <w:tblGrid>
        <w:gridCol w:w="1200"/>
        <w:gridCol w:w="1251"/>
        <w:gridCol w:w="1200"/>
        <w:gridCol w:w="1200"/>
      </w:tblGrid>
      <w:tr w:rsidR="00ED1005" w:rsidRPr="00F200E7" w:rsidTr="00ED1005">
        <w:trPr>
          <w:trHeight w:val="345"/>
          <w:jc w:val="center"/>
        </w:trPr>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eastAsia="Times New Roman" w:cs="Calibri"/>
                <w:color w:val="000000"/>
                <w:sz w:val="20"/>
                <w:szCs w:val="20"/>
                <w:lang w:val="en-GB" w:eastAsia="es-GT"/>
              </w:rPr>
            </w:pPr>
            <w:r w:rsidRPr="00F200E7">
              <w:rPr>
                <w:rFonts w:eastAsia="Times New Roman" w:cs="Calibri"/>
                <w:color w:val="000000"/>
                <w:sz w:val="20"/>
                <w:szCs w:val="20"/>
                <w:lang w:val="en-GB" w:eastAsia="es-GT"/>
              </w:rPr>
              <w:t> </w:t>
            </w:r>
          </w:p>
        </w:tc>
        <w:tc>
          <w:tcPr>
            <w:tcW w:w="1217"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Coefficients</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color w:val="000000"/>
                <w:sz w:val="20"/>
                <w:lang w:val="en-GB" w:eastAsia="es-GT"/>
              </w:rPr>
              <w:t>Standard error</w:t>
            </w:r>
          </w:p>
        </w:tc>
        <w:tc>
          <w:tcPr>
            <w:tcW w:w="1200" w:type="dxa"/>
            <w:tcBorders>
              <w:top w:val="single" w:sz="8" w:space="0" w:color="auto"/>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b/>
                <w:color w:val="000000"/>
                <w:sz w:val="20"/>
                <w:szCs w:val="20"/>
                <w:lang w:val="en-GB" w:eastAsia="es-GT"/>
              </w:rPr>
            </w:pPr>
            <w:r w:rsidRPr="00F200E7">
              <w:rPr>
                <w:rFonts w:ascii="Book Antiqua" w:eastAsia="Times New Roman" w:hAnsi="Book Antiqua" w:cs="Calibri"/>
                <w:b/>
                <w:i/>
                <w:color w:val="000000"/>
                <w:sz w:val="20"/>
                <w:lang w:val="en-GB" w:eastAsia="es-GT"/>
              </w:rPr>
              <w:t>p</w:t>
            </w:r>
          </w:p>
        </w:tc>
      </w:tr>
      <w:tr w:rsidR="00ED1005" w:rsidRPr="00F200E7" w:rsidTr="00ED1005">
        <w:trPr>
          <w:trHeight w:val="330"/>
          <w:jc w:val="center"/>
        </w:trPr>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Constant</w:t>
            </w:r>
          </w:p>
        </w:tc>
        <w:tc>
          <w:tcPr>
            <w:tcW w:w="1217" w:type="dxa"/>
            <w:tcBorders>
              <w:top w:val="nil"/>
              <w:left w:val="nil"/>
              <w:bottom w:val="nil"/>
              <w:right w:val="nil"/>
            </w:tcBorders>
            <w:shd w:val="clear" w:color="auto" w:fill="auto"/>
            <w:noWrap/>
            <w:vAlign w:val="center"/>
          </w:tcPr>
          <w:p w:rsidR="00ED1005" w:rsidRPr="00F200E7" w:rsidRDefault="009550AA"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142</w:t>
            </w:r>
            <w:r w:rsidR="00C21E1E">
              <w:rPr>
                <w:rFonts w:ascii="Book Antiqua" w:eastAsia="Times New Roman" w:hAnsi="Book Antiqua" w:cs="Calibri"/>
                <w:color w:val="000000"/>
                <w:sz w:val="20"/>
                <w:szCs w:val="20"/>
                <w:lang w:val="en-GB" w:eastAsia="es-GT"/>
              </w:rPr>
              <w:t> </w:t>
            </w:r>
            <w:r w:rsidR="00ED1005" w:rsidRPr="00F200E7">
              <w:rPr>
                <w:rFonts w:ascii="Book Antiqua" w:eastAsia="Times New Roman" w:hAnsi="Book Antiqua" w:cs="Calibri"/>
                <w:color w:val="000000"/>
                <w:sz w:val="20"/>
                <w:szCs w:val="20"/>
                <w:lang w:val="en-GB" w:eastAsia="es-GT"/>
              </w:rPr>
              <w:t>510.97</w:t>
            </w:r>
          </w:p>
        </w:tc>
        <w:tc>
          <w:tcPr>
            <w:tcW w:w="1200" w:type="dxa"/>
            <w:tcBorders>
              <w:top w:val="nil"/>
              <w:left w:val="nil"/>
              <w:bottom w:val="nil"/>
              <w:right w:val="nil"/>
            </w:tcBorders>
            <w:shd w:val="clear" w:color="auto" w:fill="auto"/>
            <w:noWrap/>
            <w:vAlign w:val="center"/>
          </w:tcPr>
          <w:p w:rsidR="00ED1005" w:rsidRPr="00F200E7" w:rsidRDefault="00ED1005" w:rsidP="009550AA">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12</w:t>
            </w:r>
            <w:r w:rsidR="00C21E1E">
              <w:rPr>
                <w:rFonts w:ascii="Book Antiqua" w:eastAsia="Times New Roman" w:hAnsi="Book Antiqua" w:cs="Calibri"/>
                <w:color w:val="000000"/>
                <w:sz w:val="20"/>
                <w:szCs w:val="20"/>
                <w:lang w:val="en-GB" w:eastAsia="es-GT"/>
              </w:rPr>
              <w:t> </w:t>
            </w:r>
            <w:r w:rsidRPr="00F200E7">
              <w:rPr>
                <w:rFonts w:ascii="Book Antiqua" w:eastAsia="Times New Roman" w:hAnsi="Book Antiqua" w:cs="Calibri"/>
                <w:color w:val="000000"/>
                <w:sz w:val="20"/>
                <w:szCs w:val="20"/>
                <w:lang w:val="en-GB" w:eastAsia="es-GT"/>
              </w:rPr>
              <w:t>116.687</w:t>
            </w:r>
          </w:p>
        </w:tc>
        <w:tc>
          <w:tcPr>
            <w:tcW w:w="1200" w:type="dxa"/>
            <w:tcBorders>
              <w:top w:val="nil"/>
              <w:left w:val="nil"/>
              <w:bottom w:val="nil"/>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0.000</w:t>
            </w:r>
          </w:p>
        </w:tc>
      </w:tr>
      <w:tr w:rsidR="00ED1005" w:rsidRPr="00F200E7" w:rsidTr="00ED1005">
        <w:trPr>
          <w:trHeight w:val="345"/>
          <w:jc w:val="center"/>
        </w:trPr>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Sugar</w:t>
            </w:r>
          </w:p>
        </w:tc>
        <w:tc>
          <w:tcPr>
            <w:tcW w:w="1217"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0.0028902</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0.008598</w:t>
            </w:r>
          </w:p>
        </w:tc>
        <w:tc>
          <w:tcPr>
            <w:tcW w:w="1200" w:type="dxa"/>
            <w:tcBorders>
              <w:top w:val="nil"/>
              <w:left w:val="nil"/>
              <w:bottom w:val="single" w:sz="8" w:space="0" w:color="auto"/>
              <w:right w:val="nil"/>
            </w:tcBorders>
            <w:shd w:val="clear" w:color="auto" w:fill="auto"/>
            <w:noWrap/>
            <w:vAlign w:val="center"/>
          </w:tcPr>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0.745</w:t>
            </w:r>
          </w:p>
        </w:tc>
      </w:tr>
      <w:tr w:rsidR="00ED1005" w:rsidRPr="00F200E7" w:rsidTr="00ED1005">
        <w:trPr>
          <w:trHeight w:val="330"/>
          <w:jc w:val="center"/>
        </w:trPr>
        <w:tc>
          <w:tcPr>
            <w:tcW w:w="4817" w:type="dxa"/>
            <w:gridSpan w:val="4"/>
            <w:tcBorders>
              <w:top w:val="single" w:sz="8" w:space="0" w:color="auto"/>
              <w:left w:val="nil"/>
              <w:bottom w:val="single" w:sz="4" w:space="0" w:color="auto"/>
              <w:right w:val="nil"/>
            </w:tcBorders>
            <w:shd w:val="clear" w:color="auto" w:fill="auto"/>
            <w:noWrap/>
            <w:vAlign w:val="center"/>
          </w:tcPr>
          <w:p w:rsidR="00ED1005" w:rsidRPr="00F200E7" w:rsidRDefault="00ED1005" w:rsidP="00ED1005">
            <w:pPr>
              <w:spacing w:after="0" w:line="240" w:lineRule="auto"/>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 xml:space="preserve">Dependent variable: </w:t>
            </w:r>
            <w:r w:rsidR="00245A85" w:rsidRPr="00F200E7">
              <w:rPr>
                <w:rFonts w:ascii="Book Antiqua" w:eastAsia="Times New Roman" w:hAnsi="Book Antiqua" w:cs="Calibri"/>
                <w:color w:val="000000"/>
                <w:sz w:val="20"/>
                <w:lang w:val="en-GB" w:eastAsia="es-GT"/>
              </w:rPr>
              <w:t>f</w:t>
            </w:r>
            <w:r w:rsidRPr="00F200E7">
              <w:rPr>
                <w:rFonts w:ascii="Book Antiqua" w:eastAsia="Times New Roman" w:hAnsi="Book Antiqua" w:cs="Calibri"/>
                <w:color w:val="000000"/>
                <w:sz w:val="20"/>
                <w:lang w:val="en-GB" w:eastAsia="es-GT"/>
              </w:rPr>
              <w:t>ormal agricultural employment</w:t>
            </w:r>
          </w:p>
          <w:p w:rsidR="00ED1005" w:rsidRPr="00F200E7" w:rsidRDefault="00ED1005" w:rsidP="00ED1005">
            <w:pPr>
              <w:spacing w:after="0" w:line="240" w:lineRule="auto"/>
              <w:jc w:val="both"/>
              <w:rPr>
                <w:rFonts w:ascii="Book Antiqua" w:eastAsia="Times New Roman" w:hAnsi="Book Antiqua" w:cs="Calibri"/>
                <w:color w:val="000000"/>
                <w:sz w:val="20"/>
                <w:lang w:val="en-GB" w:eastAsia="es-GT"/>
              </w:rPr>
            </w:pPr>
            <w:r w:rsidRPr="00F200E7">
              <w:rPr>
                <w:rFonts w:ascii="Book Antiqua" w:eastAsia="Times New Roman" w:hAnsi="Book Antiqua" w:cs="Calibri"/>
                <w:color w:val="000000"/>
                <w:sz w:val="20"/>
                <w:lang w:val="en-GB" w:eastAsia="es-GT"/>
              </w:rPr>
              <w:t>Number of observations: 10</w:t>
            </w:r>
          </w:p>
          <w:p w:rsidR="00ED1005" w:rsidRPr="00F200E7" w:rsidRDefault="00ED1005" w:rsidP="00ED1005">
            <w:pPr>
              <w:spacing w:after="0" w:line="240" w:lineRule="auto"/>
              <w:jc w:val="both"/>
              <w:rPr>
                <w:rFonts w:ascii="Book Antiqua" w:eastAsia="Times New Roman" w:hAnsi="Book Antiqua" w:cs="Calibri"/>
                <w:color w:val="000000"/>
                <w:sz w:val="20"/>
                <w:szCs w:val="20"/>
                <w:lang w:val="en-GB" w:eastAsia="es-GT"/>
              </w:rPr>
            </w:pPr>
            <w:r w:rsidRPr="00F200E7">
              <w:rPr>
                <w:rFonts w:ascii="Book Antiqua" w:eastAsia="Times New Roman" w:hAnsi="Book Antiqua" w:cs="Calibri"/>
                <w:color w:val="000000"/>
                <w:sz w:val="20"/>
                <w:szCs w:val="20"/>
                <w:lang w:val="en-GB" w:eastAsia="es-GT"/>
              </w:rPr>
              <w:t>R</w:t>
            </w:r>
            <w:r w:rsidRPr="00F200E7">
              <w:rPr>
                <w:rFonts w:ascii="Book Antiqua" w:eastAsia="Times New Roman" w:hAnsi="Book Antiqua" w:cs="Calibri"/>
                <w:color w:val="000000"/>
                <w:sz w:val="20"/>
                <w:szCs w:val="20"/>
                <w:vertAlign w:val="superscript"/>
                <w:lang w:val="en-GB" w:eastAsia="es-GT"/>
              </w:rPr>
              <w:t>2</w:t>
            </w:r>
            <w:r w:rsidRPr="00F200E7">
              <w:rPr>
                <w:rFonts w:ascii="Book Antiqua" w:eastAsia="Times New Roman" w:hAnsi="Book Antiqua" w:cs="Calibri"/>
                <w:color w:val="000000"/>
                <w:sz w:val="20"/>
                <w:szCs w:val="20"/>
                <w:lang w:val="en-GB" w:eastAsia="es-GT"/>
              </w:rPr>
              <w:t xml:space="preserve"> = 0.0068</w:t>
            </w:r>
          </w:p>
        </w:tc>
      </w:tr>
    </w:tbl>
    <w:p w:rsidR="00ED1005" w:rsidRPr="00F200E7" w:rsidRDefault="00ED1005" w:rsidP="00ED1005">
      <w:pPr>
        <w:pStyle w:val="NoSpacing"/>
        <w:jc w:val="both"/>
        <w:rPr>
          <w:rFonts w:ascii="Book Antiqua" w:hAnsi="Book Antiqua"/>
          <w:lang w:val="en-GB"/>
        </w:rPr>
      </w:pPr>
    </w:p>
    <w:p w:rsidR="00ED1005" w:rsidRPr="00F200E7" w:rsidRDefault="00ED1005" w:rsidP="00ED1005">
      <w:pPr>
        <w:pStyle w:val="NoSpacing"/>
        <w:jc w:val="both"/>
        <w:rPr>
          <w:rFonts w:ascii="Book Antiqua" w:hAnsi="Book Antiqua"/>
          <w:lang w:val="en-GB"/>
        </w:rPr>
      </w:pPr>
    </w:p>
    <w:p w:rsidR="00ED1005" w:rsidRPr="00F200E7" w:rsidRDefault="00ED1005" w:rsidP="006C1A87">
      <w:pPr>
        <w:pStyle w:val="Heading1"/>
        <w:rPr>
          <w:lang w:val="en-GB"/>
        </w:rPr>
      </w:pPr>
      <w:r w:rsidRPr="00F200E7">
        <w:rPr>
          <w:lang w:val="en-GB"/>
        </w:rPr>
        <w:br w:type="page"/>
      </w:r>
      <w:bookmarkStart w:id="202" w:name="_Toc336607531"/>
      <w:bookmarkStart w:id="203" w:name="_Toc333838004"/>
      <w:r w:rsidRPr="00F200E7">
        <w:rPr>
          <w:lang w:val="en-GB"/>
        </w:rPr>
        <w:t>References</w:t>
      </w:r>
      <w:bookmarkEnd w:id="202"/>
      <w:bookmarkEnd w:id="203"/>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Asociación de Investigación y Estudios Sociales (ASIES). 2006. </w:t>
      </w:r>
      <w:r w:rsidRPr="00F57C06">
        <w:rPr>
          <w:rFonts w:cs="Calibri"/>
          <w:i/>
          <w:lang w:val="es-MX"/>
        </w:rPr>
        <w:t>Investigaciones sobre el tratado de libre comercio TLC entre Estados Unidos, Centroamérica y República Dominicana</w:t>
      </w:r>
      <w:r w:rsidRPr="00F57C06">
        <w:rPr>
          <w:rFonts w:cs="Calibri"/>
          <w:lang w:val="es-MX"/>
        </w:rPr>
        <w:t xml:space="preserve"> (Guatemala).</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 2008. </w:t>
      </w:r>
      <w:r w:rsidRPr="00F57C06">
        <w:rPr>
          <w:rFonts w:cs="Calibri"/>
          <w:i/>
          <w:lang w:val="es-MX"/>
        </w:rPr>
        <w:t>VII encuesta a la industria de vestuario y textiles</w:t>
      </w:r>
      <w:r w:rsidRPr="00F57C06">
        <w:rPr>
          <w:rFonts w:cs="Calibri"/>
          <w:lang w:val="es-MX"/>
        </w:rPr>
        <w:t xml:space="preserve"> (Guatemala).</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Banco Centroamericano de Integración Económica (BCIE). 2010. </w:t>
      </w:r>
      <w:r w:rsidRPr="00F57C06">
        <w:rPr>
          <w:rFonts w:cs="Calibri"/>
          <w:i/>
          <w:lang w:val="es-MX"/>
        </w:rPr>
        <w:t>Avances y desafíos de la integración centroamericana. Una revisión a 50 años de historia</w:t>
      </w:r>
      <w:r w:rsidRPr="00F57C06">
        <w:rPr>
          <w:rFonts w:cs="Calibri"/>
          <w:lang w:val="es-MX"/>
        </w:rPr>
        <w:t xml:space="preserve"> (Tegucigalpa y Honduras).</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Cabrera, M.; Delgado, M.; Guzmán, V. 2009. </w:t>
      </w:r>
      <w:r w:rsidRPr="00F57C06">
        <w:rPr>
          <w:rFonts w:cs="Calibri"/>
          <w:i/>
          <w:lang w:val="es-MX"/>
        </w:rPr>
        <w:t>Guatemala: Choques económicos, vulnerabilidad y políticas de protección social</w:t>
      </w:r>
      <w:r w:rsidRPr="00F57C06">
        <w:rPr>
          <w:rFonts w:cs="Calibri"/>
          <w:lang w:val="es-MX"/>
        </w:rPr>
        <w:t xml:space="preserve"> (Guatemala, Instituto Centroamericano de Estudios Fiscales).</w:t>
      </w:r>
    </w:p>
    <w:p w:rsidR="00CC4703" w:rsidRDefault="00CC4703" w:rsidP="00CC4703">
      <w:pPr>
        <w:widowControl w:val="0"/>
        <w:autoSpaceDE w:val="0"/>
        <w:autoSpaceDN w:val="0"/>
        <w:adjustRightInd w:val="0"/>
        <w:spacing w:after="120"/>
        <w:ind w:right="-386"/>
        <w:jc w:val="both"/>
        <w:rPr>
          <w:rFonts w:cs="Calibri"/>
          <w:lang w:val="es-MX"/>
        </w:rPr>
      </w:pPr>
      <w:r w:rsidRPr="00AE174D">
        <w:rPr>
          <w:rFonts w:cs="Calibri"/>
          <w:lang w:val="it-IT"/>
        </w:rPr>
        <w:t xml:space="preserve">Cicowiez, M.; Di Gresia, L. 2008. </w:t>
      </w:r>
      <w:r w:rsidRPr="00F57C06">
        <w:rPr>
          <w:rFonts w:cs="Calibri"/>
          <w:i/>
          <w:lang w:val="es-MX"/>
        </w:rPr>
        <w:t>Equilibrio general computado: Descripción de la metodología</w:t>
      </w:r>
      <w:r w:rsidRPr="00F57C06">
        <w:rPr>
          <w:rFonts w:cs="Calibri"/>
          <w:lang w:val="es-MX"/>
        </w:rPr>
        <w:t xml:space="preserve"> (Argentina, Universidad Nacional de la Plata).</w:t>
      </w:r>
    </w:p>
    <w:p w:rsidR="00DE70C5" w:rsidRDefault="00DE70C5" w:rsidP="00CC4703">
      <w:pPr>
        <w:widowControl w:val="0"/>
        <w:autoSpaceDE w:val="0"/>
        <w:autoSpaceDN w:val="0"/>
        <w:adjustRightInd w:val="0"/>
        <w:spacing w:after="120"/>
        <w:ind w:right="-386"/>
        <w:jc w:val="both"/>
        <w:rPr>
          <w:rFonts w:cs="Calibri"/>
          <w:lang w:val="es-MX"/>
        </w:rPr>
      </w:pPr>
      <w:r>
        <w:rPr>
          <w:rFonts w:cs="Calibri"/>
          <w:lang w:val="es-MX"/>
        </w:rPr>
        <w:t xml:space="preserve">ENEI, 2010. Encuesta Nacional de Empleo </w:t>
      </w:r>
      <w:proofErr w:type="gramStart"/>
      <w:r>
        <w:rPr>
          <w:rFonts w:cs="Calibri"/>
          <w:lang w:val="es-MX"/>
        </w:rPr>
        <w:t>y</w:t>
      </w:r>
      <w:proofErr w:type="gramEnd"/>
      <w:r>
        <w:rPr>
          <w:rFonts w:cs="Calibri"/>
          <w:lang w:val="es-MX"/>
        </w:rPr>
        <w:t xml:space="preserve"> Ingresos ENEI 2010, </w:t>
      </w:r>
      <w:proofErr w:type="spellStart"/>
      <w:r>
        <w:rPr>
          <w:rFonts w:cs="Calibri"/>
          <w:lang w:val="es-MX"/>
        </w:rPr>
        <w:t>available</w:t>
      </w:r>
      <w:proofErr w:type="spellEnd"/>
      <w:r>
        <w:rPr>
          <w:rFonts w:cs="Calibri"/>
          <w:lang w:val="es-MX"/>
        </w:rPr>
        <w:t xml:space="preserve"> at:  </w:t>
      </w:r>
      <w:hyperlink r:id="rId47" w:history="1">
        <w:r w:rsidRPr="00DF177A">
          <w:rPr>
            <w:rStyle w:val="Hyperlink"/>
            <w:rFonts w:cs="Calibri"/>
            <w:lang w:val="es-MX"/>
          </w:rPr>
          <w:t>http://www.ine.gob.gt/np/enei/ENEI2010.htm</w:t>
        </w:r>
      </w:hyperlink>
      <w:r>
        <w:rPr>
          <w:rFonts w:cs="Calibri"/>
          <w:lang w:val="es-MX"/>
        </w:rPr>
        <w:t xml:space="preserve"> (</w:t>
      </w:r>
      <w:proofErr w:type="spellStart"/>
      <w:r>
        <w:rPr>
          <w:rFonts w:cs="Calibri"/>
          <w:lang w:val="es-MX"/>
        </w:rPr>
        <w:t>accessed</w:t>
      </w:r>
      <w:proofErr w:type="spellEnd"/>
      <w:r>
        <w:rPr>
          <w:rFonts w:cs="Calibri"/>
          <w:lang w:val="es-MX"/>
        </w:rPr>
        <w:t xml:space="preserve"> in </w:t>
      </w:r>
      <w:proofErr w:type="spellStart"/>
      <w:r>
        <w:rPr>
          <w:rFonts w:cs="Calibri"/>
          <w:lang w:val="es-MX"/>
        </w:rPr>
        <w:t>November</w:t>
      </w:r>
      <w:proofErr w:type="spellEnd"/>
      <w:r>
        <w:rPr>
          <w:rFonts w:cs="Calibri"/>
          <w:lang w:val="es-MX"/>
        </w:rPr>
        <w:t xml:space="preserve"> 2012). </w:t>
      </w:r>
    </w:p>
    <w:p w:rsidR="00CC4703" w:rsidRPr="00F57C06" w:rsidRDefault="00CC4703" w:rsidP="00CC4703">
      <w:pPr>
        <w:widowControl w:val="0"/>
        <w:autoSpaceDE w:val="0"/>
        <w:autoSpaceDN w:val="0"/>
        <w:adjustRightInd w:val="0"/>
        <w:spacing w:after="120"/>
        <w:ind w:right="-386"/>
        <w:jc w:val="both"/>
        <w:rPr>
          <w:rFonts w:cs="Calibri"/>
          <w:lang w:val="es-MX"/>
        </w:rPr>
      </w:pPr>
      <w:proofErr w:type="spellStart"/>
      <w:r w:rsidRPr="00F57C06">
        <w:rPr>
          <w:rFonts w:cs="Calibri"/>
          <w:lang w:val="es-MX"/>
        </w:rPr>
        <w:t>Ermida</w:t>
      </w:r>
      <w:proofErr w:type="spellEnd"/>
      <w:r w:rsidRPr="00F57C06">
        <w:rPr>
          <w:rFonts w:cs="Calibri"/>
          <w:lang w:val="es-MX"/>
        </w:rPr>
        <w:t xml:space="preserve">, O. 2011. “Protección, igualdad, dignidad, libertad y no discriminación”, </w:t>
      </w:r>
      <w:r w:rsidR="008967E1">
        <w:rPr>
          <w:rFonts w:cs="Calibri"/>
          <w:lang w:val="es-MX"/>
        </w:rPr>
        <w:t>i</w:t>
      </w:r>
      <w:r w:rsidRPr="00F57C06">
        <w:rPr>
          <w:rFonts w:cs="Calibri"/>
          <w:lang w:val="es-MX"/>
        </w:rPr>
        <w:t xml:space="preserve">n </w:t>
      </w:r>
      <w:r w:rsidRPr="00F57C06">
        <w:rPr>
          <w:rFonts w:cs="Calibri"/>
          <w:i/>
          <w:lang w:val="es-MX"/>
        </w:rPr>
        <w:t>Revista REAL CARD</w:t>
      </w:r>
      <w:r>
        <w:rPr>
          <w:rFonts w:cs="Calibri"/>
          <w:i/>
          <w:lang w:val="es-MX"/>
        </w:rPr>
        <w:t>,</w:t>
      </w:r>
      <w:r>
        <w:rPr>
          <w:rFonts w:cs="Calibri"/>
          <w:lang w:val="es-MX"/>
        </w:rPr>
        <w:t xml:space="preserve"> No. 7</w:t>
      </w:r>
      <w:r w:rsidRPr="00F57C06">
        <w:rPr>
          <w:rFonts w:cs="Calibri"/>
          <w:lang w:val="es-MX"/>
        </w:rPr>
        <w:t xml:space="preserve"> (Guatemala, Asociación de Investigación y Estudios Sociales). </w:t>
      </w:r>
    </w:p>
    <w:p w:rsidR="009B710C" w:rsidRPr="00F57C06" w:rsidRDefault="009B710C" w:rsidP="009B710C">
      <w:pPr>
        <w:widowControl w:val="0"/>
        <w:autoSpaceDE w:val="0"/>
        <w:autoSpaceDN w:val="0"/>
        <w:adjustRightInd w:val="0"/>
        <w:spacing w:after="120"/>
        <w:ind w:right="-386"/>
        <w:jc w:val="both"/>
        <w:rPr>
          <w:rFonts w:cs="Calibri"/>
          <w:lang w:val="es-MX"/>
        </w:rPr>
      </w:pPr>
      <w:r>
        <w:rPr>
          <w:rFonts w:cs="Calibri"/>
          <w:lang w:val="es-MX"/>
        </w:rPr>
        <w:t>Grupo de Trabajo.</w:t>
      </w:r>
      <w:r w:rsidRPr="00F57C06">
        <w:rPr>
          <w:rFonts w:cs="Calibri"/>
          <w:lang w:val="es-MX"/>
        </w:rPr>
        <w:t xml:space="preserve"> 2005. </w:t>
      </w:r>
      <w:r w:rsidRPr="00F57C06">
        <w:rPr>
          <w:rFonts w:cs="Calibri"/>
          <w:i/>
          <w:lang w:val="es-MX"/>
        </w:rPr>
        <w:t>La dimensión laboral en Centroamérica y la República Dominicana</w:t>
      </w:r>
      <w:r w:rsidRPr="00F57C06">
        <w:rPr>
          <w:rFonts w:cs="Calibri"/>
          <w:lang w:val="es-MX"/>
        </w:rPr>
        <w:t xml:space="preserve"> (Informe del </w:t>
      </w:r>
      <w:r>
        <w:rPr>
          <w:rFonts w:cs="Calibri"/>
          <w:lang w:val="es-MX"/>
        </w:rPr>
        <w:t>G</w:t>
      </w:r>
      <w:r w:rsidRPr="00F57C06">
        <w:rPr>
          <w:rFonts w:cs="Calibri"/>
          <w:lang w:val="es-MX"/>
        </w:rPr>
        <w:t xml:space="preserve">rupo de </w:t>
      </w:r>
      <w:r>
        <w:rPr>
          <w:rFonts w:cs="Calibri"/>
          <w:lang w:val="es-MX"/>
        </w:rPr>
        <w:t>T</w:t>
      </w:r>
      <w:r w:rsidRPr="00F57C06">
        <w:rPr>
          <w:rFonts w:cs="Calibri"/>
          <w:lang w:val="es-MX"/>
        </w:rPr>
        <w:t xml:space="preserve">rabajo de los </w:t>
      </w:r>
      <w:r>
        <w:rPr>
          <w:rFonts w:cs="Calibri"/>
          <w:lang w:val="es-MX"/>
        </w:rPr>
        <w:t>V</w:t>
      </w:r>
      <w:r w:rsidRPr="00F57C06">
        <w:rPr>
          <w:rFonts w:cs="Calibri"/>
          <w:lang w:val="es-MX"/>
        </w:rPr>
        <w:t xml:space="preserve">iceministros de </w:t>
      </w:r>
      <w:r>
        <w:rPr>
          <w:rFonts w:cs="Calibri"/>
          <w:lang w:val="es-MX"/>
        </w:rPr>
        <w:t>C</w:t>
      </w:r>
      <w:r w:rsidRPr="00F57C06">
        <w:rPr>
          <w:rFonts w:cs="Calibri"/>
          <w:lang w:val="es-MX"/>
        </w:rPr>
        <w:t xml:space="preserve">omercio y </w:t>
      </w:r>
      <w:r>
        <w:rPr>
          <w:rFonts w:cs="Calibri"/>
          <w:lang w:val="es-MX"/>
        </w:rPr>
        <w:t>T</w:t>
      </w:r>
      <w:r w:rsidRPr="00F57C06">
        <w:rPr>
          <w:rFonts w:cs="Calibri"/>
          <w:lang w:val="es-MX"/>
        </w:rPr>
        <w:t>rabajo de los países de Centroamérica y de la Republica Dominicana).</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Guerra Borges, A. 1997. “El mercado común centroamericano, 1950−1980”, </w:t>
      </w:r>
      <w:r w:rsidR="008967E1">
        <w:rPr>
          <w:rFonts w:cs="Calibri"/>
          <w:lang w:val="es-MX"/>
        </w:rPr>
        <w:t>i</w:t>
      </w:r>
      <w:r w:rsidRPr="00F57C06">
        <w:rPr>
          <w:rFonts w:cs="Calibri"/>
          <w:lang w:val="es-MX"/>
        </w:rPr>
        <w:t xml:space="preserve">n </w:t>
      </w:r>
      <w:r w:rsidRPr="00F57C06">
        <w:rPr>
          <w:rFonts w:cs="Calibri"/>
          <w:i/>
          <w:lang w:val="es-MX"/>
        </w:rPr>
        <w:t>Historia General de Guatemala</w:t>
      </w:r>
      <w:r w:rsidRPr="00F57C06">
        <w:rPr>
          <w:rFonts w:cs="Calibri"/>
          <w:lang w:val="es-MX"/>
        </w:rPr>
        <w:t>, Tomo VI (Guatemala, Asociación de Amigos del País).</w:t>
      </w:r>
    </w:p>
    <w:p w:rsidR="000452A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Instituto Nacional de Estadística (INE). 2006. </w:t>
      </w:r>
      <w:r w:rsidRPr="00F57C06">
        <w:rPr>
          <w:rFonts w:cs="Calibri"/>
          <w:i/>
          <w:lang w:val="es-MX"/>
        </w:rPr>
        <w:t>Encuesta na</w:t>
      </w:r>
      <w:r w:rsidR="00FB5615">
        <w:rPr>
          <w:rFonts w:cs="Calibri"/>
          <w:i/>
          <w:lang w:val="es-MX"/>
        </w:rPr>
        <w:t>cional de c</w:t>
      </w:r>
      <w:r w:rsidRPr="00F57C06">
        <w:rPr>
          <w:rFonts w:cs="Calibri"/>
          <w:i/>
          <w:lang w:val="es-MX"/>
        </w:rPr>
        <w:t>ondiciones de vida, ENCOVI</w:t>
      </w:r>
      <w:r w:rsidRPr="00F57C06">
        <w:rPr>
          <w:rFonts w:cs="Calibri"/>
          <w:lang w:val="es-MX"/>
        </w:rPr>
        <w:t xml:space="preserve"> (Guatemala).</w:t>
      </w:r>
    </w:p>
    <w:p w:rsidR="000452A6" w:rsidRDefault="000452A6" w:rsidP="00CC4703">
      <w:pPr>
        <w:widowControl w:val="0"/>
        <w:autoSpaceDE w:val="0"/>
        <w:autoSpaceDN w:val="0"/>
        <w:adjustRightInd w:val="0"/>
        <w:spacing w:after="120"/>
        <w:ind w:right="-386"/>
        <w:jc w:val="both"/>
        <w:rPr>
          <w:rFonts w:cs="Calibri"/>
          <w:lang w:val="es-MX"/>
        </w:rPr>
      </w:pPr>
      <w:proofErr w:type="spellStart"/>
      <w:r>
        <w:rPr>
          <w:rFonts w:cs="Calibri"/>
          <w:lang w:val="es-MX"/>
        </w:rPr>
        <w:t>Kouzmine</w:t>
      </w:r>
      <w:proofErr w:type="spellEnd"/>
      <w:r>
        <w:rPr>
          <w:rFonts w:cs="Calibri"/>
          <w:lang w:val="es-MX"/>
        </w:rPr>
        <w:t xml:space="preserve">, V. 2000. "Exportaciones no tradicionales latinoamericanas. Un enfoque no tradicional", serie Comercio internacional, No. 7 (LC/L.1392-P), Santiago de Chile, Comisión Económica para América Latina y el Caribe (CEPAL). </w:t>
      </w:r>
    </w:p>
    <w:p w:rsidR="00CC4703"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Linares, L. 2012. “Caso de Guatemala”, </w:t>
      </w:r>
      <w:r w:rsidR="008967E1">
        <w:rPr>
          <w:rFonts w:cs="Calibri"/>
          <w:lang w:val="es-MX"/>
        </w:rPr>
        <w:t>i</w:t>
      </w:r>
      <w:r w:rsidRPr="00F57C06">
        <w:rPr>
          <w:rFonts w:cs="Calibri"/>
          <w:lang w:val="es-MX"/>
        </w:rPr>
        <w:t xml:space="preserve">n </w:t>
      </w:r>
      <w:r>
        <w:rPr>
          <w:rFonts w:cs="Calibri"/>
          <w:lang w:val="es-MX"/>
        </w:rPr>
        <w:t>F. Soto and</w:t>
      </w:r>
      <w:r w:rsidRPr="00F57C06">
        <w:rPr>
          <w:rFonts w:cs="Calibri"/>
          <w:lang w:val="es-MX"/>
        </w:rPr>
        <w:t xml:space="preserve"> E. Klein (eds.): </w:t>
      </w:r>
      <w:r w:rsidRPr="00F57C06">
        <w:rPr>
          <w:rFonts w:cs="Calibri"/>
          <w:i/>
          <w:lang w:val="es-MX"/>
        </w:rPr>
        <w:t>Políticas de mercado de trabajo y pobreza rural en América Latina, Tomo II</w:t>
      </w:r>
      <w:r w:rsidRPr="00F57C06">
        <w:rPr>
          <w:rFonts w:cs="Calibri"/>
          <w:lang w:val="es-MX"/>
        </w:rPr>
        <w:t xml:space="preserve"> (Santiago de Chile, </w:t>
      </w:r>
      <w:proofErr w:type="spellStart"/>
      <w:r>
        <w:rPr>
          <w:rFonts w:cs="Calibri"/>
          <w:lang w:val="es-MX"/>
        </w:rPr>
        <w:t>Food</w:t>
      </w:r>
      <w:proofErr w:type="spellEnd"/>
      <w:r>
        <w:rPr>
          <w:rFonts w:cs="Calibri"/>
          <w:lang w:val="es-MX"/>
        </w:rPr>
        <w:t xml:space="preserve"> and </w:t>
      </w:r>
      <w:proofErr w:type="spellStart"/>
      <w:r>
        <w:rPr>
          <w:rFonts w:cs="Calibri"/>
          <w:lang w:val="es-MX"/>
        </w:rPr>
        <w:t>Agriculture</w:t>
      </w:r>
      <w:proofErr w:type="spellEnd"/>
      <w:r>
        <w:rPr>
          <w:rFonts w:cs="Calibri"/>
          <w:lang w:val="es-MX"/>
        </w:rPr>
        <w:t xml:space="preserve"> </w:t>
      </w:r>
      <w:proofErr w:type="spellStart"/>
      <w:r>
        <w:rPr>
          <w:rFonts w:cs="Calibri"/>
          <w:lang w:val="es-MX"/>
        </w:rPr>
        <w:t>Organization</w:t>
      </w:r>
      <w:proofErr w:type="spellEnd"/>
      <w:r w:rsidRPr="00F57C06">
        <w:rPr>
          <w:rFonts w:cs="Calibri"/>
          <w:lang w:val="es-MX"/>
        </w:rPr>
        <w:t xml:space="preserve">, </w:t>
      </w:r>
      <w:r w:rsidRPr="00955966">
        <w:rPr>
          <w:rFonts w:asciiTheme="majorHAnsi" w:hAnsiTheme="majorHAnsi" w:cstheme="majorHAnsi"/>
          <w:color w:val="000000"/>
          <w:sz w:val="24"/>
          <w:szCs w:val="24"/>
          <w:lang w:val="es-MX"/>
        </w:rPr>
        <w:t>Comisión Económica para América Latina y el Caribe</w:t>
      </w:r>
      <w:r w:rsidRPr="00955966">
        <w:rPr>
          <w:rFonts w:asciiTheme="majorHAnsi" w:hAnsiTheme="majorHAnsi" w:cstheme="majorHAnsi"/>
          <w:sz w:val="24"/>
          <w:szCs w:val="24"/>
          <w:lang w:val="es-MX"/>
        </w:rPr>
        <w:t>,</w:t>
      </w:r>
      <w:r w:rsidR="00FB5615">
        <w:rPr>
          <w:rFonts w:asciiTheme="majorHAnsi" w:hAnsiTheme="majorHAnsi" w:cstheme="majorHAnsi"/>
          <w:sz w:val="24"/>
          <w:szCs w:val="24"/>
          <w:lang w:val="es-MX"/>
        </w:rPr>
        <w:t xml:space="preserve"> </w:t>
      </w:r>
      <w:r w:rsidRPr="00F57C06">
        <w:rPr>
          <w:rFonts w:cs="Calibri"/>
          <w:lang w:val="es-MX"/>
        </w:rPr>
        <w:t xml:space="preserve">Organización Internacional del Trabajo). </w:t>
      </w:r>
    </w:p>
    <w:p w:rsidR="00190046" w:rsidRPr="00F57C06" w:rsidRDefault="00190046" w:rsidP="00190046">
      <w:pPr>
        <w:widowControl w:val="0"/>
        <w:autoSpaceDE w:val="0"/>
        <w:autoSpaceDN w:val="0"/>
        <w:adjustRightInd w:val="0"/>
        <w:spacing w:after="120"/>
        <w:ind w:right="-386"/>
        <w:jc w:val="both"/>
        <w:rPr>
          <w:rFonts w:cs="Calibri"/>
          <w:lang w:val="es-MX"/>
        </w:rPr>
      </w:pPr>
      <w:r w:rsidRPr="00AE174D">
        <w:rPr>
          <w:rFonts w:cs="Calibri"/>
          <w:lang w:val="it-IT"/>
        </w:rPr>
        <w:t xml:space="preserve">Pingali, P.L. (ed.). 2001. </w:t>
      </w:r>
      <w:r w:rsidRPr="00AE174D">
        <w:rPr>
          <w:rFonts w:cs="Calibri"/>
          <w:i/>
          <w:lang w:val="it-IT"/>
        </w:rPr>
        <w:t xml:space="preserve">CIMMTH 1999−2000. </w:t>
      </w:r>
      <w:proofErr w:type="spellStart"/>
      <w:r w:rsidRPr="00F57C06">
        <w:rPr>
          <w:rFonts w:cs="Calibri"/>
          <w:i/>
          <w:lang w:val="es-MX"/>
        </w:rPr>
        <w:t>World</w:t>
      </w:r>
      <w:proofErr w:type="spellEnd"/>
      <w:r w:rsidRPr="00F57C06">
        <w:rPr>
          <w:rFonts w:cs="Calibri"/>
          <w:i/>
          <w:lang w:val="es-MX"/>
        </w:rPr>
        <w:t xml:space="preserve"> </w:t>
      </w:r>
      <w:proofErr w:type="spellStart"/>
      <w:r w:rsidRPr="00F57C06">
        <w:rPr>
          <w:rFonts w:cs="Calibri"/>
          <w:i/>
          <w:lang w:val="es-MX"/>
        </w:rPr>
        <w:t>maize</w:t>
      </w:r>
      <w:proofErr w:type="spellEnd"/>
      <w:r w:rsidRPr="00F57C06">
        <w:rPr>
          <w:rFonts w:cs="Calibri"/>
          <w:i/>
          <w:lang w:val="es-MX"/>
        </w:rPr>
        <w:t xml:space="preserve"> </w:t>
      </w:r>
      <w:proofErr w:type="spellStart"/>
      <w:r w:rsidRPr="00F57C06">
        <w:rPr>
          <w:rFonts w:cs="Calibri"/>
          <w:i/>
          <w:lang w:val="es-MX"/>
        </w:rPr>
        <w:t>facts</w:t>
      </w:r>
      <w:proofErr w:type="spellEnd"/>
      <w:r w:rsidRPr="00F57C06">
        <w:rPr>
          <w:rFonts w:cs="Calibri"/>
          <w:i/>
          <w:lang w:val="es-MX"/>
        </w:rPr>
        <w:t xml:space="preserve"> and </w:t>
      </w:r>
      <w:proofErr w:type="spellStart"/>
      <w:r w:rsidRPr="00F57C06">
        <w:rPr>
          <w:rFonts w:cs="Calibri"/>
          <w:i/>
          <w:lang w:val="es-MX"/>
        </w:rPr>
        <w:t>trends</w:t>
      </w:r>
      <w:proofErr w:type="spellEnd"/>
      <w:r w:rsidRPr="00F57C06">
        <w:rPr>
          <w:rFonts w:cs="Calibri"/>
          <w:lang w:val="es-MX"/>
        </w:rPr>
        <w:t xml:space="preserve"> (México, Centro Internacional para el Mejoramiento del Maíz y del Trigo).</w:t>
      </w:r>
    </w:p>
    <w:p w:rsidR="009F023E" w:rsidRPr="00CC4703" w:rsidRDefault="009F023E" w:rsidP="009F023E">
      <w:pPr>
        <w:widowControl w:val="0"/>
        <w:autoSpaceDE w:val="0"/>
        <w:autoSpaceDN w:val="0"/>
        <w:adjustRightInd w:val="0"/>
        <w:spacing w:before="120" w:after="120"/>
        <w:ind w:right="-386"/>
        <w:jc w:val="both"/>
        <w:rPr>
          <w:rFonts w:cs="Calibri"/>
          <w:lang w:val="es-MX"/>
        </w:rPr>
      </w:pPr>
      <w:r w:rsidRPr="009F023E">
        <w:rPr>
          <w:lang w:val="es-MX"/>
        </w:rPr>
        <w:t>Programa Estado de la Región en Desarrollo Humano Sostenible</w:t>
      </w:r>
      <w:r w:rsidRPr="00F57C06">
        <w:rPr>
          <w:rFonts w:cs="Calibri"/>
          <w:lang w:val="es-MX"/>
        </w:rPr>
        <w:t xml:space="preserve">. 2011. </w:t>
      </w:r>
      <w:r w:rsidRPr="00F57C06">
        <w:rPr>
          <w:rFonts w:cs="Calibri"/>
          <w:i/>
          <w:lang w:val="es-MX"/>
        </w:rPr>
        <w:t xml:space="preserve">Cuarto informe estado de la región en desarrollo humano sostenible </w:t>
      </w:r>
      <w:r w:rsidRPr="00F57C06">
        <w:rPr>
          <w:rFonts w:cs="Calibri"/>
          <w:lang w:val="es-MX"/>
        </w:rPr>
        <w:t>(San José).</w:t>
      </w:r>
    </w:p>
    <w:p w:rsidR="00CC4703" w:rsidRDefault="00CC4703" w:rsidP="00CC4703">
      <w:pPr>
        <w:widowControl w:val="0"/>
        <w:autoSpaceDE w:val="0"/>
        <w:autoSpaceDN w:val="0"/>
        <w:adjustRightInd w:val="0"/>
        <w:spacing w:after="120"/>
        <w:ind w:right="-386"/>
        <w:jc w:val="both"/>
        <w:rPr>
          <w:rFonts w:cs="Calibri"/>
        </w:rPr>
      </w:pPr>
      <w:proofErr w:type="spellStart"/>
      <w:proofErr w:type="gramStart"/>
      <w:r>
        <w:rPr>
          <w:rFonts w:cs="Calibri"/>
        </w:rPr>
        <w:t>Pyatt</w:t>
      </w:r>
      <w:proofErr w:type="spellEnd"/>
      <w:r>
        <w:rPr>
          <w:rFonts w:cs="Calibri"/>
        </w:rPr>
        <w:t xml:space="preserve">, G.; </w:t>
      </w:r>
      <w:proofErr w:type="spellStart"/>
      <w:r>
        <w:rPr>
          <w:rFonts w:cs="Calibri"/>
        </w:rPr>
        <w:t>Thorbecke</w:t>
      </w:r>
      <w:proofErr w:type="spellEnd"/>
      <w:r>
        <w:rPr>
          <w:rFonts w:cs="Calibri"/>
        </w:rPr>
        <w:t>, E. 1976.</w:t>
      </w:r>
      <w:proofErr w:type="gramEnd"/>
      <w:r>
        <w:rPr>
          <w:rFonts w:cs="Calibri"/>
        </w:rPr>
        <w:t xml:space="preserve"> </w:t>
      </w:r>
      <w:proofErr w:type="gramStart"/>
      <w:r>
        <w:rPr>
          <w:rFonts w:cs="Calibri"/>
          <w:i/>
          <w:iCs/>
        </w:rPr>
        <w:t>Planning techniques for a better future</w:t>
      </w:r>
      <w:r>
        <w:rPr>
          <w:rFonts w:cs="Calibri"/>
        </w:rPr>
        <w:t xml:space="preserve"> (Geneva, International </w:t>
      </w:r>
      <w:proofErr w:type="spellStart"/>
      <w:r>
        <w:rPr>
          <w:rFonts w:cs="Calibri"/>
        </w:rPr>
        <w:t>Labour</w:t>
      </w:r>
      <w:proofErr w:type="spellEnd"/>
      <w:r>
        <w:rPr>
          <w:rFonts w:cs="Calibri"/>
        </w:rPr>
        <w:t xml:space="preserve"> Office).</w:t>
      </w:r>
      <w:proofErr w:type="gramEnd"/>
    </w:p>
    <w:p w:rsidR="00CC4703" w:rsidRPr="00F57C06" w:rsidRDefault="00CC4703" w:rsidP="00CC4703">
      <w:pPr>
        <w:widowControl w:val="0"/>
        <w:autoSpaceDE w:val="0"/>
        <w:autoSpaceDN w:val="0"/>
        <w:adjustRightInd w:val="0"/>
        <w:spacing w:after="120"/>
        <w:ind w:right="-386"/>
        <w:jc w:val="both"/>
        <w:rPr>
          <w:rFonts w:cs="Calibri"/>
          <w:lang w:val="es-MX"/>
        </w:rPr>
      </w:pPr>
      <w:proofErr w:type="spellStart"/>
      <w:r w:rsidRPr="00F57C06">
        <w:rPr>
          <w:rFonts w:cs="Calibri"/>
          <w:lang w:val="es-MX"/>
        </w:rPr>
        <w:t>Rodrigues</w:t>
      </w:r>
      <w:proofErr w:type="spellEnd"/>
      <w:r w:rsidRPr="00F57C06">
        <w:rPr>
          <w:rFonts w:cs="Calibri"/>
          <w:lang w:val="es-MX"/>
        </w:rPr>
        <w:t xml:space="preserve">, M. 2006. Disposiciones agroalimentarias en los tratados de libre comercio con Estados Unidos: Avances y limitaciones para futuras negociaciones con socios Latino Americanos, </w:t>
      </w:r>
      <w:r w:rsidRPr="00F57C06">
        <w:rPr>
          <w:rFonts w:cs="Calibri"/>
          <w:i/>
          <w:lang w:val="es-MX"/>
        </w:rPr>
        <w:t>Series CEPAL</w:t>
      </w:r>
      <w:r w:rsidR="008967E1">
        <w:rPr>
          <w:rFonts w:cs="Calibri"/>
          <w:lang w:val="es-MX"/>
        </w:rPr>
        <w:t xml:space="preserve">, </w:t>
      </w:r>
      <w:r w:rsidRPr="00F57C06">
        <w:rPr>
          <w:rFonts w:cs="Calibri"/>
          <w:lang w:val="es-MX"/>
        </w:rPr>
        <w:t>No. 170 (Chile, Desarrollo Productivo).</w:t>
      </w:r>
    </w:p>
    <w:p w:rsidR="00CC4703" w:rsidRPr="00F57C06" w:rsidRDefault="00CC4703" w:rsidP="00CC4703">
      <w:pPr>
        <w:widowControl w:val="0"/>
        <w:autoSpaceDE w:val="0"/>
        <w:autoSpaceDN w:val="0"/>
        <w:adjustRightInd w:val="0"/>
        <w:spacing w:after="120"/>
        <w:ind w:right="-386"/>
        <w:jc w:val="both"/>
        <w:rPr>
          <w:rFonts w:cs="Calibri"/>
          <w:lang w:val="es-MX"/>
        </w:rPr>
      </w:pPr>
      <w:proofErr w:type="spellStart"/>
      <w:r w:rsidRPr="00F57C06">
        <w:rPr>
          <w:rFonts w:cs="Calibri"/>
          <w:lang w:val="es-MX"/>
        </w:rPr>
        <w:t>Santacoloma</w:t>
      </w:r>
      <w:proofErr w:type="spellEnd"/>
      <w:r w:rsidRPr="00F57C06">
        <w:rPr>
          <w:rFonts w:cs="Calibri"/>
          <w:lang w:val="es-MX"/>
        </w:rPr>
        <w:t>, P</w:t>
      </w:r>
      <w:r>
        <w:rPr>
          <w:rFonts w:cs="Calibri"/>
          <w:lang w:val="es-MX"/>
        </w:rPr>
        <w:t>.</w:t>
      </w:r>
      <w:r w:rsidRPr="00F57C06">
        <w:rPr>
          <w:rFonts w:cs="Calibri"/>
          <w:lang w:val="es-MX"/>
        </w:rPr>
        <w:t xml:space="preserve">; Suarez, R. 2005. </w:t>
      </w:r>
      <w:r w:rsidRPr="00F57C06">
        <w:rPr>
          <w:rFonts w:cs="Calibri"/>
          <w:i/>
          <w:lang w:val="es-MX"/>
        </w:rPr>
        <w:t xml:space="preserve">Fortalecimiento de los vínculos de </w:t>
      </w:r>
      <w:proofErr w:type="spellStart"/>
      <w:r w:rsidRPr="00F57C06">
        <w:rPr>
          <w:rFonts w:cs="Calibri"/>
          <w:i/>
          <w:lang w:val="es-MX"/>
        </w:rPr>
        <w:t>agronegocios</w:t>
      </w:r>
      <w:proofErr w:type="spellEnd"/>
      <w:r w:rsidRPr="00F57C06">
        <w:rPr>
          <w:rFonts w:cs="Calibri"/>
          <w:i/>
          <w:lang w:val="es-MX"/>
        </w:rPr>
        <w:t xml:space="preserve"> con los pequeños agricultores</w:t>
      </w:r>
      <w:r>
        <w:rPr>
          <w:rFonts w:cs="Calibri"/>
          <w:lang w:val="es-MX"/>
        </w:rPr>
        <w:t xml:space="preserve"> (Rome</w:t>
      </w:r>
      <w:r w:rsidRPr="00F57C06">
        <w:rPr>
          <w:rFonts w:cs="Calibri"/>
          <w:lang w:val="es-MX"/>
        </w:rPr>
        <w:t xml:space="preserve">, </w:t>
      </w:r>
      <w:proofErr w:type="spellStart"/>
      <w:r w:rsidRPr="00F57C06">
        <w:rPr>
          <w:rFonts w:cs="Calibri"/>
          <w:lang w:val="es-MX"/>
        </w:rPr>
        <w:t>Food</w:t>
      </w:r>
      <w:proofErr w:type="spellEnd"/>
      <w:r w:rsidRPr="00F57C06">
        <w:rPr>
          <w:rFonts w:cs="Calibri"/>
          <w:lang w:val="es-MX"/>
        </w:rPr>
        <w:t xml:space="preserve"> and </w:t>
      </w:r>
      <w:proofErr w:type="spellStart"/>
      <w:r w:rsidRPr="00F57C06">
        <w:rPr>
          <w:rFonts w:cs="Calibri"/>
          <w:lang w:val="es-MX"/>
        </w:rPr>
        <w:t>Agriculture</w:t>
      </w:r>
      <w:proofErr w:type="spellEnd"/>
      <w:r w:rsidRPr="00F57C06">
        <w:rPr>
          <w:rFonts w:cs="Calibri"/>
          <w:lang w:val="es-MX"/>
        </w:rPr>
        <w:t xml:space="preserve"> </w:t>
      </w:r>
      <w:proofErr w:type="spellStart"/>
      <w:r w:rsidRPr="00F57C06">
        <w:rPr>
          <w:rFonts w:cs="Calibri"/>
          <w:lang w:val="es-MX"/>
        </w:rPr>
        <w:t>Organization</w:t>
      </w:r>
      <w:proofErr w:type="spellEnd"/>
      <w:r w:rsidRPr="00F57C06">
        <w:rPr>
          <w:rFonts w:cs="Calibri"/>
          <w:lang w:val="es-MX"/>
        </w:rPr>
        <w:t>).</w:t>
      </w:r>
    </w:p>
    <w:p w:rsidR="00CC4703" w:rsidRPr="00F57C06" w:rsidRDefault="00CC4703" w:rsidP="00CC4703">
      <w:pPr>
        <w:widowControl w:val="0"/>
        <w:autoSpaceDE w:val="0"/>
        <w:autoSpaceDN w:val="0"/>
        <w:adjustRightInd w:val="0"/>
        <w:spacing w:before="120" w:after="120"/>
        <w:ind w:right="-386"/>
        <w:jc w:val="both"/>
        <w:rPr>
          <w:rFonts w:cs="Calibri"/>
          <w:lang w:val="es-MX"/>
        </w:rPr>
      </w:pPr>
      <w:r w:rsidRPr="00F57C06">
        <w:rPr>
          <w:rFonts w:cs="Calibri"/>
          <w:lang w:val="es-MX"/>
        </w:rPr>
        <w:t>Urrutia, P. 2011. “La integración centroamericana y sus principales component</w:t>
      </w:r>
      <w:r>
        <w:rPr>
          <w:rFonts w:cs="Calibri"/>
          <w:lang w:val="es-MX"/>
        </w:rPr>
        <w:t>e</w:t>
      </w:r>
      <w:r w:rsidRPr="00F57C06">
        <w:rPr>
          <w:rFonts w:cs="Calibri"/>
          <w:lang w:val="es-MX"/>
        </w:rPr>
        <w:t xml:space="preserve">s”, </w:t>
      </w:r>
      <w:r w:rsidR="008967E1">
        <w:rPr>
          <w:rFonts w:cs="Calibri"/>
          <w:lang w:val="es-MX"/>
        </w:rPr>
        <w:t>i</w:t>
      </w:r>
      <w:r w:rsidRPr="00F57C06">
        <w:rPr>
          <w:rFonts w:cs="Calibri"/>
          <w:lang w:val="es-MX"/>
        </w:rPr>
        <w:t xml:space="preserve">n </w:t>
      </w:r>
      <w:r w:rsidRPr="00F57C06">
        <w:rPr>
          <w:rFonts w:cs="Calibri"/>
          <w:i/>
          <w:lang w:val="es-MX"/>
        </w:rPr>
        <w:t>Revista ASIES</w:t>
      </w:r>
      <w:r w:rsidRPr="00F57C06">
        <w:rPr>
          <w:rFonts w:cs="Calibri"/>
          <w:lang w:val="es-MX"/>
        </w:rPr>
        <w:t xml:space="preserve">, No. 1 (Guatemala, Asociación de Investigación y Estudios Sociales). </w:t>
      </w:r>
    </w:p>
    <w:p w:rsidR="00CC4703" w:rsidRPr="00CC4703" w:rsidRDefault="00CC4703" w:rsidP="006C0E83">
      <w:pPr>
        <w:widowControl w:val="0"/>
        <w:autoSpaceDE w:val="0"/>
        <w:autoSpaceDN w:val="0"/>
        <w:adjustRightInd w:val="0"/>
        <w:spacing w:before="240" w:after="120"/>
        <w:ind w:right="-386"/>
        <w:jc w:val="both"/>
        <w:rPr>
          <w:rFonts w:cs="Calibri"/>
          <w:b/>
          <w:bCs/>
          <w:lang w:val="es-MX"/>
        </w:rPr>
      </w:pPr>
      <w:proofErr w:type="spellStart"/>
      <w:r w:rsidRPr="00CC4703">
        <w:rPr>
          <w:rFonts w:cs="Calibri"/>
          <w:b/>
          <w:bCs/>
          <w:lang w:val="es-MX"/>
        </w:rPr>
        <w:t>Newspaper</w:t>
      </w:r>
      <w:proofErr w:type="spellEnd"/>
      <w:r w:rsidRPr="00CC4703">
        <w:rPr>
          <w:rFonts w:cs="Calibri"/>
          <w:b/>
          <w:bCs/>
          <w:lang w:val="es-MX"/>
        </w:rPr>
        <w:t xml:space="preserve"> </w:t>
      </w:r>
      <w:proofErr w:type="spellStart"/>
      <w:r w:rsidRPr="00CC4703">
        <w:rPr>
          <w:rFonts w:cs="Calibri"/>
          <w:b/>
          <w:bCs/>
          <w:lang w:val="es-MX"/>
        </w:rPr>
        <w:t>articles</w:t>
      </w:r>
      <w:proofErr w:type="spellEnd"/>
    </w:p>
    <w:p w:rsidR="00CC4703" w:rsidRPr="00AE174D" w:rsidRDefault="00CC4703" w:rsidP="00CC4703">
      <w:pPr>
        <w:widowControl w:val="0"/>
        <w:autoSpaceDE w:val="0"/>
        <w:autoSpaceDN w:val="0"/>
        <w:adjustRightInd w:val="0"/>
        <w:spacing w:after="120"/>
        <w:ind w:right="-386"/>
        <w:jc w:val="both"/>
        <w:rPr>
          <w:rFonts w:cs="Calibri"/>
          <w:lang w:val="es-ES_tradnl"/>
        </w:rPr>
      </w:pPr>
      <w:proofErr w:type="spellStart"/>
      <w:r w:rsidRPr="00690807">
        <w:rPr>
          <w:rFonts w:cs="Calibri"/>
          <w:lang w:val="es-MX"/>
        </w:rPr>
        <w:t>Alvarez</w:t>
      </w:r>
      <w:proofErr w:type="spellEnd"/>
      <w:r w:rsidRPr="00690807">
        <w:rPr>
          <w:rFonts w:cs="Calibri"/>
          <w:lang w:val="es-MX"/>
        </w:rPr>
        <w:t>, L. 2011</w:t>
      </w:r>
      <w:proofErr w:type="gramStart"/>
      <w:r w:rsidRPr="00690807">
        <w:rPr>
          <w:rFonts w:cs="Calibri"/>
          <w:lang w:val="es-MX"/>
        </w:rPr>
        <w:t>.“</w:t>
      </w:r>
      <w:proofErr w:type="gramEnd"/>
      <w:r w:rsidRPr="00690807">
        <w:rPr>
          <w:rFonts w:cs="Calibri"/>
          <w:lang w:val="es-MX"/>
        </w:rPr>
        <w:t>EE.UU. plantea demanda laboral contra Guatemala”, in</w:t>
      </w:r>
      <w:r w:rsidRPr="00F57C06">
        <w:rPr>
          <w:rFonts w:cs="Calibri"/>
          <w:i/>
          <w:lang w:val="es-MX"/>
        </w:rPr>
        <w:t xml:space="preserve"> El Periódico</w:t>
      </w:r>
      <w:r w:rsidRPr="00F57C06">
        <w:rPr>
          <w:rFonts w:cs="Calibri"/>
          <w:lang w:val="es-MX"/>
        </w:rPr>
        <w:t>. Guatemala</w:t>
      </w:r>
      <w:r>
        <w:rPr>
          <w:rFonts w:cs="Calibri"/>
          <w:lang w:val="es-MX"/>
        </w:rPr>
        <w:t>,</w:t>
      </w:r>
      <w:r w:rsidRPr="00F57C06">
        <w:rPr>
          <w:rFonts w:cs="Calibri"/>
          <w:lang w:val="es-MX"/>
        </w:rPr>
        <w:t xml:space="preserve"> 10 de agosto de 2011. </w:t>
      </w:r>
      <w:proofErr w:type="spellStart"/>
      <w:r w:rsidRPr="00AE174D">
        <w:rPr>
          <w:rFonts w:cs="Calibri"/>
          <w:lang w:val="es-ES_tradnl"/>
        </w:rPr>
        <w:t>Available</w:t>
      </w:r>
      <w:proofErr w:type="spellEnd"/>
      <w:r w:rsidRPr="00AE174D">
        <w:rPr>
          <w:rFonts w:cs="Calibri"/>
          <w:lang w:val="es-ES_tradnl"/>
        </w:rPr>
        <w:t xml:space="preserve"> at: </w:t>
      </w:r>
      <w:hyperlink r:id="rId48" w:history="1">
        <w:r w:rsidRPr="00AE174D">
          <w:rPr>
            <w:rStyle w:val="Hyperlink"/>
            <w:rFonts w:cs="Calibri"/>
            <w:lang w:val="es-ES_tradnl"/>
          </w:rPr>
          <w:t>http://www.elperiodico.com.gt/es/20110810/economia/199283/</w:t>
        </w:r>
      </w:hyperlink>
      <w:r w:rsidRPr="00AE174D">
        <w:rPr>
          <w:rFonts w:cs="Calibri"/>
          <w:lang w:val="es-ES_tradnl"/>
        </w:rPr>
        <w:t xml:space="preserve"> [25 Sept. 2012].</w:t>
      </w:r>
    </w:p>
    <w:p w:rsidR="00CC4703" w:rsidRPr="00A633D7" w:rsidRDefault="00CC4703" w:rsidP="00CC4703">
      <w:pPr>
        <w:widowControl w:val="0"/>
        <w:autoSpaceDE w:val="0"/>
        <w:autoSpaceDN w:val="0"/>
        <w:adjustRightInd w:val="0"/>
        <w:spacing w:after="120"/>
        <w:ind w:right="-386"/>
        <w:jc w:val="both"/>
        <w:rPr>
          <w:rFonts w:cs="Calibri"/>
          <w:sz w:val="24"/>
          <w:szCs w:val="24"/>
        </w:rPr>
      </w:pPr>
      <w:r w:rsidRPr="00F57C06">
        <w:rPr>
          <w:rFonts w:cs="Calibri"/>
          <w:lang w:val="es-MX"/>
        </w:rPr>
        <w:t xml:space="preserve">Menchú, S.; Gamazo, C. 2012. “Marcha Campesina, la segunda en un mes, para reclamar desarrollo </w:t>
      </w:r>
      <w:proofErr w:type="spellStart"/>
      <w:r w:rsidRPr="00F57C06">
        <w:rPr>
          <w:rFonts w:cs="Calibri"/>
          <w:sz w:val="24"/>
          <w:szCs w:val="24"/>
          <w:lang w:val="es-MX"/>
        </w:rPr>
        <w:t>rural</w:t>
      </w:r>
      <w:r w:rsidRPr="00F57C06">
        <w:rPr>
          <w:rFonts w:cs="Calibri"/>
          <w:lang w:val="es-MX"/>
        </w:rPr>
        <w:t>”</w:t>
      </w:r>
      <w:proofErr w:type="gramStart"/>
      <w:r w:rsidRPr="00F57C06">
        <w:rPr>
          <w:rFonts w:cs="Calibri"/>
          <w:lang w:val="es-MX"/>
        </w:rPr>
        <w:t>,</w:t>
      </w:r>
      <w:r>
        <w:rPr>
          <w:rFonts w:cs="Calibri"/>
          <w:lang w:val="es-MX"/>
        </w:rPr>
        <w:t>in</w:t>
      </w:r>
      <w:r w:rsidRPr="00F57C06">
        <w:rPr>
          <w:rFonts w:cs="Calibri"/>
          <w:i/>
          <w:iCs/>
          <w:sz w:val="24"/>
          <w:szCs w:val="24"/>
          <w:lang w:val="es-MX"/>
        </w:rPr>
        <w:t>El</w:t>
      </w:r>
      <w:proofErr w:type="spellEnd"/>
      <w:proofErr w:type="gramEnd"/>
      <w:r w:rsidRPr="00F57C06">
        <w:rPr>
          <w:rFonts w:cs="Calibri"/>
          <w:i/>
          <w:iCs/>
          <w:sz w:val="24"/>
          <w:szCs w:val="24"/>
          <w:lang w:val="es-MX"/>
        </w:rPr>
        <w:t xml:space="preserve"> Periódico</w:t>
      </w:r>
      <w:r w:rsidRPr="00F57C06">
        <w:rPr>
          <w:rFonts w:cs="Calibri"/>
          <w:sz w:val="24"/>
          <w:szCs w:val="24"/>
          <w:lang w:val="es-MX"/>
        </w:rPr>
        <w:t xml:space="preserve">. </w:t>
      </w:r>
      <w:proofErr w:type="gramStart"/>
      <w:r w:rsidRPr="00CE33CB">
        <w:rPr>
          <w:rFonts w:cs="Calibri"/>
          <w:sz w:val="24"/>
          <w:szCs w:val="24"/>
        </w:rPr>
        <w:t xml:space="preserve">Guatemala, 18 de </w:t>
      </w:r>
      <w:proofErr w:type="spellStart"/>
      <w:r w:rsidRPr="00CE33CB">
        <w:rPr>
          <w:rFonts w:cs="Calibri"/>
          <w:sz w:val="24"/>
          <w:szCs w:val="24"/>
        </w:rPr>
        <w:t>abril</w:t>
      </w:r>
      <w:proofErr w:type="spellEnd"/>
      <w:r w:rsidRPr="00CE33CB">
        <w:rPr>
          <w:rFonts w:cs="Calibri"/>
          <w:sz w:val="24"/>
          <w:szCs w:val="24"/>
        </w:rPr>
        <w:t xml:space="preserve"> de 2012.</w:t>
      </w:r>
      <w:proofErr w:type="gramEnd"/>
      <w:r>
        <w:rPr>
          <w:rFonts w:cs="Calibri"/>
        </w:rPr>
        <w:t xml:space="preserve"> Available at: </w:t>
      </w:r>
      <w:hyperlink r:id="rId49" w:history="1">
        <w:r w:rsidRPr="00E75679">
          <w:rPr>
            <w:rStyle w:val="Hyperlink"/>
            <w:rFonts w:cs="Calibri"/>
          </w:rPr>
          <w:t>http://elperiodico.com.gt/es/20120418/pais/210958</w:t>
        </w:r>
      </w:hyperlink>
      <w:r>
        <w:rPr>
          <w:rFonts w:cs="Calibri"/>
        </w:rPr>
        <w:t xml:space="preserve"> [25 Sept. 2012].</w:t>
      </w:r>
    </w:p>
    <w:p w:rsidR="00CC4703" w:rsidRPr="00EC6FE3" w:rsidRDefault="00CC4703" w:rsidP="006C0E83">
      <w:pPr>
        <w:widowControl w:val="0"/>
        <w:autoSpaceDE w:val="0"/>
        <w:autoSpaceDN w:val="0"/>
        <w:adjustRightInd w:val="0"/>
        <w:spacing w:before="240" w:after="120"/>
        <w:ind w:right="-386"/>
        <w:jc w:val="both"/>
        <w:rPr>
          <w:rFonts w:cs="Calibri"/>
          <w:b/>
          <w:bCs/>
          <w:lang w:val="en-GB"/>
        </w:rPr>
      </w:pPr>
      <w:r w:rsidRPr="00EC6FE3">
        <w:rPr>
          <w:rFonts w:cs="Calibri"/>
          <w:b/>
          <w:bCs/>
          <w:lang w:val="en-GB"/>
        </w:rPr>
        <w:t>Constitution, legal texts, and government agreements</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Constitución Política de la República de Guatemala, emitida el 31 de mayo de 1985</w:t>
      </w:r>
      <w:r>
        <w:rPr>
          <w:rFonts w:cs="Calibri"/>
          <w:lang w:val="es-MX"/>
        </w:rPr>
        <w:t>.</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Código de Trabajo (Decreto No. 1441 de 1961)</w:t>
      </w:r>
      <w:r>
        <w:rPr>
          <w:rFonts w:cs="Calibri"/>
          <w:lang w:val="es-MX"/>
        </w:rPr>
        <w:t>.</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Ley Reguladora de la Prestación del Aguinaldo para los Trabajadores del Sector Privado (Decreto No. 76−78).</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Ley de Bonificación Anual para Trabajadores del Sector Privado y Público (Decreto No. 42−92).</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Ley General de Cooperativas (Decreto No. 82−78)</w:t>
      </w:r>
      <w:r>
        <w:rPr>
          <w:rFonts w:cs="Calibri"/>
          <w:lang w:val="es-MX"/>
        </w:rPr>
        <w:t>.</w:t>
      </w:r>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Acuerdo Gubernativo No. 640−2005</w:t>
      </w:r>
      <w:r>
        <w:rPr>
          <w:rFonts w:cs="Calibri"/>
          <w:lang w:val="es-MX"/>
        </w:rPr>
        <w:t>.</w:t>
      </w:r>
    </w:p>
    <w:p w:rsidR="00CC4703" w:rsidRPr="00F57C06" w:rsidRDefault="00CC4703" w:rsidP="006C0E83">
      <w:pPr>
        <w:widowControl w:val="0"/>
        <w:autoSpaceDE w:val="0"/>
        <w:autoSpaceDN w:val="0"/>
        <w:adjustRightInd w:val="0"/>
        <w:spacing w:before="240" w:after="120"/>
        <w:ind w:right="-386"/>
        <w:jc w:val="both"/>
        <w:rPr>
          <w:rFonts w:cs="Calibri"/>
          <w:b/>
          <w:bCs/>
          <w:lang w:val="es-MX"/>
        </w:rPr>
      </w:pPr>
      <w:proofErr w:type="spellStart"/>
      <w:r>
        <w:rPr>
          <w:rFonts w:cs="Calibri"/>
          <w:b/>
          <w:bCs/>
          <w:lang w:val="es-MX"/>
        </w:rPr>
        <w:t>Resolution</w:t>
      </w:r>
      <w:proofErr w:type="spellEnd"/>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Corte de Constitucionalidad, Resolución No. 18</w:t>
      </w:r>
      <w:r>
        <w:rPr>
          <w:rFonts w:cs="Calibri"/>
          <w:lang w:val="es-MX"/>
        </w:rPr>
        <w:t>–</w:t>
      </w:r>
      <w:r w:rsidRPr="00F57C06">
        <w:rPr>
          <w:rFonts w:cs="Calibri"/>
          <w:lang w:val="es-MX"/>
        </w:rPr>
        <w:t>05</w:t>
      </w:r>
      <w:r>
        <w:rPr>
          <w:rFonts w:cs="Calibri"/>
          <w:lang w:val="es-MX"/>
        </w:rPr>
        <w:t>–</w:t>
      </w:r>
      <w:r w:rsidRPr="00F57C06">
        <w:rPr>
          <w:rFonts w:cs="Calibri"/>
          <w:lang w:val="es-MX"/>
        </w:rPr>
        <w:t>95.</w:t>
      </w:r>
    </w:p>
    <w:p w:rsidR="00CC4703" w:rsidRPr="00CC4703" w:rsidRDefault="00CC4703" w:rsidP="006C0E83">
      <w:pPr>
        <w:widowControl w:val="0"/>
        <w:autoSpaceDE w:val="0"/>
        <w:autoSpaceDN w:val="0"/>
        <w:adjustRightInd w:val="0"/>
        <w:spacing w:before="240" w:after="120"/>
        <w:ind w:right="-386"/>
        <w:jc w:val="both"/>
        <w:rPr>
          <w:rFonts w:cs="Calibri"/>
          <w:b/>
          <w:bCs/>
          <w:lang w:val="es-MX"/>
        </w:rPr>
      </w:pPr>
      <w:proofErr w:type="spellStart"/>
      <w:r w:rsidRPr="00CC4703">
        <w:rPr>
          <w:rFonts w:cs="Calibri"/>
          <w:b/>
          <w:bCs/>
          <w:lang w:val="es-MX"/>
        </w:rPr>
        <w:t>Court</w:t>
      </w:r>
      <w:proofErr w:type="spellEnd"/>
      <w:r w:rsidRPr="00CC4703">
        <w:rPr>
          <w:rFonts w:cs="Calibri"/>
          <w:b/>
          <w:bCs/>
          <w:lang w:val="es-MX"/>
        </w:rPr>
        <w:t xml:space="preserve"> </w:t>
      </w:r>
      <w:proofErr w:type="spellStart"/>
      <w:r w:rsidRPr="00CC4703">
        <w:rPr>
          <w:rFonts w:cs="Calibri"/>
          <w:b/>
          <w:bCs/>
          <w:lang w:val="es-MX"/>
        </w:rPr>
        <w:t>decision</w:t>
      </w:r>
      <w:proofErr w:type="spellEnd"/>
    </w:p>
    <w:p w:rsidR="00CC4703" w:rsidRPr="00F57C06" w:rsidRDefault="00CC4703" w:rsidP="00CC4703">
      <w:pPr>
        <w:widowControl w:val="0"/>
        <w:autoSpaceDE w:val="0"/>
        <w:autoSpaceDN w:val="0"/>
        <w:adjustRightInd w:val="0"/>
        <w:spacing w:after="120"/>
        <w:ind w:right="-386"/>
        <w:jc w:val="both"/>
        <w:rPr>
          <w:rFonts w:cs="Calibri"/>
          <w:lang w:val="es-MX"/>
        </w:rPr>
      </w:pPr>
      <w:r w:rsidRPr="00F57C06">
        <w:rPr>
          <w:rFonts w:cs="Calibri"/>
          <w:lang w:val="es-MX"/>
        </w:rPr>
        <w:t xml:space="preserve">Corte de Constitucionalidad. Caso </w:t>
      </w:r>
      <w:proofErr w:type="spellStart"/>
      <w:r w:rsidRPr="00F57C06">
        <w:rPr>
          <w:rFonts w:cs="Calibri"/>
          <w:lang w:val="es-MX"/>
        </w:rPr>
        <w:t>preminencia</w:t>
      </w:r>
      <w:proofErr w:type="spellEnd"/>
      <w:r w:rsidRPr="00F57C06">
        <w:rPr>
          <w:rFonts w:cs="Calibri"/>
          <w:lang w:val="es-MX"/>
        </w:rPr>
        <w:t xml:space="preserve"> de la Convención Americana sobre Derechos Humanos sobre el derecho interno. (Sentencia 31/10/2000).</w:t>
      </w:r>
    </w:p>
    <w:p w:rsidR="00CC4703" w:rsidRPr="00F57C06" w:rsidRDefault="00CC4703" w:rsidP="00CC4703">
      <w:pPr>
        <w:widowControl w:val="0"/>
        <w:autoSpaceDE w:val="0"/>
        <w:autoSpaceDN w:val="0"/>
        <w:adjustRightInd w:val="0"/>
        <w:spacing w:before="240" w:after="120"/>
        <w:ind w:right="-386"/>
        <w:jc w:val="both"/>
        <w:rPr>
          <w:rFonts w:cs="Calibri"/>
          <w:b/>
          <w:bCs/>
          <w:lang w:val="es-MX"/>
        </w:rPr>
      </w:pPr>
      <w:proofErr w:type="spellStart"/>
      <w:r w:rsidRPr="00F57C06">
        <w:rPr>
          <w:rFonts w:cs="Calibri"/>
          <w:b/>
          <w:bCs/>
          <w:lang w:val="es-MX"/>
        </w:rPr>
        <w:t>Websites</w:t>
      </w:r>
      <w:proofErr w:type="spellEnd"/>
    </w:p>
    <w:p w:rsidR="00CC4703" w:rsidRPr="00CF60F9" w:rsidRDefault="00E9666D" w:rsidP="00CC4703">
      <w:pPr>
        <w:widowControl w:val="0"/>
        <w:autoSpaceDE w:val="0"/>
        <w:autoSpaceDN w:val="0"/>
        <w:adjustRightInd w:val="0"/>
        <w:spacing w:after="120"/>
        <w:ind w:right="-386"/>
        <w:jc w:val="both"/>
        <w:rPr>
          <w:rFonts w:ascii="Times New Roman" w:hAnsi="Times New Roman"/>
          <w:lang w:val="es-MX"/>
        </w:rPr>
      </w:pPr>
      <w:r w:rsidRPr="008069C8">
        <w:rPr>
          <w:lang w:val="es-MX"/>
        </w:rPr>
        <w:t>http://</w:t>
      </w:r>
      <w:hyperlink r:id="rId50" w:history="1">
        <w:r w:rsidR="00CC4703" w:rsidRPr="00F57C06">
          <w:rPr>
            <w:rFonts w:cs="Calibri"/>
            <w:lang w:val="es-MX"/>
          </w:rPr>
          <w:t>www.cafta.sieca.int/sitio/Cache/20990000000172/20990000000172.pdf</w:t>
        </w:r>
      </w:hyperlink>
      <w:r w:rsidR="00CC4703" w:rsidRPr="00CF60F9">
        <w:rPr>
          <w:lang w:val="es-MX"/>
        </w:rPr>
        <w:t>.</w:t>
      </w:r>
    </w:p>
    <w:p w:rsidR="004547B4" w:rsidRPr="008069C8" w:rsidRDefault="00E9666D" w:rsidP="00CC4703">
      <w:pPr>
        <w:widowControl w:val="0"/>
        <w:autoSpaceDE w:val="0"/>
        <w:autoSpaceDN w:val="0"/>
        <w:adjustRightInd w:val="0"/>
        <w:spacing w:after="120"/>
        <w:ind w:right="-386"/>
        <w:jc w:val="both"/>
        <w:rPr>
          <w:lang w:val="es-MX"/>
        </w:rPr>
      </w:pPr>
      <w:r w:rsidRPr="008069C8">
        <w:rPr>
          <w:lang w:val="es-MX"/>
        </w:rPr>
        <w:t>http://data.worldbank.org/indicator</w:t>
      </w:r>
    </w:p>
    <w:p w:rsidR="00CC4703" w:rsidRPr="009B3016" w:rsidRDefault="00CF46FB" w:rsidP="00CC4703">
      <w:pPr>
        <w:widowControl w:val="0"/>
        <w:autoSpaceDE w:val="0"/>
        <w:autoSpaceDN w:val="0"/>
        <w:adjustRightInd w:val="0"/>
        <w:spacing w:after="120"/>
        <w:ind w:right="-386"/>
        <w:jc w:val="both"/>
        <w:rPr>
          <w:rFonts w:ascii="Times New Roman" w:hAnsi="Times New Roman"/>
          <w:lang w:val="es-MX"/>
        </w:rPr>
      </w:pPr>
      <w:hyperlink r:id="rId51" w:history="1">
        <w:r w:rsidR="00E9666D" w:rsidRPr="008069C8">
          <w:rPr>
            <w:rFonts w:cs="Calibri"/>
            <w:lang w:val="es-MX"/>
          </w:rPr>
          <w:t>http://www.export.com.gt/index.php?option=com_content&amp;view=article&amp;id=3&amp;Itemid=88</w:t>
        </w:r>
      </w:hyperlink>
      <w:r w:rsidR="00E9666D" w:rsidRPr="008069C8">
        <w:rPr>
          <w:lang w:val="es-MX"/>
        </w:rPr>
        <w:t>.</w:t>
      </w:r>
    </w:p>
    <w:p w:rsidR="00CC4703" w:rsidRPr="00F57C06" w:rsidRDefault="00CC4703" w:rsidP="00CC4703">
      <w:pPr>
        <w:widowControl w:val="0"/>
        <w:autoSpaceDE w:val="0"/>
        <w:autoSpaceDN w:val="0"/>
        <w:adjustRightInd w:val="0"/>
        <w:spacing w:after="120"/>
        <w:ind w:right="-386"/>
        <w:jc w:val="both"/>
        <w:rPr>
          <w:rFonts w:ascii="Times New Roman" w:hAnsi="Times New Roman"/>
          <w:lang w:val="es-MX"/>
        </w:rPr>
      </w:pPr>
      <w:r w:rsidRPr="00F57C06">
        <w:rPr>
          <w:rFonts w:cs="Calibri"/>
          <w:lang w:val="es-MX"/>
        </w:rPr>
        <w:t>http://www.ilo.org/public/spanish/region/ampro/mdtsanjose/worker/sindi/gt.htm</w:t>
      </w:r>
      <w:r>
        <w:rPr>
          <w:rFonts w:cs="Calibri"/>
          <w:lang w:val="es-MX"/>
        </w:rPr>
        <w:t>.</w:t>
      </w:r>
    </w:p>
    <w:p w:rsidR="00CC4703" w:rsidRPr="00CF60F9" w:rsidRDefault="00CF46FB" w:rsidP="00CC4703">
      <w:pPr>
        <w:widowControl w:val="0"/>
        <w:autoSpaceDE w:val="0"/>
        <w:autoSpaceDN w:val="0"/>
        <w:adjustRightInd w:val="0"/>
        <w:spacing w:after="120"/>
        <w:ind w:right="-386"/>
        <w:jc w:val="both"/>
        <w:rPr>
          <w:rFonts w:ascii="Times New Roman" w:hAnsi="Times New Roman"/>
          <w:lang w:val="es-MX"/>
        </w:rPr>
      </w:pPr>
      <w:hyperlink r:id="rId52" w:history="1">
        <w:r w:rsidR="00CC4703" w:rsidRPr="00CF60F9">
          <w:rPr>
            <w:rFonts w:cs="Calibri"/>
            <w:lang w:val="es-MX"/>
          </w:rPr>
          <w:t>http://www.mineco.gob.gt/Espanol/Centro+de+Informacion+y+Expo−Negocios</w:t>
        </w:r>
      </w:hyperlink>
      <w:r w:rsidR="00CC4703" w:rsidRPr="00CF60F9">
        <w:rPr>
          <w:rFonts w:ascii="Times New Roman" w:hAnsi="Times New Roman"/>
          <w:lang w:val="es-MX"/>
        </w:rPr>
        <w:t>.</w:t>
      </w:r>
    </w:p>
    <w:p w:rsidR="00CC4703" w:rsidRPr="00CF60F9" w:rsidRDefault="00CF46FB" w:rsidP="00CC4703">
      <w:pPr>
        <w:widowControl w:val="0"/>
        <w:autoSpaceDE w:val="0"/>
        <w:autoSpaceDN w:val="0"/>
        <w:adjustRightInd w:val="0"/>
        <w:spacing w:after="120"/>
        <w:ind w:right="-386"/>
        <w:jc w:val="both"/>
        <w:rPr>
          <w:rFonts w:cs="Calibri"/>
          <w:lang w:val="es-MX"/>
        </w:rPr>
      </w:pPr>
      <w:hyperlink r:id="rId53" w:history="1">
        <w:r w:rsidR="00CC4703" w:rsidRPr="00CF60F9">
          <w:rPr>
            <w:rFonts w:cs="Calibri"/>
            <w:lang w:val="es-MX"/>
          </w:rPr>
          <w:t>http://www.mineco.gob.gt/mineco/tlc/Tratados/index_tlc_mx.htm</w:t>
        </w:r>
      </w:hyperlink>
      <w:r w:rsidR="00CC4703" w:rsidRPr="00CF60F9">
        <w:rPr>
          <w:lang w:val="es-MX"/>
        </w:rPr>
        <w:t>.</w:t>
      </w:r>
    </w:p>
    <w:p w:rsidR="00CC4703" w:rsidRPr="00CF60F9" w:rsidRDefault="00CF46FB" w:rsidP="00CC4703">
      <w:pPr>
        <w:widowControl w:val="0"/>
        <w:autoSpaceDE w:val="0"/>
        <w:autoSpaceDN w:val="0"/>
        <w:adjustRightInd w:val="0"/>
        <w:spacing w:after="120"/>
        <w:ind w:right="-386"/>
        <w:jc w:val="both"/>
        <w:rPr>
          <w:rFonts w:cs="Calibri"/>
          <w:sz w:val="24"/>
          <w:szCs w:val="24"/>
          <w:lang w:val="es-MX"/>
        </w:rPr>
      </w:pPr>
      <w:hyperlink r:id="rId54" w:history="1">
        <w:r w:rsidR="00CC4703" w:rsidRPr="00CF60F9">
          <w:rPr>
            <w:rFonts w:cs="Calibri"/>
            <w:sz w:val="24"/>
            <w:szCs w:val="24"/>
            <w:lang w:val="es-MX"/>
          </w:rPr>
          <w:t>http://</w:t>
        </w:r>
        <w:r w:rsidR="00CC4703" w:rsidRPr="00CF60F9">
          <w:rPr>
            <w:rFonts w:cs="Calibri"/>
            <w:lang w:val="es-MX"/>
          </w:rPr>
          <w:t>www</w:t>
        </w:r>
        <w:r w:rsidR="00CC4703" w:rsidRPr="00CF60F9">
          <w:rPr>
            <w:rFonts w:cs="Calibri"/>
            <w:sz w:val="24"/>
            <w:szCs w:val="24"/>
            <w:lang w:val="es-MX"/>
          </w:rPr>
          <w:t>.sieca.int/Publico/CA_en_cifras/CA_EVOLUCION_DEL_COMERCIO/Evolucion_1960−2010/CA_Evolucion_1960−2010.htm</w:t>
        </w:r>
      </w:hyperlink>
      <w:r w:rsidR="00CC4703" w:rsidRPr="00CF60F9">
        <w:rPr>
          <w:rFonts w:cs="Calibri"/>
          <w:lang w:val="es-MX"/>
        </w:rPr>
        <w:t>.</w:t>
      </w:r>
    </w:p>
    <w:p w:rsidR="00CC4703" w:rsidRPr="00CF60F9" w:rsidRDefault="00CC4703" w:rsidP="004547B4">
      <w:pPr>
        <w:widowControl w:val="0"/>
        <w:autoSpaceDE w:val="0"/>
        <w:autoSpaceDN w:val="0"/>
        <w:adjustRightInd w:val="0"/>
        <w:spacing w:after="0"/>
        <w:ind w:right="-386"/>
        <w:jc w:val="both"/>
        <w:rPr>
          <w:rFonts w:cs="Calibri"/>
          <w:lang w:val="es-MX"/>
        </w:rPr>
      </w:pPr>
    </w:p>
    <w:sectPr w:rsidR="00CC4703" w:rsidRPr="00CF60F9" w:rsidSect="006A7C29">
      <w:headerReference w:type="default" r:id="rId55"/>
      <w:footerReference w:type="default" r:id="rId56"/>
      <w:pgSz w:w="12240" w:h="15840" w:code="1"/>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6CD" w:rsidRDefault="008D56CD">
      <w:r>
        <w:separator/>
      </w:r>
    </w:p>
  </w:endnote>
  <w:endnote w:type="continuationSeparator" w:id="0">
    <w:p w:rsidR="008D56CD" w:rsidRDefault="008D56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91" w:rsidRDefault="008E45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CD" w:rsidRDefault="00CF46FB">
    <w:pPr>
      <w:pStyle w:val="Footer"/>
      <w:jc w:val="center"/>
    </w:pPr>
    <w:r w:rsidRPr="00CF46FB">
      <w:fldChar w:fldCharType="begin"/>
    </w:r>
    <w:r w:rsidR="008D56CD">
      <w:instrText>PAGE   \* MERGEFORMAT</w:instrText>
    </w:r>
    <w:r w:rsidRPr="00CF46FB">
      <w:fldChar w:fldCharType="separate"/>
    </w:r>
    <w:r w:rsidR="008E4591" w:rsidRPr="008E4591">
      <w:rPr>
        <w:noProof/>
        <w:lang w:val="es-ES"/>
      </w:rPr>
      <w:t>2</w:t>
    </w:r>
    <w:r>
      <w:rPr>
        <w:noProof/>
        <w:lang w:val="es-ES"/>
      </w:rPr>
      <w:fldChar w:fldCharType="end"/>
    </w:r>
  </w:p>
  <w:p w:rsidR="008D56CD" w:rsidRDefault="008D56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3564"/>
      <w:docPartObj>
        <w:docPartGallery w:val="Page Numbers (Bottom of Page)"/>
        <w:docPartUnique/>
      </w:docPartObj>
    </w:sdtPr>
    <w:sdtContent>
      <w:p w:rsidR="008D56CD" w:rsidRDefault="00CF46FB">
        <w:pPr>
          <w:pStyle w:val="Footer"/>
          <w:jc w:val="center"/>
        </w:pPr>
        <w:fldSimple w:instr=" PAGE   \* MERGEFORMAT ">
          <w:r w:rsidR="008E4591">
            <w:rPr>
              <w:noProof/>
            </w:rPr>
            <w:t>1</w:t>
          </w:r>
        </w:fldSimple>
      </w:p>
    </w:sdtContent>
  </w:sdt>
  <w:p w:rsidR="008D56CD" w:rsidRDefault="008D56C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3565"/>
      <w:docPartObj>
        <w:docPartGallery w:val="Page Numbers (Bottom of Page)"/>
        <w:docPartUnique/>
      </w:docPartObj>
    </w:sdtPr>
    <w:sdtContent>
      <w:p w:rsidR="008D56CD" w:rsidRDefault="00CF46FB">
        <w:pPr>
          <w:pStyle w:val="Footer"/>
          <w:jc w:val="center"/>
        </w:pPr>
        <w:fldSimple w:instr=" PAGE   \* MERGEFORMAT ">
          <w:r w:rsidR="008E4591">
            <w:rPr>
              <w:noProof/>
            </w:rPr>
            <w:t>42</w:t>
          </w:r>
        </w:fldSimple>
      </w:p>
    </w:sdtContent>
  </w:sdt>
  <w:p w:rsidR="008D56CD" w:rsidRDefault="008D56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6CD" w:rsidRDefault="008D56CD">
      <w:r>
        <w:separator/>
      </w:r>
    </w:p>
  </w:footnote>
  <w:footnote w:type="continuationSeparator" w:id="0">
    <w:p w:rsidR="008D56CD" w:rsidRDefault="008D56CD">
      <w:r>
        <w:continuationSeparator/>
      </w:r>
    </w:p>
  </w:footnote>
  <w:footnote w:id="1">
    <w:p w:rsidR="008D56CD" w:rsidRDefault="008D56CD">
      <w:pPr>
        <w:pStyle w:val="FootnoteText"/>
        <w:spacing w:after="0"/>
      </w:pPr>
      <w:r>
        <w:rPr>
          <w:rStyle w:val="FootnoteReference"/>
        </w:rPr>
        <w:footnoteRef/>
      </w:r>
      <w:r w:rsidRPr="00D91D4F">
        <w:rPr>
          <w:rFonts w:ascii="Book Antiqua" w:hAnsi="Book Antiqua"/>
          <w:sz w:val="18"/>
          <w:szCs w:val="18"/>
        </w:rPr>
        <w:t xml:space="preserve">The authors, who are staff members of the </w:t>
      </w:r>
      <w:proofErr w:type="spellStart"/>
      <w:r w:rsidRPr="00D91D4F">
        <w:rPr>
          <w:rFonts w:ascii="Book Antiqua" w:hAnsi="Book Antiqua"/>
          <w:sz w:val="18"/>
          <w:szCs w:val="18"/>
        </w:rPr>
        <w:t>Asociación</w:t>
      </w:r>
      <w:proofErr w:type="spellEnd"/>
      <w:r w:rsidRPr="00D91D4F">
        <w:rPr>
          <w:rFonts w:ascii="Book Antiqua" w:hAnsi="Book Antiqua"/>
          <w:sz w:val="18"/>
          <w:szCs w:val="18"/>
        </w:rPr>
        <w:t xml:space="preserve"> de </w:t>
      </w:r>
      <w:proofErr w:type="spellStart"/>
      <w:r w:rsidRPr="00D91D4F">
        <w:rPr>
          <w:rFonts w:ascii="Book Antiqua" w:hAnsi="Book Antiqua"/>
          <w:sz w:val="18"/>
          <w:szCs w:val="18"/>
        </w:rPr>
        <w:t>Investigación</w:t>
      </w:r>
      <w:proofErr w:type="spellEnd"/>
      <w:r w:rsidRPr="00D91D4F">
        <w:rPr>
          <w:rFonts w:ascii="Book Antiqua" w:hAnsi="Book Antiqua"/>
          <w:sz w:val="18"/>
          <w:szCs w:val="18"/>
        </w:rPr>
        <w:t xml:space="preserve"> y </w:t>
      </w:r>
      <w:proofErr w:type="spellStart"/>
      <w:r w:rsidRPr="00D91D4F">
        <w:rPr>
          <w:rFonts w:ascii="Book Antiqua" w:hAnsi="Book Antiqua"/>
          <w:sz w:val="18"/>
          <w:szCs w:val="18"/>
        </w:rPr>
        <w:t>Estudios</w:t>
      </w:r>
      <w:proofErr w:type="spellEnd"/>
      <w:r w:rsidRPr="00D91D4F">
        <w:rPr>
          <w:rFonts w:ascii="Book Antiqua" w:hAnsi="Book Antiqua"/>
          <w:sz w:val="18"/>
          <w:szCs w:val="18"/>
        </w:rPr>
        <w:t xml:space="preserve"> </w:t>
      </w:r>
      <w:proofErr w:type="spellStart"/>
      <w:r w:rsidRPr="00D91D4F">
        <w:rPr>
          <w:rFonts w:ascii="Book Antiqua" w:hAnsi="Book Antiqua"/>
          <w:sz w:val="18"/>
          <w:szCs w:val="18"/>
        </w:rPr>
        <w:t>Sociales</w:t>
      </w:r>
      <w:proofErr w:type="spellEnd"/>
      <w:r w:rsidRPr="00D91D4F">
        <w:rPr>
          <w:rFonts w:ascii="Book Antiqua" w:hAnsi="Book Antiqua"/>
          <w:sz w:val="18"/>
          <w:szCs w:val="18"/>
        </w:rPr>
        <w:t xml:space="preserve"> (ASIES), would like to acknowledge the collaboration of Orlando </w:t>
      </w:r>
      <w:proofErr w:type="spellStart"/>
      <w:r w:rsidRPr="00D91D4F">
        <w:rPr>
          <w:rFonts w:ascii="Book Antiqua" w:hAnsi="Book Antiqua"/>
          <w:sz w:val="18"/>
          <w:szCs w:val="18"/>
        </w:rPr>
        <w:t>Monzón</w:t>
      </w:r>
      <w:proofErr w:type="spellEnd"/>
      <w:r w:rsidRPr="00D91D4F">
        <w:rPr>
          <w:rFonts w:ascii="Book Antiqua" w:hAnsi="Book Antiqua"/>
          <w:sz w:val="18"/>
          <w:szCs w:val="18"/>
        </w:rPr>
        <w:t xml:space="preserve"> and Rubén </w:t>
      </w:r>
      <w:proofErr w:type="spellStart"/>
      <w:r w:rsidRPr="00D91D4F">
        <w:rPr>
          <w:rFonts w:ascii="Book Antiqua" w:hAnsi="Book Antiqua"/>
          <w:sz w:val="18"/>
          <w:szCs w:val="18"/>
        </w:rPr>
        <w:t>Darío</w:t>
      </w:r>
      <w:proofErr w:type="spellEnd"/>
      <w:r w:rsidRPr="00D91D4F">
        <w:rPr>
          <w:rFonts w:ascii="Book Antiqua" w:hAnsi="Book Antiqua"/>
          <w:sz w:val="18"/>
          <w:szCs w:val="18"/>
        </w:rPr>
        <w:t xml:space="preserve"> </w:t>
      </w:r>
      <w:proofErr w:type="spellStart"/>
      <w:r w:rsidRPr="00D91D4F">
        <w:rPr>
          <w:rFonts w:ascii="Book Antiqua" w:hAnsi="Book Antiqua"/>
          <w:sz w:val="18"/>
          <w:szCs w:val="18"/>
        </w:rPr>
        <w:t>Narciso</w:t>
      </w:r>
      <w:proofErr w:type="spellEnd"/>
      <w:r w:rsidRPr="00D91D4F">
        <w:rPr>
          <w:rFonts w:ascii="Book Antiqua" w:hAnsi="Book Antiqua"/>
          <w:sz w:val="18"/>
          <w:szCs w:val="18"/>
        </w:rPr>
        <w:t xml:space="preserve"> on this study.</w:t>
      </w:r>
    </w:p>
  </w:footnote>
  <w:footnote w:id="2">
    <w:p w:rsidR="008D56CD" w:rsidRPr="006E7057" w:rsidRDefault="008D56CD" w:rsidP="00065095">
      <w:pPr>
        <w:pStyle w:val="FootnoteText"/>
        <w:spacing w:after="0" w:line="240" w:lineRule="auto"/>
        <w:jc w:val="both"/>
        <w:rPr>
          <w:rFonts w:ascii="Book Antiqua" w:hAnsi="Book Antiqua"/>
          <w:sz w:val="16"/>
          <w:szCs w:val="16"/>
          <w:lang w:val="en-GB"/>
        </w:rPr>
      </w:pPr>
      <w:r>
        <w:rPr>
          <w:rStyle w:val="FootnoteReference"/>
        </w:rPr>
        <w:footnoteRef/>
      </w:r>
      <w:r w:rsidRPr="005578D5">
        <w:rPr>
          <w:rFonts w:ascii="Book Antiqua" w:hAnsi="Book Antiqua"/>
          <w:sz w:val="18"/>
          <w:szCs w:val="18"/>
        </w:rPr>
        <w:t>Carried out by the National Institute of Statistics (</w:t>
      </w:r>
      <w:proofErr w:type="spellStart"/>
      <w:r w:rsidRPr="005578D5">
        <w:rPr>
          <w:rFonts w:ascii="Book Antiqua" w:hAnsi="Book Antiqua"/>
          <w:sz w:val="18"/>
          <w:szCs w:val="18"/>
        </w:rPr>
        <w:t>Instituto</w:t>
      </w:r>
      <w:proofErr w:type="spellEnd"/>
      <w:r w:rsidRPr="005578D5">
        <w:rPr>
          <w:rFonts w:ascii="Book Antiqua" w:hAnsi="Book Antiqua"/>
          <w:sz w:val="18"/>
          <w:szCs w:val="18"/>
        </w:rPr>
        <w:t xml:space="preserve"> </w:t>
      </w:r>
      <w:proofErr w:type="spellStart"/>
      <w:r w:rsidRPr="005578D5">
        <w:rPr>
          <w:rFonts w:ascii="Book Antiqua" w:hAnsi="Book Antiqua"/>
          <w:sz w:val="18"/>
          <w:szCs w:val="18"/>
        </w:rPr>
        <w:t>Nacional</w:t>
      </w:r>
      <w:proofErr w:type="spellEnd"/>
      <w:r w:rsidRPr="005578D5">
        <w:rPr>
          <w:rFonts w:ascii="Book Antiqua" w:hAnsi="Book Antiqua"/>
          <w:sz w:val="18"/>
          <w:szCs w:val="18"/>
        </w:rPr>
        <w:t xml:space="preserve"> de </w:t>
      </w:r>
      <w:proofErr w:type="spellStart"/>
      <w:r w:rsidRPr="005578D5">
        <w:rPr>
          <w:rFonts w:ascii="Book Antiqua" w:hAnsi="Book Antiqua"/>
          <w:sz w:val="18"/>
          <w:szCs w:val="18"/>
        </w:rPr>
        <w:t>Estadísticas</w:t>
      </w:r>
      <w:proofErr w:type="spellEnd"/>
      <w:r w:rsidRPr="005578D5">
        <w:rPr>
          <w:rFonts w:ascii="Book Antiqua" w:hAnsi="Book Antiqua"/>
          <w:sz w:val="18"/>
          <w:szCs w:val="18"/>
        </w:rPr>
        <w:t>, or INE)</w:t>
      </w:r>
      <w:r>
        <w:rPr>
          <w:rFonts w:ascii="Book Antiqua" w:hAnsi="Book Antiqua"/>
          <w:sz w:val="18"/>
          <w:szCs w:val="18"/>
        </w:rPr>
        <w:t xml:space="preserve"> (INE, 2006)</w:t>
      </w:r>
      <w:r w:rsidRPr="005578D5">
        <w:rPr>
          <w:rFonts w:ascii="Book Antiqua" w:hAnsi="Book Antiqua"/>
          <w:sz w:val="18"/>
          <w:szCs w:val="18"/>
        </w:rPr>
        <w:t xml:space="preserve">. This database was provided free of charge to the research </w:t>
      </w:r>
      <w:r w:rsidRPr="00827790">
        <w:rPr>
          <w:rFonts w:ascii="Book Antiqua" w:hAnsi="Book Antiqua"/>
          <w:sz w:val="18"/>
          <w:szCs w:val="18"/>
          <w:lang w:val="en-GB"/>
        </w:rPr>
        <w:t>centres</w:t>
      </w:r>
      <w:r w:rsidRPr="005578D5">
        <w:rPr>
          <w:rFonts w:ascii="Book Antiqua" w:hAnsi="Book Antiqua"/>
          <w:sz w:val="18"/>
          <w:szCs w:val="18"/>
        </w:rPr>
        <w:t xml:space="preserve"> of Guatemala once the results of the survey were presented.</w:t>
      </w:r>
    </w:p>
  </w:footnote>
  <w:footnote w:id="3">
    <w:p w:rsidR="008D56CD" w:rsidRPr="006E7057" w:rsidRDefault="008D56CD" w:rsidP="00D0526E">
      <w:pPr>
        <w:pStyle w:val="FootnoteText"/>
        <w:spacing w:line="240" w:lineRule="auto"/>
        <w:jc w:val="both"/>
        <w:rPr>
          <w:rFonts w:ascii="Book Antiqua" w:hAnsi="Book Antiqua"/>
          <w:sz w:val="16"/>
          <w:szCs w:val="16"/>
        </w:rPr>
      </w:pPr>
      <w:r w:rsidRPr="006E7057">
        <w:rPr>
          <w:rStyle w:val="FootnoteReference"/>
          <w:sz w:val="18"/>
          <w:szCs w:val="18"/>
          <w:lang w:val="en-GB"/>
        </w:rPr>
        <w:footnoteRef/>
      </w:r>
      <w:r w:rsidRPr="007624A8">
        <w:rPr>
          <w:rFonts w:ascii="Book Antiqua" w:hAnsi="Book Antiqua"/>
          <w:sz w:val="18"/>
          <w:szCs w:val="18"/>
          <w:lang w:val="en-GB"/>
        </w:rPr>
        <w:t>The contribution of agriculture to the GDP was obtained from the World Bank</w:t>
      </w:r>
      <w:r>
        <w:rPr>
          <w:rFonts w:ascii="Book Antiqua" w:hAnsi="Book Antiqua"/>
          <w:sz w:val="18"/>
          <w:szCs w:val="18"/>
          <w:lang w:val="en-GB"/>
        </w:rPr>
        <w:t>’s World Development Indicators for the year</w:t>
      </w:r>
      <w:r w:rsidRPr="007624A8">
        <w:rPr>
          <w:rFonts w:ascii="Book Antiqua" w:hAnsi="Book Antiqua"/>
          <w:sz w:val="18"/>
          <w:szCs w:val="18"/>
          <w:lang w:val="en-GB"/>
        </w:rPr>
        <w:t xml:space="preserve"> 2006. According to information from the </w:t>
      </w:r>
      <w:proofErr w:type="spellStart"/>
      <w:r w:rsidRPr="007624A8">
        <w:rPr>
          <w:rFonts w:ascii="Book Antiqua" w:hAnsi="Book Antiqua"/>
          <w:sz w:val="18"/>
          <w:szCs w:val="18"/>
          <w:lang w:val="en-GB"/>
        </w:rPr>
        <w:t>Banco</w:t>
      </w:r>
      <w:proofErr w:type="spellEnd"/>
      <w:r w:rsidRPr="007624A8">
        <w:rPr>
          <w:rFonts w:ascii="Book Antiqua" w:hAnsi="Book Antiqua"/>
          <w:sz w:val="18"/>
          <w:szCs w:val="18"/>
          <w:lang w:val="en-GB"/>
        </w:rPr>
        <w:t xml:space="preserve"> de Guatemala, the greatest contributor to GDP during 2001–2006 was the manufacturing sector, which was responsible for 18.8% of GDP</w:t>
      </w:r>
      <w:r w:rsidRPr="006E7057">
        <w:rPr>
          <w:rFonts w:ascii="Book Antiqua" w:hAnsi="Book Antiqua"/>
          <w:sz w:val="18"/>
          <w:szCs w:val="18"/>
        </w:rPr>
        <w:t>.</w:t>
      </w:r>
    </w:p>
  </w:footnote>
  <w:footnote w:id="4">
    <w:p w:rsidR="008D56CD" w:rsidRPr="006B3D5C" w:rsidRDefault="008D56CD" w:rsidP="00236968">
      <w:pPr>
        <w:pStyle w:val="NoSpacing"/>
        <w:jc w:val="both"/>
        <w:rPr>
          <w:rFonts w:ascii="Book Antiqua" w:hAnsi="Book Antiqua"/>
          <w:sz w:val="18"/>
          <w:lang w:val="en-US"/>
        </w:rPr>
      </w:pPr>
      <w:r w:rsidRPr="003F4FB8">
        <w:rPr>
          <w:rStyle w:val="FootnoteReference"/>
          <w:rFonts w:ascii="Book Antiqua" w:hAnsi="Book Antiqua"/>
          <w:sz w:val="18"/>
        </w:rPr>
        <w:footnoteRef/>
      </w:r>
      <w:r w:rsidRPr="006B3D5C">
        <w:rPr>
          <w:rFonts w:ascii="Book Antiqua" w:hAnsi="Book Antiqua"/>
          <w:sz w:val="18"/>
          <w:lang w:val="en-GB"/>
        </w:rPr>
        <w:t xml:space="preserve">The per capita values for the poverty line in 2006 were as follows: </w:t>
      </w:r>
      <w:r>
        <w:rPr>
          <w:rFonts w:ascii="Book Antiqua" w:hAnsi="Book Antiqua"/>
          <w:sz w:val="18"/>
          <w:lang w:val="en-GB"/>
        </w:rPr>
        <w:t>extreme</w:t>
      </w:r>
      <w:r w:rsidRPr="006B3D5C">
        <w:rPr>
          <w:rFonts w:ascii="Book Antiqua" w:hAnsi="Book Antiqua"/>
          <w:sz w:val="18"/>
          <w:lang w:val="en-GB"/>
        </w:rPr>
        <w:t xml:space="preserve"> </w:t>
      </w:r>
      <w:proofErr w:type="spellStart"/>
      <w:r w:rsidRPr="006B3D5C">
        <w:rPr>
          <w:rFonts w:ascii="Book Antiqua" w:hAnsi="Book Antiqua"/>
          <w:sz w:val="18"/>
          <w:lang w:val="en-GB"/>
        </w:rPr>
        <w:t>poverty</w:t>
      </w:r>
      <w:proofErr w:type="gramStart"/>
      <w:r>
        <w:rPr>
          <w:rFonts w:ascii="Book Antiqua" w:hAnsi="Book Antiqua"/>
          <w:sz w:val="18"/>
          <w:lang w:val="en-GB"/>
        </w:rPr>
        <w:t>,Guatemalan</w:t>
      </w:r>
      <w:proofErr w:type="spellEnd"/>
      <w:proofErr w:type="gramEnd"/>
      <w:r>
        <w:rPr>
          <w:rFonts w:ascii="Book Antiqua" w:hAnsi="Book Antiqua"/>
          <w:sz w:val="18"/>
          <w:lang w:val="en-GB"/>
        </w:rPr>
        <w:t xml:space="preserve"> </w:t>
      </w:r>
      <w:proofErr w:type="spellStart"/>
      <w:r w:rsidRPr="006B3D5C">
        <w:rPr>
          <w:rFonts w:ascii="Book Antiqua" w:hAnsi="Book Antiqua"/>
          <w:sz w:val="18"/>
          <w:lang w:val="en-GB"/>
        </w:rPr>
        <w:t>Q</w:t>
      </w:r>
      <w:r>
        <w:rPr>
          <w:rFonts w:ascii="Book Antiqua" w:hAnsi="Book Antiqua"/>
          <w:sz w:val="18"/>
          <w:lang w:val="en-GB"/>
        </w:rPr>
        <w:t>uetzales</w:t>
      </w:r>
      <w:proofErr w:type="spellEnd"/>
      <w:r>
        <w:rPr>
          <w:rFonts w:ascii="Book Antiqua" w:hAnsi="Book Antiqua"/>
          <w:sz w:val="18"/>
          <w:lang w:val="en-GB"/>
        </w:rPr>
        <w:t xml:space="preserve"> (GTQ) </w:t>
      </w:r>
      <w:r w:rsidRPr="006B3D5C">
        <w:rPr>
          <w:rFonts w:ascii="Book Antiqua" w:hAnsi="Book Antiqua"/>
          <w:sz w:val="18"/>
          <w:lang w:val="en-GB"/>
        </w:rPr>
        <w:t xml:space="preserve">3,206.00 (approximately </w:t>
      </w:r>
      <w:r>
        <w:rPr>
          <w:rFonts w:ascii="Book Antiqua" w:hAnsi="Book Antiqua"/>
          <w:sz w:val="18"/>
          <w:lang w:val="en-GB"/>
        </w:rPr>
        <w:t xml:space="preserve">US$ </w:t>
      </w:r>
      <w:r w:rsidRPr="006B3D5C">
        <w:rPr>
          <w:rFonts w:ascii="Book Antiqua" w:hAnsi="Book Antiqua"/>
          <w:sz w:val="18"/>
          <w:lang w:val="en-GB"/>
        </w:rPr>
        <w:t>421); poverty</w:t>
      </w:r>
      <w:r>
        <w:rPr>
          <w:rFonts w:ascii="Book Antiqua" w:hAnsi="Book Antiqua"/>
          <w:sz w:val="18"/>
          <w:lang w:val="en-GB"/>
        </w:rPr>
        <w:t>,GT</w:t>
      </w:r>
      <w:r w:rsidRPr="006B3D5C">
        <w:rPr>
          <w:rFonts w:ascii="Book Antiqua" w:hAnsi="Book Antiqua"/>
          <w:sz w:val="18"/>
          <w:lang w:val="en-GB"/>
        </w:rPr>
        <w:t xml:space="preserve">Q6,574.00 (approximately </w:t>
      </w:r>
      <w:r>
        <w:rPr>
          <w:rFonts w:ascii="Book Antiqua" w:hAnsi="Book Antiqua"/>
          <w:sz w:val="18"/>
          <w:lang w:val="en-GB"/>
        </w:rPr>
        <w:t xml:space="preserve">US$ </w:t>
      </w:r>
      <w:r w:rsidRPr="006B3D5C">
        <w:rPr>
          <w:rFonts w:ascii="Book Antiqua" w:hAnsi="Book Antiqua"/>
          <w:sz w:val="18"/>
          <w:lang w:val="en-GB"/>
        </w:rPr>
        <w:t>865).</w:t>
      </w:r>
    </w:p>
  </w:footnote>
  <w:footnote w:id="5">
    <w:p w:rsidR="008D56CD" w:rsidRPr="006F4631" w:rsidRDefault="008D56CD" w:rsidP="006D5640">
      <w:pPr>
        <w:pStyle w:val="NoSpacing"/>
        <w:jc w:val="both"/>
        <w:rPr>
          <w:rFonts w:ascii="Book Antiqua" w:hAnsi="Book Antiqua"/>
          <w:lang w:val="en-US"/>
        </w:rPr>
      </w:pPr>
      <w:r w:rsidRPr="00C9144E">
        <w:rPr>
          <w:rStyle w:val="FootnoteReference"/>
          <w:rFonts w:ascii="Book Antiqua" w:hAnsi="Book Antiqua"/>
          <w:sz w:val="18"/>
        </w:rPr>
        <w:footnoteRef/>
      </w:r>
      <w:r w:rsidRPr="006F4631">
        <w:rPr>
          <w:rFonts w:ascii="Book Antiqua" w:hAnsi="Book Antiqua"/>
          <w:sz w:val="18"/>
          <w:lang w:val="en-US"/>
        </w:rPr>
        <w:t xml:space="preserve"> The minimum wage </w:t>
      </w:r>
      <w:r>
        <w:rPr>
          <w:rFonts w:ascii="Book Antiqua" w:hAnsi="Book Antiqua"/>
          <w:sz w:val="18"/>
          <w:lang w:val="en-US"/>
        </w:rPr>
        <w:t xml:space="preserve">for </w:t>
      </w:r>
      <w:r w:rsidRPr="006F4631">
        <w:rPr>
          <w:rFonts w:ascii="Book Antiqua" w:hAnsi="Book Antiqua"/>
          <w:sz w:val="18"/>
          <w:lang w:val="en-US"/>
        </w:rPr>
        <w:t>agricultural workers for 2006, in accordance with Governmental Agreement No. 640</w:t>
      </w:r>
      <w:r>
        <w:rPr>
          <w:rFonts w:ascii="Book Antiqua" w:hAnsi="Book Antiqua"/>
          <w:sz w:val="18"/>
          <w:lang w:val="en-US"/>
        </w:rPr>
        <w:t>–</w:t>
      </w:r>
      <w:r w:rsidRPr="006F4631">
        <w:rPr>
          <w:rFonts w:ascii="Book Antiqua" w:hAnsi="Book Antiqua"/>
          <w:sz w:val="18"/>
          <w:lang w:val="en-US"/>
        </w:rPr>
        <w:t>2005, was established at</w:t>
      </w:r>
      <w:r>
        <w:rPr>
          <w:rFonts w:ascii="Book Antiqua" w:hAnsi="Book Antiqua"/>
          <w:sz w:val="18"/>
          <w:lang w:val="en-US"/>
        </w:rPr>
        <w:t xml:space="preserve"> GTQ 1,523.80 (US$ 200.50) per month</w:t>
      </w:r>
      <w:r w:rsidRPr="006F4631">
        <w:rPr>
          <w:rFonts w:ascii="Book Antiqua" w:hAnsi="Book Antiqua"/>
          <w:sz w:val="18"/>
          <w:lang w:val="en-US"/>
        </w:rPr>
        <w:t>.</w:t>
      </w:r>
    </w:p>
  </w:footnote>
  <w:footnote w:id="6">
    <w:p w:rsidR="008D56CD" w:rsidRPr="00326B86" w:rsidRDefault="008D56CD" w:rsidP="006D5640">
      <w:pPr>
        <w:pStyle w:val="NoSpacing"/>
        <w:jc w:val="both"/>
        <w:rPr>
          <w:rFonts w:ascii="Book Antiqua" w:hAnsi="Book Antiqua"/>
          <w:sz w:val="18"/>
          <w:szCs w:val="18"/>
          <w:lang w:val="en-US"/>
        </w:rPr>
      </w:pPr>
      <w:r w:rsidRPr="00C9144E">
        <w:rPr>
          <w:rStyle w:val="FootnoteReference"/>
          <w:rFonts w:ascii="Book Antiqua" w:hAnsi="Book Antiqua"/>
          <w:sz w:val="18"/>
          <w:szCs w:val="18"/>
        </w:rPr>
        <w:footnoteRef/>
      </w:r>
      <w:r w:rsidRPr="00326B86">
        <w:rPr>
          <w:rFonts w:ascii="Book Antiqua" w:hAnsi="Book Antiqua"/>
          <w:sz w:val="18"/>
          <w:szCs w:val="18"/>
          <w:lang w:val="en-US"/>
        </w:rPr>
        <w:t xml:space="preserve"> In Guatemala primary education lasts for six years (usually between 7</w:t>
      </w:r>
      <w:r>
        <w:rPr>
          <w:rFonts w:ascii="Book Antiqua" w:hAnsi="Book Antiqua"/>
          <w:sz w:val="18"/>
          <w:szCs w:val="18"/>
          <w:lang w:val="en-US"/>
        </w:rPr>
        <w:t>-</w:t>
      </w:r>
      <w:r w:rsidRPr="00326B86">
        <w:rPr>
          <w:rFonts w:ascii="Book Antiqua" w:hAnsi="Book Antiqua"/>
          <w:sz w:val="18"/>
          <w:szCs w:val="18"/>
          <w:lang w:val="en-US"/>
        </w:rPr>
        <w:t xml:space="preserve"> to 12</w:t>
      </w:r>
      <w:r>
        <w:rPr>
          <w:rFonts w:ascii="Book Antiqua" w:hAnsi="Book Antiqua"/>
          <w:sz w:val="18"/>
          <w:szCs w:val="18"/>
          <w:lang w:val="en-US"/>
        </w:rPr>
        <w:t>-</w:t>
      </w:r>
      <w:r w:rsidRPr="00326B86">
        <w:rPr>
          <w:rFonts w:ascii="Book Antiqua" w:hAnsi="Book Antiqua"/>
          <w:sz w:val="18"/>
          <w:szCs w:val="18"/>
          <w:lang w:val="en-US"/>
        </w:rPr>
        <w:t>year</w:t>
      </w:r>
      <w:r>
        <w:rPr>
          <w:rFonts w:ascii="Book Antiqua" w:hAnsi="Book Antiqua"/>
          <w:sz w:val="18"/>
          <w:szCs w:val="18"/>
          <w:lang w:val="en-US"/>
        </w:rPr>
        <w:t>-</w:t>
      </w:r>
      <w:r w:rsidRPr="00326B86">
        <w:rPr>
          <w:rFonts w:ascii="Book Antiqua" w:hAnsi="Book Antiqua"/>
          <w:sz w:val="18"/>
          <w:szCs w:val="18"/>
          <w:lang w:val="en-US"/>
        </w:rPr>
        <w:t>olds); middle</w:t>
      </w:r>
      <w:r>
        <w:rPr>
          <w:rFonts w:ascii="Book Antiqua" w:hAnsi="Book Antiqua"/>
          <w:sz w:val="18"/>
          <w:szCs w:val="18"/>
          <w:lang w:val="en-US"/>
        </w:rPr>
        <w:t>,</w:t>
      </w:r>
      <w:r w:rsidRPr="00326B86">
        <w:rPr>
          <w:rFonts w:ascii="Book Antiqua" w:hAnsi="Book Antiqua"/>
          <w:sz w:val="18"/>
          <w:szCs w:val="18"/>
          <w:lang w:val="en-US"/>
        </w:rPr>
        <w:t xml:space="preserve"> or secondary education is comprised of two levels, </w:t>
      </w:r>
      <w:r>
        <w:rPr>
          <w:rFonts w:ascii="Book Antiqua" w:hAnsi="Book Antiqua"/>
          <w:sz w:val="18"/>
          <w:szCs w:val="18"/>
          <w:lang w:val="en-US"/>
        </w:rPr>
        <w:t xml:space="preserve">the </w:t>
      </w:r>
      <w:r w:rsidRPr="00326B86">
        <w:rPr>
          <w:rFonts w:ascii="Book Antiqua" w:hAnsi="Book Antiqua"/>
          <w:sz w:val="18"/>
          <w:szCs w:val="18"/>
          <w:lang w:val="en-US"/>
        </w:rPr>
        <w:t>basic level of three years (usually 13</w:t>
      </w:r>
      <w:r>
        <w:rPr>
          <w:rFonts w:ascii="Book Antiqua" w:hAnsi="Book Antiqua"/>
          <w:sz w:val="18"/>
          <w:szCs w:val="18"/>
          <w:lang w:val="en-US"/>
        </w:rPr>
        <w:t>-</w:t>
      </w:r>
      <w:r w:rsidRPr="00326B86">
        <w:rPr>
          <w:rFonts w:ascii="Book Antiqua" w:hAnsi="Book Antiqua"/>
          <w:sz w:val="18"/>
          <w:szCs w:val="18"/>
          <w:lang w:val="en-US"/>
        </w:rPr>
        <w:t xml:space="preserve"> to 15</w:t>
      </w:r>
      <w:r>
        <w:rPr>
          <w:rFonts w:ascii="Book Antiqua" w:hAnsi="Book Antiqua"/>
          <w:sz w:val="18"/>
          <w:szCs w:val="18"/>
          <w:lang w:val="en-US"/>
        </w:rPr>
        <w:t>-</w:t>
      </w:r>
      <w:r w:rsidRPr="00326B86">
        <w:rPr>
          <w:rFonts w:ascii="Book Antiqua" w:hAnsi="Book Antiqua"/>
          <w:sz w:val="18"/>
          <w:szCs w:val="18"/>
          <w:lang w:val="en-US"/>
        </w:rPr>
        <w:t>year</w:t>
      </w:r>
      <w:r>
        <w:rPr>
          <w:rFonts w:ascii="Book Antiqua" w:hAnsi="Book Antiqua"/>
          <w:sz w:val="18"/>
          <w:szCs w:val="18"/>
          <w:lang w:val="en-US"/>
        </w:rPr>
        <w:t>-</w:t>
      </w:r>
      <w:r w:rsidRPr="00326B86">
        <w:rPr>
          <w:rFonts w:ascii="Book Antiqua" w:hAnsi="Book Antiqua"/>
          <w:sz w:val="18"/>
          <w:szCs w:val="18"/>
          <w:lang w:val="en-US"/>
        </w:rPr>
        <w:t>olds); and the diversified level</w:t>
      </w:r>
      <w:r>
        <w:rPr>
          <w:rFonts w:ascii="Book Antiqua" w:hAnsi="Book Antiqua"/>
          <w:sz w:val="18"/>
          <w:szCs w:val="18"/>
          <w:lang w:val="en-US"/>
        </w:rPr>
        <w:t xml:space="preserve">, of two or three years (usually </w:t>
      </w:r>
      <w:r w:rsidRPr="00326B86">
        <w:rPr>
          <w:rFonts w:ascii="Book Antiqua" w:hAnsi="Book Antiqua"/>
          <w:sz w:val="18"/>
          <w:szCs w:val="18"/>
          <w:lang w:val="en-US"/>
        </w:rPr>
        <w:t>16</w:t>
      </w:r>
      <w:r>
        <w:rPr>
          <w:rFonts w:ascii="Book Antiqua" w:hAnsi="Book Antiqua"/>
          <w:sz w:val="18"/>
          <w:szCs w:val="18"/>
          <w:lang w:val="en-US"/>
        </w:rPr>
        <w:t>-</w:t>
      </w:r>
      <w:r w:rsidRPr="00326B86">
        <w:rPr>
          <w:rFonts w:ascii="Book Antiqua" w:hAnsi="Book Antiqua"/>
          <w:sz w:val="18"/>
          <w:szCs w:val="18"/>
          <w:lang w:val="en-US"/>
        </w:rPr>
        <w:t xml:space="preserve"> to 18</w:t>
      </w:r>
      <w:r>
        <w:rPr>
          <w:rFonts w:ascii="Book Antiqua" w:hAnsi="Book Antiqua"/>
          <w:sz w:val="18"/>
          <w:szCs w:val="18"/>
          <w:lang w:val="en-US"/>
        </w:rPr>
        <w:t>-</w:t>
      </w:r>
      <w:r w:rsidRPr="00326B86">
        <w:rPr>
          <w:rFonts w:ascii="Book Antiqua" w:hAnsi="Book Antiqua"/>
          <w:sz w:val="18"/>
          <w:szCs w:val="18"/>
          <w:lang w:val="en-US"/>
        </w:rPr>
        <w:t>year</w:t>
      </w:r>
      <w:r>
        <w:rPr>
          <w:rFonts w:ascii="Book Antiqua" w:hAnsi="Book Antiqua"/>
          <w:sz w:val="18"/>
          <w:szCs w:val="18"/>
          <w:lang w:val="en-US"/>
        </w:rPr>
        <w:t>-</w:t>
      </w:r>
      <w:r w:rsidRPr="00326B86">
        <w:rPr>
          <w:rFonts w:ascii="Book Antiqua" w:hAnsi="Book Antiqua"/>
          <w:sz w:val="18"/>
          <w:szCs w:val="18"/>
          <w:lang w:val="en-US"/>
        </w:rPr>
        <w:t xml:space="preserve">olds). </w:t>
      </w:r>
    </w:p>
  </w:footnote>
  <w:footnote w:id="7">
    <w:p w:rsidR="008D56CD" w:rsidRPr="004A3870" w:rsidRDefault="008D56CD" w:rsidP="00827790">
      <w:pPr>
        <w:pStyle w:val="FootnoteText"/>
        <w:spacing w:after="0"/>
      </w:pPr>
      <w:r>
        <w:rPr>
          <w:rStyle w:val="FootnoteReference"/>
        </w:rPr>
        <w:footnoteRef/>
      </w:r>
      <w:hyperlink r:id="rId1" w:history="1">
        <w:r w:rsidRPr="00862729">
          <w:rPr>
            <w:rFonts w:ascii="Book Antiqua" w:hAnsi="Book Antiqua"/>
            <w:sz w:val="18"/>
            <w:szCs w:val="18"/>
          </w:rPr>
          <w:t>http://data.worldbank.org/indicator</w:t>
        </w:r>
      </w:hyperlink>
      <w:r w:rsidRPr="00862729">
        <w:rPr>
          <w:rFonts w:ascii="Book Antiqua" w:hAnsi="Book Antiqua"/>
          <w:sz w:val="18"/>
          <w:szCs w:val="18"/>
        </w:rPr>
        <w:t xml:space="preserve"> (accessed 03/05/12)</w:t>
      </w:r>
      <w:r>
        <w:rPr>
          <w:rFonts w:ascii="Book Antiqua" w:hAnsi="Book Antiqua"/>
          <w:sz w:val="18"/>
          <w:szCs w:val="18"/>
        </w:rPr>
        <w:t>.</w:t>
      </w:r>
    </w:p>
  </w:footnote>
  <w:footnote w:id="8">
    <w:p w:rsidR="008D56CD" w:rsidRPr="00EC2F41" w:rsidRDefault="008D56CD" w:rsidP="000720A2">
      <w:pPr>
        <w:pStyle w:val="NoSpacing"/>
        <w:jc w:val="both"/>
        <w:rPr>
          <w:rFonts w:ascii="Book Antiqua" w:hAnsi="Book Antiqua"/>
          <w:sz w:val="18"/>
          <w:lang w:val="en-US"/>
        </w:rPr>
      </w:pPr>
      <w:r w:rsidRPr="00957BE8">
        <w:rPr>
          <w:rStyle w:val="FootnoteReference"/>
          <w:rFonts w:ascii="Book Antiqua" w:hAnsi="Book Antiqua"/>
        </w:rPr>
        <w:footnoteRef/>
      </w:r>
      <w:r>
        <w:rPr>
          <w:rFonts w:ascii="Book Antiqua" w:hAnsi="Book Antiqua"/>
          <w:i/>
          <w:sz w:val="18"/>
          <w:lang w:val="en-GB"/>
        </w:rPr>
        <w:t>B</w:t>
      </w:r>
      <w:r w:rsidRPr="00236968">
        <w:rPr>
          <w:rFonts w:ascii="Book Antiqua" w:hAnsi="Book Antiqua"/>
          <w:i/>
          <w:sz w:val="18"/>
          <w:lang w:val="en-GB"/>
        </w:rPr>
        <w:t xml:space="preserve">ono </w:t>
      </w:r>
      <w:proofErr w:type="spellStart"/>
      <w:r w:rsidRPr="00236968">
        <w:rPr>
          <w:rFonts w:ascii="Book Antiqua" w:hAnsi="Book Antiqua"/>
          <w:i/>
          <w:sz w:val="18"/>
          <w:lang w:val="en-GB"/>
        </w:rPr>
        <w:t>catorce</w:t>
      </w:r>
      <w:proofErr w:type="spellEnd"/>
      <w:r>
        <w:rPr>
          <w:rFonts w:ascii="Book Antiqua" w:hAnsi="Book Antiqua"/>
          <w:sz w:val="18"/>
          <w:lang w:val="en-GB"/>
        </w:rPr>
        <w:t xml:space="preserve"> and </w:t>
      </w:r>
      <w:r>
        <w:rPr>
          <w:rFonts w:ascii="Book Antiqua" w:hAnsi="Book Antiqua"/>
          <w:i/>
          <w:sz w:val="18"/>
          <w:lang w:val="en-GB"/>
        </w:rPr>
        <w:t xml:space="preserve">Aguinaldo </w:t>
      </w:r>
      <w:r>
        <w:rPr>
          <w:rFonts w:ascii="Book Antiqua" w:hAnsi="Book Antiqua"/>
          <w:sz w:val="18"/>
          <w:lang w:val="en-GB"/>
        </w:rPr>
        <w:t>are two types of bonuses,</w:t>
      </w:r>
      <w:r w:rsidRPr="008E6C34">
        <w:rPr>
          <w:rFonts w:ascii="Book Antiqua" w:hAnsi="Book Antiqua"/>
          <w:sz w:val="18"/>
          <w:lang w:val="en-GB"/>
        </w:rPr>
        <w:t xml:space="preserve"> equivalent to the normal monthly wage of the worker</w:t>
      </w:r>
      <w:r>
        <w:rPr>
          <w:rFonts w:ascii="Book Antiqua" w:hAnsi="Book Antiqua"/>
          <w:sz w:val="18"/>
          <w:lang w:val="en-GB"/>
        </w:rPr>
        <w:t>,</w:t>
      </w:r>
      <w:r w:rsidRPr="008E6C34">
        <w:rPr>
          <w:rFonts w:ascii="Book Antiqua" w:hAnsi="Book Antiqua"/>
          <w:sz w:val="18"/>
          <w:lang w:val="en-GB"/>
        </w:rPr>
        <w:t xml:space="preserve"> under decree</w:t>
      </w:r>
      <w:r>
        <w:rPr>
          <w:rFonts w:ascii="Book Antiqua" w:hAnsi="Book Antiqua"/>
          <w:sz w:val="18"/>
          <w:lang w:val="en-GB"/>
        </w:rPr>
        <w:t>s</w:t>
      </w:r>
      <w:r w:rsidRPr="008E6C34">
        <w:rPr>
          <w:rFonts w:ascii="Book Antiqua" w:hAnsi="Book Antiqua"/>
          <w:sz w:val="18"/>
          <w:lang w:val="en-GB"/>
        </w:rPr>
        <w:t xml:space="preserve"> number</w:t>
      </w:r>
      <w:r>
        <w:rPr>
          <w:rFonts w:ascii="Book Antiqua" w:hAnsi="Book Antiqua"/>
          <w:sz w:val="18"/>
          <w:lang w:val="en-GB"/>
        </w:rPr>
        <w:t xml:space="preserve">s </w:t>
      </w:r>
      <w:r w:rsidRPr="008E6C34">
        <w:rPr>
          <w:rFonts w:ascii="Book Antiqua" w:hAnsi="Book Antiqua"/>
          <w:sz w:val="18"/>
          <w:lang w:val="en-GB"/>
        </w:rPr>
        <w:t>42</w:t>
      </w:r>
      <w:r>
        <w:rPr>
          <w:rFonts w:ascii="Book Antiqua" w:hAnsi="Book Antiqua"/>
          <w:sz w:val="18"/>
          <w:lang w:val="en-GB"/>
        </w:rPr>
        <w:t>–</w:t>
      </w:r>
      <w:r w:rsidRPr="008E6C34">
        <w:rPr>
          <w:rFonts w:ascii="Book Antiqua" w:hAnsi="Book Antiqua"/>
          <w:sz w:val="18"/>
          <w:lang w:val="en-GB"/>
        </w:rPr>
        <w:t>92</w:t>
      </w:r>
      <w:r>
        <w:rPr>
          <w:rFonts w:ascii="Book Antiqua" w:hAnsi="Book Antiqua"/>
          <w:sz w:val="18"/>
          <w:lang w:val="en-GB"/>
        </w:rPr>
        <w:t xml:space="preserve"> and </w:t>
      </w:r>
      <w:r w:rsidRPr="008E6C34">
        <w:rPr>
          <w:rFonts w:ascii="Book Antiqua" w:hAnsi="Book Antiqua"/>
          <w:sz w:val="18"/>
          <w:lang w:val="en-GB"/>
        </w:rPr>
        <w:t>76</w:t>
      </w:r>
      <w:r>
        <w:rPr>
          <w:rFonts w:ascii="Book Antiqua" w:hAnsi="Book Antiqua"/>
          <w:sz w:val="18"/>
          <w:lang w:val="en-GB"/>
        </w:rPr>
        <w:t>–</w:t>
      </w:r>
      <w:r w:rsidRPr="008E6C34">
        <w:rPr>
          <w:rFonts w:ascii="Book Antiqua" w:hAnsi="Book Antiqua"/>
          <w:sz w:val="18"/>
          <w:lang w:val="en-GB"/>
        </w:rPr>
        <w:t>78</w:t>
      </w:r>
      <w:r>
        <w:rPr>
          <w:rFonts w:ascii="Book Antiqua" w:hAnsi="Book Antiqua"/>
          <w:sz w:val="18"/>
          <w:lang w:val="en-GB"/>
        </w:rPr>
        <w:t xml:space="preserve">, </w:t>
      </w:r>
      <w:r w:rsidRPr="008E6C34">
        <w:rPr>
          <w:rFonts w:ascii="Book Antiqua" w:hAnsi="Book Antiqua"/>
          <w:sz w:val="18"/>
          <w:lang w:val="en-GB"/>
        </w:rPr>
        <w:t>respectively.</w:t>
      </w:r>
    </w:p>
  </w:footnote>
  <w:footnote w:id="9">
    <w:p w:rsidR="008D56CD" w:rsidRPr="004D361C" w:rsidRDefault="008D56CD" w:rsidP="00ED0134">
      <w:pPr>
        <w:pStyle w:val="NoSpacing"/>
        <w:jc w:val="both"/>
        <w:rPr>
          <w:rFonts w:ascii="Book Antiqua" w:hAnsi="Book Antiqua"/>
          <w:sz w:val="18"/>
          <w:lang w:val="en-US"/>
        </w:rPr>
      </w:pPr>
      <w:r w:rsidRPr="00843B16">
        <w:rPr>
          <w:rStyle w:val="FootnoteReference"/>
          <w:rFonts w:ascii="Book Antiqua" w:hAnsi="Book Antiqua"/>
          <w:sz w:val="18"/>
        </w:rPr>
        <w:footnoteRef/>
      </w:r>
      <w:r w:rsidRPr="004D361C">
        <w:rPr>
          <w:rFonts w:ascii="Book Antiqua" w:hAnsi="Book Antiqua"/>
          <w:sz w:val="18"/>
          <w:lang w:val="en-US"/>
        </w:rPr>
        <w:t xml:space="preserve"> For</w:t>
      </w:r>
      <w:r>
        <w:rPr>
          <w:rFonts w:ascii="Book Antiqua" w:hAnsi="Book Antiqua"/>
          <w:sz w:val="18"/>
          <w:lang w:val="en-US"/>
        </w:rPr>
        <w:t xml:space="preserve"> t</w:t>
      </w:r>
      <w:r w:rsidRPr="004D361C">
        <w:rPr>
          <w:rFonts w:ascii="Book Antiqua" w:hAnsi="Book Antiqua"/>
          <w:sz w:val="18"/>
          <w:lang w:val="en-US"/>
        </w:rPr>
        <w:t xml:space="preserve">he employed population ENCOVI 2006 </w:t>
      </w:r>
      <w:r>
        <w:rPr>
          <w:rFonts w:ascii="Book Antiqua" w:hAnsi="Book Antiqua"/>
          <w:sz w:val="18"/>
          <w:lang w:val="en-US"/>
        </w:rPr>
        <w:t>employs</w:t>
      </w:r>
      <w:r w:rsidRPr="004D361C">
        <w:rPr>
          <w:rFonts w:ascii="Book Antiqua" w:hAnsi="Book Antiqua"/>
          <w:sz w:val="18"/>
          <w:lang w:val="en-US"/>
        </w:rPr>
        <w:t xml:space="preserve"> the following categories: </w:t>
      </w:r>
      <w:r w:rsidRPr="004D361C">
        <w:rPr>
          <w:rFonts w:ascii="Book Antiqua" w:hAnsi="Book Antiqua"/>
          <w:b/>
          <w:sz w:val="18"/>
          <w:lang w:val="en-US"/>
        </w:rPr>
        <w:t>employees</w:t>
      </w:r>
      <w:r w:rsidRPr="004D361C">
        <w:rPr>
          <w:rFonts w:ascii="Book Antiqua" w:hAnsi="Book Antiqua"/>
          <w:sz w:val="18"/>
          <w:lang w:val="en-US"/>
        </w:rPr>
        <w:t xml:space="preserve"> (wh</w:t>
      </w:r>
      <w:r>
        <w:rPr>
          <w:rFonts w:ascii="Book Antiqua" w:hAnsi="Book Antiqua"/>
          <w:sz w:val="18"/>
          <w:lang w:val="en-US"/>
        </w:rPr>
        <w:t>o</w:t>
      </w:r>
      <w:r w:rsidRPr="004D361C">
        <w:rPr>
          <w:rFonts w:ascii="Book Antiqua" w:hAnsi="Book Antiqua"/>
          <w:sz w:val="18"/>
          <w:lang w:val="en-US"/>
        </w:rPr>
        <w:t xml:space="preserve"> are divided in</w:t>
      </w:r>
      <w:r>
        <w:rPr>
          <w:rFonts w:ascii="Book Antiqua" w:hAnsi="Book Antiqua"/>
          <w:sz w:val="18"/>
          <w:lang w:val="en-US"/>
        </w:rPr>
        <w:t>to</w:t>
      </w:r>
      <w:r w:rsidRPr="004D361C">
        <w:rPr>
          <w:rFonts w:ascii="Book Antiqua" w:hAnsi="Book Antiqua"/>
          <w:sz w:val="18"/>
          <w:lang w:val="en-US"/>
        </w:rPr>
        <w:t xml:space="preserve"> private</w:t>
      </w:r>
      <w:r>
        <w:rPr>
          <w:rFonts w:ascii="Book Antiqua" w:hAnsi="Book Antiqua"/>
          <w:sz w:val="18"/>
          <w:lang w:val="en-US"/>
        </w:rPr>
        <w:t xml:space="preserve"> and</w:t>
      </w:r>
      <w:r w:rsidRPr="004D361C">
        <w:rPr>
          <w:rFonts w:ascii="Book Antiqua" w:hAnsi="Book Antiqua"/>
          <w:sz w:val="18"/>
          <w:lang w:val="en-US"/>
        </w:rPr>
        <w:t xml:space="preserve"> public), </w:t>
      </w:r>
      <w:r w:rsidRPr="004D361C">
        <w:rPr>
          <w:rFonts w:ascii="Book Antiqua" w:hAnsi="Book Antiqua"/>
          <w:b/>
          <w:sz w:val="18"/>
          <w:lang w:val="en-US"/>
        </w:rPr>
        <w:t>employers</w:t>
      </w:r>
      <w:r w:rsidRPr="004D361C">
        <w:rPr>
          <w:rFonts w:ascii="Book Antiqua" w:hAnsi="Book Antiqua"/>
          <w:sz w:val="18"/>
          <w:lang w:val="en-US"/>
        </w:rPr>
        <w:t xml:space="preserve"> (agricultural and non-agricultural), </w:t>
      </w:r>
      <w:r w:rsidRPr="004D361C">
        <w:rPr>
          <w:rFonts w:ascii="Book Antiqua" w:hAnsi="Book Antiqua"/>
          <w:b/>
          <w:sz w:val="18"/>
          <w:lang w:val="en-US"/>
        </w:rPr>
        <w:t>independent workers</w:t>
      </w:r>
      <w:r w:rsidRPr="004D361C">
        <w:rPr>
          <w:rFonts w:ascii="Book Antiqua" w:hAnsi="Book Antiqua"/>
          <w:sz w:val="18"/>
          <w:lang w:val="en-US"/>
        </w:rPr>
        <w:t xml:space="preserve"> (agricultural and non-agricultural)</w:t>
      </w:r>
      <w:r>
        <w:rPr>
          <w:rFonts w:ascii="Book Antiqua" w:hAnsi="Book Antiqua"/>
          <w:sz w:val="18"/>
          <w:lang w:val="en-US"/>
        </w:rPr>
        <w:t xml:space="preserve">, and </w:t>
      </w:r>
      <w:r>
        <w:rPr>
          <w:rFonts w:ascii="Book Antiqua" w:hAnsi="Book Antiqua"/>
          <w:b/>
          <w:sz w:val="18"/>
          <w:lang w:val="en-US"/>
        </w:rPr>
        <w:t>unpaid workers</w:t>
      </w:r>
      <w:r w:rsidRPr="004D361C">
        <w:rPr>
          <w:rFonts w:ascii="Book Antiqua" w:hAnsi="Book Antiqua"/>
          <w:sz w:val="18"/>
          <w:lang w:val="en-US"/>
        </w:rPr>
        <w:t xml:space="preserve">. The main difference between employers and independent workers is that the latter do not have employees under their </w:t>
      </w:r>
      <w:r>
        <w:rPr>
          <w:rFonts w:ascii="Book Antiqua" w:hAnsi="Book Antiqua"/>
          <w:sz w:val="18"/>
          <w:lang w:val="en-US"/>
        </w:rPr>
        <w:t>supervision</w:t>
      </w:r>
      <w:r w:rsidRPr="004D361C">
        <w:rPr>
          <w:rFonts w:ascii="Book Antiqua" w:hAnsi="Book Antiqua"/>
          <w:sz w:val="18"/>
          <w:lang w:val="en-US"/>
        </w:rPr>
        <w:t>.</w:t>
      </w:r>
    </w:p>
  </w:footnote>
  <w:footnote w:id="10">
    <w:p w:rsidR="008D56CD" w:rsidRPr="00526998" w:rsidRDefault="008D56CD" w:rsidP="004333BF">
      <w:pPr>
        <w:pStyle w:val="NoSpacing"/>
        <w:rPr>
          <w:rFonts w:ascii="Book Antiqua" w:hAnsi="Book Antiqua"/>
          <w:sz w:val="18"/>
          <w:szCs w:val="18"/>
          <w:lang w:val="en-US"/>
        </w:rPr>
      </w:pPr>
      <w:r w:rsidRPr="006D09CB">
        <w:rPr>
          <w:rStyle w:val="FootnoteReference"/>
          <w:rFonts w:ascii="Book Antiqua" w:hAnsi="Book Antiqua"/>
          <w:sz w:val="18"/>
          <w:szCs w:val="18"/>
        </w:rPr>
        <w:footnoteRef/>
      </w:r>
      <w:r>
        <w:rPr>
          <w:rFonts w:ascii="Book Antiqua" w:hAnsi="Book Antiqua"/>
          <w:sz w:val="18"/>
          <w:szCs w:val="18"/>
          <w:lang w:val="en-US"/>
        </w:rPr>
        <w:t xml:space="preserve">From the </w:t>
      </w:r>
      <w:proofErr w:type="spellStart"/>
      <w:r>
        <w:rPr>
          <w:rFonts w:ascii="Book Antiqua" w:hAnsi="Book Antiqua"/>
          <w:sz w:val="18"/>
          <w:szCs w:val="18"/>
          <w:lang w:val="en-US"/>
        </w:rPr>
        <w:t>Ministerio</w:t>
      </w:r>
      <w:proofErr w:type="spellEnd"/>
      <w:r>
        <w:rPr>
          <w:rFonts w:ascii="Book Antiqua" w:hAnsi="Book Antiqua"/>
          <w:sz w:val="18"/>
          <w:szCs w:val="18"/>
          <w:lang w:val="en-US"/>
        </w:rPr>
        <w:t xml:space="preserve"> de </w:t>
      </w:r>
      <w:proofErr w:type="spellStart"/>
      <w:r>
        <w:rPr>
          <w:rFonts w:ascii="Book Antiqua" w:hAnsi="Book Antiqua"/>
          <w:sz w:val="18"/>
          <w:szCs w:val="18"/>
          <w:lang w:val="en-US"/>
        </w:rPr>
        <w:t>Economía</w:t>
      </w:r>
      <w:proofErr w:type="spellEnd"/>
      <w:r>
        <w:rPr>
          <w:rFonts w:ascii="Book Antiqua" w:hAnsi="Book Antiqua"/>
          <w:sz w:val="18"/>
          <w:szCs w:val="18"/>
          <w:lang w:val="en-US"/>
        </w:rPr>
        <w:t xml:space="preserve"> (MINECO) website, at: </w:t>
      </w:r>
      <w:hyperlink r:id="rId2" w:history="1">
        <w:r w:rsidRPr="00EC2F41">
          <w:rPr>
            <w:rStyle w:val="Hyperlink"/>
            <w:rFonts w:ascii="Book Antiqua" w:hAnsi="Book Antiqua"/>
            <w:color w:val="auto"/>
            <w:sz w:val="18"/>
            <w:szCs w:val="18"/>
            <w:u w:val="none"/>
            <w:lang w:val="en-US"/>
          </w:rPr>
          <w:t>http://www.mineco.gob.gt/Espanol/Centro+de+Informacion+y+Expo-Negocios</w:t>
        </w:r>
      </w:hyperlink>
      <w:r w:rsidRPr="00EC2F41">
        <w:rPr>
          <w:rStyle w:val="Hyperlink"/>
          <w:rFonts w:ascii="Book Antiqua" w:hAnsi="Book Antiqua"/>
          <w:color w:val="auto"/>
          <w:sz w:val="18"/>
          <w:szCs w:val="18"/>
          <w:u w:val="none"/>
          <w:lang w:val="en-US"/>
        </w:rPr>
        <w:t xml:space="preserve"> (accessed 03/05/12)</w:t>
      </w:r>
      <w:r>
        <w:rPr>
          <w:rStyle w:val="Hyperlink"/>
          <w:rFonts w:ascii="Book Antiqua" w:hAnsi="Book Antiqua"/>
          <w:color w:val="auto"/>
          <w:sz w:val="18"/>
          <w:szCs w:val="18"/>
          <w:u w:val="none"/>
          <w:lang w:val="en-US"/>
        </w:rPr>
        <w:t>.</w:t>
      </w:r>
    </w:p>
  </w:footnote>
  <w:footnote w:id="11">
    <w:p w:rsidR="008D56CD" w:rsidRPr="00955104" w:rsidRDefault="008D56CD" w:rsidP="002D3433">
      <w:pPr>
        <w:pStyle w:val="NoSpacing"/>
        <w:jc w:val="both"/>
        <w:rPr>
          <w:rFonts w:ascii="Book Antiqua" w:hAnsi="Book Antiqua"/>
          <w:sz w:val="18"/>
          <w:szCs w:val="18"/>
          <w:lang w:val="en-US"/>
        </w:rPr>
      </w:pPr>
      <w:r w:rsidRPr="006D09CB">
        <w:rPr>
          <w:rStyle w:val="FootnoteReference"/>
          <w:rFonts w:ascii="Book Antiqua" w:hAnsi="Book Antiqua"/>
          <w:sz w:val="18"/>
          <w:szCs w:val="18"/>
        </w:rPr>
        <w:footnoteRef/>
      </w:r>
      <w:r w:rsidRPr="00955104">
        <w:rPr>
          <w:rFonts w:ascii="Book Antiqua" w:hAnsi="Book Antiqua"/>
          <w:sz w:val="18"/>
          <w:szCs w:val="18"/>
          <w:lang w:val="en-US"/>
        </w:rPr>
        <w:t xml:space="preserve"> Cooperatives are </w:t>
      </w:r>
      <w:r>
        <w:rPr>
          <w:rFonts w:ascii="Book Antiqua" w:hAnsi="Book Antiqua"/>
          <w:sz w:val="18"/>
          <w:szCs w:val="18"/>
          <w:lang w:val="en-US"/>
        </w:rPr>
        <w:t xml:space="preserve">nonprofit </w:t>
      </w:r>
      <w:r w:rsidRPr="00955104">
        <w:rPr>
          <w:rFonts w:ascii="Book Antiqua" w:hAnsi="Book Antiqua"/>
          <w:sz w:val="18"/>
          <w:szCs w:val="18"/>
          <w:lang w:val="en-US"/>
        </w:rPr>
        <w:t xml:space="preserve">organizations of people </w:t>
      </w:r>
      <w:r>
        <w:rPr>
          <w:rFonts w:ascii="Book Antiqua" w:hAnsi="Book Antiqua"/>
          <w:sz w:val="18"/>
          <w:szCs w:val="18"/>
          <w:lang w:val="en-US"/>
        </w:rPr>
        <w:t>(</w:t>
      </w:r>
      <w:r w:rsidRPr="00955104">
        <w:rPr>
          <w:rFonts w:ascii="Book Antiqua" w:hAnsi="Book Antiqua"/>
          <w:sz w:val="18"/>
          <w:szCs w:val="18"/>
          <w:lang w:val="en-US"/>
        </w:rPr>
        <w:t>not of capital</w:t>
      </w:r>
      <w:r>
        <w:rPr>
          <w:rFonts w:ascii="Book Antiqua" w:hAnsi="Book Antiqua"/>
          <w:sz w:val="18"/>
          <w:szCs w:val="18"/>
          <w:lang w:val="en-US"/>
        </w:rPr>
        <w:t>)</w:t>
      </w:r>
      <w:r w:rsidRPr="00955104">
        <w:rPr>
          <w:rFonts w:ascii="Book Antiqua" w:hAnsi="Book Antiqua"/>
          <w:sz w:val="18"/>
          <w:szCs w:val="18"/>
          <w:lang w:val="en-US"/>
        </w:rPr>
        <w:t xml:space="preserve"> seeking the social and economic betterment of its members through common effort</w:t>
      </w:r>
      <w:r>
        <w:rPr>
          <w:rFonts w:ascii="Book Antiqua" w:hAnsi="Book Antiqua"/>
          <w:sz w:val="18"/>
          <w:szCs w:val="18"/>
          <w:lang w:val="en-US"/>
        </w:rPr>
        <w:t xml:space="preserve"> </w:t>
      </w:r>
      <w:r w:rsidRPr="00955104">
        <w:rPr>
          <w:rFonts w:ascii="Book Antiqua" w:hAnsi="Book Antiqua"/>
          <w:sz w:val="18"/>
          <w:szCs w:val="18"/>
          <w:lang w:val="en-US"/>
        </w:rPr>
        <w:t>.In Guatemala the</w:t>
      </w:r>
      <w:r>
        <w:rPr>
          <w:rFonts w:ascii="Book Antiqua" w:hAnsi="Book Antiqua"/>
          <w:sz w:val="18"/>
          <w:szCs w:val="18"/>
          <w:lang w:val="en-US"/>
        </w:rPr>
        <w:t>y</w:t>
      </w:r>
      <w:r w:rsidRPr="00955104">
        <w:rPr>
          <w:rFonts w:ascii="Book Antiqua" w:hAnsi="Book Antiqua"/>
          <w:sz w:val="18"/>
          <w:szCs w:val="18"/>
          <w:lang w:val="en-US"/>
        </w:rPr>
        <w:t xml:space="preserve"> are governed by the </w:t>
      </w:r>
      <w:r>
        <w:rPr>
          <w:rFonts w:ascii="Book Antiqua" w:hAnsi="Book Antiqua"/>
          <w:sz w:val="18"/>
          <w:szCs w:val="18"/>
          <w:lang w:val="en-US"/>
        </w:rPr>
        <w:t>l</w:t>
      </w:r>
      <w:r w:rsidRPr="00955104">
        <w:rPr>
          <w:rFonts w:ascii="Book Antiqua" w:hAnsi="Book Antiqua"/>
          <w:sz w:val="18"/>
          <w:szCs w:val="18"/>
          <w:lang w:val="en-US"/>
        </w:rPr>
        <w:t>egislation contained in Decree No. 82</w:t>
      </w:r>
      <w:r>
        <w:rPr>
          <w:rFonts w:ascii="Book Antiqua" w:hAnsi="Book Antiqua"/>
          <w:sz w:val="18"/>
          <w:szCs w:val="18"/>
          <w:lang w:val="en-US"/>
        </w:rPr>
        <w:t>–</w:t>
      </w:r>
      <w:r w:rsidRPr="00955104">
        <w:rPr>
          <w:rFonts w:ascii="Book Antiqua" w:hAnsi="Book Antiqua"/>
          <w:sz w:val="18"/>
          <w:szCs w:val="18"/>
          <w:lang w:val="en-US"/>
        </w:rPr>
        <w:t>78.</w:t>
      </w:r>
    </w:p>
  </w:footnote>
  <w:footnote w:id="12">
    <w:p w:rsidR="008D56CD" w:rsidRPr="002B24F9" w:rsidRDefault="008D56CD" w:rsidP="00A259C1">
      <w:pPr>
        <w:pStyle w:val="NoSpacing"/>
        <w:jc w:val="both"/>
        <w:rPr>
          <w:rFonts w:ascii="Book Antiqua" w:hAnsi="Book Antiqua"/>
          <w:sz w:val="18"/>
          <w:lang w:val="en-US"/>
        </w:rPr>
      </w:pPr>
      <w:r w:rsidRPr="007C49BB">
        <w:rPr>
          <w:rStyle w:val="FootnoteReference"/>
          <w:rFonts w:ascii="Book Antiqua" w:hAnsi="Book Antiqua"/>
          <w:sz w:val="18"/>
        </w:rPr>
        <w:footnoteRef/>
      </w:r>
      <w:r w:rsidRPr="009334CA">
        <w:rPr>
          <w:rFonts w:ascii="Book Antiqua" w:hAnsi="Book Antiqua"/>
          <w:sz w:val="18"/>
          <w:lang w:val="en-US"/>
        </w:rPr>
        <w:t xml:space="preserve"> Coffee, sugar, bananas</w:t>
      </w:r>
      <w:r>
        <w:rPr>
          <w:rFonts w:ascii="Book Antiqua" w:hAnsi="Book Antiqua"/>
          <w:sz w:val="18"/>
          <w:lang w:val="en-US"/>
        </w:rPr>
        <w:t>,</w:t>
      </w:r>
      <w:r w:rsidRPr="009334CA">
        <w:rPr>
          <w:rFonts w:ascii="Book Antiqua" w:hAnsi="Book Antiqua"/>
          <w:sz w:val="18"/>
          <w:lang w:val="en-US"/>
        </w:rPr>
        <w:t xml:space="preserve"> and cardamom are deemed </w:t>
      </w:r>
      <w:r>
        <w:rPr>
          <w:rFonts w:ascii="Book Antiqua" w:hAnsi="Book Antiqua"/>
          <w:sz w:val="18"/>
          <w:lang w:val="en-US"/>
        </w:rPr>
        <w:t xml:space="preserve">the </w:t>
      </w:r>
      <w:r w:rsidRPr="009334CA">
        <w:rPr>
          <w:rFonts w:ascii="Book Antiqua" w:hAnsi="Book Antiqua"/>
          <w:sz w:val="18"/>
          <w:lang w:val="en-US"/>
        </w:rPr>
        <w:t>traditional export products. The remaining exports are considered non-traditional</w:t>
      </w:r>
      <w:r>
        <w:rPr>
          <w:rFonts w:ascii="Book Antiqua" w:hAnsi="Book Antiqua"/>
          <w:sz w:val="18"/>
          <w:lang w:val="en-US"/>
        </w:rPr>
        <w:t>, and they include both agricultural and non-agricultural products. Examples of non-traditional agricultural products are</w:t>
      </w:r>
      <w:r w:rsidRPr="009334CA">
        <w:rPr>
          <w:rFonts w:ascii="Book Antiqua" w:hAnsi="Book Antiqua"/>
          <w:sz w:val="18"/>
          <w:lang w:val="en-US"/>
        </w:rPr>
        <w:t xml:space="preserve"> rubber, snow</w:t>
      </w:r>
      <w:r>
        <w:rPr>
          <w:rFonts w:ascii="Book Antiqua" w:hAnsi="Book Antiqua"/>
          <w:sz w:val="18"/>
          <w:lang w:val="en-US"/>
        </w:rPr>
        <w:t xml:space="preserve"> </w:t>
      </w:r>
      <w:r w:rsidRPr="009334CA">
        <w:rPr>
          <w:rFonts w:ascii="Book Antiqua" w:hAnsi="Book Antiqua"/>
          <w:sz w:val="18"/>
          <w:lang w:val="en-US"/>
        </w:rPr>
        <w:t xml:space="preserve">peas, broccoli, zucchini, </w:t>
      </w:r>
      <w:r w:rsidRPr="004F5E2F">
        <w:rPr>
          <w:rFonts w:ascii="Book Antiqua" w:hAnsi="Book Antiqua"/>
          <w:sz w:val="18"/>
          <w:lang w:val="en-GB"/>
        </w:rPr>
        <w:t>cantaloupe</w:t>
      </w:r>
      <w:r w:rsidRPr="009334CA">
        <w:rPr>
          <w:rFonts w:ascii="Book Antiqua" w:hAnsi="Book Antiqua"/>
          <w:sz w:val="18"/>
          <w:lang w:val="en-US"/>
        </w:rPr>
        <w:t xml:space="preserve">, mango, </w:t>
      </w:r>
      <w:r>
        <w:rPr>
          <w:rFonts w:ascii="Book Antiqua" w:hAnsi="Book Antiqua"/>
          <w:sz w:val="18"/>
          <w:lang w:val="en-US"/>
        </w:rPr>
        <w:t xml:space="preserve">and </w:t>
      </w:r>
      <w:r w:rsidRPr="009334CA">
        <w:rPr>
          <w:rFonts w:ascii="Book Antiqua" w:hAnsi="Book Antiqua"/>
          <w:sz w:val="18"/>
          <w:lang w:val="en-US"/>
        </w:rPr>
        <w:t>peppers</w:t>
      </w:r>
      <w:r>
        <w:rPr>
          <w:rFonts w:ascii="Book Antiqua" w:hAnsi="Book Antiqua"/>
          <w:sz w:val="18"/>
          <w:lang w:val="en-US"/>
        </w:rPr>
        <w:t>.</w:t>
      </w:r>
    </w:p>
  </w:footnote>
  <w:footnote w:id="13">
    <w:p w:rsidR="008D56CD" w:rsidRPr="004F03E7" w:rsidRDefault="008D56CD">
      <w:pPr>
        <w:pStyle w:val="FootnoteText"/>
      </w:pPr>
      <w:r>
        <w:rPr>
          <w:rStyle w:val="FootnoteReference"/>
        </w:rPr>
        <w:footnoteRef/>
      </w:r>
      <w:r w:rsidRPr="004F03E7">
        <w:rPr>
          <w:rFonts w:ascii="Book Antiqua" w:hAnsi="Book Antiqua"/>
          <w:sz w:val="18"/>
          <w:szCs w:val="18"/>
          <w:lang w:val="en-GB"/>
        </w:rPr>
        <w:t>This last section indicates that the parties share the common objective of the multilateral elimination of export subsidies for agricultural goods and work together towards an agreement in the WTO to eliminate those subsidies and prevent their reintroduction in any form.</w:t>
      </w:r>
    </w:p>
  </w:footnote>
  <w:footnote w:id="14">
    <w:p w:rsidR="008D56CD" w:rsidRPr="00AA1541" w:rsidRDefault="008D56CD">
      <w:pPr>
        <w:pStyle w:val="FootnoteText"/>
        <w:rPr>
          <w:sz w:val="18"/>
          <w:szCs w:val="18"/>
        </w:rPr>
      </w:pPr>
      <w:r>
        <w:rPr>
          <w:rStyle w:val="FootnoteReference"/>
        </w:rPr>
        <w:footnoteRef/>
      </w:r>
      <w:r w:rsidRPr="00AA1541">
        <w:rPr>
          <w:rFonts w:ascii="Book Antiqua" w:hAnsi="Book Antiqua"/>
          <w:sz w:val="18"/>
          <w:szCs w:val="18"/>
          <w:lang w:val="en-GB"/>
        </w:rPr>
        <w:t>Tariff-rate quotas are set at a specific quantity of an import that is fully or partially exempt from paying customs duties for a certain period.</w:t>
      </w:r>
    </w:p>
  </w:footnote>
  <w:footnote w:id="15">
    <w:p w:rsidR="008D56CD" w:rsidRPr="00EC2F41" w:rsidRDefault="008D56CD" w:rsidP="00611D26">
      <w:pPr>
        <w:pStyle w:val="NoSpacing"/>
        <w:jc w:val="both"/>
        <w:rPr>
          <w:lang w:val="en-US"/>
        </w:rPr>
      </w:pPr>
      <w:r w:rsidRPr="00CC202A">
        <w:rPr>
          <w:rStyle w:val="FootnoteReference"/>
          <w:rFonts w:ascii="Book Antiqua" w:hAnsi="Book Antiqua"/>
          <w:sz w:val="18"/>
        </w:rPr>
        <w:footnoteRef/>
      </w:r>
      <w:r>
        <w:rPr>
          <w:rFonts w:ascii="Book Antiqua" w:hAnsi="Book Antiqua"/>
          <w:sz w:val="18"/>
          <w:lang w:val="en-US"/>
        </w:rPr>
        <w:t>With regards to</w:t>
      </w:r>
      <w:r w:rsidRPr="0065797E">
        <w:rPr>
          <w:rFonts w:ascii="Book Antiqua" w:hAnsi="Book Antiqua"/>
          <w:sz w:val="18"/>
          <w:lang w:val="en-US"/>
        </w:rPr>
        <w:t xml:space="preserve"> sugar in other treaties, the </w:t>
      </w:r>
      <w:r>
        <w:rPr>
          <w:rFonts w:ascii="Book Antiqua" w:hAnsi="Book Antiqua"/>
          <w:sz w:val="18"/>
          <w:lang w:val="en-US"/>
        </w:rPr>
        <w:t>free trade agreement (</w:t>
      </w:r>
      <w:r w:rsidRPr="0065797E">
        <w:rPr>
          <w:rFonts w:ascii="Book Antiqua" w:hAnsi="Book Antiqua"/>
          <w:sz w:val="18"/>
          <w:lang w:val="en-US"/>
        </w:rPr>
        <w:t>FTA</w:t>
      </w:r>
      <w:r>
        <w:rPr>
          <w:rFonts w:ascii="Book Antiqua" w:hAnsi="Book Antiqua"/>
          <w:sz w:val="18"/>
          <w:lang w:val="en-US"/>
        </w:rPr>
        <w:t>)</w:t>
      </w:r>
      <w:r w:rsidRPr="0065797E">
        <w:rPr>
          <w:rFonts w:ascii="Book Antiqua" w:hAnsi="Book Antiqua"/>
          <w:sz w:val="18"/>
          <w:lang w:val="en-US"/>
        </w:rPr>
        <w:t xml:space="preserve"> with Mexico, for example, Chapter </w:t>
      </w:r>
      <w:proofErr w:type="gramStart"/>
      <w:r w:rsidRPr="0065797E">
        <w:rPr>
          <w:rFonts w:ascii="Book Antiqua" w:hAnsi="Book Antiqua"/>
          <w:sz w:val="18"/>
          <w:lang w:val="en-US"/>
        </w:rPr>
        <w:t>IV</w:t>
      </w:r>
      <w:r>
        <w:rPr>
          <w:rFonts w:ascii="Book Antiqua" w:hAnsi="Book Antiqua"/>
          <w:sz w:val="18"/>
          <w:lang w:val="en-US"/>
        </w:rPr>
        <w:t>,</w:t>
      </w:r>
      <w:proofErr w:type="gramEnd"/>
      <w:r>
        <w:rPr>
          <w:rFonts w:ascii="Book Antiqua" w:hAnsi="Book Antiqua"/>
          <w:sz w:val="18"/>
          <w:lang w:val="en-US"/>
        </w:rPr>
        <w:t xml:space="preserve"> covers</w:t>
      </w:r>
      <w:r w:rsidRPr="0065797E">
        <w:rPr>
          <w:rFonts w:ascii="Book Antiqua" w:hAnsi="Book Antiqua"/>
          <w:sz w:val="18"/>
          <w:lang w:val="en-US"/>
        </w:rPr>
        <w:t xml:space="preserve"> the </w:t>
      </w:r>
      <w:r>
        <w:rPr>
          <w:rFonts w:ascii="Book Antiqua" w:hAnsi="Book Antiqua"/>
          <w:sz w:val="18"/>
          <w:lang w:val="en-US"/>
        </w:rPr>
        <w:t>a</w:t>
      </w:r>
      <w:r w:rsidRPr="0065797E">
        <w:rPr>
          <w:rFonts w:ascii="Book Antiqua" w:hAnsi="Book Antiqua"/>
          <w:sz w:val="18"/>
          <w:lang w:val="en-US"/>
        </w:rPr>
        <w:t xml:space="preserve">gricultural </w:t>
      </w:r>
      <w:r>
        <w:rPr>
          <w:rFonts w:ascii="Book Antiqua" w:hAnsi="Book Antiqua"/>
          <w:sz w:val="18"/>
          <w:lang w:val="en-US"/>
        </w:rPr>
        <w:t>s</w:t>
      </w:r>
      <w:r w:rsidRPr="0065797E">
        <w:rPr>
          <w:rFonts w:ascii="Book Antiqua" w:hAnsi="Book Antiqua"/>
          <w:sz w:val="18"/>
          <w:lang w:val="en-US"/>
        </w:rPr>
        <w:t xml:space="preserve">ector, </w:t>
      </w:r>
      <w:r>
        <w:rPr>
          <w:rFonts w:ascii="Book Antiqua" w:hAnsi="Book Antiqua"/>
          <w:sz w:val="18"/>
          <w:lang w:val="en-US"/>
        </w:rPr>
        <w:t xml:space="preserve">and </w:t>
      </w:r>
      <w:r w:rsidRPr="0065797E">
        <w:rPr>
          <w:rFonts w:ascii="Book Antiqua" w:hAnsi="Book Antiqua"/>
          <w:sz w:val="18"/>
          <w:lang w:val="en-US"/>
        </w:rPr>
        <w:t xml:space="preserve">in Annex 4–11 </w:t>
      </w:r>
      <w:r>
        <w:rPr>
          <w:rFonts w:ascii="Book Antiqua" w:hAnsi="Book Antiqua"/>
          <w:sz w:val="18"/>
          <w:lang w:val="en-US"/>
        </w:rPr>
        <w:t xml:space="preserve">it </w:t>
      </w:r>
      <w:r w:rsidRPr="0065797E">
        <w:rPr>
          <w:rFonts w:ascii="Book Antiqua" w:hAnsi="Book Antiqua"/>
          <w:sz w:val="18"/>
          <w:lang w:val="en-US"/>
        </w:rPr>
        <w:t>deals specifically with trade in sugar between Guatemala and Mexico.</w:t>
      </w:r>
      <w:r>
        <w:rPr>
          <w:rFonts w:ascii="Book Antiqua" w:hAnsi="Book Antiqua"/>
          <w:sz w:val="18"/>
          <w:lang w:val="en-US"/>
        </w:rPr>
        <w:t xml:space="preserve"> Preferential conditions for sugar will be granted</w:t>
      </w:r>
      <w:r w:rsidRPr="0065797E">
        <w:rPr>
          <w:rFonts w:ascii="Book Antiqua" w:hAnsi="Book Antiqua"/>
          <w:sz w:val="18"/>
          <w:lang w:val="en-US"/>
        </w:rPr>
        <w:t xml:space="preserve"> by the Sugar Analysis Committee </w:t>
      </w:r>
      <w:r>
        <w:rPr>
          <w:rFonts w:ascii="Book Antiqua" w:hAnsi="Book Antiqua"/>
          <w:sz w:val="18"/>
          <w:lang w:val="en-US"/>
        </w:rPr>
        <w:t>that sets preferential conditions each year, on a case-by-case basis, upon request of one of the parties.</w:t>
      </w:r>
      <w:r w:rsidRPr="0065797E">
        <w:rPr>
          <w:rFonts w:ascii="Book Antiqua" w:hAnsi="Book Antiqua"/>
          <w:sz w:val="18"/>
          <w:lang w:val="en-US"/>
        </w:rPr>
        <w:t xml:space="preserve"> I</w:t>
      </w:r>
      <w:r>
        <w:rPr>
          <w:rFonts w:ascii="Book Antiqua" w:hAnsi="Book Antiqua"/>
          <w:sz w:val="18"/>
          <w:lang w:val="en-US"/>
        </w:rPr>
        <w:t>f</w:t>
      </w:r>
      <w:r w:rsidRPr="0065797E">
        <w:rPr>
          <w:rFonts w:ascii="Book Antiqua" w:hAnsi="Book Antiqua"/>
          <w:sz w:val="18"/>
          <w:lang w:val="en-US"/>
        </w:rPr>
        <w:t xml:space="preserve"> a party has been an exporter in a given year, </w:t>
      </w:r>
      <w:r>
        <w:rPr>
          <w:rFonts w:ascii="Book Antiqua" w:hAnsi="Book Antiqua"/>
          <w:sz w:val="18"/>
          <w:lang w:val="en-US"/>
        </w:rPr>
        <w:t xml:space="preserve">that </w:t>
      </w:r>
      <w:r w:rsidRPr="0065797E">
        <w:rPr>
          <w:rFonts w:ascii="Book Antiqua" w:hAnsi="Book Antiqua"/>
          <w:sz w:val="18"/>
          <w:lang w:val="en-US"/>
        </w:rPr>
        <w:t xml:space="preserve">party </w:t>
      </w:r>
      <w:r>
        <w:rPr>
          <w:rFonts w:ascii="Book Antiqua" w:hAnsi="Book Antiqua"/>
          <w:sz w:val="18"/>
          <w:lang w:val="en-US"/>
        </w:rPr>
        <w:t xml:space="preserve">is </w:t>
      </w:r>
      <w:r w:rsidRPr="0065797E">
        <w:rPr>
          <w:rFonts w:ascii="Book Antiqua" w:hAnsi="Book Antiqua"/>
          <w:sz w:val="18"/>
          <w:lang w:val="en-US"/>
        </w:rPr>
        <w:t>not eligible for the same preference</w:t>
      </w:r>
      <w:r>
        <w:rPr>
          <w:rFonts w:ascii="Book Antiqua" w:hAnsi="Book Antiqua"/>
          <w:sz w:val="18"/>
          <w:lang w:val="en-US"/>
        </w:rPr>
        <w:t xml:space="preserve"> in the following year</w:t>
      </w:r>
      <w:r w:rsidRPr="0065797E">
        <w:rPr>
          <w:rFonts w:ascii="Book Antiqua" w:hAnsi="Book Antiqua"/>
          <w:sz w:val="18"/>
          <w:lang w:val="en-US"/>
        </w:rPr>
        <w:t>.</w:t>
      </w:r>
    </w:p>
  </w:footnote>
  <w:footnote w:id="16">
    <w:p w:rsidR="008D56CD" w:rsidRPr="00ED1005" w:rsidRDefault="008D56CD" w:rsidP="00776B4D">
      <w:pPr>
        <w:pStyle w:val="NoSpacing"/>
        <w:jc w:val="both"/>
        <w:rPr>
          <w:rFonts w:ascii="Book Antiqua" w:hAnsi="Book Antiqua"/>
          <w:sz w:val="16"/>
          <w:szCs w:val="16"/>
          <w:lang w:val="en-US"/>
        </w:rPr>
      </w:pPr>
      <w:r>
        <w:rPr>
          <w:rStyle w:val="FootnoteReference"/>
        </w:rPr>
        <w:footnoteRef/>
      </w:r>
      <w:r w:rsidRPr="00EC2F41">
        <w:rPr>
          <w:rFonts w:ascii="Book Antiqua" w:hAnsi="Book Antiqua"/>
          <w:sz w:val="18"/>
          <w:szCs w:val="18"/>
          <w:lang w:val="en-US"/>
        </w:rPr>
        <w:t xml:space="preserve"> SICA was established by the Tegucigalpa Protocol to the Constitution of the</w:t>
      </w:r>
      <w:r>
        <w:rPr>
          <w:rFonts w:ascii="Book Antiqua" w:hAnsi="Book Antiqua"/>
          <w:sz w:val="18"/>
          <w:szCs w:val="18"/>
          <w:lang w:val="en-GB"/>
        </w:rPr>
        <w:t>Organization</w:t>
      </w:r>
      <w:r w:rsidRPr="00EC2F41">
        <w:rPr>
          <w:rFonts w:ascii="Book Antiqua" w:hAnsi="Book Antiqua"/>
          <w:sz w:val="18"/>
          <w:szCs w:val="18"/>
          <w:lang w:val="en-US"/>
        </w:rPr>
        <w:t xml:space="preserve"> of Central American States (</w:t>
      </w:r>
      <w:proofErr w:type="spellStart"/>
      <w:r w:rsidRPr="00EC2F41">
        <w:rPr>
          <w:rFonts w:ascii="Book Antiqua" w:hAnsi="Book Antiqua"/>
          <w:sz w:val="18"/>
          <w:szCs w:val="18"/>
          <w:lang w:val="en-US"/>
        </w:rPr>
        <w:t>Organización</w:t>
      </w:r>
      <w:proofErr w:type="spellEnd"/>
      <w:r w:rsidRPr="00EC2F41">
        <w:rPr>
          <w:rFonts w:ascii="Book Antiqua" w:hAnsi="Book Antiqua"/>
          <w:sz w:val="18"/>
          <w:szCs w:val="18"/>
          <w:lang w:val="en-US"/>
        </w:rPr>
        <w:t xml:space="preserve"> de </w:t>
      </w:r>
      <w:proofErr w:type="spellStart"/>
      <w:r w:rsidRPr="00EC2F41">
        <w:rPr>
          <w:rFonts w:ascii="Book Antiqua" w:hAnsi="Book Antiqua"/>
          <w:sz w:val="18"/>
          <w:szCs w:val="18"/>
          <w:lang w:val="en-US"/>
        </w:rPr>
        <w:t>Estados</w:t>
      </w:r>
      <w:proofErr w:type="spellEnd"/>
      <w:r w:rsidRPr="00EC2F41">
        <w:rPr>
          <w:rFonts w:ascii="Book Antiqua" w:hAnsi="Book Antiqua"/>
          <w:sz w:val="18"/>
          <w:szCs w:val="18"/>
          <w:lang w:val="en-US"/>
        </w:rPr>
        <w:t xml:space="preserve"> </w:t>
      </w:r>
      <w:proofErr w:type="spellStart"/>
      <w:r w:rsidRPr="00EC2F41">
        <w:rPr>
          <w:rFonts w:ascii="Book Antiqua" w:hAnsi="Book Antiqua"/>
          <w:sz w:val="18"/>
          <w:szCs w:val="18"/>
          <w:lang w:val="en-US"/>
        </w:rPr>
        <w:t>Centroamericanos</w:t>
      </w:r>
      <w:proofErr w:type="spellEnd"/>
      <w:r w:rsidRPr="00EC2F41">
        <w:rPr>
          <w:rFonts w:ascii="Book Antiqua" w:hAnsi="Book Antiqua"/>
          <w:sz w:val="18"/>
          <w:szCs w:val="18"/>
          <w:lang w:val="en-US"/>
        </w:rPr>
        <w:t xml:space="preserve">, </w:t>
      </w:r>
      <w:r>
        <w:rPr>
          <w:rFonts w:ascii="Book Antiqua" w:hAnsi="Book Antiqua"/>
          <w:sz w:val="18"/>
          <w:szCs w:val="18"/>
          <w:lang w:val="en-US"/>
        </w:rPr>
        <w:t xml:space="preserve">or </w:t>
      </w:r>
      <w:r w:rsidRPr="00EC2F41">
        <w:rPr>
          <w:rFonts w:ascii="Book Antiqua" w:hAnsi="Book Antiqua"/>
          <w:sz w:val="18"/>
          <w:szCs w:val="18"/>
          <w:lang w:val="en-US"/>
        </w:rPr>
        <w:t>ODECA</w:t>
      </w:r>
      <w:r>
        <w:rPr>
          <w:rFonts w:ascii="Book Antiqua" w:hAnsi="Book Antiqua"/>
          <w:sz w:val="18"/>
          <w:szCs w:val="18"/>
          <w:lang w:val="en-US"/>
        </w:rPr>
        <w:t>)</w:t>
      </w:r>
      <w:r w:rsidRPr="00EC2F41">
        <w:rPr>
          <w:rFonts w:ascii="Book Antiqua" w:hAnsi="Book Antiqua"/>
          <w:sz w:val="18"/>
          <w:szCs w:val="18"/>
          <w:lang w:val="en-US"/>
        </w:rPr>
        <w:t xml:space="preserve">) on 13 December 1991. </w:t>
      </w:r>
      <w:r w:rsidRPr="00ED1005">
        <w:rPr>
          <w:rFonts w:ascii="Book Antiqua" w:hAnsi="Book Antiqua"/>
          <w:sz w:val="18"/>
          <w:szCs w:val="18"/>
          <w:lang w:val="en-US"/>
        </w:rPr>
        <w:t xml:space="preserve">The original </w:t>
      </w:r>
      <w:r w:rsidRPr="004F5E2F">
        <w:rPr>
          <w:rFonts w:ascii="Book Antiqua" w:hAnsi="Book Antiqua"/>
          <w:sz w:val="18"/>
          <w:szCs w:val="18"/>
          <w:lang w:val="en-GB"/>
        </w:rPr>
        <w:t>constitution</w:t>
      </w:r>
      <w:r w:rsidRPr="00ED1005">
        <w:rPr>
          <w:rFonts w:ascii="Book Antiqua" w:hAnsi="Book Antiqua"/>
          <w:sz w:val="18"/>
          <w:szCs w:val="18"/>
          <w:lang w:val="en-US"/>
        </w:rPr>
        <w:t xml:space="preserve"> of ODECA was signed on 14 October 1951 by Costa Rica, El Salvador, Guatemala, Honduras</w:t>
      </w:r>
      <w:r>
        <w:rPr>
          <w:rFonts w:ascii="Book Antiqua" w:hAnsi="Book Antiqua"/>
          <w:sz w:val="18"/>
          <w:szCs w:val="18"/>
          <w:lang w:val="en-US"/>
        </w:rPr>
        <w:t>,</w:t>
      </w:r>
      <w:r w:rsidRPr="00ED1005">
        <w:rPr>
          <w:rFonts w:ascii="Book Antiqua" w:hAnsi="Book Antiqua"/>
          <w:sz w:val="18"/>
          <w:szCs w:val="18"/>
          <w:lang w:val="en-US"/>
        </w:rPr>
        <w:t xml:space="preserve"> and Nicaragua.</w:t>
      </w:r>
    </w:p>
  </w:footnote>
  <w:footnote w:id="17">
    <w:p w:rsidR="008D56CD" w:rsidRPr="008A0D49" w:rsidRDefault="008D56CD" w:rsidP="008A0D49">
      <w:pPr>
        <w:pStyle w:val="FootnoteText"/>
        <w:spacing w:after="0" w:line="240" w:lineRule="auto"/>
        <w:jc w:val="both"/>
        <w:rPr>
          <w:rFonts w:ascii="Book Antiqua" w:hAnsi="Book Antiqua"/>
          <w:sz w:val="16"/>
          <w:szCs w:val="16"/>
        </w:rPr>
      </w:pPr>
      <w:r w:rsidRPr="00790FCF">
        <w:rPr>
          <w:rStyle w:val="FootnoteReference"/>
          <w:sz w:val="18"/>
          <w:szCs w:val="18"/>
        </w:rPr>
        <w:footnoteRef/>
      </w:r>
      <w:r w:rsidRPr="008A0D49">
        <w:rPr>
          <w:rFonts w:ascii="Book Antiqua" w:hAnsi="Book Antiqua"/>
          <w:sz w:val="16"/>
          <w:szCs w:val="16"/>
        </w:rPr>
        <w:t xml:space="preserve">The geographical expansion refers to the incorporation </w:t>
      </w:r>
      <w:r>
        <w:rPr>
          <w:rFonts w:ascii="Book Antiqua" w:hAnsi="Book Antiqua"/>
          <w:sz w:val="16"/>
          <w:szCs w:val="16"/>
        </w:rPr>
        <w:t>in</w:t>
      </w:r>
      <w:r w:rsidRPr="008A0D49">
        <w:rPr>
          <w:rFonts w:ascii="Book Antiqua" w:hAnsi="Book Antiqua"/>
          <w:sz w:val="16"/>
          <w:szCs w:val="16"/>
        </w:rPr>
        <w:t>to one or several spheres of the integration process of Belize, Panama</w:t>
      </w:r>
      <w:r>
        <w:rPr>
          <w:rFonts w:ascii="Book Antiqua" w:hAnsi="Book Antiqua"/>
          <w:sz w:val="16"/>
          <w:szCs w:val="16"/>
        </w:rPr>
        <w:t>,</w:t>
      </w:r>
      <w:r w:rsidRPr="008A0D49">
        <w:rPr>
          <w:rFonts w:ascii="Book Antiqua" w:hAnsi="Book Antiqua"/>
          <w:sz w:val="16"/>
          <w:szCs w:val="16"/>
        </w:rPr>
        <w:t xml:space="preserve"> and the Dominican Republic.</w:t>
      </w:r>
    </w:p>
  </w:footnote>
  <w:footnote w:id="18">
    <w:p w:rsidR="008D56CD" w:rsidRPr="00236968" w:rsidRDefault="008D56CD" w:rsidP="006A2FCA">
      <w:pPr>
        <w:pStyle w:val="NoSpacing"/>
        <w:jc w:val="both"/>
        <w:rPr>
          <w:lang w:val="en-GB"/>
        </w:rPr>
      </w:pPr>
      <w:r w:rsidRPr="007F3804">
        <w:rPr>
          <w:rStyle w:val="FootnoteReference"/>
          <w:rFonts w:ascii="Book Antiqua" w:hAnsi="Book Antiqua"/>
          <w:sz w:val="16"/>
          <w:szCs w:val="16"/>
        </w:rPr>
        <w:footnoteRef/>
      </w:r>
      <w:r w:rsidRPr="005D26F8">
        <w:rPr>
          <w:rFonts w:ascii="Book Antiqua" w:hAnsi="Book Antiqua"/>
          <w:sz w:val="16"/>
          <w:szCs w:val="16"/>
          <w:lang w:val="en-US"/>
        </w:rPr>
        <w:t xml:space="preserve"> The </w:t>
      </w:r>
      <w:proofErr w:type="spellStart"/>
      <w:r w:rsidRPr="005D26F8">
        <w:rPr>
          <w:rFonts w:ascii="Book Antiqua" w:hAnsi="Book Antiqua"/>
          <w:sz w:val="16"/>
          <w:szCs w:val="16"/>
          <w:lang w:val="en-US"/>
        </w:rPr>
        <w:t>Herfindahl</w:t>
      </w:r>
      <w:proofErr w:type="spellEnd"/>
      <w:r w:rsidRPr="005D26F8">
        <w:rPr>
          <w:rFonts w:ascii="Book Antiqua" w:hAnsi="Book Antiqua"/>
          <w:sz w:val="16"/>
          <w:szCs w:val="16"/>
          <w:lang w:val="en-US"/>
        </w:rPr>
        <w:t xml:space="preserve"> Index measures concentration. </w:t>
      </w:r>
      <w:r>
        <w:rPr>
          <w:rFonts w:ascii="Book Antiqua" w:hAnsi="Book Antiqua"/>
          <w:sz w:val="16"/>
          <w:szCs w:val="16"/>
          <w:lang w:val="en-US"/>
        </w:rPr>
        <w:t xml:space="preserve">It is used here to determine export concentration. </w:t>
      </w:r>
      <w:r w:rsidRPr="005D26F8">
        <w:rPr>
          <w:rFonts w:ascii="Book Antiqua" w:hAnsi="Book Antiqua"/>
          <w:sz w:val="16"/>
          <w:szCs w:val="16"/>
          <w:lang w:val="en-US"/>
        </w:rPr>
        <w:t xml:space="preserve">It was calculated by grouping products </w:t>
      </w:r>
      <w:r>
        <w:rPr>
          <w:rFonts w:ascii="Book Antiqua" w:hAnsi="Book Antiqua"/>
          <w:sz w:val="16"/>
          <w:szCs w:val="16"/>
          <w:lang w:val="en-US"/>
        </w:rPr>
        <w:t>as follows:</w:t>
      </w:r>
      <w:r w:rsidRPr="005D26F8">
        <w:rPr>
          <w:rFonts w:ascii="Book Antiqua" w:hAnsi="Book Antiqua"/>
          <w:sz w:val="16"/>
          <w:szCs w:val="16"/>
          <w:lang w:val="en-US"/>
        </w:rPr>
        <w:t xml:space="preserve"> agricultural, livestock, mining,</w:t>
      </w:r>
      <w:r>
        <w:rPr>
          <w:rFonts w:ascii="Book Antiqua" w:hAnsi="Book Antiqua"/>
          <w:sz w:val="16"/>
          <w:szCs w:val="16"/>
          <w:lang w:val="en-US"/>
        </w:rPr>
        <w:t xml:space="preserve"> manufactures, and electricity. </w:t>
      </w:r>
      <w:r w:rsidRPr="005D26F8">
        <w:rPr>
          <w:rFonts w:ascii="Book Antiqua" w:hAnsi="Book Antiqua"/>
          <w:sz w:val="16"/>
          <w:szCs w:val="16"/>
          <w:lang w:val="en-US"/>
        </w:rPr>
        <w:t>The grouping allowed calculati</w:t>
      </w:r>
      <w:r>
        <w:rPr>
          <w:rFonts w:ascii="Book Antiqua" w:hAnsi="Book Antiqua"/>
          <w:sz w:val="16"/>
          <w:szCs w:val="16"/>
          <w:lang w:val="en-US"/>
        </w:rPr>
        <w:t>o</w:t>
      </w:r>
      <w:r w:rsidRPr="005D26F8">
        <w:rPr>
          <w:rFonts w:ascii="Book Antiqua" w:hAnsi="Book Antiqua"/>
          <w:sz w:val="16"/>
          <w:szCs w:val="16"/>
          <w:lang w:val="en-US"/>
        </w:rPr>
        <w:t xml:space="preserve">n </w:t>
      </w:r>
      <w:r>
        <w:rPr>
          <w:rFonts w:ascii="Book Antiqua" w:hAnsi="Book Antiqua"/>
          <w:sz w:val="16"/>
          <w:szCs w:val="16"/>
          <w:lang w:val="en-US"/>
        </w:rPr>
        <w:t xml:space="preserve">of </w:t>
      </w:r>
      <w:r w:rsidRPr="005D26F8">
        <w:rPr>
          <w:rFonts w:ascii="Book Antiqua" w:hAnsi="Book Antiqua"/>
          <w:sz w:val="16"/>
          <w:szCs w:val="16"/>
          <w:lang w:val="en-US"/>
        </w:rPr>
        <w:t xml:space="preserve">the </w:t>
      </w:r>
      <w:r>
        <w:rPr>
          <w:rFonts w:ascii="Book Antiqua" w:hAnsi="Book Antiqua"/>
          <w:sz w:val="16"/>
          <w:szCs w:val="16"/>
          <w:lang w:val="en-US"/>
        </w:rPr>
        <w:t>relative shares in total exports.</w:t>
      </w:r>
    </w:p>
  </w:footnote>
  <w:footnote w:id="19">
    <w:p w:rsidR="008D56CD" w:rsidRPr="00143F09" w:rsidRDefault="008D56CD" w:rsidP="00143F09">
      <w:pPr>
        <w:pStyle w:val="NoSpacing"/>
        <w:jc w:val="both"/>
        <w:rPr>
          <w:rFonts w:ascii="Book Antiqua" w:hAnsi="Book Antiqua"/>
          <w:sz w:val="18"/>
          <w:szCs w:val="18"/>
          <w:lang w:val="en-US"/>
        </w:rPr>
      </w:pPr>
      <w:r w:rsidRPr="00CA7907">
        <w:rPr>
          <w:rStyle w:val="FootnoteReference"/>
          <w:rFonts w:ascii="Book Antiqua" w:hAnsi="Book Antiqua"/>
          <w:sz w:val="18"/>
          <w:szCs w:val="18"/>
        </w:rPr>
        <w:footnoteRef/>
      </w:r>
      <w:proofErr w:type="gramStart"/>
      <w:r>
        <w:rPr>
          <w:rFonts w:ascii="Book Antiqua" w:hAnsi="Book Antiqua"/>
          <w:sz w:val="18"/>
          <w:szCs w:val="18"/>
          <w:lang w:val="en-US"/>
        </w:rPr>
        <w:t>Models with only</w:t>
      </w:r>
      <w:r w:rsidRPr="00143F09">
        <w:rPr>
          <w:rFonts w:ascii="Book Antiqua" w:hAnsi="Book Antiqua"/>
          <w:sz w:val="18"/>
          <w:szCs w:val="18"/>
          <w:lang w:val="en-US"/>
        </w:rPr>
        <w:t xml:space="preserve"> one independent variable.</w:t>
      </w:r>
      <w:proofErr w:type="gramEnd"/>
    </w:p>
  </w:footnote>
  <w:footnote w:id="20">
    <w:p w:rsidR="008D56CD" w:rsidRPr="00143F09" w:rsidRDefault="008D56CD" w:rsidP="00143F09">
      <w:pPr>
        <w:pStyle w:val="NoSpacing"/>
        <w:jc w:val="both"/>
        <w:rPr>
          <w:lang w:val="en-US"/>
        </w:rPr>
      </w:pPr>
      <w:r w:rsidRPr="00CA7907">
        <w:rPr>
          <w:rStyle w:val="FootnoteReference"/>
          <w:rFonts w:ascii="Book Antiqua" w:hAnsi="Book Antiqua"/>
          <w:sz w:val="18"/>
          <w:szCs w:val="18"/>
        </w:rPr>
        <w:footnoteRef/>
      </w:r>
      <w:proofErr w:type="gramStart"/>
      <w:r>
        <w:rPr>
          <w:rFonts w:ascii="Book Antiqua" w:hAnsi="Book Antiqua"/>
          <w:sz w:val="18"/>
          <w:szCs w:val="18"/>
          <w:lang w:val="en-US"/>
        </w:rPr>
        <w:t>Models with</w:t>
      </w:r>
      <w:r w:rsidRPr="00143F09">
        <w:rPr>
          <w:rFonts w:ascii="Book Antiqua" w:hAnsi="Book Antiqua"/>
          <w:sz w:val="18"/>
          <w:szCs w:val="18"/>
          <w:lang w:val="en-US"/>
        </w:rPr>
        <w:t xml:space="preserve"> two </w:t>
      </w:r>
      <w:r>
        <w:rPr>
          <w:rFonts w:ascii="Book Antiqua" w:hAnsi="Book Antiqua"/>
          <w:sz w:val="18"/>
          <w:szCs w:val="18"/>
          <w:lang w:val="en-US"/>
        </w:rPr>
        <w:t>i</w:t>
      </w:r>
      <w:r w:rsidRPr="00143F09">
        <w:rPr>
          <w:rFonts w:ascii="Book Antiqua" w:hAnsi="Book Antiqua"/>
          <w:sz w:val="18"/>
          <w:szCs w:val="18"/>
          <w:lang w:val="en-US"/>
        </w:rPr>
        <w:t>ndependent variables.</w:t>
      </w:r>
      <w:proofErr w:type="gramEnd"/>
    </w:p>
  </w:footnote>
  <w:footnote w:id="21">
    <w:p w:rsidR="008D56CD" w:rsidRPr="00D202C6" w:rsidRDefault="008D56CD" w:rsidP="00D202C6">
      <w:pPr>
        <w:pStyle w:val="NoSpacing"/>
        <w:jc w:val="both"/>
        <w:rPr>
          <w:rFonts w:ascii="Book Antiqua" w:hAnsi="Book Antiqua"/>
          <w:sz w:val="18"/>
          <w:szCs w:val="18"/>
          <w:lang w:val="en-US"/>
        </w:rPr>
      </w:pPr>
      <w:r w:rsidRPr="00A51D3B">
        <w:rPr>
          <w:rStyle w:val="FootnoteReference"/>
          <w:rFonts w:ascii="Book Antiqua" w:hAnsi="Book Antiqua"/>
          <w:sz w:val="18"/>
          <w:szCs w:val="18"/>
        </w:rPr>
        <w:footnoteRef/>
      </w:r>
      <w:r w:rsidRPr="00D202C6">
        <w:rPr>
          <w:rFonts w:ascii="Book Antiqua" w:hAnsi="Book Antiqua"/>
          <w:sz w:val="18"/>
          <w:szCs w:val="18"/>
          <w:lang w:val="en-US"/>
        </w:rPr>
        <w:t xml:space="preserve"> The results of the regressions can be found in </w:t>
      </w:r>
      <w:r>
        <w:rPr>
          <w:rFonts w:ascii="Book Antiqua" w:hAnsi="Book Antiqua"/>
          <w:sz w:val="18"/>
          <w:szCs w:val="18"/>
          <w:lang w:val="en-US"/>
        </w:rPr>
        <w:t xml:space="preserve">the </w:t>
      </w:r>
      <w:r w:rsidRPr="00D202C6">
        <w:rPr>
          <w:rFonts w:ascii="Book Antiqua" w:hAnsi="Book Antiqua"/>
          <w:sz w:val="18"/>
          <w:szCs w:val="18"/>
          <w:lang w:val="en-US"/>
        </w:rPr>
        <w:t>Annex.</w:t>
      </w:r>
    </w:p>
  </w:footnote>
  <w:footnote w:id="22">
    <w:p w:rsidR="008D56CD" w:rsidRPr="00ED1005" w:rsidRDefault="008D56CD" w:rsidP="00ED1005">
      <w:pPr>
        <w:pStyle w:val="NoSpacing"/>
        <w:jc w:val="both"/>
        <w:rPr>
          <w:rFonts w:ascii="Book Antiqua" w:hAnsi="Book Antiqua"/>
          <w:sz w:val="16"/>
          <w:szCs w:val="16"/>
          <w:lang w:val="en-US"/>
        </w:rPr>
      </w:pPr>
      <w:r w:rsidRPr="007F3804">
        <w:rPr>
          <w:rStyle w:val="FootnoteReference"/>
          <w:rFonts w:ascii="Book Antiqua" w:hAnsi="Book Antiqua"/>
          <w:sz w:val="16"/>
          <w:szCs w:val="16"/>
        </w:rPr>
        <w:footnoteRef/>
      </w:r>
      <w:r w:rsidRPr="00311C72">
        <w:rPr>
          <w:rFonts w:ascii="Book Antiqua" w:hAnsi="Book Antiqua"/>
          <w:sz w:val="18"/>
          <w:szCs w:val="18"/>
          <w:lang w:val="en-US"/>
        </w:rPr>
        <w:t xml:space="preserve">A </w:t>
      </w:r>
      <w:r w:rsidRPr="00311C72">
        <w:rPr>
          <w:rFonts w:ascii="Book Antiqua" w:hAnsi="Book Antiqua"/>
          <w:i/>
          <w:sz w:val="18"/>
          <w:szCs w:val="18"/>
          <w:lang w:val="en-US"/>
        </w:rPr>
        <w:t>p</w:t>
      </w:r>
      <w:r w:rsidRPr="00311C72">
        <w:rPr>
          <w:rFonts w:ascii="Book Antiqua" w:hAnsi="Book Antiqua"/>
          <w:sz w:val="18"/>
          <w:szCs w:val="18"/>
          <w:lang w:val="en-US"/>
        </w:rPr>
        <w:t xml:space="preserve">-value above </w:t>
      </w:r>
      <w:r>
        <w:rPr>
          <w:rFonts w:ascii="Book Antiqua" w:hAnsi="Book Antiqua"/>
          <w:sz w:val="18"/>
          <w:szCs w:val="18"/>
          <w:lang w:val="en-US"/>
        </w:rPr>
        <w:t>10</w:t>
      </w:r>
      <w:r w:rsidRPr="00311C72">
        <w:rPr>
          <w:rFonts w:ascii="Book Antiqua" w:hAnsi="Book Antiqua"/>
          <w:sz w:val="18"/>
          <w:szCs w:val="18"/>
          <w:lang w:val="en-US"/>
        </w:rPr>
        <w:t xml:space="preserve"> per cent indicates that </w:t>
      </w:r>
      <w:r>
        <w:rPr>
          <w:rFonts w:ascii="Book Antiqua" w:hAnsi="Book Antiqua"/>
          <w:sz w:val="18"/>
          <w:szCs w:val="18"/>
          <w:lang w:val="en-US"/>
        </w:rPr>
        <w:t>there is a probability above 5 per cent that the observed relationship between trade and employment is due to chance alone</w:t>
      </w:r>
      <w:r w:rsidRPr="00311C72">
        <w:rPr>
          <w:rFonts w:ascii="Book Antiqua" w:hAnsi="Book Antiqua"/>
          <w:sz w:val="18"/>
          <w:szCs w:val="18"/>
          <w:lang w:val="en-US"/>
        </w:rPr>
        <w:t>.</w:t>
      </w:r>
    </w:p>
  </w:footnote>
  <w:footnote w:id="23">
    <w:p w:rsidR="008D56CD" w:rsidRPr="00311C72" w:rsidRDefault="008D56CD">
      <w:pPr>
        <w:pStyle w:val="FootnoteText"/>
        <w:rPr>
          <w:sz w:val="18"/>
          <w:szCs w:val="18"/>
        </w:rPr>
      </w:pPr>
      <w:r>
        <w:rPr>
          <w:rStyle w:val="FootnoteReference"/>
        </w:rPr>
        <w:footnoteRef/>
      </w:r>
      <w:r w:rsidRPr="00311C72">
        <w:rPr>
          <w:sz w:val="18"/>
          <w:szCs w:val="18"/>
        </w:rPr>
        <w:t xml:space="preserve">The relationship between cardamom exports and agricultural employment, though, is significant at the 10 per cent level and has a negative sign. </w:t>
      </w:r>
    </w:p>
  </w:footnote>
  <w:footnote w:id="24">
    <w:p w:rsidR="008D56CD" w:rsidRPr="0016348D" w:rsidRDefault="008D56CD" w:rsidP="00AF45BA">
      <w:pPr>
        <w:pStyle w:val="NoSpacing"/>
        <w:jc w:val="both"/>
        <w:rPr>
          <w:rFonts w:ascii="Book Antiqua" w:hAnsi="Book Antiqua"/>
          <w:sz w:val="18"/>
          <w:lang w:val="en-US"/>
        </w:rPr>
      </w:pPr>
      <w:r w:rsidRPr="00EE5083">
        <w:rPr>
          <w:rStyle w:val="FootnoteReference"/>
          <w:rFonts w:ascii="Book Antiqua" w:hAnsi="Book Antiqua"/>
          <w:sz w:val="18"/>
        </w:rPr>
        <w:footnoteRef/>
      </w:r>
      <w:r w:rsidRPr="0016348D">
        <w:rPr>
          <w:rFonts w:ascii="Book Antiqua" w:hAnsi="Book Antiqua"/>
          <w:sz w:val="18"/>
          <w:lang w:val="en-US"/>
        </w:rPr>
        <w:t xml:space="preserve"> According to the document </w:t>
      </w:r>
      <w:r w:rsidRPr="0016348D">
        <w:rPr>
          <w:rFonts w:ascii="Book Antiqua" w:hAnsi="Book Antiqua"/>
          <w:i/>
          <w:sz w:val="18"/>
          <w:lang w:val="en-US"/>
        </w:rPr>
        <w:t>Computable General Equilibrium: Description of the methodology</w:t>
      </w:r>
      <w:r w:rsidRPr="0016348D">
        <w:rPr>
          <w:rFonts w:ascii="Book Antiqua" w:hAnsi="Book Antiqua"/>
          <w:sz w:val="18"/>
          <w:lang w:val="en-US"/>
        </w:rPr>
        <w:t xml:space="preserve"> (</w:t>
      </w:r>
      <w:proofErr w:type="spellStart"/>
      <w:r w:rsidRPr="0016348D">
        <w:rPr>
          <w:rFonts w:ascii="Book Antiqua" w:hAnsi="Book Antiqua"/>
          <w:i/>
          <w:sz w:val="18"/>
          <w:lang w:val="en-US"/>
        </w:rPr>
        <w:t>Equilibrio</w:t>
      </w:r>
      <w:proofErr w:type="spellEnd"/>
      <w:r w:rsidRPr="0016348D">
        <w:rPr>
          <w:rFonts w:ascii="Book Antiqua" w:hAnsi="Book Antiqua"/>
          <w:i/>
          <w:sz w:val="18"/>
          <w:lang w:val="en-US"/>
        </w:rPr>
        <w:t xml:space="preserve"> General </w:t>
      </w:r>
      <w:proofErr w:type="spellStart"/>
      <w:r w:rsidRPr="0016348D">
        <w:rPr>
          <w:rFonts w:ascii="Book Antiqua" w:hAnsi="Book Antiqua"/>
          <w:i/>
          <w:sz w:val="18"/>
          <w:lang w:val="en-US"/>
        </w:rPr>
        <w:t>Computado</w:t>
      </w:r>
      <w:proofErr w:type="spellEnd"/>
      <w:r w:rsidRPr="0016348D">
        <w:rPr>
          <w:rFonts w:ascii="Book Antiqua" w:hAnsi="Book Antiqua"/>
          <w:i/>
          <w:sz w:val="18"/>
          <w:lang w:val="en-US"/>
        </w:rPr>
        <w:t xml:space="preserve">: </w:t>
      </w:r>
      <w:proofErr w:type="spellStart"/>
      <w:r w:rsidRPr="0016348D">
        <w:rPr>
          <w:rFonts w:ascii="Book Antiqua" w:hAnsi="Book Antiqua"/>
          <w:i/>
          <w:sz w:val="18"/>
          <w:lang w:val="en-US"/>
        </w:rPr>
        <w:t>Descripción</w:t>
      </w:r>
      <w:proofErr w:type="spellEnd"/>
      <w:r w:rsidRPr="0016348D">
        <w:rPr>
          <w:rFonts w:ascii="Book Antiqua" w:hAnsi="Book Antiqua"/>
          <w:i/>
          <w:sz w:val="18"/>
          <w:lang w:val="en-US"/>
        </w:rPr>
        <w:t xml:space="preserve"> de la </w:t>
      </w:r>
      <w:proofErr w:type="spellStart"/>
      <w:r w:rsidRPr="0016348D">
        <w:rPr>
          <w:rFonts w:ascii="Book Antiqua" w:hAnsi="Book Antiqua"/>
          <w:i/>
          <w:sz w:val="18"/>
          <w:lang w:val="en-US"/>
        </w:rPr>
        <w:t>metodología</w:t>
      </w:r>
      <w:proofErr w:type="spellEnd"/>
      <w:r w:rsidRPr="0016348D">
        <w:rPr>
          <w:rFonts w:ascii="Book Antiqua" w:hAnsi="Book Antiqua"/>
          <w:sz w:val="18"/>
          <w:lang w:val="en-US"/>
        </w:rPr>
        <w:t>) (</w:t>
      </w:r>
      <w:proofErr w:type="spellStart"/>
      <w:r w:rsidRPr="0016348D">
        <w:rPr>
          <w:rFonts w:ascii="Book Antiqua" w:hAnsi="Book Antiqua"/>
          <w:sz w:val="18"/>
          <w:lang w:val="en-US"/>
        </w:rPr>
        <w:t>Cicowiez</w:t>
      </w:r>
      <w:proofErr w:type="spellEnd"/>
      <w:r w:rsidRPr="0016348D">
        <w:rPr>
          <w:rFonts w:ascii="Book Antiqua" w:hAnsi="Book Antiqua"/>
          <w:sz w:val="18"/>
          <w:lang w:val="en-US"/>
        </w:rPr>
        <w:t xml:space="preserve"> and Di </w:t>
      </w:r>
      <w:proofErr w:type="spellStart"/>
      <w:r w:rsidRPr="0016348D">
        <w:rPr>
          <w:rFonts w:ascii="Book Antiqua" w:hAnsi="Book Antiqua"/>
          <w:sz w:val="18"/>
          <w:lang w:val="en-US"/>
        </w:rPr>
        <w:t>Gresia</w:t>
      </w:r>
      <w:proofErr w:type="spellEnd"/>
      <w:r w:rsidRPr="0016348D">
        <w:rPr>
          <w:rFonts w:ascii="Book Antiqua" w:hAnsi="Book Antiqua"/>
          <w:sz w:val="18"/>
          <w:lang w:val="en-US"/>
        </w:rPr>
        <w:t>, 2008):</w:t>
      </w:r>
    </w:p>
    <w:p w:rsidR="008D56CD" w:rsidRPr="00ED1005" w:rsidRDefault="008D56CD" w:rsidP="00AF45BA">
      <w:pPr>
        <w:pStyle w:val="NoSpacing"/>
        <w:ind w:left="360"/>
        <w:jc w:val="both"/>
        <w:rPr>
          <w:rFonts w:ascii="Book Antiqua" w:hAnsi="Book Antiqua"/>
          <w:lang w:val="en-US"/>
        </w:rPr>
      </w:pPr>
      <w:r w:rsidRPr="00ED1005">
        <w:rPr>
          <w:rFonts w:ascii="Book Antiqua" w:hAnsi="Book Antiqua"/>
          <w:i/>
          <w:sz w:val="18"/>
          <w:lang w:val="en-US"/>
        </w:rPr>
        <w:t>A general equilibrium model captures the interrelationships between different sectors of an economy</w:t>
      </w:r>
      <w:r>
        <w:rPr>
          <w:rFonts w:ascii="Book Antiqua" w:hAnsi="Book Antiqua"/>
          <w:i/>
          <w:sz w:val="18"/>
          <w:lang w:val="en-US"/>
        </w:rPr>
        <w:t>,</w:t>
      </w:r>
      <w:r w:rsidRPr="00ED1005">
        <w:rPr>
          <w:rFonts w:ascii="Book Antiqua" w:hAnsi="Book Antiqua"/>
          <w:i/>
          <w:sz w:val="18"/>
          <w:lang w:val="en-US"/>
        </w:rPr>
        <w:t xml:space="preserve"> allowing for the analysis of direct and indirect effects because of an exogenous change in policy. This makes it an ideal tool to identify winners and losers after a policy change. In a general equilibrium analysis the entire economy is modeled</w:t>
      </w:r>
      <w:r>
        <w:rPr>
          <w:rFonts w:ascii="Book Antiqua" w:hAnsi="Book Antiqua"/>
          <w:i/>
          <w:sz w:val="18"/>
          <w:lang w:val="en-US"/>
        </w:rPr>
        <w:t>,</w:t>
      </w:r>
      <w:r w:rsidRPr="00ED1005">
        <w:rPr>
          <w:rFonts w:ascii="Book Antiqua" w:hAnsi="Book Antiqua"/>
          <w:i/>
          <w:sz w:val="18"/>
          <w:lang w:val="en-US"/>
        </w:rPr>
        <w:t xml:space="preserve"> while in a partial equilibrium analysis only the situation of a particular market, assuming constant conditions in other markets of the economy, is </w:t>
      </w:r>
      <w:r w:rsidRPr="00D81D62">
        <w:rPr>
          <w:rFonts w:ascii="Book Antiqua" w:hAnsi="Book Antiqua"/>
          <w:i/>
          <w:sz w:val="18"/>
          <w:lang w:val="en-GB"/>
        </w:rPr>
        <w:t>analysed</w:t>
      </w:r>
      <w:r w:rsidRPr="00ED1005">
        <w:rPr>
          <w:rFonts w:ascii="Book Antiqua" w:hAnsi="Book Antiqua"/>
          <w:i/>
          <w:sz w:val="18"/>
          <w:lang w:val="en-US"/>
        </w:rPr>
        <w:t>.</w:t>
      </w:r>
    </w:p>
  </w:footnote>
  <w:footnote w:id="25">
    <w:p w:rsidR="008D56CD" w:rsidRPr="00ED1005" w:rsidRDefault="008D56CD" w:rsidP="00ED1005">
      <w:pPr>
        <w:pStyle w:val="NoSpacing"/>
        <w:jc w:val="both"/>
        <w:rPr>
          <w:rFonts w:ascii="Book Antiqua" w:hAnsi="Book Antiqua"/>
          <w:lang w:val="en-US"/>
        </w:rPr>
      </w:pPr>
      <w:r w:rsidRPr="00214E24">
        <w:rPr>
          <w:rStyle w:val="FootnoteReference"/>
          <w:rFonts w:ascii="Book Antiqua" w:hAnsi="Book Antiqua"/>
          <w:sz w:val="18"/>
        </w:rPr>
        <w:footnoteRef/>
      </w:r>
      <w:r w:rsidRPr="00ED1005">
        <w:rPr>
          <w:rFonts w:ascii="Book Antiqua" w:hAnsi="Book Antiqua"/>
          <w:sz w:val="18"/>
          <w:lang w:val="en-US"/>
        </w:rPr>
        <w:t xml:space="preserve"> Article 46 of the Constitution establishes that</w:t>
      </w:r>
      <w:r>
        <w:rPr>
          <w:rFonts w:ascii="Book Antiqua" w:hAnsi="Book Antiqua"/>
          <w:sz w:val="18"/>
          <w:lang w:val="en-US"/>
        </w:rPr>
        <w:t>, concerning</w:t>
      </w:r>
      <w:r w:rsidRPr="00ED1005">
        <w:rPr>
          <w:rFonts w:ascii="Book Antiqua" w:hAnsi="Book Antiqua"/>
          <w:sz w:val="18"/>
          <w:lang w:val="en-US"/>
        </w:rPr>
        <w:t xml:space="preserve"> human rights, the treaties and conventions ratified by Guatemala have preeminence over domestic laws. However, the Constitutional Court has pointed out that these international instruments do not have preeminence over constitutional provisions (</w:t>
      </w:r>
      <w:r w:rsidRPr="00D81D62">
        <w:rPr>
          <w:rFonts w:ascii="Book Antiqua" w:hAnsi="Book Antiqua"/>
          <w:sz w:val="18"/>
          <w:lang w:val="en-GB"/>
        </w:rPr>
        <w:t>Judgement</w:t>
      </w:r>
      <w:r w:rsidRPr="00ED1005">
        <w:rPr>
          <w:rFonts w:ascii="Book Antiqua" w:hAnsi="Book Antiqua"/>
          <w:sz w:val="18"/>
          <w:lang w:val="en-US"/>
        </w:rPr>
        <w:t xml:space="preserve"> of 31/10/2000 and Resolution No. 18</w:t>
      </w:r>
      <w:r>
        <w:rPr>
          <w:rFonts w:ascii="Book Antiqua" w:hAnsi="Book Antiqua"/>
          <w:sz w:val="18"/>
          <w:lang w:val="en-US"/>
        </w:rPr>
        <w:t>–</w:t>
      </w:r>
      <w:r w:rsidRPr="00ED1005">
        <w:rPr>
          <w:rFonts w:ascii="Book Antiqua" w:hAnsi="Book Antiqua"/>
          <w:sz w:val="18"/>
          <w:lang w:val="en-US"/>
        </w:rPr>
        <w:t>05</w:t>
      </w:r>
      <w:r>
        <w:rPr>
          <w:rFonts w:ascii="Book Antiqua" w:hAnsi="Book Antiqua"/>
          <w:sz w:val="18"/>
          <w:lang w:val="en-US"/>
        </w:rPr>
        <w:t>–</w:t>
      </w:r>
      <w:r w:rsidRPr="00ED1005">
        <w:rPr>
          <w:rFonts w:ascii="Book Antiqua" w:hAnsi="Book Antiqua"/>
          <w:sz w:val="18"/>
          <w:lang w:val="en-US"/>
        </w:rPr>
        <w:t xml:space="preserve">95).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91" w:rsidRDefault="008E45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91" w:rsidRDefault="008E45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91" w:rsidRDefault="008E459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6CD" w:rsidRDefault="008D56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C452D"/>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1945DF1"/>
    <w:multiLevelType w:val="hybridMultilevel"/>
    <w:tmpl w:val="7C763EA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23FC3FE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081023"/>
    <w:multiLevelType w:val="hybridMultilevel"/>
    <w:tmpl w:val="6BB0A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2036AC"/>
    <w:multiLevelType w:val="hybridMultilevel"/>
    <w:tmpl w:val="327625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38607653"/>
    <w:multiLevelType w:val="hybridMultilevel"/>
    <w:tmpl w:val="A91AF51E"/>
    <w:lvl w:ilvl="0" w:tplc="100A000F">
      <w:start w:val="1"/>
      <w:numFmt w:val="decimal"/>
      <w:lvlText w:val="%1."/>
      <w:lvlJc w:val="left"/>
      <w:pPr>
        <w:ind w:left="720" w:hanging="360"/>
      </w:pPr>
      <w:rPr>
        <w:rFonts w:hint="default"/>
        <w:color w:val="auto"/>
        <w:u w:val="none"/>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3CC34697"/>
    <w:multiLevelType w:val="hybridMultilevel"/>
    <w:tmpl w:val="B8BCA9A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nsid w:val="3CC46490"/>
    <w:multiLevelType w:val="multilevel"/>
    <w:tmpl w:val="7CF6778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291394"/>
    <w:multiLevelType w:val="multilevel"/>
    <w:tmpl w:val="7DB2A8FA"/>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B111C6"/>
    <w:multiLevelType w:val="multilevel"/>
    <w:tmpl w:val="935A8D5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34845C1"/>
    <w:multiLevelType w:val="hybridMultilevel"/>
    <w:tmpl w:val="9B4C32D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nsid w:val="54F3451E"/>
    <w:multiLevelType w:val="hybridMultilevel"/>
    <w:tmpl w:val="4E50C40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4"/>
  </w:num>
  <w:num w:numId="5">
    <w:abstractNumId w:val="1"/>
  </w:num>
  <w:num w:numId="6">
    <w:abstractNumId w:val="11"/>
  </w:num>
  <w:num w:numId="7">
    <w:abstractNumId w:val="6"/>
  </w:num>
  <w:num w:numId="8">
    <w:abstractNumId w:val="10"/>
  </w:num>
  <w:num w:numId="9">
    <w:abstractNumId w:val="5"/>
  </w:num>
  <w:num w:numId="10">
    <w:abstractNumId w:val="7"/>
  </w:num>
  <w:num w:numId="11">
    <w:abstractNumId w:val="9"/>
  </w:num>
  <w:num w:numId="12">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rsids>
    <w:rsidRoot w:val="00481472"/>
    <w:rsid w:val="000061FD"/>
    <w:rsid w:val="000111BC"/>
    <w:rsid w:val="00012884"/>
    <w:rsid w:val="000150EF"/>
    <w:rsid w:val="000153D7"/>
    <w:rsid w:val="000160CF"/>
    <w:rsid w:val="00016221"/>
    <w:rsid w:val="00016303"/>
    <w:rsid w:val="000170D3"/>
    <w:rsid w:val="00020D2F"/>
    <w:rsid w:val="00021212"/>
    <w:rsid w:val="00023384"/>
    <w:rsid w:val="00024538"/>
    <w:rsid w:val="00024923"/>
    <w:rsid w:val="00025538"/>
    <w:rsid w:val="00025596"/>
    <w:rsid w:val="000266A7"/>
    <w:rsid w:val="00026C62"/>
    <w:rsid w:val="00027101"/>
    <w:rsid w:val="0002767E"/>
    <w:rsid w:val="00027F45"/>
    <w:rsid w:val="00030987"/>
    <w:rsid w:val="000318EB"/>
    <w:rsid w:val="000348D3"/>
    <w:rsid w:val="00034A46"/>
    <w:rsid w:val="00041401"/>
    <w:rsid w:val="00042AB9"/>
    <w:rsid w:val="00043875"/>
    <w:rsid w:val="00043DC3"/>
    <w:rsid w:val="00044142"/>
    <w:rsid w:val="000452A6"/>
    <w:rsid w:val="000464E7"/>
    <w:rsid w:val="00046CA7"/>
    <w:rsid w:val="00046D0D"/>
    <w:rsid w:val="0004740A"/>
    <w:rsid w:val="000478D2"/>
    <w:rsid w:val="00050287"/>
    <w:rsid w:val="0005336D"/>
    <w:rsid w:val="000534C1"/>
    <w:rsid w:val="00053785"/>
    <w:rsid w:val="000542F1"/>
    <w:rsid w:val="00055418"/>
    <w:rsid w:val="00055A1F"/>
    <w:rsid w:val="00056723"/>
    <w:rsid w:val="00056ADB"/>
    <w:rsid w:val="00056CA1"/>
    <w:rsid w:val="00062923"/>
    <w:rsid w:val="00064C49"/>
    <w:rsid w:val="00065095"/>
    <w:rsid w:val="0006544F"/>
    <w:rsid w:val="0006556D"/>
    <w:rsid w:val="000657B2"/>
    <w:rsid w:val="00070053"/>
    <w:rsid w:val="00071F97"/>
    <w:rsid w:val="000720A2"/>
    <w:rsid w:val="00076E00"/>
    <w:rsid w:val="00077977"/>
    <w:rsid w:val="00080E27"/>
    <w:rsid w:val="00081BB8"/>
    <w:rsid w:val="00081DE2"/>
    <w:rsid w:val="00081F8B"/>
    <w:rsid w:val="000828E1"/>
    <w:rsid w:val="00083C9A"/>
    <w:rsid w:val="00084714"/>
    <w:rsid w:val="00086115"/>
    <w:rsid w:val="00090248"/>
    <w:rsid w:val="000948E2"/>
    <w:rsid w:val="00095085"/>
    <w:rsid w:val="000950F1"/>
    <w:rsid w:val="0009582D"/>
    <w:rsid w:val="00096BD6"/>
    <w:rsid w:val="00097B9A"/>
    <w:rsid w:val="000A3453"/>
    <w:rsid w:val="000A4119"/>
    <w:rsid w:val="000A6C1F"/>
    <w:rsid w:val="000B29E3"/>
    <w:rsid w:val="000B4778"/>
    <w:rsid w:val="000B550F"/>
    <w:rsid w:val="000B5AC7"/>
    <w:rsid w:val="000B697C"/>
    <w:rsid w:val="000C0380"/>
    <w:rsid w:val="000C0D58"/>
    <w:rsid w:val="000C376D"/>
    <w:rsid w:val="000C44E5"/>
    <w:rsid w:val="000C6F69"/>
    <w:rsid w:val="000C77CC"/>
    <w:rsid w:val="000D0432"/>
    <w:rsid w:val="000D0A2B"/>
    <w:rsid w:val="000D0BB6"/>
    <w:rsid w:val="000D208B"/>
    <w:rsid w:val="000D2A21"/>
    <w:rsid w:val="000D3606"/>
    <w:rsid w:val="000D50E0"/>
    <w:rsid w:val="000D680E"/>
    <w:rsid w:val="000D7FCC"/>
    <w:rsid w:val="000E02EF"/>
    <w:rsid w:val="000E0F84"/>
    <w:rsid w:val="000E402D"/>
    <w:rsid w:val="000E4343"/>
    <w:rsid w:val="000E4FA1"/>
    <w:rsid w:val="000E66A9"/>
    <w:rsid w:val="000E7634"/>
    <w:rsid w:val="000F0572"/>
    <w:rsid w:val="000F08B9"/>
    <w:rsid w:val="000F0F66"/>
    <w:rsid w:val="000F2A17"/>
    <w:rsid w:val="000F3302"/>
    <w:rsid w:val="000F469C"/>
    <w:rsid w:val="000F479C"/>
    <w:rsid w:val="000F573C"/>
    <w:rsid w:val="001007C6"/>
    <w:rsid w:val="00100E8D"/>
    <w:rsid w:val="00101576"/>
    <w:rsid w:val="001021BD"/>
    <w:rsid w:val="00102A45"/>
    <w:rsid w:val="00102D74"/>
    <w:rsid w:val="00102ED3"/>
    <w:rsid w:val="001118B2"/>
    <w:rsid w:val="00111BFB"/>
    <w:rsid w:val="00112055"/>
    <w:rsid w:val="00112E3D"/>
    <w:rsid w:val="00113E17"/>
    <w:rsid w:val="00115D84"/>
    <w:rsid w:val="00116FF7"/>
    <w:rsid w:val="001215C3"/>
    <w:rsid w:val="00122DA7"/>
    <w:rsid w:val="00123621"/>
    <w:rsid w:val="00123CBB"/>
    <w:rsid w:val="00124797"/>
    <w:rsid w:val="0012655F"/>
    <w:rsid w:val="0012690D"/>
    <w:rsid w:val="001269A9"/>
    <w:rsid w:val="00126DA1"/>
    <w:rsid w:val="001279A1"/>
    <w:rsid w:val="00127C9C"/>
    <w:rsid w:val="001300E4"/>
    <w:rsid w:val="001306B8"/>
    <w:rsid w:val="001313A4"/>
    <w:rsid w:val="0013502C"/>
    <w:rsid w:val="00135A8B"/>
    <w:rsid w:val="00135FE4"/>
    <w:rsid w:val="001362DA"/>
    <w:rsid w:val="00136442"/>
    <w:rsid w:val="00137356"/>
    <w:rsid w:val="00137518"/>
    <w:rsid w:val="0014162E"/>
    <w:rsid w:val="00141B8D"/>
    <w:rsid w:val="00142998"/>
    <w:rsid w:val="00143F09"/>
    <w:rsid w:val="001449E9"/>
    <w:rsid w:val="00144CB9"/>
    <w:rsid w:val="0015001C"/>
    <w:rsid w:val="00150A25"/>
    <w:rsid w:val="0015103E"/>
    <w:rsid w:val="00151980"/>
    <w:rsid w:val="00152160"/>
    <w:rsid w:val="00152B63"/>
    <w:rsid w:val="0015406A"/>
    <w:rsid w:val="0015469E"/>
    <w:rsid w:val="00155C43"/>
    <w:rsid w:val="00155FFA"/>
    <w:rsid w:val="00156196"/>
    <w:rsid w:val="00156816"/>
    <w:rsid w:val="00156BEF"/>
    <w:rsid w:val="001618B0"/>
    <w:rsid w:val="001623E2"/>
    <w:rsid w:val="00162906"/>
    <w:rsid w:val="0016348D"/>
    <w:rsid w:val="00164EA7"/>
    <w:rsid w:val="0016733D"/>
    <w:rsid w:val="00170EEB"/>
    <w:rsid w:val="00171A43"/>
    <w:rsid w:val="00171EB7"/>
    <w:rsid w:val="00174553"/>
    <w:rsid w:val="0017477E"/>
    <w:rsid w:val="0017522B"/>
    <w:rsid w:val="0017662D"/>
    <w:rsid w:val="0017662F"/>
    <w:rsid w:val="00177442"/>
    <w:rsid w:val="00177A90"/>
    <w:rsid w:val="0018022C"/>
    <w:rsid w:val="001841EA"/>
    <w:rsid w:val="00184309"/>
    <w:rsid w:val="001852D0"/>
    <w:rsid w:val="00190046"/>
    <w:rsid w:val="00192339"/>
    <w:rsid w:val="00192726"/>
    <w:rsid w:val="0019341B"/>
    <w:rsid w:val="00193E4B"/>
    <w:rsid w:val="0019459D"/>
    <w:rsid w:val="001A1497"/>
    <w:rsid w:val="001A39B8"/>
    <w:rsid w:val="001A6BBA"/>
    <w:rsid w:val="001A70DA"/>
    <w:rsid w:val="001B16A7"/>
    <w:rsid w:val="001B2DD2"/>
    <w:rsid w:val="001B3428"/>
    <w:rsid w:val="001B76D3"/>
    <w:rsid w:val="001B7709"/>
    <w:rsid w:val="001C03E2"/>
    <w:rsid w:val="001C121E"/>
    <w:rsid w:val="001C4199"/>
    <w:rsid w:val="001C5C09"/>
    <w:rsid w:val="001D148D"/>
    <w:rsid w:val="001D1889"/>
    <w:rsid w:val="001D2B68"/>
    <w:rsid w:val="001D363B"/>
    <w:rsid w:val="001D6FED"/>
    <w:rsid w:val="001E114B"/>
    <w:rsid w:val="001E1682"/>
    <w:rsid w:val="001E21F6"/>
    <w:rsid w:val="001E3C26"/>
    <w:rsid w:val="001E61A4"/>
    <w:rsid w:val="001F0623"/>
    <w:rsid w:val="001F0FED"/>
    <w:rsid w:val="001F1EEC"/>
    <w:rsid w:val="001F2450"/>
    <w:rsid w:val="001F3D91"/>
    <w:rsid w:val="001F48F2"/>
    <w:rsid w:val="001F6F7C"/>
    <w:rsid w:val="0020111F"/>
    <w:rsid w:val="0020171D"/>
    <w:rsid w:val="002018F9"/>
    <w:rsid w:val="0020230B"/>
    <w:rsid w:val="00202588"/>
    <w:rsid w:val="00204390"/>
    <w:rsid w:val="0020769A"/>
    <w:rsid w:val="00214555"/>
    <w:rsid w:val="00214E24"/>
    <w:rsid w:val="00215195"/>
    <w:rsid w:val="00215CD7"/>
    <w:rsid w:val="002177C0"/>
    <w:rsid w:val="0022107F"/>
    <w:rsid w:val="00223F61"/>
    <w:rsid w:val="00224E54"/>
    <w:rsid w:val="00224F43"/>
    <w:rsid w:val="00225CE8"/>
    <w:rsid w:val="00225D01"/>
    <w:rsid w:val="002265AC"/>
    <w:rsid w:val="00226CA1"/>
    <w:rsid w:val="00230FF5"/>
    <w:rsid w:val="00231924"/>
    <w:rsid w:val="00232363"/>
    <w:rsid w:val="00235491"/>
    <w:rsid w:val="00236968"/>
    <w:rsid w:val="00236E61"/>
    <w:rsid w:val="00236E82"/>
    <w:rsid w:val="00240D7C"/>
    <w:rsid w:val="0024357A"/>
    <w:rsid w:val="002453DC"/>
    <w:rsid w:val="00245A85"/>
    <w:rsid w:val="00246DED"/>
    <w:rsid w:val="002478AF"/>
    <w:rsid w:val="00247B60"/>
    <w:rsid w:val="0025170C"/>
    <w:rsid w:val="00253593"/>
    <w:rsid w:val="00253CAD"/>
    <w:rsid w:val="0025488E"/>
    <w:rsid w:val="00256709"/>
    <w:rsid w:val="0025785B"/>
    <w:rsid w:val="00260114"/>
    <w:rsid w:val="002608FB"/>
    <w:rsid w:val="00261B80"/>
    <w:rsid w:val="00261FC2"/>
    <w:rsid w:val="00263138"/>
    <w:rsid w:val="002631EA"/>
    <w:rsid w:val="0026449A"/>
    <w:rsid w:val="00264D66"/>
    <w:rsid w:val="00265C2A"/>
    <w:rsid w:val="00270D41"/>
    <w:rsid w:val="00271B66"/>
    <w:rsid w:val="002727FB"/>
    <w:rsid w:val="0027411C"/>
    <w:rsid w:val="002751E5"/>
    <w:rsid w:val="002753B1"/>
    <w:rsid w:val="0027598D"/>
    <w:rsid w:val="00277074"/>
    <w:rsid w:val="0027738E"/>
    <w:rsid w:val="002778A4"/>
    <w:rsid w:val="002822EE"/>
    <w:rsid w:val="00282B9B"/>
    <w:rsid w:val="00283793"/>
    <w:rsid w:val="002853AE"/>
    <w:rsid w:val="0028579F"/>
    <w:rsid w:val="00285A94"/>
    <w:rsid w:val="00285B03"/>
    <w:rsid w:val="00286074"/>
    <w:rsid w:val="00287A49"/>
    <w:rsid w:val="00287AE1"/>
    <w:rsid w:val="00290807"/>
    <w:rsid w:val="00290FD4"/>
    <w:rsid w:val="002915FC"/>
    <w:rsid w:val="00293C9B"/>
    <w:rsid w:val="00293D6E"/>
    <w:rsid w:val="00293DCE"/>
    <w:rsid w:val="00294716"/>
    <w:rsid w:val="00296139"/>
    <w:rsid w:val="002A00ED"/>
    <w:rsid w:val="002A03EC"/>
    <w:rsid w:val="002A101B"/>
    <w:rsid w:val="002A24DC"/>
    <w:rsid w:val="002A3003"/>
    <w:rsid w:val="002A46AB"/>
    <w:rsid w:val="002A5476"/>
    <w:rsid w:val="002A5C3F"/>
    <w:rsid w:val="002A7035"/>
    <w:rsid w:val="002A74E9"/>
    <w:rsid w:val="002B10EB"/>
    <w:rsid w:val="002B1452"/>
    <w:rsid w:val="002B5DA5"/>
    <w:rsid w:val="002B5F98"/>
    <w:rsid w:val="002B6059"/>
    <w:rsid w:val="002C03E1"/>
    <w:rsid w:val="002C1AC4"/>
    <w:rsid w:val="002C249E"/>
    <w:rsid w:val="002C3EB5"/>
    <w:rsid w:val="002C5163"/>
    <w:rsid w:val="002C5F08"/>
    <w:rsid w:val="002C6C6A"/>
    <w:rsid w:val="002D13FA"/>
    <w:rsid w:val="002D147C"/>
    <w:rsid w:val="002D3433"/>
    <w:rsid w:val="002D4E16"/>
    <w:rsid w:val="002D5779"/>
    <w:rsid w:val="002D595A"/>
    <w:rsid w:val="002D65B6"/>
    <w:rsid w:val="002E0824"/>
    <w:rsid w:val="002E0FE7"/>
    <w:rsid w:val="002E418C"/>
    <w:rsid w:val="002E5580"/>
    <w:rsid w:val="002E7491"/>
    <w:rsid w:val="002E75B3"/>
    <w:rsid w:val="002F09EC"/>
    <w:rsid w:val="002F0EF4"/>
    <w:rsid w:val="002F77DD"/>
    <w:rsid w:val="00305B66"/>
    <w:rsid w:val="00310302"/>
    <w:rsid w:val="00311C72"/>
    <w:rsid w:val="003137EB"/>
    <w:rsid w:val="00314D39"/>
    <w:rsid w:val="0031620F"/>
    <w:rsid w:val="00317A84"/>
    <w:rsid w:val="00320088"/>
    <w:rsid w:val="0032057B"/>
    <w:rsid w:val="00322962"/>
    <w:rsid w:val="0032483D"/>
    <w:rsid w:val="003257C5"/>
    <w:rsid w:val="00325D92"/>
    <w:rsid w:val="00325E44"/>
    <w:rsid w:val="0032647D"/>
    <w:rsid w:val="00326523"/>
    <w:rsid w:val="00326D47"/>
    <w:rsid w:val="003315A5"/>
    <w:rsid w:val="003317BA"/>
    <w:rsid w:val="00332199"/>
    <w:rsid w:val="003337C1"/>
    <w:rsid w:val="00334200"/>
    <w:rsid w:val="003345B8"/>
    <w:rsid w:val="00341136"/>
    <w:rsid w:val="0034328F"/>
    <w:rsid w:val="003449B1"/>
    <w:rsid w:val="003467D0"/>
    <w:rsid w:val="0034694B"/>
    <w:rsid w:val="00346CE4"/>
    <w:rsid w:val="0035026D"/>
    <w:rsid w:val="003509A1"/>
    <w:rsid w:val="003519C0"/>
    <w:rsid w:val="00353EE7"/>
    <w:rsid w:val="0035466A"/>
    <w:rsid w:val="0035523A"/>
    <w:rsid w:val="00356682"/>
    <w:rsid w:val="00356691"/>
    <w:rsid w:val="0035708E"/>
    <w:rsid w:val="003573DF"/>
    <w:rsid w:val="0036037C"/>
    <w:rsid w:val="00362868"/>
    <w:rsid w:val="00362D81"/>
    <w:rsid w:val="00363B0B"/>
    <w:rsid w:val="00363BB3"/>
    <w:rsid w:val="00364735"/>
    <w:rsid w:val="003674D2"/>
    <w:rsid w:val="00367B36"/>
    <w:rsid w:val="00372EFE"/>
    <w:rsid w:val="00373C1F"/>
    <w:rsid w:val="00373F8A"/>
    <w:rsid w:val="00375003"/>
    <w:rsid w:val="00376294"/>
    <w:rsid w:val="0038055A"/>
    <w:rsid w:val="00380AAD"/>
    <w:rsid w:val="00381303"/>
    <w:rsid w:val="0038144E"/>
    <w:rsid w:val="00383446"/>
    <w:rsid w:val="00383963"/>
    <w:rsid w:val="00387388"/>
    <w:rsid w:val="0039094F"/>
    <w:rsid w:val="0039300C"/>
    <w:rsid w:val="003937F4"/>
    <w:rsid w:val="003955AA"/>
    <w:rsid w:val="003977F4"/>
    <w:rsid w:val="003A1C49"/>
    <w:rsid w:val="003A348F"/>
    <w:rsid w:val="003A4B99"/>
    <w:rsid w:val="003A542F"/>
    <w:rsid w:val="003B17F2"/>
    <w:rsid w:val="003B1DEB"/>
    <w:rsid w:val="003B2A12"/>
    <w:rsid w:val="003B7EF7"/>
    <w:rsid w:val="003C4A6C"/>
    <w:rsid w:val="003C5E0C"/>
    <w:rsid w:val="003C67B1"/>
    <w:rsid w:val="003C6E38"/>
    <w:rsid w:val="003C78F0"/>
    <w:rsid w:val="003D3116"/>
    <w:rsid w:val="003D4912"/>
    <w:rsid w:val="003D59C9"/>
    <w:rsid w:val="003D63F7"/>
    <w:rsid w:val="003E0E80"/>
    <w:rsid w:val="003E2DFC"/>
    <w:rsid w:val="003E317E"/>
    <w:rsid w:val="003E3495"/>
    <w:rsid w:val="003E376B"/>
    <w:rsid w:val="003E5ACF"/>
    <w:rsid w:val="003E5C71"/>
    <w:rsid w:val="003E6252"/>
    <w:rsid w:val="003F1D7C"/>
    <w:rsid w:val="003F1FB1"/>
    <w:rsid w:val="003F32E4"/>
    <w:rsid w:val="003F4FB8"/>
    <w:rsid w:val="003F5348"/>
    <w:rsid w:val="0040031A"/>
    <w:rsid w:val="004005BF"/>
    <w:rsid w:val="004011B4"/>
    <w:rsid w:val="0040450F"/>
    <w:rsid w:val="004049D9"/>
    <w:rsid w:val="00405717"/>
    <w:rsid w:val="00407894"/>
    <w:rsid w:val="004078AA"/>
    <w:rsid w:val="0041059B"/>
    <w:rsid w:val="0041187A"/>
    <w:rsid w:val="00413569"/>
    <w:rsid w:val="00414F4E"/>
    <w:rsid w:val="004165C6"/>
    <w:rsid w:val="00416CD1"/>
    <w:rsid w:val="0041713D"/>
    <w:rsid w:val="00417925"/>
    <w:rsid w:val="00417CBC"/>
    <w:rsid w:val="0042082D"/>
    <w:rsid w:val="004227D3"/>
    <w:rsid w:val="00425AB1"/>
    <w:rsid w:val="004262CD"/>
    <w:rsid w:val="004269AC"/>
    <w:rsid w:val="00430848"/>
    <w:rsid w:val="00432733"/>
    <w:rsid w:val="004333BF"/>
    <w:rsid w:val="00436A4A"/>
    <w:rsid w:val="00437058"/>
    <w:rsid w:val="0044440B"/>
    <w:rsid w:val="00445908"/>
    <w:rsid w:val="00445916"/>
    <w:rsid w:val="00447615"/>
    <w:rsid w:val="0044787E"/>
    <w:rsid w:val="0045088C"/>
    <w:rsid w:val="004546D7"/>
    <w:rsid w:val="004547B4"/>
    <w:rsid w:val="00456441"/>
    <w:rsid w:val="00457439"/>
    <w:rsid w:val="00461E12"/>
    <w:rsid w:val="00462AC8"/>
    <w:rsid w:val="00464A1B"/>
    <w:rsid w:val="00465A85"/>
    <w:rsid w:val="00465B77"/>
    <w:rsid w:val="00465DD9"/>
    <w:rsid w:val="00466E37"/>
    <w:rsid w:val="00471AC9"/>
    <w:rsid w:val="00472828"/>
    <w:rsid w:val="00474288"/>
    <w:rsid w:val="00475F92"/>
    <w:rsid w:val="00477A74"/>
    <w:rsid w:val="004801DD"/>
    <w:rsid w:val="00480B94"/>
    <w:rsid w:val="00480DE4"/>
    <w:rsid w:val="00481472"/>
    <w:rsid w:val="0048186E"/>
    <w:rsid w:val="004821DC"/>
    <w:rsid w:val="00482F9F"/>
    <w:rsid w:val="004859A6"/>
    <w:rsid w:val="00486487"/>
    <w:rsid w:val="00491445"/>
    <w:rsid w:val="00491853"/>
    <w:rsid w:val="00492A2C"/>
    <w:rsid w:val="00492DB9"/>
    <w:rsid w:val="00494205"/>
    <w:rsid w:val="004942F4"/>
    <w:rsid w:val="0049437A"/>
    <w:rsid w:val="00494B69"/>
    <w:rsid w:val="004A1F6A"/>
    <w:rsid w:val="004A3870"/>
    <w:rsid w:val="004A745B"/>
    <w:rsid w:val="004B4626"/>
    <w:rsid w:val="004B7713"/>
    <w:rsid w:val="004C0C40"/>
    <w:rsid w:val="004C15FA"/>
    <w:rsid w:val="004C26B2"/>
    <w:rsid w:val="004C499C"/>
    <w:rsid w:val="004C63F1"/>
    <w:rsid w:val="004D0B22"/>
    <w:rsid w:val="004E297B"/>
    <w:rsid w:val="004E40FF"/>
    <w:rsid w:val="004E54F3"/>
    <w:rsid w:val="004E5690"/>
    <w:rsid w:val="004E6076"/>
    <w:rsid w:val="004E6B3E"/>
    <w:rsid w:val="004F03E7"/>
    <w:rsid w:val="004F1755"/>
    <w:rsid w:val="004F1A93"/>
    <w:rsid w:val="004F3299"/>
    <w:rsid w:val="004F4027"/>
    <w:rsid w:val="004F446E"/>
    <w:rsid w:val="004F5668"/>
    <w:rsid w:val="004F5D03"/>
    <w:rsid w:val="004F5E2F"/>
    <w:rsid w:val="004F69CC"/>
    <w:rsid w:val="00500143"/>
    <w:rsid w:val="00502408"/>
    <w:rsid w:val="005060D6"/>
    <w:rsid w:val="00507859"/>
    <w:rsid w:val="00507966"/>
    <w:rsid w:val="00510ABB"/>
    <w:rsid w:val="00510DB4"/>
    <w:rsid w:val="00512B36"/>
    <w:rsid w:val="005203F9"/>
    <w:rsid w:val="005214A9"/>
    <w:rsid w:val="005243F4"/>
    <w:rsid w:val="005253C6"/>
    <w:rsid w:val="0052653D"/>
    <w:rsid w:val="00526C1B"/>
    <w:rsid w:val="005271BE"/>
    <w:rsid w:val="00527C02"/>
    <w:rsid w:val="0053138A"/>
    <w:rsid w:val="0053153B"/>
    <w:rsid w:val="00531F61"/>
    <w:rsid w:val="00532316"/>
    <w:rsid w:val="00533387"/>
    <w:rsid w:val="00534FE0"/>
    <w:rsid w:val="00536F3F"/>
    <w:rsid w:val="00536FD4"/>
    <w:rsid w:val="005400E1"/>
    <w:rsid w:val="00541A3B"/>
    <w:rsid w:val="005432CC"/>
    <w:rsid w:val="00547B03"/>
    <w:rsid w:val="00547BB8"/>
    <w:rsid w:val="00547CB2"/>
    <w:rsid w:val="00551F12"/>
    <w:rsid w:val="005520FD"/>
    <w:rsid w:val="00552795"/>
    <w:rsid w:val="00553DA1"/>
    <w:rsid w:val="00554D37"/>
    <w:rsid w:val="00556D56"/>
    <w:rsid w:val="005578D5"/>
    <w:rsid w:val="00557909"/>
    <w:rsid w:val="00562AE0"/>
    <w:rsid w:val="00563266"/>
    <w:rsid w:val="0056453F"/>
    <w:rsid w:val="00565418"/>
    <w:rsid w:val="005657FD"/>
    <w:rsid w:val="00570908"/>
    <w:rsid w:val="00571B03"/>
    <w:rsid w:val="00572266"/>
    <w:rsid w:val="005725AC"/>
    <w:rsid w:val="00573EB7"/>
    <w:rsid w:val="00574E58"/>
    <w:rsid w:val="005773CF"/>
    <w:rsid w:val="0058000D"/>
    <w:rsid w:val="00580A8F"/>
    <w:rsid w:val="00582656"/>
    <w:rsid w:val="005835D9"/>
    <w:rsid w:val="00583C62"/>
    <w:rsid w:val="005843DA"/>
    <w:rsid w:val="00586780"/>
    <w:rsid w:val="005910BA"/>
    <w:rsid w:val="0059579D"/>
    <w:rsid w:val="00596A5C"/>
    <w:rsid w:val="00596FAB"/>
    <w:rsid w:val="005A0761"/>
    <w:rsid w:val="005A2133"/>
    <w:rsid w:val="005A44FE"/>
    <w:rsid w:val="005A7CEB"/>
    <w:rsid w:val="005B2216"/>
    <w:rsid w:val="005B4E96"/>
    <w:rsid w:val="005B59D7"/>
    <w:rsid w:val="005B5B1D"/>
    <w:rsid w:val="005B64DF"/>
    <w:rsid w:val="005C0501"/>
    <w:rsid w:val="005C0787"/>
    <w:rsid w:val="005C2843"/>
    <w:rsid w:val="005C3016"/>
    <w:rsid w:val="005C3AA3"/>
    <w:rsid w:val="005C4ED1"/>
    <w:rsid w:val="005C6E91"/>
    <w:rsid w:val="005C74B1"/>
    <w:rsid w:val="005C7E43"/>
    <w:rsid w:val="005D078C"/>
    <w:rsid w:val="005D096B"/>
    <w:rsid w:val="005D26F8"/>
    <w:rsid w:val="005D71DC"/>
    <w:rsid w:val="005E316D"/>
    <w:rsid w:val="005E4616"/>
    <w:rsid w:val="005E51BA"/>
    <w:rsid w:val="005E5393"/>
    <w:rsid w:val="005E5A2D"/>
    <w:rsid w:val="005E6AF8"/>
    <w:rsid w:val="005E6B97"/>
    <w:rsid w:val="005E71E7"/>
    <w:rsid w:val="005E754C"/>
    <w:rsid w:val="005E7FEC"/>
    <w:rsid w:val="005F002A"/>
    <w:rsid w:val="005F1544"/>
    <w:rsid w:val="005F2F9F"/>
    <w:rsid w:val="005F354C"/>
    <w:rsid w:val="005F3645"/>
    <w:rsid w:val="005F4009"/>
    <w:rsid w:val="005F4FF0"/>
    <w:rsid w:val="005F552A"/>
    <w:rsid w:val="005F5B0D"/>
    <w:rsid w:val="00600A26"/>
    <w:rsid w:val="00601DC7"/>
    <w:rsid w:val="006021EF"/>
    <w:rsid w:val="0060333E"/>
    <w:rsid w:val="00603759"/>
    <w:rsid w:val="00603E04"/>
    <w:rsid w:val="0060484E"/>
    <w:rsid w:val="00604A04"/>
    <w:rsid w:val="00604E0D"/>
    <w:rsid w:val="00606736"/>
    <w:rsid w:val="006100AF"/>
    <w:rsid w:val="0061186F"/>
    <w:rsid w:val="00611D26"/>
    <w:rsid w:val="006121E1"/>
    <w:rsid w:val="006128D7"/>
    <w:rsid w:val="00614101"/>
    <w:rsid w:val="006148FF"/>
    <w:rsid w:val="00614BB4"/>
    <w:rsid w:val="006165EA"/>
    <w:rsid w:val="00617842"/>
    <w:rsid w:val="0062037A"/>
    <w:rsid w:val="00621402"/>
    <w:rsid w:val="00621B11"/>
    <w:rsid w:val="00624379"/>
    <w:rsid w:val="0063188D"/>
    <w:rsid w:val="00632204"/>
    <w:rsid w:val="00632AC2"/>
    <w:rsid w:val="006359C2"/>
    <w:rsid w:val="006364CC"/>
    <w:rsid w:val="006367C9"/>
    <w:rsid w:val="0064208F"/>
    <w:rsid w:val="00642123"/>
    <w:rsid w:val="00643644"/>
    <w:rsid w:val="006456CA"/>
    <w:rsid w:val="0064637E"/>
    <w:rsid w:val="006549CC"/>
    <w:rsid w:val="0065572B"/>
    <w:rsid w:val="00656956"/>
    <w:rsid w:val="00657D12"/>
    <w:rsid w:val="0066090C"/>
    <w:rsid w:val="00660DD5"/>
    <w:rsid w:val="0066107A"/>
    <w:rsid w:val="00661094"/>
    <w:rsid w:val="00663E04"/>
    <w:rsid w:val="00664F42"/>
    <w:rsid w:val="006661AA"/>
    <w:rsid w:val="00666E2A"/>
    <w:rsid w:val="00667E29"/>
    <w:rsid w:val="0067025B"/>
    <w:rsid w:val="00673E84"/>
    <w:rsid w:val="006812C4"/>
    <w:rsid w:val="00681F8B"/>
    <w:rsid w:val="00684EE7"/>
    <w:rsid w:val="0068512C"/>
    <w:rsid w:val="00685DE4"/>
    <w:rsid w:val="006864C8"/>
    <w:rsid w:val="00687273"/>
    <w:rsid w:val="00690650"/>
    <w:rsid w:val="00690C36"/>
    <w:rsid w:val="00691A3D"/>
    <w:rsid w:val="0069203B"/>
    <w:rsid w:val="006951A9"/>
    <w:rsid w:val="0069710A"/>
    <w:rsid w:val="006A0D00"/>
    <w:rsid w:val="006A0E54"/>
    <w:rsid w:val="006A2FCA"/>
    <w:rsid w:val="006A4A53"/>
    <w:rsid w:val="006A59E3"/>
    <w:rsid w:val="006A7C29"/>
    <w:rsid w:val="006B046A"/>
    <w:rsid w:val="006B2047"/>
    <w:rsid w:val="006B239C"/>
    <w:rsid w:val="006B3398"/>
    <w:rsid w:val="006B355A"/>
    <w:rsid w:val="006B41E0"/>
    <w:rsid w:val="006B6048"/>
    <w:rsid w:val="006B7D43"/>
    <w:rsid w:val="006C0E83"/>
    <w:rsid w:val="006C1417"/>
    <w:rsid w:val="006C1A87"/>
    <w:rsid w:val="006C22F1"/>
    <w:rsid w:val="006C464B"/>
    <w:rsid w:val="006C6AE8"/>
    <w:rsid w:val="006D09CB"/>
    <w:rsid w:val="006D0C02"/>
    <w:rsid w:val="006D0CA9"/>
    <w:rsid w:val="006D1082"/>
    <w:rsid w:val="006D18DA"/>
    <w:rsid w:val="006D1E96"/>
    <w:rsid w:val="006D3059"/>
    <w:rsid w:val="006D3086"/>
    <w:rsid w:val="006D548A"/>
    <w:rsid w:val="006D5640"/>
    <w:rsid w:val="006D67B9"/>
    <w:rsid w:val="006D7986"/>
    <w:rsid w:val="006E2050"/>
    <w:rsid w:val="006E33B8"/>
    <w:rsid w:val="006E367F"/>
    <w:rsid w:val="006E596C"/>
    <w:rsid w:val="006E7057"/>
    <w:rsid w:val="006E78DE"/>
    <w:rsid w:val="006F070F"/>
    <w:rsid w:val="006F0F41"/>
    <w:rsid w:val="006F167C"/>
    <w:rsid w:val="006F1959"/>
    <w:rsid w:val="006F1BD4"/>
    <w:rsid w:val="006F203F"/>
    <w:rsid w:val="006F2746"/>
    <w:rsid w:val="006F3668"/>
    <w:rsid w:val="006F3B29"/>
    <w:rsid w:val="006F4CEF"/>
    <w:rsid w:val="006F501F"/>
    <w:rsid w:val="006F7DC9"/>
    <w:rsid w:val="007006AE"/>
    <w:rsid w:val="00700735"/>
    <w:rsid w:val="00701AAB"/>
    <w:rsid w:val="00703FAB"/>
    <w:rsid w:val="00704025"/>
    <w:rsid w:val="007046C5"/>
    <w:rsid w:val="00705BB0"/>
    <w:rsid w:val="00705F92"/>
    <w:rsid w:val="00705FCD"/>
    <w:rsid w:val="00706014"/>
    <w:rsid w:val="00706294"/>
    <w:rsid w:val="007077FF"/>
    <w:rsid w:val="0071192B"/>
    <w:rsid w:val="007128EC"/>
    <w:rsid w:val="007130C3"/>
    <w:rsid w:val="007135BB"/>
    <w:rsid w:val="0071514F"/>
    <w:rsid w:val="00715166"/>
    <w:rsid w:val="00715413"/>
    <w:rsid w:val="00715EF7"/>
    <w:rsid w:val="00721FCB"/>
    <w:rsid w:val="00722F49"/>
    <w:rsid w:val="0072318C"/>
    <w:rsid w:val="0072407C"/>
    <w:rsid w:val="007242F2"/>
    <w:rsid w:val="007257F3"/>
    <w:rsid w:val="00726617"/>
    <w:rsid w:val="00732112"/>
    <w:rsid w:val="00733531"/>
    <w:rsid w:val="00735CEF"/>
    <w:rsid w:val="007361B6"/>
    <w:rsid w:val="0073634A"/>
    <w:rsid w:val="0073693E"/>
    <w:rsid w:val="0074128F"/>
    <w:rsid w:val="00744913"/>
    <w:rsid w:val="00744D41"/>
    <w:rsid w:val="00745C9E"/>
    <w:rsid w:val="007478B3"/>
    <w:rsid w:val="0075216C"/>
    <w:rsid w:val="00752A0C"/>
    <w:rsid w:val="007539D4"/>
    <w:rsid w:val="00755E57"/>
    <w:rsid w:val="00757794"/>
    <w:rsid w:val="00760F00"/>
    <w:rsid w:val="007622D4"/>
    <w:rsid w:val="007624A8"/>
    <w:rsid w:val="00763BBD"/>
    <w:rsid w:val="00765782"/>
    <w:rsid w:val="00765E21"/>
    <w:rsid w:val="00766E4C"/>
    <w:rsid w:val="0076772B"/>
    <w:rsid w:val="00772C26"/>
    <w:rsid w:val="0077313F"/>
    <w:rsid w:val="00773757"/>
    <w:rsid w:val="00775E7E"/>
    <w:rsid w:val="007761AE"/>
    <w:rsid w:val="00776B4D"/>
    <w:rsid w:val="00776D54"/>
    <w:rsid w:val="00777EFB"/>
    <w:rsid w:val="00780380"/>
    <w:rsid w:val="0078091B"/>
    <w:rsid w:val="00781388"/>
    <w:rsid w:val="00784425"/>
    <w:rsid w:val="007846AB"/>
    <w:rsid w:val="00787A55"/>
    <w:rsid w:val="00787F3E"/>
    <w:rsid w:val="0079006F"/>
    <w:rsid w:val="0079079A"/>
    <w:rsid w:val="00790FCF"/>
    <w:rsid w:val="00791621"/>
    <w:rsid w:val="007923B3"/>
    <w:rsid w:val="00795186"/>
    <w:rsid w:val="007A0512"/>
    <w:rsid w:val="007A351E"/>
    <w:rsid w:val="007A4D32"/>
    <w:rsid w:val="007A5336"/>
    <w:rsid w:val="007A5DEF"/>
    <w:rsid w:val="007A66C6"/>
    <w:rsid w:val="007A68F1"/>
    <w:rsid w:val="007A705A"/>
    <w:rsid w:val="007B2C68"/>
    <w:rsid w:val="007B2E90"/>
    <w:rsid w:val="007B3501"/>
    <w:rsid w:val="007B3730"/>
    <w:rsid w:val="007B6801"/>
    <w:rsid w:val="007C008A"/>
    <w:rsid w:val="007C03B8"/>
    <w:rsid w:val="007C1861"/>
    <w:rsid w:val="007C2F0F"/>
    <w:rsid w:val="007C334D"/>
    <w:rsid w:val="007C3F51"/>
    <w:rsid w:val="007C49BB"/>
    <w:rsid w:val="007C4FAD"/>
    <w:rsid w:val="007C76D4"/>
    <w:rsid w:val="007D104F"/>
    <w:rsid w:val="007D1A50"/>
    <w:rsid w:val="007D6898"/>
    <w:rsid w:val="007D7294"/>
    <w:rsid w:val="007E35B1"/>
    <w:rsid w:val="007E3CD9"/>
    <w:rsid w:val="007E49F6"/>
    <w:rsid w:val="007E51E2"/>
    <w:rsid w:val="007E69D4"/>
    <w:rsid w:val="007E6B1F"/>
    <w:rsid w:val="007E756B"/>
    <w:rsid w:val="007F1F17"/>
    <w:rsid w:val="007F3804"/>
    <w:rsid w:val="007F5A4B"/>
    <w:rsid w:val="007F7051"/>
    <w:rsid w:val="007F7229"/>
    <w:rsid w:val="007F7BD0"/>
    <w:rsid w:val="00800792"/>
    <w:rsid w:val="00800B09"/>
    <w:rsid w:val="0080233C"/>
    <w:rsid w:val="0080286A"/>
    <w:rsid w:val="008033AF"/>
    <w:rsid w:val="00804C67"/>
    <w:rsid w:val="008069C8"/>
    <w:rsid w:val="00810F26"/>
    <w:rsid w:val="0081494F"/>
    <w:rsid w:val="00815403"/>
    <w:rsid w:val="00816491"/>
    <w:rsid w:val="00820E39"/>
    <w:rsid w:val="0082107E"/>
    <w:rsid w:val="00822F56"/>
    <w:rsid w:val="00822FFA"/>
    <w:rsid w:val="00824D54"/>
    <w:rsid w:val="00827790"/>
    <w:rsid w:val="00827959"/>
    <w:rsid w:val="00830703"/>
    <w:rsid w:val="00831289"/>
    <w:rsid w:val="008312E5"/>
    <w:rsid w:val="0083369B"/>
    <w:rsid w:val="008337AC"/>
    <w:rsid w:val="008343AD"/>
    <w:rsid w:val="00835443"/>
    <w:rsid w:val="008358DE"/>
    <w:rsid w:val="00836E8E"/>
    <w:rsid w:val="00837D5C"/>
    <w:rsid w:val="00837F5E"/>
    <w:rsid w:val="00842250"/>
    <w:rsid w:val="00842930"/>
    <w:rsid w:val="00843562"/>
    <w:rsid w:val="0084359C"/>
    <w:rsid w:val="00843B16"/>
    <w:rsid w:val="00847388"/>
    <w:rsid w:val="00850A45"/>
    <w:rsid w:val="00853205"/>
    <w:rsid w:val="00853849"/>
    <w:rsid w:val="00856560"/>
    <w:rsid w:val="008568E5"/>
    <w:rsid w:val="0085716A"/>
    <w:rsid w:val="00861F28"/>
    <w:rsid w:val="00862729"/>
    <w:rsid w:val="00862D38"/>
    <w:rsid w:val="00863FAA"/>
    <w:rsid w:val="00864183"/>
    <w:rsid w:val="00865E38"/>
    <w:rsid w:val="00867B02"/>
    <w:rsid w:val="00870244"/>
    <w:rsid w:val="00870858"/>
    <w:rsid w:val="008715E0"/>
    <w:rsid w:val="0087175D"/>
    <w:rsid w:val="0087364F"/>
    <w:rsid w:val="00874A8D"/>
    <w:rsid w:val="00875744"/>
    <w:rsid w:val="00877B6A"/>
    <w:rsid w:val="00880B15"/>
    <w:rsid w:val="0088134A"/>
    <w:rsid w:val="00882D2E"/>
    <w:rsid w:val="00882FA5"/>
    <w:rsid w:val="0088469C"/>
    <w:rsid w:val="00885AB7"/>
    <w:rsid w:val="00885CDB"/>
    <w:rsid w:val="00890383"/>
    <w:rsid w:val="008904DF"/>
    <w:rsid w:val="008967E1"/>
    <w:rsid w:val="00896A1B"/>
    <w:rsid w:val="008978E6"/>
    <w:rsid w:val="00897EB8"/>
    <w:rsid w:val="008A0D49"/>
    <w:rsid w:val="008A144A"/>
    <w:rsid w:val="008A1EC9"/>
    <w:rsid w:val="008A22E6"/>
    <w:rsid w:val="008A23FD"/>
    <w:rsid w:val="008A32D8"/>
    <w:rsid w:val="008A33A7"/>
    <w:rsid w:val="008A3D09"/>
    <w:rsid w:val="008A4B5E"/>
    <w:rsid w:val="008A569D"/>
    <w:rsid w:val="008A5724"/>
    <w:rsid w:val="008A6C16"/>
    <w:rsid w:val="008A7ACF"/>
    <w:rsid w:val="008A7D9F"/>
    <w:rsid w:val="008B0A0C"/>
    <w:rsid w:val="008B132A"/>
    <w:rsid w:val="008B1D59"/>
    <w:rsid w:val="008B4FC5"/>
    <w:rsid w:val="008B5391"/>
    <w:rsid w:val="008B7E02"/>
    <w:rsid w:val="008C3AE8"/>
    <w:rsid w:val="008C3D34"/>
    <w:rsid w:val="008D187E"/>
    <w:rsid w:val="008D2E7A"/>
    <w:rsid w:val="008D326B"/>
    <w:rsid w:val="008D457E"/>
    <w:rsid w:val="008D56CD"/>
    <w:rsid w:val="008D6E5D"/>
    <w:rsid w:val="008E2190"/>
    <w:rsid w:val="008E3E63"/>
    <w:rsid w:val="008E4591"/>
    <w:rsid w:val="008E4A17"/>
    <w:rsid w:val="008E4E82"/>
    <w:rsid w:val="008E4F68"/>
    <w:rsid w:val="008F001E"/>
    <w:rsid w:val="008F00F4"/>
    <w:rsid w:val="008F272B"/>
    <w:rsid w:val="008F4DE9"/>
    <w:rsid w:val="008F6B6C"/>
    <w:rsid w:val="008F7FAD"/>
    <w:rsid w:val="0090173E"/>
    <w:rsid w:val="009029E0"/>
    <w:rsid w:val="00902AB5"/>
    <w:rsid w:val="00902C4F"/>
    <w:rsid w:val="009032A6"/>
    <w:rsid w:val="009046CC"/>
    <w:rsid w:val="00904929"/>
    <w:rsid w:val="0090621D"/>
    <w:rsid w:val="00907E96"/>
    <w:rsid w:val="00911B12"/>
    <w:rsid w:val="00911B4E"/>
    <w:rsid w:val="00911B76"/>
    <w:rsid w:val="0091335B"/>
    <w:rsid w:val="009145F5"/>
    <w:rsid w:val="00915C32"/>
    <w:rsid w:val="00915D4D"/>
    <w:rsid w:val="0091622F"/>
    <w:rsid w:val="0091665C"/>
    <w:rsid w:val="009167D7"/>
    <w:rsid w:val="00917962"/>
    <w:rsid w:val="009213EF"/>
    <w:rsid w:val="00922D0B"/>
    <w:rsid w:val="00923153"/>
    <w:rsid w:val="00923E29"/>
    <w:rsid w:val="0092412A"/>
    <w:rsid w:val="00924941"/>
    <w:rsid w:val="00924D75"/>
    <w:rsid w:val="00925A50"/>
    <w:rsid w:val="00925ABB"/>
    <w:rsid w:val="00925C0B"/>
    <w:rsid w:val="00927E9B"/>
    <w:rsid w:val="00932727"/>
    <w:rsid w:val="00933B87"/>
    <w:rsid w:val="00933BF2"/>
    <w:rsid w:val="0093676F"/>
    <w:rsid w:val="00937C45"/>
    <w:rsid w:val="009408BC"/>
    <w:rsid w:val="00944459"/>
    <w:rsid w:val="009453B6"/>
    <w:rsid w:val="0094605F"/>
    <w:rsid w:val="009474F5"/>
    <w:rsid w:val="00952F49"/>
    <w:rsid w:val="00953B93"/>
    <w:rsid w:val="0095481E"/>
    <w:rsid w:val="009550AA"/>
    <w:rsid w:val="00955E75"/>
    <w:rsid w:val="00956CDE"/>
    <w:rsid w:val="00956D4D"/>
    <w:rsid w:val="00957BE8"/>
    <w:rsid w:val="00960D99"/>
    <w:rsid w:val="009620E9"/>
    <w:rsid w:val="00970845"/>
    <w:rsid w:val="00970B0E"/>
    <w:rsid w:val="0097264E"/>
    <w:rsid w:val="0097409F"/>
    <w:rsid w:val="00974222"/>
    <w:rsid w:val="0097424F"/>
    <w:rsid w:val="009758ED"/>
    <w:rsid w:val="009762A5"/>
    <w:rsid w:val="00976554"/>
    <w:rsid w:val="009767A7"/>
    <w:rsid w:val="00976B45"/>
    <w:rsid w:val="00976F0F"/>
    <w:rsid w:val="009827A0"/>
    <w:rsid w:val="00982931"/>
    <w:rsid w:val="00984052"/>
    <w:rsid w:val="00984541"/>
    <w:rsid w:val="009874E2"/>
    <w:rsid w:val="00987AF6"/>
    <w:rsid w:val="00994408"/>
    <w:rsid w:val="00994CE4"/>
    <w:rsid w:val="009A0E4C"/>
    <w:rsid w:val="009A6416"/>
    <w:rsid w:val="009A7D13"/>
    <w:rsid w:val="009B07A0"/>
    <w:rsid w:val="009B3016"/>
    <w:rsid w:val="009B3300"/>
    <w:rsid w:val="009B710C"/>
    <w:rsid w:val="009C34F6"/>
    <w:rsid w:val="009C6254"/>
    <w:rsid w:val="009C69A8"/>
    <w:rsid w:val="009C7D25"/>
    <w:rsid w:val="009D325A"/>
    <w:rsid w:val="009D3291"/>
    <w:rsid w:val="009D48B7"/>
    <w:rsid w:val="009D5C0B"/>
    <w:rsid w:val="009E01F0"/>
    <w:rsid w:val="009E0A02"/>
    <w:rsid w:val="009E1E5C"/>
    <w:rsid w:val="009E46DE"/>
    <w:rsid w:val="009E48F1"/>
    <w:rsid w:val="009E73A5"/>
    <w:rsid w:val="009E7D9D"/>
    <w:rsid w:val="009F023E"/>
    <w:rsid w:val="009F12E8"/>
    <w:rsid w:val="009F3750"/>
    <w:rsid w:val="009F4B43"/>
    <w:rsid w:val="009F748F"/>
    <w:rsid w:val="009F7674"/>
    <w:rsid w:val="00A0282F"/>
    <w:rsid w:val="00A04260"/>
    <w:rsid w:val="00A04C51"/>
    <w:rsid w:val="00A05D22"/>
    <w:rsid w:val="00A05E7A"/>
    <w:rsid w:val="00A115B3"/>
    <w:rsid w:val="00A13971"/>
    <w:rsid w:val="00A13BD7"/>
    <w:rsid w:val="00A13DF1"/>
    <w:rsid w:val="00A1490E"/>
    <w:rsid w:val="00A17395"/>
    <w:rsid w:val="00A2057F"/>
    <w:rsid w:val="00A20730"/>
    <w:rsid w:val="00A20DEB"/>
    <w:rsid w:val="00A2208E"/>
    <w:rsid w:val="00A2414C"/>
    <w:rsid w:val="00A24AB5"/>
    <w:rsid w:val="00A24E34"/>
    <w:rsid w:val="00A259C1"/>
    <w:rsid w:val="00A31484"/>
    <w:rsid w:val="00A315CF"/>
    <w:rsid w:val="00A32CFC"/>
    <w:rsid w:val="00A333B3"/>
    <w:rsid w:val="00A40275"/>
    <w:rsid w:val="00A40A81"/>
    <w:rsid w:val="00A43423"/>
    <w:rsid w:val="00A438CA"/>
    <w:rsid w:val="00A443BF"/>
    <w:rsid w:val="00A45504"/>
    <w:rsid w:val="00A45D9A"/>
    <w:rsid w:val="00A46E0E"/>
    <w:rsid w:val="00A5139A"/>
    <w:rsid w:val="00A51582"/>
    <w:rsid w:val="00A5189F"/>
    <w:rsid w:val="00A51D3B"/>
    <w:rsid w:val="00A52BD0"/>
    <w:rsid w:val="00A536B2"/>
    <w:rsid w:val="00A5746E"/>
    <w:rsid w:val="00A622C6"/>
    <w:rsid w:val="00A62422"/>
    <w:rsid w:val="00A6438F"/>
    <w:rsid w:val="00A64390"/>
    <w:rsid w:val="00A64747"/>
    <w:rsid w:val="00A66562"/>
    <w:rsid w:val="00A6722A"/>
    <w:rsid w:val="00A749FB"/>
    <w:rsid w:val="00A75BC5"/>
    <w:rsid w:val="00A76192"/>
    <w:rsid w:val="00A763CB"/>
    <w:rsid w:val="00A80D39"/>
    <w:rsid w:val="00A82BBA"/>
    <w:rsid w:val="00A84212"/>
    <w:rsid w:val="00A84BD7"/>
    <w:rsid w:val="00A87C30"/>
    <w:rsid w:val="00A87F3F"/>
    <w:rsid w:val="00A9117E"/>
    <w:rsid w:val="00A93293"/>
    <w:rsid w:val="00A9379D"/>
    <w:rsid w:val="00A937A7"/>
    <w:rsid w:val="00A94B9B"/>
    <w:rsid w:val="00A95C6A"/>
    <w:rsid w:val="00A95F4C"/>
    <w:rsid w:val="00A96523"/>
    <w:rsid w:val="00A9687F"/>
    <w:rsid w:val="00A9715A"/>
    <w:rsid w:val="00A97A27"/>
    <w:rsid w:val="00AA01C8"/>
    <w:rsid w:val="00AA0A06"/>
    <w:rsid w:val="00AA1541"/>
    <w:rsid w:val="00AA179B"/>
    <w:rsid w:val="00AA759A"/>
    <w:rsid w:val="00AA79C7"/>
    <w:rsid w:val="00AA7FFB"/>
    <w:rsid w:val="00AB1329"/>
    <w:rsid w:val="00AB138D"/>
    <w:rsid w:val="00AB3884"/>
    <w:rsid w:val="00AB4A84"/>
    <w:rsid w:val="00AB50F9"/>
    <w:rsid w:val="00AB71DE"/>
    <w:rsid w:val="00AC0414"/>
    <w:rsid w:val="00AC10CA"/>
    <w:rsid w:val="00AC113C"/>
    <w:rsid w:val="00AC1E01"/>
    <w:rsid w:val="00AC284D"/>
    <w:rsid w:val="00AC41CC"/>
    <w:rsid w:val="00AC4667"/>
    <w:rsid w:val="00AC7DEA"/>
    <w:rsid w:val="00AD1CA5"/>
    <w:rsid w:val="00AD279B"/>
    <w:rsid w:val="00AD5543"/>
    <w:rsid w:val="00AD63C4"/>
    <w:rsid w:val="00AE174D"/>
    <w:rsid w:val="00AE2D2C"/>
    <w:rsid w:val="00AE635F"/>
    <w:rsid w:val="00AE6CAF"/>
    <w:rsid w:val="00AF0270"/>
    <w:rsid w:val="00AF0D10"/>
    <w:rsid w:val="00AF2E5E"/>
    <w:rsid w:val="00AF45BA"/>
    <w:rsid w:val="00AF54EE"/>
    <w:rsid w:val="00AF709C"/>
    <w:rsid w:val="00AF741B"/>
    <w:rsid w:val="00B00461"/>
    <w:rsid w:val="00B00556"/>
    <w:rsid w:val="00B05080"/>
    <w:rsid w:val="00B064AB"/>
    <w:rsid w:val="00B07B15"/>
    <w:rsid w:val="00B10A16"/>
    <w:rsid w:val="00B11CE3"/>
    <w:rsid w:val="00B13E0D"/>
    <w:rsid w:val="00B15751"/>
    <w:rsid w:val="00B158CC"/>
    <w:rsid w:val="00B164D3"/>
    <w:rsid w:val="00B173CC"/>
    <w:rsid w:val="00B20D5C"/>
    <w:rsid w:val="00B22AA0"/>
    <w:rsid w:val="00B22DE6"/>
    <w:rsid w:val="00B236CF"/>
    <w:rsid w:val="00B24C16"/>
    <w:rsid w:val="00B27571"/>
    <w:rsid w:val="00B3094E"/>
    <w:rsid w:val="00B329F7"/>
    <w:rsid w:val="00B32CC6"/>
    <w:rsid w:val="00B331B5"/>
    <w:rsid w:val="00B332A6"/>
    <w:rsid w:val="00B348D2"/>
    <w:rsid w:val="00B34B5F"/>
    <w:rsid w:val="00B34BBE"/>
    <w:rsid w:val="00B34DFB"/>
    <w:rsid w:val="00B35161"/>
    <w:rsid w:val="00B35E1C"/>
    <w:rsid w:val="00B35E9D"/>
    <w:rsid w:val="00B36F7C"/>
    <w:rsid w:val="00B41E04"/>
    <w:rsid w:val="00B421EC"/>
    <w:rsid w:val="00B43352"/>
    <w:rsid w:val="00B46774"/>
    <w:rsid w:val="00B500DB"/>
    <w:rsid w:val="00B51113"/>
    <w:rsid w:val="00B51289"/>
    <w:rsid w:val="00B52570"/>
    <w:rsid w:val="00B53966"/>
    <w:rsid w:val="00B60269"/>
    <w:rsid w:val="00B616A3"/>
    <w:rsid w:val="00B61DD1"/>
    <w:rsid w:val="00B62AFD"/>
    <w:rsid w:val="00B6343E"/>
    <w:rsid w:val="00B63835"/>
    <w:rsid w:val="00B63F06"/>
    <w:rsid w:val="00B65F24"/>
    <w:rsid w:val="00B66FEB"/>
    <w:rsid w:val="00B676FB"/>
    <w:rsid w:val="00B67781"/>
    <w:rsid w:val="00B67A77"/>
    <w:rsid w:val="00B706E9"/>
    <w:rsid w:val="00B712BD"/>
    <w:rsid w:val="00B71919"/>
    <w:rsid w:val="00B77604"/>
    <w:rsid w:val="00B80F47"/>
    <w:rsid w:val="00B826ED"/>
    <w:rsid w:val="00B831AB"/>
    <w:rsid w:val="00B86723"/>
    <w:rsid w:val="00B90735"/>
    <w:rsid w:val="00B90F5A"/>
    <w:rsid w:val="00B94235"/>
    <w:rsid w:val="00B942F2"/>
    <w:rsid w:val="00B94FCC"/>
    <w:rsid w:val="00B95D6F"/>
    <w:rsid w:val="00BA10FD"/>
    <w:rsid w:val="00BA1BE2"/>
    <w:rsid w:val="00BA238D"/>
    <w:rsid w:val="00BA262B"/>
    <w:rsid w:val="00BA4A1B"/>
    <w:rsid w:val="00BA4DF3"/>
    <w:rsid w:val="00BA7E50"/>
    <w:rsid w:val="00BB10EE"/>
    <w:rsid w:val="00BB7B74"/>
    <w:rsid w:val="00BC0D47"/>
    <w:rsid w:val="00BC151C"/>
    <w:rsid w:val="00BC1BD1"/>
    <w:rsid w:val="00BC42C5"/>
    <w:rsid w:val="00BC4B65"/>
    <w:rsid w:val="00BC66E0"/>
    <w:rsid w:val="00BD078C"/>
    <w:rsid w:val="00BD12C4"/>
    <w:rsid w:val="00BD25DF"/>
    <w:rsid w:val="00BD346C"/>
    <w:rsid w:val="00BD369A"/>
    <w:rsid w:val="00BD46EF"/>
    <w:rsid w:val="00BE0F8F"/>
    <w:rsid w:val="00BE1089"/>
    <w:rsid w:val="00BE15FF"/>
    <w:rsid w:val="00BE3273"/>
    <w:rsid w:val="00BE32DF"/>
    <w:rsid w:val="00BE51AE"/>
    <w:rsid w:val="00BE51BB"/>
    <w:rsid w:val="00BE54DF"/>
    <w:rsid w:val="00BE6E0E"/>
    <w:rsid w:val="00BF2904"/>
    <w:rsid w:val="00BF4DCF"/>
    <w:rsid w:val="00C01A27"/>
    <w:rsid w:val="00C05721"/>
    <w:rsid w:val="00C10383"/>
    <w:rsid w:val="00C11A15"/>
    <w:rsid w:val="00C11A24"/>
    <w:rsid w:val="00C128ED"/>
    <w:rsid w:val="00C12A5B"/>
    <w:rsid w:val="00C131E6"/>
    <w:rsid w:val="00C134B4"/>
    <w:rsid w:val="00C142A9"/>
    <w:rsid w:val="00C15C1E"/>
    <w:rsid w:val="00C15F70"/>
    <w:rsid w:val="00C1633E"/>
    <w:rsid w:val="00C177C2"/>
    <w:rsid w:val="00C204C2"/>
    <w:rsid w:val="00C21E1E"/>
    <w:rsid w:val="00C2317B"/>
    <w:rsid w:val="00C24875"/>
    <w:rsid w:val="00C24CE4"/>
    <w:rsid w:val="00C26152"/>
    <w:rsid w:val="00C26C27"/>
    <w:rsid w:val="00C31441"/>
    <w:rsid w:val="00C31A33"/>
    <w:rsid w:val="00C3259D"/>
    <w:rsid w:val="00C3355D"/>
    <w:rsid w:val="00C339D3"/>
    <w:rsid w:val="00C36871"/>
    <w:rsid w:val="00C3689B"/>
    <w:rsid w:val="00C40695"/>
    <w:rsid w:val="00C419B3"/>
    <w:rsid w:val="00C41A0F"/>
    <w:rsid w:val="00C41D2C"/>
    <w:rsid w:val="00C43160"/>
    <w:rsid w:val="00C47E34"/>
    <w:rsid w:val="00C50424"/>
    <w:rsid w:val="00C5048C"/>
    <w:rsid w:val="00C50F90"/>
    <w:rsid w:val="00C5255E"/>
    <w:rsid w:val="00C55A8D"/>
    <w:rsid w:val="00C56133"/>
    <w:rsid w:val="00C56A9A"/>
    <w:rsid w:val="00C603A5"/>
    <w:rsid w:val="00C6086B"/>
    <w:rsid w:val="00C63B91"/>
    <w:rsid w:val="00C6403F"/>
    <w:rsid w:val="00C65E53"/>
    <w:rsid w:val="00C661FB"/>
    <w:rsid w:val="00C667CA"/>
    <w:rsid w:val="00C7517F"/>
    <w:rsid w:val="00C76437"/>
    <w:rsid w:val="00C76A76"/>
    <w:rsid w:val="00C76F70"/>
    <w:rsid w:val="00C81C99"/>
    <w:rsid w:val="00C83E97"/>
    <w:rsid w:val="00C85C8E"/>
    <w:rsid w:val="00C85FB1"/>
    <w:rsid w:val="00C86E8A"/>
    <w:rsid w:val="00C87401"/>
    <w:rsid w:val="00C87465"/>
    <w:rsid w:val="00C9144E"/>
    <w:rsid w:val="00C91EF5"/>
    <w:rsid w:val="00C93473"/>
    <w:rsid w:val="00C93F11"/>
    <w:rsid w:val="00C94791"/>
    <w:rsid w:val="00C94893"/>
    <w:rsid w:val="00C94F7C"/>
    <w:rsid w:val="00C9768F"/>
    <w:rsid w:val="00C97EF7"/>
    <w:rsid w:val="00CA0CF2"/>
    <w:rsid w:val="00CA1069"/>
    <w:rsid w:val="00CA3E96"/>
    <w:rsid w:val="00CA441B"/>
    <w:rsid w:val="00CA4D43"/>
    <w:rsid w:val="00CA68F0"/>
    <w:rsid w:val="00CA7907"/>
    <w:rsid w:val="00CB24DA"/>
    <w:rsid w:val="00CB41DB"/>
    <w:rsid w:val="00CB4BAA"/>
    <w:rsid w:val="00CC0E22"/>
    <w:rsid w:val="00CC176B"/>
    <w:rsid w:val="00CC202A"/>
    <w:rsid w:val="00CC25A4"/>
    <w:rsid w:val="00CC2AE3"/>
    <w:rsid w:val="00CC4703"/>
    <w:rsid w:val="00CD0629"/>
    <w:rsid w:val="00CD24E8"/>
    <w:rsid w:val="00CD3BDC"/>
    <w:rsid w:val="00CD465B"/>
    <w:rsid w:val="00CD72D3"/>
    <w:rsid w:val="00CE127B"/>
    <w:rsid w:val="00CE1524"/>
    <w:rsid w:val="00CE2646"/>
    <w:rsid w:val="00CE5548"/>
    <w:rsid w:val="00CE610B"/>
    <w:rsid w:val="00CF0B41"/>
    <w:rsid w:val="00CF1240"/>
    <w:rsid w:val="00CF30F2"/>
    <w:rsid w:val="00CF42F4"/>
    <w:rsid w:val="00CF46FB"/>
    <w:rsid w:val="00CF71C5"/>
    <w:rsid w:val="00D00D4E"/>
    <w:rsid w:val="00D02E7C"/>
    <w:rsid w:val="00D04CC1"/>
    <w:rsid w:val="00D0526E"/>
    <w:rsid w:val="00D101A6"/>
    <w:rsid w:val="00D10F9D"/>
    <w:rsid w:val="00D12065"/>
    <w:rsid w:val="00D12190"/>
    <w:rsid w:val="00D14779"/>
    <w:rsid w:val="00D154A8"/>
    <w:rsid w:val="00D202C6"/>
    <w:rsid w:val="00D20494"/>
    <w:rsid w:val="00D205F0"/>
    <w:rsid w:val="00D228A0"/>
    <w:rsid w:val="00D24D6D"/>
    <w:rsid w:val="00D24E6D"/>
    <w:rsid w:val="00D25B82"/>
    <w:rsid w:val="00D271AC"/>
    <w:rsid w:val="00D27BF9"/>
    <w:rsid w:val="00D30335"/>
    <w:rsid w:val="00D321E8"/>
    <w:rsid w:val="00D322A9"/>
    <w:rsid w:val="00D344F3"/>
    <w:rsid w:val="00D34E0A"/>
    <w:rsid w:val="00D35BF1"/>
    <w:rsid w:val="00D35E15"/>
    <w:rsid w:val="00D405AE"/>
    <w:rsid w:val="00D4137F"/>
    <w:rsid w:val="00D421E5"/>
    <w:rsid w:val="00D43AEF"/>
    <w:rsid w:val="00D43E09"/>
    <w:rsid w:val="00D4567F"/>
    <w:rsid w:val="00D46CB4"/>
    <w:rsid w:val="00D47D3D"/>
    <w:rsid w:val="00D52904"/>
    <w:rsid w:val="00D5418C"/>
    <w:rsid w:val="00D545C9"/>
    <w:rsid w:val="00D5475E"/>
    <w:rsid w:val="00D54A39"/>
    <w:rsid w:val="00D575AD"/>
    <w:rsid w:val="00D60793"/>
    <w:rsid w:val="00D61E09"/>
    <w:rsid w:val="00D63A24"/>
    <w:rsid w:val="00D6589C"/>
    <w:rsid w:val="00D65DDF"/>
    <w:rsid w:val="00D66DA5"/>
    <w:rsid w:val="00D67277"/>
    <w:rsid w:val="00D679D7"/>
    <w:rsid w:val="00D67E96"/>
    <w:rsid w:val="00D70887"/>
    <w:rsid w:val="00D72649"/>
    <w:rsid w:val="00D7513D"/>
    <w:rsid w:val="00D7535E"/>
    <w:rsid w:val="00D75521"/>
    <w:rsid w:val="00D75CB9"/>
    <w:rsid w:val="00D76714"/>
    <w:rsid w:val="00D81D62"/>
    <w:rsid w:val="00D82216"/>
    <w:rsid w:val="00D84056"/>
    <w:rsid w:val="00D85D3A"/>
    <w:rsid w:val="00D86B35"/>
    <w:rsid w:val="00D86C8C"/>
    <w:rsid w:val="00D86F91"/>
    <w:rsid w:val="00D8755F"/>
    <w:rsid w:val="00D87686"/>
    <w:rsid w:val="00D90460"/>
    <w:rsid w:val="00D91D4F"/>
    <w:rsid w:val="00D938BB"/>
    <w:rsid w:val="00D93BD6"/>
    <w:rsid w:val="00D947B3"/>
    <w:rsid w:val="00D95988"/>
    <w:rsid w:val="00D95991"/>
    <w:rsid w:val="00D96901"/>
    <w:rsid w:val="00D96C8A"/>
    <w:rsid w:val="00D96EA2"/>
    <w:rsid w:val="00D973DA"/>
    <w:rsid w:val="00DA036D"/>
    <w:rsid w:val="00DA04FA"/>
    <w:rsid w:val="00DA2553"/>
    <w:rsid w:val="00DA3025"/>
    <w:rsid w:val="00DA3A50"/>
    <w:rsid w:val="00DA44BE"/>
    <w:rsid w:val="00DA5039"/>
    <w:rsid w:val="00DA68C9"/>
    <w:rsid w:val="00DA7DC7"/>
    <w:rsid w:val="00DB14FE"/>
    <w:rsid w:val="00DB1AE7"/>
    <w:rsid w:val="00DB2317"/>
    <w:rsid w:val="00DB2E48"/>
    <w:rsid w:val="00DB3EB6"/>
    <w:rsid w:val="00DB4226"/>
    <w:rsid w:val="00DB4BAE"/>
    <w:rsid w:val="00DB58B7"/>
    <w:rsid w:val="00DC1455"/>
    <w:rsid w:val="00DC167F"/>
    <w:rsid w:val="00DC1E8C"/>
    <w:rsid w:val="00DC2BBF"/>
    <w:rsid w:val="00DC2D81"/>
    <w:rsid w:val="00DC72B6"/>
    <w:rsid w:val="00DD21CA"/>
    <w:rsid w:val="00DD24FE"/>
    <w:rsid w:val="00DD3E82"/>
    <w:rsid w:val="00DD42E9"/>
    <w:rsid w:val="00DD4F1E"/>
    <w:rsid w:val="00DD60C1"/>
    <w:rsid w:val="00DD73D1"/>
    <w:rsid w:val="00DD7CB0"/>
    <w:rsid w:val="00DE40DA"/>
    <w:rsid w:val="00DE4F1B"/>
    <w:rsid w:val="00DE5ED5"/>
    <w:rsid w:val="00DE68C2"/>
    <w:rsid w:val="00DE70C5"/>
    <w:rsid w:val="00DE74FF"/>
    <w:rsid w:val="00DF099F"/>
    <w:rsid w:val="00DF0A3D"/>
    <w:rsid w:val="00DF0D67"/>
    <w:rsid w:val="00DF2EB8"/>
    <w:rsid w:val="00DF7463"/>
    <w:rsid w:val="00DF7852"/>
    <w:rsid w:val="00DF7D56"/>
    <w:rsid w:val="00E0109F"/>
    <w:rsid w:val="00E05938"/>
    <w:rsid w:val="00E05B37"/>
    <w:rsid w:val="00E10926"/>
    <w:rsid w:val="00E123E8"/>
    <w:rsid w:val="00E17472"/>
    <w:rsid w:val="00E17AA0"/>
    <w:rsid w:val="00E205E9"/>
    <w:rsid w:val="00E20C15"/>
    <w:rsid w:val="00E21699"/>
    <w:rsid w:val="00E22246"/>
    <w:rsid w:val="00E243E6"/>
    <w:rsid w:val="00E2734A"/>
    <w:rsid w:val="00E27AC1"/>
    <w:rsid w:val="00E306A6"/>
    <w:rsid w:val="00E322E5"/>
    <w:rsid w:val="00E33A35"/>
    <w:rsid w:val="00E369DF"/>
    <w:rsid w:val="00E415E6"/>
    <w:rsid w:val="00E41D06"/>
    <w:rsid w:val="00E4484E"/>
    <w:rsid w:val="00E4538D"/>
    <w:rsid w:val="00E462EA"/>
    <w:rsid w:val="00E46AF9"/>
    <w:rsid w:val="00E47119"/>
    <w:rsid w:val="00E472A4"/>
    <w:rsid w:val="00E50E64"/>
    <w:rsid w:val="00E51AF2"/>
    <w:rsid w:val="00E622FD"/>
    <w:rsid w:val="00E64107"/>
    <w:rsid w:val="00E64128"/>
    <w:rsid w:val="00E65CED"/>
    <w:rsid w:val="00E6716B"/>
    <w:rsid w:val="00E6751C"/>
    <w:rsid w:val="00E71944"/>
    <w:rsid w:val="00E73E12"/>
    <w:rsid w:val="00E74906"/>
    <w:rsid w:val="00E760D5"/>
    <w:rsid w:val="00E7612E"/>
    <w:rsid w:val="00E77108"/>
    <w:rsid w:val="00E7722A"/>
    <w:rsid w:val="00E82640"/>
    <w:rsid w:val="00E82A53"/>
    <w:rsid w:val="00E82AE2"/>
    <w:rsid w:val="00E859BC"/>
    <w:rsid w:val="00E85CEC"/>
    <w:rsid w:val="00E868E3"/>
    <w:rsid w:val="00E879AC"/>
    <w:rsid w:val="00E9394F"/>
    <w:rsid w:val="00E96042"/>
    <w:rsid w:val="00E9666D"/>
    <w:rsid w:val="00E9700F"/>
    <w:rsid w:val="00E97B9D"/>
    <w:rsid w:val="00EA25E5"/>
    <w:rsid w:val="00EA2A60"/>
    <w:rsid w:val="00EA31F2"/>
    <w:rsid w:val="00EA4187"/>
    <w:rsid w:val="00EA4402"/>
    <w:rsid w:val="00EA5A49"/>
    <w:rsid w:val="00EA6BDC"/>
    <w:rsid w:val="00EA78D1"/>
    <w:rsid w:val="00EB0BD5"/>
    <w:rsid w:val="00EB2229"/>
    <w:rsid w:val="00EB2301"/>
    <w:rsid w:val="00EB2641"/>
    <w:rsid w:val="00EC027F"/>
    <w:rsid w:val="00EC1887"/>
    <w:rsid w:val="00EC2F41"/>
    <w:rsid w:val="00EC3143"/>
    <w:rsid w:val="00EC3FA8"/>
    <w:rsid w:val="00EC5017"/>
    <w:rsid w:val="00EC52A5"/>
    <w:rsid w:val="00EC6FE3"/>
    <w:rsid w:val="00EC7097"/>
    <w:rsid w:val="00EC78B8"/>
    <w:rsid w:val="00ED0134"/>
    <w:rsid w:val="00ED1005"/>
    <w:rsid w:val="00ED26B9"/>
    <w:rsid w:val="00ED33A6"/>
    <w:rsid w:val="00ED796F"/>
    <w:rsid w:val="00ED7A7E"/>
    <w:rsid w:val="00EE29DB"/>
    <w:rsid w:val="00EE3D10"/>
    <w:rsid w:val="00EE4350"/>
    <w:rsid w:val="00EE5083"/>
    <w:rsid w:val="00EE57A6"/>
    <w:rsid w:val="00EE6AF0"/>
    <w:rsid w:val="00EE6B5C"/>
    <w:rsid w:val="00EF2097"/>
    <w:rsid w:val="00EF29D5"/>
    <w:rsid w:val="00EF4245"/>
    <w:rsid w:val="00EF463F"/>
    <w:rsid w:val="00EF5A1C"/>
    <w:rsid w:val="00EF7601"/>
    <w:rsid w:val="00EF788A"/>
    <w:rsid w:val="00F007F4"/>
    <w:rsid w:val="00F0329E"/>
    <w:rsid w:val="00F03646"/>
    <w:rsid w:val="00F03BB6"/>
    <w:rsid w:val="00F0432E"/>
    <w:rsid w:val="00F067B1"/>
    <w:rsid w:val="00F06F3A"/>
    <w:rsid w:val="00F10AAD"/>
    <w:rsid w:val="00F11790"/>
    <w:rsid w:val="00F124DB"/>
    <w:rsid w:val="00F128D0"/>
    <w:rsid w:val="00F148E6"/>
    <w:rsid w:val="00F15B2E"/>
    <w:rsid w:val="00F16456"/>
    <w:rsid w:val="00F200E7"/>
    <w:rsid w:val="00F227FD"/>
    <w:rsid w:val="00F23862"/>
    <w:rsid w:val="00F2404F"/>
    <w:rsid w:val="00F24CA0"/>
    <w:rsid w:val="00F26F35"/>
    <w:rsid w:val="00F32926"/>
    <w:rsid w:val="00F35CAC"/>
    <w:rsid w:val="00F36E0C"/>
    <w:rsid w:val="00F41ED2"/>
    <w:rsid w:val="00F422BF"/>
    <w:rsid w:val="00F42A49"/>
    <w:rsid w:val="00F4312E"/>
    <w:rsid w:val="00F4465A"/>
    <w:rsid w:val="00F44C64"/>
    <w:rsid w:val="00F450BB"/>
    <w:rsid w:val="00F45A7E"/>
    <w:rsid w:val="00F46FDB"/>
    <w:rsid w:val="00F509E4"/>
    <w:rsid w:val="00F52AF7"/>
    <w:rsid w:val="00F52F7B"/>
    <w:rsid w:val="00F556B9"/>
    <w:rsid w:val="00F564F1"/>
    <w:rsid w:val="00F61655"/>
    <w:rsid w:val="00F61749"/>
    <w:rsid w:val="00F618AF"/>
    <w:rsid w:val="00F63D1A"/>
    <w:rsid w:val="00F6429C"/>
    <w:rsid w:val="00F64609"/>
    <w:rsid w:val="00F64CBE"/>
    <w:rsid w:val="00F65381"/>
    <w:rsid w:val="00F660EA"/>
    <w:rsid w:val="00F66304"/>
    <w:rsid w:val="00F6648E"/>
    <w:rsid w:val="00F66D83"/>
    <w:rsid w:val="00F66EF7"/>
    <w:rsid w:val="00F677E8"/>
    <w:rsid w:val="00F709ED"/>
    <w:rsid w:val="00F70FDD"/>
    <w:rsid w:val="00F71782"/>
    <w:rsid w:val="00F72E60"/>
    <w:rsid w:val="00F73AD4"/>
    <w:rsid w:val="00F73B89"/>
    <w:rsid w:val="00F7401E"/>
    <w:rsid w:val="00F759FD"/>
    <w:rsid w:val="00F76782"/>
    <w:rsid w:val="00F77DCF"/>
    <w:rsid w:val="00F8098D"/>
    <w:rsid w:val="00F8137D"/>
    <w:rsid w:val="00F82E17"/>
    <w:rsid w:val="00F84F3E"/>
    <w:rsid w:val="00F9000A"/>
    <w:rsid w:val="00F906DE"/>
    <w:rsid w:val="00F910E2"/>
    <w:rsid w:val="00F93D95"/>
    <w:rsid w:val="00F95200"/>
    <w:rsid w:val="00F96B01"/>
    <w:rsid w:val="00F973A8"/>
    <w:rsid w:val="00FA2A9F"/>
    <w:rsid w:val="00FA2F16"/>
    <w:rsid w:val="00FA46C9"/>
    <w:rsid w:val="00FA4F9F"/>
    <w:rsid w:val="00FA5143"/>
    <w:rsid w:val="00FA6E65"/>
    <w:rsid w:val="00FA71E5"/>
    <w:rsid w:val="00FB22C1"/>
    <w:rsid w:val="00FB5615"/>
    <w:rsid w:val="00FB6B6F"/>
    <w:rsid w:val="00FB7AF8"/>
    <w:rsid w:val="00FC07DF"/>
    <w:rsid w:val="00FC098E"/>
    <w:rsid w:val="00FC0FC1"/>
    <w:rsid w:val="00FC127D"/>
    <w:rsid w:val="00FC1D18"/>
    <w:rsid w:val="00FC247C"/>
    <w:rsid w:val="00FC748F"/>
    <w:rsid w:val="00FC75B0"/>
    <w:rsid w:val="00FD09F0"/>
    <w:rsid w:val="00FD215F"/>
    <w:rsid w:val="00FD253F"/>
    <w:rsid w:val="00FD3715"/>
    <w:rsid w:val="00FD5A0B"/>
    <w:rsid w:val="00FE0C1F"/>
    <w:rsid w:val="00FE0E02"/>
    <w:rsid w:val="00FE0E43"/>
    <w:rsid w:val="00FE1367"/>
    <w:rsid w:val="00FE209C"/>
    <w:rsid w:val="00FE40ED"/>
    <w:rsid w:val="00FE4731"/>
    <w:rsid w:val="00FE5A35"/>
    <w:rsid w:val="00FF245D"/>
    <w:rsid w:val="00FF3BF4"/>
    <w:rsid w:val="00FF52FA"/>
    <w:rsid w:val="00FF67D0"/>
    <w:rsid w:val="00FF6C7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3A6"/>
    <w:pPr>
      <w:spacing w:after="200" w:line="276" w:lineRule="auto"/>
    </w:pPr>
    <w:rPr>
      <w:sz w:val="22"/>
      <w:szCs w:val="22"/>
      <w:lang w:eastAsia="en-US"/>
    </w:rPr>
  </w:style>
  <w:style w:type="paragraph" w:styleId="Heading1">
    <w:name w:val="heading 1"/>
    <w:basedOn w:val="Normal"/>
    <w:next w:val="Normal"/>
    <w:link w:val="Heading1Char"/>
    <w:uiPriority w:val="9"/>
    <w:qFormat/>
    <w:rsid w:val="006C1A87"/>
    <w:pPr>
      <w:keepNext/>
      <w:spacing w:before="240" w:after="60"/>
      <w:jc w:val="both"/>
      <w:outlineLvl w:val="0"/>
    </w:pPr>
    <w:rPr>
      <w:rFonts w:eastAsia="Times New Roman"/>
      <w:bCs/>
      <w:kern w:val="32"/>
      <w:sz w:val="32"/>
      <w:szCs w:val="32"/>
    </w:rPr>
  </w:style>
  <w:style w:type="paragraph" w:styleId="Heading2">
    <w:name w:val="heading 2"/>
    <w:basedOn w:val="Normal"/>
    <w:next w:val="Normal"/>
    <w:link w:val="Heading2Char"/>
    <w:uiPriority w:val="9"/>
    <w:qFormat/>
    <w:rsid w:val="0032057B"/>
    <w:pPr>
      <w:keepNext/>
      <w:spacing w:before="240" w:after="60"/>
      <w:jc w:val="both"/>
      <w:outlineLvl w:val="1"/>
    </w:pPr>
    <w:rPr>
      <w:rFonts w:eastAsia="Times New Roman" w:cs="Calibri"/>
      <w:bCs/>
      <w:i/>
      <w:iCs/>
      <w:sz w:val="28"/>
      <w:szCs w:val="28"/>
      <w:lang w:val="en-GB"/>
    </w:rPr>
  </w:style>
  <w:style w:type="paragraph" w:styleId="Heading3">
    <w:name w:val="heading 3"/>
    <w:basedOn w:val="Normal"/>
    <w:next w:val="Normal"/>
    <w:link w:val="Heading3Char"/>
    <w:uiPriority w:val="9"/>
    <w:unhideWhenUsed/>
    <w:qFormat/>
    <w:rsid w:val="00AF741B"/>
    <w:pPr>
      <w:keepNext/>
      <w:keepLines/>
      <w:spacing w:before="200" w:after="0"/>
      <w:outlineLvl w:val="2"/>
    </w:pPr>
    <w:rPr>
      <w:rFonts w:asciiTheme="majorHAnsi" w:eastAsiaTheme="majorEastAsia" w:hAnsiTheme="majorHAnsi" w:cstheme="majorHAns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481472"/>
    <w:pPr>
      <w:ind w:left="720"/>
      <w:contextualSpacing/>
    </w:pPr>
  </w:style>
  <w:style w:type="character" w:customStyle="1" w:styleId="apple-style-span">
    <w:name w:val="apple-style-span"/>
    <w:rsid w:val="00624379"/>
  </w:style>
  <w:style w:type="character" w:customStyle="1" w:styleId="apple-converted-space">
    <w:name w:val="apple-converted-space"/>
    <w:rsid w:val="00624379"/>
  </w:style>
  <w:style w:type="paragraph" w:styleId="Subtitle">
    <w:name w:val="Subtitle"/>
    <w:basedOn w:val="Normal"/>
    <w:next w:val="Normal"/>
    <w:link w:val="SubtitleChar"/>
    <w:uiPriority w:val="11"/>
    <w:qFormat/>
    <w:rsid w:val="002C516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2C5163"/>
    <w:rPr>
      <w:rFonts w:ascii="Cambria" w:eastAsia="Times New Roman" w:hAnsi="Cambria"/>
      <w:i/>
      <w:iCs/>
      <w:color w:val="4F81BD"/>
      <w:spacing w:val="15"/>
      <w:sz w:val="24"/>
      <w:szCs w:val="24"/>
      <w:lang w:eastAsia="en-US"/>
    </w:rPr>
  </w:style>
  <w:style w:type="paragraph" w:styleId="NoSpacing">
    <w:name w:val="No Spacing"/>
    <w:uiPriority w:val="1"/>
    <w:qFormat/>
    <w:rsid w:val="002C5163"/>
    <w:rPr>
      <w:sz w:val="22"/>
      <w:szCs w:val="22"/>
      <w:lang w:val="es-GT" w:eastAsia="en-US"/>
    </w:rPr>
  </w:style>
  <w:style w:type="character" w:customStyle="1" w:styleId="Heading1Char">
    <w:name w:val="Heading 1 Char"/>
    <w:link w:val="Heading1"/>
    <w:uiPriority w:val="9"/>
    <w:rsid w:val="006C1A87"/>
    <w:rPr>
      <w:rFonts w:eastAsia="Times New Roman"/>
      <w:bCs/>
      <w:kern w:val="32"/>
      <w:sz w:val="32"/>
      <w:szCs w:val="32"/>
      <w:lang w:eastAsia="en-US"/>
    </w:rPr>
  </w:style>
  <w:style w:type="character" w:customStyle="1" w:styleId="Heading2Char">
    <w:name w:val="Heading 2 Char"/>
    <w:link w:val="Heading2"/>
    <w:uiPriority w:val="9"/>
    <w:rsid w:val="0032057B"/>
    <w:rPr>
      <w:rFonts w:eastAsia="Times New Roman" w:cs="Calibri"/>
      <w:bCs/>
      <w:i/>
      <w:iCs/>
      <w:sz w:val="28"/>
      <w:szCs w:val="28"/>
      <w:lang w:val="en-GB" w:eastAsia="en-US"/>
    </w:rPr>
  </w:style>
  <w:style w:type="paragraph" w:styleId="TOCHeading">
    <w:name w:val="TOC Heading"/>
    <w:basedOn w:val="Heading1"/>
    <w:next w:val="Normal"/>
    <w:uiPriority w:val="39"/>
    <w:qFormat/>
    <w:rsid w:val="004049D9"/>
    <w:pPr>
      <w:keepLines/>
      <w:spacing w:before="480" w:after="0"/>
      <w:outlineLvl w:val="9"/>
    </w:pPr>
    <w:rPr>
      <w:rFonts w:ascii="Cambria" w:hAnsi="Cambria"/>
      <w:color w:val="365F91"/>
      <w:kern w:val="0"/>
      <w:sz w:val="28"/>
      <w:szCs w:val="28"/>
      <w:lang w:val="es-GT" w:eastAsia="es-GT"/>
    </w:rPr>
  </w:style>
  <w:style w:type="paragraph" w:styleId="TOC1">
    <w:name w:val="toc 1"/>
    <w:basedOn w:val="NoSpacing"/>
    <w:next w:val="Normal"/>
    <w:autoRedefine/>
    <w:uiPriority w:val="39"/>
    <w:unhideWhenUsed/>
    <w:rsid w:val="008B132A"/>
    <w:pPr>
      <w:tabs>
        <w:tab w:val="left" w:pos="851"/>
        <w:tab w:val="right" w:leader="dot" w:pos="8828"/>
      </w:tabs>
      <w:spacing w:before="240" w:after="240"/>
      <w:ind w:left="425" w:hanging="425"/>
    </w:pPr>
    <w:rPr>
      <w:rFonts w:ascii="Book Antiqua" w:hAnsi="Book Antiqua"/>
      <w:b/>
      <w:noProof/>
    </w:rPr>
  </w:style>
  <w:style w:type="paragraph" w:styleId="TOC2">
    <w:name w:val="toc 2"/>
    <w:basedOn w:val="Normal"/>
    <w:next w:val="Normal"/>
    <w:autoRedefine/>
    <w:uiPriority w:val="39"/>
    <w:unhideWhenUsed/>
    <w:rsid w:val="00EE6AF0"/>
    <w:pPr>
      <w:tabs>
        <w:tab w:val="left" w:pos="880"/>
        <w:tab w:val="right" w:leader="dot" w:pos="8828"/>
      </w:tabs>
      <w:ind w:left="426"/>
    </w:pPr>
    <w:rPr>
      <w:rFonts w:ascii="Book Antiqua" w:hAnsi="Book Antiqua"/>
      <w:noProof/>
      <w:lang w:val="es-GT"/>
    </w:rPr>
  </w:style>
  <w:style w:type="character" w:styleId="Hyperlink">
    <w:name w:val="Hyperlink"/>
    <w:uiPriority w:val="99"/>
    <w:unhideWhenUsed/>
    <w:rsid w:val="004049D9"/>
    <w:rPr>
      <w:color w:val="0000FF"/>
      <w:u w:val="single"/>
    </w:rPr>
  </w:style>
  <w:style w:type="table" w:styleId="TableGrid">
    <w:name w:val="Table Grid"/>
    <w:basedOn w:val="TableNormal"/>
    <w:uiPriority w:val="59"/>
    <w:rsid w:val="00AF2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B164D3"/>
    <w:rPr>
      <w:sz w:val="20"/>
      <w:szCs w:val="20"/>
    </w:rPr>
  </w:style>
  <w:style w:type="character" w:styleId="FootnoteReference">
    <w:name w:val="footnote reference"/>
    <w:uiPriority w:val="99"/>
    <w:semiHidden/>
    <w:rsid w:val="00B164D3"/>
    <w:rPr>
      <w:vertAlign w:val="superscript"/>
    </w:rPr>
  </w:style>
  <w:style w:type="paragraph" w:styleId="Header">
    <w:name w:val="header"/>
    <w:basedOn w:val="Normal"/>
    <w:link w:val="HeaderChar"/>
    <w:uiPriority w:val="99"/>
    <w:unhideWhenUsed/>
    <w:rsid w:val="00CC2AE3"/>
    <w:pPr>
      <w:tabs>
        <w:tab w:val="center" w:pos="4419"/>
        <w:tab w:val="right" w:pos="8838"/>
      </w:tabs>
    </w:pPr>
  </w:style>
  <w:style w:type="character" w:customStyle="1" w:styleId="HeaderChar">
    <w:name w:val="Header Char"/>
    <w:link w:val="Header"/>
    <w:uiPriority w:val="99"/>
    <w:rsid w:val="00CC2AE3"/>
    <w:rPr>
      <w:sz w:val="22"/>
      <w:szCs w:val="22"/>
      <w:lang w:val="en-US" w:eastAsia="en-US"/>
    </w:rPr>
  </w:style>
  <w:style w:type="paragraph" w:styleId="Footer">
    <w:name w:val="footer"/>
    <w:basedOn w:val="Normal"/>
    <w:link w:val="FooterChar"/>
    <w:uiPriority w:val="99"/>
    <w:unhideWhenUsed/>
    <w:rsid w:val="00CC2AE3"/>
    <w:pPr>
      <w:tabs>
        <w:tab w:val="center" w:pos="4419"/>
        <w:tab w:val="right" w:pos="8838"/>
      </w:tabs>
    </w:pPr>
  </w:style>
  <w:style w:type="character" w:customStyle="1" w:styleId="FooterChar">
    <w:name w:val="Footer Char"/>
    <w:link w:val="Footer"/>
    <w:uiPriority w:val="99"/>
    <w:rsid w:val="00CC2AE3"/>
    <w:rPr>
      <w:sz w:val="22"/>
      <w:szCs w:val="22"/>
      <w:lang w:val="en-US" w:eastAsia="en-US"/>
    </w:rPr>
  </w:style>
  <w:style w:type="paragraph" w:styleId="BalloonText">
    <w:name w:val="Balloon Text"/>
    <w:basedOn w:val="Normal"/>
    <w:link w:val="BalloonTextChar"/>
    <w:uiPriority w:val="99"/>
    <w:semiHidden/>
    <w:unhideWhenUsed/>
    <w:rsid w:val="00CC2AE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C2AE3"/>
    <w:rPr>
      <w:rFonts w:ascii="Tahoma" w:hAnsi="Tahoma" w:cs="Tahoma"/>
      <w:sz w:val="16"/>
      <w:szCs w:val="16"/>
      <w:lang w:val="en-US" w:eastAsia="en-US"/>
    </w:rPr>
  </w:style>
  <w:style w:type="paragraph" w:styleId="EndnoteText">
    <w:name w:val="endnote text"/>
    <w:basedOn w:val="Normal"/>
    <w:link w:val="EndnoteTextChar"/>
    <w:uiPriority w:val="99"/>
    <w:semiHidden/>
    <w:unhideWhenUsed/>
    <w:rsid w:val="003F4FB8"/>
    <w:rPr>
      <w:sz w:val="20"/>
      <w:szCs w:val="20"/>
    </w:rPr>
  </w:style>
  <w:style w:type="character" w:customStyle="1" w:styleId="EndnoteTextChar">
    <w:name w:val="Endnote Text Char"/>
    <w:link w:val="EndnoteText"/>
    <w:uiPriority w:val="99"/>
    <w:semiHidden/>
    <w:rsid w:val="003F4FB8"/>
    <w:rPr>
      <w:lang w:val="en-US" w:eastAsia="en-US"/>
    </w:rPr>
  </w:style>
  <w:style w:type="character" w:styleId="EndnoteReference">
    <w:name w:val="endnote reference"/>
    <w:uiPriority w:val="99"/>
    <w:semiHidden/>
    <w:unhideWhenUsed/>
    <w:rsid w:val="003F4FB8"/>
    <w:rPr>
      <w:vertAlign w:val="superscript"/>
    </w:rPr>
  </w:style>
  <w:style w:type="character" w:styleId="CommentReference">
    <w:name w:val="annotation reference"/>
    <w:uiPriority w:val="99"/>
    <w:semiHidden/>
    <w:unhideWhenUsed/>
    <w:rsid w:val="00BC42C5"/>
    <w:rPr>
      <w:sz w:val="16"/>
      <w:szCs w:val="16"/>
    </w:rPr>
  </w:style>
  <w:style w:type="paragraph" w:styleId="CommentText">
    <w:name w:val="annotation text"/>
    <w:basedOn w:val="Normal"/>
    <w:link w:val="CommentTextChar"/>
    <w:uiPriority w:val="99"/>
    <w:unhideWhenUsed/>
    <w:rsid w:val="00BC42C5"/>
    <w:rPr>
      <w:sz w:val="20"/>
      <w:szCs w:val="20"/>
    </w:rPr>
  </w:style>
  <w:style w:type="character" w:customStyle="1" w:styleId="CommentTextChar">
    <w:name w:val="Comment Text Char"/>
    <w:link w:val="CommentText"/>
    <w:uiPriority w:val="99"/>
    <w:rsid w:val="00BC42C5"/>
    <w:rPr>
      <w:lang w:val="en-US" w:eastAsia="en-US"/>
    </w:rPr>
  </w:style>
  <w:style w:type="paragraph" w:styleId="CommentSubject">
    <w:name w:val="annotation subject"/>
    <w:basedOn w:val="CommentText"/>
    <w:next w:val="CommentText"/>
    <w:link w:val="CommentSubjectChar"/>
    <w:uiPriority w:val="99"/>
    <w:semiHidden/>
    <w:unhideWhenUsed/>
    <w:rsid w:val="00BC42C5"/>
    <w:rPr>
      <w:b/>
      <w:bCs/>
    </w:rPr>
  </w:style>
  <w:style w:type="character" w:customStyle="1" w:styleId="CommentSubjectChar">
    <w:name w:val="Comment Subject Char"/>
    <w:link w:val="CommentSubject"/>
    <w:uiPriority w:val="99"/>
    <w:semiHidden/>
    <w:rsid w:val="00BC42C5"/>
    <w:rPr>
      <w:b/>
      <w:bCs/>
      <w:lang w:val="en-US" w:eastAsia="en-US"/>
    </w:rPr>
  </w:style>
  <w:style w:type="paragraph" w:styleId="NormalWeb">
    <w:name w:val="Normal (Web)"/>
    <w:basedOn w:val="Normal"/>
    <w:uiPriority w:val="99"/>
    <w:semiHidden/>
    <w:unhideWhenUsed/>
    <w:rsid w:val="00BE3273"/>
    <w:pPr>
      <w:spacing w:before="100" w:beforeAutospacing="1" w:after="100" w:afterAutospacing="1" w:line="240" w:lineRule="auto"/>
    </w:pPr>
    <w:rPr>
      <w:rFonts w:ascii="Times New Roman" w:eastAsia="Times New Roman" w:hAnsi="Times New Roman"/>
      <w:sz w:val="24"/>
      <w:szCs w:val="24"/>
      <w:lang w:val="es-GT" w:eastAsia="es-GT"/>
    </w:rPr>
  </w:style>
  <w:style w:type="character" w:styleId="FollowedHyperlink">
    <w:name w:val="FollowedHyperlink"/>
    <w:uiPriority w:val="99"/>
    <w:semiHidden/>
    <w:unhideWhenUsed/>
    <w:rsid w:val="005253C6"/>
    <w:rPr>
      <w:color w:val="800080"/>
      <w:u w:val="single"/>
    </w:rPr>
  </w:style>
  <w:style w:type="character" w:customStyle="1" w:styleId="FootnoteTextChar">
    <w:name w:val="Footnote Text Char"/>
    <w:link w:val="FootnoteText"/>
    <w:uiPriority w:val="99"/>
    <w:semiHidden/>
    <w:rsid w:val="003F1D7C"/>
    <w:rPr>
      <w:lang w:val="en-US" w:eastAsia="en-US"/>
    </w:rPr>
  </w:style>
  <w:style w:type="character" w:customStyle="1" w:styleId="ListParagraphChar">
    <w:name w:val="List Paragraph Char"/>
    <w:link w:val="ListParagraph"/>
    <w:uiPriority w:val="99"/>
    <w:locked/>
    <w:rsid w:val="005A7CEB"/>
    <w:rPr>
      <w:sz w:val="22"/>
      <w:szCs w:val="22"/>
      <w:lang w:val="en-US" w:eastAsia="en-US"/>
    </w:rPr>
  </w:style>
  <w:style w:type="paragraph" w:styleId="Revision">
    <w:name w:val="Revision"/>
    <w:hidden/>
    <w:uiPriority w:val="71"/>
    <w:rsid w:val="00A87F3F"/>
    <w:rPr>
      <w:sz w:val="22"/>
      <w:szCs w:val="22"/>
      <w:lang w:eastAsia="en-US"/>
    </w:rPr>
  </w:style>
  <w:style w:type="character" w:customStyle="1" w:styleId="Heading3Char">
    <w:name w:val="Heading 3 Char"/>
    <w:basedOn w:val="DefaultParagraphFont"/>
    <w:link w:val="Heading3"/>
    <w:uiPriority w:val="9"/>
    <w:rsid w:val="00AF741B"/>
    <w:rPr>
      <w:rFonts w:asciiTheme="majorHAnsi" w:eastAsiaTheme="majorEastAsia" w:hAnsiTheme="majorHAnsi" w:cstheme="majorHAnsi"/>
      <w:b/>
      <w:bCs/>
      <w:color w:val="4F81BD" w:themeColor="accent1"/>
      <w:sz w:val="22"/>
      <w:szCs w:val="22"/>
      <w:lang w:val="en-GB" w:eastAsia="en-US"/>
    </w:rPr>
  </w:style>
  <w:style w:type="paragraph" w:styleId="TOC3">
    <w:name w:val="toc 3"/>
    <w:basedOn w:val="Normal"/>
    <w:next w:val="Normal"/>
    <w:autoRedefine/>
    <w:uiPriority w:val="39"/>
    <w:unhideWhenUsed/>
    <w:rsid w:val="00236968"/>
    <w:pPr>
      <w:spacing w:after="100"/>
      <w:ind w:left="440"/>
    </w:pPr>
  </w:style>
  <w:style w:type="paragraph" w:customStyle="1" w:styleId="Tabletitle">
    <w:name w:val="Table title"/>
    <w:basedOn w:val="Normal"/>
    <w:link w:val="TabletitleChar"/>
    <w:qFormat/>
    <w:rsid w:val="00EC3FA8"/>
    <w:pPr>
      <w:spacing w:line="240" w:lineRule="auto"/>
      <w:ind w:left="1440" w:hanging="1440"/>
    </w:pPr>
    <w:rPr>
      <w:rFonts w:ascii="Book Antiqua" w:hAnsi="Book Antiqua"/>
      <w:b/>
      <w:noProof/>
      <w:lang w:val="en-GB" w:eastAsia="es-GT"/>
    </w:rPr>
  </w:style>
  <w:style w:type="character" w:customStyle="1" w:styleId="TabletitleChar">
    <w:name w:val="Table title Char"/>
    <w:basedOn w:val="DefaultParagraphFont"/>
    <w:link w:val="Tabletitle"/>
    <w:rsid w:val="00EC3FA8"/>
    <w:rPr>
      <w:rFonts w:ascii="Book Antiqua" w:hAnsi="Book Antiqua"/>
      <w:b/>
      <w:noProof/>
      <w:sz w:val="22"/>
      <w:szCs w:val="22"/>
      <w:lang w:val="en-GB" w:eastAsia="es-GT"/>
    </w:rPr>
  </w:style>
  <w:style w:type="character" w:customStyle="1" w:styleId="hps">
    <w:name w:val="hps"/>
    <w:basedOn w:val="DefaultParagraphFont"/>
    <w:rsid w:val="00A31484"/>
  </w:style>
  <w:style w:type="character" w:customStyle="1" w:styleId="atn">
    <w:name w:val="atn"/>
    <w:basedOn w:val="DefaultParagraphFont"/>
    <w:rsid w:val="00A31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3A6"/>
    <w:pPr>
      <w:spacing w:after="200" w:line="276" w:lineRule="auto"/>
    </w:pPr>
    <w:rPr>
      <w:sz w:val="22"/>
      <w:szCs w:val="22"/>
      <w:lang w:eastAsia="en-US"/>
    </w:rPr>
  </w:style>
  <w:style w:type="paragraph" w:styleId="Heading1">
    <w:name w:val="heading 1"/>
    <w:basedOn w:val="Normal"/>
    <w:next w:val="Normal"/>
    <w:link w:val="Heading1Char"/>
    <w:uiPriority w:val="9"/>
    <w:qFormat/>
    <w:rsid w:val="006C1A87"/>
    <w:pPr>
      <w:keepNext/>
      <w:spacing w:before="240" w:after="60"/>
      <w:jc w:val="both"/>
      <w:outlineLvl w:val="0"/>
    </w:pPr>
    <w:rPr>
      <w:rFonts w:eastAsia="Times New Roman"/>
      <w:bCs/>
      <w:kern w:val="32"/>
      <w:sz w:val="32"/>
      <w:szCs w:val="32"/>
    </w:rPr>
  </w:style>
  <w:style w:type="paragraph" w:styleId="Heading2">
    <w:name w:val="heading 2"/>
    <w:basedOn w:val="Normal"/>
    <w:next w:val="Normal"/>
    <w:link w:val="Heading2Char"/>
    <w:uiPriority w:val="9"/>
    <w:qFormat/>
    <w:rsid w:val="0032057B"/>
    <w:pPr>
      <w:keepNext/>
      <w:spacing w:before="240" w:after="60"/>
      <w:jc w:val="both"/>
      <w:outlineLvl w:val="1"/>
    </w:pPr>
    <w:rPr>
      <w:rFonts w:eastAsia="Times New Roman" w:cs="Calibri"/>
      <w:bCs/>
      <w:i/>
      <w:iCs/>
      <w:sz w:val="28"/>
      <w:szCs w:val="28"/>
      <w:lang w:val="en-GB"/>
    </w:rPr>
  </w:style>
  <w:style w:type="paragraph" w:styleId="Heading3">
    <w:name w:val="heading 3"/>
    <w:basedOn w:val="Normal"/>
    <w:next w:val="Normal"/>
    <w:link w:val="Heading3Char"/>
    <w:uiPriority w:val="9"/>
    <w:unhideWhenUsed/>
    <w:qFormat/>
    <w:rsid w:val="00AF741B"/>
    <w:pPr>
      <w:keepNext/>
      <w:keepLines/>
      <w:spacing w:before="200" w:after="0"/>
      <w:outlineLvl w:val="2"/>
    </w:pPr>
    <w:rPr>
      <w:rFonts w:asciiTheme="majorHAnsi" w:eastAsiaTheme="majorEastAsia" w:hAnsiTheme="majorHAnsi" w:cstheme="majorHAns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481472"/>
    <w:pPr>
      <w:ind w:left="720"/>
      <w:contextualSpacing/>
    </w:pPr>
  </w:style>
  <w:style w:type="character" w:customStyle="1" w:styleId="apple-style-span">
    <w:name w:val="apple-style-span"/>
    <w:rsid w:val="00624379"/>
  </w:style>
  <w:style w:type="character" w:customStyle="1" w:styleId="apple-converted-space">
    <w:name w:val="apple-converted-space"/>
    <w:rsid w:val="00624379"/>
  </w:style>
  <w:style w:type="paragraph" w:styleId="Subtitle">
    <w:name w:val="Subtitle"/>
    <w:basedOn w:val="Normal"/>
    <w:next w:val="Normal"/>
    <w:link w:val="SubtitleChar"/>
    <w:uiPriority w:val="11"/>
    <w:qFormat/>
    <w:rsid w:val="002C516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2C5163"/>
    <w:rPr>
      <w:rFonts w:ascii="Cambria" w:eastAsia="Times New Roman" w:hAnsi="Cambria"/>
      <w:i/>
      <w:iCs/>
      <w:color w:val="4F81BD"/>
      <w:spacing w:val="15"/>
      <w:sz w:val="24"/>
      <w:szCs w:val="24"/>
      <w:lang w:eastAsia="en-US"/>
    </w:rPr>
  </w:style>
  <w:style w:type="paragraph" w:styleId="NoSpacing">
    <w:name w:val="No Spacing"/>
    <w:uiPriority w:val="1"/>
    <w:qFormat/>
    <w:rsid w:val="002C5163"/>
    <w:rPr>
      <w:sz w:val="22"/>
      <w:szCs w:val="22"/>
      <w:lang w:val="es-GT" w:eastAsia="en-US"/>
    </w:rPr>
  </w:style>
  <w:style w:type="character" w:customStyle="1" w:styleId="Heading1Char">
    <w:name w:val="Heading 1 Char"/>
    <w:link w:val="Heading1"/>
    <w:uiPriority w:val="9"/>
    <w:rsid w:val="006C1A87"/>
    <w:rPr>
      <w:rFonts w:eastAsia="Times New Roman"/>
      <w:bCs/>
      <w:kern w:val="32"/>
      <w:sz w:val="32"/>
      <w:szCs w:val="32"/>
      <w:lang w:eastAsia="en-US"/>
    </w:rPr>
  </w:style>
  <w:style w:type="character" w:customStyle="1" w:styleId="Heading2Char">
    <w:name w:val="Heading 2 Char"/>
    <w:link w:val="Heading2"/>
    <w:uiPriority w:val="9"/>
    <w:rsid w:val="0032057B"/>
    <w:rPr>
      <w:rFonts w:eastAsia="Times New Roman" w:cs="Calibri"/>
      <w:bCs/>
      <w:i/>
      <w:iCs/>
      <w:sz w:val="28"/>
      <w:szCs w:val="28"/>
      <w:lang w:val="en-GB" w:eastAsia="en-US"/>
    </w:rPr>
  </w:style>
  <w:style w:type="paragraph" w:styleId="TOCHeading">
    <w:name w:val="TOC Heading"/>
    <w:basedOn w:val="Heading1"/>
    <w:next w:val="Normal"/>
    <w:uiPriority w:val="39"/>
    <w:qFormat/>
    <w:rsid w:val="004049D9"/>
    <w:pPr>
      <w:keepLines/>
      <w:spacing w:before="480" w:after="0"/>
      <w:outlineLvl w:val="9"/>
    </w:pPr>
    <w:rPr>
      <w:rFonts w:ascii="Cambria" w:hAnsi="Cambria"/>
      <w:color w:val="365F91"/>
      <w:kern w:val="0"/>
      <w:sz w:val="28"/>
      <w:szCs w:val="28"/>
      <w:lang w:val="es-GT" w:eastAsia="es-GT"/>
    </w:rPr>
  </w:style>
  <w:style w:type="paragraph" w:styleId="TOC1">
    <w:name w:val="toc 1"/>
    <w:basedOn w:val="NoSpacing"/>
    <w:next w:val="Normal"/>
    <w:autoRedefine/>
    <w:uiPriority w:val="39"/>
    <w:unhideWhenUsed/>
    <w:rsid w:val="008B132A"/>
    <w:pPr>
      <w:tabs>
        <w:tab w:val="left" w:pos="851"/>
        <w:tab w:val="right" w:leader="dot" w:pos="8828"/>
      </w:tabs>
      <w:spacing w:before="240" w:after="240"/>
      <w:ind w:left="425" w:hanging="425"/>
    </w:pPr>
    <w:rPr>
      <w:rFonts w:ascii="Book Antiqua" w:hAnsi="Book Antiqua"/>
      <w:b/>
      <w:noProof/>
    </w:rPr>
  </w:style>
  <w:style w:type="paragraph" w:styleId="TOC2">
    <w:name w:val="toc 2"/>
    <w:basedOn w:val="Normal"/>
    <w:next w:val="Normal"/>
    <w:autoRedefine/>
    <w:uiPriority w:val="39"/>
    <w:unhideWhenUsed/>
    <w:rsid w:val="00EE6AF0"/>
    <w:pPr>
      <w:tabs>
        <w:tab w:val="left" w:pos="880"/>
        <w:tab w:val="right" w:leader="dot" w:pos="8828"/>
      </w:tabs>
      <w:ind w:left="426"/>
    </w:pPr>
    <w:rPr>
      <w:rFonts w:ascii="Book Antiqua" w:hAnsi="Book Antiqua"/>
      <w:noProof/>
      <w:lang w:val="es-GT"/>
    </w:rPr>
  </w:style>
  <w:style w:type="character" w:styleId="Hyperlink">
    <w:name w:val="Hyperlink"/>
    <w:uiPriority w:val="99"/>
    <w:unhideWhenUsed/>
    <w:rsid w:val="004049D9"/>
    <w:rPr>
      <w:color w:val="0000FF"/>
      <w:u w:val="single"/>
    </w:rPr>
  </w:style>
  <w:style w:type="table" w:styleId="TableGrid">
    <w:name w:val="Table Grid"/>
    <w:basedOn w:val="TableNormal"/>
    <w:uiPriority w:val="59"/>
    <w:rsid w:val="00AF2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B164D3"/>
    <w:rPr>
      <w:sz w:val="20"/>
      <w:szCs w:val="20"/>
    </w:rPr>
  </w:style>
  <w:style w:type="character" w:styleId="FootnoteReference">
    <w:name w:val="footnote reference"/>
    <w:uiPriority w:val="99"/>
    <w:semiHidden/>
    <w:rsid w:val="00B164D3"/>
    <w:rPr>
      <w:vertAlign w:val="superscript"/>
    </w:rPr>
  </w:style>
  <w:style w:type="paragraph" w:styleId="Header">
    <w:name w:val="header"/>
    <w:basedOn w:val="Normal"/>
    <w:link w:val="HeaderChar"/>
    <w:uiPriority w:val="99"/>
    <w:unhideWhenUsed/>
    <w:rsid w:val="00CC2AE3"/>
    <w:pPr>
      <w:tabs>
        <w:tab w:val="center" w:pos="4419"/>
        <w:tab w:val="right" w:pos="8838"/>
      </w:tabs>
    </w:pPr>
  </w:style>
  <w:style w:type="character" w:customStyle="1" w:styleId="HeaderChar">
    <w:name w:val="Header Char"/>
    <w:link w:val="Header"/>
    <w:uiPriority w:val="99"/>
    <w:rsid w:val="00CC2AE3"/>
    <w:rPr>
      <w:sz w:val="22"/>
      <w:szCs w:val="22"/>
      <w:lang w:val="en-US" w:eastAsia="en-US"/>
    </w:rPr>
  </w:style>
  <w:style w:type="paragraph" w:styleId="Footer">
    <w:name w:val="footer"/>
    <w:basedOn w:val="Normal"/>
    <w:link w:val="FooterChar"/>
    <w:uiPriority w:val="99"/>
    <w:unhideWhenUsed/>
    <w:rsid w:val="00CC2AE3"/>
    <w:pPr>
      <w:tabs>
        <w:tab w:val="center" w:pos="4419"/>
        <w:tab w:val="right" w:pos="8838"/>
      </w:tabs>
    </w:pPr>
  </w:style>
  <w:style w:type="character" w:customStyle="1" w:styleId="FooterChar">
    <w:name w:val="Footer Char"/>
    <w:link w:val="Footer"/>
    <w:uiPriority w:val="99"/>
    <w:rsid w:val="00CC2AE3"/>
    <w:rPr>
      <w:sz w:val="22"/>
      <w:szCs w:val="22"/>
      <w:lang w:val="en-US" w:eastAsia="en-US"/>
    </w:rPr>
  </w:style>
  <w:style w:type="paragraph" w:styleId="BalloonText">
    <w:name w:val="Balloon Text"/>
    <w:basedOn w:val="Normal"/>
    <w:link w:val="BalloonTextChar"/>
    <w:uiPriority w:val="99"/>
    <w:semiHidden/>
    <w:unhideWhenUsed/>
    <w:rsid w:val="00CC2AE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C2AE3"/>
    <w:rPr>
      <w:rFonts w:ascii="Tahoma" w:hAnsi="Tahoma" w:cs="Tahoma"/>
      <w:sz w:val="16"/>
      <w:szCs w:val="16"/>
      <w:lang w:val="en-US" w:eastAsia="en-US"/>
    </w:rPr>
  </w:style>
  <w:style w:type="paragraph" w:styleId="EndnoteText">
    <w:name w:val="endnote text"/>
    <w:basedOn w:val="Normal"/>
    <w:link w:val="EndnoteTextChar"/>
    <w:uiPriority w:val="99"/>
    <w:semiHidden/>
    <w:unhideWhenUsed/>
    <w:rsid w:val="003F4FB8"/>
    <w:rPr>
      <w:sz w:val="20"/>
      <w:szCs w:val="20"/>
    </w:rPr>
  </w:style>
  <w:style w:type="character" w:customStyle="1" w:styleId="EndnoteTextChar">
    <w:name w:val="Endnote Text Char"/>
    <w:link w:val="EndnoteText"/>
    <w:uiPriority w:val="99"/>
    <w:semiHidden/>
    <w:rsid w:val="003F4FB8"/>
    <w:rPr>
      <w:lang w:val="en-US" w:eastAsia="en-US"/>
    </w:rPr>
  </w:style>
  <w:style w:type="character" w:styleId="EndnoteReference">
    <w:name w:val="endnote reference"/>
    <w:uiPriority w:val="99"/>
    <w:semiHidden/>
    <w:unhideWhenUsed/>
    <w:rsid w:val="003F4FB8"/>
    <w:rPr>
      <w:vertAlign w:val="superscript"/>
    </w:rPr>
  </w:style>
  <w:style w:type="character" w:styleId="CommentReference">
    <w:name w:val="annotation reference"/>
    <w:uiPriority w:val="99"/>
    <w:semiHidden/>
    <w:unhideWhenUsed/>
    <w:rsid w:val="00BC42C5"/>
    <w:rPr>
      <w:sz w:val="16"/>
      <w:szCs w:val="16"/>
    </w:rPr>
  </w:style>
  <w:style w:type="paragraph" w:styleId="CommentText">
    <w:name w:val="annotation text"/>
    <w:basedOn w:val="Normal"/>
    <w:link w:val="CommentTextChar"/>
    <w:uiPriority w:val="99"/>
    <w:unhideWhenUsed/>
    <w:rsid w:val="00BC42C5"/>
    <w:rPr>
      <w:sz w:val="20"/>
      <w:szCs w:val="20"/>
    </w:rPr>
  </w:style>
  <w:style w:type="character" w:customStyle="1" w:styleId="CommentTextChar">
    <w:name w:val="Comment Text Char"/>
    <w:link w:val="CommentText"/>
    <w:uiPriority w:val="99"/>
    <w:rsid w:val="00BC42C5"/>
    <w:rPr>
      <w:lang w:val="en-US" w:eastAsia="en-US"/>
    </w:rPr>
  </w:style>
  <w:style w:type="paragraph" w:styleId="CommentSubject">
    <w:name w:val="annotation subject"/>
    <w:basedOn w:val="CommentText"/>
    <w:next w:val="CommentText"/>
    <w:link w:val="CommentSubjectChar"/>
    <w:uiPriority w:val="99"/>
    <w:semiHidden/>
    <w:unhideWhenUsed/>
    <w:rsid w:val="00BC42C5"/>
    <w:rPr>
      <w:b/>
      <w:bCs/>
    </w:rPr>
  </w:style>
  <w:style w:type="character" w:customStyle="1" w:styleId="CommentSubjectChar">
    <w:name w:val="Comment Subject Char"/>
    <w:link w:val="CommentSubject"/>
    <w:uiPriority w:val="99"/>
    <w:semiHidden/>
    <w:rsid w:val="00BC42C5"/>
    <w:rPr>
      <w:b/>
      <w:bCs/>
      <w:lang w:val="en-US" w:eastAsia="en-US"/>
    </w:rPr>
  </w:style>
  <w:style w:type="paragraph" w:styleId="NormalWeb">
    <w:name w:val="Normal (Web)"/>
    <w:basedOn w:val="Normal"/>
    <w:uiPriority w:val="99"/>
    <w:semiHidden/>
    <w:unhideWhenUsed/>
    <w:rsid w:val="00BE3273"/>
    <w:pPr>
      <w:spacing w:before="100" w:beforeAutospacing="1" w:after="100" w:afterAutospacing="1" w:line="240" w:lineRule="auto"/>
    </w:pPr>
    <w:rPr>
      <w:rFonts w:ascii="Times New Roman" w:eastAsia="Times New Roman" w:hAnsi="Times New Roman"/>
      <w:sz w:val="24"/>
      <w:szCs w:val="24"/>
      <w:lang w:val="es-GT" w:eastAsia="es-GT"/>
    </w:rPr>
  </w:style>
  <w:style w:type="character" w:styleId="FollowedHyperlink">
    <w:name w:val="FollowedHyperlink"/>
    <w:uiPriority w:val="99"/>
    <w:semiHidden/>
    <w:unhideWhenUsed/>
    <w:rsid w:val="005253C6"/>
    <w:rPr>
      <w:color w:val="800080"/>
      <w:u w:val="single"/>
    </w:rPr>
  </w:style>
  <w:style w:type="character" w:customStyle="1" w:styleId="FootnoteTextChar">
    <w:name w:val="Footnote Text Char"/>
    <w:link w:val="FootnoteText"/>
    <w:uiPriority w:val="99"/>
    <w:semiHidden/>
    <w:rsid w:val="003F1D7C"/>
    <w:rPr>
      <w:lang w:val="en-US" w:eastAsia="en-US"/>
    </w:rPr>
  </w:style>
  <w:style w:type="character" w:customStyle="1" w:styleId="ListParagraphChar">
    <w:name w:val="List Paragraph Char"/>
    <w:link w:val="ListParagraph"/>
    <w:uiPriority w:val="99"/>
    <w:locked/>
    <w:rsid w:val="005A7CEB"/>
    <w:rPr>
      <w:sz w:val="22"/>
      <w:szCs w:val="22"/>
      <w:lang w:val="en-US" w:eastAsia="en-US"/>
    </w:rPr>
  </w:style>
  <w:style w:type="paragraph" w:styleId="Revision">
    <w:name w:val="Revision"/>
    <w:hidden/>
    <w:uiPriority w:val="71"/>
    <w:rsid w:val="00A87F3F"/>
    <w:rPr>
      <w:sz w:val="22"/>
      <w:szCs w:val="22"/>
      <w:lang w:eastAsia="en-US"/>
    </w:rPr>
  </w:style>
  <w:style w:type="character" w:customStyle="1" w:styleId="Heading3Char">
    <w:name w:val="Heading 3 Char"/>
    <w:basedOn w:val="DefaultParagraphFont"/>
    <w:link w:val="Heading3"/>
    <w:uiPriority w:val="9"/>
    <w:rsid w:val="00AF741B"/>
    <w:rPr>
      <w:rFonts w:asciiTheme="majorHAnsi" w:eastAsiaTheme="majorEastAsia" w:hAnsiTheme="majorHAnsi" w:cstheme="majorHAnsi"/>
      <w:b/>
      <w:bCs/>
      <w:color w:val="4F81BD" w:themeColor="accent1"/>
      <w:sz w:val="22"/>
      <w:szCs w:val="22"/>
      <w:lang w:val="en-GB" w:eastAsia="en-US"/>
    </w:rPr>
  </w:style>
  <w:style w:type="paragraph" w:styleId="TOC3">
    <w:name w:val="toc 3"/>
    <w:basedOn w:val="Normal"/>
    <w:next w:val="Normal"/>
    <w:autoRedefine/>
    <w:uiPriority w:val="39"/>
    <w:unhideWhenUsed/>
    <w:rsid w:val="00236968"/>
    <w:pPr>
      <w:spacing w:after="100"/>
      <w:ind w:left="440"/>
    </w:pPr>
  </w:style>
  <w:style w:type="paragraph" w:customStyle="1" w:styleId="Tabletitle">
    <w:name w:val="Table title"/>
    <w:basedOn w:val="Normal"/>
    <w:link w:val="TabletitleChar"/>
    <w:qFormat/>
    <w:rsid w:val="00EC3FA8"/>
    <w:pPr>
      <w:spacing w:line="240" w:lineRule="auto"/>
      <w:ind w:left="1440" w:hanging="1440"/>
    </w:pPr>
    <w:rPr>
      <w:rFonts w:ascii="Book Antiqua" w:hAnsi="Book Antiqua"/>
      <w:b/>
      <w:noProof/>
      <w:lang w:val="en-GB" w:eastAsia="es-GT"/>
    </w:rPr>
  </w:style>
  <w:style w:type="character" w:customStyle="1" w:styleId="TabletitleChar">
    <w:name w:val="Table title Char"/>
    <w:basedOn w:val="DefaultParagraphFont"/>
    <w:link w:val="Tabletitle"/>
    <w:rsid w:val="00EC3FA8"/>
    <w:rPr>
      <w:rFonts w:ascii="Book Antiqua" w:hAnsi="Book Antiqua"/>
      <w:b/>
      <w:noProof/>
      <w:sz w:val="22"/>
      <w:szCs w:val="22"/>
      <w:lang w:val="en-GB" w:eastAsia="es-GT"/>
    </w:rPr>
  </w:style>
  <w:style w:type="character" w:customStyle="1" w:styleId="hps">
    <w:name w:val="hps"/>
    <w:basedOn w:val="DefaultParagraphFont"/>
    <w:rsid w:val="00A31484"/>
  </w:style>
  <w:style w:type="character" w:customStyle="1" w:styleId="atn">
    <w:name w:val="atn"/>
    <w:basedOn w:val="DefaultParagraphFont"/>
    <w:rsid w:val="00A31484"/>
  </w:style>
</w:styles>
</file>

<file path=word/webSettings.xml><?xml version="1.0" encoding="utf-8"?>
<w:webSettings xmlns:r="http://schemas.openxmlformats.org/officeDocument/2006/relationships" xmlns:w="http://schemas.openxmlformats.org/wordprocessingml/2006/main">
  <w:divs>
    <w:div w:id="41566510">
      <w:bodyDiv w:val="1"/>
      <w:marLeft w:val="0"/>
      <w:marRight w:val="0"/>
      <w:marTop w:val="0"/>
      <w:marBottom w:val="0"/>
      <w:divBdr>
        <w:top w:val="none" w:sz="0" w:space="0" w:color="auto"/>
        <w:left w:val="none" w:sz="0" w:space="0" w:color="auto"/>
        <w:bottom w:val="none" w:sz="0" w:space="0" w:color="auto"/>
        <w:right w:val="none" w:sz="0" w:space="0" w:color="auto"/>
      </w:divBdr>
    </w:div>
    <w:div w:id="78645763">
      <w:bodyDiv w:val="1"/>
      <w:marLeft w:val="0"/>
      <w:marRight w:val="0"/>
      <w:marTop w:val="0"/>
      <w:marBottom w:val="0"/>
      <w:divBdr>
        <w:top w:val="none" w:sz="0" w:space="0" w:color="auto"/>
        <w:left w:val="none" w:sz="0" w:space="0" w:color="auto"/>
        <w:bottom w:val="none" w:sz="0" w:space="0" w:color="auto"/>
        <w:right w:val="none" w:sz="0" w:space="0" w:color="auto"/>
      </w:divBdr>
    </w:div>
    <w:div w:id="252982285">
      <w:bodyDiv w:val="1"/>
      <w:marLeft w:val="0"/>
      <w:marRight w:val="0"/>
      <w:marTop w:val="0"/>
      <w:marBottom w:val="0"/>
      <w:divBdr>
        <w:top w:val="none" w:sz="0" w:space="0" w:color="auto"/>
        <w:left w:val="none" w:sz="0" w:space="0" w:color="auto"/>
        <w:bottom w:val="none" w:sz="0" w:space="0" w:color="auto"/>
        <w:right w:val="none" w:sz="0" w:space="0" w:color="auto"/>
      </w:divBdr>
    </w:div>
    <w:div w:id="262735977">
      <w:bodyDiv w:val="1"/>
      <w:marLeft w:val="0"/>
      <w:marRight w:val="0"/>
      <w:marTop w:val="0"/>
      <w:marBottom w:val="0"/>
      <w:divBdr>
        <w:top w:val="none" w:sz="0" w:space="0" w:color="auto"/>
        <w:left w:val="none" w:sz="0" w:space="0" w:color="auto"/>
        <w:bottom w:val="none" w:sz="0" w:space="0" w:color="auto"/>
        <w:right w:val="none" w:sz="0" w:space="0" w:color="auto"/>
      </w:divBdr>
    </w:div>
    <w:div w:id="285164960">
      <w:bodyDiv w:val="1"/>
      <w:marLeft w:val="0"/>
      <w:marRight w:val="0"/>
      <w:marTop w:val="0"/>
      <w:marBottom w:val="0"/>
      <w:divBdr>
        <w:top w:val="none" w:sz="0" w:space="0" w:color="auto"/>
        <w:left w:val="none" w:sz="0" w:space="0" w:color="auto"/>
        <w:bottom w:val="none" w:sz="0" w:space="0" w:color="auto"/>
        <w:right w:val="none" w:sz="0" w:space="0" w:color="auto"/>
      </w:divBdr>
    </w:div>
    <w:div w:id="295988185">
      <w:bodyDiv w:val="1"/>
      <w:marLeft w:val="0"/>
      <w:marRight w:val="0"/>
      <w:marTop w:val="0"/>
      <w:marBottom w:val="0"/>
      <w:divBdr>
        <w:top w:val="none" w:sz="0" w:space="0" w:color="auto"/>
        <w:left w:val="none" w:sz="0" w:space="0" w:color="auto"/>
        <w:bottom w:val="none" w:sz="0" w:space="0" w:color="auto"/>
        <w:right w:val="none" w:sz="0" w:space="0" w:color="auto"/>
      </w:divBdr>
    </w:div>
    <w:div w:id="447437428">
      <w:bodyDiv w:val="1"/>
      <w:marLeft w:val="0"/>
      <w:marRight w:val="0"/>
      <w:marTop w:val="0"/>
      <w:marBottom w:val="0"/>
      <w:divBdr>
        <w:top w:val="none" w:sz="0" w:space="0" w:color="auto"/>
        <w:left w:val="none" w:sz="0" w:space="0" w:color="auto"/>
        <w:bottom w:val="none" w:sz="0" w:space="0" w:color="auto"/>
        <w:right w:val="none" w:sz="0" w:space="0" w:color="auto"/>
      </w:divBdr>
    </w:div>
    <w:div w:id="464352300">
      <w:bodyDiv w:val="1"/>
      <w:marLeft w:val="0"/>
      <w:marRight w:val="0"/>
      <w:marTop w:val="0"/>
      <w:marBottom w:val="0"/>
      <w:divBdr>
        <w:top w:val="none" w:sz="0" w:space="0" w:color="auto"/>
        <w:left w:val="none" w:sz="0" w:space="0" w:color="auto"/>
        <w:bottom w:val="none" w:sz="0" w:space="0" w:color="auto"/>
        <w:right w:val="none" w:sz="0" w:space="0" w:color="auto"/>
      </w:divBdr>
    </w:div>
    <w:div w:id="464935907">
      <w:bodyDiv w:val="1"/>
      <w:marLeft w:val="0"/>
      <w:marRight w:val="0"/>
      <w:marTop w:val="0"/>
      <w:marBottom w:val="0"/>
      <w:divBdr>
        <w:top w:val="none" w:sz="0" w:space="0" w:color="auto"/>
        <w:left w:val="none" w:sz="0" w:space="0" w:color="auto"/>
        <w:bottom w:val="none" w:sz="0" w:space="0" w:color="auto"/>
        <w:right w:val="none" w:sz="0" w:space="0" w:color="auto"/>
      </w:divBdr>
    </w:div>
    <w:div w:id="497039784">
      <w:bodyDiv w:val="1"/>
      <w:marLeft w:val="0"/>
      <w:marRight w:val="0"/>
      <w:marTop w:val="0"/>
      <w:marBottom w:val="0"/>
      <w:divBdr>
        <w:top w:val="none" w:sz="0" w:space="0" w:color="auto"/>
        <w:left w:val="none" w:sz="0" w:space="0" w:color="auto"/>
        <w:bottom w:val="none" w:sz="0" w:space="0" w:color="auto"/>
        <w:right w:val="none" w:sz="0" w:space="0" w:color="auto"/>
      </w:divBdr>
    </w:div>
    <w:div w:id="595868257">
      <w:bodyDiv w:val="1"/>
      <w:marLeft w:val="0"/>
      <w:marRight w:val="0"/>
      <w:marTop w:val="0"/>
      <w:marBottom w:val="0"/>
      <w:divBdr>
        <w:top w:val="none" w:sz="0" w:space="0" w:color="auto"/>
        <w:left w:val="none" w:sz="0" w:space="0" w:color="auto"/>
        <w:bottom w:val="none" w:sz="0" w:space="0" w:color="auto"/>
        <w:right w:val="none" w:sz="0" w:space="0" w:color="auto"/>
      </w:divBdr>
    </w:div>
    <w:div w:id="679086942">
      <w:bodyDiv w:val="1"/>
      <w:marLeft w:val="0"/>
      <w:marRight w:val="0"/>
      <w:marTop w:val="0"/>
      <w:marBottom w:val="0"/>
      <w:divBdr>
        <w:top w:val="none" w:sz="0" w:space="0" w:color="auto"/>
        <w:left w:val="none" w:sz="0" w:space="0" w:color="auto"/>
        <w:bottom w:val="none" w:sz="0" w:space="0" w:color="auto"/>
        <w:right w:val="none" w:sz="0" w:space="0" w:color="auto"/>
      </w:divBdr>
    </w:div>
    <w:div w:id="685056433">
      <w:bodyDiv w:val="1"/>
      <w:marLeft w:val="0"/>
      <w:marRight w:val="0"/>
      <w:marTop w:val="0"/>
      <w:marBottom w:val="0"/>
      <w:divBdr>
        <w:top w:val="none" w:sz="0" w:space="0" w:color="auto"/>
        <w:left w:val="none" w:sz="0" w:space="0" w:color="auto"/>
        <w:bottom w:val="none" w:sz="0" w:space="0" w:color="auto"/>
        <w:right w:val="none" w:sz="0" w:space="0" w:color="auto"/>
      </w:divBdr>
    </w:div>
    <w:div w:id="685718831">
      <w:bodyDiv w:val="1"/>
      <w:marLeft w:val="0"/>
      <w:marRight w:val="0"/>
      <w:marTop w:val="0"/>
      <w:marBottom w:val="0"/>
      <w:divBdr>
        <w:top w:val="none" w:sz="0" w:space="0" w:color="auto"/>
        <w:left w:val="none" w:sz="0" w:space="0" w:color="auto"/>
        <w:bottom w:val="none" w:sz="0" w:space="0" w:color="auto"/>
        <w:right w:val="none" w:sz="0" w:space="0" w:color="auto"/>
      </w:divBdr>
    </w:div>
    <w:div w:id="700517298">
      <w:bodyDiv w:val="1"/>
      <w:marLeft w:val="0"/>
      <w:marRight w:val="0"/>
      <w:marTop w:val="0"/>
      <w:marBottom w:val="0"/>
      <w:divBdr>
        <w:top w:val="none" w:sz="0" w:space="0" w:color="auto"/>
        <w:left w:val="none" w:sz="0" w:space="0" w:color="auto"/>
        <w:bottom w:val="none" w:sz="0" w:space="0" w:color="auto"/>
        <w:right w:val="none" w:sz="0" w:space="0" w:color="auto"/>
      </w:divBdr>
    </w:div>
    <w:div w:id="704865509">
      <w:bodyDiv w:val="1"/>
      <w:marLeft w:val="0"/>
      <w:marRight w:val="0"/>
      <w:marTop w:val="0"/>
      <w:marBottom w:val="0"/>
      <w:divBdr>
        <w:top w:val="none" w:sz="0" w:space="0" w:color="auto"/>
        <w:left w:val="none" w:sz="0" w:space="0" w:color="auto"/>
        <w:bottom w:val="none" w:sz="0" w:space="0" w:color="auto"/>
        <w:right w:val="none" w:sz="0" w:space="0" w:color="auto"/>
      </w:divBdr>
    </w:div>
    <w:div w:id="723213516">
      <w:bodyDiv w:val="1"/>
      <w:marLeft w:val="0"/>
      <w:marRight w:val="0"/>
      <w:marTop w:val="0"/>
      <w:marBottom w:val="0"/>
      <w:divBdr>
        <w:top w:val="none" w:sz="0" w:space="0" w:color="auto"/>
        <w:left w:val="none" w:sz="0" w:space="0" w:color="auto"/>
        <w:bottom w:val="none" w:sz="0" w:space="0" w:color="auto"/>
        <w:right w:val="none" w:sz="0" w:space="0" w:color="auto"/>
      </w:divBdr>
    </w:div>
    <w:div w:id="815682068">
      <w:bodyDiv w:val="1"/>
      <w:marLeft w:val="0"/>
      <w:marRight w:val="0"/>
      <w:marTop w:val="0"/>
      <w:marBottom w:val="0"/>
      <w:divBdr>
        <w:top w:val="none" w:sz="0" w:space="0" w:color="auto"/>
        <w:left w:val="none" w:sz="0" w:space="0" w:color="auto"/>
        <w:bottom w:val="none" w:sz="0" w:space="0" w:color="auto"/>
        <w:right w:val="none" w:sz="0" w:space="0" w:color="auto"/>
      </w:divBdr>
    </w:div>
    <w:div w:id="868641841">
      <w:bodyDiv w:val="1"/>
      <w:marLeft w:val="0"/>
      <w:marRight w:val="0"/>
      <w:marTop w:val="0"/>
      <w:marBottom w:val="0"/>
      <w:divBdr>
        <w:top w:val="none" w:sz="0" w:space="0" w:color="auto"/>
        <w:left w:val="none" w:sz="0" w:space="0" w:color="auto"/>
        <w:bottom w:val="none" w:sz="0" w:space="0" w:color="auto"/>
        <w:right w:val="none" w:sz="0" w:space="0" w:color="auto"/>
      </w:divBdr>
    </w:div>
    <w:div w:id="876086282">
      <w:bodyDiv w:val="1"/>
      <w:marLeft w:val="0"/>
      <w:marRight w:val="0"/>
      <w:marTop w:val="0"/>
      <w:marBottom w:val="0"/>
      <w:divBdr>
        <w:top w:val="none" w:sz="0" w:space="0" w:color="auto"/>
        <w:left w:val="none" w:sz="0" w:space="0" w:color="auto"/>
        <w:bottom w:val="none" w:sz="0" w:space="0" w:color="auto"/>
        <w:right w:val="none" w:sz="0" w:space="0" w:color="auto"/>
      </w:divBdr>
    </w:div>
    <w:div w:id="916134792">
      <w:bodyDiv w:val="1"/>
      <w:marLeft w:val="0"/>
      <w:marRight w:val="0"/>
      <w:marTop w:val="0"/>
      <w:marBottom w:val="0"/>
      <w:divBdr>
        <w:top w:val="none" w:sz="0" w:space="0" w:color="auto"/>
        <w:left w:val="none" w:sz="0" w:space="0" w:color="auto"/>
        <w:bottom w:val="none" w:sz="0" w:space="0" w:color="auto"/>
        <w:right w:val="none" w:sz="0" w:space="0" w:color="auto"/>
      </w:divBdr>
    </w:div>
    <w:div w:id="933242437">
      <w:bodyDiv w:val="1"/>
      <w:marLeft w:val="0"/>
      <w:marRight w:val="0"/>
      <w:marTop w:val="0"/>
      <w:marBottom w:val="0"/>
      <w:divBdr>
        <w:top w:val="none" w:sz="0" w:space="0" w:color="auto"/>
        <w:left w:val="none" w:sz="0" w:space="0" w:color="auto"/>
        <w:bottom w:val="none" w:sz="0" w:space="0" w:color="auto"/>
        <w:right w:val="none" w:sz="0" w:space="0" w:color="auto"/>
      </w:divBdr>
    </w:div>
    <w:div w:id="944578332">
      <w:bodyDiv w:val="1"/>
      <w:marLeft w:val="0"/>
      <w:marRight w:val="0"/>
      <w:marTop w:val="0"/>
      <w:marBottom w:val="0"/>
      <w:divBdr>
        <w:top w:val="none" w:sz="0" w:space="0" w:color="auto"/>
        <w:left w:val="none" w:sz="0" w:space="0" w:color="auto"/>
        <w:bottom w:val="none" w:sz="0" w:space="0" w:color="auto"/>
        <w:right w:val="none" w:sz="0" w:space="0" w:color="auto"/>
      </w:divBdr>
    </w:div>
    <w:div w:id="982663607">
      <w:bodyDiv w:val="1"/>
      <w:marLeft w:val="0"/>
      <w:marRight w:val="0"/>
      <w:marTop w:val="0"/>
      <w:marBottom w:val="0"/>
      <w:divBdr>
        <w:top w:val="none" w:sz="0" w:space="0" w:color="auto"/>
        <w:left w:val="none" w:sz="0" w:space="0" w:color="auto"/>
        <w:bottom w:val="none" w:sz="0" w:space="0" w:color="auto"/>
        <w:right w:val="none" w:sz="0" w:space="0" w:color="auto"/>
      </w:divBdr>
    </w:div>
    <w:div w:id="1089347035">
      <w:bodyDiv w:val="1"/>
      <w:marLeft w:val="0"/>
      <w:marRight w:val="0"/>
      <w:marTop w:val="0"/>
      <w:marBottom w:val="0"/>
      <w:divBdr>
        <w:top w:val="none" w:sz="0" w:space="0" w:color="auto"/>
        <w:left w:val="none" w:sz="0" w:space="0" w:color="auto"/>
        <w:bottom w:val="none" w:sz="0" w:space="0" w:color="auto"/>
        <w:right w:val="none" w:sz="0" w:space="0" w:color="auto"/>
      </w:divBdr>
    </w:div>
    <w:div w:id="1114517958">
      <w:bodyDiv w:val="1"/>
      <w:marLeft w:val="0"/>
      <w:marRight w:val="0"/>
      <w:marTop w:val="0"/>
      <w:marBottom w:val="0"/>
      <w:divBdr>
        <w:top w:val="none" w:sz="0" w:space="0" w:color="auto"/>
        <w:left w:val="none" w:sz="0" w:space="0" w:color="auto"/>
        <w:bottom w:val="none" w:sz="0" w:space="0" w:color="auto"/>
        <w:right w:val="none" w:sz="0" w:space="0" w:color="auto"/>
      </w:divBdr>
    </w:div>
    <w:div w:id="1239749307">
      <w:bodyDiv w:val="1"/>
      <w:marLeft w:val="0"/>
      <w:marRight w:val="0"/>
      <w:marTop w:val="0"/>
      <w:marBottom w:val="0"/>
      <w:divBdr>
        <w:top w:val="none" w:sz="0" w:space="0" w:color="auto"/>
        <w:left w:val="none" w:sz="0" w:space="0" w:color="auto"/>
        <w:bottom w:val="none" w:sz="0" w:space="0" w:color="auto"/>
        <w:right w:val="none" w:sz="0" w:space="0" w:color="auto"/>
      </w:divBdr>
    </w:div>
    <w:div w:id="1317998184">
      <w:bodyDiv w:val="1"/>
      <w:marLeft w:val="0"/>
      <w:marRight w:val="0"/>
      <w:marTop w:val="0"/>
      <w:marBottom w:val="0"/>
      <w:divBdr>
        <w:top w:val="none" w:sz="0" w:space="0" w:color="auto"/>
        <w:left w:val="none" w:sz="0" w:space="0" w:color="auto"/>
        <w:bottom w:val="none" w:sz="0" w:space="0" w:color="auto"/>
        <w:right w:val="none" w:sz="0" w:space="0" w:color="auto"/>
      </w:divBdr>
    </w:div>
    <w:div w:id="1552379897">
      <w:bodyDiv w:val="1"/>
      <w:marLeft w:val="0"/>
      <w:marRight w:val="0"/>
      <w:marTop w:val="0"/>
      <w:marBottom w:val="0"/>
      <w:divBdr>
        <w:top w:val="none" w:sz="0" w:space="0" w:color="auto"/>
        <w:left w:val="none" w:sz="0" w:space="0" w:color="auto"/>
        <w:bottom w:val="none" w:sz="0" w:space="0" w:color="auto"/>
        <w:right w:val="none" w:sz="0" w:space="0" w:color="auto"/>
      </w:divBdr>
    </w:div>
    <w:div w:id="1568146470">
      <w:bodyDiv w:val="1"/>
      <w:marLeft w:val="0"/>
      <w:marRight w:val="0"/>
      <w:marTop w:val="0"/>
      <w:marBottom w:val="0"/>
      <w:divBdr>
        <w:top w:val="none" w:sz="0" w:space="0" w:color="auto"/>
        <w:left w:val="none" w:sz="0" w:space="0" w:color="auto"/>
        <w:bottom w:val="none" w:sz="0" w:space="0" w:color="auto"/>
        <w:right w:val="none" w:sz="0" w:space="0" w:color="auto"/>
      </w:divBdr>
    </w:div>
    <w:div w:id="1570115310">
      <w:bodyDiv w:val="1"/>
      <w:marLeft w:val="0"/>
      <w:marRight w:val="0"/>
      <w:marTop w:val="0"/>
      <w:marBottom w:val="0"/>
      <w:divBdr>
        <w:top w:val="none" w:sz="0" w:space="0" w:color="auto"/>
        <w:left w:val="none" w:sz="0" w:space="0" w:color="auto"/>
        <w:bottom w:val="none" w:sz="0" w:space="0" w:color="auto"/>
        <w:right w:val="none" w:sz="0" w:space="0" w:color="auto"/>
      </w:divBdr>
    </w:div>
    <w:div w:id="1675916739">
      <w:bodyDiv w:val="1"/>
      <w:marLeft w:val="0"/>
      <w:marRight w:val="0"/>
      <w:marTop w:val="0"/>
      <w:marBottom w:val="0"/>
      <w:divBdr>
        <w:top w:val="none" w:sz="0" w:space="0" w:color="auto"/>
        <w:left w:val="none" w:sz="0" w:space="0" w:color="auto"/>
        <w:bottom w:val="none" w:sz="0" w:space="0" w:color="auto"/>
        <w:right w:val="none" w:sz="0" w:space="0" w:color="auto"/>
      </w:divBdr>
    </w:div>
    <w:div w:id="1710258425">
      <w:bodyDiv w:val="1"/>
      <w:marLeft w:val="0"/>
      <w:marRight w:val="0"/>
      <w:marTop w:val="0"/>
      <w:marBottom w:val="0"/>
      <w:divBdr>
        <w:top w:val="none" w:sz="0" w:space="0" w:color="auto"/>
        <w:left w:val="none" w:sz="0" w:space="0" w:color="auto"/>
        <w:bottom w:val="none" w:sz="0" w:space="0" w:color="auto"/>
        <w:right w:val="none" w:sz="0" w:space="0" w:color="auto"/>
      </w:divBdr>
    </w:div>
    <w:div w:id="1739589715">
      <w:bodyDiv w:val="1"/>
      <w:marLeft w:val="0"/>
      <w:marRight w:val="0"/>
      <w:marTop w:val="0"/>
      <w:marBottom w:val="0"/>
      <w:divBdr>
        <w:top w:val="none" w:sz="0" w:space="0" w:color="auto"/>
        <w:left w:val="none" w:sz="0" w:space="0" w:color="auto"/>
        <w:bottom w:val="none" w:sz="0" w:space="0" w:color="auto"/>
        <w:right w:val="none" w:sz="0" w:space="0" w:color="auto"/>
      </w:divBdr>
    </w:div>
    <w:div w:id="1766149876">
      <w:bodyDiv w:val="1"/>
      <w:marLeft w:val="0"/>
      <w:marRight w:val="0"/>
      <w:marTop w:val="0"/>
      <w:marBottom w:val="0"/>
      <w:divBdr>
        <w:top w:val="none" w:sz="0" w:space="0" w:color="auto"/>
        <w:left w:val="none" w:sz="0" w:space="0" w:color="auto"/>
        <w:bottom w:val="none" w:sz="0" w:space="0" w:color="auto"/>
        <w:right w:val="none" w:sz="0" w:space="0" w:color="auto"/>
      </w:divBdr>
    </w:div>
    <w:div w:id="1802117687">
      <w:bodyDiv w:val="1"/>
      <w:marLeft w:val="0"/>
      <w:marRight w:val="0"/>
      <w:marTop w:val="0"/>
      <w:marBottom w:val="0"/>
      <w:divBdr>
        <w:top w:val="none" w:sz="0" w:space="0" w:color="auto"/>
        <w:left w:val="none" w:sz="0" w:space="0" w:color="auto"/>
        <w:bottom w:val="none" w:sz="0" w:space="0" w:color="auto"/>
        <w:right w:val="none" w:sz="0" w:space="0" w:color="auto"/>
      </w:divBdr>
    </w:div>
    <w:div w:id="1844584780">
      <w:bodyDiv w:val="1"/>
      <w:marLeft w:val="0"/>
      <w:marRight w:val="0"/>
      <w:marTop w:val="0"/>
      <w:marBottom w:val="0"/>
      <w:divBdr>
        <w:top w:val="none" w:sz="0" w:space="0" w:color="auto"/>
        <w:left w:val="none" w:sz="0" w:space="0" w:color="auto"/>
        <w:bottom w:val="none" w:sz="0" w:space="0" w:color="auto"/>
        <w:right w:val="none" w:sz="0" w:space="0" w:color="auto"/>
      </w:divBdr>
    </w:div>
    <w:div w:id="1882325019">
      <w:bodyDiv w:val="1"/>
      <w:marLeft w:val="0"/>
      <w:marRight w:val="0"/>
      <w:marTop w:val="0"/>
      <w:marBottom w:val="0"/>
      <w:divBdr>
        <w:top w:val="none" w:sz="0" w:space="0" w:color="auto"/>
        <w:left w:val="none" w:sz="0" w:space="0" w:color="auto"/>
        <w:bottom w:val="none" w:sz="0" w:space="0" w:color="auto"/>
        <w:right w:val="none" w:sz="0" w:space="0" w:color="auto"/>
      </w:divBdr>
    </w:div>
    <w:div w:id="1891262095">
      <w:bodyDiv w:val="1"/>
      <w:marLeft w:val="0"/>
      <w:marRight w:val="0"/>
      <w:marTop w:val="0"/>
      <w:marBottom w:val="0"/>
      <w:divBdr>
        <w:top w:val="none" w:sz="0" w:space="0" w:color="auto"/>
        <w:left w:val="none" w:sz="0" w:space="0" w:color="auto"/>
        <w:bottom w:val="none" w:sz="0" w:space="0" w:color="auto"/>
        <w:right w:val="none" w:sz="0" w:space="0" w:color="auto"/>
      </w:divBdr>
    </w:div>
    <w:div w:id="1924027761">
      <w:bodyDiv w:val="1"/>
      <w:marLeft w:val="0"/>
      <w:marRight w:val="0"/>
      <w:marTop w:val="0"/>
      <w:marBottom w:val="0"/>
      <w:divBdr>
        <w:top w:val="none" w:sz="0" w:space="0" w:color="auto"/>
        <w:left w:val="none" w:sz="0" w:space="0" w:color="auto"/>
        <w:bottom w:val="none" w:sz="0" w:space="0" w:color="auto"/>
        <w:right w:val="none" w:sz="0" w:space="0" w:color="auto"/>
      </w:divBdr>
    </w:div>
    <w:div w:id="1976712329">
      <w:bodyDiv w:val="1"/>
      <w:marLeft w:val="0"/>
      <w:marRight w:val="0"/>
      <w:marTop w:val="0"/>
      <w:marBottom w:val="0"/>
      <w:divBdr>
        <w:top w:val="none" w:sz="0" w:space="0" w:color="auto"/>
        <w:left w:val="none" w:sz="0" w:space="0" w:color="auto"/>
        <w:bottom w:val="none" w:sz="0" w:space="0" w:color="auto"/>
        <w:right w:val="none" w:sz="0" w:space="0" w:color="auto"/>
      </w:divBdr>
    </w:div>
    <w:div w:id="2006979021">
      <w:bodyDiv w:val="1"/>
      <w:marLeft w:val="0"/>
      <w:marRight w:val="0"/>
      <w:marTop w:val="0"/>
      <w:marBottom w:val="0"/>
      <w:divBdr>
        <w:top w:val="none" w:sz="0" w:space="0" w:color="auto"/>
        <w:left w:val="none" w:sz="0" w:space="0" w:color="auto"/>
        <w:bottom w:val="none" w:sz="0" w:space="0" w:color="auto"/>
        <w:right w:val="none" w:sz="0" w:space="0" w:color="auto"/>
      </w:divBdr>
    </w:div>
    <w:div w:id="2034650937">
      <w:bodyDiv w:val="1"/>
      <w:marLeft w:val="0"/>
      <w:marRight w:val="0"/>
      <w:marTop w:val="0"/>
      <w:marBottom w:val="0"/>
      <w:divBdr>
        <w:top w:val="none" w:sz="0" w:space="0" w:color="auto"/>
        <w:left w:val="none" w:sz="0" w:space="0" w:color="auto"/>
        <w:bottom w:val="none" w:sz="0" w:space="0" w:color="auto"/>
        <w:right w:val="none" w:sz="0" w:space="0" w:color="auto"/>
      </w:divBdr>
    </w:div>
    <w:div w:id="2071686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image" Target="media/image1.emf"/><Relationship Id="rId26" Type="http://schemas.openxmlformats.org/officeDocument/2006/relationships/chart" Target="charts/chart9.xml"/><Relationship Id="rId39" Type="http://schemas.openxmlformats.org/officeDocument/2006/relationships/header" Target="header3.xml"/><Relationship Id="rId21" Type="http://schemas.openxmlformats.org/officeDocument/2006/relationships/package" Target="embeddings/Microsoft_Office_Excel_Worksheet2.xlsx"/><Relationship Id="rId34" Type="http://schemas.openxmlformats.org/officeDocument/2006/relationships/chart" Target="charts/chart15.xml"/><Relationship Id="rId42" Type="http://schemas.openxmlformats.org/officeDocument/2006/relationships/oleObject" Target="embeddings/Microsoft_Office_Excel_97-2003_Worksheet1.xls"/><Relationship Id="rId47" Type="http://schemas.openxmlformats.org/officeDocument/2006/relationships/hyperlink" Target="http://www.ine.gob.gt/np/enei/ENEI2010.htm" TargetMode="External"/><Relationship Id="rId50" Type="http://schemas.openxmlformats.org/officeDocument/2006/relationships/hyperlink" Target="http://www.cafta.sieca.int/sitio/Cache/20990000000172/20990000000172.pdf" TargetMode="External"/><Relationship Id="rId55"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hart" Target="charts/chart5.xml"/><Relationship Id="rId25" Type="http://schemas.openxmlformats.org/officeDocument/2006/relationships/chart" Target="charts/chart8.xml"/><Relationship Id="rId33" Type="http://schemas.openxmlformats.org/officeDocument/2006/relationships/chart" Target="charts/chart14.xml"/><Relationship Id="rId38" Type="http://schemas.openxmlformats.org/officeDocument/2006/relationships/footer" Target="footer2.xml"/><Relationship Id="rId46" Type="http://schemas.openxmlformats.org/officeDocument/2006/relationships/oleObject" Target="embeddings/Microsoft_Office_Excel_97-2003_Worksheet3.xls"/><Relationship Id="rId59"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image" Target="media/image2.emf"/><Relationship Id="rId29" Type="http://schemas.openxmlformats.org/officeDocument/2006/relationships/chart" Target="charts/chart11.xml"/><Relationship Id="rId41" Type="http://schemas.openxmlformats.org/officeDocument/2006/relationships/image" Target="media/image5.emf"/><Relationship Id="rId54" Type="http://schemas.openxmlformats.org/officeDocument/2006/relationships/hyperlink" Target="http://www.sieca.int/Publico/CA_en_cifras/CA_EVOLUCION_DEL_COMERCIO/Evolucion_1960-2010/CA_Evolucion_1960-2010.ht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ieca.int/Publico/CA_en_cifras/CA_EVOLUCION_DEL_COMERCIO/Evolucion_1960-2010/CA_Evolucion_1960-2010.htm" TargetMode="External"/><Relationship Id="rId32" Type="http://schemas.openxmlformats.org/officeDocument/2006/relationships/chart" Target="charts/chart13.xm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image" Target="media/image7.emf"/><Relationship Id="rId53" Type="http://schemas.openxmlformats.org/officeDocument/2006/relationships/hyperlink" Target="http://www.mineco.gob.gt/mineco/tlc/Tratados/index_tlc_mx.htm%22%20%5Ct%20%22_blank" TargetMode="Externa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hart" Target="charts/chart3.xml"/><Relationship Id="rId23" Type="http://schemas.openxmlformats.org/officeDocument/2006/relationships/chart" Target="charts/chart7.xml"/><Relationship Id="rId28" Type="http://schemas.openxmlformats.org/officeDocument/2006/relationships/image" Target="media/image3.wmf"/><Relationship Id="rId36" Type="http://schemas.openxmlformats.org/officeDocument/2006/relationships/header" Target="header2.xml"/><Relationship Id="rId49" Type="http://schemas.openxmlformats.org/officeDocument/2006/relationships/hyperlink" Target="http://elperiodico.com.gt/es/20120418/pais/210958" TargetMode="External"/><Relationship Id="rId57"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package" Target="embeddings/Microsoft_Office_Excel_Worksheet1.xlsx"/><Relationship Id="rId31" Type="http://schemas.openxmlformats.org/officeDocument/2006/relationships/chart" Target="charts/chart12.xml"/><Relationship Id="rId44" Type="http://schemas.openxmlformats.org/officeDocument/2006/relationships/oleObject" Target="embeddings/Microsoft_Office_Excel_97-2003_Worksheet2.xls"/><Relationship Id="rId52" Type="http://schemas.openxmlformats.org/officeDocument/2006/relationships/hyperlink" Target="http://www.mineco.gob.gt/Espanol/Centro+de+Informacion+y+Expo-Negocio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hart" Target="charts/chart2.xml"/><Relationship Id="rId22" Type="http://schemas.openxmlformats.org/officeDocument/2006/relationships/chart" Target="charts/chart6.xml"/><Relationship Id="rId27" Type="http://schemas.openxmlformats.org/officeDocument/2006/relationships/chart" Target="charts/chart10.xml"/><Relationship Id="rId30" Type="http://schemas.openxmlformats.org/officeDocument/2006/relationships/image" Target="media/image4.wmf"/><Relationship Id="rId35" Type="http://schemas.openxmlformats.org/officeDocument/2006/relationships/header" Target="header1.xml"/><Relationship Id="rId43" Type="http://schemas.openxmlformats.org/officeDocument/2006/relationships/image" Target="media/image6.emf"/><Relationship Id="rId48" Type="http://schemas.openxmlformats.org/officeDocument/2006/relationships/hyperlink" Target="http://www.elperiodico.com.gt/es/20110810/economia/199283/" TargetMode="External"/><Relationship Id="rId56" Type="http://schemas.openxmlformats.org/officeDocument/2006/relationships/footer" Target="footer4.xml"/><Relationship Id="rId8" Type="http://schemas.openxmlformats.org/officeDocument/2006/relationships/styles" Target="styles.xml"/><Relationship Id="rId51" Type="http://schemas.openxmlformats.org/officeDocument/2006/relationships/hyperlink" Target="http://www.export.com.gt/index.php?option=com_content&amp;view=article&amp;id=3&amp;Itemid=88"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mineco.gob.gt/Espanol/Centro+de+Informacion+y+Expo-Negocios" TargetMode="External"/><Relationship Id="rId1" Type="http://schemas.openxmlformats.org/officeDocument/2006/relationships/hyperlink" Target="http://data.worldbank.org/indicato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C:\Documents%20and%20Settings\g1ed_emp.ILO\Local%20Settings\Temp\GWViewer\Gr&#225;ficas%20y%20cuadros.xls" TargetMode="External"/><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20and%20Settings\g1ed_emp.ILO\Local%20Settings\Temp\GWViewer\Gr&#225;ficas%20y%20cuadros%20OIT.xls" TargetMode="Externa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ineruna\AppData\Local\Microsoft\Windows\Temporary%20Internet%20Files\Content.Outlook\0Z7TGSSA\Datos%20modelo.xls"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oleObject" Target="file:///C:\Users\ineruna\AppData\Local\Microsoft\Windows\Temporary%20Internet%20Files\Content.Outlook\0Z7TGSSA\Datos%20modelo.xls" TargetMode="External"/><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ineruna\AppData\Local\Microsoft\Windows\Temporary%20Internet%20Files\Content.Outlook\0Z7TGSSA\Datos%20modelo.xls" TargetMode="External"/><Relationship Id="rId1" Type="http://schemas.openxmlformats.org/officeDocument/2006/relationships/themeOverride" Target="../theme/themeOverride7.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Users\ineruna\AppData\Local\Microsoft\Windows\Temporary%20Internet%20Files\Content.Outlook\0Z7TGSSA\Datos%20modelo.xls" TargetMode="External"/><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Documents%20and%20Settings\g1ed_emp.ILO\Local%20Settings\Temp\GWViewer\Gr&#225;ficas%20y%20cuadros.xls"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g1ed_emp\Local%20Settings\Temp\GWViewer\Gr&#225;ficas%20y%20cuadros%20OIT.xls"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fsine01\ineruna$\Gr&#225;ficas%20estudio.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15995527777777926"/>
          <c:y val="7.7611111111111616E-2"/>
          <c:w val="0.8012391666666665"/>
          <c:h val="0.73041888888888884"/>
        </c:manualLayout>
      </c:layout>
      <c:lineChart>
        <c:grouping val="standard"/>
        <c:ser>
          <c:idx val="0"/>
          <c:order val="0"/>
          <c:dLbls>
            <c:dLbl>
              <c:idx val="1"/>
              <c:layout>
                <c:manualLayout>
                  <c:x val="-0.11463844797178215"/>
                  <c:y val="7.7795275590551424E-2"/>
                </c:manualLayout>
              </c:layout>
              <c:dLblPos val="r"/>
              <c:showVal val="1"/>
            </c:dLbl>
            <c:dLbl>
              <c:idx val="2"/>
              <c:layout>
                <c:manualLayout>
                  <c:x val="-1.9408962768542821E-2"/>
                  <c:y val="-7.0364537766112914E-2"/>
                </c:manualLayout>
              </c:layout>
              <c:dLblPos val="r"/>
              <c:showVal val="1"/>
            </c:dLbl>
            <c:dLbl>
              <c:idx val="3"/>
              <c:layout>
                <c:manualLayout>
                  <c:x val="-5.4673721340388476E-2"/>
                  <c:y val="-7.0352872557597104E-2"/>
                </c:manualLayout>
              </c:layout>
              <c:dLblPos val="r"/>
              <c:showVal val="1"/>
            </c:dLbl>
            <c:dLbl>
              <c:idx val="4"/>
              <c:layout>
                <c:manualLayout>
                  <c:x val="-0.12169312169312224"/>
                  <c:y val="9.8959296754573392E-2"/>
                </c:manualLayout>
              </c:layout>
              <c:dLblPos val="r"/>
              <c:showVal val="1"/>
            </c:dLbl>
            <c:dLbl>
              <c:idx val="5"/>
              <c:layout>
                <c:manualLayout>
                  <c:x val="-3.7037037037037264E-2"/>
                  <c:y val="8.4849949311892311E-2"/>
                </c:manualLayout>
              </c:layout>
              <c:dLblPos val="r"/>
              <c:showVal val="1"/>
            </c:dLbl>
            <c:dLbl>
              <c:idx val="7"/>
              <c:layout>
                <c:manualLayout>
                  <c:x val="-7.936507936507943E-2"/>
                  <c:y val="5.6631254426530032E-2"/>
                </c:manualLayout>
              </c:layout>
              <c:dLblPos val="r"/>
              <c:showVal val="1"/>
            </c:dLbl>
            <c:dLbl>
              <c:idx val="9"/>
              <c:layout>
                <c:manualLayout>
                  <c:x val="-2.5957310891694264E-2"/>
                  <c:y val="9.8959296754573392E-2"/>
                </c:manualLayout>
              </c:layout>
              <c:dLblPos val="r"/>
              <c:showVal val="1"/>
            </c:dLbl>
            <c:txPr>
              <a:bodyPr/>
              <a:lstStyle/>
              <a:p>
                <a:pPr>
                  <a:defRPr lang="en-GB" sz="800"/>
                </a:pPr>
                <a:endParaRPr lang="en-US"/>
              </a:p>
            </c:txPr>
            <c:dLblPos val="t"/>
            <c:showVal val="1"/>
          </c:dLbls>
          <c:cat>
            <c:numRef>
              <c:f>Gráficas!$A$3:$A$12</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Gráficas!$B$3:$B$12</c:f>
              <c:numCache>
                <c:formatCode>_(* #,##0_);_(* \(#,##0\);_(* "-"??_);_(@_)</c:formatCode>
                <c:ptCount val="10"/>
                <c:pt idx="0">
                  <c:v>151981</c:v>
                </c:pt>
                <c:pt idx="1">
                  <c:v>145807</c:v>
                </c:pt>
                <c:pt idx="2">
                  <c:v>145672</c:v>
                </c:pt>
                <c:pt idx="3">
                  <c:v>142692</c:v>
                </c:pt>
                <c:pt idx="4">
                  <c:v>141860</c:v>
                </c:pt>
                <c:pt idx="5">
                  <c:v>140554</c:v>
                </c:pt>
                <c:pt idx="6">
                  <c:v>151200</c:v>
                </c:pt>
                <c:pt idx="7">
                  <c:v>143740</c:v>
                </c:pt>
                <c:pt idx="8">
                  <c:v>152415</c:v>
                </c:pt>
                <c:pt idx="9">
                  <c:v>149615</c:v>
                </c:pt>
              </c:numCache>
            </c:numRef>
          </c:val>
        </c:ser>
        <c:marker val="1"/>
        <c:axId val="70735744"/>
        <c:axId val="70758400"/>
      </c:lineChart>
      <c:catAx>
        <c:axId val="70735744"/>
        <c:scaling>
          <c:orientation val="minMax"/>
        </c:scaling>
        <c:axPos val="b"/>
        <c:title>
          <c:tx>
            <c:rich>
              <a:bodyPr/>
              <a:lstStyle/>
              <a:p>
                <a:pPr>
                  <a:defRPr lang="en-GB"/>
                </a:pPr>
                <a:r>
                  <a:rPr lang="en-US"/>
                  <a:t>Year</a:t>
                </a:r>
              </a:p>
            </c:rich>
          </c:tx>
          <c:layout>
            <c:manualLayout>
              <c:xMode val="edge"/>
              <c:yMode val="edge"/>
              <c:x val="0.51196183810357743"/>
              <c:y val="0.90376202974627673"/>
            </c:manualLayout>
          </c:layout>
        </c:title>
        <c:numFmt formatCode="General" sourceLinked="1"/>
        <c:tickLblPos val="nextTo"/>
        <c:txPr>
          <a:bodyPr/>
          <a:lstStyle/>
          <a:p>
            <a:pPr>
              <a:defRPr lang="en-GB"/>
            </a:pPr>
            <a:endParaRPr lang="en-US"/>
          </a:p>
        </c:txPr>
        <c:crossAx val="70758400"/>
        <c:crosses val="autoZero"/>
        <c:auto val="1"/>
        <c:lblAlgn val="ctr"/>
        <c:lblOffset val="100"/>
      </c:catAx>
      <c:valAx>
        <c:axId val="70758400"/>
        <c:scaling>
          <c:orientation val="minMax"/>
        </c:scaling>
        <c:axPos val="l"/>
        <c:title>
          <c:tx>
            <c:rich>
              <a:bodyPr rot="-5400000" vert="horz"/>
              <a:lstStyle/>
              <a:p>
                <a:pPr>
                  <a:defRPr lang="en-GB"/>
                </a:pPr>
                <a:r>
                  <a:rPr lang="es-GT"/>
                  <a:t>Affiliates</a:t>
                </a:r>
              </a:p>
            </c:rich>
          </c:tx>
          <c:layout>
            <c:manualLayout>
              <c:xMode val="edge"/>
              <c:yMode val="edge"/>
              <c:x val="8.3253482203613748E-3"/>
              <c:y val="0.20917551972670068"/>
            </c:manualLayout>
          </c:layout>
        </c:title>
        <c:numFmt formatCode="_(* #,##0_);_(* \(#,##0\);_(* &quot;-&quot;??_);_(@_)" sourceLinked="1"/>
        <c:tickLblPos val="nextTo"/>
        <c:txPr>
          <a:bodyPr/>
          <a:lstStyle/>
          <a:p>
            <a:pPr>
              <a:defRPr lang="en-GB" sz="700"/>
            </a:pPr>
            <a:endParaRPr lang="en-US"/>
          </a:p>
        </c:txPr>
        <c:crossAx val="70735744"/>
        <c:crosses val="autoZero"/>
        <c:crossBetween val="between"/>
      </c:valAx>
      <c:spPr>
        <a:noFill/>
        <a:ln w="25400">
          <a:noFill/>
        </a:ln>
      </c:spPr>
    </c:plotArea>
    <c:plotVisOnly val="1"/>
    <c:dispBlanksAs val="gap"/>
  </c:chart>
  <c:spPr>
    <a:noFill/>
    <a:ln>
      <a:noFill/>
    </a:ln>
  </c:spPr>
  <c:txPr>
    <a:bodyPr/>
    <a:lstStyle/>
    <a:p>
      <a:pPr>
        <a:defRPr sz="800">
          <a:latin typeface="Book Antiqua" pitchFamily="18" charset="0"/>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n-GB"/>
  <c:clrMapOvr bg1="lt1" tx1="dk1" bg2="lt2" tx2="dk2" accent1="accent1" accent2="accent2" accent3="accent3" accent4="accent4" accent5="accent5" accent6="accent6" hlink="hlink" folHlink="folHlink"/>
  <c:chart>
    <c:plotArea>
      <c:layout>
        <c:manualLayout>
          <c:layoutTarget val="inner"/>
          <c:xMode val="edge"/>
          <c:yMode val="edge"/>
          <c:x val="0.10260195840904503"/>
          <c:y val="5.4010210428898774E-2"/>
          <c:w val="0.85537006191533749"/>
          <c:h val="0.73246210914387155"/>
        </c:manualLayout>
      </c:layout>
      <c:lineChart>
        <c:grouping val="standard"/>
        <c:ser>
          <c:idx val="0"/>
          <c:order val="0"/>
          <c:tx>
            <c:v>2001-2005</c:v>
          </c:tx>
          <c:cat>
            <c:numRef>
              <c:f>'\Users\pedro\AppData\Local\Microsoft\Windows\Temporary Internet Files\Content.Outlook\D2NZ16YD\[Copia de Indice de Herfindahl ASIES.xls]Hoja3'!$B$18:$B$27</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'\Users\pedro\AppData\Local\Microsoft\Windows\Temporary Internet Files\Content.Outlook\D2NZ16YD\[Copia de Indice de Herfindahl ASIES.xls]Hoja3'!$C$18:$C$27</c:f>
              <c:numCache>
                <c:formatCode>General</c:formatCode>
                <c:ptCount val="10"/>
                <c:pt idx="0">
                  <c:v>0.61848500755323133</c:v>
                </c:pt>
                <c:pt idx="1">
                  <c:v>0.59355380827676119</c:v>
                </c:pt>
                <c:pt idx="2">
                  <c:v>0.59227605471764011</c:v>
                </c:pt>
                <c:pt idx="3">
                  <c:v>0.59034657481188546</c:v>
                </c:pt>
                <c:pt idx="4">
                  <c:v>0.56677649490319271</c:v>
                </c:pt>
              </c:numCache>
            </c:numRef>
          </c:val>
        </c:ser>
        <c:ser>
          <c:idx val="1"/>
          <c:order val="1"/>
          <c:tx>
            <c:v>DR-CAFTA</c:v>
          </c:tx>
          <c:cat>
            <c:numRef>
              <c:f>'\Users\pedro\AppData\Local\Microsoft\Windows\Temporary Internet Files\Content.Outlook\D2NZ16YD\[Copia de Indice de Herfindahl ASIES.xls]Hoja3'!$B$18:$B$27</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'\Users\pedro\AppData\Local\Microsoft\Windows\Temporary Internet Files\Content.Outlook\D2NZ16YD\[Copia de Indice de Herfindahl ASIES.xls]Hoja3'!$D$18:$D$27</c:f>
              <c:numCache>
                <c:formatCode>General</c:formatCode>
                <c:ptCount val="10"/>
                <c:pt idx="5">
                  <c:v>0.56475550800655172</c:v>
                </c:pt>
                <c:pt idx="6">
                  <c:v>0.52711913558310264</c:v>
                </c:pt>
                <c:pt idx="7">
                  <c:v>0.51224078796205197</c:v>
                </c:pt>
                <c:pt idx="8">
                  <c:v>0.48605595885581682</c:v>
                </c:pt>
                <c:pt idx="9">
                  <c:v>0.48843571209821712</c:v>
                </c:pt>
              </c:numCache>
            </c:numRef>
          </c:val>
        </c:ser>
        <c:marker val="1"/>
        <c:axId val="71826048"/>
        <c:axId val="72302976"/>
      </c:lineChart>
      <c:catAx>
        <c:axId val="71826048"/>
        <c:scaling>
          <c:orientation val="minMax"/>
        </c:scaling>
        <c:axPos val="b"/>
        <c:numFmt formatCode="General" sourceLinked="1"/>
        <c:majorTickMark val="none"/>
        <c:tickLblPos val="nextTo"/>
        <c:txPr>
          <a:bodyPr rot="0" vert="horz"/>
          <a:lstStyle/>
          <a:p>
            <a:pPr>
              <a:defRPr lang="en-GB" sz="1000" b="0" i="0" u="none" strike="noStrike" baseline="0">
                <a:solidFill>
                  <a:srgbClr val="000000"/>
                </a:solidFill>
                <a:latin typeface="Book Antiqua"/>
                <a:ea typeface="Book Antiqua"/>
                <a:cs typeface="Book Antiqua"/>
              </a:defRPr>
            </a:pPr>
            <a:endParaRPr lang="en-US"/>
          </a:p>
        </c:txPr>
        <c:crossAx val="72302976"/>
        <c:crosses val="autoZero"/>
        <c:auto val="1"/>
        <c:lblAlgn val="ctr"/>
        <c:lblOffset val="100"/>
      </c:catAx>
      <c:valAx>
        <c:axId val="72302976"/>
        <c:scaling>
          <c:orientation val="minMax"/>
          <c:min val="0.4"/>
        </c:scaling>
        <c:axPos val="l"/>
        <c:majorGridlines/>
        <c:numFmt formatCode="General" sourceLinked="1"/>
        <c:majorTickMark val="none"/>
        <c:tickLblPos val="nextTo"/>
        <c:spPr>
          <a:ln w="9525">
            <a:noFill/>
          </a:ln>
        </c:spPr>
        <c:txPr>
          <a:bodyPr rot="0" vert="horz"/>
          <a:lstStyle/>
          <a:p>
            <a:pPr>
              <a:defRPr lang="en-GB" sz="1000" b="0" i="0" u="none" strike="noStrike" baseline="0">
                <a:solidFill>
                  <a:srgbClr val="000000"/>
                </a:solidFill>
                <a:latin typeface="Book Antiqua"/>
                <a:ea typeface="Book Antiqua"/>
                <a:cs typeface="Book Antiqua"/>
              </a:defRPr>
            </a:pPr>
            <a:endParaRPr lang="en-US"/>
          </a:p>
        </c:txPr>
        <c:crossAx val="71826048"/>
        <c:crosses val="autoZero"/>
        <c:crossBetween val="between"/>
      </c:valAx>
      <c:spPr>
        <a:ln>
          <a:solidFill>
            <a:schemeClr val="tx1"/>
          </a:solidFill>
        </a:ln>
      </c:spPr>
    </c:plotArea>
    <c:legend>
      <c:legendPos val="r"/>
      <c:layout>
        <c:manualLayout>
          <c:xMode val="edge"/>
          <c:yMode val="edge"/>
          <c:x val="0.17307717277389797"/>
          <c:y val="0.87861402741324046"/>
          <c:w val="0.65384676738729253"/>
          <c:h val="8.3815252260134226E-2"/>
        </c:manualLayout>
      </c:layout>
      <c:txPr>
        <a:bodyPr/>
        <a:lstStyle/>
        <a:p>
          <a:pPr>
            <a:defRPr lang="en-GB" sz="920" b="0" i="0" u="none" strike="noStrike" baseline="0">
              <a:solidFill>
                <a:srgbClr val="000000"/>
              </a:solidFill>
              <a:latin typeface="Book Antiqua"/>
              <a:ea typeface="Book Antiqua"/>
              <a:cs typeface="Book Antiqua"/>
            </a:defRPr>
          </a:pPr>
          <a:endParaRPr lang="en-US"/>
        </a:p>
      </c:txPr>
    </c:legend>
    <c:plotVisOnly val="1"/>
    <c:dispBlanksAs val="gap"/>
  </c:chart>
  <c:spPr>
    <a:ln>
      <a:noFill/>
    </a:ln>
  </c:spPr>
  <c:txPr>
    <a:bodyPr/>
    <a:lstStyle/>
    <a:p>
      <a:pPr>
        <a:defRPr sz="1000" b="0" i="0" u="none" strike="noStrike" baseline="0">
          <a:solidFill>
            <a:srgbClr val="000000"/>
          </a:solidFill>
          <a:latin typeface="Book Antiqua"/>
          <a:ea typeface="Book Antiqua"/>
          <a:cs typeface="Book Antiqua"/>
        </a:defRPr>
      </a:pPr>
      <a:endParaRPr lang="en-US"/>
    </a:p>
  </c:tx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22067688706177915"/>
          <c:y val="5.1909813356663753E-2"/>
          <c:w val="0.74876755738266532"/>
          <c:h val="0.64467070707071106"/>
        </c:manualLayout>
      </c:layout>
      <c:lineChart>
        <c:grouping val="standard"/>
        <c:ser>
          <c:idx val="0"/>
          <c:order val="0"/>
          <c:tx>
            <c:v>Agricultural employment</c:v>
          </c:tx>
          <c:cat>
            <c:numRef>
              <c:f>Gráficas!$A$207:$A$216</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Gráficas!$B$207:$B$216</c:f>
              <c:numCache>
                <c:formatCode>_(* #,##0_);_(* \(#,##0\);_(* "-"??_);_(@_)</c:formatCode>
                <c:ptCount val="10"/>
                <c:pt idx="0">
                  <c:v>151981</c:v>
                </c:pt>
                <c:pt idx="1">
                  <c:v>145807</c:v>
                </c:pt>
                <c:pt idx="2">
                  <c:v>145672</c:v>
                </c:pt>
                <c:pt idx="3">
                  <c:v>142692</c:v>
                </c:pt>
                <c:pt idx="4">
                  <c:v>141860</c:v>
                </c:pt>
                <c:pt idx="5">
                  <c:v>140554</c:v>
                </c:pt>
                <c:pt idx="6">
                  <c:v>151200</c:v>
                </c:pt>
                <c:pt idx="7">
                  <c:v>143740</c:v>
                </c:pt>
                <c:pt idx="8">
                  <c:v>152415</c:v>
                </c:pt>
                <c:pt idx="9">
                  <c:v>149615</c:v>
                </c:pt>
              </c:numCache>
            </c:numRef>
          </c:val>
        </c:ser>
        <c:ser>
          <c:idx val="1"/>
          <c:order val="1"/>
          <c:tx>
            <c:v>Estimated model</c:v>
          </c:tx>
          <c:spPr>
            <a:ln w="12700"/>
          </c:spPr>
          <c:marker>
            <c:symbol val="square"/>
            <c:size val="3"/>
          </c:marker>
          <c:cat>
            <c:numRef>
              <c:f>Gráficas!$A$207:$A$216</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Gráficas!$F$207:$F$216</c:f>
              <c:numCache>
                <c:formatCode>_ * #,##0.00_ ;_ * \-#,##0.00_ ;_ * "-"??_ ;_ @_ </c:formatCode>
                <c:ptCount val="10"/>
                <c:pt idx="0">
                  <c:v>149641.69999999998</c:v>
                </c:pt>
                <c:pt idx="1">
                  <c:v>147663.5</c:v>
                </c:pt>
                <c:pt idx="2">
                  <c:v>145685.29999999999</c:v>
                </c:pt>
                <c:pt idx="3">
                  <c:v>143707.1</c:v>
                </c:pt>
                <c:pt idx="4">
                  <c:v>141728.9</c:v>
                </c:pt>
                <c:pt idx="5">
                  <c:v>139750.69999999998</c:v>
                </c:pt>
                <c:pt idx="6">
                  <c:v>149741.79999999999</c:v>
                </c:pt>
                <c:pt idx="7">
                  <c:v>149473.5</c:v>
                </c:pt>
                <c:pt idx="8">
                  <c:v>149205.20000000001</c:v>
                </c:pt>
                <c:pt idx="9">
                  <c:v>148936.9</c:v>
                </c:pt>
              </c:numCache>
            </c:numRef>
          </c:val>
        </c:ser>
        <c:marker val="1"/>
        <c:axId val="72426240"/>
        <c:axId val="72428160"/>
      </c:lineChart>
      <c:catAx>
        <c:axId val="72426240"/>
        <c:scaling>
          <c:orientation val="minMax"/>
        </c:scaling>
        <c:axPos val="b"/>
        <c:title>
          <c:tx>
            <c:rich>
              <a:bodyPr/>
              <a:lstStyle/>
              <a:p>
                <a:pPr>
                  <a:defRPr lang="en-GB" sz="900"/>
                </a:pPr>
                <a:r>
                  <a:rPr lang="en-US" sz="900"/>
                  <a:t>Year</a:t>
                </a:r>
              </a:p>
            </c:rich>
          </c:tx>
          <c:layout/>
        </c:title>
        <c:numFmt formatCode="General" sourceLinked="1"/>
        <c:tickLblPos val="nextTo"/>
        <c:txPr>
          <a:bodyPr/>
          <a:lstStyle/>
          <a:p>
            <a:pPr>
              <a:defRPr lang="en-GB" sz="900"/>
            </a:pPr>
            <a:endParaRPr lang="en-US"/>
          </a:p>
        </c:txPr>
        <c:crossAx val="72428160"/>
        <c:crosses val="autoZero"/>
        <c:auto val="1"/>
        <c:lblAlgn val="ctr"/>
        <c:lblOffset val="100"/>
      </c:catAx>
      <c:valAx>
        <c:axId val="72428160"/>
        <c:scaling>
          <c:orientation val="minMax"/>
        </c:scaling>
        <c:axPos val="l"/>
        <c:title>
          <c:tx>
            <c:rich>
              <a:bodyPr rot="-5400000" vert="horz"/>
              <a:lstStyle/>
              <a:p>
                <a:pPr>
                  <a:defRPr lang="en-GB" sz="900"/>
                </a:pPr>
                <a:r>
                  <a:rPr lang="en-US" sz="900"/>
                  <a:t>Number of employees</a:t>
                </a:r>
              </a:p>
            </c:rich>
          </c:tx>
          <c:layout>
            <c:manualLayout>
              <c:xMode val="edge"/>
              <c:yMode val="edge"/>
              <c:x val="8.7626186149808247E-3"/>
              <c:y val="2.4617908338380786E-2"/>
            </c:manualLayout>
          </c:layout>
        </c:title>
        <c:numFmt formatCode="_(* #,##0_);_(* \(#,##0\);_(* &quot;-&quot;??_);_(@_)" sourceLinked="1"/>
        <c:tickLblPos val="nextTo"/>
        <c:txPr>
          <a:bodyPr/>
          <a:lstStyle/>
          <a:p>
            <a:pPr>
              <a:defRPr lang="en-GB" sz="900"/>
            </a:pPr>
            <a:endParaRPr lang="en-US"/>
          </a:p>
        </c:txPr>
        <c:crossAx val="72426240"/>
        <c:crosses val="autoZero"/>
        <c:crossBetween val="between"/>
      </c:valAx>
      <c:spPr>
        <a:noFill/>
        <a:ln w="25400">
          <a:noFill/>
        </a:ln>
      </c:spPr>
    </c:plotArea>
    <c:legend>
      <c:legendPos val="b"/>
      <c:layout>
        <c:manualLayout>
          <c:xMode val="edge"/>
          <c:yMode val="edge"/>
          <c:x val="0.19617976825282638"/>
          <c:y val="0.91171275430832488"/>
          <c:w val="0.76573667474258322"/>
          <c:h val="8.4725418938018104E-2"/>
        </c:manualLayout>
      </c:layout>
      <c:txPr>
        <a:bodyPr/>
        <a:lstStyle/>
        <a:p>
          <a:pPr>
            <a:defRPr lang="en-GB" sz="900"/>
          </a:pPr>
          <a:endParaRPr lang="en-US"/>
        </a:p>
      </c:txPr>
    </c:legend>
    <c:plotVisOnly val="1"/>
    <c:dispBlanksAs val="gap"/>
  </c:chart>
  <c:spPr>
    <a:noFill/>
    <a:ln>
      <a:noFill/>
    </a:ln>
  </c:spPr>
  <c:txPr>
    <a:bodyPr/>
    <a:lstStyle/>
    <a:p>
      <a:pPr>
        <a:defRPr>
          <a:latin typeface="Book Antiqua" pitchFamily="18" charset="0"/>
        </a:defRPr>
      </a:pPr>
      <a:endParaRPr lang="en-US"/>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15975842119812297"/>
          <c:y val="3.9467323112486699E-2"/>
          <c:w val="0.78585115610059586"/>
          <c:h val="0.77140071974240798"/>
        </c:manualLayout>
      </c:layout>
      <c:scatterChart>
        <c:scatterStyle val="lineMarker"/>
        <c:ser>
          <c:idx val="0"/>
          <c:order val="0"/>
          <c:spPr>
            <a:ln w="28575">
              <a:noFill/>
            </a:ln>
          </c:spPr>
          <c:trendline>
            <c:trendlineType val="linear"/>
          </c:trendline>
          <c:xVal>
            <c:numRef>
              <c:f>'[Datos modelo.xls]Hoja1'!$C$15:$C$24</c:f>
              <c:numCache>
                <c:formatCode>0.0</c:formatCode>
                <c:ptCount val="10"/>
                <c:pt idx="0">
                  <c:v>13.937909944081868</c:v>
                </c:pt>
                <c:pt idx="1">
                  <c:v>14.12300922820288</c:v>
                </c:pt>
                <c:pt idx="2">
                  <c:v>14.14228340724336</c:v>
                </c:pt>
                <c:pt idx="3">
                  <c:v>14.26313340808467</c:v>
                </c:pt>
                <c:pt idx="4">
                  <c:v>14.068069444918498</c:v>
                </c:pt>
                <c:pt idx="5">
                  <c:v>14.10229805540312</c:v>
                </c:pt>
                <c:pt idx="6">
                  <c:v>14.07408889561562</c:v>
                </c:pt>
                <c:pt idx="7">
                  <c:v>14.075506173242124</c:v>
                </c:pt>
                <c:pt idx="8">
                  <c:v>14.28004708228932</c:v>
                </c:pt>
                <c:pt idx="9">
                  <c:v>14.371321746151263</c:v>
                </c:pt>
              </c:numCache>
            </c:numRef>
          </c:xVal>
          <c:yVal>
            <c:numRef>
              <c:f>'[Datos modelo.xls]Hoja1'!$D$15:$D$24</c:f>
              <c:numCache>
                <c:formatCode>0.0</c:formatCode>
                <c:ptCount val="10"/>
                <c:pt idx="0">
                  <c:v>11.93151079201526</c:v>
                </c:pt>
                <c:pt idx="1">
                  <c:v>11.890039108378152</c:v>
                </c:pt>
                <c:pt idx="2">
                  <c:v>11.889112798011682</c:v>
                </c:pt>
                <c:pt idx="3">
                  <c:v>11.86844374022558</c:v>
                </c:pt>
                <c:pt idx="4">
                  <c:v>11.862595934756202</c:v>
                </c:pt>
                <c:pt idx="5">
                  <c:v>11.853347035552707</c:v>
                </c:pt>
                <c:pt idx="6">
                  <c:v>11.926358742727498</c:v>
                </c:pt>
                <c:pt idx="7">
                  <c:v>11.875761391022452</c:v>
                </c:pt>
                <c:pt idx="8">
                  <c:v>11.93436234258809</c:v>
                </c:pt>
                <c:pt idx="9">
                  <c:v>11.91582060687576</c:v>
                </c:pt>
              </c:numCache>
            </c:numRef>
          </c:yVal>
        </c:ser>
        <c:axId val="72436736"/>
        <c:axId val="72508544"/>
      </c:scatterChart>
      <c:valAx>
        <c:axId val="72436736"/>
        <c:scaling>
          <c:orientation val="minMax"/>
        </c:scaling>
        <c:axPos val="b"/>
        <c:title>
          <c:tx>
            <c:rich>
              <a:bodyPr/>
              <a:lstStyle/>
              <a:p>
                <a:pPr>
                  <a:defRPr lang="en-GB" sz="800" b="1"/>
                </a:pPr>
                <a:r>
                  <a:rPr lang="es-GT" sz="800" b="1"/>
                  <a:t>log-sugar exports</a:t>
                </a:r>
              </a:p>
            </c:rich>
          </c:tx>
          <c:layout>
            <c:manualLayout>
              <c:xMode val="edge"/>
              <c:yMode val="edge"/>
              <c:x val="0.36462374866722008"/>
              <c:y val="0.9159753122585248"/>
            </c:manualLayout>
          </c:layout>
        </c:title>
        <c:numFmt formatCode="0.0" sourceLinked="1"/>
        <c:tickLblPos val="nextTo"/>
        <c:txPr>
          <a:bodyPr rot="0" vert="horz"/>
          <a:lstStyle/>
          <a:p>
            <a:pPr>
              <a:defRPr lang="es-GT"/>
            </a:pPr>
            <a:endParaRPr lang="en-US"/>
          </a:p>
        </c:txPr>
        <c:crossAx val="72508544"/>
        <c:crosses val="autoZero"/>
        <c:crossBetween val="midCat"/>
      </c:valAx>
      <c:valAx>
        <c:axId val="72508544"/>
        <c:scaling>
          <c:orientation val="minMax"/>
        </c:scaling>
        <c:axPos val="l"/>
        <c:title>
          <c:tx>
            <c:rich>
              <a:bodyPr rot="-5400000" vert="horz"/>
              <a:lstStyle/>
              <a:p>
                <a:pPr>
                  <a:defRPr lang="en-GB" b="1"/>
                </a:pPr>
                <a:r>
                  <a:rPr lang="es-GT" sz="800" b="1"/>
                  <a:t>log-agricultural members  IGSS</a:t>
                </a:r>
              </a:p>
            </c:rich>
          </c:tx>
          <c:layout>
            <c:manualLayout>
              <c:xMode val="edge"/>
              <c:yMode val="edge"/>
              <c:x val="9.3504522433887939E-3"/>
              <c:y val="0.13919818121326391"/>
            </c:manualLayout>
          </c:layout>
        </c:title>
        <c:numFmt formatCode="0.0" sourceLinked="1"/>
        <c:tickLblPos val="nextTo"/>
        <c:txPr>
          <a:bodyPr rot="0" vert="horz"/>
          <a:lstStyle/>
          <a:p>
            <a:pPr>
              <a:defRPr lang="es-GT"/>
            </a:pPr>
            <a:endParaRPr lang="en-US"/>
          </a:p>
        </c:txPr>
        <c:crossAx val="72436736"/>
        <c:crosses val="autoZero"/>
        <c:crossBetween val="midCat"/>
      </c:valAx>
      <c:spPr>
        <a:noFill/>
        <a:ln w="25400">
          <a:noFill/>
        </a:ln>
      </c:spPr>
    </c:plotArea>
    <c:plotVisOnly val="1"/>
    <c:dispBlanksAs val="gap"/>
  </c:chart>
  <c:spPr>
    <a:noFill/>
    <a:ln>
      <a:noFill/>
    </a:ln>
  </c:spPr>
  <c:txPr>
    <a:bodyPr/>
    <a:lstStyle/>
    <a:p>
      <a:pPr>
        <a:defRPr sz="900" b="0" i="0" u="none" strike="noStrike" baseline="0">
          <a:solidFill>
            <a:srgbClr val="000000"/>
          </a:solidFill>
          <a:latin typeface="Book Antiqua"/>
          <a:ea typeface="Book Antiqua"/>
          <a:cs typeface="Book Antiqua"/>
        </a:defRPr>
      </a:pPr>
      <a:endParaRPr lang="en-US"/>
    </a:p>
  </c:txPr>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15643338085202108"/>
          <c:y val="3.9453401658126191E-2"/>
          <c:w val="0.78593431707027095"/>
          <c:h val="0.74528643652320348"/>
        </c:manualLayout>
      </c:layout>
      <c:scatterChart>
        <c:scatterStyle val="lineMarker"/>
        <c:ser>
          <c:idx val="0"/>
          <c:order val="0"/>
          <c:spPr>
            <a:ln w="28575">
              <a:noFill/>
            </a:ln>
          </c:spPr>
          <c:trendline>
            <c:trendlineType val="linear"/>
          </c:trendline>
          <c:xVal>
            <c:numRef>
              <c:f>'[Datos modelo.xls]Hoja1'!$L$15:$L$24</c:f>
              <c:numCache>
                <c:formatCode>0.0</c:formatCode>
                <c:ptCount val="10"/>
                <c:pt idx="0">
                  <c:v>13.61507460161541</c:v>
                </c:pt>
                <c:pt idx="1">
                  <c:v>13.786844278306054</c:v>
                </c:pt>
                <c:pt idx="2">
                  <c:v>13.74651207931875</c:v>
                </c:pt>
                <c:pt idx="3">
                  <c:v>13.8292012118127</c:v>
                </c:pt>
                <c:pt idx="4">
                  <c:v>13.86072290078582</c:v>
                </c:pt>
                <c:pt idx="5">
                  <c:v>13.798000039777818</c:v>
                </c:pt>
                <c:pt idx="6">
                  <c:v>14.100962169787119</c:v>
                </c:pt>
                <c:pt idx="7">
                  <c:v>14.075349791067724</c:v>
                </c:pt>
                <c:pt idx="8">
                  <c:v>14.156558879747223</c:v>
                </c:pt>
                <c:pt idx="9">
                  <c:v>14.065647915992068</c:v>
                </c:pt>
              </c:numCache>
            </c:numRef>
          </c:xVal>
          <c:yVal>
            <c:numRef>
              <c:f>'[Datos modelo.xls]Hoja1'!$M$15:$M$24</c:f>
              <c:numCache>
                <c:formatCode>0.0</c:formatCode>
                <c:ptCount val="10"/>
                <c:pt idx="0">
                  <c:v>11.93151079201526</c:v>
                </c:pt>
                <c:pt idx="1">
                  <c:v>11.890039108378152</c:v>
                </c:pt>
                <c:pt idx="2">
                  <c:v>11.889112798011682</c:v>
                </c:pt>
                <c:pt idx="3">
                  <c:v>11.86844374022558</c:v>
                </c:pt>
                <c:pt idx="4">
                  <c:v>11.862595934756202</c:v>
                </c:pt>
                <c:pt idx="5">
                  <c:v>11.853347035552707</c:v>
                </c:pt>
                <c:pt idx="6">
                  <c:v>11.926358742727498</c:v>
                </c:pt>
                <c:pt idx="7">
                  <c:v>11.875761391022452</c:v>
                </c:pt>
                <c:pt idx="8">
                  <c:v>11.93436234258809</c:v>
                </c:pt>
                <c:pt idx="9">
                  <c:v>11.91582060687576</c:v>
                </c:pt>
              </c:numCache>
            </c:numRef>
          </c:yVal>
        </c:ser>
        <c:axId val="72497024"/>
        <c:axId val="72368128"/>
      </c:scatterChart>
      <c:valAx>
        <c:axId val="72497024"/>
        <c:scaling>
          <c:orientation val="minMax"/>
        </c:scaling>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lang="en-GB" sz="900" b="0" i="0" u="none" strike="noStrike" kern="1200" baseline="0">
                    <a:solidFill>
                      <a:srgbClr val="000000"/>
                    </a:solidFill>
                    <a:latin typeface="Book Antiqua"/>
                    <a:ea typeface="Book Antiqua"/>
                    <a:cs typeface="Book Antiqua"/>
                  </a:defRPr>
                </a:pPr>
                <a:r>
                  <a:rPr lang="es-GT" sz="800" b="1" i="0" baseline="0">
                    <a:effectLst/>
                  </a:rPr>
                  <a:t>log-banana exports</a:t>
                </a:r>
                <a:endParaRPr lang="es-GT" sz="100">
                  <a:effectLst/>
                </a:endParaRPr>
              </a:p>
            </c:rich>
          </c:tx>
          <c:layout/>
        </c:title>
        <c:numFmt formatCode="0.0" sourceLinked="1"/>
        <c:tickLblPos val="nextTo"/>
        <c:txPr>
          <a:bodyPr rot="0" vert="horz"/>
          <a:lstStyle/>
          <a:p>
            <a:pPr>
              <a:defRPr lang="es-GT"/>
            </a:pPr>
            <a:endParaRPr lang="en-US"/>
          </a:p>
        </c:txPr>
        <c:crossAx val="72368128"/>
        <c:crosses val="autoZero"/>
        <c:crossBetween val="midCat"/>
      </c:valAx>
      <c:valAx>
        <c:axId val="72368128"/>
        <c:scaling>
          <c:orientation val="minMax"/>
        </c:scaling>
        <c:axPos val="l"/>
        <c:title>
          <c:tx>
            <c:rich>
              <a:bodyPr rot="-5400000" vert="horz"/>
              <a:lstStyle/>
              <a:p>
                <a:pPr>
                  <a:defRPr lang="en-GB" sz="800" b="1"/>
                </a:pPr>
                <a:r>
                  <a:rPr lang="es-GT" sz="800" b="1" i="0" baseline="0">
                    <a:effectLst/>
                  </a:rPr>
                  <a:t>log-agricultural members  IGSS</a:t>
                </a:r>
                <a:endParaRPr lang="en-US" sz="800">
                  <a:effectLst/>
                </a:endParaRPr>
              </a:p>
            </c:rich>
          </c:tx>
          <c:layout/>
        </c:title>
        <c:numFmt formatCode="0.0" sourceLinked="1"/>
        <c:tickLblPos val="nextTo"/>
        <c:txPr>
          <a:bodyPr rot="0" vert="horz"/>
          <a:lstStyle/>
          <a:p>
            <a:pPr>
              <a:defRPr lang="es-GT"/>
            </a:pPr>
            <a:endParaRPr lang="en-US"/>
          </a:p>
        </c:txPr>
        <c:crossAx val="72497024"/>
        <c:crosses val="autoZero"/>
        <c:crossBetween val="midCat"/>
      </c:valAx>
      <c:spPr>
        <a:noFill/>
        <a:ln w="25400">
          <a:noFill/>
        </a:ln>
      </c:spPr>
    </c:plotArea>
    <c:plotVisOnly val="1"/>
    <c:dispBlanksAs val="gap"/>
  </c:chart>
  <c:spPr>
    <a:noFill/>
    <a:ln>
      <a:noFill/>
    </a:ln>
  </c:spPr>
  <c:txPr>
    <a:bodyPr/>
    <a:lstStyle/>
    <a:p>
      <a:pPr>
        <a:defRPr sz="900" b="0" i="0" u="none" strike="noStrike" baseline="0">
          <a:solidFill>
            <a:srgbClr val="000000"/>
          </a:solidFill>
          <a:latin typeface="Book Antiqua"/>
          <a:ea typeface="Book Antiqua"/>
          <a:cs typeface="Book Antiqua"/>
        </a:defRPr>
      </a:pPr>
      <a:endParaRPr lang="en-US"/>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18708025569716574"/>
          <c:y val="3.576567488317621E-2"/>
          <c:w val="0.75850825999691196"/>
          <c:h val="0.75600847970926699"/>
        </c:manualLayout>
      </c:layout>
      <c:scatterChart>
        <c:scatterStyle val="lineMarker"/>
        <c:ser>
          <c:idx val="0"/>
          <c:order val="0"/>
          <c:spPr>
            <a:ln w="28575">
              <a:noFill/>
            </a:ln>
          </c:spPr>
          <c:trendline>
            <c:trendlineType val="linear"/>
          </c:trendline>
          <c:xVal>
            <c:numRef>
              <c:f>'[Datos modelo.xls]Hoja1'!$C$27:$C$36</c:f>
              <c:numCache>
                <c:formatCode>0.0</c:formatCode>
                <c:ptCount val="10"/>
                <c:pt idx="0">
                  <c:v>12.41602558193644</c:v>
                </c:pt>
                <c:pt idx="1">
                  <c:v>12.242606579445676</c:v>
                </c:pt>
                <c:pt idx="2">
                  <c:v>12.42686062466135</c:v>
                </c:pt>
                <c:pt idx="3">
                  <c:v>12.24494041178964</c:v>
                </c:pt>
                <c:pt idx="4">
                  <c:v>12.214979362700998</c:v>
                </c:pt>
                <c:pt idx="5">
                  <c:v>12.222682436045424</c:v>
                </c:pt>
                <c:pt idx="6">
                  <c:v>12.348475879230939</c:v>
                </c:pt>
                <c:pt idx="7">
                  <c:v>12.345983272503426</c:v>
                </c:pt>
                <c:pt idx="8">
                  <c:v>12.356608083954599</c:v>
                </c:pt>
                <c:pt idx="9">
                  <c:v>12.353513291922981</c:v>
                </c:pt>
              </c:numCache>
            </c:numRef>
          </c:xVal>
          <c:yVal>
            <c:numRef>
              <c:f>'[Datos modelo.xls]Hoja1'!$D$27:$D$36</c:f>
              <c:numCache>
                <c:formatCode>0.0</c:formatCode>
                <c:ptCount val="10"/>
                <c:pt idx="0">
                  <c:v>11.93151079201526</c:v>
                </c:pt>
                <c:pt idx="1">
                  <c:v>11.890039108378152</c:v>
                </c:pt>
                <c:pt idx="2">
                  <c:v>11.889112798011682</c:v>
                </c:pt>
                <c:pt idx="3">
                  <c:v>11.86844374022558</c:v>
                </c:pt>
                <c:pt idx="4">
                  <c:v>11.862595934756202</c:v>
                </c:pt>
                <c:pt idx="5">
                  <c:v>11.853347035552707</c:v>
                </c:pt>
                <c:pt idx="6">
                  <c:v>11.926358742727498</c:v>
                </c:pt>
                <c:pt idx="7">
                  <c:v>11.875761391022452</c:v>
                </c:pt>
                <c:pt idx="8">
                  <c:v>11.93436234258809</c:v>
                </c:pt>
                <c:pt idx="9">
                  <c:v>11.91582060687576</c:v>
                </c:pt>
              </c:numCache>
            </c:numRef>
          </c:yVal>
        </c:ser>
        <c:axId val="72556544"/>
        <c:axId val="72558464"/>
      </c:scatterChart>
      <c:valAx>
        <c:axId val="72556544"/>
        <c:scaling>
          <c:orientation val="minMax"/>
        </c:scaling>
        <c:axPos val="b"/>
        <c:title>
          <c:tx>
            <c:rich>
              <a:bodyPr/>
              <a:lstStyle/>
              <a:p>
                <a:pPr>
                  <a:defRPr lang="en-GB" sz="800" b="1"/>
                </a:pPr>
                <a:r>
                  <a:rPr lang="es-GT" sz="800" b="1"/>
                  <a:t>log-coffee exports</a:t>
                </a:r>
              </a:p>
            </c:rich>
          </c:tx>
          <c:layout/>
        </c:title>
        <c:numFmt formatCode="0.0" sourceLinked="1"/>
        <c:tickLblPos val="nextTo"/>
        <c:txPr>
          <a:bodyPr rot="0" vert="horz"/>
          <a:lstStyle/>
          <a:p>
            <a:pPr>
              <a:defRPr lang="es-GT"/>
            </a:pPr>
            <a:endParaRPr lang="en-US"/>
          </a:p>
        </c:txPr>
        <c:crossAx val="72558464"/>
        <c:crosses val="autoZero"/>
        <c:crossBetween val="midCat"/>
      </c:valAx>
      <c:valAx>
        <c:axId val="72558464"/>
        <c:scaling>
          <c:orientation val="minMax"/>
        </c:scaling>
        <c:axPos val="l"/>
        <c:title>
          <c:tx>
            <c:rich>
              <a:bodyPr rot="-5400000" vert="horz"/>
              <a:lstStyle/>
              <a:p>
                <a:pPr>
                  <a:defRPr lang="en-GB" sz="800" b="1"/>
                </a:pPr>
                <a:r>
                  <a:rPr lang="es-GT" sz="800" b="1" i="0" baseline="0">
                    <a:effectLst/>
                  </a:rPr>
                  <a:t>log-agricultural members  IGSS</a:t>
                </a:r>
                <a:endParaRPr lang="en-US" sz="800">
                  <a:effectLst/>
                </a:endParaRPr>
              </a:p>
            </c:rich>
          </c:tx>
          <c:layout>
            <c:manualLayout>
              <c:xMode val="edge"/>
              <c:yMode val="edge"/>
              <c:x val="2.4867685656939899E-2"/>
              <c:y val="3.6408862939598899E-2"/>
            </c:manualLayout>
          </c:layout>
        </c:title>
        <c:numFmt formatCode="0.0" sourceLinked="1"/>
        <c:tickLblPos val="nextTo"/>
        <c:txPr>
          <a:bodyPr rot="0" vert="horz"/>
          <a:lstStyle/>
          <a:p>
            <a:pPr>
              <a:defRPr lang="es-GT"/>
            </a:pPr>
            <a:endParaRPr lang="en-US"/>
          </a:p>
        </c:txPr>
        <c:crossAx val="72556544"/>
        <c:crosses val="autoZero"/>
        <c:crossBetween val="midCat"/>
      </c:valAx>
      <c:spPr>
        <a:noFill/>
        <a:ln w="25400">
          <a:noFill/>
        </a:ln>
      </c:spPr>
    </c:plotArea>
    <c:plotVisOnly val="1"/>
    <c:dispBlanksAs val="gap"/>
  </c:chart>
  <c:spPr>
    <a:noFill/>
    <a:ln>
      <a:noFill/>
    </a:ln>
  </c:spPr>
  <c:txPr>
    <a:bodyPr/>
    <a:lstStyle/>
    <a:p>
      <a:pPr>
        <a:defRPr sz="900" b="0" i="0" u="none" strike="noStrike" baseline="0">
          <a:solidFill>
            <a:srgbClr val="000000"/>
          </a:solidFill>
          <a:latin typeface="Book Antiqua"/>
          <a:ea typeface="Book Antiqua"/>
          <a:cs typeface="Book Antiqua"/>
        </a:defRPr>
      </a:pPr>
      <a:endParaRPr lang="en-US"/>
    </a:p>
  </c:txPr>
  <c:externalData r:id="rId2"/>
  <c:userShapes r:id="rId3"/>
</c:chartSpace>
</file>

<file path=word/charts/chart15.xml><?xml version="1.0" encoding="utf-8"?>
<c:chartSpace xmlns:c="http://schemas.openxmlformats.org/drawingml/2006/chart" xmlns:a="http://schemas.openxmlformats.org/drawingml/2006/main" xmlns:r="http://schemas.openxmlformats.org/officeDocument/2006/relationships">
  <c:lang val="en-GB"/>
  <c:clrMapOvr bg1="lt1" tx1="dk1" bg2="lt2" tx2="dk2" accent1="accent1" accent2="accent2" accent3="accent3" accent4="accent4" accent5="accent5" accent6="accent6" hlink="hlink" folHlink="folHlink"/>
  <c:chart>
    <c:plotArea>
      <c:layout>
        <c:manualLayout>
          <c:layoutTarget val="inner"/>
          <c:xMode val="edge"/>
          <c:yMode val="edge"/>
          <c:x val="0.16748009889591117"/>
          <c:y val="3.5872480340214001E-2"/>
          <c:w val="0.77812962031255983"/>
          <c:h val="0.75614829396325933"/>
        </c:manualLayout>
      </c:layout>
      <c:scatterChart>
        <c:scatterStyle val="lineMarker"/>
        <c:ser>
          <c:idx val="0"/>
          <c:order val="0"/>
          <c:spPr>
            <a:ln w="28575">
              <a:noFill/>
            </a:ln>
          </c:spPr>
          <c:trendline>
            <c:trendlineType val="linear"/>
          </c:trendline>
          <c:xVal>
            <c:numRef>
              <c:f>'[Datos modelo.xls]Hoja1'!$L$27:$L$36</c:f>
              <c:numCache>
                <c:formatCode>0.0</c:formatCode>
                <c:ptCount val="10"/>
                <c:pt idx="0">
                  <c:v>9.6199369338638068</c:v>
                </c:pt>
                <c:pt idx="1">
                  <c:v>9.8604704421776734</c:v>
                </c:pt>
                <c:pt idx="2">
                  <c:v>10.2608402667367</c:v>
                </c:pt>
                <c:pt idx="3">
                  <c:v>10.26004248927428</c:v>
                </c:pt>
                <c:pt idx="4">
                  <c:v>10.362180582432854</c:v>
                </c:pt>
                <c:pt idx="5">
                  <c:v>10.34707020142406</c:v>
                </c:pt>
                <c:pt idx="6">
                  <c:v>10.238029355640368</c:v>
                </c:pt>
                <c:pt idx="7">
                  <c:v>9.9970507527143155</c:v>
                </c:pt>
                <c:pt idx="8">
                  <c:v>10.072918042080399</c:v>
                </c:pt>
                <c:pt idx="9">
                  <c:v>10.006283281939799</c:v>
                </c:pt>
              </c:numCache>
            </c:numRef>
          </c:xVal>
          <c:yVal>
            <c:numRef>
              <c:f>'[Datos modelo.xls]Hoja1'!$M$27:$M$36</c:f>
              <c:numCache>
                <c:formatCode>0.0</c:formatCode>
                <c:ptCount val="10"/>
                <c:pt idx="0">
                  <c:v>11.93151079201526</c:v>
                </c:pt>
                <c:pt idx="1">
                  <c:v>11.890039108378152</c:v>
                </c:pt>
                <c:pt idx="2">
                  <c:v>11.889112798011682</c:v>
                </c:pt>
                <c:pt idx="3">
                  <c:v>11.86844374022558</c:v>
                </c:pt>
                <c:pt idx="4">
                  <c:v>11.862595934756202</c:v>
                </c:pt>
                <c:pt idx="5">
                  <c:v>11.853347035552707</c:v>
                </c:pt>
                <c:pt idx="6">
                  <c:v>11.926358742727498</c:v>
                </c:pt>
                <c:pt idx="7">
                  <c:v>11.875761391022452</c:v>
                </c:pt>
                <c:pt idx="8">
                  <c:v>11.93436234258809</c:v>
                </c:pt>
                <c:pt idx="9">
                  <c:v>11.91582060687576</c:v>
                </c:pt>
              </c:numCache>
            </c:numRef>
          </c:yVal>
        </c:ser>
        <c:axId val="72578944"/>
        <c:axId val="72597504"/>
      </c:scatterChart>
      <c:valAx>
        <c:axId val="72578944"/>
        <c:scaling>
          <c:orientation val="minMax"/>
        </c:scaling>
        <c:axPos val="b"/>
        <c:title>
          <c:tx>
            <c:rich>
              <a:bodyPr/>
              <a:lstStyle/>
              <a:p>
                <a:pPr>
                  <a:defRPr lang="en-GB" sz="800" b="1"/>
                </a:pPr>
                <a:r>
                  <a:rPr lang="es-GT" sz="800" b="1"/>
                  <a:t>log-cardamom exports</a:t>
                </a:r>
              </a:p>
            </c:rich>
          </c:tx>
          <c:layout>
            <c:manualLayout>
              <c:xMode val="edge"/>
              <c:yMode val="edge"/>
              <c:x val="0.34255303381195001"/>
              <c:y val="0.89162041082260501"/>
            </c:manualLayout>
          </c:layout>
        </c:title>
        <c:numFmt formatCode="0.0" sourceLinked="1"/>
        <c:tickLblPos val="nextTo"/>
        <c:txPr>
          <a:bodyPr rot="0" vert="horz"/>
          <a:lstStyle/>
          <a:p>
            <a:pPr>
              <a:defRPr lang="es-GT"/>
            </a:pPr>
            <a:endParaRPr lang="en-US"/>
          </a:p>
        </c:txPr>
        <c:crossAx val="72597504"/>
        <c:crosses val="autoZero"/>
        <c:crossBetween val="midCat"/>
      </c:valAx>
      <c:valAx>
        <c:axId val="72597504"/>
        <c:scaling>
          <c:orientation val="minMax"/>
        </c:scaling>
        <c:axPos val="l"/>
        <c:title>
          <c:tx>
            <c:rich>
              <a:bodyPr rot="-5400000" vert="horz"/>
              <a:lstStyle/>
              <a:p>
                <a:pPr>
                  <a:defRPr lang="en-GB" sz="800" b="1"/>
                </a:pPr>
                <a:r>
                  <a:rPr lang="es-GT" sz="800" b="1" i="0" baseline="0">
                    <a:effectLst/>
                  </a:rPr>
                  <a:t>log-agricultural members  IGSS</a:t>
                </a:r>
                <a:endParaRPr lang="en-US" sz="800">
                  <a:effectLst/>
                </a:endParaRPr>
              </a:p>
            </c:rich>
          </c:tx>
          <c:layout>
            <c:manualLayout>
              <c:xMode val="edge"/>
              <c:yMode val="edge"/>
              <c:x val="1.0951983943183599E-2"/>
              <c:y val="2.3066977115352601E-2"/>
            </c:manualLayout>
          </c:layout>
        </c:title>
        <c:numFmt formatCode="0.0" sourceLinked="1"/>
        <c:tickLblPos val="nextTo"/>
        <c:txPr>
          <a:bodyPr rot="0" vert="horz"/>
          <a:lstStyle/>
          <a:p>
            <a:pPr>
              <a:defRPr lang="es-GT"/>
            </a:pPr>
            <a:endParaRPr lang="en-US"/>
          </a:p>
        </c:txPr>
        <c:crossAx val="72578944"/>
        <c:crosses val="autoZero"/>
        <c:crossBetween val="midCat"/>
      </c:valAx>
      <c:spPr>
        <a:noFill/>
        <a:ln w="25400">
          <a:noFill/>
        </a:ln>
      </c:spPr>
    </c:plotArea>
    <c:plotVisOnly val="1"/>
    <c:dispBlanksAs val="gap"/>
  </c:chart>
  <c:spPr>
    <a:noFill/>
    <a:ln>
      <a:noFill/>
    </a:ln>
  </c:spPr>
  <c:txPr>
    <a:bodyPr/>
    <a:lstStyle/>
    <a:p>
      <a:pPr>
        <a:defRPr sz="900" b="0" i="0" u="none" strike="noStrike" baseline="0">
          <a:solidFill>
            <a:srgbClr val="000000"/>
          </a:solidFill>
          <a:latin typeface="Book Antiqua"/>
          <a:ea typeface="Book Antiqua"/>
          <a:cs typeface="Book Antiqua"/>
        </a:defRPr>
      </a:pPr>
      <a:endParaRPr lang="en-US"/>
    </a:p>
  </c:txPr>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15995527777777926"/>
          <c:y val="7.7611111111111131E-2"/>
          <c:w val="0.8012391666666665"/>
          <c:h val="0.62458555555555562"/>
        </c:manualLayout>
      </c:layout>
      <c:lineChart>
        <c:grouping val="standard"/>
        <c:ser>
          <c:idx val="0"/>
          <c:order val="0"/>
          <c:tx>
            <c:strRef>
              <c:f>Gráficas!$B$15</c:f>
              <c:strCache>
                <c:ptCount val="1"/>
                <c:pt idx="0">
                  <c:v>Traditional</c:v>
                </c:pt>
              </c:strCache>
            </c:strRef>
          </c:tx>
          <c:marker>
            <c:symbol val="diamond"/>
            <c:size val="4"/>
          </c:marker>
          <c:dLbls>
            <c:dLbl>
              <c:idx val="2"/>
              <c:layout>
                <c:manualLayout>
                  <c:x val="-6.8791666666666723E-2"/>
                  <c:y val="-9.1528333333333767E-2"/>
                </c:manualLayout>
              </c:layout>
              <c:dLblPos val="r"/>
              <c:showVal val="1"/>
            </c:dLbl>
            <c:txPr>
              <a:bodyPr/>
              <a:lstStyle/>
              <a:p>
                <a:pPr>
                  <a:defRPr lang="en-GB" sz="800"/>
                </a:pPr>
                <a:endParaRPr lang="en-US"/>
              </a:p>
            </c:txPr>
            <c:dLblPos val="t"/>
            <c:showVal val="1"/>
          </c:dLbls>
          <c:cat>
            <c:numRef>
              <c:f>Gráficas!$A$16:$A$26</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Gráficas!$B$16:$B$26</c:f>
              <c:numCache>
                <c:formatCode>_(* #,##0_);_(* \(#,##0\);_(* "-"??_);_(@_)</c:formatCode>
                <c:ptCount val="11"/>
                <c:pt idx="0">
                  <c:v>1006.9</c:v>
                </c:pt>
                <c:pt idx="1">
                  <c:v>798</c:v>
                </c:pt>
                <c:pt idx="2">
                  <c:v>797.9</c:v>
                </c:pt>
                <c:pt idx="3">
                  <c:v>800</c:v>
                </c:pt>
                <c:pt idx="4">
                  <c:v>817.89999999999986</c:v>
                </c:pt>
                <c:pt idx="5">
                  <c:v>1007.0999999999999</c:v>
                </c:pt>
                <c:pt idx="6">
                  <c:v>1061</c:v>
                </c:pt>
                <c:pt idx="7">
                  <c:v>1371.3</c:v>
                </c:pt>
                <c:pt idx="8">
                  <c:v>1547.2</c:v>
                </c:pt>
                <c:pt idx="9">
                  <c:v>1802.8000000000002</c:v>
                </c:pt>
                <c:pt idx="10">
                  <c:v>2089.9</c:v>
                </c:pt>
              </c:numCache>
            </c:numRef>
          </c:val>
        </c:ser>
        <c:ser>
          <c:idx val="1"/>
          <c:order val="1"/>
          <c:tx>
            <c:strRef>
              <c:f>Gráficas!$C$15</c:f>
              <c:strCache>
                <c:ptCount val="1"/>
                <c:pt idx="0">
                  <c:v>Total</c:v>
                </c:pt>
              </c:strCache>
            </c:strRef>
          </c:tx>
          <c:marker>
            <c:symbol val="square"/>
            <c:size val="4"/>
          </c:marker>
          <c:dLbls>
            <c:txPr>
              <a:bodyPr/>
              <a:lstStyle/>
              <a:p>
                <a:pPr>
                  <a:defRPr lang="en-GB"/>
                </a:pPr>
                <a:endParaRPr lang="en-US"/>
              </a:p>
            </c:txPr>
            <c:dLblPos val="t"/>
            <c:showVal val="1"/>
          </c:dLbls>
          <c:cat>
            <c:numRef>
              <c:f>Gráficas!$A$16:$A$26</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Gráficas!$C$16:$C$26</c:f>
              <c:numCache>
                <c:formatCode>_(* #,##0_);_(* \(#,##0\);_(* "-"??_);_(@_)</c:formatCode>
                <c:ptCount val="11"/>
                <c:pt idx="0">
                  <c:v>3961.1</c:v>
                </c:pt>
                <c:pt idx="1">
                  <c:v>3826.8</c:v>
                </c:pt>
                <c:pt idx="2">
                  <c:v>4162.1000000000004</c:v>
                </c:pt>
                <c:pt idx="3">
                  <c:v>4459.4000000000005</c:v>
                </c:pt>
                <c:pt idx="4">
                  <c:v>5033.6000000000004</c:v>
                </c:pt>
                <c:pt idx="5">
                  <c:v>5380.9</c:v>
                </c:pt>
                <c:pt idx="6">
                  <c:v>6012.8</c:v>
                </c:pt>
                <c:pt idx="7">
                  <c:v>6897.7</c:v>
                </c:pt>
                <c:pt idx="8">
                  <c:v>7737.4</c:v>
                </c:pt>
                <c:pt idx="9">
                  <c:v>7213.7000000000007</c:v>
                </c:pt>
                <c:pt idx="10">
                  <c:v>8462</c:v>
                </c:pt>
              </c:numCache>
            </c:numRef>
          </c:val>
        </c:ser>
        <c:marker val="1"/>
        <c:axId val="70778240"/>
        <c:axId val="70825472"/>
      </c:lineChart>
      <c:catAx>
        <c:axId val="70778240"/>
        <c:scaling>
          <c:orientation val="minMax"/>
        </c:scaling>
        <c:axPos val="b"/>
        <c:title>
          <c:tx>
            <c:rich>
              <a:bodyPr/>
              <a:lstStyle/>
              <a:p>
                <a:pPr>
                  <a:defRPr lang="en-GB"/>
                </a:pPr>
                <a:r>
                  <a:rPr lang="en-US"/>
                  <a:t>Year</a:t>
                </a:r>
              </a:p>
            </c:rich>
          </c:tx>
          <c:layout>
            <c:manualLayout>
              <c:xMode val="edge"/>
              <c:yMode val="edge"/>
              <c:x val="0.50843422349984024"/>
              <c:y val="0.81909539085392102"/>
            </c:manualLayout>
          </c:layout>
        </c:title>
        <c:numFmt formatCode="General" sourceLinked="1"/>
        <c:tickLblPos val="nextTo"/>
        <c:txPr>
          <a:bodyPr/>
          <a:lstStyle/>
          <a:p>
            <a:pPr>
              <a:defRPr lang="en-GB"/>
            </a:pPr>
            <a:endParaRPr lang="en-US"/>
          </a:p>
        </c:txPr>
        <c:crossAx val="70825472"/>
        <c:crosses val="autoZero"/>
        <c:auto val="1"/>
        <c:lblAlgn val="ctr"/>
        <c:lblOffset val="100"/>
      </c:catAx>
      <c:valAx>
        <c:axId val="70825472"/>
        <c:scaling>
          <c:orientation val="minMax"/>
        </c:scaling>
        <c:axPos val="l"/>
        <c:title>
          <c:tx>
            <c:rich>
              <a:bodyPr rot="-5400000" vert="horz"/>
              <a:lstStyle/>
              <a:p>
                <a:pPr>
                  <a:defRPr lang="en-GB"/>
                </a:pPr>
                <a:r>
                  <a:rPr lang="es-GT" baseline="0"/>
                  <a:t>Millions USD</a:t>
                </a:r>
                <a:endParaRPr lang="es-GT"/>
              </a:p>
            </c:rich>
          </c:tx>
          <c:layout>
            <c:manualLayout>
              <c:xMode val="edge"/>
              <c:yMode val="edge"/>
              <c:x val="8.3253482203613748E-3"/>
              <c:y val="0.20917551972670068"/>
            </c:manualLayout>
          </c:layout>
        </c:title>
        <c:numFmt formatCode="_(* #,##0_);_(* \(#,##0\);_(* &quot;-&quot;??_);_(@_)" sourceLinked="1"/>
        <c:tickLblPos val="nextTo"/>
        <c:txPr>
          <a:bodyPr/>
          <a:lstStyle/>
          <a:p>
            <a:pPr>
              <a:defRPr lang="en-GB" sz="700"/>
            </a:pPr>
            <a:endParaRPr lang="en-US"/>
          </a:p>
        </c:txPr>
        <c:crossAx val="70778240"/>
        <c:crosses val="autoZero"/>
        <c:crossBetween val="between"/>
      </c:valAx>
      <c:spPr>
        <a:noFill/>
        <a:ln w="25400">
          <a:noFill/>
        </a:ln>
      </c:spPr>
    </c:plotArea>
    <c:legend>
      <c:legendPos val="b"/>
      <c:layout>
        <c:manualLayout>
          <c:xMode val="edge"/>
          <c:yMode val="edge"/>
          <c:x val="0.29295421405657635"/>
          <c:y val="0.8882011970725886"/>
          <c:w val="0.51286894693718843"/>
          <c:h val="0.11179880292741202"/>
        </c:manualLayout>
      </c:layout>
      <c:txPr>
        <a:bodyPr/>
        <a:lstStyle/>
        <a:p>
          <a:pPr>
            <a:defRPr lang="en-GB"/>
          </a:pPr>
          <a:endParaRPr lang="en-US"/>
        </a:p>
      </c:txPr>
    </c:legend>
    <c:plotVisOnly val="1"/>
    <c:dispBlanksAs val="gap"/>
  </c:chart>
  <c:spPr>
    <a:noFill/>
    <a:ln>
      <a:noFill/>
    </a:ln>
  </c:spPr>
  <c:txPr>
    <a:bodyPr/>
    <a:lstStyle/>
    <a:p>
      <a:pPr>
        <a:defRPr sz="800">
          <a:latin typeface="Book Antiqua" pitchFamily="18" charset="0"/>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GB"/>
  <c:chart>
    <c:plotArea>
      <c:layout>
        <c:manualLayout>
          <c:layoutTarget val="inner"/>
          <c:xMode val="edge"/>
          <c:yMode val="edge"/>
          <c:x val="0.1621833333333334"/>
          <c:y val="5.6085858585858017E-2"/>
          <c:w val="0.44070707070707077"/>
          <c:h val="0.88141414141413721"/>
        </c:manualLayout>
      </c:layout>
      <c:pieChart>
        <c:varyColors val="1"/>
        <c:ser>
          <c:idx val="0"/>
          <c:order val="0"/>
          <c:explosion val="25"/>
          <c:dLbls>
            <c:dLbl>
              <c:idx val="0"/>
              <c:layout>
                <c:manualLayout>
                  <c:x val="1.4691601049868891E-3"/>
                  <c:y val="-1.1938611840186642E-2"/>
                </c:manualLayout>
              </c:layout>
              <c:dLblPos val="bestFit"/>
              <c:showVal val="1"/>
            </c:dLbl>
            <c:dLbl>
              <c:idx val="1"/>
              <c:layout>
                <c:manualLayout>
                  <c:x val="1.1106299212598461E-2"/>
                  <c:y val="3.5192475940507436E-3"/>
                </c:manualLayout>
              </c:layout>
              <c:dLblPos val="bestFit"/>
              <c:showVal val="1"/>
            </c:dLbl>
            <c:dLbl>
              <c:idx val="4"/>
              <c:layout>
                <c:manualLayout>
                  <c:x val="-1.1107611548556441E-2"/>
                  <c:y val="-3.7738772236803816E-2"/>
                </c:manualLayout>
              </c:layout>
              <c:dLblPos val="bestFit"/>
              <c:showVal val="1"/>
            </c:dLbl>
            <c:numFmt formatCode="0.0%" sourceLinked="0"/>
            <c:txPr>
              <a:bodyPr/>
              <a:lstStyle/>
              <a:p>
                <a:pPr>
                  <a:defRPr lang="en-GB"/>
                </a:pPr>
                <a:endParaRPr lang="en-US"/>
              </a:p>
            </c:txPr>
            <c:showVal val="1"/>
          </c:dLbls>
          <c:cat>
            <c:strRef>
              <c:f>Gráficas!$A$30:$A$34</c:f>
              <c:strCache>
                <c:ptCount val="5"/>
                <c:pt idx="0">
                  <c:v>Coffee</c:v>
                </c:pt>
                <c:pt idx="1">
                  <c:v>Sugar</c:v>
                </c:pt>
                <c:pt idx="2">
                  <c:v>Bananas</c:v>
                </c:pt>
                <c:pt idx="3">
                  <c:v>Cardamom</c:v>
                </c:pt>
                <c:pt idx="4">
                  <c:v>Non-traditional</c:v>
                </c:pt>
              </c:strCache>
            </c:strRef>
          </c:cat>
          <c:val>
            <c:numRef>
              <c:f>Gráficas!$B$30:$B$34</c:f>
              <c:numCache>
                <c:formatCode>0.0</c:formatCode>
                <c:ptCount val="5"/>
                <c:pt idx="0">
                  <c:v>8.0000000000000043E-2</c:v>
                </c:pt>
                <c:pt idx="1">
                  <c:v>5.3000000000000012E-2</c:v>
                </c:pt>
                <c:pt idx="2">
                  <c:v>4.9000000000000113E-2</c:v>
                </c:pt>
                <c:pt idx="3">
                  <c:v>2.3E-2</c:v>
                </c:pt>
                <c:pt idx="4">
                  <c:v>0.79500000000000004</c:v>
                </c:pt>
              </c:numCache>
            </c:numRef>
          </c:val>
        </c:ser>
        <c:firstSliceAng val="0"/>
      </c:pieChart>
      <c:spPr>
        <a:noFill/>
        <a:ln w="25400">
          <a:noFill/>
        </a:ln>
      </c:spPr>
    </c:plotArea>
    <c:legend>
      <c:legendPos val="r"/>
      <c:layout/>
      <c:txPr>
        <a:bodyPr/>
        <a:lstStyle/>
        <a:p>
          <a:pPr rtl="0">
            <a:defRPr lang="en-GB"/>
          </a:pPr>
          <a:endParaRPr lang="en-US"/>
        </a:p>
      </c:txPr>
    </c:legend>
    <c:plotVisOnly val="1"/>
    <c:dispBlanksAs val="zero"/>
  </c:chart>
  <c:spPr>
    <a:noFill/>
    <a:ln>
      <a:noFill/>
    </a:ln>
  </c:spPr>
  <c:txPr>
    <a:bodyPr/>
    <a:lstStyle/>
    <a:p>
      <a:pPr>
        <a:defRPr>
          <a:latin typeface="Book Antiqua" pitchFamily="18" charset="0"/>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GB"/>
  <c:clrMapOvr bg1="lt1" tx1="dk1" bg2="lt2" tx2="dk2" accent1="accent1" accent2="accent2" accent3="accent3" accent4="accent4" accent5="accent5" accent6="accent6" hlink="hlink" folHlink="folHlink"/>
  <c:chart>
    <c:plotArea>
      <c:layout>
        <c:manualLayout>
          <c:layoutTarget val="inner"/>
          <c:xMode val="edge"/>
          <c:yMode val="edge"/>
          <c:x val="0.14435892388451438"/>
          <c:y val="5.1909813356663753E-2"/>
          <c:w val="0.82508552055993001"/>
          <c:h val="0.63962233887430764"/>
        </c:manualLayout>
      </c:layout>
      <c:barChart>
        <c:barDir val="col"/>
        <c:grouping val="clustered"/>
        <c:ser>
          <c:idx val="0"/>
          <c:order val="0"/>
          <c:tx>
            <c:strRef>
              <c:f>Gráficas!$B$41</c:f>
              <c:strCache>
                <c:ptCount val="1"/>
                <c:pt idx="0">
                  <c:v>Non-traditional agricultural exports as percentage of non-traditional exports</c:v>
                </c:pt>
              </c:strCache>
            </c:strRef>
          </c:tx>
          <c:spPr>
            <a:solidFill>
              <a:schemeClr val="accent1">
                <a:lumMod val="40000"/>
                <a:lumOff val="60000"/>
              </a:schemeClr>
            </a:solidFill>
          </c:spPr>
          <c:dLbls>
            <c:numFmt formatCode="#,##0.0" sourceLinked="0"/>
            <c:txPr>
              <a:bodyPr/>
              <a:lstStyle/>
              <a:p>
                <a:pPr>
                  <a:defRPr lang="en-GB"/>
                </a:pPr>
                <a:endParaRPr lang="en-US"/>
              </a:p>
            </c:txPr>
            <c:showVal val="1"/>
          </c:dLbls>
          <c:cat>
            <c:strRef>
              <c:f>'\Users\pedro\AppData\Local\Microsoft\Windows\Temporary Internet Files\Content.Outlook\D2NZ16YD\[exportaciones no tradicionales.xlsx]Hoja2'!$DR$64:$DR$66</c:f>
              <c:strCache>
                <c:ptCount val="3"/>
                <c:pt idx="0">
                  <c:v>1980-1989</c:v>
                </c:pt>
                <c:pt idx="1">
                  <c:v>1990-1999</c:v>
                </c:pt>
                <c:pt idx="2">
                  <c:v>2000-2010</c:v>
                </c:pt>
              </c:strCache>
            </c:strRef>
          </c:cat>
          <c:val>
            <c:numRef>
              <c:f>'\Users\pedro\AppData\Local\Microsoft\Windows\Temporary Internet Files\Content.Outlook\D2NZ16YD\[exportaciones no tradicionales.xlsx]Hoja2'!$DS$64:$DS$66</c:f>
              <c:numCache>
                <c:formatCode>General</c:formatCode>
                <c:ptCount val="3"/>
                <c:pt idx="1">
                  <c:v>15.085000000000004</c:v>
                </c:pt>
                <c:pt idx="2">
                  <c:v>11.197000000000001</c:v>
                </c:pt>
              </c:numCache>
            </c:numRef>
          </c:val>
        </c:ser>
        <c:ser>
          <c:idx val="1"/>
          <c:order val="1"/>
          <c:tx>
            <c:strRef>
              <c:f>Gráficas!$C$41</c:f>
              <c:strCache>
                <c:ptCount val="1"/>
                <c:pt idx="0">
                  <c:v>Non-traditional exports as a percentage of total exports</c:v>
                </c:pt>
              </c:strCache>
            </c:strRef>
          </c:tx>
          <c:spPr>
            <a:solidFill>
              <a:schemeClr val="accent1"/>
            </a:solidFill>
          </c:spPr>
          <c:dLbls>
            <c:txPr>
              <a:bodyPr/>
              <a:lstStyle/>
              <a:p>
                <a:pPr>
                  <a:defRPr lang="en-GB"/>
                </a:pPr>
                <a:endParaRPr lang="en-US"/>
              </a:p>
            </c:txPr>
            <c:showVal val="1"/>
          </c:dLbls>
          <c:cat>
            <c:strRef>
              <c:f>'\Users\pedro\AppData\Local\Microsoft\Windows\Temporary Internet Files\Content.Outlook\D2NZ16YD\[exportaciones no tradicionales.xlsx]Hoja2'!$DR$64:$DR$66</c:f>
              <c:strCache>
                <c:ptCount val="3"/>
                <c:pt idx="0">
                  <c:v>1980-1989</c:v>
                </c:pt>
                <c:pt idx="1">
                  <c:v>1990-1999</c:v>
                </c:pt>
                <c:pt idx="2">
                  <c:v>2000-2010</c:v>
                </c:pt>
              </c:strCache>
            </c:strRef>
          </c:cat>
          <c:val>
            <c:numRef>
              <c:f>'\Users\pedro\AppData\Local\Microsoft\Windows\Temporary Internet Files\Content.Outlook\D2NZ16YD\[exportaciones no tradicionales.xlsx]Hoja2'!$DT$64:$DT$66</c:f>
              <c:numCache>
                <c:formatCode>General</c:formatCode>
                <c:ptCount val="3"/>
                <c:pt idx="0">
                  <c:v>49.4</c:v>
                </c:pt>
                <c:pt idx="1">
                  <c:v>66.5</c:v>
                </c:pt>
                <c:pt idx="2">
                  <c:v>79.5</c:v>
                </c:pt>
              </c:numCache>
            </c:numRef>
          </c:val>
        </c:ser>
        <c:axId val="71430144"/>
        <c:axId val="71431680"/>
      </c:barChart>
      <c:catAx>
        <c:axId val="71430144"/>
        <c:scaling>
          <c:orientation val="minMax"/>
        </c:scaling>
        <c:axPos val="b"/>
        <c:numFmt formatCode="General" sourceLinked="1"/>
        <c:tickLblPos val="nextTo"/>
        <c:txPr>
          <a:bodyPr/>
          <a:lstStyle/>
          <a:p>
            <a:pPr>
              <a:defRPr lang="en-GB"/>
            </a:pPr>
            <a:endParaRPr lang="en-US"/>
          </a:p>
        </c:txPr>
        <c:crossAx val="71431680"/>
        <c:crosses val="autoZero"/>
        <c:auto val="1"/>
        <c:lblAlgn val="ctr"/>
        <c:lblOffset val="100"/>
      </c:catAx>
      <c:valAx>
        <c:axId val="71431680"/>
        <c:scaling>
          <c:orientation val="minMax"/>
        </c:scaling>
        <c:axPos val="l"/>
        <c:title>
          <c:tx>
            <c:rich>
              <a:bodyPr rot="-5400000" vert="horz"/>
              <a:lstStyle/>
              <a:p>
                <a:pPr>
                  <a:defRPr lang="en-GB" b="1"/>
                </a:pPr>
                <a:r>
                  <a:rPr lang="en-US" b="1"/>
                  <a:t>Percentage</a:t>
                </a:r>
              </a:p>
            </c:rich>
          </c:tx>
          <c:layout>
            <c:manualLayout>
              <c:xMode val="edge"/>
              <c:yMode val="edge"/>
              <c:x val="1.111114309979991E-2"/>
              <c:y val="0.25592611050201008"/>
            </c:manualLayout>
          </c:layout>
        </c:title>
        <c:numFmt formatCode="General" sourceLinked="1"/>
        <c:tickLblPos val="nextTo"/>
        <c:txPr>
          <a:bodyPr/>
          <a:lstStyle/>
          <a:p>
            <a:pPr>
              <a:defRPr lang="en-GB"/>
            </a:pPr>
            <a:endParaRPr lang="en-US"/>
          </a:p>
        </c:txPr>
        <c:crossAx val="71430144"/>
        <c:crosses val="autoZero"/>
        <c:crossBetween val="between"/>
        <c:majorUnit val="20"/>
      </c:valAx>
    </c:plotArea>
    <c:legend>
      <c:legendPos val="b"/>
      <c:layout>
        <c:manualLayout>
          <c:xMode val="edge"/>
          <c:yMode val="edge"/>
          <c:x val="8.8690878905219289E-2"/>
          <c:y val="0.82221247660498165"/>
          <c:w val="0.8226180502574294"/>
          <c:h val="0.15000985636289149"/>
        </c:manualLayout>
      </c:layout>
      <c:txPr>
        <a:bodyPr/>
        <a:lstStyle/>
        <a:p>
          <a:pPr>
            <a:defRPr lang="en-GB"/>
          </a:pPr>
          <a:endParaRPr lang="en-US"/>
        </a:p>
      </c:txPr>
    </c:legend>
    <c:plotVisOnly val="1"/>
    <c:dispBlanksAs val="gap"/>
  </c:chart>
  <c:spPr>
    <a:ln>
      <a:noFill/>
    </a:ln>
  </c:spPr>
  <c:txPr>
    <a:bodyPr/>
    <a:lstStyle/>
    <a:p>
      <a:pPr>
        <a:defRPr>
          <a:latin typeface="Book Antiqua" pitchFamily="18" charset="0"/>
        </a:defRPr>
      </a:pPr>
      <a:endParaRPr lang="en-US"/>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41185273786899573"/>
          <c:y val="2.7286808380976486E-2"/>
          <c:w val="0.49717647370753204"/>
          <c:h val="0.88742111338772467"/>
        </c:manualLayout>
      </c:layout>
      <c:barChart>
        <c:barDir val="bar"/>
        <c:grouping val="clustered"/>
        <c:ser>
          <c:idx val="0"/>
          <c:order val="0"/>
          <c:dLbls>
            <c:txPr>
              <a:bodyPr/>
              <a:lstStyle/>
              <a:p>
                <a:pPr>
                  <a:defRPr lang="en-GB" sz="900"/>
                </a:pPr>
                <a:endParaRPr lang="en-US"/>
              </a:p>
            </c:txPr>
            <c:showVal val="1"/>
          </c:dLbls>
          <c:cat>
            <c:strRef>
              <c:f>Gráficas!$A$56:$A$87</c:f>
              <c:strCache>
                <c:ptCount val="32"/>
                <c:pt idx="0">
                  <c:v>Records, tapes and matrices</c:v>
                </c:pt>
                <c:pt idx="1">
                  <c:v>Cotton and its products</c:v>
                </c:pt>
                <c:pt idx="2">
                  <c:v>Live animals</c:v>
                </c:pt>
                <c:pt idx="3">
                  <c:v>Leather and its products</c:v>
                </c:pt>
                <c:pt idx="4">
                  <c:v>Honey</c:v>
                </c:pt>
                <c:pt idx="5">
                  <c:v>Essential oils</c:v>
                </c:pt>
                <c:pt idx="6">
                  <c:v>Tyres and rubber products</c:v>
                </c:pt>
                <c:pt idx="7">
                  <c:v>Electric batteries</c:v>
                </c:pt>
                <c:pt idx="8">
                  <c:v>Dairy</c:v>
                </c:pt>
                <c:pt idx="9">
                  <c:v>Sweets</c:v>
                </c:pt>
                <c:pt idx="10">
                  <c:v>Electric appliances</c:v>
                </c:pt>
                <c:pt idx="11">
                  <c:v>Sesame</c:v>
                </c:pt>
                <c:pt idx="12">
                  <c:v>Molasses</c:v>
                </c:pt>
                <c:pt idx="13">
                  <c:v>Seafood</c:v>
                </c:pt>
                <c:pt idx="14">
                  <c:v>Wood and its products</c:v>
                </c:pt>
                <c:pt idx="15">
                  <c:v>Glass products</c:v>
                </c:pt>
                <c:pt idx="16">
                  <c:v>Tobacco and its products</c:v>
                </c:pt>
                <c:pt idx="17">
                  <c:v>Flowers and greenery</c:v>
                </c:pt>
                <c:pt idx="18">
                  <c:v>Metal products</c:v>
                </c:pt>
                <c:pt idx="19">
                  <c:v>Paper and cardboard</c:v>
                </c:pt>
                <c:pt idx="20">
                  <c:v>Cosmetics</c:v>
                </c:pt>
                <c:pt idx="21">
                  <c:v>Goods not produced domestically</c:v>
                </c:pt>
                <c:pt idx="22">
                  <c:v>Plastics</c:v>
                </c:pt>
                <c:pt idx="23">
                  <c:v>Vegetables</c:v>
                </c:pt>
                <c:pt idx="24">
                  <c:v>Building materials</c:v>
                </c:pt>
                <c:pt idx="25">
                  <c:v>Textiles</c:v>
                </c:pt>
                <c:pt idx="26">
                  <c:v>Natural rubber</c:v>
                </c:pt>
                <c:pt idx="27">
                  <c:v>Fruits and fruit products</c:v>
                </c:pt>
                <c:pt idx="28">
                  <c:v>Minerals</c:v>
                </c:pt>
                <c:pt idx="29">
                  <c:v>Food</c:v>
                </c:pt>
                <c:pt idx="30">
                  <c:v>Chemicals</c:v>
                </c:pt>
                <c:pt idx="31">
                  <c:v>Apparel</c:v>
                </c:pt>
              </c:strCache>
            </c:strRef>
          </c:cat>
          <c:val>
            <c:numRef>
              <c:f>Gráficas!$B$56:$B$87</c:f>
              <c:numCache>
                <c:formatCode>_(* #,##0_);_(* \(#,##0\);_(* "-"??_);_(@_)</c:formatCode>
                <c:ptCount val="32"/>
                <c:pt idx="0">
                  <c:v>204.7</c:v>
                </c:pt>
                <c:pt idx="1">
                  <c:v>370.4</c:v>
                </c:pt>
                <c:pt idx="2">
                  <c:v>2144</c:v>
                </c:pt>
                <c:pt idx="3">
                  <c:v>5330.1</c:v>
                </c:pt>
                <c:pt idx="4">
                  <c:v>5836.4</c:v>
                </c:pt>
                <c:pt idx="5">
                  <c:v>6134.4</c:v>
                </c:pt>
                <c:pt idx="6">
                  <c:v>8613.5</c:v>
                </c:pt>
                <c:pt idx="7">
                  <c:v>15431.2</c:v>
                </c:pt>
                <c:pt idx="8">
                  <c:v>18230.2</c:v>
                </c:pt>
                <c:pt idx="9">
                  <c:v>22916.7</c:v>
                </c:pt>
                <c:pt idx="10">
                  <c:v>32423.7</c:v>
                </c:pt>
                <c:pt idx="11">
                  <c:v>33297.5</c:v>
                </c:pt>
                <c:pt idx="12">
                  <c:v>42699.199999999997</c:v>
                </c:pt>
                <c:pt idx="13">
                  <c:v>47785.1</c:v>
                </c:pt>
                <c:pt idx="14">
                  <c:v>48461.8</c:v>
                </c:pt>
                <c:pt idx="15">
                  <c:v>48747.1</c:v>
                </c:pt>
                <c:pt idx="16">
                  <c:v>67318.3</c:v>
                </c:pt>
                <c:pt idx="17">
                  <c:v>79119.199999999997</c:v>
                </c:pt>
                <c:pt idx="18">
                  <c:v>100720.1</c:v>
                </c:pt>
                <c:pt idx="19">
                  <c:v>102890.1</c:v>
                </c:pt>
                <c:pt idx="20">
                  <c:v>109686.5</c:v>
                </c:pt>
                <c:pt idx="21">
                  <c:v>111585.3</c:v>
                </c:pt>
                <c:pt idx="22">
                  <c:v>158230</c:v>
                </c:pt>
                <c:pt idx="23">
                  <c:v>174344.9</c:v>
                </c:pt>
                <c:pt idx="24">
                  <c:v>221417.7</c:v>
                </c:pt>
                <c:pt idx="25">
                  <c:v>231660.09999999998</c:v>
                </c:pt>
                <c:pt idx="26">
                  <c:v>237396.09999999998</c:v>
                </c:pt>
                <c:pt idx="27">
                  <c:v>456225.80000000005</c:v>
                </c:pt>
                <c:pt idx="28">
                  <c:v>528042.30000000005</c:v>
                </c:pt>
                <c:pt idx="29">
                  <c:v>656521.4</c:v>
                </c:pt>
                <c:pt idx="30">
                  <c:v>827710.5</c:v>
                </c:pt>
                <c:pt idx="31">
                  <c:v>1198260.3</c:v>
                </c:pt>
              </c:numCache>
            </c:numRef>
          </c:val>
        </c:ser>
        <c:axId val="71530368"/>
        <c:axId val="71531904"/>
      </c:barChart>
      <c:catAx>
        <c:axId val="71530368"/>
        <c:scaling>
          <c:orientation val="minMax"/>
        </c:scaling>
        <c:axPos val="l"/>
        <c:numFmt formatCode="General" sourceLinked="1"/>
        <c:tickLblPos val="nextTo"/>
        <c:txPr>
          <a:bodyPr/>
          <a:lstStyle/>
          <a:p>
            <a:pPr>
              <a:defRPr lang="en-GB" sz="900"/>
            </a:pPr>
            <a:endParaRPr lang="en-US"/>
          </a:p>
        </c:txPr>
        <c:crossAx val="71531904"/>
        <c:crosses val="autoZero"/>
        <c:auto val="1"/>
        <c:lblAlgn val="ctr"/>
        <c:lblOffset val="100"/>
        <c:tickLblSkip val="1"/>
      </c:catAx>
      <c:valAx>
        <c:axId val="71531904"/>
        <c:scaling>
          <c:orientation val="minMax"/>
        </c:scaling>
        <c:axPos val="b"/>
        <c:title>
          <c:tx>
            <c:rich>
              <a:bodyPr/>
              <a:lstStyle/>
              <a:p>
                <a:pPr>
                  <a:defRPr lang="en-GB"/>
                </a:pPr>
                <a:r>
                  <a:rPr lang="es-GT" baseline="0"/>
                  <a:t>Thousands USD</a:t>
                </a:r>
                <a:endParaRPr lang="es-GT"/>
              </a:p>
            </c:rich>
          </c:tx>
          <c:layout/>
        </c:title>
        <c:numFmt formatCode="_(* #,##0_);_(* \(#,##0\);_(* &quot;-&quot;??_);_(@_)" sourceLinked="1"/>
        <c:tickLblPos val="nextTo"/>
        <c:txPr>
          <a:bodyPr/>
          <a:lstStyle/>
          <a:p>
            <a:pPr>
              <a:defRPr lang="en-GB" sz="800"/>
            </a:pPr>
            <a:endParaRPr lang="en-US"/>
          </a:p>
        </c:txPr>
        <c:crossAx val="71530368"/>
        <c:crosses val="autoZero"/>
        <c:crossBetween val="between"/>
      </c:valAx>
      <c:spPr>
        <a:noFill/>
        <a:ln w="25400">
          <a:noFill/>
        </a:ln>
      </c:spPr>
    </c:plotArea>
    <c:plotVisOnly val="1"/>
    <c:dispBlanksAs val="gap"/>
  </c:chart>
  <c:spPr>
    <a:noFill/>
    <a:ln>
      <a:noFill/>
    </a:ln>
  </c:spPr>
  <c:txPr>
    <a:bodyPr/>
    <a:lstStyle/>
    <a:p>
      <a:pPr>
        <a:defRPr>
          <a:latin typeface="Book Antiqua" pitchFamily="18" charset="0"/>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GB"/>
  <c:chart>
    <c:view3D>
      <c:rotX val="30"/>
      <c:perspective val="30"/>
    </c:view3D>
    <c:plotArea>
      <c:layout>
        <c:manualLayout>
          <c:layoutTarget val="inner"/>
          <c:xMode val="edge"/>
          <c:yMode val="edge"/>
          <c:x val="0.20384826538516629"/>
          <c:y val="0.30131229685561534"/>
          <c:w val="0.57165715317103982"/>
          <c:h val="0.5421874590401996"/>
        </c:manualLayout>
      </c:layout>
      <c:pie3DChart>
        <c:varyColors val="1"/>
        <c:ser>
          <c:idx val="0"/>
          <c:order val="0"/>
          <c:dLbls>
            <c:dLbl>
              <c:idx val="0"/>
              <c:layout>
                <c:manualLayout>
                  <c:x val="6.6921613308365104E-3"/>
                  <c:y val="-9.1226186864157899E-2"/>
                </c:manualLayout>
              </c:layout>
              <c:dLblPos val="bestFit"/>
              <c:showVal val="1"/>
              <c:showCatName val="1"/>
            </c:dLbl>
            <c:dLbl>
              <c:idx val="1"/>
              <c:layout>
                <c:manualLayout>
                  <c:x val="6.1715738254781626E-2"/>
                  <c:y val="6.4532530744021446E-2"/>
                </c:manualLayout>
              </c:layout>
              <c:dLblPos val="bestFit"/>
              <c:showVal val="1"/>
              <c:showCatName val="1"/>
            </c:dLbl>
            <c:dLbl>
              <c:idx val="2"/>
              <c:layout>
                <c:manualLayout>
                  <c:x val="-1.1002940535011919E-2"/>
                  <c:y val="5.3213415582126902E-2"/>
                </c:manualLayout>
              </c:layout>
              <c:dLblPos val="bestFit"/>
              <c:showVal val="1"/>
              <c:showCatName val="1"/>
            </c:dLbl>
            <c:dLbl>
              <c:idx val="3"/>
              <c:layout>
                <c:manualLayout>
                  <c:x val="-1.7487158661041301E-2"/>
                  <c:y val="2.0657365704412612E-2"/>
                </c:manualLayout>
              </c:layout>
              <c:dLblPos val="bestFit"/>
              <c:showVal val="1"/>
              <c:showCatName val="1"/>
            </c:dLbl>
            <c:dLbl>
              <c:idx val="7"/>
              <c:layout>
                <c:manualLayout>
                  <c:x val="-6.3216087960351733E-2"/>
                  <c:y val="-2.7028991168385693E-2"/>
                </c:manualLayout>
              </c:layout>
              <c:dLblPos val="bestFit"/>
              <c:showVal val="1"/>
              <c:showCatName val="1"/>
            </c:dLbl>
            <c:dLbl>
              <c:idx val="14"/>
              <c:layout/>
              <c:tx>
                <c:rich>
                  <a:bodyPr/>
                  <a:lstStyle/>
                  <a:p>
                    <a:r>
                      <a:rPr lang="en-US"/>
                      <a:t>Republic of</a:t>
                    </a:r>
                    <a:r>
                      <a:rPr lang="en-US" baseline="0"/>
                      <a:t> Korea</a:t>
                    </a:r>
                    <a:r>
                      <a:rPr lang="en-US"/>
                      <a:t>; 0.9</a:t>
                    </a:r>
                  </a:p>
                </c:rich>
              </c:tx>
              <c:showVal val="1"/>
              <c:showCatName val="1"/>
            </c:dLbl>
            <c:txPr>
              <a:bodyPr/>
              <a:lstStyle/>
              <a:p>
                <a:pPr>
                  <a:defRPr lang="en-GB"/>
                </a:pPr>
                <a:endParaRPr lang="en-US"/>
              </a:p>
            </c:txPr>
            <c:showVal val="1"/>
            <c:showCatName val="1"/>
            <c:showLeaderLines val="1"/>
          </c:dLbls>
          <c:cat>
            <c:strRef>
              <c:f>Gráficas!$A$117:$A$135</c:f>
              <c:strCache>
                <c:ptCount val="19"/>
                <c:pt idx="0">
                  <c:v>USA</c:v>
                </c:pt>
                <c:pt idx="1">
                  <c:v>Others*</c:v>
                </c:pt>
                <c:pt idx="2">
                  <c:v>Japan</c:v>
                </c:pt>
                <c:pt idx="3">
                  <c:v>Saudi Arabia</c:v>
                </c:pt>
                <c:pt idx="4">
                  <c:v>El Salvador</c:v>
                </c:pt>
                <c:pt idx="5">
                  <c:v>Germany</c:v>
                </c:pt>
                <c:pt idx="6">
                  <c:v>Canada</c:v>
                </c:pt>
                <c:pt idx="7">
                  <c:v>United Arab Emirates</c:v>
                </c:pt>
                <c:pt idx="8">
                  <c:v>Belgium</c:v>
                </c:pt>
                <c:pt idx="9">
                  <c:v>Italy</c:v>
                </c:pt>
                <c:pt idx="10">
                  <c:v>Netherlands</c:v>
                </c:pt>
                <c:pt idx="11">
                  <c:v>United Kingdom</c:v>
                </c:pt>
                <c:pt idx="12">
                  <c:v>Singapore</c:v>
                </c:pt>
                <c:pt idx="13">
                  <c:v>Finland</c:v>
                </c:pt>
                <c:pt idx="14">
                  <c:v>South Korea</c:v>
                </c:pt>
                <c:pt idx="15">
                  <c:v>Honduras</c:v>
                </c:pt>
                <c:pt idx="16">
                  <c:v>Costa Rica</c:v>
                </c:pt>
                <c:pt idx="17">
                  <c:v>Mexico</c:v>
                </c:pt>
                <c:pt idx="18">
                  <c:v>France</c:v>
                </c:pt>
              </c:strCache>
            </c:strRef>
          </c:cat>
          <c:val>
            <c:numRef>
              <c:f>Gráficas!$B$117:$B$135</c:f>
              <c:numCache>
                <c:formatCode>0.0</c:formatCode>
                <c:ptCount val="19"/>
                <c:pt idx="0">
                  <c:v>48.169643782581552</c:v>
                </c:pt>
                <c:pt idx="1">
                  <c:v>9.1181123494045639</c:v>
                </c:pt>
                <c:pt idx="2">
                  <c:v>7.6587643613031702</c:v>
                </c:pt>
                <c:pt idx="3">
                  <c:v>6.1046741729846294</c:v>
                </c:pt>
                <c:pt idx="4">
                  <c:v>4.0284733447564749</c:v>
                </c:pt>
                <c:pt idx="5">
                  <c:v>3.8753483180820627</c:v>
                </c:pt>
                <c:pt idx="6">
                  <c:v>3.6718779118182767</c:v>
                </c:pt>
                <c:pt idx="7">
                  <c:v>2.8728464771833013</c:v>
                </c:pt>
                <c:pt idx="8">
                  <c:v>2.5999285006540487</c:v>
                </c:pt>
                <c:pt idx="9">
                  <c:v>2.3773346967303399</c:v>
                </c:pt>
                <c:pt idx="10">
                  <c:v>2.3580363414538583</c:v>
                </c:pt>
                <c:pt idx="11">
                  <c:v>1.4237944797266724</c:v>
                </c:pt>
                <c:pt idx="12">
                  <c:v>1.1389369713065887</c:v>
                </c:pt>
                <c:pt idx="13">
                  <c:v>1.0193030738303639</c:v>
                </c:pt>
                <c:pt idx="14">
                  <c:v>0.93708889930505224</c:v>
                </c:pt>
                <c:pt idx="15">
                  <c:v>0.75593884351213381</c:v>
                </c:pt>
                <c:pt idx="16">
                  <c:v>0.74186800974736256</c:v>
                </c:pt>
                <c:pt idx="17">
                  <c:v>0.64275717086323714</c:v>
                </c:pt>
                <c:pt idx="18">
                  <c:v>0.50527229475628788</c:v>
                </c:pt>
              </c:numCache>
            </c:numRef>
          </c:val>
        </c:ser>
      </c:pie3DChart>
      <c:spPr>
        <a:noFill/>
        <a:ln w="25400">
          <a:noFill/>
        </a:ln>
      </c:spPr>
    </c:plotArea>
    <c:plotVisOnly val="1"/>
    <c:dispBlanksAs val="zero"/>
  </c:chart>
  <c:spPr>
    <a:ln>
      <a:noFill/>
    </a:ln>
  </c:spPr>
  <c:txPr>
    <a:bodyPr/>
    <a:lstStyle/>
    <a:p>
      <a:pPr>
        <a:defRPr sz="800">
          <a:latin typeface="Book Antiqua" pitchFamily="18" charset="0"/>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GB"/>
  <c:clrMapOvr bg1="lt1" tx1="dk1" bg2="lt2" tx2="dk2" accent1="accent1" accent2="accent2" accent3="accent3" accent4="accent4" accent5="accent5" accent6="accent6" hlink="hlink" folHlink="folHlink"/>
  <c:chart>
    <c:plotArea>
      <c:layout>
        <c:manualLayout>
          <c:layoutTarget val="inner"/>
          <c:xMode val="edge"/>
          <c:yMode val="edge"/>
          <c:x val="0.15995527777777946"/>
          <c:y val="3.0691666666666909E-2"/>
          <c:w val="0.8012391666666655"/>
          <c:h val="0.77980777777777865"/>
        </c:manualLayout>
      </c:layout>
      <c:lineChart>
        <c:grouping val="standard"/>
        <c:ser>
          <c:idx val="0"/>
          <c:order val="0"/>
          <c:dLbls>
            <c:dLbl>
              <c:idx val="2"/>
              <c:layout>
                <c:manualLayout>
                  <c:x val="-6.8791666666666723E-2"/>
                  <c:y val="-9.1528333333333767E-2"/>
                </c:manualLayout>
              </c:layout>
              <c:dLblPos val="r"/>
              <c:showVal val="1"/>
            </c:dLbl>
            <c:txPr>
              <a:bodyPr/>
              <a:lstStyle/>
              <a:p>
                <a:pPr>
                  <a:defRPr lang="en-GB" sz="800"/>
                </a:pPr>
                <a:endParaRPr lang="en-US"/>
              </a:p>
            </c:txPr>
            <c:dLblPos val="t"/>
            <c:showVal val="1"/>
          </c:dLbls>
          <c:cat>
            <c:numRef>
              <c:f>Hoja1!$A$143:$A$152</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Hoja1!$B$143:$B$152</c:f>
              <c:numCache>
                <c:formatCode>0.0</c:formatCode>
                <c:ptCount val="10"/>
                <c:pt idx="0">
                  <c:v>224.21789999999999</c:v>
                </c:pt>
                <c:pt idx="1">
                  <c:v>275.65100000000001</c:v>
                </c:pt>
                <c:pt idx="2">
                  <c:v>275.78359999999674</c:v>
                </c:pt>
                <c:pt idx="3">
                  <c:v>319.08429999999993</c:v>
                </c:pt>
                <c:pt idx="4">
                  <c:v>340.57049999999953</c:v>
                </c:pt>
                <c:pt idx="5">
                  <c:v>394.33909999999969</c:v>
                </c:pt>
                <c:pt idx="6">
                  <c:v>507.4599</c:v>
                </c:pt>
                <c:pt idx="7">
                  <c:v>650.29850000000351</c:v>
                </c:pt>
                <c:pt idx="8">
                  <c:v>514.66989999999998</c:v>
                </c:pt>
                <c:pt idx="9">
                  <c:v>528.25450000000001</c:v>
                </c:pt>
              </c:numCache>
            </c:numRef>
          </c:val>
        </c:ser>
        <c:marker val="1"/>
        <c:axId val="71864704"/>
        <c:axId val="71866624"/>
      </c:lineChart>
      <c:catAx>
        <c:axId val="71864704"/>
        <c:scaling>
          <c:orientation val="minMax"/>
        </c:scaling>
        <c:axPos val="b"/>
        <c:title>
          <c:tx>
            <c:rich>
              <a:bodyPr/>
              <a:lstStyle/>
              <a:p>
                <a:pPr>
                  <a:defRPr lang="en-GB"/>
                </a:pPr>
                <a:r>
                  <a:rPr lang="en-US"/>
                  <a:t>Year</a:t>
                </a:r>
              </a:p>
            </c:rich>
          </c:tx>
          <c:layout>
            <c:manualLayout>
              <c:xMode val="edge"/>
              <c:yMode val="edge"/>
              <c:x val="0.54018553731233399"/>
              <c:y val="0.91079745942131363"/>
            </c:manualLayout>
          </c:layout>
        </c:title>
        <c:numFmt formatCode="General" sourceLinked="1"/>
        <c:tickLblPos val="nextTo"/>
        <c:txPr>
          <a:bodyPr/>
          <a:lstStyle/>
          <a:p>
            <a:pPr>
              <a:defRPr lang="en-GB"/>
            </a:pPr>
            <a:endParaRPr lang="en-US"/>
          </a:p>
        </c:txPr>
        <c:crossAx val="71866624"/>
        <c:crosses val="autoZero"/>
        <c:auto val="1"/>
        <c:lblAlgn val="ctr"/>
        <c:lblOffset val="100"/>
      </c:catAx>
      <c:valAx>
        <c:axId val="71866624"/>
        <c:scaling>
          <c:orientation val="minMax"/>
        </c:scaling>
        <c:axPos val="l"/>
        <c:title>
          <c:tx>
            <c:rich>
              <a:bodyPr rot="-5400000" vert="horz"/>
              <a:lstStyle/>
              <a:p>
                <a:pPr>
                  <a:defRPr lang="en-GB"/>
                </a:pPr>
                <a:r>
                  <a:rPr lang="es-GT"/>
                  <a:t>Millions USD</a:t>
                </a:r>
              </a:p>
            </c:rich>
          </c:tx>
          <c:layout>
            <c:manualLayout>
              <c:xMode val="edge"/>
              <c:yMode val="edge"/>
              <c:x val="1.1853333333333301E-2"/>
              <c:y val="0.14567555555555467"/>
            </c:manualLayout>
          </c:layout>
        </c:title>
        <c:numFmt formatCode="0.0" sourceLinked="1"/>
        <c:tickLblPos val="nextTo"/>
        <c:txPr>
          <a:bodyPr/>
          <a:lstStyle/>
          <a:p>
            <a:pPr>
              <a:defRPr lang="en-GB" sz="700"/>
            </a:pPr>
            <a:endParaRPr lang="en-US"/>
          </a:p>
        </c:txPr>
        <c:crossAx val="71864704"/>
        <c:crosses val="autoZero"/>
        <c:crossBetween val="between"/>
      </c:valAx>
      <c:spPr>
        <a:noFill/>
        <a:ln w="25400">
          <a:noFill/>
        </a:ln>
      </c:spPr>
    </c:plotArea>
    <c:plotVisOnly val="1"/>
    <c:dispBlanksAs val="gap"/>
  </c:chart>
  <c:spPr>
    <a:noFill/>
    <a:ln>
      <a:noFill/>
    </a:ln>
  </c:spPr>
  <c:txPr>
    <a:bodyPr/>
    <a:lstStyle/>
    <a:p>
      <a:pPr>
        <a:defRPr sz="800">
          <a:latin typeface="Book Antiqua" pitchFamily="18" charset="0"/>
        </a:defRPr>
      </a:pPr>
      <a:endParaRPr lang="en-US"/>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17759416666666691"/>
          <c:y val="7.7611111111111131E-2"/>
          <c:w val="0.78360027777777774"/>
          <c:h val="0.62458555555555562"/>
        </c:manualLayout>
      </c:layout>
      <c:barChart>
        <c:barDir val="col"/>
        <c:grouping val="clustered"/>
        <c:ser>
          <c:idx val="1"/>
          <c:order val="0"/>
          <c:tx>
            <c:strRef>
              <c:f>Gráficas!$B$156</c:f>
              <c:strCache>
                <c:ptCount val="1"/>
                <c:pt idx="0">
                  <c:v>Imports from CA</c:v>
                </c:pt>
              </c:strCache>
            </c:strRef>
          </c:tx>
          <c:cat>
            <c:numRef>
              <c:f>Gráficas!$A$157:$A$166</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Gráficas!$B$157:$B$166</c:f>
              <c:numCache>
                <c:formatCode>_ * #,##0.00_ ;_ * \-#,##0.00_ ;_ * "-"??_ ;_ @_ </c:formatCode>
                <c:ptCount val="10"/>
                <c:pt idx="0">
                  <c:v>538.09026399999948</c:v>
                </c:pt>
                <c:pt idx="1">
                  <c:v>591.37039300000004</c:v>
                </c:pt>
                <c:pt idx="2">
                  <c:v>646.17605500000002</c:v>
                </c:pt>
                <c:pt idx="3">
                  <c:v>726.66788399999996</c:v>
                </c:pt>
                <c:pt idx="4">
                  <c:v>784.08544600000005</c:v>
                </c:pt>
                <c:pt idx="5">
                  <c:v>924.49009799999999</c:v>
                </c:pt>
                <c:pt idx="6">
                  <c:v>1205.2958920000001</c:v>
                </c:pt>
                <c:pt idx="7">
                  <c:v>1639.334705</c:v>
                </c:pt>
                <c:pt idx="8">
                  <c:v>1210.331584</c:v>
                </c:pt>
                <c:pt idx="9">
                  <c:v>1282.713129</c:v>
                </c:pt>
              </c:numCache>
            </c:numRef>
          </c:val>
        </c:ser>
        <c:ser>
          <c:idx val="2"/>
          <c:order val="1"/>
          <c:tx>
            <c:strRef>
              <c:f>Gráficas!$C$156</c:f>
              <c:strCache>
                <c:ptCount val="1"/>
                <c:pt idx="0">
                  <c:v>Exports to USA</c:v>
                </c:pt>
              </c:strCache>
            </c:strRef>
          </c:tx>
          <c:spPr>
            <a:solidFill>
              <a:schemeClr val="accent1"/>
            </a:solidFill>
          </c:spPr>
          <c:cat>
            <c:numRef>
              <c:f>Gráficas!$A$157:$A$166</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Gráficas!$C$157:$C$166</c:f>
              <c:numCache>
                <c:formatCode>_ * #,##0.00_ ;_ * \-#,##0.00_ ;_ * "-"??_ ;_ @_ </c:formatCode>
                <c:ptCount val="10"/>
                <c:pt idx="0">
                  <c:v>1368.1654019999999</c:v>
                </c:pt>
                <c:pt idx="1">
                  <c:v>1248.5720409999892</c:v>
                </c:pt>
                <c:pt idx="2">
                  <c:v>1375.8651179999999</c:v>
                </c:pt>
                <c:pt idx="3">
                  <c:v>1532.2645829999999</c:v>
                </c:pt>
                <c:pt idx="4">
                  <c:v>1651.6107850000001</c:v>
                </c:pt>
                <c:pt idx="5">
                  <c:v>1807.4379740000011</c:v>
                </c:pt>
                <c:pt idx="6">
                  <c:v>2102.3232150000022</c:v>
                </c:pt>
                <c:pt idx="7">
                  <c:v>2289.042453</c:v>
                </c:pt>
                <c:pt idx="8">
                  <c:v>2246.5391380000174</c:v>
                </c:pt>
                <c:pt idx="9">
                  <c:v>2249.0638220000001</c:v>
                </c:pt>
              </c:numCache>
            </c:numRef>
          </c:val>
        </c:ser>
        <c:axId val="72247552"/>
        <c:axId val="71762304"/>
      </c:barChart>
      <c:catAx>
        <c:axId val="72247552"/>
        <c:scaling>
          <c:orientation val="minMax"/>
        </c:scaling>
        <c:axPos val="b"/>
        <c:title>
          <c:tx>
            <c:rich>
              <a:bodyPr/>
              <a:lstStyle/>
              <a:p>
                <a:pPr>
                  <a:defRPr lang="en-GB"/>
                </a:pPr>
                <a:r>
                  <a:rPr lang="en-US"/>
                  <a:t>Year</a:t>
                </a:r>
              </a:p>
            </c:rich>
          </c:tx>
          <c:layout>
            <c:manualLayout>
              <c:xMode val="edge"/>
              <c:yMode val="edge"/>
              <c:x val="0.50843422349984024"/>
              <c:y val="0.81909539085392102"/>
            </c:manualLayout>
          </c:layout>
        </c:title>
        <c:numFmt formatCode="General" sourceLinked="1"/>
        <c:tickLblPos val="nextTo"/>
        <c:txPr>
          <a:bodyPr/>
          <a:lstStyle/>
          <a:p>
            <a:pPr>
              <a:defRPr lang="en-GB"/>
            </a:pPr>
            <a:endParaRPr lang="en-US"/>
          </a:p>
        </c:txPr>
        <c:crossAx val="71762304"/>
        <c:crosses val="autoZero"/>
        <c:auto val="1"/>
        <c:lblAlgn val="ctr"/>
        <c:lblOffset val="100"/>
      </c:catAx>
      <c:valAx>
        <c:axId val="71762304"/>
        <c:scaling>
          <c:orientation val="minMax"/>
        </c:scaling>
        <c:axPos val="l"/>
        <c:title>
          <c:tx>
            <c:rich>
              <a:bodyPr rot="-5400000" vert="horz"/>
              <a:lstStyle/>
              <a:p>
                <a:pPr>
                  <a:defRPr lang="en-GB"/>
                </a:pPr>
                <a:r>
                  <a:rPr lang="es-GT"/>
                  <a:t>Millions USD</a:t>
                </a:r>
              </a:p>
            </c:rich>
          </c:tx>
          <c:layout>
            <c:manualLayout>
              <c:xMode val="edge"/>
              <c:yMode val="edge"/>
              <c:x val="1.2698412698412761E-3"/>
              <c:y val="3.9841686455859816E-2"/>
            </c:manualLayout>
          </c:layout>
        </c:title>
        <c:numFmt formatCode="_ * #,##0.00_ ;_ * \-#,##0.00_ ;_ * &quot;-&quot;??_ ;_ @_ " sourceLinked="1"/>
        <c:tickLblPos val="nextTo"/>
        <c:txPr>
          <a:bodyPr/>
          <a:lstStyle/>
          <a:p>
            <a:pPr>
              <a:defRPr lang="en-GB" sz="700"/>
            </a:pPr>
            <a:endParaRPr lang="en-US"/>
          </a:p>
        </c:txPr>
        <c:crossAx val="72247552"/>
        <c:crosses val="autoZero"/>
        <c:crossBetween val="between"/>
      </c:valAx>
      <c:spPr>
        <a:noFill/>
        <a:ln w="25400">
          <a:noFill/>
        </a:ln>
      </c:spPr>
    </c:plotArea>
    <c:legend>
      <c:legendPos val="b"/>
      <c:layout>
        <c:manualLayout>
          <c:xMode val="edge"/>
          <c:yMode val="edge"/>
          <c:x val="0.29295421405657635"/>
          <c:y val="0.8882011970725886"/>
          <c:w val="0.70704578594342371"/>
          <c:h val="0.11179880292741202"/>
        </c:manualLayout>
      </c:layout>
      <c:txPr>
        <a:bodyPr/>
        <a:lstStyle/>
        <a:p>
          <a:pPr>
            <a:defRPr lang="en-GB"/>
          </a:pPr>
          <a:endParaRPr lang="en-US"/>
        </a:p>
      </c:txPr>
    </c:legend>
    <c:plotVisOnly val="1"/>
    <c:dispBlanksAs val="gap"/>
  </c:chart>
  <c:spPr>
    <a:noFill/>
    <a:ln>
      <a:noFill/>
    </a:ln>
  </c:spPr>
  <c:txPr>
    <a:bodyPr/>
    <a:lstStyle/>
    <a:p>
      <a:pPr>
        <a:defRPr sz="800">
          <a:latin typeface="Book Antiqua" pitchFamily="18" charset="0"/>
        </a:defRPr>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11762194444444522"/>
          <c:y val="3.0691666666666909E-2"/>
          <c:w val="0.8435724999999985"/>
          <c:h val="0.74453000000000003"/>
        </c:manualLayout>
      </c:layout>
      <c:barChart>
        <c:barDir val="col"/>
        <c:grouping val="clustered"/>
        <c:ser>
          <c:idx val="1"/>
          <c:order val="0"/>
          <c:spPr>
            <a:solidFill>
              <a:schemeClr val="accent1"/>
            </a:solidFill>
          </c:spPr>
          <c:dLbls>
            <c:txPr>
              <a:bodyPr/>
              <a:lstStyle/>
              <a:p>
                <a:pPr>
                  <a:defRPr lang="en-GB"/>
                </a:pPr>
                <a:endParaRPr lang="en-US"/>
              </a:p>
            </c:txPr>
            <c:showVal val="1"/>
          </c:dLbls>
          <c:trendline>
            <c:trendlineType val="linear"/>
          </c:trendline>
          <c:cat>
            <c:numRef>
              <c:f>Hoja1!$A$169:$A$178</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Hoja1!$B$169:$B$178</c:f>
              <c:numCache>
                <c:formatCode>0.0</c:formatCode>
                <c:ptCount val="10"/>
                <c:pt idx="0">
                  <c:v>39.329328399432811</c:v>
                </c:pt>
                <c:pt idx="1">
                  <c:v>47.36373822101308</c:v>
                </c:pt>
                <c:pt idx="2">
                  <c:v>46.965072850986012</c:v>
                </c:pt>
                <c:pt idx="3">
                  <c:v>47.424439098975213</c:v>
                </c:pt>
                <c:pt idx="4">
                  <c:v>47.473984374593194</c:v>
                </c:pt>
                <c:pt idx="5">
                  <c:v>51.14920187020482</c:v>
                </c:pt>
                <c:pt idx="6">
                  <c:v>57.331616917905762</c:v>
                </c:pt>
                <c:pt idx="7">
                  <c:v>71.616614311870947</c:v>
                </c:pt>
                <c:pt idx="8">
                  <c:v>53.875383852760343</c:v>
                </c:pt>
                <c:pt idx="9">
                  <c:v>57.033202724293325</c:v>
                </c:pt>
              </c:numCache>
            </c:numRef>
          </c:val>
        </c:ser>
        <c:axId val="71783552"/>
        <c:axId val="71785472"/>
      </c:barChart>
      <c:catAx>
        <c:axId val="71783552"/>
        <c:scaling>
          <c:orientation val="minMax"/>
        </c:scaling>
        <c:axPos val="b"/>
        <c:title>
          <c:tx>
            <c:rich>
              <a:bodyPr/>
              <a:lstStyle/>
              <a:p>
                <a:pPr>
                  <a:defRPr lang="en-GB"/>
                </a:pPr>
                <a:r>
                  <a:rPr lang="en-US"/>
                  <a:t>Year</a:t>
                </a:r>
              </a:p>
            </c:rich>
          </c:tx>
          <c:layout>
            <c:manualLayout>
              <c:xMode val="edge"/>
              <c:yMode val="edge"/>
              <c:x val="0.46255977801503628"/>
              <c:y val="0.89039336737812502"/>
            </c:manualLayout>
          </c:layout>
        </c:title>
        <c:numFmt formatCode="General" sourceLinked="1"/>
        <c:tickLblPos val="nextTo"/>
        <c:txPr>
          <a:bodyPr/>
          <a:lstStyle/>
          <a:p>
            <a:pPr>
              <a:defRPr lang="en-GB"/>
            </a:pPr>
            <a:endParaRPr lang="en-US"/>
          </a:p>
        </c:txPr>
        <c:crossAx val="71785472"/>
        <c:crosses val="autoZero"/>
        <c:auto val="1"/>
        <c:lblAlgn val="ctr"/>
        <c:lblOffset val="100"/>
      </c:catAx>
      <c:valAx>
        <c:axId val="71785472"/>
        <c:scaling>
          <c:orientation val="minMax"/>
        </c:scaling>
        <c:axPos val="l"/>
        <c:title>
          <c:tx>
            <c:rich>
              <a:bodyPr rot="-5400000" vert="horz"/>
              <a:lstStyle/>
              <a:p>
                <a:pPr>
                  <a:defRPr lang="en-GB"/>
                </a:pPr>
                <a:r>
                  <a:rPr lang="es-GT"/>
                  <a:t>Percentage</a:t>
                </a:r>
              </a:p>
            </c:rich>
          </c:tx>
          <c:layout>
            <c:manualLayout>
              <c:xMode val="edge"/>
              <c:yMode val="edge"/>
              <c:x val="8.3255555555556884E-3"/>
              <c:y val="0.19506444444444637"/>
            </c:manualLayout>
          </c:layout>
        </c:title>
        <c:numFmt formatCode="0.0" sourceLinked="1"/>
        <c:tickLblPos val="nextTo"/>
        <c:txPr>
          <a:bodyPr/>
          <a:lstStyle/>
          <a:p>
            <a:pPr>
              <a:defRPr lang="en-GB" sz="700"/>
            </a:pPr>
            <a:endParaRPr lang="en-US"/>
          </a:p>
        </c:txPr>
        <c:crossAx val="71783552"/>
        <c:crosses val="autoZero"/>
        <c:crossBetween val="between"/>
      </c:valAx>
      <c:spPr>
        <a:noFill/>
        <a:ln w="25400">
          <a:noFill/>
        </a:ln>
      </c:spPr>
    </c:plotArea>
    <c:plotVisOnly val="1"/>
    <c:dispBlanksAs val="gap"/>
  </c:chart>
  <c:spPr>
    <a:noFill/>
    <a:ln>
      <a:noFill/>
    </a:ln>
  </c:spPr>
  <c:txPr>
    <a:bodyPr/>
    <a:lstStyle/>
    <a:p>
      <a:pPr>
        <a:defRPr sz="800">
          <a:latin typeface="Book Antiqua" pitchFamily="18" charset="0"/>
        </a:defRPr>
      </a:pPr>
      <a:endParaRPr lang="en-US"/>
    </a:p>
  </c:txPr>
  <c:externalData r:id="rId2"/>
</c:chartSpace>
</file>

<file path=word/drawings/drawing1.xml><?xml version="1.0" encoding="utf-8"?>
<c:userShapes xmlns:c="http://schemas.openxmlformats.org/drawingml/2006/chart">
  <cdr:relSizeAnchor xmlns:cdr="http://schemas.openxmlformats.org/drawingml/2006/chartDrawing">
    <cdr:from>
      <cdr:x>0.39345</cdr:x>
      <cdr:y>0.17404</cdr:y>
    </cdr:from>
    <cdr:to>
      <cdr:x>0.84488</cdr:x>
      <cdr:y>0.37516</cdr:y>
    </cdr:to>
    <cdr:sp macro="" textlink="">
      <cdr:nvSpPr>
        <cdr:cNvPr id="3" name="7 CuadroTexto"/>
        <cdr:cNvSpPr txBox="1"/>
      </cdr:nvSpPr>
      <cdr:spPr>
        <a:xfrm xmlns:a="http://schemas.openxmlformats.org/drawingml/2006/main">
          <a:off x="1203739" y="313193"/>
          <a:ext cx="1381125" cy="3619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sp>
  </cdr:relSizeAnchor>
</c:userShapes>
</file>

<file path=word/drawings/drawing2.xml><?xml version="1.0" encoding="utf-8"?>
<c:userShapes xmlns:c="http://schemas.openxmlformats.org/drawingml/2006/chart">
  <cdr:relSizeAnchor xmlns:cdr="http://schemas.openxmlformats.org/drawingml/2006/chartDrawing">
    <cdr:from>
      <cdr:x>0.34774</cdr:x>
      <cdr:y>0.23036</cdr:y>
    </cdr:from>
    <cdr:to>
      <cdr:x>0.58476</cdr:x>
      <cdr:y>0.39739</cdr:y>
    </cdr:to>
    <cdr:sp macro="" textlink="">
      <cdr:nvSpPr>
        <cdr:cNvPr id="2" name="7 CuadroTexto"/>
        <cdr:cNvSpPr txBox="1"/>
      </cdr:nvSpPr>
      <cdr:spPr>
        <a:xfrm xmlns:a="http://schemas.openxmlformats.org/drawingml/2006/main">
          <a:off x="1063894" y="414549"/>
          <a:ext cx="725150" cy="30058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GT" sz="800" i="1">
              <a:latin typeface="Book Antiqua" pitchFamily="18" charset="0"/>
            </a:rPr>
            <a:t>p</a:t>
          </a:r>
          <a:r>
            <a:rPr lang="es-GT" sz="800">
              <a:latin typeface="Book Antiqua" pitchFamily="18" charset="0"/>
            </a:rPr>
            <a:t> = 0.026</a:t>
          </a:r>
        </a:p>
      </cdr:txBody>
    </cdr:sp>
  </cdr:relSizeAnchor>
</c:userShapes>
</file>

<file path=word/drawings/drawing3.xml><?xml version="1.0" encoding="utf-8"?>
<c:userShapes xmlns:c="http://schemas.openxmlformats.org/drawingml/2006/chart">
  <cdr:relSizeAnchor xmlns:cdr="http://schemas.openxmlformats.org/drawingml/2006/chartDrawing">
    <cdr:from>
      <cdr:x>0.21423</cdr:x>
      <cdr:y>0.34872</cdr:y>
    </cdr:from>
    <cdr:to>
      <cdr:x>0.57403</cdr:x>
      <cdr:y>0.51575</cdr:y>
    </cdr:to>
    <cdr:sp macro="" textlink="">
      <cdr:nvSpPr>
        <cdr:cNvPr id="2" name="7 CuadroTexto"/>
        <cdr:cNvSpPr txBox="1"/>
      </cdr:nvSpPr>
      <cdr:spPr>
        <a:xfrm xmlns:a="http://schemas.openxmlformats.org/drawingml/2006/main">
          <a:off x="822325" y="755650"/>
          <a:ext cx="1381125" cy="3619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s-GT" sz="800" i="1">
              <a:latin typeface="Book Antiqua" pitchFamily="18" charset="0"/>
            </a:rPr>
            <a:t>p</a:t>
          </a:r>
          <a:r>
            <a:rPr lang="es-GT" sz="800">
              <a:latin typeface="Book Antiqua" pitchFamily="18" charset="0"/>
            </a:rPr>
            <a:t> = 0.072</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CC6E8-5873-447B-9CE8-BFB4D8CF04A5}">
  <ds:schemaRefs>
    <ds:schemaRef ds:uri="http://schemas.openxmlformats.org/officeDocument/2006/bibliography"/>
  </ds:schemaRefs>
</ds:datastoreItem>
</file>

<file path=customXml/itemProps2.xml><?xml version="1.0" encoding="utf-8"?>
<ds:datastoreItem xmlns:ds="http://schemas.openxmlformats.org/officeDocument/2006/customXml" ds:itemID="{740EF273-C41C-4223-984E-EACFE125EE63}">
  <ds:schemaRefs>
    <ds:schemaRef ds:uri="http://schemas.openxmlformats.org/officeDocument/2006/bibliography"/>
  </ds:schemaRefs>
</ds:datastoreItem>
</file>

<file path=customXml/itemProps3.xml><?xml version="1.0" encoding="utf-8"?>
<ds:datastoreItem xmlns:ds="http://schemas.openxmlformats.org/officeDocument/2006/customXml" ds:itemID="{CE7227D8-E8B4-49F1-B8F6-8A48952F1633}">
  <ds:schemaRefs>
    <ds:schemaRef ds:uri="http://schemas.openxmlformats.org/officeDocument/2006/bibliography"/>
  </ds:schemaRefs>
</ds:datastoreItem>
</file>

<file path=customXml/itemProps4.xml><?xml version="1.0" encoding="utf-8"?>
<ds:datastoreItem xmlns:ds="http://schemas.openxmlformats.org/officeDocument/2006/customXml" ds:itemID="{CC49E924-BFDF-4144-9A29-AEB4D80EEA95}">
  <ds:schemaRefs>
    <ds:schemaRef ds:uri="http://schemas.openxmlformats.org/officeDocument/2006/bibliography"/>
  </ds:schemaRefs>
</ds:datastoreItem>
</file>

<file path=customXml/itemProps5.xml><?xml version="1.0" encoding="utf-8"?>
<ds:datastoreItem xmlns:ds="http://schemas.openxmlformats.org/officeDocument/2006/customXml" ds:itemID="{9FBF9E14-2E13-4E2B-8968-614B16C5E9CB}">
  <ds:schemaRefs>
    <ds:schemaRef ds:uri="http://schemas.openxmlformats.org/officeDocument/2006/bibliography"/>
  </ds:schemaRefs>
</ds:datastoreItem>
</file>

<file path=customXml/itemProps6.xml><?xml version="1.0" encoding="utf-8"?>
<ds:datastoreItem xmlns:ds="http://schemas.openxmlformats.org/officeDocument/2006/customXml" ds:itemID="{C6706E5E-95F7-41AE-91AB-56A86AAA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11326</Words>
  <Characters>64561</Characters>
  <Application>Microsoft Office Word</Application>
  <DocSecurity>0</DocSecurity>
  <Lines>538</Lines>
  <Paragraphs>151</Paragraphs>
  <ScaleCrop>false</ScaleCrop>
  <HeadingPairs>
    <vt:vector size="10" baseType="variant">
      <vt:variant>
        <vt:lpstr>Title</vt:lpstr>
      </vt:variant>
      <vt:variant>
        <vt:i4>1</vt:i4>
      </vt:variant>
      <vt:variant>
        <vt:lpstr>Headings</vt:lpstr>
      </vt:variant>
      <vt:variant>
        <vt:i4>34</vt:i4>
      </vt:variant>
      <vt:variant>
        <vt:lpstr>Titre</vt:lpstr>
      </vt:variant>
      <vt:variant>
        <vt:i4>1</vt:i4>
      </vt:variant>
      <vt:variant>
        <vt:lpstr>Titres</vt:lpstr>
      </vt:variant>
      <vt:variant>
        <vt:i4>34</vt:i4>
      </vt:variant>
      <vt:variant>
        <vt:lpstr>Título</vt:lpstr>
      </vt:variant>
      <vt:variant>
        <vt:i4>1</vt:i4>
      </vt:variant>
    </vt:vector>
  </HeadingPairs>
  <TitlesOfParts>
    <vt:vector size="71" baseType="lpstr">
      <vt:lpstr>Asociación de Investigación y Estudios Sociales</vt:lpstr>
      <vt:lpstr>Luis Linares, Pedro Prado, and Raquel Zelaya </vt:lpstr>
      <vt:lpstr>6.1 INTRODUCTION</vt:lpstr>
      <vt:lpstr>6.2	AGRICULTURAL EMPLOYMENT IN GUATEMALA</vt:lpstr>
      <vt:lpstr>    6.2.1	Characterization of the agricultural worker</vt:lpstr>
      <vt:lpstr>    6.2.2	Characterization of the agricultural employer</vt:lpstr>
      <vt:lpstr>    6.2.3	Governmental and non-governmental entities that support agro-export activi</vt:lpstr>
      <vt:lpstr>6.3	FOREIGN TRADE OF AGRICULTURAL PRODUCTS</vt:lpstr>
      <vt:lpstr>    6.3.1	Evolution of traditional exports</vt:lpstr>
      <vt:lpstr>    6.3.2	Evolution of non-traditional exports</vt:lpstr>
      <vt:lpstr>    6.3.3	Agricultural exports</vt:lpstr>
      <vt:lpstr>    6.3.4	Main destinations for agricultural exports</vt:lpstr>
      <vt:lpstr>    6.3.5	Evolution of agricultural imports</vt:lpstr>
      <vt:lpstr>6.4	TRADE AGREEMENTS SIGNED BY GUATEMALA THAT INCLUDE RULES ON AGRICULTURAL PROD</vt:lpstr>
      <vt:lpstr>    6.4.1	The policy of trade liberalization</vt:lpstr>
      <vt:lpstr>    6.4.2Dominican Republic–Central America–United States Free Trade Agreement</vt:lpstr>
      <vt:lpstr>    6.4.3	Other trade agreements signed by Guatemala</vt:lpstr>
      <vt:lpstr>    6.4.4	Association Agreement between the European Union and Central America</vt:lpstr>
      <vt:lpstr>    6.4.5	Trade of agricultural goods between Central America and the USA</vt:lpstr>
      <vt:lpstr>6.5	EFFECTS OF PREFERENTIAL TRADE AGREEMENTS ON AGRICULTURAL EMPLOYMENT IN GUAT</vt:lpstr>
      <vt:lpstr>    6.5.1	Econometric model</vt:lpstr>
      <vt:lpstr>        6.5.1.1	Data</vt:lpstr>
      <vt:lpstr>    6.5.2	Social Accounting Matrix</vt:lpstr>
      <vt:lpstr>        6.5.2.1	Social Accounting Matrix Used</vt:lpstr>
      <vt:lpstr>6.6	AGRICULTURAL LABOUR LEGISLATION AND TRADE UNIONS</vt:lpstr>
      <vt:lpstr>    6.6.1.	Constitutional legislation</vt:lpstr>
      <vt:lpstr>    6.6.2. International legislation</vt:lpstr>
      <vt:lpstr>    6.6.3	Labour Code</vt:lpstr>
      <vt:lpstr>    6.6.4	Compliance with labour legislation</vt:lpstr>
      <vt:lpstr>    6.6.5	Trade unions in the agricultural sector</vt:lpstr>
      <vt:lpstr>6.7	CONCLUSIONS AND RECOMMENDATIONS</vt:lpstr>
      <vt:lpstr>    6.7.1	Conclusions</vt:lpstr>
      <vt:lpstr>    6.7.2	Recommendations</vt:lpstr>
      <vt:lpstr>ANNEX:	RESULTS OF THE REGRESSIONS</vt:lpstr>
      <vt:lpstr>References</vt:lpstr>
      <vt:lpstr>Asociación de Investigación y Estudios Sociales</vt:lpstr>
      <vt:lpstr>Luis Linares, Pedro Prado, and Raquel Zelaya </vt:lpstr>
      <vt:lpstr>6.1 INTRODUCTION</vt:lpstr>
      <vt:lpstr>6.2	AGRICULTURAL EMPLOYMENT IN GUATEMALA</vt:lpstr>
      <vt:lpstr>    6.2.1	Characterization of the agricultural worker</vt:lpstr>
      <vt:lpstr>    6.2.2	Characterization of the agricultural employer</vt:lpstr>
      <vt:lpstr>    6.2.3	Governmental and non-governmental entities that support agro-export activi</vt:lpstr>
      <vt:lpstr>6.3	FOREIGN TRADE OF AGRICULTURAL PRODUCTS</vt:lpstr>
      <vt:lpstr>    6.3.1	Evolution of traditional exports</vt:lpstr>
      <vt:lpstr>    6.3.2	Evolution of non-traditional exports</vt:lpstr>
      <vt:lpstr>    6.3.3	Agricultural exports</vt:lpstr>
      <vt:lpstr>    6.3.4	Main destinations for agricultural exports</vt:lpstr>
      <vt:lpstr>    6.3.5	Evolution of agricultural imports</vt:lpstr>
      <vt:lpstr>6.4	TRADE AGREEMENTS SIGNED BY GUATEMALA THAT INCLUDE RULES ON AGRICULTURAL PROD</vt:lpstr>
      <vt:lpstr>    6.4.1	The policy of trade liberalization</vt:lpstr>
      <vt:lpstr>    6.4.2Dominican Republic–Central America–United States Free Trade Agreement</vt:lpstr>
      <vt:lpstr>    6.4.3	Other trade agreements signed by Guatemala</vt:lpstr>
      <vt:lpstr>    6.4.4	Association Agreement between the European Union and Central America</vt:lpstr>
      <vt:lpstr>    6.4.5	Trade of agricultural goods between Central America and the USA</vt:lpstr>
      <vt:lpstr>6.5	EFFECTS OF PREFERENTIAL TRADE AGREEMENTS ON AGRICULTURAL EMPLOYMENT IN GUAT</vt:lpstr>
      <vt:lpstr>    6.5.1	Econometric model</vt:lpstr>
      <vt:lpstr>        6.5.1.1	Data</vt:lpstr>
      <vt:lpstr>    6.5.2	Social Accounting Matrix</vt:lpstr>
      <vt:lpstr>        6.5.2.1	Social Accounting Matrix Used</vt:lpstr>
      <vt:lpstr>6.6	AGRICULTURAL LABOUR LEGISLATION AND TRADE UNIONS</vt:lpstr>
      <vt:lpstr>    6.6.1.	Constitutional legislation</vt:lpstr>
      <vt:lpstr>    6.6.2. International legislation</vt:lpstr>
      <vt:lpstr>    6.6.3	Labour Code</vt:lpstr>
      <vt:lpstr>    6.6.4	Compliance with labour legislation</vt:lpstr>
      <vt:lpstr>    6.6.5	Trade unions in the agricultural sector</vt:lpstr>
      <vt:lpstr>6.7	CONCLUSIONS AND RECOMMENDATIONS</vt:lpstr>
      <vt:lpstr>    6.7.1	Conclusions</vt:lpstr>
      <vt:lpstr>    6.7.2	Recommendations</vt:lpstr>
      <vt:lpstr>ANNEX:	RESULTS OF THE REGRESSIONS</vt:lpstr>
      <vt:lpstr>References</vt:lpstr>
      <vt:lpstr>Asociación de Investigación y Estudios Sociales</vt:lpstr>
    </vt:vector>
  </TitlesOfParts>
  <Company>Hewlett-Packard Company</Company>
  <LinksUpToDate>false</LinksUpToDate>
  <CharactersWithSpaces>75736</CharactersWithSpaces>
  <SharedDoc>false</SharedDoc>
  <HLinks>
    <vt:vector size="246" baseType="variant">
      <vt:variant>
        <vt:i4>3997805</vt:i4>
      </vt:variant>
      <vt:variant>
        <vt:i4>216</vt:i4>
      </vt:variant>
      <vt:variant>
        <vt:i4>0</vt:i4>
      </vt:variant>
      <vt:variant>
        <vt:i4>5</vt:i4>
      </vt:variant>
      <vt:variant>
        <vt:lpwstr>http://www.sieca.int/Publico/CA_en_cifras/CA_EVOLUCION_DEL_COMERCIO/Evolucion_1960-2010/CA_Evolucion_1960-2010.htm</vt:lpwstr>
      </vt:variant>
      <vt:variant>
        <vt:lpwstr/>
      </vt:variant>
      <vt:variant>
        <vt:i4>1572937</vt:i4>
      </vt:variant>
      <vt:variant>
        <vt:i4>213</vt:i4>
      </vt:variant>
      <vt:variant>
        <vt:i4>0</vt:i4>
      </vt:variant>
      <vt:variant>
        <vt:i4>5</vt:i4>
      </vt:variant>
      <vt:variant>
        <vt:lpwstr>http://www.mineco.gob.gt/mineco/tlc/Tratados/index_tlc_mx.htm</vt:lpwstr>
      </vt:variant>
      <vt:variant>
        <vt:lpwstr/>
      </vt:variant>
      <vt:variant>
        <vt:i4>3932271</vt:i4>
      </vt:variant>
      <vt:variant>
        <vt:i4>210</vt:i4>
      </vt:variant>
      <vt:variant>
        <vt:i4>0</vt:i4>
      </vt:variant>
      <vt:variant>
        <vt:i4>5</vt:i4>
      </vt:variant>
      <vt:variant>
        <vt:lpwstr>http://www.mineco.gob.gt/Espanol/Centro+de+Informacion+y+Expo-Negocios</vt:lpwstr>
      </vt:variant>
      <vt:variant>
        <vt:lpwstr/>
      </vt:variant>
      <vt:variant>
        <vt:i4>6160449</vt:i4>
      </vt:variant>
      <vt:variant>
        <vt:i4>207</vt:i4>
      </vt:variant>
      <vt:variant>
        <vt:i4>0</vt:i4>
      </vt:variant>
      <vt:variant>
        <vt:i4>5</vt:i4>
      </vt:variant>
      <vt:variant>
        <vt:lpwstr>http://www.ilo.org/public/spanish/region/ampro/mdtsanjose/worker/sindi/gt.htm</vt:lpwstr>
      </vt:variant>
      <vt:variant>
        <vt:lpwstr/>
      </vt:variant>
      <vt:variant>
        <vt:i4>3276818</vt:i4>
      </vt:variant>
      <vt:variant>
        <vt:i4>204</vt:i4>
      </vt:variant>
      <vt:variant>
        <vt:i4>0</vt:i4>
      </vt:variant>
      <vt:variant>
        <vt:i4>5</vt:i4>
      </vt:variant>
      <vt:variant>
        <vt:lpwstr>http://www.export.com.gt/index.php?option=com_content&amp;view=article&amp;id=3&amp;Itemid=88</vt:lpwstr>
      </vt:variant>
      <vt:variant>
        <vt:lpwstr/>
      </vt:variant>
      <vt:variant>
        <vt:i4>1507403</vt:i4>
      </vt:variant>
      <vt:variant>
        <vt:i4>201</vt:i4>
      </vt:variant>
      <vt:variant>
        <vt:i4>0</vt:i4>
      </vt:variant>
      <vt:variant>
        <vt:i4>5</vt:i4>
      </vt:variant>
      <vt:variant>
        <vt:lpwstr>http://www.cafta.sieca.int/sitio/Cache/20990000000172/20990000000172.pdf</vt:lpwstr>
      </vt:variant>
      <vt:variant>
        <vt:lpwstr/>
      </vt:variant>
      <vt:variant>
        <vt:i4>3997805</vt:i4>
      </vt:variant>
      <vt:variant>
        <vt:i4>189</vt:i4>
      </vt:variant>
      <vt:variant>
        <vt:i4>0</vt:i4>
      </vt:variant>
      <vt:variant>
        <vt:i4>5</vt:i4>
      </vt:variant>
      <vt:variant>
        <vt:lpwstr>http://www.sieca.int/Publico/CA_en_cifras/CA_EVOLUCION_DEL_COMERCIO/Evolucion_1960-2010/CA_Evolucion_1960-2010.htm</vt:lpwstr>
      </vt:variant>
      <vt:variant>
        <vt:lpwstr/>
      </vt:variant>
      <vt:variant>
        <vt:i4>1376310</vt:i4>
      </vt:variant>
      <vt:variant>
        <vt:i4>176</vt:i4>
      </vt:variant>
      <vt:variant>
        <vt:i4>0</vt:i4>
      </vt:variant>
      <vt:variant>
        <vt:i4>5</vt:i4>
      </vt:variant>
      <vt:variant>
        <vt:lpwstr/>
      </vt:variant>
      <vt:variant>
        <vt:lpwstr>_Toc333241224</vt:lpwstr>
      </vt:variant>
      <vt:variant>
        <vt:i4>1376310</vt:i4>
      </vt:variant>
      <vt:variant>
        <vt:i4>170</vt:i4>
      </vt:variant>
      <vt:variant>
        <vt:i4>0</vt:i4>
      </vt:variant>
      <vt:variant>
        <vt:i4>5</vt:i4>
      </vt:variant>
      <vt:variant>
        <vt:lpwstr/>
      </vt:variant>
      <vt:variant>
        <vt:lpwstr>_Toc333241223</vt:lpwstr>
      </vt:variant>
      <vt:variant>
        <vt:i4>1376310</vt:i4>
      </vt:variant>
      <vt:variant>
        <vt:i4>164</vt:i4>
      </vt:variant>
      <vt:variant>
        <vt:i4>0</vt:i4>
      </vt:variant>
      <vt:variant>
        <vt:i4>5</vt:i4>
      </vt:variant>
      <vt:variant>
        <vt:lpwstr/>
      </vt:variant>
      <vt:variant>
        <vt:lpwstr>_Toc333241222</vt:lpwstr>
      </vt:variant>
      <vt:variant>
        <vt:i4>1376310</vt:i4>
      </vt:variant>
      <vt:variant>
        <vt:i4>158</vt:i4>
      </vt:variant>
      <vt:variant>
        <vt:i4>0</vt:i4>
      </vt:variant>
      <vt:variant>
        <vt:i4>5</vt:i4>
      </vt:variant>
      <vt:variant>
        <vt:lpwstr/>
      </vt:variant>
      <vt:variant>
        <vt:lpwstr>_Toc333241221</vt:lpwstr>
      </vt:variant>
      <vt:variant>
        <vt:i4>1376310</vt:i4>
      </vt:variant>
      <vt:variant>
        <vt:i4>152</vt:i4>
      </vt:variant>
      <vt:variant>
        <vt:i4>0</vt:i4>
      </vt:variant>
      <vt:variant>
        <vt:i4>5</vt:i4>
      </vt:variant>
      <vt:variant>
        <vt:lpwstr/>
      </vt:variant>
      <vt:variant>
        <vt:lpwstr>_Toc333241220</vt:lpwstr>
      </vt:variant>
      <vt:variant>
        <vt:i4>1441846</vt:i4>
      </vt:variant>
      <vt:variant>
        <vt:i4>146</vt:i4>
      </vt:variant>
      <vt:variant>
        <vt:i4>0</vt:i4>
      </vt:variant>
      <vt:variant>
        <vt:i4>5</vt:i4>
      </vt:variant>
      <vt:variant>
        <vt:lpwstr/>
      </vt:variant>
      <vt:variant>
        <vt:lpwstr>_Toc333241219</vt:lpwstr>
      </vt:variant>
      <vt:variant>
        <vt:i4>1441846</vt:i4>
      </vt:variant>
      <vt:variant>
        <vt:i4>140</vt:i4>
      </vt:variant>
      <vt:variant>
        <vt:i4>0</vt:i4>
      </vt:variant>
      <vt:variant>
        <vt:i4>5</vt:i4>
      </vt:variant>
      <vt:variant>
        <vt:lpwstr/>
      </vt:variant>
      <vt:variant>
        <vt:lpwstr>_Toc333241218</vt:lpwstr>
      </vt:variant>
      <vt:variant>
        <vt:i4>1441846</vt:i4>
      </vt:variant>
      <vt:variant>
        <vt:i4>134</vt:i4>
      </vt:variant>
      <vt:variant>
        <vt:i4>0</vt:i4>
      </vt:variant>
      <vt:variant>
        <vt:i4>5</vt:i4>
      </vt:variant>
      <vt:variant>
        <vt:lpwstr/>
      </vt:variant>
      <vt:variant>
        <vt:lpwstr>_Toc333241217</vt:lpwstr>
      </vt:variant>
      <vt:variant>
        <vt:i4>1441846</vt:i4>
      </vt:variant>
      <vt:variant>
        <vt:i4>128</vt:i4>
      </vt:variant>
      <vt:variant>
        <vt:i4>0</vt:i4>
      </vt:variant>
      <vt:variant>
        <vt:i4>5</vt:i4>
      </vt:variant>
      <vt:variant>
        <vt:lpwstr/>
      </vt:variant>
      <vt:variant>
        <vt:lpwstr>_Toc333241216</vt:lpwstr>
      </vt:variant>
      <vt:variant>
        <vt:i4>1441846</vt:i4>
      </vt:variant>
      <vt:variant>
        <vt:i4>122</vt:i4>
      </vt:variant>
      <vt:variant>
        <vt:i4>0</vt:i4>
      </vt:variant>
      <vt:variant>
        <vt:i4>5</vt:i4>
      </vt:variant>
      <vt:variant>
        <vt:lpwstr/>
      </vt:variant>
      <vt:variant>
        <vt:lpwstr>_Toc333241215</vt:lpwstr>
      </vt:variant>
      <vt:variant>
        <vt:i4>1441846</vt:i4>
      </vt:variant>
      <vt:variant>
        <vt:i4>116</vt:i4>
      </vt:variant>
      <vt:variant>
        <vt:i4>0</vt:i4>
      </vt:variant>
      <vt:variant>
        <vt:i4>5</vt:i4>
      </vt:variant>
      <vt:variant>
        <vt:lpwstr/>
      </vt:variant>
      <vt:variant>
        <vt:lpwstr>_Toc333241214</vt:lpwstr>
      </vt:variant>
      <vt:variant>
        <vt:i4>1441846</vt:i4>
      </vt:variant>
      <vt:variant>
        <vt:i4>110</vt:i4>
      </vt:variant>
      <vt:variant>
        <vt:i4>0</vt:i4>
      </vt:variant>
      <vt:variant>
        <vt:i4>5</vt:i4>
      </vt:variant>
      <vt:variant>
        <vt:lpwstr/>
      </vt:variant>
      <vt:variant>
        <vt:lpwstr>_Toc333241213</vt:lpwstr>
      </vt:variant>
      <vt:variant>
        <vt:i4>1441846</vt:i4>
      </vt:variant>
      <vt:variant>
        <vt:i4>104</vt:i4>
      </vt:variant>
      <vt:variant>
        <vt:i4>0</vt:i4>
      </vt:variant>
      <vt:variant>
        <vt:i4>5</vt:i4>
      </vt:variant>
      <vt:variant>
        <vt:lpwstr/>
      </vt:variant>
      <vt:variant>
        <vt:lpwstr>_Toc333241211</vt:lpwstr>
      </vt:variant>
      <vt:variant>
        <vt:i4>1441846</vt:i4>
      </vt:variant>
      <vt:variant>
        <vt:i4>98</vt:i4>
      </vt:variant>
      <vt:variant>
        <vt:i4>0</vt:i4>
      </vt:variant>
      <vt:variant>
        <vt:i4>5</vt:i4>
      </vt:variant>
      <vt:variant>
        <vt:lpwstr/>
      </vt:variant>
      <vt:variant>
        <vt:lpwstr>_Toc333241210</vt:lpwstr>
      </vt:variant>
      <vt:variant>
        <vt:i4>1507382</vt:i4>
      </vt:variant>
      <vt:variant>
        <vt:i4>92</vt:i4>
      </vt:variant>
      <vt:variant>
        <vt:i4>0</vt:i4>
      </vt:variant>
      <vt:variant>
        <vt:i4>5</vt:i4>
      </vt:variant>
      <vt:variant>
        <vt:lpwstr/>
      </vt:variant>
      <vt:variant>
        <vt:lpwstr>_Toc333241209</vt:lpwstr>
      </vt:variant>
      <vt:variant>
        <vt:i4>1507382</vt:i4>
      </vt:variant>
      <vt:variant>
        <vt:i4>86</vt:i4>
      </vt:variant>
      <vt:variant>
        <vt:i4>0</vt:i4>
      </vt:variant>
      <vt:variant>
        <vt:i4>5</vt:i4>
      </vt:variant>
      <vt:variant>
        <vt:lpwstr/>
      </vt:variant>
      <vt:variant>
        <vt:lpwstr>_Toc333241208</vt:lpwstr>
      </vt:variant>
      <vt:variant>
        <vt:i4>1507382</vt:i4>
      </vt:variant>
      <vt:variant>
        <vt:i4>80</vt:i4>
      </vt:variant>
      <vt:variant>
        <vt:i4>0</vt:i4>
      </vt:variant>
      <vt:variant>
        <vt:i4>5</vt:i4>
      </vt:variant>
      <vt:variant>
        <vt:lpwstr/>
      </vt:variant>
      <vt:variant>
        <vt:lpwstr>_Toc333241207</vt:lpwstr>
      </vt:variant>
      <vt:variant>
        <vt:i4>1507382</vt:i4>
      </vt:variant>
      <vt:variant>
        <vt:i4>74</vt:i4>
      </vt:variant>
      <vt:variant>
        <vt:i4>0</vt:i4>
      </vt:variant>
      <vt:variant>
        <vt:i4>5</vt:i4>
      </vt:variant>
      <vt:variant>
        <vt:lpwstr/>
      </vt:variant>
      <vt:variant>
        <vt:lpwstr>_Toc333241206</vt:lpwstr>
      </vt:variant>
      <vt:variant>
        <vt:i4>1507382</vt:i4>
      </vt:variant>
      <vt:variant>
        <vt:i4>68</vt:i4>
      </vt:variant>
      <vt:variant>
        <vt:i4>0</vt:i4>
      </vt:variant>
      <vt:variant>
        <vt:i4>5</vt:i4>
      </vt:variant>
      <vt:variant>
        <vt:lpwstr/>
      </vt:variant>
      <vt:variant>
        <vt:lpwstr>_Toc333241202</vt:lpwstr>
      </vt:variant>
      <vt:variant>
        <vt:i4>1507382</vt:i4>
      </vt:variant>
      <vt:variant>
        <vt:i4>62</vt:i4>
      </vt:variant>
      <vt:variant>
        <vt:i4>0</vt:i4>
      </vt:variant>
      <vt:variant>
        <vt:i4>5</vt:i4>
      </vt:variant>
      <vt:variant>
        <vt:lpwstr/>
      </vt:variant>
      <vt:variant>
        <vt:lpwstr>_Toc333241201</vt:lpwstr>
      </vt:variant>
      <vt:variant>
        <vt:i4>1507382</vt:i4>
      </vt:variant>
      <vt:variant>
        <vt:i4>56</vt:i4>
      </vt:variant>
      <vt:variant>
        <vt:i4>0</vt:i4>
      </vt:variant>
      <vt:variant>
        <vt:i4>5</vt:i4>
      </vt:variant>
      <vt:variant>
        <vt:lpwstr/>
      </vt:variant>
      <vt:variant>
        <vt:lpwstr>_Toc333241200</vt:lpwstr>
      </vt:variant>
      <vt:variant>
        <vt:i4>1966133</vt:i4>
      </vt:variant>
      <vt:variant>
        <vt:i4>50</vt:i4>
      </vt:variant>
      <vt:variant>
        <vt:i4>0</vt:i4>
      </vt:variant>
      <vt:variant>
        <vt:i4>5</vt:i4>
      </vt:variant>
      <vt:variant>
        <vt:lpwstr/>
      </vt:variant>
      <vt:variant>
        <vt:lpwstr>_Toc333241199</vt:lpwstr>
      </vt:variant>
      <vt:variant>
        <vt:i4>1966133</vt:i4>
      </vt:variant>
      <vt:variant>
        <vt:i4>44</vt:i4>
      </vt:variant>
      <vt:variant>
        <vt:i4>0</vt:i4>
      </vt:variant>
      <vt:variant>
        <vt:i4>5</vt:i4>
      </vt:variant>
      <vt:variant>
        <vt:lpwstr/>
      </vt:variant>
      <vt:variant>
        <vt:lpwstr>_Toc333241198</vt:lpwstr>
      </vt:variant>
      <vt:variant>
        <vt:i4>1966133</vt:i4>
      </vt:variant>
      <vt:variant>
        <vt:i4>38</vt:i4>
      </vt:variant>
      <vt:variant>
        <vt:i4>0</vt:i4>
      </vt:variant>
      <vt:variant>
        <vt:i4>5</vt:i4>
      </vt:variant>
      <vt:variant>
        <vt:lpwstr/>
      </vt:variant>
      <vt:variant>
        <vt:lpwstr>_Toc333241197</vt:lpwstr>
      </vt:variant>
      <vt:variant>
        <vt:i4>1966133</vt:i4>
      </vt:variant>
      <vt:variant>
        <vt:i4>32</vt:i4>
      </vt:variant>
      <vt:variant>
        <vt:i4>0</vt:i4>
      </vt:variant>
      <vt:variant>
        <vt:i4>5</vt:i4>
      </vt:variant>
      <vt:variant>
        <vt:lpwstr/>
      </vt:variant>
      <vt:variant>
        <vt:lpwstr>_Toc333241194</vt:lpwstr>
      </vt:variant>
      <vt:variant>
        <vt:i4>1966133</vt:i4>
      </vt:variant>
      <vt:variant>
        <vt:i4>26</vt:i4>
      </vt:variant>
      <vt:variant>
        <vt:i4>0</vt:i4>
      </vt:variant>
      <vt:variant>
        <vt:i4>5</vt:i4>
      </vt:variant>
      <vt:variant>
        <vt:lpwstr/>
      </vt:variant>
      <vt:variant>
        <vt:lpwstr>_Toc333241193</vt:lpwstr>
      </vt:variant>
      <vt:variant>
        <vt:i4>1966133</vt:i4>
      </vt:variant>
      <vt:variant>
        <vt:i4>20</vt:i4>
      </vt:variant>
      <vt:variant>
        <vt:i4>0</vt:i4>
      </vt:variant>
      <vt:variant>
        <vt:i4>5</vt:i4>
      </vt:variant>
      <vt:variant>
        <vt:lpwstr/>
      </vt:variant>
      <vt:variant>
        <vt:lpwstr>_Toc333241192</vt:lpwstr>
      </vt:variant>
      <vt:variant>
        <vt:i4>1966133</vt:i4>
      </vt:variant>
      <vt:variant>
        <vt:i4>14</vt:i4>
      </vt:variant>
      <vt:variant>
        <vt:i4>0</vt:i4>
      </vt:variant>
      <vt:variant>
        <vt:i4>5</vt:i4>
      </vt:variant>
      <vt:variant>
        <vt:lpwstr/>
      </vt:variant>
      <vt:variant>
        <vt:lpwstr>_Toc333241191</vt:lpwstr>
      </vt:variant>
      <vt:variant>
        <vt:i4>1966133</vt:i4>
      </vt:variant>
      <vt:variant>
        <vt:i4>8</vt:i4>
      </vt:variant>
      <vt:variant>
        <vt:i4>0</vt:i4>
      </vt:variant>
      <vt:variant>
        <vt:i4>5</vt:i4>
      </vt:variant>
      <vt:variant>
        <vt:lpwstr/>
      </vt:variant>
      <vt:variant>
        <vt:lpwstr>_Toc333241190</vt:lpwstr>
      </vt:variant>
      <vt:variant>
        <vt:i4>2031669</vt:i4>
      </vt:variant>
      <vt:variant>
        <vt:i4>2</vt:i4>
      </vt:variant>
      <vt:variant>
        <vt:i4>0</vt:i4>
      </vt:variant>
      <vt:variant>
        <vt:i4>5</vt:i4>
      </vt:variant>
      <vt:variant>
        <vt:lpwstr/>
      </vt:variant>
      <vt:variant>
        <vt:lpwstr>_Toc333241189</vt:lpwstr>
      </vt:variant>
      <vt:variant>
        <vt:i4>6160449</vt:i4>
      </vt:variant>
      <vt:variant>
        <vt:i4>9</vt:i4>
      </vt:variant>
      <vt:variant>
        <vt:i4>0</vt:i4>
      </vt:variant>
      <vt:variant>
        <vt:i4>5</vt:i4>
      </vt:variant>
      <vt:variant>
        <vt:lpwstr>http://www.ilo.org/public/spanish/region/ampro/mdtsanjose/worker/sindi/gt.htm</vt:lpwstr>
      </vt:variant>
      <vt:variant>
        <vt:lpwstr/>
      </vt:variant>
      <vt:variant>
        <vt:i4>1704000</vt:i4>
      </vt:variant>
      <vt:variant>
        <vt:i4>6</vt:i4>
      </vt:variant>
      <vt:variant>
        <vt:i4>0</vt:i4>
      </vt:variant>
      <vt:variant>
        <vt:i4>5</vt:i4>
      </vt:variant>
      <vt:variant>
        <vt:lpwstr>http://www.eumed.net/cursecon/dic/F.htm</vt:lpwstr>
      </vt:variant>
      <vt:variant>
        <vt:lpwstr>fOB</vt:lpwstr>
      </vt:variant>
      <vt:variant>
        <vt:i4>2031701</vt:i4>
      </vt:variant>
      <vt:variant>
        <vt:i4>3</vt:i4>
      </vt:variant>
      <vt:variant>
        <vt:i4>0</vt:i4>
      </vt:variant>
      <vt:variant>
        <vt:i4>5</vt:i4>
      </vt:variant>
      <vt:variant>
        <vt:lpwstr>http://www.fao.org/docrep/008/y6001s/y6001s08.htm</vt:lpwstr>
      </vt:variant>
      <vt:variant>
        <vt:lpwstr/>
      </vt:variant>
      <vt:variant>
        <vt:i4>3932271</vt:i4>
      </vt:variant>
      <vt:variant>
        <vt:i4>0</vt:i4>
      </vt:variant>
      <vt:variant>
        <vt:i4>0</vt:i4>
      </vt:variant>
      <vt:variant>
        <vt:i4>5</vt:i4>
      </vt:variant>
      <vt:variant>
        <vt:lpwstr>http://www.mineco.gob.gt/Espanol/Centro+de+Informacion+y+Expo-Negocios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Asociación de Investigación y Estudios Sociales</dc:title>
  <dc:creator>Violeta Hernández</dc:creator>
  <cp:lastModifiedBy>cheong</cp:lastModifiedBy>
  <cp:revision>3</cp:revision>
  <cp:lastPrinted>2012-10-11T15:34:00Z</cp:lastPrinted>
  <dcterms:created xsi:type="dcterms:W3CDTF">2013-01-21T12:23:00Z</dcterms:created>
  <dcterms:modified xsi:type="dcterms:W3CDTF">2013-01-21T12:24:00Z</dcterms:modified>
</cp:coreProperties>
</file>