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511" w:rsidRPr="00687D92" w:rsidRDefault="00E65B89" w:rsidP="006D5982">
      <w:pPr>
        <w:spacing w:line="360" w:lineRule="auto"/>
        <w:jc w:val="center"/>
        <w:rPr>
          <w:b/>
          <w:sz w:val="32"/>
          <w:szCs w:val="32"/>
        </w:rPr>
      </w:pPr>
      <w:r w:rsidRPr="00687D92">
        <w:rPr>
          <w:b/>
          <w:sz w:val="32"/>
          <w:szCs w:val="32"/>
        </w:rPr>
        <w:t>T</w:t>
      </w:r>
      <w:r w:rsidR="000E7772" w:rsidRPr="00687D92">
        <w:rPr>
          <w:b/>
          <w:sz w:val="32"/>
          <w:szCs w:val="32"/>
        </w:rPr>
        <w:t xml:space="preserve">OWARDS A CONTINENTAL FREE TRADE AREA IN </w:t>
      </w:r>
      <w:smartTag w:uri="urn:schemas-microsoft-com:office:smarttags" w:element="place">
        <w:r w:rsidR="000E7772" w:rsidRPr="00687D92">
          <w:rPr>
            <w:b/>
            <w:sz w:val="32"/>
            <w:szCs w:val="32"/>
          </w:rPr>
          <w:t>AFRICA</w:t>
        </w:r>
      </w:smartTag>
      <w:proofErr w:type="gramStart"/>
      <w:r w:rsidR="000E7772" w:rsidRPr="00687D92">
        <w:rPr>
          <w:b/>
          <w:sz w:val="32"/>
          <w:szCs w:val="32"/>
        </w:rPr>
        <w:t>:</w:t>
      </w:r>
      <w:proofErr w:type="gramEnd"/>
      <w:r w:rsidR="00902FA8">
        <w:rPr>
          <w:b/>
          <w:sz w:val="32"/>
          <w:szCs w:val="32"/>
        </w:rPr>
        <w:br/>
      </w:r>
      <w:r w:rsidR="000E7772" w:rsidRPr="00687D92">
        <w:rPr>
          <w:b/>
          <w:sz w:val="32"/>
          <w:szCs w:val="32"/>
        </w:rPr>
        <w:t>A CGE MODEL</w:t>
      </w:r>
      <w:r w:rsidR="0061584B" w:rsidRPr="00687D92">
        <w:rPr>
          <w:b/>
          <w:sz w:val="32"/>
          <w:szCs w:val="32"/>
        </w:rPr>
        <w:t>L</w:t>
      </w:r>
      <w:r w:rsidR="000E7772" w:rsidRPr="00687D92">
        <w:rPr>
          <w:b/>
          <w:sz w:val="32"/>
          <w:szCs w:val="32"/>
        </w:rPr>
        <w:t>ING ASSESSMENT</w:t>
      </w:r>
      <w:r w:rsidR="00902FA8">
        <w:rPr>
          <w:b/>
          <w:sz w:val="32"/>
          <w:szCs w:val="32"/>
        </w:rPr>
        <w:br/>
      </w:r>
      <w:r w:rsidR="000E7772" w:rsidRPr="00687D92">
        <w:rPr>
          <w:b/>
          <w:sz w:val="32"/>
          <w:szCs w:val="32"/>
        </w:rPr>
        <w:t>WITH A FOCUS ON AGRICULTURE</w:t>
      </w:r>
    </w:p>
    <w:p w:rsidR="008538F2" w:rsidRPr="0061584B" w:rsidRDefault="00AB6336" w:rsidP="00B5617B">
      <w:pPr>
        <w:spacing w:line="360" w:lineRule="auto"/>
        <w:jc w:val="center"/>
      </w:pPr>
      <w:r>
        <w:t>Simon Mevel</w:t>
      </w:r>
      <w:r w:rsidR="008538F2" w:rsidRPr="0061584B">
        <w:t xml:space="preserve"> </w:t>
      </w:r>
      <w:r w:rsidR="00CA3F0D" w:rsidRPr="0061584B">
        <w:t xml:space="preserve">and </w:t>
      </w:r>
      <w:r>
        <w:t>Stephen Karingi</w:t>
      </w:r>
    </w:p>
    <w:p w:rsidR="00C75511" w:rsidRPr="0061584B" w:rsidRDefault="00C75511" w:rsidP="006D5982">
      <w:pPr>
        <w:spacing w:line="360" w:lineRule="auto"/>
      </w:pPr>
    </w:p>
    <w:p w:rsidR="00EB7CD4" w:rsidRPr="00687D92" w:rsidRDefault="009F5B3B" w:rsidP="006D5982">
      <w:pPr>
        <w:pStyle w:val="Heading1"/>
        <w:spacing w:line="360" w:lineRule="auto"/>
      </w:pPr>
      <w:r w:rsidRPr="00687D92">
        <w:t>8.1</w:t>
      </w:r>
      <w:r w:rsidRPr="00687D92">
        <w:tab/>
        <w:t>INTRODUCTION</w:t>
      </w:r>
      <w:r w:rsidRPr="00687D92" w:rsidDel="009F5B3B">
        <w:t xml:space="preserve"> </w:t>
      </w:r>
    </w:p>
    <w:p w:rsidR="00C45869" w:rsidRPr="000017FF" w:rsidRDefault="00C45869" w:rsidP="006D5982">
      <w:pPr>
        <w:spacing w:line="360" w:lineRule="auto"/>
        <w:rPr>
          <w:sz w:val="22"/>
          <w:szCs w:val="22"/>
        </w:rPr>
      </w:pPr>
      <w:r w:rsidRPr="000017FF">
        <w:rPr>
          <w:sz w:val="22"/>
          <w:szCs w:val="22"/>
        </w:rPr>
        <w:t>The Abuja Treaty</w:t>
      </w:r>
      <w:r w:rsidRPr="000017FF">
        <w:rPr>
          <w:rStyle w:val="FootnoteReference"/>
          <w:sz w:val="22"/>
          <w:szCs w:val="22"/>
        </w:rPr>
        <w:footnoteReference w:id="1"/>
      </w:r>
      <w:r w:rsidRPr="000017FF">
        <w:rPr>
          <w:sz w:val="22"/>
          <w:szCs w:val="22"/>
        </w:rPr>
        <w:t xml:space="preserve"> envisions the establishment of an African Economic Community,</w:t>
      </w:r>
      <w:r w:rsidR="00E117F0" w:rsidRPr="000017FF">
        <w:rPr>
          <w:sz w:val="22"/>
          <w:szCs w:val="22"/>
        </w:rPr>
        <w:t xml:space="preserve"> with </w:t>
      </w:r>
      <w:r w:rsidRPr="000017FF">
        <w:rPr>
          <w:sz w:val="22"/>
          <w:szCs w:val="22"/>
        </w:rPr>
        <w:t>the creation of a Pan-African Economic and Monetary Union, by 2028</w:t>
      </w:r>
      <w:r w:rsidR="00036351">
        <w:rPr>
          <w:sz w:val="22"/>
          <w:szCs w:val="22"/>
        </w:rPr>
        <w:t xml:space="preserve"> (African Union Commission, 1991)</w:t>
      </w:r>
      <w:r w:rsidRPr="000017FF">
        <w:rPr>
          <w:sz w:val="22"/>
          <w:szCs w:val="22"/>
        </w:rPr>
        <w:t xml:space="preserve">. The road towards the ultimate step of regional integration </w:t>
      </w:r>
      <w:r w:rsidR="00E117F0" w:rsidRPr="000017FF">
        <w:rPr>
          <w:sz w:val="22"/>
          <w:szCs w:val="22"/>
        </w:rPr>
        <w:t>is not</w:t>
      </w:r>
      <w:r w:rsidRPr="000017FF">
        <w:rPr>
          <w:sz w:val="22"/>
          <w:szCs w:val="22"/>
        </w:rPr>
        <w:t xml:space="preserve"> straightforward, however, and </w:t>
      </w:r>
      <w:r w:rsidR="00715A87" w:rsidRPr="000017FF">
        <w:rPr>
          <w:sz w:val="22"/>
          <w:szCs w:val="22"/>
        </w:rPr>
        <w:t xml:space="preserve">to date </w:t>
      </w:r>
      <w:r w:rsidRPr="000017FF">
        <w:rPr>
          <w:sz w:val="22"/>
          <w:szCs w:val="22"/>
        </w:rPr>
        <w:t>progress within the eight Regional Economic Communities (RECs) recognized by the African Union Commission</w:t>
      </w:r>
      <w:r w:rsidR="00715A87" w:rsidRPr="000017FF">
        <w:rPr>
          <w:rStyle w:val="FootnoteReference"/>
          <w:sz w:val="22"/>
          <w:szCs w:val="22"/>
        </w:rPr>
        <w:footnoteReference w:id="2"/>
      </w:r>
      <w:r w:rsidRPr="000017FF">
        <w:rPr>
          <w:sz w:val="22"/>
          <w:szCs w:val="22"/>
        </w:rPr>
        <w:t xml:space="preserve"> has been </w:t>
      </w:r>
      <w:r w:rsidR="001D40E7" w:rsidRPr="000017FF">
        <w:rPr>
          <w:sz w:val="22"/>
          <w:szCs w:val="22"/>
        </w:rPr>
        <w:t>made at different paces</w:t>
      </w:r>
      <w:r w:rsidR="00715A87" w:rsidRPr="000017FF">
        <w:rPr>
          <w:sz w:val="22"/>
          <w:szCs w:val="22"/>
        </w:rPr>
        <w:t>.</w:t>
      </w:r>
      <w:r w:rsidR="00706B33" w:rsidRPr="000017FF">
        <w:rPr>
          <w:sz w:val="22"/>
          <w:szCs w:val="22"/>
        </w:rPr>
        <w:t xml:space="preserve"> </w:t>
      </w:r>
      <w:r w:rsidRPr="000017FF">
        <w:rPr>
          <w:sz w:val="22"/>
          <w:szCs w:val="22"/>
        </w:rPr>
        <w:t xml:space="preserve">Nevertheless, the </w:t>
      </w:r>
      <w:r w:rsidR="00715A87" w:rsidRPr="000017FF">
        <w:rPr>
          <w:sz w:val="22"/>
          <w:szCs w:val="22"/>
        </w:rPr>
        <w:t xml:space="preserve">tripartite </w:t>
      </w:r>
      <w:r w:rsidR="009F5B3B" w:rsidRPr="000017FF">
        <w:rPr>
          <w:sz w:val="22"/>
          <w:szCs w:val="22"/>
        </w:rPr>
        <w:t xml:space="preserve">agreement among the </w:t>
      </w:r>
      <w:r w:rsidR="009F5B3B" w:rsidRPr="000017FF">
        <w:rPr>
          <w:sz w:val="22"/>
          <w:szCs w:val="22"/>
          <w:shd w:val="clear" w:color="auto" w:fill="FFFFFF"/>
        </w:rPr>
        <w:t>Common Market for Eastern and Southern Africa (COMESA), the East African Community (EAC)</w:t>
      </w:r>
      <w:r w:rsidR="001420F1" w:rsidRPr="000017FF">
        <w:rPr>
          <w:sz w:val="22"/>
          <w:szCs w:val="22"/>
          <w:shd w:val="clear" w:color="auto" w:fill="FFFFFF"/>
        </w:rPr>
        <w:t>,</w:t>
      </w:r>
      <w:r w:rsidR="009F5B3B" w:rsidRPr="000017FF">
        <w:rPr>
          <w:sz w:val="22"/>
          <w:szCs w:val="22"/>
          <w:shd w:val="clear" w:color="auto" w:fill="FFFFFF"/>
        </w:rPr>
        <w:t xml:space="preserve"> and the Southern African Development Community (SADC)</w:t>
      </w:r>
      <w:r w:rsidR="00715A87" w:rsidRPr="000017FF">
        <w:rPr>
          <w:sz w:val="22"/>
          <w:szCs w:val="22"/>
        </w:rPr>
        <w:t>,</w:t>
      </w:r>
      <w:r w:rsidRPr="000017FF">
        <w:rPr>
          <w:sz w:val="22"/>
          <w:szCs w:val="22"/>
        </w:rPr>
        <w:t xml:space="preserve"> which aspires to launch a </w:t>
      </w:r>
      <w:r w:rsidR="009E7548">
        <w:rPr>
          <w:sz w:val="22"/>
          <w:szCs w:val="22"/>
        </w:rPr>
        <w:t>f</w:t>
      </w:r>
      <w:r w:rsidRPr="000017FF">
        <w:rPr>
          <w:sz w:val="22"/>
          <w:szCs w:val="22"/>
        </w:rPr>
        <w:t xml:space="preserve">ree </w:t>
      </w:r>
      <w:r w:rsidR="009E7548">
        <w:rPr>
          <w:sz w:val="22"/>
          <w:szCs w:val="22"/>
        </w:rPr>
        <w:t>t</w:t>
      </w:r>
      <w:r w:rsidRPr="000017FF">
        <w:rPr>
          <w:sz w:val="22"/>
          <w:szCs w:val="22"/>
        </w:rPr>
        <w:t xml:space="preserve">rade </w:t>
      </w:r>
      <w:r w:rsidR="009E7548">
        <w:rPr>
          <w:sz w:val="22"/>
          <w:szCs w:val="22"/>
        </w:rPr>
        <w:t>a</w:t>
      </w:r>
      <w:r w:rsidRPr="000017FF">
        <w:rPr>
          <w:sz w:val="22"/>
          <w:szCs w:val="22"/>
        </w:rPr>
        <w:t xml:space="preserve">rea (FTA) </w:t>
      </w:r>
      <w:r w:rsidR="00715A87" w:rsidRPr="000017FF">
        <w:rPr>
          <w:sz w:val="22"/>
          <w:szCs w:val="22"/>
        </w:rPr>
        <w:t xml:space="preserve">among </w:t>
      </w:r>
      <w:r w:rsidRPr="000017FF">
        <w:rPr>
          <w:sz w:val="22"/>
          <w:szCs w:val="22"/>
        </w:rPr>
        <w:t xml:space="preserve">these three RECs by 2014, </w:t>
      </w:r>
      <w:r w:rsidR="00F8081D" w:rsidRPr="000017FF">
        <w:rPr>
          <w:sz w:val="22"/>
          <w:szCs w:val="22"/>
        </w:rPr>
        <w:t xml:space="preserve">highlights </w:t>
      </w:r>
      <w:r w:rsidRPr="000017FF">
        <w:rPr>
          <w:sz w:val="22"/>
          <w:szCs w:val="22"/>
        </w:rPr>
        <w:t xml:space="preserve">the deep commitment to African regional integration. Moreover, African </w:t>
      </w:r>
      <w:r w:rsidR="002C3F6E" w:rsidRPr="000017FF">
        <w:rPr>
          <w:sz w:val="22"/>
          <w:szCs w:val="22"/>
        </w:rPr>
        <w:t xml:space="preserve">ministers </w:t>
      </w:r>
      <w:r w:rsidRPr="000017FF">
        <w:rPr>
          <w:sz w:val="22"/>
          <w:szCs w:val="22"/>
        </w:rPr>
        <w:t xml:space="preserve">of </w:t>
      </w:r>
      <w:r w:rsidR="002C3F6E" w:rsidRPr="000017FF">
        <w:rPr>
          <w:sz w:val="22"/>
          <w:szCs w:val="22"/>
        </w:rPr>
        <w:t xml:space="preserve">trade </w:t>
      </w:r>
      <w:r w:rsidRPr="000017FF">
        <w:rPr>
          <w:sz w:val="22"/>
          <w:szCs w:val="22"/>
        </w:rPr>
        <w:t xml:space="preserve">met in </w:t>
      </w:r>
      <w:smartTag w:uri="urn:schemas-microsoft-com:office:smarttags" w:element="place">
        <w:smartTag w:uri="urn:schemas-microsoft-com:office:smarttags" w:element="City">
          <w:r w:rsidRPr="000017FF">
            <w:rPr>
              <w:sz w:val="22"/>
              <w:szCs w:val="22"/>
            </w:rPr>
            <w:t>Kigali</w:t>
          </w:r>
        </w:smartTag>
      </w:smartTag>
      <w:r w:rsidRPr="000017FF">
        <w:rPr>
          <w:sz w:val="22"/>
          <w:szCs w:val="22"/>
        </w:rPr>
        <w:t xml:space="preserve"> in November 2010, recommending to fast-track the creation of a Continental Free Trade Area (CFTA) by 2017. This was reaffirmed in </w:t>
      </w:r>
      <w:smartTag w:uri="urn:schemas-microsoft-com:office:smarttags" w:element="place">
        <w:smartTag w:uri="urn:schemas-microsoft-com:office:smarttags" w:element="City">
          <w:r w:rsidRPr="000017FF">
            <w:rPr>
              <w:sz w:val="22"/>
              <w:szCs w:val="22"/>
            </w:rPr>
            <w:t>Accra</w:t>
          </w:r>
        </w:smartTag>
      </w:smartTag>
      <w:r w:rsidRPr="000017FF">
        <w:rPr>
          <w:sz w:val="22"/>
          <w:szCs w:val="22"/>
        </w:rPr>
        <w:t>, in December 2011, at the 7th Ordinary Session of African Union Ministers of Trade Conference.</w:t>
      </w:r>
      <w:r w:rsidR="000C5AAB" w:rsidRPr="000017FF">
        <w:rPr>
          <w:sz w:val="22"/>
          <w:szCs w:val="22"/>
        </w:rPr>
        <w:t xml:space="preserve"> </w:t>
      </w:r>
      <w:r w:rsidR="00715A87" w:rsidRPr="000017FF">
        <w:rPr>
          <w:sz w:val="22"/>
          <w:szCs w:val="22"/>
        </w:rPr>
        <w:t>More recently</w:t>
      </w:r>
      <w:r w:rsidR="000C5AAB" w:rsidRPr="000017FF">
        <w:rPr>
          <w:sz w:val="22"/>
          <w:szCs w:val="22"/>
        </w:rPr>
        <w:t xml:space="preserve">, at the African Union Summit in </w:t>
      </w:r>
      <w:smartTag w:uri="urn:schemas-microsoft-com:office:smarttags" w:element="City">
        <w:r w:rsidR="000C5AAB" w:rsidRPr="000017FF">
          <w:rPr>
            <w:sz w:val="22"/>
            <w:szCs w:val="22"/>
          </w:rPr>
          <w:t>Addis Ababa</w:t>
        </w:r>
      </w:smartTag>
      <w:r w:rsidR="000C5AAB" w:rsidRPr="000017FF">
        <w:rPr>
          <w:sz w:val="22"/>
          <w:szCs w:val="22"/>
        </w:rPr>
        <w:t xml:space="preserve"> in January 2012, African </w:t>
      </w:r>
      <w:r w:rsidR="001420F1" w:rsidRPr="000017FF">
        <w:rPr>
          <w:sz w:val="22"/>
          <w:szCs w:val="22"/>
        </w:rPr>
        <w:t>h</w:t>
      </w:r>
      <w:r w:rsidR="002C3F6E" w:rsidRPr="000017FF">
        <w:rPr>
          <w:sz w:val="22"/>
          <w:szCs w:val="22"/>
        </w:rPr>
        <w:t xml:space="preserve">eads </w:t>
      </w:r>
      <w:r w:rsidR="000C5AAB" w:rsidRPr="000017FF">
        <w:rPr>
          <w:sz w:val="22"/>
          <w:szCs w:val="22"/>
        </w:rPr>
        <w:t xml:space="preserve">of </w:t>
      </w:r>
      <w:r w:rsidR="001420F1" w:rsidRPr="000017FF">
        <w:rPr>
          <w:sz w:val="22"/>
          <w:szCs w:val="22"/>
        </w:rPr>
        <w:t>s</w:t>
      </w:r>
      <w:r w:rsidR="002C3F6E" w:rsidRPr="000017FF">
        <w:rPr>
          <w:sz w:val="22"/>
          <w:szCs w:val="22"/>
        </w:rPr>
        <w:t xml:space="preserve">tate </w:t>
      </w:r>
      <w:r w:rsidR="00706B33" w:rsidRPr="000017FF">
        <w:rPr>
          <w:sz w:val="22"/>
          <w:szCs w:val="22"/>
        </w:rPr>
        <w:t xml:space="preserve">and </w:t>
      </w:r>
      <w:r w:rsidR="001420F1" w:rsidRPr="000017FF">
        <w:rPr>
          <w:sz w:val="22"/>
          <w:szCs w:val="22"/>
        </w:rPr>
        <w:t>g</w:t>
      </w:r>
      <w:r w:rsidR="00706B33" w:rsidRPr="000017FF">
        <w:rPr>
          <w:sz w:val="22"/>
          <w:szCs w:val="22"/>
        </w:rPr>
        <w:t xml:space="preserve">overnment </w:t>
      </w:r>
      <w:r w:rsidR="00900A4E" w:rsidRPr="000017FF">
        <w:rPr>
          <w:sz w:val="22"/>
          <w:szCs w:val="22"/>
        </w:rPr>
        <w:t xml:space="preserve">endorsed </w:t>
      </w:r>
      <w:smartTag w:uri="urn:schemas-microsoft-com:office:smarttags" w:element="place">
        <w:smartTag w:uri="urn:schemas-microsoft-com:office:smarttags" w:element="City">
          <w:r w:rsidR="00900A4E" w:rsidRPr="000017FF">
            <w:rPr>
              <w:sz w:val="22"/>
              <w:szCs w:val="22"/>
            </w:rPr>
            <w:t>Accra</w:t>
          </w:r>
        </w:smartTag>
      </w:smartTag>
      <w:r w:rsidR="00900A4E" w:rsidRPr="000017FF">
        <w:rPr>
          <w:sz w:val="22"/>
          <w:szCs w:val="22"/>
        </w:rPr>
        <w:t xml:space="preserve">’s declaration on “Boosting </w:t>
      </w:r>
      <w:proofErr w:type="gramStart"/>
      <w:r w:rsidR="00900A4E" w:rsidRPr="000017FF">
        <w:rPr>
          <w:sz w:val="22"/>
          <w:szCs w:val="22"/>
        </w:rPr>
        <w:t xml:space="preserve">Intra-African Trade and the Establishment of a Continental Free Trade </w:t>
      </w:r>
      <w:r w:rsidR="007E7A1B" w:rsidRPr="000017FF">
        <w:rPr>
          <w:sz w:val="22"/>
          <w:szCs w:val="22"/>
        </w:rPr>
        <w:t>Ar</w:t>
      </w:r>
      <w:r w:rsidR="00900A4E" w:rsidRPr="000017FF">
        <w:rPr>
          <w:sz w:val="22"/>
          <w:szCs w:val="22"/>
        </w:rPr>
        <w:t>ea”</w:t>
      </w:r>
      <w:r w:rsidR="00715A87" w:rsidRPr="000017FF">
        <w:rPr>
          <w:sz w:val="22"/>
          <w:szCs w:val="22"/>
        </w:rPr>
        <w:t>,</w:t>
      </w:r>
      <w:r w:rsidR="00900A4E" w:rsidRPr="000017FF">
        <w:rPr>
          <w:sz w:val="22"/>
          <w:szCs w:val="22"/>
        </w:rPr>
        <w:t xml:space="preserve"> with 2017 as </w:t>
      </w:r>
      <w:r w:rsidR="00715A87" w:rsidRPr="000017FF">
        <w:rPr>
          <w:sz w:val="22"/>
          <w:szCs w:val="22"/>
        </w:rPr>
        <w:t xml:space="preserve">the </w:t>
      </w:r>
      <w:r w:rsidR="00900A4E" w:rsidRPr="000017FF">
        <w:rPr>
          <w:sz w:val="22"/>
          <w:szCs w:val="22"/>
        </w:rPr>
        <w:t>indicative date.</w:t>
      </w:r>
      <w:proofErr w:type="gramEnd"/>
    </w:p>
    <w:p w:rsidR="00C45869" w:rsidRPr="000017FF" w:rsidRDefault="00C45869" w:rsidP="006D5982">
      <w:pPr>
        <w:spacing w:line="360" w:lineRule="auto"/>
        <w:rPr>
          <w:sz w:val="22"/>
          <w:szCs w:val="22"/>
        </w:rPr>
      </w:pPr>
      <w:r w:rsidRPr="000017FF">
        <w:rPr>
          <w:sz w:val="22"/>
          <w:szCs w:val="22"/>
        </w:rPr>
        <w:lastRenderedPageBreak/>
        <w:t xml:space="preserve">The agricultural sector continues to </w:t>
      </w:r>
      <w:r w:rsidR="00715A87" w:rsidRPr="000017FF">
        <w:rPr>
          <w:sz w:val="22"/>
          <w:szCs w:val="22"/>
        </w:rPr>
        <w:t xml:space="preserve">play </w:t>
      </w:r>
      <w:r w:rsidRPr="000017FF">
        <w:rPr>
          <w:sz w:val="22"/>
          <w:szCs w:val="22"/>
        </w:rPr>
        <w:t>a vital role on the African continent</w:t>
      </w:r>
      <w:r w:rsidR="009F314C" w:rsidRPr="000017FF">
        <w:rPr>
          <w:sz w:val="22"/>
          <w:szCs w:val="22"/>
        </w:rPr>
        <w:t>.</w:t>
      </w:r>
      <w:r w:rsidRPr="000017FF">
        <w:rPr>
          <w:sz w:val="22"/>
          <w:szCs w:val="22"/>
        </w:rPr>
        <w:t xml:space="preserve"> Being the primary source of employment, it is pivotal to the livelihoods of the majority of the population</w:t>
      </w:r>
      <w:r w:rsidR="00715A87" w:rsidRPr="000017FF">
        <w:rPr>
          <w:sz w:val="22"/>
          <w:szCs w:val="22"/>
        </w:rPr>
        <w:t>.</w:t>
      </w:r>
      <w:r w:rsidR="00126225" w:rsidRPr="000017FF">
        <w:rPr>
          <w:rStyle w:val="FootnoteReference"/>
          <w:sz w:val="22"/>
          <w:szCs w:val="22"/>
        </w:rPr>
        <w:footnoteReference w:id="3"/>
      </w:r>
      <w:r w:rsidRPr="000017FF">
        <w:rPr>
          <w:sz w:val="22"/>
          <w:szCs w:val="22"/>
        </w:rPr>
        <w:t xml:space="preserve"> Agriculture generally retains a strategic position in the economic growth profiles of these countries, ensuring food security for its people. Further, the sector remains </w:t>
      </w:r>
      <w:r w:rsidR="00E117F0" w:rsidRPr="000017FF">
        <w:rPr>
          <w:sz w:val="22"/>
          <w:szCs w:val="22"/>
        </w:rPr>
        <w:t>a</w:t>
      </w:r>
      <w:r w:rsidRPr="000017FF">
        <w:rPr>
          <w:sz w:val="22"/>
          <w:szCs w:val="22"/>
        </w:rPr>
        <w:t xml:space="preserve"> </w:t>
      </w:r>
      <w:r w:rsidR="009F314C" w:rsidRPr="000017FF">
        <w:rPr>
          <w:sz w:val="22"/>
          <w:szCs w:val="22"/>
        </w:rPr>
        <w:t>significant</w:t>
      </w:r>
      <w:r w:rsidRPr="000017FF">
        <w:rPr>
          <w:sz w:val="22"/>
          <w:szCs w:val="22"/>
        </w:rPr>
        <w:t xml:space="preserve"> source of </w:t>
      </w:r>
      <w:smartTag w:uri="urn:schemas-microsoft-com:office:smarttags" w:element="place">
        <w:r w:rsidRPr="000017FF">
          <w:rPr>
            <w:sz w:val="22"/>
            <w:szCs w:val="22"/>
          </w:rPr>
          <w:t>Africa</w:t>
        </w:r>
      </w:smartTag>
      <w:r w:rsidRPr="000017FF">
        <w:rPr>
          <w:sz w:val="22"/>
          <w:szCs w:val="22"/>
        </w:rPr>
        <w:t>’s exports</w:t>
      </w:r>
      <w:r w:rsidR="00E117F0" w:rsidRPr="000017FF">
        <w:rPr>
          <w:sz w:val="22"/>
          <w:szCs w:val="22"/>
        </w:rPr>
        <w:t>, especially within the continent</w:t>
      </w:r>
      <w:r w:rsidRPr="000017FF">
        <w:rPr>
          <w:sz w:val="22"/>
          <w:szCs w:val="22"/>
        </w:rPr>
        <w:t xml:space="preserve">. Agricultural development, and in particular the consolidation of its competitiveness, is </w:t>
      </w:r>
      <w:r w:rsidR="009F314C" w:rsidRPr="000017FF">
        <w:rPr>
          <w:sz w:val="22"/>
          <w:szCs w:val="22"/>
        </w:rPr>
        <w:t xml:space="preserve">seen </w:t>
      </w:r>
      <w:r w:rsidR="003D2794" w:rsidRPr="000017FF">
        <w:rPr>
          <w:sz w:val="22"/>
          <w:szCs w:val="22"/>
        </w:rPr>
        <w:t xml:space="preserve">both </w:t>
      </w:r>
      <w:r w:rsidR="009F314C" w:rsidRPr="000017FF">
        <w:rPr>
          <w:sz w:val="22"/>
          <w:szCs w:val="22"/>
        </w:rPr>
        <w:t>as one of the pillars of much</w:t>
      </w:r>
      <w:r w:rsidR="003D2794" w:rsidRPr="000017FF">
        <w:rPr>
          <w:sz w:val="22"/>
          <w:szCs w:val="22"/>
        </w:rPr>
        <w:t>-</w:t>
      </w:r>
      <w:r w:rsidR="009F314C" w:rsidRPr="000017FF">
        <w:rPr>
          <w:sz w:val="22"/>
          <w:szCs w:val="22"/>
        </w:rPr>
        <w:t>ne</w:t>
      </w:r>
      <w:r w:rsidR="002465F5" w:rsidRPr="000017FF">
        <w:rPr>
          <w:sz w:val="22"/>
          <w:szCs w:val="22"/>
        </w:rPr>
        <w:t xml:space="preserve">eded structural transformation </w:t>
      </w:r>
      <w:r w:rsidR="003D2794" w:rsidRPr="000017FF">
        <w:rPr>
          <w:sz w:val="22"/>
          <w:szCs w:val="22"/>
        </w:rPr>
        <w:t xml:space="preserve">and </w:t>
      </w:r>
      <w:r w:rsidR="009F314C" w:rsidRPr="000017FF">
        <w:rPr>
          <w:sz w:val="22"/>
          <w:szCs w:val="22"/>
        </w:rPr>
        <w:t xml:space="preserve">as an </w:t>
      </w:r>
      <w:r w:rsidRPr="000017FF">
        <w:rPr>
          <w:sz w:val="22"/>
          <w:szCs w:val="22"/>
        </w:rPr>
        <w:t xml:space="preserve">avenue </w:t>
      </w:r>
      <w:r w:rsidR="001420F1" w:rsidRPr="000017FF">
        <w:rPr>
          <w:sz w:val="22"/>
          <w:szCs w:val="22"/>
        </w:rPr>
        <w:t xml:space="preserve">to </w:t>
      </w:r>
      <w:r w:rsidRPr="000017FF">
        <w:rPr>
          <w:sz w:val="22"/>
          <w:szCs w:val="22"/>
        </w:rPr>
        <w:t>reduc</w:t>
      </w:r>
      <w:r w:rsidR="002465F5" w:rsidRPr="000017FF">
        <w:rPr>
          <w:sz w:val="22"/>
          <w:szCs w:val="22"/>
        </w:rPr>
        <w:t>ing poverty</w:t>
      </w:r>
      <w:r w:rsidR="009F314C" w:rsidRPr="000017FF">
        <w:rPr>
          <w:sz w:val="22"/>
          <w:szCs w:val="22"/>
        </w:rPr>
        <w:t xml:space="preserve">. </w:t>
      </w:r>
      <w:r w:rsidR="00EE3437" w:rsidRPr="000017FF">
        <w:rPr>
          <w:sz w:val="22"/>
          <w:szCs w:val="22"/>
        </w:rPr>
        <w:t>Removing existing trade-related constraints within the African continent</w:t>
      </w:r>
      <w:r w:rsidRPr="000017FF">
        <w:rPr>
          <w:sz w:val="22"/>
          <w:szCs w:val="22"/>
        </w:rPr>
        <w:t xml:space="preserve"> is expected to stimulate </w:t>
      </w:r>
      <w:r w:rsidR="00EE3437" w:rsidRPr="000017FF">
        <w:rPr>
          <w:sz w:val="22"/>
          <w:szCs w:val="22"/>
        </w:rPr>
        <w:t>intra-</w:t>
      </w:r>
      <w:r w:rsidR="001420F1" w:rsidRPr="000017FF">
        <w:rPr>
          <w:sz w:val="22"/>
          <w:szCs w:val="22"/>
        </w:rPr>
        <w:t xml:space="preserve">African </w:t>
      </w:r>
      <w:r w:rsidRPr="000017FF">
        <w:rPr>
          <w:sz w:val="22"/>
          <w:szCs w:val="22"/>
        </w:rPr>
        <w:t xml:space="preserve">trade, helping to </w:t>
      </w:r>
      <w:r w:rsidR="00733F9A" w:rsidRPr="000017FF">
        <w:rPr>
          <w:sz w:val="22"/>
          <w:szCs w:val="22"/>
        </w:rPr>
        <w:t>push</w:t>
      </w:r>
      <w:r w:rsidRPr="000017FF">
        <w:rPr>
          <w:sz w:val="22"/>
          <w:szCs w:val="22"/>
        </w:rPr>
        <w:t xml:space="preserve"> economies towards more diversified structures of production and leading to significant economic benefits necessary to enhance development in </w:t>
      </w:r>
      <w:smartTag w:uri="urn:schemas-microsoft-com:office:smarttags" w:element="place">
        <w:r w:rsidRPr="000017FF">
          <w:rPr>
            <w:sz w:val="22"/>
            <w:szCs w:val="22"/>
          </w:rPr>
          <w:t>Africa</w:t>
        </w:r>
      </w:smartTag>
      <w:r w:rsidRPr="000017FF">
        <w:rPr>
          <w:sz w:val="22"/>
          <w:szCs w:val="22"/>
        </w:rPr>
        <w:t>. As such, it is crucial to ensure that the expected gains from such an undertaking will be fairly distributed among the population.</w:t>
      </w:r>
    </w:p>
    <w:p w:rsidR="00C45869" w:rsidRPr="000017FF" w:rsidRDefault="00C45869" w:rsidP="006D5982">
      <w:pPr>
        <w:spacing w:line="360" w:lineRule="auto"/>
        <w:rPr>
          <w:sz w:val="22"/>
          <w:szCs w:val="22"/>
        </w:rPr>
      </w:pPr>
      <w:r w:rsidRPr="000017FF">
        <w:rPr>
          <w:sz w:val="22"/>
          <w:szCs w:val="22"/>
        </w:rPr>
        <w:t xml:space="preserve">Using the </w:t>
      </w:r>
      <w:r w:rsidR="001420F1" w:rsidRPr="000017FF">
        <w:rPr>
          <w:sz w:val="22"/>
          <w:szCs w:val="22"/>
        </w:rPr>
        <w:t>c</w:t>
      </w:r>
      <w:r w:rsidRPr="000017FF">
        <w:rPr>
          <w:sz w:val="22"/>
          <w:szCs w:val="22"/>
        </w:rPr>
        <w:t xml:space="preserve">omputable </w:t>
      </w:r>
      <w:r w:rsidR="001420F1" w:rsidRPr="000017FF">
        <w:rPr>
          <w:sz w:val="22"/>
          <w:szCs w:val="22"/>
        </w:rPr>
        <w:t>g</w:t>
      </w:r>
      <w:r w:rsidRPr="000017FF">
        <w:rPr>
          <w:sz w:val="22"/>
          <w:szCs w:val="22"/>
        </w:rPr>
        <w:t xml:space="preserve">eneral </w:t>
      </w:r>
      <w:r w:rsidR="001420F1" w:rsidRPr="000017FF">
        <w:rPr>
          <w:sz w:val="22"/>
          <w:szCs w:val="22"/>
        </w:rPr>
        <w:t>e</w:t>
      </w:r>
      <w:r w:rsidRPr="000017FF">
        <w:rPr>
          <w:sz w:val="22"/>
          <w:szCs w:val="22"/>
        </w:rPr>
        <w:t xml:space="preserve">quilibrium (CGE) model MIRAGE, this paper aims to assess the economic impacts of establishing FTAs, and in particular the formation of a CFTA, with a focus on the effects of such trade reforms on agriculture and </w:t>
      </w:r>
      <w:r w:rsidR="00733F9A" w:rsidRPr="000017FF">
        <w:rPr>
          <w:sz w:val="22"/>
          <w:szCs w:val="22"/>
        </w:rPr>
        <w:t xml:space="preserve">agricultural </w:t>
      </w:r>
      <w:r w:rsidRPr="000017FF">
        <w:rPr>
          <w:sz w:val="22"/>
          <w:szCs w:val="22"/>
        </w:rPr>
        <w:t>employment</w:t>
      </w:r>
      <w:r w:rsidR="00733F9A" w:rsidRPr="000017FF">
        <w:rPr>
          <w:sz w:val="22"/>
          <w:szCs w:val="22"/>
        </w:rPr>
        <w:t>.</w:t>
      </w:r>
      <w:r w:rsidR="00090EA8" w:rsidRPr="000017FF">
        <w:rPr>
          <w:rStyle w:val="FootnoteReference"/>
          <w:sz w:val="22"/>
          <w:szCs w:val="22"/>
        </w:rPr>
        <w:footnoteReference w:id="4"/>
      </w:r>
      <w:r w:rsidR="00B03E3F" w:rsidRPr="000017FF">
        <w:rPr>
          <w:sz w:val="22"/>
          <w:szCs w:val="22"/>
        </w:rPr>
        <w:t xml:space="preserve"> </w:t>
      </w:r>
      <w:r w:rsidRPr="000017FF">
        <w:rPr>
          <w:sz w:val="22"/>
          <w:szCs w:val="22"/>
        </w:rPr>
        <w:t xml:space="preserve">The rest of the paper is organized as follows: </w:t>
      </w:r>
      <w:r w:rsidR="000F4C18" w:rsidRPr="000017FF">
        <w:rPr>
          <w:sz w:val="22"/>
          <w:szCs w:val="22"/>
        </w:rPr>
        <w:t>T</w:t>
      </w:r>
      <w:r w:rsidRPr="000017FF">
        <w:rPr>
          <w:sz w:val="22"/>
          <w:szCs w:val="22"/>
        </w:rPr>
        <w:t xml:space="preserve">he second section provides an overview of </w:t>
      </w:r>
      <w:smartTag w:uri="urn:schemas-microsoft-com:office:smarttags" w:element="place">
        <w:r w:rsidRPr="000017FF">
          <w:rPr>
            <w:sz w:val="22"/>
            <w:szCs w:val="22"/>
          </w:rPr>
          <w:t>Africa</w:t>
        </w:r>
      </w:smartTag>
      <w:r w:rsidRPr="000017FF">
        <w:rPr>
          <w:sz w:val="22"/>
          <w:szCs w:val="22"/>
        </w:rPr>
        <w:t xml:space="preserve">’s main trade-related challenges, highlighting the importance of agriculture for </w:t>
      </w:r>
      <w:r w:rsidR="000F4C18" w:rsidRPr="000017FF">
        <w:rPr>
          <w:sz w:val="22"/>
          <w:szCs w:val="22"/>
        </w:rPr>
        <w:t xml:space="preserve">its </w:t>
      </w:r>
      <w:r w:rsidRPr="000017FF">
        <w:rPr>
          <w:sz w:val="22"/>
          <w:szCs w:val="22"/>
        </w:rPr>
        <w:t>economies</w:t>
      </w:r>
      <w:r w:rsidR="000F4C18" w:rsidRPr="000017FF">
        <w:rPr>
          <w:sz w:val="22"/>
          <w:szCs w:val="22"/>
        </w:rPr>
        <w:t>.</w:t>
      </w:r>
      <w:r w:rsidRPr="000017FF">
        <w:rPr>
          <w:sz w:val="22"/>
          <w:szCs w:val="22"/>
        </w:rPr>
        <w:t xml:space="preserve"> </w:t>
      </w:r>
      <w:r w:rsidR="000F4C18" w:rsidRPr="000017FF">
        <w:rPr>
          <w:sz w:val="22"/>
          <w:szCs w:val="22"/>
        </w:rPr>
        <w:t>T</w:t>
      </w:r>
      <w:r w:rsidRPr="000017FF">
        <w:rPr>
          <w:sz w:val="22"/>
          <w:szCs w:val="22"/>
        </w:rPr>
        <w:t>he third section describes the methodology used for the analysis</w:t>
      </w:r>
      <w:r w:rsidR="000F4C18" w:rsidRPr="000017FF">
        <w:rPr>
          <w:sz w:val="22"/>
          <w:szCs w:val="22"/>
        </w:rPr>
        <w:t>.</w:t>
      </w:r>
      <w:r w:rsidRPr="000017FF">
        <w:rPr>
          <w:sz w:val="22"/>
          <w:szCs w:val="22"/>
        </w:rPr>
        <w:t xml:space="preserve"> </w:t>
      </w:r>
      <w:r w:rsidR="000F4C18" w:rsidRPr="000017FF">
        <w:rPr>
          <w:sz w:val="22"/>
          <w:szCs w:val="22"/>
        </w:rPr>
        <w:t>T</w:t>
      </w:r>
      <w:r w:rsidRPr="000017FF">
        <w:rPr>
          <w:sz w:val="22"/>
          <w:szCs w:val="22"/>
        </w:rPr>
        <w:t xml:space="preserve">he fourth section presents the main results from the </w:t>
      </w:r>
      <w:r w:rsidR="000F4C18" w:rsidRPr="000017FF">
        <w:rPr>
          <w:sz w:val="22"/>
          <w:szCs w:val="22"/>
        </w:rPr>
        <w:t>modelling</w:t>
      </w:r>
      <w:r w:rsidRPr="000017FF">
        <w:rPr>
          <w:sz w:val="22"/>
          <w:szCs w:val="22"/>
        </w:rPr>
        <w:t xml:space="preserve"> of FTA reforms</w:t>
      </w:r>
      <w:r w:rsidR="000F4C18" w:rsidRPr="000017FF">
        <w:rPr>
          <w:sz w:val="22"/>
          <w:szCs w:val="22"/>
        </w:rPr>
        <w:t>.</w:t>
      </w:r>
      <w:r w:rsidRPr="000017FF">
        <w:rPr>
          <w:sz w:val="22"/>
          <w:szCs w:val="22"/>
        </w:rPr>
        <w:t xml:space="preserve"> </w:t>
      </w:r>
      <w:r w:rsidR="000F4C18" w:rsidRPr="000017FF">
        <w:rPr>
          <w:sz w:val="22"/>
          <w:szCs w:val="22"/>
        </w:rPr>
        <w:t>T</w:t>
      </w:r>
      <w:r w:rsidRPr="000017FF">
        <w:rPr>
          <w:sz w:val="22"/>
          <w:szCs w:val="22"/>
        </w:rPr>
        <w:t xml:space="preserve">he </w:t>
      </w:r>
      <w:r w:rsidR="000F4C18" w:rsidRPr="000017FF">
        <w:rPr>
          <w:sz w:val="22"/>
          <w:szCs w:val="22"/>
        </w:rPr>
        <w:t xml:space="preserve">concluding </w:t>
      </w:r>
      <w:r w:rsidRPr="000017FF">
        <w:rPr>
          <w:sz w:val="22"/>
          <w:szCs w:val="22"/>
        </w:rPr>
        <w:t>section summariz</w:t>
      </w:r>
      <w:r w:rsidR="000F4C18" w:rsidRPr="000017FF">
        <w:rPr>
          <w:sz w:val="22"/>
          <w:szCs w:val="22"/>
        </w:rPr>
        <w:t>es</w:t>
      </w:r>
      <w:r w:rsidRPr="000017FF">
        <w:rPr>
          <w:sz w:val="22"/>
          <w:szCs w:val="22"/>
        </w:rPr>
        <w:t xml:space="preserve"> the findings and </w:t>
      </w:r>
      <w:r w:rsidR="000F4C18" w:rsidRPr="000017FF">
        <w:rPr>
          <w:sz w:val="22"/>
          <w:szCs w:val="22"/>
        </w:rPr>
        <w:t>offers</w:t>
      </w:r>
      <w:r w:rsidRPr="000017FF">
        <w:rPr>
          <w:sz w:val="22"/>
          <w:szCs w:val="22"/>
        </w:rPr>
        <w:t xml:space="preserve"> policy recommendations.</w:t>
      </w:r>
    </w:p>
    <w:p w:rsidR="00B16FBC" w:rsidRPr="00063255" w:rsidRDefault="00137139" w:rsidP="00063255">
      <w:pPr>
        <w:pStyle w:val="Heading1"/>
      </w:pPr>
      <w:r w:rsidRPr="00063255">
        <w:t>8.2</w:t>
      </w:r>
      <w:r w:rsidRPr="00063255">
        <w:tab/>
      </w:r>
      <w:r w:rsidR="000F39F1" w:rsidRPr="00063255">
        <w:t>Africa’s trade-related challenges and the importance of agriculture</w:t>
      </w:r>
    </w:p>
    <w:p w:rsidR="00FA56B5" w:rsidRPr="000017FF" w:rsidRDefault="003101D5" w:rsidP="006D5982">
      <w:pPr>
        <w:spacing w:line="360" w:lineRule="auto"/>
        <w:rPr>
          <w:sz w:val="22"/>
          <w:szCs w:val="22"/>
        </w:rPr>
      </w:pPr>
      <w:smartTag w:uri="urn:schemas-microsoft-com:office:smarttags" w:element="place">
        <w:r w:rsidRPr="000017FF">
          <w:rPr>
            <w:sz w:val="22"/>
            <w:szCs w:val="22"/>
          </w:rPr>
          <w:t>Africa</w:t>
        </w:r>
      </w:smartTag>
      <w:r w:rsidRPr="000017FF">
        <w:rPr>
          <w:sz w:val="22"/>
          <w:szCs w:val="22"/>
        </w:rPr>
        <w:t xml:space="preserve"> is facing a number of</w:t>
      </w:r>
      <w:r w:rsidR="00B67AAF" w:rsidRPr="000017FF">
        <w:rPr>
          <w:sz w:val="22"/>
          <w:szCs w:val="22"/>
        </w:rPr>
        <w:t xml:space="preserve"> trade-related challenges today.</w:t>
      </w:r>
      <w:r w:rsidR="00DC7255" w:rsidRPr="000017FF">
        <w:rPr>
          <w:sz w:val="22"/>
          <w:szCs w:val="22"/>
        </w:rPr>
        <w:t xml:space="preserve"> </w:t>
      </w:r>
      <w:smartTag w:uri="urn:schemas-microsoft-com:office:smarttags" w:element="place">
        <w:r w:rsidR="00DC7255" w:rsidRPr="000017FF">
          <w:rPr>
            <w:sz w:val="22"/>
            <w:szCs w:val="22"/>
          </w:rPr>
          <w:t>Africa</w:t>
        </w:r>
      </w:smartTag>
      <w:r w:rsidR="00DC7255" w:rsidRPr="000017FF">
        <w:rPr>
          <w:sz w:val="22"/>
          <w:szCs w:val="22"/>
        </w:rPr>
        <w:t xml:space="preserve">’s low share in world exports and </w:t>
      </w:r>
      <w:r w:rsidR="000F4C18" w:rsidRPr="000017FF">
        <w:rPr>
          <w:sz w:val="22"/>
          <w:szCs w:val="22"/>
        </w:rPr>
        <w:t xml:space="preserve">low </w:t>
      </w:r>
      <w:r w:rsidR="00DC7255" w:rsidRPr="000017FF">
        <w:rPr>
          <w:sz w:val="22"/>
          <w:szCs w:val="22"/>
        </w:rPr>
        <w:t xml:space="preserve">intra-African trade, </w:t>
      </w:r>
      <w:r w:rsidR="0015562C" w:rsidRPr="000017FF">
        <w:rPr>
          <w:sz w:val="22"/>
          <w:szCs w:val="22"/>
        </w:rPr>
        <w:t xml:space="preserve">lack of </w:t>
      </w:r>
      <w:r w:rsidR="00DC7255" w:rsidRPr="000017FF">
        <w:rPr>
          <w:sz w:val="22"/>
          <w:szCs w:val="22"/>
        </w:rPr>
        <w:t>export diversification</w:t>
      </w:r>
      <w:r w:rsidR="000F4C18" w:rsidRPr="000017FF">
        <w:rPr>
          <w:sz w:val="22"/>
          <w:szCs w:val="22"/>
        </w:rPr>
        <w:t>,</w:t>
      </w:r>
      <w:r w:rsidR="00DC7255" w:rsidRPr="000017FF">
        <w:rPr>
          <w:sz w:val="22"/>
          <w:szCs w:val="22"/>
        </w:rPr>
        <w:t xml:space="preserve"> and tariff and non-tariff barriers are briefly </w:t>
      </w:r>
      <w:r w:rsidR="00C53847" w:rsidRPr="000017FF">
        <w:rPr>
          <w:sz w:val="22"/>
          <w:szCs w:val="22"/>
        </w:rPr>
        <w:t xml:space="preserve">discussed </w:t>
      </w:r>
      <w:r w:rsidR="00DC7255" w:rsidRPr="000017FF">
        <w:rPr>
          <w:sz w:val="22"/>
          <w:szCs w:val="22"/>
        </w:rPr>
        <w:t>below.</w:t>
      </w:r>
      <w:r w:rsidR="00C53847" w:rsidRPr="000017FF">
        <w:rPr>
          <w:sz w:val="22"/>
          <w:szCs w:val="22"/>
        </w:rPr>
        <w:t xml:space="preserve"> Other challenges such as poor </w:t>
      </w:r>
      <w:r w:rsidR="00C53847" w:rsidRPr="000017FF">
        <w:rPr>
          <w:sz w:val="22"/>
          <w:szCs w:val="22"/>
        </w:rPr>
        <w:lastRenderedPageBreak/>
        <w:t>infrastructure and supply</w:t>
      </w:r>
      <w:r w:rsidR="00063255" w:rsidRPr="000017FF">
        <w:rPr>
          <w:sz w:val="22"/>
          <w:szCs w:val="22"/>
        </w:rPr>
        <w:t>-</w:t>
      </w:r>
      <w:r w:rsidR="00C53847" w:rsidRPr="000017FF">
        <w:rPr>
          <w:sz w:val="22"/>
          <w:szCs w:val="22"/>
        </w:rPr>
        <w:t xml:space="preserve">side constraints are important and have been the focus </w:t>
      </w:r>
      <w:r w:rsidR="00FB1D79">
        <w:rPr>
          <w:sz w:val="22"/>
          <w:szCs w:val="22"/>
        </w:rPr>
        <w:t>of</w:t>
      </w:r>
      <w:r w:rsidR="00C53847" w:rsidRPr="000017FF">
        <w:rPr>
          <w:sz w:val="22"/>
          <w:szCs w:val="22"/>
        </w:rPr>
        <w:t xml:space="preserve"> other publications, for example, </w:t>
      </w:r>
      <w:r w:rsidR="006931DC" w:rsidRPr="000017FF">
        <w:rPr>
          <w:sz w:val="22"/>
          <w:szCs w:val="22"/>
        </w:rPr>
        <w:t xml:space="preserve">UNCTAD </w:t>
      </w:r>
      <w:r w:rsidR="001227E8" w:rsidRPr="000017FF">
        <w:rPr>
          <w:sz w:val="22"/>
          <w:szCs w:val="22"/>
        </w:rPr>
        <w:t>(</w:t>
      </w:r>
      <w:r w:rsidR="006931DC" w:rsidRPr="000017FF">
        <w:rPr>
          <w:sz w:val="22"/>
          <w:szCs w:val="22"/>
        </w:rPr>
        <w:t>2006</w:t>
      </w:r>
      <w:r w:rsidR="001227E8" w:rsidRPr="000017FF">
        <w:rPr>
          <w:sz w:val="22"/>
          <w:szCs w:val="22"/>
        </w:rPr>
        <w:t>)</w:t>
      </w:r>
      <w:r w:rsidR="006931DC" w:rsidRPr="000017FF">
        <w:rPr>
          <w:sz w:val="22"/>
          <w:szCs w:val="22"/>
        </w:rPr>
        <w:t xml:space="preserve"> and </w:t>
      </w:r>
      <w:r w:rsidR="00C53847" w:rsidRPr="000017FF">
        <w:rPr>
          <w:sz w:val="22"/>
          <w:szCs w:val="22"/>
        </w:rPr>
        <w:t xml:space="preserve">UNCTAD </w:t>
      </w:r>
      <w:r w:rsidR="001227E8" w:rsidRPr="000017FF">
        <w:rPr>
          <w:sz w:val="22"/>
          <w:szCs w:val="22"/>
        </w:rPr>
        <w:t>(</w:t>
      </w:r>
      <w:r w:rsidR="00C53847" w:rsidRPr="000017FF">
        <w:rPr>
          <w:sz w:val="22"/>
          <w:szCs w:val="22"/>
        </w:rPr>
        <w:t>2009</w:t>
      </w:r>
      <w:r w:rsidR="001227E8" w:rsidRPr="000017FF">
        <w:rPr>
          <w:sz w:val="22"/>
          <w:szCs w:val="22"/>
        </w:rPr>
        <w:t>)</w:t>
      </w:r>
      <w:r w:rsidR="00C53847" w:rsidRPr="000017FF">
        <w:rPr>
          <w:sz w:val="22"/>
          <w:szCs w:val="22"/>
        </w:rPr>
        <w:t xml:space="preserve">. </w:t>
      </w:r>
    </w:p>
    <w:p w:rsidR="005B6C0E" w:rsidRPr="000F4C18" w:rsidRDefault="00137139" w:rsidP="006D5982">
      <w:pPr>
        <w:pStyle w:val="Heading2"/>
        <w:spacing w:line="360" w:lineRule="auto"/>
      </w:pPr>
      <w:bookmarkStart w:id="0" w:name="OLE_LINK4"/>
      <w:bookmarkStart w:id="1" w:name="OLE_LINK5"/>
      <w:r w:rsidRPr="000F4C18">
        <w:t>8.2.</w:t>
      </w:r>
      <w:r w:rsidR="005B7A53" w:rsidRPr="000F4C18">
        <w:t>1</w:t>
      </w:r>
      <w:r w:rsidRPr="000F4C18">
        <w:tab/>
      </w:r>
      <w:r w:rsidR="006C51E8" w:rsidRPr="000F4C18">
        <w:t>S</w:t>
      </w:r>
      <w:r w:rsidR="005B6C0E" w:rsidRPr="000F4C18">
        <w:t>hare of African exports in total world exports</w:t>
      </w:r>
    </w:p>
    <w:bookmarkEnd w:id="0"/>
    <w:bookmarkEnd w:id="1"/>
    <w:p w:rsidR="00EC2B51" w:rsidRPr="000017FF" w:rsidRDefault="005B6C0E" w:rsidP="006D5982">
      <w:pPr>
        <w:spacing w:line="360" w:lineRule="auto"/>
        <w:rPr>
          <w:sz w:val="22"/>
          <w:szCs w:val="22"/>
        </w:rPr>
      </w:pPr>
      <w:r w:rsidRPr="000017FF">
        <w:rPr>
          <w:sz w:val="22"/>
          <w:szCs w:val="22"/>
        </w:rPr>
        <w:t>The</w:t>
      </w:r>
      <w:r w:rsidR="003101D5" w:rsidRPr="000017FF">
        <w:rPr>
          <w:sz w:val="22"/>
          <w:szCs w:val="22"/>
        </w:rPr>
        <w:t xml:space="preserve"> share of </w:t>
      </w:r>
      <w:smartTag w:uri="urn:schemas-microsoft-com:office:smarttags" w:element="place">
        <w:r w:rsidR="003101D5" w:rsidRPr="000017FF">
          <w:rPr>
            <w:sz w:val="22"/>
            <w:szCs w:val="22"/>
          </w:rPr>
          <w:t>Africa</w:t>
        </w:r>
      </w:smartTag>
      <w:r w:rsidR="003101D5" w:rsidRPr="000017FF">
        <w:rPr>
          <w:sz w:val="22"/>
          <w:szCs w:val="22"/>
        </w:rPr>
        <w:t xml:space="preserve">’s exports in total world exports </w:t>
      </w:r>
      <w:r w:rsidR="004B62EF" w:rsidRPr="000017FF">
        <w:rPr>
          <w:sz w:val="22"/>
          <w:szCs w:val="22"/>
        </w:rPr>
        <w:t>is only</w:t>
      </w:r>
      <w:r w:rsidR="003101D5" w:rsidRPr="000017FF">
        <w:rPr>
          <w:sz w:val="22"/>
          <w:szCs w:val="22"/>
        </w:rPr>
        <w:t xml:space="preserve"> </w:t>
      </w:r>
      <w:r w:rsidR="004B62EF" w:rsidRPr="000017FF">
        <w:rPr>
          <w:sz w:val="22"/>
          <w:szCs w:val="22"/>
        </w:rPr>
        <w:t xml:space="preserve">about </w:t>
      </w:r>
      <w:r w:rsidR="00884E97" w:rsidRPr="000017FF">
        <w:rPr>
          <w:sz w:val="22"/>
          <w:szCs w:val="22"/>
        </w:rPr>
        <w:t>4</w:t>
      </w:r>
      <w:r w:rsidR="000F4C18" w:rsidRPr="000017FF">
        <w:rPr>
          <w:sz w:val="22"/>
          <w:szCs w:val="22"/>
        </w:rPr>
        <w:t xml:space="preserve"> per cent</w:t>
      </w:r>
      <w:r w:rsidR="004B62EF" w:rsidRPr="000017FF">
        <w:rPr>
          <w:sz w:val="22"/>
          <w:szCs w:val="22"/>
        </w:rPr>
        <w:t xml:space="preserve">. </w:t>
      </w:r>
      <w:r w:rsidR="004B52C5">
        <w:rPr>
          <w:sz w:val="22"/>
          <w:szCs w:val="22"/>
        </w:rPr>
        <w:t>I</w:t>
      </w:r>
      <w:r w:rsidR="005B12FB" w:rsidRPr="000017FF">
        <w:rPr>
          <w:sz w:val="22"/>
          <w:szCs w:val="22"/>
        </w:rPr>
        <w:t xml:space="preserve">n terms of </w:t>
      </w:r>
      <w:r w:rsidR="00133F63" w:rsidRPr="000017FF">
        <w:rPr>
          <w:sz w:val="22"/>
          <w:szCs w:val="22"/>
        </w:rPr>
        <w:t xml:space="preserve">strictly </w:t>
      </w:r>
      <w:r w:rsidR="004A2484" w:rsidRPr="000017FF">
        <w:rPr>
          <w:sz w:val="22"/>
          <w:szCs w:val="22"/>
        </w:rPr>
        <w:t>primary products</w:t>
      </w:r>
      <w:r w:rsidR="00473FD6" w:rsidRPr="000017FF">
        <w:rPr>
          <w:sz w:val="22"/>
          <w:szCs w:val="22"/>
        </w:rPr>
        <w:t xml:space="preserve"> (i.e. </w:t>
      </w:r>
      <w:r w:rsidR="0086622F" w:rsidRPr="000017FF">
        <w:rPr>
          <w:sz w:val="22"/>
          <w:szCs w:val="22"/>
        </w:rPr>
        <w:t>c</w:t>
      </w:r>
      <w:r w:rsidR="00473FD6" w:rsidRPr="000017FF">
        <w:rPr>
          <w:sz w:val="22"/>
          <w:szCs w:val="22"/>
        </w:rPr>
        <w:t>oal, oil, gas</w:t>
      </w:r>
      <w:r w:rsidR="000F4C18" w:rsidRPr="000017FF">
        <w:rPr>
          <w:sz w:val="22"/>
          <w:szCs w:val="22"/>
        </w:rPr>
        <w:t>,</w:t>
      </w:r>
      <w:r w:rsidR="00473FD6" w:rsidRPr="000017FF">
        <w:rPr>
          <w:sz w:val="22"/>
          <w:szCs w:val="22"/>
        </w:rPr>
        <w:t xml:space="preserve"> and minerals)</w:t>
      </w:r>
      <w:r w:rsidR="004A2484" w:rsidRPr="000017FF">
        <w:rPr>
          <w:sz w:val="22"/>
          <w:szCs w:val="22"/>
        </w:rPr>
        <w:t xml:space="preserve">, </w:t>
      </w:r>
      <w:r w:rsidR="004B52C5">
        <w:rPr>
          <w:sz w:val="22"/>
          <w:szCs w:val="22"/>
        </w:rPr>
        <w:t xml:space="preserve">however, </w:t>
      </w:r>
      <w:smartTag w:uri="urn:schemas-microsoft-com:office:smarttags" w:element="place">
        <w:r w:rsidR="004A2484" w:rsidRPr="000017FF">
          <w:rPr>
            <w:sz w:val="22"/>
            <w:szCs w:val="22"/>
          </w:rPr>
          <w:t>Africa</w:t>
        </w:r>
      </w:smartTag>
      <w:r w:rsidR="008365BD" w:rsidRPr="000017FF">
        <w:rPr>
          <w:sz w:val="22"/>
          <w:szCs w:val="22"/>
        </w:rPr>
        <w:t>’s share is</w:t>
      </w:r>
      <w:r w:rsidR="004A2484" w:rsidRPr="000017FF">
        <w:rPr>
          <w:sz w:val="22"/>
          <w:szCs w:val="22"/>
        </w:rPr>
        <w:t xml:space="preserve"> significantly higher</w:t>
      </w:r>
      <w:r w:rsidR="000F4C18" w:rsidRPr="000017FF">
        <w:rPr>
          <w:sz w:val="22"/>
          <w:szCs w:val="22"/>
        </w:rPr>
        <w:t>,</w:t>
      </w:r>
      <w:r w:rsidR="004A2484" w:rsidRPr="000017FF">
        <w:rPr>
          <w:sz w:val="22"/>
          <w:szCs w:val="22"/>
        </w:rPr>
        <w:t xml:space="preserve"> </w:t>
      </w:r>
      <w:r w:rsidR="008365BD" w:rsidRPr="000017FF">
        <w:rPr>
          <w:sz w:val="22"/>
          <w:szCs w:val="22"/>
        </w:rPr>
        <w:t xml:space="preserve">at </w:t>
      </w:r>
      <w:r w:rsidR="00884E97" w:rsidRPr="000017FF">
        <w:rPr>
          <w:sz w:val="22"/>
          <w:szCs w:val="22"/>
        </w:rPr>
        <w:t>1</w:t>
      </w:r>
      <w:r w:rsidR="004242B0" w:rsidRPr="000017FF">
        <w:rPr>
          <w:sz w:val="22"/>
          <w:szCs w:val="22"/>
        </w:rPr>
        <w:t>6.7</w:t>
      </w:r>
      <w:r w:rsidR="000F4C18" w:rsidRPr="000017FF">
        <w:rPr>
          <w:sz w:val="22"/>
          <w:szCs w:val="22"/>
        </w:rPr>
        <w:t xml:space="preserve"> per cent</w:t>
      </w:r>
      <w:r w:rsidR="004A2484" w:rsidRPr="000017FF">
        <w:rPr>
          <w:sz w:val="22"/>
          <w:szCs w:val="22"/>
        </w:rPr>
        <w:t xml:space="preserve">. </w:t>
      </w:r>
      <w:r w:rsidR="000F4C18" w:rsidRPr="000017FF">
        <w:rPr>
          <w:sz w:val="22"/>
          <w:szCs w:val="22"/>
        </w:rPr>
        <w:t xml:space="preserve">The figure for </w:t>
      </w:r>
      <w:r w:rsidR="004B62EF" w:rsidRPr="000017FF">
        <w:rPr>
          <w:sz w:val="22"/>
          <w:szCs w:val="22"/>
        </w:rPr>
        <w:t xml:space="preserve">agricultural </w:t>
      </w:r>
      <w:r w:rsidR="0088273C" w:rsidRPr="000017FF">
        <w:rPr>
          <w:sz w:val="22"/>
          <w:szCs w:val="22"/>
        </w:rPr>
        <w:t xml:space="preserve">and food </w:t>
      </w:r>
      <w:r w:rsidR="004B62EF" w:rsidRPr="000017FF">
        <w:rPr>
          <w:sz w:val="22"/>
          <w:szCs w:val="22"/>
        </w:rPr>
        <w:t>exports</w:t>
      </w:r>
      <w:r w:rsidR="000F4C18" w:rsidRPr="000017FF">
        <w:rPr>
          <w:sz w:val="22"/>
          <w:szCs w:val="22"/>
        </w:rPr>
        <w:t xml:space="preserve"> alone</w:t>
      </w:r>
      <w:r w:rsidR="004B62EF" w:rsidRPr="000017FF">
        <w:rPr>
          <w:sz w:val="22"/>
          <w:szCs w:val="22"/>
        </w:rPr>
        <w:t xml:space="preserve"> </w:t>
      </w:r>
      <w:r w:rsidR="008365BD" w:rsidRPr="000017FF">
        <w:rPr>
          <w:sz w:val="22"/>
          <w:szCs w:val="22"/>
        </w:rPr>
        <w:t>is</w:t>
      </w:r>
      <w:r w:rsidR="005B12FB" w:rsidRPr="000017FF">
        <w:rPr>
          <w:sz w:val="22"/>
          <w:szCs w:val="22"/>
        </w:rPr>
        <w:t xml:space="preserve"> </w:t>
      </w:r>
      <w:r w:rsidR="00884E97" w:rsidRPr="000017FF">
        <w:rPr>
          <w:sz w:val="22"/>
          <w:szCs w:val="22"/>
        </w:rPr>
        <w:t>7.1</w:t>
      </w:r>
      <w:r w:rsidR="000F4C18" w:rsidRPr="000017FF">
        <w:rPr>
          <w:sz w:val="22"/>
          <w:szCs w:val="22"/>
        </w:rPr>
        <w:t xml:space="preserve"> per cent</w:t>
      </w:r>
      <w:r w:rsidR="009A0C1E" w:rsidRPr="000017FF">
        <w:rPr>
          <w:sz w:val="22"/>
          <w:szCs w:val="22"/>
        </w:rPr>
        <w:t xml:space="preserve"> (</w:t>
      </w:r>
      <w:r w:rsidR="00B03E3F" w:rsidRPr="000017FF">
        <w:rPr>
          <w:sz w:val="22"/>
          <w:szCs w:val="22"/>
        </w:rPr>
        <w:t>table</w:t>
      </w:r>
      <w:r w:rsidR="009A0C1E" w:rsidRPr="000017FF">
        <w:rPr>
          <w:sz w:val="22"/>
          <w:szCs w:val="22"/>
        </w:rPr>
        <w:t xml:space="preserve"> </w:t>
      </w:r>
      <w:r w:rsidR="00847719" w:rsidRPr="000017FF">
        <w:rPr>
          <w:sz w:val="22"/>
          <w:szCs w:val="22"/>
        </w:rPr>
        <w:t>8.</w:t>
      </w:r>
      <w:r w:rsidR="009A0C1E" w:rsidRPr="000017FF">
        <w:rPr>
          <w:sz w:val="22"/>
          <w:szCs w:val="22"/>
        </w:rPr>
        <w:t>1)</w:t>
      </w:r>
      <w:r w:rsidR="004B62EF" w:rsidRPr="000017FF">
        <w:rPr>
          <w:sz w:val="22"/>
          <w:szCs w:val="22"/>
        </w:rPr>
        <w:t>.</w:t>
      </w:r>
      <w:r w:rsidR="001C7D3F" w:rsidRPr="000017FF">
        <w:rPr>
          <w:sz w:val="22"/>
          <w:szCs w:val="22"/>
        </w:rPr>
        <w:t xml:space="preserve"> This indicate</w:t>
      </w:r>
      <w:r w:rsidR="005B12FB" w:rsidRPr="000017FF">
        <w:rPr>
          <w:sz w:val="22"/>
          <w:szCs w:val="22"/>
        </w:rPr>
        <w:t>s</w:t>
      </w:r>
      <w:r w:rsidR="001C7D3F" w:rsidRPr="000017FF">
        <w:rPr>
          <w:sz w:val="22"/>
          <w:szCs w:val="22"/>
        </w:rPr>
        <w:t xml:space="preserve"> that </w:t>
      </w:r>
      <w:smartTag w:uri="urn:schemas-microsoft-com:office:smarttags" w:element="place">
        <w:r w:rsidR="001C7D3F" w:rsidRPr="000017FF">
          <w:rPr>
            <w:sz w:val="22"/>
            <w:szCs w:val="22"/>
          </w:rPr>
          <w:t>Africa</w:t>
        </w:r>
      </w:smartTag>
      <w:r w:rsidR="001C7D3F" w:rsidRPr="000017FF">
        <w:rPr>
          <w:sz w:val="22"/>
          <w:szCs w:val="22"/>
        </w:rPr>
        <w:t xml:space="preserve"> perform</w:t>
      </w:r>
      <w:r w:rsidR="005B12FB" w:rsidRPr="000017FF">
        <w:rPr>
          <w:sz w:val="22"/>
          <w:szCs w:val="22"/>
        </w:rPr>
        <w:t>s</w:t>
      </w:r>
      <w:r w:rsidR="008365BD" w:rsidRPr="000017FF">
        <w:rPr>
          <w:sz w:val="22"/>
          <w:szCs w:val="22"/>
        </w:rPr>
        <w:t xml:space="preserve"> </w:t>
      </w:r>
      <w:r w:rsidR="001C7D3F" w:rsidRPr="000017FF">
        <w:rPr>
          <w:sz w:val="22"/>
          <w:szCs w:val="22"/>
        </w:rPr>
        <w:t xml:space="preserve">better </w:t>
      </w:r>
      <w:r w:rsidR="005B12FB" w:rsidRPr="000017FF">
        <w:rPr>
          <w:sz w:val="22"/>
          <w:szCs w:val="22"/>
        </w:rPr>
        <w:t xml:space="preserve">in </w:t>
      </w:r>
      <w:r w:rsidR="001C7D3F" w:rsidRPr="000017FF">
        <w:rPr>
          <w:sz w:val="22"/>
          <w:szCs w:val="22"/>
        </w:rPr>
        <w:t xml:space="preserve">exporting </w:t>
      </w:r>
      <w:r w:rsidR="009B1CCE" w:rsidRPr="000017FF">
        <w:rPr>
          <w:sz w:val="22"/>
          <w:szCs w:val="22"/>
        </w:rPr>
        <w:t>primary</w:t>
      </w:r>
      <w:r w:rsidR="001F2B50" w:rsidRPr="000017FF">
        <w:rPr>
          <w:sz w:val="22"/>
          <w:szCs w:val="22"/>
        </w:rPr>
        <w:t xml:space="preserve">, </w:t>
      </w:r>
      <w:r w:rsidR="001C7D3F" w:rsidRPr="000017FF">
        <w:rPr>
          <w:sz w:val="22"/>
          <w:szCs w:val="22"/>
        </w:rPr>
        <w:t>agricultural</w:t>
      </w:r>
      <w:r w:rsidR="00AA5626" w:rsidRPr="000017FF">
        <w:rPr>
          <w:sz w:val="22"/>
          <w:szCs w:val="22"/>
        </w:rPr>
        <w:t>,</w:t>
      </w:r>
      <w:r w:rsidR="001C7D3F" w:rsidRPr="000017FF">
        <w:rPr>
          <w:sz w:val="22"/>
          <w:szCs w:val="22"/>
        </w:rPr>
        <w:t xml:space="preserve"> and food products than </w:t>
      </w:r>
      <w:r w:rsidR="002A3FE9" w:rsidRPr="000017FF">
        <w:rPr>
          <w:sz w:val="22"/>
          <w:szCs w:val="22"/>
        </w:rPr>
        <w:t xml:space="preserve">it does </w:t>
      </w:r>
      <w:r w:rsidR="001F2B50" w:rsidRPr="000017FF">
        <w:rPr>
          <w:sz w:val="22"/>
          <w:szCs w:val="22"/>
        </w:rPr>
        <w:t xml:space="preserve">for categories of </w:t>
      </w:r>
      <w:r w:rsidR="0015562C" w:rsidRPr="000017FF">
        <w:rPr>
          <w:sz w:val="22"/>
          <w:szCs w:val="22"/>
        </w:rPr>
        <w:t xml:space="preserve">industrial </w:t>
      </w:r>
      <w:r w:rsidR="001F2B50" w:rsidRPr="000017FF">
        <w:rPr>
          <w:sz w:val="22"/>
          <w:szCs w:val="22"/>
        </w:rPr>
        <w:t>products</w:t>
      </w:r>
      <w:r w:rsidR="00AA5626" w:rsidRPr="000017FF">
        <w:rPr>
          <w:sz w:val="22"/>
          <w:szCs w:val="22"/>
        </w:rPr>
        <w:t>.</w:t>
      </w:r>
      <w:r w:rsidR="00473FD6" w:rsidRPr="000017FF">
        <w:rPr>
          <w:sz w:val="22"/>
          <w:szCs w:val="22"/>
        </w:rPr>
        <w:t xml:space="preserve"> (</w:t>
      </w:r>
      <w:r w:rsidR="00AA5626" w:rsidRPr="000017FF">
        <w:rPr>
          <w:sz w:val="22"/>
          <w:szCs w:val="22"/>
        </w:rPr>
        <w:t>S</w:t>
      </w:r>
      <w:r w:rsidR="00473FD6" w:rsidRPr="000017FF">
        <w:rPr>
          <w:sz w:val="22"/>
          <w:szCs w:val="22"/>
        </w:rPr>
        <w:t xml:space="preserve">ee </w:t>
      </w:r>
      <w:r w:rsidR="00B03E3F" w:rsidRPr="000017FF">
        <w:rPr>
          <w:sz w:val="22"/>
          <w:szCs w:val="22"/>
        </w:rPr>
        <w:t>table</w:t>
      </w:r>
      <w:r w:rsidR="00473FD6" w:rsidRPr="000017FF">
        <w:rPr>
          <w:sz w:val="22"/>
          <w:szCs w:val="22"/>
        </w:rPr>
        <w:t xml:space="preserve"> </w:t>
      </w:r>
      <w:r w:rsidR="008E578D" w:rsidRPr="000017FF">
        <w:rPr>
          <w:sz w:val="22"/>
          <w:szCs w:val="22"/>
        </w:rPr>
        <w:t>8.</w:t>
      </w:r>
      <w:r w:rsidR="00473FD6" w:rsidRPr="000017FF">
        <w:rPr>
          <w:sz w:val="22"/>
          <w:szCs w:val="22"/>
        </w:rPr>
        <w:t xml:space="preserve">8 and </w:t>
      </w:r>
      <w:r w:rsidR="00B03E3F" w:rsidRPr="000017FF">
        <w:rPr>
          <w:sz w:val="22"/>
          <w:szCs w:val="22"/>
        </w:rPr>
        <w:t>annex</w:t>
      </w:r>
      <w:r w:rsidR="00473FD6" w:rsidRPr="000017FF">
        <w:rPr>
          <w:sz w:val="22"/>
          <w:szCs w:val="22"/>
        </w:rPr>
        <w:t xml:space="preserve"> </w:t>
      </w:r>
      <w:r w:rsidR="00D546AF">
        <w:rPr>
          <w:sz w:val="22"/>
          <w:szCs w:val="22"/>
        </w:rPr>
        <w:t>table A</w:t>
      </w:r>
      <w:r w:rsidR="008E578D" w:rsidRPr="000017FF">
        <w:rPr>
          <w:sz w:val="22"/>
          <w:szCs w:val="22"/>
        </w:rPr>
        <w:t>8.</w:t>
      </w:r>
      <w:r w:rsidR="00473FD6" w:rsidRPr="000017FF">
        <w:rPr>
          <w:sz w:val="22"/>
          <w:szCs w:val="22"/>
        </w:rPr>
        <w:t>5 for detailed product classification</w:t>
      </w:r>
      <w:r w:rsidR="00AA5626" w:rsidRPr="000017FF">
        <w:rPr>
          <w:sz w:val="22"/>
          <w:szCs w:val="22"/>
        </w:rPr>
        <w:t>.</w:t>
      </w:r>
      <w:r w:rsidR="00473FD6" w:rsidRPr="000017FF">
        <w:rPr>
          <w:sz w:val="22"/>
          <w:szCs w:val="22"/>
        </w:rPr>
        <w:t>)</w:t>
      </w:r>
    </w:p>
    <w:p w:rsidR="009B60C2" w:rsidRPr="000017FF" w:rsidRDefault="009B60C2" w:rsidP="009C49DE">
      <w:pPr>
        <w:pStyle w:val="Tableheading"/>
      </w:pPr>
      <w:r w:rsidRPr="000017FF">
        <w:t xml:space="preserve">Table </w:t>
      </w:r>
      <w:r w:rsidR="006436C9" w:rsidRPr="000017FF">
        <w:t>8.</w:t>
      </w:r>
      <w:r w:rsidRPr="000017FF">
        <w:t xml:space="preserve">1: </w:t>
      </w:r>
      <w:r w:rsidR="00AA5626" w:rsidRPr="000017FF">
        <w:tab/>
      </w:r>
      <w:r w:rsidR="00D811EA">
        <w:t>Percentage s</w:t>
      </w:r>
      <w:r w:rsidRPr="000017FF">
        <w:t xml:space="preserve">hare of Africa’s exports in total world exports </w:t>
      </w:r>
      <w:r w:rsidR="00B43AF3" w:rsidRPr="000017FF">
        <w:t>by main sectors</w:t>
      </w:r>
      <w:r w:rsidR="005A3F3D" w:rsidRPr="000017FF">
        <w:t>,</w:t>
      </w:r>
      <w:r w:rsidR="00E00F3B" w:rsidRPr="000017FF">
        <w:t xml:space="preserve"> 2010</w:t>
      </w:r>
    </w:p>
    <w:p w:rsidR="009B60C2" w:rsidRPr="0061584B" w:rsidRDefault="00F45F52" w:rsidP="00F45F52">
      <w:pPr>
        <w:spacing w:line="360" w:lineRule="auto"/>
        <w:ind w:firstLine="0"/>
        <w:jc w:val="center"/>
      </w:pPr>
      <w:r w:rsidRPr="00F45F52">
        <w:pict>
          <v:shape id="_x0000_i1025" type="#_x0000_t75" style="width:398.25pt;height:51.75pt">
            <v:imagedata r:id="rId7" o:title=""/>
          </v:shape>
        </w:pict>
      </w:r>
    </w:p>
    <w:p w:rsidR="00E00F3B" w:rsidRPr="004B52C5" w:rsidRDefault="00E00F3B" w:rsidP="006D5982">
      <w:pPr>
        <w:pStyle w:val="Source"/>
        <w:spacing w:line="360" w:lineRule="auto"/>
        <w:rPr>
          <w:sz w:val="20"/>
          <w:szCs w:val="20"/>
        </w:rPr>
      </w:pPr>
      <w:r w:rsidRPr="004B52C5">
        <w:rPr>
          <w:sz w:val="20"/>
          <w:szCs w:val="20"/>
        </w:rPr>
        <w:t>Source: Authors’ calculations based on MIRAGE model</w:t>
      </w:r>
      <w:r w:rsidR="0086622F" w:rsidRPr="004B52C5">
        <w:rPr>
          <w:sz w:val="20"/>
          <w:szCs w:val="20"/>
        </w:rPr>
        <w:t xml:space="preserve"> (section </w:t>
      </w:r>
      <w:r w:rsidR="00BA5586" w:rsidRPr="004B52C5">
        <w:rPr>
          <w:sz w:val="20"/>
          <w:szCs w:val="20"/>
        </w:rPr>
        <w:t>8.3</w:t>
      </w:r>
      <w:r w:rsidR="001970B4" w:rsidRPr="004B52C5">
        <w:rPr>
          <w:sz w:val="20"/>
          <w:szCs w:val="20"/>
        </w:rPr>
        <w:t xml:space="preserve"> and </w:t>
      </w:r>
      <w:r w:rsidR="00B03E3F" w:rsidRPr="004B52C5">
        <w:rPr>
          <w:sz w:val="20"/>
          <w:szCs w:val="20"/>
        </w:rPr>
        <w:t>annex</w:t>
      </w:r>
      <w:r w:rsidR="00D546AF">
        <w:rPr>
          <w:sz w:val="20"/>
          <w:szCs w:val="20"/>
        </w:rPr>
        <w:t xml:space="preserve"> </w:t>
      </w:r>
      <w:r w:rsidR="008E578D" w:rsidRPr="004B52C5">
        <w:rPr>
          <w:sz w:val="20"/>
          <w:szCs w:val="20"/>
        </w:rPr>
        <w:t>8.</w:t>
      </w:r>
      <w:r w:rsidR="001970B4" w:rsidRPr="004B52C5">
        <w:rPr>
          <w:sz w:val="20"/>
          <w:szCs w:val="20"/>
        </w:rPr>
        <w:t>3</w:t>
      </w:r>
      <w:r w:rsidR="0086622F" w:rsidRPr="004B52C5">
        <w:rPr>
          <w:sz w:val="20"/>
          <w:szCs w:val="20"/>
        </w:rPr>
        <w:t>)</w:t>
      </w:r>
      <w:r w:rsidR="00334680" w:rsidRPr="004B52C5">
        <w:rPr>
          <w:sz w:val="20"/>
          <w:szCs w:val="20"/>
        </w:rPr>
        <w:t>.</w:t>
      </w:r>
    </w:p>
    <w:p w:rsidR="008365BD" w:rsidRPr="0061584B" w:rsidRDefault="005B7A53" w:rsidP="006D5982">
      <w:pPr>
        <w:pStyle w:val="Heading2"/>
        <w:spacing w:line="360" w:lineRule="auto"/>
      </w:pPr>
      <w:r w:rsidRPr="0061584B">
        <w:t>8.2.2</w:t>
      </w:r>
      <w:r w:rsidRPr="0061584B">
        <w:tab/>
      </w:r>
      <w:r w:rsidR="006C51E8" w:rsidRPr="0061584B">
        <w:t>S</w:t>
      </w:r>
      <w:r w:rsidR="008365BD" w:rsidRPr="0061584B">
        <w:t>hare of intra-African trade</w:t>
      </w:r>
    </w:p>
    <w:p w:rsidR="00B1694F" w:rsidRPr="000017FF" w:rsidRDefault="007D6850" w:rsidP="006D5982">
      <w:pPr>
        <w:spacing w:line="360" w:lineRule="auto"/>
        <w:rPr>
          <w:sz w:val="22"/>
          <w:szCs w:val="22"/>
        </w:rPr>
      </w:pPr>
      <w:r w:rsidRPr="000017FF">
        <w:rPr>
          <w:sz w:val="22"/>
          <w:szCs w:val="22"/>
        </w:rPr>
        <w:t xml:space="preserve">Essentially, </w:t>
      </w:r>
      <w:r w:rsidR="0088273C" w:rsidRPr="000017FF">
        <w:rPr>
          <w:sz w:val="22"/>
          <w:szCs w:val="22"/>
        </w:rPr>
        <w:t xml:space="preserve">African exports are directed </w:t>
      </w:r>
      <w:r w:rsidR="008365BD" w:rsidRPr="000017FF">
        <w:rPr>
          <w:sz w:val="22"/>
          <w:szCs w:val="22"/>
        </w:rPr>
        <w:t xml:space="preserve">outside </w:t>
      </w:r>
      <w:r w:rsidR="001F2B50" w:rsidRPr="000017FF">
        <w:rPr>
          <w:sz w:val="22"/>
          <w:szCs w:val="22"/>
        </w:rPr>
        <w:t>the continent</w:t>
      </w:r>
      <w:r w:rsidR="0088273C" w:rsidRPr="000017FF">
        <w:rPr>
          <w:sz w:val="22"/>
          <w:szCs w:val="22"/>
        </w:rPr>
        <w:t xml:space="preserve">. </w:t>
      </w:r>
      <w:r w:rsidR="00D15619" w:rsidRPr="000017FF">
        <w:rPr>
          <w:sz w:val="22"/>
          <w:szCs w:val="22"/>
        </w:rPr>
        <w:t>T</w:t>
      </w:r>
      <w:r w:rsidR="001F2B50" w:rsidRPr="000017FF">
        <w:rPr>
          <w:sz w:val="22"/>
          <w:szCs w:val="22"/>
        </w:rPr>
        <w:t xml:space="preserve">he share of </w:t>
      </w:r>
      <w:r w:rsidR="00D15619" w:rsidRPr="000017FF">
        <w:rPr>
          <w:sz w:val="22"/>
          <w:szCs w:val="22"/>
        </w:rPr>
        <w:t xml:space="preserve">trade that is </w:t>
      </w:r>
      <w:r w:rsidR="004B62EF" w:rsidRPr="000017FF">
        <w:rPr>
          <w:sz w:val="22"/>
          <w:szCs w:val="22"/>
        </w:rPr>
        <w:t>intra-African is very low</w:t>
      </w:r>
      <w:r w:rsidR="005B12FB" w:rsidRPr="000017FF">
        <w:rPr>
          <w:sz w:val="22"/>
          <w:szCs w:val="22"/>
        </w:rPr>
        <w:t>,</w:t>
      </w:r>
      <w:r w:rsidR="004B62EF" w:rsidRPr="000017FF">
        <w:rPr>
          <w:sz w:val="22"/>
          <w:szCs w:val="22"/>
        </w:rPr>
        <w:t xml:space="preserve"> </w:t>
      </w:r>
      <w:r w:rsidR="004242B0" w:rsidRPr="000017FF">
        <w:rPr>
          <w:sz w:val="22"/>
          <w:szCs w:val="22"/>
        </w:rPr>
        <w:t>at 10.2</w:t>
      </w:r>
      <w:r w:rsidR="000F4C18" w:rsidRPr="000017FF">
        <w:rPr>
          <w:sz w:val="22"/>
          <w:szCs w:val="22"/>
        </w:rPr>
        <w:t xml:space="preserve"> per cent</w:t>
      </w:r>
      <w:r w:rsidRPr="000017FF">
        <w:rPr>
          <w:sz w:val="22"/>
          <w:szCs w:val="22"/>
        </w:rPr>
        <w:t xml:space="preserve"> </w:t>
      </w:r>
      <w:r w:rsidR="009A0C1E" w:rsidRPr="000017FF">
        <w:rPr>
          <w:sz w:val="22"/>
          <w:szCs w:val="22"/>
        </w:rPr>
        <w:t>(</w:t>
      </w:r>
      <w:r w:rsidR="00B03E3F" w:rsidRPr="000017FF">
        <w:rPr>
          <w:sz w:val="22"/>
          <w:szCs w:val="22"/>
        </w:rPr>
        <w:t>table</w:t>
      </w:r>
      <w:r w:rsidR="009A0C1E" w:rsidRPr="000017FF">
        <w:rPr>
          <w:sz w:val="22"/>
          <w:szCs w:val="22"/>
        </w:rPr>
        <w:t xml:space="preserve"> </w:t>
      </w:r>
      <w:r w:rsidRPr="000017FF">
        <w:rPr>
          <w:sz w:val="22"/>
          <w:szCs w:val="22"/>
        </w:rPr>
        <w:t>8.</w:t>
      </w:r>
      <w:r w:rsidR="009A0C1E" w:rsidRPr="000017FF">
        <w:rPr>
          <w:sz w:val="22"/>
          <w:szCs w:val="22"/>
        </w:rPr>
        <w:t>2)</w:t>
      </w:r>
      <w:r w:rsidR="0088273C" w:rsidRPr="000017FF">
        <w:rPr>
          <w:sz w:val="22"/>
          <w:szCs w:val="22"/>
        </w:rPr>
        <w:t xml:space="preserve">. </w:t>
      </w:r>
      <w:r w:rsidR="00D15619" w:rsidRPr="000017FF">
        <w:rPr>
          <w:sz w:val="22"/>
          <w:szCs w:val="22"/>
        </w:rPr>
        <w:t xml:space="preserve">Still, agricultural and food products (along with other industrial products) are the products most likely to be traded within the continent, amounting for about one-fifth of the sector’s total exports. </w:t>
      </w:r>
      <w:r w:rsidR="00C017B5" w:rsidRPr="000017FF">
        <w:rPr>
          <w:sz w:val="22"/>
          <w:szCs w:val="22"/>
        </w:rPr>
        <w:t>P</w:t>
      </w:r>
      <w:r w:rsidR="00BE59B9" w:rsidRPr="000017FF">
        <w:rPr>
          <w:sz w:val="22"/>
          <w:szCs w:val="22"/>
        </w:rPr>
        <w:t>rimary products</w:t>
      </w:r>
      <w:r w:rsidR="00E161A6" w:rsidRPr="000017FF">
        <w:rPr>
          <w:sz w:val="22"/>
          <w:szCs w:val="22"/>
        </w:rPr>
        <w:t>,</w:t>
      </w:r>
      <w:r w:rsidR="00BE59B9" w:rsidRPr="000017FF">
        <w:rPr>
          <w:sz w:val="22"/>
          <w:szCs w:val="22"/>
        </w:rPr>
        <w:t xml:space="preserve"> </w:t>
      </w:r>
      <w:r w:rsidR="00830C40" w:rsidRPr="000017FF">
        <w:rPr>
          <w:sz w:val="22"/>
          <w:szCs w:val="22"/>
        </w:rPr>
        <w:t>however</w:t>
      </w:r>
      <w:r w:rsidR="00E161A6" w:rsidRPr="000017FF">
        <w:rPr>
          <w:sz w:val="22"/>
          <w:szCs w:val="22"/>
        </w:rPr>
        <w:t>,</w:t>
      </w:r>
      <w:r w:rsidR="00BE59B9" w:rsidRPr="000017FF">
        <w:rPr>
          <w:sz w:val="22"/>
          <w:szCs w:val="22"/>
        </w:rPr>
        <w:t xml:space="preserve"> are almost entirely exported </w:t>
      </w:r>
      <w:r w:rsidR="008E109C" w:rsidRPr="000017FF">
        <w:rPr>
          <w:sz w:val="22"/>
          <w:szCs w:val="22"/>
        </w:rPr>
        <w:t xml:space="preserve">outside </w:t>
      </w:r>
      <w:smartTag w:uri="urn:schemas-microsoft-com:office:smarttags" w:element="place">
        <w:r w:rsidR="008E109C" w:rsidRPr="000017FF">
          <w:rPr>
            <w:sz w:val="22"/>
            <w:szCs w:val="22"/>
          </w:rPr>
          <w:t>Africa</w:t>
        </w:r>
      </w:smartTag>
      <w:r w:rsidR="008E109C" w:rsidRPr="000017FF">
        <w:rPr>
          <w:sz w:val="22"/>
          <w:szCs w:val="22"/>
        </w:rPr>
        <w:t>.</w:t>
      </w:r>
      <w:r w:rsidR="00BE59B9" w:rsidRPr="000017FF">
        <w:rPr>
          <w:sz w:val="22"/>
          <w:szCs w:val="22"/>
        </w:rPr>
        <w:t xml:space="preserve"> </w:t>
      </w:r>
      <w:r w:rsidR="00635AC6" w:rsidRPr="000017FF">
        <w:rPr>
          <w:sz w:val="22"/>
          <w:szCs w:val="22"/>
        </w:rPr>
        <w:t>A</w:t>
      </w:r>
      <w:r w:rsidR="0015562C" w:rsidRPr="000017FF">
        <w:rPr>
          <w:sz w:val="22"/>
          <w:szCs w:val="22"/>
        </w:rPr>
        <w:t>dd</w:t>
      </w:r>
      <w:r w:rsidR="00635AC6" w:rsidRPr="000017FF">
        <w:rPr>
          <w:sz w:val="22"/>
          <w:szCs w:val="22"/>
        </w:rPr>
        <w:t>ing</w:t>
      </w:r>
      <w:r w:rsidR="0015562C" w:rsidRPr="000017FF">
        <w:rPr>
          <w:sz w:val="22"/>
          <w:szCs w:val="22"/>
        </w:rPr>
        <w:t xml:space="preserve"> value to these primary products could enhance the prospects</w:t>
      </w:r>
      <w:r w:rsidR="005564F6" w:rsidRPr="000017FF">
        <w:rPr>
          <w:sz w:val="22"/>
          <w:szCs w:val="22"/>
        </w:rPr>
        <w:t xml:space="preserve"> for</w:t>
      </w:r>
      <w:r w:rsidR="0015562C" w:rsidRPr="000017FF">
        <w:rPr>
          <w:sz w:val="22"/>
          <w:szCs w:val="22"/>
        </w:rPr>
        <w:t xml:space="preserve"> </w:t>
      </w:r>
      <w:smartTag w:uri="urn:schemas-microsoft-com:office:smarttags" w:element="place">
        <w:r w:rsidR="0015562C" w:rsidRPr="000017FF">
          <w:rPr>
            <w:sz w:val="22"/>
            <w:szCs w:val="22"/>
          </w:rPr>
          <w:t>Africa</w:t>
        </w:r>
      </w:smartTag>
      <w:r w:rsidR="0015562C" w:rsidRPr="000017FF">
        <w:rPr>
          <w:sz w:val="22"/>
          <w:szCs w:val="22"/>
        </w:rPr>
        <w:t>’s economic transformation and cement it</w:t>
      </w:r>
      <w:r w:rsidR="005564F6" w:rsidRPr="000017FF">
        <w:rPr>
          <w:sz w:val="22"/>
          <w:szCs w:val="22"/>
        </w:rPr>
        <w:t>s place</w:t>
      </w:r>
      <w:r w:rsidR="0015562C" w:rsidRPr="000017FF">
        <w:rPr>
          <w:sz w:val="22"/>
          <w:szCs w:val="22"/>
        </w:rPr>
        <w:t xml:space="preserve"> as the new global growth pole.</w:t>
      </w:r>
    </w:p>
    <w:p w:rsidR="00520375" w:rsidRPr="0061584B" w:rsidRDefault="009B60C2" w:rsidP="009C49DE">
      <w:pPr>
        <w:pStyle w:val="Tableheading"/>
      </w:pPr>
      <w:r w:rsidRPr="0061584B">
        <w:t xml:space="preserve">Table </w:t>
      </w:r>
      <w:r w:rsidR="006436C9" w:rsidRPr="0061584B">
        <w:t>8.</w:t>
      </w:r>
      <w:r w:rsidRPr="0061584B">
        <w:t>2</w:t>
      </w:r>
      <w:r w:rsidR="00520375" w:rsidRPr="0061584B">
        <w:t>:</w:t>
      </w:r>
      <w:r w:rsidR="00AA5626">
        <w:tab/>
      </w:r>
      <w:r w:rsidR="00D811EA">
        <w:t>Percentage s</w:t>
      </w:r>
      <w:r w:rsidR="00520375" w:rsidRPr="0061584B">
        <w:t>hare</w:t>
      </w:r>
      <w:r w:rsidR="0076231C">
        <w:t>s</w:t>
      </w:r>
      <w:r w:rsidR="00520375" w:rsidRPr="0061584B">
        <w:t xml:space="preserve"> of Africa’s exports </w:t>
      </w:r>
      <w:r w:rsidR="00D70176">
        <w:t>to</w:t>
      </w:r>
      <w:r w:rsidR="00F25B47">
        <w:t xml:space="preserve"> Africa </w:t>
      </w:r>
      <w:r w:rsidR="00D70176">
        <w:t>v</w:t>
      </w:r>
      <w:r w:rsidR="00D77F1B">
        <w:t>ersu</w:t>
      </w:r>
      <w:r w:rsidR="00D70176">
        <w:t>s</w:t>
      </w:r>
      <w:r w:rsidR="00F25B47">
        <w:t xml:space="preserve"> </w:t>
      </w:r>
      <w:r w:rsidR="00D70176">
        <w:t>the</w:t>
      </w:r>
      <w:r w:rsidR="00F25B47">
        <w:t xml:space="preserve"> rest of the world,</w:t>
      </w:r>
      <w:r w:rsidR="00F25B47" w:rsidRPr="0061584B">
        <w:t xml:space="preserve"> </w:t>
      </w:r>
      <w:r w:rsidR="001C4916">
        <w:t>for</w:t>
      </w:r>
      <w:r w:rsidR="00520375" w:rsidRPr="0061584B">
        <w:t xml:space="preserve"> </w:t>
      </w:r>
      <w:r w:rsidR="001C4916">
        <w:t xml:space="preserve">each </w:t>
      </w:r>
      <w:r w:rsidR="00520375" w:rsidRPr="0061584B">
        <w:t>main sector</w:t>
      </w:r>
      <w:r w:rsidR="005A3F3D" w:rsidRPr="0061584B">
        <w:t>,</w:t>
      </w:r>
      <w:r w:rsidR="004242B0" w:rsidRPr="0061584B">
        <w:t xml:space="preserve"> 2010</w:t>
      </w:r>
    </w:p>
    <w:p w:rsidR="001C4916" w:rsidRPr="0061584B" w:rsidRDefault="00601585" w:rsidP="001C4916">
      <w:pPr>
        <w:spacing w:line="360" w:lineRule="auto"/>
        <w:jc w:val="center"/>
      </w:pPr>
      <w:r w:rsidRPr="00601585">
        <w:pict>
          <v:shape id="_x0000_i1026" type="#_x0000_t75" style="width:414pt;height:77.25pt">
            <v:imagedata r:id="rId8" o:title=""/>
          </v:shape>
        </w:pict>
      </w:r>
    </w:p>
    <w:p w:rsidR="00440987" w:rsidRPr="000017FF" w:rsidRDefault="00440987" w:rsidP="006D5982">
      <w:pPr>
        <w:pStyle w:val="Source"/>
        <w:spacing w:line="360" w:lineRule="auto"/>
        <w:rPr>
          <w:sz w:val="20"/>
          <w:szCs w:val="20"/>
        </w:rPr>
      </w:pPr>
      <w:r w:rsidRPr="000017FF">
        <w:rPr>
          <w:sz w:val="20"/>
          <w:szCs w:val="20"/>
        </w:rPr>
        <w:t>Source: Authors’ calculations based on MIRAGE model</w:t>
      </w:r>
      <w:r w:rsidR="00334680" w:rsidRPr="000017FF">
        <w:rPr>
          <w:sz w:val="20"/>
          <w:szCs w:val="20"/>
        </w:rPr>
        <w:t>.</w:t>
      </w:r>
    </w:p>
    <w:p w:rsidR="00C017B5" w:rsidRPr="0061584B" w:rsidRDefault="005B7A53" w:rsidP="006D5982">
      <w:pPr>
        <w:pStyle w:val="Heading2"/>
        <w:spacing w:line="360" w:lineRule="auto"/>
      </w:pPr>
      <w:r w:rsidRPr="0061584B">
        <w:t>8.2.3</w:t>
      </w:r>
      <w:r w:rsidRPr="0061584B">
        <w:tab/>
      </w:r>
      <w:r w:rsidR="006C51E8" w:rsidRPr="0061584B">
        <w:t>E</w:t>
      </w:r>
      <w:r w:rsidR="00C017B5" w:rsidRPr="0061584B">
        <w:t>xport diversification</w:t>
      </w:r>
    </w:p>
    <w:p w:rsidR="00F15B2F" w:rsidRPr="000017FF" w:rsidRDefault="00C017B5" w:rsidP="006D5982">
      <w:pPr>
        <w:spacing w:line="360" w:lineRule="auto"/>
        <w:rPr>
          <w:sz w:val="22"/>
          <w:szCs w:val="22"/>
        </w:rPr>
      </w:pPr>
      <w:r w:rsidRPr="000017FF">
        <w:rPr>
          <w:sz w:val="22"/>
          <w:szCs w:val="22"/>
        </w:rPr>
        <w:t>T</w:t>
      </w:r>
      <w:r w:rsidR="002146BE" w:rsidRPr="000017FF">
        <w:rPr>
          <w:sz w:val="22"/>
          <w:szCs w:val="22"/>
        </w:rPr>
        <w:t xml:space="preserve">he </w:t>
      </w:r>
      <w:r w:rsidR="008431DF" w:rsidRPr="000017FF">
        <w:rPr>
          <w:sz w:val="22"/>
          <w:szCs w:val="22"/>
        </w:rPr>
        <w:t xml:space="preserve">structure </w:t>
      </w:r>
      <w:r w:rsidR="00F87915" w:rsidRPr="000017FF">
        <w:rPr>
          <w:sz w:val="22"/>
          <w:szCs w:val="22"/>
        </w:rPr>
        <w:t xml:space="preserve">of </w:t>
      </w:r>
      <w:smartTag w:uri="urn:schemas-microsoft-com:office:smarttags" w:element="place">
        <w:r w:rsidR="00F87915" w:rsidRPr="000017FF">
          <w:rPr>
            <w:sz w:val="22"/>
            <w:szCs w:val="22"/>
          </w:rPr>
          <w:t>Africa</w:t>
        </w:r>
      </w:smartTag>
      <w:r w:rsidR="005564F6" w:rsidRPr="000017FF">
        <w:rPr>
          <w:sz w:val="22"/>
          <w:szCs w:val="22"/>
        </w:rPr>
        <w:t>’s</w:t>
      </w:r>
      <w:r w:rsidR="00F87915" w:rsidRPr="000017FF">
        <w:rPr>
          <w:sz w:val="22"/>
          <w:szCs w:val="22"/>
        </w:rPr>
        <w:t xml:space="preserve"> exports </w:t>
      </w:r>
      <w:r w:rsidR="00814F52" w:rsidRPr="000017FF">
        <w:rPr>
          <w:sz w:val="22"/>
          <w:szCs w:val="22"/>
        </w:rPr>
        <w:t xml:space="preserve">to the </w:t>
      </w:r>
      <w:r w:rsidR="00E62E8D" w:rsidRPr="000017FF">
        <w:rPr>
          <w:sz w:val="22"/>
          <w:szCs w:val="22"/>
        </w:rPr>
        <w:t xml:space="preserve">rest of the </w:t>
      </w:r>
      <w:r w:rsidR="00814F52" w:rsidRPr="000017FF">
        <w:rPr>
          <w:sz w:val="22"/>
          <w:szCs w:val="22"/>
        </w:rPr>
        <w:t xml:space="preserve">world </w:t>
      </w:r>
      <w:r w:rsidR="002F4AA7" w:rsidRPr="000017FF">
        <w:rPr>
          <w:sz w:val="22"/>
          <w:szCs w:val="22"/>
        </w:rPr>
        <w:t>reflects</w:t>
      </w:r>
      <w:r w:rsidR="002146BE" w:rsidRPr="000017FF">
        <w:rPr>
          <w:sz w:val="22"/>
          <w:szCs w:val="22"/>
        </w:rPr>
        <w:t xml:space="preserve"> a concentration in primary products</w:t>
      </w:r>
      <w:r w:rsidR="006C51E8" w:rsidRPr="000017FF">
        <w:rPr>
          <w:sz w:val="22"/>
          <w:szCs w:val="22"/>
        </w:rPr>
        <w:t xml:space="preserve"> </w:t>
      </w:r>
      <w:r w:rsidR="005564F6" w:rsidRPr="000017FF">
        <w:rPr>
          <w:sz w:val="22"/>
          <w:szCs w:val="22"/>
        </w:rPr>
        <w:t>and</w:t>
      </w:r>
      <w:r w:rsidR="00F15B2F" w:rsidRPr="000017FF">
        <w:rPr>
          <w:sz w:val="22"/>
          <w:szCs w:val="22"/>
        </w:rPr>
        <w:t xml:space="preserve"> a lack of export diversification </w:t>
      </w:r>
      <w:r w:rsidR="006C51E8" w:rsidRPr="000017FF">
        <w:rPr>
          <w:sz w:val="22"/>
          <w:szCs w:val="22"/>
        </w:rPr>
        <w:t>(</w:t>
      </w:r>
      <w:r w:rsidR="00B03E3F" w:rsidRPr="000017FF">
        <w:rPr>
          <w:sz w:val="22"/>
          <w:szCs w:val="22"/>
        </w:rPr>
        <w:t>table</w:t>
      </w:r>
      <w:r w:rsidR="005564F6" w:rsidRPr="000017FF">
        <w:rPr>
          <w:sz w:val="22"/>
          <w:szCs w:val="22"/>
        </w:rPr>
        <w:t xml:space="preserve"> 8.</w:t>
      </w:r>
      <w:r w:rsidR="006C51E8" w:rsidRPr="000017FF">
        <w:rPr>
          <w:sz w:val="22"/>
          <w:szCs w:val="22"/>
        </w:rPr>
        <w:t xml:space="preserve">3). </w:t>
      </w:r>
      <w:r w:rsidR="00F375D5" w:rsidRPr="000017FF">
        <w:rPr>
          <w:sz w:val="22"/>
          <w:szCs w:val="22"/>
        </w:rPr>
        <w:t xml:space="preserve">Moreover, </w:t>
      </w:r>
      <w:r w:rsidR="00726483" w:rsidRPr="000017FF">
        <w:rPr>
          <w:sz w:val="22"/>
          <w:szCs w:val="22"/>
        </w:rPr>
        <w:t xml:space="preserve">the </w:t>
      </w:r>
      <w:r w:rsidR="00F375D5" w:rsidRPr="000017FF">
        <w:rPr>
          <w:sz w:val="22"/>
          <w:szCs w:val="22"/>
        </w:rPr>
        <w:t>market concentration of African exports is also strong</w:t>
      </w:r>
      <w:r w:rsidR="00E62E8D" w:rsidRPr="000017FF">
        <w:rPr>
          <w:sz w:val="22"/>
          <w:szCs w:val="22"/>
        </w:rPr>
        <w:t xml:space="preserve">. African products </w:t>
      </w:r>
      <w:r w:rsidR="00B46ED2" w:rsidRPr="000017FF">
        <w:rPr>
          <w:sz w:val="22"/>
          <w:szCs w:val="22"/>
        </w:rPr>
        <w:t xml:space="preserve">directed towards </w:t>
      </w:r>
      <w:r w:rsidR="00C801D9" w:rsidRPr="000017FF">
        <w:rPr>
          <w:sz w:val="22"/>
          <w:szCs w:val="22"/>
        </w:rPr>
        <w:t xml:space="preserve">outside </w:t>
      </w:r>
      <w:r w:rsidR="00B46ED2" w:rsidRPr="000017FF">
        <w:rPr>
          <w:sz w:val="22"/>
          <w:szCs w:val="22"/>
        </w:rPr>
        <w:t xml:space="preserve">the continent </w:t>
      </w:r>
      <w:r w:rsidR="00463D15" w:rsidRPr="000017FF">
        <w:rPr>
          <w:sz w:val="22"/>
          <w:szCs w:val="22"/>
        </w:rPr>
        <w:t xml:space="preserve">go </w:t>
      </w:r>
      <w:r w:rsidR="00E62E8D" w:rsidRPr="000017FF">
        <w:rPr>
          <w:sz w:val="22"/>
          <w:szCs w:val="22"/>
        </w:rPr>
        <w:t xml:space="preserve">mainly </w:t>
      </w:r>
      <w:r w:rsidR="00463D15" w:rsidRPr="000017FF">
        <w:rPr>
          <w:sz w:val="22"/>
          <w:szCs w:val="22"/>
        </w:rPr>
        <w:t xml:space="preserve">to just </w:t>
      </w:r>
      <w:r w:rsidR="00E62E8D" w:rsidRPr="000017FF">
        <w:rPr>
          <w:sz w:val="22"/>
          <w:szCs w:val="22"/>
        </w:rPr>
        <w:t xml:space="preserve">a few partners, namely the European Union and the </w:t>
      </w:r>
      <w:smartTag w:uri="urn:schemas-microsoft-com:office:smarttags" w:element="place">
        <w:smartTag w:uri="urn:schemas-microsoft-com:office:smarttags" w:element="country-region">
          <w:r w:rsidR="00E62E8D" w:rsidRPr="000017FF">
            <w:rPr>
              <w:sz w:val="22"/>
              <w:szCs w:val="22"/>
            </w:rPr>
            <w:t>United States</w:t>
          </w:r>
          <w:r w:rsidR="00847719" w:rsidRPr="000017FF">
            <w:rPr>
              <w:sz w:val="22"/>
              <w:szCs w:val="22"/>
            </w:rPr>
            <w:t xml:space="preserve"> of America</w:t>
          </w:r>
        </w:smartTag>
      </w:smartTag>
      <w:r w:rsidR="00E62E8D" w:rsidRPr="000017FF">
        <w:rPr>
          <w:sz w:val="22"/>
          <w:szCs w:val="22"/>
        </w:rPr>
        <w:t>, receiving 42.8</w:t>
      </w:r>
      <w:r w:rsidR="000F4C18" w:rsidRPr="000017FF">
        <w:rPr>
          <w:sz w:val="22"/>
          <w:szCs w:val="22"/>
        </w:rPr>
        <w:t xml:space="preserve"> per cent</w:t>
      </w:r>
      <w:r w:rsidR="00E62E8D" w:rsidRPr="000017FF">
        <w:rPr>
          <w:sz w:val="22"/>
          <w:szCs w:val="22"/>
        </w:rPr>
        <w:t xml:space="preserve"> and 18.1</w:t>
      </w:r>
      <w:r w:rsidR="000F4C18" w:rsidRPr="000017FF">
        <w:rPr>
          <w:sz w:val="22"/>
          <w:szCs w:val="22"/>
        </w:rPr>
        <w:t xml:space="preserve"> per cent</w:t>
      </w:r>
      <w:r w:rsidR="00463D15" w:rsidRPr="000017FF">
        <w:rPr>
          <w:sz w:val="22"/>
          <w:szCs w:val="22"/>
        </w:rPr>
        <w:t>, respectively,</w:t>
      </w:r>
      <w:r w:rsidR="00E62E8D" w:rsidRPr="000017FF">
        <w:rPr>
          <w:sz w:val="22"/>
          <w:szCs w:val="22"/>
        </w:rPr>
        <w:t xml:space="preserve"> of African exports to the rest of the world</w:t>
      </w:r>
      <w:r w:rsidR="00E9090A" w:rsidRPr="000017FF">
        <w:rPr>
          <w:sz w:val="22"/>
          <w:szCs w:val="22"/>
        </w:rPr>
        <w:t xml:space="preserve"> in 2010</w:t>
      </w:r>
      <w:r w:rsidR="00E62E8D" w:rsidRPr="000017FF">
        <w:rPr>
          <w:sz w:val="22"/>
          <w:szCs w:val="22"/>
        </w:rPr>
        <w:t xml:space="preserve">. Nevertheless, the recent </w:t>
      </w:r>
      <w:r w:rsidR="00B95E4B" w:rsidRPr="000017FF">
        <w:rPr>
          <w:sz w:val="22"/>
          <w:szCs w:val="22"/>
        </w:rPr>
        <w:t>developments</w:t>
      </w:r>
      <w:r w:rsidR="000F210F" w:rsidRPr="000017FF">
        <w:rPr>
          <w:sz w:val="22"/>
          <w:szCs w:val="22"/>
        </w:rPr>
        <w:t xml:space="preserve"> </w:t>
      </w:r>
      <w:r w:rsidR="00B95E4B" w:rsidRPr="000017FF">
        <w:rPr>
          <w:sz w:val="22"/>
          <w:szCs w:val="22"/>
        </w:rPr>
        <w:t>in</w:t>
      </w:r>
      <w:r w:rsidR="000F210F" w:rsidRPr="000017FF">
        <w:rPr>
          <w:sz w:val="22"/>
          <w:szCs w:val="22"/>
        </w:rPr>
        <w:t xml:space="preserve"> </w:t>
      </w:r>
      <w:r w:rsidR="00E62E8D" w:rsidRPr="000017FF">
        <w:rPr>
          <w:sz w:val="22"/>
          <w:szCs w:val="22"/>
        </w:rPr>
        <w:t xml:space="preserve">trade relationships between </w:t>
      </w:r>
      <w:smartTag w:uri="urn:schemas-microsoft-com:office:smarttags" w:element="place">
        <w:r w:rsidR="00E62E8D" w:rsidRPr="000017FF">
          <w:rPr>
            <w:sz w:val="22"/>
            <w:szCs w:val="22"/>
          </w:rPr>
          <w:t>Africa</w:t>
        </w:r>
      </w:smartTag>
      <w:r w:rsidR="00E62E8D" w:rsidRPr="000017FF">
        <w:rPr>
          <w:sz w:val="22"/>
          <w:szCs w:val="22"/>
        </w:rPr>
        <w:t xml:space="preserve"> and other developing </w:t>
      </w:r>
      <w:r w:rsidR="00B95E4B" w:rsidRPr="000017FF">
        <w:rPr>
          <w:sz w:val="22"/>
          <w:szCs w:val="22"/>
        </w:rPr>
        <w:t>countries</w:t>
      </w:r>
      <w:r w:rsidR="00E62E8D" w:rsidRPr="000017FF">
        <w:rPr>
          <w:sz w:val="22"/>
          <w:szCs w:val="22"/>
        </w:rPr>
        <w:t>, especially emerging economies</w:t>
      </w:r>
      <w:r w:rsidR="00B95E4B" w:rsidRPr="000017FF">
        <w:rPr>
          <w:sz w:val="22"/>
          <w:szCs w:val="22"/>
        </w:rPr>
        <w:t>, translate into significant exports from African countries to developing partners</w:t>
      </w:r>
      <w:r w:rsidR="00463D15" w:rsidRPr="000017FF">
        <w:rPr>
          <w:sz w:val="22"/>
          <w:szCs w:val="22"/>
        </w:rPr>
        <w:t>. Some</w:t>
      </w:r>
      <w:r w:rsidR="00B95E4B" w:rsidRPr="000017FF">
        <w:rPr>
          <w:sz w:val="22"/>
          <w:szCs w:val="22"/>
        </w:rPr>
        <w:t xml:space="preserve"> 30</w:t>
      </w:r>
      <w:r w:rsidR="000F4C18" w:rsidRPr="000017FF">
        <w:rPr>
          <w:sz w:val="22"/>
          <w:szCs w:val="22"/>
        </w:rPr>
        <w:t xml:space="preserve"> per cent</w:t>
      </w:r>
      <w:r w:rsidR="00B95E4B" w:rsidRPr="000017FF">
        <w:rPr>
          <w:sz w:val="22"/>
          <w:szCs w:val="22"/>
        </w:rPr>
        <w:t xml:space="preserve"> of African exports to the rest of the world </w:t>
      </w:r>
      <w:r w:rsidR="00463D15" w:rsidRPr="000017FF">
        <w:rPr>
          <w:sz w:val="22"/>
          <w:szCs w:val="22"/>
        </w:rPr>
        <w:t>go</w:t>
      </w:r>
      <w:r w:rsidR="00B95E4B" w:rsidRPr="000017FF">
        <w:rPr>
          <w:sz w:val="22"/>
          <w:szCs w:val="22"/>
        </w:rPr>
        <w:t xml:space="preserve"> to developing countries</w:t>
      </w:r>
      <w:r w:rsidR="00463D15" w:rsidRPr="000017FF">
        <w:rPr>
          <w:sz w:val="22"/>
          <w:szCs w:val="22"/>
        </w:rPr>
        <w:t>,</w:t>
      </w:r>
      <w:r w:rsidR="00B95E4B" w:rsidRPr="000017FF">
        <w:rPr>
          <w:sz w:val="22"/>
          <w:szCs w:val="22"/>
        </w:rPr>
        <w:t xml:space="preserve"> with the BRIC countries</w:t>
      </w:r>
      <w:r w:rsidR="0051013D" w:rsidRPr="000017FF">
        <w:rPr>
          <w:rStyle w:val="FootnoteReference"/>
          <w:sz w:val="22"/>
          <w:szCs w:val="22"/>
        </w:rPr>
        <w:footnoteReference w:id="5"/>
      </w:r>
      <w:r w:rsidR="00B95E4B" w:rsidRPr="000017FF">
        <w:rPr>
          <w:sz w:val="22"/>
          <w:szCs w:val="22"/>
        </w:rPr>
        <w:t xml:space="preserve"> </w:t>
      </w:r>
      <w:r w:rsidR="00463D15" w:rsidRPr="000017FF">
        <w:rPr>
          <w:sz w:val="22"/>
          <w:szCs w:val="22"/>
        </w:rPr>
        <w:t xml:space="preserve">taking </w:t>
      </w:r>
      <w:r w:rsidR="00E9090A" w:rsidRPr="000017FF">
        <w:rPr>
          <w:sz w:val="22"/>
          <w:szCs w:val="22"/>
        </w:rPr>
        <w:t>more than half.</w:t>
      </w:r>
      <w:r w:rsidR="00B95E4B" w:rsidRPr="000017FF">
        <w:rPr>
          <w:sz w:val="22"/>
          <w:szCs w:val="22"/>
        </w:rPr>
        <w:t xml:space="preserve"> </w:t>
      </w:r>
    </w:p>
    <w:p w:rsidR="004716C5" w:rsidRPr="000017FF" w:rsidRDefault="008F4E35" w:rsidP="006D5982">
      <w:pPr>
        <w:spacing w:line="360" w:lineRule="auto"/>
        <w:rPr>
          <w:sz w:val="22"/>
          <w:szCs w:val="22"/>
        </w:rPr>
      </w:pPr>
      <w:r w:rsidRPr="000017FF">
        <w:rPr>
          <w:sz w:val="22"/>
          <w:szCs w:val="22"/>
        </w:rPr>
        <w:t>In terms of intra-African trade</w:t>
      </w:r>
      <w:r w:rsidR="001C711E" w:rsidRPr="000017FF">
        <w:rPr>
          <w:sz w:val="22"/>
          <w:szCs w:val="22"/>
        </w:rPr>
        <w:t>,</w:t>
      </w:r>
      <w:r w:rsidRPr="000017FF">
        <w:rPr>
          <w:sz w:val="22"/>
          <w:szCs w:val="22"/>
        </w:rPr>
        <w:t xml:space="preserve"> the picture is considerably different</w:t>
      </w:r>
      <w:r w:rsidR="00463D15" w:rsidRPr="000017FF">
        <w:rPr>
          <w:sz w:val="22"/>
          <w:szCs w:val="22"/>
        </w:rPr>
        <w:t>,</w:t>
      </w:r>
      <w:r w:rsidRPr="000017FF">
        <w:rPr>
          <w:sz w:val="22"/>
          <w:szCs w:val="22"/>
        </w:rPr>
        <w:t xml:space="preserve"> as trade of agriculture and food products surpasses </w:t>
      </w:r>
      <w:r w:rsidR="001C711E" w:rsidRPr="000017FF">
        <w:rPr>
          <w:sz w:val="22"/>
          <w:szCs w:val="22"/>
        </w:rPr>
        <w:t xml:space="preserve">that </w:t>
      </w:r>
      <w:r w:rsidRPr="000017FF">
        <w:rPr>
          <w:sz w:val="22"/>
          <w:szCs w:val="22"/>
        </w:rPr>
        <w:t>of primary products</w:t>
      </w:r>
      <w:r w:rsidR="001C711E" w:rsidRPr="000017FF">
        <w:rPr>
          <w:sz w:val="22"/>
          <w:szCs w:val="22"/>
        </w:rPr>
        <w:t>, at</w:t>
      </w:r>
      <w:r w:rsidRPr="000017FF">
        <w:rPr>
          <w:sz w:val="22"/>
          <w:szCs w:val="22"/>
        </w:rPr>
        <w:t xml:space="preserve"> </w:t>
      </w:r>
      <w:r w:rsidR="00D7770D" w:rsidRPr="000017FF">
        <w:rPr>
          <w:sz w:val="22"/>
          <w:szCs w:val="22"/>
        </w:rPr>
        <w:t>18.4</w:t>
      </w:r>
      <w:r w:rsidR="000F4C18" w:rsidRPr="000017FF">
        <w:rPr>
          <w:sz w:val="22"/>
          <w:szCs w:val="22"/>
        </w:rPr>
        <w:t xml:space="preserve"> per cent</w:t>
      </w:r>
      <w:r w:rsidRPr="000017FF">
        <w:rPr>
          <w:sz w:val="22"/>
          <w:szCs w:val="22"/>
        </w:rPr>
        <w:t xml:space="preserve"> and </w:t>
      </w:r>
      <w:r w:rsidR="00D7770D" w:rsidRPr="000017FF">
        <w:rPr>
          <w:sz w:val="22"/>
          <w:szCs w:val="22"/>
        </w:rPr>
        <w:t>8.8</w:t>
      </w:r>
      <w:r w:rsidR="000F4C18" w:rsidRPr="000017FF">
        <w:rPr>
          <w:sz w:val="22"/>
          <w:szCs w:val="22"/>
        </w:rPr>
        <w:t xml:space="preserve"> per cent</w:t>
      </w:r>
      <w:r w:rsidRPr="000017FF">
        <w:rPr>
          <w:sz w:val="22"/>
          <w:szCs w:val="22"/>
        </w:rPr>
        <w:t>, respectively.</w:t>
      </w:r>
      <w:r w:rsidR="004716C5" w:rsidRPr="000017FF">
        <w:rPr>
          <w:sz w:val="22"/>
          <w:szCs w:val="22"/>
        </w:rPr>
        <w:t xml:space="preserve"> </w:t>
      </w:r>
      <w:r w:rsidR="00BA6644" w:rsidRPr="000017FF">
        <w:rPr>
          <w:sz w:val="22"/>
          <w:szCs w:val="22"/>
        </w:rPr>
        <w:t xml:space="preserve">Moreover, </w:t>
      </w:r>
      <w:r w:rsidR="0051706E" w:rsidRPr="000017FF">
        <w:rPr>
          <w:sz w:val="22"/>
          <w:szCs w:val="22"/>
        </w:rPr>
        <w:t>manufacture</w:t>
      </w:r>
      <w:r w:rsidR="00E71644" w:rsidRPr="000017FF">
        <w:rPr>
          <w:sz w:val="22"/>
          <w:szCs w:val="22"/>
        </w:rPr>
        <w:t>d</w:t>
      </w:r>
      <w:r w:rsidR="0051706E" w:rsidRPr="000017FF">
        <w:rPr>
          <w:sz w:val="22"/>
          <w:szCs w:val="22"/>
        </w:rPr>
        <w:t xml:space="preserve"> products represent more </w:t>
      </w:r>
      <w:r w:rsidR="00BA6644" w:rsidRPr="000017FF">
        <w:rPr>
          <w:sz w:val="22"/>
          <w:szCs w:val="22"/>
        </w:rPr>
        <w:t>than two-third</w:t>
      </w:r>
      <w:r w:rsidR="0063035A" w:rsidRPr="000017FF">
        <w:rPr>
          <w:sz w:val="22"/>
          <w:szCs w:val="22"/>
        </w:rPr>
        <w:t>s</w:t>
      </w:r>
      <w:r w:rsidR="00BA6644" w:rsidRPr="000017FF">
        <w:rPr>
          <w:sz w:val="22"/>
          <w:szCs w:val="22"/>
        </w:rPr>
        <w:t xml:space="preserve"> of intra-African </w:t>
      </w:r>
      <w:r w:rsidR="00E71644" w:rsidRPr="000017FF">
        <w:rPr>
          <w:sz w:val="22"/>
          <w:szCs w:val="22"/>
        </w:rPr>
        <w:t>trade</w:t>
      </w:r>
      <w:r w:rsidR="00BA6644" w:rsidRPr="000017FF">
        <w:rPr>
          <w:sz w:val="22"/>
          <w:szCs w:val="22"/>
        </w:rPr>
        <w:t>. Th</w:t>
      </w:r>
      <w:r w:rsidR="0063035A" w:rsidRPr="000017FF">
        <w:rPr>
          <w:sz w:val="22"/>
          <w:szCs w:val="22"/>
        </w:rPr>
        <w:t>i</w:t>
      </w:r>
      <w:r w:rsidR="00BA6644" w:rsidRPr="000017FF">
        <w:rPr>
          <w:sz w:val="22"/>
          <w:szCs w:val="22"/>
        </w:rPr>
        <w:t xml:space="preserve">s </w:t>
      </w:r>
      <w:r w:rsidR="0063035A" w:rsidRPr="000017FF">
        <w:rPr>
          <w:sz w:val="22"/>
          <w:szCs w:val="22"/>
        </w:rPr>
        <w:t xml:space="preserve">statistic </w:t>
      </w:r>
      <w:r w:rsidR="00BA6644" w:rsidRPr="000017FF">
        <w:rPr>
          <w:sz w:val="22"/>
          <w:szCs w:val="22"/>
        </w:rPr>
        <w:t>suggest</w:t>
      </w:r>
      <w:r w:rsidR="0063035A" w:rsidRPr="000017FF">
        <w:rPr>
          <w:sz w:val="22"/>
          <w:szCs w:val="22"/>
        </w:rPr>
        <w:t>s</w:t>
      </w:r>
      <w:r w:rsidR="00BA6644" w:rsidRPr="000017FF">
        <w:rPr>
          <w:sz w:val="22"/>
          <w:szCs w:val="22"/>
        </w:rPr>
        <w:t xml:space="preserve"> that trade within African economies is </w:t>
      </w:r>
      <w:r w:rsidR="00F15B2F" w:rsidRPr="000017FF">
        <w:rPr>
          <w:sz w:val="22"/>
          <w:szCs w:val="22"/>
        </w:rPr>
        <w:t>made up more</w:t>
      </w:r>
      <w:r w:rsidR="00BA6644" w:rsidRPr="000017FF">
        <w:rPr>
          <w:sz w:val="22"/>
          <w:szCs w:val="22"/>
        </w:rPr>
        <w:t xml:space="preserve"> </w:t>
      </w:r>
      <w:r w:rsidR="0063035A" w:rsidRPr="000017FF">
        <w:rPr>
          <w:sz w:val="22"/>
          <w:szCs w:val="22"/>
        </w:rPr>
        <w:t xml:space="preserve">of </w:t>
      </w:r>
      <w:r w:rsidR="00480B9E" w:rsidRPr="000017FF">
        <w:rPr>
          <w:sz w:val="22"/>
          <w:szCs w:val="22"/>
        </w:rPr>
        <w:t xml:space="preserve">sophisticated </w:t>
      </w:r>
      <w:r w:rsidR="00BA6644" w:rsidRPr="000017FF">
        <w:rPr>
          <w:sz w:val="22"/>
          <w:szCs w:val="22"/>
        </w:rPr>
        <w:t>products</w:t>
      </w:r>
      <w:r w:rsidR="00F15B2F" w:rsidRPr="000017FF">
        <w:rPr>
          <w:sz w:val="22"/>
          <w:szCs w:val="22"/>
        </w:rPr>
        <w:t xml:space="preserve"> than </w:t>
      </w:r>
      <w:r w:rsidR="0063035A" w:rsidRPr="000017FF">
        <w:rPr>
          <w:sz w:val="22"/>
          <w:szCs w:val="22"/>
        </w:rPr>
        <w:t xml:space="preserve">is </w:t>
      </w:r>
      <w:r w:rsidR="00F15B2F" w:rsidRPr="000017FF">
        <w:rPr>
          <w:sz w:val="22"/>
          <w:szCs w:val="22"/>
        </w:rPr>
        <w:t>trade with economies outside the continent</w:t>
      </w:r>
      <w:r w:rsidR="00BA6644" w:rsidRPr="000017FF">
        <w:rPr>
          <w:sz w:val="22"/>
          <w:szCs w:val="22"/>
        </w:rPr>
        <w:t xml:space="preserve">. </w:t>
      </w:r>
      <w:r w:rsidR="00001AA0" w:rsidRPr="000017FF">
        <w:rPr>
          <w:sz w:val="22"/>
          <w:szCs w:val="22"/>
        </w:rPr>
        <w:t xml:space="preserve">The trade of industrial goods in Africa is, however, dominated by </w:t>
      </w:r>
      <w:smartTag w:uri="urn:schemas-microsoft-com:office:smarttags" w:element="place">
        <w:smartTag w:uri="urn:schemas-microsoft-com:office:smarttags" w:element="country-region">
          <w:r w:rsidR="00001AA0" w:rsidRPr="000017FF">
            <w:rPr>
              <w:sz w:val="22"/>
              <w:szCs w:val="22"/>
            </w:rPr>
            <w:t>South Africa</w:t>
          </w:r>
        </w:smartTag>
      </w:smartTag>
      <w:r w:rsidR="0063035A" w:rsidRPr="000017FF">
        <w:rPr>
          <w:sz w:val="22"/>
          <w:szCs w:val="22"/>
        </w:rPr>
        <w:t xml:space="preserve">, which accounts for </w:t>
      </w:r>
      <w:r w:rsidR="00065886" w:rsidRPr="000017FF">
        <w:rPr>
          <w:sz w:val="22"/>
          <w:szCs w:val="22"/>
        </w:rPr>
        <w:t>more than two-third</w:t>
      </w:r>
      <w:r w:rsidR="0063035A" w:rsidRPr="000017FF">
        <w:rPr>
          <w:sz w:val="22"/>
          <w:szCs w:val="22"/>
        </w:rPr>
        <w:t>s</w:t>
      </w:r>
      <w:r w:rsidR="00065886" w:rsidRPr="000017FF">
        <w:rPr>
          <w:sz w:val="22"/>
          <w:szCs w:val="22"/>
        </w:rPr>
        <w:t xml:space="preserve"> of African exports of these goods</w:t>
      </w:r>
      <w:r w:rsidR="0063035A" w:rsidRPr="000017FF">
        <w:rPr>
          <w:sz w:val="22"/>
          <w:szCs w:val="22"/>
        </w:rPr>
        <w:t>.</w:t>
      </w:r>
      <w:r w:rsidR="00065886" w:rsidRPr="000017FF">
        <w:rPr>
          <w:sz w:val="22"/>
          <w:szCs w:val="22"/>
        </w:rPr>
        <w:t xml:space="preserve"> </w:t>
      </w:r>
      <w:r w:rsidR="00001AA0" w:rsidRPr="000017FF">
        <w:rPr>
          <w:sz w:val="22"/>
          <w:szCs w:val="22"/>
        </w:rPr>
        <w:t>Furthermore, since a number of African countries have higher shares of agricultural products among their regional exports than among their global exports</w:t>
      </w:r>
      <w:r w:rsidR="0063035A" w:rsidRPr="000017FF">
        <w:rPr>
          <w:sz w:val="22"/>
          <w:szCs w:val="22"/>
        </w:rPr>
        <w:t>,</w:t>
      </w:r>
      <w:r w:rsidR="00066712" w:rsidRPr="000017FF">
        <w:rPr>
          <w:rStyle w:val="FootnoteReference"/>
          <w:sz w:val="22"/>
          <w:szCs w:val="22"/>
        </w:rPr>
        <w:footnoteReference w:id="6"/>
      </w:r>
      <w:r w:rsidR="00001AA0" w:rsidRPr="000017FF">
        <w:rPr>
          <w:sz w:val="22"/>
          <w:szCs w:val="22"/>
        </w:rPr>
        <w:t xml:space="preserve"> the impact of </w:t>
      </w:r>
      <w:r w:rsidR="00620121" w:rsidRPr="000017FF">
        <w:rPr>
          <w:sz w:val="22"/>
          <w:szCs w:val="22"/>
        </w:rPr>
        <w:t>regional integration</w:t>
      </w:r>
      <w:r w:rsidR="00001AA0" w:rsidRPr="000017FF">
        <w:rPr>
          <w:sz w:val="22"/>
          <w:szCs w:val="22"/>
        </w:rPr>
        <w:t xml:space="preserve"> on individual countries </w:t>
      </w:r>
      <w:r w:rsidR="00620121" w:rsidRPr="000017FF">
        <w:rPr>
          <w:sz w:val="22"/>
          <w:szCs w:val="22"/>
        </w:rPr>
        <w:t xml:space="preserve">can vary and </w:t>
      </w:r>
      <w:r w:rsidR="00810635" w:rsidRPr="000017FF">
        <w:rPr>
          <w:sz w:val="22"/>
          <w:szCs w:val="22"/>
        </w:rPr>
        <w:t>should be</w:t>
      </w:r>
      <w:r w:rsidR="00001AA0" w:rsidRPr="000017FF">
        <w:rPr>
          <w:sz w:val="22"/>
          <w:szCs w:val="22"/>
        </w:rPr>
        <w:t xml:space="preserve"> assessed. </w:t>
      </w:r>
    </w:p>
    <w:p w:rsidR="005F4D3F" w:rsidRPr="0061584B" w:rsidRDefault="00B03E3F" w:rsidP="009C49DE">
      <w:pPr>
        <w:pStyle w:val="Tableheading"/>
      </w:pPr>
      <w:r w:rsidRPr="0061584B">
        <w:t>Table</w:t>
      </w:r>
      <w:r w:rsidR="005F4D3F" w:rsidRPr="0061584B">
        <w:t xml:space="preserve"> </w:t>
      </w:r>
      <w:r w:rsidR="006436C9" w:rsidRPr="0061584B">
        <w:t>8.</w:t>
      </w:r>
      <w:r w:rsidR="005F4D3F" w:rsidRPr="0061584B">
        <w:t xml:space="preserve">3: </w:t>
      </w:r>
      <w:r w:rsidR="00100197" w:rsidRPr="0061584B">
        <w:tab/>
      </w:r>
      <w:r w:rsidR="00D811EA">
        <w:t>Percentage s</w:t>
      </w:r>
      <w:r w:rsidR="00D70176">
        <w:t>hare</w:t>
      </w:r>
      <w:r w:rsidR="00F25B47">
        <w:t xml:space="preserve"> of </w:t>
      </w:r>
      <w:smartTag w:uri="urn:schemas-microsoft-com:office:smarttags" w:element="place">
        <w:r w:rsidR="005F4D3F" w:rsidRPr="0061584B">
          <w:t>Africa</w:t>
        </w:r>
      </w:smartTag>
      <w:r w:rsidR="005F4D3F" w:rsidRPr="0061584B">
        <w:t xml:space="preserve">’s </w:t>
      </w:r>
      <w:r w:rsidR="00FA56B5" w:rsidRPr="0061584B">
        <w:t>export</w:t>
      </w:r>
      <w:r w:rsidR="00F25B47">
        <w:t>s</w:t>
      </w:r>
      <w:r w:rsidR="005F4D3F" w:rsidRPr="0061584B">
        <w:t xml:space="preserve"> </w:t>
      </w:r>
      <w:r w:rsidR="00094E66">
        <w:t xml:space="preserve">by </w:t>
      </w:r>
      <w:r w:rsidR="005F4D3F" w:rsidRPr="0061584B">
        <w:t>main sectors</w:t>
      </w:r>
      <w:r w:rsidR="00DD50DA">
        <w:t>,</w:t>
      </w:r>
      <w:r w:rsidR="00FA56B5" w:rsidRPr="0061584B">
        <w:t xml:space="preserve"> </w:t>
      </w:r>
      <w:r w:rsidR="005F4D3F" w:rsidRPr="0061584B">
        <w:t>according to their destination</w:t>
      </w:r>
      <w:r w:rsidR="001C1817" w:rsidRPr="0061584B">
        <w:t xml:space="preserve">, </w:t>
      </w:r>
      <w:r w:rsidR="00440987" w:rsidRPr="0061584B">
        <w:t>2010</w:t>
      </w:r>
    </w:p>
    <w:p w:rsidR="00094E66" w:rsidRPr="0061584B" w:rsidRDefault="001223A0" w:rsidP="00094E66">
      <w:pPr>
        <w:spacing w:line="360" w:lineRule="auto"/>
        <w:jc w:val="center"/>
      </w:pPr>
      <w:r w:rsidRPr="00601585">
        <w:pict>
          <v:shape id="_x0000_i1027" type="#_x0000_t75" style="width:6in;height:70.5pt">
            <v:imagedata r:id="rId9" o:title=""/>
          </v:shape>
        </w:pict>
      </w:r>
    </w:p>
    <w:p w:rsidR="00440987" w:rsidRPr="000017FF" w:rsidRDefault="00440987" w:rsidP="006D5982">
      <w:pPr>
        <w:pStyle w:val="Source"/>
        <w:spacing w:line="360" w:lineRule="auto"/>
        <w:rPr>
          <w:sz w:val="20"/>
          <w:szCs w:val="20"/>
        </w:rPr>
      </w:pPr>
      <w:r w:rsidRPr="000017FF">
        <w:rPr>
          <w:sz w:val="20"/>
          <w:szCs w:val="20"/>
        </w:rPr>
        <w:t>Source: Authors’ calculations based on MIRAGE model</w:t>
      </w:r>
      <w:r w:rsidR="00334680" w:rsidRPr="000017FF">
        <w:rPr>
          <w:sz w:val="20"/>
          <w:szCs w:val="20"/>
        </w:rPr>
        <w:t>.</w:t>
      </w:r>
    </w:p>
    <w:p w:rsidR="004716C5" w:rsidRPr="0061584B" w:rsidRDefault="004716C5" w:rsidP="006D5982">
      <w:pPr>
        <w:spacing w:line="360" w:lineRule="auto"/>
      </w:pPr>
    </w:p>
    <w:p w:rsidR="00F15B2F" w:rsidRPr="000017FF" w:rsidRDefault="00E26F6C" w:rsidP="006D5982">
      <w:pPr>
        <w:spacing w:line="360" w:lineRule="auto"/>
        <w:rPr>
          <w:sz w:val="22"/>
          <w:szCs w:val="22"/>
        </w:rPr>
      </w:pPr>
      <w:r w:rsidRPr="000017FF">
        <w:rPr>
          <w:sz w:val="22"/>
          <w:szCs w:val="22"/>
        </w:rPr>
        <w:t>I</w:t>
      </w:r>
      <w:r w:rsidR="00F15B2F" w:rsidRPr="000017FF">
        <w:rPr>
          <w:sz w:val="22"/>
          <w:szCs w:val="22"/>
        </w:rPr>
        <w:t>n terms of import</w:t>
      </w:r>
      <w:r w:rsidR="004867F6" w:rsidRPr="000017FF">
        <w:rPr>
          <w:sz w:val="22"/>
          <w:szCs w:val="22"/>
        </w:rPr>
        <w:t xml:space="preserve"> share</w:t>
      </w:r>
      <w:r w:rsidR="00F15B2F" w:rsidRPr="000017FF">
        <w:rPr>
          <w:sz w:val="22"/>
          <w:szCs w:val="22"/>
        </w:rPr>
        <w:t>s, th</w:t>
      </w:r>
      <w:r w:rsidRPr="000017FF">
        <w:rPr>
          <w:sz w:val="22"/>
          <w:szCs w:val="22"/>
        </w:rPr>
        <w:t>ose</w:t>
      </w:r>
      <w:r w:rsidR="00F15B2F" w:rsidRPr="000017FF">
        <w:rPr>
          <w:sz w:val="22"/>
          <w:szCs w:val="22"/>
        </w:rPr>
        <w:t xml:space="preserve"> of agriculture and food exceed </w:t>
      </w:r>
      <w:r w:rsidR="004867F6" w:rsidRPr="000017FF">
        <w:rPr>
          <w:sz w:val="22"/>
          <w:szCs w:val="22"/>
        </w:rPr>
        <w:t xml:space="preserve">those </w:t>
      </w:r>
      <w:r w:rsidRPr="000017FF">
        <w:rPr>
          <w:sz w:val="22"/>
          <w:szCs w:val="22"/>
        </w:rPr>
        <w:t xml:space="preserve">of </w:t>
      </w:r>
      <w:r w:rsidR="00F15B2F" w:rsidRPr="000017FF">
        <w:rPr>
          <w:sz w:val="22"/>
          <w:szCs w:val="22"/>
        </w:rPr>
        <w:t xml:space="preserve">primary products both from the external world and within </w:t>
      </w:r>
      <w:smartTag w:uri="urn:schemas-microsoft-com:office:smarttags" w:element="place">
        <w:r w:rsidR="00F15B2F" w:rsidRPr="000017FF">
          <w:rPr>
            <w:sz w:val="22"/>
            <w:szCs w:val="22"/>
          </w:rPr>
          <w:t>Africa</w:t>
        </w:r>
      </w:smartTag>
      <w:r w:rsidR="00F15B2F" w:rsidRPr="000017FF">
        <w:rPr>
          <w:sz w:val="22"/>
          <w:szCs w:val="22"/>
        </w:rPr>
        <w:t xml:space="preserve"> (</w:t>
      </w:r>
      <w:r w:rsidR="00B03E3F" w:rsidRPr="000017FF">
        <w:rPr>
          <w:sz w:val="22"/>
          <w:szCs w:val="22"/>
        </w:rPr>
        <w:t>table</w:t>
      </w:r>
      <w:r w:rsidR="00F15B2F" w:rsidRPr="000017FF">
        <w:rPr>
          <w:sz w:val="22"/>
          <w:szCs w:val="22"/>
        </w:rPr>
        <w:t xml:space="preserve"> </w:t>
      </w:r>
      <w:r w:rsidRPr="000017FF">
        <w:rPr>
          <w:sz w:val="22"/>
          <w:szCs w:val="22"/>
        </w:rPr>
        <w:t>8.</w:t>
      </w:r>
      <w:r w:rsidR="00F15B2F" w:rsidRPr="000017FF">
        <w:rPr>
          <w:sz w:val="22"/>
          <w:szCs w:val="22"/>
        </w:rPr>
        <w:t xml:space="preserve">4). In addition, the share of </w:t>
      </w:r>
      <w:r w:rsidR="00BF1635" w:rsidRPr="000017FF">
        <w:rPr>
          <w:sz w:val="22"/>
          <w:szCs w:val="22"/>
        </w:rPr>
        <w:t xml:space="preserve">Africa’s </w:t>
      </w:r>
      <w:r w:rsidR="00F15B2F" w:rsidRPr="000017FF">
        <w:rPr>
          <w:sz w:val="22"/>
          <w:szCs w:val="22"/>
        </w:rPr>
        <w:t xml:space="preserve">total </w:t>
      </w:r>
      <w:r w:rsidR="00BF1635" w:rsidRPr="000017FF">
        <w:rPr>
          <w:sz w:val="22"/>
          <w:szCs w:val="22"/>
        </w:rPr>
        <w:t xml:space="preserve">imports of agricultural and food </w:t>
      </w:r>
      <w:r w:rsidR="002B2262">
        <w:rPr>
          <w:sz w:val="22"/>
          <w:szCs w:val="22"/>
        </w:rPr>
        <w:t xml:space="preserve">products </w:t>
      </w:r>
      <w:r w:rsidR="00BF1635" w:rsidRPr="000017FF">
        <w:rPr>
          <w:sz w:val="22"/>
          <w:szCs w:val="22"/>
        </w:rPr>
        <w:t xml:space="preserve">(regardless </w:t>
      </w:r>
      <w:r w:rsidR="002B2262">
        <w:rPr>
          <w:sz w:val="22"/>
          <w:szCs w:val="22"/>
        </w:rPr>
        <w:t>of</w:t>
      </w:r>
      <w:r w:rsidR="00BF1635" w:rsidRPr="000017FF">
        <w:rPr>
          <w:sz w:val="22"/>
          <w:szCs w:val="22"/>
        </w:rPr>
        <w:t xml:space="preserve"> origin) </w:t>
      </w:r>
      <w:r w:rsidR="00F15B2F" w:rsidRPr="000017FF">
        <w:rPr>
          <w:sz w:val="22"/>
          <w:szCs w:val="22"/>
        </w:rPr>
        <w:t xml:space="preserve">is higher than the </w:t>
      </w:r>
      <w:r w:rsidRPr="000017FF">
        <w:rPr>
          <w:sz w:val="22"/>
          <w:szCs w:val="22"/>
        </w:rPr>
        <w:t xml:space="preserve">corresponding </w:t>
      </w:r>
      <w:r w:rsidR="00F15B2F" w:rsidRPr="000017FF">
        <w:rPr>
          <w:sz w:val="22"/>
          <w:szCs w:val="22"/>
        </w:rPr>
        <w:t xml:space="preserve">share of </w:t>
      </w:r>
      <w:smartTag w:uri="urn:schemas-microsoft-com:office:smarttags" w:element="place">
        <w:r w:rsidR="00BF1635" w:rsidRPr="000017FF">
          <w:rPr>
            <w:sz w:val="22"/>
            <w:szCs w:val="22"/>
          </w:rPr>
          <w:t>Africa</w:t>
        </w:r>
      </w:smartTag>
      <w:r w:rsidR="00BF1635" w:rsidRPr="000017FF">
        <w:rPr>
          <w:sz w:val="22"/>
          <w:szCs w:val="22"/>
        </w:rPr>
        <w:t xml:space="preserve">’s </w:t>
      </w:r>
      <w:r w:rsidR="00F15B2F" w:rsidRPr="000017FF">
        <w:rPr>
          <w:sz w:val="22"/>
          <w:szCs w:val="22"/>
        </w:rPr>
        <w:t>exports</w:t>
      </w:r>
      <w:r w:rsidR="00CB62DA" w:rsidRPr="000017FF">
        <w:rPr>
          <w:sz w:val="22"/>
          <w:szCs w:val="22"/>
        </w:rPr>
        <w:t xml:space="preserve"> (regardless to the destination)</w:t>
      </w:r>
      <w:r w:rsidR="00F15B2F" w:rsidRPr="000017FF">
        <w:rPr>
          <w:sz w:val="22"/>
          <w:szCs w:val="22"/>
        </w:rPr>
        <w:t xml:space="preserve">, </w:t>
      </w:r>
      <w:r w:rsidR="00112E9A" w:rsidRPr="000017FF">
        <w:rPr>
          <w:sz w:val="22"/>
          <w:szCs w:val="22"/>
        </w:rPr>
        <w:t xml:space="preserve">as are </w:t>
      </w:r>
      <w:r w:rsidRPr="000017FF">
        <w:rPr>
          <w:sz w:val="22"/>
          <w:szCs w:val="22"/>
        </w:rPr>
        <w:t xml:space="preserve">the </w:t>
      </w:r>
      <w:r w:rsidR="00112E9A" w:rsidRPr="000017FF">
        <w:rPr>
          <w:sz w:val="22"/>
          <w:szCs w:val="22"/>
        </w:rPr>
        <w:t>absolute volumes</w:t>
      </w:r>
      <w:r w:rsidRPr="000017FF">
        <w:rPr>
          <w:sz w:val="22"/>
          <w:szCs w:val="22"/>
        </w:rPr>
        <w:t xml:space="preserve">. This </w:t>
      </w:r>
      <w:r w:rsidR="00920045" w:rsidRPr="000017FF">
        <w:rPr>
          <w:sz w:val="22"/>
          <w:szCs w:val="22"/>
        </w:rPr>
        <w:t>translate</w:t>
      </w:r>
      <w:r w:rsidRPr="000017FF">
        <w:rPr>
          <w:sz w:val="22"/>
          <w:szCs w:val="22"/>
        </w:rPr>
        <w:t>s</w:t>
      </w:r>
      <w:r w:rsidR="00112E9A" w:rsidRPr="000017FF">
        <w:rPr>
          <w:sz w:val="22"/>
          <w:szCs w:val="22"/>
        </w:rPr>
        <w:t xml:space="preserve"> into a negative trade balance (exports</w:t>
      </w:r>
      <w:r w:rsidRPr="000017FF">
        <w:rPr>
          <w:sz w:val="22"/>
          <w:szCs w:val="22"/>
        </w:rPr>
        <w:t xml:space="preserve"> minus </w:t>
      </w:r>
      <w:r w:rsidR="00112E9A" w:rsidRPr="000017FF">
        <w:rPr>
          <w:sz w:val="22"/>
          <w:szCs w:val="22"/>
        </w:rPr>
        <w:t xml:space="preserve">imports) </w:t>
      </w:r>
      <w:r w:rsidR="00CB62DA" w:rsidRPr="000017FF">
        <w:rPr>
          <w:sz w:val="22"/>
          <w:szCs w:val="22"/>
        </w:rPr>
        <w:t xml:space="preserve">for </w:t>
      </w:r>
      <w:smartTag w:uri="urn:schemas-microsoft-com:office:smarttags" w:element="place">
        <w:r w:rsidR="00CB62DA" w:rsidRPr="000017FF">
          <w:rPr>
            <w:sz w:val="22"/>
            <w:szCs w:val="22"/>
          </w:rPr>
          <w:t>Africa</w:t>
        </w:r>
      </w:smartTag>
      <w:r w:rsidR="00CB62DA" w:rsidRPr="000017FF">
        <w:rPr>
          <w:sz w:val="22"/>
          <w:szCs w:val="22"/>
        </w:rPr>
        <w:t xml:space="preserve"> of</w:t>
      </w:r>
      <w:r w:rsidR="00112E9A" w:rsidRPr="000017FF">
        <w:rPr>
          <w:sz w:val="22"/>
          <w:szCs w:val="22"/>
        </w:rPr>
        <w:t xml:space="preserve"> </w:t>
      </w:r>
      <w:r w:rsidRPr="000017FF">
        <w:rPr>
          <w:sz w:val="22"/>
          <w:szCs w:val="22"/>
        </w:rPr>
        <w:t>US</w:t>
      </w:r>
      <w:r w:rsidR="00112E9A" w:rsidRPr="000017FF">
        <w:rPr>
          <w:sz w:val="22"/>
          <w:szCs w:val="22"/>
        </w:rPr>
        <w:t>$4.8 billion for agricultural and food products</w:t>
      </w:r>
      <w:r w:rsidR="00CB62DA" w:rsidRPr="000017FF">
        <w:rPr>
          <w:sz w:val="22"/>
          <w:szCs w:val="22"/>
        </w:rPr>
        <w:t xml:space="preserve"> in 2010</w:t>
      </w:r>
      <w:r w:rsidR="00112E9A" w:rsidRPr="000017FF">
        <w:rPr>
          <w:sz w:val="22"/>
          <w:szCs w:val="22"/>
        </w:rPr>
        <w:t>.</w:t>
      </w:r>
    </w:p>
    <w:p w:rsidR="00112E9A" w:rsidRPr="0061584B" w:rsidRDefault="00112E9A" w:rsidP="006D5982">
      <w:pPr>
        <w:spacing w:line="360" w:lineRule="auto"/>
      </w:pPr>
    </w:p>
    <w:p w:rsidR="008F4E35" w:rsidRPr="0061584B" w:rsidRDefault="008F4E35" w:rsidP="009C49DE">
      <w:pPr>
        <w:pStyle w:val="Tableheading"/>
      </w:pPr>
      <w:r w:rsidRPr="0061584B">
        <w:t xml:space="preserve">Table </w:t>
      </w:r>
      <w:r w:rsidR="006436C9" w:rsidRPr="0061584B">
        <w:t>8.</w:t>
      </w:r>
      <w:r w:rsidRPr="0061584B">
        <w:t>4:</w:t>
      </w:r>
      <w:r w:rsidR="00BD7391">
        <w:tab/>
      </w:r>
      <w:r w:rsidR="00A250E4">
        <w:t>Percentage s</w:t>
      </w:r>
      <w:r w:rsidR="00094E66">
        <w:t>hare</w:t>
      </w:r>
      <w:r w:rsidR="00E26F6C">
        <w:t xml:space="preserve"> of </w:t>
      </w:r>
      <w:smartTag w:uri="urn:schemas-microsoft-com:office:smarttags" w:element="place">
        <w:r w:rsidRPr="0061584B">
          <w:t>Africa</w:t>
        </w:r>
      </w:smartTag>
      <w:r w:rsidRPr="0061584B">
        <w:t>’s import</w:t>
      </w:r>
      <w:r w:rsidR="00E26F6C">
        <w:t>s</w:t>
      </w:r>
      <w:r w:rsidRPr="0061584B">
        <w:t xml:space="preserve"> </w:t>
      </w:r>
      <w:r w:rsidR="00094E66">
        <w:t xml:space="preserve">by </w:t>
      </w:r>
      <w:r w:rsidRPr="0061584B">
        <w:t>main sectors</w:t>
      </w:r>
      <w:r w:rsidR="00E26F6C">
        <w:t>,</w:t>
      </w:r>
      <w:r w:rsidRPr="0061584B">
        <w:t xml:space="preserve"> according to their </w:t>
      </w:r>
      <w:r w:rsidR="00EC561D" w:rsidRPr="0061584B">
        <w:t>origin</w:t>
      </w:r>
      <w:r w:rsidR="00100197" w:rsidRPr="0061584B">
        <w:t>,</w:t>
      </w:r>
      <w:r w:rsidRPr="0061584B">
        <w:t xml:space="preserve"> </w:t>
      </w:r>
      <w:r w:rsidR="00440987" w:rsidRPr="0061584B">
        <w:t>2010</w:t>
      </w:r>
    </w:p>
    <w:p w:rsidR="008F4E35" w:rsidRDefault="008F4E35" w:rsidP="006D5982">
      <w:pPr>
        <w:spacing w:line="360" w:lineRule="auto"/>
      </w:pPr>
    </w:p>
    <w:p w:rsidR="00F45F52" w:rsidRPr="0061584B" w:rsidRDefault="00601585" w:rsidP="00F45F52">
      <w:pPr>
        <w:spacing w:line="360" w:lineRule="auto"/>
        <w:jc w:val="center"/>
      </w:pPr>
      <w:r w:rsidRPr="00601585">
        <w:pict>
          <v:shape id="_x0000_i1028" type="#_x0000_t75" style="width:6in;height:85.5pt">
            <v:imagedata r:id="rId10" o:title=""/>
          </v:shape>
        </w:pict>
      </w:r>
    </w:p>
    <w:p w:rsidR="00440987" w:rsidRPr="000017FF" w:rsidRDefault="00440987" w:rsidP="006D5982">
      <w:pPr>
        <w:pStyle w:val="Source"/>
        <w:spacing w:line="360" w:lineRule="auto"/>
        <w:rPr>
          <w:sz w:val="20"/>
          <w:szCs w:val="20"/>
        </w:rPr>
      </w:pPr>
      <w:r w:rsidRPr="000017FF">
        <w:rPr>
          <w:sz w:val="20"/>
          <w:szCs w:val="20"/>
        </w:rPr>
        <w:t>Source: Authors’ calculations based on MIRAGE model</w:t>
      </w:r>
      <w:r w:rsidR="00334680" w:rsidRPr="000017FF">
        <w:rPr>
          <w:sz w:val="20"/>
          <w:szCs w:val="20"/>
        </w:rPr>
        <w:t>.</w:t>
      </w:r>
    </w:p>
    <w:p w:rsidR="00F15B2F" w:rsidRPr="0061584B" w:rsidRDefault="00100197" w:rsidP="006D5982">
      <w:pPr>
        <w:pStyle w:val="Heading2"/>
        <w:spacing w:line="360" w:lineRule="auto"/>
      </w:pPr>
      <w:r w:rsidRPr="0061584B">
        <w:t>8.2.4</w:t>
      </w:r>
      <w:r w:rsidRPr="0061584B">
        <w:tab/>
      </w:r>
      <w:r w:rsidR="00F15B2F" w:rsidRPr="0061584B">
        <w:t xml:space="preserve">Tariff </w:t>
      </w:r>
      <w:r w:rsidR="002B2262" w:rsidRPr="0061584B">
        <w:t>barriers</w:t>
      </w:r>
    </w:p>
    <w:p w:rsidR="003C046C" w:rsidRPr="000017FF" w:rsidRDefault="003C046C" w:rsidP="006D5982">
      <w:pPr>
        <w:spacing w:line="360" w:lineRule="auto"/>
        <w:rPr>
          <w:sz w:val="22"/>
          <w:szCs w:val="22"/>
        </w:rPr>
      </w:pPr>
      <w:r w:rsidRPr="000017FF">
        <w:rPr>
          <w:bCs/>
          <w:sz w:val="22"/>
          <w:szCs w:val="22"/>
        </w:rPr>
        <w:t>The Abuja Treaty</w:t>
      </w:r>
      <w:r w:rsidR="0072787F" w:rsidRPr="000017FF">
        <w:rPr>
          <w:bCs/>
          <w:sz w:val="22"/>
          <w:szCs w:val="22"/>
        </w:rPr>
        <w:t>,</w:t>
      </w:r>
      <w:r w:rsidRPr="000017FF">
        <w:rPr>
          <w:bCs/>
          <w:sz w:val="22"/>
          <w:szCs w:val="22"/>
        </w:rPr>
        <w:t xml:space="preserve"> signed in 1991</w:t>
      </w:r>
      <w:r w:rsidR="0072787F" w:rsidRPr="000017FF">
        <w:rPr>
          <w:bCs/>
          <w:sz w:val="22"/>
          <w:szCs w:val="22"/>
        </w:rPr>
        <w:t>,</w:t>
      </w:r>
      <w:r w:rsidRPr="000017FF">
        <w:rPr>
          <w:b/>
          <w:bCs/>
          <w:sz w:val="22"/>
          <w:szCs w:val="22"/>
        </w:rPr>
        <w:t xml:space="preserve"> </w:t>
      </w:r>
      <w:r w:rsidRPr="000017FF">
        <w:rPr>
          <w:bCs/>
          <w:sz w:val="22"/>
          <w:szCs w:val="22"/>
        </w:rPr>
        <w:t>p</w:t>
      </w:r>
      <w:r w:rsidRPr="000017FF">
        <w:rPr>
          <w:sz w:val="22"/>
          <w:szCs w:val="22"/>
        </w:rPr>
        <w:t>rovides a clear roadmap detailing six stages</w:t>
      </w:r>
      <w:r w:rsidRPr="000017FF">
        <w:rPr>
          <w:rStyle w:val="FootnoteReference"/>
          <w:sz w:val="22"/>
          <w:szCs w:val="22"/>
        </w:rPr>
        <w:footnoteReference w:id="7"/>
      </w:r>
      <w:r w:rsidRPr="000017FF">
        <w:rPr>
          <w:sz w:val="22"/>
          <w:szCs w:val="22"/>
        </w:rPr>
        <w:t xml:space="preserve"> for regional integration in </w:t>
      </w:r>
      <w:smartTag w:uri="urn:schemas-microsoft-com:office:smarttags" w:element="place">
        <w:r w:rsidRPr="000017FF">
          <w:rPr>
            <w:sz w:val="22"/>
            <w:szCs w:val="22"/>
          </w:rPr>
          <w:t>Africa</w:t>
        </w:r>
      </w:smartTag>
      <w:r w:rsidRPr="000017FF">
        <w:rPr>
          <w:sz w:val="22"/>
          <w:szCs w:val="22"/>
        </w:rPr>
        <w:t xml:space="preserve">, with </w:t>
      </w:r>
      <w:r w:rsidR="0072787F" w:rsidRPr="000017FF">
        <w:rPr>
          <w:sz w:val="22"/>
          <w:szCs w:val="22"/>
        </w:rPr>
        <w:t xml:space="preserve">the </w:t>
      </w:r>
      <w:r w:rsidRPr="000017FF">
        <w:rPr>
          <w:sz w:val="22"/>
          <w:szCs w:val="22"/>
        </w:rPr>
        <w:t xml:space="preserve">ultimate objective to establish an African Economic Community </w:t>
      </w:r>
      <w:r w:rsidR="00547BBD">
        <w:rPr>
          <w:sz w:val="22"/>
          <w:szCs w:val="22"/>
        </w:rPr>
        <w:t xml:space="preserve">(AEC) </w:t>
      </w:r>
      <w:r w:rsidRPr="000017FF">
        <w:rPr>
          <w:sz w:val="22"/>
          <w:szCs w:val="22"/>
        </w:rPr>
        <w:t xml:space="preserve">by 2028. Currently in the </w:t>
      </w:r>
      <w:r w:rsidR="0072787F" w:rsidRPr="000017FF">
        <w:rPr>
          <w:sz w:val="22"/>
          <w:szCs w:val="22"/>
        </w:rPr>
        <w:t xml:space="preserve">midst </w:t>
      </w:r>
      <w:r w:rsidRPr="000017FF">
        <w:rPr>
          <w:sz w:val="22"/>
          <w:szCs w:val="22"/>
        </w:rPr>
        <w:t>of stage 3, the RECs are expected to move towards the formation of regional FTAs</w:t>
      </w:r>
      <w:r w:rsidR="00C05A32" w:rsidRPr="000017FF">
        <w:rPr>
          <w:sz w:val="22"/>
          <w:szCs w:val="22"/>
        </w:rPr>
        <w:t>,</w:t>
      </w:r>
      <w:r w:rsidRPr="000017FF">
        <w:rPr>
          <w:sz w:val="22"/>
          <w:szCs w:val="22"/>
        </w:rPr>
        <w:t xml:space="preserve"> followed by regional </w:t>
      </w:r>
      <w:r w:rsidR="00C05A32" w:rsidRPr="000017FF">
        <w:rPr>
          <w:sz w:val="22"/>
          <w:szCs w:val="22"/>
        </w:rPr>
        <w:t>c</w:t>
      </w:r>
      <w:r w:rsidRPr="000017FF">
        <w:rPr>
          <w:sz w:val="22"/>
          <w:szCs w:val="22"/>
        </w:rPr>
        <w:t xml:space="preserve">ustoms </w:t>
      </w:r>
      <w:r w:rsidR="00C05A32" w:rsidRPr="000017FF">
        <w:rPr>
          <w:sz w:val="22"/>
          <w:szCs w:val="22"/>
        </w:rPr>
        <w:t>u</w:t>
      </w:r>
      <w:r w:rsidRPr="000017FF">
        <w:rPr>
          <w:sz w:val="22"/>
          <w:szCs w:val="22"/>
        </w:rPr>
        <w:t>nions</w:t>
      </w:r>
      <w:r w:rsidR="00C05A32" w:rsidRPr="000017FF">
        <w:rPr>
          <w:sz w:val="22"/>
          <w:szCs w:val="22"/>
        </w:rPr>
        <w:t>,</w:t>
      </w:r>
      <w:r w:rsidRPr="000017FF">
        <w:rPr>
          <w:sz w:val="22"/>
          <w:szCs w:val="22"/>
        </w:rPr>
        <w:t xml:space="preserve"> to be effective by 2017. </w:t>
      </w:r>
      <w:r w:rsidR="00C05A32" w:rsidRPr="000017FF">
        <w:rPr>
          <w:sz w:val="22"/>
          <w:szCs w:val="22"/>
        </w:rPr>
        <w:t>N</w:t>
      </w:r>
      <w:r w:rsidR="00615D3E" w:rsidRPr="000017FF">
        <w:rPr>
          <w:sz w:val="22"/>
          <w:szCs w:val="22"/>
        </w:rPr>
        <w:t xml:space="preserve">ot </w:t>
      </w:r>
      <w:r w:rsidRPr="000017FF">
        <w:rPr>
          <w:sz w:val="22"/>
          <w:szCs w:val="22"/>
        </w:rPr>
        <w:t>all the RECs are advancing at the same speed. COMESA, EAC, SADC, ECCAS</w:t>
      </w:r>
      <w:r w:rsidR="00C05A32" w:rsidRPr="000017FF">
        <w:rPr>
          <w:sz w:val="22"/>
          <w:szCs w:val="22"/>
        </w:rPr>
        <w:t>,</w:t>
      </w:r>
      <w:r w:rsidRPr="000017FF">
        <w:rPr>
          <w:sz w:val="22"/>
          <w:szCs w:val="22"/>
        </w:rPr>
        <w:t xml:space="preserve"> and ECOWAS </w:t>
      </w:r>
      <w:r w:rsidR="00615D3E" w:rsidRPr="000017FF">
        <w:rPr>
          <w:sz w:val="22"/>
          <w:szCs w:val="22"/>
        </w:rPr>
        <w:t xml:space="preserve">appear </w:t>
      </w:r>
      <w:r w:rsidRPr="000017FF">
        <w:rPr>
          <w:sz w:val="22"/>
          <w:szCs w:val="22"/>
        </w:rPr>
        <w:t>on track</w:t>
      </w:r>
      <w:r w:rsidR="00C05A32" w:rsidRPr="000017FF">
        <w:rPr>
          <w:sz w:val="22"/>
          <w:szCs w:val="22"/>
        </w:rPr>
        <w:t>,</w:t>
      </w:r>
      <w:r w:rsidR="00C03457" w:rsidRPr="000017FF">
        <w:rPr>
          <w:sz w:val="22"/>
          <w:szCs w:val="22"/>
        </w:rPr>
        <w:t xml:space="preserve"> having made significant efforts </w:t>
      </w:r>
      <w:r w:rsidR="00C05A32" w:rsidRPr="000017FF">
        <w:rPr>
          <w:sz w:val="22"/>
          <w:szCs w:val="22"/>
        </w:rPr>
        <w:t>to</w:t>
      </w:r>
      <w:r w:rsidR="00C03457" w:rsidRPr="000017FF">
        <w:rPr>
          <w:sz w:val="22"/>
          <w:szCs w:val="22"/>
        </w:rPr>
        <w:t xml:space="preserve"> lower internal tariff barriers</w:t>
      </w:r>
      <w:r w:rsidRPr="000017FF">
        <w:rPr>
          <w:sz w:val="22"/>
          <w:szCs w:val="22"/>
        </w:rPr>
        <w:t>, and the EAC</w:t>
      </w:r>
      <w:r w:rsidR="00C05A32" w:rsidRPr="000017FF">
        <w:rPr>
          <w:sz w:val="22"/>
          <w:szCs w:val="22"/>
        </w:rPr>
        <w:t xml:space="preserve"> in particular</w:t>
      </w:r>
      <w:r w:rsidRPr="000017FF">
        <w:rPr>
          <w:sz w:val="22"/>
          <w:szCs w:val="22"/>
        </w:rPr>
        <w:t xml:space="preserve"> is in an advanced</w:t>
      </w:r>
      <w:r w:rsidR="00AD4F7A" w:rsidRPr="000017FF">
        <w:rPr>
          <w:sz w:val="22"/>
          <w:szCs w:val="22"/>
        </w:rPr>
        <w:t xml:space="preserve"> stage</w:t>
      </w:r>
      <w:r w:rsidR="00C03457" w:rsidRPr="000017FF">
        <w:rPr>
          <w:sz w:val="22"/>
          <w:szCs w:val="22"/>
        </w:rPr>
        <w:t xml:space="preserve">. </w:t>
      </w:r>
      <w:r w:rsidRPr="000017FF">
        <w:rPr>
          <w:sz w:val="22"/>
          <w:szCs w:val="22"/>
        </w:rPr>
        <w:t xml:space="preserve">IGAD and CEN-SAD are lagging behind. Furthermore, </w:t>
      </w:r>
      <w:r w:rsidR="00615D3E" w:rsidRPr="000017FF">
        <w:rPr>
          <w:sz w:val="22"/>
          <w:szCs w:val="22"/>
        </w:rPr>
        <w:t>even though</w:t>
      </w:r>
      <w:r w:rsidR="00AD4F7A" w:rsidRPr="000017FF">
        <w:rPr>
          <w:sz w:val="22"/>
          <w:szCs w:val="22"/>
        </w:rPr>
        <w:t xml:space="preserve"> tariff barriers on goods have started decreasing within the RECs</w:t>
      </w:r>
      <w:r w:rsidR="00C05A32" w:rsidRPr="000017FF">
        <w:rPr>
          <w:sz w:val="22"/>
          <w:szCs w:val="22"/>
        </w:rPr>
        <w:t>,</w:t>
      </w:r>
      <w:r w:rsidR="00AD4F7A" w:rsidRPr="000017FF">
        <w:rPr>
          <w:sz w:val="22"/>
          <w:szCs w:val="22"/>
        </w:rPr>
        <w:t xml:space="preserve"> they remain quite significant between RECs (</w:t>
      </w:r>
      <w:r w:rsidR="00B03E3F" w:rsidRPr="000017FF">
        <w:rPr>
          <w:sz w:val="22"/>
          <w:szCs w:val="22"/>
        </w:rPr>
        <w:t>figure</w:t>
      </w:r>
      <w:r w:rsidR="00AD4F7A" w:rsidRPr="000017FF">
        <w:rPr>
          <w:sz w:val="22"/>
          <w:szCs w:val="22"/>
        </w:rPr>
        <w:t xml:space="preserve"> </w:t>
      </w:r>
      <w:r w:rsidR="00C05A32" w:rsidRPr="000017FF">
        <w:rPr>
          <w:sz w:val="22"/>
          <w:szCs w:val="22"/>
        </w:rPr>
        <w:t>8.</w:t>
      </w:r>
      <w:r w:rsidR="00AD4F7A" w:rsidRPr="000017FF">
        <w:rPr>
          <w:sz w:val="22"/>
          <w:szCs w:val="22"/>
        </w:rPr>
        <w:t>1).</w:t>
      </w:r>
    </w:p>
    <w:p w:rsidR="003531EF" w:rsidRPr="000017FF" w:rsidRDefault="00AD4F7A" w:rsidP="006D5982">
      <w:pPr>
        <w:spacing w:line="360" w:lineRule="auto"/>
        <w:rPr>
          <w:sz w:val="22"/>
          <w:szCs w:val="22"/>
        </w:rPr>
      </w:pPr>
      <w:r w:rsidRPr="000017FF">
        <w:rPr>
          <w:sz w:val="22"/>
          <w:szCs w:val="22"/>
        </w:rPr>
        <w:t xml:space="preserve">In </w:t>
      </w:r>
      <w:proofErr w:type="gramStart"/>
      <w:r w:rsidRPr="000017FF">
        <w:rPr>
          <w:sz w:val="22"/>
          <w:szCs w:val="22"/>
        </w:rPr>
        <w:t>this context t</w:t>
      </w:r>
      <w:r w:rsidR="00402C89" w:rsidRPr="000017FF">
        <w:rPr>
          <w:sz w:val="22"/>
          <w:szCs w:val="22"/>
        </w:rPr>
        <w:t>ariff barriers</w:t>
      </w:r>
      <w:proofErr w:type="gramEnd"/>
      <w:r w:rsidR="00A654C5" w:rsidRPr="000017FF">
        <w:rPr>
          <w:sz w:val="22"/>
          <w:szCs w:val="22"/>
        </w:rPr>
        <w:t xml:space="preserve"> </w:t>
      </w:r>
      <w:r w:rsidRPr="000017FF">
        <w:rPr>
          <w:sz w:val="22"/>
          <w:szCs w:val="22"/>
        </w:rPr>
        <w:t xml:space="preserve">still </w:t>
      </w:r>
      <w:r w:rsidR="00A654C5" w:rsidRPr="000017FF">
        <w:rPr>
          <w:sz w:val="22"/>
          <w:szCs w:val="22"/>
        </w:rPr>
        <w:t xml:space="preserve">constitute significant obstacles to trade </w:t>
      </w:r>
      <w:r w:rsidR="00F8081D" w:rsidRPr="000017FF">
        <w:rPr>
          <w:sz w:val="22"/>
          <w:szCs w:val="22"/>
        </w:rPr>
        <w:t xml:space="preserve">within </w:t>
      </w:r>
      <w:smartTag w:uri="urn:schemas-microsoft-com:office:smarttags" w:element="place">
        <w:r w:rsidR="00A654C5" w:rsidRPr="000017FF">
          <w:rPr>
            <w:sz w:val="22"/>
            <w:szCs w:val="22"/>
          </w:rPr>
          <w:t>Africa</w:t>
        </w:r>
      </w:smartTag>
      <w:r w:rsidR="00C05A32" w:rsidRPr="000017FF">
        <w:rPr>
          <w:sz w:val="22"/>
          <w:szCs w:val="22"/>
        </w:rPr>
        <w:t>.</w:t>
      </w:r>
      <w:r w:rsidR="00402C89" w:rsidRPr="000017FF">
        <w:rPr>
          <w:rStyle w:val="FootnoteReference"/>
          <w:b/>
          <w:sz w:val="22"/>
          <w:szCs w:val="22"/>
        </w:rPr>
        <w:footnoteReference w:id="8"/>
      </w:r>
      <w:r w:rsidR="00A654C5" w:rsidRPr="000017FF">
        <w:rPr>
          <w:sz w:val="22"/>
          <w:szCs w:val="22"/>
        </w:rPr>
        <w:t xml:space="preserve"> Africa</w:t>
      </w:r>
      <w:r w:rsidR="00902313" w:rsidRPr="000017FF">
        <w:rPr>
          <w:sz w:val="22"/>
          <w:szCs w:val="22"/>
        </w:rPr>
        <w:t xml:space="preserve">n countries </w:t>
      </w:r>
      <w:r w:rsidR="003531EF" w:rsidRPr="000017FF">
        <w:rPr>
          <w:sz w:val="22"/>
          <w:szCs w:val="22"/>
        </w:rPr>
        <w:t xml:space="preserve">generally have </w:t>
      </w:r>
      <w:r w:rsidR="00A654C5" w:rsidRPr="000017FF">
        <w:rPr>
          <w:sz w:val="22"/>
          <w:szCs w:val="22"/>
        </w:rPr>
        <w:t>relatively good access</w:t>
      </w:r>
      <w:r w:rsidR="00254AA0" w:rsidRPr="000017FF">
        <w:rPr>
          <w:sz w:val="22"/>
          <w:szCs w:val="22"/>
        </w:rPr>
        <w:t xml:space="preserve"> </w:t>
      </w:r>
      <w:r w:rsidR="00A654C5" w:rsidRPr="000017FF">
        <w:rPr>
          <w:sz w:val="22"/>
          <w:szCs w:val="22"/>
        </w:rPr>
        <w:t xml:space="preserve">when exporting </w:t>
      </w:r>
      <w:r w:rsidR="00475547" w:rsidRPr="000017FF">
        <w:rPr>
          <w:sz w:val="22"/>
          <w:szCs w:val="22"/>
        </w:rPr>
        <w:t xml:space="preserve">to the rest of the world, </w:t>
      </w:r>
      <w:r w:rsidR="00F15B2F" w:rsidRPr="000017FF">
        <w:rPr>
          <w:sz w:val="22"/>
          <w:szCs w:val="22"/>
        </w:rPr>
        <w:t xml:space="preserve">with a </w:t>
      </w:r>
      <w:r w:rsidR="00A06249" w:rsidRPr="000017FF">
        <w:rPr>
          <w:sz w:val="22"/>
          <w:szCs w:val="22"/>
        </w:rPr>
        <w:t>2.6</w:t>
      </w:r>
      <w:r w:rsidR="000F4C18" w:rsidRPr="000017FF">
        <w:rPr>
          <w:sz w:val="22"/>
          <w:szCs w:val="22"/>
        </w:rPr>
        <w:t xml:space="preserve"> per cent</w:t>
      </w:r>
      <w:r w:rsidR="00F15B2F" w:rsidRPr="000017FF">
        <w:rPr>
          <w:sz w:val="22"/>
          <w:szCs w:val="22"/>
        </w:rPr>
        <w:t xml:space="preserve"> average </w:t>
      </w:r>
      <w:r w:rsidR="003531EF" w:rsidRPr="000017FF">
        <w:rPr>
          <w:sz w:val="22"/>
          <w:szCs w:val="22"/>
        </w:rPr>
        <w:t xml:space="preserve">level of </w:t>
      </w:r>
      <w:r w:rsidR="00F15B2F" w:rsidRPr="000017FF">
        <w:rPr>
          <w:sz w:val="22"/>
          <w:szCs w:val="22"/>
        </w:rPr>
        <w:t>protection</w:t>
      </w:r>
      <w:r w:rsidR="003531EF" w:rsidRPr="000017FF">
        <w:rPr>
          <w:sz w:val="22"/>
          <w:szCs w:val="22"/>
        </w:rPr>
        <w:t>,</w:t>
      </w:r>
      <w:r w:rsidR="00107388" w:rsidRPr="000017FF">
        <w:rPr>
          <w:sz w:val="22"/>
          <w:szCs w:val="22"/>
        </w:rPr>
        <w:t xml:space="preserve"> thanks to numerous preferential agreements: </w:t>
      </w:r>
      <w:r w:rsidR="003531EF" w:rsidRPr="000017FF">
        <w:rPr>
          <w:sz w:val="22"/>
          <w:szCs w:val="22"/>
        </w:rPr>
        <w:t xml:space="preserve">the </w:t>
      </w:r>
      <w:r w:rsidR="00107388" w:rsidRPr="000017FF">
        <w:rPr>
          <w:sz w:val="22"/>
          <w:szCs w:val="22"/>
        </w:rPr>
        <w:t>Generalized System of Preferences (GSP)</w:t>
      </w:r>
      <w:r w:rsidR="00A654C5" w:rsidRPr="000017FF">
        <w:rPr>
          <w:sz w:val="22"/>
          <w:szCs w:val="22"/>
        </w:rPr>
        <w:t>,</w:t>
      </w:r>
      <w:r w:rsidR="00902313" w:rsidRPr="000017FF">
        <w:rPr>
          <w:sz w:val="22"/>
          <w:szCs w:val="22"/>
        </w:rPr>
        <w:t xml:space="preserve"> </w:t>
      </w:r>
      <w:r w:rsidR="003531EF" w:rsidRPr="000017FF">
        <w:rPr>
          <w:sz w:val="22"/>
          <w:szCs w:val="22"/>
        </w:rPr>
        <w:t xml:space="preserve">the </w:t>
      </w:r>
      <w:r w:rsidR="00107388" w:rsidRPr="000017FF">
        <w:rPr>
          <w:sz w:val="22"/>
          <w:szCs w:val="22"/>
        </w:rPr>
        <w:t>Everything but Arms (EBA) initiative</w:t>
      </w:r>
      <w:r w:rsidR="003531EF" w:rsidRPr="000017FF">
        <w:rPr>
          <w:sz w:val="22"/>
          <w:szCs w:val="22"/>
        </w:rPr>
        <w:t>,</w:t>
      </w:r>
      <w:r w:rsidR="00107388" w:rsidRPr="000017FF">
        <w:rPr>
          <w:sz w:val="22"/>
          <w:szCs w:val="22"/>
        </w:rPr>
        <w:t xml:space="preserve"> </w:t>
      </w:r>
      <w:r w:rsidR="00EB5F3F">
        <w:rPr>
          <w:sz w:val="22"/>
          <w:szCs w:val="22"/>
        </w:rPr>
        <w:t>and</w:t>
      </w:r>
      <w:r w:rsidR="00EB5F3F" w:rsidRPr="000017FF">
        <w:rPr>
          <w:sz w:val="22"/>
          <w:szCs w:val="22"/>
        </w:rPr>
        <w:t xml:space="preserve"> </w:t>
      </w:r>
      <w:r w:rsidR="003531EF" w:rsidRPr="000017FF">
        <w:rPr>
          <w:sz w:val="22"/>
          <w:szCs w:val="22"/>
        </w:rPr>
        <w:t xml:space="preserve">the </w:t>
      </w:r>
      <w:r w:rsidR="00107388" w:rsidRPr="000017FF">
        <w:rPr>
          <w:sz w:val="22"/>
          <w:szCs w:val="22"/>
        </w:rPr>
        <w:t>African Growth Opportunity Act (AGOA)</w:t>
      </w:r>
      <w:r w:rsidR="003531EF" w:rsidRPr="000017FF">
        <w:rPr>
          <w:sz w:val="22"/>
          <w:szCs w:val="22"/>
        </w:rPr>
        <w:t>.</w:t>
      </w:r>
      <w:r w:rsidR="00107388" w:rsidRPr="000017FF">
        <w:rPr>
          <w:sz w:val="22"/>
          <w:szCs w:val="22"/>
        </w:rPr>
        <w:t xml:space="preserve"> </w:t>
      </w:r>
      <w:r w:rsidR="003531EF" w:rsidRPr="000017FF">
        <w:rPr>
          <w:sz w:val="22"/>
          <w:szCs w:val="22"/>
        </w:rPr>
        <w:t xml:space="preserve">In contrast, </w:t>
      </w:r>
      <w:r w:rsidR="00902313" w:rsidRPr="000017FF">
        <w:rPr>
          <w:sz w:val="22"/>
          <w:szCs w:val="22"/>
        </w:rPr>
        <w:t>the average protection they face when exporting to African partners is significantly higher</w:t>
      </w:r>
      <w:r w:rsidR="00475547" w:rsidRPr="000017FF">
        <w:rPr>
          <w:sz w:val="22"/>
          <w:szCs w:val="22"/>
        </w:rPr>
        <w:t>, at</w:t>
      </w:r>
      <w:r w:rsidR="00A06249" w:rsidRPr="000017FF">
        <w:rPr>
          <w:sz w:val="22"/>
          <w:szCs w:val="22"/>
        </w:rPr>
        <w:t xml:space="preserve"> 8.7</w:t>
      </w:r>
      <w:r w:rsidR="000F4C18" w:rsidRPr="000017FF">
        <w:rPr>
          <w:sz w:val="22"/>
          <w:szCs w:val="22"/>
        </w:rPr>
        <w:t xml:space="preserve"> per cent</w:t>
      </w:r>
      <w:r w:rsidR="00902313" w:rsidRPr="000017FF">
        <w:rPr>
          <w:sz w:val="22"/>
          <w:szCs w:val="22"/>
        </w:rPr>
        <w:t>.</w:t>
      </w:r>
      <w:r w:rsidR="00A06249" w:rsidRPr="000017FF">
        <w:rPr>
          <w:sz w:val="22"/>
          <w:szCs w:val="22"/>
        </w:rPr>
        <w:t xml:space="preserve"> </w:t>
      </w:r>
    </w:p>
    <w:p w:rsidR="002A3515" w:rsidRPr="000017FF" w:rsidRDefault="003531EF" w:rsidP="003141C0">
      <w:pPr>
        <w:spacing w:line="360" w:lineRule="auto"/>
        <w:rPr>
          <w:sz w:val="22"/>
          <w:szCs w:val="22"/>
        </w:rPr>
      </w:pPr>
      <w:r w:rsidRPr="000017FF">
        <w:rPr>
          <w:sz w:val="22"/>
          <w:szCs w:val="22"/>
        </w:rPr>
        <w:t>T</w:t>
      </w:r>
      <w:r w:rsidR="00A06249" w:rsidRPr="000017FF">
        <w:rPr>
          <w:sz w:val="22"/>
          <w:szCs w:val="22"/>
        </w:rPr>
        <w:t xml:space="preserve">hese </w:t>
      </w:r>
      <w:r w:rsidR="00107388" w:rsidRPr="000017FF">
        <w:rPr>
          <w:sz w:val="22"/>
          <w:szCs w:val="22"/>
        </w:rPr>
        <w:t xml:space="preserve">aggregated </w:t>
      </w:r>
      <w:r w:rsidR="00A06249" w:rsidRPr="000017FF">
        <w:rPr>
          <w:sz w:val="22"/>
          <w:szCs w:val="22"/>
        </w:rPr>
        <w:t xml:space="preserve">numbers hide very unequal average </w:t>
      </w:r>
      <w:r w:rsidR="00107388" w:rsidRPr="000017FF">
        <w:rPr>
          <w:sz w:val="22"/>
          <w:szCs w:val="22"/>
        </w:rPr>
        <w:t>protection structures</w:t>
      </w:r>
      <w:r w:rsidR="00A06249" w:rsidRPr="000017FF">
        <w:rPr>
          <w:sz w:val="22"/>
          <w:szCs w:val="22"/>
        </w:rPr>
        <w:t xml:space="preserve"> at the product level. </w:t>
      </w:r>
      <w:r w:rsidRPr="000017FF">
        <w:rPr>
          <w:sz w:val="22"/>
          <w:szCs w:val="22"/>
        </w:rPr>
        <w:t>T</w:t>
      </w:r>
      <w:r w:rsidR="00A06249" w:rsidRPr="000017FF">
        <w:rPr>
          <w:sz w:val="22"/>
          <w:szCs w:val="22"/>
        </w:rPr>
        <w:t xml:space="preserve">he average tariff barriers faced by African countries on primary </w:t>
      </w:r>
      <w:r w:rsidR="00F15B2F" w:rsidRPr="000017FF">
        <w:rPr>
          <w:sz w:val="22"/>
          <w:szCs w:val="22"/>
        </w:rPr>
        <w:t>goods</w:t>
      </w:r>
      <w:r w:rsidR="00A06249" w:rsidRPr="000017FF">
        <w:rPr>
          <w:sz w:val="22"/>
          <w:szCs w:val="22"/>
        </w:rPr>
        <w:t xml:space="preserve"> </w:t>
      </w:r>
      <w:r w:rsidR="00107388" w:rsidRPr="000017FF">
        <w:rPr>
          <w:sz w:val="22"/>
          <w:szCs w:val="22"/>
        </w:rPr>
        <w:t>export</w:t>
      </w:r>
      <w:r w:rsidRPr="000017FF">
        <w:rPr>
          <w:sz w:val="22"/>
          <w:szCs w:val="22"/>
        </w:rPr>
        <w:t>ed</w:t>
      </w:r>
      <w:r w:rsidR="00107388" w:rsidRPr="000017FF">
        <w:rPr>
          <w:sz w:val="22"/>
          <w:szCs w:val="22"/>
        </w:rPr>
        <w:t xml:space="preserve"> both </w:t>
      </w:r>
      <w:r w:rsidR="006F77F9" w:rsidRPr="000017FF">
        <w:rPr>
          <w:sz w:val="22"/>
          <w:szCs w:val="22"/>
        </w:rPr>
        <w:t xml:space="preserve">externally as well as </w:t>
      </w:r>
      <w:r w:rsidR="00107388" w:rsidRPr="000017FF">
        <w:rPr>
          <w:sz w:val="22"/>
          <w:szCs w:val="22"/>
        </w:rPr>
        <w:t xml:space="preserve">within </w:t>
      </w:r>
      <w:smartTag w:uri="urn:schemas-microsoft-com:office:smarttags" w:element="place">
        <w:r w:rsidR="00107388" w:rsidRPr="000017FF">
          <w:rPr>
            <w:sz w:val="22"/>
            <w:szCs w:val="22"/>
          </w:rPr>
          <w:t>Africa</w:t>
        </w:r>
      </w:smartTag>
      <w:r w:rsidRPr="000017FF">
        <w:rPr>
          <w:sz w:val="22"/>
          <w:szCs w:val="22"/>
        </w:rPr>
        <w:t xml:space="preserve"> are very low,</w:t>
      </w:r>
      <w:r w:rsidR="00107388" w:rsidRPr="000017FF">
        <w:rPr>
          <w:sz w:val="22"/>
          <w:szCs w:val="22"/>
        </w:rPr>
        <w:t xml:space="preserve"> </w:t>
      </w:r>
      <w:r w:rsidR="006F77F9" w:rsidRPr="000017FF">
        <w:rPr>
          <w:sz w:val="22"/>
          <w:szCs w:val="22"/>
        </w:rPr>
        <w:t xml:space="preserve">at </w:t>
      </w:r>
      <w:r w:rsidR="00107388" w:rsidRPr="000017FF">
        <w:rPr>
          <w:sz w:val="22"/>
          <w:szCs w:val="22"/>
        </w:rPr>
        <w:t>1.1</w:t>
      </w:r>
      <w:r w:rsidR="000F4C18" w:rsidRPr="000017FF">
        <w:rPr>
          <w:sz w:val="22"/>
          <w:szCs w:val="22"/>
        </w:rPr>
        <w:t xml:space="preserve"> per cent</w:t>
      </w:r>
      <w:r w:rsidR="00107388" w:rsidRPr="000017FF">
        <w:rPr>
          <w:sz w:val="22"/>
          <w:szCs w:val="22"/>
        </w:rPr>
        <w:t xml:space="preserve"> and 2.3</w:t>
      </w:r>
      <w:r w:rsidR="000F4C18" w:rsidRPr="000017FF">
        <w:rPr>
          <w:sz w:val="22"/>
          <w:szCs w:val="22"/>
        </w:rPr>
        <w:t xml:space="preserve"> per cent</w:t>
      </w:r>
      <w:r w:rsidRPr="000017FF">
        <w:rPr>
          <w:sz w:val="22"/>
          <w:szCs w:val="22"/>
        </w:rPr>
        <w:t>,</w:t>
      </w:r>
      <w:r w:rsidR="00107388" w:rsidRPr="000017FF">
        <w:rPr>
          <w:sz w:val="22"/>
          <w:szCs w:val="22"/>
        </w:rPr>
        <w:t xml:space="preserve"> respectively</w:t>
      </w:r>
      <w:r w:rsidRPr="000017FF">
        <w:rPr>
          <w:sz w:val="22"/>
          <w:szCs w:val="22"/>
        </w:rPr>
        <w:t>.</w:t>
      </w:r>
      <w:r w:rsidR="00107388" w:rsidRPr="000017FF">
        <w:rPr>
          <w:sz w:val="22"/>
          <w:szCs w:val="22"/>
        </w:rPr>
        <w:t xml:space="preserve"> </w:t>
      </w:r>
      <w:r w:rsidRPr="000017FF">
        <w:rPr>
          <w:sz w:val="22"/>
          <w:szCs w:val="22"/>
        </w:rPr>
        <w:t>S</w:t>
      </w:r>
      <w:r w:rsidR="00107388" w:rsidRPr="000017FF">
        <w:rPr>
          <w:sz w:val="22"/>
          <w:szCs w:val="22"/>
        </w:rPr>
        <w:t>ignificant differences appear for other products</w:t>
      </w:r>
      <w:r w:rsidRPr="000017FF">
        <w:rPr>
          <w:sz w:val="22"/>
          <w:szCs w:val="22"/>
        </w:rPr>
        <w:t>, however</w:t>
      </w:r>
      <w:r w:rsidR="00107388" w:rsidRPr="000017FF">
        <w:rPr>
          <w:sz w:val="22"/>
          <w:szCs w:val="22"/>
        </w:rPr>
        <w:t xml:space="preserve">. On one hand, </w:t>
      </w:r>
      <w:r w:rsidRPr="000017FF">
        <w:rPr>
          <w:sz w:val="22"/>
          <w:szCs w:val="22"/>
        </w:rPr>
        <w:t xml:space="preserve">on </w:t>
      </w:r>
      <w:r w:rsidR="006F77F9" w:rsidRPr="000017FF">
        <w:rPr>
          <w:sz w:val="22"/>
          <w:szCs w:val="22"/>
        </w:rPr>
        <w:t xml:space="preserve">goods excluding </w:t>
      </w:r>
      <w:r w:rsidR="00107388" w:rsidRPr="000017FF">
        <w:rPr>
          <w:sz w:val="22"/>
          <w:szCs w:val="22"/>
        </w:rPr>
        <w:t>agriculture, food</w:t>
      </w:r>
      <w:r w:rsidRPr="000017FF">
        <w:rPr>
          <w:sz w:val="22"/>
          <w:szCs w:val="22"/>
        </w:rPr>
        <w:t>,</w:t>
      </w:r>
      <w:r w:rsidR="00107388" w:rsidRPr="000017FF">
        <w:rPr>
          <w:sz w:val="22"/>
          <w:szCs w:val="22"/>
        </w:rPr>
        <w:t xml:space="preserve"> and primary</w:t>
      </w:r>
      <w:r w:rsidR="006F77F9" w:rsidRPr="000017FF">
        <w:rPr>
          <w:sz w:val="22"/>
          <w:szCs w:val="22"/>
        </w:rPr>
        <w:t xml:space="preserve"> products</w:t>
      </w:r>
      <w:r w:rsidR="00107388" w:rsidRPr="000017FF">
        <w:rPr>
          <w:sz w:val="22"/>
          <w:szCs w:val="22"/>
        </w:rPr>
        <w:t xml:space="preserve"> </w:t>
      </w:r>
      <w:r w:rsidR="006F77F9" w:rsidRPr="000017FF">
        <w:rPr>
          <w:sz w:val="22"/>
          <w:szCs w:val="22"/>
        </w:rPr>
        <w:t xml:space="preserve">exported to the rest of the world, </w:t>
      </w:r>
      <w:smartTag w:uri="urn:schemas-microsoft-com:office:smarttags" w:element="place">
        <w:r w:rsidR="00107388" w:rsidRPr="000017FF">
          <w:rPr>
            <w:sz w:val="22"/>
            <w:szCs w:val="22"/>
          </w:rPr>
          <w:t>Africa</w:t>
        </w:r>
      </w:smartTag>
      <w:r w:rsidR="00107388" w:rsidRPr="000017FF">
        <w:rPr>
          <w:sz w:val="22"/>
          <w:szCs w:val="22"/>
        </w:rPr>
        <w:t xml:space="preserve"> </w:t>
      </w:r>
      <w:r w:rsidR="006F77F9" w:rsidRPr="000017FF">
        <w:rPr>
          <w:sz w:val="22"/>
          <w:szCs w:val="22"/>
        </w:rPr>
        <w:t xml:space="preserve">faces </w:t>
      </w:r>
      <w:r w:rsidR="00107388" w:rsidRPr="000017FF">
        <w:rPr>
          <w:sz w:val="22"/>
          <w:szCs w:val="22"/>
        </w:rPr>
        <w:t xml:space="preserve">relatively </w:t>
      </w:r>
      <w:r w:rsidR="000906BF" w:rsidRPr="000017FF">
        <w:rPr>
          <w:sz w:val="22"/>
          <w:szCs w:val="22"/>
        </w:rPr>
        <w:t>low tariff barriers</w:t>
      </w:r>
      <w:r w:rsidR="006F77F9" w:rsidRPr="000017FF">
        <w:rPr>
          <w:sz w:val="22"/>
          <w:szCs w:val="22"/>
        </w:rPr>
        <w:t>, at</w:t>
      </w:r>
      <w:r w:rsidR="000906BF" w:rsidRPr="000017FF">
        <w:rPr>
          <w:sz w:val="22"/>
          <w:szCs w:val="22"/>
        </w:rPr>
        <w:t xml:space="preserve"> 2.3</w:t>
      </w:r>
      <w:r w:rsidR="000F4C18" w:rsidRPr="000017FF">
        <w:rPr>
          <w:sz w:val="22"/>
          <w:szCs w:val="22"/>
        </w:rPr>
        <w:t xml:space="preserve"> per cent</w:t>
      </w:r>
      <w:r w:rsidR="00F4351B" w:rsidRPr="000017FF">
        <w:rPr>
          <w:sz w:val="22"/>
          <w:szCs w:val="22"/>
        </w:rPr>
        <w:t xml:space="preserve"> on average</w:t>
      </w:r>
      <w:r w:rsidR="000906BF" w:rsidRPr="000017FF">
        <w:rPr>
          <w:sz w:val="22"/>
          <w:szCs w:val="22"/>
        </w:rPr>
        <w:t xml:space="preserve">. </w:t>
      </w:r>
      <w:r w:rsidRPr="000017FF">
        <w:rPr>
          <w:sz w:val="22"/>
          <w:szCs w:val="22"/>
        </w:rPr>
        <w:t>P</w:t>
      </w:r>
      <w:r w:rsidR="000906BF" w:rsidRPr="000017FF">
        <w:rPr>
          <w:sz w:val="22"/>
          <w:szCs w:val="22"/>
        </w:rPr>
        <w:t xml:space="preserve">rotection for these products </w:t>
      </w:r>
      <w:r w:rsidR="000906BF" w:rsidRPr="000017FF">
        <w:rPr>
          <w:i/>
          <w:sz w:val="22"/>
          <w:szCs w:val="22"/>
        </w:rPr>
        <w:t>within</w:t>
      </w:r>
      <w:r w:rsidR="000906BF" w:rsidRPr="000017FF">
        <w:rPr>
          <w:sz w:val="22"/>
          <w:szCs w:val="22"/>
        </w:rPr>
        <w:t xml:space="preserve"> </w:t>
      </w:r>
      <w:smartTag w:uri="urn:schemas-microsoft-com:office:smarttags" w:element="place">
        <w:r w:rsidR="000906BF" w:rsidRPr="000017FF">
          <w:rPr>
            <w:sz w:val="22"/>
            <w:szCs w:val="22"/>
          </w:rPr>
          <w:t>Africa</w:t>
        </w:r>
      </w:smartTag>
      <w:r w:rsidR="000906BF" w:rsidRPr="000017FF">
        <w:rPr>
          <w:sz w:val="22"/>
          <w:szCs w:val="22"/>
        </w:rPr>
        <w:t xml:space="preserve"> is considerably higher</w:t>
      </w:r>
      <w:r w:rsidR="006F77F9" w:rsidRPr="000017FF">
        <w:rPr>
          <w:sz w:val="22"/>
          <w:szCs w:val="22"/>
        </w:rPr>
        <w:t>, at</w:t>
      </w:r>
      <w:r w:rsidR="000906BF" w:rsidRPr="000017FF">
        <w:rPr>
          <w:sz w:val="22"/>
          <w:szCs w:val="22"/>
        </w:rPr>
        <w:t xml:space="preserve"> 9.0</w:t>
      </w:r>
      <w:r w:rsidR="000F4C18" w:rsidRPr="000017FF">
        <w:rPr>
          <w:sz w:val="22"/>
          <w:szCs w:val="22"/>
        </w:rPr>
        <w:t xml:space="preserve"> per cent</w:t>
      </w:r>
      <w:r w:rsidR="00F4351B" w:rsidRPr="000017FF">
        <w:rPr>
          <w:sz w:val="22"/>
          <w:szCs w:val="22"/>
        </w:rPr>
        <w:t xml:space="preserve"> on average</w:t>
      </w:r>
      <w:r w:rsidR="000906BF" w:rsidRPr="000017FF">
        <w:rPr>
          <w:sz w:val="22"/>
          <w:szCs w:val="22"/>
        </w:rPr>
        <w:t xml:space="preserve">. On the other hand, exporting agricultural and food products – which are </w:t>
      </w:r>
      <w:r w:rsidR="006A5D75" w:rsidRPr="000017FF">
        <w:rPr>
          <w:sz w:val="22"/>
          <w:szCs w:val="22"/>
        </w:rPr>
        <w:t xml:space="preserve">of </w:t>
      </w:r>
      <w:r w:rsidRPr="000017FF">
        <w:rPr>
          <w:sz w:val="22"/>
          <w:szCs w:val="22"/>
        </w:rPr>
        <w:t xml:space="preserve">great </w:t>
      </w:r>
      <w:r w:rsidR="006A5D75" w:rsidRPr="000017FF">
        <w:rPr>
          <w:sz w:val="22"/>
          <w:szCs w:val="22"/>
        </w:rPr>
        <w:t>importance</w:t>
      </w:r>
      <w:r w:rsidR="000906BF" w:rsidRPr="000017FF">
        <w:rPr>
          <w:sz w:val="22"/>
          <w:szCs w:val="22"/>
        </w:rPr>
        <w:t xml:space="preserve"> for African economies</w:t>
      </w:r>
      <w:r w:rsidRPr="000017FF">
        <w:rPr>
          <w:sz w:val="22"/>
          <w:szCs w:val="22"/>
        </w:rPr>
        <w:t>,</w:t>
      </w:r>
      <w:r w:rsidR="000906BF" w:rsidRPr="000017FF">
        <w:rPr>
          <w:sz w:val="22"/>
          <w:szCs w:val="22"/>
        </w:rPr>
        <w:t xml:space="preserve"> </w:t>
      </w:r>
      <w:r w:rsidR="006A5D75" w:rsidRPr="000017FF">
        <w:rPr>
          <w:sz w:val="22"/>
          <w:szCs w:val="22"/>
        </w:rPr>
        <w:t xml:space="preserve">as </w:t>
      </w:r>
      <w:r w:rsidRPr="000017FF">
        <w:rPr>
          <w:sz w:val="22"/>
          <w:szCs w:val="22"/>
        </w:rPr>
        <w:t xml:space="preserve">noted </w:t>
      </w:r>
      <w:r w:rsidR="006A5D75" w:rsidRPr="000017FF">
        <w:rPr>
          <w:sz w:val="22"/>
          <w:szCs w:val="22"/>
        </w:rPr>
        <w:t xml:space="preserve">previously </w:t>
      </w:r>
      <w:r w:rsidR="000906BF" w:rsidRPr="000017FF">
        <w:rPr>
          <w:sz w:val="22"/>
          <w:szCs w:val="22"/>
        </w:rPr>
        <w:t xml:space="preserve">– is much more </w:t>
      </w:r>
      <w:r w:rsidR="006F77F9" w:rsidRPr="000017FF">
        <w:rPr>
          <w:sz w:val="22"/>
          <w:szCs w:val="22"/>
        </w:rPr>
        <w:t xml:space="preserve">complex </w:t>
      </w:r>
      <w:r w:rsidR="002A3515" w:rsidRPr="000017FF">
        <w:rPr>
          <w:sz w:val="22"/>
          <w:szCs w:val="22"/>
        </w:rPr>
        <w:t xml:space="preserve">due to higher </w:t>
      </w:r>
      <w:r w:rsidR="000906BF" w:rsidRPr="000017FF">
        <w:rPr>
          <w:sz w:val="22"/>
          <w:szCs w:val="22"/>
        </w:rPr>
        <w:t>tariff barriers</w:t>
      </w:r>
      <w:r w:rsidRPr="000017FF">
        <w:rPr>
          <w:sz w:val="22"/>
          <w:szCs w:val="22"/>
        </w:rPr>
        <w:t>.</w:t>
      </w:r>
      <w:r w:rsidR="000906BF" w:rsidRPr="000017FF">
        <w:rPr>
          <w:sz w:val="22"/>
          <w:szCs w:val="22"/>
        </w:rPr>
        <w:t xml:space="preserve"> </w:t>
      </w:r>
      <w:r w:rsidRPr="000017FF">
        <w:rPr>
          <w:sz w:val="22"/>
          <w:szCs w:val="22"/>
        </w:rPr>
        <w:t>T</w:t>
      </w:r>
      <w:r w:rsidR="000906BF" w:rsidRPr="000017FF">
        <w:rPr>
          <w:sz w:val="22"/>
          <w:szCs w:val="22"/>
        </w:rPr>
        <w:t>his remains true whatever the destination</w:t>
      </w:r>
      <w:r w:rsidR="006F77F9" w:rsidRPr="000017FF">
        <w:rPr>
          <w:sz w:val="22"/>
          <w:szCs w:val="22"/>
        </w:rPr>
        <w:t>,</w:t>
      </w:r>
      <w:r w:rsidR="000906BF" w:rsidRPr="000017FF">
        <w:rPr>
          <w:sz w:val="22"/>
          <w:szCs w:val="22"/>
        </w:rPr>
        <w:t xml:space="preserve"> </w:t>
      </w:r>
      <w:r w:rsidR="00FB3F0C" w:rsidRPr="000017FF">
        <w:rPr>
          <w:sz w:val="22"/>
          <w:szCs w:val="22"/>
        </w:rPr>
        <w:t>with average protection rates of 9.5</w:t>
      </w:r>
      <w:r w:rsidR="000F4C18" w:rsidRPr="000017FF">
        <w:rPr>
          <w:sz w:val="22"/>
          <w:szCs w:val="22"/>
        </w:rPr>
        <w:t xml:space="preserve"> per cent</w:t>
      </w:r>
      <w:r w:rsidR="00FB3F0C" w:rsidRPr="000017FF">
        <w:rPr>
          <w:sz w:val="22"/>
          <w:szCs w:val="22"/>
        </w:rPr>
        <w:t xml:space="preserve"> </w:t>
      </w:r>
      <w:r w:rsidR="006D5ACB">
        <w:rPr>
          <w:sz w:val="22"/>
          <w:szCs w:val="22"/>
        </w:rPr>
        <w:t>faced by African countries on their exports to</w:t>
      </w:r>
      <w:r w:rsidR="007169CB" w:rsidRPr="000017FF">
        <w:rPr>
          <w:sz w:val="22"/>
          <w:szCs w:val="22"/>
        </w:rPr>
        <w:t xml:space="preserve"> </w:t>
      </w:r>
      <w:r w:rsidR="00FB6923" w:rsidRPr="000017FF">
        <w:rPr>
          <w:sz w:val="22"/>
          <w:szCs w:val="22"/>
        </w:rPr>
        <w:t xml:space="preserve">non-African </w:t>
      </w:r>
      <w:r w:rsidR="006D5ACB">
        <w:rPr>
          <w:sz w:val="22"/>
          <w:szCs w:val="22"/>
        </w:rPr>
        <w:t>partners</w:t>
      </w:r>
      <w:r w:rsidR="006D5ACB" w:rsidRPr="000017FF">
        <w:rPr>
          <w:sz w:val="22"/>
          <w:szCs w:val="22"/>
        </w:rPr>
        <w:t xml:space="preserve"> </w:t>
      </w:r>
      <w:r w:rsidR="00FB3F0C" w:rsidRPr="000017FF">
        <w:rPr>
          <w:sz w:val="22"/>
          <w:szCs w:val="22"/>
        </w:rPr>
        <w:t xml:space="preserve">and </w:t>
      </w:r>
      <w:r w:rsidR="00F810D3" w:rsidRPr="000017FF">
        <w:rPr>
          <w:sz w:val="22"/>
          <w:szCs w:val="22"/>
        </w:rPr>
        <w:t>12.4</w:t>
      </w:r>
      <w:r w:rsidR="000F4C18" w:rsidRPr="000017FF">
        <w:rPr>
          <w:sz w:val="22"/>
          <w:szCs w:val="22"/>
        </w:rPr>
        <w:t xml:space="preserve"> per cent</w:t>
      </w:r>
      <w:r w:rsidR="00FB6923" w:rsidRPr="000017FF">
        <w:rPr>
          <w:sz w:val="22"/>
          <w:szCs w:val="22"/>
        </w:rPr>
        <w:t xml:space="preserve"> </w:t>
      </w:r>
      <w:r w:rsidR="006D5ACB">
        <w:rPr>
          <w:sz w:val="22"/>
          <w:szCs w:val="22"/>
        </w:rPr>
        <w:t xml:space="preserve">on </w:t>
      </w:r>
      <w:smartTag w:uri="urn:schemas-microsoft-com:office:smarttags" w:element="place">
        <w:r w:rsidR="006D5ACB">
          <w:rPr>
            <w:sz w:val="22"/>
            <w:szCs w:val="22"/>
          </w:rPr>
          <w:t>Africa</w:t>
        </w:r>
      </w:smartTag>
      <w:r w:rsidR="006D5ACB">
        <w:rPr>
          <w:sz w:val="22"/>
          <w:szCs w:val="22"/>
        </w:rPr>
        <w:t>’s exports to</w:t>
      </w:r>
      <w:r w:rsidR="00FB6923" w:rsidRPr="000017FF">
        <w:rPr>
          <w:sz w:val="22"/>
          <w:szCs w:val="22"/>
        </w:rPr>
        <w:t xml:space="preserve"> African countries. </w:t>
      </w:r>
      <w:r w:rsidR="002A3515" w:rsidRPr="000017FF">
        <w:rPr>
          <w:sz w:val="22"/>
          <w:szCs w:val="22"/>
        </w:rPr>
        <w:t>The</w:t>
      </w:r>
      <w:r w:rsidR="00FB6923" w:rsidRPr="000017FF">
        <w:rPr>
          <w:sz w:val="22"/>
          <w:szCs w:val="22"/>
        </w:rPr>
        <w:t>se</w:t>
      </w:r>
      <w:r w:rsidR="002A3515" w:rsidRPr="000017FF">
        <w:rPr>
          <w:sz w:val="22"/>
          <w:szCs w:val="22"/>
        </w:rPr>
        <w:t xml:space="preserve"> high rates partly explain the low levels of intra-African trade. </w:t>
      </w:r>
    </w:p>
    <w:p w:rsidR="00902313" w:rsidRPr="000017FF" w:rsidRDefault="00F810D3" w:rsidP="006D5982">
      <w:pPr>
        <w:spacing w:line="360" w:lineRule="auto"/>
        <w:rPr>
          <w:sz w:val="22"/>
          <w:szCs w:val="22"/>
        </w:rPr>
      </w:pPr>
      <w:r w:rsidRPr="000017FF">
        <w:rPr>
          <w:sz w:val="22"/>
          <w:szCs w:val="22"/>
        </w:rPr>
        <w:t xml:space="preserve">At the country level </w:t>
      </w:r>
      <w:r w:rsidR="00C5223E" w:rsidRPr="000017FF">
        <w:rPr>
          <w:sz w:val="22"/>
          <w:szCs w:val="22"/>
        </w:rPr>
        <w:t xml:space="preserve">tariff barriers imposed or faced </w:t>
      </w:r>
      <w:r w:rsidR="00706655" w:rsidRPr="000017FF">
        <w:rPr>
          <w:sz w:val="22"/>
          <w:szCs w:val="22"/>
        </w:rPr>
        <w:t>are</w:t>
      </w:r>
      <w:r w:rsidR="00C5223E" w:rsidRPr="000017FF">
        <w:rPr>
          <w:sz w:val="22"/>
          <w:szCs w:val="22"/>
        </w:rPr>
        <w:t xml:space="preserve"> considerably </w:t>
      </w:r>
      <w:r w:rsidR="00E878ED" w:rsidRPr="000017FF">
        <w:rPr>
          <w:sz w:val="22"/>
          <w:szCs w:val="22"/>
        </w:rPr>
        <w:t>different</w:t>
      </w:r>
      <w:r w:rsidR="00C5223E" w:rsidRPr="000017FF">
        <w:rPr>
          <w:sz w:val="22"/>
          <w:szCs w:val="22"/>
        </w:rPr>
        <w:t xml:space="preserve"> and reveal extremely complex and heterogeneous pro</w:t>
      </w:r>
      <w:r w:rsidR="00F4351B" w:rsidRPr="000017FF">
        <w:rPr>
          <w:sz w:val="22"/>
          <w:szCs w:val="22"/>
        </w:rPr>
        <w:t>tection structures</w:t>
      </w:r>
      <w:r w:rsidR="00705015" w:rsidRPr="000017FF">
        <w:rPr>
          <w:sz w:val="22"/>
          <w:szCs w:val="22"/>
        </w:rPr>
        <w:t xml:space="preserve"> (table 8.5)</w:t>
      </w:r>
      <w:r w:rsidR="00F4351B" w:rsidRPr="000017FF">
        <w:rPr>
          <w:sz w:val="22"/>
          <w:szCs w:val="22"/>
        </w:rPr>
        <w:t>. For example,</w:t>
      </w:r>
      <w:r w:rsidR="007247F1" w:rsidRPr="000017FF">
        <w:rPr>
          <w:sz w:val="22"/>
          <w:szCs w:val="22"/>
        </w:rPr>
        <w:t xml:space="preserve"> </w:t>
      </w:r>
      <w:smartTag w:uri="urn:schemas-microsoft-com:office:smarttags" w:element="country-region">
        <w:r w:rsidR="007247F1" w:rsidRPr="000017FF">
          <w:rPr>
            <w:sz w:val="22"/>
            <w:szCs w:val="22"/>
          </w:rPr>
          <w:t>Swaziland</w:t>
        </w:r>
      </w:smartTag>
      <w:r w:rsidR="007247F1" w:rsidRPr="000017FF">
        <w:rPr>
          <w:sz w:val="22"/>
          <w:szCs w:val="22"/>
        </w:rPr>
        <w:t xml:space="preserve"> faces</w:t>
      </w:r>
      <w:r w:rsidR="00F4351B" w:rsidRPr="000017FF">
        <w:rPr>
          <w:sz w:val="22"/>
          <w:szCs w:val="22"/>
        </w:rPr>
        <w:t xml:space="preserve"> </w:t>
      </w:r>
      <w:r w:rsidR="00C5223E" w:rsidRPr="000017FF">
        <w:rPr>
          <w:sz w:val="22"/>
          <w:szCs w:val="22"/>
        </w:rPr>
        <w:t>the highest average tariff when export</w:t>
      </w:r>
      <w:r w:rsidR="007247F1" w:rsidRPr="000017FF">
        <w:rPr>
          <w:sz w:val="22"/>
          <w:szCs w:val="22"/>
        </w:rPr>
        <w:t>ing</w:t>
      </w:r>
      <w:r w:rsidR="00C5223E" w:rsidRPr="000017FF">
        <w:rPr>
          <w:sz w:val="22"/>
          <w:szCs w:val="22"/>
        </w:rPr>
        <w:t xml:space="preserve"> </w:t>
      </w:r>
      <w:r w:rsidR="007169CB">
        <w:rPr>
          <w:sz w:val="22"/>
          <w:szCs w:val="22"/>
        </w:rPr>
        <w:t xml:space="preserve">its </w:t>
      </w:r>
      <w:r w:rsidR="00C5223E" w:rsidRPr="000017FF">
        <w:rPr>
          <w:sz w:val="22"/>
          <w:szCs w:val="22"/>
        </w:rPr>
        <w:t>agricultural and food products to non-African countries</w:t>
      </w:r>
      <w:r w:rsidR="007247F1" w:rsidRPr="000017FF">
        <w:rPr>
          <w:sz w:val="22"/>
          <w:szCs w:val="22"/>
        </w:rPr>
        <w:t>, at</w:t>
      </w:r>
      <w:r w:rsidR="00C5223E" w:rsidRPr="000017FF">
        <w:rPr>
          <w:sz w:val="22"/>
          <w:szCs w:val="22"/>
        </w:rPr>
        <w:t xml:space="preserve"> 96.7</w:t>
      </w:r>
      <w:r w:rsidR="000F4C18" w:rsidRPr="000017FF">
        <w:rPr>
          <w:sz w:val="22"/>
          <w:szCs w:val="22"/>
        </w:rPr>
        <w:t xml:space="preserve"> per cent</w:t>
      </w:r>
      <w:r w:rsidR="00F4351B" w:rsidRPr="000017FF">
        <w:rPr>
          <w:sz w:val="22"/>
          <w:szCs w:val="22"/>
        </w:rPr>
        <w:t xml:space="preserve">; </w:t>
      </w:r>
      <w:smartTag w:uri="urn:schemas-microsoft-com:office:smarttags" w:element="place">
        <w:smartTag w:uri="urn:schemas-microsoft-com:office:smarttags" w:element="country-region">
          <w:r w:rsidR="007247F1" w:rsidRPr="000017FF">
            <w:rPr>
              <w:sz w:val="22"/>
              <w:szCs w:val="22"/>
            </w:rPr>
            <w:t>Seychelles</w:t>
          </w:r>
        </w:smartTag>
      </w:smartTag>
      <w:r w:rsidR="007247F1" w:rsidRPr="000017FF">
        <w:rPr>
          <w:sz w:val="22"/>
          <w:szCs w:val="22"/>
        </w:rPr>
        <w:t xml:space="preserve"> imposes </w:t>
      </w:r>
      <w:r w:rsidR="00C5223E" w:rsidRPr="000017FF">
        <w:rPr>
          <w:sz w:val="22"/>
          <w:szCs w:val="22"/>
        </w:rPr>
        <w:t xml:space="preserve">the highest average tariff </w:t>
      </w:r>
      <w:r w:rsidR="00705015" w:rsidRPr="000017FF">
        <w:rPr>
          <w:sz w:val="22"/>
          <w:szCs w:val="22"/>
        </w:rPr>
        <w:t xml:space="preserve">on </w:t>
      </w:r>
      <w:r w:rsidR="00C5223E" w:rsidRPr="000017FF">
        <w:rPr>
          <w:sz w:val="22"/>
          <w:szCs w:val="22"/>
        </w:rPr>
        <w:t xml:space="preserve">agricultural and food products </w:t>
      </w:r>
      <w:r w:rsidR="00705015" w:rsidRPr="000017FF">
        <w:rPr>
          <w:sz w:val="22"/>
          <w:szCs w:val="22"/>
        </w:rPr>
        <w:t xml:space="preserve">imported </w:t>
      </w:r>
      <w:r w:rsidR="00C5223E" w:rsidRPr="000017FF">
        <w:rPr>
          <w:sz w:val="22"/>
          <w:szCs w:val="22"/>
        </w:rPr>
        <w:t>from its African partners</w:t>
      </w:r>
      <w:r w:rsidR="007247F1" w:rsidRPr="000017FF">
        <w:rPr>
          <w:sz w:val="22"/>
          <w:szCs w:val="22"/>
        </w:rPr>
        <w:t>, at</w:t>
      </w:r>
      <w:r w:rsidR="00C5223E" w:rsidRPr="000017FF">
        <w:rPr>
          <w:sz w:val="22"/>
          <w:szCs w:val="22"/>
        </w:rPr>
        <w:t xml:space="preserve"> 53.6</w:t>
      </w:r>
      <w:r w:rsidR="000F4C18" w:rsidRPr="000017FF">
        <w:rPr>
          <w:sz w:val="22"/>
          <w:szCs w:val="22"/>
        </w:rPr>
        <w:t xml:space="preserve"> per cent</w:t>
      </w:r>
      <w:r w:rsidR="0041449A" w:rsidRPr="000017FF">
        <w:rPr>
          <w:sz w:val="22"/>
          <w:szCs w:val="22"/>
        </w:rPr>
        <w:t xml:space="preserve"> (</w:t>
      </w:r>
      <w:r w:rsidR="00FB0D3B">
        <w:rPr>
          <w:sz w:val="22"/>
          <w:szCs w:val="22"/>
        </w:rPr>
        <w:t>annex</w:t>
      </w:r>
      <w:r w:rsidR="0041449A" w:rsidRPr="000017FF">
        <w:rPr>
          <w:sz w:val="22"/>
          <w:szCs w:val="22"/>
        </w:rPr>
        <w:t xml:space="preserve"> </w:t>
      </w:r>
      <w:r w:rsidR="003F1768">
        <w:rPr>
          <w:sz w:val="22"/>
          <w:szCs w:val="22"/>
        </w:rPr>
        <w:t>table A</w:t>
      </w:r>
      <w:r w:rsidR="008E578D" w:rsidRPr="000017FF">
        <w:rPr>
          <w:sz w:val="22"/>
          <w:szCs w:val="22"/>
        </w:rPr>
        <w:t>8.</w:t>
      </w:r>
      <w:r w:rsidR="0041449A" w:rsidRPr="000017FF">
        <w:rPr>
          <w:sz w:val="22"/>
          <w:szCs w:val="22"/>
        </w:rPr>
        <w:t>1</w:t>
      </w:r>
      <w:r w:rsidR="00C5223E" w:rsidRPr="000017FF">
        <w:rPr>
          <w:sz w:val="22"/>
          <w:szCs w:val="22"/>
        </w:rPr>
        <w:t>).</w:t>
      </w:r>
    </w:p>
    <w:p w:rsidR="00D640CB" w:rsidRPr="0061584B" w:rsidRDefault="00D640CB" w:rsidP="009C49DE">
      <w:pPr>
        <w:pStyle w:val="Tableheading"/>
        <w:rPr>
          <w:sz w:val="28"/>
        </w:rPr>
      </w:pPr>
      <w:r w:rsidRPr="0061584B">
        <w:t xml:space="preserve">Table </w:t>
      </w:r>
      <w:r w:rsidR="006436C9" w:rsidRPr="0061584B">
        <w:t>8.</w:t>
      </w:r>
      <w:r w:rsidRPr="0061584B">
        <w:t xml:space="preserve">5: </w:t>
      </w:r>
      <w:r w:rsidR="00100197" w:rsidRPr="0061584B">
        <w:tab/>
      </w:r>
      <w:smartTag w:uri="urn:schemas-microsoft-com:office:smarttags" w:element="place">
        <w:r w:rsidR="002251B9" w:rsidRPr="0061584B">
          <w:t>Afric</w:t>
        </w:r>
        <w:r w:rsidRPr="0061584B">
          <w:t>a</w:t>
        </w:r>
      </w:smartTag>
      <w:r w:rsidRPr="0061584B">
        <w:t>’s average protection imposed/faced on their imports/exports</w:t>
      </w:r>
      <w:r w:rsidR="008E0A6A" w:rsidRPr="0061584B">
        <w:rPr>
          <w:rStyle w:val="FootnoteReference"/>
          <w:b w:val="0"/>
        </w:rPr>
        <w:footnoteReference w:id="9"/>
      </w:r>
    </w:p>
    <w:p w:rsidR="009977DC" w:rsidRDefault="009977DC" w:rsidP="006D5982">
      <w:pPr>
        <w:spacing w:line="360" w:lineRule="auto"/>
      </w:pPr>
    </w:p>
    <w:p w:rsidR="00F45F52" w:rsidRPr="0061584B" w:rsidRDefault="0004759D" w:rsidP="0004759D">
      <w:pPr>
        <w:spacing w:line="360" w:lineRule="auto"/>
        <w:ind w:firstLine="0"/>
        <w:jc w:val="center"/>
      </w:pPr>
      <w:r w:rsidRPr="0004759D">
        <w:pict>
          <v:shape id="_x0000_i1029" type="#_x0000_t75" style="width:445.5pt;height:102pt">
            <v:imagedata r:id="rId11" o:title=""/>
          </v:shape>
        </w:pict>
      </w:r>
    </w:p>
    <w:p w:rsidR="00D640CB" w:rsidRPr="000017FF" w:rsidRDefault="00D640CB" w:rsidP="006D5982">
      <w:pPr>
        <w:pStyle w:val="Source"/>
        <w:spacing w:line="360" w:lineRule="auto"/>
        <w:rPr>
          <w:sz w:val="20"/>
          <w:szCs w:val="20"/>
        </w:rPr>
      </w:pPr>
      <w:r w:rsidRPr="000017FF">
        <w:rPr>
          <w:sz w:val="20"/>
          <w:szCs w:val="20"/>
        </w:rPr>
        <w:t>Source:</w:t>
      </w:r>
      <w:r w:rsidRPr="000017FF">
        <w:rPr>
          <w:color w:val="FF0000"/>
          <w:sz w:val="20"/>
          <w:szCs w:val="20"/>
        </w:rPr>
        <w:t xml:space="preserve"> </w:t>
      </w:r>
      <w:r w:rsidRPr="000017FF">
        <w:rPr>
          <w:sz w:val="20"/>
          <w:szCs w:val="20"/>
        </w:rPr>
        <w:t>Authors’ calculations based on TASTE software and MAcMap</w:t>
      </w:r>
      <w:r w:rsidR="007169CB">
        <w:rPr>
          <w:sz w:val="20"/>
          <w:szCs w:val="20"/>
        </w:rPr>
        <w:t>-</w:t>
      </w:r>
      <w:r w:rsidRPr="000017FF">
        <w:rPr>
          <w:sz w:val="20"/>
          <w:szCs w:val="20"/>
        </w:rPr>
        <w:t>HS6v2 database</w:t>
      </w:r>
      <w:r w:rsidR="00334680" w:rsidRPr="000017FF">
        <w:rPr>
          <w:sz w:val="20"/>
          <w:szCs w:val="20"/>
        </w:rPr>
        <w:t>.</w:t>
      </w:r>
    </w:p>
    <w:p w:rsidR="00182BAB" w:rsidRPr="000017FF" w:rsidRDefault="005E0AF4" w:rsidP="006D5982">
      <w:pPr>
        <w:spacing w:line="360" w:lineRule="auto"/>
        <w:rPr>
          <w:sz w:val="22"/>
          <w:szCs w:val="22"/>
        </w:rPr>
      </w:pPr>
      <w:r w:rsidRPr="000017FF">
        <w:rPr>
          <w:sz w:val="22"/>
          <w:szCs w:val="22"/>
        </w:rPr>
        <w:t xml:space="preserve">Tariffs may impede trade, but they also </w:t>
      </w:r>
      <w:r w:rsidR="00492A11" w:rsidRPr="000017FF">
        <w:rPr>
          <w:sz w:val="22"/>
          <w:szCs w:val="22"/>
        </w:rPr>
        <w:t xml:space="preserve">provide </w:t>
      </w:r>
      <w:r w:rsidR="00A36F8F" w:rsidRPr="000017FF">
        <w:rPr>
          <w:sz w:val="22"/>
          <w:szCs w:val="22"/>
        </w:rPr>
        <w:t xml:space="preserve">revenues </w:t>
      </w:r>
      <w:r w:rsidR="008A01EF" w:rsidRPr="000017FF">
        <w:rPr>
          <w:sz w:val="22"/>
          <w:szCs w:val="22"/>
        </w:rPr>
        <w:t xml:space="preserve">for </w:t>
      </w:r>
      <w:r w:rsidR="00A36F8F" w:rsidRPr="000017FF">
        <w:rPr>
          <w:sz w:val="22"/>
          <w:szCs w:val="22"/>
        </w:rPr>
        <w:t>government</w:t>
      </w:r>
      <w:r w:rsidR="00492A11" w:rsidRPr="000017FF">
        <w:rPr>
          <w:sz w:val="22"/>
          <w:szCs w:val="22"/>
        </w:rPr>
        <w:t>s</w:t>
      </w:r>
      <w:r w:rsidR="00A36F8F" w:rsidRPr="000017FF">
        <w:rPr>
          <w:sz w:val="22"/>
          <w:szCs w:val="22"/>
        </w:rPr>
        <w:t xml:space="preserve">. </w:t>
      </w:r>
      <w:r w:rsidR="00F67DF0" w:rsidRPr="000017FF">
        <w:rPr>
          <w:sz w:val="22"/>
          <w:szCs w:val="22"/>
        </w:rPr>
        <w:t>In many African countries t</w:t>
      </w:r>
      <w:r w:rsidR="00782BA1" w:rsidRPr="000017FF">
        <w:rPr>
          <w:sz w:val="22"/>
          <w:szCs w:val="22"/>
        </w:rPr>
        <w:t xml:space="preserve">he receipts generated by </w:t>
      </w:r>
      <w:r w:rsidR="00AF30A0" w:rsidRPr="000017FF">
        <w:rPr>
          <w:sz w:val="22"/>
          <w:szCs w:val="22"/>
        </w:rPr>
        <w:t xml:space="preserve">enforcing </w:t>
      </w:r>
      <w:r w:rsidR="0004524A" w:rsidRPr="000017FF">
        <w:rPr>
          <w:sz w:val="22"/>
          <w:szCs w:val="22"/>
        </w:rPr>
        <w:t>tariff duties</w:t>
      </w:r>
      <w:r w:rsidR="00F67DF0" w:rsidRPr="000017FF">
        <w:rPr>
          <w:sz w:val="22"/>
          <w:szCs w:val="22"/>
        </w:rPr>
        <w:t xml:space="preserve"> represent a</w:t>
      </w:r>
      <w:r w:rsidR="00782BA1" w:rsidRPr="000017FF">
        <w:rPr>
          <w:sz w:val="22"/>
          <w:szCs w:val="22"/>
        </w:rPr>
        <w:t xml:space="preserve">n </w:t>
      </w:r>
      <w:r w:rsidR="00DD64C7" w:rsidRPr="000017FF">
        <w:rPr>
          <w:sz w:val="22"/>
          <w:szCs w:val="22"/>
        </w:rPr>
        <w:t xml:space="preserve">important share of </w:t>
      </w:r>
      <w:r w:rsidRPr="000017FF">
        <w:rPr>
          <w:sz w:val="22"/>
          <w:szCs w:val="22"/>
        </w:rPr>
        <w:t xml:space="preserve">the government’s </w:t>
      </w:r>
      <w:r w:rsidR="00DD64C7" w:rsidRPr="000017FF">
        <w:rPr>
          <w:sz w:val="22"/>
          <w:szCs w:val="22"/>
        </w:rPr>
        <w:t>income</w:t>
      </w:r>
      <w:r w:rsidRPr="000017FF">
        <w:rPr>
          <w:sz w:val="22"/>
          <w:szCs w:val="22"/>
        </w:rPr>
        <w:t xml:space="preserve"> –</w:t>
      </w:r>
      <w:r w:rsidR="00DD64C7" w:rsidRPr="000017FF">
        <w:rPr>
          <w:sz w:val="22"/>
          <w:szCs w:val="22"/>
        </w:rPr>
        <w:t xml:space="preserve"> </w:t>
      </w:r>
      <w:r w:rsidR="00F67DF0" w:rsidRPr="000017FF">
        <w:rPr>
          <w:sz w:val="22"/>
          <w:szCs w:val="22"/>
        </w:rPr>
        <w:t>nearly 40</w:t>
      </w:r>
      <w:r w:rsidR="000F4C18" w:rsidRPr="000017FF">
        <w:rPr>
          <w:sz w:val="22"/>
          <w:szCs w:val="22"/>
        </w:rPr>
        <w:t xml:space="preserve"> per cent</w:t>
      </w:r>
      <w:r w:rsidR="00F67DF0" w:rsidRPr="000017FF">
        <w:rPr>
          <w:sz w:val="22"/>
          <w:szCs w:val="22"/>
        </w:rPr>
        <w:t xml:space="preserve"> of the continent’s total </w:t>
      </w:r>
      <w:r w:rsidR="003E13ED" w:rsidRPr="000017FF">
        <w:rPr>
          <w:sz w:val="22"/>
          <w:szCs w:val="22"/>
        </w:rPr>
        <w:t xml:space="preserve">tax revenues </w:t>
      </w:r>
      <w:r w:rsidR="00F67DF0" w:rsidRPr="000017FF">
        <w:rPr>
          <w:sz w:val="22"/>
          <w:szCs w:val="22"/>
        </w:rPr>
        <w:t>in 2010</w:t>
      </w:r>
      <w:r w:rsidR="00F67DF0" w:rsidRPr="000017FF">
        <w:rPr>
          <w:rStyle w:val="FootnoteReference"/>
          <w:sz w:val="22"/>
          <w:szCs w:val="22"/>
        </w:rPr>
        <w:footnoteReference w:id="10"/>
      </w:r>
      <w:r w:rsidR="00F67DF0" w:rsidRPr="000017FF">
        <w:rPr>
          <w:sz w:val="22"/>
          <w:szCs w:val="22"/>
        </w:rPr>
        <w:t xml:space="preserve"> </w:t>
      </w:r>
      <w:r w:rsidRPr="000017FF">
        <w:rPr>
          <w:sz w:val="22"/>
          <w:szCs w:val="22"/>
        </w:rPr>
        <w:t xml:space="preserve">– </w:t>
      </w:r>
      <w:r w:rsidR="001F061D" w:rsidRPr="000017FF">
        <w:rPr>
          <w:sz w:val="22"/>
          <w:szCs w:val="22"/>
        </w:rPr>
        <w:t>and</w:t>
      </w:r>
      <w:r w:rsidRPr="000017FF">
        <w:rPr>
          <w:sz w:val="22"/>
          <w:szCs w:val="22"/>
        </w:rPr>
        <w:t>,</w:t>
      </w:r>
      <w:r w:rsidR="001F061D" w:rsidRPr="000017FF">
        <w:rPr>
          <w:sz w:val="22"/>
          <w:szCs w:val="22"/>
        </w:rPr>
        <w:t xml:space="preserve"> therefore</w:t>
      </w:r>
      <w:r w:rsidRPr="000017FF">
        <w:rPr>
          <w:sz w:val="22"/>
          <w:szCs w:val="22"/>
        </w:rPr>
        <w:t>,</w:t>
      </w:r>
      <w:r w:rsidR="001F061D" w:rsidRPr="000017FF">
        <w:rPr>
          <w:sz w:val="22"/>
          <w:szCs w:val="22"/>
        </w:rPr>
        <w:t xml:space="preserve"> these countries are particularly reluctant </w:t>
      </w:r>
      <w:r w:rsidRPr="000017FF">
        <w:rPr>
          <w:sz w:val="22"/>
          <w:szCs w:val="22"/>
        </w:rPr>
        <w:t xml:space="preserve">to </w:t>
      </w:r>
      <w:r w:rsidR="001F061D" w:rsidRPr="000017FF">
        <w:rPr>
          <w:sz w:val="22"/>
          <w:szCs w:val="22"/>
        </w:rPr>
        <w:t>remov</w:t>
      </w:r>
      <w:r w:rsidRPr="000017FF">
        <w:rPr>
          <w:sz w:val="22"/>
          <w:szCs w:val="22"/>
        </w:rPr>
        <w:t>e</w:t>
      </w:r>
      <w:r w:rsidR="001F061D" w:rsidRPr="000017FF">
        <w:rPr>
          <w:sz w:val="22"/>
          <w:szCs w:val="22"/>
        </w:rPr>
        <w:t xml:space="preserve"> </w:t>
      </w:r>
      <w:r w:rsidR="00AF30A0" w:rsidRPr="000017FF">
        <w:rPr>
          <w:sz w:val="22"/>
          <w:szCs w:val="22"/>
        </w:rPr>
        <w:t>them</w:t>
      </w:r>
      <w:r w:rsidR="00DD64C7" w:rsidRPr="000017FF">
        <w:rPr>
          <w:sz w:val="22"/>
          <w:szCs w:val="22"/>
        </w:rPr>
        <w:t>.</w:t>
      </w:r>
      <w:r w:rsidR="00182BAB" w:rsidRPr="000017FF">
        <w:rPr>
          <w:sz w:val="22"/>
          <w:szCs w:val="22"/>
        </w:rPr>
        <w:t xml:space="preserve"> </w:t>
      </w:r>
      <w:r w:rsidRPr="000017FF">
        <w:rPr>
          <w:sz w:val="22"/>
          <w:szCs w:val="22"/>
        </w:rPr>
        <w:t xml:space="preserve">More than three-quarters (77.4 per cent) </w:t>
      </w:r>
      <w:r w:rsidR="00182BAB" w:rsidRPr="000017FF">
        <w:rPr>
          <w:sz w:val="22"/>
          <w:szCs w:val="22"/>
        </w:rPr>
        <w:t xml:space="preserve">of </w:t>
      </w:r>
      <w:r w:rsidRPr="000017FF">
        <w:rPr>
          <w:sz w:val="22"/>
          <w:szCs w:val="22"/>
        </w:rPr>
        <w:t>tariff</w:t>
      </w:r>
      <w:r w:rsidR="00AF30A0" w:rsidRPr="000017FF">
        <w:rPr>
          <w:sz w:val="22"/>
          <w:szCs w:val="22"/>
        </w:rPr>
        <w:t xml:space="preserve"> </w:t>
      </w:r>
      <w:r w:rsidR="00182BAB" w:rsidRPr="000017FF">
        <w:rPr>
          <w:sz w:val="22"/>
          <w:szCs w:val="22"/>
        </w:rPr>
        <w:t xml:space="preserve">revenues come from tariffs imposed </w:t>
      </w:r>
      <w:r w:rsidR="00F6712A" w:rsidRPr="000017FF">
        <w:rPr>
          <w:sz w:val="22"/>
          <w:szCs w:val="22"/>
        </w:rPr>
        <w:t xml:space="preserve">on </w:t>
      </w:r>
      <w:r w:rsidR="00182BAB" w:rsidRPr="000017FF">
        <w:rPr>
          <w:sz w:val="22"/>
          <w:szCs w:val="22"/>
        </w:rPr>
        <w:t>non-African countries</w:t>
      </w:r>
      <w:r w:rsidRPr="000017FF">
        <w:rPr>
          <w:sz w:val="22"/>
          <w:szCs w:val="22"/>
        </w:rPr>
        <w:t>.</w:t>
      </w:r>
      <w:r w:rsidR="00182BAB" w:rsidRPr="000017FF">
        <w:rPr>
          <w:rStyle w:val="FootnoteReference"/>
          <w:sz w:val="22"/>
          <w:szCs w:val="22"/>
        </w:rPr>
        <w:footnoteReference w:id="11"/>
      </w:r>
      <w:r w:rsidR="00182BAB" w:rsidRPr="000017FF">
        <w:rPr>
          <w:sz w:val="22"/>
          <w:szCs w:val="22"/>
        </w:rPr>
        <w:t xml:space="preserve"> This is not surprising</w:t>
      </w:r>
      <w:r w:rsidRPr="000017FF">
        <w:rPr>
          <w:sz w:val="22"/>
          <w:szCs w:val="22"/>
        </w:rPr>
        <w:t>,</w:t>
      </w:r>
      <w:r w:rsidR="00182BAB" w:rsidRPr="000017FF">
        <w:rPr>
          <w:sz w:val="22"/>
          <w:szCs w:val="22"/>
        </w:rPr>
        <w:t xml:space="preserve"> as </w:t>
      </w:r>
      <w:smartTag w:uri="urn:schemas-microsoft-com:office:smarttags" w:element="place">
        <w:r w:rsidR="00182BAB" w:rsidRPr="000017FF">
          <w:rPr>
            <w:sz w:val="22"/>
            <w:szCs w:val="22"/>
          </w:rPr>
          <w:t>Africa</w:t>
        </w:r>
      </w:smartTag>
      <w:r w:rsidR="00182BAB" w:rsidRPr="000017FF">
        <w:rPr>
          <w:sz w:val="22"/>
          <w:szCs w:val="22"/>
        </w:rPr>
        <w:t xml:space="preserve">’s imports mainly </w:t>
      </w:r>
      <w:r w:rsidRPr="000017FF">
        <w:rPr>
          <w:sz w:val="22"/>
          <w:szCs w:val="22"/>
        </w:rPr>
        <w:t xml:space="preserve">come </w:t>
      </w:r>
      <w:r w:rsidR="00182BAB" w:rsidRPr="000017FF">
        <w:rPr>
          <w:sz w:val="22"/>
          <w:szCs w:val="22"/>
        </w:rPr>
        <w:t>from outside the continent and also Africa</w:t>
      </w:r>
      <w:r w:rsidR="00292848" w:rsidRPr="000017FF">
        <w:rPr>
          <w:sz w:val="22"/>
          <w:szCs w:val="22"/>
        </w:rPr>
        <w:t>n countries</w:t>
      </w:r>
      <w:r w:rsidR="00182BAB" w:rsidRPr="000017FF">
        <w:rPr>
          <w:sz w:val="22"/>
          <w:szCs w:val="22"/>
        </w:rPr>
        <w:t xml:space="preserve"> impose</w:t>
      </w:r>
      <w:r w:rsidR="00F6712A" w:rsidRPr="000017FF">
        <w:rPr>
          <w:sz w:val="22"/>
          <w:szCs w:val="22"/>
        </w:rPr>
        <w:t>, on</w:t>
      </w:r>
      <w:r w:rsidR="00182BAB" w:rsidRPr="000017FF">
        <w:rPr>
          <w:sz w:val="22"/>
          <w:szCs w:val="22"/>
        </w:rPr>
        <w:t xml:space="preserve"> average</w:t>
      </w:r>
      <w:r w:rsidR="00F6712A" w:rsidRPr="000017FF">
        <w:rPr>
          <w:sz w:val="22"/>
          <w:szCs w:val="22"/>
        </w:rPr>
        <w:t>,</w:t>
      </w:r>
      <w:r w:rsidR="00182BAB" w:rsidRPr="000017FF">
        <w:rPr>
          <w:sz w:val="22"/>
          <w:szCs w:val="22"/>
        </w:rPr>
        <w:t xml:space="preserve"> higher tariff rates on non-African </w:t>
      </w:r>
      <w:r w:rsidR="00F6712A" w:rsidRPr="000017FF">
        <w:rPr>
          <w:sz w:val="22"/>
          <w:szCs w:val="22"/>
        </w:rPr>
        <w:t>imports</w:t>
      </w:r>
      <w:r w:rsidR="00182BAB" w:rsidRPr="000017FF">
        <w:rPr>
          <w:sz w:val="22"/>
          <w:szCs w:val="22"/>
        </w:rPr>
        <w:t xml:space="preserve"> than </w:t>
      </w:r>
      <w:r w:rsidR="00292848" w:rsidRPr="000017FF">
        <w:rPr>
          <w:sz w:val="22"/>
          <w:szCs w:val="22"/>
        </w:rPr>
        <w:t xml:space="preserve">on </w:t>
      </w:r>
      <w:r w:rsidR="00F6712A" w:rsidRPr="000017FF">
        <w:rPr>
          <w:sz w:val="22"/>
          <w:szCs w:val="22"/>
        </w:rPr>
        <w:t>those</w:t>
      </w:r>
      <w:r w:rsidR="00954DD3" w:rsidRPr="000017FF">
        <w:rPr>
          <w:sz w:val="22"/>
          <w:szCs w:val="22"/>
        </w:rPr>
        <w:t xml:space="preserve"> </w:t>
      </w:r>
      <w:r w:rsidR="00182BAB" w:rsidRPr="000017FF">
        <w:rPr>
          <w:sz w:val="22"/>
          <w:szCs w:val="22"/>
        </w:rPr>
        <w:t xml:space="preserve">originating from </w:t>
      </w:r>
      <w:r w:rsidR="00292848" w:rsidRPr="000017FF">
        <w:rPr>
          <w:sz w:val="22"/>
          <w:szCs w:val="22"/>
        </w:rPr>
        <w:t xml:space="preserve">their </w:t>
      </w:r>
      <w:r w:rsidR="00182BAB" w:rsidRPr="000017FF">
        <w:rPr>
          <w:sz w:val="22"/>
          <w:szCs w:val="22"/>
        </w:rPr>
        <w:t xml:space="preserve">African </w:t>
      </w:r>
      <w:r w:rsidR="00954DD3" w:rsidRPr="000017FF">
        <w:rPr>
          <w:sz w:val="22"/>
          <w:szCs w:val="22"/>
        </w:rPr>
        <w:t>partners</w:t>
      </w:r>
      <w:r w:rsidR="00182BAB" w:rsidRPr="000017FF">
        <w:rPr>
          <w:sz w:val="22"/>
          <w:szCs w:val="22"/>
        </w:rPr>
        <w:t xml:space="preserve"> (</w:t>
      </w:r>
      <w:r w:rsidR="00B03E3F" w:rsidRPr="000017FF">
        <w:rPr>
          <w:sz w:val="22"/>
          <w:szCs w:val="22"/>
        </w:rPr>
        <w:t>table</w:t>
      </w:r>
      <w:r w:rsidR="00182BAB" w:rsidRPr="000017FF">
        <w:rPr>
          <w:sz w:val="22"/>
          <w:szCs w:val="22"/>
        </w:rPr>
        <w:t xml:space="preserve"> </w:t>
      </w:r>
      <w:r w:rsidR="00292848" w:rsidRPr="000017FF">
        <w:rPr>
          <w:sz w:val="22"/>
          <w:szCs w:val="22"/>
        </w:rPr>
        <w:t>8.</w:t>
      </w:r>
      <w:r w:rsidR="00182BAB" w:rsidRPr="000017FF">
        <w:rPr>
          <w:sz w:val="22"/>
          <w:szCs w:val="22"/>
        </w:rPr>
        <w:t>5).</w:t>
      </w:r>
      <w:r w:rsidR="00A32858" w:rsidRPr="000017FF">
        <w:rPr>
          <w:sz w:val="22"/>
          <w:szCs w:val="22"/>
        </w:rPr>
        <w:t xml:space="preserve"> As a consequence</w:t>
      </w:r>
      <w:r w:rsidR="00954DD3" w:rsidRPr="000017FF">
        <w:rPr>
          <w:sz w:val="22"/>
          <w:szCs w:val="22"/>
        </w:rPr>
        <w:t>,</w:t>
      </w:r>
      <w:r w:rsidR="00A32858" w:rsidRPr="000017FF">
        <w:rPr>
          <w:sz w:val="22"/>
          <w:szCs w:val="22"/>
        </w:rPr>
        <w:t xml:space="preserve"> liberalization reforms within the continent will not</w:t>
      </w:r>
      <w:r w:rsidR="00954DD3" w:rsidRPr="000017FF">
        <w:rPr>
          <w:sz w:val="22"/>
          <w:szCs w:val="22"/>
        </w:rPr>
        <w:t xml:space="preserve">, in general, </w:t>
      </w:r>
      <w:bookmarkStart w:id="2" w:name="OLE_LINK6"/>
      <w:bookmarkStart w:id="3" w:name="OLE_LINK7"/>
      <w:r w:rsidR="00A32858" w:rsidRPr="000017FF">
        <w:rPr>
          <w:sz w:val="22"/>
          <w:szCs w:val="22"/>
        </w:rPr>
        <w:t xml:space="preserve">entail </w:t>
      </w:r>
      <w:bookmarkEnd w:id="2"/>
      <w:bookmarkEnd w:id="3"/>
      <w:r w:rsidR="00292848" w:rsidRPr="000017FF">
        <w:rPr>
          <w:sz w:val="22"/>
          <w:szCs w:val="22"/>
        </w:rPr>
        <w:t xml:space="preserve">considerable loss of </w:t>
      </w:r>
      <w:r w:rsidR="00A32858" w:rsidRPr="000017FF">
        <w:rPr>
          <w:sz w:val="22"/>
          <w:szCs w:val="22"/>
        </w:rPr>
        <w:t>tariff revenue.</w:t>
      </w:r>
    </w:p>
    <w:p w:rsidR="00C56F86" w:rsidRPr="0061584B" w:rsidRDefault="00100197" w:rsidP="006D5982">
      <w:pPr>
        <w:pStyle w:val="Heading2"/>
        <w:spacing w:line="360" w:lineRule="auto"/>
      </w:pPr>
      <w:r w:rsidRPr="0061584B">
        <w:t>8.2.5</w:t>
      </w:r>
      <w:r w:rsidRPr="0061584B">
        <w:tab/>
      </w:r>
      <w:r w:rsidR="00C56F86" w:rsidRPr="0061584B">
        <w:t>Non-</w:t>
      </w:r>
      <w:r w:rsidR="00384A0A">
        <w:rPr>
          <w:lang w:val="en-US"/>
        </w:rPr>
        <w:t>t</w:t>
      </w:r>
      <w:r w:rsidR="00C56F86" w:rsidRPr="0061584B">
        <w:t xml:space="preserve">ariff </w:t>
      </w:r>
      <w:r w:rsidR="00384A0A">
        <w:rPr>
          <w:lang w:val="en-US"/>
        </w:rPr>
        <w:t>b</w:t>
      </w:r>
      <w:r w:rsidR="00C56F86" w:rsidRPr="0061584B">
        <w:t>arriers</w:t>
      </w:r>
    </w:p>
    <w:p w:rsidR="00A826C3" w:rsidRPr="000017FF" w:rsidRDefault="00C56F86" w:rsidP="006D5982">
      <w:pPr>
        <w:spacing w:line="360" w:lineRule="auto"/>
        <w:rPr>
          <w:sz w:val="22"/>
          <w:szCs w:val="22"/>
        </w:rPr>
      </w:pPr>
      <w:r w:rsidRPr="000017FF">
        <w:rPr>
          <w:sz w:val="22"/>
          <w:szCs w:val="22"/>
        </w:rPr>
        <w:t>I</w:t>
      </w:r>
      <w:r w:rsidR="0050799C" w:rsidRPr="000017FF">
        <w:rPr>
          <w:sz w:val="22"/>
          <w:szCs w:val="22"/>
        </w:rPr>
        <w:t xml:space="preserve">n addition </w:t>
      </w:r>
      <w:r w:rsidR="00954DD3" w:rsidRPr="000017FF">
        <w:rPr>
          <w:sz w:val="22"/>
          <w:szCs w:val="22"/>
        </w:rPr>
        <w:t xml:space="preserve">to </w:t>
      </w:r>
      <w:r w:rsidR="0050799C" w:rsidRPr="000017FF">
        <w:rPr>
          <w:sz w:val="22"/>
          <w:szCs w:val="22"/>
        </w:rPr>
        <w:t xml:space="preserve">tariff barriers, many </w:t>
      </w:r>
      <w:r w:rsidR="00A826C3" w:rsidRPr="000017FF">
        <w:rPr>
          <w:sz w:val="22"/>
          <w:szCs w:val="22"/>
        </w:rPr>
        <w:t>non-tariff barriers</w:t>
      </w:r>
      <w:r w:rsidR="00277FBB" w:rsidRPr="000017FF">
        <w:rPr>
          <w:sz w:val="22"/>
          <w:szCs w:val="22"/>
        </w:rPr>
        <w:t xml:space="preserve"> (NTBs)</w:t>
      </w:r>
      <w:r w:rsidR="0050799C" w:rsidRPr="000017FF">
        <w:rPr>
          <w:sz w:val="22"/>
          <w:szCs w:val="22"/>
        </w:rPr>
        <w:t xml:space="preserve"> limit African trade</w:t>
      </w:r>
      <w:r w:rsidR="00F13C62" w:rsidRPr="000017FF">
        <w:rPr>
          <w:sz w:val="22"/>
          <w:szCs w:val="22"/>
        </w:rPr>
        <w:t>.</w:t>
      </w:r>
      <w:r w:rsidR="00865344" w:rsidRPr="000017FF">
        <w:rPr>
          <w:sz w:val="22"/>
          <w:szCs w:val="22"/>
        </w:rPr>
        <w:t xml:space="preserve"> </w:t>
      </w:r>
      <w:r w:rsidR="00F13C62" w:rsidRPr="000017FF">
        <w:rPr>
          <w:sz w:val="22"/>
          <w:szCs w:val="22"/>
        </w:rPr>
        <w:t>They take multiple forms</w:t>
      </w:r>
      <w:r w:rsidR="00954DD3" w:rsidRPr="000017FF">
        <w:rPr>
          <w:sz w:val="22"/>
          <w:szCs w:val="22"/>
        </w:rPr>
        <w:t>,</w:t>
      </w:r>
      <w:r w:rsidR="00A13AAE" w:rsidRPr="000017FF">
        <w:rPr>
          <w:sz w:val="22"/>
          <w:szCs w:val="22"/>
        </w:rPr>
        <w:t xml:space="preserve"> such as</w:t>
      </w:r>
      <w:r w:rsidR="00954DD3" w:rsidRPr="000017FF">
        <w:rPr>
          <w:sz w:val="22"/>
          <w:szCs w:val="22"/>
        </w:rPr>
        <w:t xml:space="preserve"> </w:t>
      </w:r>
      <w:r w:rsidR="00F13C62" w:rsidRPr="000017FF">
        <w:rPr>
          <w:sz w:val="22"/>
          <w:szCs w:val="22"/>
        </w:rPr>
        <w:t>lengthy customs procedures, sanitary and phytosanitary measures</w:t>
      </w:r>
      <w:r w:rsidR="00954DD3" w:rsidRPr="000017FF">
        <w:rPr>
          <w:sz w:val="22"/>
          <w:szCs w:val="22"/>
        </w:rPr>
        <w:t>,</w:t>
      </w:r>
      <w:r w:rsidR="00F13C62" w:rsidRPr="000017FF">
        <w:rPr>
          <w:sz w:val="22"/>
          <w:szCs w:val="22"/>
        </w:rPr>
        <w:t xml:space="preserve"> </w:t>
      </w:r>
      <w:r w:rsidR="00A13AAE" w:rsidRPr="000017FF">
        <w:rPr>
          <w:sz w:val="22"/>
          <w:szCs w:val="22"/>
        </w:rPr>
        <w:t xml:space="preserve">product standards, anti-dumping measures, </w:t>
      </w:r>
      <w:r w:rsidR="00221073" w:rsidRPr="000017FF">
        <w:rPr>
          <w:sz w:val="22"/>
          <w:szCs w:val="22"/>
        </w:rPr>
        <w:t>countervailing duties</w:t>
      </w:r>
      <w:r w:rsidR="004B3FA5" w:rsidRPr="000017FF">
        <w:rPr>
          <w:sz w:val="22"/>
          <w:szCs w:val="22"/>
        </w:rPr>
        <w:t>,</w:t>
      </w:r>
      <w:r w:rsidR="00221073" w:rsidRPr="000017FF">
        <w:rPr>
          <w:sz w:val="22"/>
          <w:szCs w:val="22"/>
        </w:rPr>
        <w:t xml:space="preserve"> and licensing</w:t>
      </w:r>
      <w:r w:rsidR="00954DD3" w:rsidRPr="000017FF">
        <w:rPr>
          <w:sz w:val="22"/>
          <w:szCs w:val="22"/>
        </w:rPr>
        <w:t>,</w:t>
      </w:r>
      <w:r w:rsidR="00F13C62" w:rsidRPr="000017FF">
        <w:rPr>
          <w:sz w:val="22"/>
          <w:szCs w:val="22"/>
        </w:rPr>
        <w:t xml:space="preserve"> </w:t>
      </w:r>
      <w:r w:rsidR="00A13AAE" w:rsidRPr="000017FF">
        <w:rPr>
          <w:sz w:val="22"/>
          <w:szCs w:val="22"/>
        </w:rPr>
        <w:t xml:space="preserve">as well </w:t>
      </w:r>
      <w:r w:rsidR="00221073" w:rsidRPr="000017FF">
        <w:rPr>
          <w:sz w:val="22"/>
          <w:szCs w:val="22"/>
        </w:rPr>
        <w:t xml:space="preserve">as </w:t>
      </w:r>
      <w:r w:rsidR="00A13AAE" w:rsidRPr="000017FF">
        <w:rPr>
          <w:sz w:val="22"/>
          <w:szCs w:val="22"/>
        </w:rPr>
        <w:t xml:space="preserve">lack of infrastructure </w:t>
      </w:r>
      <w:r w:rsidR="004B3FA5" w:rsidRPr="000017FF">
        <w:rPr>
          <w:sz w:val="22"/>
          <w:szCs w:val="22"/>
        </w:rPr>
        <w:t>(</w:t>
      </w:r>
      <w:r w:rsidR="00A13AAE" w:rsidRPr="000017FF">
        <w:rPr>
          <w:sz w:val="22"/>
          <w:szCs w:val="22"/>
        </w:rPr>
        <w:t>even though this is not an NTB per se</w:t>
      </w:r>
      <w:r w:rsidR="004B3FA5" w:rsidRPr="000017FF">
        <w:rPr>
          <w:sz w:val="22"/>
          <w:szCs w:val="22"/>
        </w:rPr>
        <w:t>)</w:t>
      </w:r>
      <w:r w:rsidR="00221073" w:rsidRPr="000017FF">
        <w:rPr>
          <w:sz w:val="22"/>
          <w:szCs w:val="22"/>
        </w:rPr>
        <w:t xml:space="preserve">. </w:t>
      </w:r>
      <w:r w:rsidR="001B40B9" w:rsidRPr="000017FF">
        <w:rPr>
          <w:sz w:val="22"/>
          <w:szCs w:val="22"/>
        </w:rPr>
        <w:t>T</w:t>
      </w:r>
      <w:r w:rsidR="00221073" w:rsidRPr="000017FF">
        <w:rPr>
          <w:sz w:val="22"/>
          <w:szCs w:val="22"/>
        </w:rPr>
        <w:t xml:space="preserve">his list in not exhaustive, </w:t>
      </w:r>
      <w:r w:rsidR="001B40B9" w:rsidRPr="000017FF">
        <w:rPr>
          <w:sz w:val="22"/>
          <w:szCs w:val="22"/>
        </w:rPr>
        <w:t xml:space="preserve">and, moreover, </w:t>
      </w:r>
      <w:r w:rsidR="00221073" w:rsidRPr="000017FF">
        <w:rPr>
          <w:sz w:val="22"/>
          <w:szCs w:val="22"/>
        </w:rPr>
        <w:t xml:space="preserve">NTBs </w:t>
      </w:r>
      <w:r w:rsidR="00F13C62" w:rsidRPr="000017FF">
        <w:rPr>
          <w:sz w:val="22"/>
          <w:szCs w:val="22"/>
        </w:rPr>
        <w:t>are often difficult to quantify</w:t>
      </w:r>
      <w:r w:rsidR="0050799C" w:rsidRPr="000017FF">
        <w:rPr>
          <w:sz w:val="22"/>
          <w:szCs w:val="22"/>
        </w:rPr>
        <w:t xml:space="preserve">. Nonetheless, some estimates have </w:t>
      </w:r>
      <w:r w:rsidR="00954DD3" w:rsidRPr="000017FF">
        <w:rPr>
          <w:sz w:val="22"/>
          <w:szCs w:val="22"/>
        </w:rPr>
        <w:t>attempted</w:t>
      </w:r>
      <w:r w:rsidR="00F13C62" w:rsidRPr="000017FF">
        <w:rPr>
          <w:sz w:val="22"/>
          <w:szCs w:val="22"/>
        </w:rPr>
        <w:t xml:space="preserve"> to assess the strength of certain non-tariff barriers. F</w:t>
      </w:r>
      <w:r w:rsidR="0050799C" w:rsidRPr="000017FF">
        <w:rPr>
          <w:sz w:val="22"/>
          <w:szCs w:val="22"/>
        </w:rPr>
        <w:t>or example, according to the World Bank</w:t>
      </w:r>
      <w:r w:rsidR="00954C6B" w:rsidRPr="000017FF">
        <w:rPr>
          <w:sz w:val="22"/>
          <w:szCs w:val="22"/>
        </w:rPr>
        <w:t>,</w:t>
      </w:r>
      <w:r w:rsidR="0050799C" w:rsidRPr="000017FF">
        <w:rPr>
          <w:sz w:val="22"/>
          <w:szCs w:val="22"/>
        </w:rPr>
        <w:t xml:space="preserve"> </w:t>
      </w:r>
      <w:r w:rsidR="0050799C" w:rsidRPr="000017FF">
        <w:rPr>
          <w:i/>
          <w:sz w:val="22"/>
          <w:szCs w:val="22"/>
        </w:rPr>
        <w:t>Doing Business 2012</w:t>
      </w:r>
      <w:r w:rsidR="00954DD3" w:rsidRPr="000017FF">
        <w:rPr>
          <w:i/>
          <w:sz w:val="22"/>
          <w:szCs w:val="22"/>
        </w:rPr>
        <w:t>:</w:t>
      </w:r>
      <w:r w:rsidR="0050799C" w:rsidRPr="000017FF">
        <w:rPr>
          <w:i/>
          <w:sz w:val="22"/>
          <w:szCs w:val="22"/>
        </w:rPr>
        <w:t xml:space="preserve"> </w:t>
      </w:r>
      <w:r w:rsidR="00420BDF" w:rsidRPr="00DB0BC7">
        <w:rPr>
          <w:i/>
          <w:sz w:val="22"/>
          <w:szCs w:val="22"/>
        </w:rPr>
        <w:t xml:space="preserve">Doing </w:t>
      </w:r>
      <w:r w:rsidR="00DB0BC7" w:rsidRPr="00DB0BC7">
        <w:rPr>
          <w:i/>
          <w:sz w:val="22"/>
          <w:szCs w:val="22"/>
        </w:rPr>
        <w:t>b</w:t>
      </w:r>
      <w:r w:rsidR="00420BDF" w:rsidRPr="00DB0BC7">
        <w:rPr>
          <w:i/>
          <w:sz w:val="22"/>
          <w:szCs w:val="22"/>
        </w:rPr>
        <w:t xml:space="preserve">usiness in a </w:t>
      </w:r>
      <w:r w:rsidR="0002616F" w:rsidRPr="00DB0BC7">
        <w:rPr>
          <w:i/>
          <w:sz w:val="22"/>
          <w:szCs w:val="22"/>
        </w:rPr>
        <w:t>m</w:t>
      </w:r>
      <w:r w:rsidR="00420BDF" w:rsidRPr="00DB0BC7">
        <w:rPr>
          <w:i/>
          <w:sz w:val="22"/>
          <w:szCs w:val="22"/>
        </w:rPr>
        <w:t xml:space="preserve">ore </w:t>
      </w:r>
      <w:r w:rsidR="0002616F" w:rsidRPr="00DB0BC7">
        <w:rPr>
          <w:i/>
          <w:sz w:val="22"/>
          <w:szCs w:val="22"/>
        </w:rPr>
        <w:t>t</w:t>
      </w:r>
      <w:r w:rsidR="00420BDF" w:rsidRPr="00DB0BC7">
        <w:rPr>
          <w:i/>
          <w:sz w:val="22"/>
          <w:szCs w:val="22"/>
        </w:rPr>
        <w:t xml:space="preserve">ransparent </w:t>
      </w:r>
      <w:r w:rsidR="0002616F" w:rsidRPr="00DB0BC7">
        <w:rPr>
          <w:i/>
          <w:sz w:val="22"/>
          <w:szCs w:val="22"/>
        </w:rPr>
        <w:t>w</w:t>
      </w:r>
      <w:r w:rsidR="00420BDF" w:rsidRPr="00DB0BC7">
        <w:rPr>
          <w:i/>
          <w:sz w:val="22"/>
          <w:szCs w:val="22"/>
        </w:rPr>
        <w:t>orld</w:t>
      </w:r>
      <w:r w:rsidR="0050799C" w:rsidRPr="000017FF">
        <w:rPr>
          <w:sz w:val="22"/>
          <w:szCs w:val="22"/>
        </w:rPr>
        <w:t xml:space="preserve">, </w:t>
      </w:r>
      <w:r w:rsidR="006B0437" w:rsidRPr="000017FF">
        <w:rPr>
          <w:sz w:val="22"/>
          <w:szCs w:val="22"/>
        </w:rPr>
        <w:t>s</w:t>
      </w:r>
      <w:r w:rsidR="003272E9" w:rsidRPr="000017FF">
        <w:rPr>
          <w:sz w:val="22"/>
          <w:szCs w:val="22"/>
        </w:rPr>
        <w:t>ub-Saharan Africa has made significant improvements</w:t>
      </w:r>
      <w:r w:rsidR="001463A9" w:rsidRPr="000017FF">
        <w:rPr>
          <w:sz w:val="22"/>
          <w:szCs w:val="22"/>
        </w:rPr>
        <w:t xml:space="preserve"> over the last few years, implement</w:t>
      </w:r>
      <w:r w:rsidR="0002616F">
        <w:rPr>
          <w:sz w:val="22"/>
          <w:szCs w:val="22"/>
        </w:rPr>
        <w:t>ing</w:t>
      </w:r>
      <w:r w:rsidR="001463A9" w:rsidRPr="000017FF">
        <w:rPr>
          <w:sz w:val="22"/>
          <w:szCs w:val="22"/>
        </w:rPr>
        <w:t xml:space="preserve"> </w:t>
      </w:r>
      <w:r w:rsidR="003272E9" w:rsidRPr="000017FF">
        <w:rPr>
          <w:sz w:val="22"/>
          <w:szCs w:val="22"/>
        </w:rPr>
        <w:t xml:space="preserve">reforms </w:t>
      </w:r>
      <w:r w:rsidR="001463A9" w:rsidRPr="000017FF">
        <w:rPr>
          <w:sz w:val="22"/>
          <w:szCs w:val="22"/>
        </w:rPr>
        <w:t>aim</w:t>
      </w:r>
      <w:r w:rsidR="001B40B9" w:rsidRPr="000017FF">
        <w:rPr>
          <w:sz w:val="22"/>
          <w:szCs w:val="22"/>
        </w:rPr>
        <w:t>ed at</w:t>
      </w:r>
      <w:r w:rsidR="001463A9" w:rsidRPr="000017FF">
        <w:rPr>
          <w:sz w:val="22"/>
          <w:szCs w:val="22"/>
        </w:rPr>
        <w:t xml:space="preserve"> </w:t>
      </w:r>
      <w:r w:rsidR="00954DD3" w:rsidRPr="000017FF">
        <w:rPr>
          <w:sz w:val="22"/>
          <w:szCs w:val="22"/>
        </w:rPr>
        <w:t>eas</w:t>
      </w:r>
      <w:r w:rsidR="001B40B9" w:rsidRPr="000017FF">
        <w:rPr>
          <w:sz w:val="22"/>
          <w:szCs w:val="22"/>
        </w:rPr>
        <w:t>ing</w:t>
      </w:r>
      <w:r w:rsidR="001463A9" w:rsidRPr="000017FF">
        <w:rPr>
          <w:sz w:val="22"/>
          <w:szCs w:val="22"/>
        </w:rPr>
        <w:t xml:space="preserve"> trad</w:t>
      </w:r>
      <w:r w:rsidR="001B40B9" w:rsidRPr="000017FF">
        <w:rPr>
          <w:sz w:val="22"/>
          <w:szCs w:val="22"/>
        </w:rPr>
        <w:t>e</w:t>
      </w:r>
      <w:r w:rsidR="001463A9" w:rsidRPr="000017FF">
        <w:rPr>
          <w:sz w:val="22"/>
          <w:szCs w:val="22"/>
        </w:rPr>
        <w:t xml:space="preserve"> across borders</w:t>
      </w:r>
      <w:r w:rsidR="003272E9" w:rsidRPr="000017FF">
        <w:rPr>
          <w:sz w:val="22"/>
          <w:szCs w:val="22"/>
        </w:rPr>
        <w:t xml:space="preserve">. However, </w:t>
      </w:r>
      <w:smartTag w:uri="urn:schemas-microsoft-com:office:smarttags" w:element="place">
        <w:r w:rsidR="0016059D" w:rsidRPr="000017FF">
          <w:rPr>
            <w:sz w:val="22"/>
            <w:szCs w:val="22"/>
          </w:rPr>
          <w:t>Africa</w:t>
        </w:r>
      </w:smartTag>
      <w:r w:rsidR="0016059D" w:rsidRPr="000017FF">
        <w:rPr>
          <w:sz w:val="22"/>
          <w:szCs w:val="22"/>
        </w:rPr>
        <w:t xml:space="preserve"> </w:t>
      </w:r>
      <w:r w:rsidR="003272E9" w:rsidRPr="000017FF">
        <w:rPr>
          <w:sz w:val="22"/>
          <w:szCs w:val="22"/>
        </w:rPr>
        <w:t>still lags behind other regions. Indeed, i</w:t>
      </w:r>
      <w:r w:rsidR="0050799C" w:rsidRPr="000017FF">
        <w:rPr>
          <w:sz w:val="22"/>
          <w:szCs w:val="22"/>
        </w:rPr>
        <w:t xml:space="preserve">t takes </w:t>
      </w:r>
      <w:r w:rsidR="00954DD3" w:rsidRPr="000017FF">
        <w:rPr>
          <w:sz w:val="22"/>
          <w:szCs w:val="22"/>
        </w:rPr>
        <w:t xml:space="preserve">on </w:t>
      </w:r>
      <w:r w:rsidR="0050799C" w:rsidRPr="000017FF">
        <w:rPr>
          <w:sz w:val="22"/>
          <w:szCs w:val="22"/>
        </w:rPr>
        <w:t>average</w:t>
      </w:r>
      <w:r w:rsidR="00F13C62" w:rsidRPr="000017FF">
        <w:rPr>
          <w:sz w:val="22"/>
          <w:szCs w:val="22"/>
        </w:rPr>
        <w:t xml:space="preserve"> </w:t>
      </w:r>
      <w:r w:rsidR="0050799C" w:rsidRPr="000017FF">
        <w:rPr>
          <w:sz w:val="22"/>
          <w:szCs w:val="22"/>
        </w:rPr>
        <w:t>31.5 days to export from a</w:t>
      </w:r>
      <w:r w:rsidR="00F13C62" w:rsidRPr="000017FF">
        <w:rPr>
          <w:sz w:val="22"/>
          <w:szCs w:val="22"/>
        </w:rPr>
        <w:t xml:space="preserve"> </w:t>
      </w:r>
      <w:r w:rsidR="0016059D" w:rsidRPr="000017FF">
        <w:rPr>
          <w:sz w:val="22"/>
          <w:szCs w:val="22"/>
        </w:rPr>
        <w:t>s</w:t>
      </w:r>
      <w:r w:rsidR="00F13C62" w:rsidRPr="000017FF">
        <w:rPr>
          <w:sz w:val="22"/>
          <w:szCs w:val="22"/>
        </w:rPr>
        <w:t>ub-Saharan</w:t>
      </w:r>
      <w:r w:rsidR="0050799C" w:rsidRPr="000017FF">
        <w:rPr>
          <w:sz w:val="22"/>
          <w:szCs w:val="22"/>
        </w:rPr>
        <w:t xml:space="preserve"> Africa</w:t>
      </w:r>
      <w:r w:rsidR="00F13C62" w:rsidRPr="000017FF">
        <w:rPr>
          <w:sz w:val="22"/>
          <w:szCs w:val="22"/>
        </w:rPr>
        <w:t>n</w:t>
      </w:r>
      <w:r w:rsidR="0050799C" w:rsidRPr="000017FF">
        <w:rPr>
          <w:sz w:val="22"/>
          <w:szCs w:val="22"/>
        </w:rPr>
        <w:t xml:space="preserve"> countr</w:t>
      </w:r>
      <w:r w:rsidR="00F13C62" w:rsidRPr="000017FF">
        <w:rPr>
          <w:sz w:val="22"/>
          <w:szCs w:val="22"/>
        </w:rPr>
        <w:t>y</w:t>
      </w:r>
      <w:r w:rsidR="0050799C" w:rsidRPr="000017FF">
        <w:rPr>
          <w:sz w:val="22"/>
          <w:szCs w:val="22"/>
        </w:rPr>
        <w:t xml:space="preserve"> and 37.</w:t>
      </w:r>
      <w:r w:rsidR="00F13C62" w:rsidRPr="000017FF">
        <w:rPr>
          <w:sz w:val="22"/>
          <w:szCs w:val="22"/>
        </w:rPr>
        <w:t>1 days to import to a</w:t>
      </w:r>
      <w:r w:rsidR="0050799C" w:rsidRPr="000017FF">
        <w:rPr>
          <w:sz w:val="22"/>
          <w:szCs w:val="22"/>
        </w:rPr>
        <w:t xml:space="preserve"> </w:t>
      </w:r>
      <w:r w:rsidR="0016059D" w:rsidRPr="000017FF">
        <w:rPr>
          <w:sz w:val="22"/>
          <w:szCs w:val="22"/>
        </w:rPr>
        <w:t>s</w:t>
      </w:r>
      <w:r w:rsidR="00F13C62" w:rsidRPr="000017FF">
        <w:rPr>
          <w:sz w:val="22"/>
          <w:szCs w:val="22"/>
        </w:rPr>
        <w:t>ub-Saharan African</w:t>
      </w:r>
      <w:r w:rsidR="0050799C" w:rsidRPr="000017FF">
        <w:rPr>
          <w:sz w:val="22"/>
          <w:szCs w:val="22"/>
        </w:rPr>
        <w:t xml:space="preserve"> countr</w:t>
      </w:r>
      <w:r w:rsidR="00F13C62" w:rsidRPr="000017FF">
        <w:rPr>
          <w:sz w:val="22"/>
          <w:szCs w:val="22"/>
        </w:rPr>
        <w:t>y</w:t>
      </w:r>
      <w:r w:rsidR="0016059D" w:rsidRPr="000017FF">
        <w:rPr>
          <w:sz w:val="22"/>
          <w:szCs w:val="22"/>
        </w:rPr>
        <w:t>.</w:t>
      </w:r>
      <w:r w:rsidR="0050799C" w:rsidRPr="000017FF">
        <w:rPr>
          <w:sz w:val="22"/>
          <w:szCs w:val="22"/>
        </w:rPr>
        <w:t xml:space="preserve"> </w:t>
      </w:r>
      <w:r w:rsidR="0016059D" w:rsidRPr="000017FF">
        <w:rPr>
          <w:sz w:val="22"/>
          <w:szCs w:val="22"/>
        </w:rPr>
        <w:t>I</w:t>
      </w:r>
      <w:r w:rsidR="00954DD3" w:rsidRPr="000017FF">
        <w:rPr>
          <w:sz w:val="22"/>
          <w:szCs w:val="22"/>
        </w:rPr>
        <w:t xml:space="preserve">n contrast, these </w:t>
      </w:r>
      <w:r w:rsidR="00EB7D96" w:rsidRPr="000017FF">
        <w:rPr>
          <w:sz w:val="22"/>
          <w:szCs w:val="22"/>
        </w:rPr>
        <w:t>average</w:t>
      </w:r>
      <w:r w:rsidR="0001011D" w:rsidRPr="000017FF">
        <w:rPr>
          <w:sz w:val="22"/>
          <w:szCs w:val="22"/>
        </w:rPr>
        <w:t>s</w:t>
      </w:r>
      <w:r w:rsidR="00EB7D96" w:rsidRPr="000017FF">
        <w:rPr>
          <w:sz w:val="22"/>
          <w:szCs w:val="22"/>
        </w:rPr>
        <w:t xml:space="preserve"> </w:t>
      </w:r>
      <w:r w:rsidR="0016059D" w:rsidRPr="000017FF">
        <w:rPr>
          <w:sz w:val="22"/>
          <w:szCs w:val="22"/>
        </w:rPr>
        <w:t xml:space="preserve">are </w:t>
      </w:r>
      <w:r w:rsidR="0050799C" w:rsidRPr="000017FF">
        <w:rPr>
          <w:sz w:val="22"/>
          <w:szCs w:val="22"/>
        </w:rPr>
        <w:t>10.5 days and 10.7 days</w:t>
      </w:r>
      <w:r w:rsidR="00954DD3" w:rsidRPr="000017FF">
        <w:rPr>
          <w:sz w:val="22"/>
          <w:szCs w:val="22"/>
        </w:rPr>
        <w:t xml:space="preserve"> </w:t>
      </w:r>
      <w:r w:rsidR="0001011D" w:rsidRPr="000017FF">
        <w:rPr>
          <w:sz w:val="22"/>
          <w:szCs w:val="22"/>
        </w:rPr>
        <w:t>for</w:t>
      </w:r>
      <w:r w:rsidR="00954DD3" w:rsidRPr="000017FF">
        <w:rPr>
          <w:sz w:val="22"/>
          <w:szCs w:val="22"/>
        </w:rPr>
        <w:t xml:space="preserve"> </w:t>
      </w:r>
      <w:r w:rsidR="00A51CD0" w:rsidRPr="000017FF">
        <w:rPr>
          <w:sz w:val="22"/>
          <w:szCs w:val="22"/>
        </w:rPr>
        <w:t>high</w:t>
      </w:r>
      <w:r w:rsidR="0016059D" w:rsidRPr="000017FF">
        <w:rPr>
          <w:sz w:val="22"/>
          <w:szCs w:val="22"/>
        </w:rPr>
        <w:t>-</w:t>
      </w:r>
      <w:r w:rsidR="00A51CD0" w:rsidRPr="000017FF">
        <w:rPr>
          <w:sz w:val="22"/>
          <w:szCs w:val="22"/>
        </w:rPr>
        <w:t xml:space="preserve">income </w:t>
      </w:r>
      <w:r w:rsidR="00954DD3" w:rsidRPr="000017FF">
        <w:rPr>
          <w:sz w:val="22"/>
          <w:szCs w:val="22"/>
        </w:rPr>
        <w:t xml:space="preserve">OECD </w:t>
      </w:r>
      <w:r w:rsidR="00A51CD0" w:rsidRPr="000017FF">
        <w:rPr>
          <w:sz w:val="22"/>
          <w:szCs w:val="22"/>
        </w:rPr>
        <w:t>countr</w:t>
      </w:r>
      <w:r w:rsidR="0001011D" w:rsidRPr="000017FF">
        <w:rPr>
          <w:sz w:val="22"/>
          <w:szCs w:val="22"/>
        </w:rPr>
        <w:t>ies</w:t>
      </w:r>
      <w:r w:rsidR="00A51CD0" w:rsidRPr="000017FF">
        <w:rPr>
          <w:rStyle w:val="FootnoteReference"/>
          <w:sz w:val="22"/>
          <w:szCs w:val="22"/>
        </w:rPr>
        <w:footnoteReference w:id="12"/>
      </w:r>
      <w:r w:rsidR="00F13C62" w:rsidRPr="000017FF">
        <w:rPr>
          <w:sz w:val="22"/>
          <w:szCs w:val="22"/>
        </w:rPr>
        <w:t xml:space="preserve"> (</w:t>
      </w:r>
      <w:r w:rsidR="00FB0D3B">
        <w:rPr>
          <w:sz w:val="22"/>
          <w:szCs w:val="22"/>
        </w:rPr>
        <w:t>table</w:t>
      </w:r>
      <w:r w:rsidR="00F13C62" w:rsidRPr="000017FF">
        <w:rPr>
          <w:sz w:val="22"/>
          <w:szCs w:val="22"/>
        </w:rPr>
        <w:t xml:space="preserve"> </w:t>
      </w:r>
      <w:r w:rsidR="0016059D" w:rsidRPr="000017FF">
        <w:rPr>
          <w:sz w:val="22"/>
          <w:szCs w:val="22"/>
        </w:rPr>
        <w:t>8.</w:t>
      </w:r>
      <w:r w:rsidR="00F13C62" w:rsidRPr="000017FF">
        <w:rPr>
          <w:sz w:val="22"/>
          <w:szCs w:val="22"/>
        </w:rPr>
        <w:t>6)</w:t>
      </w:r>
      <w:r w:rsidR="00A51CD0" w:rsidRPr="000017FF">
        <w:rPr>
          <w:sz w:val="22"/>
          <w:szCs w:val="22"/>
        </w:rPr>
        <w:t xml:space="preserve">. </w:t>
      </w:r>
      <w:r w:rsidR="00F13C62" w:rsidRPr="000017FF">
        <w:rPr>
          <w:sz w:val="22"/>
          <w:szCs w:val="22"/>
        </w:rPr>
        <w:t>Th</w:t>
      </w:r>
      <w:r w:rsidR="007F79D8" w:rsidRPr="000017FF">
        <w:rPr>
          <w:sz w:val="22"/>
          <w:szCs w:val="22"/>
        </w:rPr>
        <w:t>is</w:t>
      </w:r>
      <w:r w:rsidR="00F13C62" w:rsidRPr="000017FF">
        <w:rPr>
          <w:sz w:val="22"/>
          <w:szCs w:val="22"/>
        </w:rPr>
        <w:t xml:space="preserve"> situation </w:t>
      </w:r>
      <w:r w:rsidR="007F79D8" w:rsidRPr="000017FF">
        <w:rPr>
          <w:sz w:val="22"/>
          <w:szCs w:val="22"/>
        </w:rPr>
        <w:t xml:space="preserve">is especially </w:t>
      </w:r>
      <w:r w:rsidR="00A826C3" w:rsidRPr="000017FF">
        <w:rPr>
          <w:sz w:val="22"/>
          <w:szCs w:val="22"/>
        </w:rPr>
        <w:t xml:space="preserve">challenging </w:t>
      </w:r>
      <w:r w:rsidR="0002616F">
        <w:rPr>
          <w:sz w:val="22"/>
          <w:szCs w:val="22"/>
        </w:rPr>
        <w:t>for</w:t>
      </w:r>
      <w:r w:rsidR="0002616F" w:rsidRPr="000017FF">
        <w:rPr>
          <w:sz w:val="22"/>
          <w:szCs w:val="22"/>
        </w:rPr>
        <w:t xml:space="preserve"> </w:t>
      </w:r>
      <w:r w:rsidR="007F79D8" w:rsidRPr="000017FF">
        <w:rPr>
          <w:sz w:val="22"/>
          <w:szCs w:val="22"/>
        </w:rPr>
        <w:t xml:space="preserve">the </w:t>
      </w:r>
      <w:r w:rsidR="00A826C3" w:rsidRPr="000017FF">
        <w:rPr>
          <w:sz w:val="22"/>
          <w:szCs w:val="22"/>
        </w:rPr>
        <w:t>agricultural and f</w:t>
      </w:r>
      <w:r w:rsidR="00F13C62" w:rsidRPr="000017FF">
        <w:rPr>
          <w:sz w:val="22"/>
          <w:szCs w:val="22"/>
        </w:rPr>
        <w:t xml:space="preserve">ood </w:t>
      </w:r>
      <w:r w:rsidR="00F94340" w:rsidRPr="000017FF">
        <w:rPr>
          <w:sz w:val="22"/>
          <w:szCs w:val="22"/>
        </w:rPr>
        <w:t>sectors as</w:t>
      </w:r>
      <w:r w:rsidR="007F79D8" w:rsidRPr="000017FF">
        <w:rPr>
          <w:sz w:val="22"/>
          <w:szCs w:val="22"/>
        </w:rPr>
        <w:t>,</w:t>
      </w:r>
      <w:r w:rsidR="00F94340" w:rsidRPr="000017FF">
        <w:rPr>
          <w:sz w:val="22"/>
          <w:szCs w:val="22"/>
        </w:rPr>
        <w:t xml:space="preserve"> generally, NTBs are higher </w:t>
      </w:r>
      <w:r w:rsidR="007F79D8" w:rsidRPr="000017FF">
        <w:rPr>
          <w:sz w:val="22"/>
          <w:szCs w:val="22"/>
        </w:rPr>
        <w:t xml:space="preserve">than for other sectors </w:t>
      </w:r>
      <w:r w:rsidR="00F94340" w:rsidRPr="000017FF">
        <w:rPr>
          <w:sz w:val="22"/>
          <w:szCs w:val="22"/>
        </w:rPr>
        <w:t>(see Kee et al.</w:t>
      </w:r>
      <w:r w:rsidR="0016059D" w:rsidRPr="000017FF">
        <w:rPr>
          <w:sz w:val="22"/>
          <w:szCs w:val="22"/>
        </w:rPr>
        <w:t>,</w:t>
      </w:r>
      <w:r w:rsidR="00F94340" w:rsidRPr="000017FF">
        <w:rPr>
          <w:sz w:val="22"/>
          <w:szCs w:val="22"/>
        </w:rPr>
        <w:t xml:space="preserve"> 2009). In particular, agricultural and food products </w:t>
      </w:r>
      <w:r w:rsidR="00DC7255" w:rsidRPr="000017FF">
        <w:rPr>
          <w:sz w:val="22"/>
          <w:szCs w:val="22"/>
        </w:rPr>
        <w:t xml:space="preserve">are perishable </w:t>
      </w:r>
      <w:r w:rsidR="00A756F1" w:rsidRPr="000017FF">
        <w:rPr>
          <w:sz w:val="22"/>
          <w:szCs w:val="22"/>
        </w:rPr>
        <w:t xml:space="preserve">and </w:t>
      </w:r>
      <w:r w:rsidR="00F13C62" w:rsidRPr="000017FF">
        <w:rPr>
          <w:sz w:val="22"/>
          <w:szCs w:val="22"/>
        </w:rPr>
        <w:t xml:space="preserve">subject </w:t>
      </w:r>
      <w:r w:rsidR="0010034D" w:rsidRPr="000017FF">
        <w:rPr>
          <w:sz w:val="22"/>
          <w:szCs w:val="22"/>
        </w:rPr>
        <w:t xml:space="preserve">to </w:t>
      </w:r>
      <w:r w:rsidR="00F94340" w:rsidRPr="000017FF">
        <w:rPr>
          <w:sz w:val="22"/>
          <w:szCs w:val="22"/>
        </w:rPr>
        <w:t xml:space="preserve">strong </w:t>
      </w:r>
      <w:r w:rsidR="00A826C3" w:rsidRPr="000017FF">
        <w:rPr>
          <w:sz w:val="22"/>
          <w:szCs w:val="22"/>
        </w:rPr>
        <w:t>sanitary and phyto</w:t>
      </w:r>
      <w:r w:rsidR="0010034D" w:rsidRPr="000017FF">
        <w:rPr>
          <w:sz w:val="22"/>
          <w:szCs w:val="22"/>
        </w:rPr>
        <w:t xml:space="preserve">sanitary </w:t>
      </w:r>
      <w:r w:rsidR="00F94340" w:rsidRPr="000017FF">
        <w:rPr>
          <w:sz w:val="22"/>
          <w:szCs w:val="22"/>
        </w:rPr>
        <w:t>constraints</w:t>
      </w:r>
      <w:r w:rsidR="0010034D" w:rsidRPr="000017FF">
        <w:rPr>
          <w:sz w:val="22"/>
          <w:szCs w:val="22"/>
        </w:rPr>
        <w:t>.</w:t>
      </w:r>
      <w:r w:rsidR="00F13C62" w:rsidRPr="000017FF">
        <w:rPr>
          <w:sz w:val="22"/>
          <w:szCs w:val="22"/>
        </w:rPr>
        <w:t xml:space="preserve"> Therefore, any </w:t>
      </w:r>
      <w:r w:rsidR="00A826C3" w:rsidRPr="000017FF">
        <w:rPr>
          <w:sz w:val="22"/>
          <w:szCs w:val="22"/>
        </w:rPr>
        <w:t xml:space="preserve">delay in </w:t>
      </w:r>
      <w:r w:rsidR="00954DD3" w:rsidRPr="000017FF">
        <w:rPr>
          <w:sz w:val="22"/>
          <w:szCs w:val="22"/>
        </w:rPr>
        <w:t xml:space="preserve">the </w:t>
      </w:r>
      <w:r w:rsidR="00A826C3" w:rsidRPr="000017FF">
        <w:rPr>
          <w:sz w:val="22"/>
          <w:szCs w:val="22"/>
        </w:rPr>
        <w:t xml:space="preserve">export/import process is </w:t>
      </w:r>
      <w:r w:rsidR="005053EB" w:rsidRPr="000017FF">
        <w:rPr>
          <w:sz w:val="22"/>
          <w:szCs w:val="22"/>
        </w:rPr>
        <w:t xml:space="preserve">generally </w:t>
      </w:r>
      <w:r w:rsidR="00A826C3" w:rsidRPr="000017FF">
        <w:rPr>
          <w:sz w:val="22"/>
          <w:szCs w:val="22"/>
        </w:rPr>
        <w:t>more costly</w:t>
      </w:r>
      <w:r w:rsidR="007F79D8" w:rsidRPr="000017FF">
        <w:rPr>
          <w:sz w:val="22"/>
          <w:szCs w:val="22"/>
        </w:rPr>
        <w:t xml:space="preserve"> than for </w:t>
      </w:r>
      <w:r w:rsidR="00A826C3" w:rsidRPr="000017FF">
        <w:rPr>
          <w:sz w:val="22"/>
          <w:szCs w:val="22"/>
        </w:rPr>
        <w:t>other</w:t>
      </w:r>
      <w:r w:rsidR="00EB7D96" w:rsidRPr="000017FF">
        <w:rPr>
          <w:sz w:val="22"/>
          <w:szCs w:val="22"/>
        </w:rPr>
        <w:t xml:space="preserve"> categories of </w:t>
      </w:r>
      <w:r w:rsidR="00A826C3" w:rsidRPr="000017FF">
        <w:rPr>
          <w:sz w:val="22"/>
          <w:szCs w:val="22"/>
        </w:rPr>
        <w:t>products</w:t>
      </w:r>
      <w:r w:rsidR="00954DD3" w:rsidRPr="000017FF">
        <w:rPr>
          <w:sz w:val="22"/>
          <w:szCs w:val="22"/>
        </w:rPr>
        <w:t>,</w:t>
      </w:r>
      <w:r w:rsidR="00A826C3" w:rsidRPr="000017FF">
        <w:rPr>
          <w:sz w:val="22"/>
          <w:szCs w:val="22"/>
        </w:rPr>
        <w:t xml:space="preserve"> as it can result </w:t>
      </w:r>
      <w:r w:rsidR="00F13C62" w:rsidRPr="000017FF">
        <w:rPr>
          <w:sz w:val="22"/>
          <w:szCs w:val="22"/>
        </w:rPr>
        <w:t xml:space="preserve">in the </w:t>
      </w:r>
      <w:r w:rsidR="00A826C3" w:rsidRPr="000017FF">
        <w:rPr>
          <w:sz w:val="22"/>
          <w:szCs w:val="22"/>
        </w:rPr>
        <w:t xml:space="preserve">loss of the </w:t>
      </w:r>
      <w:r w:rsidR="00F13C62" w:rsidRPr="000017FF">
        <w:rPr>
          <w:sz w:val="22"/>
          <w:szCs w:val="22"/>
        </w:rPr>
        <w:t>merchandise.</w:t>
      </w:r>
      <w:r w:rsidR="00F94340" w:rsidRPr="000017FF">
        <w:rPr>
          <w:sz w:val="22"/>
          <w:szCs w:val="22"/>
        </w:rPr>
        <w:t xml:space="preserve"> </w:t>
      </w:r>
    </w:p>
    <w:p w:rsidR="00F13C62" w:rsidRPr="0061584B" w:rsidRDefault="00DD64C7" w:rsidP="009C49DE">
      <w:pPr>
        <w:pStyle w:val="Tableheading"/>
      </w:pPr>
      <w:r w:rsidRPr="0061584B">
        <w:t xml:space="preserve">Table </w:t>
      </w:r>
      <w:r w:rsidR="006436C9" w:rsidRPr="0061584B">
        <w:t>8.</w:t>
      </w:r>
      <w:r w:rsidR="00F67DF0" w:rsidRPr="0061584B">
        <w:t>6</w:t>
      </w:r>
      <w:r w:rsidR="00F13C62" w:rsidRPr="0061584B">
        <w:t xml:space="preserve">: </w:t>
      </w:r>
      <w:r w:rsidR="00100197" w:rsidRPr="0061584B">
        <w:tab/>
      </w:r>
      <w:r w:rsidR="00F13C62" w:rsidRPr="0061584B">
        <w:t>Average time to export/import by main regions</w:t>
      </w:r>
    </w:p>
    <w:p w:rsidR="00F13C62" w:rsidRDefault="00F13C62" w:rsidP="006D5982">
      <w:pPr>
        <w:spacing w:line="360" w:lineRule="auto"/>
      </w:pPr>
    </w:p>
    <w:p w:rsidR="00C56F7D" w:rsidRPr="0061584B" w:rsidRDefault="00601585" w:rsidP="00C56F7D">
      <w:pPr>
        <w:spacing w:line="360" w:lineRule="auto"/>
        <w:ind w:firstLine="0"/>
        <w:jc w:val="center"/>
      </w:pPr>
      <w:r w:rsidRPr="00601585">
        <w:pict>
          <v:shape id="_x0000_i1030" type="#_x0000_t75" style="width:372.75pt;height:98.25pt">
            <v:imagedata r:id="rId12" o:title=""/>
          </v:shape>
        </w:pict>
      </w:r>
    </w:p>
    <w:p w:rsidR="000017FF" w:rsidRPr="000017FF" w:rsidRDefault="000017FF" w:rsidP="000017FF">
      <w:pPr>
        <w:spacing w:line="360" w:lineRule="auto"/>
      </w:pPr>
      <w:r w:rsidRPr="000017FF">
        <w:t xml:space="preserve">* </w:t>
      </w:r>
      <w:r w:rsidR="00DB0BC7">
        <w:t>Includes</w:t>
      </w:r>
      <w:r w:rsidRPr="000017FF">
        <w:t xml:space="preserve"> inland transport, customs procedures</w:t>
      </w:r>
      <w:r w:rsidR="0002616F">
        <w:t>,</w:t>
      </w:r>
      <w:r w:rsidRPr="000017FF">
        <w:t xml:space="preserve"> and port handling.</w:t>
      </w:r>
    </w:p>
    <w:p w:rsidR="00F13C62" w:rsidRPr="000017FF" w:rsidRDefault="00F13C62" w:rsidP="000017FF">
      <w:pPr>
        <w:pStyle w:val="Source"/>
        <w:spacing w:after="0" w:line="240" w:lineRule="auto"/>
        <w:ind w:left="720" w:firstLine="0"/>
        <w:rPr>
          <w:sz w:val="20"/>
          <w:szCs w:val="20"/>
        </w:rPr>
      </w:pPr>
      <w:r w:rsidRPr="000017FF">
        <w:rPr>
          <w:sz w:val="20"/>
          <w:szCs w:val="20"/>
        </w:rPr>
        <w:t>Source:</w:t>
      </w:r>
      <w:r w:rsidRPr="000017FF">
        <w:rPr>
          <w:color w:val="FF0000"/>
          <w:sz w:val="20"/>
          <w:szCs w:val="20"/>
        </w:rPr>
        <w:t xml:space="preserve"> </w:t>
      </w:r>
      <w:r w:rsidRPr="000017FF">
        <w:rPr>
          <w:sz w:val="20"/>
          <w:szCs w:val="20"/>
        </w:rPr>
        <w:t>World Bank</w:t>
      </w:r>
      <w:r w:rsidR="0002616F">
        <w:rPr>
          <w:sz w:val="20"/>
          <w:szCs w:val="20"/>
        </w:rPr>
        <w:t xml:space="preserve"> (2012).</w:t>
      </w:r>
      <w:r w:rsidRPr="000017FF">
        <w:rPr>
          <w:sz w:val="20"/>
          <w:szCs w:val="20"/>
        </w:rPr>
        <w:t xml:space="preserve"> </w:t>
      </w:r>
    </w:p>
    <w:p w:rsidR="00984F27" w:rsidRPr="00C56F7D" w:rsidRDefault="00984F27" w:rsidP="00C56F7D">
      <w:pPr>
        <w:spacing w:line="360" w:lineRule="auto"/>
        <w:rPr>
          <w:sz w:val="18"/>
          <w:szCs w:val="18"/>
        </w:rPr>
      </w:pPr>
    </w:p>
    <w:p w:rsidR="004826CC" w:rsidRPr="000C235B" w:rsidRDefault="00DB25B2" w:rsidP="00C56F7D">
      <w:pPr>
        <w:spacing w:line="360" w:lineRule="auto"/>
        <w:rPr>
          <w:sz w:val="22"/>
          <w:szCs w:val="22"/>
        </w:rPr>
      </w:pPr>
      <w:r w:rsidRPr="000C235B">
        <w:rPr>
          <w:sz w:val="22"/>
          <w:szCs w:val="22"/>
        </w:rPr>
        <w:t xml:space="preserve">Considering the high trade protection </w:t>
      </w:r>
      <w:r w:rsidR="00102A98" w:rsidRPr="000C235B">
        <w:rPr>
          <w:sz w:val="22"/>
          <w:szCs w:val="22"/>
        </w:rPr>
        <w:t>levels</w:t>
      </w:r>
      <w:r w:rsidR="00716685" w:rsidRPr="000C235B">
        <w:rPr>
          <w:sz w:val="22"/>
          <w:szCs w:val="22"/>
        </w:rPr>
        <w:t xml:space="preserve">, </w:t>
      </w:r>
      <w:r w:rsidR="0045357F" w:rsidRPr="000C235B">
        <w:rPr>
          <w:sz w:val="22"/>
          <w:szCs w:val="22"/>
        </w:rPr>
        <w:t xml:space="preserve">elimination of tariff </w:t>
      </w:r>
      <w:r w:rsidR="00102A98" w:rsidRPr="000C235B">
        <w:rPr>
          <w:sz w:val="22"/>
          <w:szCs w:val="22"/>
        </w:rPr>
        <w:t xml:space="preserve">barriers </w:t>
      </w:r>
      <w:r w:rsidR="00D628F8" w:rsidRPr="000C235B">
        <w:rPr>
          <w:sz w:val="22"/>
          <w:szCs w:val="22"/>
        </w:rPr>
        <w:t xml:space="preserve">following the establishment of FTAs </w:t>
      </w:r>
      <w:r w:rsidR="004B30FF" w:rsidRPr="000C235B">
        <w:rPr>
          <w:sz w:val="22"/>
          <w:szCs w:val="22"/>
        </w:rPr>
        <w:t xml:space="preserve">among </w:t>
      </w:r>
      <w:r w:rsidR="0045357F" w:rsidRPr="000C235B">
        <w:rPr>
          <w:sz w:val="22"/>
          <w:szCs w:val="22"/>
        </w:rPr>
        <w:t xml:space="preserve">African economies could lead to substantial increases in trade flows </w:t>
      </w:r>
      <w:r w:rsidRPr="000C235B">
        <w:rPr>
          <w:sz w:val="22"/>
          <w:szCs w:val="22"/>
        </w:rPr>
        <w:t>within</w:t>
      </w:r>
      <w:r w:rsidR="00EB7D96" w:rsidRPr="000C235B">
        <w:rPr>
          <w:sz w:val="22"/>
          <w:szCs w:val="22"/>
        </w:rPr>
        <w:t xml:space="preserve"> the continent</w:t>
      </w:r>
      <w:r w:rsidR="00BB028B" w:rsidRPr="000C235B">
        <w:rPr>
          <w:sz w:val="22"/>
          <w:szCs w:val="22"/>
        </w:rPr>
        <w:t xml:space="preserve">. </w:t>
      </w:r>
      <w:r w:rsidR="004B30FF" w:rsidRPr="000C235B">
        <w:rPr>
          <w:sz w:val="22"/>
          <w:szCs w:val="22"/>
        </w:rPr>
        <w:t xml:space="preserve">This will, however, entail </w:t>
      </w:r>
      <w:r w:rsidR="00BB028B" w:rsidRPr="000C235B">
        <w:rPr>
          <w:sz w:val="22"/>
          <w:szCs w:val="22"/>
        </w:rPr>
        <w:t xml:space="preserve">adjustment costs </w:t>
      </w:r>
      <w:r w:rsidR="006A3306" w:rsidRPr="000C235B">
        <w:rPr>
          <w:sz w:val="22"/>
          <w:szCs w:val="22"/>
        </w:rPr>
        <w:t>such as</w:t>
      </w:r>
      <w:r w:rsidR="00BB028B" w:rsidRPr="000C235B">
        <w:rPr>
          <w:sz w:val="22"/>
          <w:szCs w:val="22"/>
        </w:rPr>
        <w:t xml:space="preserve"> </w:t>
      </w:r>
      <w:r w:rsidR="00C16CB9" w:rsidRPr="000C235B">
        <w:rPr>
          <w:sz w:val="22"/>
          <w:szCs w:val="22"/>
        </w:rPr>
        <w:t>tariff revenue losses</w:t>
      </w:r>
      <w:r w:rsidR="00BB028B" w:rsidRPr="000C235B">
        <w:rPr>
          <w:sz w:val="22"/>
          <w:szCs w:val="22"/>
        </w:rPr>
        <w:t xml:space="preserve">. </w:t>
      </w:r>
      <w:r w:rsidR="009A6937" w:rsidRPr="000C235B">
        <w:rPr>
          <w:sz w:val="22"/>
          <w:szCs w:val="22"/>
        </w:rPr>
        <w:t>If a</w:t>
      </w:r>
      <w:r w:rsidR="0045357F" w:rsidRPr="000C235B">
        <w:rPr>
          <w:sz w:val="22"/>
          <w:szCs w:val="22"/>
        </w:rPr>
        <w:t>ccompanied by other policies</w:t>
      </w:r>
      <w:r w:rsidR="009A6937" w:rsidRPr="000C235B">
        <w:rPr>
          <w:sz w:val="22"/>
          <w:szCs w:val="22"/>
        </w:rPr>
        <w:t xml:space="preserve"> –</w:t>
      </w:r>
      <w:r w:rsidR="0045357F" w:rsidRPr="000C235B">
        <w:rPr>
          <w:sz w:val="22"/>
          <w:szCs w:val="22"/>
        </w:rPr>
        <w:t xml:space="preserve"> </w:t>
      </w:r>
      <w:r w:rsidR="006A3306" w:rsidRPr="000C235B">
        <w:rPr>
          <w:sz w:val="22"/>
          <w:szCs w:val="22"/>
        </w:rPr>
        <w:t>for example</w:t>
      </w:r>
      <w:r w:rsidR="009A6937" w:rsidRPr="000C235B">
        <w:rPr>
          <w:sz w:val="22"/>
          <w:szCs w:val="22"/>
        </w:rPr>
        <w:t>,</w:t>
      </w:r>
      <w:r w:rsidR="004B30FF" w:rsidRPr="000C235B">
        <w:rPr>
          <w:sz w:val="22"/>
          <w:szCs w:val="22"/>
        </w:rPr>
        <w:t xml:space="preserve"> the </w:t>
      </w:r>
      <w:r w:rsidR="0045357F" w:rsidRPr="000C235B">
        <w:rPr>
          <w:sz w:val="22"/>
          <w:szCs w:val="22"/>
        </w:rPr>
        <w:t>reduction of non-tariff barriers</w:t>
      </w:r>
      <w:r w:rsidR="009A6937" w:rsidRPr="000C235B">
        <w:rPr>
          <w:sz w:val="22"/>
          <w:szCs w:val="22"/>
        </w:rPr>
        <w:t xml:space="preserve"> –</w:t>
      </w:r>
      <w:r w:rsidR="00102A98" w:rsidRPr="000C235B">
        <w:rPr>
          <w:sz w:val="22"/>
          <w:szCs w:val="22"/>
        </w:rPr>
        <w:t xml:space="preserve"> benefits could be considerably</w:t>
      </w:r>
      <w:r w:rsidR="00C16CB9" w:rsidRPr="000C235B">
        <w:rPr>
          <w:sz w:val="22"/>
          <w:szCs w:val="22"/>
        </w:rPr>
        <w:t xml:space="preserve"> </w:t>
      </w:r>
      <w:r w:rsidR="00ED22EE" w:rsidRPr="000C235B">
        <w:rPr>
          <w:sz w:val="22"/>
          <w:szCs w:val="22"/>
        </w:rPr>
        <w:t>enhanced</w:t>
      </w:r>
      <w:r w:rsidR="00C16CB9" w:rsidRPr="000C235B">
        <w:rPr>
          <w:sz w:val="22"/>
          <w:szCs w:val="22"/>
        </w:rPr>
        <w:t xml:space="preserve"> and </w:t>
      </w:r>
      <w:r w:rsidR="004B30FF" w:rsidRPr="000C235B">
        <w:rPr>
          <w:sz w:val="22"/>
          <w:szCs w:val="22"/>
        </w:rPr>
        <w:t xml:space="preserve">related </w:t>
      </w:r>
      <w:r w:rsidR="00C16CB9" w:rsidRPr="000C235B">
        <w:rPr>
          <w:sz w:val="22"/>
          <w:szCs w:val="22"/>
        </w:rPr>
        <w:t>adjustment costs</w:t>
      </w:r>
      <w:r w:rsidR="009A6937" w:rsidRPr="000C235B">
        <w:rPr>
          <w:sz w:val="22"/>
          <w:szCs w:val="22"/>
        </w:rPr>
        <w:t>,</w:t>
      </w:r>
      <w:r w:rsidR="00C16CB9" w:rsidRPr="000C235B">
        <w:rPr>
          <w:sz w:val="22"/>
          <w:szCs w:val="22"/>
        </w:rPr>
        <w:t xml:space="preserve"> </w:t>
      </w:r>
      <w:r w:rsidR="00204643" w:rsidRPr="000C235B">
        <w:rPr>
          <w:sz w:val="22"/>
          <w:szCs w:val="22"/>
        </w:rPr>
        <w:t>offset</w:t>
      </w:r>
      <w:r w:rsidR="00C16CB9" w:rsidRPr="000C235B">
        <w:rPr>
          <w:sz w:val="22"/>
          <w:szCs w:val="22"/>
        </w:rPr>
        <w:t>.</w:t>
      </w:r>
      <w:r w:rsidR="004B30FF" w:rsidRPr="000C235B">
        <w:rPr>
          <w:sz w:val="22"/>
          <w:szCs w:val="22"/>
        </w:rPr>
        <w:t xml:space="preserve"> </w:t>
      </w:r>
      <w:r w:rsidR="00102A98" w:rsidRPr="000C235B">
        <w:rPr>
          <w:sz w:val="22"/>
          <w:szCs w:val="22"/>
        </w:rPr>
        <w:t xml:space="preserve">Agricultural and food products </w:t>
      </w:r>
      <w:r w:rsidR="002C4476" w:rsidRPr="000C235B">
        <w:rPr>
          <w:sz w:val="22"/>
          <w:szCs w:val="22"/>
        </w:rPr>
        <w:t xml:space="preserve">could </w:t>
      </w:r>
      <w:r w:rsidR="006A6186" w:rsidRPr="000C235B">
        <w:rPr>
          <w:sz w:val="22"/>
          <w:szCs w:val="22"/>
        </w:rPr>
        <w:t xml:space="preserve">reap </w:t>
      </w:r>
      <w:r w:rsidR="002C4476" w:rsidRPr="000C235B">
        <w:rPr>
          <w:sz w:val="22"/>
          <w:szCs w:val="22"/>
        </w:rPr>
        <w:t>important gains from such trade policies</w:t>
      </w:r>
      <w:r w:rsidR="009A6937" w:rsidRPr="000C235B">
        <w:rPr>
          <w:sz w:val="22"/>
          <w:szCs w:val="22"/>
        </w:rPr>
        <w:t>,</w:t>
      </w:r>
      <w:r w:rsidR="002C4476" w:rsidRPr="000C235B">
        <w:rPr>
          <w:sz w:val="22"/>
          <w:szCs w:val="22"/>
        </w:rPr>
        <w:t xml:space="preserve"> as </w:t>
      </w:r>
      <w:r w:rsidR="009A6937" w:rsidRPr="000C235B">
        <w:rPr>
          <w:sz w:val="22"/>
          <w:szCs w:val="22"/>
        </w:rPr>
        <w:t xml:space="preserve">current </w:t>
      </w:r>
      <w:r w:rsidR="002C4476" w:rsidRPr="000C235B">
        <w:rPr>
          <w:sz w:val="22"/>
          <w:szCs w:val="22"/>
        </w:rPr>
        <w:t>barriers to trade are particularly significant for these products.</w:t>
      </w:r>
      <w:r w:rsidR="00C769DD" w:rsidRPr="000C235B">
        <w:rPr>
          <w:sz w:val="22"/>
          <w:szCs w:val="22"/>
        </w:rPr>
        <w:t xml:space="preserve"> The trade</w:t>
      </w:r>
      <w:r w:rsidR="00F225F2">
        <w:rPr>
          <w:sz w:val="22"/>
          <w:szCs w:val="22"/>
        </w:rPr>
        <w:t>-</w:t>
      </w:r>
      <w:r w:rsidR="00C769DD" w:rsidRPr="000C235B">
        <w:rPr>
          <w:sz w:val="22"/>
          <w:szCs w:val="22"/>
        </w:rPr>
        <w:t>creatin</w:t>
      </w:r>
      <w:r w:rsidR="009A6937" w:rsidRPr="000C235B">
        <w:rPr>
          <w:sz w:val="22"/>
          <w:szCs w:val="22"/>
        </w:rPr>
        <w:t>g</w:t>
      </w:r>
      <w:r w:rsidR="00C769DD" w:rsidRPr="000C235B">
        <w:rPr>
          <w:sz w:val="22"/>
          <w:szCs w:val="22"/>
        </w:rPr>
        <w:t xml:space="preserve"> effect could lead to higher demand for imports from African countries and</w:t>
      </w:r>
      <w:r w:rsidR="009A6937" w:rsidRPr="000C235B">
        <w:rPr>
          <w:sz w:val="22"/>
          <w:szCs w:val="22"/>
        </w:rPr>
        <w:t>,</w:t>
      </w:r>
      <w:r w:rsidR="00C769DD" w:rsidRPr="000C235B">
        <w:rPr>
          <w:sz w:val="22"/>
          <w:szCs w:val="22"/>
        </w:rPr>
        <w:t xml:space="preserve"> thus</w:t>
      </w:r>
      <w:r w:rsidR="00E10E11" w:rsidRPr="000C235B">
        <w:rPr>
          <w:sz w:val="22"/>
          <w:szCs w:val="22"/>
        </w:rPr>
        <w:t>,</w:t>
      </w:r>
      <w:r w:rsidR="00C769DD" w:rsidRPr="000C235B">
        <w:rPr>
          <w:sz w:val="22"/>
          <w:szCs w:val="22"/>
        </w:rPr>
        <w:t xml:space="preserve"> to higher production. </w:t>
      </w:r>
      <w:r w:rsidR="00843181" w:rsidRPr="000C235B">
        <w:rPr>
          <w:sz w:val="22"/>
          <w:szCs w:val="22"/>
        </w:rPr>
        <w:t xml:space="preserve">Empirical evidence suggests that </w:t>
      </w:r>
      <w:r w:rsidR="00E10E11" w:rsidRPr="000C235B">
        <w:rPr>
          <w:sz w:val="22"/>
          <w:szCs w:val="22"/>
        </w:rPr>
        <w:t>more</w:t>
      </w:r>
      <w:r w:rsidR="009A6937" w:rsidRPr="000C235B">
        <w:rPr>
          <w:sz w:val="22"/>
          <w:szCs w:val="22"/>
        </w:rPr>
        <w:t xml:space="preserve"> </w:t>
      </w:r>
      <w:r w:rsidR="00843181" w:rsidRPr="000C235B">
        <w:rPr>
          <w:sz w:val="22"/>
          <w:szCs w:val="22"/>
        </w:rPr>
        <w:t xml:space="preserve">trade </w:t>
      </w:r>
      <w:r w:rsidR="009A6937" w:rsidRPr="000C235B">
        <w:rPr>
          <w:sz w:val="22"/>
          <w:szCs w:val="22"/>
        </w:rPr>
        <w:t xml:space="preserve">also </w:t>
      </w:r>
      <w:r w:rsidR="00843181" w:rsidRPr="000C235B">
        <w:rPr>
          <w:sz w:val="22"/>
          <w:szCs w:val="22"/>
        </w:rPr>
        <w:t>could lead to an increase in productivity</w:t>
      </w:r>
      <w:r w:rsidR="000E22FE" w:rsidRPr="000C235B">
        <w:rPr>
          <w:sz w:val="22"/>
          <w:szCs w:val="22"/>
        </w:rPr>
        <w:t xml:space="preserve"> (Alcala and Ciccone, 2004)</w:t>
      </w:r>
      <w:r w:rsidR="00843181" w:rsidRPr="000C235B">
        <w:rPr>
          <w:sz w:val="22"/>
          <w:szCs w:val="22"/>
        </w:rPr>
        <w:t>.</w:t>
      </w:r>
      <w:r w:rsidR="0045357F" w:rsidRPr="000C235B">
        <w:rPr>
          <w:sz w:val="22"/>
          <w:szCs w:val="22"/>
        </w:rPr>
        <w:t xml:space="preserve"> </w:t>
      </w:r>
      <w:r w:rsidR="00825D4E" w:rsidRPr="000C235B">
        <w:rPr>
          <w:sz w:val="22"/>
          <w:szCs w:val="22"/>
        </w:rPr>
        <w:t xml:space="preserve">In addition, as the majority of </w:t>
      </w:r>
      <w:r w:rsidR="00D628F8" w:rsidRPr="000C235B">
        <w:rPr>
          <w:sz w:val="22"/>
          <w:szCs w:val="22"/>
        </w:rPr>
        <w:t xml:space="preserve">the </w:t>
      </w:r>
      <w:r w:rsidR="00825D4E" w:rsidRPr="000C235B">
        <w:rPr>
          <w:sz w:val="22"/>
          <w:szCs w:val="22"/>
        </w:rPr>
        <w:t xml:space="preserve">African population </w:t>
      </w:r>
      <w:r w:rsidR="00D628F8" w:rsidRPr="000C235B">
        <w:rPr>
          <w:sz w:val="22"/>
          <w:szCs w:val="22"/>
        </w:rPr>
        <w:t xml:space="preserve">relies on agriculture and food </w:t>
      </w:r>
      <w:r w:rsidR="009A6937" w:rsidRPr="000C235B">
        <w:rPr>
          <w:sz w:val="22"/>
          <w:szCs w:val="22"/>
        </w:rPr>
        <w:t xml:space="preserve">production </w:t>
      </w:r>
      <w:r w:rsidR="00D628F8" w:rsidRPr="000C235B">
        <w:rPr>
          <w:sz w:val="22"/>
          <w:szCs w:val="22"/>
        </w:rPr>
        <w:t xml:space="preserve">for </w:t>
      </w:r>
      <w:r w:rsidR="004B30FF" w:rsidRPr="000C235B">
        <w:rPr>
          <w:sz w:val="22"/>
          <w:szCs w:val="22"/>
        </w:rPr>
        <w:t xml:space="preserve">its </w:t>
      </w:r>
      <w:r w:rsidR="00EB7D96" w:rsidRPr="000C235B">
        <w:rPr>
          <w:sz w:val="22"/>
          <w:szCs w:val="22"/>
        </w:rPr>
        <w:t>livelihood</w:t>
      </w:r>
      <w:r w:rsidR="004B30FF" w:rsidRPr="000C235B">
        <w:rPr>
          <w:sz w:val="22"/>
          <w:szCs w:val="22"/>
        </w:rPr>
        <w:t>,</w:t>
      </w:r>
      <w:r w:rsidR="00D628F8" w:rsidRPr="000C235B">
        <w:rPr>
          <w:sz w:val="22"/>
          <w:szCs w:val="22"/>
        </w:rPr>
        <w:t xml:space="preserve"> it </w:t>
      </w:r>
      <w:r w:rsidR="00156CF1" w:rsidRPr="000C235B">
        <w:rPr>
          <w:sz w:val="22"/>
          <w:szCs w:val="22"/>
        </w:rPr>
        <w:t xml:space="preserve">is </w:t>
      </w:r>
      <w:r w:rsidR="00D628F8" w:rsidRPr="000C235B">
        <w:rPr>
          <w:sz w:val="22"/>
          <w:szCs w:val="22"/>
        </w:rPr>
        <w:t xml:space="preserve">very likely that </w:t>
      </w:r>
      <w:r w:rsidR="009A6937" w:rsidRPr="000C235B">
        <w:rPr>
          <w:sz w:val="22"/>
          <w:szCs w:val="22"/>
        </w:rPr>
        <w:t xml:space="preserve">any </w:t>
      </w:r>
      <w:r w:rsidR="00D628F8" w:rsidRPr="000C235B">
        <w:rPr>
          <w:sz w:val="22"/>
          <w:szCs w:val="22"/>
        </w:rPr>
        <w:t>economic gains w</w:t>
      </w:r>
      <w:r w:rsidR="009A6937" w:rsidRPr="000C235B">
        <w:rPr>
          <w:sz w:val="22"/>
          <w:szCs w:val="22"/>
        </w:rPr>
        <w:t>ould</w:t>
      </w:r>
      <w:r w:rsidR="00D628F8" w:rsidRPr="000C235B">
        <w:rPr>
          <w:sz w:val="22"/>
          <w:szCs w:val="22"/>
        </w:rPr>
        <w:t xml:space="preserve"> not be limited to the strict</w:t>
      </w:r>
      <w:r w:rsidR="009A6937" w:rsidRPr="000C235B">
        <w:rPr>
          <w:sz w:val="22"/>
          <w:szCs w:val="22"/>
        </w:rPr>
        <w:t>ly</w:t>
      </w:r>
      <w:r w:rsidR="00D628F8" w:rsidRPr="000C235B">
        <w:rPr>
          <w:sz w:val="22"/>
          <w:szCs w:val="22"/>
        </w:rPr>
        <w:t xml:space="preserve"> trade </w:t>
      </w:r>
      <w:r w:rsidR="00204643" w:rsidRPr="000C235B">
        <w:rPr>
          <w:sz w:val="22"/>
          <w:szCs w:val="22"/>
        </w:rPr>
        <w:t>sphere</w:t>
      </w:r>
      <w:r w:rsidR="00D628F8" w:rsidRPr="000C235B">
        <w:rPr>
          <w:sz w:val="22"/>
          <w:szCs w:val="22"/>
        </w:rPr>
        <w:t xml:space="preserve">. </w:t>
      </w:r>
      <w:r w:rsidR="009A6937" w:rsidRPr="000C235B">
        <w:rPr>
          <w:sz w:val="22"/>
          <w:szCs w:val="22"/>
        </w:rPr>
        <w:t>Also, p</w:t>
      </w:r>
      <w:r w:rsidR="00A13C14" w:rsidRPr="000C235B">
        <w:rPr>
          <w:sz w:val="22"/>
          <w:szCs w:val="22"/>
        </w:rPr>
        <w:t>urchas</w:t>
      </w:r>
      <w:r w:rsidR="004B30FF" w:rsidRPr="000C235B">
        <w:rPr>
          <w:sz w:val="22"/>
          <w:szCs w:val="22"/>
        </w:rPr>
        <w:t>ing</w:t>
      </w:r>
      <w:r w:rsidR="00A13C14" w:rsidRPr="000C235B">
        <w:rPr>
          <w:sz w:val="22"/>
          <w:szCs w:val="22"/>
        </w:rPr>
        <w:t xml:space="preserve"> </w:t>
      </w:r>
      <w:proofErr w:type="gramStart"/>
      <w:r w:rsidR="00A13C14" w:rsidRPr="000C235B">
        <w:rPr>
          <w:sz w:val="22"/>
          <w:szCs w:val="22"/>
        </w:rPr>
        <w:t>power</w:t>
      </w:r>
      <w:r w:rsidR="00A36F8F" w:rsidRPr="000C235B">
        <w:rPr>
          <w:sz w:val="22"/>
          <w:szCs w:val="22"/>
        </w:rPr>
        <w:t xml:space="preserve">, at least </w:t>
      </w:r>
      <w:r w:rsidR="009A6937" w:rsidRPr="000C235B">
        <w:rPr>
          <w:sz w:val="22"/>
          <w:szCs w:val="22"/>
        </w:rPr>
        <w:t xml:space="preserve">that </w:t>
      </w:r>
      <w:r w:rsidR="00A36F8F" w:rsidRPr="000C235B">
        <w:rPr>
          <w:sz w:val="22"/>
          <w:szCs w:val="22"/>
        </w:rPr>
        <w:t>of those engage</w:t>
      </w:r>
      <w:r w:rsidR="00615DA4" w:rsidRPr="000C235B">
        <w:rPr>
          <w:sz w:val="22"/>
          <w:szCs w:val="22"/>
        </w:rPr>
        <w:t>d</w:t>
      </w:r>
      <w:r w:rsidR="00A36F8F" w:rsidRPr="000C235B">
        <w:rPr>
          <w:sz w:val="22"/>
          <w:szCs w:val="22"/>
        </w:rPr>
        <w:t xml:space="preserve"> in activities related to agriculture and food,</w:t>
      </w:r>
      <w:proofErr w:type="gramEnd"/>
      <w:r w:rsidR="00D628F8" w:rsidRPr="000C235B">
        <w:rPr>
          <w:sz w:val="22"/>
          <w:szCs w:val="22"/>
        </w:rPr>
        <w:t xml:space="preserve"> could </w:t>
      </w:r>
      <w:r w:rsidR="009A6937" w:rsidRPr="000C235B">
        <w:rPr>
          <w:sz w:val="22"/>
          <w:szCs w:val="22"/>
        </w:rPr>
        <w:t>increase</w:t>
      </w:r>
      <w:r w:rsidR="006A6186" w:rsidRPr="000C235B">
        <w:rPr>
          <w:sz w:val="22"/>
          <w:szCs w:val="22"/>
        </w:rPr>
        <w:t>, and</w:t>
      </w:r>
      <w:r w:rsidR="009A6937" w:rsidRPr="000C235B">
        <w:rPr>
          <w:sz w:val="22"/>
          <w:szCs w:val="22"/>
        </w:rPr>
        <w:t>,</w:t>
      </w:r>
      <w:r w:rsidR="006A6186" w:rsidRPr="000C235B">
        <w:rPr>
          <w:sz w:val="22"/>
          <w:szCs w:val="22"/>
        </w:rPr>
        <w:t xml:space="preserve"> implicitly, poverty</w:t>
      </w:r>
      <w:r w:rsidR="00F225F2">
        <w:rPr>
          <w:sz w:val="22"/>
          <w:szCs w:val="22"/>
        </w:rPr>
        <w:t xml:space="preserve"> could be reduced</w:t>
      </w:r>
      <w:r w:rsidR="009A6937" w:rsidRPr="000C235B">
        <w:rPr>
          <w:sz w:val="22"/>
          <w:szCs w:val="22"/>
        </w:rPr>
        <w:t>,</w:t>
      </w:r>
      <w:r w:rsidR="006A6186" w:rsidRPr="000C235B">
        <w:rPr>
          <w:sz w:val="22"/>
          <w:szCs w:val="22"/>
        </w:rPr>
        <w:t xml:space="preserve"> </w:t>
      </w:r>
      <w:r w:rsidR="00C43737" w:rsidRPr="000C235B">
        <w:rPr>
          <w:sz w:val="22"/>
          <w:szCs w:val="22"/>
        </w:rPr>
        <w:t>as long as employment is also favo</w:t>
      </w:r>
      <w:r w:rsidR="009A6937" w:rsidRPr="000C235B">
        <w:rPr>
          <w:sz w:val="22"/>
          <w:szCs w:val="22"/>
        </w:rPr>
        <w:t>u</w:t>
      </w:r>
      <w:r w:rsidR="00C43737" w:rsidRPr="000C235B">
        <w:rPr>
          <w:sz w:val="22"/>
          <w:szCs w:val="22"/>
        </w:rPr>
        <w:t>red</w:t>
      </w:r>
      <w:r w:rsidR="00A36F8F" w:rsidRPr="000C235B">
        <w:rPr>
          <w:sz w:val="22"/>
          <w:szCs w:val="22"/>
        </w:rPr>
        <w:t>.</w:t>
      </w:r>
    </w:p>
    <w:p w:rsidR="000D4FCA" w:rsidRPr="000C235B" w:rsidRDefault="009A6937" w:rsidP="006D5982">
      <w:pPr>
        <w:spacing w:line="360" w:lineRule="auto"/>
        <w:rPr>
          <w:sz w:val="22"/>
          <w:szCs w:val="22"/>
        </w:rPr>
      </w:pPr>
      <w:r w:rsidRPr="000C235B">
        <w:rPr>
          <w:sz w:val="22"/>
          <w:szCs w:val="22"/>
        </w:rPr>
        <w:t>T</w:t>
      </w:r>
      <w:r w:rsidR="000D4FCA" w:rsidRPr="000C235B">
        <w:rPr>
          <w:sz w:val="22"/>
          <w:szCs w:val="22"/>
        </w:rPr>
        <w:t xml:space="preserve">o verify the </w:t>
      </w:r>
      <w:r w:rsidRPr="000C235B">
        <w:rPr>
          <w:sz w:val="22"/>
          <w:szCs w:val="22"/>
        </w:rPr>
        <w:t>possible</w:t>
      </w:r>
      <w:r w:rsidR="000D4FCA" w:rsidRPr="000C235B">
        <w:rPr>
          <w:sz w:val="22"/>
          <w:szCs w:val="22"/>
        </w:rPr>
        <w:t xml:space="preserve"> effects of </w:t>
      </w:r>
      <w:r w:rsidRPr="000C235B">
        <w:rPr>
          <w:sz w:val="22"/>
          <w:szCs w:val="22"/>
        </w:rPr>
        <w:t xml:space="preserve">reducing </w:t>
      </w:r>
      <w:r w:rsidR="000D4FCA" w:rsidRPr="000C235B">
        <w:rPr>
          <w:sz w:val="22"/>
          <w:szCs w:val="22"/>
        </w:rPr>
        <w:t>trade barriers</w:t>
      </w:r>
      <w:r w:rsidR="001922D7" w:rsidRPr="000C235B">
        <w:rPr>
          <w:sz w:val="22"/>
          <w:szCs w:val="22"/>
        </w:rPr>
        <w:t>,</w:t>
      </w:r>
      <w:r w:rsidR="000D4FCA" w:rsidRPr="000C235B">
        <w:rPr>
          <w:sz w:val="22"/>
          <w:szCs w:val="22"/>
        </w:rPr>
        <w:t xml:space="preserve"> a quantitative assessment u</w:t>
      </w:r>
      <w:r w:rsidR="004826CC" w:rsidRPr="000C235B">
        <w:rPr>
          <w:sz w:val="22"/>
          <w:szCs w:val="22"/>
        </w:rPr>
        <w:t xml:space="preserve">sing a </w:t>
      </w:r>
      <w:r w:rsidR="00F225F2" w:rsidRPr="000C235B">
        <w:rPr>
          <w:sz w:val="22"/>
          <w:szCs w:val="22"/>
        </w:rPr>
        <w:t xml:space="preserve">computable general equilibrium </w:t>
      </w:r>
      <w:r w:rsidR="000D4FCA" w:rsidRPr="000C235B">
        <w:rPr>
          <w:sz w:val="22"/>
          <w:szCs w:val="22"/>
        </w:rPr>
        <w:t xml:space="preserve">(CGE) </w:t>
      </w:r>
      <w:r w:rsidR="004826CC" w:rsidRPr="000C235B">
        <w:rPr>
          <w:sz w:val="22"/>
          <w:szCs w:val="22"/>
        </w:rPr>
        <w:t>mode</w:t>
      </w:r>
      <w:r w:rsidR="000D4FCA" w:rsidRPr="000C235B">
        <w:rPr>
          <w:sz w:val="22"/>
          <w:szCs w:val="22"/>
        </w:rPr>
        <w:t>l</w:t>
      </w:r>
      <w:r w:rsidR="004B30FF" w:rsidRPr="000C235B">
        <w:rPr>
          <w:sz w:val="22"/>
          <w:szCs w:val="22"/>
        </w:rPr>
        <w:t xml:space="preserve"> was conducted</w:t>
      </w:r>
      <w:r w:rsidR="000D4FCA" w:rsidRPr="000C235B">
        <w:rPr>
          <w:sz w:val="22"/>
          <w:szCs w:val="22"/>
        </w:rPr>
        <w:t>.</w:t>
      </w:r>
      <w:r w:rsidR="001922D7" w:rsidRPr="000C235B">
        <w:rPr>
          <w:sz w:val="22"/>
          <w:szCs w:val="22"/>
        </w:rPr>
        <w:t xml:space="preserve"> The methodology </w:t>
      </w:r>
      <w:r w:rsidR="00A65EF1" w:rsidRPr="000C235B">
        <w:rPr>
          <w:sz w:val="22"/>
          <w:szCs w:val="22"/>
        </w:rPr>
        <w:t>chosen</w:t>
      </w:r>
      <w:r w:rsidR="001922D7" w:rsidRPr="000C235B">
        <w:rPr>
          <w:sz w:val="22"/>
          <w:szCs w:val="22"/>
        </w:rPr>
        <w:t xml:space="preserve"> </w:t>
      </w:r>
      <w:r w:rsidR="007B36E5" w:rsidRPr="000C235B">
        <w:rPr>
          <w:sz w:val="22"/>
          <w:szCs w:val="22"/>
        </w:rPr>
        <w:t>for</w:t>
      </w:r>
      <w:r w:rsidR="001922D7" w:rsidRPr="000C235B">
        <w:rPr>
          <w:sz w:val="22"/>
          <w:szCs w:val="22"/>
        </w:rPr>
        <w:t xml:space="preserve"> the analysis </w:t>
      </w:r>
      <w:r w:rsidR="007B36E5" w:rsidRPr="000C235B">
        <w:rPr>
          <w:sz w:val="22"/>
          <w:szCs w:val="22"/>
        </w:rPr>
        <w:t>and</w:t>
      </w:r>
      <w:r w:rsidR="001922D7" w:rsidRPr="000C235B">
        <w:rPr>
          <w:sz w:val="22"/>
          <w:szCs w:val="22"/>
        </w:rPr>
        <w:t xml:space="preserve"> </w:t>
      </w:r>
      <w:r w:rsidRPr="000C235B">
        <w:rPr>
          <w:sz w:val="22"/>
          <w:szCs w:val="22"/>
        </w:rPr>
        <w:t xml:space="preserve">the </w:t>
      </w:r>
      <w:r w:rsidR="001922D7" w:rsidRPr="000C235B">
        <w:rPr>
          <w:sz w:val="22"/>
          <w:szCs w:val="22"/>
        </w:rPr>
        <w:t xml:space="preserve">trade reforms </w:t>
      </w:r>
      <w:r w:rsidR="002B0787" w:rsidRPr="000C235B">
        <w:rPr>
          <w:sz w:val="22"/>
          <w:szCs w:val="22"/>
        </w:rPr>
        <w:t>analysed</w:t>
      </w:r>
      <w:r w:rsidRPr="000C235B">
        <w:rPr>
          <w:sz w:val="22"/>
          <w:szCs w:val="22"/>
        </w:rPr>
        <w:t xml:space="preserve"> are</w:t>
      </w:r>
      <w:r w:rsidR="006A6186" w:rsidRPr="000C235B">
        <w:rPr>
          <w:sz w:val="22"/>
          <w:szCs w:val="22"/>
        </w:rPr>
        <w:t xml:space="preserve"> </w:t>
      </w:r>
      <w:r w:rsidR="001922D7" w:rsidRPr="000C235B">
        <w:rPr>
          <w:sz w:val="22"/>
          <w:szCs w:val="22"/>
        </w:rPr>
        <w:t xml:space="preserve">presented </w:t>
      </w:r>
      <w:r w:rsidRPr="000C235B">
        <w:rPr>
          <w:sz w:val="22"/>
          <w:szCs w:val="22"/>
        </w:rPr>
        <w:t xml:space="preserve">briefly </w:t>
      </w:r>
      <w:r w:rsidR="001922D7" w:rsidRPr="000C235B">
        <w:rPr>
          <w:sz w:val="22"/>
          <w:szCs w:val="22"/>
        </w:rPr>
        <w:t xml:space="preserve">in the </w:t>
      </w:r>
      <w:r w:rsidR="004B30FF" w:rsidRPr="000C235B">
        <w:rPr>
          <w:sz w:val="22"/>
          <w:szCs w:val="22"/>
        </w:rPr>
        <w:t xml:space="preserve">following </w:t>
      </w:r>
      <w:r w:rsidR="001922D7" w:rsidRPr="000C235B">
        <w:rPr>
          <w:sz w:val="22"/>
          <w:szCs w:val="22"/>
        </w:rPr>
        <w:t>se</w:t>
      </w:r>
      <w:r w:rsidRPr="000C235B">
        <w:rPr>
          <w:sz w:val="22"/>
          <w:szCs w:val="22"/>
        </w:rPr>
        <w:t>ct</w:t>
      </w:r>
      <w:r w:rsidR="001922D7" w:rsidRPr="000C235B">
        <w:rPr>
          <w:sz w:val="22"/>
          <w:szCs w:val="22"/>
        </w:rPr>
        <w:t>ion.</w:t>
      </w:r>
    </w:p>
    <w:p w:rsidR="00C75511" w:rsidRPr="002B0787" w:rsidRDefault="00100197" w:rsidP="006D5982">
      <w:pPr>
        <w:pStyle w:val="Heading1"/>
        <w:spacing w:line="360" w:lineRule="auto"/>
        <w:rPr>
          <w:lang w:val="en-US"/>
        </w:rPr>
      </w:pPr>
      <w:r w:rsidRPr="0061584B">
        <w:t>8.3</w:t>
      </w:r>
      <w:r w:rsidRPr="0061584B">
        <w:tab/>
      </w:r>
      <w:r w:rsidR="00C75511" w:rsidRPr="0061584B">
        <w:t>Methodology</w:t>
      </w:r>
      <w:r w:rsidR="0045357F" w:rsidRPr="0061584B">
        <w:t xml:space="preserve"> and trade reforms</w:t>
      </w:r>
      <w:r w:rsidR="002B0787">
        <w:rPr>
          <w:lang w:val="en-US"/>
        </w:rPr>
        <w:t xml:space="preserve"> ANALYSED</w:t>
      </w:r>
    </w:p>
    <w:p w:rsidR="00EB7D96" w:rsidRPr="0061584B" w:rsidRDefault="00100197" w:rsidP="006D5982">
      <w:pPr>
        <w:pStyle w:val="Heading2"/>
        <w:spacing w:line="360" w:lineRule="auto"/>
      </w:pPr>
      <w:bookmarkStart w:id="4" w:name="OLE_LINK1"/>
      <w:bookmarkStart w:id="5" w:name="OLE_LINK3"/>
      <w:r w:rsidRPr="0061584B">
        <w:t>8.3.1</w:t>
      </w:r>
      <w:r w:rsidRPr="0061584B">
        <w:tab/>
      </w:r>
      <w:r w:rsidR="00EB7D96" w:rsidRPr="0061584B">
        <w:t>Methodology</w:t>
      </w:r>
    </w:p>
    <w:p w:rsidR="0045124A" w:rsidRPr="000C235B" w:rsidRDefault="00657037" w:rsidP="006D5982">
      <w:pPr>
        <w:spacing w:line="360" w:lineRule="auto"/>
        <w:rPr>
          <w:sz w:val="22"/>
          <w:szCs w:val="22"/>
        </w:rPr>
      </w:pPr>
      <w:r w:rsidRPr="000C235B">
        <w:rPr>
          <w:sz w:val="22"/>
          <w:szCs w:val="22"/>
        </w:rPr>
        <w:t>T</w:t>
      </w:r>
      <w:r w:rsidR="004B30FF" w:rsidRPr="000C235B">
        <w:rPr>
          <w:sz w:val="22"/>
          <w:szCs w:val="22"/>
        </w:rPr>
        <w:t xml:space="preserve">he </w:t>
      </w:r>
      <w:r w:rsidR="006D0153" w:rsidRPr="000C235B">
        <w:rPr>
          <w:sz w:val="22"/>
          <w:szCs w:val="22"/>
        </w:rPr>
        <w:t>analysis</w:t>
      </w:r>
      <w:r w:rsidRPr="000C235B">
        <w:rPr>
          <w:sz w:val="22"/>
          <w:szCs w:val="22"/>
        </w:rPr>
        <w:t xml:space="preserve"> employs</w:t>
      </w:r>
      <w:r w:rsidR="006D0153" w:rsidRPr="000C235B">
        <w:rPr>
          <w:sz w:val="22"/>
          <w:szCs w:val="22"/>
        </w:rPr>
        <w:t xml:space="preserve"> the </w:t>
      </w:r>
      <w:r w:rsidR="006D0153" w:rsidRPr="000C235B">
        <w:rPr>
          <w:rStyle w:val="st"/>
          <w:sz w:val="22"/>
          <w:szCs w:val="22"/>
        </w:rPr>
        <w:t>MIRAGE multi-country and multi-sector CGE model</w:t>
      </w:r>
      <w:r w:rsidR="00D973D2" w:rsidRPr="000C235B">
        <w:rPr>
          <w:sz w:val="22"/>
          <w:szCs w:val="22"/>
        </w:rPr>
        <w:t xml:space="preserve"> in its recursive dynamic version</w:t>
      </w:r>
      <w:r w:rsidR="00330F11" w:rsidRPr="000C235B">
        <w:rPr>
          <w:sz w:val="22"/>
          <w:szCs w:val="22"/>
        </w:rPr>
        <w:t xml:space="preserve">. </w:t>
      </w:r>
      <w:r w:rsidRPr="000C235B">
        <w:rPr>
          <w:sz w:val="22"/>
          <w:szCs w:val="22"/>
        </w:rPr>
        <w:t>The model</w:t>
      </w:r>
      <w:r w:rsidR="00D973D2" w:rsidRPr="000C235B">
        <w:rPr>
          <w:sz w:val="22"/>
          <w:szCs w:val="22"/>
        </w:rPr>
        <w:t xml:space="preserve"> </w:t>
      </w:r>
      <w:r w:rsidR="001D2E34" w:rsidRPr="000C235B">
        <w:rPr>
          <w:sz w:val="22"/>
          <w:szCs w:val="22"/>
        </w:rPr>
        <w:t>is</w:t>
      </w:r>
      <w:r w:rsidR="0000658D" w:rsidRPr="000C235B">
        <w:rPr>
          <w:sz w:val="22"/>
          <w:szCs w:val="22"/>
        </w:rPr>
        <w:t xml:space="preserve"> </w:t>
      </w:r>
      <w:r w:rsidR="006D5ACB">
        <w:rPr>
          <w:sz w:val="22"/>
          <w:szCs w:val="22"/>
        </w:rPr>
        <w:t>especially well</w:t>
      </w:r>
      <w:r w:rsidR="0000658D" w:rsidRPr="000C235B">
        <w:rPr>
          <w:sz w:val="22"/>
          <w:szCs w:val="22"/>
        </w:rPr>
        <w:t xml:space="preserve"> </w:t>
      </w:r>
      <w:r w:rsidR="006D0153" w:rsidRPr="000C235B">
        <w:rPr>
          <w:rStyle w:val="st"/>
          <w:sz w:val="22"/>
          <w:szCs w:val="22"/>
        </w:rPr>
        <w:t xml:space="preserve">designed for </w:t>
      </w:r>
      <w:r w:rsidR="001D2E34" w:rsidRPr="000C235B">
        <w:rPr>
          <w:rStyle w:val="st"/>
          <w:sz w:val="22"/>
          <w:szCs w:val="22"/>
        </w:rPr>
        <w:t>assessing</w:t>
      </w:r>
      <w:r w:rsidR="006D0153" w:rsidRPr="000C235B">
        <w:rPr>
          <w:rStyle w:val="st"/>
          <w:sz w:val="22"/>
          <w:szCs w:val="22"/>
        </w:rPr>
        <w:t xml:space="preserve"> </w:t>
      </w:r>
      <w:r w:rsidR="001D2E34" w:rsidRPr="000C235B">
        <w:rPr>
          <w:rStyle w:val="st"/>
          <w:sz w:val="22"/>
          <w:szCs w:val="22"/>
        </w:rPr>
        <w:t xml:space="preserve">economic impacts </w:t>
      </w:r>
      <w:r w:rsidR="004B30FF" w:rsidRPr="000C235B">
        <w:rPr>
          <w:rStyle w:val="st"/>
          <w:sz w:val="22"/>
          <w:szCs w:val="22"/>
        </w:rPr>
        <w:t xml:space="preserve">of </w:t>
      </w:r>
      <w:r w:rsidR="006D0153" w:rsidRPr="000C235B">
        <w:rPr>
          <w:rStyle w:val="st"/>
          <w:sz w:val="22"/>
          <w:szCs w:val="22"/>
        </w:rPr>
        <w:t>trade polic</w:t>
      </w:r>
      <w:r w:rsidR="001D2E34" w:rsidRPr="000C235B">
        <w:rPr>
          <w:rStyle w:val="st"/>
          <w:sz w:val="22"/>
          <w:szCs w:val="22"/>
        </w:rPr>
        <w:t>ies</w:t>
      </w:r>
      <w:r w:rsidRPr="000C235B">
        <w:rPr>
          <w:rStyle w:val="st"/>
          <w:sz w:val="22"/>
          <w:szCs w:val="22"/>
        </w:rPr>
        <w:t>.</w:t>
      </w:r>
      <w:r w:rsidR="00575DFD" w:rsidRPr="000C235B">
        <w:rPr>
          <w:rStyle w:val="FootnoteReference"/>
          <w:sz w:val="22"/>
          <w:szCs w:val="22"/>
        </w:rPr>
        <w:footnoteReference w:id="13"/>
      </w:r>
      <w:r w:rsidR="004B30FF" w:rsidRPr="000C235B">
        <w:rPr>
          <w:sz w:val="22"/>
          <w:szCs w:val="22"/>
        </w:rPr>
        <w:t xml:space="preserve"> </w:t>
      </w:r>
      <w:r w:rsidR="0000658D" w:rsidRPr="000C235B">
        <w:rPr>
          <w:sz w:val="22"/>
          <w:szCs w:val="22"/>
        </w:rPr>
        <w:t>Thanks to many interconnected equations representing behavio</w:t>
      </w:r>
      <w:r w:rsidRPr="000C235B">
        <w:rPr>
          <w:sz w:val="22"/>
          <w:szCs w:val="22"/>
        </w:rPr>
        <w:t>u</w:t>
      </w:r>
      <w:r w:rsidR="0000658D" w:rsidRPr="000C235B">
        <w:rPr>
          <w:sz w:val="22"/>
          <w:szCs w:val="22"/>
        </w:rPr>
        <w:t xml:space="preserve">rs of economic agents and various economic linkages, </w:t>
      </w:r>
      <w:r w:rsidR="00782320" w:rsidRPr="000C235B">
        <w:rPr>
          <w:sz w:val="22"/>
          <w:szCs w:val="22"/>
        </w:rPr>
        <w:t xml:space="preserve">global </w:t>
      </w:r>
      <w:r w:rsidR="0000658D" w:rsidRPr="000C235B">
        <w:rPr>
          <w:sz w:val="22"/>
          <w:szCs w:val="22"/>
        </w:rPr>
        <w:t>CGE models are c</w:t>
      </w:r>
      <w:r w:rsidR="00D973D2" w:rsidRPr="000C235B">
        <w:rPr>
          <w:sz w:val="22"/>
          <w:szCs w:val="22"/>
        </w:rPr>
        <w:t xml:space="preserve">apable of capturing multiple interactions taking place within </w:t>
      </w:r>
      <w:r w:rsidR="0045124A" w:rsidRPr="000C235B">
        <w:rPr>
          <w:sz w:val="22"/>
          <w:szCs w:val="22"/>
        </w:rPr>
        <w:t>the</w:t>
      </w:r>
      <w:r w:rsidR="00D973D2" w:rsidRPr="000C235B">
        <w:rPr>
          <w:sz w:val="22"/>
          <w:szCs w:val="22"/>
        </w:rPr>
        <w:t xml:space="preserve"> world economy</w:t>
      </w:r>
      <w:r w:rsidR="0000658D" w:rsidRPr="000C235B">
        <w:rPr>
          <w:sz w:val="22"/>
          <w:szCs w:val="22"/>
        </w:rPr>
        <w:t xml:space="preserve">. However, this </w:t>
      </w:r>
      <w:r w:rsidRPr="000C235B">
        <w:rPr>
          <w:sz w:val="22"/>
          <w:szCs w:val="22"/>
        </w:rPr>
        <w:t xml:space="preserve">analysis </w:t>
      </w:r>
      <w:r w:rsidR="0000658D" w:rsidRPr="000C235B">
        <w:rPr>
          <w:sz w:val="22"/>
          <w:szCs w:val="22"/>
        </w:rPr>
        <w:t xml:space="preserve">requires </w:t>
      </w:r>
      <w:r w:rsidR="00140E3D" w:rsidRPr="000C235B">
        <w:rPr>
          <w:sz w:val="22"/>
          <w:szCs w:val="22"/>
        </w:rPr>
        <w:t>a significa</w:t>
      </w:r>
      <w:r w:rsidR="0045124A" w:rsidRPr="000C235B">
        <w:rPr>
          <w:sz w:val="22"/>
          <w:szCs w:val="22"/>
        </w:rPr>
        <w:t xml:space="preserve">nt amount of very detailed data. In </w:t>
      </w:r>
      <w:r w:rsidRPr="000C235B">
        <w:rPr>
          <w:sz w:val="22"/>
          <w:szCs w:val="22"/>
        </w:rPr>
        <w:t xml:space="preserve">this </w:t>
      </w:r>
      <w:r w:rsidR="005F1601" w:rsidRPr="000C235B">
        <w:rPr>
          <w:sz w:val="22"/>
          <w:szCs w:val="22"/>
        </w:rPr>
        <w:t>analysis</w:t>
      </w:r>
      <w:r w:rsidR="0045124A" w:rsidRPr="000C235B">
        <w:rPr>
          <w:sz w:val="22"/>
          <w:szCs w:val="22"/>
        </w:rPr>
        <w:t xml:space="preserve"> the </w:t>
      </w:r>
      <w:r w:rsidRPr="000C235B">
        <w:rPr>
          <w:sz w:val="22"/>
          <w:szCs w:val="22"/>
        </w:rPr>
        <w:t>Global Trade Analysis Project (</w:t>
      </w:r>
      <w:r w:rsidR="0045124A" w:rsidRPr="000C235B">
        <w:rPr>
          <w:sz w:val="22"/>
          <w:szCs w:val="22"/>
        </w:rPr>
        <w:t>GTAP</w:t>
      </w:r>
      <w:r w:rsidRPr="000C235B">
        <w:rPr>
          <w:sz w:val="22"/>
          <w:szCs w:val="22"/>
        </w:rPr>
        <w:t>)</w:t>
      </w:r>
      <w:r w:rsidR="0045124A" w:rsidRPr="000C235B">
        <w:rPr>
          <w:sz w:val="22"/>
          <w:szCs w:val="22"/>
        </w:rPr>
        <w:t xml:space="preserve"> database</w:t>
      </w:r>
      <w:r w:rsidRPr="000C235B">
        <w:rPr>
          <w:sz w:val="22"/>
          <w:szCs w:val="22"/>
        </w:rPr>
        <w:t>,</w:t>
      </w:r>
      <w:r w:rsidR="0045124A" w:rsidRPr="000C235B">
        <w:rPr>
          <w:sz w:val="22"/>
          <w:szCs w:val="22"/>
        </w:rPr>
        <w:t xml:space="preserve"> version 7</w:t>
      </w:r>
      <w:r w:rsidRPr="000C235B">
        <w:rPr>
          <w:sz w:val="22"/>
          <w:szCs w:val="22"/>
        </w:rPr>
        <w:t>,</w:t>
      </w:r>
      <w:r w:rsidR="0045124A" w:rsidRPr="000C235B">
        <w:rPr>
          <w:sz w:val="22"/>
          <w:szCs w:val="22"/>
        </w:rPr>
        <w:t xml:space="preserve"> is used as a </w:t>
      </w:r>
      <w:r w:rsidR="00D93F5E" w:rsidRPr="000C235B">
        <w:rPr>
          <w:sz w:val="22"/>
          <w:szCs w:val="22"/>
        </w:rPr>
        <w:t xml:space="preserve">global </w:t>
      </w:r>
      <w:r w:rsidR="0045124A" w:rsidRPr="000C235B">
        <w:rPr>
          <w:sz w:val="22"/>
          <w:szCs w:val="22"/>
        </w:rPr>
        <w:t>social accounting matrix (SAM) for the model.</w:t>
      </w:r>
      <w:r w:rsidR="009325D0" w:rsidRPr="000C235B">
        <w:rPr>
          <w:sz w:val="22"/>
          <w:szCs w:val="22"/>
        </w:rPr>
        <w:t xml:space="preserve"> It provides information for 53 sectors and 113 countries/regions for the year 2004</w:t>
      </w:r>
      <w:r w:rsidRPr="000C235B">
        <w:rPr>
          <w:sz w:val="22"/>
          <w:szCs w:val="22"/>
        </w:rPr>
        <w:t>.</w:t>
      </w:r>
      <w:r w:rsidR="0055701D" w:rsidRPr="000C235B">
        <w:rPr>
          <w:rStyle w:val="FootnoteReference"/>
          <w:sz w:val="22"/>
          <w:szCs w:val="22"/>
        </w:rPr>
        <w:footnoteReference w:id="14"/>
      </w:r>
    </w:p>
    <w:p w:rsidR="00C83FF9" w:rsidRPr="000C235B" w:rsidRDefault="00B562EF" w:rsidP="006D5982">
      <w:pPr>
        <w:spacing w:line="360" w:lineRule="auto"/>
        <w:rPr>
          <w:sz w:val="22"/>
          <w:szCs w:val="22"/>
        </w:rPr>
      </w:pPr>
      <w:r w:rsidRPr="000C235B">
        <w:rPr>
          <w:sz w:val="22"/>
          <w:szCs w:val="22"/>
        </w:rPr>
        <w:t xml:space="preserve">For information on </w:t>
      </w:r>
      <w:r w:rsidR="001D2E34" w:rsidRPr="000C235B">
        <w:rPr>
          <w:sz w:val="22"/>
          <w:szCs w:val="22"/>
        </w:rPr>
        <w:t>protection structures</w:t>
      </w:r>
      <w:r w:rsidR="00AC46F7" w:rsidRPr="000C235B">
        <w:rPr>
          <w:sz w:val="22"/>
          <w:szCs w:val="22"/>
        </w:rPr>
        <w:t>,</w:t>
      </w:r>
      <w:r w:rsidR="001D2E34" w:rsidRPr="000C235B">
        <w:rPr>
          <w:sz w:val="22"/>
          <w:szCs w:val="22"/>
        </w:rPr>
        <w:t xml:space="preserve"> we rely on the MAcMap-HS6 database</w:t>
      </w:r>
      <w:r w:rsidRPr="000C235B">
        <w:rPr>
          <w:sz w:val="22"/>
          <w:szCs w:val="22"/>
        </w:rPr>
        <w:t>,</w:t>
      </w:r>
      <w:r w:rsidR="001D2E34" w:rsidRPr="000C235B">
        <w:rPr>
          <w:sz w:val="22"/>
          <w:szCs w:val="22"/>
        </w:rPr>
        <w:t xml:space="preserve"> version 2.</w:t>
      </w:r>
      <w:r w:rsidR="00FA197F" w:rsidRPr="000C235B">
        <w:rPr>
          <w:sz w:val="22"/>
          <w:szCs w:val="22"/>
        </w:rPr>
        <w:t xml:space="preserve"> It </w:t>
      </w:r>
      <w:r w:rsidR="00AC46F7" w:rsidRPr="000C235B">
        <w:rPr>
          <w:sz w:val="22"/>
          <w:szCs w:val="22"/>
        </w:rPr>
        <w:t xml:space="preserve">provides </w:t>
      </w:r>
      <w:r w:rsidR="001D2E34" w:rsidRPr="000C235B">
        <w:rPr>
          <w:sz w:val="22"/>
          <w:szCs w:val="22"/>
        </w:rPr>
        <w:t>exhaustive information on market access at the bilateral level</w:t>
      </w:r>
      <w:r w:rsidR="00AC46F7" w:rsidRPr="000C235B">
        <w:rPr>
          <w:sz w:val="22"/>
          <w:szCs w:val="22"/>
        </w:rPr>
        <w:t xml:space="preserve"> </w:t>
      </w:r>
      <w:r w:rsidR="001D2E34" w:rsidRPr="000C235B">
        <w:rPr>
          <w:sz w:val="22"/>
          <w:szCs w:val="22"/>
        </w:rPr>
        <w:t xml:space="preserve">for 220 exporter countries and 169 importer countries and for as </w:t>
      </w:r>
      <w:r w:rsidRPr="000C235B">
        <w:rPr>
          <w:sz w:val="22"/>
          <w:szCs w:val="22"/>
        </w:rPr>
        <w:t xml:space="preserve">many </w:t>
      </w:r>
      <w:r w:rsidR="001D2E34" w:rsidRPr="000C235B">
        <w:rPr>
          <w:sz w:val="22"/>
          <w:szCs w:val="22"/>
        </w:rPr>
        <w:t>as 5</w:t>
      </w:r>
      <w:r w:rsidRPr="000C235B">
        <w:rPr>
          <w:sz w:val="22"/>
          <w:szCs w:val="22"/>
        </w:rPr>
        <w:t>,</w:t>
      </w:r>
      <w:r w:rsidR="001D2E34" w:rsidRPr="000C235B">
        <w:rPr>
          <w:sz w:val="22"/>
          <w:szCs w:val="22"/>
        </w:rPr>
        <w:t>113 products</w:t>
      </w:r>
      <w:r w:rsidR="00CE457F" w:rsidRPr="000C235B">
        <w:rPr>
          <w:sz w:val="22"/>
          <w:szCs w:val="22"/>
        </w:rPr>
        <w:t xml:space="preserve"> for </w:t>
      </w:r>
      <w:r w:rsidR="00AC46F7" w:rsidRPr="000C235B">
        <w:rPr>
          <w:sz w:val="22"/>
          <w:szCs w:val="22"/>
        </w:rPr>
        <w:t>a particular year</w:t>
      </w:r>
      <w:r w:rsidR="001D2E34" w:rsidRPr="000C235B">
        <w:rPr>
          <w:sz w:val="22"/>
          <w:szCs w:val="22"/>
        </w:rPr>
        <w:t>.</w:t>
      </w:r>
      <w:r w:rsidR="004F63DE" w:rsidRPr="000C235B">
        <w:rPr>
          <w:sz w:val="22"/>
          <w:szCs w:val="22"/>
        </w:rPr>
        <w:t xml:space="preserve"> </w:t>
      </w:r>
      <w:r w:rsidR="00AC46F7" w:rsidRPr="000C235B">
        <w:rPr>
          <w:sz w:val="22"/>
          <w:szCs w:val="22"/>
        </w:rPr>
        <w:t>Most notably, it includes all preferential schemes currently active, as well as offering a</w:t>
      </w:r>
      <w:r w:rsidRPr="000C235B">
        <w:rPr>
          <w:sz w:val="22"/>
          <w:szCs w:val="22"/>
        </w:rPr>
        <w:t>n</w:t>
      </w:r>
      <w:r w:rsidR="00AC46F7" w:rsidRPr="000C235B">
        <w:rPr>
          <w:sz w:val="22"/>
          <w:szCs w:val="22"/>
        </w:rPr>
        <w:t xml:space="preserve"> intuitive aggregation methodology that lends itself to a useful description of tariff barriers to worldwide trade at a specific point in time. </w:t>
      </w:r>
      <w:r w:rsidR="00154D6B" w:rsidRPr="000C235B">
        <w:rPr>
          <w:sz w:val="22"/>
          <w:szCs w:val="22"/>
        </w:rPr>
        <w:t xml:space="preserve">Indeed, not only </w:t>
      </w:r>
      <w:r w:rsidR="00FA197F" w:rsidRPr="000C235B">
        <w:rPr>
          <w:sz w:val="22"/>
          <w:szCs w:val="22"/>
        </w:rPr>
        <w:t xml:space="preserve">is </w:t>
      </w:r>
      <w:r w:rsidRPr="000C235B">
        <w:rPr>
          <w:sz w:val="22"/>
          <w:szCs w:val="22"/>
        </w:rPr>
        <w:t xml:space="preserve">it </w:t>
      </w:r>
      <w:r w:rsidR="00154D6B" w:rsidRPr="000C235B">
        <w:rPr>
          <w:sz w:val="22"/>
          <w:szCs w:val="22"/>
        </w:rPr>
        <w:t xml:space="preserve">possible to aggregate tariff lines using trade </w:t>
      </w:r>
      <w:r w:rsidR="00081972" w:rsidRPr="000C235B">
        <w:rPr>
          <w:sz w:val="22"/>
          <w:szCs w:val="22"/>
        </w:rPr>
        <w:t>weights</w:t>
      </w:r>
      <w:r w:rsidR="00AC46F7" w:rsidRPr="000C235B">
        <w:rPr>
          <w:sz w:val="22"/>
          <w:szCs w:val="22"/>
        </w:rPr>
        <w:t>,</w:t>
      </w:r>
      <w:r w:rsidR="00FA197F" w:rsidRPr="000C235B">
        <w:rPr>
          <w:sz w:val="22"/>
          <w:szCs w:val="22"/>
        </w:rPr>
        <w:t xml:space="preserve"> but</w:t>
      </w:r>
      <w:r w:rsidR="00AC46F7" w:rsidRPr="000C235B">
        <w:rPr>
          <w:sz w:val="22"/>
          <w:szCs w:val="22"/>
        </w:rPr>
        <w:t xml:space="preserve"> </w:t>
      </w:r>
      <w:r w:rsidRPr="000C235B">
        <w:rPr>
          <w:sz w:val="22"/>
          <w:szCs w:val="22"/>
        </w:rPr>
        <w:t>also</w:t>
      </w:r>
      <w:r w:rsidR="00AC46F7" w:rsidRPr="000C235B">
        <w:rPr>
          <w:sz w:val="22"/>
          <w:szCs w:val="22"/>
        </w:rPr>
        <w:t xml:space="preserve"> MAcMap-HS6</w:t>
      </w:r>
      <w:r w:rsidR="00154D6B" w:rsidRPr="000C235B">
        <w:rPr>
          <w:sz w:val="22"/>
          <w:szCs w:val="22"/>
        </w:rPr>
        <w:t xml:space="preserve"> offers the option to aggregate protection data using a so</w:t>
      </w:r>
      <w:r w:rsidRPr="000C235B">
        <w:rPr>
          <w:sz w:val="22"/>
          <w:szCs w:val="22"/>
        </w:rPr>
        <w:t>-</w:t>
      </w:r>
      <w:r w:rsidR="00154D6B" w:rsidRPr="000C235B">
        <w:rPr>
          <w:sz w:val="22"/>
          <w:szCs w:val="22"/>
        </w:rPr>
        <w:t>called “reference group weight”</w:t>
      </w:r>
      <w:r w:rsidR="00604515" w:rsidRPr="000C235B">
        <w:rPr>
          <w:sz w:val="22"/>
          <w:szCs w:val="22"/>
        </w:rPr>
        <w:t>;</w:t>
      </w:r>
      <w:r w:rsidR="00081972" w:rsidRPr="000C235B">
        <w:rPr>
          <w:sz w:val="22"/>
          <w:szCs w:val="22"/>
        </w:rPr>
        <w:t xml:space="preserve"> </w:t>
      </w:r>
      <w:r w:rsidRPr="000C235B">
        <w:rPr>
          <w:sz w:val="22"/>
          <w:szCs w:val="22"/>
        </w:rPr>
        <w:t>i</w:t>
      </w:r>
      <w:r w:rsidR="00081972" w:rsidRPr="000C235B">
        <w:rPr>
          <w:sz w:val="22"/>
          <w:szCs w:val="22"/>
        </w:rPr>
        <w:t xml:space="preserve">n </w:t>
      </w:r>
      <w:r w:rsidR="00AC46F7" w:rsidRPr="000C235B">
        <w:rPr>
          <w:sz w:val="22"/>
          <w:szCs w:val="22"/>
        </w:rPr>
        <w:t xml:space="preserve">this </w:t>
      </w:r>
      <w:r w:rsidR="00081972" w:rsidRPr="000C235B">
        <w:rPr>
          <w:sz w:val="22"/>
          <w:szCs w:val="22"/>
        </w:rPr>
        <w:t xml:space="preserve">case the weight used for aggregation does not strictly reflect the trade for the country considered but </w:t>
      </w:r>
      <w:r w:rsidR="00AC46F7" w:rsidRPr="000C235B">
        <w:rPr>
          <w:sz w:val="22"/>
          <w:szCs w:val="22"/>
        </w:rPr>
        <w:t xml:space="preserve">rather that </w:t>
      </w:r>
      <w:r w:rsidR="00081972" w:rsidRPr="000C235B">
        <w:rPr>
          <w:sz w:val="22"/>
          <w:szCs w:val="22"/>
        </w:rPr>
        <w:t xml:space="preserve">of a group of countries (group of reference) to which </w:t>
      </w:r>
      <w:r w:rsidR="00AC46F7" w:rsidRPr="000C235B">
        <w:rPr>
          <w:sz w:val="22"/>
          <w:szCs w:val="22"/>
        </w:rPr>
        <w:t xml:space="preserve">a </w:t>
      </w:r>
      <w:r w:rsidR="00081972" w:rsidRPr="000C235B">
        <w:rPr>
          <w:sz w:val="22"/>
          <w:szCs w:val="22"/>
        </w:rPr>
        <w:t xml:space="preserve">country </w:t>
      </w:r>
      <w:r w:rsidR="00AC46F7" w:rsidRPr="000C235B">
        <w:rPr>
          <w:sz w:val="22"/>
          <w:szCs w:val="22"/>
        </w:rPr>
        <w:t xml:space="preserve">belongs </w:t>
      </w:r>
      <w:r w:rsidR="00081972" w:rsidRPr="000C235B">
        <w:rPr>
          <w:sz w:val="22"/>
          <w:szCs w:val="22"/>
        </w:rPr>
        <w:t>according to its income</w:t>
      </w:r>
      <w:r w:rsidR="00AC46F7" w:rsidRPr="000C235B">
        <w:rPr>
          <w:sz w:val="22"/>
          <w:szCs w:val="22"/>
        </w:rPr>
        <w:t xml:space="preserve"> level</w:t>
      </w:r>
      <w:r w:rsidR="00081972" w:rsidRPr="000C235B">
        <w:rPr>
          <w:sz w:val="22"/>
          <w:szCs w:val="22"/>
        </w:rPr>
        <w:t xml:space="preserve">. As a consequence, the reference group weight </w:t>
      </w:r>
      <w:r w:rsidR="00C83FF9" w:rsidRPr="000C235B">
        <w:rPr>
          <w:sz w:val="22"/>
          <w:szCs w:val="22"/>
        </w:rPr>
        <w:t xml:space="preserve">limits </w:t>
      </w:r>
      <w:r w:rsidR="00081972" w:rsidRPr="000C235B">
        <w:rPr>
          <w:sz w:val="22"/>
          <w:szCs w:val="22"/>
        </w:rPr>
        <w:t xml:space="preserve">possible </w:t>
      </w:r>
      <w:r w:rsidR="00C83FF9" w:rsidRPr="000C235B">
        <w:rPr>
          <w:sz w:val="22"/>
          <w:szCs w:val="22"/>
        </w:rPr>
        <w:t>endogeneity bias between trade and protection</w:t>
      </w:r>
      <w:r w:rsidRPr="000C235B">
        <w:rPr>
          <w:sz w:val="22"/>
          <w:szCs w:val="22"/>
        </w:rPr>
        <w:t>.</w:t>
      </w:r>
      <w:r w:rsidR="00135C1B" w:rsidRPr="000C235B">
        <w:rPr>
          <w:rStyle w:val="FootnoteReference"/>
          <w:sz w:val="22"/>
          <w:szCs w:val="22"/>
        </w:rPr>
        <w:footnoteReference w:id="15"/>
      </w:r>
      <w:r w:rsidR="00081972" w:rsidRPr="000C235B">
        <w:rPr>
          <w:sz w:val="22"/>
          <w:szCs w:val="22"/>
        </w:rPr>
        <w:t xml:space="preserve"> </w:t>
      </w:r>
      <w:r w:rsidR="00F15CAC" w:rsidRPr="000C235B">
        <w:rPr>
          <w:sz w:val="22"/>
          <w:szCs w:val="22"/>
        </w:rPr>
        <w:t>Finally, the MAcMap-HS6 database</w:t>
      </w:r>
      <w:r w:rsidRPr="000C235B">
        <w:rPr>
          <w:sz w:val="22"/>
          <w:szCs w:val="22"/>
        </w:rPr>
        <w:t>,</w:t>
      </w:r>
      <w:r w:rsidR="00F15CAC" w:rsidRPr="000C235B">
        <w:rPr>
          <w:sz w:val="22"/>
          <w:szCs w:val="22"/>
        </w:rPr>
        <w:t xml:space="preserve"> version 2</w:t>
      </w:r>
      <w:r w:rsidRPr="000C235B">
        <w:rPr>
          <w:sz w:val="22"/>
          <w:szCs w:val="22"/>
        </w:rPr>
        <w:t>,</w:t>
      </w:r>
      <w:r w:rsidR="00F15CAC" w:rsidRPr="000C235B">
        <w:rPr>
          <w:sz w:val="22"/>
          <w:szCs w:val="22"/>
        </w:rPr>
        <w:t xml:space="preserve"> has a</w:t>
      </w:r>
      <w:r w:rsidR="00571026" w:rsidRPr="000C235B">
        <w:rPr>
          <w:sz w:val="22"/>
          <w:szCs w:val="22"/>
        </w:rPr>
        <w:t>n integrated</w:t>
      </w:r>
      <w:r w:rsidR="00F15CAC" w:rsidRPr="000C235B">
        <w:rPr>
          <w:sz w:val="22"/>
          <w:szCs w:val="22"/>
        </w:rPr>
        <w:t xml:space="preserve"> </w:t>
      </w:r>
      <w:r w:rsidR="00C83FF9" w:rsidRPr="000C235B">
        <w:rPr>
          <w:sz w:val="22"/>
          <w:szCs w:val="22"/>
        </w:rPr>
        <w:t xml:space="preserve">“GTAP scaling” </w:t>
      </w:r>
      <w:r w:rsidR="00F15CAC" w:rsidRPr="000C235B">
        <w:rPr>
          <w:sz w:val="22"/>
          <w:szCs w:val="22"/>
        </w:rPr>
        <w:t xml:space="preserve">module such </w:t>
      </w:r>
      <w:r w:rsidR="00571026" w:rsidRPr="000C235B">
        <w:rPr>
          <w:sz w:val="22"/>
          <w:szCs w:val="22"/>
        </w:rPr>
        <w:t xml:space="preserve">that </w:t>
      </w:r>
      <w:r w:rsidR="00F15CAC" w:rsidRPr="000C235B">
        <w:rPr>
          <w:sz w:val="22"/>
          <w:szCs w:val="22"/>
        </w:rPr>
        <w:t xml:space="preserve">trade flows associated </w:t>
      </w:r>
      <w:r w:rsidRPr="000C235B">
        <w:rPr>
          <w:sz w:val="22"/>
          <w:szCs w:val="22"/>
        </w:rPr>
        <w:t xml:space="preserve">with </w:t>
      </w:r>
      <w:r w:rsidR="00F15CAC" w:rsidRPr="000C235B">
        <w:rPr>
          <w:sz w:val="22"/>
          <w:szCs w:val="22"/>
        </w:rPr>
        <w:t>tariff lines are</w:t>
      </w:r>
      <w:r w:rsidR="00C83FF9" w:rsidRPr="000C235B">
        <w:rPr>
          <w:sz w:val="22"/>
          <w:szCs w:val="22"/>
        </w:rPr>
        <w:t xml:space="preserve"> ke</w:t>
      </w:r>
      <w:r w:rsidR="00C77070" w:rsidRPr="000C235B">
        <w:rPr>
          <w:sz w:val="22"/>
          <w:szCs w:val="22"/>
        </w:rPr>
        <w:t>pt</w:t>
      </w:r>
      <w:r w:rsidR="00C83FF9" w:rsidRPr="000C235B">
        <w:rPr>
          <w:sz w:val="22"/>
          <w:szCs w:val="22"/>
        </w:rPr>
        <w:t xml:space="preserve"> consistent with the trade information </w:t>
      </w:r>
      <w:r w:rsidR="00C77070" w:rsidRPr="000C235B">
        <w:rPr>
          <w:sz w:val="22"/>
          <w:szCs w:val="22"/>
        </w:rPr>
        <w:t>from</w:t>
      </w:r>
      <w:r w:rsidR="00C83FF9" w:rsidRPr="000C235B">
        <w:rPr>
          <w:sz w:val="22"/>
          <w:szCs w:val="22"/>
        </w:rPr>
        <w:t xml:space="preserve"> the GTAP database used </w:t>
      </w:r>
      <w:r w:rsidR="00C77070" w:rsidRPr="000C235B">
        <w:rPr>
          <w:sz w:val="22"/>
          <w:szCs w:val="22"/>
        </w:rPr>
        <w:t xml:space="preserve">in </w:t>
      </w:r>
      <w:r w:rsidR="00C83FF9" w:rsidRPr="000C235B">
        <w:rPr>
          <w:sz w:val="22"/>
          <w:szCs w:val="22"/>
        </w:rPr>
        <w:t>the CGE model.</w:t>
      </w:r>
      <w:r w:rsidR="00D41527" w:rsidRPr="000C235B">
        <w:rPr>
          <w:sz w:val="22"/>
          <w:szCs w:val="22"/>
        </w:rPr>
        <w:t xml:space="preserve"> </w:t>
      </w:r>
      <w:r w:rsidRPr="000C235B">
        <w:rPr>
          <w:sz w:val="22"/>
          <w:szCs w:val="22"/>
        </w:rPr>
        <w:t>F</w:t>
      </w:r>
      <w:r w:rsidR="00135C1B" w:rsidRPr="000C235B">
        <w:rPr>
          <w:sz w:val="22"/>
          <w:szCs w:val="22"/>
        </w:rPr>
        <w:t xml:space="preserve">or </w:t>
      </w:r>
      <w:r w:rsidRPr="000C235B">
        <w:rPr>
          <w:sz w:val="22"/>
          <w:szCs w:val="22"/>
        </w:rPr>
        <w:t>our</w:t>
      </w:r>
      <w:r w:rsidR="00571026" w:rsidRPr="000C235B">
        <w:rPr>
          <w:sz w:val="22"/>
          <w:szCs w:val="22"/>
        </w:rPr>
        <w:t xml:space="preserve"> </w:t>
      </w:r>
      <w:r w:rsidR="00135C1B" w:rsidRPr="000C235B">
        <w:rPr>
          <w:sz w:val="22"/>
          <w:szCs w:val="22"/>
        </w:rPr>
        <w:t xml:space="preserve">analysis </w:t>
      </w:r>
      <w:r w:rsidR="00D41527" w:rsidRPr="000C235B">
        <w:rPr>
          <w:sz w:val="22"/>
          <w:szCs w:val="22"/>
        </w:rPr>
        <w:t>tariff barriers are first aggregated at the level of sectors and countries/region</w:t>
      </w:r>
      <w:r w:rsidR="00571026" w:rsidRPr="000C235B">
        <w:rPr>
          <w:sz w:val="22"/>
          <w:szCs w:val="22"/>
        </w:rPr>
        <w:t>s</w:t>
      </w:r>
      <w:r w:rsidR="00D41527" w:rsidRPr="000C235B">
        <w:rPr>
          <w:sz w:val="22"/>
          <w:szCs w:val="22"/>
        </w:rPr>
        <w:t xml:space="preserve"> of the GTAP database</w:t>
      </w:r>
      <w:r w:rsidR="00135C1B" w:rsidRPr="000C235B">
        <w:rPr>
          <w:sz w:val="22"/>
          <w:szCs w:val="22"/>
        </w:rPr>
        <w:t>,</w:t>
      </w:r>
      <w:r w:rsidR="00D41527" w:rsidRPr="000C235B">
        <w:rPr>
          <w:sz w:val="22"/>
          <w:szCs w:val="22"/>
        </w:rPr>
        <w:t xml:space="preserve"> </w:t>
      </w:r>
      <w:r w:rsidR="00135C1B" w:rsidRPr="000C235B">
        <w:rPr>
          <w:sz w:val="22"/>
          <w:szCs w:val="22"/>
        </w:rPr>
        <w:t xml:space="preserve">using the “reference group weight”, </w:t>
      </w:r>
      <w:r w:rsidR="00D41527" w:rsidRPr="000C235B">
        <w:rPr>
          <w:sz w:val="22"/>
          <w:szCs w:val="22"/>
        </w:rPr>
        <w:t>before being aggregated at the level of sectors and countries/regions selected for the model</w:t>
      </w:r>
      <w:r w:rsidR="00B20B54" w:rsidRPr="000C235B">
        <w:rPr>
          <w:sz w:val="22"/>
          <w:szCs w:val="22"/>
        </w:rPr>
        <w:t xml:space="preserve"> following the same aggregation method</w:t>
      </w:r>
      <w:r w:rsidR="00D41527" w:rsidRPr="000C235B">
        <w:rPr>
          <w:sz w:val="22"/>
          <w:szCs w:val="22"/>
        </w:rPr>
        <w:t>.</w:t>
      </w:r>
    </w:p>
    <w:p w:rsidR="007B2487" w:rsidRPr="000C235B" w:rsidRDefault="00B562EF" w:rsidP="006D5982">
      <w:pPr>
        <w:spacing w:line="360" w:lineRule="auto"/>
        <w:rPr>
          <w:sz w:val="22"/>
          <w:szCs w:val="22"/>
        </w:rPr>
      </w:pPr>
      <w:r w:rsidRPr="000C235B">
        <w:rPr>
          <w:sz w:val="22"/>
          <w:szCs w:val="22"/>
        </w:rPr>
        <w:t>As noted, the protection data from</w:t>
      </w:r>
      <w:r w:rsidR="007B2487" w:rsidRPr="000C235B">
        <w:rPr>
          <w:sz w:val="22"/>
          <w:szCs w:val="22"/>
        </w:rPr>
        <w:t xml:space="preserve"> MAcMap-HS6v2</w:t>
      </w:r>
      <w:r w:rsidRPr="000C235B">
        <w:rPr>
          <w:sz w:val="22"/>
          <w:szCs w:val="22"/>
        </w:rPr>
        <w:t>, which are</w:t>
      </w:r>
      <w:r w:rsidR="007B2487" w:rsidRPr="000C235B">
        <w:rPr>
          <w:sz w:val="22"/>
          <w:szCs w:val="22"/>
        </w:rPr>
        <w:t xml:space="preserve"> used for the analysis</w:t>
      </w:r>
      <w:r w:rsidRPr="000C235B">
        <w:rPr>
          <w:sz w:val="22"/>
          <w:szCs w:val="22"/>
        </w:rPr>
        <w:t>,</w:t>
      </w:r>
      <w:r w:rsidR="007B2487" w:rsidRPr="000C235B">
        <w:rPr>
          <w:sz w:val="22"/>
          <w:szCs w:val="22"/>
        </w:rPr>
        <w:t xml:space="preserve"> </w:t>
      </w:r>
      <w:r w:rsidRPr="000C235B">
        <w:rPr>
          <w:sz w:val="22"/>
          <w:szCs w:val="22"/>
        </w:rPr>
        <w:t xml:space="preserve">are </w:t>
      </w:r>
      <w:r w:rsidR="007B2487" w:rsidRPr="000C235B">
        <w:rPr>
          <w:sz w:val="22"/>
          <w:szCs w:val="22"/>
        </w:rPr>
        <w:t>for the year 2004</w:t>
      </w:r>
      <w:r w:rsidR="006B2377" w:rsidRPr="000C235B">
        <w:rPr>
          <w:sz w:val="22"/>
          <w:szCs w:val="22"/>
        </w:rPr>
        <w:t>, which is the latest year available at this time</w:t>
      </w:r>
      <w:r w:rsidR="005F1601" w:rsidRPr="000C235B">
        <w:rPr>
          <w:sz w:val="22"/>
          <w:szCs w:val="22"/>
        </w:rPr>
        <w:t xml:space="preserve"> (see footnote 8)</w:t>
      </w:r>
      <w:r w:rsidR="007B2487" w:rsidRPr="000C235B">
        <w:rPr>
          <w:sz w:val="22"/>
          <w:szCs w:val="22"/>
        </w:rPr>
        <w:t xml:space="preserve">. Although this </w:t>
      </w:r>
      <w:r w:rsidRPr="000C235B">
        <w:rPr>
          <w:sz w:val="22"/>
          <w:szCs w:val="22"/>
        </w:rPr>
        <w:t xml:space="preserve">may </w:t>
      </w:r>
      <w:r w:rsidR="007B2487" w:rsidRPr="000C235B">
        <w:rPr>
          <w:sz w:val="22"/>
          <w:szCs w:val="22"/>
        </w:rPr>
        <w:t xml:space="preserve">appear </w:t>
      </w:r>
      <w:r w:rsidR="009C59B6" w:rsidRPr="000C235B">
        <w:rPr>
          <w:sz w:val="22"/>
          <w:szCs w:val="22"/>
        </w:rPr>
        <w:t xml:space="preserve">somewhat </w:t>
      </w:r>
      <w:r w:rsidR="007B2487" w:rsidRPr="000C235B">
        <w:rPr>
          <w:sz w:val="22"/>
          <w:szCs w:val="22"/>
        </w:rPr>
        <w:t xml:space="preserve">outdated, it is critical to note </w:t>
      </w:r>
      <w:r w:rsidR="00EE5A62" w:rsidRPr="000C235B">
        <w:rPr>
          <w:sz w:val="22"/>
          <w:szCs w:val="22"/>
        </w:rPr>
        <w:t xml:space="preserve">that </w:t>
      </w:r>
      <w:r w:rsidR="007B2487" w:rsidRPr="000C235B">
        <w:rPr>
          <w:sz w:val="22"/>
          <w:szCs w:val="22"/>
        </w:rPr>
        <w:t xml:space="preserve">CGE models are very demanding in terms of data and therefore require very detailed tariff </w:t>
      </w:r>
      <w:r w:rsidR="006B2377" w:rsidRPr="000C235B">
        <w:rPr>
          <w:sz w:val="22"/>
          <w:szCs w:val="22"/>
        </w:rPr>
        <w:t>barrier</w:t>
      </w:r>
      <w:r w:rsidR="007B2487" w:rsidRPr="000C235B">
        <w:rPr>
          <w:sz w:val="22"/>
          <w:szCs w:val="22"/>
        </w:rPr>
        <w:t xml:space="preserve"> information</w:t>
      </w:r>
      <w:r w:rsidR="00EE5A62" w:rsidRPr="000C235B">
        <w:rPr>
          <w:sz w:val="22"/>
          <w:szCs w:val="22"/>
        </w:rPr>
        <w:t>,</w:t>
      </w:r>
      <w:r w:rsidR="009C59B6" w:rsidRPr="000C235B">
        <w:rPr>
          <w:sz w:val="22"/>
          <w:szCs w:val="22"/>
        </w:rPr>
        <w:t xml:space="preserve"> which can then be mapped with the GTAP database. MAcMap is one of the very few sources that can </w:t>
      </w:r>
      <w:r w:rsidR="00EE5A62" w:rsidRPr="000C235B">
        <w:rPr>
          <w:sz w:val="22"/>
          <w:szCs w:val="22"/>
        </w:rPr>
        <w:t>meet</w:t>
      </w:r>
      <w:r w:rsidR="009C59B6" w:rsidRPr="000C235B">
        <w:rPr>
          <w:sz w:val="22"/>
          <w:szCs w:val="22"/>
        </w:rPr>
        <w:t xml:space="preserve"> such requirements. The TRAINS database</w:t>
      </w:r>
      <w:r w:rsidR="009C59B6" w:rsidRPr="000C235B">
        <w:rPr>
          <w:rStyle w:val="FootnoteReference"/>
          <w:sz w:val="22"/>
          <w:szCs w:val="22"/>
        </w:rPr>
        <w:footnoteReference w:id="16"/>
      </w:r>
      <w:r w:rsidR="009C59B6" w:rsidRPr="000C235B">
        <w:rPr>
          <w:sz w:val="22"/>
          <w:szCs w:val="22"/>
        </w:rPr>
        <w:t xml:space="preserve"> also provides protection data at a quite disaggregated level in both geographic and sectoral </w:t>
      </w:r>
      <w:r w:rsidR="006B2377" w:rsidRPr="000C235B">
        <w:rPr>
          <w:sz w:val="22"/>
          <w:szCs w:val="22"/>
        </w:rPr>
        <w:t>dimensions</w:t>
      </w:r>
      <w:r w:rsidR="009C59B6" w:rsidRPr="000C235B">
        <w:rPr>
          <w:sz w:val="22"/>
          <w:szCs w:val="22"/>
        </w:rPr>
        <w:t>. Computations made using TRAIN</w:t>
      </w:r>
      <w:r w:rsidR="006B2377" w:rsidRPr="000C235B">
        <w:rPr>
          <w:sz w:val="22"/>
          <w:szCs w:val="22"/>
        </w:rPr>
        <w:t>S</w:t>
      </w:r>
      <w:r w:rsidR="009C59B6" w:rsidRPr="000C235B">
        <w:rPr>
          <w:sz w:val="22"/>
          <w:szCs w:val="22"/>
        </w:rPr>
        <w:t xml:space="preserve"> for the year 2010 indicate that, although average protection has been lowered since 2004, trade patterns </w:t>
      </w:r>
      <w:r w:rsidR="00EE5A62" w:rsidRPr="000C235B">
        <w:rPr>
          <w:sz w:val="22"/>
          <w:szCs w:val="22"/>
        </w:rPr>
        <w:t xml:space="preserve">generally </w:t>
      </w:r>
      <w:r w:rsidR="009C59B6" w:rsidRPr="000C235B">
        <w:rPr>
          <w:sz w:val="22"/>
          <w:szCs w:val="22"/>
        </w:rPr>
        <w:t xml:space="preserve">have </w:t>
      </w:r>
      <w:r w:rsidR="00EE5A62" w:rsidRPr="000C235B">
        <w:rPr>
          <w:sz w:val="22"/>
          <w:szCs w:val="22"/>
        </w:rPr>
        <w:t>changed little.</w:t>
      </w:r>
      <w:r w:rsidR="009C59B6" w:rsidRPr="000C235B">
        <w:rPr>
          <w:sz w:val="22"/>
          <w:szCs w:val="22"/>
        </w:rPr>
        <w:t xml:space="preserve"> </w:t>
      </w:r>
      <w:r w:rsidR="00C61879">
        <w:rPr>
          <w:sz w:val="22"/>
          <w:szCs w:val="22"/>
        </w:rPr>
        <w:t>Specifically</w:t>
      </w:r>
      <w:r w:rsidR="006B2377" w:rsidRPr="000C235B">
        <w:rPr>
          <w:sz w:val="22"/>
          <w:szCs w:val="22"/>
        </w:rPr>
        <w:t>, average protection</w:t>
      </w:r>
      <w:r w:rsidR="006B2377" w:rsidRPr="000C235B">
        <w:rPr>
          <w:rFonts w:ascii="Helv" w:hAnsi="Helv" w:cs="Helv"/>
          <w:color w:val="000000"/>
          <w:sz w:val="22"/>
          <w:szCs w:val="22"/>
        </w:rPr>
        <w:t xml:space="preserve"> within Africa remains considerably higher than protection faced by African countries on their exports to the </w:t>
      </w:r>
      <w:r w:rsidR="00EE5A62" w:rsidRPr="000C235B">
        <w:rPr>
          <w:rFonts w:ascii="Helv" w:hAnsi="Helv" w:cs="Helv"/>
          <w:color w:val="000000"/>
          <w:sz w:val="22"/>
          <w:szCs w:val="22"/>
        </w:rPr>
        <w:t>r</w:t>
      </w:r>
      <w:r w:rsidR="006B2377" w:rsidRPr="000C235B">
        <w:rPr>
          <w:rFonts w:ascii="Helv" w:hAnsi="Helv" w:cs="Helv"/>
          <w:color w:val="000000"/>
          <w:sz w:val="22"/>
          <w:szCs w:val="22"/>
        </w:rPr>
        <w:t xml:space="preserve">est of the </w:t>
      </w:r>
      <w:r w:rsidR="00EE5A62" w:rsidRPr="000C235B">
        <w:rPr>
          <w:rFonts w:ascii="Helv" w:hAnsi="Helv" w:cs="Helv"/>
          <w:color w:val="000000"/>
          <w:sz w:val="22"/>
          <w:szCs w:val="22"/>
        </w:rPr>
        <w:t>w</w:t>
      </w:r>
      <w:r w:rsidR="006B2377" w:rsidRPr="000C235B">
        <w:rPr>
          <w:rFonts w:ascii="Helv" w:hAnsi="Helv" w:cs="Helv"/>
          <w:color w:val="000000"/>
          <w:sz w:val="22"/>
          <w:szCs w:val="22"/>
        </w:rPr>
        <w:t>orld</w:t>
      </w:r>
      <w:r w:rsidR="00EE5A62" w:rsidRPr="000C235B">
        <w:rPr>
          <w:rFonts w:ascii="Helv" w:hAnsi="Helv" w:cs="Helv"/>
          <w:color w:val="000000"/>
          <w:sz w:val="22"/>
          <w:szCs w:val="22"/>
        </w:rPr>
        <w:t>;</w:t>
      </w:r>
      <w:r w:rsidR="006B2377" w:rsidRPr="000C235B">
        <w:rPr>
          <w:rFonts w:ascii="Helv" w:hAnsi="Helv" w:cs="Helv"/>
          <w:color w:val="000000"/>
          <w:sz w:val="22"/>
          <w:szCs w:val="22"/>
        </w:rPr>
        <w:t xml:space="preserve"> a</w:t>
      </w:r>
      <w:r w:rsidR="006B2377" w:rsidRPr="000C235B">
        <w:rPr>
          <w:sz w:val="22"/>
          <w:szCs w:val="22"/>
        </w:rPr>
        <w:t xml:space="preserve">verage protection in agriculture is the highest </w:t>
      </w:r>
      <w:r w:rsidR="00EE5A62" w:rsidRPr="000C235B">
        <w:rPr>
          <w:sz w:val="22"/>
          <w:szCs w:val="22"/>
        </w:rPr>
        <w:t xml:space="preserve">of any </w:t>
      </w:r>
      <w:r w:rsidR="00ED22EE" w:rsidRPr="000C235B">
        <w:rPr>
          <w:sz w:val="22"/>
          <w:szCs w:val="22"/>
        </w:rPr>
        <w:t>sector</w:t>
      </w:r>
      <w:r w:rsidR="00ED22EE" w:rsidRPr="000C235B">
        <w:rPr>
          <w:rStyle w:val="CommentReference"/>
          <w:rFonts w:ascii="Arial Narrow" w:hAnsi="Arial Narrow" w:cs="Times New Roman"/>
          <w:sz w:val="22"/>
          <w:szCs w:val="22"/>
          <w:lang w:val="en-US"/>
        </w:rPr>
        <w:t>;</w:t>
      </w:r>
      <w:r w:rsidR="00ED22EE" w:rsidRPr="000C235B">
        <w:rPr>
          <w:sz w:val="22"/>
          <w:szCs w:val="22"/>
        </w:rPr>
        <w:t xml:space="preserve"> and</w:t>
      </w:r>
      <w:r w:rsidR="006B2377" w:rsidRPr="000C235B">
        <w:rPr>
          <w:sz w:val="22"/>
          <w:szCs w:val="22"/>
        </w:rPr>
        <w:t xml:space="preserve"> average protection in </w:t>
      </w:r>
      <w:smartTag w:uri="urn:schemas-microsoft-com:office:smarttags" w:element="place">
        <w:r w:rsidR="006B2377" w:rsidRPr="000C235B">
          <w:rPr>
            <w:sz w:val="22"/>
            <w:szCs w:val="22"/>
          </w:rPr>
          <w:t>Africa</w:t>
        </w:r>
      </w:smartTag>
      <w:r w:rsidR="006B2377" w:rsidRPr="000C235B">
        <w:rPr>
          <w:sz w:val="22"/>
          <w:szCs w:val="22"/>
        </w:rPr>
        <w:t xml:space="preserve"> is high, especially between</w:t>
      </w:r>
      <w:r w:rsidR="00582CC2" w:rsidRPr="000C235B">
        <w:rPr>
          <w:sz w:val="22"/>
          <w:szCs w:val="22"/>
        </w:rPr>
        <w:t>,</w:t>
      </w:r>
      <w:r w:rsidR="006B2377" w:rsidRPr="000C235B">
        <w:rPr>
          <w:sz w:val="22"/>
          <w:szCs w:val="22"/>
        </w:rPr>
        <w:t xml:space="preserve"> but also within</w:t>
      </w:r>
      <w:r w:rsidR="00582CC2" w:rsidRPr="000C235B">
        <w:rPr>
          <w:sz w:val="22"/>
          <w:szCs w:val="22"/>
        </w:rPr>
        <w:t>,</w:t>
      </w:r>
      <w:r w:rsidR="006B2377" w:rsidRPr="000C235B">
        <w:rPr>
          <w:sz w:val="22"/>
          <w:szCs w:val="22"/>
        </w:rPr>
        <w:t xml:space="preserve"> regional groups</w:t>
      </w:r>
      <w:r w:rsidR="00582CC2" w:rsidRPr="000C235B">
        <w:rPr>
          <w:sz w:val="22"/>
          <w:szCs w:val="22"/>
        </w:rPr>
        <w:t>.</w:t>
      </w:r>
      <w:r w:rsidR="006B2377" w:rsidRPr="000C235B">
        <w:rPr>
          <w:sz w:val="22"/>
          <w:szCs w:val="22"/>
        </w:rPr>
        <w:t xml:space="preserve"> However</w:t>
      </w:r>
      <w:r w:rsidR="009C59B6" w:rsidRPr="000C235B">
        <w:rPr>
          <w:sz w:val="22"/>
          <w:szCs w:val="22"/>
        </w:rPr>
        <w:t xml:space="preserve">, it is very difficult to compare tariffs from different sources and </w:t>
      </w:r>
      <w:r w:rsidR="00EE5A62" w:rsidRPr="000C235B">
        <w:rPr>
          <w:sz w:val="22"/>
          <w:szCs w:val="22"/>
        </w:rPr>
        <w:t xml:space="preserve">with </w:t>
      </w:r>
      <w:r w:rsidR="00582CC2" w:rsidRPr="000C235B">
        <w:rPr>
          <w:sz w:val="22"/>
          <w:szCs w:val="22"/>
        </w:rPr>
        <w:t xml:space="preserve">different </w:t>
      </w:r>
      <w:r w:rsidR="009C59B6" w:rsidRPr="000C235B">
        <w:rPr>
          <w:sz w:val="22"/>
          <w:szCs w:val="22"/>
        </w:rPr>
        <w:t xml:space="preserve">methods </w:t>
      </w:r>
      <w:r w:rsidR="00C61879">
        <w:rPr>
          <w:sz w:val="22"/>
          <w:szCs w:val="22"/>
        </w:rPr>
        <w:t>of</w:t>
      </w:r>
      <w:r w:rsidR="00C61879" w:rsidRPr="000C235B">
        <w:rPr>
          <w:sz w:val="22"/>
          <w:szCs w:val="22"/>
        </w:rPr>
        <w:t xml:space="preserve"> </w:t>
      </w:r>
      <w:r w:rsidR="009C59B6" w:rsidRPr="000C235B">
        <w:rPr>
          <w:sz w:val="22"/>
          <w:szCs w:val="22"/>
        </w:rPr>
        <w:t xml:space="preserve">tariff aggregation. Unlike the MAcMap database, </w:t>
      </w:r>
      <w:r w:rsidR="00EE5A62" w:rsidRPr="000C235B">
        <w:rPr>
          <w:sz w:val="22"/>
          <w:szCs w:val="22"/>
        </w:rPr>
        <w:t xml:space="preserve">the </w:t>
      </w:r>
      <w:r w:rsidR="009C59B6" w:rsidRPr="000C235B">
        <w:rPr>
          <w:sz w:val="22"/>
          <w:szCs w:val="22"/>
        </w:rPr>
        <w:t xml:space="preserve">TRAINS database does </w:t>
      </w:r>
      <w:r w:rsidR="00EE5A62" w:rsidRPr="000C235B">
        <w:rPr>
          <w:sz w:val="22"/>
          <w:szCs w:val="22"/>
        </w:rPr>
        <w:t xml:space="preserve">not </w:t>
      </w:r>
      <w:r w:rsidR="009C59B6" w:rsidRPr="000C235B">
        <w:rPr>
          <w:sz w:val="22"/>
          <w:szCs w:val="22"/>
        </w:rPr>
        <w:t>allow for aggregation using a reference group weight</w:t>
      </w:r>
      <w:r w:rsidR="00EE5A62" w:rsidRPr="000C235B">
        <w:rPr>
          <w:sz w:val="22"/>
          <w:szCs w:val="22"/>
        </w:rPr>
        <w:t>,</w:t>
      </w:r>
      <w:r w:rsidR="009C59B6" w:rsidRPr="000C235B">
        <w:rPr>
          <w:sz w:val="22"/>
          <w:szCs w:val="22"/>
        </w:rPr>
        <w:t xml:space="preserve"> and </w:t>
      </w:r>
      <w:r w:rsidR="00EE5A62" w:rsidRPr="000C235B">
        <w:rPr>
          <w:sz w:val="22"/>
          <w:szCs w:val="22"/>
        </w:rPr>
        <w:t xml:space="preserve">it </w:t>
      </w:r>
      <w:r w:rsidR="009C59B6" w:rsidRPr="000C235B">
        <w:rPr>
          <w:sz w:val="22"/>
          <w:szCs w:val="22"/>
        </w:rPr>
        <w:t xml:space="preserve">also does not </w:t>
      </w:r>
      <w:r w:rsidR="006B2377" w:rsidRPr="000C235B">
        <w:rPr>
          <w:sz w:val="22"/>
          <w:szCs w:val="22"/>
        </w:rPr>
        <w:t>offer the possibility to compute aggregated tariffs using</w:t>
      </w:r>
      <w:r w:rsidR="009C59B6" w:rsidRPr="000C235B">
        <w:rPr>
          <w:sz w:val="22"/>
          <w:szCs w:val="22"/>
        </w:rPr>
        <w:t xml:space="preserve"> trade information fully consistent with the GTAP database.</w:t>
      </w:r>
      <w:r w:rsidR="006B2377" w:rsidRPr="000C235B">
        <w:rPr>
          <w:sz w:val="22"/>
          <w:szCs w:val="22"/>
        </w:rPr>
        <w:t xml:space="preserve"> Overall, due to recent average protection reductions within Africa</w:t>
      </w:r>
      <w:r w:rsidR="00EE5A62" w:rsidRPr="000C235B">
        <w:rPr>
          <w:sz w:val="22"/>
          <w:szCs w:val="22"/>
        </w:rPr>
        <w:t>n RECs</w:t>
      </w:r>
      <w:r w:rsidR="006B2377" w:rsidRPr="000C235B">
        <w:rPr>
          <w:sz w:val="22"/>
          <w:szCs w:val="22"/>
        </w:rPr>
        <w:t xml:space="preserve"> </w:t>
      </w:r>
      <w:r w:rsidR="00EE5A62" w:rsidRPr="000C235B">
        <w:rPr>
          <w:sz w:val="22"/>
          <w:szCs w:val="22"/>
        </w:rPr>
        <w:t>that</w:t>
      </w:r>
      <w:r w:rsidR="006B2377" w:rsidRPr="000C235B">
        <w:rPr>
          <w:sz w:val="22"/>
          <w:szCs w:val="22"/>
        </w:rPr>
        <w:t xml:space="preserve"> are not reflected in the MAcMap-HS6v2 database</w:t>
      </w:r>
      <w:r w:rsidR="00353877" w:rsidRPr="000C235B">
        <w:rPr>
          <w:sz w:val="22"/>
          <w:szCs w:val="22"/>
        </w:rPr>
        <w:t>,</w:t>
      </w:r>
      <w:r w:rsidR="006B2377" w:rsidRPr="000C235B">
        <w:rPr>
          <w:sz w:val="22"/>
          <w:szCs w:val="22"/>
        </w:rPr>
        <w:t xml:space="preserve"> findings </w:t>
      </w:r>
      <w:r w:rsidR="00353877" w:rsidRPr="000C235B">
        <w:rPr>
          <w:sz w:val="22"/>
          <w:szCs w:val="22"/>
        </w:rPr>
        <w:t xml:space="preserve">from liberalization scenarios </w:t>
      </w:r>
      <w:r w:rsidR="006B2377" w:rsidRPr="000C235B">
        <w:rPr>
          <w:sz w:val="22"/>
          <w:szCs w:val="22"/>
        </w:rPr>
        <w:t xml:space="preserve">could be slightly overestimated. Nonetheless, </w:t>
      </w:r>
      <w:r w:rsidR="00EE5A62" w:rsidRPr="000C235B">
        <w:rPr>
          <w:sz w:val="22"/>
          <w:szCs w:val="22"/>
        </w:rPr>
        <w:t xml:space="preserve">the </w:t>
      </w:r>
      <w:r w:rsidR="00353877" w:rsidRPr="000C235B">
        <w:rPr>
          <w:sz w:val="22"/>
          <w:szCs w:val="22"/>
        </w:rPr>
        <w:t xml:space="preserve">simulations </w:t>
      </w:r>
      <w:r w:rsidR="00EE5A62" w:rsidRPr="000C235B">
        <w:rPr>
          <w:sz w:val="22"/>
          <w:szCs w:val="22"/>
        </w:rPr>
        <w:t xml:space="preserve">reflect changes that </w:t>
      </w:r>
      <w:r w:rsidR="00353877" w:rsidRPr="000C235B">
        <w:rPr>
          <w:sz w:val="22"/>
          <w:szCs w:val="22"/>
        </w:rPr>
        <w:t>are to be implemented over</w:t>
      </w:r>
      <w:r w:rsidR="00E0277B" w:rsidRPr="000C235B">
        <w:rPr>
          <w:sz w:val="22"/>
          <w:szCs w:val="22"/>
        </w:rPr>
        <w:t xml:space="preserve"> </w:t>
      </w:r>
      <w:r w:rsidR="00EE5A62" w:rsidRPr="000C235B">
        <w:rPr>
          <w:sz w:val="22"/>
          <w:szCs w:val="22"/>
        </w:rPr>
        <w:t xml:space="preserve">the long term </w:t>
      </w:r>
      <w:r w:rsidR="00353877" w:rsidRPr="000C235B">
        <w:rPr>
          <w:sz w:val="22"/>
          <w:szCs w:val="22"/>
        </w:rPr>
        <w:t xml:space="preserve">following a dynamic approach. Therefore, </w:t>
      </w:r>
      <w:r w:rsidR="007F7A3A" w:rsidRPr="000C235B">
        <w:rPr>
          <w:sz w:val="22"/>
          <w:szCs w:val="22"/>
        </w:rPr>
        <w:t xml:space="preserve">and considering the substantial </w:t>
      </w:r>
      <w:r w:rsidR="00EE5A62" w:rsidRPr="000C235B">
        <w:rPr>
          <w:sz w:val="22"/>
          <w:szCs w:val="22"/>
        </w:rPr>
        <w:t xml:space="preserve">hindrance to trade </w:t>
      </w:r>
      <w:r w:rsidR="00FE5057" w:rsidRPr="000C235B">
        <w:rPr>
          <w:sz w:val="22"/>
          <w:szCs w:val="22"/>
        </w:rPr>
        <w:t xml:space="preserve">opportunities </w:t>
      </w:r>
      <w:r w:rsidR="00EE5A62" w:rsidRPr="000C235B">
        <w:rPr>
          <w:sz w:val="22"/>
          <w:szCs w:val="22"/>
        </w:rPr>
        <w:t xml:space="preserve">posed by </w:t>
      </w:r>
      <w:r w:rsidR="007F7A3A" w:rsidRPr="000C235B">
        <w:rPr>
          <w:sz w:val="22"/>
          <w:szCs w:val="22"/>
        </w:rPr>
        <w:t xml:space="preserve">both tariff and non-tariff barriers, </w:t>
      </w:r>
      <w:r w:rsidR="00353877" w:rsidRPr="000C235B">
        <w:rPr>
          <w:sz w:val="22"/>
          <w:szCs w:val="22"/>
        </w:rPr>
        <w:t xml:space="preserve">the outcomes </w:t>
      </w:r>
      <w:r w:rsidR="00EE5A62" w:rsidRPr="000C235B">
        <w:rPr>
          <w:sz w:val="22"/>
          <w:szCs w:val="22"/>
        </w:rPr>
        <w:t xml:space="preserve">of </w:t>
      </w:r>
      <w:r w:rsidR="00353877" w:rsidRPr="000C235B">
        <w:rPr>
          <w:sz w:val="22"/>
          <w:szCs w:val="22"/>
        </w:rPr>
        <w:t>the analysis</w:t>
      </w:r>
      <w:r w:rsidR="007F7A3A" w:rsidRPr="000C235B">
        <w:rPr>
          <w:sz w:val="22"/>
          <w:szCs w:val="22"/>
        </w:rPr>
        <w:t xml:space="preserve"> </w:t>
      </w:r>
      <w:r w:rsidR="00BB1A70" w:rsidRPr="000C235B">
        <w:rPr>
          <w:sz w:val="22"/>
          <w:szCs w:val="22"/>
        </w:rPr>
        <w:t>must</w:t>
      </w:r>
      <w:r w:rsidR="00353877" w:rsidRPr="000C235B">
        <w:rPr>
          <w:sz w:val="22"/>
          <w:szCs w:val="22"/>
        </w:rPr>
        <w:t xml:space="preserve"> </w:t>
      </w:r>
      <w:r w:rsidR="007F7A3A" w:rsidRPr="000C235B">
        <w:rPr>
          <w:sz w:val="22"/>
          <w:szCs w:val="22"/>
        </w:rPr>
        <w:t xml:space="preserve">not be </w:t>
      </w:r>
      <w:r w:rsidR="00B81F8F">
        <w:rPr>
          <w:sz w:val="22"/>
          <w:szCs w:val="22"/>
        </w:rPr>
        <w:t>dismiss</w:t>
      </w:r>
      <w:r w:rsidR="00B81F8F" w:rsidRPr="000C235B">
        <w:rPr>
          <w:sz w:val="22"/>
          <w:szCs w:val="22"/>
        </w:rPr>
        <w:t>ed</w:t>
      </w:r>
      <w:r w:rsidR="007F7A3A" w:rsidRPr="000C235B">
        <w:rPr>
          <w:sz w:val="22"/>
          <w:szCs w:val="22"/>
        </w:rPr>
        <w:t>.</w:t>
      </w:r>
      <w:r w:rsidR="00353877" w:rsidRPr="000C235B">
        <w:rPr>
          <w:sz w:val="22"/>
          <w:szCs w:val="22"/>
        </w:rPr>
        <w:t xml:space="preserve"> </w:t>
      </w:r>
    </w:p>
    <w:p w:rsidR="00FA197F" w:rsidRPr="0061584B" w:rsidRDefault="00100197" w:rsidP="006D5982">
      <w:pPr>
        <w:pStyle w:val="Heading2"/>
        <w:spacing w:line="360" w:lineRule="auto"/>
      </w:pPr>
      <w:r w:rsidRPr="0061584B">
        <w:t>8.3.2</w:t>
      </w:r>
      <w:r w:rsidRPr="0061584B">
        <w:tab/>
      </w:r>
      <w:r w:rsidR="00FA197F" w:rsidRPr="0061584B">
        <w:t>Geographic and sectoral decompositions</w:t>
      </w:r>
    </w:p>
    <w:p w:rsidR="00C003B1" w:rsidRDefault="00571026" w:rsidP="006D5982">
      <w:pPr>
        <w:spacing w:line="360" w:lineRule="auto"/>
        <w:rPr>
          <w:sz w:val="22"/>
          <w:szCs w:val="22"/>
        </w:rPr>
      </w:pPr>
      <w:r w:rsidRPr="000C235B">
        <w:rPr>
          <w:sz w:val="22"/>
          <w:szCs w:val="22"/>
        </w:rPr>
        <w:t>Due</w:t>
      </w:r>
      <w:r w:rsidR="00D41527" w:rsidRPr="000C235B">
        <w:rPr>
          <w:sz w:val="22"/>
          <w:szCs w:val="22"/>
        </w:rPr>
        <w:t xml:space="preserve"> to technical restrictions</w:t>
      </w:r>
      <w:r w:rsidRPr="000C235B">
        <w:rPr>
          <w:sz w:val="22"/>
          <w:szCs w:val="22"/>
        </w:rPr>
        <w:t>,</w:t>
      </w:r>
      <w:r w:rsidR="00D41527" w:rsidRPr="000C235B">
        <w:rPr>
          <w:sz w:val="22"/>
          <w:szCs w:val="22"/>
        </w:rPr>
        <w:t xml:space="preserve"> </w:t>
      </w:r>
      <w:r w:rsidR="00E707D5" w:rsidRPr="000C235B">
        <w:rPr>
          <w:sz w:val="22"/>
          <w:szCs w:val="22"/>
        </w:rPr>
        <w:t>i</w:t>
      </w:r>
      <w:r w:rsidR="007B5B03" w:rsidRPr="000C235B">
        <w:rPr>
          <w:sz w:val="22"/>
          <w:szCs w:val="22"/>
        </w:rPr>
        <w:t>t is usually advised not to run the MIRAGE model with more than 30 c</w:t>
      </w:r>
      <w:r w:rsidR="00E707D5" w:rsidRPr="000C235B">
        <w:rPr>
          <w:sz w:val="22"/>
          <w:szCs w:val="22"/>
        </w:rPr>
        <w:t xml:space="preserve">ountries/regions and 30 sectors. Therefore, </w:t>
      </w:r>
      <w:r w:rsidRPr="000C235B">
        <w:rPr>
          <w:sz w:val="22"/>
          <w:szCs w:val="22"/>
        </w:rPr>
        <w:t xml:space="preserve">the </w:t>
      </w:r>
      <w:r w:rsidR="00E707D5" w:rsidRPr="000C235B">
        <w:rPr>
          <w:sz w:val="22"/>
          <w:szCs w:val="22"/>
        </w:rPr>
        <w:t xml:space="preserve">geographic decomposition for </w:t>
      </w:r>
      <w:r w:rsidRPr="000C235B">
        <w:rPr>
          <w:sz w:val="22"/>
          <w:szCs w:val="22"/>
        </w:rPr>
        <w:t xml:space="preserve">the </w:t>
      </w:r>
      <w:r w:rsidR="00E707D5" w:rsidRPr="000C235B">
        <w:rPr>
          <w:sz w:val="22"/>
          <w:szCs w:val="22"/>
        </w:rPr>
        <w:t xml:space="preserve">simulations </w:t>
      </w:r>
      <w:r w:rsidR="00FA197F" w:rsidRPr="000C235B">
        <w:rPr>
          <w:sz w:val="22"/>
          <w:szCs w:val="22"/>
        </w:rPr>
        <w:t>was</w:t>
      </w:r>
      <w:r w:rsidRPr="000C235B">
        <w:rPr>
          <w:sz w:val="22"/>
          <w:szCs w:val="22"/>
        </w:rPr>
        <w:t xml:space="preserve"> limited </w:t>
      </w:r>
      <w:r w:rsidR="00E707D5" w:rsidRPr="000C235B">
        <w:rPr>
          <w:sz w:val="22"/>
          <w:szCs w:val="22"/>
        </w:rPr>
        <w:t>to 2</w:t>
      </w:r>
      <w:r w:rsidR="00D22035" w:rsidRPr="000C235B">
        <w:rPr>
          <w:sz w:val="22"/>
          <w:szCs w:val="22"/>
        </w:rPr>
        <w:t>7</w:t>
      </w:r>
      <w:r w:rsidR="00E707D5" w:rsidRPr="000C235B">
        <w:rPr>
          <w:sz w:val="22"/>
          <w:szCs w:val="22"/>
        </w:rPr>
        <w:t xml:space="preserve"> countries/regions, with a focus on </w:t>
      </w:r>
      <w:smartTag w:uri="urn:schemas-microsoft-com:office:smarttags" w:element="place">
        <w:r w:rsidR="00E707D5" w:rsidRPr="000C235B">
          <w:rPr>
            <w:sz w:val="22"/>
            <w:szCs w:val="22"/>
          </w:rPr>
          <w:t>Africa</w:t>
        </w:r>
      </w:smartTag>
      <w:r w:rsidR="00E707D5" w:rsidRPr="000C235B">
        <w:rPr>
          <w:sz w:val="22"/>
          <w:szCs w:val="22"/>
        </w:rPr>
        <w:t xml:space="preserve">. </w:t>
      </w:r>
      <w:bookmarkEnd w:id="4"/>
      <w:bookmarkEnd w:id="5"/>
      <w:r w:rsidRPr="000C235B">
        <w:rPr>
          <w:sz w:val="22"/>
          <w:szCs w:val="22"/>
        </w:rPr>
        <w:t>A</w:t>
      </w:r>
      <w:r w:rsidR="00E707D5" w:rsidRPr="000C235B">
        <w:rPr>
          <w:sz w:val="22"/>
          <w:szCs w:val="22"/>
        </w:rPr>
        <w:t xml:space="preserve">ll the 16 African countries and the </w:t>
      </w:r>
      <w:r w:rsidR="00FE5057" w:rsidRPr="000C235B">
        <w:rPr>
          <w:sz w:val="22"/>
          <w:szCs w:val="22"/>
        </w:rPr>
        <w:t>six</w:t>
      </w:r>
      <w:r w:rsidR="00E707D5" w:rsidRPr="000C235B">
        <w:rPr>
          <w:sz w:val="22"/>
          <w:szCs w:val="22"/>
        </w:rPr>
        <w:t xml:space="preserve"> African regions</w:t>
      </w:r>
      <w:r w:rsidR="00E707D5" w:rsidRPr="000C235B">
        <w:rPr>
          <w:rStyle w:val="FootnoteReference"/>
          <w:sz w:val="22"/>
          <w:szCs w:val="22"/>
        </w:rPr>
        <w:footnoteReference w:id="17"/>
      </w:r>
      <w:r w:rsidR="00E707D5" w:rsidRPr="000C235B">
        <w:rPr>
          <w:sz w:val="22"/>
          <w:szCs w:val="22"/>
        </w:rPr>
        <w:t xml:space="preserve"> of the GTAP database, as well as their main partners</w:t>
      </w:r>
      <w:r w:rsidR="00FE5057" w:rsidRPr="000C235B">
        <w:rPr>
          <w:sz w:val="22"/>
          <w:szCs w:val="22"/>
        </w:rPr>
        <w:t>,</w:t>
      </w:r>
      <w:r w:rsidR="00E707D5" w:rsidRPr="000C235B">
        <w:rPr>
          <w:sz w:val="22"/>
          <w:szCs w:val="22"/>
        </w:rPr>
        <w:t xml:space="preserve"> the European Union, the United States</w:t>
      </w:r>
      <w:r w:rsidR="00357A37" w:rsidRPr="000C235B">
        <w:rPr>
          <w:sz w:val="22"/>
          <w:szCs w:val="22"/>
        </w:rPr>
        <w:t xml:space="preserve"> of America</w:t>
      </w:r>
      <w:r w:rsidR="00E707D5" w:rsidRPr="000C235B">
        <w:rPr>
          <w:sz w:val="22"/>
          <w:szCs w:val="22"/>
        </w:rPr>
        <w:t>, and the BRIC countries</w:t>
      </w:r>
      <w:r w:rsidR="00FE5057" w:rsidRPr="000C235B">
        <w:rPr>
          <w:sz w:val="22"/>
          <w:szCs w:val="22"/>
        </w:rPr>
        <w:t>,</w:t>
      </w:r>
      <w:r w:rsidRPr="000C235B">
        <w:rPr>
          <w:sz w:val="22"/>
          <w:szCs w:val="22"/>
        </w:rPr>
        <w:t xml:space="preserve"> were maintained</w:t>
      </w:r>
      <w:r w:rsidR="00E707D5" w:rsidRPr="000C235B">
        <w:rPr>
          <w:sz w:val="22"/>
          <w:szCs w:val="22"/>
        </w:rPr>
        <w:t xml:space="preserve">; the rest of the countries </w:t>
      </w:r>
      <w:r w:rsidRPr="000C235B">
        <w:rPr>
          <w:sz w:val="22"/>
          <w:szCs w:val="22"/>
        </w:rPr>
        <w:t xml:space="preserve">were </w:t>
      </w:r>
      <w:r w:rsidR="00E707D5" w:rsidRPr="000C235B">
        <w:rPr>
          <w:sz w:val="22"/>
          <w:szCs w:val="22"/>
        </w:rPr>
        <w:t xml:space="preserve">aggregated into </w:t>
      </w:r>
      <w:r w:rsidRPr="000C235B">
        <w:rPr>
          <w:sz w:val="22"/>
          <w:szCs w:val="22"/>
        </w:rPr>
        <w:t>R</w:t>
      </w:r>
      <w:r w:rsidR="00E707D5" w:rsidRPr="000C235B">
        <w:rPr>
          <w:sz w:val="22"/>
          <w:szCs w:val="22"/>
        </w:rPr>
        <w:t xml:space="preserve">est of </w:t>
      </w:r>
      <w:r w:rsidRPr="000C235B">
        <w:rPr>
          <w:sz w:val="22"/>
          <w:szCs w:val="22"/>
        </w:rPr>
        <w:t>D</w:t>
      </w:r>
      <w:r w:rsidR="00E707D5" w:rsidRPr="000C235B">
        <w:rPr>
          <w:sz w:val="22"/>
          <w:szCs w:val="22"/>
        </w:rPr>
        <w:t xml:space="preserve">eveloped </w:t>
      </w:r>
      <w:r w:rsidRPr="000C235B">
        <w:rPr>
          <w:sz w:val="22"/>
          <w:szCs w:val="22"/>
        </w:rPr>
        <w:t>C</w:t>
      </w:r>
      <w:r w:rsidR="00E707D5" w:rsidRPr="000C235B">
        <w:rPr>
          <w:sz w:val="22"/>
          <w:szCs w:val="22"/>
        </w:rPr>
        <w:t xml:space="preserve">ountries and </w:t>
      </w:r>
      <w:r w:rsidRPr="000C235B">
        <w:rPr>
          <w:sz w:val="22"/>
          <w:szCs w:val="22"/>
        </w:rPr>
        <w:t>R</w:t>
      </w:r>
      <w:r w:rsidR="00E707D5" w:rsidRPr="000C235B">
        <w:rPr>
          <w:sz w:val="22"/>
          <w:szCs w:val="22"/>
        </w:rPr>
        <w:t xml:space="preserve">est of </w:t>
      </w:r>
      <w:r w:rsidRPr="000C235B">
        <w:rPr>
          <w:sz w:val="22"/>
          <w:szCs w:val="22"/>
        </w:rPr>
        <w:t>D</w:t>
      </w:r>
      <w:r w:rsidR="00E707D5" w:rsidRPr="000C235B">
        <w:rPr>
          <w:sz w:val="22"/>
          <w:szCs w:val="22"/>
        </w:rPr>
        <w:t xml:space="preserve">eveloping </w:t>
      </w:r>
      <w:r w:rsidRPr="000C235B">
        <w:rPr>
          <w:sz w:val="22"/>
          <w:szCs w:val="22"/>
        </w:rPr>
        <w:t>C</w:t>
      </w:r>
      <w:r w:rsidR="00E707D5" w:rsidRPr="000C235B">
        <w:rPr>
          <w:sz w:val="22"/>
          <w:szCs w:val="22"/>
        </w:rPr>
        <w:t xml:space="preserve">ountries </w:t>
      </w:r>
      <w:r w:rsidR="004554CB" w:rsidRPr="000C235B">
        <w:rPr>
          <w:sz w:val="22"/>
          <w:szCs w:val="22"/>
        </w:rPr>
        <w:t>(</w:t>
      </w:r>
      <w:r w:rsidR="00FB0D3B">
        <w:rPr>
          <w:sz w:val="22"/>
          <w:szCs w:val="22"/>
        </w:rPr>
        <w:t>table</w:t>
      </w:r>
      <w:r w:rsidR="004554CB" w:rsidRPr="000C235B">
        <w:rPr>
          <w:sz w:val="22"/>
          <w:szCs w:val="22"/>
        </w:rPr>
        <w:t xml:space="preserve"> </w:t>
      </w:r>
      <w:r w:rsidR="00FE5057" w:rsidRPr="000C235B">
        <w:rPr>
          <w:sz w:val="22"/>
          <w:szCs w:val="22"/>
        </w:rPr>
        <w:t>8.</w:t>
      </w:r>
      <w:r w:rsidR="004554CB" w:rsidRPr="000C235B">
        <w:rPr>
          <w:sz w:val="22"/>
          <w:szCs w:val="22"/>
        </w:rPr>
        <w:t>7</w:t>
      </w:r>
      <w:r w:rsidR="00D22035" w:rsidRPr="000C235B">
        <w:rPr>
          <w:sz w:val="22"/>
          <w:szCs w:val="22"/>
        </w:rPr>
        <w:t xml:space="preserve"> and </w:t>
      </w:r>
      <w:r w:rsidR="00B03E3F" w:rsidRPr="000C235B">
        <w:rPr>
          <w:sz w:val="22"/>
          <w:szCs w:val="22"/>
        </w:rPr>
        <w:t>annex</w:t>
      </w:r>
      <w:r w:rsidR="00D22035" w:rsidRPr="000C235B">
        <w:rPr>
          <w:sz w:val="22"/>
          <w:szCs w:val="22"/>
        </w:rPr>
        <w:t xml:space="preserve"> </w:t>
      </w:r>
      <w:r w:rsidR="00D546AF">
        <w:rPr>
          <w:sz w:val="22"/>
          <w:szCs w:val="22"/>
        </w:rPr>
        <w:t>table A</w:t>
      </w:r>
      <w:r w:rsidR="008E578D" w:rsidRPr="000C235B">
        <w:rPr>
          <w:sz w:val="22"/>
          <w:szCs w:val="22"/>
        </w:rPr>
        <w:t>8.</w:t>
      </w:r>
      <w:r w:rsidR="00E42208" w:rsidRPr="000C235B">
        <w:rPr>
          <w:sz w:val="22"/>
          <w:szCs w:val="22"/>
        </w:rPr>
        <w:t>4</w:t>
      </w:r>
      <w:r w:rsidR="007C6B82" w:rsidRPr="000C235B">
        <w:rPr>
          <w:sz w:val="22"/>
          <w:szCs w:val="22"/>
        </w:rPr>
        <w:t>).</w:t>
      </w:r>
      <w:r w:rsidR="00CE6DA8" w:rsidRPr="000C235B">
        <w:rPr>
          <w:sz w:val="22"/>
          <w:szCs w:val="22"/>
        </w:rPr>
        <w:t xml:space="preserve"> </w:t>
      </w:r>
    </w:p>
    <w:p w:rsidR="001223A0" w:rsidRPr="000C235B" w:rsidRDefault="001223A0" w:rsidP="001223A0">
      <w:pPr>
        <w:spacing w:line="360" w:lineRule="auto"/>
        <w:rPr>
          <w:sz w:val="22"/>
          <w:szCs w:val="22"/>
        </w:rPr>
      </w:pPr>
      <w:r w:rsidRPr="000C235B">
        <w:rPr>
          <w:sz w:val="22"/>
          <w:szCs w:val="22"/>
        </w:rPr>
        <w:t>With respect to sectors, key products for African economies were considered, namely, agricultural products and a few industrial sectors such as primary products, petroleum and coal products, mineral and metal products, and also textiles, wearing apparel, and leather products. In other words, the sectoral decomposition takes into account a total of 21 sectors – 12 agricultural sectors, 7 industrial sectors, and 2 services sectors (</w:t>
      </w:r>
      <w:r>
        <w:rPr>
          <w:sz w:val="22"/>
          <w:szCs w:val="22"/>
        </w:rPr>
        <w:t>table</w:t>
      </w:r>
      <w:r w:rsidRPr="000C235B">
        <w:rPr>
          <w:sz w:val="22"/>
          <w:szCs w:val="22"/>
        </w:rPr>
        <w:t xml:space="preserve"> 8.8 and</w:t>
      </w:r>
      <w:r>
        <w:rPr>
          <w:sz w:val="22"/>
          <w:szCs w:val="22"/>
        </w:rPr>
        <w:t xml:space="preserve"> </w:t>
      </w:r>
      <w:r w:rsidRPr="000C235B">
        <w:rPr>
          <w:sz w:val="22"/>
          <w:szCs w:val="22"/>
        </w:rPr>
        <w:t>annex</w:t>
      </w:r>
      <w:r>
        <w:rPr>
          <w:sz w:val="22"/>
          <w:szCs w:val="22"/>
        </w:rPr>
        <w:t xml:space="preserve"> table A</w:t>
      </w:r>
      <w:r w:rsidRPr="000C235B">
        <w:rPr>
          <w:sz w:val="22"/>
          <w:szCs w:val="22"/>
        </w:rPr>
        <w:t>8.5).</w:t>
      </w:r>
    </w:p>
    <w:p w:rsidR="001223A0" w:rsidRPr="000C235B" w:rsidRDefault="001223A0" w:rsidP="006D5982">
      <w:pPr>
        <w:spacing w:line="360" w:lineRule="auto"/>
        <w:rPr>
          <w:sz w:val="22"/>
          <w:szCs w:val="22"/>
        </w:rPr>
      </w:pPr>
    </w:p>
    <w:p w:rsidR="00846377" w:rsidRPr="0061584B" w:rsidRDefault="00D22035" w:rsidP="009C49DE">
      <w:pPr>
        <w:pStyle w:val="Tableheading"/>
      </w:pPr>
      <w:bookmarkStart w:id="6" w:name="OLE_LINK2"/>
      <w:r w:rsidRPr="0061584B">
        <w:t xml:space="preserve">Table </w:t>
      </w:r>
      <w:r w:rsidR="006436C9" w:rsidRPr="0061584B">
        <w:t>8.</w:t>
      </w:r>
      <w:r w:rsidR="004554CB" w:rsidRPr="0061584B">
        <w:t>7</w:t>
      </w:r>
      <w:r w:rsidR="00846377" w:rsidRPr="0061584B">
        <w:t xml:space="preserve">: </w:t>
      </w:r>
      <w:r w:rsidR="00100197" w:rsidRPr="0061584B">
        <w:tab/>
      </w:r>
      <w:r w:rsidR="00846377" w:rsidRPr="0061584B">
        <w:t>Geographic decomposition</w:t>
      </w:r>
    </w:p>
    <w:bookmarkEnd w:id="6"/>
    <w:p w:rsidR="00846377" w:rsidRDefault="00846377" w:rsidP="006D5982">
      <w:pPr>
        <w:spacing w:line="360" w:lineRule="auto"/>
        <w:rPr>
          <w:rStyle w:val="CommentReference"/>
          <w:sz w:val="24"/>
        </w:rPr>
      </w:pPr>
    </w:p>
    <w:p w:rsidR="00984F27" w:rsidRPr="00EA5D88" w:rsidRDefault="00EA5D88" w:rsidP="00984F27">
      <w:pPr>
        <w:spacing w:line="360" w:lineRule="auto"/>
        <w:ind w:firstLine="0"/>
        <w:jc w:val="center"/>
      </w:pPr>
      <w:r w:rsidRPr="00EA5D88">
        <w:t xml:space="preserve"> </w:t>
      </w:r>
      <w:r w:rsidRPr="00EA5D88">
        <w:pict>
          <v:shape id="_x0000_i1031" type="#_x0000_t75" style="width:435.75pt;height:243pt">
            <v:imagedata r:id="rId13" o:title=""/>
          </v:shape>
        </w:pict>
      </w:r>
    </w:p>
    <w:p w:rsidR="00636709" w:rsidRPr="0061584B" w:rsidRDefault="00D22035" w:rsidP="009C49DE">
      <w:pPr>
        <w:pStyle w:val="Tableheading"/>
      </w:pPr>
      <w:r w:rsidRPr="0061584B">
        <w:t>Tabl</w:t>
      </w:r>
      <w:r w:rsidR="004554CB" w:rsidRPr="0061584B">
        <w:t xml:space="preserve">e </w:t>
      </w:r>
      <w:r w:rsidR="006436C9" w:rsidRPr="0061584B">
        <w:t>8.</w:t>
      </w:r>
      <w:r w:rsidR="004554CB" w:rsidRPr="0061584B">
        <w:t>8</w:t>
      </w:r>
      <w:r w:rsidR="00636709" w:rsidRPr="0061584B">
        <w:t xml:space="preserve">: </w:t>
      </w:r>
      <w:r w:rsidR="00100197" w:rsidRPr="0061584B">
        <w:tab/>
      </w:r>
      <w:r w:rsidR="00636709" w:rsidRPr="0061584B">
        <w:t>Sector</w:t>
      </w:r>
      <w:r w:rsidR="00FA197F" w:rsidRPr="0061584B">
        <w:t>al</w:t>
      </w:r>
      <w:r w:rsidR="00636709" w:rsidRPr="0061584B">
        <w:t xml:space="preserve"> decomposition</w:t>
      </w:r>
    </w:p>
    <w:p w:rsidR="00846377" w:rsidRDefault="00846377" w:rsidP="006D5982">
      <w:pPr>
        <w:spacing w:line="360" w:lineRule="auto"/>
      </w:pPr>
    </w:p>
    <w:p w:rsidR="002A23AB" w:rsidRPr="0061584B" w:rsidRDefault="002A23AB" w:rsidP="002A23AB">
      <w:pPr>
        <w:spacing w:line="360" w:lineRule="auto"/>
        <w:ind w:firstLine="0"/>
        <w:jc w:val="center"/>
      </w:pPr>
      <w:r w:rsidRPr="002A23AB">
        <w:pict>
          <v:shape id="_x0000_i1032" type="#_x0000_t75" style="width:221.25pt;height:256.5pt">
            <v:imagedata r:id="rId14" o:title=""/>
          </v:shape>
        </w:pict>
      </w:r>
    </w:p>
    <w:p w:rsidR="00FA197F" w:rsidRPr="0061584B" w:rsidRDefault="00FA197F" w:rsidP="006D5982">
      <w:pPr>
        <w:spacing w:line="360" w:lineRule="auto"/>
      </w:pPr>
    </w:p>
    <w:p w:rsidR="00FA197F" w:rsidRPr="002B0787" w:rsidRDefault="00100197" w:rsidP="006D5982">
      <w:pPr>
        <w:pStyle w:val="Heading2"/>
        <w:spacing w:line="360" w:lineRule="auto"/>
        <w:rPr>
          <w:lang w:val="en-US"/>
        </w:rPr>
      </w:pPr>
      <w:r w:rsidRPr="0061584B">
        <w:t>8.3.3</w:t>
      </w:r>
      <w:r w:rsidRPr="0061584B">
        <w:tab/>
      </w:r>
      <w:r w:rsidR="00FA197F" w:rsidRPr="0061584B">
        <w:t>Trade reforms</w:t>
      </w:r>
      <w:r w:rsidR="002B0787">
        <w:rPr>
          <w:lang w:val="en-US"/>
        </w:rPr>
        <w:t xml:space="preserve"> analysed</w:t>
      </w:r>
    </w:p>
    <w:p w:rsidR="00CD623A" w:rsidRPr="000C235B" w:rsidRDefault="00F5224A" w:rsidP="006D5982">
      <w:pPr>
        <w:spacing w:line="360" w:lineRule="auto"/>
        <w:rPr>
          <w:sz w:val="22"/>
          <w:szCs w:val="22"/>
        </w:rPr>
      </w:pPr>
      <w:r w:rsidRPr="000C235B">
        <w:rPr>
          <w:sz w:val="22"/>
          <w:szCs w:val="22"/>
        </w:rPr>
        <w:t>F</w:t>
      </w:r>
      <w:r w:rsidR="00B25505" w:rsidRPr="000C235B">
        <w:rPr>
          <w:sz w:val="22"/>
          <w:szCs w:val="22"/>
        </w:rPr>
        <w:t xml:space="preserve">or </w:t>
      </w:r>
      <w:r w:rsidRPr="000C235B">
        <w:rPr>
          <w:sz w:val="22"/>
          <w:szCs w:val="22"/>
        </w:rPr>
        <w:t xml:space="preserve">comparative </w:t>
      </w:r>
      <w:r w:rsidR="00B25505" w:rsidRPr="000C235B">
        <w:rPr>
          <w:sz w:val="22"/>
          <w:szCs w:val="22"/>
        </w:rPr>
        <w:t>purposes</w:t>
      </w:r>
      <w:r w:rsidRPr="000C235B">
        <w:rPr>
          <w:sz w:val="22"/>
          <w:szCs w:val="22"/>
        </w:rPr>
        <w:t>,</w:t>
      </w:r>
      <w:r w:rsidR="00B25505" w:rsidRPr="000C235B">
        <w:rPr>
          <w:sz w:val="22"/>
          <w:szCs w:val="22"/>
        </w:rPr>
        <w:t xml:space="preserve"> </w:t>
      </w:r>
      <w:r w:rsidR="00F6055F" w:rsidRPr="000C235B">
        <w:rPr>
          <w:sz w:val="22"/>
          <w:szCs w:val="22"/>
        </w:rPr>
        <w:t>two sets of scenarios</w:t>
      </w:r>
      <w:r w:rsidRPr="000C235B">
        <w:rPr>
          <w:sz w:val="22"/>
          <w:szCs w:val="22"/>
        </w:rPr>
        <w:t xml:space="preserve"> were designed:</w:t>
      </w:r>
      <w:r w:rsidR="00F6055F" w:rsidRPr="000C235B">
        <w:rPr>
          <w:sz w:val="22"/>
          <w:szCs w:val="22"/>
        </w:rPr>
        <w:t xml:space="preserve"> </w:t>
      </w:r>
      <w:r w:rsidR="002A23AB" w:rsidRPr="000C235B">
        <w:rPr>
          <w:sz w:val="22"/>
          <w:szCs w:val="22"/>
        </w:rPr>
        <w:t xml:space="preserve">regional </w:t>
      </w:r>
      <w:r w:rsidR="001074E0" w:rsidRPr="000C235B">
        <w:rPr>
          <w:sz w:val="22"/>
          <w:szCs w:val="22"/>
        </w:rPr>
        <w:t>FTAs</w:t>
      </w:r>
      <w:r w:rsidR="00F6055F" w:rsidRPr="000C235B">
        <w:rPr>
          <w:sz w:val="22"/>
          <w:szCs w:val="22"/>
        </w:rPr>
        <w:t xml:space="preserve"> </w:t>
      </w:r>
      <w:r w:rsidR="001074E0" w:rsidRPr="000C235B">
        <w:rPr>
          <w:sz w:val="22"/>
          <w:szCs w:val="22"/>
        </w:rPr>
        <w:t xml:space="preserve">and </w:t>
      </w:r>
      <w:r w:rsidR="009A39D2" w:rsidRPr="000C235B">
        <w:rPr>
          <w:sz w:val="22"/>
          <w:szCs w:val="22"/>
        </w:rPr>
        <w:t xml:space="preserve">a </w:t>
      </w:r>
      <w:r w:rsidRPr="000C235B">
        <w:rPr>
          <w:sz w:val="22"/>
          <w:szCs w:val="22"/>
        </w:rPr>
        <w:t>C</w:t>
      </w:r>
      <w:r w:rsidR="009A39D2" w:rsidRPr="000C235B">
        <w:rPr>
          <w:sz w:val="22"/>
          <w:szCs w:val="22"/>
        </w:rPr>
        <w:t>FTA</w:t>
      </w:r>
      <w:r w:rsidRPr="000C235B">
        <w:rPr>
          <w:sz w:val="22"/>
          <w:szCs w:val="22"/>
        </w:rPr>
        <w:t>, both</w:t>
      </w:r>
      <w:r w:rsidR="00F6055F" w:rsidRPr="000C235B">
        <w:rPr>
          <w:sz w:val="22"/>
          <w:szCs w:val="22"/>
        </w:rPr>
        <w:t xml:space="preserve"> </w:t>
      </w:r>
      <w:r w:rsidR="003A6F3E" w:rsidRPr="000C235B">
        <w:rPr>
          <w:sz w:val="22"/>
          <w:szCs w:val="22"/>
        </w:rPr>
        <w:t xml:space="preserve">fully implemented </w:t>
      </w:r>
      <w:r w:rsidR="00F6055F" w:rsidRPr="000C235B">
        <w:rPr>
          <w:sz w:val="22"/>
          <w:szCs w:val="22"/>
        </w:rPr>
        <w:t>by</w:t>
      </w:r>
      <w:r w:rsidRPr="000C235B">
        <w:rPr>
          <w:sz w:val="22"/>
          <w:szCs w:val="22"/>
        </w:rPr>
        <w:t xml:space="preserve"> 2017</w:t>
      </w:r>
      <w:r w:rsidR="00F6055F" w:rsidRPr="000C235B">
        <w:rPr>
          <w:sz w:val="22"/>
          <w:szCs w:val="22"/>
        </w:rPr>
        <w:t xml:space="preserve">. In addition, each case </w:t>
      </w:r>
      <w:r w:rsidR="001074E0" w:rsidRPr="000C235B">
        <w:rPr>
          <w:sz w:val="22"/>
          <w:szCs w:val="22"/>
        </w:rPr>
        <w:t>consider</w:t>
      </w:r>
      <w:r w:rsidR="000409D7" w:rsidRPr="000C235B">
        <w:rPr>
          <w:sz w:val="22"/>
          <w:szCs w:val="22"/>
        </w:rPr>
        <w:t>s</w:t>
      </w:r>
      <w:r w:rsidR="001074E0" w:rsidRPr="000C235B">
        <w:rPr>
          <w:sz w:val="22"/>
          <w:szCs w:val="22"/>
        </w:rPr>
        <w:t xml:space="preserve"> </w:t>
      </w:r>
      <w:r w:rsidR="00F6055F" w:rsidRPr="000C235B">
        <w:rPr>
          <w:sz w:val="22"/>
          <w:szCs w:val="22"/>
        </w:rPr>
        <w:t>FTA</w:t>
      </w:r>
      <w:r w:rsidR="002A23AB" w:rsidRPr="000C235B">
        <w:rPr>
          <w:sz w:val="22"/>
          <w:szCs w:val="22"/>
        </w:rPr>
        <w:t xml:space="preserve"> reform</w:t>
      </w:r>
      <w:r w:rsidR="00F6055F" w:rsidRPr="000C235B">
        <w:rPr>
          <w:sz w:val="22"/>
          <w:szCs w:val="22"/>
        </w:rPr>
        <w:t xml:space="preserve">s alone </w:t>
      </w:r>
      <w:r w:rsidRPr="000C235B">
        <w:rPr>
          <w:sz w:val="22"/>
          <w:szCs w:val="22"/>
        </w:rPr>
        <w:t xml:space="preserve">as well as FTA </w:t>
      </w:r>
      <w:r w:rsidR="002A23AB" w:rsidRPr="000C235B">
        <w:rPr>
          <w:sz w:val="22"/>
          <w:szCs w:val="22"/>
        </w:rPr>
        <w:t xml:space="preserve">reforms </w:t>
      </w:r>
      <w:r w:rsidR="00F6055F" w:rsidRPr="000C235B">
        <w:rPr>
          <w:sz w:val="22"/>
          <w:szCs w:val="22"/>
        </w:rPr>
        <w:t xml:space="preserve">complemented by </w:t>
      </w:r>
      <w:r w:rsidRPr="000C235B">
        <w:rPr>
          <w:sz w:val="22"/>
          <w:szCs w:val="22"/>
        </w:rPr>
        <w:t xml:space="preserve">the </w:t>
      </w:r>
      <w:r w:rsidR="00F6055F" w:rsidRPr="000C235B">
        <w:rPr>
          <w:sz w:val="22"/>
          <w:szCs w:val="22"/>
        </w:rPr>
        <w:t>improvement of trade facilitation measures.</w:t>
      </w:r>
      <w:r w:rsidR="00CD623A" w:rsidRPr="000C235B">
        <w:rPr>
          <w:sz w:val="22"/>
          <w:szCs w:val="22"/>
        </w:rPr>
        <w:t xml:space="preserve"> The improvement of the trade facilitation measures is in line with the Action Plan for Boosting Intra-African </w:t>
      </w:r>
      <w:r w:rsidR="00B81F8F">
        <w:rPr>
          <w:sz w:val="22"/>
          <w:szCs w:val="22"/>
        </w:rPr>
        <w:t>T</w:t>
      </w:r>
      <w:r w:rsidR="00CD623A" w:rsidRPr="000C235B">
        <w:rPr>
          <w:sz w:val="22"/>
          <w:szCs w:val="22"/>
        </w:rPr>
        <w:t>rade that the African countries agreed in January 2012 at the A</w:t>
      </w:r>
      <w:r w:rsidR="000409D7" w:rsidRPr="000C235B">
        <w:rPr>
          <w:sz w:val="22"/>
          <w:szCs w:val="22"/>
        </w:rPr>
        <w:t xml:space="preserve">frican </w:t>
      </w:r>
      <w:r w:rsidR="00CD623A" w:rsidRPr="000C235B">
        <w:rPr>
          <w:sz w:val="22"/>
          <w:szCs w:val="22"/>
        </w:rPr>
        <w:t>U</w:t>
      </w:r>
      <w:r w:rsidR="000409D7" w:rsidRPr="000C235B">
        <w:rPr>
          <w:sz w:val="22"/>
          <w:szCs w:val="22"/>
        </w:rPr>
        <w:t>nion</w:t>
      </w:r>
      <w:r w:rsidR="00CD623A" w:rsidRPr="000C235B">
        <w:rPr>
          <w:sz w:val="22"/>
          <w:szCs w:val="22"/>
        </w:rPr>
        <w:t xml:space="preserve"> Summit. The Action Plan contains other measures </w:t>
      </w:r>
      <w:r w:rsidR="000409D7" w:rsidRPr="000C235B">
        <w:rPr>
          <w:sz w:val="22"/>
          <w:szCs w:val="22"/>
        </w:rPr>
        <w:t xml:space="preserve">besides tariff liberalization </w:t>
      </w:r>
      <w:r w:rsidR="00CD623A" w:rsidRPr="000C235B">
        <w:rPr>
          <w:sz w:val="22"/>
          <w:szCs w:val="22"/>
        </w:rPr>
        <w:t>that are necessary to improve the performance of intra-African trade. Trade facilitation measures are considered a priority, especially where non-tariff barriers continue to hinder regional trade.</w:t>
      </w:r>
      <w:r w:rsidR="00F6055F" w:rsidRPr="000C235B">
        <w:rPr>
          <w:sz w:val="22"/>
          <w:szCs w:val="22"/>
        </w:rPr>
        <w:t xml:space="preserve"> </w:t>
      </w:r>
    </w:p>
    <w:p w:rsidR="00820EA1" w:rsidRPr="000C235B" w:rsidRDefault="00820EA1" w:rsidP="006D5982">
      <w:pPr>
        <w:spacing w:line="360" w:lineRule="auto"/>
        <w:rPr>
          <w:sz w:val="22"/>
          <w:szCs w:val="22"/>
        </w:rPr>
      </w:pPr>
      <w:r w:rsidRPr="000C235B">
        <w:rPr>
          <w:sz w:val="22"/>
          <w:szCs w:val="22"/>
        </w:rPr>
        <w:t>Regarding</w:t>
      </w:r>
      <w:r w:rsidR="008A2748" w:rsidRPr="000C235B">
        <w:rPr>
          <w:sz w:val="22"/>
          <w:szCs w:val="22"/>
        </w:rPr>
        <w:t xml:space="preserve"> regional FTAs</w:t>
      </w:r>
      <w:r w:rsidRPr="000C235B">
        <w:rPr>
          <w:sz w:val="22"/>
          <w:szCs w:val="22"/>
        </w:rPr>
        <w:t>,</w:t>
      </w:r>
      <w:r w:rsidR="008A2748" w:rsidRPr="000C235B">
        <w:rPr>
          <w:sz w:val="22"/>
          <w:szCs w:val="22"/>
        </w:rPr>
        <w:t xml:space="preserve"> </w:t>
      </w:r>
      <w:r w:rsidRPr="000C235B">
        <w:rPr>
          <w:sz w:val="22"/>
          <w:szCs w:val="22"/>
        </w:rPr>
        <w:t>full elimination of tariff barriers on goods within</w:t>
      </w:r>
      <w:r w:rsidR="00155E57" w:rsidRPr="000C235B">
        <w:rPr>
          <w:sz w:val="22"/>
          <w:szCs w:val="22"/>
        </w:rPr>
        <w:t>,</w:t>
      </w:r>
      <w:r w:rsidRPr="000C235B">
        <w:rPr>
          <w:sz w:val="22"/>
          <w:szCs w:val="22"/>
        </w:rPr>
        <w:t xml:space="preserve"> </w:t>
      </w:r>
      <w:r w:rsidR="00A6786B" w:rsidRPr="000C235B">
        <w:rPr>
          <w:sz w:val="22"/>
          <w:szCs w:val="22"/>
        </w:rPr>
        <w:t>as opposed to between</w:t>
      </w:r>
      <w:r w:rsidR="00155E57" w:rsidRPr="000C235B">
        <w:rPr>
          <w:sz w:val="22"/>
          <w:szCs w:val="22"/>
        </w:rPr>
        <w:t>,</w:t>
      </w:r>
      <w:r w:rsidR="00A6786B" w:rsidRPr="000C235B">
        <w:rPr>
          <w:sz w:val="22"/>
          <w:szCs w:val="22"/>
        </w:rPr>
        <w:t xml:space="preserve"> two</w:t>
      </w:r>
      <w:r w:rsidR="008A2748" w:rsidRPr="000C235B">
        <w:rPr>
          <w:sz w:val="22"/>
          <w:szCs w:val="22"/>
        </w:rPr>
        <w:t xml:space="preserve"> regional groups</w:t>
      </w:r>
      <w:r w:rsidR="00F5224A" w:rsidRPr="000C235B">
        <w:rPr>
          <w:sz w:val="22"/>
          <w:szCs w:val="22"/>
        </w:rPr>
        <w:t xml:space="preserve"> </w:t>
      </w:r>
      <w:r w:rsidR="00155E57" w:rsidRPr="000C235B">
        <w:rPr>
          <w:sz w:val="22"/>
          <w:szCs w:val="22"/>
        </w:rPr>
        <w:t xml:space="preserve">is </w:t>
      </w:r>
      <w:r w:rsidR="00F5224A" w:rsidRPr="000C235B">
        <w:rPr>
          <w:sz w:val="22"/>
          <w:szCs w:val="22"/>
        </w:rPr>
        <w:t>taken into account</w:t>
      </w:r>
      <w:r w:rsidRPr="000C235B">
        <w:rPr>
          <w:sz w:val="22"/>
          <w:szCs w:val="22"/>
        </w:rPr>
        <w:t xml:space="preserve">. </w:t>
      </w:r>
      <w:r w:rsidR="00A6786B" w:rsidRPr="000C235B">
        <w:rPr>
          <w:sz w:val="22"/>
          <w:szCs w:val="22"/>
        </w:rPr>
        <w:t>In other words, protection is removed between all the countries belonging to a same specific group</w:t>
      </w:r>
      <w:r w:rsidR="00155E57" w:rsidRPr="000C235B">
        <w:rPr>
          <w:sz w:val="22"/>
          <w:szCs w:val="22"/>
        </w:rPr>
        <w:t>,</w:t>
      </w:r>
      <w:r w:rsidR="00A6786B" w:rsidRPr="000C235B">
        <w:rPr>
          <w:sz w:val="22"/>
          <w:szCs w:val="22"/>
        </w:rPr>
        <w:t xml:space="preserve"> but tariffs between the countries belonging to different groups are maintained. </w:t>
      </w:r>
      <w:r w:rsidRPr="000C235B">
        <w:rPr>
          <w:sz w:val="22"/>
          <w:szCs w:val="22"/>
        </w:rPr>
        <w:t xml:space="preserve">Groupings </w:t>
      </w:r>
      <w:r w:rsidR="00F5224A" w:rsidRPr="000C235B">
        <w:rPr>
          <w:sz w:val="22"/>
          <w:szCs w:val="22"/>
        </w:rPr>
        <w:t xml:space="preserve">were </w:t>
      </w:r>
      <w:r w:rsidRPr="000C235B">
        <w:rPr>
          <w:sz w:val="22"/>
          <w:szCs w:val="22"/>
        </w:rPr>
        <w:t xml:space="preserve">determined </w:t>
      </w:r>
      <w:r w:rsidR="008A2748" w:rsidRPr="000C235B">
        <w:rPr>
          <w:sz w:val="22"/>
          <w:szCs w:val="22"/>
        </w:rPr>
        <w:t>based on the limitations of the GTAP database</w:t>
      </w:r>
      <w:r w:rsidR="00155E57" w:rsidRPr="000C235B">
        <w:rPr>
          <w:sz w:val="22"/>
          <w:szCs w:val="22"/>
        </w:rPr>
        <w:t xml:space="preserve"> (see footnote 17),</w:t>
      </w:r>
      <w:r w:rsidR="008A2748" w:rsidRPr="000C235B">
        <w:rPr>
          <w:sz w:val="22"/>
          <w:szCs w:val="22"/>
        </w:rPr>
        <w:t xml:space="preserve"> the multiple overlapping memberships</w:t>
      </w:r>
      <w:r w:rsidR="00B81F8F">
        <w:rPr>
          <w:sz w:val="22"/>
          <w:szCs w:val="22"/>
        </w:rPr>
        <w:t>,</w:t>
      </w:r>
      <w:r w:rsidR="008A2748" w:rsidRPr="000C235B">
        <w:rPr>
          <w:rStyle w:val="FootnoteReference"/>
          <w:sz w:val="22"/>
          <w:szCs w:val="22"/>
        </w:rPr>
        <w:footnoteReference w:id="18"/>
      </w:r>
      <w:r w:rsidR="008A2748" w:rsidRPr="000C235B">
        <w:rPr>
          <w:sz w:val="22"/>
          <w:szCs w:val="22"/>
        </w:rPr>
        <w:t xml:space="preserve"> and the current state of </w:t>
      </w:r>
      <w:r w:rsidR="00CD623A" w:rsidRPr="000C235B">
        <w:rPr>
          <w:sz w:val="22"/>
          <w:szCs w:val="22"/>
        </w:rPr>
        <w:t>regional integration processes</w:t>
      </w:r>
      <w:r w:rsidR="00F5224A" w:rsidRPr="000C235B">
        <w:rPr>
          <w:sz w:val="22"/>
          <w:szCs w:val="22"/>
        </w:rPr>
        <w:t>,</w:t>
      </w:r>
      <w:r w:rsidRPr="000C235B">
        <w:rPr>
          <w:sz w:val="22"/>
          <w:szCs w:val="22"/>
        </w:rPr>
        <w:t xml:space="preserve"> especially the COMESA</w:t>
      </w:r>
      <w:r w:rsidR="00D7708A" w:rsidRPr="000C235B">
        <w:rPr>
          <w:sz w:val="22"/>
          <w:szCs w:val="22"/>
        </w:rPr>
        <w:t>–</w:t>
      </w:r>
      <w:r w:rsidRPr="000C235B">
        <w:rPr>
          <w:sz w:val="22"/>
          <w:szCs w:val="22"/>
        </w:rPr>
        <w:t>EAC</w:t>
      </w:r>
      <w:r w:rsidR="00D7708A" w:rsidRPr="000C235B">
        <w:rPr>
          <w:sz w:val="22"/>
          <w:szCs w:val="22"/>
        </w:rPr>
        <w:t>–</w:t>
      </w:r>
      <w:r w:rsidRPr="000C235B">
        <w:rPr>
          <w:sz w:val="22"/>
          <w:szCs w:val="22"/>
        </w:rPr>
        <w:t>SADC Tripartite initiative</w:t>
      </w:r>
      <w:r w:rsidR="00D7708A" w:rsidRPr="000C235B">
        <w:rPr>
          <w:sz w:val="22"/>
          <w:szCs w:val="22"/>
        </w:rPr>
        <w:t>.</w:t>
      </w:r>
      <w:r w:rsidR="008A2748" w:rsidRPr="000C235B">
        <w:rPr>
          <w:rStyle w:val="FootnoteReference"/>
          <w:sz w:val="22"/>
          <w:szCs w:val="22"/>
        </w:rPr>
        <w:footnoteReference w:id="19"/>
      </w:r>
      <w:r w:rsidR="008A2748" w:rsidRPr="000C235B">
        <w:rPr>
          <w:sz w:val="22"/>
          <w:szCs w:val="22"/>
        </w:rPr>
        <w:t xml:space="preserve"> As a consequence, one FTA </w:t>
      </w:r>
      <w:r w:rsidR="00F5224A" w:rsidRPr="000C235B">
        <w:rPr>
          <w:sz w:val="22"/>
          <w:szCs w:val="22"/>
        </w:rPr>
        <w:t xml:space="preserve">was </w:t>
      </w:r>
      <w:r w:rsidR="008A2748" w:rsidRPr="000C235B">
        <w:rPr>
          <w:sz w:val="22"/>
          <w:szCs w:val="22"/>
        </w:rPr>
        <w:t>assumed between COMESA, EAC, SADC</w:t>
      </w:r>
      <w:r w:rsidR="00D7708A" w:rsidRPr="000C235B">
        <w:rPr>
          <w:sz w:val="22"/>
          <w:szCs w:val="22"/>
        </w:rPr>
        <w:t>,</w:t>
      </w:r>
      <w:r w:rsidR="008A2748" w:rsidRPr="000C235B">
        <w:rPr>
          <w:sz w:val="22"/>
          <w:szCs w:val="22"/>
        </w:rPr>
        <w:t xml:space="preserve"> and IGAD</w:t>
      </w:r>
      <w:r w:rsidR="00D7708A" w:rsidRPr="000C235B">
        <w:rPr>
          <w:sz w:val="22"/>
          <w:szCs w:val="22"/>
        </w:rPr>
        <w:t>,</w:t>
      </w:r>
      <w:r w:rsidRPr="000C235B">
        <w:rPr>
          <w:rStyle w:val="FootnoteReference"/>
          <w:sz w:val="22"/>
          <w:szCs w:val="22"/>
        </w:rPr>
        <w:footnoteReference w:id="20"/>
      </w:r>
      <w:r w:rsidR="008A2748" w:rsidRPr="000C235B">
        <w:rPr>
          <w:sz w:val="22"/>
          <w:szCs w:val="22"/>
        </w:rPr>
        <w:t xml:space="preserve"> </w:t>
      </w:r>
      <w:r w:rsidRPr="000C235B">
        <w:rPr>
          <w:sz w:val="22"/>
          <w:szCs w:val="22"/>
        </w:rPr>
        <w:t>while</w:t>
      </w:r>
      <w:r w:rsidR="008A2748" w:rsidRPr="000C235B">
        <w:rPr>
          <w:sz w:val="22"/>
          <w:szCs w:val="22"/>
        </w:rPr>
        <w:t xml:space="preserve"> another </w:t>
      </w:r>
      <w:r w:rsidR="00F5224A" w:rsidRPr="000C235B">
        <w:rPr>
          <w:sz w:val="22"/>
          <w:szCs w:val="22"/>
        </w:rPr>
        <w:t>was</w:t>
      </w:r>
      <w:r w:rsidR="008A2748" w:rsidRPr="000C235B">
        <w:rPr>
          <w:sz w:val="22"/>
          <w:szCs w:val="22"/>
        </w:rPr>
        <w:t xml:space="preserve"> considered between ECOWAS, CE</w:t>
      </w:r>
      <w:r w:rsidRPr="000C235B">
        <w:rPr>
          <w:sz w:val="22"/>
          <w:szCs w:val="22"/>
        </w:rPr>
        <w:t xml:space="preserve">N-SAD, </w:t>
      </w:r>
      <w:r w:rsidR="008A2748" w:rsidRPr="000C235B">
        <w:rPr>
          <w:sz w:val="22"/>
          <w:szCs w:val="22"/>
        </w:rPr>
        <w:t>ECCAS</w:t>
      </w:r>
      <w:r w:rsidR="00D7708A" w:rsidRPr="000C235B">
        <w:rPr>
          <w:sz w:val="22"/>
          <w:szCs w:val="22"/>
        </w:rPr>
        <w:t>,</w:t>
      </w:r>
      <w:r w:rsidR="008A2748" w:rsidRPr="000C235B">
        <w:rPr>
          <w:sz w:val="22"/>
          <w:szCs w:val="22"/>
        </w:rPr>
        <w:t xml:space="preserve"> and AMU</w:t>
      </w:r>
      <w:r w:rsidR="00D7708A" w:rsidRPr="000C235B">
        <w:rPr>
          <w:sz w:val="22"/>
          <w:szCs w:val="22"/>
        </w:rPr>
        <w:t>.</w:t>
      </w:r>
      <w:r w:rsidR="00C5047F" w:rsidRPr="000C235B">
        <w:rPr>
          <w:rStyle w:val="FootnoteReference"/>
          <w:sz w:val="22"/>
          <w:szCs w:val="22"/>
        </w:rPr>
        <w:footnoteReference w:id="21"/>
      </w:r>
      <w:r w:rsidR="00F5224A" w:rsidRPr="000C235B">
        <w:rPr>
          <w:sz w:val="22"/>
          <w:szCs w:val="22"/>
        </w:rPr>
        <w:t xml:space="preserve"> </w:t>
      </w:r>
      <w:r w:rsidRPr="000C235B">
        <w:rPr>
          <w:sz w:val="22"/>
          <w:szCs w:val="22"/>
        </w:rPr>
        <w:t>In the case of the Continental FTA scenario, all tariff barriers on goods are fully removed within the African continent.</w:t>
      </w:r>
    </w:p>
    <w:p w:rsidR="006364E6" w:rsidRPr="000C235B" w:rsidRDefault="00413A79" w:rsidP="006D5982">
      <w:pPr>
        <w:pStyle w:val="FootnoteText"/>
        <w:spacing w:line="360" w:lineRule="auto"/>
        <w:rPr>
          <w:sz w:val="22"/>
          <w:szCs w:val="22"/>
        </w:rPr>
      </w:pPr>
      <w:r w:rsidRPr="000C235B">
        <w:rPr>
          <w:sz w:val="22"/>
          <w:szCs w:val="22"/>
        </w:rPr>
        <w:t xml:space="preserve">For </w:t>
      </w:r>
      <w:r w:rsidR="000F4C18" w:rsidRPr="000C235B">
        <w:rPr>
          <w:sz w:val="22"/>
          <w:szCs w:val="22"/>
        </w:rPr>
        <w:t>modelling</w:t>
      </w:r>
      <w:r w:rsidR="001A2235" w:rsidRPr="000C235B">
        <w:rPr>
          <w:sz w:val="22"/>
          <w:szCs w:val="22"/>
        </w:rPr>
        <w:t xml:space="preserve"> trade facilitation measures</w:t>
      </w:r>
      <w:r w:rsidR="00CD623A" w:rsidRPr="000C235B">
        <w:rPr>
          <w:sz w:val="22"/>
          <w:szCs w:val="22"/>
        </w:rPr>
        <w:t>,</w:t>
      </w:r>
      <w:r w:rsidR="001A2235" w:rsidRPr="000C235B">
        <w:rPr>
          <w:sz w:val="22"/>
          <w:szCs w:val="22"/>
        </w:rPr>
        <w:t xml:space="preserve"> a </w:t>
      </w:r>
      <w:r w:rsidR="002A23AB" w:rsidRPr="000C235B">
        <w:rPr>
          <w:color w:val="000000"/>
          <w:sz w:val="22"/>
          <w:szCs w:val="22"/>
        </w:rPr>
        <w:t xml:space="preserve">database on </w:t>
      </w:r>
      <w:r w:rsidR="001A2235" w:rsidRPr="000C235B">
        <w:rPr>
          <w:sz w:val="22"/>
          <w:szCs w:val="22"/>
        </w:rPr>
        <w:t>t</w:t>
      </w:r>
      <w:r w:rsidR="001A2235" w:rsidRPr="000C235B">
        <w:rPr>
          <w:color w:val="000000"/>
          <w:sz w:val="22"/>
          <w:szCs w:val="22"/>
        </w:rPr>
        <w:t xml:space="preserve">rade costs </w:t>
      </w:r>
      <w:r w:rsidR="0038463A" w:rsidRPr="000C235B">
        <w:rPr>
          <w:color w:val="000000"/>
          <w:sz w:val="22"/>
          <w:szCs w:val="22"/>
        </w:rPr>
        <w:t xml:space="preserve">related </w:t>
      </w:r>
      <w:r w:rsidR="001A2235" w:rsidRPr="000C235B">
        <w:rPr>
          <w:color w:val="000000"/>
          <w:sz w:val="22"/>
          <w:szCs w:val="22"/>
        </w:rPr>
        <w:t xml:space="preserve">to time </w:t>
      </w:r>
      <w:r w:rsidR="0038463A" w:rsidRPr="000C235B">
        <w:rPr>
          <w:color w:val="000000"/>
          <w:sz w:val="22"/>
          <w:szCs w:val="22"/>
        </w:rPr>
        <w:t>currently required for export and import processes</w:t>
      </w:r>
      <w:r w:rsidR="00724728">
        <w:rPr>
          <w:color w:val="000000"/>
          <w:sz w:val="22"/>
          <w:szCs w:val="22"/>
        </w:rPr>
        <w:t>,</w:t>
      </w:r>
      <w:r w:rsidR="0038463A" w:rsidRPr="000C235B">
        <w:rPr>
          <w:color w:val="000000"/>
          <w:sz w:val="22"/>
          <w:szCs w:val="22"/>
        </w:rPr>
        <w:t xml:space="preserve"> </w:t>
      </w:r>
      <w:r w:rsidR="001A2235" w:rsidRPr="000C235B">
        <w:rPr>
          <w:color w:val="000000"/>
          <w:sz w:val="22"/>
          <w:szCs w:val="22"/>
        </w:rPr>
        <w:t>from Minor and Tsigas (2008)</w:t>
      </w:r>
      <w:r w:rsidR="00724728">
        <w:rPr>
          <w:color w:val="000000"/>
          <w:sz w:val="22"/>
          <w:szCs w:val="22"/>
        </w:rPr>
        <w:t>,</w:t>
      </w:r>
      <w:r w:rsidR="001A2235" w:rsidRPr="000C235B">
        <w:rPr>
          <w:rStyle w:val="FootnoteReference"/>
          <w:color w:val="000000"/>
          <w:sz w:val="22"/>
          <w:szCs w:val="22"/>
        </w:rPr>
        <w:footnoteReference w:id="22"/>
      </w:r>
      <w:r w:rsidR="00386740" w:rsidRPr="000C235B">
        <w:rPr>
          <w:color w:val="000000"/>
          <w:sz w:val="22"/>
          <w:szCs w:val="22"/>
        </w:rPr>
        <w:t xml:space="preserve"> was employed</w:t>
      </w:r>
      <w:r w:rsidR="001A2235" w:rsidRPr="000C235B">
        <w:rPr>
          <w:color w:val="000000"/>
          <w:sz w:val="22"/>
          <w:szCs w:val="22"/>
        </w:rPr>
        <w:t>. More specifically, e</w:t>
      </w:r>
      <w:r w:rsidR="001A2235" w:rsidRPr="000C235B">
        <w:rPr>
          <w:sz w:val="22"/>
          <w:szCs w:val="22"/>
        </w:rPr>
        <w:t>stimations</w:t>
      </w:r>
      <w:r w:rsidR="00BD7218" w:rsidRPr="000C235B">
        <w:rPr>
          <w:sz w:val="22"/>
          <w:szCs w:val="22"/>
        </w:rPr>
        <w:t xml:space="preserve"> are used</w:t>
      </w:r>
      <w:r w:rsidR="00386740" w:rsidRPr="000C235B">
        <w:rPr>
          <w:sz w:val="22"/>
          <w:szCs w:val="22"/>
        </w:rPr>
        <w:t>,</w:t>
      </w:r>
      <w:r w:rsidR="001A2235" w:rsidRPr="000C235B">
        <w:rPr>
          <w:sz w:val="22"/>
          <w:szCs w:val="22"/>
        </w:rPr>
        <w:t xml:space="preserve"> by country and </w:t>
      </w:r>
      <w:r w:rsidR="0038463A" w:rsidRPr="000C235B">
        <w:rPr>
          <w:sz w:val="22"/>
          <w:szCs w:val="22"/>
        </w:rPr>
        <w:t>products</w:t>
      </w:r>
      <w:r w:rsidR="00386740" w:rsidRPr="000C235B">
        <w:rPr>
          <w:sz w:val="22"/>
          <w:szCs w:val="22"/>
        </w:rPr>
        <w:t>,</w:t>
      </w:r>
      <w:r w:rsidR="001A2235" w:rsidRPr="000C235B">
        <w:rPr>
          <w:sz w:val="22"/>
          <w:szCs w:val="22"/>
        </w:rPr>
        <w:t xml:space="preserve"> of the </w:t>
      </w:r>
      <w:r w:rsidR="00A7507D">
        <w:rPr>
          <w:sz w:val="22"/>
          <w:szCs w:val="22"/>
        </w:rPr>
        <w:t>per</w:t>
      </w:r>
      <w:r w:rsidR="000C5AB2">
        <w:rPr>
          <w:sz w:val="22"/>
          <w:szCs w:val="22"/>
        </w:rPr>
        <w:t>cent</w:t>
      </w:r>
      <w:r w:rsidR="001A2235" w:rsidRPr="000C235B">
        <w:rPr>
          <w:sz w:val="22"/>
          <w:szCs w:val="22"/>
        </w:rPr>
        <w:t xml:space="preserve">age of exports and imports lost due to a delay of one day in </w:t>
      </w:r>
      <w:r w:rsidR="006364E6" w:rsidRPr="000C235B">
        <w:rPr>
          <w:sz w:val="22"/>
          <w:szCs w:val="22"/>
        </w:rPr>
        <w:t xml:space="preserve">customs processing </w:t>
      </w:r>
      <w:r w:rsidR="001A2235" w:rsidRPr="000C235B">
        <w:rPr>
          <w:sz w:val="22"/>
          <w:szCs w:val="22"/>
        </w:rPr>
        <w:t xml:space="preserve">and port handling. </w:t>
      </w:r>
      <w:r w:rsidR="001A2235" w:rsidRPr="000C235B">
        <w:rPr>
          <w:color w:val="000000"/>
          <w:sz w:val="22"/>
          <w:szCs w:val="22"/>
        </w:rPr>
        <w:t>Decreux and Fontagne (2009) aggregated data o</w:t>
      </w:r>
      <w:r w:rsidR="00F57D5E" w:rsidRPr="000C235B">
        <w:rPr>
          <w:color w:val="000000"/>
          <w:sz w:val="22"/>
          <w:szCs w:val="22"/>
        </w:rPr>
        <w:t>n</w:t>
      </w:r>
      <w:r w:rsidR="001A2235" w:rsidRPr="000C235B">
        <w:rPr>
          <w:color w:val="000000"/>
          <w:sz w:val="22"/>
          <w:szCs w:val="22"/>
        </w:rPr>
        <w:t xml:space="preserve"> costs at the </w:t>
      </w:r>
      <w:r w:rsidR="00CD623A" w:rsidRPr="000C235B">
        <w:rPr>
          <w:color w:val="000000"/>
          <w:sz w:val="22"/>
          <w:szCs w:val="22"/>
        </w:rPr>
        <w:t xml:space="preserve">border </w:t>
      </w:r>
      <w:r w:rsidR="001A2235" w:rsidRPr="000C235B">
        <w:rPr>
          <w:color w:val="000000"/>
          <w:sz w:val="22"/>
          <w:szCs w:val="22"/>
        </w:rPr>
        <w:t>at the GTAP level</w:t>
      </w:r>
      <w:r w:rsidR="00386740" w:rsidRPr="000C235B">
        <w:rPr>
          <w:color w:val="000000"/>
          <w:sz w:val="22"/>
          <w:szCs w:val="22"/>
        </w:rPr>
        <w:t xml:space="preserve"> from Minor and Tsigas</w:t>
      </w:r>
      <w:r w:rsidR="00F57D5E" w:rsidRPr="000C235B">
        <w:rPr>
          <w:color w:val="000000"/>
          <w:sz w:val="22"/>
          <w:szCs w:val="22"/>
        </w:rPr>
        <w:t>.</w:t>
      </w:r>
      <w:r w:rsidR="006364E6" w:rsidRPr="000C235B">
        <w:rPr>
          <w:rStyle w:val="FootnoteReference"/>
          <w:color w:val="000000"/>
          <w:sz w:val="22"/>
          <w:szCs w:val="22"/>
        </w:rPr>
        <w:footnoteReference w:id="23"/>
      </w:r>
      <w:r w:rsidR="001A2235" w:rsidRPr="000C235B">
        <w:rPr>
          <w:color w:val="000000"/>
          <w:sz w:val="22"/>
          <w:szCs w:val="22"/>
        </w:rPr>
        <w:t xml:space="preserve"> Following their methodology, trade costs at the region/sector level of the study </w:t>
      </w:r>
      <w:r w:rsidR="00386740" w:rsidRPr="000C235B">
        <w:rPr>
          <w:color w:val="000000"/>
          <w:sz w:val="22"/>
          <w:szCs w:val="22"/>
        </w:rPr>
        <w:t xml:space="preserve">were aggregated </w:t>
      </w:r>
      <w:r w:rsidR="001A2235" w:rsidRPr="000C235B">
        <w:rPr>
          <w:color w:val="000000"/>
          <w:sz w:val="22"/>
          <w:szCs w:val="22"/>
        </w:rPr>
        <w:t>to allow for calibration of these costs in the model</w:t>
      </w:r>
      <w:r w:rsidR="00B03E3F" w:rsidRPr="000C235B">
        <w:rPr>
          <w:color w:val="000000"/>
          <w:sz w:val="22"/>
          <w:szCs w:val="22"/>
        </w:rPr>
        <w:t xml:space="preserve">. </w:t>
      </w:r>
      <w:r w:rsidR="00386740" w:rsidRPr="000C235B">
        <w:rPr>
          <w:sz w:val="22"/>
          <w:szCs w:val="22"/>
        </w:rPr>
        <w:t>R</w:t>
      </w:r>
      <w:r w:rsidR="006364E6" w:rsidRPr="000C235B">
        <w:rPr>
          <w:sz w:val="22"/>
          <w:szCs w:val="22"/>
        </w:rPr>
        <w:t xml:space="preserve">eductions of </w:t>
      </w:r>
      <w:r w:rsidR="002C7905" w:rsidRPr="000C235B">
        <w:rPr>
          <w:sz w:val="22"/>
          <w:szCs w:val="22"/>
        </w:rPr>
        <w:t xml:space="preserve">these </w:t>
      </w:r>
      <w:r w:rsidR="006364E6" w:rsidRPr="000C235B">
        <w:rPr>
          <w:sz w:val="22"/>
          <w:szCs w:val="22"/>
        </w:rPr>
        <w:t>trade costs</w:t>
      </w:r>
      <w:r w:rsidR="009C0D2E" w:rsidRPr="000C235B">
        <w:rPr>
          <w:sz w:val="22"/>
          <w:szCs w:val="22"/>
        </w:rPr>
        <w:t xml:space="preserve"> </w:t>
      </w:r>
      <w:r w:rsidR="00FB39D4" w:rsidRPr="000C235B">
        <w:rPr>
          <w:sz w:val="22"/>
          <w:szCs w:val="22"/>
        </w:rPr>
        <w:t xml:space="preserve">– </w:t>
      </w:r>
      <w:r w:rsidR="00ED22EE" w:rsidRPr="000C235B">
        <w:rPr>
          <w:sz w:val="22"/>
          <w:szCs w:val="22"/>
        </w:rPr>
        <w:t>modelled</w:t>
      </w:r>
      <w:r w:rsidR="009C0D2E" w:rsidRPr="000C235B">
        <w:rPr>
          <w:sz w:val="22"/>
          <w:szCs w:val="22"/>
        </w:rPr>
        <w:t xml:space="preserve"> as </w:t>
      </w:r>
      <w:r w:rsidR="006364E6" w:rsidRPr="000C235B">
        <w:rPr>
          <w:sz w:val="22"/>
          <w:szCs w:val="22"/>
        </w:rPr>
        <w:t>“iceberg costs”</w:t>
      </w:r>
      <w:r w:rsidR="006364E6" w:rsidRPr="000C235B">
        <w:rPr>
          <w:rStyle w:val="FootnoteReference"/>
          <w:sz w:val="22"/>
          <w:szCs w:val="22"/>
        </w:rPr>
        <w:footnoteReference w:id="24"/>
      </w:r>
      <w:r w:rsidR="00FB39D4" w:rsidRPr="000C235B">
        <w:rPr>
          <w:sz w:val="22"/>
          <w:szCs w:val="22"/>
        </w:rPr>
        <w:t xml:space="preserve"> –</w:t>
      </w:r>
      <w:r w:rsidR="00386740" w:rsidRPr="000C235B">
        <w:rPr>
          <w:sz w:val="22"/>
          <w:szCs w:val="22"/>
        </w:rPr>
        <w:t xml:space="preserve"> were then applied</w:t>
      </w:r>
      <w:r w:rsidR="009C0D2E" w:rsidRPr="000C235B">
        <w:rPr>
          <w:sz w:val="22"/>
          <w:szCs w:val="22"/>
        </w:rPr>
        <w:t xml:space="preserve"> to reflect improved trade facilitation between African countries. In other words, we assume that </w:t>
      </w:r>
      <w:r w:rsidR="002C7905" w:rsidRPr="000C235B">
        <w:rPr>
          <w:sz w:val="22"/>
          <w:szCs w:val="22"/>
        </w:rPr>
        <w:t>customs procedures and port handling in import and export processes becom</w:t>
      </w:r>
      <w:r w:rsidR="00681571">
        <w:rPr>
          <w:sz w:val="22"/>
          <w:szCs w:val="22"/>
        </w:rPr>
        <w:t>e</w:t>
      </w:r>
      <w:r w:rsidR="002C7905" w:rsidRPr="000C235B">
        <w:rPr>
          <w:sz w:val="22"/>
          <w:szCs w:val="22"/>
        </w:rPr>
        <w:t xml:space="preserve"> twice </w:t>
      </w:r>
      <w:r w:rsidR="00F57D5E" w:rsidRPr="000C235B">
        <w:rPr>
          <w:sz w:val="22"/>
          <w:szCs w:val="22"/>
        </w:rPr>
        <w:t xml:space="preserve">as </w:t>
      </w:r>
      <w:r w:rsidR="002C7905" w:rsidRPr="000C235B">
        <w:rPr>
          <w:sz w:val="22"/>
          <w:szCs w:val="22"/>
        </w:rPr>
        <w:t>efficient</w:t>
      </w:r>
      <w:r w:rsidR="009C0D2E" w:rsidRPr="000C235B">
        <w:rPr>
          <w:sz w:val="22"/>
          <w:szCs w:val="22"/>
        </w:rPr>
        <w:t xml:space="preserve"> within </w:t>
      </w:r>
      <w:smartTag w:uri="urn:schemas-microsoft-com:office:smarttags" w:element="place">
        <w:r w:rsidR="009C0D2E" w:rsidRPr="000C235B">
          <w:rPr>
            <w:sz w:val="22"/>
            <w:szCs w:val="22"/>
          </w:rPr>
          <w:t>Africa</w:t>
        </w:r>
      </w:smartTag>
      <w:r w:rsidR="002C7905" w:rsidRPr="000C235B">
        <w:rPr>
          <w:sz w:val="22"/>
          <w:szCs w:val="22"/>
        </w:rPr>
        <w:t xml:space="preserve"> by 2017</w:t>
      </w:r>
      <w:r w:rsidR="00F57D5E" w:rsidRPr="000C235B">
        <w:rPr>
          <w:sz w:val="22"/>
          <w:szCs w:val="22"/>
        </w:rPr>
        <w:t xml:space="preserve"> </w:t>
      </w:r>
      <w:r w:rsidR="00681571">
        <w:rPr>
          <w:sz w:val="22"/>
          <w:szCs w:val="22"/>
        </w:rPr>
        <w:t>as</w:t>
      </w:r>
      <w:r w:rsidR="00681571" w:rsidRPr="000C235B">
        <w:rPr>
          <w:sz w:val="22"/>
          <w:szCs w:val="22"/>
        </w:rPr>
        <w:t xml:space="preserve"> </w:t>
      </w:r>
      <w:r w:rsidR="00724728">
        <w:rPr>
          <w:sz w:val="22"/>
          <w:szCs w:val="22"/>
        </w:rPr>
        <w:t xml:space="preserve">they were </w:t>
      </w:r>
      <w:r w:rsidR="002C7905" w:rsidRPr="000C235B">
        <w:rPr>
          <w:sz w:val="22"/>
          <w:szCs w:val="22"/>
        </w:rPr>
        <w:t xml:space="preserve">in </w:t>
      </w:r>
      <w:r w:rsidR="006231ED" w:rsidRPr="000C235B">
        <w:rPr>
          <w:sz w:val="22"/>
          <w:szCs w:val="22"/>
        </w:rPr>
        <w:t>2010</w:t>
      </w:r>
      <w:r w:rsidR="00F57D5E" w:rsidRPr="000C235B">
        <w:rPr>
          <w:sz w:val="22"/>
          <w:szCs w:val="22"/>
        </w:rPr>
        <w:t>.</w:t>
      </w:r>
      <w:r w:rsidR="002C7905" w:rsidRPr="000C235B">
        <w:rPr>
          <w:rStyle w:val="FootnoteReference"/>
          <w:sz w:val="22"/>
          <w:szCs w:val="22"/>
        </w:rPr>
        <w:footnoteReference w:id="25"/>
      </w:r>
    </w:p>
    <w:p w:rsidR="007A4E9E" w:rsidRPr="000C235B" w:rsidRDefault="007A4E9E" w:rsidP="006D5982">
      <w:pPr>
        <w:pStyle w:val="FootnoteText"/>
        <w:spacing w:line="360" w:lineRule="auto"/>
        <w:rPr>
          <w:bCs/>
          <w:iCs/>
          <w:sz w:val="22"/>
          <w:szCs w:val="22"/>
        </w:rPr>
      </w:pPr>
      <w:r w:rsidRPr="000C235B">
        <w:rPr>
          <w:sz w:val="22"/>
          <w:szCs w:val="22"/>
        </w:rPr>
        <w:t xml:space="preserve">Finally, although </w:t>
      </w:r>
      <w:r w:rsidR="00C31B0B" w:rsidRPr="000C235B">
        <w:rPr>
          <w:sz w:val="22"/>
          <w:szCs w:val="22"/>
        </w:rPr>
        <w:t xml:space="preserve">we considered </w:t>
      </w:r>
      <w:r w:rsidR="005617A0" w:rsidRPr="000C235B">
        <w:rPr>
          <w:sz w:val="22"/>
          <w:szCs w:val="22"/>
        </w:rPr>
        <w:t xml:space="preserve">various </w:t>
      </w:r>
      <w:r w:rsidRPr="000C235B">
        <w:rPr>
          <w:sz w:val="22"/>
          <w:szCs w:val="22"/>
        </w:rPr>
        <w:t>scenarios allowing for unemployment in the labo</w:t>
      </w:r>
      <w:r w:rsidR="005617A0" w:rsidRPr="000C235B">
        <w:rPr>
          <w:sz w:val="22"/>
          <w:szCs w:val="22"/>
        </w:rPr>
        <w:t>u</w:t>
      </w:r>
      <w:r w:rsidRPr="000C235B">
        <w:rPr>
          <w:sz w:val="22"/>
          <w:szCs w:val="22"/>
        </w:rPr>
        <w:t>r market</w:t>
      </w:r>
      <w:r w:rsidR="00386740" w:rsidRPr="000C235B">
        <w:rPr>
          <w:sz w:val="22"/>
          <w:szCs w:val="22"/>
        </w:rPr>
        <w:t xml:space="preserve"> so as to</w:t>
      </w:r>
      <w:r w:rsidRPr="000C235B">
        <w:rPr>
          <w:sz w:val="22"/>
          <w:szCs w:val="22"/>
        </w:rPr>
        <w:t xml:space="preserve"> implement a wage curve in the model following Blanchflower and Oswald</w:t>
      </w:r>
      <w:r w:rsidR="00386740" w:rsidRPr="000C235B">
        <w:rPr>
          <w:sz w:val="22"/>
          <w:szCs w:val="22"/>
        </w:rPr>
        <w:t>’s methodology</w:t>
      </w:r>
      <w:r w:rsidRPr="000C235B">
        <w:rPr>
          <w:sz w:val="22"/>
          <w:szCs w:val="22"/>
        </w:rPr>
        <w:t xml:space="preserve"> (2005), </w:t>
      </w:r>
      <w:r w:rsidR="00C31B0B" w:rsidRPr="000C235B">
        <w:rPr>
          <w:sz w:val="22"/>
          <w:szCs w:val="22"/>
        </w:rPr>
        <w:t xml:space="preserve">we present </w:t>
      </w:r>
      <w:r w:rsidRPr="000C235B">
        <w:rPr>
          <w:sz w:val="22"/>
          <w:szCs w:val="22"/>
        </w:rPr>
        <w:t>only results based on the assumption of full employment</w:t>
      </w:r>
      <w:r w:rsidR="00C31B0B" w:rsidRPr="000C235B">
        <w:rPr>
          <w:sz w:val="22"/>
          <w:szCs w:val="22"/>
        </w:rPr>
        <w:t>.</w:t>
      </w:r>
      <w:r w:rsidR="0065342A" w:rsidRPr="000C235B">
        <w:rPr>
          <w:rStyle w:val="FootnoteReference"/>
          <w:sz w:val="22"/>
          <w:szCs w:val="22"/>
        </w:rPr>
        <w:footnoteReference w:id="26"/>
      </w:r>
      <w:r w:rsidRPr="000C235B">
        <w:rPr>
          <w:sz w:val="22"/>
          <w:szCs w:val="22"/>
        </w:rPr>
        <w:t xml:space="preserve"> </w:t>
      </w:r>
      <w:r w:rsidR="00517942" w:rsidRPr="000C235B">
        <w:rPr>
          <w:sz w:val="22"/>
          <w:szCs w:val="22"/>
        </w:rPr>
        <w:t>This is obviously imperfect</w:t>
      </w:r>
      <w:r w:rsidR="00C31B0B" w:rsidRPr="000C235B">
        <w:rPr>
          <w:sz w:val="22"/>
          <w:szCs w:val="22"/>
        </w:rPr>
        <w:t>,</w:t>
      </w:r>
      <w:r w:rsidR="00517942" w:rsidRPr="000C235B">
        <w:rPr>
          <w:sz w:val="22"/>
          <w:szCs w:val="22"/>
        </w:rPr>
        <w:t xml:space="preserve"> as it does not reflect well the situation of African economies</w:t>
      </w:r>
      <w:r w:rsidR="006925D1" w:rsidRPr="000C235B">
        <w:rPr>
          <w:sz w:val="22"/>
          <w:szCs w:val="22"/>
        </w:rPr>
        <w:t>.</w:t>
      </w:r>
      <w:r w:rsidR="00517942" w:rsidRPr="000C235B">
        <w:rPr>
          <w:sz w:val="22"/>
          <w:szCs w:val="22"/>
        </w:rPr>
        <w:t xml:space="preserve"> </w:t>
      </w:r>
      <w:r w:rsidR="006925D1" w:rsidRPr="000C235B">
        <w:rPr>
          <w:sz w:val="22"/>
          <w:szCs w:val="22"/>
        </w:rPr>
        <w:t>H</w:t>
      </w:r>
      <w:r w:rsidR="00517942" w:rsidRPr="000C235B">
        <w:rPr>
          <w:sz w:val="22"/>
          <w:szCs w:val="22"/>
        </w:rPr>
        <w:t xml:space="preserve">owever, there are several reasons that motivate such </w:t>
      </w:r>
      <w:r w:rsidR="00C31B0B" w:rsidRPr="000C235B">
        <w:rPr>
          <w:sz w:val="22"/>
          <w:szCs w:val="22"/>
        </w:rPr>
        <w:t xml:space="preserve">a </w:t>
      </w:r>
      <w:r w:rsidR="00517942" w:rsidRPr="000C235B">
        <w:rPr>
          <w:sz w:val="22"/>
          <w:szCs w:val="22"/>
        </w:rPr>
        <w:t xml:space="preserve">decision. First, </w:t>
      </w:r>
      <w:r w:rsidRPr="000C235B">
        <w:rPr>
          <w:sz w:val="22"/>
          <w:szCs w:val="22"/>
        </w:rPr>
        <w:t xml:space="preserve">assuming full employment or </w:t>
      </w:r>
      <w:r w:rsidR="006925D1" w:rsidRPr="000C235B">
        <w:rPr>
          <w:sz w:val="22"/>
          <w:szCs w:val="22"/>
        </w:rPr>
        <w:t xml:space="preserve">assuming </w:t>
      </w:r>
      <w:r w:rsidRPr="000C235B">
        <w:rPr>
          <w:sz w:val="22"/>
          <w:szCs w:val="22"/>
        </w:rPr>
        <w:t xml:space="preserve">unemployment </w:t>
      </w:r>
      <w:r w:rsidR="00FB39D4" w:rsidRPr="000C235B">
        <w:rPr>
          <w:sz w:val="22"/>
          <w:szCs w:val="22"/>
        </w:rPr>
        <w:t xml:space="preserve">– </w:t>
      </w:r>
      <w:r w:rsidR="008F5E23" w:rsidRPr="000C235B">
        <w:rPr>
          <w:sz w:val="22"/>
          <w:szCs w:val="22"/>
        </w:rPr>
        <w:t>modelled</w:t>
      </w:r>
      <w:r w:rsidR="007C6624" w:rsidRPr="000C235B">
        <w:rPr>
          <w:sz w:val="22"/>
          <w:szCs w:val="22"/>
        </w:rPr>
        <w:t xml:space="preserve"> as briefly describe</w:t>
      </w:r>
      <w:r w:rsidR="00416C09" w:rsidRPr="000C235B">
        <w:rPr>
          <w:sz w:val="22"/>
          <w:szCs w:val="22"/>
        </w:rPr>
        <w:t>d</w:t>
      </w:r>
      <w:r w:rsidR="007C6624" w:rsidRPr="000C235B">
        <w:rPr>
          <w:sz w:val="22"/>
          <w:szCs w:val="22"/>
        </w:rPr>
        <w:t xml:space="preserve"> above</w:t>
      </w:r>
      <w:r w:rsidR="00FB39D4" w:rsidRPr="000C235B">
        <w:rPr>
          <w:sz w:val="22"/>
          <w:szCs w:val="22"/>
        </w:rPr>
        <w:t xml:space="preserve"> – </w:t>
      </w:r>
      <w:r w:rsidRPr="000C235B">
        <w:rPr>
          <w:sz w:val="22"/>
          <w:szCs w:val="22"/>
        </w:rPr>
        <w:t xml:space="preserve">for the </w:t>
      </w:r>
      <w:r w:rsidR="00C31B0B" w:rsidRPr="000C235B">
        <w:rPr>
          <w:sz w:val="22"/>
          <w:szCs w:val="22"/>
        </w:rPr>
        <w:t>labour</w:t>
      </w:r>
      <w:r w:rsidRPr="000C235B">
        <w:rPr>
          <w:sz w:val="22"/>
          <w:szCs w:val="22"/>
        </w:rPr>
        <w:t xml:space="preserve"> factor in the CGE model does not lead to </w:t>
      </w:r>
      <w:r w:rsidR="00A85C30" w:rsidRPr="000C235B">
        <w:rPr>
          <w:sz w:val="22"/>
          <w:szCs w:val="22"/>
        </w:rPr>
        <w:t xml:space="preserve">great </w:t>
      </w:r>
      <w:r w:rsidRPr="000C235B">
        <w:rPr>
          <w:sz w:val="22"/>
          <w:szCs w:val="22"/>
        </w:rPr>
        <w:t xml:space="preserve">differences in the results. Moreover, the lack of availability and reliability of unemployment rates for African economies </w:t>
      </w:r>
      <w:r w:rsidR="00295E37" w:rsidRPr="000C235B">
        <w:rPr>
          <w:sz w:val="22"/>
          <w:szCs w:val="22"/>
        </w:rPr>
        <w:t xml:space="preserve">can </w:t>
      </w:r>
      <w:r w:rsidRPr="000C235B">
        <w:rPr>
          <w:sz w:val="22"/>
          <w:szCs w:val="22"/>
        </w:rPr>
        <w:t xml:space="preserve">render </w:t>
      </w:r>
      <w:r w:rsidR="009331F2" w:rsidRPr="000C235B">
        <w:rPr>
          <w:sz w:val="22"/>
          <w:szCs w:val="22"/>
        </w:rPr>
        <w:t>the exercise very questionable.</w:t>
      </w:r>
      <w:r w:rsidRPr="000C235B">
        <w:rPr>
          <w:sz w:val="22"/>
          <w:szCs w:val="22"/>
        </w:rPr>
        <w:t xml:space="preserve"> </w:t>
      </w:r>
      <w:r w:rsidR="00517942" w:rsidRPr="000C235B">
        <w:rPr>
          <w:sz w:val="22"/>
          <w:szCs w:val="22"/>
        </w:rPr>
        <w:t>Second, a</w:t>
      </w:r>
      <w:r w:rsidR="0065342A" w:rsidRPr="000C235B">
        <w:rPr>
          <w:sz w:val="22"/>
          <w:szCs w:val="22"/>
        </w:rPr>
        <w:t xml:space="preserve">nother way to represent unemployment in CGE models is </w:t>
      </w:r>
      <w:r w:rsidR="0001122A" w:rsidRPr="000C235B">
        <w:rPr>
          <w:sz w:val="22"/>
          <w:szCs w:val="22"/>
        </w:rPr>
        <w:t xml:space="preserve">to assume </w:t>
      </w:r>
      <w:r w:rsidR="006925D1" w:rsidRPr="000C235B">
        <w:rPr>
          <w:sz w:val="22"/>
          <w:szCs w:val="22"/>
        </w:rPr>
        <w:t xml:space="preserve">that </w:t>
      </w:r>
      <w:r w:rsidR="0001122A" w:rsidRPr="000C235B">
        <w:rPr>
          <w:sz w:val="22"/>
          <w:szCs w:val="22"/>
        </w:rPr>
        <w:t xml:space="preserve">nominal or real wages </w:t>
      </w:r>
      <w:r w:rsidR="006925D1" w:rsidRPr="000C235B">
        <w:rPr>
          <w:sz w:val="22"/>
          <w:szCs w:val="22"/>
        </w:rPr>
        <w:t xml:space="preserve">are </w:t>
      </w:r>
      <w:r w:rsidR="0001122A" w:rsidRPr="000C235B">
        <w:rPr>
          <w:sz w:val="22"/>
          <w:szCs w:val="22"/>
        </w:rPr>
        <w:t>fixed.</w:t>
      </w:r>
      <w:r w:rsidR="006925D1" w:rsidRPr="000C235B">
        <w:rPr>
          <w:sz w:val="22"/>
          <w:szCs w:val="22"/>
        </w:rPr>
        <w:t xml:space="preserve"> However</w:t>
      </w:r>
      <w:r w:rsidR="0001122A" w:rsidRPr="000C235B">
        <w:rPr>
          <w:sz w:val="22"/>
          <w:szCs w:val="22"/>
        </w:rPr>
        <w:t xml:space="preserve">, this assumption is </w:t>
      </w:r>
      <w:r w:rsidR="006925D1" w:rsidRPr="000C235B">
        <w:rPr>
          <w:sz w:val="22"/>
          <w:szCs w:val="22"/>
        </w:rPr>
        <w:t xml:space="preserve">a </w:t>
      </w:r>
      <w:r w:rsidR="0001122A" w:rsidRPr="000C235B">
        <w:rPr>
          <w:sz w:val="22"/>
          <w:szCs w:val="22"/>
        </w:rPr>
        <w:t>source of intense debate</w:t>
      </w:r>
      <w:r w:rsidR="006925D1" w:rsidRPr="000C235B">
        <w:rPr>
          <w:sz w:val="22"/>
          <w:szCs w:val="22"/>
        </w:rPr>
        <w:t>,</w:t>
      </w:r>
      <w:r w:rsidR="0001122A" w:rsidRPr="000C235B">
        <w:rPr>
          <w:sz w:val="22"/>
          <w:szCs w:val="22"/>
        </w:rPr>
        <w:t xml:space="preserve"> as </w:t>
      </w:r>
      <w:r w:rsidR="00517942" w:rsidRPr="000C235B">
        <w:rPr>
          <w:sz w:val="22"/>
          <w:szCs w:val="22"/>
        </w:rPr>
        <w:t>it does</w:t>
      </w:r>
      <w:r w:rsidR="0001122A" w:rsidRPr="000C235B">
        <w:rPr>
          <w:sz w:val="22"/>
          <w:szCs w:val="22"/>
        </w:rPr>
        <w:t xml:space="preserve"> </w:t>
      </w:r>
      <w:r w:rsidR="006925D1" w:rsidRPr="000C235B">
        <w:rPr>
          <w:sz w:val="22"/>
          <w:szCs w:val="22"/>
        </w:rPr>
        <w:t xml:space="preserve">not </w:t>
      </w:r>
      <w:r w:rsidR="0001122A" w:rsidRPr="000C235B">
        <w:rPr>
          <w:sz w:val="22"/>
          <w:szCs w:val="22"/>
        </w:rPr>
        <w:t xml:space="preserve">consider </w:t>
      </w:r>
      <w:r w:rsidR="00517942" w:rsidRPr="000C235B">
        <w:rPr>
          <w:sz w:val="22"/>
          <w:szCs w:val="22"/>
        </w:rPr>
        <w:t>the wage</w:t>
      </w:r>
      <w:r w:rsidR="0001122A" w:rsidRPr="000C235B">
        <w:rPr>
          <w:sz w:val="22"/>
          <w:szCs w:val="22"/>
        </w:rPr>
        <w:t xml:space="preserve"> determination process in developing countries (</w:t>
      </w:r>
      <w:r w:rsidR="0001122A" w:rsidRPr="000C235B">
        <w:rPr>
          <w:bCs/>
          <w:iCs/>
          <w:sz w:val="22"/>
          <w:szCs w:val="22"/>
        </w:rPr>
        <w:t>Ben Hammouda and Osakwe</w:t>
      </w:r>
      <w:r w:rsidR="00C14774" w:rsidRPr="000C235B">
        <w:rPr>
          <w:bCs/>
          <w:iCs/>
          <w:sz w:val="22"/>
          <w:szCs w:val="22"/>
        </w:rPr>
        <w:t>,</w:t>
      </w:r>
      <w:r w:rsidR="0001122A" w:rsidRPr="000C235B">
        <w:rPr>
          <w:bCs/>
          <w:iCs/>
          <w:sz w:val="22"/>
          <w:szCs w:val="22"/>
        </w:rPr>
        <w:t xml:space="preserve"> 2006). </w:t>
      </w:r>
      <w:r w:rsidR="00517942" w:rsidRPr="000C235B">
        <w:rPr>
          <w:bCs/>
          <w:iCs/>
          <w:sz w:val="22"/>
          <w:szCs w:val="22"/>
        </w:rPr>
        <w:t xml:space="preserve">Third, </w:t>
      </w:r>
      <w:r w:rsidR="003E10E5" w:rsidRPr="000C235B">
        <w:rPr>
          <w:bCs/>
          <w:iCs/>
          <w:sz w:val="22"/>
          <w:szCs w:val="22"/>
        </w:rPr>
        <w:t xml:space="preserve">the </w:t>
      </w:r>
      <w:r w:rsidR="00517942" w:rsidRPr="000C235B">
        <w:rPr>
          <w:bCs/>
          <w:iCs/>
          <w:sz w:val="22"/>
          <w:szCs w:val="22"/>
        </w:rPr>
        <w:t xml:space="preserve">full employment assumption </w:t>
      </w:r>
      <w:r w:rsidR="00D55653" w:rsidRPr="000C235B">
        <w:rPr>
          <w:bCs/>
          <w:iCs/>
          <w:sz w:val="22"/>
          <w:szCs w:val="22"/>
        </w:rPr>
        <w:t>appears to be</w:t>
      </w:r>
      <w:r w:rsidR="00517942" w:rsidRPr="000C235B">
        <w:rPr>
          <w:bCs/>
          <w:iCs/>
          <w:sz w:val="22"/>
          <w:szCs w:val="22"/>
        </w:rPr>
        <w:t xml:space="preserve"> </w:t>
      </w:r>
      <w:r w:rsidR="003E10E5" w:rsidRPr="000C235B">
        <w:rPr>
          <w:bCs/>
          <w:iCs/>
          <w:sz w:val="22"/>
          <w:szCs w:val="22"/>
        </w:rPr>
        <w:t>coherent with the medium</w:t>
      </w:r>
      <w:r w:rsidR="00C14774" w:rsidRPr="000C235B">
        <w:rPr>
          <w:bCs/>
          <w:iCs/>
          <w:sz w:val="22"/>
          <w:szCs w:val="22"/>
        </w:rPr>
        <w:t>-</w:t>
      </w:r>
      <w:r w:rsidR="003E10E5" w:rsidRPr="000C235B">
        <w:rPr>
          <w:bCs/>
          <w:iCs/>
          <w:sz w:val="22"/>
          <w:szCs w:val="22"/>
        </w:rPr>
        <w:t xml:space="preserve"> to long</w:t>
      </w:r>
      <w:r w:rsidR="00C14774" w:rsidRPr="000C235B">
        <w:rPr>
          <w:bCs/>
          <w:iCs/>
          <w:sz w:val="22"/>
          <w:szCs w:val="22"/>
        </w:rPr>
        <w:t>-</w:t>
      </w:r>
      <w:r w:rsidR="003E10E5" w:rsidRPr="000C235B">
        <w:rPr>
          <w:bCs/>
          <w:iCs/>
          <w:sz w:val="22"/>
          <w:szCs w:val="22"/>
        </w:rPr>
        <w:t xml:space="preserve">term effects </w:t>
      </w:r>
      <w:r w:rsidR="00C14774" w:rsidRPr="000C235B">
        <w:rPr>
          <w:bCs/>
          <w:iCs/>
          <w:sz w:val="22"/>
          <w:szCs w:val="22"/>
        </w:rPr>
        <w:t>of</w:t>
      </w:r>
      <w:r w:rsidR="003E10E5" w:rsidRPr="000C235B">
        <w:rPr>
          <w:bCs/>
          <w:iCs/>
          <w:sz w:val="22"/>
          <w:szCs w:val="22"/>
        </w:rPr>
        <w:t xml:space="preserve"> shocks analy</w:t>
      </w:r>
      <w:r w:rsidR="00C14774" w:rsidRPr="000C235B">
        <w:rPr>
          <w:bCs/>
          <w:iCs/>
          <w:sz w:val="22"/>
          <w:szCs w:val="22"/>
        </w:rPr>
        <w:t>s</w:t>
      </w:r>
      <w:r w:rsidR="003E10E5" w:rsidRPr="000C235B">
        <w:rPr>
          <w:bCs/>
          <w:iCs/>
          <w:sz w:val="22"/>
          <w:szCs w:val="22"/>
        </w:rPr>
        <w:t>ed with CGE models (</w:t>
      </w:r>
      <w:r w:rsidR="003E10E5" w:rsidRPr="000C235B">
        <w:rPr>
          <w:sz w:val="22"/>
          <w:szCs w:val="22"/>
        </w:rPr>
        <w:t>Bouët et al.</w:t>
      </w:r>
      <w:r w:rsidR="00C14774" w:rsidRPr="000C235B">
        <w:rPr>
          <w:sz w:val="22"/>
          <w:szCs w:val="22"/>
        </w:rPr>
        <w:t>,</w:t>
      </w:r>
      <w:r w:rsidR="003E10E5" w:rsidRPr="000C235B">
        <w:rPr>
          <w:bCs/>
          <w:iCs/>
          <w:sz w:val="22"/>
          <w:szCs w:val="22"/>
        </w:rPr>
        <w:t xml:space="preserve"> 2010).</w:t>
      </w:r>
      <w:r w:rsidR="0099482B" w:rsidRPr="000C235B">
        <w:rPr>
          <w:bCs/>
          <w:iCs/>
          <w:sz w:val="22"/>
          <w:szCs w:val="22"/>
        </w:rPr>
        <w:t xml:space="preserve"> </w:t>
      </w:r>
      <w:r w:rsidR="003523B2" w:rsidRPr="000C235B">
        <w:rPr>
          <w:sz w:val="22"/>
          <w:szCs w:val="22"/>
        </w:rPr>
        <w:t xml:space="preserve">Moreover, under </w:t>
      </w:r>
      <w:r w:rsidR="00C14774" w:rsidRPr="000C235B">
        <w:rPr>
          <w:sz w:val="22"/>
          <w:szCs w:val="22"/>
        </w:rPr>
        <w:t xml:space="preserve">a </w:t>
      </w:r>
      <w:r w:rsidR="003523B2" w:rsidRPr="000C235B">
        <w:rPr>
          <w:sz w:val="22"/>
          <w:szCs w:val="22"/>
        </w:rPr>
        <w:t xml:space="preserve">fixed employment hypothesis, a decrease </w:t>
      </w:r>
      <w:r w:rsidR="003523B2" w:rsidRPr="000C235B">
        <w:rPr>
          <w:i/>
          <w:sz w:val="22"/>
          <w:szCs w:val="22"/>
        </w:rPr>
        <w:t>(increase)</w:t>
      </w:r>
      <w:r w:rsidR="003523B2" w:rsidRPr="000C235B">
        <w:rPr>
          <w:sz w:val="22"/>
          <w:szCs w:val="22"/>
        </w:rPr>
        <w:t xml:space="preserve"> in employment does not necessarily imply </w:t>
      </w:r>
      <w:r w:rsidR="001C2FAA" w:rsidRPr="000C235B">
        <w:rPr>
          <w:sz w:val="22"/>
          <w:szCs w:val="22"/>
        </w:rPr>
        <w:t>increasing</w:t>
      </w:r>
      <w:r w:rsidR="003523B2" w:rsidRPr="000C235B">
        <w:rPr>
          <w:sz w:val="22"/>
          <w:szCs w:val="22"/>
        </w:rPr>
        <w:t xml:space="preserve"> </w:t>
      </w:r>
      <w:r w:rsidR="003523B2" w:rsidRPr="000C235B">
        <w:rPr>
          <w:i/>
          <w:sz w:val="22"/>
          <w:szCs w:val="22"/>
        </w:rPr>
        <w:t>(decreas</w:t>
      </w:r>
      <w:r w:rsidR="001C2FAA" w:rsidRPr="000C235B">
        <w:rPr>
          <w:i/>
          <w:sz w:val="22"/>
          <w:szCs w:val="22"/>
        </w:rPr>
        <w:t>ing</w:t>
      </w:r>
      <w:r w:rsidR="003523B2" w:rsidRPr="000C235B">
        <w:rPr>
          <w:i/>
          <w:sz w:val="22"/>
          <w:szCs w:val="22"/>
        </w:rPr>
        <w:t>)</w:t>
      </w:r>
      <w:r w:rsidR="003523B2" w:rsidRPr="000C235B">
        <w:rPr>
          <w:sz w:val="22"/>
          <w:szCs w:val="22"/>
        </w:rPr>
        <w:t xml:space="preserve"> unemployment</w:t>
      </w:r>
      <w:r w:rsidR="001C2FAA" w:rsidRPr="000C235B">
        <w:rPr>
          <w:sz w:val="22"/>
          <w:szCs w:val="22"/>
        </w:rPr>
        <w:t xml:space="preserve"> in reality</w:t>
      </w:r>
      <w:r w:rsidR="003523B2" w:rsidRPr="000C235B">
        <w:rPr>
          <w:sz w:val="22"/>
          <w:szCs w:val="22"/>
        </w:rPr>
        <w:t xml:space="preserve">. Indeed, the total </w:t>
      </w:r>
      <w:r w:rsidR="00C31B0B" w:rsidRPr="000C235B">
        <w:rPr>
          <w:sz w:val="22"/>
          <w:szCs w:val="22"/>
        </w:rPr>
        <w:t>labour</w:t>
      </w:r>
      <w:r w:rsidR="003523B2" w:rsidRPr="000C235B">
        <w:rPr>
          <w:sz w:val="22"/>
          <w:szCs w:val="22"/>
        </w:rPr>
        <w:t xml:space="preserve"> force is constrained yearly (but varies over</w:t>
      </w:r>
      <w:r w:rsidR="00C14774" w:rsidRPr="000C235B">
        <w:rPr>
          <w:sz w:val="22"/>
          <w:szCs w:val="22"/>
        </w:rPr>
        <w:t xml:space="preserve"> </w:t>
      </w:r>
      <w:r w:rsidR="003523B2" w:rsidRPr="000C235B">
        <w:rPr>
          <w:sz w:val="22"/>
          <w:szCs w:val="22"/>
        </w:rPr>
        <w:t>time in both the baseline and the simulations based on demographic forecast</w:t>
      </w:r>
      <w:r w:rsidR="00C14774" w:rsidRPr="000C235B">
        <w:rPr>
          <w:sz w:val="22"/>
          <w:szCs w:val="22"/>
        </w:rPr>
        <w:t>s</w:t>
      </w:r>
      <w:r w:rsidR="003523B2" w:rsidRPr="000C235B">
        <w:rPr>
          <w:rStyle w:val="FootnoteReference"/>
          <w:sz w:val="22"/>
          <w:szCs w:val="22"/>
        </w:rPr>
        <w:footnoteReference w:id="27"/>
      </w:r>
      <w:r w:rsidR="003523B2" w:rsidRPr="000C235B">
        <w:rPr>
          <w:sz w:val="22"/>
          <w:szCs w:val="22"/>
        </w:rPr>
        <w:t>)</w:t>
      </w:r>
      <w:r w:rsidR="00C14774" w:rsidRPr="000C235B">
        <w:rPr>
          <w:sz w:val="22"/>
          <w:szCs w:val="22"/>
        </w:rPr>
        <w:t>,</w:t>
      </w:r>
      <w:r w:rsidR="003523B2" w:rsidRPr="000C235B">
        <w:rPr>
          <w:sz w:val="22"/>
          <w:szCs w:val="22"/>
        </w:rPr>
        <w:t xml:space="preserve"> and there will be re-allocation of workers to the sector where remuneration become</w:t>
      </w:r>
      <w:r w:rsidR="00A7507D">
        <w:rPr>
          <w:sz w:val="22"/>
          <w:szCs w:val="22"/>
        </w:rPr>
        <w:t>s</w:t>
      </w:r>
      <w:r w:rsidR="003523B2" w:rsidRPr="000C235B">
        <w:rPr>
          <w:sz w:val="22"/>
          <w:szCs w:val="22"/>
        </w:rPr>
        <w:t xml:space="preserve"> relatively more attractive. In other words, employment in the model will increase where wages become the highest and decrease elsewhere. </w:t>
      </w:r>
      <w:r w:rsidR="0099482B" w:rsidRPr="000C235B">
        <w:rPr>
          <w:bCs/>
          <w:iCs/>
          <w:sz w:val="22"/>
          <w:szCs w:val="22"/>
        </w:rPr>
        <w:t>The</w:t>
      </w:r>
      <w:r w:rsidR="003523B2" w:rsidRPr="000C235B">
        <w:rPr>
          <w:bCs/>
          <w:iCs/>
          <w:sz w:val="22"/>
          <w:szCs w:val="22"/>
        </w:rPr>
        <w:t>refore, the</w:t>
      </w:r>
      <w:r w:rsidR="0099482B" w:rsidRPr="000C235B">
        <w:rPr>
          <w:bCs/>
          <w:iCs/>
          <w:sz w:val="22"/>
          <w:szCs w:val="22"/>
        </w:rPr>
        <w:t xml:space="preserve"> assumption of fixed employment is likely to slightly underestimate the potential benefits from regional trade liberalization.</w:t>
      </w:r>
      <w:r w:rsidR="00063F0B" w:rsidRPr="000C235B">
        <w:rPr>
          <w:bCs/>
          <w:iCs/>
          <w:sz w:val="22"/>
          <w:szCs w:val="22"/>
        </w:rPr>
        <w:t xml:space="preserve"> W</w:t>
      </w:r>
      <w:r w:rsidR="0099482B" w:rsidRPr="000C235B">
        <w:rPr>
          <w:sz w:val="22"/>
          <w:szCs w:val="22"/>
        </w:rPr>
        <w:t>ith unemployment</w:t>
      </w:r>
      <w:r w:rsidR="003523B2" w:rsidRPr="000C235B">
        <w:rPr>
          <w:sz w:val="22"/>
          <w:szCs w:val="22"/>
        </w:rPr>
        <w:t xml:space="preserve"> allowed in the </w:t>
      </w:r>
      <w:r w:rsidR="00C31B0B" w:rsidRPr="000C235B">
        <w:rPr>
          <w:sz w:val="22"/>
          <w:szCs w:val="22"/>
        </w:rPr>
        <w:t>labour</w:t>
      </w:r>
      <w:r w:rsidR="003523B2" w:rsidRPr="000C235B">
        <w:rPr>
          <w:sz w:val="22"/>
          <w:szCs w:val="22"/>
        </w:rPr>
        <w:t xml:space="preserve"> market</w:t>
      </w:r>
      <w:r w:rsidR="0099482B" w:rsidRPr="000C235B">
        <w:rPr>
          <w:sz w:val="22"/>
          <w:szCs w:val="22"/>
        </w:rPr>
        <w:t>,</w:t>
      </w:r>
      <w:r w:rsidR="003523B2" w:rsidRPr="000C235B">
        <w:rPr>
          <w:sz w:val="22"/>
          <w:szCs w:val="22"/>
        </w:rPr>
        <w:t xml:space="preserve"> </w:t>
      </w:r>
      <w:r w:rsidR="0099482B" w:rsidRPr="000C235B">
        <w:rPr>
          <w:sz w:val="22"/>
          <w:szCs w:val="22"/>
        </w:rPr>
        <w:t>increased demand leads to higher employment</w:t>
      </w:r>
      <w:r w:rsidR="00657F9C">
        <w:rPr>
          <w:sz w:val="22"/>
          <w:szCs w:val="22"/>
        </w:rPr>
        <w:t>,</w:t>
      </w:r>
      <w:r w:rsidR="0099482B" w:rsidRPr="000C235B">
        <w:rPr>
          <w:sz w:val="22"/>
          <w:szCs w:val="22"/>
        </w:rPr>
        <w:t xml:space="preserve"> </w:t>
      </w:r>
      <w:r w:rsidR="00ED7DE2" w:rsidRPr="000C235B">
        <w:rPr>
          <w:sz w:val="22"/>
          <w:szCs w:val="22"/>
        </w:rPr>
        <w:t>and this expansion of resources could</w:t>
      </w:r>
      <w:r w:rsidR="0099482B" w:rsidRPr="000C235B">
        <w:rPr>
          <w:sz w:val="22"/>
          <w:szCs w:val="22"/>
        </w:rPr>
        <w:t xml:space="preserve"> lead to higher gains from trade liberalization.</w:t>
      </w:r>
      <w:r w:rsidR="00824DBF" w:rsidRPr="000C235B">
        <w:rPr>
          <w:sz w:val="22"/>
          <w:szCs w:val="22"/>
        </w:rPr>
        <w:t xml:space="preserve"> </w:t>
      </w:r>
    </w:p>
    <w:p w:rsidR="00C75511" w:rsidRPr="000C235B" w:rsidRDefault="00EE7040" w:rsidP="000C235B">
      <w:pPr>
        <w:pStyle w:val="Heading1"/>
      </w:pPr>
      <w:r w:rsidRPr="000C235B">
        <w:t>8.4</w:t>
      </w:r>
      <w:r w:rsidR="00100197" w:rsidRPr="000C235B">
        <w:tab/>
      </w:r>
      <w:r w:rsidR="00B10D8A" w:rsidRPr="000C235B">
        <w:t>Presentation of main resu</w:t>
      </w:r>
      <w:r w:rsidR="002E2DD2" w:rsidRPr="000C235B">
        <w:t>lts with a focus on agriculture</w:t>
      </w:r>
    </w:p>
    <w:p w:rsidR="00171718" w:rsidRPr="000C235B" w:rsidRDefault="00087CCE" w:rsidP="006D5982">
      <w:pPr>
        <w:spacing w:line="360" w:lineRule="auto"/>
        <w:rPr>
          <w:sz w:val="22"/>
          <w:szCs w:val="22"/>
        </w:rPr>
      </w:pPr>
      <w:r w:rsidRPr="000C235B">
        <w:rPr>
          <w:sz w:val="22"/>
          <w:szCs w:val="22"/>
        </w:rPr>
        <w:t xml:space="preserve">As indicated in section </w:t>
      </w:r>
      <w:r w:rsidR="00BA5586" w:rsidRPr="000C235B">
        <w:rPr>
          <w:sz w:val="22"/>
          <w:szCs w:val="22"/>
        </w:rPr>
        <w:t xml:space="preserve">8.2 </w:t>
      </w:r>
      <w:r w:rsidR="00804890" w:rsidRPr="000C235B">
        <w:rPr>
          <w:sz w:val="22"/>
          <w:szCs w:val="22"/>
        </w:rPr>
        <w:t>(</w:t>
      </w:r>
      <w:r w:rsidR="00FB0D3B">
        <w:rPr>
          <w:sz w:val="22"/>
          <w:szCs w:val="22"/>
        </w:rPr>
        <w:t>table</w:t>
      </w:r>
      <w:r w:rsidR="00804890" w:rsidRPr="000C235B">
        <w:rPr>
          <w:sz w:val="22"/>
          <w:szCs w:val="22"/>
        </w:rPr>
        <w:t xml:space="preserve"> </w:t>
      </w:r>
      <w:r w:rsidR="00A7507D">
        <w:rPr>
          <w:sz w:val="22"/>
          <w:szCs w:val="22"/>
        </w:rPr>
        <w:t>8.</w:t>
      </w:r>
      <w:r w:rsidR="00804890" w:rsidRPr="000C235B">
        <w:rPr>
          <w:sz w:val="22"/>
          <w:szCs w:val="22"/>
        </w:rPr>
        <w:t>5)</w:t>
      </w:r>
      <w:r w:rsidRPr="000C235B">
        <w:rPr>
          <w:sz w:val="22"/>
          <w:szCs w:val="22"/>
        </w:rPr>
        <w:t>, African countries impose relatively high tariff barriers of 8.7</w:t>
      </w:r>
      <w:r w:rsidR="000F4C18" w:rsidRPr="000C235B">
        <w:rPr>
          <w:sz w:val="22"/>
          <w:szCs w:val="22"/>
        </w:rPr>
        <w:t xml:space="preserve"> per cent</w:t>
      </w:r>
      <w:r w:rsidR="00122980" w:rsidRPr="000C235B">
        <w:rPr>
          <w:sz w:val="22"/>
          <w:szCs w:val="22"/>
        </w:rPr>
        <w:t>, on average,</w:t>
      </w:r>
      <w:r w:rsidRPr="000C235B">
        <w:rPr>
          <w:sz w:val="22"/>
          <w:szCs w:val="22"/>
        </w:rPr>
        <w:t xml:space="preserve"> </w:t>
      </w:r>
      <w:r w:rsidR="00814FE7">
        <w:rPr>
          <w:sz w:val="22"/>
          <w:szCs w:val="22"/>
        </w:rPr>
        <w:t>on</w:t>
      </w:r>
      <w:r w:rsidR="00814FE7" w:rsidRPr="000C235B">
        <w:rPr>
          <w:sz w:val="22"/>
          <w:szCs w:val="22"/>
        </w:rPr>
        <w:t xml:space="preserve"> </w:t>
      </w:r>
      <w:r w:rsidRPr="000C235B">
        <w:rPr>
          <w:sz w:val="22"/>
          <w:szCs w:val="22"/>
        </w:rPr>
        <w:t>their African partners</w:t>
      </w:r>
      <w:r w:rsidR="00122980" w:rsidRPr="000C235B">
        <w:rPr>
          <w:sz w:val="22"/>
          <w:szCs w:val="22"/>
        </w:rPr>
        <w:t>; while th</w:t>
      </w:r>
      <w:r w:rsidR="00A7507D">
        <w:rPr>
          <w:sz w:val="22"/>
          <w:szCs w:val="22"/>
        </w:rPr>
        <w:t>ose</w:t>
      </w:r>
      <w:r w:rsidR="00122980" w:rsidRPr="000C235B">
        <w:rPr>
          <w:sz w:val="22"/>
          <w:szCs w:val="22"/>
        </w:rPr>
        <w:t xml:space="preserve"> on</w:t>
      </w:r>
      <w:r w:rsidRPr="000C235B">
        <w:rPr>
          <w:sz w:val="22"/>
          <w:szCs w:val="22"/>
        </w:rPr>
        <w:t xml:space="preserve"> primary product</w:t>
      </w:r>
      <w:r w:rsidR="00A74507" w:rsidRPr="000C235B">
        <w:rPr>
          <w:sz w:val="22"/>
          <w:szCs w:val="22"/>
        </w:rPr>
        <w:t xml:space="preserve"> imports </w:t>
      </w:r>
      <w:r w:rsidR="00A7507D">
        <w:rPr>
          <w:sz w:val="22"/>
          <w:szCs w:val="22"/>
        </w:rPr>
        <w:t>are</w:t>
      </w:r>
      <w:r w:rsidR="00A7507D" w:rsidRPr="000C235B">
        <w:rPr>
          <w:sz w:val="22"/>
          <w:szCs w:val="22"/>
        </w:rPr>
        <w:t xml:space="preserve"> </w:t>
      </w:r>
      <w:r w:rsidR="00A74507" w:rsidRPr="000C235B">
        <w:rPr>
          <w:sz w:val="22"/>
          <w:szCs w:val="22"/>
        </w:rPr>
        <w:t>relatively low</w:t>
      </w:r>
      <w:r w:rsidRPr="000C235B">
        <w:rPr>
          <w:sz w:val="22"/>
          <w:szCs w:val="22"/>
        </w:rPr>
        <w:t xml:space="preserve">, </w:t>
      </w:r>
      <w:r w:rsidR="00A74507" w:rsidRPr="000C235B">
        <w:rPr>
          <w:sz w:val="22"/>
          <w:szCs w:val="22"/>
        </w:rPr>
        <w:t xml:space="preserve">at </w:t>
      </w:r>
      <w:r w:rsidRPr="000C235B">
        <w:rPr>
          <w:sz w:val="22"/>
          <w:szCs w:val="22"/>
        </w:rPr>
        <w:t>2.3</w:t>
      </w:r>
      <w:r w:rsidR="000F4C18" w:rsidRPr="000C235B">
        <w:rPr>
          <w:sz w:val="22"/>
          <w:szCs w:val="22"/>
        </w:rPr>
        <w:t xml:space="preserve"> per cent</w:t>
      </w:r>
      <w:r w:rsidRPr="000C235B">
        <w:rPr>
          <w:sz w:val="22"/>
          <w:szCs w:val="22"/>
        </w:rPr>
        <w:t xml:space="preserve">, </w:t>
      </w:r>
      <w:r w:rsidR="00151720" w:rsidRPr="000C235B">
        <w:rPr>
          <w:sz w:val="22"/>
          <w:szCs w:val="22"/>
        </w:rPr>
        <w:t xml:space="preserve">on average; </w:t>
      </w:r>
      <w:r w:rsidRPr="000C235B">
        <w:rPr>
          <w:sz w:val="22"/>
          <w:szCs w:val="22"/>
        </w:rPr>
        <w:t xml:space="preserve">barriers imposed on </w:t>
      </w:r>
      <w:r w:rsidR="00151720" w:rsidRPr="000C235B">
        <w:rPr>
          <w:sz w:val="22"/>
          <w:szCs w:val="22"/>
        </w:rPr>
        <w:t xml:space="preserve">industrial and </w:t>
      </w:r>
      <w:r w:rsidR="00814FE7">
        <w:rPr>
          <w:sz w:val="22"/>
          <w:szCs w:val="22"/>
        </w:rPr>
        <w:t xml:space="preserve">on </w:t>
      </w:r>
      <w:r w:rsidRPr="000C235B">
        <w:rPr>
          <w:sz w:val="22"/>
          <w:szCs w:val="22"/>
        </w:rPr>
        <w:t xml:space="preserve">agricultural </w:t>
      </w:r>
      <w:r w:rsidR="00814FE7">
        <w:rPr>
          <w:sz w:val="22"/>
          <w:szCs w:val="22"/>
        </w:rPr>
        <w:t>and</w:t>
      </w:r>
      <w:r w:rsidR="00814FE7" w:rsidRPr="000C235B">
        <w:rPr>
          <w:sz w:val="22"/>
          <w:szCs w:val="22"/>
        </w:rPr>
        <w:t xml:space="preserve"> </w:t>
      </w:r>
      <w:r w:rsidRPr="000C235B">
        <w:rPr>
          <w:sz w:val="22"/>
          <w:szCs w:val="22"/>
        </w:rPr>
        <w:t>food products are quite significant</w:t>
      </w:r>
      <w:r w:rsidR="00A74507" w:rsidRPr="000C235B">
        <w:rPr>
          <w:sz w:val="22"/>
          <w:szCs w:val="22"/>
        </w:rPr>
        <w:t>,</w:t>
      </w:r>
      <w:r w:rsidRPr="000C235B">
        <w:rPr>
          <w:sz w:val="22"/>
          <w:szCs w:val="22"/>
        </w:rPr>
        <w:t xml:space="preserve"> </w:t>
      </w:r>
      <w:r w:rsidR="00A74507" w:rsidRPr="000C235B">
        <w:rPr>
          <w:sz w:val="22"/>
          <w:szCs w:val="22"/>
        </w:rPr>
        <w:t xml:space="preserve">at </w:t>
      </w:r>
      <w:r w:rsidRPr="000C235B">
        <w:rPr>
          <w:sz w:val="22"/>
          <w:szCs w:val="22"/>
        </w:rPr>
        <w:t>9.0</w:t>
      </w:r>
      <w:r w:rsidR="000F4C18" w:rsidRPr="000C235B">
        <w:rPr>
          <w:sz w:val="22"/>
          <w:szCs w:val="22"/>
        </w:rPr>
        <w:t xml:space="preserve"> per cent</w:t>
      </w:r>
      <w:r w:rsidRPr="000C235B">
        <w:rPr>
          <w:sz w:val="22"/>
          <w:szCs w:val="22"/>
        </w:rPr>
        <w:t xml:space="preserve"> and 12.4</w:t>
      </w:r>
      <w:r w:rsidR="000F4C18" w:rsidRPr="000C235B">
        <w:rPr>
          <w:sz w:val="22"/>
          <w:szCs w:val="22"/>
        </w:rPr>
        <w:t xml:space="preserve"> per cent</w:t>
      </w:r>
      <w:r w:rsidR="00814FE7">
        <w:rPr>
          <w:sz w:val="22"/>
          <w:szCs w:val="22"/>
        </w:rPr>
        <w:t>,</w:t>
      </w:r>
      <w:r w:rsidRPr="000C235B">
        <w:rPr>
          <w:sz w:val="22"/>
          <w:szCs w:val="22"/>
        </w:rPr>
        <w:t xml:space="preserve"> respectively. Therefore, removing protection within defined areas of the African continent </w:t>
      </w:r>
      <w:r w:rsidR="00D60F82" w:rsidRPr="000C235B">
        <w:rPr>
          <w:sz w:val="22"/>
          <w:szCs w:val="22"/>
        </w:rPr>
        <w:t>could potentially</w:t>
      </w:r>
      <w:r w:rsidRPr="000C235B">
        <w:rPr>
          <w:sz w:val="22"/>
          <w:szCs w:val="22"/>
        </w:rPr>
        <w:t xml:space="preserve"> improve </w:t>
      </w:r>
      <w:r w:rsidR="00D60F82" w:rsidRPr="000C235B">
        <w:rPr>
          <w:sz w:val="22"/>
          <w:szCs w:val="22"/>
        </w:rPr>
        <w:t xml:space="preserve">considerably </w:t>
      </w:r>
      <w:r w:rsidRPr="000C235B">
        <w:rPr>
          <w:sz w:val="22"/>
          <w:szCs w:val="22"/>
        </w:rPr>
        <w:t>market access between African economies and is expected to bring large increase</w:t>
      </w:r>
      <w:r w:rsidR="005667E6" w:rsidRPr="000C235B">
        <w:rPr>
          <w:sz w:val="22"/>
          <w:szCs w:val="22"/>
        </w:rPr>
        <w:t>s</w:t>
      </w:r>
      <w:r w:rsidRPr="000C235B">
        <w:rPr>
          <w:sz w:val="22"/>
          <w:szCs w:val="22"/>
        </w:rPr>
        <w:t xml:space="preserve"> in </w:t>
      </w:r>
      <w:r w:rsidR="007D4861" w:rsidRPr="000C235B">
        <w:rPr>
          <w:sz w:val="22"/>
          <w:szCs w:val="22"/>
        </w:rPr>
        <w:t>intra-</w:t>
      </w:r>
      <w:r w:rsidRPr="000C235B">
        <w:rPr>
          <w:sz w:val="22"/>
          <w:szCs w:val="22"/>
        </w:rPr>
        <w:t>trade flows.</w:t>
      </w:r>
      <w:r w:rsidR="0086100A" w:rsidRPr="000C235B">
        <w:rPr>
          <w:sz w:val="22"/>
          <w:szCs w:val="22"/>
        </w:rPr>
        <w:t xml:space="preserve"> Moreover, while protection within the two defined regional groups, namely</w:t>
      </w:r>
      <w:r w:rsidR="0002171A" w:rsidRPr="000C235B">
        <w:rPr>
          <w:sz w:val="22"/>
          <w:szCs w:val="22"/>
        </w:rPr>
        <w:t>,</w:t>
      </w:r>
      <w:r w:rsidR="0086100A" w:rsidRPr="000C235B">
        <w:rPr>
          <w:sz w:val="22"/>
          <w:szCs w:val="22"/>
        </w:rPr>
        <w:t xml:space="preserve"> Southern-Eastern Africa </w:t>
      </w:r>
      <w:r w:rsidR="005667E6" w:rsidRPr="000C235B">
        <w:rPr>
          <w:sz w:val="22"/>
          <w:szCs w:val="22"/>
        </w:rPr>
        <w:t xml:space="preserve">FTA group </w:t>
      </w:r>
      <w:r w:rsidR="0086100A" w:rsidRPr="000C235B">
        <w:rPr>
          <w:sz w:val="22"/>
          <w:szCs w:val="22"/>
        </w:rPr>
        <w:t xml:space="preserve">and Northern-Central-Western Africa </w:t>
      </w:r>
      <w:r w:rsidR="005667E6" w:rsidRPr="000C235B">
        <w:rPr>
          <w:sz w:val="22"/>
          <w:szCs w:val="22"/>
        </w:rPr>
        <w:t>FTA group</w:t>
      </w:r>
      <w:r w:rsidR="00A74507" w:rsidRPr="000C235B">
        <w:rPr>
          <w:sz w:val="22"/>
          <w:szCs w:val="22"/>
        </w:rPr>
        <w:t>,</w:t>
      </w:r>
      <w:r w:rsidR="005667E6" w:rsidRPr="000C235B">
        <w:rPr>
          <w:sz w:val="22"/>
          <w:szCs w:val="22"/>
        </w:rPr>
        <w:t xml:space="preserve"> </w:t>
      </w:r>
      <w:r w:rsidR="0086100A" w:rsidRPr="000C235B">
        <w:rPr>
          <w:sz w:val="22"/>
          <w:szCs w:val="22"/>
        </w:rPr>
        <w:t>are below the continent</w:t>
      </w:r>
      <w:r w:rsidR="00EE18BF" w:rsidRPr="000C235B">
        <w:rPr>
          <w:sz w:val="22"/>
          <w:szCs w:val="22"/>
        </w:rPr>
        <w:t>al</w:t>
      </w:r>
      <w:r w:rsidR="0086100A" w:rsidRPr="000C235B">
        <w:rPr>
          <w:sz w:val="22"/>
          <w:szCs w:val="22"/>
        </w:rPr>
        <w:t xml:space="preserve"> average</w:t>
      </w:r>
      <w:r w:rsidR="00EE18BF" w:rsidRPr="000C235B">
        <w:rPr>
          <w:sz w:val="22"/>
          <w:szCs w:val="22"/>
        </w:rPr>
        <w:t>, at</w:t>
      </w:r>
      <w:r w:rsidR="0086100A" w:rsidRPr="000C235B">
        <w:rPr>
          <w:sz w:val="22"/>
          <w:szCs w:val="22"/>
        </w:rPr>
        <w:t xml:space="preserve"> 7.7</w:t>
      </w:r>
      <w:r w:rsidR="000F4C18" w:rsidRPr="000C235B">
        <w:rPr>
          <w:sz w:val="22"/>
          <w:szCs w:val="22"/>
        </w:rPr>
        <w:t xml:space="preserve"> per cent</w:t>
      </w:r>
      <w:r w:rsidR="0086100A" w:rsidRPr="000C235B">
        <w:rPr>
          <w:sz w:val="22"/>
          <w:szCs w:val="22"/>
        </w:rPr>
        <w:t xml:space="preserve"> and 8.2</w:t>
      </w:r>
      <w:r w:rsidR="000F4C18" w:rsidRPr="000C235B">
        <w:rPr>
          <w:sz w:val="22"/>
          <w:szCs w:val="22"/>
        </w:rPr>
        <w:t xml:space="preserve"> per cent</w:t>
      </w:r>
      <w:r w:rsidR="00102650" w:rsidRPr="000C235B">
        <w:rPr>
          <w:sz w:val="22"/>
          <w:szCs w:val="22"/>
        </w:rPr>
        <w:t>,</w:t>
      </w:r>
      <w:r w:rsidR="0086100A" w:rsidRPr="000C235B">
        <w:rPr>
          <w:sz w:val="22"/>
          <w:szCs w:val="22"/>
        </w:rPr>
        <w:t xml:space="preserve"> respectively, </w:t>
      </w:r>
      <w:r w:rsidR="006D31FD" w:rsidRPr="000C235B">
        <w:rPr>
          <w:sz w:val="22"/>
          <w:szCs w:val="22"/>
        </w:rPr>
        <w:t xml:space="preserve">average tariff </w:t>
      </w:r>
      <w:r w:rsidR="0086100A" w:rsidRPr="000C235B">
        <w:rPr>
          <w:sz w:val="22"/>
          <w:szCs w:val="22"/>
        </w:rPr>
        <w:t xml:space="preserve">barriers </w:t>
      </w:r>
      <w:r w:rsidR="005667E6" w:rsidRPr="000C235B">
        <w:rPr>
          <w:sz w:val="22"/>
          <w:szCs w:val="22"/>
        </w:rPr>
        <w:t>between regional groups can be as high as 16.5</w:t>
      </w:r>
      <w:r w:rsidR="000F4C18" w:rsidRPr="000C235B">
        <w:rPr>
          <w:sz w:val="22"/>
          <w:szCs w:val="22"/>
        </w:rPr>
        <w:t xml:space="preserve"> per cent</w:t>
      </w:r>
      <w:r w:rsidR="005667E6" w:rsidRPr="000C235B">
        <w:rPr>
          <w:sz w:val="22"/>
          <w:szCs w:val="22"/>
        </w:rPr>
        <w:t xml:space="preserve"> when countries of the </w:t>
      </w:r>
      <w:r w:rsidR="006D31FD" w:rsidRPr="000C235B">
        <w:rPr>
          <w:sz w:val="22"/>
          <w:szCs w:val="22"/>
        </w:rPr>
        <w:t>Southern-</w:t>
      </w:r>
      <w:r w:rsidR="005667E6" w:rsidRPr="000C235B">
        <w:rPr>
          <w:sz w:val="22"/>
          <w:szCs w:val="22"/>
        </w:rPr>
        <w:t xml:space="preserve">Eastern Africa FTA group </w:t>
      </w:r>
      <w:r w:rsidR="006D31FD" w:rsidRPr="000C235B">
        <w:rPr>
          <w:sz w:val="22"/>
          <w:szCs w:val="22"/>
        </w:rPr>
        <w:t xml:space="preserve">export to </w:t>
      </w:r>
      <w:r w:rsidR="00EE18BF" w:rsidRPr="000C235B">
        <w:rPr>
          <w:sz w:val="22"/>
          <w:szCs w:val="22"/>
        </w:rPr>
        <w:t xml:space="preserve">those </w:t>
      </w:r>
      <w:r w:rsidR="006D31FD" w:rsidRPr="000C235B">
        <w:rPr>
          <w:sz w:val="22"/>
          <w:szCs w:val="22"/>
        </w:rPr>
        <w:t xml:space="preserve">of the </w:t>
      </w:r>
      <w:r w:rsidR="005667E6" w:rsidRPr="000C235B">
        <w:rPr>
          <w:sz w:val="22"/>
          <w:szCs w:val="22"/>
        </w:rPr>
        <w:t>Northern-Central-Western Africa FTA group</w:t>
      </w:r>
      <w:r w:rsidR="00804890" w:rsidRPr="000C235B">
        <w:rPr>
          <w:sz w:val="22"/>
          <w:szCs w:val="22"/>
        </w:rPr>
        <w:t xml:space="preserve"> (</w:t>
      </w:r>
      <w:r w:rsidR="00FB0D3B">
        <w:rPr>
          <w:sz w:val="22"/>
          <w:szCs w:val="22"/>
        </w:rPr>
        <w:t>figure</w:t>
      </w:r>
      <w:r w:rsidR="00804890" w:rsidRPr="000C235B">
        <w:rPr>
          <w:sz w:val="22"/>
          <w:szCs w:val="22"/>
        </w:rPr>
        <w:t xml:space="preserve"> </w:t>
      </w:r>
      <w:r w:rsidR="002D4E63" w:rsidRPr="000C235B">
        <w:rPr>
          <w:sz w:val="22"/>
          <w:szCs w:val="22"/>
        </w:rPr>
        <w:t>8.</w:t>
      </w:r>
      <w:r w:rsidR="00804890" w:rsidRPr="000C235B">
        <w:rPr>
          <w:sz w:val="22"/>
          <w:szCs w:val="22"/>
        </w:rPr>
        <w:t>1)</w:t>
      </w:r>
      <w:r w:rsidR="006D31FD" w:rsidRPr="000C235B">
        <w:rPr>
          <w:sz w:val="22"/>
          <w:szCs w:val="22"/>
        </w:rPr>
        <w:t xml:space="preserve">. This </w:t>
      </w:r>
      <w:r w:rsidR="00EE18BF" w:rsidRPr="000C235B">
        <w:rPr>
          <w:sz w:val="22"/>
          <w:szCs w:val="22"/>
        </w:rPr>
        <w:t xml:space="preserve">lends support </w:t>
      </w:r>
      <w:r w:rsidR="006D31FD" w:rsidRPr="000C235B">
        <w:rPr>
          <w:sz w:val="22"/>
          <w:szCs w:val="22"/>
        </w:rPr>
        <w:t xml:space="preserve">to </w:t>
      </w:r>
      <w:r w:rsidR="00EE18BF" w:rsidRPr="000C235B">
        <w:rPr>
          <w:sz w:val="22"/>
          <w:szCs w:val="22"/>
        </w:rPr>
        <w:t xml:space="preserve">the </w:t>
      </w:r>
      <w:r w:rsidR="002D4E63" w:rsidRPr="000C235B">
        <w:rPr>
          <w:sz w:val="22"/>
          <w:szCs w:val="22"/>
        </w:rPr>
        <w:t>case for</w:t>
      </w:r>
      <w:r w:rsidR="00EE18BF" w:rsidRPr="000C235B">
        <w:rPr>
          <w:sz w:val="22"/>
          <w:szCs w:val="22"/>
        </w:rPr>
        <w:t xml:space="preserve"> </w:t>
      </w:r>
      <w:r w:rsidR="00804890" w:rsidRPr="000C235B">
        <w:rPr>
          <w:sz w:val="22"/>
          <w:szCs w:val="22"/>
        </w:rPr>
        <w:t xml:space="preserve">a </w:t>
      </w:r>
      <w:r w:rsidR="00EE18BF" w:rsidRPr="000C235B">
        <w:rPr>
          <w:sz w:val="22"/>
          <w:szCs w:val="22"/>
        </w:rPr>
        <w:t>C</w:t>
      </w:r>
      <w:r w:rsidR="006D31FD" w:rsidRPr="000C235B">
        <w:rPr>
          <w:sz w:val="22"/>
          <w:szCs w:val="22"/>
        </w:rPr>
        <w:t xml:space="preserve">FTA </w:t>
      </w:r>
      <w:r w:rsidR="002D4E63" w:rsidRPr="000C235B">
        <w:rPr>
          <w:sz w:val="22"/>
          <w:szCs w:val="22"/>
        </w:rPr>
        <w:t xml:space="preserve">that </w:t>
      </w:r>
      <w:r w:rsidR="0002171A" w:rsidRPr="000C235B">
        <w:rPr>
          <w:sz w:val="22"/>
          <w:szCs w:val="22"/>
        </w:rPr>
        <w:t>would fully remove</w:t>
      </w:r>
      <w:r w:rsidR="00804890" w:rsidRPr="000C235B">
        <w:rPr>
          <w:sz w:val="22"/>
          <w:szCs w:val="22"/>
        </w:rPr>
        <w:t xml:space="preserve"> trade barriers within the continent</w:t>
      </w:r>
      <w:r w:rsidR="00EE18BF" w:rsidRPr="000C235B">
        <w:rPr>
          <w:sz w:val="22"/>
          <w:szCs w:val="22"/>
        </w:rPr>
        <w:t xml:space="preserve">, </w:t>
      </w:r>
      <w:r w:rsidR="00804890" w:rsidRPr="000C235B">
        <w:rPr>
          <w:sz w:val="22"/>
          <w:szCs w:val="22"/>
        </w:rPr>
        <w:t>hence avoiding</w:t>
      </w:r>
      <w:r w:rsidR="006D31FD" w:rsidRPr="000C235B">
        <w:rPr>
          <w:sz w:val="22"/>
          <w:szCs w:val="22"/>
        </w:rPr>
        <w:t xml:space="preserve"> </w:t>
      </w:r>
      <w:r w:rsidR="008C0804" w:rsidRPr="000C235B">
        <w:rPr>
          <w:sz w:val="22"/>
          <w:szCs w:val="22"/>
        </w:rPr>
        <w:t xml:space="preserve">large tariff distortions </w:t>
      </w:r>
      <w:r w:rsidR="0002171A" w:rsidRPr="000C235B">
        <w:rPr>
          <w:sz w:val="22"/>
          <w:szCs w:val="22"/>
        </w:rPr>
        <w:t>between specific group</w:t>
      </w:r>
      <w:r w:rsidR="007D4861" w:rsidRPr="000C235B">
        <w:rPr>
          <w:sz w:val="22"/>
          <w:szCs w:val="22"/>
        </w:rPr>
        <w:t>s</w:t>
      </w:r>
      <w:r w:rsidR="0002171A" w:rsidRPr="000C235B">
        <w:rPr>
          <w:sz w:val="22"/>
          <w:szCs w:val="22"/>
        </w:rPr>
        <w:t xml:space="preserve"> of countries</w:t>
      </w:r>
      <w:r w:rsidR="008C0804" w:rsidRPr="000C235B">
        <w:rPr>
          <w:sz w:val="22"/>
          <w:szCs w:val="22"/>
        </w:rPr>
        <w:t xml:space="preserve">. However, the elimination of duties will </w:t>
      </w:r>
      <w:r w:rsidR="006F17E9" w:rsidRPr="000C235B">
        <w:rPr>
          <w:sz w:val="22"/>
          <w:szCs w:val="22"/>
        </w:rPr>
        <w:t xml:space="preserve">inevitably </w:t>
      </w:r>
      <w:r w:rsidR="008C0804" w:rsidRPr="000C235B">
        <w:rPr>
          <w:sz w:val="22"/>
          <w:szCs w:val="22"/>
        </w:rPr>
        <w:t xml:space="preserve">result </w:t>
      </w:r>
      <w:r w:rsidR="006F17E9" w:rsidRPr="000C235B">
        <w:rPr>
          <w:sz w:val="22"/>
          <w:szCs w:val="22"/>
        </w:rPr>
        <w:t>in</w:t>
      </w:r>
      <w:r w:rsidR="008C0804" w:rsidRPr="000C235B">
        <w:rPr>
          <w:sz w:val="22"/>
          <w:szCs w:val="22"/>
        </w:rPr>
        <w:t xml:space="preserve"> tariff revenue</w:t>
      </w:r>
      <w:r w:rsidR="00EE18BF" w:rsidRPr="000C235B">
        <w:rPr>
          <w:sz w:val="22"/>
          <w:szCs w:val="22"/>
        </w:rPr>
        <w:t xml:space="preserve"> losses.</w:t>
      </w:r>
      <w:r w:rsidR="008C0804" w:rsidRPr="000C235B">
        <w:rPr>
          <w:sz w:val="22"/>
          <w:szCs w:val="22"/>
        </w:rPr>
        <w:t xml:space="preserve"> In that respect, trade reforms will be beneficial for African countries</w:t>
      </w:r>
      <w:r w:rsidR="00D9616B" w:rsidRPr="000C235B">
        <w:rPr>
          <w:sz w:val="22"/>
          <w:szCs w:val="22"/>
        </w:rPr>
        <w:t xml:space="preserve"> overall</w:t>
      </w:r>
      <w:r w:rsidR="008C0804" w:rsidRPr="000C235B">
        <w:rPr>
          <w:sz w:val="22"/>
          <w:szCs w:val="22"/>
        </w:rPr>
        <w:t xml:space="preserve"> </w:t>
      </w:r>
      <w:r w:rsidR="002D4E63" w:rsidRPr="000C235B">
        <w:rPr>
          <w:sz w:val="22"/>
          <w:szCs w:val="22"/>
        </w:rPr>
        <w:t xml:space="preserve">only </w:t>
      </w:r>
      <w:r w:rsidR="008C0804" w:rsidRPr="000C235B">
        <w:rPr>
          <w:sz w:val="22"/>
          <w:szCs w:val="22"/>
        </w:rPr>
        <w:t xml:space="preserve">if </w:t>
      </w:r>
      <w:r w:rsidR="002D4E63" w:rsidRPr="000C235B">
        <w:rPr>
          <w:sz w:val="22"/>
          <w:szCs w:val="22"/>
        </w:rPr>
        <w:t xml:space="preserve">other gains more than compensate for </w:t>
      </w:r>
      <w:r w:rsidR="008C0804" w:rsidRPr="000C235B">
        <w:rPr>
          <w:sz w:val="22"/>
          <w:szCs w:val="22"/>
        </w:rPr>
        <w:t>tariff revenue losses</w:t>
      </w:r>
      <w:r w:rsidR="002D4E63" w:rsidRPr="000C235B">
        <w:rPr>
          <w:sz w:val="22"/>
          <w:szCs w:val="22"/>
        </w:rPr>
        <w:t>.</w:t>
      </w:r>
      <w:r w:rsidR="008C0804" w:rsidRPr="000C235B">
        <w:rPr>
          <w:sz w:val="22"/>
          <w:szCs w:val="22"/>
        </w:rPr>
        <w:t xml:space="preserve"> </w:t>
      </w:r>
    </w:p>
    <w:p w:rsidR="00804890" w:rsidRPr="0061584B" w:rsidRDefault="00C14774" w:rsidP="009C49DE">
      <w:pPr>
        <w:pStyle w:val="Tableheading"/>
        <w:rPr>
          <w:i/>
          <w:highlight w:val="yellow"/>
        </w:rPr>
      </w:pPr>
      <w:r>
        <w:br w:type="page"/>
      </w:r>
      <w:r w:rsidR="00804890" w:rsidRPr="0061584B">
        <w:t xml:space="preserve">Figure </w:t>
      </w:r>
      <w:r w:rsidR="006436C9" w:rsidRPr="0061584B">
        <w:t>8.</w:t>
      </w:r>
      <w:r w:rsidR="00804890" w:rsidRPr="0061584B">
        <w:t xml:space="preserve">1: </w:t>
      </w:r>
      <w:r w:rsidR="00EE7040" w:rsidRPr="0061584B">
        <w:tab/>
      </w:r>
      <w:r w:rsidR="00804890" w:rsidRPr="0061584B">
        <w:t xml:space="preserve">Average protection structures in </w:t>
      </w:r>
      <w:smartTag w:uri="urn:schemas-microsoft-com:office:smarttags" w:element="place">
        <w:r w:rsidR="00804890" w:rsidRPr="0061584B">
          <w:t>Africa</w:t>
        </w:r>
      </w:smartTag>
    </w:p>
    <w:p w:rsidR="0086100A" w:rsidRPr="0061584B" w:rsidRDefault="0022527C" w:rsidP="006D5982">
      <w:pPr>
        <w:spacing w:line="360" w:lineRule="auto"/>
        <w:rPr>
          <w:highlight w:val="yellow"/>
        </w:rPr>
      </w:pPr>
      <w:r w:rsidRPr="0022527C">
        <w:rPr>
          <w:highlight w:val="yellow"/>
        </w:rPr>
        <w:pict>
          <v:shape id="Object 1" o:spid="_x0000_i1033" type="#_x0000_t75" style="width:438pt;height:253.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">
            <v:imagedata r:id="rId15" o:title="" croptop="-2058f" cropbottom="-174f" cropright="-37f"/>
            <o:lock v:ext="edit" aspectratio="f"/>
          </v:shape>
        </w:pict>
      </w:r>
    </w:p>
    <w:p w:rsidR="00804890" w:rsidRPr="000C235B" w:rsidRDefault="00804890" w:rsidP="006D5982">
      <w:pPr>
        <w:pStyle w:val="Source"/>
        <w:spacing w:line="360" w:lineRule="auto"/>
        <w:rPr>
          <w:sz w:val="20"/>
          <w:szCs w:val="20"/>
        </w:rPr>
      </w:pPr>
      <w:r w:rsidRPr="000C235B">
        <w:rPr>
          <w:sz w:val="20"/>
          <w:szCs w:val="20"/>
        </w:rPr>
        <w:t>Source: Authors’ calculations based on TASTE software and MAcMap</w:t>
      </w:r>
      <w:r w:rsidR="00814FE7">
        <w:rPr>
          <w:sz w:val="20"/>
          <w:szCs w:val="20"/>
        </w:rPr>
        <w:t>-</w:t>
      </w:r>
      <w:r w:rsidRPr="000C235B">
        <w:rPr>
          <w:sz w:val="20"/>
          <w:szCs w:val="20"/>
        </w:rPr>
        <w:t>HS6v2 database</w:t>
      </w:r>
      <w:r w:rsidR="00334680" w:rsidRPr="000C235B">
        <w:rPr>
          <w:sz w:val="20"/>
          <w:szCs w:val="20"/>
        </w:rPr>
        <w:t>.</w:t>
      </w:r>
    </w:p>
    <w:p w:rsidR="00804890" w:rsidRPr="0061584B" w:rsidRDefault="00804890" w:rsidP="006D5982">
      <w:pPr>
        <w:spacing w:line="360" w:lineRule="auto"/>
        <w:rPr>
          <w:highlight w:val="yellow"/>
        </w:rPr>
      </w:pPr>
    </w:p>
    <w:p w:rsidR="007F6304" w:rsidRDefault="007F6304" w:rsidP="006D5982">
      <w:pPr>
        <w:pStyle w:val="Heading2"/>
        <w:spacing w:line="360" w:lineRule="auto"/>
      </w:pPr>
      <w:r>
        <w:t>8.4.1</w:t>
      </w:r>
      <w:r>
        <w:tab/>
        <w:t>Exports</w:t>
      </w:r>
    </w:p>
    <w:p w:rsidR="00D73287" w:rsidRPr="000C235B" w:rsidRDefault="0002171A" w:rsidP="006D5982">
      <w:pPr>
        <w:spacing w:line="360" w:lineRule="auto"/>
        <w:rPr>
          <w:sz w:val="22"/>
          <w:szCs w:val="22"/>
        </w:rPr>
      </w:pPr>
      <w:r w:rsidRPr="000C235B">
        <w:rPr>
          <w:sz w:val="22"/>
          <w:szCs w:val="22"/>
        </w:rPr>
        <w:t>Resul</w:t>
      </w:r>
      <w:r w:rsidR="006F17E9" w:rsidRPr="000C235B">
        <w:rPr>
          <w:sz w:val="22"/>
          <w:szCs w:val="22"/>
        </w:rPr>
        <w:t>ts from the simulations confirm</w:t>
      </w:r>
      <w:r w:rsidRPr="000C235B">
        <w:rPr>
          <w:sz w:val="22"/>
          <w:szCs w:val="22"/>
        </w:rPr>
        <w:t xml:space="preserve"> that, a</w:t>
      </w:r>
      <w:r w:rsidR="00D73287" w:rsidRPr="000C235B">
        <w:rPr>
          <w:sz w:val="22"/>
          <w:szCs w:val="22"/>
        </w:rPr>
        <w:t xml:space="preserve">t the global level, total exports </w:t>
      </w:r>
      <w:r w:rsidR="001C1E29" w:rsidRPr="000C235B">
        <w:rPr>
          <w:sz w:val="22"/>
          <w:szCs w:val="22"/>
        </w:rPr>
        <w:t>of</w:t>
      </w:r>
      <w:r w:rsidR="00D73287" w:rsidRPr="000C235B">
        <w:rPr>
          <w:sz w:val="22"/>
          <w:szCs w:val="22"/>
        </w:rPr>
        <w:t xml:space="preserve"> African countries would increase with the establishment of </w:t>
      </w:r>
      <w:r w:rsidR="00260B6A" w:rsidRPr="000C235B">
        <w:rPr>
          <w:sz w:val="22"/>
          <w:szCs w:val="22"/>
        </w:rPr>
        <w:t xml:space="preserve">larger </w:t>
      </w:r>
      <w:r w:rsidR="00C72896" w:rsidRPr="000C235B">
        <w:rPr>
          <w:sz w:val="22"/>
          <w:szCs w:val="22"/>
        </w:rPr>
        <w:t>FTAs</w:t>
      </w:r>
      <w:r w:rsidR="00D73287" w:rsidRPr="000C235B">
        <w:rPr>
          <w:sz w:val="22"/>
          <w:szCs w:val="22"/>
        </w:rPr>
        <w:t xml:space="preserve">. </w:t>
      </w:r>
      <w:r w:rsidR="001C1E29" w:rsidRPr="000C235B">
        <w:rPr>
          <w:sz w:val="22"/>
          <w:szCs w:val="22"/>
        </w:rPr>
        <w:t xml:space="preserve">While the formation of </w:t>
      </w:r>
      <w:r w:rsidR="00260B6A" w:rsidRPr="000C235B">
        <w:rPr>
          <w:sz w:val="22"/>
          <w:szCs w:val="22"/>
        </w:rPr>
        <w:t xml:space="preserve">two </w:t>
      </w:r>
      <w:r w:rsidR="00A51B31" w:rsidRPr="000C235B">
        <w:rPr>
          <w:sz w:val="22"/>
          <w:szCs w:val="22"/>
        </w:rPr>
        <w:t>r</w:t>
      </w:r>
      <w:r w:rsidR="001C1E29" w:rsidRPr="000C235B">
        <w:rPr>
          <w:sz w:val="22"/>
          <w:szCs w:val="22"/>
        </w:rPr>
        <w:t xml:space="preserve">egional FTAs would increase Africa’s export </w:t>
      </w:r>
      <w:r w:rsidR="00163433" w:rsidRPr="000C235B">
        <w:rPr>
          <w:sz w:val="22"/>
          <w:szCs w:val="22"/>
        </w:rPr>
        <w:t xml:space="preserve">to the world </w:t>
      </w:r>
      <w:r w:rsidR="001C1E29" w:rsidRPr="000C235B">
        <w:rPr>
          <w:sz w:val="22"/>
          <w:szCs w:val="22"/>
        </w:rPr>
        <w:t>by 2.</w:t>
      </w:r>
      <w:r w:rsidR="00F04EE8" w:rsidRPr="000C235B">
        <w:rPr>
          <w:sz w:val="22"/>
          <w:szCs w:val="22"/>
        </w:rPr>
        <w:t>8</w:t>
      </w:r>
      <w:r w:rsidR="000F4C18" w:rsidRPr="000C235B">
        <w:rPr>
          <w:sz w:val="22"/>
          <w:szCs w:val="22"/>
        </w:rPr>
        <w:t xml:space="preserve"> per cent</w:t>
      </w:r>
      <w:r w:rsidR="001C1E29" w:rsidRPr="000C235B">
        <w:rPr>
          <w:sz w:val="22"/>
          <w:szCs w:val="22"/>
        </w:rPr>
        <w:t xml:space="preserve"> (or </w:t>
      </w:r>
      <w:r w:rsidR="00814FE7">
        <w:rPr>
          <w:sz w:val="22"/>
          <w:szCs w:val="22"/>
        </w:rPr>
        <w:t>US</w:t>
      </w:r>
      <w:r w:rsidR="001C1E29" w:rsidRPr="000C235B">
        <w:rPr>
          <w:sz w:val="22"/>
          <w:szCs w:val="22"/>
        </w:rPr>
        <w:t>$17.</w:t>
      </w:r>
      <w:r w:rsidR="00F04EE8" w:rsidRPr="000C235B">
        <w:rPr>
          <w:sz w:val="22"/>
          <w:szCs w:val="22"/>
        </w:rPr>
        <w:t>6</w:t>
      </w:r>
      <w:r w:rsidR="001C1E29" w:rsidRPr="000C235B">
        <w:rPr>
          <w:sz w:val="22"/>
          <w:szCs w:val="22"/>
        </w:rPr>
        <w:t xml:space="preserve"> billion) </w:t>
      </w:r>
      <w:r w:rsidR="00A51B31" w:rsidRPr="000C235B">
        <w:rPr>
          <w:sz w:val="22"/>
          <w:szCs w:val="22"/>
        </w:rPr>
        <w:t>in 2022 over</w:t>
      </w:r>
      <w:r w:rsidR="001C1E29" w:rsidRPr="000C235B">
        <w:rPr>
          <w:sz w:val="22"/>
          <w:szCs w:val="22"/>
        </w:rPr>
        <w:t xml:space="preserve"> the baseline scenario</w:t>
      </w:r>
      <w:r w:rsidR="009B2963" w:rsidRPr="000C235B">
        <w:rPr>
          <w:sz w:val="22"/>
          <w:szCs w:val="22"/>
        </w:rPr>
        <w:t>, which assumes no change from 2004 trade policies</w:t>
      </w:r>
      <w:r w:rsidR="00A51B31" w:rsidRPr="000C235B">
        <w:rPr>
          <w:sz w:val="22"/>
          <w:szCs w:val="22"/>
        </w:rPr>
        <w:t>,</w:t>
      </w:r>
      <w:r w:rsidR="00001102" w:rsidRPr="000C235B">
        <w:rPr>
          <w:rStyle w:val="FootnoteReference"/>
          <w:sz w:val="22"/>
          <w:szCs w:val="22"/>
        </w:rPr>
        <w:footnoteReference w:id="28"/>
      </w:r>
      <w:r w:rsidR="001C1E29" w:rsidRPr="000C235B">
        <w:rPr>
          <w:sz w:val="22"/>
          <w:szCs w:val="22"/>
        </w:rPr>
        <w:t xml:space="preserve"> the creation of a </w:t>
      </w:r>
      <w:r w:rsidR="00C72896" w:rsidRPr="000C235B">
        <w:rPr>
          <w:sz w:val="22"/>
          <w:szCs w:val="22"/>
        </w:rPr>
        <w:t xml:space="preserve">CFTA </w:t>
      </w:r>
      <w:r w:rsidR="001C1E29" w:rsidRPr="000C235B">
        <w:rPr>
          <w:sz w:val="22"/>
          <w:szCs w:val="22"/>
        </w:rPr>
        <w:t xml:space="preserve">would </w:t>
      </w:r>
      <w:r w:rsidR="00C72896" w:rsidRPr="000C235B">
        <w:rPr>
          <w:sz w:val="22"/>
          <w:szCs w:val="22"/>
        </w:rPr>
        <w:t xml:space="preserve">increase </w:t>
      </w:r>
      <w:r w:rsidR="00A51B31" w:rsidRPr="000C235B">
        <w:rPr>
          <w:sz w:val="22"/>
          <w:szCs w:val="22"/>
        </w:rPr>
        <w:t>Africa’s exports by</w:t>
      </w:r>
      <w:r w:rsidR="00C72896" w:rsidRPr="000C235B">
        <w:rPr>
          <w:sz w:val="22"/>
          <w:szCs w:val="22"/>
        </w:rPr>
        <w:t xml:space="preserve"> </w:t>
      </w:r>
      <w:r w:rsidR="00F04EE8" w:rsidRPr="000C235B">
        <w:rPr>
          <w:sz w:val="22"/>
          <w:szCs w:val="22"/>
        </w:rPr>
        <w:t>4</w:t>
      </w:r>
      <w:r w:rsidR="001C1E29" w:rsidRPr="000C235B">
        <w:rPr>
          <w:sz w:val="22"/>
          <w:szCs w:val="22"/>
        </w:rPr>
        <w:t>.</w:t>
      </w:r>
      <w:r w:rsidR="00F04EE8" w:rsidRPr="000C235B">
        <w:rPr>
          <w:sz w:val="22"/>
          <w:szCs w:val="22"/>
        </w:rPr>
        <w:t>0</w:t>
      </w:r>
      <w:r w:rsidR="000F4C18" w:rsidRPr="000C235B">
        <w:rPr>
          <w:sz w:val="22"/>
          <w:szCs w:val="22"/>
        </w:rPr>
        <w:t xml:space="preserve"> per cent</w:t>
      </w:r>
      <w:r w:rsidR="001C1E29" w:rsidRPr="000C235B">
        <w:rPr>
          <w:sz w:val="22"/>
          <w:szCs w:val="22"/>
        </w:rPr>
        <w:t xml:space="preserve"> (or $2</w:t>
      </w:r>
      <w:r w:rsidR="00F04EE8" w:rsidRPr="000C235B">
        <w:rPr>
          <w:sz w:val="22"/>
          <w:szCs w:val="22"/>
        </w:rPr>
        <w:t>5</w:t>
      </w:r>
      <w:r w:rsidR="001C1E29" w:rsidRPr="000C235B">
        <w:rPr>
          <w:sz w:val="22"/>
          <w:szCs w:val="22"/>
        </w:rPr>
        <w:t>.</w:t>
      </w:r>
      <w:r w:rsidR="00F04EE8" w:rsidRPr="000C235B">
        <w:rPr>
          <w:sz w:val="22"/>
          <w:szCs w:val="22"/>
        </w:rPr>
        <w:t>3</w:t>
      </w:r>
      <w:r w:rsidR="001C1E29" w:rsidRPr="000C235B">
        <w:rPr>
          <w:sz w:val="22"/>
          <w:szCs w:val="22"/>
        </w:rPr>
        <w:t xml:space="preserve"> billion). Other regions</w:t>
      </w:r>
      <w:r w:rsidR="0097183B" w:rsidRPr="000C235B">
        <w:rPr>
          <w:sz w:val="22"/>
          <w:szCs w:val="22"/>
        </w:rPr>
        <w:t xml:space="preserve"> that do </w:t>
      </w:r>
      <w:r w:rsidR="001C1E29" w:rsidRPr="000C235B">
        <w:rPr>
          <w:sz w:val="22"/>
          <w:szCs w:val="22"/>
        </w:rPr>
        <w:t>not implement any trade reform</w:t>
      </w:r>
      <w:r w:rsidR="0097183B" w:rsidRPr="000C235B">
        <w:rPr>
          <w:sz w:val="22"/>
          <w:szCs w:val="22"/>
        </w:rPr>
        <w:t>s</w:t>
      </w:r>
      <w:r w:rsidR="001C1E29" w:rsidRPr="000C235B">
        <w:rPr>
          <w:sz w:val="22"/>
          <w:szCs w:val="22"/>
        </w:rPr>
        <w:t xml:space="preserve"> would see their exports slightly reduced (</w:t>
      </w:r>
      <w:r w:rsidR="00FB0D3B">
        <w:rPr>
          <w:sz w:val="22"/>
          <w:szCs w:val="22"/>
        </w:rPr>
        <w:t>table</w:t>
      </w:r>
      <w:r w:rsidR="001C1E29" w:rsidRPr="000C235B">
        <w:rPr>
          <w:sz w:val="22"/>
          <w:szCs w:val="22"/>
        </w:rPr>
        <w:t xml:space="preserve"> </w:t>
      </w:r>
      <w:r w:rsidR="00227F2F" w:rsidRPr="000C235B">
        <w:rPr>
          <w:sz w:val="22"/>
          <w:szCs w:val="22"/>
        </w:rPr>
        <w:t>8.</w:t>
      </w:r>
      <w:r w:rsidR="004554CB" w:rsidRPr="000C235B">
        <w:rPr>
          <w:sz w:val="22"/>
          <w:szCs w:val="22"/>
        </w:rPr>
        <w:t>9</w:t>
      </w:r>
      <w:r w:rsidR="001C1E29" w:rsidRPr="000C235B">
        <w:rPr>
          <w:sz w:val="22"/>
          <w:szCs w:val="22"/>
        </w:rPr>
        <w:t>).</w:t>
      </w:r>
      <w:r w:rsidR="006D5CBB" w:rsidRPr="000C235B">
        <w:rPr>
          <w:sz w:val="22"/>
          <w:szCs w:val="22"/>
        </w:rPr>
        <w:t xml:space="preserve"> </w:t>
      </w:r>
    </w:p>
    <w:p w:rsidR="001C1E29" w:rsidRPr="0061584B" w:rsidRDefault="000C235B" w:rsidP="009C49DE">
      <w:pPr>
        <w:pStyle w:val="Tableheading"/>
      </w:pPr>
      <w:r>
        <w:br w:type="page"/>
      </w:r>
      <w:r w:rsidR="001C1E29" w:rsidRPr="0061584B">
        <w:t xml:space="preserve">Table </w:t>
      </w:r>
      <w:r w:rsidR="006436C9" w:rsidRPr="0061584B">
        <w:t>8.</w:t>
      </w:r>
      <w:r w:rsidR="004554CB" w:rsidRPr="0061584B">
        <w:t>9</w:t>
      </w:r>
      <w:r w:rsidR="001C1E29" w:rsidRPr="0061584B">
        <w:t xml:space="preserve">: </w:t>
      </w:r>
      <w:r w:rsidR="00EE7040" w:rsidRPr="0061584B">
        <w:tab/>
      </w:r>
      <w:r w:rsidR="001C1E29" w:rsidRPr="0061584B">
        <w:t xml:space="preserve">Total export volumes by main region – </w:t>
      </w:r>
      <w:r w:rsidR="001C1817" w:rsidRPr="0061584B">
        <w:t xml:space="preserve">percentage </w:t>
      </w:r>
      <w:r w:rsidR="006A6186" w:rsidRPr="0061584B">
        <w:t>and value c</w:t>
      </w:r>
      <w:r w:rsidR="001C1E29" w:rsidRPr="0061584B">
        <w:t xml:space="preserve">hanges compared </w:t>
      </w:r>
      <w:r w:rsidR="00C10B50">
        <w:t xml:space="preserve">with </w:t>
      </w:r>
      <w:r w:rsidR="001C1E29" w:rsidRPr="0061584B">
        <w:t>the baseline scenario</w:t>
      </w:r>
      <w:r w:rsidR="00BC5919">
        <w:t xml:space="preserve">, </w:t>
      </w:r>
      <w:r w:rsidR="001C1E29" w:rsidRPr="0061584B">
        <w:t xml:space="preserve">2022 </w:t>
      </w:r>
    </w:p>
    <w:p w:rsidR="001C1E29" w:rsidRDefault="00F04EE8" w:rsidP="006D5982">
      <w:pPr>
        <w:spacing w:line="360" w:lineRule="auto"/>
      </w:pPr>
      <w:r w:rsidRPr="0061584B">
        <w:t xml:space="preserve"> </w:t>
      </w:r>
    </w:p>
    <w:p w:rsidR="007B130E" w:rsidRPr="0061584B" w:rsidRDefault="00601585" w:rsidP="007B130E">
      <w:pPr>
        <w:spacing w:line="360" w:lineRule="auto"/>
        <w:ind w:firstLine="0"/>
        <w:jc w:val="center"/>
      </w:pPr>
      <w:r w:rsidRPr="00601585">
        <w:pict>
          <v:shape id="_x0000_i1034" type="#_x0000_t75" style="width:381.75pt;height:126.75pt">
            <v:imagedata r:id="rId16" o:title=""/>
          </v:shape>
        </w:pict>
      </w:r>
    </w:p>
    <w:p w:rsidR="004607C8" w:rsidRPr="000C235B" w:rsidRDefault="004607C8" w:rsidP="006D5982">
      <w:pPr>
        <w:pStyle w:val="Source"/>
        <w:spacing w:line="360" w:lineRule="auto"/>
        <w:rPr>
          <w:sz w:val="20"/>
          <w:szCs w:val="20"/>
        </w:rPr>
      </w:pPr>
      <w:r w:rsidRPr="000C235B">
        <w:rPr>
          <w:sz w:val="20"/>
          <w:szCs w:val="20"/>
        </w:rPr>
        <w:t>Source: Authors’ calculations based on MIRAGE model</w:t>
      </w:r>
      <w:r w:rsidR="00334680" w:rsidRPr="000C235B">
        <w:rPr>
          <w:sz w:val="20"/>
          <w:szCs w:val="20"/>
        </w:rPr>
        <w:t>.</w:t>
      </w:r>
    </w:p>
    <w:p w:rsidR="001C1E29" w:rsidRPr="0061584B" w:rsidRDefault="001C1E29" w:rsidP="006D5982">
      <w:pPr>
        <w:spacing w:line="360" w:lineRule="auto"/>
      </w:pPr>
    </w:p>
    <w:p w:rsidR="00B77AD6" w:rsidRPr="000C235B" w:rsidRDefault="00AC0667" w:rsidP="006D5982">
      <w:pPr>
        <w:spacing w:line="360" w:lineRule="auto"/>
        <w:rPr>
          <w:sz w:val="22"/>
          <w:szCs w:val="22"/>
        </w:rPr>
      </w:pPr>
      <w:r w:rsidRPr="000C235B">
        <w:rPr>
          <w:sz w:val="22"/>
          <w:szCs w:val="22"/>
        </w:rPr>
        <w:t xml:space="preserve">As shown </w:t>
      </w:r>
      <w:r w:rsidR="0097183B" w:rsidRPr="000C235B">
        <w:rPr>
          <w:sz w:val="22"/>
          <w:szCs w:val="22"/>
        </w:rPr>
        <w:t xml:space="preserve">in </w:t>
      </w:r>
      <w:r w:rsidR="00B03E3F" w:rsidRPr="000C235B">
        <w:rPr>
          <w:sz w:val="22"/>
          <w:szCs w:val="22"/>
        </w:rPr>
        <w:t>table</w:t>
      </w:r>
      <w:r w:rsidRPr="000C235B">
        <w:rPr>
          <w:sz w:val="22"/>
          <w:szCs w:val="22"/>
        </w:rPr>
        <w:t xml:space="preserve"> </w:t>
      </w:r>
      <w:r w:rsidR="006436C9" w:rsidRPr="000C235B">
        <w:rPr>
          <w:sz w:val="22"/>
          <w:szCs w:val="22"/>
        </w:rPr>
        <w:t>8.</w:t>
      </w:r>
      <w:r w:rsidRPr="000C235B">
        <w:rPr>
          <w:sz w:val="22"/>
          <w:szCs w:val="22"/>
        </w:rPr>
        <w:t>1</w:t>
      </w:r>
      <w:r w:rsidR="004554CB" w:rsidRPr="000C235B">
        <w:rPr>
          <w:sz w:val="22"/>
          <w:szCs w:val="22"/>
        </w:rPr>
        <w:t>0</w:t>
      </w:r>
      <w:r w:rsidRPr="000C235B">
        <w:rPr>
          <w:sz w:val="22"/>
          <w:szCs w:val="22"/>
        </w:rPr>
        <w:t xml:space="preserve">, </w:t>
      </w:r>
      <w:r w:rsidR="005A0170" w:rsidRPr="000C235B">
        <w:rPr>
          <w:sz w:val="22"/>
          <w:szCs w:val="22"/>
        </w:rPr>
        <w:t xml:space="preserve">total </w:t>
      </w:r>
      <w:r w:rsidR="00B77AD6" w:rsidRPr="000C235B">
        <w:rPr>
          <w:sz w:val="22"/>
          <w:szCs w:val="22"/>
        </w:rPr>
        <w:t xml:space="preserve">African exports of agriculture and food products </w:t>
      </w:r>
      <w:r w:rsidR="009B2963" w:rsidRPr="000C235B">
        <w:rPr>
          <w:sz w:val="22"/>
          <w:szCs w:val="22"/>
        </w:rPr>
        <w:t xml:space="preserve">to the world </w:t>
      </w:r>
      <w:r w:rsidR="00B77AD6" w:rsidRPr="000C235B">
        <w:rPr>
          <w:sz w:val="22"/>
          <w:szCs w:val="22"/>
        </w:rPr>
        <w:t xml:space="preserve">would be the </w:t>
      </w:r>
      <w:r w:rsidR="00A107AA" w:rsidRPr="000C235B">
        <w:rPr>
          <w:sz w:val="22"/>
          <w:szCs w:val="22"/>
        </w:rPr>
        <w:t>most stimulated by the trade reforms</w:t>
      </w:r>
      <w:r w:rsidR="009B2963" w:rsidRPr="000C235B">
        <w:rPr>
          <w:sz w:val="22"/>
          <w:szCs w:val="22"/>
        </w:rPr>
        <w:t>,</w:t>
      </w:r>
      <w:r w:rsidR="00A107AA" w:rsidRPr="000C235B">
        <w:rPr>
          <w:sz w:val="22"/>
          <w:szCs w:val="22"/>
        </w:rPr>
        <w:t xml:space="preserve"> with </w:t>
      </w:r>
      <w:r w:rsidR="00225D97" w:rsidRPr="000C235B">
        <w:rPr>
          <w:sz w:val="22"/>
          <w:szCs w:val="22"/>
        </w:rPr>
        <w:t>7</w:t>
      </w:r>
      <w:r w:rsidR="00A107AA" w:rsidRPr="000C235B">
        <w:rPr>
          <w:sz w:val="22"/>
          <w:szCs w:val="22"/>
        </w:rPr>
        <w:t>.2</w:t>
      </w:r>
      <w:r w:rsidR="000F4C18" w:rsidRPr="000C235B">
        <w:rPr>
          <w:sz w:val="22"/>
          <w:szCs w:val="22"/>
        </w:rPr>
        <w:t xml:space="preserve"> per cent</w:t>
      </w:r>
      <w:r w:rsidR="00A107AA" w:rsidRPr="000C235B">
        <w:rPr>
          <w:sz w:val="22"/>
          <w:szCs w:val="22"/>
        </w:rPr>
        <w:t xml:space="preserve"> (or $3.</w:t>
      </w:r>
      <w:r w:rsidR="00225D97" w:rsidRPr="000C235B">
        <w:rPr>
          <w:sz w:val="22"/>
          <w:szCs w:val="22"/>
        </w:rPr>
        <w:t xml:space="preserve">8 </w:t>
      </w:r>
      <w:r w:rsidR="00A107AA" w:rsidRPr="000C235B">
        <w:rPr>
          <w:sz w:val="22"/>
          <w:szCs w:val="22"/>
        </w:rPr>
        <w:t xml:space="preserve">billion) </w:t>
      </w:r>
      <w:r w:rsidR="00814FE7" w:rsidRPr="000C235B">
        <w:rPr>
          <w:sz w:val="22"/>
          <w:szCs w:val="22"/>
        </w:rPr>
        <w:t xml:space="preserve">more exports in the case of regional FTAs </w:t>
      </w:r>
      <w:r w:rsidR="00A107AA" w:rsidRPr="000C235B">
        <w:rPr>
          <w:sz w:val="22"/>
          <w:szCs w:val="22"/>
        </w:rPr>
        <w:t xml:space="preserve">and </w:t>
      </w:r>
      <w:r w:rsidR="00225D97" w:rsidRPr="000C235B">
        <w:rPr>
          <w:sz w:val="22"/>
          <w:szCs w:val="22"/>
        </w:rPr>
        <w:t>9</w:t>
      </w:r>
      <w:r w:rsidR="00A107AA" w:rsidRPr="000C235B">
        <w:rPr>
          <w:sz w:val="22"/>
          <w:szCs w:val="22"/>
        </w:rPr>
        <w:t>.</w:t>
      </w:r>
      <w:r w:rsidR="00225D97" w:rsidRPr="000C235B">
        <w:rPr>
          <w:sz w:val="22"/>
          <w:szCs w:val="22"/>
        </w:rPr>
        <w:t>4</w:t>
      </w:r>
      <w:r w:rsidR="000F4C18" w:rsidRPr="000C235B">
        <w:rPr>
          <w:sz w:val="22"/>
          <w:szCs w:val="22"/>
        </w:rPr>
        <w:t xml:space="preserve"> per cent</w:t>
      </w:r>
      <w:r w:rsidR="00A107AA" w:rsidRPr="000C235B">
        <w:rPr>
          <w:sz w:val="22"/>
          <w:szCs w:val="22"/>
        </w:rPr>
        <w:t xml:space="preserve"> (or $</w:t>
      </w:r>
      <w:r w:rsidR="00225D97" w:rsidRPr="000C235B">
        <w:rPr>
          <w:sz w:val="22"/>
          <w:szCs w:val="22"/>
        </w:rPr>
        <w:t>5</w:t>
      </w:r>
      <w:r w:rsidR="00A107AA" w:rsidRPr="000C235B">
        <w:rPr>
          <w:sz w:val="22"/>
          <w:szCs w:val="22"/>
        </w:rPr>
        <w:t>.</w:t>
      </w:r>
      <w:r w:rsidR="00225D97" w:rsidRPr="000C235B">
        <w:rPr>
          <w:sz w:val="22"/>
          <w:szCs w:val="22"/>
        </w:rPr>
        <w:t xml:space="preserve">0 </w:t>
      </w:r>
      <w:r w:rsidR="00A107AA" w:rsidRPr="000C235B">
        <w:rPr>
          <w:sz w:val="22"/>
          <w:szCs w:val="22"/>
        </w:rPr>
        <w:t xml:space="preserve">billion) </w:t>
      </w:r>
      <w:r w:rsidR="0067018F" w:rsidRPr="000C235B">
        <w:rPr>
          <w:sz w:val="22"/>
          <w:szCs w:val="22"/>
        </w:rPr>
        <w:t>more exports</w:t>
      </w:r>
      <w:r w:rsidR="009B2963" w:rsidRPr="000C235B">
        <w:rPr>
          <w:sz w:val="22"/>
          <w:szCs w:val="22"/>
        </w:rPr>
        <w:t xml:space="preserve"> </w:t>
      </w:r>
      <w:r w:rsidR="00814FE7">
        <w:rPr>
          <w:sz w:val="22"/>
          <w:szCs w:val="22"/>
        </w:rPr>
        <w:t>in the case of</w:t>
      </w:r>
      <w:r w:rsidR="00A107AA" w:rsidRPr="000C235B">
        <w:rPr>
          <w:sz w:val="22"/>
          <w:szCs w:val="22"/>
        </w:rPr>
        <w:t xml:space="preserve"> </w:t>
      </w:r>
      <w:r w:rsidR="009B2963" w:rsidRPr="000C235B">
        <w:rPr>
          <w:sz w:val="22"/>
          <w:szCs w:val="22"/>
        </w:rPr>
        <w:t>the c</w:t>
      </w:r>
      <w:r w:rsidR="00A107AA" w:rsidRPr="000C235B">
        <w:rPr>
          <w:sz w:val="22"/>
          <w:szCs w:val="22"/>
        </w:rPr>
        <w:t>ontinental FTA</w:t>
      </w:r>
      <w:r w:rsidR="00814FE7">
        <w:rPr>
          <w:sz w:val="22"/>
          <w:szCs w:val="22"/>
        </w:rPr>
        <w:t xml:space="preserve"> </w:t>
      </w:r>
      <w:r w:rsidR="00814FE7" w:rsidRPr="000C235B">
        <w:rPr>
          <w:sz w:val="22"/>
          <w:szCs w:val="22"/>
        </w:rPr>
        <w:t>in 2022</w:t>
      </w:r>
      <w:r w:rsidR="00A107AA" w:rsidRPr="000C235B">
        <w:rPr>
          <w:sz w:val="22"/>
          <w:szCs w:val="22"/>
        </w:rPr>
        <w:t xml:space="preserve"> </w:t>
      </w:r>
      <w:r w:rsidR="0067018F" w:rsidRPr="000C235B">
        <w:rPr>
          <w:sz w:val="22"/>
          <w:szCs w:val="22"/>
        </w:rPr>
        <w:t xml:space="preserve">than under </w:t>
      </w:r>
      <w:r w:rsidR="00A107AA" w:rsidRPr="000C235B">
        <w:rPr>
          <w:sz w:val="22"/>
          <w:szCs w:val="22"/>
        </w:rPr>
        <w:t>the reference scenario</w:t>
      </w:r>
      <w:r w:rsidR="009B5A66">
        <w:rPr>
          <w:sz w:val="22"/>
          <w:szCs w:val="22"/>
        </w:rPr>
        <w:t>.</w:t>
      </w:r>
      <w:r w:rsidR="00A107AA" w:rsidRPr="000C235B">
        <w:rPr>
          <w:sz w:val="22"/>
          <w:szCs w:val="22"/>
        </w:rPr>
        <w:t xml:space="preserve"> In fact, exports in all agricultural and food sectors would increase with the implemented reforms.</w:t>
      </w:r>
      <w:r w:rsidR="00066EE1" w:rsidRPr="000C235B">
        <w:rPr>
          <w:sz w:val="22"/>
          <w:szCs w:val="22"/>
        </w:rPr>
        <w:t xml:space="preserve"> </w:t>
      </w:r>
      <w:r w:rsidR="0097183B" w:rsidRPr="000C235B">
        <w:rPr>
          <w:sz w:val="22"/>
          <w:szCs w:val="22"/>
        </w:rPr>
        <w:t xml:space="preserve">The </w:t>
      </w:r>
      <w:r w:rsidR="0067018F" w:rsidRPr="000C235B">
        <w:rPr>
          <w:sz w:val="22"/>
          <w:szCs w:val="22"/>
        </w:rPr>
        <w:t xml:space="preserve">greatest </w:t>
      </w:r>
      <w:r w:rsidR="007A7A8E" w:rsidRPr="000C235B">
        <w:rPr>
          <w:sz w:val="22"/>
          <w:szCs w:val="22"/>
        </w:rPr>
        <w:t xml:space="preserve">increase </w:t>
      </w:r>
      <w:r w:rsidR="009B5A66">
        <w:rPr>
          <w:sz w:val="22"/>
          <w:szCs w:val="22"/>
        </w:rPr>
        <w:t>would occur</w:t>
      </w:r>
      <w:r w:rsidR="0097183B" w:rsidRPr="000C235B">
        <w:rPr>
          <w:sz w:val="22"/>
          <w:szCs w:val="22"/>
        </w:rPr>
        <w:t xml:space="preserve"> </w:t>
      </w:r>
      <w:r w:rsidR="007A7A8E" w:rsidRPr="000C235B">
        <w:rPr>
          <w:sz w:val="22"/>
          <w:szCs w:val="22"/>
        </w:rPr>
        <w:t>in sectors such as wheat, cereals, sug</w:t>
      </w:r>
      <w:r w:rsidR="009650B4" w:rsidRPr="000C235B">
        <w:rPr>
          <w:sz w:val="22"/>
          <w:szCs w:val="22"/>
        </w:rPr>
        <w:t>ar, meat</w:t>
      </w:r>
      <w:r w:rsidR="00225D97" w:rsidRPr="000C235B">
        <w:rPr>
          <w:sz w:val="22"/>
          <w:szCs w:val="22"/>
        </w:rPr>
        <w:t>, milk and dairy</w:t>
      </w:r>
      <w:r w:rsidR="0067018F" w:rsidRPr="000C235B">
        <w:rPr>
          <w:sz w:val="22"/>
          <w:szCs w:val="22"/>
        </w:rPr>
        <w:t>,</w:t>
      </w:r>
      <w:r w:rsidR="009650B4" w:rsidRPr="000C235B">
        <w:rPr>
          <w:sz w:val="22"/>
          <w:szCs w:val="22"/>
        </w:rPr>
        <w:t xml:space="preserve"> and other food products</w:t>
      </w:r>
      <w:r w:rsidR="007A7A8E" w:rsidRPr="000C235B">
        <w:rPr>
          <w:sz w:val="22"/>
          <w:szCs w:val="22"/>
        </w:rPr>
        <w:t xml:space="preserve">. </w:t>
      </w:r>
      <w:r w:rsidR="00E16CEA" w:rsidRPr="000C235B">
        <w:rPr>
          <w:sz w:val="22"/>
          <w:szCs w:val="22"/>
        </w:rPr>
        <w:t xml:space="preserve">Industrial exports at the continental level also </w:t>
      </w:r>
      <w:r w:rsidR="00E16CEA">
        <w:rPr>
          <w:sz w:val="22"/>
          <w:szCs w:val="22"/>
        </w:rPr>
        <w:t xml:space="preserve">would </w:t>
      </w:r>
      <w:r w:rsidR="00E16CEA" w:rsidRPr="000C235B">
        <w:rPr>
          <w:sz w:val="22"/>
          <w:szCs w:val="22"/>
        </w:rPr>
        <w:t>increase</w:t>
      </w:r>
      <w:r w:rsidR="00E16CEA">
        <w:rPr>
          <w:sz w:val="22"/>
          <w:szCs w:val="22"/>
        </w:rPr>
        <w:t>,</w:t>
      </w:r>
      <w:r w:rsidR="00E16CEA" w:rsidRPr="000C235B">
        <w:rPr>
          <w:sz w:val="22"/>
          <w:szCs w:val="22"/>
        </w:rPr>
        <w:t xml:space="preserve"> by 3.2 per cent (or $14.4 billion) when Regional FTAs </w:t>
      </w:r>
      <w:r w:rsidR="00E16CEA">
        <w:rPr>
          <w:sz w:val="22"/>
          <w:szCs w:val="22"/>
        </w:rPr>
        <w:t>are established</w:t>
      </w:r>
      <w:r w:rsidR="00A250E4">
        <w:rPr>
          <w:sz w:val="22"/>
          <w:szCs w:val="22"/>
        </w:rPr>
        <w:t>,</w:t>
      </w:r>
      <w:r w:rsidR="00E16CEA">
        <w:rPr>
          <w:sz w:val="22"/>
          <w:szCs w:val="22"/>
        </w:rPr>
        <w:t xml:space="preserve"> or</w:t>
      </w:r>
      <w:r w:rsidR="00E16CEA" w:rsidRPr="000C235B">
        <w:rPr>
          <w:sz w:val="22"/>
          <w:szCs w:val="22"/>
        </w:rPr>
        <w:t xml:space="preserve"> 4.7 per cent (or $21.1 billion) </w:t>
      </w:r>
      <w:r w:rsidR="00E16CEA">
        <w:rPr>
          <w:sz w:val="22"/>
          <w:szCs w:val="22"/>
        </w:rPr>
        <w:t xml:space="preserve">with </w:t>
      </w:r>
      <w:r w:rsidR="00E16CEA" w:rsidRPr="000C235B">
        <w:rPr>
          <w:sz w:val="22"/>
          <w:szCs w:val="22"/>
        </w:rPr>
        <w:t>a CFTA</w:t>
      </w:r>
      <w:r w:rsidR="0018636B">
        <w:rPr>
          <w:sz w:val="22"/>
          <w:szCs w:val="22"/>
        </w:rPr>
        <w:t>,</w:t>
      </w:r>
      <w:r w:rsidR="00E16CEA">
        <w:rPr>
          <w:sz w:val="22"/>
          <w:szCs w:val="22"/>
        </w:rPr>
        <w:t>,</w:t>
      </w:r>
      <w:r w:rsidR="00E16CEA" w:rsidRPr="000C235B">
        <w:rPr>
          <w:rStyle w:val="FootnoteReference"/>
          <w:sz w:val="22"/>
          <w:szCs w:val="22"/>
        </w:rPr>
        <w:footnoteReference w:id="29"/>
      </w:r>
      <w:r w:rsidR="00E16CEA" w:rsidRPr="000C235B">
        <w:rPr>
          <w:sz w:val="22"/>
          <w:szCs w:val="22"/>
        </w:rPr>
        <w:t xml:space="preserve"> thanks to significant increases in textile and apparel and in other manufactured products (</w:t>
      </w:r>
      <w:r w:rsidR="00A250E4">
        <w:rPr>
          <w:sz w:val="22"/>
          <w:szCs w:val="22"/>
        </w:rPr>
        <w:t xml:space="preserve">annex </w:t>
      </w:r>
      <w:r w:rsidR="00E16CEA">
        <w:rPr>
          <w:sz w:val="22"/>
          <w:szCs w:val="22"/>
        </w:rPr>
        <w:t>tables</w:t>
      </w:r>
      <w:r w:rsidR="00E16CEA" w:rsidRPr="000C235B">
        <w:rPr>
          <w:sz w:val="22"/>
          <w:szCs w:val="22"/>
        </w:rPr>
        <w:t xml:space="preserve"> </w:t>
      </w:r>
      <w:r w:rsidR="00E16CEA">
        <w:rPr>
          <w:sz w:val="22"/>
          <w:szCs w:val="22"/>
        </w:rPr>
        <w:t>A</w:t>
      </w:r>
      <w:r w:rsidR="00E16CEA" w:rsidRPr="000C235B">
        <w:rPr>
          <w:sz w:val="22"/>
          <w:szCs w:val="22"/>
        </w:rPr>
        <w:t xml:space="preserve">8.8 and </w:t>
      </w:r>
      <w:r w:rsidR="00E16CEA">
        <w:rPr>
          <w:sz w:val="22"/>
          <w:szCs w:val="22"/>
        </w:rPr>
        <w:t>A</w:t>
      </w:r>
      <w:r w:rsidR="00E16CEA" w:rsidRPr="000C235B">
        <w:rPr>
          <w:sz w:val="22"/>
          <w:szCs w:val="22"/>
        </w:rPr>
        <w:t xml:space="preserve">8.9). </w:t>
      </w:r>
      <w:r w:rsidR="00066EE1" w:rsidRPr="000C235B">
        <w:rPr>
          <w:sz w:val="22"/>
          <w:szCs w:val="22"/>
        </w:rPr>
        <w:t xml:space="preserve">Services </w:t>
      </w:r>
      <w:r w:rsidR="0097183B" w:rsidRPr="000C235B">
        <w:rPr>
          <w:sz w:val="22"/>
          <w:szCs w:val="22"/>
        </w:rPr>
        <w:t>exports</w:t>
      </w:r>
      <w:r w:rsidR="00C919FC" w:rsidRPr="000C235B">
        <w:rPr>
          <w:sz w:val="22"/>
          <w:szCs w:val="22"/>
        </w:rPr>
        <w:t xml:space="preserve"> from </w:t>
      </w:r>
      <w:smartTag w:uri="urn:schemas-microsoft-com:office:smarttags" w:element="place">
        <w:r w:rsidR="00C919FC" w:rsidRPr="000C235B">
          <w:rPr>
            <w:sz w:val="22"/>
            <w:szCs w:val="22"/>
          </w:rPr>
          <w:t>Africa</w:t>
        </w:r>
      </w:smartTag>
      <w:r w:rsidR="00C919FC" w:rsidRPr="000C235B">
        <w:rPr>
          <w:sz w:val="22"/>
          <w:szCs w:val="22"/>
        </w:rPr>
        <w:t xml:space="preserve"> </w:t>
      </w:r>
      <w:r w:rsidR="00D90B64" w:rsidRPr="000C235B">
        <w:rPr>
          <w:sz w:val="22"/>
          <w:szCs w:val="22"/>
        </w:rPr>
        <w:t>experience a trade diversion effect</w:t>
      </w:r>
      <w:r w:rsidR="00F230ED" w:rsidRPr="000C235B">
        <w:rPr>
          <w:sz w:val="22"/>
          <w:szCs w:val="22"/>
        </w:rPr>
        <w:t xml:space="preserve"> at the global level. Indeed,</w:t>
      </w:r>
      <w:r w:rsidR="00D90B64" w:rsidRPr="000C235B">
        <w:rPr>
          <w:sz w:val="22"/>
          <w:szCs w:val="22"/>
        </w:rPr>
        <w:t xml:space="preserve"> </w:t>
      </w:r>
      <w:r w:rsidR="00F230ED" w:rsidRPr="000C235B">
        <w:rPr>
          <w:sz w:val="22"/>
          <w:szCs w:val="22"/>
        </w:rPr>
        <w:t xml:space="preserve">although the trade reforms </w:t>
      </w:r>
      <w:r w:rsidR="00BC5919" w:rsidRPr="000C235B">
        <w:rPr>
          <w:sz w:val="22"/>
          <w:szCs w:val="22"/>
        </w:rPr>
        <w:t>increase</w:t>
      </w:r>
      <w:r w:rsidR="00D90B64" w:rsidRPr="000C235B">
        <w:rPr>
          <w:sz w:val="22"/>
          <w:szCs w:val="22"/>
        </w:rPr>
        <w:t xml:space="preserve"> trade in services within </w:t>
      </w:r>
      <w:smartTag w:uri="urn:schemas-microsoft-com:office:smarttags" w:element="place">
        <w:r w:rsidR="00D90B64" w:rsidRPr="000C235B">
          <w:rPr>
            <w:sz w:val="22"/>
            <w:szCs w:val="22"/>
          </w:rPr>
          <w:t>Africa</w:t>
        </w:r>
      </w:smartTag>
      <w:r w:rsidR="00F230ED" w:rsidRPr="000C235B">
        <w:rPr>
          <w:sz w:val="22"/>
          <w:szCs w:val="22"/>
        </w:rPr>
        <w:t xml:space="preserve">, </w:t>
      </w:r>
      <w:r w:rsidR="009713D0" w:rsidRPr="000C235B">
        <w:rPr>
          <w:sz w:val="22"/>
          <w:szCs w:val="22"/>
        </w:rPr>
        <w:t xml:space="preserve">African exports of services to the rest of the world </w:t>
      </w:r>
      <w:r w:rsidR="00D90B64" w:rsidRPr="000C235B">
        <w:rPr>
          <w:sz w:val="22"/>
          <w:szCs w:val="22"/>
        </w:rPr>
        <w:t xml:space="preserve">decrease </w:t>
      </w:r>
      <w:r w:rsidR="009713D0" w:rsidRPr="000C235B">
        <w:rPr>
          <w:sz w:val="22"/>
          <w:szCs w:val="22"/>
        </w:rPr>
        <w:t>more than the intra-</w:t>
      </w:r>
      <w:r w:rsidR="00BC5919" w:rsidRPr="000C235B">
        <w:rPr>
          <w:sz w:val="22"/>
          <w:szCs w:val="22"/>
        </w:rPr>
        <w:t>African trade</w:t>
      </w:r>
      <w:r w:rsidR="009713D0" w:rsidRPr="000C235B">
        <w:rPr>
          <w:sz w:val="22"/>
          <w:szCs w:val="22"/>
        </w:rPr>
        <w:t xml:space="preserve"> increase</w:t>
      </w:r>
      <w:r w:rsidR="009B5A66">
        <w:rPr>
          <w:sz w:val="22"/>
          <w:szCs w:val="22"/>
        </w:rPr>
        <w:t>s</w:t>
      </w:r>
      <w:r w:rsidR="00D90B64" w:rsidRPr="000C235B">
        <w:rPr>
          <w:sz w:val="22"/>
          <w:szCs w:val="22"/>
        </w:rPr>
        <w:t xml:space="preserve">. </w:t>
      </w:r>
      <w:r w:rsidR="00F230ED" w:rsidRPr="000C235B">
        <w:rPr>
          <w:sz w:val="22"/>
          <w:szCs w:val="22"/>
        </w:rPr>
        <w:t>This reflects the lack of reduction of trade barriers in services in the analy</w:t>
      </w:r>
      <w:r w:rsidR="00BC5919" w:rsidRPr="000C235B">
        <w:rPr>
          <w:sz w:val="22"/>
          <w:szCs w:val="22"/>
        </w:rPr>
        <w:t>s</w:t>
      </w:r>
      <w:r w:rsidR="00F230ED" w:rsidRPr="000C235B">
        <w:rPr>
          <w:sz w:val="22"/>
          <w:szCs w:val="22"/>
        </w:rPr>
        <w:t>ed scenario. Services trade makes up a relatively small share of total African trade</w:t>
      </w:r>
      <w:r w:rsidR="00B03E3F" w:rsidRPr="000C235B">
        <w:rPr>
          <w:sz w:val="22"/>
          <w:szCs w:val="22"/>
        </w:rPr>
        <w:t xml:space="preserve">. </w:t>
      </w:r>
      <w:r w:rsidR="00F67A29" w:rsidRPr="000C235B">
        <w:rPr>
          <w:sz w:val="22"/>
          <w:szCs w:val="22"/>
        </w:rPr>
        <w:t xml:space="preserve"> </w:t>
      </w:r>
    </w:p>
    <w:p w:rsidR="00A107AA" w:rsidRPr="0061584B" w:rsidRDefault="004554CB" w:rsidP="009B5A66">
      <w:pPr>
        <w:pStyle w:val="Tableheading"/>
        <w:ind w:left="1440" w:hanging="1440"/>
      </w:pPr>
      <w:r w:rsidRPr="0061584B">
        <w:t xml:space="preserve">Table </w:t>
      </w:r>
      <w:r w:rsidR="006436C9" w:rsidRPr="0061584B">
        <w:t>8.</w:t>
      </w:r>
      <w:r w:rsidRPr="0061584B">
        <w:t>10</w:t>
      </w:r>
      <w:r w:rsidR="00A107AA" w:rsidRPr="0061584B">
        <w:t xml:space="preserve">: </w:t>
      </w:r>
      <w:r w:rsidR="00EE7040" w:rsidRPr="0061584B">
        <w:tab/>
      </w:r>
      <w:smartTag w:uri="urn:schemas-microsoft-com:office:smarttags" w:element="place">
        <w:r w:rsidR="00A107AA" w:rsidRPr="0061584B">
          <w:t>Africa</w:t>
        </w:r>
      </w:smartTag>
      <w:r w:rsidR="00A107AA" w:rsidRPr="0061584B">
        <w:t xml:space="preserve">’s export volumes by </w:t>
      </w:r>
      <w:r w:rsidR="00422608" w:rsidRPr="0061584B">
        <w:t xml:space="preserve">agricultural and food </w:t>
      </w:r>
      <w:r w:rsidR="00A107AA" w:rsidRPr="0061584B">
        <w:t>sector</w:t>
      </w:r>
      <w:r w:rsidR="00F55305" w:rsidRPr="0061584B">
        <w:t>s</w:t>
      </w:r>
      <w:r w:rsidR="00A107AA" w:rsidRPr="0061584B">
        <w:t xml:space="preserve"> </w:t>
      </w:r>
      <w:r w:rsidR="00422608" w:rsidRPr="0061584B">
        <w:t xml:space="preserve">as well as main sectors </w:t>
      </w:r>
      <w:r w:rsidR="00A107AA" w:rsidRPr="0061584B">
        <w:t xml:space="preserve">– </w:t>
      </w:r>
      <w:r w:rsidR="001C1817" w:rsidRPr="0061584B">
        <w:t xml:space="preserve">percentage </w:t>
      </w:r>
      <w:r w:rsidR="006A6186" w:rsidRPr="0061584B">
        <w:t>c</w:t>
      </w:r>
      <w:r w:rsidR="00A107AA" w:rsidRPr="0061584B">
        <w:t xml:space="preserve">hanges compared </w:t>
      </w:r>
      <w:r w:rsidR="00BC5919">
        <w:t>with</w:t>
      </w:r>
      <w:r w:rsidR="00BC5919" w:rsidRPr="0061584B">
        <w:t xml:space="preserve"> </w:t>
      </w:r>
      <w:r w:rsidR="00A107AA" w:rsidRPr="0061584B">
        <w:t>the baseline scenario – 2022</w:t>
      </w:r>
    </w:p>
    <w:p w:rsidR="00A107AA" w:rsidRPr="005D1508" w:rsidRDefault="00225D97" w:rsidP="009B5A66">
      <w:pPr>
        <w:keepNext/>
        <w:spacing w:line="360" w:lineRule="auto"/>
      </w:pPr>
      <w:r w:rsidRPr="0061584B">
        <w:t xml:space="preserve"> </w:t>
      </w:r>
      <w:r w:rsidR="005D1508">
        <w:rPr>
          <w:b/>
        </w:rPr>
        <w:t>I</w:t>
      </w:r>
    </w:p>
    <w:p w:rsidR="007B130E" w:rsidRPr="00EA5D88" w:rsidRDefault="00EA5D88" w:rsidP="009B5A66">
      <w:pPr>
        <w:keepNext/>
        <w:spacing w:line="360" w:lineRule="auto"/>
        <w:ind w:firstLine="0"/>
        <w:jc w:val="center"/>
      </w:pPr>
      <w:r w:rsidRPr="00EA5D88">
        <w:t xml:space="preserve"> </w:t>
      </w:r>
      <w:r w:rsidRPr="00EA5D88">
        <w:pict>
          <v:shape id="_x0000_i1035" type="#_x0000_t75" style="width:334.5pt;height:204.75pt">
            <v:imagedata r:id="rId17" o:title=""/>
          </v:shape>
        </w:pict>
      </w:r>
    </w:p>
    <w:p w:rsidR="00A107AA" w:rsidRPr="000C235B" w:rsidRDefault="00A107AA" w:rsidP="006D5982">
      <w:pPr>
        <w:pStyle w:val="Source"/>
        <w:spacing w:line="360" w:lineRule="auto"/>
        <w:rPr>
          <w:sz w:val="20"/>
          <w:szCs w:val="20"/>
        </w:rPr>
      </w:pPr>
      <w:r w:rsidRPr="000C235B">
        <w:rPr>
          <w:sz w:val="20"/>
          <w:szCs w:val="20"/>
        </w:rPr>
        <w:t>Source: Authors’ calculations based on MIRAGE model</w:t>
      </w:r>
      <w:r w:rsidR="00334680" w:rsidRPr="000C235B">
        <w:rPr>
          <w:sz w:val="20"/>
          <w:szCs w:val="20"/>
        </w:rPr>
        <w:t>.</w:t>
      </w:r>
    </w:p>
    <w:p w:rsidR="00A107AA" w:rsidRPr="0061584B" w:rsidRDefault="00A107AA" w:rsidP="006D5982">
      <w:pPr>
        <w:spacing w:line="360" w:lineRule="auto"/>
      </w:pPr>
    </w:p>
    <w:p w:rsidR="0002171A" w:rsidRPr="000C235B" w:rsidRDefault="00644F2E" w:rsidP="006D5982">
      <w:pPr>
        <w:spacing w:line="360" w:lineRule="auto"/>
        <w:rPr>
          <w:sz w:val="22"/>
          <w:szCs w:val="22"/>
        </w:rPr>
      </w:pPr>
      <w:r w:rsidRPr="000C235B">
        <w:rPr>
          <w:sz w:val="22"/>
          <w:szCs w:val="22"/>
        </w:rPr>
        <w:t>T</w:t>
      </w:r>
      <w:r w:rsidR="005E4DEC" w:rsidRPr="000C235B">
        <w:rPr>
          <w:sz w:val="22"/>
          <w:szCs w:val="22"/>
        </w:rPr>
        <w:t xml:space="preserve">hese </w:t>
      </w:r>
      <w:r w:rsidR="00A94229" w:rsidRPr="000C235B">
        <w:rPr>
          <w:sz w:val="22"/>
          <w:szCs w:val="22"/>
        </w:rPr>
        <w:t xml:space="preserve">projected </w:t>
      </w:r>
      <w:r w:rsidR="005E4DEC" w:rsidRPr="000C235B">
        <w:rPr>
          <w:sz w:val="22"/>
          <w:szCs w:val="22"/>
        </w:rPr>
        <w:t xml:space="preserve">export variations </w:t>
      </w:r>
      <w:r w:rsidRPr="000C235B">
        <w:rPr>
          <w:sz w:val="22"/>
          <w:szCs w:val="22"/>
        </w:rPr>
        <w:t>denote that</w:t>
      </w:r>
      <w:r w:rsidR="005144F2" w:rsidRPr="000C235B">
        <w:rPr>
          <w:sz w:val="22"/>
          <w:szCs w:val="22"/>
        </w:rPr>
        <w:t xml:space="preserve"> </w:t>
      </w:r>
      <w:r w:rsidR="006D5CBB" w:rsidRPr="000C235B">
        <w:rPr>
          <w:sz w:val="22"/>
          <w:szCs w:val="22"/>
        </w:rPr>
        <w:t>the reforms would be largely trade</w:t>
      </w:r>
      <w:r w:rsidR="00A94229" w:rsidRPr="000C235B">
        <w:rPr>
          <w:sz w:val="22"/>
          <w:szCs w:val="22"/>
        </w:rPr>
        <w:t>-</w:t>
      </w:r>
      <w:r w:rsidR="00AF27A3" w:rsidRPr="000C235B">
        <w:rPr>
          <w:sz w:val="22"/>
          <w:szCs w:val="22"/>
        </w:rPr>
        <w:t>creati</w:t>
      </w:r>
      <w:r w:rsidR="00A94229" w:rsidRPr="000C235B">
        <w:rPr>
          <w:sz w:val="22"/>
          <w:szCs w:val="22"/>
        </w:rPr>
        <w:t>ng</w:t>
      </w:r>
      <w:r w:rsidR="006D5CBB" w:rsidRPr="000C235B">
        <w:rPr>
          <w:sz w:val="22"/>
          <w:szCs w:val="22"/>
        </w:rPr>
        <w:t xml:space="preserve"> for </w:t>
      </w:r>
      <w:smartTag w:uri="urn:schemas-microsoft-com:office:smarttags" w:element="place">
        <w:r w:rsidRPr="000C235B">
          <w:rPr>
            <w:sz w:val="22"/>
            <w:szCs w:val="22"/>
          </w:rPr>
          <w:t>Africa</w:t>
        </w:r>
      </w:smartTag>
      <w:r w:rsidR="006D5CBB" w:rsidRPr="000C235B">
        <w:rPr>
          <w:sz w:val="22"/>
          <w:szCs w:val="22"/>
        </w:rPr>
        <w:t xml:space="preserve">. Indeed, </w:t>
      </w:r>
      <w:r w:rsidR="00103341" w:rsidRPr="000C235B">
        <w:rPr>
          <w:sz w:val="22"/>
          <w:szCs w:val="22"/>
        </w:rPr>
        <w:t>trade</w:t>
      </w:r>
      <w:r w:rsidR="00DE13C3">
        <w:rPr>
          <w:sz w:val="22"/>
          <w:szCs w:val="22"/>
        </w:rPr>
        <w:t>-</w:t>
      </w:r>
      <w:r w:rsidR="00103341" w:rsidRPr="000C235B">
        <w:rPr>
          <w:sz w:val="22"/>
          <w:szCs w:val="22"/>
        </w:rPr>
        <w:t xml:space="preserve"> creation effects</w:t>
      </w:r>
      <w:r w:rsidR="00A94229" w:rsidRPr="000C235B">
        <w:rPr>
          <w:sz w:val="22"/>
          <w:szCs w:val="22"/>
        </w:rPr>
        <w:t xml:space="preserve"> would more than compensate for trade diversion effects.</w:t>
      </w:r>
      <w:r w:rsidR="00821E02" w:rsidRPr="000C235B">
        <w:rPr>
          <w:rFonts w:ascii="Calibri" w:eastAsia="Calibri" w:hAnsi="Calibri" w:cs="Calibri"/>
          <w:sz w:val="22"/>
          <w:szCs w:val="22"/>
          <w:vertAlign w:val="superscript"/>
        </w:rPr>
        <w:footnoteReference w:id="30"/>
      </w:r>
      <w:r w:rsidR="00D159EA" w:rsidRPr="000C235B">
        <w:rPr>
          <w:sz w:val="22"/>
          <w:szCs w:val="22"/>
        </w:rPr>
        <w:t xml:space="preserve"> R</w:t>
      </w:r>
      <w:r w:rsidR="00103341" w:rsidRPr="000C235B">
        <w:rPr>
          <w:sz w:val="22"/>
          <w:szCs w:val="22"/>
        </w:rPr>
        <w:t>eductions of</w:t>
      </w:r>
      <w:r w:rsidR="00C14D2C" w:rsidRPr="000C235B">
        <w:rPr>
          <w:sz w:val="22"/>
          <w:szCs w:val="22"/>
        </w:rPr>
        <w:t xml:space="preserve"> </w:t>
      </w:r>
      <w:r w:rsidR="006F17E9" w:rsidRPr="000C235B">
        <w:rPr>
          <w:sz w:val="22"/>
          <w:szCs w:val="22"/>
        </w:rPr>
        <w:t>African</w:t>
      </w:r>
      <w:r w:rsidR="00A828BF" w:rsidRPr="000C235B">
        <w:rPr>
          <w:sz w:val="22"/>
          <w:szCs w:val="22"/>
        </w:rPr>
        <w:t xml:space="preserve"> </w:t>
      </w:r>
      <w:r w:rsidR="00AA49B2" w:rsidRPr="000C235B">
        <w:rPr>
          <w:sz w:val="22"/>
          <w:szCs w:val="22"/>
        </w:rPr>
        <w:t>exports</w:t>
      </w:r>
      <w:r w:rsidR="00A828BF" w:rsidRPr="000C235B">
        <w:rPr>
          <w:sz w:val="22"/>
          <w:szCs w:val="22"/>
        </w:rPr>
        <w:t xml:space="preserve"> </w:t>
      </w:r>
      <w:r w:rsidR="00AA49B2" w:rsidRPr="000C235B">
        <w:rPr>
          <w:sz w:val="22"/>
          <w:szCs w:val="22"/>
        </w:rPr>
        <w:t>to</w:t>
      </w:r>
      <w:r w:rsidR="00103341" w:rsidRPr="000C235B">
        <w:rPr>
          <w:sz w:val="22"/>
          <w:szCs w:val="22"/>
        </w:rPr>
        <w:t xml:space="preserve"> </w:t>
      </w:r>
      <w:r w:rsidR="006D5CBB" w:rsidRPr="000C235B">
        <w:rPr>
          <w:sz w:val="22"/>
          <w:szCs w:val="22"/>
        </w:rPr>
        <w:t>non-African developing countries</w:t>
      </w:r>
      <w:r w:rsidR="00D159EA" w:rsidRPr="000C235B">
        <w:rPr>
          <w:rStyle w:val="FootnoteReference"/>
          <w:sz w:val="22"/>
          <w:szCs w:val="22"/>
        </w:rPr>
        <w:footnoteReference w:id="31"/>
      </w:r>
      <w:r w:rsidR="006D5CBB" w:rsidRPr="000C235B">
        <w:rPr>
          <w:sz w:val="22"/>
          <w:szCs w:val="22"/>
        </w:rPr>
        <w:t xml:space="preserve"> and </w:t>
      </w:r>
      <w:r w:rsidR="00AA49B2" w:rsidRPr="000C235B">
        <w:rPr>
          <w:sz w:val="22"/>
          <w:szCs w:val="22"/>
        </w:rPr>
        <w:t>to</w:t>
      </w:r>
      <w:r w:rsidR="00C14D2C" w:rsidRPr="000C235B">
        <w:rPr>
          <w:sz w:val="22"/>
          <w:szCs w:val="22"/>
        </w:rPr>
        <w:t xml:space="preserve"> </w:t>
      </w:r>
      <w:r w:rsidR="006D5CBB" w:rsidRPr="000C235B">
        <w:rPr>
          <w:sz w:val="22"/>
          <w:szCs w:val="22"/>
        </w:rPr>
        <w:t>developed countries</w:t>
      </w:r>
      <w:r w:rsidR="00D159EA" w:rsidRPr="000C235B">
        <w:rPr>
          <w:rStyle w:val="FootnoteReference"/>
          <w:sz w:val="22"/>
          <w:szCs w:val="22"/>
        </w:rPr>
        <w:footnoteReference w:id="32"/>
      </w:r>
      <w:r w:rsidR="006D5CBB" w:rsidRPr="000C235B">
        <w:rPr>
          <w:sz w:val="22"/>
          <w:szCs w:val="22"/>
        </w:rPr>
        <w:t xml:space="preserve"> </w:t>
      </w:r>
      <w:r w:rsidR="00D159EA" w:rsidRPr="000C235B">
        <w:rPr>
          <w:sz w:val="22"/>
          <w:szCs w:val="22"/>
        </w:rPr>
        <w:t xml:space="preserve">would be strongly offset </w:t>
      </w:r>
      <w:r w:rsidR="00AF27A3" w:rsidRPr="000C235B">
        <w:rPr>
          <w:sz w:val="22"/>
          <w:szCs w:val="22"/>
        </w:rPr>
        <w:t>by</w:t>
      </w:r>
      <w:r w:rsidR="00103341" w:rsidRPr="000C235B">
        <w:rPr>
          <w:sz w:val="22"/>
          <w:szCs w:val="22"/>
        </w:rPr>
        <w:t xml:space="preserve"> </w:t>
      </w:r>
      <w:r w:rsidRPr="000C235B">
        <w:rPr>
          <w:sz w:val="22"/>
          <w:szCs w:val="22"/>
        </w:rPr>
        <w:t xml:space="preserve">a rise in </w:t>
      </w:r>
      <w:r w:rsidR="006F17E9" w:rsidRPr="000C235B">
        <w:rPr>
          <w:sz w:val="22"/>
          <w:szCs w:val="22"/>
        </w:rPr>
        <w:t>African</w:t>
      </w:r>
      <w:r w:rsidR="00103341" w:rsidRPr="000C235B">
        <w:rPr>
          <w:sz w:val="22"/>
          <w:szCs w:val="22"/>
        </w:rPr>
        <w:t xml:space="preserve"> </w:t>
      </w:r>
      <w:r w:rsidR="00AA49B2" w:rsidRPr="000C235B">
        <w:rPr>
          <w:sz w:val="22"/>
          <w:szCs w:val="22"/>
        </w:rPr>
        <w:t>exports</w:t>
      </w:r>
      <w:r w:rsidR="00103341" w:rsidRPr="000C235B">
        <w:rPr>
          <w:sz w:val="22"/>
          <w:szCs w:val="22"/>
        </w:rPr>
        <w:t xml:space="preserve"> </w:t>
      </w:r>
      <w:r w:rsidRPr="000C235B">
        <w:rPr>
          <w:sz w:val="22"/>
          <w:szCs w:val="22"/>
        </w:rPr>
        <w:t>within</w:t>
      </w:r>
      <w:r w:rsidR="00103341" w:rsidRPr="000C235B">
        <w:rPr>
          <w:sz w:val="22"/>
          <w:szCs w:val="22"/>
        </w:rPr>
        <w:t xml:space="preserve"> the continent</w:t>
      </w:r>
      <w:r w:rsidR="00752F26" w:rsidRPr="000C235B">
        <w:rPr>
          <w:sz w:val="22"/>
          <w:szCs w:val="22"/>
        </w:rPr>
        <w:t xml:space="preserve"> </w:t>
      </w:r>
      <w:r w:rsidR="00C14D2C" w:rsidRPr="000C235B">
        <w:rPr>
          <w:sz w:val="22"/>
          <w:szCs w:val="22"/>
        </w:rPr>
        <w:t>(</w:t>
      </w:r>
      <w:r w:rsidR="00FB0D3B">
        <w:rPr>
          <w:sz w:val="22"/>
          <w:szCs w:val="22"/>
        </w:rPr>
        <w:t>figure</w:t>
      </w:r>
      <w:r w:rsidR="00C14D2C" w:rsidRPr="000C235B">
        <w:rPr>
          <w:sz w:val="22"/>
          <w:szCs w:val="22"/>
        </w:rPr>
        <w:t xml:space="preserve"> </w:t>
      </w:r>
      <w:r w:rsidR="008E578D" w:rsidRPr="000C235B">
        <w:rPr>
          <w:sz w:val="22"/>
          <w:szCs w:val="22"/>
        </w:rPr>
        <w:t>8.</w:t>
      </w:r>
      <w:r w:rsidR="00006E59" w:rsidRPr="000C235B">
        <w:rPr>
          <w:sz w:val="22"/>
          <w:szCs w:val="22"/>
        </w:rPr>
        <w:t>2</w:t>
      </w:r>
      <w:r w:rsidR="00B72149" w:rsidRPr="000C235B">
        <w:rPr>
          <w:sz w:val="22"/>
          <w:szCs w:val="22"/>
        </w:rPr>
        <w:t xml:space="preserve">). This would be true </w:t>
      </w:r>
      <w:r w:rsidR="0099694A" w:rsidRPr="000C235B">
        <w:rPr>
          <w:sz w:val="22"/>
          <w:szCs w:val="22"/>
        </w:rPr>
        <w:t xml:space="preserve">in </w:t>
      </w:r>
      <w:r w:rsidR="00B72149" w:rsidRPr="000C235B">
        <w:rPr>
          <w:sz w:val="22"/>
          <w:szCs w:val="22"/>
        </w:rPr>
        <w:t>agriculture and food as well as</w:t>
      </w:r>
      <w:r w:rsidR="00546BB0" w:rsidRPr="000C235B">
        <w:rPr>
          <w:sz w:val="22"/>
          <w:szCs w:val="22"/>
        </w:rPr>
        <w:t xml:space="preserve"> in</w:t>
      </w:r>
      <w:r w:rsidR="00B72149" w:rsidRPr="000C235B">
        <w:rPr>
          <w:sz w:val="22"/>
          <w:szCs w:val="22"/>
        </w:rPr>
        <w:t xml:space="preserve"> industrial sectors. </w:t>
      </w:r>
      <w:r w:rsidR="00BD5BCA" w:rsidRPr="000C235B">
        <w:rPr>
          <w:sz w:val="22"/>
          <w:szCs w:val="22"/>
        </w:rPr>
        <w:t>For services</w:t>
      </w:r>
      <w:r w:rsidRPr="000C235B">
        <w:rPr>
          <w:sz w:val="22"/>
          <w:szCs w:val="22"/>
        </w:rPr>
        <w:t>,</w:t>
      </w:r>
      <w:r w:rsidR="00BD5BCA" w:rsidRPr="000C235B">
        <w:rPr>
          <w:sz w:val="22"/>
          <w:szCs w:val="22"/>
        </w:rPr>
        <w:t xml:space="preserve"> however,</w:t>
      </w:r>
      <w:r w:rsidR="00D90B64" w:rsidRPr="000C235B">
        <w:rPr>
          <w:sz w:val="22"/>
          <w:szCs w:val="22"/>
        </w:rPr>
        <w:t xml:space="preserve"> as mentioned earlier, </w:t>
      </w:r>
      <w:r w:rsidRPr="000C235B">
        <w:rPr>
          <w:sz w:val="22"/>
          <w:szCs w:val="22"/>
        </w:rPr>
        <w:t xml:space="preserve">the </w:t>
      </w:r>
      <w:r w:rsidR="00546BB0" w:rsidRPr="000C235B">
        <w:rPr>
          <w:sz w:val="22"/>
          <w:szCs w:val="22"/>
        </w:rPr>
        <w:t xml:space="preserve">increase within </w:t>
      </w:r>
      <w:smartTag w:uri="urn:schemas-microsoft-com:office:smarttags" w:element="place">
        <w:r w:rsidR="00546BB0" w:rsidRPr="000C235B">
          <w:rPr>
            <w:sz w:val="22"/>
            <w:szCs w:val="22"/>
          </w:rPr>
          <w:t>Africa</w:t>
        </w:r>
      </w:smartTag>
      <w:r w:rsidR="00546BB0" w:rsidRPr="000C235B">
        <w:rPr>
          <w:sz w:val="22"/>
          <w:szCs w:val="22"/>
        </w:rPr>
        <w:t xml:space="preserve"> would not fully compensate for the </w:t>
      </w:r>
      <w:r w:rsidR="00BD5BCA" w:rsidRPr="000C235B">
        <w:rPr>
          <w:sz w:val="22"/>
          <w:szCs w:val="22"/>
        </w:rPr>
        <w:t>d</w:t>
      </w:r>
      <w:r w:rsidR="0099694A" w:rsidRPr="000C235B">
        <w:rPr>
          <w:sz w:val="22"/>
          <w:szCs w:val="22"/>
        </w:rPr>
        <w:t xml:space="preserve">ecrease </w:t>
      </w:r>
      <w:r w:rsidRPr="000C235B">
        <w:rPr>
          <w:sz w:val="22"/>
          <w:szCs w:val="22"/>
        </w:rPr>
        <w:t xml:space="preserve">in </w:t>
      </w:r>
      <w:r w:rsidR="0099694A" w:rsidRPr="000C235B">
        <w:rPr>
          <w:sz w:val="22"/>
          <w:szCs w:val="22"/>
        </w:rPr>
        <w:t xml:space="preserve">African exports </w:t>
      </w:r>
      <w:r w:rsidRPr="000C235B">
        <w:rPr>
          <w:sz w:val="22"/>
          <w:szCs w:val="22"/>
        </w:rPr>
        <w:t>to the external</w:t>
      </w:r>
      <w:r w:rsidR="009A3084" w:rsidRPr="000C235B">
        <w:rPr>
          <w:sz w:val="22"/>
          <w:szCs w:val="22"/>
        </w:rPr>
        <w:t xml:space="preserve"> partners</w:t>
      </w:r>
      <w:r w:rsidR="00160F81" w:rsidRPr="000C235B">
        <w:rPr>
          <w:sz w:val="22"/>
          <w:szCs w:val="22"/>
        </w:rPr>
        <w:t>.</w:t>
      </w:r>
      <w:r w:rsidR="003072C3" w:rsidRPr="000C235B">
        <w:rPr>
          <w:sz w:val="22"/>
          <w:szCs w:val="22"/>
        </w:rPr>
        <w:t xml:space="preserve"> </w:t>
      </w:r>
    </w:p>
    <w:p w:rsidR="004E34B3" w:rsidRPr="000C235B" w:rsidRDefault="002F0C4D" w:rsidP="006D5982">
      <w:pPr>
        <w:spacing w:line="360" w:lineRule="auto"/>
        <w:rPr>
          <w:sz w:val="22"/>
          <w:szCs w:val="22"/>
        </w:rPr>
      </w:pPr>
      <w:r w:rsidRPr="000C235B">
        <w:rPr>
          <w:sz w:val="22"/>
          <w:szCs w:val="22"/>
        </w:rPr>
        <w:t>Overall,</w:t>
      </w:r>
      <w:r w:rsidR="00644F2E" w:rsidRPr="000C235B">
        <w:rPr>
          <w:sz w:val="22"/>
          <w:szCs w:val="22"/>
        </w:rPr>
        <w:t xml:space="preserve"> the reforms </w:t>
      </w:r>
      <w:r w:rsidR="004E34B3" w:rsidRPr="000C235B">
        <w:rPr>
          <w:sz w:val="22"/>
          <w:szCs w:val="22"/>
        </w:rPr>
        <w:t>would considerably stimulate</w:t>
      </w:r>
      <w:r w:rsidR="00644F2E" w:rsidRPr="000C235B">
        <w:rPr>
          <w:sz w:val="22"/>
          <w:szCs w:val="22"/>
        </w:rPr>
        <w:t xml:space="preserve"> intra-African trad</w:t>
      </w:r>
      <w:r w:rsidR="008D2489" w:rsidRPr="000C235B">
        <w:rPr>
          <w:sz w:val="22"/>
          <w:szCs w:val="22"/>
        </w:rPr>
        <w:t>e</w:t>
      </w:r>
      <w:r w:rsidR="004E34B3" w:rsidRPr="000C235B">
        <w:rPr>
          <w:sz w:val="22"/>
          <w:szCs w:val="22"/>
        </w:rPr>
        <w:t xml:space="preserve">, increasing </w:t>
      </w:r>
      <w:r w:rsidRPr="000C235B">
        <w:rPr>
          <w:sz w:val="22"/>
          <w:szCs w:val="22"/>
        </w:rPr>
        <w:t xml:space="preserve">it </w:t>
      </w:r>
      <w:r w:rsidR="004E34B3" w:rsidRPr="000C235B">
        <w:rPr>
          <w:sz w:val="22"/>
          <w:szCs w:val="22"/>
        </w:rPr>
        <w:t xml:space="preserve">by </w:t>
      </w:r>
      <w:r w:rsidR="00722D83" w:rsidRPr="000C235B">
        <w:rPr>
          <w:sz w:val="22"/>
          <w:szCs w:val="22"/>
        </w:rPr>
        <w:t>35</w:t>
      </w:r>
      <w:r w:rsidR="004E34B3" w:rsidRPr="000C235B">
        <w:rPr>
          <w:sz w:val="22"/>
          <w:szCs w:val="22"/>
        </w:rPr>
        <w:t>.</w:t>
      </w:r>
      <w:r w:rsidR="00722D83" w:rsidRPr="000C235B">
        <w:rPr>
          <w:sz w:val="22"/>
          <w:szCs w:val="22"/>
        </w:rPr>
        <w:t>7</w:t>
      </w:r>
      <w:r w:rsidR="000F4C18" w:rsidRPr="000C235B">
        <w:rPr>
          <w:sz w:val="22"/>
          <w:szCs w:val="22"/>
        </w:rPr>
        <w:t xml:space="preserve"> per cent</w:t>
      </w:r>
      <w:r w:rsidR="004E34B3" w:rsidRPr="000C235B">
        <w:rPr>
          <w:sz w:val="22"/>
          <w:szCs w:val="22"/>
        </w:rPr>
        <w:t xml:space="preserve"> (or $23.</w:t>
      </w:r>
      <w:r w:rsidR="00722D83" w:rsidRPr="000C235B">
        <w:rPr>
          <w:sz w:val="22"/>
          <w:szCs w:val="22"/>
        </w:rPr>
        <w:t xml:space="preserve">6 </w:t>
      </w:r>
      <w:r w:rsidR="004E34B3" w:rsidRPr="000C235B">
        <w:rPr>
          <w:sz w:val="22"/>
          <w:szCs w:val="22"/>
        </w:rPr>
        <w:t xml:space="preserve">billion) </w:t>
      </w:r>
      <w:r w:rsidRPr="000C235B">
        <w:rPr>
          <w:sz w:val="22"/>
          <w:szCs w:val="22"/>
        </w:rPr>
        <w:t xml:space="preserve">with the establishment of regional FTAs </w:t>
      </w:r>
      <w:r w:rsidR="004E34B3" w:rsidRPr="000C235B">
        <w:rPr>
          <w:sz w:val="22"/>
          <w:szCs w:val="22"/>
        </w:rPr>
        <w:t xml:space="preserve">and </w:t>
      </w:r>
      <w:r w:rsidR="006A6186" w:rsidRPr="000C235B">
        <w:rPr>
          <w:sz w:val="22"/>
          <w:szCs w:val="22"/>
        </w:rPr>
        <w:t xml:space="preserve">by </w:t>
      </w:r>
      <w:r w:rsidR="00722D83" w:rsidRPr="000C235B">
        <w:rPr>
          <w:sz w:val="22"/>
          <w:szCs w:val="22"/>
        </w:rPr>
        <w:t>52</w:t>
      </w:r>
      <w:r w:rsidR="004E34B3" w:rsidRPr="000C235B">
        <w:rPr>
          <w:sz w:val="22"/>
          <w:szCs w:val="22"/>
        </w:rPr>
        <w:t>.</w:t>
      </w:r>
      <w:r w:rsidR="00722D83" w:rsidRPr="000C235B">
        <w:rPr>
          <w:sz w:val="22"/>
          <w:szCs w:val="22"/>
        </w:rPr>
        <w:t>3</w:t>
      </w:r>
      <w:r w:rsidR="000F4C18" w:rsidRPr="000C235B">
        <w:rPr>
          <w:sz w:val="22"/>
          <w:szCs w:val="22"/>
        </w:rPr>
        <w:t xml:space="preserve"> per cent</w:t>
      </w:r>
      <w:r w:rsidR="004E34B3" w:rsidRPr="000C235B">
        <w:rPr>
          <w:sz w:val="22"/>
          <w:szCs w:val="22"/>
        </w:rPr>
        <w:t xml:space="preserve"> (or $</w:t>
      </w:r>
      <w:r w:rsidR="00722D83" w:rsidRPr="000C235B">
        <w:rPr>
          <w:sz w:val="22"/>
          <w:szCs w:val="22"/>
        </w:rPr>
        <w:t>34</w:t>
      </w:r>
      <w:r w:rsidR="004E34B3" w:rsidRPr="000C235B">
        <w:rPr>
          <w:sz w:val="22"/>
          <w:szCs w:val="22"/>
        </w:rPr>
        <w:t>.</w:t>
      </w:r>
      <w:r w:rsidR="00722D83" w:rsidRPr="000C235B">
        <w:rPr>
          <w:sz w:val="22"/>
          <w:szCs w:val="22"/>
        </w:rPr>
        <w:t xml:space="preserve">6 </w:t>
      </w:r>
      <w:r w:rsidR="004E34B3" w:rsidRPr="000C235B">
        <w:rPr>
          <w:sz w:val="22"/>
          <w:szCs w:val="22"/>
        </w:rPr>
        <w:t>billion</w:t>
      </w:r>
      <w:r w:rsidR="001D5E12" w:rsidRPr="000C235B">
        <w:rPr>
          <w:sz w:val="22"/>
          <w:szCs w:val="22"/>
        </w:rPr>
        <w:t xml:space="preserve">) </w:t>
      </w:r>
      <w:r w:rsidRPr="000C235B">
        <w:rPr>
          <w:sz w:val="22"/>
          <w:szCs w:val="22"/>
        </w:rPr>
        <w:t xml:space="preserve">under </w:t>
      </w:r>
      <w:r w:rsidR="00FB5F20" w:rsidRPr="000C235B">
        <w:rPr>
          <w:sz w:val="22"/>
          <w:szCs w:val="22"/>
        </w:rPr>
        <w:t>a</w:t>
      </w:r>
      <w:r w:rsidR="004E34B3" w:rsidRPr="000C235B">
        <w:rPr>
          <w:sz w:val="22"/>
          <w:szCs w:val="22"/>
        </w:rPr>
        <w:t xml:space="preserve"> </w:t>
      </w:r>
      <w:r w:rsidR="008D2489" w:rsidRPr="000C235B">
        <w:rPr>
          <w:sz w:val="22"/>
          <w:szCs w:val="22"/>
        </w:rPr>
        <w:t>C</w:t>
      </w:r>
      <w:r w:rsidR="004E34B3" w:rsidRPr="000C235B">
        <w:rPr>
          <w:sz w:val="22"/>
          <w:szCs w:val="22"/>
        </w:rPr>
        <w:t>FTA,</w:t>
      </w:r>
      <w:r w:rsidR="001D5E12" w:rsidRPr="000C235B">
        <w:rPr>
          <w:sz w:val="22"/>
          <w:szCs w:val="22"/>
        </w:rPr>
        <w:t xml:space="preserve"> compared </w:t>
      </w:r>
      <w:r w:rsidR="00546BB0" w:rsidRPr="000C235B">
        <w:rPr>
          <w:sz w:val="22"/>
          <w:szCs w:val="22"/>
        </w:rPr>
        <w:t xml:space="preserve">with </w:t>
      </w:r>
      <w:r w:rsidR="001D5E12" w:rsidRPr="000C235B">
        <w:rPr>
          <w:sz w:val="22"/>
          <w:szCs w:val="22"/>
        </w:rPr>
        <w:t>the baseline</w:t>
      </w:r>
      <w:r w:rsidR="00546BB0" w:rsidRPr="000C235B">
        <w:rPr>
          <w:sz w:val="22"/>
          <w:szCs w:val="22"/>
        </w:rPr>
        <w:t>,</w:t>
      </w:r>
      <w:r w:rsidR="001D5E12" w:rsidRPr="000C235B">
        <w:rPr>
          <w:sz w:val="22"/>
          <w:szCs w:val="22"/>
        </w:rPr>
        <w:t xml:space="preserve"> in 2022</w:t>
      </w:r>
      <w:r w:rsidR="00D972AE" w:rsidRPr="000C235B">
        <w:rPr>
          <w:sz w:val="22"/>
          <w:szCs w:val="22"/>
        </w:rPr>
        <w:t xml:space="preserve"> (figure 8.2)</w:t>
      </w:r>
      <w:r w:rsidR="004E34B3" w:rsidRPr="000C235B">
        <w:rPr>
          <w:sz w:val="22"/>
          <w:szCs w:val="22"/>
        </w:rPr>
        <w:t xml:space="preserve">. This would result </w:t>
      </w:r>
      <w:r w:rsidR="002D6CCC" w:rsidRPr="000C235B">
        <w:rPr>
          <w:sz w:val="22"/>
          <w:szCs w:val="22"/>
        </w:rPr>
        <w:t xml:space="preserve">from </w:t>
      </w:r>
      <w:r w:rsidR="004E34B3" w:rsidRPr="000C235B">
        <w:rPr>
          <w:sz w:val="22"/>
          <w:szCs w:val="22"/>
        </w:rPr>
        <w:t xml:space="preserve">exchanges within </w:t>
      </w:r>
      <w:smartTag w:uri="urn:schemas-microsoft-com:office:smarttags" w:element="place">
        <w:r w:rsidR="004E34B3" w:rsidRPr="000C235B">
          <w:rPr>
            <w:sz w:val="22"/>
            <w:szCs w:val="22"/>
          </w:rPr>
          <w:t>Africa</w:t>
        </w:r>
      </w:smartTag>
      <w:r w:rsidR="004E34B3" w:rsidRPr="000C235B">
        <w:rPr>
          <w:sz w:val="22"/>
          <w:szCs w:val="22"/>
        </w:rPr>
        <w:t xml:space="preserve"> </w:t>
      </w:r>
      <w:r w:rsidRPr="000C235B">
        <w:rPr>
          <w:sz w:val="22"/>
          <w:szCs w:val="22"/>
        </w:rPr>
        <w:t xml:space="preserve">increasing </w:t>
      </w:r>
      <w:r w:rsidR="004E34B3" w:rsidRPr="000C235B">
        <w:rPr>
          <w:sz w:val="22"/>
          <w:szCs w:val="22"/>
        </w:rPr>
        <w:t xml:space="preserve">in all </w:t>
      </w:r>
      <w:r w:rsidR="008D2489" w:rsidRPr="000C235B">
        <w:rPr>
          <w:sz w:val="22"/>
          <w:szCs w:val="22"/>
        </w:rPr>
        <w:t xml:space="preserve">the </w:t>
      </w:r>
      <w:r w:rsidR="004E34B3" w:rsidRPr="000C235B">
        <w:rPr>
          <w:sz w:val="22"/>
          <w:szCs w:val="22"/>
        </w:rPr>
        <w:t xml:space="preserve">main sectors. African exports </w:t>
      </w:r>
      <w:r w:rsidR="008D2489" w:rsidRPr="000C235B">
        <w:rPr>
          <w:sz w:val="22"/>
          <w:szCs w:val="22"/>
        </w:rPr>
        <w:t xml:space="preserve">within </w:t>
      </w:r>
      <w:r w:rsidR="004E34B3" w:rsidRPr="000C235B">
        <w:rPr>
          <w:sz w:val="22"/>
          <w:szCs w:val="22"/>
        </w:rPr>
        <w:t xml:space="preserve">the continent would </w:t>
      </w:r>
      <w:r w:rsidR="008D2489" w:rsidRPr="000C235B">
        <w:rPr>
          <w:sz w:val="22"/>
          <w:szCs w:val="22"/>
        </w:rPr>
        <w:t xml:space="preserve">rise </w:t>
      </w:r>
      <w:r w:rsidR="004E34B3" w:rsidRPr="000C235B">
        <w:rPr>
          <w:sz w:val="22"/>
          <w:szCs w:val="22"/>
        </w:rPr>
        <w:t xml:space="preserve">most in </w:t>
      </w:r>
      <w:r w:rsidR="008D2489" w:rsidRPr="000C235B">
        <w:rPr>
          <w:sz w:val="22"/>
          <w:szCs w:val="22"/>
        </w:rPr>
        <w:t xml:space="preserve">the industrial sector, </w:t>
      </w:r>
      <w:r w:rsidR="008B4B9E" w:rsidRPr="000C235B">
        <w:rPr>
          <w:sz w:val="22"/>
          <w:szCs w:val="22"/>
        </w:rPr>
        <w:t xml:space="preserve">by </w:t>
      </w:r>
      <w:r w:rsidR="004E34B3" w:rsidRPr="000C235B">
        <w:rPr>
          <w:sz w:val="22"/>
          <w:szCs w:val="22"/>
        </w:rPr>
        <w:t>53.3</w:t>
      </w:r>
      <w:r w:rsidR="000F4C18" w:rsidRPr="000C235B">
        <w:rPr>
          <w:sz w:val="22"/>
          <w:szCs w:val="22"/>
        </w:rPr>
        <w:t xml:space="preserve"> per cent</w:t>
      </w:r>
      <w:r w:rsidR="004E34B3" w:rsidRPr="000C235B">
        <w:rPr>
          <w:sz w:val="22"/>
          <w:szCs w:val="22"/>
        </w:rPr>
        <w:t xml:space="preserve"> (or $27.9 billion) compared </w:t>
      </w:r>
      <w:r w:rsidR="008B4B9E" w:rsidRPr="000C235B">
        <w:rPr>
          <w:sz w:val="22"/>
          <w:szCs w:val="22"/>
        </w:rPr>
        <w:t xml:space="preserve">with </w:t>
      </w:r>
      <w:r w:rsidR="004E34B3" w:rsidRPr="000C235B">
        <w:rPr>
          <w:sz w:val="22"/>
          <w:szCs w:val="22"/>
        </w:rPr>
        <w:t>the baseline</w:t>
      </w:r>
      <w:r w:rsidR="008B4B9E" w:rsidRPr="000C235B">
        <w:rPr>
          <w:sz w:val="22"/>
          <w:szCs w:val="22"/>
        </w:rPr>
        <w:t>,</w:t>
      </w:r>
      <w:r w:rsidR="004E34B3" w:rsidRPr="000C235B">
        <w:rPr>
          <w:sz w:val="22"/>
          <w:szCs w:val="22"/>
        </w:rPr>
        <w:t xml:space="preserve"> in 2022, if a </w:t>
      </w:r>
      <w:r w:rsidR="008D2489" w:rsidRPr="000C235B">
        <w:rPr>
          <w:sz w:val="22"/>
          <w:szCs w:val="22"/>
        </w:rPr>
        <w:t>C</w:t>
      </w:r>
      <w:r w:rsidR="004E34B3" w:rsidRPr="000C235B">
        <w:rPr>
          <w:sz w:val="22"/>
          <w:szCs w:val="22"/>
        </w:rPr>
        <w:t xml:space="preserve">FTA is established. This would enhance </w:t>
      </w:r>
      <w:r w:rsidR="006A6186" w:rsidRPr="000C235B">
        <w:rPr>
          <w:sz w:val="22"/>
          <w:szCs w:val="22"/>
        </w:rPr>
        <w:t xml:space="preserve">the </w:t>
      </w:r>
      <w:r w:rsidR="0046395E" w:rsidRPr="000C235B">
        <w:rPr>
          <w:sz w:val="22"/>
          <w:szCs w:val="22"/>
        </w:rPr>
        <w:t>“</w:t>
      </w:r>
      <w:r w:rsidR="005E4802" w:rsidRPr="000C235B">
        <w:rPr>
          <w:sz w:val="22"/>
          <w:szCs w:val="22"/>
        </w:rPr>
        <w:t>sophistication</w:t>
      </w:r>
      <w:r w:rsidR="0046395E" w:rsidRPr="000C235B">
        <w:rPr>
          <w:sz w:val="22"/>
          <w:szCs w:val="22"/>
        </w:rPr>
        <w:t>”</w:t>
      </w:r>
      <w:r w:rsidR="004E34B3" w:rsidRPr="000C235B">
        <w:rPr>
          <w:sz w:val="22"/>
          <w:szCs w:val="22"/>
        </w:rPr>
        <w:t xml:space="preserve"> of intra-</w:t>
      </w:r>
      <w:r w:rsidR="006A6186" w:rsidRPr="000C235B">
        <w:rPr>
          <w:sz w:val="22"/>
          <w:szCs w:val="22"/>
        </w:rPr>
        <w:t xml:space="preserve">African </w:t>
      </w:r>
      <w:r w:rsidR="004E34B3" w:rsidRPr="000C235B">
        <w:rPr>
          <w:sz w:val="22"/>
          <w:szCs w:val="22"/>
        </w:rPr>
        <w:t>trade</w:t>
      </w:r>
      <w:r w:rsidR="008D2489" w:rsidRPr="000C235B">
        <w:rPr>
          <w:sz w:val="22"/>
          <w:szCs w:val="22"/>
        </w:rPr>
        <w:t>,</w:t>
      </w:r>
      <w:r w:rsidR="004E34B3" w:rsidRPr="000C235B">
        <w:rPr>
          <w:sz w:val="22"/>
          <w:szCs w:val="22"/>
        </w:rPr>
        <w:t xml:space="preserve"> dominated by industrial products</w:t>
      </w:r>
      <w:r w:rsidR="008D2489" w:rsidRPr="000C235B">
        <w:rPr>
          <w:sz w:val="22"/>
          <w:szCs w:val="22"/>
        </w:rPr>
        <w:t>,</w:t>
      </w:r>
      <w:r w:rsidR="004E34B3" w:rsidRPr="000C235B">
        <w:rPr>
          <w:sz w:val="22"/>
          <w:szCs w:val="22"/>
        </w:rPr>
        <w:t xml:space="preserve"> as indicated in </w:t>
      </w:r>
      <w:r w:rsidR="00B03E3F" w:rsidRPr="000C235B">
        <w:rPr>
          <w:sz w:val="22"/>
          <w:szCs w:val="22"/>
        </w:rPr>
        <w:t>table</w:t>
      </w:r>
      <w:r w:rsidR="004E34B3" w:rsidRPr="000C235B">
        <w:rPr>
          <w:sz w:val="22"/>
          <w:szCs w:val="22"/>
        </w:rPr>
        <w:t xml:space="preserve">s </w:t>
      </w:r>
      <w:r w:rsidR="008E578D" w:rsidRPr="000C235B">
        <w:rPr>
          <w:sz w:val="22"/>
          <w:szCs w:val="22"/>
        </w:rPr>
        <w:t>8.</w:t>
      </w:r>
      <w:r w:rsidR="004E34B3" w:rsidRPr="000C235B">
        <w:rPr>
          <w:sz w:val="22"/>
          <w:szCs w:val="22"/>
        </w:rPr>
        <w:t xml:space="preserve">3 and </w:t>
      </w:r>
      <w:r w:rsidR="008E578D" w:rsidRPr="000C235B">
        <w:rPr>
          <w:sz w:val="22"/>
          <w:szCs w:val="22"/>
        </w:rPr>
        <w:t>8.</w:t>
      </w:r>
      <w:r w:rsidR="004E34B3" w:rsidRPr="000C235B">
        <w:rPr>
          <w:sz w:val="22"/>
          <w:szCs w:val="22"/>
        </w:rPr>
        <w:t xml:space="preserve">4. </w:t>
      </w:r>
      <w:r w:rsidR="008D2489" w:rsidRPr="000C235B">
        <w:rPr>
          <w:sz w:val="22"/>
          <w:szCs w:val="22"/>
        </w:rPr>
        <w:t>In the same vein, t</w:t>
      </w:r>
      <w:r w:rsidR="004E34B3" w:rsidRPr="000C235B">
        <w:rPr>
          <w:sz w:val="22"/>
          <w:szCs w:val="22"/>
        </w:rPr>
        <w:t xml:space="preserve">rade of agricultural and food products within the continent </w:t>
      </w:r>
      <w:r w:rsidR="00D972AE" w:rsidRPr="000C235B">
        <w:rPr>
          <w:sz w:val="22"/>
          <w:szCs w:val="22"/>
        </w:rPr>
        <w:t xml:space="preserve">also </w:t>
      </w:r>
      <w:r w:rsidR="004E34B3" w:rsidRPr="000C235B">
        <w:rPr>
          <w:sz w:val="22"/>
          <w:szCs w:val="22"/>
        </w:rPr>
        <w:t xml:space="preserve">would </w:t>
      </w:r>
      <w:r w:rsidR="00D972AE" w:rsidRPr="000C235B">
        <w:rPr>
          <w:sz w:val="22"/>
          <w:szCs w:val="22"/>
        </w:rPr>
        <w:t xml:space="preserve">increase </w:t>
      </w:r>
      <w:r w:rsidR="004E34B3" w:rsidRPr="000C235B">
        <w:rPr>
          <w:sz w:val="22"/>
          <w:szCs w:val="22"/>
        </w:rPr>
        <w:t>strongly</w:t>
      </w:r>
      <w:r w:rsidR="00D972AE" w:rsidRPr="000C235B">
        <w:rPr>
          <w:sz w:val="22"/>
          <w:szCs w:val="22"/>
        </w:rPr>
        <w:t>,</w:t>
      </w:r>
      <w:r w:rsidR="004E34B3" w:rsidRPr="000C235B">
        <w:rPr>
          <w:sz w:val="22"/>
          <w:szCs w:val="22"/>
        </w:rPr>
        <w:t xml:space="preserve"> </w:t>
      </w:r>
      <w:r w:rsidR="00094E37">
        <w:rPr>
          <w:sz w:val="22"/>
          <w:szCs w:val="22"/>
        </w:rPr>
        <w:t>by</w:t>
      </w:r>
      <w:r w:rsidR="004E34B3" w:rsidRPr="000C235B">
        <w:rPr>
          <w:sz w:val="22"/>
          <w:szCs w:val="22"/>
        </w:rPr>
        <w:t xml:space="preserve"> </w:t>
      </w:r>
      <w:r w:rsidR="006F240A" w:rsidRPr="000C235B">
        <w:rPr>
          <w:sz w:val="22"/>
          <w:szCs w:val="22"/>
        </w:rPr>
        <w:t>53</w:t>
      </w:r>
      <w:r w:rsidR="004E34B3" w:rsidRPr="000C235B">
        <w:rPr>
          <w:sz w:val="22"/>
          <w:szCs w:val="22"/>
        </w:rPr>
        <w:t>.</w:t>
      </w:r>
      <w:r w:rsidR="006F240A" w:rsidRPr="000C235B">
        <w:rPr>
          <w:sz w:val="22"/>
          <w:szCs w:val="22"/>
        </w:rPr>
        <w:t>1</w:t>
      </w:r>
      <w:r w:rsidR="000F4C18" w:rsidRPr="000C235B">
        <w:rPr>
          <w:sz w:val="22"/>
          <w:szCs w:val="22"/>
        </w:rPr>
        <w:t xml:space="preserve"> per cent</w:t>
      </w:r>
      <w:r w:rsidR="004E34B3" w:rsidRPr="000C235B">
        <w:rPr>
          <w:sz w:val="22"/>
          <w:szCs w:val="22"/>
        </w:rPr>
        <w:t xml:space="preserve"> (or $</w:t>
      </w:r>
      <w:r w:rsidR="006F240A" w:rsidRPr="000C235B">
        <w:rPr>
          <w:sz w:val="22"/>
          <w:szCs w:val="22"/>
        </w:rPr>
        <w:t>5</w:t>
      </w:r>
      <w:r w:rsidR="004E34B3" w:rsidRPr="000C235B">
        <w:rPr>
          <w:sz w:val="22"/>
          <w:szCs w:val="22"/>
        </w:rPr>
        <w:t>.</w:t>
      </w:r>
      <w:r w:rsidR="006F240A" w:rsidRPr="000C235B">
        <w:rPr>
          <w:sz w:val="22"/>
          <w:szCs w:val="22"/>
        </w:rPr>
        <w:t xml:space="preserve">7 </w:t>
      </w:r>
      <w:r w:rsidR="004E34B3" w:rsidRPr="000C235B">
        <w:rPr>
          <w:sz w:val="22"/>
          <w:szCs w:val="22"/>
        </w:rPr>
        <w:t>billion) in 2022</w:t>
      </w:r>
      <w:r w:rsidR="009A6F77" w:rsidRPr="000C235B">
        <w:rPr>
          <w:sz w:val="22"/>
          <w:szCs w:val="22"/>
        </w:rPr>
        <w:t>.</w:t>
      </w:r>
      <w:r w:rsidR="004E34B3" w:rsidRPr="000C235B">
        <w:rPr>
          <w:sz w:val="22"/>
          <w:szCs w:val="22"/>
        </w:rPr>
        <w:t xml:space="preserve"> Intra-Africa</w:t>
      </w:r>
      <w:r w:rsidR="006A6186" w:rsidRPr="000C235B">
        <w:rPr>
          <w:sz w:val="22"/>
          <w:szCs w:val="22"/>
        </w:rPr>
        <w:t>n</w:t>
      </w:r>
      <w:r w:rsidR="004E34B3" w:rsidRPr="000C235B">
        <w:rPr>
          <w:sz w:val="22"/>
          <w:szCs w:val="22"/>
        </w:rPr>
        <w:t xml:space="preserve"> trade in services would </w:t>
      </w:r>
      <w:r w:rsidR="008D2489" w:rsidRPr="000C235B">
        <w:rPr>
          <w:sz w:val="22"/>
          <w:szCs w:val="22"/>
        </w:rPr>
        <w:t xml:space="preserve">also rise </w:t>
      </w:r>
      <w:r w:rsidR="004E34B3" w:rsidRPr="000C235B">
        <w:rPr>
          <w:sz w:val="22"/>
          <w:szCs w:val="22"/>
        </w:rPr>
        <w:t>significantly</w:t>
      </w:r>
      <w:r w:rsidR="00D972AE" w:rsidRPr="000C235B">
        <w:rPr>
          <w:sz w:val="22"/>
          <w:szCs w:val="22"/>
        </w:rPr>
        <w:t>,</w:t>
      </w:r>
      <w:r w:rsidR="004E34B3" w:rsidRPr="000C235B">
        <w:rPr>
          <w:sz w:val="22"/>
          <w:szCs w:val="22"/>
        </w:rPr>
        <w:t xml:space="preserve"> by 31.9</w:t>
      </w:r>
      <w:r w:rsidR="000F4C18" w:rsidRPr="000C235B">
        <w:rPr>
          <w:sz w:val="22"/>
          <w:szCs w:val="22"/>
        </w:rPr>
        <w:t xml:space="preserve"> per cent</w:t>
      </w:r>
      <w:r w:rsidR="004E34B3" w:rsidRPr="000C235B">
        <w:rPr>
          <w:sz w:val="22"/>
          <w:szCs w:val="22"/>
        </w:rPr>
        <w:t xml:space="preserve"> (or $1.0 billion)</w:t>
      </w:r>
      <w:proofErr w:type="gramStart"/>
      <w:r w:rsidR="008D2489" w:rsidRPr="000C235B">
        <w:rPr>
          <w:sz w:val="22"/>
          <w:szCs w:val="22"/>
        </w:rPr>
        <w:t>,</w:t>
      </w:r>
      <w:proofErr w:type="gramEnd"/>
      <w:r w:rsidR="008D2489" w:rsidRPr="000C235B">
        <w:rPr>
          <w:sz w:val="22"/>
          <w:szCs w:val="22"/>
        </w:rPr>
        <w:t xml:space="preserve"> albeit </w:t>
      </w:r>
      <w:r w:rsidR="004E34B3" w:rsidRPr="000C235B">
        <w:rPr>
          <w:sz w:val="22"/>
          <w:szCs w:val="22"/>
        </w:rPr>
        <w:t>from a lower base</w:t>
      </w:r>
      <w:r w:rsidR="00C47EA0" w:rsidRPr="000C235B">
        <w:rPr>
          <w:sz w:val="22"/>
          <w:szCs w:val="22"/>
        </w:rPr>
        <w:t>,</w:t>
      </w:r>
      <w:r w:rsidR="004E34B3" w:rsidRPr="000C235B">
        <w:rPr>
          <w:sz w:val="22"/>
          <w:szCs w:val="22"/>
        </w:rPr>
        <w:t xml:space="preserve"> as </w:t>
      </w:r>
      <w:r w:rsidR="00D972AE" w:rsidRPr="000C235B">
        <w:rPr>
          <w:sz w:val="22"/>
          <w:szCs w:val="22"/>
        </w:rPr>
        <w:t>intra-African trade in services</w:t>
      </w:r>
      <w:r w:rsidR="000C0A90" w:rsidRPr="000C235B">
        <w:rPr>
          <w:sz w:val="22"/>
          <w:szCs w:val="22"/>
        </w:rPr>
        <w:t xml:space="preserve"> is </w:t>
      </w:r>
      <w:r w:rsidR="004E34B3" w:rsidRPr="000C235B">
        <w:rPr>
          <w:sz w:val="22"/>
          <w:szCs w:val="22"/>
        </w:rPr>
        <w:t xml:space="preserve">relatively limited </w:t>
      </w:r>
      <w:r w:rsidR="000C0A90" w:rsidRPr="000C235B">
        <w:rPr>
          <w:sz w:val="22"/>
          <w:szCs w:val="22"/>
        </w:rPr>
        <w:t>at the onset</w:t>
      </w:r>
      <w:r w:rsidR="009A6F77" w:rsidRPr="000C235B">
        <w:rPr>
          <w:sz w:val="22"/>
          <w:szCs w:val="22"/>
        </w:rPr>
        <w:t xml:space="preserve"> </w:t>
      </w:r>
      <w:r w:rsidR="004E34B3" w:rsidRPr="000C235B">
        <w:rPr>
          <w:sz w:val="22"/>
          <w:szCs w:val="22"/>
        </w:rPr>
        <w:t>(</w:t>
      </w:r>
      <w:r w:rsidR="00FB0D3B">
        <w:rPr>
          <w:sz w:val="22"/>
          <w:szCs w:val="22"/>
        </w:rPr>
        <w:t>table</w:t>
      </w:r>
      <w:r w:rsidR="004E34B3" w:rsidRPr="000C235B">
        <w:rPr>
          <w:sz w:val="22"/>
          <w:szCs w:val="22"/>
        </w:rPr>
        <w:t xml:space="preserve">s </w:t>
      </w:r>
      <w:r w:rsidR="008E578D" w:rsidRPr="000C235B">
        <w:rPr>
          <w:sz w:val="22"/>
          <w:szCs w:val="22"/>
        </w:rPr>
        <w:t>8.</w:t>
      </w:r>
      <w:r w:rsidR="004E34B3" w:rsidRPr="000C235B">
        <w:rPr>
          <w:sz w:val="22"/>
          <w:szCs w:val="22"/>
        </w:rPr>
        <w:t xml:space="preserve">3 and </w:t>
      </w:r>
      <w:r w:rsidR="008E578D" w:rsidRPr="000C235B">
        <w:rPr>
          <w:sz w:val="22"/>
          <w:szCs w:val="22"/>
        </w:rPr>
        <w:t>8.</w:t>
      </w:r>
      <w:r w:rsidR="004E34B3" w:rsidRPr="000C235B">
        <w:rPr>
          <w:sz w:val="22"/>
          <w:szCs w:val="22"/>
        </w:rPr>
        <w:t xml:space="preserve">4). </w:t>
      </w:r>
    </w:p>
    <w:p w:rsidR="001C1E29" w:rsidRPr="0061584B" w:rsidRDefault="001C1E29" w:rsidP="006D5982">
      <w:pPr>
        <w:spacing w:line="360" w:lineRule="auto"/>
      </w:pPr>
    </w:p>
    <w:p w:rsidR="001C1E29" w:rsidRDefault="001C1E29" w:rsidP="00DE13C3">
      <w:pPr>
        <w:pStyle w:val="Tableheading"/>
        <w:ind w:left="1440" w:hanging="1440"/>
      </w:pPr>
      <w:r w:rsidRPr="0061584B">
        <w:t xml:space="preserve">Figure </w:t>
      </w:r>
      <w:r w:rsidR="006436C9" w:rsidRPr="0061584B">
        <w:t>8.</w:t>
      </w:r>
      <w:r w:rsidR="00006E59" w:rsidRPr="0061584B">
        <w:t>2</w:t>
      </w:r>
      <w:r w:rsidRPr="0061584B">
        <w:t xml:space="preserve">: </w:t>
      </w:r>
      <w:r w:rsidR="00EE7040" w:rsidRPr="0061584B">
        <w:tab/>
      </w:r>
      <w:r w:rsidR="00AA49B2" w:rsidRPr="0061584B">
        <w:t>Exports</w:t>
      </w:r>
      <w:r w:rsidRPr="0061584B">
        <w:t xml:space="preserve"> of African countries by </w:t>
      </w:r>
      <w:r w:rsidR="00AA49B2" w:rsidRPr="0061584B">
        <w:t>destinations</w:t>
      </w:r>
      <w:r w:rsidRPr="0061584B">
        <w:t xml:space="preserve"> </w:t>
      </w:r>
      <w:r w:rsidR="001E2E0C" w:rsidRPr="0061584B">
        <w:t>and main sectors</w:t>
      </w:r>
      <w:r w:rsidR="00DE13C3">
        <w:t xml:space="preserve"> </w:t>
      </w:r>
      <w:r w:rsidRPr="0061584B">
        <w:t xml:space="preserve">– </w:t>
      </w:r>
      <w:r w:rsidR="00EC1F24" w:rsidRPr="0061584B">
        <w:t>c</w:t>
      </w:r>
      <w:r w:rsidRPr="0061584B">
        <w:t xml:space="preserve">hanges compared </w:t>
      </w:r>
      <w:r w:rsidR="00667F3A">
        <w:t>with</w:t>
      </w:r>
      <w:r w:rsidRPr="0061584B">
        <w:t xml:space="preserve"> the baseline scenario</w:t>
      </w:r>
      <w:r w:rsidR="00667F3A">
        <w:t>,</w:t>
      </w:r>
      <w:r w:rsidRPr="0061584B">
        <w:t xml:space="preserve"> 2022</w:t>
      </w:r>
      <w:r w:rsidR="00667F3A">
        <w:t xml:space="preserve"> (in</w:t>
      </w:r>
      <w:r w:rsidRPr="0061584B">
        <w:t xml:space="preserve"> US</w:t>
      </w:r>
      <w:r w:rsidR="00667F3A">
        <w:t>$</w:t>
      </w:r>
      <w:r w:rsidRPr="0061584B">
        <w:t xml:space="preserve"> </w:t>
      </w:r>
      <w:r w:rsidR="00E16CEA" w:rsidRPr="0061584B">
        <w:t>b</w:t>
      </w:r>
      <w:r w:rsidR="00E16CEA">
        <w:t>illio</w:t>
      </w:r>
      <w:r w:rsidR="00E16CEA" w:rsidRPr="0061584B">
        <w:t>ns</w:t>
      </w:r>
      <w:r w:rsidR="00667F3A">
        <w:t>)</w:t>
      </w:r>
      <w:r w:rsidR="007E0781" w:rsidRPr="0061584B">
        <w:t xml:space="preserve"> </w:t>
      </w:r>
    </w:p>
    <w:p w:rsidR="005E4802" w:rsidRPr="005E4802" w:rsidRDefault="001223A0" w:rsidP="009C49DE">
      <w:pPr>
        <w:pStyle w:val="Tableheading"/>
      </w:pPr>
      <w:r w:rsidRPr="005E4802">
        <w:pict>
          <v:shape id="_x0000_i1036" type="#_x0000_t75" style="width:446.25pt;height:234pt">
            <v:imagedata r:id="rId18" o:title=""/>
          </v:shape>
        </w:pict>
      </w:r>
    </w:p>
    <w:p w:rsidR="001C1E29" w:rsidRPr="000C235B" w:rsidRDefault="001C1E29" w:rsidP="006D5982">
      <w:pPr>
        <w:pStyle w:val="Source"/>
        <w:spacing w:line="360" w:lineRule="auto"/>
        <w:rPr>
          <w:sz w:val="20"/>
          <w:szCs w:val="20"/>
        </w:rPr>
      </w:pPr>
      <w:r w:rsidRPr="000C235B">
        <w:rPr>
          <w:sz w:val="20"/>
          <w:szCs w:val="20"/>
        </w:rPr>
        <w:t>Source: Authors’ calculations based on MIRAGE model</w:t>
      </w:r>
      <w:r w:rsidR="00334680" w:rsidRPr="000C235B">
        <w:rPr>
          <w:sz w:val="20"/>
          <w:szCs w:val="20"/>
        </w:rPr>
        <w:t>.</w:t>
      </w:r>
    </w:p>
    <w:p w:rsidR="001C1E29" w:rsidRPr="0061584B" w:rsidRDefault="001C1E29" w:rsidP="006D5982">
      <w:pPr>
        <w:spacing w:line="360" w:lineRule="auto"/>
      </w:pPr>
    </w:p>
    <w:p w:rsidR="004E34B3" w:rsidRPr="000C235B" w:rsidRDefault="004E34B3" w:rsidP="006D5982">
      <w:pPr>
        <w:spacing w:line="360" w:lineRule="auto"/>
        <w:rPr>
          <w:sz w:val="22"/>
          <w:szCs w:val="22"/>
        </w:rPr>
      </w:pPr>
      <w:r w:rsidRPr="000C235B">
        <w:rPr>
          <w:sz w:val="22"/>
          <w:szCs w:val="22"/>
        </w:rPr>
        <w:t xml:space="preserve">In other words, </w:t>
      </w:r>
      <w:r w:rsidR="003347B6" w:rsidRPr="000C235B">
        <w:rPr>
          <w:sz w:val="22"/>
          <w:szCs w:val="22"/>
        </w:rPr>
        <w:t xml:space="preserve">following the </w:t>
      </w:r>
      <w:r w:rsidR="000A725F" w:rsidRPr="000C235B">
        <w:rPr>
          <w:sz w:val="22"/>
          <w:szCs w:val="22"/>
        </w:rPr>
        <w:t>creation</w:t>
      </w:r>
      <w:r w:rsidR="003347B6" w:rsidRPr="000C235B">
        <w:rPr>
          <w:sz w:val="22"/>
          <w:szCs w:val="22"/>
        </w:rPr>
        <w:t xml:space="preserve"> of</w:t>
      </w:r>
      <w:r w:rsidR="001A410E" w:rsidRPr="000C235B">
        <w:rPr>
          <w:sz w:val="22"/>
          <w:szCs w:val="22"/>
        </w:rPr>
        <w:t xml:space="preserve"> a </w:t>
      </w:r>
      <w:r w:rsidR="007112B2" w:rsidRPr="000C235B">
        <w:rPr>
          <w:sz w:val="22"/>
          <w:szCs w:val="22"/>
        </w:rPr>
        <w:t>C</w:t>
      </w:r>
      <w:r w:rsidR="001A410E" w:rsidRPr="000C235B">
        <w:rPr>
          <w:sz w:val="22"/>
          <w:szCs w:val="22"/>
        </w:rPr>
        <w:t xml:space="preserve">FTA </w:t>
      </w:r>
      <w:r w:rsidR="00ED0678" w:rsidRPr="000C235B">
        <w:rPr>
          <w:sz w:val="22"/>
          <w:szCs w:val="22"/>
        </w:rPr>
        <w:t xml:space="preserve">assumed to be </w:t>
      </w:r>
      <w:r w:rsidR="003347B6" w:rsidRPr="000C235B">
        <w:rPr>
          <w:sz w:val="22"/>
          <w:szCs w:val="22"/>
        </w:rPr>
        <w:t>effective</w:t>
      </w:r>
      <w:r w:rsidR="001A410E" w:rsidRPr="000C235B">
        <w:rPr>
          <w:sz w:val="22"/>
          <w:szCs w:val="22"/>
        </w:rPr>
        <w:t xml:space="preserve"> by 2017</w:t>
      </w:r>
      <w:r w:rsidR="003347B6" w:rsidRPr="000C235B">
        <w:rPr>
          <w:sz w:val="22"/>
          <w:szCs w:val="22"/>
        </w:rPr>
        <w:t>,</w:t>
      </w:r>
      <w:r w:rsidR="001A410E" w:rsidRPr="000C235B">
        <w:rPr>
          <w:sz w:val="22"/>
          <w:szCs w:val="22"/>
        </w:rPr>
        <w:t xml:space="preserve"> </w:t>
      </w:r>
      <w:r w:rsidR="00F916D3" w:rsidRPr="000C235B">
        <w:rPr>
          <w:sz w:val="22"/>
          <w:szCs w:val="22"/>
        </w:rPr>
        <w:t xml:space="preserve">the share of </w:t>
      </w:r>
      <w:r w:rsidRPr="000C235B">
        <w:rPr>
          <w:sz w:val="22"/>
          <w:szCs w:val="22"/>
        </w:rPr>
        <w:t xml:space="preserve">intra-African trade would be enhanced by </w:t>
      </w:r>
      <w:r w:rsidR="00DE75C0" w:rsidRPr="000C235B">
        <w:rPr>
          <w:sz w:val="22"/>
          <w:szCs w:val="22"/>
        </w:rPr>
        <w:t>52</w:t>
      </w:r>
      <w:r w:rsidRPr="000C235B">
        <w:rPr>
          <w:sz w:val="22"/>
          <w:szCs w:val="22"/>
        </w:rPr>
        <w:t>.</w:t>
      </w:r>
      <w:r w:rsidR="00DE75C0" w:rsidRPr="000C235B">
        <w:rPr>
          <w:sz w:val="22"/>
          <w:szCs w:val="22"/>
        </w:rPr>
        <w:t>0</w:t>
      </w:r>
      <w:r w:rsidR="000F4C18" w:rsidRPr="000C235B">
        <w:rPr>
          <w:sz w:val="22"/>
          <w:szCs w:val="22"/>
        </w:rPr>
        <w:t xml:space="preserve"> per cent</w:t>
      </w:r>
      <w:r w:rsidRPr="000C235B">
        <w:rPr>
          <w:sz w:val="22"/>
          <w:szCs w:val="22"/>
        </w:rPr>
        <w:t xml:space="preserve"> over a </w:t>
      </w:r>
      <w:r w:rsidR="00D972AE" w:rsidRPr="000C235B">
        <w:rPr>
          <w:sz w:val="22"/>
          <w:szCs w:val="22"/>
        </w:rPr>
        <w:t>12-</w:t>
      </w:r>
      <w:r w:rsidRPr="000C235B">
        <w:rPr>
          <w:sz w:val="22"/>
          <w:szCs w:val="22"/>
        </w:rPr>
        <w:t>year period</w:t>
      </w:r>
      <w:r w:rsidR="007112B2" w:rsidRPr="000C235B">
        <w:rPr>
          <w:sz w:val="22"/>
          <w:szCs w:val="22"/>
        </w:rPr>
        <w:t>,</w:t>
      </w:r>
      <w:r w:rsidRPr="000C235B">
        <w:rPr>
          <w:sz w:val="22"/>
          <w:szCs w:val="22"/>
        </w:rPr>
        <w:t xml:space="preserve"> </w:t>
      </w:r>
      <w:r w:rsidR="007112B2" w:rsidRPr="000C235B">
        <w:rPr>
          <w:sz w:val="22"/>
          <w:szCs w:val="22"/>
        </w:rPr>
        <w:t xml:space="preserve">rising </w:t>
      </w:r>
      <w:r w:rsidRPr="000C235B">
        <w:rPr>
          <w:sz w:val="22"/>
          <w:szCs w:val="22"/>
        </w:rPr>
        <w:t>from 10.2</w:t>
      </w:r>
      <w:r w:rsidR="000F4C18" w:rsidRPr="000C235B">
        <w:rPr>
          <w:sz w:val="22"/>
          <w:szCs w:val="22"/>
        </w:rPr>
        <w:t xml:space="preserve"> per cent</w:t>
      </w:r>
      <w:r w:rsidRPr="000C235B">
        <w:rPr>
          <w:sz w:val="22"/>
          <w:szCs w:val="22"/>
        </w:rPr>
        <w:t xml:space="preserve"> in 2010 to 15.</w:t>
      </w:r>
      <w:r w:rsidR="007E0781" w:rsidRPr="000C235B">
        <w:rPr>
          <w:sz w:val="22"/>
          <w:szCs w:val="22"/>
        </w:rPr>
        <w:t>5</w:t>
      </w:r>
      <w:r w:rsidR="000F4C18" w:rsidRPr="000C235B">
        <w:rPr>
          <w:sz w:val="22"/>
          <w:szCs w:val="22"/>
        </w:rPr>
        <w:t xml:space="preserve"> per cent</w:t>
      </w:r>
      <w:r w:rsidRPr="000C235B">
        <w:rPr>
          <w:sz w:val="22"/>
          <w:szCs w:val="22"/>
        </w:rPr>
        <w:t xml:space="preserve"> in 2022 </w:t>
      </w:r>
      <w:r w:rsidR="00D972AE" w:rsidRPr="000C235B">
        <w:rPr>
          <w:sz w:val="22"/>
          <w:szCs w:val="22"/>
        </w:rPr>
        <w:t>(</w:t>
      </w:r>
      <w:r w:rsidR="00B03E3F" w:rsidRPr="000C235B">
        <w:rPr>
          <w:sz w:val="22"/>
          <w:szCs w:val="22"/>
        </w:rPr>
        <w:t>table</w:t>
      </w:r>
      <w:r w:rsidRPr="000C235B">
        <w:rPr>
          <w:sz w:val="22"/>
          <w:szCs w:val="22"/>
        </w:rPr>
        <w:t xml:space="preserve"> </w:t>
      </w:r>
      <w:r w:rsidR="008E578D" w:rsidRPr="000C235B">
        <w:rPr>
          <w:sz w:val="22"/>
          <w:szCs w:val="22"/>
        </w:rPr>
        <w:t>8.</w:t>
      </w:r>
      <w:r w:rsidRPr="000C235B">
        <w:rPr>
          <w:sz w:val="22"/>
          <w:szCs w:val="22"/>
        </w:rPr>
        <w:t>1</w:t>
      </w:r>
      <w:r w:rsidR="004554CB" w:rsidRPr="000C235B">
        <w:rPr>
          <w:sz w:val="22"/>
          <w:szCs w:val="22"/>
        </w:rPr>
        <w:t>1</w:t>
      </w:r>
      <w:r w:rsidR="00D972AE" w:rsidRPr="000C235B">
        <w:rPr>
          <w:sz w:val="22"/>
          <w:szCs w:val="22"/>
        </w:rPr>
        <w:t>)</w:t>
      </w:r>
      <w:r w:rsidRPr="000C235B">
        <w:rPr>
          <w:sz w:val="22"/>
          <w:szCs w:val="22"/>
        </w:rPr>
        <w:t xml:space="preserve">. Considering only agricultural and food products, </w:t>
      </w:r>
      <w:r w:rsidR="00F916D3" w:rsidRPr="000C235B">
        <w:rPr>
          <w:sz w:val="22"/>
          <w:szCs w:val="22"/>
        </w:rPr>
        <w:t xml:space="preserve">the share of </w:t>
      </w:r>
      <w:r w:rsidRPr="000C235B">
        <w:rPr>
          <w:sz w:val="22"/>
          <w:szCs w:val="22"/>
        </w:rPr>
        <w:t xml:space="preserve">intra-African trade would </w:t>
      </w:r>
      <w:r w:rsidR="007112B2" w:rsidRPr="000C235B">
        <w:rPr>
          <w:sz w:val="22"/>
          <w:szCs w:val="22"/>
        </w:rPr>
        <w:t xml:space="preserve">grow </w:t>
      </w:r>
      <w:r w:rsidRPr="000C235B">
        <w:rPr>
          <w:sz w:val="22"/>
          <w:szCs w:val="22"/>
        </w:rPr>
        <w:t xml:space="preserve">from </w:t>
      </w:r>
      <w:r w:rsidR="001A410E" w:rsidRPr="000C235B">
        <w:rPr>
          <w:sz w:val="22"/>
          <w:szCs w:val="22"/>
        </w:rPr>
        <w:t>20.0</w:t>
      </w:r>
      <w:r w:rsidR="000F4C18" w:rsidRPr="000C235B">
        <w:rPr>
          <w:sz w:val="22"/>
          <w:szCs w:val="22"/>
        </w:rPr>
        <w:t xml:space="preserve"> per cent</w:t>
      </w:r>
      <w:r w:rsidR="001A410E" w:rsidRPr="000C235B">
        <w:rPr>
          <w:sz w:val="22"/>
          <w:szCs w:val="22"/>
        </w:rPr>
        <w:t xml:space="preserve"> to </w:t>
      </w:r>
      <w:r w:rsidR="007E0781" w:rsidRPr="000C235B">
        <w:rPr>
          <w:sz w:val="22"/>
          <w:szCs w:val="22"/>
        </w:rPr>
        <w:t>28</w:t>
      </w:r>
      <w:r w:rsidR="001A410E" w:rsidRPr="000C235B">
        <w:rPr>
          <w:sz w:val="22"/>
          <w:szCs w:val="22"/>
        </w:rPr>
        <w:t>.3</w:t>
      </w:r>
      <w:r w:rsidR="000F4C18" w:rsidRPr="000C235B">
        <w:rPr>
          <w:sz w:val="22"/>
          <w:szCs w:val="22"/>
        </w:rPr>
        <w:t xml:space="preserve"> per cent</w:t>
      </w:r>
      <w:r w:rsidR="00AC7257" w:rsidRPr="000C235B">
        <w:rPr>
          <w:sz w:val="22"/>
          <w:szCs w:val="22"/>
        </w:rPr>
        <w:t xml:space="preserve"> </w:t>
      </w:r>
      <w:r w:rsidR="000C2A61" w:rsidRPr="000C235B">
        <w:rPr>
          <w:sz w:val="22"/>
          <w:szCs w:val="22"/>
        </w:rPr>
        <w:t xml:space="preserve">during the same time horizon. </w:t>
      </w:r>
      <w:r w:rsidR="003347B6" w:rsidRPr="000C235B">
        <w:rPr>
          <w:sz w:val="22"/>
          <w:szCs w:val="22"/>
        </w:rPr>
        <w:t xml:space="preserve">Thanks to </w:t>
      </w:r>
      <w:r w:rsidR="000C2A61" w:rsidRPr="000C235B">
        <w:rPr>
          <w:sz w:val="22"/>
          <w:szCs w:val="22"/>
        </w:rPr>
        <w:t xml:space="preserve">a </w:t>
      </w:r>
      <w:r w:rsidR="00AC7257" w:rsidRPr="000C235B">
        <w:rPr>
          <w:sz w:val="22"/>
          <w:szCs w:val="22"/>
        </w:rPr>
        <w:t xml:space="preserve">considerable increase of </w:t>
      </w:r>
      <w:r w:rsidR="003347B6" w:rsidRPr="000C235B">
        <w:rPr>
          <w:sz w:val="22"/>
          <w:szCs w:val="22"/>
        </w:rPr>
        <w:t xml:space="preserve">trade flows within African economies </w:t>
      </w:r>
      <w:r w:rsidR="000C2A61" w:rsidRPr="000C235B">
        <w:rPr>
          <w:sz w:val="22"/>
          <w:szCs w:val="22"/>
        </w:rPr>
        <w:t>following the</w:t>
      </w:r>
      <w:r w:rsidR="003347B6" w:rsidRPr="000C235B">
        <w:rPr>
          <w:sz w:val="22"/>
          <w:szCs w:val="22"/>
        </w:rPr>
        <w:t xml:space="preserve"> </w:t>
      </w:r>
      <w:r w:rsidR="00AC7257" w:rsidRPr="000C235B">
        <w:rPr>
          <w:sz w:val="22"/>
          <w:szCs w:val="22"/>
        </w:rPr>
        <w:t>full elimination</w:t>
      </w:r>
      <w:r w:rsidR="003347B6" w:rsidRPr="000C235B">
        <w:rPr>
          <w:sz w:val="22"/>
          <w:szCs w:val="22"/>
        </w:rPr>
        <w:t xml:space="preserve"> of tariff barriers, the initial</w:t>
      </w:r>
      <w:r w:rsidR="000C2A61" w:rsidRPr="000C235B">
        <w:rPr>
          <w:sz w:val="22"/>
          <w:szCs w:val="22"/>
        </w:rPr>
        <w:t>ly</w:t>
      </w:r>
      <w:r w:rsidR="00AC7257" w:rsidRPr="000C235B">
        <w:rPr>
          <w:sz w:val="22"/>
          <w:szCs w:val="22"/>
        </w:rPr>
        <w:t xml:space="preserve"> large</w:t>
      </w:r>
      <w:r w:rsidR="003347B6" w:rsidRPr="000C235B">
        <w:rPr>
          <w:sz w:val="22"/>
          <w:szCs w:val="22"/>
        </w:rPr>
        <w:t xml:space="preserve"> shares of African </w:t>
      </w:r>
      <w:r w:rsidR="000C2A61" w:rsidRPr="000C235B">
        <w:rPr>
          <w:sz w:val="22"/>
          <w:szCs w:val="22"/>
        </w:rPr>
        <w:t xml:space="preserve">industrial and services exports to the rest of the world </w:t>
      </w:r>
      <w:r w:rsidR="003347B6" w:rsidRPr="000C235B">
        <w:rPr>
          <w:sz w:val="22"/>
          <w:szCs w:val="22"/>
        </w:rPr>
        <w:t>would be reduced</w:t>
      </w:r>
      <w:r w:rsidR="00E613F3" w:rsidRPr="000C235B">
        <w:rPr>
          <w:sz w:val="22"/>
          <w:szCs w:val="22"/>
        </w:rPr>
        <w:t>, dropping</w:t>
      </w:r>
      <w:r w:rsidR="00446CA3" w:rsidRPr="000C235B">
        <w:rPr>
          <w:sz w:val="22"/>
          <w:szCs w:val="22"/>
        </w:rPr>
        <w:t xml:space="preserve"> </w:t>
      </w:r>
      <w:r w:rsidR="003347B6" w:rsidRPr="000C235B">
        <w:rPr>
          <w:sz w:val="22"/>
          <w:szCs w:val="22"/>
        </w:rPr>
        <w:t>from 89</w:t>
      </w:r>
      <w:r w:rsidR="000F4C18" w:rsidRPr="000C235B">
        <w:rPr>
          <w:sz w:val="22"/>
          <w:szCs w:val="22"/>
        </w:rPr>
        <w:t xml:space="preserve"> per cent</w:t>
      </w:r>
      <w:r w:rsidR="003347B6" w:rsidRPr="000C235B">
        <w:rPr>
          <w:sz w:val="22"/>
          <w:szCs w:val="22"/>
        </w:rPr>
        <w:t xml:space="preserve"> </w:t>
      </w:r>
      <w:r w:rsidR="00E613F3" w:rsidRPr="000C235B">
        <w:rPr>
          <w:sz w:val="22"/>
          <w:szCs w:val="22"/>
        </w:rPr>
        <w:t xml:space="preserve">in 2010 </w:t>
      </w:r>
      <w:r w:rsidR="003347B6" w:rsidRPr="000C235B">
        <w:rPr>
          <w:sz w:val="22"/>
          <w:szCs w:val="22"/>
        </w:rPr>
        <w:t>to 83</w:t>
      </w:r>
      <w:r w:rsidR="000F4C18" w:rsidRPr="000C235B">
        <w:rPr>
          <w:sz w:val="22"/>
          <w:szCs w:val="22"/>
        </w:rPr>
        <w:t xml:space="preserve"> per cent</w:t>
      </w:r>
      <w:r w:rsidR="00E613F3" w:rsidRPr="000C235B">
        <w:rPr>
          <w:sz w:val="22"/>
          <w:szCs w:val="22"/>
        </w:rPr>
        <w:t xml:space="preserve"> in 2022</w:t>
      </w:r>
      <w:r w:rsidR="003347B6" w:rsidRPr="000C235B">
        <w:rPr>
          <w:sz w:val="22"/>
          <w:szCs w:val="22"/>
        </w:rPr>
        <w:t xml:space="preserve"> </w:t>
      </w:r>
      <w:r w:rsidR="00446CA3" w:rsidRPr="000C235B">
        <w:rPr>
          <w:sz w:val="22"/>
          <w:szCs w:val="22"/>
        </w:rPr>
        <w:t>in industry</w:t>
      </w:r>
      <w:r w:rsidR="000A725F" w:rsidRPr="000C235B">
        <w:rPr>
          <w:sz w:val="22"/>
          <w:szCs w:val="22"/>
        </w:rPr>
        <w:t xml:space="preserve"> </w:t>
      </w:r>
      <w:r w:rsidR="00AC7257" w:rsidRPr="000C235B">
        <w:rPr>
          <w:sz w:val="22"/>
          <w:szCs w:val="22"/>
        </w:rPr>
        <w:t>and from 97.7</w:t>
      </w:r>
      <w:r w:rsidR="000F4C18" w:rsidRPr="000C235B">
        <w:rPr>
          <w:sz w:val="22"/>
          <w:szCs w:val="22"/>
        </w:rPr>
        <w:t xml:space="preserve"> per cent</w:t>
      </w:r>
      <w:r w:rsidR="00AC7257" w:rsidRPr="000C235B">
        <w:rPr>
          <w:sz w:val="22"/>
          <w:szCs w:val="22"/>
        </w:rPr>
        <w:t xml:space="preserve"> to 96.6</w:t>
      </w:r>
      <w:r w:rsidR="000F4C18" w:rsidRPr="000C235B">
        <w:rPr>
          <w:sz w:val="22"/>
          <w:szCs w:val="22"/>
        </w:rPr>
        <w:t xml:space="preserve"> per cent</w:t>
      </w:r>
      <w:r w:rsidR="00AC7257" w:rsidRPr="000C235B">
        <w:rPr>
          <w:sz w:val="22"/>
          <w:szCs w:val="22"/>
        </w:rPr>
        <w:t xml:space="preserve"> </w:t>
      </w:r>
      <w:r w:rsidR="00446CA3" w:rsidRPr="000C235B">
        <w:rPr>
          <w:sz w:val="22"/>
          <w:szCs w:val="22"/>
        </w:rPr>
        <w:t>in services</w:t>
      </w:r>
      <w:r w:rsidR="00E613F3" w:rsidRPr="000C235B">
        <w:rPr>
          <w:sz w:val="22"/>
          <w:szCs w:val="22"/>
        </w:rPr>
        <w:t>.</w:t>
      </w:r>
      <w:r w:rsidR="001E1A76" w:rsidRPr="000C235B">
        <w:rPr>
          <w:sz w:val="22"/>
          <w:szCs w:val="22"/>
        </w:rPr>
        <w:t xml:space="preserve"> </w:t>
      </w:r>
    </w:p>
    <w:p w:rsidR="00917A47" w:rsidRPr="0061584B" w:rsidRDefault="00917A47" w:rsidP="00094E37">
      <w:pPr>
        <w:pStyle w:val="Tableheading"/>
        <w:ind w:left="1440" w:hanging="1440"/>
      </w:pPr>
      <w:r w:rsidRPr="0061584B">
        <w:t xml:space="preserve">Table </w:t>
      </w:r>
      <w:r w:rsidR="006436C9" w:rsidRPr="0061584B">
        <w:t>8.</w:t>
      </w:r>
      <w:r w:rsidR="004554CB" w:rsidRPr="0061584B">
        <w:t>11</w:t>
      </w:r>
      <w:r w:rsidRPr="0061584B">
        <w:t xml:space="preserve">: </w:t>
      </w:r>
      <w:r w:rsidR="00EE7040" w:rsidRPr="0061584B">
        <w:tab/>
      </w:r>
      <w:r w:rsidRPr="0061584B">
        <w:t xml:space="preserve">Evolution of </w:t>
      </w:r>
      <w:r w:rsidR="00F916D3">
        <w:t xml:space="preserve">the </w:t>
      </w:r>
      <w:r w:rsidR="00B5617B">
        <w:t>percenta</w:t>
      </w:r>
      <w:r w:rsidR="00ED3F9F">
        <w:t xml:space="preserve">ge </w:t>
      </w:r>
      <w:r w:rsidR="00F916D3">
        <w:t xml:space="preserve">share of </w:t>
      </w:r>
      <w:r w:rsidRPr="0061584B">
        <w:t>intra-Africa</w:t>
      </w:r>
      <w:r w:rsidR="0075223F" w:rsidRPr="0061584B">
        <w:t>n</w:t>
      </w:r>
      <w:r w:rsidRPr="0061584B">
        <w:t xml:space="preserve"> trade </w:t>
      </w:r>
      <w:r w:rsidR="0050196E">
        <w:t>by main sectors, 2010 and 2022</w:t>
      </w:r>
    </w:p>
    <w:p w:rsidR="00917A47" w:rsidRDefault="007E0781" w:rsidP="006D5982">
      <w:pPr>
        <w:spacing w:line="360" w:lineRule="auto"/>
      </w:pPr>
      <w:r w:rsidRPr="0061584B">
        <w:t xml:space="preserve"> </w:t>
      </w:r>
    </w:p>
    <w:p w:rsidR="005E4802" w:rsidRPr="0061584B" w:rsidRDefault="00601585" w:rsidP="005E4802">
      <w:pPr>
        <w:spacing w:line="360" w:lineRule="auto"/>
        <w:ind w:firstLine="0"/>
        <w:jc w:val="center"/>
      </w:pPr>
      <w:r w:rsidRPr="00601585">
        <w:pict>
          <v:shape id="_x0000_i1037" type="#_x0000_t75" style="width:408.75pt;height:81.75pt">
            <v:imagedata r:id="rId19" o:title=""/>
          </v:shape>
        </w:pict>
      </w:r>
    </w:p>
    <w:p w:rsidR="00917A47" w:rsidRPr="00D972AE" w:rsidRDefault="00917A47" w:rsidP="006D5982">
      <w:pPr>
        <w:pStyle w:val="Source"/>
        <w:spacing w:line="360" w:lineRule="auto"/>
      </w:pPr>
      <w:r w:rsidRPr="00D972AE">
        <w:t>Source: Authors’ calculations based on MIRAGE model</w:t>
      </w:r>
      <w:r w:rsidR="00334680" w:rsidRPr="00D972AE">
        <w:t>.</w:t>
      </w:r>
    </w:p>
    <w:p w:rsidR="007F6304" w:rsidRDefault="007F6304" w:rsidP="006D5982">
      <w:pPr>
        <w:pStyle w:val="Heading2"/>
        <w:spacing w:line="360" w:lineRule="auto"/>
      </w:pPr>
      <w:r>
        <w:t>8.4.2</w:t>
      </w:r>
      <w:r>
        <w:tab/>
        <w:t>Income</w:t>
      </w:r>
    </w:p>
    <w:p w:rsidR="00AE799F" w:rsidRPr="000C235B" w:rsidRDefault="00AE799F" w:rsidP="006D5982">
      <w:pPr>
        <w:spacing w:line="360" w:lineRule="auto"/>
        <w:rPr>
          <w:sz w:val="22"/>
          <w:szCs w:val="22"/>
        </w:rPr>
      </w:pPr>
      <w:r w:rsidRPr="000C235B">
        <w:rPr>
          <w:sz w:val="22"/>
          <w:szCs w:val="22"/>
        </w:rPr>
        <w:t xml:space="preserve">Thanks to significant and positive intra-African trade variations, the formation of FTAs at the regional level would result in </w:t>
      </w:r>
      <w:r w:rsidR="00137169" w:rsidRPr="000C235B">
        <w:rPr>
          <w:sz w:val="22"/>
          <w:szCs w:val="22"/>
        </w:rPr>
        <w:t>an</w:t>
      </w:r>
      <w:r w:rsidRPr="000C235B">
        <w:rPr>
          <w:sz w:val="22"/>
          <w:szCs w:val="22"/>
        </w:rPr>
        <w:t xml:space="preserve"> increase in real income of 0.</w:t>
      </w:r>
      <w:r w:rsidR="00167480" w:rsidRPr="000C235B">
        <w:rPr>
          <w:sz w:val="22"/>
          <w:szCs w:val="22"/>
        </w:rPr>
        <w:t>14</w:t>
      </w:r>
      <w:r w:rsidR="000F4C18" w:rsidRPr="000C235B">
        <w:rPr>
          <w:sz w:val="22"/>
          <w:szCs w:val="22"/>
        </w:rPr>
        <w:t xml:space="preserve"> per cent</w:t>
      </w:r>
      <w:r w:rsidRPr="000C235B">
        <w:rPr>
          <w:sz w:val="22"/>
          <w:szCs w:val="22"/>
        </w:rPr>
        <w:t xml:space="preserve"> (or </w:t>
      </w:r>
      <w:r w:rsidR="00036476" w:rsidRPr="000C235B">
        <w:rPr>
          <w:sz w:val="22"/>
          <w:szCs w:val="22"/>
        </w:rPr>
        <w:t>$</w:t>
      </w:r>
      <w:r w:rsidR="00167480" w:rsidRPr="000C235B">
        <w:rPr>
          <w:sz w:val="22"/>
          <w:szCs w:val="22"/>
        </w:rPr>
        <w:t>203.4</w:t>
      </w:r>
      <w:r w:rsidRPr="000C235B">
        <w:rPr>
          <w:sz w:val="22"/>
          <w:szCs w:val="22"/>
        </w:rPr>
        <w:t xml:space="preserve"> million) for </w:t>
      </w:r>
      <w:smartTag w:uri="urn:schemas-microsoft-com:office:smarttags" w:element="place">
        <w:r w:rsidRPr="000C235B">
          <w:rPr>
            <w:sz w:val="22"/>
            <w:szCs w:val="22"/>
          </w:rPr>
          <w:t>Africa</w:t>
        </w:r>
      </w:smartTag>
      <w:r w:rsidRPr="000C235B">
        <w:rPr>
          <w:sz w:val="22"/>
          <w:szCs w:val="22"/>
        </w:rPr>
        <w:t xml:space="preserve">, compared </w:t>
      </w:r>
      <w:r w:rsidR="00E613F3" w:rsidRPr="000C235B">
        <w:rPr>
          <w:sz w:val="22"/>
          <w:szCs w:val="22"/>
        </w:rPr>
        <w:t xml:space="preserve">with </w:t>
      </w:r>
      <w:r w:rsidRPr="000C235B">
        <w:rPr>
          <w:sz w:val="22"/>
          <w:szCs w:val="22"/>
        </w:rPr>
        <w:t>the reference case</w:t>
      </w:r>
      <w:r w:rsidR="00E613F3" w:rsidRPr="000C235B">
        <w:rPr>
          <w:sz w:val="22"/>
          <w:szCs w:val="22"/>
        </w:rPr>
        <w:t>,</w:t>
      </w:r>
      <w:r w:rsidRPr="000C235B">
        <w:rPr>
          <w:sz w:val="22"/>
          <w:szCs w:val="22"/>
        </w:rPr>
        <w:t xml:space="preserve"> in 2022. The implementation of </w:t>
      </w:r>
      <w:r w:rsidR="00036476" w:rsidRPr="000C235B">
        <w:rPr>
          <w:sz w:val="22"/>
          <w:szCs w:val="22"/>
        </w:rPr>
        <w:t>a C</w:t>
      </w:r>
      <w:r w:rsidRPr="000C235B">
        <w:rPr>
          <w:sz w:val="22"/>
          <w:szCs w:val="22"/>
        </w:rPr>
        <w:t xml:space="preserve">FTA would bring nearly </w:t>
      </w:r>
      <w:r w:rsidR="00E10FEA" w:rsidRPr="000C235B">
        <w:rPr>
          <w:sz w:val="22"/>
          <w:szCs w:val="22"/>
        </w:rPr>
        <w:t xml:space="preserve">50 </w:t>
      </w:r>
      <w:r w:rsidR="000C5AB2">
        <w:rPr>
          <w:sz w:val="22"/>
          <w:szCs w:val="22"/>
        </w:rPr>
        <w:t>per cent</w:t>
      </w:r>
      <w:r w:rsidRPr="000C235B">
        <w:rPr>
          <w:sz w:val="22"/>
          <w:szCs w:val="22"/>
        </w:rPr>
        <w:t xml:space="preserve"> more gains</w:t>
      </w:r>
      <w:r w:rsidR="00E10FEA" w:rsidRPr="000C235B">
        <w:rPr>
          <w:sz w:val="22"/>
          <w:szCs w:val="22"/>
        </w:rPr>
        <w:t>,</w:t>
      </w:r>
      <w:r w:rsidRPr="000C235B">
        <w:rPr>
          <w:sz w:val="22"/>
          <w:szCs w:val="22"/>
        </w:rPr>
        <w:t xml:space="preserve"> </w:t>
      </w:r>
      <w:r w:rsidR="00094E37">
        <w:rPr>
          <w:sz w:val="22"/>
          <w:szCs w:val="22"/>
        </w:rPr>
        <w:t>amounting to</w:t>
      </w:r>
      <w:r w:rsidR="00094E37" w:rsidRPr="000C235B">
        <w:rPr>
          <w:sz w:val="22"/>
          <w:szCs w:val="22"/>
        </w:rPr>
        <w:t xml:space="preserve"> </w:t>
      </w:r>
      <w:r w:rsidRPr="000C235B">
        <w:rPr>
          <w:sz w:val="22"/>
          <w:szCs w:val="22"/>
        </w:rPr>
        <w:t>0.</w:t>
      </w:r>
      <w:r w:rsidR="00167480" w:rsidRPr="000C235B">
        <w:rPr>
          <w:sz w:val="22"/>
          <w:szCs w:val="22"/>
        </w:rPr>
        <w:t>20</w:t>
      </w:r>
      <w:r w:rsidR="000F4C18" w:rsidRPr="000C235B">
        <w:rPr>
          <w:sz w:val="22"/>
          <w:szCs w:val="22"/>
        </w:rPr>
        <w:t xml:space="preserve"> per cent</w:t>
      </w:r>
      <w:r w:rsidRPr="000C235B">
        <w:rPr>
          <w:sz w:val="22"/>
          <w:szCs w:val="22"/>
        </w:rPr>
        <w:t xml:space="preserve"> (or </w:t>
      </w:r>
      <w:r w:rsidR="00036476" w:rsidRPr="000C235B">
        <w:rPr>
          <w:sz w:val="22"/>
          <w:szCs w:val="22"/>
        </w:rPr>
        <w:t>$</w:t>
      </w:r>
      <w:r w:rsidRPr="000C235B">
        <w:rPr>
          <w:sz w:val="22"/>
          <w:szCs w:val="22"/>
        </w:rPr>
        <w:t>2</w:t>
      </w:r>
      <w:r w:rsidR="00167480" w:rsidRPr="000C235B">
        <w:rPr>
          <w:sz w:val="22"/>
          <w:szCs w:val="22"/>
        </w:rPr>
        <w:t>96</w:t>
      </w:r>
      <w:r w:rsidRPr="000C235B">
        <w:rPr>
          <w:sz w:val="22"/>
          <w:szCs w:val="22"/>
        </w:rPr>
        <w:t>.</w:t>
      </w:r>
      <w:r w:rsidR="00167480" w:rsidRPr="000C235B">
        <w:rPr>
          <w:sz w:val="22"/>
          <w:szCs w:val="22"/>
        </w:rPr>
        <w:t>7</w:t>
      </w:r>
      <w:r w:rsidRPr="000C235B">
        <w:rPr>
          <w:sz w:val="22"/>
          <w:szCs w:val="22"/>
        </w:rPr>
        <w:t xml:space="preserve"> million)</w:t>
      </w:r>
      <w:r w:rsidR="0068521F" w:rsidRPr="000C235B">
        <w:rPr>
          <w:sz w:val="22"/>
          <w:szCs w:val="22"/>
        </w:rPr>
        <w:t xml:space="preserve">. </w:t>
      </w:r>
      <w:r w:rsidR="00036476" w:rsidRPr="000C235B">
        <w:rPr>
          <w:sz w:val="22"/>
          <w:szCs w:val="22"/>
        </w:rPr>
        <w:t>Hence, a</w:t>
      </w:r>
      <w:r w:rsidR="00D016F4" w:rsidRPr="000C235B">
        <w:rPr>
          <w:sz w:val="22"/>
          <w:szCs w:val="22"/>
        </w:rPr>
        <w:t>lthough real income increase</w:t>
      </w:r>
      <w:r w:rsidR="00DB3A20" w:rsidRPr="000C235B">
        <w:rPr>
          <w:sz w:val="22"/>
          <w:szCs w:val="22"/>
        </w:rPr>
        <w:t>s</w:t>
      </w:r>
      <w:r w:rsidR="00D016F4" w:rsidRPr="000C235B">
        <w:rPr>
          <w:sz w:val="22"/>
          <w:szCs w:val="22"/>
        </w:rPr>
        <w:t xml:space="preserve"> for Africa are </w:t>
      </w:r>
      <w:r w:rsidR="00DB3A20" w:rsidRPr="000C235B">
        <w:rPr>
          <w:sz w:val="22"/>
          <w:szCs w:val="22"/>
        </w:rPr>
        <w:t>relatively small</w:t>
      </w:r>
      <w:r w:rsidR="00036476" w:rsidRPr="000C235B">
        <w:rPr>
          <w:sz w:val="22"/>
          <w:szCs w:val="22"/>
        </w:rPr>
        <w:t>,</w:t>
      </w:r>
      <w:r w:rsidR="00DB3A20" w:rsidRPr="000C235B">
        <w:rPr>
          <w:sz w:val="22"/>
          <w:szCs w:val="22"/>
        </w:rPr>
        <w:t xml:space="preserve"> </w:t>
      </w:r>
      <w:r w:rsidR="008A14A7" w:rsidRPr="000C235B">
        <w:rPr>
          <w:sz w:val="22"/>
          <w:szCs w:val="22"/>
        </w:rPr>
        <w:t xml:space="preserve">the analysis </w:t>
      </w:r>
      <w:r w:rsidR="00DB3A20" w:rsidRPr="000C235B">
        <w:rPr>
          <w:sz w:val="22"/>
          <w:szCs w:val="22"/>
        </w:rPr>
        <w:t xml:space="preserve">implies that </w:t>
      </w:r>
      <w:smartTag w:uri="urn:schemas-microsoft-com:office:smarttags" w:element="place">
        <w:r w:rsidR="00D016F4" w:rsidRPr="000C235B">
          <w:rPr>
            <w:sz w:val="22"/>
            <w:szCs w:val="22"/>
          </w:rPr>
          <w:t>Africa</w:t>
        </w:r>
      </w:smartTag>
      <w:r w:rsidR="00D016F4" w:rsidRPr="000C235B">
        <w:rPr>
          <w:sz w:val="22"/>
          <w:szCs w:val="22"/>
        </w:rPr>
        <w:t xml:space="preserve"> as </w:t>
      </w:r>
      <w:r w:rsidR="00C47EA0" w:rsidRPr="000C235B">
        <w:rPr>
          <w:sz w:val="22"/>
          <w:szCs w:val="22"/>
        </w:rPr>
        <w:t xml:space="preserve">a </w:t>
      </w:r>
      <w:r w:rsidR="00D016F4" w:rsidRPr="000C235B">
        <w:rPr>
          <w:sz w:val="22"/>
          <w:szCs w:val="22"/>
        </w:rPr>
        <w:t>whole would be better of</w:t>
      </w:r>
      <w:r w:rsidR="00C47EA0" w:rsidRPr="000C235B">
        <w:rPr>
          <w:sz w:val="22"/>
          <w:szCs w:val="22"/>
        </w:rPr>
        <w:t>f</w:t>
      </w:r>
      <w:r w:rsidR="002D190A" w:rsidRPr="000C235B">
        <w:rPr>
          <w:sz w:val="22"/>
          <w:szCs w:val="22"/>
        </w:rPr>
        <w:t xml:space="preserve"> despite tariff revenue losses </w:t>
      </w:r>
      <w:r w:rsidR="00094E37">
        <w:rPr>
          <w:sz w:val="22"/>
          <w:szCs w:val="22"/>
        </w:rPr>
        <w:t>resulting from</w:t>
      </w:r>
      <w:r w:rsidR="002D190A" w:rsidRPr="000C235B">
        <w:rPr>
          <w:sz w:val="22"/>
          <w:szCs w:val="22"/>
        </w:rPr>
        <w:t xml:space="preserve"> the trade reforms</w:t>
      </w:r>
      <w:r w:rsidR="007D6F9F" w:rsidRPr="000C235B">
        <w:rPr>
          <w:sz w:val="22"/>
          <w:szCs w:val="22"/>
        </w:rPr>
        <w:t>.</w:t>
      </w:r>
      <w:r w:rsidR="00036476" w:rsidRPr="000C235B">
        <w:rPr>
          <w:sz w:val="22"/>
          <w:szCs w:val="22"/>
        </w:rPr>
        <w:t xml:space="preserve"> </w:t>
      </w:r>
      <w:r w:rsidR="00DB3A20" w:rsidRPr="000C235B">
        <w:rPr>
          <w:sz w:val="22"/>
          <w:szCs w:val="22"/>
        </w:rPr>
        <w:t>N</w:t>
      </w:r>
      <w:r w:rsidRPr="000C235B">
        <w:rPr>
          <w:sz w:val="22"/>
          <w:szCs w:val="22"/>
        </w:rPr>
        <w:t xml:space="preserve">on-African countries </w:t>
      </w:r>
      <w:r w:rsidR="008A14A7" w:rsidRPr="000C235B">
        <w:rPr>
          <w:sz w:val="22"/>
          <w:szCs w:val="22"/>
        </w:rPr>
        <w:t xml:space="preserve">that </w:t>
      </w:r>
      <w:r w:rsidRPr="000C235B">
        <w:rPr>
          <w:sz w:val="22"/>
          <w:szCs w:val="22"/>
        </w:rPr>
        <w:t xml:space="preserve">do not implement </w:t>
      </w:r>
      <w:r w:rsidR="007D6F9F" w:rsidRPr="000C235B">
        <w:rPr>
          <w:sz w:val="22"/>
          <w:szCs w:val="22"/>
        </w:rPr>
        <w:t xml:space="preserve">the liberalization </w:t>
      </w:r>
      <w:r w:rsidR="00D60141" w:rsidRPr="000C235B">
        <w:rPr>
          <w:sz w:val="22"/>
          <w:szCs w:val="22"/>
        </w:rPr>
        <w:t xml:space="preserve">reforms and </w:t>
      </w:r>
      <w:r w:rsidR="008A14A7" w:rsidRPr="000C235B">
        <w:rPr>
          <w:sz w:val="22"/>
          <w:szCs w:val="22"/>
        </w:rPr>
        <w:t xml:space="preserve">that </w:t>
      </w:r>
      <w:r w:rsidR="00D60141" w:rsidRPr="000C235B">
        <w:rPr>
          <w:sz w:val="22"/>
          <w:szCs w:val="22"/>
        </w:rPr>
        <w:t>los</w:t>
      </w:r>
      <w:r w:rsidR="008A14A7" w:rsidRPr="000C235B">
        <w:rPr>
          <w:sz w:val="22"/>
          <w:szCs w:val="22"/>
        </w:rPr>
        <w:t>e</w:t>
      </w:r>
      <w:r w:rsidR="00D60141" w:rsidRPr="000C235B">
        <w:rPr>
          <w:sz w:val="22"/>
          <w:szCs w:val="22"/>
        </w:rPr>
        <w:t xml:space="preserve"> markets to Africa </w:t>
      </w:r>
      <w:r w:rsidRPr="000C235B">
        <w:rPr>
          <w:sz w:val="22"/>
          <w:szCs w:val="22"/>
        </w:rPr>
        <w:t xml:space="preserve">would see their real income diminish </w:t>
      </w:r>
      <w:r w:rsidR="00D60141" w:rsidRPr="000C235B">
        <w:rPr>
          <w:sz w:val="22"/>
          <w:szCs w:val="22"/>
        </w:rPr>
        <w:t xml:space="preserve">in absolute terms </w:t>
      </w:r>
      <w:r w:rsidRPr="000C235B">
        <w:rPr>
          <w:sz w:val="22"/>
          <w:szCs w:val="22"/>
        </w:rPr>
        <w:t xml:space="preserve">as regional integration deepens in </w:t>
      </w:r>
      <w:smartTag w:uri="urn:schemas-microsoft-com:office:smarttags" w:element="place">
        <w:r w:rsidRPr="000C235B">
          <w:rPr>
            <w:sz w:val="22"/>
            <w:szCs w:val="22"/>
          </w:rPr>
          <w:t>Africa</w:t>
        </w:r>
      </w:smartTag>
      <w:r w:rsidR="0052798F" w:rsidRPr="000C235B">
        <w:rPr>
          <w:sz w:val="22"/>
          <w:szCs w:val="22"/>
        </w:rPr>
        <w:t xml:space="preserve"> (</w:t>
      </w:r>
      <w:r w:rsidR="00FB0D3B">
        <w:rPr>
          <w:sz w:val="22"/>
          <w:szCs w:val="22"/>
        </w:rPr>
        <w:t>table</w:t>
      </w:r>
      <w:r w:rsidR="0052798F" w:rsidRPr="000C235B">
        <w:rPr>
          <w:sz w:val="22"/>
          <w:szCs w:val="22"/>
        </w:rPr>
        <w:t xml:space="preserve"> </w:t>
      </w:r>
      <w:r w:rsidR="006436C9" w:rsidRPr="000C235B">
        <w:rPr>
          <w:sz w:val="22"/>
          <w:szCs w:val="22"/>
        </w:rPr>
        <w:t>8.</w:t>
      </w:r>
      <w:r w:rsidR="0052798F" w:rsidRPr="000C235B">
        <w:rPr>
          <w:sz w:val="22"/>
          <w:szCs w:val="22"/>
        </w:rPr>
        <w:t>1</w:t>
      </w:r>
      <w:r w:rsidR="004554CB" w:rsidRPr="000C235B">
        <w:rPr>
          <w:sz w:val="22"/>
          <w:szCs w:val="22"/>
        </w:rPr>
        <w:t>2</w:t>
      </w:r>
      <w:r w:rsidR="0052798F" w:rsidRPr="000C235B">
        <w:rPr>
          <w:sz w:val="22"/>
          <w:szCs w:val="22"/>
        </w:rPr>
        <w:t>)</w:t>
      </w:r>
      <w:r w:rsidRPr="000C235B">
        <w:rPr>
          <w:sz w:val="22"/>
          <w:szCs w:val="22"/>
        </w:rPr>
        <w:t>.</w:t>
      </w:r>
    </w:p>
    <w:p w:rsidR="00AE799F" w:rsidRPr="0061584B" w:rsidRDefault="0052798F" w:rsidP="00094E37">
      <w:pPr>
        <w:pStyle w:val="Tableheading"/>
        <w:ind w:left="1440" w:hanging="1440"/>
      </w:pPr>
      <w:r w:rsidRPr="0061584B">
        <w:t xml:space="preserve">Table </w:t>
      </w:r>
      <w:r w:rsidR="006436C9" w:rsidRPr="0061584B">
        <w:t>8.</w:t>
      </w:r>
      <w:r w:rsidRPr="0061584B">
        <w:t>1</w:t>
      </w:r>
      <w:r w:rsidR="004554CB" w:rsidRPr="0061584B">
        <w:t>2</w:t>
      </w:r>
      <w:r w:rsidRPr="0061584B">
        <w:t xml:space="preserve">: </w:t>
      </w:r>
      <w:r w:rsidR="00EE7040" w:rsidRPr="0061584B">
        <w:tab/>
      </w:r>
      <w:r w:rsidR="00AE799F" w:rsidRPr="0061584B">
        <w:t xml:space="preserve">Real income </w:t>
      </w:r>
      <w:r w:rsidR="00446CA3" w:rsidRPr="0061584B">
        <w:t xml:space="preserve">variations </w:t>
      </w:r>
      <w:r w:rsidR="00AE799F" w:rsidRPr="0061584B">
        <w:t xml:space="preserve">by main regions – </w:t>
      </w:r>
      <w:r w:rsidR="000C5AB2">
        <w:t>percent</w:t>
      </w:r>
      <w:r w:rsidR="006A6186" w:rsidRPr="0061584B">
        <w:t>age and value c</w:t>
      </w:r>
      <w:r w:rsidR="00AE799F" w:rsidRPr="0061584B">
        <w:t xml:space="preserve">hanges compared </w:t>
      </w:r>
      <w:r w:rsidR="008A14A7">
        <w:t>with</w:t>
      </w:r>
      <w:r w:rsidR="008A14A7" w:rsidRPr="0061584B">
        <w:t xml:space="preserve"> </w:t>
      </w:r>
      <w:r w:rsidR="00AE799F" w:rsidRPr="0061584B">
        <w:t>the baseline scenario</w:t>
      </w:r>
      <w:r w:rsidR="008A14A7">
        <w:t xml:space="preserve">, </w:t>
      </w:r>
      <w:r w:rsidR="00AE799F" w:rsidRPr="0061584B">
        <w:t>2022</w:t>
      </w:r>
    </w:p>
    <w:p w:rsidR="00AE799F" w:rsidRDefault="007F3066" w:rsidP="006D5982">
      <w:pPr>
        <w:spacing w:line="360" w:lineRule="auto"/>
      </w:pPr>
      <w:r w:rsidRPr="0061584B">
        <w:t xml:space="preserve"> </w:t>
      </w:r>
    </w:p>
    <w:p w:rsidR="00FA58CF" w:rsidRPr="0061584B" w:rsidRDefault="00601585" w:rsidP="00601585">
      <w:pPr>
        <w:spacing w:line="360" w:lineRule="auto"/>
        <w:ind w:firstLine="0"/>
        <w:jc w:val="center"/>
      </w:pPr>
      <w:r w:rsidRPr="00601585">
        <w:pict>
          <v:shape id="_x0000_i1038" type="#_x0000_t75" style="width:396pt;height:116.25pt">
            <v:imagedata r:id="rId20" o:title=""/>
          </v:shape>
        </w:pict>
      </w:r>
    </w:p>
    <w:p w:rsidR="00AE799F" w:rsidRPr="000C235B" w:rsidRDefault="00AE799F" w:rsidP="006D5982">
      <w:pPr>
        <w:pStyle w:val="Source"/>
        <w:spacing w:line="360" w:lineRule="auto"/>
        <w:rPr>
          <w:sz w:val="20"/>
          <w:szCs w:val="20"/>
        </w:rPr>
      </w:pPr>
      <w:r w:rsidRPr="000C235B">
        <w:rPr>
          <w:sz w:val="20"/>
          <w:szCs w:val="20"/>
        </w:rPr>
        <w:t>Source: Authors’ calculations based on MIRAGE model</w:t>
      </w:r>
      <w:r w:rsidR="00334680" w:rsidRPr="000C235B">
        <w:rPr>
          <w:sz w:val="20"/>
          <w:szCs w:val="20"/>
        </w:rPr>
        <w:t>.</w:t>
      </w:r>
    </w:p>
    <w:p w:rsidR="007F6304" w:rsidRDefault="007F6304" w:rsidP="006D5982">
      <w:pPr>
        <w:pStyle w:val="Heading2"/>
        <w:spacing w:line="360" w:lineRule="auto"/>
      </w:pPr>
      <w:r>
        <w:t>8.4.3</w:t>
      </w:r>
      <w:r>
        <w:tab/>
        <w:t>Wages</w:t>
      </w:r>
    </w:p>
    <w:p w:rsidR="001B720B" w:rsidRPr="0061584B" w:rsidRDefault="007D6F9F" w:rsidP="006D5982">
      <w:pPr>
        <w:spacing w:line="360" w:lineRule="auto"/>
      </w:pPr>
      <w:r w:rsidRPr="0061584B">
        <w:t>In addition, t</w:t>
      </w:r>
      <w:r w:rsidR="00DE5E22" w:rsidRPr="0061584B">
        <w:t>he trade reforms have a positive</w:t>
      </w:r>
      <w:r w:rsidR="007F6E0A" w:rsidRPr="0061584B">
        <w:t xml:space="preserve">, </w:t>
      </w:r>
      <w:r w:rsidR="00624250">
        <w:t>al</w:t>
      </w:r>
      <w:r w:rsidR="007F6E0A" w:rsidRPr="0061584B">
        <w:t xml:space="preserve">though </w:t>
      </w:r>
      <w:r w:rsidR="00094E37">
        <w:t>small</w:t>
      </w:r>
      <w:r w:rsidR="007F6E0A" w:rsidRPr="0061584B">
        <w:t>,</w:t>
      </w:r>
      <w:r w:rsidR="00DE5E22" w:rsidRPr="0061584B">
        <w:t xml:space="preserve"> impact on real wages for all categories of African workers. </w:t>
      </w:r>
      <w:r w:rsidR="00624250">
        <w:t>U</w:t>
      </w:r>
      <w:r w:rsidR="00DE5E22" w:rsidRPr="0061584B">
        <w:t>n</w:t>
      </w:r>
      <w:r w:rsidR="00C47EA0" w:rsidRPr="0061584B">
        <w:t>skilled workers employed in non-</w:t>
      </w:r>
      <w:r w:rsidR="00DE5E22" w:rsidRPr="0061584B">
        <w:t>agricultural sectors register the highest increase in income</w:t>
      </w:r>
      <w:r w:rsidR="00E25F8B" w:rsidRPr="0061584B">
        <w:t>, at</w:t>
      </w:r>
      <w:r w:rsidR="00DE5E22" w:rsidRPr="0061584B">
        <w:t xml:space="preserve"> 0.</w:t>
      </w:r>
      <w:r w:rsidR="00F62AC8" w:rsidRPr="0061584B">
        <w:t>70</w:t>
      </w:r>
      <w:r w:rsidR="000F4C18">
        <w:t xml:space="preserve"> per cent</w:t>
      </w:r>
      <w:r w:rsidR="00DE5E22" w:rsidRPr="0061584B">
        <w:t xml:space="preserve"> and 0.</w:t>
      </w:r>
      <w:r w:rsidR="00F62AC8" w:rsidRPr="0061584B">
        <w:t xml:space="preserve">80 </w:t>
      </w:r>
      <w:r w:rsidR="00DE5E22" w:rsidRPr="0061584B">
        <w:t xml:space="preserve">with </w:t>
      </w:r>
      <w:r w:rsidR="00624250">
        <w:t>r</w:t>
      </w:r>
      <w:r w:rsidR="00DE5E22" w:rsidRPr="0061584B">
        <w:t>egional FTAs and</w:t>
      </w:r>
      <w:r w:rsidR="00E25F8B" w:rsidRPr="0061584B">
        <w:t xml:space="preserve"> a</w:t>
      </w:r>
      <w:r w:rsidR="00DE5E22" w:rsidRPr="0061584B">
        <w:t xml:space="preserve"> </w:t>
      </w:r>
      <w:r w:rsidR="00E25F8B" w:rsidRPr="0061584B">
        <w:t>C</w:t>
      </w:r>
      <w:r w:rsidR="00DE5E22" w:rsidRPr="0061584B">
        <w:t>FTA, respectively</w:t>
      </w:r>
      <w:r w:rsidR="00624250">
        <w:t>.</w:t>
      </w:r>
      <w:r w:rsidR="00E25F8B" w:rsidRPr="0061584B">
        <w:t xml:space="preserve"> </w:t>
      </w:r>
      <w:r w:rsidR="00624250">
        <w:t>F</w:t>
      </w:r>
      <w:r w:rsidR="00E25F8B" w:rsidRPr="0061584B">
        <w:t xml:space="preserve">or their unskilled counterparts </w:t>
      </w:r>
      <w:r w:rsidR="00DE5E22" w:rsidRPr="0061584B">
        <w:t xml:space="preserve">in </w:t>
      </w:r>
      <w:r w:rsidR="00E25F8B" w:rsidRPr="0061584B">
        <w:t>the agricultural sector</w:t>
      </w:r>
      <w:r w:rsidR="003704DC">
        <w:t xml:space="preserve">, </w:t>
      </w:r>
      <w:r w:rsidR="00624250">
        <w:t>real wages would</w:t>
      </w:r>
      <w:r w:rsidR="00E25F8B" w:rsidRPr="0061584B">
        <w:t xml:space="preserve"> increase </w:t>
      </w:r>
      <w:r w:rsidR="00DE5E22" w:rsidRPr="0061584B">
        <w:t>0.</w:t>
      </w:r>
      <w:r w:rsidR="00F62AC8" w:rsidRPr="0061584B">
        <w:t>65</w:t>
      </w:r>
      <w:r w:rsidR="000F4C18">
        <w:t xml:space="preserve"> per cent</w:t>
      </w:r>
      <w:r w:rsidR="00DE5E22" w:rsidRPr="0061584B">
        <w:t xml:space="preserve"> and 0.</w:t>
      </w:r>
      <w:r w:rsidR="00F62AC8" w:rsidRPr="0061584B">
        <w:t>74</w:t>
      </w:r>
      <w:r w:rsidR="000F4C18">
        <w:t xml:space="preserve"> per cent</w:t>
      </w:r>
      <w:r w:rsidR="00DE5E22" w:rsidRPr="0061584B">
        <w:t xml:space="preserve"> with FTAs at </w:t>
      </w:r>
      <w:r w:rsidR="00E25F8B" w:rsidRPr="0061584B">
        <w:t>r</w:t>
      </w:r>
      <w:r w:rsidR="00DE5E22" w:rsidRPr="0061584B">
        <w:t xml:space="preserve">egional and </w:t>
      </w:r>
      <w:r w:rsidR="00E25F8B" w:rsidRPr="0061584B">
        <w:t>c</w:t>
      </w:r>
      <w:r w:rsidR="00DE5E22" w:rsidRPr="0061584B">
        <w:t xml:space="preserve">ontinental levels, respectively. Both trade reforms </w:t>
      </w:r>
      <w:r w:rsidR="003704DC">
        <w:t xml:space="preserve">also </w:t>
      </w:r>
      <w:r w:rsidR="00DE5E22" w:rsidRPr="0061584B">
        <w:t xml:space="preserve">would improve </w:t>
      </w:r>
      <w:r w:rsidR="00E25F8B" w:rsidRPr="0061584B">
        <w:t xml:space="preserve">the </w:t>
      </w:r>
      <w:r w:rsidR="00DE5E22" w:rsidRPr="0061584B">
        <w:t>income of skilled workers</w:t>
      </w:r>
      <w:r w:rsidR="00E25F8B" w:rsidRPr="0061584B">
        <w:t>,</w:t>
      </w:r>
      <w:r w:rsidR="00DE5E22" w:rsidRPr="0061584B">
        <w:t xml:space="preserve"> but </w:t>
      </w:r>
      <w:r w:rsidR="00E25F8B" w:rsidRPr="0061584B">
        <w:t xml:space="preserve">to </w:t>
      </w:r>
      <w:r w:rsidR="00DE5E22" w:rsidRPr="0061584B">
        <w:t>a lesser extent</w:t>
      </w:r>
      <w:r w:rsidR="00962082" w:rsidRPr="0061584B">
        <w:t xml:space="preserve"> (</w:t>
      </w:r>
      <w:r w:rsidR="00FB0D3B">
        <w:t>table</w:t>
      </w:r>
      <w:r w:rsidR="00962082" w:rsidRPr="0061584B">
        <w:t xml:space="preserve"> </w:t>
      </w:r>
      <w:r w:rsidR="008E578D" w:rsidRPr="0061584B">
        <w:t>8.</w:t>
      </w:r>
      <w:r w:rsidR="00962082" w:rsidRPr="0061584B">
        <w:t>1</w:t>
      </w:r>
      <w:r w:rsidR="004554CB" w:rsidRPr="0061584B">
        <w:t>3</w:t>
      </w:r>
      <w:r w:rsidR="00962082" w:rsidRPr="0061584B">
        <w:t>)</w:t>
      </w:r>
      <w:r w:rsidR="00DE5E22" w:rsidRPr="0061584B">
        <w:t>. Th</w:t>
      </w:r>
      <w:r w:rsidR="003704DC">
        <w:t>ese wage increases are</w:t>
      </w:r>
      <w:r w:rsidR="00DE5E22" w:rsidRPr="0061584B">
        <w:t xml:space="preserve"> in line with </w:t>
      </w:r>
      <w:r w:rsidR="00E25F8B" w:rsidRPr="0061584B">
        <w:t xml:space="preserve">the </w:t>
      </w:r>
      <w:r w:rsidR="00DE5E22" w:rsidRPr="0061584B">
        <w:t xml:space="preserve">intra-African trade increase highlighted in </w:t>
      </w:r>
      <w:r w:rsidR="00B03E3F" w:rsidRPr="0061584B">
        <w:t>figure</w:t>
      </w:r>
      <w:r w:rsidR="00DE5E22" w:rsidRPr="0061584B">
        <w:t xml:space="preserve"> </w:t>
      </w:r>
      <w:r w:rsidR="008E578D" w:rsidRPr="0061584B">
        <w:t>8.</w:t>
      </w:r>
      <w:r w:rsidR="00DE5E22" w:rsidRPr="0061584B">
        <w:t>2</w:t>
      </w:r>
      <w:r w:rsidR="00E25F8B" w:rsidRPr="0061584B">
        <w:t>,</w:t>
      </w:r>
      <w:r w:rsidR="00DE5E22" w:rsidRPr="0061584B">
        <w:t xml:space="preserve"> showing industrial exports </w:t>
      </w:r>
      <w:r w:rsidR="00E25F8B" w:rsidRPr="0061584B">
        <w:t xml:space="preserve">rising </w:t>
      </w:r>
      <w:r w:rsidR="00DE5E22" w:rsidRPr="0061584B">
        <w:t xml:space="preserve">more than agricultural </w:t>
      </w:r>
      <w:r w:rsidR="003704DC">
        <w:t xml:space="preserve">exports </w:t>
      </w:r>
      <w:r w:rsidR="00DE5E22" w:rsidRPr="0061584B">
        <w:t xml:space="preserve">as </w:t>
      </w:r>
      <w:r w:rsidR="003704DC">
        <w:t xml:space="preserve">a </w:t>
      </w:r>
      <w:r w:rsidR="00DE5E22" w:rsidRPr="0061584B">
        <w:t xml:space="preserve">consequence of the implemented </w:t>
      </w:r>
      <w:r w:rsidR="00E25F8B" w:rsidRPr="0061584B">
        <w:t xml:space="preserve">liberalization </w:t>
      </w:r>
      <w:r w:rsidR="00DE5E22" w:rsidRPr="0061584B">
        <w:t>reforms.</w:t>
      </w:r>
    </w:p>
    <w:p w:rsidR="001B720B" w:rsidRPr="0061584B" w:rsidRDefault="001B720B" w:rsidP="00094E37">
      <w:pPr>
        <w:pStyle w:val="Tableheading"/>
        <w:ind w:left="1440" w:hanging="1440"/>
      </w:pPr>
      <w:r w:rsidRPr="0061584B">
        <w:t xml:space="preserve">Table </w:t>
      </w:r>
      <w:r w:rsidR="006436C9" w:rsidRPr="0061584B">
        <w:t>8.</w:t>
      </w:r>
      <w:r w:rsidRPr="0061584B">
        <w:t>1</w:t>
      </w:r>
      <w:r w:rsidR="004554CB" w:rsidRPr="0061584B">
        <w:t>3</w:t>
      </w:r>
      <w:r w:rsidRPr="0061584B">
        <w:t xml:space="preserve">: </w:t>
      </w:r>
      <w:r w:rsidR="00EE7040" w:rsidRPr="0061584B">
        <w:tab/>
      </w:r>
      <w:r w:rsidRPr="0061584B">
        <w:t xml:space="preserve">Real wages </w:t>
      </w:r>
      <w:r w:rsidR="003704DC">
        <w:t xml:space="preserve">in Africa </w:t>
      </w:r>
      <w:r w:rsidRPr="0061584B">
        <w:t>by main qualifications and main sectors of activity –</w:t>
      </w:r>
      <w:r w:rsidR="00094E37">
        <w:t xml:space="preserve"> </w:t>
      </w:r>
      <w:r w:rsidR="003704DC">
        <w:t>p</w:t>
      </w:r>
      <w:r w:rsidR="006A6186" w:rsidRPr="0061584B">
        <w:t>ercentage c</w:t>
      </w:r>
      <w:r w:rsidRPr="0061584B">
        <w:t xml:space="preserve">hanges compared </w:t>
      </w:r>
      <w:r w:rsidR="003704DC">
        <w:t>with</w:t>
      </w:r>
      <w:r w:rsidR="003704DC" w:rsidRPr="0061584B">
        <w:t xml:space="preserve"> </w:t>
      </w:r>
      <w:r w:rsidRPr="0061584B">
        <w:t>the baseline scenario</w:t>
      </w:r>
      <w:r w:rsidR="003704DC">
        <w:t>,</w:t>
      </w:r>
      <w:r w:rsidRPr="0061584B">
        <w:t xml:space="preserve"> 2022</w:t>
      </w:r>
    </w:p>
    <w:p w:rsidR="00FA58CF" w:rsidRPr="006D2C95" w:rsidRDefault="00B72E3B" w:rsidP="001223A0">
      <w:pPr>
        <w:spacing w:line="360" w:lineRule="auto"/>
      </w:pPr>
      <w:r w:rsidRPr="0061584B">
        <w:t xml:space="preserve"> </w:t>
      </w:r>
      <w:r w:rsidR="00F62AC8" w:rsidRPr="0061584B">
        <w:t xml:space="preserve"> </w:t>
      </w:r>
      <w:r w:rsidR="006D2C95" w:rsidRPr="006D2C95">
        <w:pict>
          <v:shape id="_x0000_i1039" type="#_x0000_t75" style="width:257.25pt;height:147.75pt">
            <v:imagedata r:id="rId21" o:title=""/>
          </v:shape>
        </w:pict>
      </w:r>
      <w:r w:rsidR="006D2C95" w:rsidRPr="006D2C95">
        <w:t xml:space="preserve"> </w:t>
      </w:r>
    </w:p>
    <w:p w:rsidR="001B720B" w:rsidRPr="000C235B" w:rsidRDefault="001B720B" w:rsidP="006D5982">
      <w:pPr>
        <w:pStyle w:val="Source"/>
        <w:spacing w:line="360" w:lineRule="auto"/>
        <w:rPr>
          <w:sz w:val="20"/>
          <w:szCs w:val="20"/>
        </w:rPr>
      </w:pPr>
      <w:r w:rsidRPr="000C235B">
        <w:rPr>
          <w:sz w:val="20"/>
          <w:szCs w:val="20"/>
        </w:rPr>
        <w:t>Source: Authors’ calculations based on MIRAGE model</w:t>
      </w:r>
      <w:r w:rsidR="00334680" w:rsidRPr="000C235B">
        <w:rPr>
          <w:sz w:val="20"/>
          <w:szCs w:val="20"/>
        </w:rPr>
        <w:t>.</w:t>
      </w:r>
    </w:p>
    <w:p w:rsidR="007F6304" w:rsidRDefault="007F6304" w:rsidP="006D5982">
      <w:pPr>
        <w:pStyle w:val="Heading2"/>
        <w:spacing w:line="360" w:lineRule="auto"/>
      </w:pPr>
      <w:r>
        <w:t>8.4.4</w:t>
      </w:r>
      <w:r>
        <w:tab/>
        <w:t>Employment</w:t>
      </w:r>
    </w:p>
    <w:p w:rsidR="00EA46C8" w:rsidRPr="000C235B" w:rsidRDefault="006577FB" w:rsidP="006D5982">
      <w:pPr>
        <w:spacing w:line="360" w:lineRule="auto"/>
        <w:rPr>
          <w:sz w:val="22"/>
          <w:szCs w:val="22"/>
        </w:rPr>
      </w:pPr>
      <w:r>
        <w:rPr>
          <w:sz w:val="22"/>
          <w:szCs w:val="22"/>
        </w:rPr>
        <w:t>A</w:t>
      </w:r>
      <w:r w:rsidR="00EA46C8" w:rsidRPr="000C235B">
        <w:rPr>
          <w:sz w:val="22"/>
          <w:szCs w:val="22"/>
        </w:rPr>
        <w:t xml:space="preserve">s indicated in </w:t>
      </w:r>
      <w:r w:rsidR="00B03E3F" w:rsidRPr="000C235B">
        <w:rPr>
          <w:sz w:val="22"/>
          <w:szCs w:val="22"/>
        </w:rPr>
        <w:t>table</w:t>
      </w:r>
      <w:r w:rsidR="001C5780" w:rsidRPr="000C235B">
        <w:rPr>
          <w:sz w:val="22"/>
          <w:szCs w:val="22"/>
        </w:rPr>
        <w:t xml:space="preserve"> </w:t>
      </w:r>
      <w:r w:rsidR="008E578D" w:rsidRPr="000C235B">
        <w:rPr>
          <w:sz w:val="22"/>
          <w:szCs w:val="22"/>
        </w:rPr>
        <w:t>8.</w:t>
      </w:r>
      <w:r w:rsidR="00EA46C8" w:rsidRPr="000C235B">
        <w:rPr>
          <w:sz w:val="22"/>
          <w:szCs w:val="22"/>
        </w:rPr>
        <w:t>1</w:t>
      </w:r>
      <w:r w:rsidR="004554CB" w:rsidRPr="000C235B">
        <w:rPr>
          <w:sz w:val="22"/>
          <w:szCs w:val="22"/>
        </w:rPr>
        <w:t>4</w:t>
      </w:r>
      <w:r w:rsidR="00EA46C8" w:rsidRPr="000C235B">
        <w:rPr>
          <w:sz w:val="22"/>
          <w:szCs w:val="22"/>
        </w:rPr>
        <w:t xml:space="preserve">, </w:t>
      </w:r>
      <w:r w:rsidR="006B5017" w:rsidRPr="000C235B">
        <w:rPr>
          <w:sz w:val="22"/>
          <w:szCs w:val="22"/>
        </w:rPr>
        <w:t xml:space="preserve">in response to </w:t>
      </w:r>
      <w:r w:rsidR="00EA46C8" w:rsidRPr="000C235B">
        <w:rPr>
          <w:sz w:val="22"/>
          <w:szCs w:val="22"/>
        </w:rPr>
        <w:t>larger salar</w:t>
      </w:r>
      <w:r w:rsidR="001C5780" w:rsidRPr="000C235B">
        <w:rPr>
          <w:sz w:val="22"/>
          <w:szCs w:val="22"/>
        </w:rPr>
        <w:t>y</w:t>
      </w:r>
      <w:r w:rsidR="00EA46C8" w:rsidRPr="000C235B">
        <w:rPr>
          <w:sz w:val="22"/>
          <w:szCs w:val="22"/>
        </w:rPr>
        <w:t xml:space="preserve"> increase</w:t>
      </w:r>
      <w:r w:rsidR="001C5780" w:rsidRPr="000C235B">
        <w:rPr>
          <w:sz w:val="22"/>
          <w:szCs w:val="22"/>
        </w:rPr>
        <w:t>s</w:t>
      </w:r>
      <w:r w:rsidR="00EA46C8" w:rsidRPr="000C235B">
        <w:rPr>
          <w:sz w:val="22"/>
          <w:szCs w:val="22"/>
        </w:rPr>
        <w:t xml:space="preserve"> for unskilled workers employed in non-agricultural sectors than for </w:t>
      </w:r>
      <w:r w:rsidR="001C5780" w:rsidRPr="000C235B">
        <w:rPr>
          <w:sz w:val="22"/>
          <w:szCs w:val="22"/>
        </w:rPr>
        <w:t xml:space="preserve">those </w:t>
      </w:r>
      <w:r w:rsidR="00EA46C8" w:rsidRPr="000C235B">
        <w:rPr>
          <w:sz w:val="22"/>
          <w:szCs w:val="22"/>
        </w:rPr>
        <w:t xml:space="preserve">in agriculture, employment in Africa would </w:t>
      </w:r>
      <w:r w:rsidR="00AF45A5" w:rsidRPr="000C235B">
        <w:rPr>
          <w:sz w:val="22"/>
          <w:szCs w:val="22"/>
        </w:rPr>
        <w:t xml:space="preserve">most likely </w:t>
      </w:r>
      <w:r>
        <w:rPr>
          <w:sz w:val="22"/>
          <w:szCs w:val="22"/>
        </w:rPr>
        <w:t xml:space="preserve">fall </w:t>
      </w:r>
      <w:r w:rsidR="00EA46C8" w:rsidRPr="000C235B">
        <w:rPr>
          <w:sz w:val="22"/>
          <w:szCs w:val="22"/>
        </w:rPr>
        <w:t xml:space="preserve">slightly in </w:t>
      </w:r>
      <w:r w:rsidR="00D37984" w:rsidRPr="000C235B">
        <w:rPr>
          <w:sz w:val="22"/>
          <w:szCs w:val="22"/>
        </w:rPr>
        <w:t xml:space="preserve">the </w:t>
      </w:r>
      <w:r w:rsidR="00AF45A5" w:rsidRPr="000C235B">
        <w:rPr>
          <w:sz w:val="22"/>
          <w:szCs w:val="22"/>
        </w:rPr>
        <w:t xml:space="preserve">agriculture </w:t>
      </w:r>
      <w:r w:rsidR="00EA46C8" w:rsidRPr="000C235B">
        <w:rPr>
          <w:sz w:val="22"/>
          <w:szCs w:val="22"/>
        </w:rPr>
        <w:t>sector</w:t>
      </w:r>
      <w:r>
        <w:rPr>
          <w:sz w:val="22"/>
          <w:szCs w:val="22"/>
        </w:rPr>
        <w:t>,</w:t>
      </w:r>
      <w:r w:rsidR="00EA46C8" w:rsidRPr="000C235B">
        <w:rPr>
          <w:sz w:val="22"/>
          <w:szCs w:val="22"/>
        </w:rPr>
        <w:t xml:space="preserve"> while it would </w:t>
      </w:r>
      <w:r w:rsidR="006B5017" w:rsidRPr="000C235B">
        <w:rPr>
          <w:sz w:val="22"/>
          <w:szCs w:val="22"/>
        </w:rPr>
        <w:t xml:space="preserve">rise </w:t>
      </w:r>
      <w:r w:rsidR="00EA46C8" w:rsidRPr="000C235B">
        <w:rPr>
          <w:sz w:val="22"/>
          <w:szCs w:val="22"/>
        </w:rPr>
        <w:t xml:space="preserve">slightly in </w:t>
      </w:r>
      <w:r w:rsidR="00D37984" w:rsidRPr="000C235B">
        <w:rPr>
          <w:sz w:val="22"/>
          <w:szCs w:val="22"/>
        </w:rPr>
        <w:t xml:space="preserve">the </w:t>
      </w:r>
      <w:r w:rsidR="00AF45A5" w:rsidRPr="000C235B">
        <w:rPr>
          <w:sz w:val="22"/>
          <w:szCs w:val="22"/>
        </w:rPr>
        <w:t xml:space="preserve">industrial sector if the assumption of fixed labour endowment </w:t>
      </w:r>
      <w:r w:rsidR="006B5017" w:rsidRPr="000C235B">
        <w:rPr>
          <w:sz w:val="22"/>
          <w:szCs w:val="22"/>
        </w:rPr>
        <w:t>were</w:t>
      </w:r>
      <w:r w:rsidR="00AF45A5" w:rsidRPr="000C235B">
        <w:rPr>
          <w:sz w:val="22"/>
          <w:szCs w:val="22"/>
        </w:rPr>
        <w:t xml:space="preserve"> relaxed and unemployment </w:t>
      </w:r>
      <w:r w:rsidR="006B5017" w:rsidRPr="000C235B">
        <w:rPr>
          <w:sz w:val="22"/>
          <w:szCs w:val="22"/>
        </w:rPr>
        <w:t xml:space="preserve">were </w:t>
      </w:r>
      <w:r w:rsidR="00DC1D91" w:rsidRPr="000C235B">
        <w:rPr>
          <w:sz w:val="22"/>
          <w:szCs w:val="22"/>
        </w:rPr>
        <w:t>considered</w:t>
      </w:r>
      <w:r w:rsidR="00D37984" w:rsidRPr="000C235B">
        <w:rPr>
          <w:sz w:val="22"/>
          <w:szCs w:val="22"/>
        </w:rPr>
        <w:t xml:space="preserve">. </w:t>
      </w:r>
      <w:r w:rsidR="006B5017" w:rsidRPr="000C235B">
        <w:rPr>
          <w:sz w:val="22"/>
          <w:szCs w:val="22"/>
        </w:rPr>
        <w:t>T</w:t>
      </w:r>
      <w:r w:rsidR="00C47EA0" w:rsidRPr="000C235B">
        <w:rPr>
          <w:sz w:val="22"/>
          <w:szCs w:val="22"/>
        </w:rPr>
        <w:t>hese</w:t>
      </w:r>
      <w:r w:rsidR="00EA46C8" w:rsidRPr="000C235B">
        <w:rPr>
          <w:sz w:val="22"/>
          <w:szCs w:val="22"/>
        </w:rPr>
        <w:t xml:space="preserve"> </w:t>
      </w:r>
      <w:r w:rsidR="006B5017" w:rsidRPr="000C235B">
        <w:rPr>
          <w:sz w:val="22"/>
          <w:szCs w:val="22"/>
        </w:rPr>
        <w:t xml:space="preserve">changes </w:t>
      </w:r>
      <w:r w:rsidR="00EA46C8" w:rsidRPr="000C235B">
        <w:rPr>
          <w:sz w:val="22"/>
          <w:szCs w:val="22"/>
        </w:rPr>
        <w:t xml:space="preserve">would be extremely </w:t>
      </w:r>
      <w:r w:rsidR="00AF45A5" w:rsidRPr="000C235B">
        <w:rPr>
          <w:sz w:val="22"/>
          <w:szCs w:val="22"/>
        </w:rPr>
        <w:t>small</w:t>
      </w:r>
      <w:r w:rsidR="006B5017" w:rsidRPr="000C235B">
        <w:rPr>
          <w:sz w:val="22"/>
          <w:szCs w:val="22"/>
        </w:rPr>
        <w:t>, however</w:t>
      </w:r>
      <w:r w:rsidR="00EA46C8" w:rsidRPr="000C235B">
        <w:rPr>
          <w:sz w:val="22"/>
          <w:szCs w:val="22"/>
        </w:rPr>
        <w:t>.</w:t>
      </w:r>
    </w:p>
    <w:p w:rsidR="00EA46C8" w:rsidRPr="0061584B" w:rsidRDefault="00EA46C8" w:rsidP="006D5982">
      <w:pPr>
        <w:spacing w:line="360" w:lineRule="auto"/>
      </w:pPr>
    </w:p>
    <w:p w:rsidR="00EA46C8" w:rsidRPr="0061584B" w:rsidRDefault="009C49DE" w:rsidP="006577FB">
      <w:pPr>
        <w:pStyle w:val="Tableheading"/>
        <w:ind w:left="1440" w:hanging="1440"/>
      </w:pPr>
      <w:r>
        <w:br w:type="page"/>
      </w:r>
      <w:r w:rsidR="00EA46C8" w:rsidRPr="0061584B">
        <w:t xml:space="preserve">Table </w:t>
      </w:r>
      <w:r w:rsidR="006436C9" w:rsidRPr="0061584B">
        <w:t>8.</w:t>
      </w:r>
      <w:r w:rsidR="00EA46C8" w:rsidRPr="0061584B">
        <w:t>1</w:t>
      </w:r>
      <w:r w:rsidR="004554CB" w:rsidRPr="0061584B">
        <w:t>4</w:t>
      </w:r>
      <w:r w:rsidR="00EA46C8" w:rsidRPr="0061584B">
        <w:t xml:space="preserve">: </w:t>
      </w:r>
      <w:r w:rsidR="00EE7040" w:rsidRPr="0061584B">
        <w:tab/>
      </w:r>
      <w:r w:rsidR="00EA46C8" w:rsidRPr="0061584B">
        <w:t xml:space="preserve">Employment </w:t>
      </w:r>
      <w:r w:rsidR="006B5017">
        <w:t xml:space="preserve">in </w:t>
      </w:r>
      <w:smartTag w:uri="urn:schemas-microsoft-com:office:smarttags" w:element="place">
        <w:r w:rsidR="006B5017">
          <w:t>Africa</w:t>
        </w:r>
      </w:smartTag>
      <w:r w:rsidR="006B5017">
        <w:t xml:space="preserve"> </w:t>
      </w:r>
      <w:r w:rsidR="00EA46C8" w:rsidRPr="0061584B">
        <w:t>by main sectors of activity</w:t>
      </w:r>
      <w:r w:rsidR="006B5017">
        <w:t xml:space="preserve"> </w:t>
      </w:r>
      <w:r w:rsidR="00EA46C8" w:rsidRPr="0061584B">
        <w:t xml:space="preserve">– </w:t>
      </w:r>
      <w:r w:rsidR="000C5AB2">
        <w:t>percent</w:t>
      </w:r>
      <w:r w:rsidR="006A6186" w:rsidRPr="0061584B">
        <w:t>age c</w:t>
      </w:r>
      <w:r w:rsidR="00EA46C8" w:rsidRPr="0061584B">
        <w:t xml:space="preserve">hanges compared </w:t>
      </w:r>
      <w:r w:rsidR="006B5017">
        <w:t>with</w:t>
      </w:r>
      <w:r w:rsidR="006B5017" w:rsidRPr="0061584B">
        <w:t xml:space="preserve"> </w:t>
      </w:r>
      <w:r w:rsidR="00EA46C8" w:rsidRPr="0061584B">
        <w:t>the baseline scenario</w:t>
      </w:r>
      <w:r w:rsidR="006B5017">
        <w:t>,</w:t>
      </w:r>
      <w:r w:rsidR="00EA46C8" w:rsidRPr="0061584B">
        <w:t xml:space="preserve"> 2022</w:t>
      </w:r>
    </w:p>
    <w:p w:rsidR="00EA46C8" w:rsidRDefault="00B72E3B" w:rsidP="006D5982">
      <w:pPr>
        <w:spacing w:line="360" w:lineRule="auto"/>
      </w:pPr>
      <w:r w:rsidRPr="0061584B">
        <w:t xml:space="preserve"> </w:t>
      </w:r>
      <w:r w:rsidR="00F62AC8" w:rsidRPr="0061584B">
        <w:t xml:space="preserve"> </w:t>
      </w:r>
    </w:p>
    <w:p w:rsidR="00FA58CF" w:rsidRPr="006D2C95" w:rsidRDefault="006D2C95" w:rsidP="00FA58CF">
      <w:pPr>
        <w:spacing w:line="360" w:lineRule="auto"/>
        <w:ind w:firstLine="0"/>
        <w:jc w:val="center"/>
      </w:pPr>
      <w:r w:rsidRPr="006D2C95">
        <w:t xml:space="preserve"> </w:t>
      </w:r>
      <w:r w:rsidRPr="006D2C95">
        <w:pict>
          <v:shape id="_x0000_i1040" type="#_x0000_t75" style="width:222pt;height:142.5pt">
            <v:imagedata r:id="rId22" o:title=""/>
          </v:shape>
        </w:pict>
      </w:r>
    </w:p>
    <w:p w:rsidR="00EA46C8" w:rsidRPr="009C49DE" w:rsidRDefault="00EA46C8"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7F6304" w:rsidRDefault="007F6304" w:rsidP="006D5982">
      <w:pPr>
        <w:pStyle w:val="Heading2"/>
        <w:spacing w:line="360" w:lineRule="auto"/>
      </w:pPr>
      <w:r>
        <w:t>8.4.5</w:t>
      </w:r>
      <w:r>
        <w:tab/>
        <w:t>Country-level effects</w:t>
      </w:r>
    </w:p>
    <w:p w:rsidR="00410ED7" w:rsidRPr="009C49DE" w:rsidRDefault="00374124" w:rsidP="006D5982">
      <w:pPr>
        <w:spacing w:line="360" w:lineRule="auto"/>
        <w:rPr>
          <w:sz w:val="22"/>
          <w:szCs w:val="22"/>
        </w:rPr>
      </w:pPr>
      <w:r w:rsidRPr="009C49DE">
        <w:rPr>
          <w:sz w:val="22"/>
          <w:szCs w:val="22"/>
        </w:rPr>
        <w:t xml:space="preserve">At the country level results are more ambiguous. </w:t>
      </w:r>
      <w:r w:rsidR="00B6414F" w:rsidRPr="009C49DE">
        <w:rPr>
          <w:sz w:val="22"/>
          <w:szCs w:val="22"/>
        </w:rPr>
        <w:t>While FTA reforms would stimulate exports of all African countries</w:t>
      </w:r>
      <w:r w:rsidR="00AA2CBB">
        <w:rPr>
          <w:sz w:val="22"/>
          <w:szCs w:val="22"/>
        </w:rPr>
        <w:t>,</w:t>
      </w:r>
      <w:r w:rsidR="006D2C95" w:rsidRPr="009C49DE">
        <w:rPr>
          <w:rStyle w:val="FootnoteReference"/>
          <w:sz w:val="22"/>
          <w:szCs w:val="22"/>
        </w:rPr>
        <w:footnoteReference w:id="33"/>
      </w:r>
      <w:r w:rsidR="00B6414F" w:rsidRPr="009C49DE">
        <w:rPr>
          <w:sz w:val="22"/>
          <w:szCs w:val="22"/>
        </w:rPr>
        <w:t xml:space="preserve"> with higher increase</w:t>
      </w:r>
      <w:r w:rsidR="00EE6774" w:rsidRPr="009C49DE">
        <w:rPr>
          <w:sz w:val="22"/>
          <w:szCs w:val="22"/>
        </w:rPr>
        <w:t>s</w:t>
      </w:r>
      <w:r w:rsidR="00B6414F" w:rsidRPr="009C49DE">
        <w:rPr>
          <w:sz w:val="22"/>
          <w:szCs w:val="22"/>
        </w:rPr>
        <w:t xml:space="preserve"> associated with larger area</w:t>
      </w:r>
      <w:r w:rsidR="00ED54D6" w:rsidRPr="009C49DE">
        <w:rPr>
          <w:sz w:val="22"/>
          <w:szCs w:val="22"/>
        </w:rPr>
        <w:t>s</w:t>
      </w:r>
      <w:r w:rsidR="00B6414F" w:rsidRPr="009C49DE">
        <w:rPr>
          <w:sz w:val="22"/>
          <w:szCs w:val="22"/>
        </w:rPr>
        <w:t xml:space="preserve"> free of tariff barriers</w:t>
      </w:r>
      <w:r w:rsidR="009102C7" w:rsidRPr="009C49DE">
        <w:rPr>
          <w:sz w:val="22"/>
          <w:szCs w:val="22"/>
        </w:rPr>
        <w:t xml:space="preserve"> on goods</w:t>
      </w:r>
      <w:r w:rsidR="006B5017" w:rsidRPr="009C49DE">
        <w:rPr>
          <w:sz w:val="22"/>
          <w:szCs w:val="22"/>
        </w:rPr>
        <w:t>,</w:t>
      </w:r>
      <w:r w:rsidR="00B6414F" w:rsidRPr="009C49DE">
        <w:rPr>
          <w:sz w:val="22"/>
          <w:szCs w:val="22"/>
        </w:rPr>
        <w:t xml:space="preserve"> </w:t>
      </w:r>
      <w:r w:rsidR="00D11656" w:rsidRPr="009C49DE">
        <w:rPr>
          <w:sz w:val="22"/>
          <w:szCs w:val="22"/>
        </w:rPr>
        <w:t>real income impacts from implemented FTAs would be very unequal across countries</w:t>
      </w:r>
      <w:r w:rsidR="00277026" w:rsidRPr="009C49DE">
        <w:rPr>
          <w:sz w:val="22"/>
          <w:szCs w:val="22"/>
        </w:rPr>
        <w:t xml:space="preserve"> (</w:t>
      </w:r>
      <w:r w:rsidR="00FB0D3B">
        <w:rPr>
          <w:sz w:val="22"/>
          <w:szCs w:val="22"/>
        </w:rPr>
        <w:t>table</w:t>
      </w:r>
      <w:r w:rsidR="00277026" w:rsidRPr="009C49DE">
        <w:rPr>
          <w:sz w:val="22"/>
          <w:szCs w:val="22"/>
        </w:rPr>
        <w:t xml:space="preserve"> </w:t>
      </w:r>
      <w:r w:rsidR="006436C9" w:rsidRPr="009C49DE">
        <w:rPr>
          <w:sz w:val="22"/>
          <w:szCs w:val="22"/>
        </w:rPr>
        <w:t>8.</w:t>
      </w:r>
      <w:r w:rsidR="00277026" w:rsidRPr="009C49DE">
        <w:rPr>
          <w:sz w:val="22"/>
          <w:szCs w:val="22"/>
        </w:rPr>
        <w:t>1</w:t>
      </w:r>
      <w:r w:rsidR="004554CB" w:rsidRPr="009C49DE">
        <w:rPr>
          <w:sz w:val="22"/>
          <w:szCs w:val="22"/>
        </w:rPr>
        <w:t>5</w:t>
      </w:r>
      <w:r w:rsidR="00277026" w:rsidRPr="009C49DE">
        <w:rPr>
          <w:sz w:val="22"/>
          <w:szCs w:val="22"/>
        </w:rPr>
        <w:t>)</w:t>
      </w:r>
      <w:r w:rsidR="00D11656" w:rsidRPr="009C49DE">
        <w:rPr>
          <w:sz w:val="22"/>
          <w:szCs w:val="22"/>
        </w:rPr>
        <w:t>.</w:t>
      </w:r>
      <w:r w:rsidR="0079154A" w:rsidRPr="009C49DE">
        <w:rPr>
          <w:sz w:val="22"/>
          <w:szCs w:val="22"/>
        </w:rPr>
        <w:t xml:space="preserve"> </w:t>
      </w:r>
      <w:r w:rsidR="00A55D18" w:rsidRPr="009C49DE">
        <w:rPr>
          <w:sz w:val="22"/>
          <w:szCs w:val="22"/>
        </w:rPr>
        <w:t>A</w:t>
      </w:r>
      <w:r w:rsidR="0079154A" w:rsidRPr="009C49DE">
        <w:rPr>
          <w:sz w:val="22"/>
          <w:szCs w:val="22"/>
        </w:rPr>
        <w:t xml:space="preserve">lthough real income variations are </w:t>
      </w:r>
      <w:r w:rsidR="00587771" w:rsidRPr="009C49DE">
        <w:rPr>
          <w:sz w:val="22"/>
          <w:szCs w:val="22"/>
        </w:rPr>
        <w:t>rather modest</w:t>
      </w:r>
      <w:r w:rsidR="0079154A" w:rsidRPr="009C49DE">
        <w:rPr>
          <w:sz w:val="22"/>
          <w:szCs w:val="22"/>
        </w:rPr>
        <w:t>, nearly half of African countries/regions would see their real income decreas</w:t>
      </w:r>
      <w:r w:rsidR="00A55D18" w:rsidRPr="009C49DE">
        <w:rPr>
          <w:sz w:val="22"/>
          <w:szCs w:val="22"/>
        </w:rPr>
        <w:t>e</w:t>
      </w:r>
      <w:r w:rsidR="0079154A" w:rsidRPr="009C49DE">
        <w:rPr>
          <w:sz w:val="22"/>
          <w:szCs w:val="22"/>
        </w:rPr>
        <w:t xml:space="preserve"> with </w:t>
      </w:r>
      <w:r w:rsidR="004000CC" w:rsidRPr="009C49DE">
        <w:rPr>
          <w:sz w:val="22"/>
          <w:szCs w:val="22"/>
        </w:rPr>
        <w:t xml:space="preserve">the </w:t>
      </w:r>
      <w:r w:rsidR="0079154A" w:rsidRPr="009C49DE">
        <w:rPr>
          <w:sz w:val="22"/>
          <w:szCs w:val="22"/>
        </w:rPr>
        <w:t xml:space="preserve">trade reforms. There </w:t>
      </w:r>
      <w:r w:rsidR="004000CC" w:rsidRPr="009C49DE">
        <w:rPr>
          <w:sz w:val="22"/>
          <w:szCs w:val="22"/>
        </w:rPr>
        <w:t xml:space="preserve">are </w:t>
      </w:r>
      <w:r w:rsidR="0079154A" w:rsidRPr="009C49DE">
        <w:rPr>
          <w:sz w:val="22"/>
          <w:szCs w:val="22"/>
        </w:rPr>
        <w:t>two main reasons for such</w:t>
      </w:r>
      <w:r w:rsidR="00A55D18" w:rsidRPr="009C49DE">
        <w:rPr>
          <w:sz w:val="22"/>
          <w:szCs w:val="22"/>
        </w:rPr>
        <w:t xml:space="preserve"> a</w:t>
      </w:r>
      <w:r w:rsidR="0079154A" w:rsidRPr="009C49DE">
        <w:rPr>
          <w:sz w:val="22"/>
          <w:szCs w:val="22"/>
        </w:rPr>
        <w:t xml:space="preserve"> situation. </w:t>
      </w:r>
      <w:r w:rsidR="00955127" w:rsidRPr="009C49DE">
        <w:rPr>
          <w:sz w:val="22"/>
          <w:szCs w:val="22"/>
        </w:rPr>
        <w:t>First</w:t>
      </w:r>
      <w:r w:rsidR="0079154A" w:rsidRPr="009C49DE">
        <w:rPr>
          <w:sz w:val="22"/>
          <w:szCs w:val="22"/>
        </w:rPr>
        <w:t xml:space="preserve">, following the establishment of </w:t>
      </w:r>
      <w:r w:rsidR="00A55D18" w:rsidRPr="009C49DE">
        <w:rPr>
          <w:sz w:val="22"/>
          <w:szCs w:val="22"/>
        </w:rPr>
        <w:t xml:space="preserve">FTAs, </w:t>
      </w:r>
      <w:r w:rsidR="0079154A" w:rsidRPr="009C49DE">
        <w:rPr>
          <w:sz w:val="22"/>
          <w:szCs w:val="22"/>
        </w:rPr>
        <w:t>government</w:t>
      </w:r>
      <w:r w:rsidR="004000CC" w:rsidRPr="009C49DE">
        <w:rPr>
          <w:sz w:val="22"/>
          <w:szCs w:val="22"/>
        </w:rPr>
        <w:t>s</w:t>
      </w:r>
      <w:r w:rsidR="0079154A" w:rsidRPr="009C49DE">
        <w:rPr>
          <w:sz w:val="22"/>
          <w:szCs w:val="22"/>
        </w:rPr>
        <w:t xml:space="preserve"> have to renounce tariff revenues</w:t>
      </w:r>
      <w:r w:rsidR="00955127" w:rsidRPr="009C49DE">
        <w:rPr>
          <w:sz w:val="22"/>
          <w:szCs w:val="22"/>
        </w:rPr>
        <w:t>,</w:t>
      </w:r>
      <w:r w:rsidR="0079154A" w:rsidRPr="009C49DE">
        <w:rPr>
          <w:sz w:val="22"/>
          <w:szCs w:val="22"/>
        </w:rPr>
        <w:t xml:space="preserve"> which often </w:t>
      </w:r>
      <w:r w:rsidR="00955127" w:rsidRPr="009C49DE">
        <w:rPr>
          <w:sz w:val="22"/>
          <w:szCs w:val="22"/>
        </w:rPr>
        <w:t xml:space="preserve">constitute </w:t>
      </w:r>
      <w:r w:rsidR="0079154A" w:rsidRPr="009C49DE">
        <w:rPr>
          <w:sz w:val="22"/>
          <w:szCs w:val="22"/>
        </w:rPr>
        <w:t xml:space="preserve">a significant </w:t>
      </w:r>
      <w:r w:rsidR="00955127" w:rsidRPr="009C49DE">
        <w:rPr>
          <w:sz w:val="22"/>
          <w:szCs w:val="22"/>
        </w:rPr>
        <w:t xml:space="preserve">portion </w:t>
      </w:r>
      <w:r w:rsidR="0079154A" w:rsidRPr="009C49DE">
        <w:rPr>
          <w:sz w:val="22"/>
          <w:szCs w:val="22"/>
        </w:rPr>
        <w:t>of their incomes</w:t>
      </w:r>
      <w:r w:rsidR="00955127" w:rsidRPr="009C49DE">
        <w:rPr>
          <w:sz w:val="22"/>
          <w:szCs w:val="22"/>
        </w:rPr>
        <w:t>.</w:t>
      </w:r>
      <w:r w:rsidR="0075069B" w:rsidRPr="009C49DE">
        <w:rPr>
          <w:rStyle w:val="FootnoteReference"/>
          <w:sz w:val="22"/>
          <w:szCs w:val="22"/>
        </w:rPr>
        <w:footnoteReference w:id="34"/>
      </w:r>
      <w:r w:rsidR="0079154A" w:rsidRPr="009C49DE">
        <w:rPr>
          <w:sz w:val="22"/>
          <w:szCs w:val="22"/>
        </w:rPr>
        <w:t xml:space="preserve"> </w:t>
      </w:r>
      <w:r w:rsidR="00955127" w:rsidRPr="009C49DE">
        <w:rPr>
          <w:sz w:val="22"/>
          <w:szCs w:val="22"/>
        </w:rPr>
        <w:t>Second</w:t>
      </w:r>
      <w:r w:rsidR="0079154A" w:rsidRPr="009C49DE">
        <w:rPr>
          <w:sz w:val="22"/>
          <w:szCs w:val="22"/>
        </w:rPr>
        <w:t xml:space="preserve">, </w:t>
      </w:r>
      <w:r w:rsidR="007217A0" w:rsidRPr="009C49DE">
        <w:rPr>
          <w:sz w:val="22"/>
          <w:szCs w:val="22"/>
        </w:rPr>
        <w:t xml:space="preserve">the reduction of tariff barriers results in </w:t>
      </w:r>
      <w:r w:rsidR="00211FBE" w:rsidRPr="009C49DE">
        <w:rPr>
          <w:sz w:val="22"/>
          <w:szCs w:val="22"/>
        </w:rPr>
        <w:t xml:space="preserve">greater </w:t>
      </w:r>
      <w:r w:rsidR="007217A0" w:rsidRPr="009C49DE">
        <w:rPr>
          <w:sz w:val="22"/>
          <w:szCs w:val="22"/>
        </w:rPr>
        <w:t xml:space="preserve">competition </w:t>
      </w:r>
      <w:r w:rsidR="00211FBE" w:rsidRPr="009C49DE">
        <w:rPr>
          <w:sz w:val="22"/>
          <w:szCs w:val="22"/>
        </w:rPr>
        <w:t xml:space="preserve">in </w:t>
      </w:r>
      <w:r w:rsidR="007217A0" w:rsidRPr="009C49DE">
        <w:rPr>
          <w:sz w:val="22"/>
          <w:szCs w:val="22"/>
        </w:rPr>
        <w:t>African markets.</w:t>
      </w:r>
      <w:r w:rsidR="002966AF" w:rsidRPr="009C49DE">
        <w:rPr>
          <w:sz w:val="22"/>
          <w:szCs w:val="22"/>
        </w:rPr>
        <w:t xml:space="preserve"> </w:t>
      </w:r>
      <w:r w:rsidR="00F55305" w:rsidRPr="009C49DE">
        <w:rPr>
          <w:sz w:val="22"/>
          <w:szCs w:val="22"/>
        </w:rPr>
        <w:t xml:space="preserve">As </w:t>
      </w:r>
      <w:r w:rsidR="005D7E91" w:rsidRPr="009C49DE">
        <w:rPr>
          <w:sz w:val="22"/>
          <w:szCs w:val="22"/>
        </w:rPr>
        <w:t xml:space="preserve">some </w:t>
      </w:r>
      <w:r w:rsidR="00F55305" w:rsidRPr="009C49DE">
        <w:rPr>
          <w:sz w:val="22"/>
          <w:szCs w:val="22"/>
        </w:rPr>
        <w:t xml:space="preserve">imports from </w:t>
      </w:r>
      <w:r w:rsidR="004544BC" w:rsidRPr="009C49DE">
        <w:rPr>
          <w:sz w:val="22"/>
          <w:szCs w:val="22"/>
        </w:rPr>
        <w:t xml:space="preserve">some </w:t>
      </w:r>
      <w:r w:rsidR="00A00709" w:rsidRPr="009C49DE">
        <w:rPr>
          <w:sz w:val="22"/>
          <w:szCs w:val="22"/>
        </w:rPr>
        <w:t xml:space="preserve">African </w:t>
      </w:r>
      <w:r w:rsidR="004544BC" w:rsidRPr="009C49DE">
        <w:rPr>
          <w:sz w:val="22"/>
          <w:szCs w:val="22"/>
        </w:rPr>
        <w:t xml:space="preserve">countries </w:t>
      </w:r>
      <w:r w:rsidR="00F55305" w:rsidRPr="009C49DE">
        <w:rPr>
          <w:sz w:val="22"/>
          <w:szCs w:val="22"/>
        </w:rPr>
        <w:t xml:space="preserve">are replaced by imports from other African partners </w:t>
      </w:r>
      <w:r w:rsidR="00A00709" w:rsidRPr="009C49DE">
        <w:rPr>
          <w:sz w:val="22"/>
          <w:szCs w:val="22"/>
        </w:rPr>
        <w:t xml:space="preserve">who </w:t>
      </w:r>
      <w:r w:rsidR="00F55305" w:rsidRPr="009C49DE">
        <w:rPr>
          <w:sz w:val="22"/>
          <w:szCs w:val="22"/>
        </w:rPr>
        <w:t xml:space="preserve">benefit </w:t>
      </w:r>
      <w:r w:rsidR="003643CC" w:rsidRPr="009C49DE">
        <w:rPr>
          <w:sz w:val="22"/>
          <w:szCs w:val="22"/>
        </w:rPr>
        <w:t xml:space="preserve">more </w:t>
      </w:r>
      <w:r w:rsidR="00F55305" w:rsidRPr="009C49DE">
        <w:rPr>
          <w:sz w:val="22"/>
          <w:szCs w:val="22"/>
        </w:rPr>
        <w:t>from easier access following tariff reductions, terms of trade</w:t>
      </w:r>
      <w:r w:rsidR="000421B4" w:rsidRPr="009C49DE">
        <w:rPr>
          <w:sz w:val="22"/>
          <w:szCs w:val="22"/>
        </w:rPr>
        <w:t xml:space="preserve"> </w:t>
      </w:r>
      <w:r w:rsidR="003643CC" w:rsidRPr="009C49DE">
        <w:rPr>
          <w:sz w:val="22"/>
          <w:szCs w:val="22"/>
        </w:rPr>
        <w:t>(</w:t>
      </w:r>
      <w:r w:rsidR="000421B4" w:rsidRPr="009C49DE">
        <w:rPr>
          <w:sz w:val="22"/>
          <w:szCs w:val="22"/>
        </w:rPr>
        <w:t xml:space="preserve">i.e. prices of exports </w:t>
      </w:r>
      <w:r w:rsidR="00955127" w:rsidRPr="009C49DE">
        <w:rPr>
          <w:sz w:val="22"/>
          <w:szCs w:val="22"/>
        </w:rPr>
        <w:t xml:space="preserve">relative to prices of </w:t>
      </w:r>
      <w:r w:rsidR="000421B4" w:rsidRPr="009C49DE">
        <w:rPr>
          <w:sz w:val="22"/>
          <w:szCs w:val="22"/>
        </w:rPr>
        <w:t>imports</w:t>
      </w:r>
      <w:r w:rsidR="003643CC" w:rsidRPr="009C49DE">
        <w:rPr>
          <w:sz w:val="22"/>
          <w:szCs w:val="22"/>
        </w:rPr>
        <w:t>)</w:t>
      </w:r>
      <w:r w:rsidR="000421B4" w:rsidRPr="009C49DE">
        <w:rPr>
          <w:sz w:val="22"/>
          <w:szCs w:val="22"/>
        </w:rPr>
        <w:t xml:space="preserve"> may be</w:t>
      </w:r>
      <w:r w:rsidR="00F55305" w:rsidRPr="009C49DE">
        <w:rPr>
          <w:sz w:val="22"/>
          <w:szCs w:val="22"/>
        </w:rPr>
        <w:t xml:space="preserve"> affected</w:t>
      </w:r>
      <w:r w:rsidR="00955127" w:rsidRPr="009C49DE">
        <w:rPr>
          <w:sz w:val="22"/>
          <w:szCs w:val="22"/>
        </w:rPr>
        <w:t>.</w:t>
      </w:r>
      <w:r w:rsidR="0036139C" w:rsidRPr="009C49DE">
        <w:rPr>
          <w:rStyle w:val="FootnoteReference"/>
          <w:sz w:val="22"/>
          <w:szCs w:val="22"/>
        </w:rPr>
        <w:footnoteReference w:id="35"/>
      </w:r>
      <w:r w:rsidR="003233F1" w:rsidRPr="009C49DE">
        <w:rPr>
          <w:sz w:val="22"/>
          <w:szCs w:val="22"/>
        </w:rPr>
        <w:t xml:space="preserve"> </w:t>
      </w:r>
      <w:r w:rsidR="0036139C" w:rsidRPr="009C49DE">
        <w:rPr>
          <w:sz w:val="22"/>
          <w:szCs w:val="22"/>
        </w:rPr>
        <w:t>In addition</w:t>
      </w:r>
      <w:r w:rsidR="003233F1" w:rsidRPr="009C49DE">
        <w:rPr>
          <w:sz w:val="22"/>
          <w:szCs w:val="22"/>
        </w:rPr>
        <w:t xml:space="preserve">, </w:t>
      </w:r>
      <w:r w:rsidR="00211FBE" w:rsidRPr="009C49DE">
        <w:rPr>
          <w:sz w:val="22"/>
          <w:szCs w:val="22"/>
        </w:rPr>
        <w:t xml:space="preserve">the </w:t>
      </w:r>
      <w:r w:rsidR="0036139C" w:rsidRPr="009C49DE">
        <w:rPr>
          <w:sz w:val="22"/>
          <w:szCs w:val="22"/>
        </w:rPr>
        <w:t xml:space="preserve">real income of </w:t>
      </w:r>
      <w:r w:rsidR="003233F1" w:rsidRPr="009C49DE">
        <w:rPr>
          <w:sz w:val="22"/>
          <w:szCs w:val="22"/>
        </w:rPr>
        <w:t>net</w:t>
      </w:r>
      <w:r w:rsidR="007B5C7F" w:rsidRPr="009C49DE">
        <w:rPr>
          <w:sz w:val="22"/>
          <w:szCs w:val="22"/>
        </w:rPr>
        <w:t xml:space="preserve"> </w:t>
      </w:r>
      <w:r w:rsidR="003233F1" w:rsidRPr="009C49DE">
        <w:rPr>
          <w:sz w:val="22"/>
          <w:szCs w:val="22"/>
        </w:rPr>
        <w:t>food import</w:t>
      </w:r>
      <w:r w:rsidR="00211FBE" w:rsidRPr="009C49DE">
        <w:rPr>
          <w:sz w:val="22"/>
          <w:szCs w:val="22"/>
        </w:rPr>
        <w:t>ing</w:t>
      </w:r>
      <w:r w:rsidR="003233F1" w:rsidRPr="009C49DE">
        <w:rPr>
          <w:sz w:val="22"/>
          <w:szCs w:val="22"/>
        </w:rPr>
        <w:t xml:space="preserve"> countries</w:t>
      </w:r>
      <w:r w:rsidR="00211FBE" w:rsidRPr="009C49DE">
        <w:rPr>
          <w:sz w:val="22"/>
          <w:szCs w:val="22"/>
        </w:rPr>
        <w:t>,</w:t>
      </w:r>
      <w:r w:rsidR="003233F1" w:rsidRPr="009C49DE">
        <w:rPr>
          <w:sz w:val="22"/>
          <w:szCs w:val="22"/>
        </w:rPr>
        <w:t xml:space="preserve"> such as </w:t>
      </w:r>
      <w:smartTag w:uri="urn:schemas-microsoft-com:office:smarttags" w:element="country-region">
        <w:r w:rsidR="003233F1" w:rsidRPr="009C49DE">
          <w:rPr>
            <w:sz w:val="22"/>
            <w:szCs w:val="22"/>
          </w:rPr>
          <w:t>Angola</w:t>
        </w:r>
      </w:smartTag>
      <w:r w:rsidR="00EE75A4" w:rsidRPr="009C49DE">
        <w:rPr>
          <w:sz w:val="22"/>
          <w:szCs w:val="22"/>
        </w:rPr>
        <w:t xml:space="preserve"> and</w:t>
      </w:r>
      <w:r w:rsidR="003233F1" w:rsidRPr="009C49DE">
        <w:rPr>
          <w:sz w:val="22"/>
          <w:szCs w:val="22"/>
        </w:rPr>
        <w:t xml:space="preserve"> </w:t>
      </w:r>
      <w:r w:rsidR="007B5C7F" w:rsidRPr="009C49DE">
        <w:rPr>
          <w:sz w:val="22"/>
          <w:szCs w:val="22"/>
        </w:rPr>
        <w:t>the Democratic Republic of Congo</w:t>
      </w:r>
      <w:r w:rsidR="003233F1" w:rsidRPr="009C49DE">
        <w:rPr>
          <w:sz w:val="22"/>
          <w:szCs w:val="22"/>
        </w:rPr>
        <w:t xml:space="preserve">, </w:t>
      </w:r>
      <w:smartTag w:uri="urn:schemas-microsoft-com:office:smarttags" w:element="country-region">
        <w:r w:rsidR="003233F1" w:rsidRPr="009C49DE">
          <w:rPr>
            <w:sz w:val="22"/>
            <w:szCs w:val="22"/>
          </w:rPr>
          <w:t>Botswana</w:t>
        </w:r>
      </w:smartTag>
      <w:r w:rsidR="003233F1" w:rsidRPr="009C49DE">
        <w:rPr>
          <w:sz w:val="22"/>
          <w:szCs w:val="22"/>
        </w:rPr>
        <w:t xml:space="preserve">, </w:t>
      </w:r>
      <w:smartTag w:uri="urn:schemas-microsoft-com:office:smarttags" w:element="country-region">
        <w:r w:rsidR="00B31807" w:rsidRPr="009C49DE">
          <w:rPr>
            <w:sz w:val="22"/>
            <w:szCs w:val="22"/>
          </w:rPr>
          <w:t>Mozambique</w:t>
        </w:r>
      </w:smartTag>
      <w:r w:rsidR="00B31807" w:rsidRPr="009C49DE">
        <w:rPr>
          <w:sz w:val="22"/>
          <w:szCs w:val="22"/>
        </w:rPr>
        <w:t xml:space="preserve">, </w:t>
      </w:r>
      <w:r w:rsidR="007B5C7F" w:rsidRPr="009C49DE">
        <w:rPr>
          <w:sz w:val="22"/>
          <w:szCs w:val="22"/>
        </w:rPr>
        <w:t>r</w:t>
      </w:r>
      <w:r w:rsidR="003233F1" w:rsidRPr="009C49DE">
        <w:rPr>
          <w:sz w:val="22"/>
          <w:szCs w:val="22"/>
        </w:rPr>
        <w:t xml:space="preserve">est of </w:t>
      </w:r>
      <w:smartTag w:uri="urn:schemas-microsoft-com:office:smarttags" w:element="City">
        <w:r w:rsidR="003233F1" w:rsidRPr="009C49DE">
          <w:rPr>
            <w:sz w:val="22"/>
            <w:szCs w:val="22"/>
          </w:rPr>
          <w:t>North Africa</w:t>
        </w:r>
      </w:smartTag>
      <w:r w:rsidR="003233F1" w:rsidRPr="009C49DE">
        <w:rPr>
          <w:sz w:val="22"/>
          <w:szCs w:val="22"/>
        </w:rPr>
        <w:t xml:space="preserve">, </w:t>
      </w:r>
      <w:smartTag w:uri="urn:schemas-microsoft-com:office:smarttags" w:element="country-region">
        <w:r w:rsidR="003233F1" w:rsidRPr="009C49DE">
          <w:rPr>
            <w:sz w:val="22"/>
            <w:szCs w:val="22"/>
          </w:rPr>
          <w:t>Nigeria</w:t>
        </w:r>
      </w:smartTag>
      <w:r w:rsidR="007B5C7F" w:rsidRPr="009C49DE">
        <w:rPr>
          <w:sz w:val="22"/>
          <w:szCs w:val="22"/>
        </w:rPr>
        <w:t>,</w:t>
      </w:r>
      <w:r w:rsidR="00211FBE" w:rsidRPr="009C49DE">
        <w:rPr>
          <w:sz w:val="22"/>
          <w:szCs w:val="22"/>
        </w:rPr>
        <w:t xml:space="preserve"> and</w:t>
      </w:r>
      <w:r w:rsidR="003233F1" w:rsidRPr="009C49DE">
        <w:rPr>
          <w:sz w:val="22"/>
          <w:szCs w:val="22"/>
        </w:rPr>
        <w:t xml:space="preserve"> </w:t>
      </w:r>
      <w:smartTag w:uri="urn:schemas-microsoft-com:office:smarttags" w:element="place">
        <w:r w:rsidR="003233F1" w:rsidRPr="009C49DE">
          <w:rPr>
            <w:sz w:val="22"/>
            <w:szCs w:val="22"/>
          </w:rPr>
          <w:t>Central Africa</w:t>
        </w:r>
      </w:smartTag>
      <w:r w:rsidR="00211FBE" w:rsidRPr="009C49DE">
        <w:rPr>
          <w:sz w:val="22"/>
          <w:szCs w:val="22"/>
        </w:rPr>
        <w:t>,</w:t>
      </w:r>
      <w:r w:rsidR="003233F1" w:rsidRPr="009C49DE">
        <w:rPr>
          <w:sz w:val="22"/>
          <w:szCs w:val="22"/>
        </w:rPr>
        <w:t xml:space="preserve"> tend</w:t>
      </w:r>
      <w:r w:rsidR="007B5C7F" w:rsidRPr="009C49DE">
        <w:rPr>
          <w:sz w:val="22"/>
          <w:szCs w:val="22"/>
        </w:rPr>
        <w:t>s</w:t>
      </w:r>
      <w:r w:rsidR="003233F1" w:rsidRPr="009C49DE">
        <w:rPr>
          <w:sz w:val="22"/>
          <w:szCs w:val="22"/>
        </w:rPr>
        <w:t xml:space="preserve"> to be </w:t>
      </w:r>
      <w:r w:rsidR="007B5C7F" w:rsidRPr="009C49DE">
        <w:rPr>
          <w:sz w:val="22"/>
          <w:szCs w:val="22"/>
        </w:rPr>
        <w:t xml:space="preserve">adversely </w:t>
      </w:r>
      <w:r w:rsidR="0036139C" w:rsidRPr="009C49DE">
        <w:rPr>
          <w:sz w:val="22"/>
          <w:szCs w:val="22"/>
        </w:rPr>
        <w:t xml:space="preserve">affected </w:t>
      </w:r>
      <w:r w:rsidR="003233F1" w:rsidRPr="009C49DE">
        <w:rPr>
          <w:sz w:val="22"/>
          <w:szCs w:val="22"/>
        </w:rPr>
        <w:t xml:space="preserve">as world prices of food products </w:t>
      </w:r>
      <w:r w:rsidR="007B5C7F" w:rsidRPr="009C49DE">
        <w:rPr>
          <w:sz w:val="22"/>
          <w:szCs w:val="22"/>
        </w:rPr>
        <w:t xml:space="preserve">rise </w:t>
      </w:r>
      <w:r w:rsidR="003233F1" w:rsidRPr="009C49DE">
        <w:rPr>
          <w:sz w:val="22"/>
          <w:szCs w:val="22"/>
        </w:rPr>
        <w:t xml:space="preserve">slightly with FTA reforms. </w:t>
      </w:r>
      <w:r w:rsidR="000421B4" w:rsidRPr="009C49DE">
        <w:rPr>
          <w:sz w:val="22"/>
          <w:szCs w:val="22"/>
        </w:rPr>
        <w:t>A</w:t>
      </w:r>
      <w:r w:rsidR="0036139C" w:rsidRPr="009C49DE">
        <w:rPr>
          <w:sz w:val="22"/>
          <w:szCs w:val="22"/>
        </w:rPr>
        <w:t xml:space="preserve"> significant number of</w:t>
      </w:r>
      <w:r w:rsidR="003233F1" w:rsidRPr="009C49DE">
        <w:rPr>
          <w:sz w:val="22"/>
          <w:szCs w:val="22"/>
        </w:rPr>
        <w:t xml:space="preserve"> African </w:t>
      </w:r>
      <w:r w:rsidR="0036139C" w:rsidRPr="009C49DE">
        <w:rPr>
          <w:sz w:val="22"/>
          <w:szCs w:val="22"/>
        </w:rPr>
        <w:t>countries/</w:t>
      </w:r>
      <w:r w:rsidR="003233F1" w:rsidRPr="009C49DE">
        <w:rPr>
          <w:sz w:val="22"/>
          <w:szCs w:val="22"/>
        </w:rPr>
        <w:t xml:space="preserve">regions, such as </w:t>
      </w:r>
      <w:smartTag w:uri="urn:schemas-microsoft-com:office:smarttags" w:element="place">
        <w:smartTag w:uri="urn:schemas-microsoft-com:office:smarttags" w:element="country-region">
          <w:r w:rsidR="003233F1" w:rsidRPr="009C49DE">
            <w:rPr>
              <w:sz w:val="22"/>
              <w:szCs w:val="22"/>
            </w:rPr>
            <w:t>South Africa</w:t>
          </w:r>
        </w:smartTag>
      </w:smartTag>
      <w:r w:rsidR="003233F1" w:rsidRPr="009C49DE">
        <w:rPr>
          <w:sz w:val="22"/>
          <w:szCs w:val="22"/>
        </w:rPr>
        <w:t xml:space="preserve">, </w:t>
      </w:r>
      <w:r w:rsidR="005D7E91" w:rsidRPr="009C49DE">
        <w:rPr>
          <w:sz w:val="22"/>
          <w:szCs w:val="22"/>
        </w:rPr>
        <w:t>being</w:t>
      </w:r>
      <w:r w:rsidR="003233F1" w:rsidRPr="009C49DE">
        <w:rPr>
          <w:sz w:val="22"/>
          <w:szCs w:val="22"/>
        </w:rPr>
        <w:t xml:space="preserve"> more diversified in term</w:t>
      </w:r>
      <w:r w:rsidR="00211FBE" w:rsidRPr="009C49DE">
        <w:rPr>
          <w:sz w:val="22"/>
          <w:szCs w:val="22"/>
        </w:rPr>
        <w:t>s</w:t>
      </w:r>
      <w:r w:rsidR="003233F1" w:rsidRPr="009C49DE">
        <w:rPr>
          <w:sz w:val="22"/>
          <w:szCs w:val="22"/>
        </w:rPr>
        <w:t xml:space="preserve"> of product and geographic origin of their imports </w:t>
      </w:r>
      <w:r w:rsidR="00211FBE" w:rsidRPr="009C49DE">
        <w:rPr>
          <w:sz w:val="22"/>
          <w:szCs w:val="22"/>
        </w:rPr>
        <w:t>(</w:t>
      </w:r>
      <w:r w:rsidR="005D7E91" w:rsidRPr="009C49DE">
        <w:rPr>
          <w:sz w:val="22"/>
          <w:szCs w:val="22"/>
        </w:rPr>
        <w:t xml:space="preserve">or being </w:t>
      </w:r>
      <w:r w:rsidR="003233F1" w:rsidRPr="009C49DE">
        <w:rPr>
          <w:sz w:val="22"/>
          <w:szCs w:val="22"/>
        </w:rPr>
        <w:t>less depend</w:t>
      </w:r>
      <w:r w:rsidR="00211FBE" w:rsidRPr="009C49DE">
        <w:rPr>
          <w:sz w:val="22"/>
          <w:szCs w:val="22"/>
        </w:rPr>
        <w:t>e</w:t>
      </w:r>
      <w:r w:rsidR="003233F1" w:rsidRPr="009C49DE">
        <w:rPr>
          <w:sz w:val="22"/>
          <w:szCs w:val="22"/>
        </w:rPr>
        <w:t>nt on food imports</w:t>
      </w:r>
      <w:r w:rsidR="00211FBE" w:rsidRPr="009C49DE">
        <w:rPr>
          <w:sz w:val="22"/>
          <w:szCs w:val="22"/>
        </w:rPr>
        <w:t>)</w:t>
      </w:r>
      <w:proofErr w:type="gramStart"/>
      <w:r w:rsidR="003233F1" w:rsidRPr="009C49DE">
        <w:rPr>
          <w:sz w:val="22"/>
          <w:szCs w:val="22"/>
        </w:rPr>
        <w:t>,</w:t>
      </w:r>
      <w:proofErr w:type="gramEnd"/>
      <w:r w:rsidR="003233F1" w:rsidRPr="009C49DE">
        <w:rPr>
          <w:sz w:val="22"/>
          <w:szCs w:val="22"/>
        </w:rPr>
        <w:t xml:space="preserve"> register welfare gains </w:t>
      </w:r>
      <w:r w:rsidR="007B5C7F" w:rsidRPr="009C49DE">
        <w:rPr>
          <w:sz w:val="22"/>
          <w:szCs w:val="22"/>
        </w:rPr>
        <w:t xml:space="preserve">as a result of </w:t>
      </w:r>
      <w:r w:rsidR="003233F1" w:rsidRPr="009C49DE">
        <w:rPr>
          <w:sz w:val="22"/>
          <w:szCs w:val="22"/>
        </w:rPr>
        <w:t>trade reforms.</w:t>
      </w:r>
    </w:p>
    <w:p w:rsidR="00374124" w:rsidRPr="007F6304" w:rsidRDefault="00277026" w:rsidP="00CF7A1C">
      <w:pPr>
        <w:pStyle w:val="Tableheading"/>
        <w:ind w:left="1440" w:hanging="1440"/>
      </w:pPr>
      <w:r w:rsidRPr="007F6304">
        <w:t xml:space="preserve">Table </w:t>
      </w:r>
      <w:r w:rsidR="006436C9" w:rsidRPr="007F6304">
        <w:t>8.</w:t>
      </w:r>
      <w:r w:rsidRPr="007F6304">
        <w:t>1</w:t>
      </w:r>
      <w:r w:rsidR="004554CB" w:rsidRPr="007F6304">
        <w:t>5</w:t>
      </w:r>
      <w:r w:rsidR="00374124" w:rsidRPr="007F6304">
        <w:t xml:space="preserve">: </w:t>
      </w:r>
      <w:r w:rsidR="00EE7040" w:rsidRPr="007F6304">
        <w:tab/>
      </w:r>
      <w:r w:rsidR="00374124" w:rsidRPr="007F6304">
        <w:t xml:space="preserve">Exports and real income by African country/region – </w:t>
      </w:r>
      <w:r w:rsidR="00EE75A4" w:rsidRPr="007F6304">
        <w:t>p</w:t>
      </w:r>
      <w:r w:rsidR="006A6186" w:rsidRPr="007F6304">
        <w:t>ercentage c</w:t>
      </w:r>
      <w:r w:rsidR="00374124" w:rsidRPr="007F6304">
        <w:t xml:space="preserve">hanges compared </w:t>
      </w:r>
      <w:r w:rsidR="00EE75A4" w:rsidRPr="007F6304">
        <w:t xml:space="preserve">with </w:t>
      </w:r>
      <w:r w:rsidR="00374124" w:rsidRPr="007F6304">
        <w:t>the baseline scenario</w:t>
      </w:r>
      <w:r w:rsidR="00EE75A4" w:rsidRPr="007F6304">
        <w:t>,</w:t>
      </w:r>
      <w:r w:rsidR="00374124" w:rsidRPr="007F6304">
        <w:t xml:space="preserve"> 2022</w:t>
      </w:r>
    </w:p>
    <w:p w:rsidR="00FA58CF" w:rsidRPr="0061584B" w:rsidRDefault="004E0427" w:rsidP="004E0427">
      <w:pPr>
        <w:spacing w:line="360" w:lineRule="auto"/>
        <w:jc w:val="center"/>
      </w:pPr>
      <w:r w:rsidRPr="004E0427">
        <w:pict>
          <v:shape id="_x0000_i1041" type="#_x0000_t75" style="width:404.25pt;height:371.25pt">
            <v:imagedata r:id="rId23" o:title=""/>
          </v:shape>
        </w:pict>
      </w:r>
    </w:p>
    <w:p w:rsidR="00374124" w:rsidRPr="009C49DE" w:rsidRDefault="00374124"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374124" w:rsidRPr="0061584B" w:rsidRDefault="00374124" w:rsidP="006D5982">
      <w:pPr>
        <w:spacing w:line="360" w:lineRule="auto"/>
      </w:pPr>
    </w:p>
    <w:p w:rsidR="00005DA9" w:rsidRPr="009C49DE" w:rsidRDefault="00DD5840" w:rsidP="006D5982">
      <w:pPr>
        <w:spacing w:line="360" w:lineRule="auto"/>
        <w:rPr>
          <w:sz w:val="22"/>
          <w:szCs w:val="22"/>
        </w:rPr>
      </w:pPr>
      <w:r w:rsidRPr="009C49DE">
        <w:rPr>
          <w:sz w:val="22"/>
          <w:szCs w:val="22"/>
        </w:rPr>
        <w:t xml:space="preserve">Because FTA reforms lead to </w:t>
      </w:r>
      <w:r w:rsidR="009650B4" w:rsidRPr="009C49DE">
        <w:rPr>
          <w:sz w:val="22"/>
          <w:szCs w:val="22"/>
        </w:rPr>
        <w:t>higher exports of agricultural</w:t>
      </w:r>
      <w:r w:rsidR="005C6484" w:rsidRPr="009C49DE">
        <w:rPr>
          <w:sz w:val="22"/>
          <w:szCs w:val="22"/>
        </w:rPr>
        <w:t xml:space="preserve"> and food</w:t>
      </w:r>
      <w:r w:rsidR="009650B4" w:rsidRPr="009C49DE">
        <w:rPr>
          <w:sz w:val="22"/>
          <w:szCs w:val="22"/>
        </w:rPr>
        <w:t xml:space="preserve"> products</w:t>
      </w:r>
      <w:r w:rsidR="007A3E9D" w:rsidRPr="009C49DE">
        <w:rPr>
          <w:sz w:val="22"/>
          <w:szCs w:val="22"/>
        </w:rPr>
        <w:t xml:space="preserve"> by</w:t>
      </w:r>
      <w:r w:rsidR="009650B4" w:rsidRPr="009C49DE">
        <w:rPr>
          <w:sz w:val="22"/>
          <w:szCs w:val="22"/>
        </w:rPr>
        <w:t xml:space="preserve"> all</w:t>
      </w:r>
      <w:r w:rsidR="00344131" w:rsidRPr="009C49DE">
        <w:rPr>
          <w:sz w:val="22"/>
          <w:szCs w:val="22"/>
        </w:rPr>
        <w:t xml:space="preserve"> African countries/regions </w:t>
      </w:r>
      <w:r w:rsidR="00693910" w:rsidRPr="009C49DE">
        <w:rPr>
          <w:sz w:val="22"/>
          <w:szCs w:val="22"/>
        </w:rPr>
        <w:t>(</w:t>
      </w:r>
      <w:r w:rsidR="00FB0D3B">
        <w:rPr>
          <w:sz w:val="22"/>
          <w:szCs w:val="22"/>
        </w:rPr>
        <w:t>annex</w:t>
      </w:r>
      <w:r w:rsidR="003F1768">
        <w:rPr>
          <w:sz w:val="22"/>
          <w:szCs w:val="22"/>
        </w:rPr>
        <w:t xml:space="preserve"> tables</w:t>
      </w:r>
      <w:r w:rsidR="00693910" w:rsidRPr="009C49DE">
        <w:rPr>
          <w:sz w:val="22"/>
          <w:szCs w:val="22"/>
        </w:rPr>
        <w:t xml:space="preserve"> </w:t>
      </w:r>
      <w:r w:rsidR="003F1768">
        <w:rPr>
          <w:sz w:val="22"/>
          <w:szCs w:val="22"/>
        </w:rPr>
        <w:t>A</w:t>
      </w:r>
      <w:r w:rsidR="006436C9" w:rsidRPr="009C49DE">
        <w:rPr>
          <w:sz w:val="22"/>
          <w:szCs w:val="22"/>
        </w:rPr>
        <w:t>8.</w:t>
      </w:r>
      <w:r w:rsidR="006011C9" w:rsidRPr="009C49DE">
        <w:rPr>
          <w:sz w:val="22"/>
          <w:szCs w:val="22"/>
        </w:rPr>
        <w:t>7</w:t>
      </w:r>
      <w:r w:rsidR="00693910" w:rsidRPr="009C49DE">
        <w:rPr>
          <w:sz w:val="22"/>
          <w:szCs w:val="22"/>
        </w:rPr>
        <w:t xml:space="preserve"> and </w:t>
      </w:r>
      <w:r w:rsidR="003F1768">
        <w:rPr>
          <w:sz w:val="22"/>
          <w:szCs w:val="22"/>
        </w:rPr>
        <w:t>A</w:t>
      </w:r>
      <w:r w:rsidR="006436C9" w:rsidRPr="009C49DE">
        <w:rPr>
          <w:sz w:val="22"/>
          <w:szCs w:val="22"/>
        </w:rPr>
        <w:t>8.</w:t>
      </w:r>
      <w:r w:rsidR="006011C9" w:rsidRPr="009C49DE">
        <w:rPr>
          <w:sz w:val="22"/>
          <w:szCs w:val="22"/>
        </w:rPr>
        <w:t>8</w:t>
      </w:r>
      <w:r w:rsidR="00693910" w:rsidRPr="009C49DE">
        <w:rPr>
          <w:sz w:val="22"/>
          <w:szCs w:val="22"/>
        </w:rPr>
        <w:t>)</w:t>
      </w:r>
      <w:r w:rsidR="00446CA3" w:rsidRPr="009C49DE">
        <w:rPr>
          <w:sz w:val="22"/>
          <w:szCs w:val="22"/>
        </w:rPr>
        <w:t>,</w:t>
      </w:r>
      <w:r w:rsidR="009650B4" w:rsidRPr="009C49DE">
        <w:rPr>
          <w:sz w:val="22"/>
          <w:szCs w:val="22"/>
        </w:rPr>
        <w:t xml:space="preserve"> </w:t>
      </w:r>
      <w:r w:rsidR="00115BAE" w:rsidRPr="009C49DE">
        <w:rPr>
          <w:sz w:val="22"/>
          <w:szCs w:val="22"/>
        </w:rPr>
        <w:t xml:space="preserve">in nearly all African countries/regions </w:t>
      </w:r>
      <w:r w:rsidR="005C6484" w:rsidRPr="009C49DE">
        <w:rPr>
          <w:sz w:val="22"/>
          <w:szCs w:val="22"/>
        </w:rPr>
        <w:t>real wages of unskilled workers employed in agriculture and food sectors increase</w:t>
      </w:r>
      <w:r w:rsidR="00446CA3" w:rsidRPr="009C49DE">
        <w:rPr>
          <w:sz w:val="22"/>
          <w:szCs w:val="22"/>
        </w:rPr>
        <w:t xml:space="preserve">, compared </w:t>
      </w:r>
      <w:r w:rsidR="007A3E9D" w:rsidRPr="009C49DE">
        <w:rPr>
          <w:sz w:val="22"/>
          <w:szCs w:val="22"/>
        </w:rPr>
        <w:t xml:space="preserve">with the </w:t>
      </w:r>
      <w:r w:rsidR="00446CA3" w:rsidRPr="009C49DE">
        <w:rPr>
          <w:sz w:val="22"/>
          <w:szCs w:val="22"/>
        </w:rPr>
        <w:t>baseline scenario</w:t>
      </w:r>
      <w:r w:rsidR="00693910" w:rsidRPr="009C49DE">
        <w:rPr>
          <w:sz w:val="22"/>
          <w:szCs w:val="22"/>
        </w:rPr>
        <w:t xml:space="preserve"> (</w:t>
      </w:r>
      <w:r w:rsidR="00FB0D3B">
        <w:rPr>
          <w:sz w:val="22"/>
          <w:szCs w:val="22"/>
        </w:rPr>
        <w:t>table</w:t>
      </w:r>
      <w:r w:rsidR="00693910" w:rsidRPr="009C49DE">
        <w:rPr>
          <w:sz w:val="22"/>
          <w:szCs w:val="22"/>
        </w:rPr>
        <w:t xml:space="preserve"> </w:t>
      </w:r>
      <w:r w:rsidR="006436C9" w:rsidRPr="009C49DE">
        <w:rPr>
          <w:sz w:val="22"/>
          <w:szCs w:val="22"/>
        </w:rPr>
        <w:t>8.</w:t>
      </w:r>
      <w:r w:rsidR="00693910" w:rsidRPr="009C49DE">
        <w:rPr>
          <w:sz w:val="22"/>
          <w:szCs w:val="22"/>
        </w:rPr>
        <w:t>16)</w:t>
      </w:r>
      <w:r w:rsidR="00C152D9" w:rsidRPr="009C49DE">
        <w:rPr>
          <w:sz w:val="22"/>
          <w:szCs w:val="22"/>
        </w:rPr>
        <w:t>.</w:t>
      </w:r>
      <w:r w:rsidR="00446CA3" w:rsidRPr="009C49DE">
        <w:rPr>
          <w:sz w:val="22"/>
          <w:szCs w:val="22"/>
        </w:rPr>
        <w:t xml:space="preserve"> </w:t>
      </w:r>
      <w:r w:rsidR="00C152D9" w:rsidRPr="009C49DE">
        <w:rPr>
          <w:sz w:val="22"/>
          <w:szCs w:val="22"/>
        </w:rPr>
        <w:t xml:space="preserve">This is especially true in </w:t>
      </w:r>
      <w:r w:rsidR="00342DBC" w:rsidRPr="009C49DE">
        <w:rPr>
          <w:sz w:val="22"/>
          <w:szCs w:val="22"/>
        </w:rPr>
        <w:t>countries/regions</w:t>
      </w:r>
      <w:r w:rsidR="00BB7BCA" w:rsidRPr="009C49DE">
        <w:rPr>
          <w:sz w:val="22"/>
          <w:szCs w:val="22"/>
        </w:rPr>
        <w:t xml:space="preserve"> highly specialized in exporting </w:t>
      </w:r>
      <w:r w:rsidR="009C12EF" w:rsidRPr="009C49DE">
        <w:rPr>
          <w:sz w:val="22"/>
          <w:szCs w:val="22"/>
        </w:rPr>
        <w:t xml:space="preserve">these </w:t>
      </w:r>
      <w:r w:rsidR="00BB7BCA" w:rsidRPr="009C49DE">
        <w:rPr>
          <w:sz w:val="22"/>
          <w:szCs w:val="22"/>
        </w:rPr>
        <w:t>products</w:t>
      </w:r>
      <w:r w:rsidR="00277026" w:rsidRPr="009C49DE">
        <w:rPr>
          <w:sz w:val="22"/>
          <w:szCs w:val="22"/>
        </w:rPr>
        <w:t>,</w:t>
      </w:r>
      <w:r w:rsidR="00BB7BCA" w:rsidRPr="009C49DE">
        <w:rPr>
          <w:sz w:val="22"/>
          <w:szCs w:val="22"/>
        </w:rPr>
        <w:t xml:space="preserve"> such as </w:t>
      </w:r>
      <w:smartTag w:uri="urn:schemas-microsoft-com:office:smarttags" w:element="country-region">
        <w:r w:rsidR="00BB7BCA" w:rsidRPr="009C49DE">
          <w:rPr>
            <w:sz w:val="22"/>
            <w:szCs w:val="22"/>
          </w:rPr>
          <w:t>Malawi</w:t>
        </w:r>
      </w:smartTag>
      <w:r w:rsidR="00BB7BCA" w:rsidRPr="009C49DE">
        <w:rPr>
          <w:sz w:val="22"/>
          <w:szCs w:val="22"/>
        </w:rPr>
        <w:t xml:space="preserve"> and </w:t>
      </w:r>
      <w:smartTag w:uri="urn:schemas-microsoft-com:office:smarttags" w:element="place">
        <w:smartTag w:uri="urn:schemas-microsoft-com:office:smarttags" w:element="country-region">
          <w:r w:rsidR="00BB7BCA" w:rsidRPr="009C49DE">
            <w:rPr>
              <w:sz w:val="22"/>
              <w:szCs w:val="22"/>
            </w:rPr>
            <w:t>Zimbabwe</w:t>
          </w:r>
        </w:smartTag>
      </w:smartTag>
      <w:r w:rsidR="00BB7BCA" w:rsidRPr="009C49DE">
        <w:rPr>
          <w:rStyle w:val="FootnoteReference"/>
          <w:sz w:val="22"/>
          <w:szCs w:val="22"/>
        </w:rPr>
        <w:footnoteReference w:id="36"/>
      </w:r>
      <w:r w:rsidR="00277026" w:rsidRPr="009C49DE">
        <w:rPr>
          <w:sz w:val="22"/>
          <w:szCs w:val="22"/>
        </w:rPr>
        <w:t xml:space="preserve"> </w:t>
      </w:r>
      <w:r w:rsidR="005C6484" w:rsidRPr="009C49DE">
        <w:rPr>
          <w:sz w:val="22"/>
          <w:szCs w:val="22"/>
        </w:rPr>
        <w:t>(</w:t>
      </w:r>
      <w:r w:rsidR="00FB0D3B">
        <w:rPr>
          <w:sz w:val="22"/>
          <w:szCs w:val="22"/>
        </w:rPr>
        <w:t>table</w:t>
      </w:r>
      <w:r w:rsidR="005C6484" w:rsidRPr="009C49DE">
        <w:rPr>
          <w:sz w:val="22"/>
          <w:szCs w:val="22"/>
        </w:rPr>
        <w:t xml:space="preserve"> </w:t>
      </w:r>
      <w:r w:rsidR="006436C9" w:rsidRPr="009C49DE">
        <w:rPr>
          <w:sz w:val="22"/>
          <w:szCs w:val="22"/>
        </w:rPr>
        <w:t>8.</w:t>
      </w:r>
      <w:r w:rsidR="005C6484" w:rsidRPr="009C49DE">
        <w:rPr>
          <w:sz w:val="22"/>
          <w:szCs w:val="22"/>
        </w:rPr>
        <w:t>1</w:t>
      </w:r>
      <w:r w:rsidR="004554CB" w:rsidRPr="009C49DE">
        <w:rPr>
          <w:sz w:val="22"/>
          <w:szCs w:val="22"/>
        </w:rPr>
        <w:t>6</w:t>
      </w:r>
      <w:r w:rsidR="005C6484" w:rsidRPr="009C49DE">
        <w:rPr>
          <w:sz w:val="22"/>
          <w:szCs w:val="22"/>
        </w:rPr>
        <w:t>)</w:t>
      </w:r>
      <w:r w:rsidR="00342DBC" w:rsidRPr="009C49DE">
        <w:rPr>
          <w:sz w:val="22"/>
          <w:szCs w:val="22"/>
        </w:rPr>
        <w:t xml:space="preserve"> and with the formation of a </w:t>
      </w:r>
      <w:r w:rsidR="003F128B" w:rsidRPr="009C49DE">
        <w:rPr>
          <w:sz w:val="22"/>
          <w:szCs w:val="22"/>
        </w:rPr>
        <w:t xml:space="preserve">continent-wide </w:t>
      </w:r>
      <w:r w:rsidR="00342DBC" w:rsidRPr="009C49DE">
        <w:rPr>
          <w:sz w:val="22"/>
          <w:szCs w:val="22"/>
        </w:rPr>
        <w:t>FTA</w:t>
      </w:r>
      <w:r w:rsidR="005C6484" w:rsidRPr="009C49DE">
        <w:rPr>
          <w:sz w:val="22"/>
          <w:szCs w:val="22"/>
        </w:rPr>
        <w:t>.</w:t>
      </w:r>
      <w:r w:rsidR="00BB7BCA" w:rsidRPr="009C49DE">
        <w:rPr>
          <w:sz w:val="22"/>
          <w:szCs w:val="22"/>
        </w:rPr>
        <w:t xml:space="preserve"> Nevertheless, </w:t>
      </w:r>
      <w:r w:rsidR="00277026" w:rsidRPr="009C49DE">
        <w:rPr>
          <w:sz w:val="22"/>
          <w:szCs w:val="22"/>
        </w:rPr>
        <w:t xml:space="preserve">unskilled agricultural workers </w:t>
      </w:r>
      <w:r w:rsidR="00C3427B" w:rsidRPr="009C49DE">
        <w:rPr>
          <w:sz w:val="22"/>
          <w:szCs w:val="22"/>
        </w:rPr>
        <w:t>see a decrease in real wages in the</w:t>
      </w:r>
      <w:r w:rsidR="00277026" w:rsidRPr="009C49DE">
        <w:rPr>
          <w:sz w:val="22"/>
          <w:szCs w:val="22"/>
        </w:rPr>
        <w:t xml:space="preserve"> </w:t>
      </w:r>
      <w:r w:rsidR="00BB7BCA" w:rsidRPr="009C49DE">
        <w:rPr>
          <w:sz w:val="22"/>
          <w:szCs w:val="22"/>
        </w:rPr>
        <w:t>main oil exporter</w:t>
      </w:r>
      <w:r w:rsidR="00277026" w:rsidRPr="009C49DE">
        <w:rPr>
          <w:sz w:val="22"/>
          <w:szCs w:val="22"/>
        </w:rPr>
        <w:t xml:space="preserve"> countries</w:t>
      </w:r>
      <w:r w:rsidR="00BB7BCA" w:rsidRPr="009C49DE">
        <w:rPr>
          <w:sz w:val="22"/>
          <w:szCs w:val="22"/>
        </w:rPr>
        <w:t xml:space="preserve"> </w:t>
      </w:r>
      <w:r w:rsidR="00C3427B" w:rsidRPr="009C49DE">
        <w:rPr>
          <w:sz w:val="22"/>
          <w:szCs w:val="22"/>
        </w:rPr>
        <w:t xml:space="preserve">– </w:t>
      </w:r>
      <w:r w:rsidR="00BB7BCA" w:rsidRPr="009C49DE">
        <w:rPr>
          <w:sz w:val="22"/>
          <w:szCs w:val="22"/>
        </w:rPr>
        <w:t xml:space="preserve">Angola, Egypt, Nigeria, </w:t>
      </w:r>
      <w:r w:rsidR="00C3427B" w:rsidRPr="009C49DE">
        <w:rPr>
          <w:sz w:val="22"/>
          <w:szCs w:val="22"/>
        </w:rPr>
        <w:t>r</w:t>
      </w:r>
      <w:r w:rsidR="00BB7BCA" w:rsidRPr="009C49DE">
        <w:rPr>
          <w:sz w:val="22"/>
          <w:szCs w:val="22"/>
        </w:rPr>
        <w:t>est of Eastern Africa (inclu</w:t>
      </w:r>
      <w:r w:rsidR="00C3427B" w:rsidRPr="009C49DE">
        <w:rPr>
          <w:sz w:val="22"/>
          <w:szCs w:val="22"/>
        </w:rPr>
        <w:t>ding</w:t>
      </w:r>
      <w:r w:rsidR="00BB7BCA" w:rsidRPr="009C49DE">
        <w:rPr>
          <w:sz w:val="22"/>
          <w:szCs w:val="22"/>
        </w:rPr>
        <w:t xml:space="preserve"> Kenya)</w:t>
      </w:r>
      <w:r w:rsidR="000E208A">
        <w:rPr>
          <w:sz w:val="22"/>
          <w:szCs w:val="22"/>
        </w:rPr>
        <w:t xml:space="preserve"> –</w:t>
      </w:r>
      <w:r w:rsidR="00BB7BCA" w:rsidRPr="009C49DE">
        <w:rPr>
          <w:sz w:val="22"/>
          <w:szCs w:val="22"/>
        </w:rPr>
        <w:t xml:space="preserve"> as well as Zambia (69</w:t>
      </w:r>
      <w:r w:rsidR="000F4C18" w:rsidRPr="009C49DE">
        <w:rPr>
          <w:sz w:val="22"/>
          <w:szCs w:val="22"/>
        </w:rPr>
        <w:t xml:space="preserve"> per cent</w:t>
      </w:r>
      <w:r w:rsidR="00BB7BCA" w:rsidRPr="009C49DE">
        <w:rPr>
          <w:sz w:val="22"/>
          <w:szCs w:val="22"/>
        </w:rPr>
        <w:t xml:space="preserve"> of Zambia’s exports </w:t>
      </w:r>
      <w:r w:rsidR="009C12EF" w:rsidRPr="009C49DE">
        <w:rPr>
          <w:sz w:val="22"/>
          <w:szCs w:val="22"/>
        </w:rPr>
        <w:t xml:space="preserve">are </w:t>
      </w:r>
      <w:r w:rsidR="00BB7BCA" w:rsidRPr="009C49DE">
        <w:rPr>
          <w:sz w:val="22"/>
          <w:szCs w:val="22"/>
        </w:rPr>
        <w:t>mineral and metal products</w:t>
      </w:r>
      <w:r w:rsidR="00277026" w:rsidRPr="009C49DE">
        <w:rPr>
          <w:sz w:val="22"/>
          <w:szCs w:val="22"/>
        </w:rPr>
        <w:t xml:space="preserve">; see </w:t>
      </w:r>
      <w:r w:rsidR="00B03E3F" w:rsidRPr="009C49DE">
        <w:rPr>
          <w:sz w:val="22"/>
          <w:szCs w:val="22"/>
        </w:rPr>
        <w:t>annex</w:t>
      </w:r>
      <w:r w:rsidR="00BB41EB">
        <w:rPr>
          <w:sz w:val="22"/>
          <w:szCs w:val="22"/>
        </w:rPr>
        <w:t xml:space="preserve"> table</w:t>
      </w:r>
      <w:r w:rsidR="00277026" w:rsidRPr="009C49DE">
        <w:rPr>
          <w:sz w:val="22"/>
          <w:szCs w:val="22"/>
        </w:rPr>
        <w:t xml:space="preserve"> </w:t>
      </w:r>
      <w:r w:rsidR="00BB41EB">
        <w:rPr>
          <w:sz w:val="22"/>
          <w:szCs w:val="22"/>
        </w:rPr>
        <w:t>A</w:t>
      </w:r>
      <w:r w:rsidR="008E578D" w:rsidRPr="009C49DE">
        <w:rPr>
          <w:sz w:val="22"/>
          <w:szCs w:val="22"/>
        </w:rPr>
        <w:t>8.</w:t>
      </w:r>
      <w:r w:rsidR="006011C9" w:rsidRPr="009C49DE">
        <w:rPr>
          <w:sz w:val="22"/>
          <w:szCs w:val="22"/>
        </w:rPr>
        <w:t>6</w:t>
      </w:r>
      <w:r w:rsidR="00BB7BCA" w:rsidRPr="009C49DE">
        <w:rPr>
          <w:sz w:val="22"/>
          <w:szCs w:val="22"/>
        </w:rPr>
        <w:t>) and Mauritius (mainly exporting textile, wearing apparel</w:t>
      </w:r>
      <w:r w:rsidR="000E208A">
        <w:rPr>
          <w:sz w:val="22"/>
          <w:szCs w:val="22"/>
        </w:rPr>
        <w:t>,</w:t>
      </w:r>
      <w:r w:rsidR="00BB7BCA" w:rsidRPr="009C49DE">
        <w:rPr>
          <w:sz w:val="22"/>
          <w:szCs w:val="22"/>
        </w:rPr>
        <w:t xml:space="preserve"> and leather products)</w:t>
      </w:r>
      <w:r w:rsidR="00277026" w:rsidRPr="009C49DE">
        <w:rPr>
          <w:sz w:val="22"/>
          <w:szCs w:val="22"/>
        </w:rPr>
        <w:t>.</w:t>
      </w:r>
    </w:p>
    <w:p w:rsidR="008D7630" w:rsidRDefault="005C6484" w:rsidP="008D7630">
      <w:pPr>
        <w:spacing w:line="360" w:lineRule="auto"/>
        <w:ind w:left="1440" w:hanging="1440"/>
        <w:jc w:val="left"/>
        <w:rPr>
          <w:b/>
        </w:rPr>
      </w:pPr>
      <w:r w:rsidRPr="008D7630">
        <w:rPr>
          <w:b/>
        </w:rPr>
        <w:t xml:space="preserve">Table </w:t>
      </w:r>
      <w:r w:rsidR="006436C9" w:rsidRPr="008D7630">
        <w:rPr>
          <w:b/>
        </w:rPr>
        <w:t>8.</w:t>
      </w:r>
      <w:r w:rsidRPr="008D7630">
        <w:rPr>
          <w:b/>
        </w:rPr>
        <w:t>1</w:t>
      </w:r>
      <w:r w:rsidR="004554CB" w:rsidRPr="008D7630">
        <w:rPr>
          <w:b/>
        </w:rPr>
        <w:t>6</w:t>
      </w:r>
      <w:r w:rsidR="00344131" w:rsidRPr="008D7630">
        <w:rPr>
          <w:b/>
        </w:rPr>
        <w:t xml:space="preserve">: </w:t>
      </w:r>
      <w:r w:rsidR="00EE7040" w:rsidRPr="008D7630">
        <w:rPr>
          <w:b/>
        </w:rPr>
        <w:tab/>
      </w:r>
      <w:r w:rsidR="00344131" w:rsidRPr="008D7630">
        <w:rPr>
          <w:b/>
        </w:rPr>
        <w:t>Real wages by main qualifications and main sectors of activity</w:t>
      </w:r>
      <w:r w:rsidR="00C3427B" w:rsidRPr="008D7630">
        <w:rPr>
          <w:b/>
        </w:rPr>
        <w:t xml:space="preserve"> </w:t>
      </w:r>
      <w:r w:rsidR="00344131" w:rsidRPr="008D7630">
        <w:rPr>
          <w:b/>
        </w:rPr>
        <w:t xml:space="preserve">– </w:t>
      </w:r>
      <w:r w:rsidR="00C3427B" w:rsidRPr="008D7630">
        <w:rPr>
          <w:b/>
        </w:rPr>
        <w:t>percentage c</w:t>
      </w:r>
      <w:r w:rsidR="00344131" w:rsidRPr="008D7630">
        <w:rPr>
          <w:b/>
        </w:rPr>
        <w:t xml:space="preserve">hanges compared </w:t>
      </w:r>
      <w:r w:rsidR="00C3427B" w:rsidRPr="008D7630">
        <w:rPr>
          <w:b/>
        </w:rPr>
        <w:t>with</w:t>
      </w:r>
      <w:r w:rsidR="00344131" w:rsidRPr="008D7630">
        <w:rPr>
          <w:b/>
        </w:rPr>
        <w:t xml:space="preserve"> the baseline scenario</w:t>
      </w:r>
      <w:r w:rsidR="00C3427B" w:rsidRPr="008D7630">
        <w:rPr>
          <w:b/>
        </w:rPr>
        <w:t>,</w:t>
      </w:r>
      <w:r w:rsidR="00344131" w:rsidRPr="008D7630">
        <w:rPr>
          <w:b/>
        </w:rPr>
        <w:t xml:space="preserve"> 2022</w:t>
      </w:r>
    </w:p>
    <w:p w:rsidR="00601585" w:rsidRPr="0061584B" w:rsidRDefault="00344131" w:rsidP="008D7630">
      <w:pPr>
        <w:spacing w:line="360" w:lineRule="auto"/>
        <w:ind w:firstLine="0"/>
        <w:jc w:val="left"/>
      </w:pPr>
      <w:r w:rsidRPr="0061584B">
        <w:t xml:space="preserve"> </w:t>
      </w:r>
      <w:r w:rsidR="001223A0" w:rsidRPr="004E0427">
        <w:rPr>
          <w:rStyle w:val="CommentReference"/>
          <w:sz w:val="22"/>
        </w:rPr>
        <w:pict>
          <v:shape id="_x0000_i1042" type="#_x0000_t75" style="width:6in;height:291pt">
            <v:imagedata r:id="rId24" o:title=""/>
          </v:shape>
        </w:pict>
      </w:r>
    </w:p>
    <w:p w:rsidR="00344131" w:rsidRPr="009C49DE" w:rsidRDefault="00344131"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344131" w:rsidRPr="0061584B" w:rsidRDefault="00344131" w:rsidP="006D5982">
      <w:pPr>
        <w:spacing w:line="360" w:lineRule="auto"/>
      </w:pPr>
    </w:p>
    <w:p w:rsidR="0036139C" w:rsidRPr="009C49DE" w:rsidRDefault="00BC0E83" w:rsidP="006D5982">
      <w:pPr>
        <w:spacing w:line="360" w:lineRule="auto"/>
        <w:rPr>
          <w:sz w:val="22"/>
          <w:szCs w:val="22"/>
        </w:rPr>
      </w:pPr>
      <w:r w:rsidRPr="009C49DE">
        <w:rPr>
          <w:sz w:val="22"/>
          <w:szCs w:val="22"/>
        </w:rPr>
        <w:t xml:space="preserve">As </w:t>
      </w:r>
      <w:r w:rsidR="009C12EF" w:rsidRPr="009C49DE">
        <w:rPr>
          <w:sz w:val="22"/>
          <w:szCs w:val="22"/>
        </w:rPr>
        <w:t xml:space="preserve">observed </w:t>
      </w:r>
      <w:r w:rsidRPr="009C49DE">
        <w:rPr>
          <w:sz w:val="22"/>
          <w:szCs w:val="22"/>
        </w:rPr>
        <w:t xml:space="preserve">at the global level, whenever </w:t>
      </w:r>
      <w:r w:rsidR="009C12EF" w:rsidRPr="009C49DE">
        <w:rPr>
          <w:sz w:val="22"/>
          <w:szCs w:val="22"/>
        </w:rPr>
        <w:t xml:space="preserve">the </w:t>
      </w:r>
      <w:r w:rsidRPr="009C49DE">
        <w:rPr>
          <w:sz w:val="22"/>
          <w:szCs w:val="22"/>
        </w:rPr>
        <w:t xml:space="preserve">real wages of unskilled </w:t>
      </w:r>
      <w:r w:rsidR="00C31B0B" w:rsidRPr="009C49DE">
        <w:rPr>
          <w:sz w:val="22"/>
          <w:szCs w:val="22"/>
        </w:rPr>
        <w:t>labour</w:t>
      </w:r>
      <w:r w:rsidRPr="009C49DE">
        <w:rPr>
          <w:sz w:val="22"/>
          <w:szCs w:val="22"/>
        </w:rPr>
        <w:t xml:space="preserve"> employed </w:t>
      </w:r>
      <w:r w:rsidR="009C12EF" w:rsidRPr="009C49DE">
        <w:rPr>
          <w:sz w:val="22"/>
          <w:szCs w:val="22"/>
        </w:rPr>
        <w:t xml:space="preserve">in </w:t>
      </w:r>
      <w:r w:rsidRPr="009C49DE">
        <w:rPr>
          <w:sz w:val="22"/>
          <w:szCs w:val="22"/>
        </w:rPr>
        <w:t xml:space="preserve">non-agricultural sectors </w:t>
      </w:r>
      <w:r w:rsidR="002B7B12" w:rsidRPr="009C49DE">
        <w:rPr>
          <w:sz w:val="22"/>
          <w:szCs w:val="22"/>
        </w:rPr>
        <w:t xml:space="preserve">increase (decrease) more </w:t>
      </w:r>
      <w:r w:rsidR="0081762F" w:rsidRPr="009C49DE">
        <w:rPr>
          <w:sz w:val="22"/>
          <w:szCs w:val="22"/>
        </w:rPr>
        <w:t xml:space="preserve">(less) </w:t>
      </w:r>
      <w:r w:rsidRPr="009C49DE">
        <w:rPr>
          <w:sz w:val="22"/>
          <w:szCs w:val="22"/>
        </w:rPr>
        <w:t xml:space="preserve">than </w:t>
      </w:r>
      <w:r w:rsidR="009C12EF" w:rsidRPr="009C49DE">
        <w:rPr>
          <w:sz w:val="22"/>
          <w:szCs w:val="22"/>
        </w:rPr>
        <w:t>th</w:t>
      </w:r>
      <w:r w:rsidR="002B7B12" w:rsidRPr="009C49DE">
        <w:rPr>
          <w:sz w:val="22"/>
          <w:szCs w:val="22"/>
        </w:rPr>
        <w:t>ose</w:t>
      </w:r>
      <w:r w:rsidRPr="009C49DE">
        <w:rPr>
          <w:sz w:val="22"/>
          <w:szCs w:val="22"/>
        </w:rPr>
        <w:t xml:space="preserve"> for </w:t>
      </w:r>
      <w:r w:rsidR="002B7B12" w:rsidRPr="009C49DE">
        <w:rPr>
          <w:sz w:val="22"/>
          <w:szCs w:val="22"/>
        </w:rPr>
        <w:t xml:space="preserve">unskilled workers </w:t>
      </w:r>
      <w:r w:rsidR="00B142BF" w:rsidRPr="009C49DE">
        <w:rPr>
          <w:sz w:val="22"/>
          <w:szCs w:val="22"/>
        </w:rPr>
        <w:t xml:space="preserve">engaged </w:t>
      </w:r>
      <w:r w:rsidRPr="009C49DE">
        <w:rPr>
          <w:sz w:val="22"/>
          <w:szCs w:val="22"/>
        </w:rPr>
        <w:t>in agriculture, employment slightly decrease</w:t>
      </w:r>
      <w:r w:rsidR="00A0331E" w:rsidRPr="009C49DE">
        <w:rPr>
          <w:sz w:val="22"/>
          <w:szCs w:val="22"/>
        </w:rPr>
        <w:t>s</w:t>
      </w:r>
      <w:r w:rsidRPr="009C49DE">
        <w:rPr>
          <w:sz w:val="22"/>
          <w:szCs w:val="22"/>
        </w:rPr>
        <w:t xml:space="preserve"> in agriculture and increase</w:t>
      </w:r>
      <w:r w:rsidR="009C12EF" w:rsidRPr="009C49DE">
        <w:rPr>
          <w:sz w:val="22"/>
          <w:szCs w:val="22"/>
        </w:rPr>
        <w:t>s</w:t>
      </w:r>
      <w:r w:rsidRPr="009C49DE">
        <w:rPr>
          <w:sz w:val="22"/>
          <w:szCs w:val="22"/>
        </w:rPr>
        <w:t xml:space="preserve"> elsewhere. However, </w:t>
      </w:r>
      <w:r w:rsidR="00C152D9" w:rsidRPr="009C49DE">
        <w:rPr>
          <w:sz w:val="22"/>
          <w:szCs w:val="22"/>
        </w:rPr>
        <w:t xml:space="preserve">for </w:t>
      </w:r>
      <w:r w:rsidRPr="009C49DE">
        <w:rPr>
          <w:sz w:val="22"/>
          <w:szCs w:val="22"/>
        </w:rPr>
        <w:t>some countries (</w:t>
      </w:r>
      <w:smartTag w:uri="urn:schemas-microsoft-com:office:smarttags" w:element="country-region">
        <w:r w:rsidRPr="009C49DE">
          <w:rPr>
            <w:sz w:val="22"/>
            <w:szCs w:val="22"/>
          </w:rPr>
          <w:t>Botswana</w:t>
        </w:r>
      </w:smartTag>
      <w:r w:rsidRPr="009C49DE">
        <w:rPr>
          <w:sz w:val="22"/>
          <w:szCs w:val="22"/>
        </w:rPr>
        <w:t xml:space="preserve">, </w:t>
      </w:r>
      <w:smartTag w:uri="urn:schemas-microsoft-com:office:smarttags" w:element="country-region">
        <w:r w:rsidRPr="009C49DE">
          <w:rPr>
            <w:sz w:val="22"/>
            <w:szCs w:val="22"/>
          </w:rPr>
          <w:t>Ethiopia</w:t>
        </w:r>
      </w:smartTag>
      <w:r w:rsidRPr="009C49DE">
        <w:rPr>
          <w:sz w:val="22"/>
          <w:szCs w:val="22"/>
        </w:rPr>
        <w:t xml:space="preserve">, </w:t>
      </w:r>
      <w:smartTag w:uri="urn:schemas-microsoft-com:office:smarttags" w:element="country-region">
        <w:r w:rsidRPr="009C49DE">
          <w:rPr>
            <w:sz w:val="22"/>
            <w:szCs w:val="22"/>
          </w:rPr>
          <w:t>Malawi</w:t>
        </w:r>
      </w:smartTag>
      <w:r w:rsidRPr="009C49DE">
        <w:rPr>
          <w:sz w:val="22"/>
          <w:szCs w:val="22"/>
        </w:rPr>
        <w:t xml:space="preserve">, </w:t>
      </w:r>
      <w:smartTag w:uri="urn:schemas-microsoft-com:office:smarttags" w:element="country-region">
        <w:r w:rsidRPr="009C49DE">
          <w:rPr>
            <w:sz w:val="22"/>
            <w:szCs w:val="22"/>
          </w:rPr>
          <w:t>Morocco</w:t>
        </w:r>
      </w:smartTag>
      <w:r w:rsidRPr="009C49DE">
        <w:rPr>
          <w:sz w:val="22"/>
          <w:szCs w:val="22"/>
        </w:rPr>
        <w:t xml:space="preserve">, </w:t>
      </w:r>
      <w:smartTag w:uri="urn:schemas-microsoft-com:office:smarttags" w:element="country-region">
        <w:r w:rsidRPr="009C49DE">
          <w:rPr>
            <w:sz w:val="22"/>
            <w:szCs w:val="22"/>
          </w:rPr>
          <w:t>South Africa</w:t>
        </w:r>
      </w:smartTag>
      <w:r w:rsidR="002B7B12" w:rsidRPr="009C49DE">
        <w:rPr>
          <w:sz w:val="22"/>
          <w:szCs w:val="22"/>
        </w:rPr>
        <w:t>,</w:t>
      </w:r>
      <w:r w:rsidRPr="009C49DE">
        <w:rPr>
          <w:sz w:val="22"/>
          <w:szCs w:val="22"/>
        </w:rPr>
        <w:t xml:space="preserve"> </w:t>
      </w:r>
      <w:smartTag w:uri="urn:schemas-microsoft-com:office:smarttags" w:element="place">
        <w:smartTag w:uri="urn:schemas-microsoft-com:office:smarttags" w:element="country-region">
          <w:r w:rsidR="0009771E" w:rsidRPr="009C49DE">
            <w:rPr>
              <w:sz w:val="22"/>
              <w:szCs w:val="22"/>
            </w:rPr>
            <w:t>Zimbabwe</w:t>
          </w:r>
        </w:smartTag>
      </w:smartTag>
      <w:r w:rsidR="0009771E" w:rsidRPr="009C49DE">
        <w:rPr>
          <w:sz w:val="22"/>
          <w:szCs w:val="22"/>
        </w:rPr>
        <w:t xml:space="preserve">, </w:t>
      </w:r>
      <w:r w:rsidRPr="009C49DE">
        <w:rPr>
          <w:sz w:val="22"/>
          <w:szCs w:val="22"/>
        </w:rPr>
        <w:t xml:space="preserve">and </w:t>
      </w:r>
      <w:r w:rsidR="002B7B12" w:rsidRPr="009C49DE">
        <w:rPr>
          <w:sz w:val="22"/>
          <w:szCs w:val="22"/>
        </w:rPr>
        <w:t>r</w:t>
      </w:r>
      <w:r w:rsidRPr="009C49DE">
        <w:rPr>
          <w:sz w:val="22"/>
          <w:szCs w:val="22"/>
        </w:rPr>
        <w:t>est of SACU)</w:t>
      </w:r>
      <w:r w:rsidR="009C12EF" w:rsidRPr="009C49DE">
        <w:rPr>
          <w:sz w:val="22"/>
          <w:szCs w:val="22"/>
        </w:rPr>
        <w:t>,</w:t>
      </w:r>
      <w:r w:rsidRPr="009C49DE">
        <w:rPr>
          <w:sz w:val="22"/>
          <w:szCs w:val="22"/>
        </w:rPr>
        <w:t xml:space="preserve"> </w:t>
      </w:r>
      <w:r w:rsidR="00C152D9" w:rsidRPr="009C49DE">
        <w:rPr>
          <w:sz w:val="22"/>
          <w:szCs w:val="22"/>
        </w:rPr>
        <w:t xml:space="preserve">the establishment of </w:t>
      </w:r>
      <w:r w:rsidR="009C12EF" w:rsidRPr="009C49DE">
        <w:rPr>
          <w:sz w:val="22"/>
          <w:szCs w:val="22"/>
        </w:rPr>
        <w:t>FTAs</w:t>
      </w:r>
      <w:r w:rsidR="00C152D9" w:rsidRPr="009C49DE">
        <w:rPr>
          <w:sz w:val="22"/>
          <w:szCs w:val="22"/>
        </w:rPr>
        <w:t xml:space="preserve"> would favo</w:t>
      </w:r>
      <w:r w:rsidR="002B7B12" w:rsidRPr="009C49DE">
        <w:rPr>
          <w:sz w:val="22"/>
          <w:szCs w:val="22"/>
        </w:rPr>
        <w:t>u</w:t>
      </w:r>
      <w:r w:rsidR="00C152D9" w:rsidRPr="009C49DE">
        <w:rPr>
          <w:sz w:val="22"/>
          <w:szCs w:val="22"/>
        </w:rPr>
        <w:t>r</w:t>
      </w:r>
      <w:r w:rsidRPr="009C49DE">
        <w:rPr>
          <w:sz w:val="22"/>
          <w:szCs w:val="22"/>
        </w:rPr>
        <w:t xml:space="preserve"> </w:t>
      </w:r>
      <w:r w:rsidR="00C152D9" w:rsidRPr="009C49DE">
        <w:rPr>
          <w:sz w:val="22"/>
          <w:szCs w:val="22"/>
        </w:rPr>
        <w:t xml:space="preserve">agricultural employment, thanks to </w:t>
      </w:r>
      <w:r w:rsidR="002B7B12" w:rsidRPr="009C49DE">
        <w:rPr>
          <w:sz w:val="22"/>
          <w:szCs w:val="22"/>
        </w:rPr>
        <w:t xml:space="preserve">the </w:t>
      </w:r>
      <w:r w:rsidR="00C152D9" w:rsidRPr="009C49DE">
        <w:rPr>
          <w:sz w:val="22"/>
          <w:szCs w:val="22"/>
        </w:rPr>
        <w:t xml:space="preserve">higher real wages for unskilled workers in </w:t>
      </w:r>
      <w:r w:rsidR="009C12EF" w:rsidRPr="009C49DE">
        <w:rPr>
          <w:sz w:val="22"/>
          <w:szCs w:val="22"/>
        </w:rPr>
        <w:t>the sector</w:t>
      </w:r>
      <w:r w:rsidR="00CD4194" w:rsidRPr="009C49DE">
        <w:rPr>
          <w:sz w:val="22"/>
          <w:szCs w:val="22"/>
        </w:rPr>
        <w:t xml:space="preserve"> (</w:t>
      </w:r>
      <w:r w:rsidR="00FB0D3B">
        <w:rPr>
          <w:sz w:val="22"/>
          <w:szCs w:val="22"/>
        </w:rPr>
        <w:t>table</w:t>
      </w:r>
      <w:r w:rsidR="00CD4194" w:rsidRPr="009C49DE">
        <w:rPr>
          <w:sz w:val="22"/>
          <w:szCs w:val="22"/>
        </w:rPr>
        <w:t xml:space="preserve"> </w:t>
      </w:r>
      <w:r w:rsidR="008E578D" w:rsidRPr="009C49DE">
        <w:rPr>
          <w:sz w:val="22"/>
          <w:szCs w:val="22"/>
        </w:rPr>
        <w:t>8.</w:t>
      </w:r>
      <w:r w:rsidR="00CD4194" w:rsidRPr="009C49DE">
        <w:rPr>
          <w:sz w:val="22"/>
          <w:szCs w:val="22"/>
        </w:rPr>
        <w:t>1</w:t>
      </w:r>
      <w:r w:rsidR="004554CB" w:rsidRPr="009C49DE">
        <w:rPr>
          <w:sz w:val="22"/>
          <w:szCs w:val="22"/>
        </w:rPr>
        <w:t>7</w:t>
      </w:r>
      <w:r w:rsidR="00CD4194" w:rsidRPr="009C49DE">
        <w:rPr>
          <w:sz w:val="22"/>
          <w:szCs w:val="22"/>
        </w:rPr>
        <w:t>)</w:t>
      </w:r>
      <w:r w:rsidR="00C152D9" w:rsidRPr="009C49DE">
        <w:rPr>
          <w:sz w:val="22"/>
          <w:szCs w:val="22"/>
        </w:rPr>
        <w:t>.</w:t>
      </w:r>
    </w:p>
    <w:p w:rsidR="00277026" w:rsidRPr="0061584B" w:rsidRDefault="00277026" w:rsidP="00AA3F4D">
      <w:pPr>
        <w:pStyle w:val="Tableheading"/>
        <w:ind w:left="1440" w:hanging="1440"/>
      </w:pPr>
      <w:r w:rsidRPr="0061584B">
        <w:t xml:space="preserve">Table </w:t>
      </w:r>
      <w:r w:rsidR="006436C9" w:rsidRPr="0061584B">
        <w:t>8.</w:t>
      </w:r>
      <w:r w:rsidRPr="0061584B">
        <w:t>1</w:t>
      </w:r>
      <w:r w:rsidR="004554CB" w:rsidRPr="0061584B">
        <w:t>7</w:t>
      </w:r>
      <w:r w:rsidRPr="0061584B">
        <w:t xml:space="preserve">: </w:t>
      </w:r>
      <w:r w:rsidR="00EE7040" w:rsidRPr="0061584B">
        <w:tab/>
      </w:r>
      <w:r w:rsidRPr="0061584B">
        <w:t>Employment by main sectors of activity –</w:t>
      </w:r>
      <w:r w:rsidR="006A6186" w:rsidRPr="0061584B">
        <w:t xml:space="preserve"> </w:t>
      </w:r>
      <w:r w:rsidR="002B7B12">
        <w:t>p</w:t>
      </w:r>
      <w:r w:rsidR="006A6186" w:rsidRPr="0061584B">
        <w:t>ercentage c</w:t>
      </w:r>
      <w:r w:rsidRPr="0061584B">
        <w:t xml:space="preserve">hanges compared </w:t>
      </w:r>
      <w:r w:rsidR="002B7B12">
        <w:t>with</w:t>
      </w:r>
      <w:r w:rsidR="002B7B12" w:rsidRPr="0061584B">
        <w:t xml:space="preserve"> </w:t>
      </w:r>
      <w:r w:rsidRPr="0061584B">
        <w:t>the baseline scenario</w:t>
      </w:r>
      <w:r w:rsidR="002B7B12">
        <w:t>,</w:t>
      </w:r>
      <w:r w:rsidRPr="0061584B">
        <w:t xml:space="preserve"> 2022</w:t>
      </w:r>
    </w:p>
    <w:p w:rsidR="00601585" w:rsidRPr="004E0427" w:rsidRDefault="004E0427" w:rsidP="001223A0">
      <w:pPr>
        <w:spacing w:line="360" w:lineRule="auto"/>
      </w:pPr>
      <w:r w:rsidRPr="004E0427">
        <w:pict>
          <v:shape id="_x0000_i1043" type="#_x0000_t75" style="width:401.25pt;height:385.5pt">
            <v:imagedata r:id="rId25" o:title=""/>
          </v:shape>
        </w:pict>
      </w:r>
    </w:p>
    <w:p w:rsidR="00277026" w:rsidRPr="009C49DE" w:rsidRDefault="00277026"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FB32CA" w:rsidRPr="0061584B" w:rsidRDefault="00650B8A" w:rsidP="006D5982">
      <w:pPr>
        <w:pStyle w:val="Heading2"/>
        <w:spacing w:line="360" w:lineRule="auto"/>
      </w:pPr>
      <w:r>
        <w:t>8.4.6</w:t>
      </w:r>
      <w:r>
        <w:tab/>
        <w:t xml:space="preserve">Trade </w:t>
      </w:r>
      <w:r w:rsidR="00DD5840" w:rsidRPr="0061584B">
        <w:t>facilitation</w:t>
      </w:r>
    </w:p>
    <w:p w:rsidR="00E20186" w:rsidRPr="009C49DE" w:rsidRDefault="00E20186" w:rsidP="006D5982">
      <w:pPr>
        <w:spacing w:line="360" w:lineRule="auto"/>
        <w:rPr>
          <w:sz w:val="22"/>
          <w:szCs w:val="22"/>
        </w:rPr>
      </w:pPr>
      <w:r w:rsidRPr="009C49DE">
        <w:rPr>
          <w:sz w:val="22"/>
          <w:szCs w:val="22"/>
        </w:rPr>
        <w:t xml:space="preserve">While results from the analysis focusing on the establishment of larger free trade areas and especially the CFTA are rather positive at the global level for </w:t>
      </w:r>
      <w:smartTag w:uri="urn:schemas-microsoft-com:office:smarttags" w:element="place">
        <w:r w:rsidRPr="009C49DE">
          <w:rPr>
            <w:sz w:val="22"/>
            <w:szCs w:val="22"/>
          </w:rPr>
          <w:t>Africa</w:t>
        </w:r>
      </w:smartTag>
      <w:r w:rsidRPr="009C49DE">
        <w:rPr>
          <w:sz w:val="22"/>
          <w:szCs w:val="22"/>
        </w:rPr>
        <w:t xml:space="preserve">, the increase in the share of intra-African trade may not appear sufficient. Indeed, </w:t>
      </w:r>
      <w:r w:rsidR="00382C29" w:rsidRPr="009C49DE">
        <w:rPr>
          <w:sz w:val="22"/>
          <w:szCs w:val="22"/>
        </w:rPr>
        <w:t>in</w:t>
      </w:r>
      <w:r w:rsidRPr="009C49DE">
        <w:rPr>
          <w:sz w:val="22"/>
          <w:szCs w:val="22"/>
        </w:rPr>
        <w:t xml:space="preserve"> January</w:t>
      </w:r>
      <w:r w:rsidR="00382C29" w:rsidRPr="009C49DE">
        <w:rPr>
          <w:sz w:val="22"/>
          <w:szCs w:val="22"/>
        </w:rPr>
        <w:t xml:space="preserve"> 2012</w:t>
      </w:r>
      <w:r w:rsidRPr="009C49DE">
        <w:rPr>
          <w:sz w:val="22"/>
          <w:szCs w:val="22"/>
        </w:rPr>
        <w:t xml:space="preserve"> at the </w:t>
      </w:r>
      <w:r w:rsidR="0081762F" w:rsidRPr="009C49DE">
        <w:rPr>
          <w:sz w:val="22"/>
          <w:szCs w:val="22"/>
        </w:rPr>
        <w:t>18</w:t>
      </w:r>
      <w:r w:rsidR="0081762F" w:rsidRPr="009C49DE">
        <w:rPr>
          <w:sz w:val="22"/>
          <w:szCs w:val="22"/>
          <w:vertAlign w:val="superscript"/>
        </w:rPr>
        <w:t>th</w:t>
      </w:r>
      <w:r w:rsidR="0081762F" w:rsidRPr="009C49DE">
        <w:rPr>
          <w:sz w:val="22"/>
          <w:szCs w:val="22"/>
        </w:rPr>
        <w:t xml:space="preserve"> </w:t>
      </w:r>
      <w:r w:rsidRPr="009C49DE">
        <w:rPr>
          <w:sz w:val="22"/>
          <w:szCs w:val="22"/>
        </w:rPr>
        <w:t>African Union Summit of Heads of State and Government</w:t>
      </w:r>
      <w:r w:rsidR="002666B1" w:rsidRPr="009C49DE">
        <w:rPr>
          <w:sz w:val="22"/>
          <w:szCs w:val="22"/>
        </w:rPr>
        <w:t>,</w:t>
      </w:r>
      <w:r w:rsidRPr="009C49DE">
        <w:rPr>
          <w:sz w:val="22"/>
          <w:szCs w:val="22"/>
        </w:rPr>
        <w:t xml:space="preserve"> AU Member States </w:t>
      </w:r>
      <w:r w:rsidR="00F17221" w:rsidRPr="009C49DE">
        <w:rPr>
          <w:sz w:val="22"/>
          <w:szCs w:val="22"/>
        </w:rPr>
        <w:t xml:space="preserve">expressed the desire </w:t>
      </w:r>
      <w:r w:rsidRPr="009C49DE">
        <w:rPr>
          <w:sz w:val="22"/>
          <w:szCs w:val="22"/>
        </w:rPr>
        <w:t xml:space="preserve">to see the share of intra-African </w:t>
      </w:r>
      <w:r w:rsidR="00F17221" w:rsidRPr="009C49DE">
        <w:rPr>
          <w:sz w:val="22"/>
          <w:szCs w:val="22"/>
        </w:rPr>
        <w:t xml:space="preserve">trade </w:t>
      </w:r>
      <w:r w:rsidRPr="009C49DE">
        <w:rPr>
          <w:sz w:val="22"/>
          <w:szCs w:val="22"/>
        </w:rPr>
        <w:t>doubl</w:t>
      </w:r>
      <w:r w:rsidR="00270492">
        <w:rPr>
          <w:sz w:val="22"/>
          <w:szCs w:val="22"/>
        </w:rPr>
        <w:t>e</w:t>
      </w:r>
      <w:r w:rsidRPr="009C49DE">
        <w:rPr>
          <w:sz w:val="22"/>
          <w:szCs w:val="22"/>
        </w:rPr>
        <w:t xml:space="preserve"> within the next </w:t>
      </w:r>
      <w:r w:rsidR="00F17221" w:rsidRPr="009C49DE">
        <w:rPr>
          <w:sz w:val="22"/>
          <w:szCs w:val="22"/>
        </w:rPr>
        <w:t xml:space="preserve">ten </w:t>
      </w:r>
      <w:r w:rsidRPr="009C49DE">
        <w:rPr>
          <w:sz w:val="22"/>
          <w:szCs w:val="22"/>
        </w:rPr>
        <w:t>years</w:t>
      </w:r>
      <w:r w:rsidR="00270492">
        <w:rPr>
          <w:sz w:val="22"/>
          <w:szCs w:val="22"/>
        </w:rPr>
        <w:t>.</w:t>
      </w:r>
      <w:r w:rsidR="00F17221" w:rsidRPr="009C49DE">
        <w:rPr>
          <w:sz w:val="22"/>
          <w:szCs w:val="22"/>
        </w:rPr>
        <w:t xml:space="preserve"> (</w:t>
      </w:r>
      <w:r w:rsidR="00270492">
        <w:rPr>
          <w:sz w:val="22"/>
          <w:szCs w:val="22"/>
        </w:rPr>
        <w:t>O</w:t>
      </w:r>
      <w:r w:rsidR="00F17221" w:rsidRPr="009C49DE">
        <w:rPr>
          <w:sz w:val="22"/>
          <w:szCs w:val="22"/>
        </w:rPr>
        <w:t xml:space="preserve">ur simulations </w:t>
      </w:r>
      <w:r w:rsidR="00FE0F67" w:rsidRPr="009C49DE">
        <w:rPr>
          <w:sz w:val="22"/>
          <w:szCs w:val="22"/>
        </w:rPr>
        <w:t>projected</w:t>
      </w:r>
      <w:r w:rsidR="00F17221" w:rsidRPr="009C49DE">
        <w:rPr>
          <w:sz w:val="22"/>
          <w:szCs w:val="22"/>
        </w:rPr>
        <w:t xml:space="preserve"> an increase of only</w:t>
      </w:r>
      <w:r w:rsidR="002666B1" w:rsidRPr="009C49DE">
        <w:rPr>
          <w:sz w:val="22"/>
          <w:szCs w:val="22"/>
        </w:rPr>
        <w:t xml:space="preserve"> 52.0</w:t>
      </w:r>
      <w:r w:rsidR="000F4C18" w:rsidRPr="009C49DE">
        <w:rPr>
          <w:sz w:val="22"/>
          <w:szCs w:val="22"/>
        </w:rPr>
        <w:t xml:space="preserve"> per cent</w:t>
      </w:r>
      <w:r w:rsidR="00FE0F67" w:rsidRPr="009C49DE">
        <w:rPr>
          <w:sz w:val="22"/>
          <w:szCs w:val="22"/>
        </w:rPr>
        <w:t>.</w:t>
      </w:r>
      <w:r w:rsidR="00270492">
        <w:rPr>
          <w:sz w:val="22"/>
          <w:szCs w:val="22"/>
        </w:rPr>
        <w:t>)</w:t>
      </w:r>
      <w:r w:rsidRPr="009C49DE">
        <w:rPr>
          <w:sz w:val="22"/>
          <w:szCs w:val="22"/>
        </w:rPr>
        <w:t xml:space="preserve"> Moreover, country</w:t>
      </w:r>
      <w:r w:rsidR="00270492">
        <w:rPr>
          <w:sz w:val="22"/>
          <w:szCs w:val="22"/>
        </w:rPr>
        <w:t>-</w:t>
      </w:r>
      <w:r w:rsidRPr="009C49DE">
        <w:rPr>
          <w:sz w:val="22"/>
          <w:szCs w:val="22"/>
        </w:rPr>
        <w:t>level results can reasonably raise concerns due to real income losses for some African economies.</w:t>
      </w:r>
    </w:p>
    <w:p w:rsidR="00E20186" w:rsidRPr="009C49DE" w:rsidRDefault="00E20186" w:rsidP="006D5982">
      <w:pPr>
        <w:spacing w:line="360" w:lineRule="auto"/>
        <w:rPr>
          <w:sz w:val="22"/>
          <w:szCs w:val="22"/>
        </w:rPr>
      </w:pPr>
      <w:r w:rsidRPr="009C49DE">
        <w:rPr>
          <w:sz w:val="22"/>
          <w:szCs w:val="22"/>
        </w:rPr>
        <w:t xml:space="preserve">In that sense it is </w:t>
      </w:r>
      <w:r w:rsidR="00F17221" w:rsidRPr="009C49DE">
        <w:rPr>
          <w:sz w:val="22"/>
          <w:szCs w:val="22"/>
        </w:rPr>
        <w:t xml:space="preserve">crucial </w:t>
      </w:r>
      <w:r w:rsidRPr="009C49DE">
        <w:rPr>
          <w:sz w:val="22"/>
          <w:szCs w:val="22"/>
        </w:rPr>
        <w:t xml:space="preserve">to investigate </w:t>
      </w:r>
      <w:r w:rsidR="00F17221" w:rsidRPr="009C49DE">
        <w:rPr>
          <w:sz w:val="22"/>
          <w:szCs w:val="22"/>
        </w:rPr>
        <w:t xml:space="preserve">the possible impact of </w:t>
      </w:r>
      <w:r w:rsidRPr="009C49DE">
        <w:rPr>
          <w:sz w:val="22"/>
          <w:szCs w:val="22"/>
        </w:rPr>
        <w:t xml:space="preserve">additional </w:t>
      </w:r>
      <w:r w:rsidR="00F17221" w:rsidRPr="009C49DE">
        <w:rPr>
          <w:sz w:val="22"/>
          <w:szCs w:val="22"/>
        </w:rPr>
        <w:t xml:space="preserve">policy </w:t>
      </w:r>
      <w:r w:rsidRPr="009C49DE">
        <w:rPr>
          <w:sz w:val="22"/>
          <w:szCs w:val="22"/>
        </w:rPr>
        <w:t xml:space="preserve">measures </w:t>
      </w:r>
      <w:r w:rsidR="00F17221" w:rsidRPr="009C49DE">
        <w:rPr>
          <w:sz w:val="22"/>
          <w:szCs w:val="22"/>
        </w:rPr>
        <w:t>that could complement</w:t>
      </w:r>
      <w:r w:rsidRPr="009C49DE">
        <w:rPr>
          <w:sz w:val="22"/>
          <w:szCs w:val="22"/>
        </w:rPr>
        <w:t xml:space="preserve"> the strict elimination of tariff barriers in goods and potentially </w:t>
      </w:r>
      <w:r w:rsidR="0081762F" w:rsidRPr="009C49DE">
        <w:rPr>
          <w:sz w:val="22"/>
          <w:szCs w:val="22"/>
        </w:rPr>
        <w:t>augment</w:t>
      </w:r>
      <w:r w:rsidRPr="009C49DE">
        <w:rPr>
          <w:sz w:val="22"/>
          <w:szCs w:val="22"/>
        </w:rPr>
        <w:t xml:space="preserve"> the relatively small </w:t>
      </w:r>
      <w:r w:rsidR="0081762F" w:rsidRPr="009C49DE">
        <w:rPr>
          <w:sz w:val="22"/>
          <w:szCs w:val="22"/>
        </w:rPr>
        <w:t xml:space="preserve">positive effects and counterbalance the minor negative effects </w:t>
      </w:r>
      <w:r w:rsidRPr="009C49DE">
        <w:rPr>
          <w:sz w:val="22"/>
          <w:szCs w:val="22"/>
        </w:rPr>
        <w:t xml:space="preserve">associated with the FTA reforms. </w:t>
      </w:r>
      <w:r w:rsidR="000858EC" w:rsidRPr="009C49DE">
        <w:rPr>
          <w:sz w:val="22"/>
          <w:szCs w:val="22"/>
        </w:rPr>
        <w:t>Recognizing</w:t>
      </w:r>
      <w:r w:rsidRPr="009C49DE">
        <w:rPr>
          <w:sz w:val="22"/>
          <w:szCs w:val="22"/>
        </w:rPr>
        <w:t xml:space="preserve"> the considerable challenges faced by Africa in terms of non-tariff barriers to trade within the continent (</w:t>
      </w:r>
      <w:r w:rsidR="00A15E68">
        <w:rPr>
          <w:sz w:val="22"/>
          <w:szCs w:val="22"/>
        </w:rPr>
        <w:t xml:space="preserve">see </w:t>
      </w:r>
      <w:r w:rsidR="00FB32CA" w:rsidRPr="009C49DE">
        <w:rPr>
          <w:sz w:val="22"/>
          <w:szCs w:val="22"/>
        </w:rPr>
        <w:t xml:space="preserve">section </w:t>
      </w:r>
      <w:r w:rsidR="005A3F9F" w:rsidRPr="009C49DE">
        <w:rPr>
          <w:sz w:val="22"/>
          <w:szCs w:val="22"/>
        </w:rPr>
        <w:t>8.2.</w:t>
      </w:r>
      <w:r w:rsidRPr="009C49DE">
        <w:rPr>
          <w:sz w:val="22"/>
          <w:szCs w:val="22"/>
        </w:rPr>
        <w:t>)</w:t>
      </w:r>
      <w:r w:rsidR="000858EC" w:rsidRPr="009C49DE">
        <w:rPr>
          <w:sz w:val="22"/>
          <w:szCs w:val="22"/>
        </w:rPr>
        <w:t>,</w:t>
      </w:r>
      <w:r w:rsidRPr="009C49DE">
        <w:rPr>
          <w:sz w:val="22"/>
          <w:szCs w:val="22"/>
        </w:rPr>
        <w:t xml:space="preserve"> our analysis </w:t>
      </w:r>
      <w:r w:rsidR="007F6304" w:rsidRPr="009C49DE">
        <w:rPr>
          <w:sz w:val="22"/>
          <w:szCs w:val="22"/>
        </w:rPr>
        <w:t xml:space="preserve">also </w:t>
      </w:r>
      <w:r w:rsidRPr="009C49DE">
        <w:rPr>
          <w:sz w:val="22"/>
          <w:szCs w:val="22"/>
        </w:rPr>
        <w:t>consider</w:t>
      </w:r>
      <w:r w:rsidR="00FB2D00" w:rsidRPr="009C49DE">
        <w:rPr>
          <w:sz w:val="22"/>
          <w:szCs w:val="22"/>
        </w:rPr>
        <w:t>s</w:t>
      </w:r>
      <w:r w:rsidRPr="009C49DE">
        <w:rPr>
          <w:sz w:val="22"/>
          <w:szCs w:val="22"/>
        </w:rPr>
        <w:t xml:space="preserve"> trade facilitation measures </w:t>
      </w:r>
      <w:r w:rsidR="00FB39D4" w:rsidRPr="009C49DE">
        <w:rPr>
          <w:sz w:val="22"/>
          <w:szCs w:val="22"/>
        </w:rPr>
        <w:t xml:space="preserve">– </w:t>
      </w:r>
      <w:r w:rsidRPr="009C49DE">
        <w:rPr>
          <w:sz w:val="22"/>
          <w:szCs w:val="22"/>
        </w:rPr>
        <w:t xml:space="preserve">defined as an increase in </w:t>
      </w:r>
      <w:r w:rsidR="00716978">
        <w:rPr>
          <w:sz w:val="22"/>
          <w:szCs w:val="22"/>
        </w:rPr>
        <w:t xml:space="preserve">the </w:t>
      </w:r>
      <w:r w:rsidRPr="009C49DE">
        <w:rPr>
          <w:sz w:val="22"/>
          <w:szCs w:val="22"/>
        </w:rPr>
        <w:t xml:space="preserve">efficiency of customs procedures combined with a reduction of </w:t>
      </w:r>
      <w:r w:rsidR="00716978">
        <w:rPr>
          <w:sz w:val="22"/>
          <w:szCs w:val="22"/>
        </w:rPr>
        <w:t xml:space="preserve">the </w:t>
      </w:r>
      <w:r w:rsidRPr="009C49DE">
        <w:rPr>
          <w:sz w:val="22"/>
          <w:szCs w:val="22"/>
        </w:rPr>
        <w:t xml:space="preserve">time </w:t>
      </w:r>
      <w:r w:rsidR="007F6304" w:rsidRPr="009C49DE">
        <w:rPr>
          <w:sz w:val="22"/>
          <w:szCs w:val="22"/>
        </w:rPr>
        <w:t xml:space="preserve">that merchandise </w:t>
      </w:r>
      <w:r w:rsidRPr="009C49DE">
        <w:rPr>
          <w:sz w:val="22"/>
          <w:szCs w:val="22"/>
        </w:rPr>
        <w:t>spen</w:t>
      </w:r>
      <w:r w:rsidR="007F6304" w:rsidRPr="009C49DE">
        <w:rPr>
          <w:sz w:val="22"/>
          <w:szCs w:val="22"/>
        </w:rPr>
        <w:t>ds</w:t>
      </w:r>
      <w:r w:rsidRPr="009C49DE">
        <w:rPr>
          <w:sz w:val="22"/>
          <w:szCs w:val="22"/>
        </w:rPr>
        <w:t xml:space="preserve"> </w:t>
      </w:r>
      <w:r w:rsidR="002666B1" w:rsidRPr="009C49DE">
        <w:rPr>
          <w:sz w:val="22"/>
          <w:szCs w:val="22"/>
        </w:rPr>
        <w:t>at African ports</w:t>
      </w:r>
      <w:r w:rsidR="007F6304" w:rsidRPr="009C49DE">
        <w:rPr>
          <w:sz w:val="22"/>
          <w:szCs w:val="22"/>
        </w:rPr>
        <w:t xml:space="preserve"> </w:t>
      </w:r>
      <w:r w:rsidR="000858EC" w:rsidRPr="009C49DE">
        <w:rPr>
          <w:sz w:val="22"/>
          <w:szCs w:val="22"/>
        </w:rPr>
        <w:t xml:space="preserve">– in addition to </w:t>
      </w:r>
      <w:r w:rsidR="002666B1" w:rsidRPr="009C49DE">
        <w:rPr>
          <w:sz w:val="22"/>
          <w:szCs w:val="22"/>
        </w:rPr>
        <w:t>trade reforms</w:t>
      </w:r>
      <w:r w:rsidR="00FE0F67" w:rsidRPr="009C49DE">
        <w:rPr>
          <w:sz w:val="22"/>
          <w:szCs w:val="22"/>
        </w:rPr>
        <w:t>.</w:t>
      </w:r>
    </w:p>
    <w:p w:rsidR="00342DBC" w:rsidRDefault="009A4B0A" w:rsidP="006D5982">
      <w:pPr>
        <w:spacing w:line="360" w:lineRule="auto"/>
        <w:rPr>
          <w:sz w:val="22"/>
          <w:szCs w:val="22"/>
        </w:rPr>
      </w:pPr>
      <w:r w:rsidRPr="009C49DE">
        <w:rPr>
          <w:sz w:val="22"/>
          <w:szCs w:val="22"/>
        </w:rPr>
        <w:t xml:space="preserve">If </w:t>
      </w:r>
      <w:r w:rsidR="00157525" w:rsidRPr="009C49DE">
        <w:rPr>
          <w:sz w:val="22"/>
          <w:szCs w:val="22"/>
        </w:rPr>
        <w:t xml:space="preserve">it is </w:t>
      </w:r>
      <w:r w:rsidR="00D932FF" w:rsidRPr="009C49DE">
        <w:rPr>
          <w:sz w:val="22"/>
          <w:szCs w:val="22"/>
        </w:rPr>
        <w:t>assume</w:t>
      </w:r>
      <w:r w:rsidR="00157525" w:rsidRPr="009C49DE">
        <w:rPr>
          <w:sz w:val="22"/>
          <w:szCs w:val="22"/>
        </w:rPr>
        <w:t>d</w:t>
      </w:r>
      <w:r w:rsidR="00D932FF" w:rsidRPr="009C49DE">
        <w:rPr>
          <w:sz w:val="22"/>
          <w:szCs w:val="22"/>
        </w:rPr>
        <w:t xml:space="preserve"> that </w:t>
      </w:r>
      <w:r w:rsidRPr="009C49DE">
        <w:rPr>
          <w:sz w:val="22"/>
          <w:szCs w:val="22"/>
        </w:rPr>
        <w:t xml:space="preserve">customs procedures become twice </w:t>
      </w:r>
      <w:r w:rsidR="00650B8A" w:rsidRPr="009C49DE">
        <w:rPr>
          <w:sz w:val="22"/>
          <w:szCs w:val="22"/>
        </w:rPr>
        <w:t xml:space="preserve">as </w:t>
      </w:r>
      <w:r w:rsidRPr="009C49DE">
        <w:rPr>
          <w:sz w:val="22"/>
          <w:szCs w:val="22"/>
        </w:rPr>
        <w:t xml:space="preserve">efficient and </w:t>
      </w:r>
      <w:r w:rsidR="00157525" w:rsidRPr="009C49DE">
        <w:rPr>
          <w:sz w:val="22"/>
          <w:szCs w:val="22"/>
        </w:rPr>
        <w:t xml:space="preserve">the delay </w:t>
      </w:r>
      <w:r w:rsidR="00650B8A" w:rsidRPr="009C49DE">
        <w:rPr>
          <w:sz w:val="22"/>
          <w:szCs w:val="22"/>
        </w:rPr>
        <w:t xml:space="preserve">of </w:t>
      </w:r>
      <w:r w:rsidRPr="009C49DE">
        <w:rPr>
          <w:sz w:val="22"/>
          <w:szCs w:val="22"/>
        </w:rPr>
        <w:t xml:space="preserve">merchandise at African ports </w:t>
      </w:r>
      <w:r w:rsidR="00157525" w:rsidRPr="009C49DE">
        <w:rPr>
          <w:sz w:val="22"/>
          <w:szCs w:val="22"/>
        </w:rPr>
        <w:t xml:space="preserve">is </w:t>
      </w:r>
      <w:r w:rsidRPr="009C49DE">
        <w:rPr>
          <w:sz w:val="22"/>
          <w:szCs w:val="22"/>
        </w:rPr>
        <w:t>reduced by half</w:t>
      </w:r>
      <w:r w:rsidR="00D932FF" w:rsidRPr="009C49DE">
        <w:rPr>
          <w:sz w:val="22"/>
          <w:szCs w:val="22"/>
        </w:rPr>
        <w:t xml:space="preserve"> by 2017</w:t>
      </w:r>
      <w:r w:rsidRPr="009C49DE">
        <w:rPr>
          <w:sz w:val="22"/>
          <w:szCs w:val="22"/>
        </w:rPr>
        <w:t xml:space="preserve">, all </w:t>
      </w:r>
      <w:r w:rsidR="00157525" w:rsidRPr="009C49DE">
        <w:rPr>
          <w:sz w:val="22"/>
          <w:szCs w:val="22"/>
        </w:rPr>
        <w:t xml:space="preserve">of </w:t>
      </w:r>
      <w:r w:rsidRPr="009C49DE">
        <w:rPr>
          <w:sz w:val="22"/>
          <w:szCs w:val="22"/>
        </w:rPr>
        <w:t xml:space="preserve">the </w:t>
      </w:r>
      <w:r w:rsidR="00157525" w:rsidRPr="009C49DE">
        <w:rPr>
          <w:sz w:val="22"/>
          <w:szCs w:val="22"/>
        </w:rPr>
        <w:t>aforementioned</w:t>
      </w:r>
      <w:r w:rsidR="00794F64" w:rsidRPr="009C49DE">
        <w:rPr>
          <w:sz w:val="22"/>
          <w:szCs w:val="22"/>
        </w:rPr>
        <w:t xml:space="preserve"> </w:t>
      </w:r>
      <w:r w:rsidRPr="009C49DE">
        <w:rPr>
          <w:sz w:val="22"/>
          <w:szCs w:val="22"/>
        </w:rPr>
        <w:t xml:space="preserve">results </w:t>
      </w:r>
      <w:r w:rsidR="00D932FF" w:rsidRPr="009C49DE">
        <w:rPr>
          <w:sz w:val="22"/>
          <w:szCs w:val="22"/>
        </w:rPr>
        <w:t>are</w:t>
      </w:r>
      <w:r w:rsidRPr="009C49DE">
        <w:rPr>
          <w:sz w:val="22"/>
          <w:szCs w:val="22"/>
        </w:rPr>
        <w:t xml:space="preserve"> </w:t>
      </w:r>
      <w:r w:rsidR="00157525" w:rsidRPr="009C49DE">
        <w:rPr>
          <w:sz w:val="22"/>
          <w:szCs w:val="22"/>
        </w:rPr>
        <w:t xml:space="preserve">strongly </w:t>
      </w:r>
      <w:r w:rsidR="00650B8A" w:rsidRPr="009C49DE">
        <w:rPr>
          <w:sz w:val="22"/>
          <w:szCs w:val="22"/>
        </w:rPr>
        <w:t>affected</w:t>
      </w:r>
      <w:r w:rsidRPr="009C49DE">
        <w:rPr>
          <w:sz w:val="22"/>
          <w:szCs w:val="22"/>
        </w:rPr>
        <w:t>.</w:t>
      </w:r>
      <w:r w:rsidR="004554CB" w:rsidRPr="009C49DE">
        <w:rPr>
          <w:sz w:val="22"/>
          <w:szCs w:val="22"/>
        </w:rPr>
        <w:t xml:space="preserve"> Table </w:t>
      </w:r>
      <w:r w:rsidR="008E578D" w:rsidRPr="009C49DE">
        <w:rPr>
          <w:sz w:val="22"/>
          <w:szCs w:val="22"/>
        </w:rPr>
        <w:t>8.</w:t>
      </w:r>
      <w:r w:rsidR="004554CB" w:rsidRPr="009C49DE">
        <w:rPr>
          <w:sz w:val="22"/>
          <w:szCs w:val="22"/>
        </w:rPr>
        <w:t>18</w:t>
      </w:r>
      <w:r w:rsidR="00D932FF" w:rsidRPr="009C49DE">
        <w:rPr>
          <w:sz w:val="22"/>
          <w:szCs w:val="22"/>
        </w:rPr>
        <w:t xml:space="preserve"> indicates </w:t>
      </w:r>
      <w:r w:rsidR="00157525" w:rsidRPr="009C49DE">
        <w:rPr>
          <w:sz w:val="22"/>
          <w:szCs w:val="22"/>
        </w:rPr>
        <w:t xml:space="preserve">a </w:t>
      </w:r>
      <w:r w:rsidR="00D932FF" w:rsidRPr="009C49DE">
        <w:rPr>
          <w:sz w:val="22"/>
          <w:szCs w:val="22"/>
        </w:rPr>
        <w:t xml:space="preserve">much higher increase in exports and real income </w:t>
      </w:r>
      <w:r w:rsidR="00157525" w:rsidRPr="009C49DE">
        <w:rPr>
          <w:sz w:val="22"/>
          <w:szCs w:val="22"/>
        </w:rPr>
        <w:t xml:space="preserve">when </w:t>
      </w:r>
      <w:r w:rsidR="0070287F" w:rsidRPr="009C49DE">
        <w:rPr>
          <w:sz w:val="22"/>
          <w:szCs w:val="22"/>
        </w:rPr>
        <w:t xml:space="preserve">trade facilitation measures </w:t>
      </w:r>
      <w:r w:rsidR="00157525" w:rsidRPr="009C49DE">
        <w:rPr>
          <w:sz w:val="22"/>
          <w:szCs w:val="22"/>
        </w:rPr>
        <w:t>complement</w:t>
      </w:r>
      <w:r w:rsidR="00650B8A" w:rsidRPr="009C49DE">
        <w:rPr>
          <w:sz w:val="22"/>
          <w:szCs w:val="22"/>
        </w:rPr>
        <w:t xml:space="preserve"> </w:t>
      </w:r>
      <w:r w:rsidR="0070287F" w:rsidRPr="009C49DE">
        <w:rPr>
          <w:sz w:val="22"/>
          <w:szCs w:val="22"/>
        </w:rPr>
        <w:t xml:space="preserve">FTA reforms. </w:t>
      </w:r>
      <w:r w:rsidR="00650B8A" w:rsidRPr="009C49DE">
        <w:rPr>
          <w:sz w:val="22"/>
          <w:szCs w:val="22"/>
        </w:rPr>
        <w:t>Also,</w:t>
      </w:r>
      <w:r w:rsidR="00A66E3E" w:rsidRPr="009C49DE">
        <w:rPr>
          <w:sz w:val="22"/>
          <w:szCs w:val="22"/>
        </w:rPr>
        <w:t xml:space="preserve"> while country</w:t>
      </w:r>
      <w:r w:rsidR="00650B8A" w:rsidRPr="009C49DE">
        <w:rPr>
          <w:sz w:val="22"/>
          <w:szCs w:val="22"/>
        </w:rPr>
        <w:t>-</w:t>
      </w:r>
      <w:r w:rsidR="00A66E3E" w:rsidRPr="009C49DE">
        <w:rPr>
          <w:sz w:val="22"/>
          <w:szCs w:val="22"/>
        </w:rPr>
        <w:t>level results in terms of exports</w:t>
      </w:r>
      <w:r w:rsidR="009D7084" w:rsidRPr="009C49DE">
        <w:rPr>
          <w:sz w:val="22"/>
          <w:szCs w:val="22"/>
        </w:rPr>
        <w:t>,</w:t>
      </w:r>
      <w:r w:rsidR="00A66E3E" w:rsidRPr="009C49DE">
        <w:rPr>
          <w:sz w:val="22"/>
          <w:szCs w:val="22"/>
        </w:rPr>
        <w:t xml:space="preserve"> especially </w:t>
      </w:r>
      <w:r w:rsidR="00650B8A" w:rsidRPr="009C49DE">
        <w:rPr>
          <w:sz w:val="22"/>
          <w:szCs w:val="22"/>
        </w:rPr>
        <w:t xml:space="preserve">effects on </w:t>
      </w:r>
      <w:r w:rsidR="00A66E3E" w:rsidRPr="009C49DE">
        <w:rPr>
          <w:sz w:val="22"/>
          <w:szCs w:val="22"/>
        </w:rPr>
        <w:t>real income</w:t>
      </w:r>
      <w:r w:rsidR="00207E04" w:rsidRPr="009C49DE">
        <w:rPr>
          <w:sz w:val="22"/>
          <w:szCs w:val="22"/>
        </w:rPr>
        <w:t xml:space="preserve"> and real wages</w:t>
      </w:r>
      <w:r w:rsidR="009D7084" w:rsidRPr="009C49DE">
        <w:rPr>
          <w:sz w:val="22"/>
          <w:szCs w:val="22"/>
        </w:rPr>
        <w:t>,</w:t>
      </w:r>
      <w:r w:rsidR="00A66E3E" w:rsidRPr="009C49DE">
        <w:rPr>
          <w:sz w:val="22"/>
          <w:szCs w:val="22"/>
        </w:rPr>
        <w:t xml:space="preserve"> appear </w:t>
      </w:r>
      <w:r w:rsidR="002C4027" w:rsidRPr="009C49DE">
        <w:rPr>
          <w:sz w:val="22"/>
          <w:szCs w:val="22"/>
        </w:rPr>
        <w:t xml:space="preserve">moderate </w:t>
      </w:r>
      <w:r w:rsidR="00650B8A" w:rsidRPr="009C49DE">
        <w:rPr>
          <w:sz w:val="22"/>
          <w:szCs w:val="22"/>
        </w:rPr>
        <w:t xml:space="preserve">and mixed </w:t>
      </w:r>
      <w:r w:rsidR="00A66E3E" w:rsidRPr="009C49DE">
        <w:rPr>
          <w:sz w:val="22"/>
          <w:szCs w:val="22"/>
        </w:rPr>
        <w:t xml:space="preserve">with </w:t>
      </w:r>
      <w:r w:rsidR="002C4027" w:rsidRPr="009C49DE">
        <w:rPr>
          <w:sz w:val="22"/>
          <w:szCs w:val="22"/>
        </w:rPr>
        <w:t xml:space="preserve">the </w:t>
      </w:r>
      <w:r w:rsidR="00A66E3E" w:rsidRPr="009C49DE">
        <w:rPr>
          <w:sz w:val="22"/>
          <w:szCs w:val="22"/>
        </w:rPr>
        <w:t xml:space="preserve">implementation of only </w:t>
      </w:r>
      <w:r w:rsidR="00650B8A" w:rsidRPr="009C49DE">
        <w:rPr>
          <w:sz w:val="22"/>
          <w:szCs w:val="22"/>
        </w:rPr>
        <w:t>r</w:t>
      </w:r>
      <w:r w:rsidR="00A66E3E" w:rsidRPr="009C49DE">
        <w:rPr>
          <w:sz w:val="22"/>
          <w:szCs w:val="22"/>
        </w:rPr>
        <w:t xml:space="preserve">egional FTAs or </w:t>
      </w:r>
      <w:r w:rsidR="002C4027" w:rsidRPr="009C49DE">
        <w:rPr>
          <w:sz w:val="22"/>
          <w:szCs w:val="22"/>
        </w:rPr>
        <w:t>a C</w:t>
      </w:r>
      <w:r w:rsidR="00A66E3E" w:rsidRPr="009C49DE">
        <w:rPr>
          <w:sz w:val="22"/>
          <w:szCs w:val="22"/>
        </w:rPr>
        <w:t xml:space="preserve">FTA, the improvement of customs procedures and port handling would lead to positive results in all Africa economies </w:t>
      </w:r>
      <w:r w:rsidR="00650B8A" w:rsidRPr="009C49DE">
        <w:rPr>
          <w:sz w:val="22"/>
          <w:szCs w:val="22"/>
        </w:rPr>
        <w:t xml:space="preserve">almost </w:t>
      </w:r>
      <w:r w:rsidR="00A66E3E" w:rsidRPr="009C49DE">
        <w:rPr>
          <w:sz w:val="22"/>
          <w:szCs w:val="22"/>
        </w:rPr>
        <w:t>without exception</w:t>
      </w:r>
      <w:r w:rsidR="00042533" w:rsidRPr="009C49DE">
        <w:rPr>
          <w:rStyle w:val="FootnoteReference"/>
          <w:sz w:val="22"/>
          <w:szCs w:val="22"/>
        </w:rPr>
        <w:footnoteReference w:id="37"/>
      </w:r>
      <w:r w:rsidR="00A66E3E" w:rsidRPr="009C49DE">
        <w:rPr>
          <w:sz w:val="22"/>
          <w:szCs w:val="22"/>
        </w:rPr>
        <w:t xml:space="preserve"> (</w:t>
      </w:r>
      <w:r w:rsidR="00FB0D3B">
        <w:rPr>
          <w:sz w:val="22"/>
          <w:szCs w:val="22"/>
        </w:rPr>
        <w:t>annex</w:t>
      </w:r>
      <w:r w:rsidR="00716978">
        <w:rPr>
          <w:sz w:val="22"/>
          <w:szCs w:val="22"/>
        </w:rPr>
        <w:t xml:space="preserve"> tabl</w:t>
      </w:r>
      <w:r w:rsidR="00207E04" w:rsidRPr="009C49DE">
        <w:rPr>
          <w:sz w:val="22"/>
          <w:szCs w:val="22"/>
        </w:rPr>
        <w:t>es</w:t>
      </w:r>
      <w:r w:rsidR="00C93139" w:rsidRPr="009C49DE">
        <w:rPr>
          <w:sz w:val="22"/>
          <w:szCs w:val="22"/>
        </w:rPr>
        <w:t xml:space="preserve"> </w:t>
      </w:r>
      <w:r w:rsidR="00716978">
        <w:rPr>
          <w:sz w:val="22"/>
          <w:szCs w:val="22"/>
        </w:rPr>
        <w:t>A</w:t>
      </w:r>
      <w:r w:rsidR="006436C9" w:rsidRPr="009C49DE">
        <w:rPr>
          <w:sz w:val="22"/>
          <w:szCs w:val="22"/>
        </w:rPr>
        <w:t>8.</w:t>
      </w:r>
      <w:r w:rsidR="006011C9" w:rsidRPr="009C49DE">
        <w:rPr>
          <w:sz w:val="22"/>
          <w:szCs w:val="22"/>
        </w:rPr>
        <w:t>9</w:t>
      </w:r>
      <w:r w:rsidR="00207E04" w:rsidRPr="009C49DE">
        <w:rPr>
          <w:sz w:val="22"/>
          <w:szCs w:val="22"/>
        </w:rPr>
        <w:t xml:space="preserve"> and </w:t>
      </w:r>
      <w:r w:rsidR="00716978">
        <w:rPr>
          <w:sz w:val="22"/>
          <w:szCs w:val="22"/>
        </w:rPr>
        <w:t>A</w:t>
      </w:r>
      <w:r w:rsidR="006436C9" w:rsidRPr="009C49DE">
        <w:rPr>
          <w:sz w:val="22"/>
          <w:szCs w:val="22"/>
        </w:rPr>
        <w:t>8.</w:t>
      </w:r>
      <w:r w:rsidR="00207E04" w:rsidRPr="009C49DE">
        <w:rPr>
          <w:sz w:val="22"/>
          <w:szCs w:val="22"/>
        </w:rPr>
        <w:t>1</w:t>
      </w:r>
      <w:r w:rsidR="006011C9" w:rsidRPr="009C49DE">
        <w:rPr>
          <w:sz w:val="22"/>
          <w:szCs w:val="22"/>
        </w:rPr>
        <w:t>0</w:t>
      </w:r>
      <w:r w:rsidR="00042533" w:rsidRPr="009C49DE">
        <w:rPr>
          <w:sz w:val="22"/>
          <w:szCs w:val="22"/>
        </w:rPr>
        <w:t>).</w:t>
      </w:r>
    </w:p>
    <w:p w:rsidR="001223A0" w:rsidRPr="009C49DE" w:rsidRDefault="001223A0" w:rsidP="001223A0">
      <w:pPr>
        <w:spacing w:line="360" w:lineRule="auto"/>
        <w:rPr>
          <w:sz w:val="22"/>
          <w:szCs w:val="22"/>
        </w:rPr>
      </w:pPr>
      <w:r>
        <w:rPr>
          <w:sz w:val="22"/>
          <w:szCs w:val="22"/>
        </w:rPr>
        <w:t>With the addition of trade facilitation measures, a</w:t>
      </w:r>
      <w:r w:rsidRPr="009C49DE">
        <w:rPr>
          <w:sz w:val="22"/>
          <w:szCs w:val="22"/>
        </w:rPr>
        <w:t>gricultural and food exports, as well as industrial exports, would increase considerably (</w:t>
      </w:r>
      <w:r>
        <w:rPr>
          <w:sz w:val="22"/>
          <w:szCs w:val="22"/>
        </w:rPr>
        <w:t>table</w:t>
      </w:r>
      <w:r w:rsidRPr="009C49DE">
        <w:rPr>
          <w:sz w:val="22"/>
          <w:szCs w:val="22"/>
        </w:rPr>
        <w:t xml:space="preserve"> 8.19). In particular, compared with the effects of FTAs alone, a strong increase in exports of sugar and other food products would drive the increase in agricultural and food exports. However, in percentage terms exports of industrial products would grow more than those of agricultural and food exports – the reverse of the pattern when only FTA reforms are considered. This implies that the trade facilitation measures considered in the analysis would strongly enhance the industrialization of African trade. </w:t>
      </w:r>
    </w:p>
    <w:p w:rsidR="009A4B0A" w:rsidRPr="0061584B" w:rsidRDefault="001223A0" w:rsidP="005B1530">
      <w:pPr>
        <w:pStyle w:val="Tableheading"/>
        <w:ind w:left="1440" w:hanging="1440"/>
      </w:pPr>
      <w:r>
        <w:t>T</w:t>
      </w:r>
      <w:r w:rsidR="009A4B0A" w:rsidRPr="0061584B">
        <w:t xml:space="preserve">able </w:t>
      </w:r>
      <w:r w:rsidR="006436C9" w:rsidRPr="0061584B">
        <w:t>8.</w:t>
      </w:r>
      <w:r w:rsidR="009A4B0A" w:rsidRPr="0061584B">
        <w:t>1</w:t>
      </w:r>
      <w:r w:rsidR="004554CB" w:rsidRPr="0061584B">
        <w:t>8</w:t>
      </w:r>
      <w:r w:rsidR="009A4B0A" w:rsidRPr="0061584B">
        <w:t xml:space="preserve">: </w:t>
      </w:r>
      <w:r w:rsidR="00EE7040" w:rsidRPr="0061584B">
        <w:tab/>
      </w:r>
      <w:r w:rsidR="009A4B0A" w:rsidRPr="0061584B">
        <w:t xml:space="preserve">Exports and </w:t>
      </w:r>
      <w:r w:rsidR="00446CA3" w:rsidRPr="0061584B">
        <w:t>welfare</w:t>
      </w:r>
      <w:r w:rsidR="009A4B0A" w:rsidRPr="0061584B">
        <w:t xml:space="preserve"> with</w:t>
      </w:r>
      <w:r w:rsidR="00A677A3">
        <w:t xml:space="preserve"> </w:t>
      </w:r>
      <w:r w:rsidR="009A4B0A" w:rsidRPr="0061584B">
        <w:t>and without adoption of trade facilitation measures</w:t>
      </w:r>
      <w:r w:rsidR="0076376D">
        <w:t xml:space="preserve"> </w:t>
      </w:r>
      <w:r w:rsidR="00396EC2">
        <w:t xml:space="preserve">on top of FTA reforms </w:t>
      </w:r>
      <w:r w:rsidR="009A4B0A" w:rsidRPr="0061584B">
        <w:t>–</w:t>
      </w:r>
      <w:r w:rsidR="00403CE6">
        <w:t xml:space="preserve"> </w:t>
      </w:r>
      <w:r w:rsidR="0076376D">
        <w:t>p</w:t>
      </w:r>
      <w:r w:rsidR="006A6186" w:rsidRPr="0061584B">
        <w:t>ercentage c</w:t>
      </w:r>
      <w:r w:rsidR="009A4B0A" w:rsidRPr="0061584B">
        <w:t xml:space="preserve">hanges compared </w:t>
      </w:r>
      <w:r w:rsidR="0076376D">
        <w:t>with</w:t>
      </w:r>
      <w:r w:rsidR="0076376D" w:rsidRPr="0061584B">
        <w:t xml:space="preserve"> </w:t>
      </w:r>
      <w:r w:rsidR="009A4B0A" w:rsidRPr="0061584B">
        <w:t>the baseline scenario</w:t>
      </w:r>
      <w:r w:rsidR="0076376D">
        <w:t>,</w:t>
      </w:r>
      <w:r w:rsidR="009A4B0A" w:rsidRPr="0061584B">
        <w:t xml:space="preserve"> 2022</w:t>
      </w:r>
    </w:p>
    <w:p w:rsidR="00601585" w:rsidRPr="00A677A3" w:rsidRDefault="00A677A3" w:rsidP="00A677A3">
      <w:pPr>
        <w:spacing w:line="360" w:lineRule="auto"/>
        <w:ind w:firstLine="0"/>
      </w:pPr>
      <w:r w:rsidRPr="00A677A3">
        <w:pict>
          <v:shape id="_x0000_i1044" type="#_x0000_t75" style="width:6in;height:68.25pt">
            <v:imagedata r:id="rId26" o:title=""/>
          </v:shape>
        </w:pict>
      </w:r>
    </w:p>
    <w:p w:rsidR="009A4B0A" w:rsidRPr="009C49DE" w:rsidRDefault="009A4B0A" w:rsidP="006D5982">
      <w:pPr>
        <w:pStyle w:val="Source"/>
        <w:spacing w:line="360" w:lineRule="auto"/>
        <w:ind w:firstLine="0"/>
        <w:rPr>
          <w:sz w:val="20"/>
          <w:szCs w:val="20"/>
        </w:rPr>
      </w:pPr>
      <w:r w:rsidRPr="009C49DE">
        <w:rPr>
          <w:sz w:val="20"/>
          <w:szCs w:val="20"/>
        </w:rPr>
        <w:t>Source: Authors’ calculations based on MIRAGE model</w:t>
      </w:r>
      <w:r w:rsidR="00334680" w:rsidRPr="009C49DE">
        <w:rPr>
          <w:sz w:val="20"/>
          <w:szCs w:val="20"/>
        </w:rPr>
        <w:t>.</w:t>
      </w:r>
    </w:p>
    <w:p w:rsidR="00D932FF" w:rsidRPr="0061584B" w:rsidRDefault="00D932FF" w:rsidP="006D5982">
      <w:pPr>
        <w:spacing w:line="360" w:lineRule="auto"/>
      </w:pPr>
    </w:p>
    <w:p w:rsidR="00CA74C0" w:rsidRPr="009C49DE" w:rsidRDefault="004554CB" w:rsidP="009C49DE">
      <w:pPr>
        <w:pStyle w:val="Tableheading"/>
        <w:ind w:left="1440" w:hanging="1440"/>
      </w:pPr>
      <w:r w:rsidRPr="009C49DE">
        <w:t xml:space="preserve">Table </w:t>
      </w:r>
      <w:r w:rsidR="006436C9" w:rsidRPr="009C49DE">
        <w:t>8.</w:t>
      </w:r>
      <w:r w:rsidRPr="009C49DE">
        <w:t>19</w:t>
      </w:r>
      <w:r w:rsidR="009A4B0A" w:rsidRPr="009C49DE">
        <w:t xml:space="preserve">: </w:t>
      </w:r>
      <w:r w:rsidR="00EE7040" w:rsidRPr="009C49DE">
        <w:tab/>
      </w:r>
      <w:r w:rsidR="009A4B0A" w:rsidRPr="009C49DE">
        <w:t xml:space="preserve">Exports by agricultural sectors and mains sectors with adoption of trade facilitation measures </w:t>
      </w:r>
      <w:r w:rsidR="00396EC2" w:rsidRPr="009C49DE">
        <w:t xml:space="preserve">on top of FTA reforms </w:t>
      </w:r>
      <w:r w:rsidR="009A4B0A" w:rsidRPr="009C49DE">
        <w:t>–</w:t>
      </w:r>
      <w:r w:rsidR="006A6186" w:rsidRPr="009C49DE">
        <w:t xml:space="preserve"> </w:t>
      </w:r>
      <w:r w:rsidR="004D31E0" w:rsidRPr="009C49DE">
        <w:t>p</w:t>
      </w:r>
      <w:r w:rsidR="006A6186" w:rsidRPr="009C49DE">
        <w:t>ercentage c</w:t>
      </w:r>
      <w:r w:rsidR="009A4B0A" w:rsidRPr="009C49DE">
        <w:t xml:space="preserve">hanges compared </w:t>
      </w:r>
      <w:r w:rsidR="004D31E0" w:rsidRPr="009C49DE">
        <w:t xml:space="preserve">with </w:t>
      </w:r>
      <w:r w:rsidR="009A4B0A" w:rsidRPr="009C49DE">
        <w:t>the baseline scenario</w:t>
      </w:r>
      <w:r w:rsidR="004D31E0" w:rsidRPr="009C49DE">
        <w:t>,</w:t>
      </w:r>
      <w:r w:rsidR="009A4B0A" w:rsidRPr="009C49DE">
        <w:t xml:space="preserve"> 2022</w:t>
      </w:r>
    </w:p>
    <w:p w:rsidR="009A4B0A" w:rsidRDefault="00E35675" w:rsidP="006D5982">
      <w:pPr>
        <w:spacing w:line="360" w:lineRule="auto"/>
      </w:pPr>
      <w:r w:rsidRPr="0061584B">
        <w:t xml:space="preserve"> </w:t>
      </w:r>
    </w:p>
    <w:p w:rsidR="00396EC2" w:rsidRPr="00A677A3" w:rsidRDefault="00A677A3" w:rsidP="00396EC2">
      <w:pPr>
        <w:spacing w:line="360" w:lineRule="auto"/>
        <w:ind w:firstLine="0"/>
        <w:jc w:val="center"/>
      </w:pPr>
      <w:r w:rsidRPr="00A677A3">
        <w:pict>
          <v:shape id="_x0000_i1045" type="#_x0000_t75" style="width:379.5pt;height:237.75pt">
            <v:imagedata r:id="rId27" o:title=""/>
          </v:shape>
        </w:pict>
      </w:r>
    </w:p>
    <w:p w:rsidR="009A4B0A" w:rsidRPr="009C49DE" w:rsidRDefault="009A4B0A"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9A4B0A" w:rsidRPr="0061584B" w:rsidRDefault="009A4B0A" w:rsidP="006D5982">
      <w:pPr>
        <w:spacing w:line="360" w:lineRule="auto"/>
      </w:pPr>
    </w:p>
    <w:p w:rsidR="007F3336" w:rsidRPr="009C49DE" w:rsidRDefault="00FB2578" w:rsidP="006D5982">
      <w:pPr>
        <w:spacing w:line="360" w:lineRule="auto"/>
        <w:rPr>
          <w:sz w:val="22"/>
          <w:szCs w:val="22"/>
        </w:rPr>
      </w:pPr>
      <w:r w:rsidRPr="009C49DE">
        <w:rPr>
          <w:sz w:val="22"/>
          <w:szCs w:val="22"/>
        </w:rPr>
        <w:t>After introduction of trade facilitation measure</w:t>
      </w:r>
      <w:r w:rsidR="00FC1765" w:rsidRPr="009C49DE">
        <w:rPr>
          <w:sz w:val="22"/>
          <w:szCs w:val="22"/>
        </w:rPr>
        <w:t>s</w:t>
      </w:r>
      <w:r w:rsidRPr="009C49DE">
        <w:rPr>
          <w:sz w:val="22"/>
          <w:szCs w:val="22"/>
        </w:rPr>
        <w:t xml:space="preserve"> on top of elimination of tariff barriers, i</w:t>
      </w:r>
      <w:r w:rsidR="005F5F34" w:rsidRPr="009C49DE">
        <w:rPr>
          <w:sz w:val="22"/>
          <w:szCs w:val="22"/>
        </w:rPr>
        <w:t xml:space="preserve">ntra-African trade </w:t>
      </w:r>
      <w:r w:rsidR="007F3336" w:rsidRPr="009C49DE">
        <w:rPr>
          <w:sz w:val="22"/>
          <w:szCs w:val="22"/>
        </w:rPr>
        <w:t>increas</w:t>
      </w:r>
      <w:r w:rsidR="00D15ECC" w:rsidRPr="009C49DE">
        <w:rPr>
          <w:sz w:val="22"/>
          <w:szCs w:val="22"/>
        </w:rPr>
        <w:t xml:space="preserve">es </w:t>
      </w:r>
      <w:r w:rsidR="007F3336" w:rsidRPr="009C49DE">
        <w:rPr>
          <w:sz w:val="22"/>
          <w:szCs w:val="22"/>
        </w:rPr>
        <w:t xml:space="preserve">by </w:t>
      </w:r>
      <w:r w:rsidR="00523244" w:rsidRPr="009C49DE">
        <w:rPr>
          <w:sz w:val="22"/>
          <w:szCs w:val="22"/>
        </w:rPr>
        <w:t>97</w:t>
      </w:r>
      <w:r w:rsidR="005F5F34" w:rsidRPr="009C49DE">
        <w:rPr>
          <w:sz w:val="22"/>
          <w:szCs w:val="22"/>
        </w:rPr>
        <w:t>.</w:t>
      </w:r>
      <w:r w:rsidR="00523244" w:rsidRPr="009C49DE">
        <w:rPr>
          <w:sz w:val="22"/>
          <w:szCs w:val="22"/>
        </w:rPr>
        <w:t>2</w:t>
      </w:r>
      <w:r w:rsidR="000F4C18" w:rsidRPr="009C49DE">
        <w:rPr>
          <w:sz w:val="22"/>
          <w:szCs w:val="22"/>
        </w:rPr>
        <w:t xml:space="preserve"> per cent</w:t>
      </w:r>
      <w:r w:rsidR="007F3336" w:rsidRPr="009C49DE">
        <w:rPr>
          <w:sz w:val="22"/>
          <w:szCs w:val="22"/>
        </w:rPr>
        <w:t xml:space="preserve"> (or $</w:t>
      </w:r>
      <w:r w:rsidR="00523244" w:rsidRPr="009C49DE">
        <w:rPr>
          <w:sz w:val="22"/>
          <w:szCs w:val="22"/>
        </w:rPr>
        <w:t>64</w:t>
      </w:r>
      <w:r w:rsidR="005F5F34" w:rsidRPr="009C49DE">
        <w:rPr>
          <w:sz w:val="22"/>
          <w:szCs w:val="22"/>
        </w:rPr>
        <w:t>.</w:t>
      </w:r>
      <w:r w:rsidR="00523244" w:rsidRPr="009C49DE">
        <w:rPr>
          <w:sz w:val="22"/>
          <w:szCs w:val="22"/>
        </w:rPr>
        <w:t xml:space="preserve">4 </w:t>
      </w:r>
      <w:r w:rsidR="007F3336" w:rsidRPr="009C49DE">
        <w:rPr>
          <w:sz w:val="22"/>
          <w:szCs w:val="22"/>
        </w:rPr>
        <w:t xml:space="preserve">billion) </w:t>
      </w:r>
      <w:r w:rsidR="00D15ECC" w:rsidRPr="009C49DE">
        <w:rPr>
          <w:sz w:val="22"/>
          <w:szCs w:val="22"/>
        </w:rPr>
        <w:t xml:space="preserve">via regional FTA </w:t>
      </w:r>
      <w:r w:rsidR="007F3336" w:rsidRPr="009C49DE">
        <w:rPr>
          <w:sz w:val="22"/>
          <w:szCs w:val="22"/>
        </w:rPr>
        <w:t xml:space="preserve">and </w:t>
      </w:r>
      <w:r w:rsidR="00523244" w:rsidRPr="009C49DE">
        <w:rPr>
          <w:sz w:val="22"/>
          <w:szCs w:val="22"/>
        </w:rPr>
        <w:t>128</w:t>
      </w:r>
      <w:r w:rsidR="005F5F34" w:rsidRPr="009C49DE">
        <w:rPr>
          <w:sz w:val="22"/>
          <w:szCs w:val="22"/>
        </w:rPr>
        <w:t>.</w:t>
      </w:r>
      <w:r w:rsidR="00523244" w:rsidRPr="009C49DE">
        <w:rPr>
          <w:sz w:val="22"/>
          <w:szCs w:val="22"/>
        </w:rPr>
        <w:t>4</w:t>
      </w:r>
      <w:r w:rsidR="000F4C18" w:rsidRPr="009C49DE">
        <w:rPr>
          <w:sz w:val="22"/>
          <w:szCs w:val="22"/>
        </w:rPr>
        <w:t xml:space="preserve"> per cent</w:t>
      </w:r>
      <w:r w:rsidR="007F3336" w:rsidRPr="009C49DE">
        <w:rPr>
          <w:sz w:val="22"/>
          <w:szCs w:val="22"/>
        </w:rPr>
        <w:t xml:space="preserve"> (or $</w:t>
      </w:r>
      <w:r w:rsidR="00523244" w:rsidRPr="009C49DE">
        <w:rPr>
          <w:sz w:val="22"/>
          <w:szCs w:val="22"/>
        </w:rPr>
        <w:t>85</w:t>
      </w:r>
      <w:r w:rsidR="005F5F34" w:rsidRPr="009C49DE">
        <w:rPr>
          <w:sz w:val="22"/>
          <w:szCs w:val="22"/>
        </w:rPr>
        <w:t>.</w:t>
      </w:r>
      <w:r w:rsidR="00523244" w:rsidRPr="009C49DE">
        <w:rPr>
          <w:sz w:val="22"/>
          <w:szCs w:val="22"/>
        </w:rPr>
        <w:t xml:space="preserve">0 </w:t>
      </w:r>
      <w:r w:rsidR="007F3336" w:rsidRPr="009C49DE">
        <w:rPr>
          <w:sz w:val="22"/>
          <w:szCs w:val="22"/>
        </w:rPr>
        <w:t>billion)</w:t>
      </w:r>
      <w:r w:rsidR="00D15ECC" w:rsidRPr="009C49DE">
        <w:rPr>
          <w:sz w:val="22"/>
          <w:szCs w:val="22"/>
        </w:rPr>
        <w:t xml:space="preserve"> through a CFTA</w:t>
      </w:r>
      <w:r w:rsidRPr="009C49DE">
        <w:rPr>
          <w:sz w:val="22"/>
          <w:szCs w:val="22"/>
        </w:rPr>
        <w:t xml:space="preserve">, compared </w:t>
      </w:r>
      <w:r w:rsidR="00B823A9" w:rsidRPr="009C49DE">
        <w:rPr>
          <w:sz w:val="22"/>
          <w:szCs w:val="22"/>
        </w:rPr>
        <w:t xml:space="preserve">with </w:t>
      </w:r>
      <w:r w:rsidRPr="009C49DE">
        <w:rPr>
          <w:sz w:val="22"/>
          <w:szCs w:val="22"/>
        </w:rPr>
        <w:t>the baseline</w:t>
      </w:r>
      <w:r w:rsidR="00FC1765" w:rsidRPr="009C49DE">
        <w:rPr>
          <w:sz w:val="22"/>
          <w:szCs w:val="22"/>
        </w:rPr>
        <w:t>,</w:t>
      </w:r>
      <w:r w:rsidRPr="009C49DE">
        <w:rPr>
          <w:sz w:val="22"/>
          <w:szCs w:val="22"/>
        </w:rPr>
        <w:t xml:space="preserve"> in 2022. T</w:t>
      </w:r>
      <w:r w:rsidR="00D15ECC" w:rsidRPr="009C49DE">
        <w:rPr>
          <w:sz w:val="22"/>
          <w:szCs w:val="22"/>
        </w:rPr>
        <w:t xml:space="preserve">his </w:t>
      </w:r>
      <w:r w:rsidR="005F5F34" w:rsidRPr="009C49DE">
        <w:rPr>
          <w:sz w:val="22"/>
          <w:szCs w:val="22"/>
        </w:rPr>
        <w:t xml:space="preserve">large </w:t>
      </w:r>
      <w:r w:rsidR="00D15ECC" w:rsidRPr="009C49DE">
        <w:rPr>
          <w:sz w:val="22"/>
          <w:szCs w:val="22"/>
        </w:rPr>
        <w:t>rise</w:t>
      </w:r>
      <w:r w:rsidR="005F5F34" w:rsidRPr="009C49DE">
        <w:rPr>
          <w:sz w:val="22"/>
          <w:szCs w:val="22"/>
        </w:rPr>
        <w:t xml:space="preserve"> would be</w:t>
      </w:r>
      <w:r w:rsidR="007F3336" w:rsidRPr="009C49DE">
        <w:rPr>
          <w:sz w:val="22"/>
          <w:szCs w:val="22"/>
        </w:rPr>
        <w:t xml:space="preserve"> </w:t>
      </w:r>
      <w:r w:rsidR="005F5F34" w:rsidRPr="009C49DE">
        <w:rPr>
          <w:sz w:val="22"/>
          <w:szCs w:val="22"/>
        </w:rPr>
        <w:t xml:space="preserve">explained </w:t>
      </w:r>
      <w:r w:rsidR="00B823A9" w:rsidRPr="009C49DE">
        <w:rPr>
          <w:sz w:val="22"/>
          <w:szCs w:val="22"/>
        </w:rPr>
        <w:t xml:space="preserve">mostly </w:t>
      </w:r>
      <w:r w:rsidR="005F5F34" w:rsidRPr="009C49DE">
        <w:rPr>
          <w:sz w:val="22"/>
          <w:szCs w:val="22"/>
        </w:rPr>
        <w:t xml:space="preserve">by </w:t>
      </w:r>
      <w:r w:rsidR="00403014">
        <w:rPr>
          <w:sz w:val="22"/>
          <w:szCs w:val="22"/>
        </w:rPr>
        <w:t xml:space="preserve">an </w:t>
      </w:r>
      <w:r w:rsidRPr="009C49DE">
        <w:rPr>
          <w:sz w:val="22"/>
          <w:szCs w:val="22"/>
        </w:rPr>
        <w:t xml:space="preserve">increase in industrial trade </w:t>
      </w:r>
      <w:r w:rsidR="00403014">
        <w:rPr>
          <w:sz w:val="22"/>
          <w:szCs w:val="22"/>
        </w:rPr>
        <w:t>among</w:t>
      </w:r>
      <w:r w:rsidR="00403014" w:rsidRPr="009C49DE">
        <w:rPr>
          <w:sz w:val="22"/>
          <w:szCs w:val="22"/>
        </w:rPr>
        <w:t xml:space="preserve"> </w:t>
      </w:r>
      <w:r w:rsidRPr="009C49DE">
        <w:rPr>
          <w:sz w:val="22"/>
          <w:szCs w:val="22"/>
        </w:rPr>
        <w:t xml:space="preserve">African economies </w:t>
      </w:r>
      <w:r w:rsidR="00B823A9" w:rsidRPr="009C49DE">
        <w:rPr>
          <w:sz w:val="22"/>
          <w:szCs w:val="22"/>
        </w:rPr>
        <w:t xml:space="preserve">– by </w:t>
      </w:r>
      <w:r w:rsidRPr="009C49DE">
        <w:rPr>
          <w:sz w:val="22"/>
          <w:szCs w:val="22"/>
        </w:rPr>
        <w:t>110.0</w:t>
      </w:r>
      <w:r w:rsidR="000F4C18" w:rsidRPr="009C49DE">
        <w:rPr>
          <w:sz w:val="22"/>
          <w:szCs w:val="22"/>
        </w:rPr>
        <w:t xml:space="preserve"> per cent</w:t>
      </w:r>
      <w:r w:rsidRPr="009C49DE">
        <w:rPr>
          <w:sz w:val="22"/>
          <w:szCs w:val="22"/>
        </w:rPr>
        <w:t xml:space="preserve"> (or $57.6 billion) </w:t>
      </w:r>
      <w:r w:rsidR="00B823A9" w:rsidRPr="009C49DE">
        <w:rPr>
          <w:sz w:val="22"/>
          <w:szCs w:val="22"/>
        </w:rPr>
        <w:t xml:space="preserve">following regional reforms </w:t>
      </w:r>
      <w:r w:rsidRPr="009C49DE">
        <w:rPr>
          <w:sz w:val="22"/>
          <w:szCs w:val="22"/>
        </w:rPr>
        <w:t xml:space="preserve">and </w:t>
      </w:r>
      <w:r w:rsidR="005F5F34" w:rsidRPr="009C49DE">
        <w:rPr>
          <w:sz w:val="22"/>
          <w:szCs w:val="22"/>
        </w:rPr>
        <w:t>145.</w:t>
      </w:r>
      <w:r w:rsidR="00523244" w:rsidRPr="009C49DE">
        <w:rPr>
          <w:sz w:val="22"/>
          <w:szCs w:val="22"/>
        </w:rPr>
        <w:t>4</w:t>
      </w:r>
      <w:r w:rsidR="000F4C18" w:rsidRPr="009C49DE">
        <w:rPr>
          <w:sz w:val="22"/>
          <w:szCs w:val="22"/>
        </w:rPr>
        <w:t xml:space="preserve"> per cent</w:t>
      </w:r>
      <w:r w:rsidR="005F5F34" w:rsidRPr="009C49DE">
        <w:rPr>
          <w:sz w:val="22"/>
          <w:szCs w:val="22"/>
        </w:rPr>
        <w:t xml:space="preserve"> (or $</w:t>
      </w:r>
      <w:r w:rsidR="00CA6771" w:rsidRPr="009C49DE">
        <w:rPr>
          <w:sz w:val="22"/>
          <w:szCs w:val="22"/>
        </w:rPr>
        <w:t>76.1</w:t>
      </w:r>
      <w:r w:rsidR="005F5F34" w:rsidRPr="009C49DE">
        <w:rPr>
          <w:sz w:val="22"/>
          <w:szCs w:val="22"/>
        </w:rPr>
        <w:t xml:space="preserve"> billion) </w:t>
      </w:r>
      <w:r w:rsidR="005B75C2" w:rsidRPr="009C49DE">
        <w:rPr>
          <w:sz w:val="22"/>
          <w:szCs w:val="22"/>
        </w:rPr>
        <w:t>following continental trade reforms</w:t>
      </w:r>
      <w:r w:rsidRPr="009C49DE">
        <w:rPr>
          <w:sz w:val="22"/>
          <w:szCs w:val="22"/>
        </w:rPr>
        <w:t xml:space="preserve">. </w:t>
      </w:r>
      <w:r w:rsidR="00CA6771" w:rsidRPr="009C49DE">
        <w:rPr>
          <w:sz w:val="22"/>
          <w:szCs w:val="22"/>
        </w:rPr>
        <w:t xml:space="preserve">Intra-African trade of agriculture and food products as well as services </w:t>
      </w:r>
      <w:r w:rsidR="00B823A9" w:rsidRPr="009C49DE">
        <w:rPr>
          <w:sz w:val="22"/>
          <w:szCs w:val="22"/>
        </w:rPr>
        <w:t xml:space="preserve">also </w:t>
      </w:r>
      <w:r w:rsidR="00CA6771" w:rsidRPr="009C49DE">
        <w:rPr>
          <w:sz w:val="22"/>
          <w:szCs w:val="22"/>
        </w:rPr>
        <w:t xml:space="preserve">would </w:t>
      </w:r>
      <w:r w:rsidR="00B823A9" w:rsidRPr="009C49DE">
        <w:rPr>
          <w:sz w:val="22"/>
          <w:szCs w:val="22"/>
        </w:rPr>
        <w:t xml:space="preserve">increase </w:t>
      </w:r>
      <w:r w:rsidR="00CA6771" w:rsidRPr="009C49DE">
        <w:rPr>
          <w:sz w:val="22"/>
          <w:szCs w:val="22"/>
        </w:rPr>
        <w:t>with similar reform</w:t>
      </w:r>
      <w:r w:rsidR="00334AFB" w:rsidRPr="009C49DE">
        <w:rPr>
          <w:sz w:val="22"/>
          <w:szCs w:val="22"/>
        </w:rPr>
        <w:t>s,</w:t>
      </w:r>
      <w:r w:rsidR="00CA6771" w:rsidRPr="009C49DE">
        <w:rPr>
          <w:sz w:val="22"/>
          <w:szCs w:val="22"/>
        </w:rPr>
        <w:t xml:space="preserve"> but</w:t>
      </w:r>
      <w:r w:rsidR="00334AFB" w:rsidRPr="009C49DE">
        <w:rPr>
          <w:sz w:val="22"/>
          <w:szCs w:val="22"/>
        </w:rPr>
        <w:t xml:space="preserve"> to a </w:t>
      </w:r>
      <w:r w:rsidR="00CA6771" w:rsidRPr="009C49DE">
        <w:rPr>
          <w:sz w:val="22"/>
          <w:szCs w:val="22"/>
        </w:rPr>
        <w:t>lesser extent</w:t>
      </w:r>
      <w:r w:rsidR="00B823A9" w:rsidRPr="009C49DE">
        <w:rPr>
          <w:sz w:val="22"/>
          <w:szCs w:val="22"/>
        </w:rPr>
        <w:t xml:space="preserve"> –</w:t>
      </w:r>
      <w:r w:rsidR="00CA6771" w:rsidRPr="009C49DE">
        <w:rPr>
          <w:sz w:val="22"/>
          <w:szCs w:val="22"/>
        </w:rPr>
        <w:t xml:space="preserve"> </w:t>
      </w:r>
      <w:r w:rsidR="00F82EF8" w:rsidRPr="009C49DE">
        <w:rPr>
          <w:sz w:val="22"/>
          <w:szCs w:val="22"/>
        </w:rPr>
        <w:t>by</w:t>
      </w:r>
      <w:r w:rsidR="00CA6771" w:rsidRPr="009C49DE">
        <w:rPr>
          <w:sz w:val="22"/>
          <w:szCs w:val="22"/>
        </w:rPr>
        <w:t xml:space="preserve"> </w:t>
      </w:r>
      <w:r w:rsidR="00523244" w:rsidRPr="009C49DE">
        <w:rPr>
          <w:sz w:val="22"/>
          <w:szCs w:val="22"/>
        </w:rPr>
        <w:t>73</w:t>
      </w:r>
      <w:r w:rsidR="00CA6771" w:rsidRPr="009C49DE">
        <w:rPr>
          <w:sz w:val="22"/>
          <w:szCs w:val="22"/>
        </w:rPr>
        <w:t>.</w:t>
      </w:r>
      <w:r w:rsidR="00523244" w:rsidRPr="009C49DE">
        <w:rPr>
          <w:sz w:val="22"/>
          <w:szCs w:val="22"/>
        </w:rPr>
        <w:t>8</w:t>
      </w:r>
      <w:r w:rsidR="000F4C18" w:rsidRPr="009C49DE">
        <w:rPr>
          <w:sz w:val="22"/>
          <w:szCs w:val="22"/>
        </w:rPr>
        <w:t xml:space="preserve"> per cent</w:t>
      </w:r>
      <w:r w:rsidR="00CA6771" w:rsidRPr="009C49DE">
        <w:rPr>
          <w:sz w:val="22"/>
          <w:szCs w:val="22"/>
        </w:rPr>
        <w:t xml:space="preserve"> (or $7.</w:t>
      </w:r>
      <w:r w:rsidR="00523244" w:rsidRPr="009C49DE">
        <w:rPr>
          <w:sz w:val="22"/>
          <w:szCs w:val="22"/>
        </w:rPr>
        <w:t xml:space="preserve">9 </w:t>
      </w:r>
      <w:r w:rsidR="00CA6771" w:rsidRPr="009C49DE">
        <w:rPr>
          <w:sz w:val="22"/>
          <w:szCs w:val="22"/>
        </w:rPr>
        <w:t>billion) and 30.8</w:t>
      </w:r>
      <w:r w:rsidR="000F4C18" w:rsidRPr="009C49DE">
        <w:rPr>
          <w:sz w:val="22"/>
          <w:szCs w:val="22"/>
        </w:rPr>
        <w:t xml:space="preserve"> per cent</w:t>
      </w:r>
      <w:r w:rsidR="00CA6771" w:rsidRPr="009C49DE">
        <w:rPr>
          <w:sz w:val="22"/>
          <w:szCs w:val="22"/>
        </w:rPr>
        <w:t xml:space="preserve"> (or $1.0 billion)</w:t>
      </w:r>
      <w:r w:rsidR="00F82EF8" w:rsidRPr="009C49DE">
        <w:rPr>
          <w:sz w:val="22"/>
          <w:szCs w:val="22"/>
        </w:rPr>
        <w:t>,</w:t>
      </w:r>
      <w:r w:rsidR="00CA6771" w:rsidRPr="009C49DE">
        <w:rPr>
          <w:sz w:val="22"/>
          <w:szCs w:val="22"/>
        </w:rPr>
        <w:t xml:space="preserve"> respectively</w:t>
      </w:r>
      <w:r w:rsidR="00523244" w:rsidRPr="009C49DE">
        <w:rPr>
          <w:sz w:val="22"/>
          <w:szCs w:val="22"/>
        </w:rPr>
        <w:t xml:space="preserve"> </w:t>
      </w:r>
      <w:r w:rsidR="00CA6771" w:rsidRPr="009C49DE">
        <w:rPr>
          <w:sz w:val="22"/>
          <w:szCs w:val="22"/>
        </w:rPr>
        <w:t>(</w:t>
      </w:r>
      <w:r w:rsidR="00FB0D3B">
        <w:rPr>
          <w:sz w:val="22"/>
          <w:szCs w:val="22"/>
        </w:rPr>
        <w:t>figure</w:t>
      </w:r>
      <w:r w:rsidR="00CA6771" w:rsidRPr="009C49DE">
        <w:rPr>
          <w:sz w:val="22"/>
          <w:szCs w:val="22"/>
        </w:rPr>
        <w:t xml:space="preserve"> </w:t>
      </w:r>
      <w:r w:rsidR="006436C9" w:rsidRPr="009C49DE">
        <w:rPr>
          <w:sz w:val="22"/>
          <w:szCs w:val="22"/>
        </w:rPr>
        <w:t>8.</w:t>
      </w:r>
      <w:r w:rsidR="00CA6771" w:rsidRPr="009C49DE">
        <w:rPr>
          <w:sz w:val="22"/>
          <w:szCs w:val="22"/>
        </w:rPr>
        <w:t>3).</w:t>
      </w:r>
      <w:r w:rsidR="007F3336" w:rsidRPr="009C49DE">
        <w:rPr>
          <w:sz w:val="22"/>
          <w:szCs w:val="22"/>
        </w:rPr>
        <w:t xml:space="preserve"> </w:t>
      </w:r>
    </w:p>
    <w:p w:rsidR="00CA6771" w:rsidRDefault="00CA6771" w:rsidP="006D5982">
      <w:pPr>
        <w:spacing w:line="360" w:lineRule="auto"/>
      </w:pPr>
    </w:p>
    <w:p w:rsidR="007F3336" w:rsidRDefault="007F3336" w:rsidP="009C49DE">
      <w:pPr>
        <w:pStyle w:val="Tableheading"/>
        <w:ind w:left="1530" w:hanging="1530"/>
      </w:pPr>
      <w:r w:rsidRPr="0061584B">
        <w:t xml:space="preserve">Figure </w:t>
      </w:r>
      <w:r w:rsidR="006436C9" w:rsidRPr="0061584B">
        <w:t>8.</w:t>
      </w:r>
      <w:r w:rsidR="003A5AE7" w:rsidRPr="0061584B">
        <w:t>3</w:t>
      </w:r>
      <w:r w:rsidRPr="0061584B">
        <w:t xml:space="preserve">: </w:t>
      </w:r>
      <w:r w:rsidR="00EE7040" w:rsidRPr="0061584B">
        <w:tab/>
      </w:r>
      <w:r w:rsidRPr="0061584B">
        <w:t xml:space="preserve">Exports of African countries by destinations and main sectors with adoption of trade facilitation measures </w:t>
      </w:r>
      <w:r w:rsidR="00396EC2">
        <w:t xml:space="preserve">on top of FTA reforms </w:t>
      </w:r>
      <w:r w:rsidRPr="0061584B">
        <w:t xml:space="preserve">– </w:t>
      </w:r>
      <w:r w:rsidR="00B823A9">
        <w:t>c</w:t>
      </w:r>
      <w:r w:rsidRPr="0061584B">
        <w:t xml:space="preserve">hanges </w:t>
      </w:r>
      <w:r w:rsidR="006A6186" w:rsidRPr="0061584B">
        <w:t xml:space="preserve">in US$ billion </w:t>
      </w:r>
      <w:r w:rsidRPr="0061584B">
        <w:t xml:space="preserve">compared </w:t>
      </w:r>
      <w:r w:rsidR="00B823A9">
        <w:t>with</w:t>
      </w:r>
      <w:r w:rsidR="00B823A9" w:rsidRPr="0061584B">
        <w:t xml:space="preserve"> </w:t>
      </w:r>
      <w:r w:rsidRPr="0061584B">
        <w:t>the baseline scenario</w:t>
      </w:r>
      <w:r w:rsidR="00B823A9">
        <w:t>,</w:t>
      </w:r>
      <w:r w:rsidRPr="0061584B">
        <w:t xml:space="preserve"> 2022</w:t>
      </w:r>
      <w:r w:rsidR="009817A9" w:rsidRPr="0061584B">
        <w:t xml:space="preserve"> </w:t>
      </w:r>
    </w:p>
    <w:p w:rsidR="00396EC2" w:rsidRPr="0061584B" w:rsidRDefault="001223A0" w:rsidP="009C49DE">
      <w:pPr>
        <w:pStyle w:val="Tableheading"/>
      </w:pPr>
      <w:r w:rsidRPr="00B07F6F">
        <w:pict>
          <v:shape id="_x0000_i1046" type="#_x0000_t75" style="width:444pt;height:257.25pt">
            <v:imagedata r:id="rId28" o:title=""/>
          </v:shape>
        </w:pict>
      </w:r>
    </w:p>
    <w:p w:rsidR="007F3336" w:rsidRPr="009C49DE" w:rsidRDefault="007F3336"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7F3336" w:rsidRPr="009C49DE" w:rsidRDefault="003F0E43" w:rsidP="006D5982">
      <w:pPr>
        <w:spacing w:line="360" w:lineRule="auto"/>
        <w:rPr>
          <w:sz w:val="22"/>
          <w:szCs w:val="22"/>
        </w:rPr>
      </w:pPr>
      <w:r w:rsidRPr="009C49DE">
        <w:rPr>
          <w:sz w:val="22"/>
          <w:szCs w:val="22"/>
        </w:rPr>
        <w:t xml:space="preserve">The share of intra-African trade would </w:t>
      </w:r>
      <w:r w:rsidR="00E971EB" w:rsidRPr="009C49DE">
        <w:rPr>
          <w:sz w:val="22"/>
          <w:szCs w:val="22"/>
        </w:rPr>
        <w:t xml:space="preserve">increase </w:t>
      </w:r>
      <w:r w:rsidRPr="009C49DE">
        <w:rPr>
          <w:sz w:val="22"/>
          <w:szCs w:val="22"/>
        </w:rPr>
        <w:t xml:space="preserve">more than </w:t>
      </w:r>
      <w:r w:rsidR="00733AB9" w:rsidRPr="009C49DE">
        <w:rPr>
          <w:sz w:val="22"/>
          <w:szCs w:val="22"/>
        </w:rPr>
        <w:t>two</w:t>
      </w:r>
      <w:r w:rsidR="00E971EB" w:rsidRPr="009C49DE">
        <w:rPr>
          <w:sz w:val="22"/>
          <w:szCs w:val="22"/>
        </w:rPr>
        <w:t>-</w:t>
      </w:r>
      <w:r w:rsidR="00733AB9" w:rsidRPr="009C49DE">
        <w:rPr>
          <w:sz w:val="22"/>
          <w:szCs w:val="22"/>
        </w:rPr>
        <w:t xml:space="preserve">fold </w:t>
      </w:r>
      <w:r w:rsidRPr="009C49DE">
        <w:rPr>
          <w:sz w:val="22"/>
          <w:szCs w:val="22"/>
        </w:rPr>
        <w:t>between 2010 and 2022</w:t>
      </w:r>
      <w:r w:rsidR="002C1CD7" w:rsidRPr="009C49DE">
        <w:rPr>
          <w:sz w:val="22"/>
          <w:szCs w:val="22"/>
        </w:rPr>
        <w:t xml:space="preserve">, </w:t>
      </w:r>
      <w:r w:rsidR="00E971EB" w:rsidRPr="009C49DE">
        <w:rPr>
          <w:sz w:val="22"/>
          <w:szCs w:val="22"/>
        </w:rPr>
        <w:t xml:space="preserve">rising </w:t>
      </w:r>
      <w:r w:rsidR="002C1CD7" w:rsidRPr="009C49DE">
        <w:rPr>
          <w:sz w:val="22"/>
          <w:szCs w:val="22"/>
        </w:rPr>
        <w:t>from 10.2</w:t>
      </w:r>
      <w:r w:rsidR="000F4C18" w:rsidRPr="009C49DE">
        <w:rPr>
          <w:sz w:val="22"/>
          <w:szCs w:val="22"/>
        </w:rPr>
        <w:t xml:space="preserve"> per cent</w:t>
      </w:r>
      <w:r w:rsidR="002C1CD7" w:rsidRPr="009C49DE">
        <w:rPr>
          <w:sz w:val="22"/>
          <w:szCs w:val="22"/>
        </w:rPr>
        <w:t xml:space="preserve"> to 21.</w:t>
      </w:r>
      <w:r w:rsidR="009817A9" w:rsidRPr="009C49DE">
        <w:rPr>
          <w:sz w:val="22"/>
          <w:szCs w:val="22"/>
        </w:rPr>
        <w:t>9</w:t>
      </w:r>
      <w:r w:rsidR="000F4C18" w:rsidRPr="009C49DE">
        <w:rPr>
          <w:sz w:val="22"/>
          <w:szCs w:val="22"/>
        </w:rPr>
        <w:t xml:space="preserve"> per cent</w:t>
      </w:r>
      <w:r w:rsidR="002C1CD7" w:rsidRPr="009C49DE">
        <w:rPr>
          <w:sz w:val="22"/>
          <w:szCs w:val="22"/>
        </w:rPr>
        <w:t xml:space="preserve">, </w:t>
      </w:r>
      <w:r w:rsidR="00733AB9" w:rsidRPr="009C49DE">
        <w:rPr>
          <w:sz w:val="22"/>
          <w:szCs w:val="22"/>
        </w:rPr>
        <w:t>through the adoption of</w:t>
      </w:r>
      <w:r w:rsidRPr="009C49DE">
        <w:rPr>
          <w:sz w:val="22"/>
          <w:szCs w:val="22"/>
        </w:rPr>
        <w:t xml:space="preserve"> a more efficient </w:t>
      </w:r>
      <w:r w:rsidR="00E971EB" w:rsidRPr="009C49DE">
        <w:rPr>
          <w:sz w:val="22"/>
          <w:szCs w:val="22"/>
        </w:rPr>
        <w:t xml:space="preserve">system of </w:t>
      </w:r>
      <w:r w:rsidRPr="009C49DE">
        <w:rPr>
          <w:sz w:val="22"/>
          <w:szCs w:val="22"/>
        </w:rPr>
        <w:t>trading</w:t>
      </w:r>
      <w:r w:rsidR="00E971EB" w:rsidRPr="009C49DE">
        <w:rPr>
          <w:sz w:val="22"/>
          <w:szCs w:val="22"/>
        </w:rPr>
        <w:t xml:space="preserve"> </w:t>
      </w:r>
      <w:r w:rsidRPr="009C49DE">
        <w:rPr>
          <w:sz w:val="22"/>
          <w:szCs w:val="22"/>
        </w:rPr>
        <w:t>across</w:t>
      </w:r>
      <w:r w:rsidR="00E971EB" w:rsidRPr="009C49DE">
        <w:rPr>
          <w:sz w:val="22"/>
          <w:szCs w:val="22"/>
        </w:rPr>
        <w:t xml:space="preserve"> </w:t>
      </w:r>
      <w:r w:rsidRPr="009C49DE">
        <w:rPr>
          <w:sz w:val="22"/>
          <w:szCs w:val="22"/>
        </w:rPr>
        <w:t xml:space="preserve">borders </w:t>
      </w:r>
      <w:r w:rsidR="00E971EB" w:rsidRPr="009C49DE">
        <w:rPr>
          <w:sz w:val="22"/>
          <w:szCs w:val="22"/>
        </w:rPr>
        <w:t>along with establishment of</w:t>
      </w:r>
      <w:r w:rsidRPr="009C49DE">
        <w:rPr>
          <w:sz w:val="22"/>
          <w:szCs w:val="22"/>
        </w:rPr>
        <w:t xml:space="preserve"> a </w:t>
      </w:r>
      <w:r w:rsidR="00733AB9" w:rsidRPr="009C49DE">
        <w:rPr>
          <w:sz w:val="22"/>
          <w:szCs w:val="22"/>
        </w:rPr>
        <w:t>C</w:t>
      </w:r>
      <w:r w:rsidRPr="009C49DE">
        <w:rPr>
          <w:sz w:val="22"/>
          <w:szCs w:val="22"/>
        </w:rPr>
        <w:t>FTA (</w:t>
      </w:r>
      <w:r w:rsidR="00FB0D3B">
        <w:rPr>
          <w:sz w:val="22"/>
          <w:szCs w:val="22"/>
        </w:rPr>
        <w:t>table</w:t>
      </w:r>
      <w:r w:rsidR="007F3336" w:rsidRPr="009C49DE">
        <w:rPr>
          <w:sz w:val="22"/>
          <w:szCs w:val="22"/>
        </w:rPr>
        <w:t xml:space="preserve"> </w:t>
      </w:r>
      <w:r w:rsidR="006436C9" w:rsidRPr="009C49DE">
        <w:rPr>
          <w:sz w:val="22"/>
          <w:szCs w:val="22"/>
        </w:rPr>
        <w:t>8.</w:t>
      </w:r>
      <w:r w:rsidRPr="009C49DE">
        <w:rPr>
          <w:sz w:val="22"/>
          <w:szCs w:val="22"/>
        </w:rPr>
        <w:t>2</w:t>
      </w:r>
      <w:r w:rsidR="004554CB" w:rsidRPr="009C49DE">
        <w:rPr>
          <w:sz w:val="22"/>
          <w:szCs w:val="22"/>
        </w:rPr>
        <w:t>0</w:t>
      </w:r>
      <w:r w:rsidR="007F3336" w:rsidRPr="009C49DE">
        <w:rPr>
          <w:sz w:val="22"/>
          <w:szCs w:val="22"/>
        </w:rPr>
        <w:t xml:space="preserve">). </w:t>
      </w:r>
      <w:r w:rsidR="00E971EB" w:rsidRPr="009C49DE">
        <w:rPr>
          <w:sz w:val="22"/>
          <w:szCs w:val="22"/>
        </w:rPr>
        <w:t xml:space="preserve">As a share of total exports, </w:t>
      </w:r>
      <w:r w:rsidRPr="009C49DE">
        <w:rPr>
          <w:sz w:val="22"/>
          <w:szCs w:val="22"/>
        </w:rPr>
        <w:t xml:space="preserve">African exports </w:t>
      </w:r>
      <w:r w:rsidR="00846695" w:rsidRPr="009C49DE">
        <w:rPr>
          <w:sz w:val="22"/>
          <w:szCs w:val="22"/>
        </w:rPr>
        <w:t>to</w:t>
      </w:r>
      <w:r w:rsidRPr="009C49DE">
        <w:rPr>
          <w:sz w:val="22"/>
          <w:szCs w:val="22"/>
        </w:rPr>
        <w:t xml:space="preserve"> </w:t>
      </w:r>
      <w:r w:rsidR="00BC5F56" w:rsidRPr="009C49DE">
        <w:rPr>
          <w:sz w:val="22"/>
          <w:szCs w:val="22"/>
        </w:rPr>
        <w:t>their</w:t>
      </w:r>
      <w:r w:rsidRPr="009C49DE">
        <w:rPr>
          <w:sz w:val="22"/>
          <w:szCs w:val="22"/>
        </w:rPr>
        <w:t xml:space="preserve"> partners from the continent</w:t>
      </w:r>
      <w:r w:rsidR="00846695" w:rsidRPr="009C49DE">
        <w:rPr>
          <w:sz w:val="22"/>
          <w:szCs w:val="22"/>
        </w:rPr>
        <w:t xml:space="preserve"> would grow at </w:t>
      </w:r>
      <w:r w:rsidR="00E971EB" w:rsidRPr="009C49DE">
        <w:rPr>
          <w:sz w:val="22"/>
          <w:szCs w:val="22"/>
        </w:rPr>
        <w:t>similar</w:t>
      </w:r>
      <w:r w:rsidR="00846695" w:rsidRPr="009C49DE">
        <w:rPr>
          <w:sz w:val="22"/>
          <w:szCs w:val="22"/>
        </w:rPr>
        <w:t xml:space="preserve"> pace</w:t>
      </w:r>
      <w:r w:rsidR="00951DC9" w:rsidRPr="009C49DE">
        <w:rPr>
          <w:sz w:val="22"/>
          <w:szCs w:val="22"/>
        </w:rPr>
        <w:t>s</w:t>
      </w:r>
      <w:r w:rsidR="00846695" w:rsidRPr="009C49DE">
        <w:rPr>
          <w:sz w:val="22"/>
          <w:szCs w:val="22"/>
        </w:rPr>
        <w:t xml:space="preserve"> </w:t>
      </w:r>
      <w:r w:rsidR="00E971EB" w:rsidRPr="009C49DE">
        <w:rPr>
          <w:sz w:val="22"/>
          <w:szCs w:val="22"/>
        </w:rPr>
        <w:t>for agriculture and food products (57.6 per cent) and for services (52.9 per cent)</w:t>
      </w:r>
      <w:r w:rsidR="00CC70A9" w:rsidRPr="009C49DE">
        <w:rPr>
          <w:sz w:val="22"/>
          <w:szCs w:val="22"/>
        </w:rPr>
        <w:t xml:space="preserve"> </w:t>
      </w:r>
      <w:r w:rsidR="00846695" w:rsidRPr="009C49DE">
        <w:rPr>
          <w:sz w:val="22"/>
          <w:szCs w:val="22"/>
        </w:rPr>
        <w:t>between 2010 and 2022</w:t>
      </w:r>
      <w:r w:rsidR="00120D3D" w:rsidRPr="009C49DE">
        <w:rPr>
          <w:sz w:val="22"/>
          <w:szCs w:val="22"/>
        </w:rPr>
        <w:t>. I</w:t>
      </w:r>
      <w:r w:rsidR="00846695" w:rsidRPr="009C49DE">
        <w:rPr>
          <w:sz w:val="22"/>
          <w:szCs w:val="22"/>
        </w:rPr>
        <w:t>ntra-African trade of industr</w:t>
      </w:r>
      <w:r w:rsidR="00E971EB" w:rsidRPr="009C49DE">
        <w:rPr>
          <w:sz w:val="22"/>
          <w:szCs w:val="22"/>
        </w:rPr>
        <w:t>ial products</w:t>
      </w:r>
      <w:r w:rsidR="00846695" w:rsidRPr="009C49DE">
        <w:rPr>
          <w:sz w:val="22"/>
          <w:szCs w:val="22"/>
        </w:rPr>
        <w:t xml:space="preserve"> would grow </w:t>
      </w:r>
      <w:r w:rsidR="00120D3D" w:rsidRPr="009C49DE">
        <w:rPr>
          <w:sz w:val="22"/>
          <w:szCs w:val="22"/>
        </w:rPr>
        <w:t xml:space="preserve">at a </w:t>
      </w:r>
      <w:r w:rsidR="00846695" w:rsidRPr="009C49DE">
        <w:rPr>
          <w:sz w:val="22"/>
          <w:szCs w:val="22"/>
        </w:rPr>
        <w:t xml:space="preserve">much </w:t>
      </w:r>
      <w:r w:rsidR="00120D3D" w:rsidRPr="009C49DE">
        <w:rPr>
          <w:sz w:val="22"/>
          <w:szCs w:val="22"/>
        </w:rPr>
        <w:t>higher rate</w:t>
      </w:r>
      <w:r w:rsidR="00846695" w:rsidRPr="009C49DE">
        <w:rPr>
          <w:sz w:val="22"/>
          <w:szCs w:val="22"/>
        </w:rPr>
        <w:t>, from 11.</w:t>
      </w:r>
      <w:r w:rsidR="00120D3D" w:rsidRPr="009C49DE">
        <w:rPr>
          <w:sz w:val="22"/>
          <w:szCs w:val="22"/>
        </w:rPr>
        <w:t>6</w:t>
      </w:r>
      <w:r w:rsidR="000F4C18" w:rsidRPr="009C49DE">
        <w:rPr>
          <w:sz w:val="22"/>
          <w:szCs w:val="22"/>
        </w:rPr>
        <w:t xml:space="preserve"> per cent</w:t>
      </w:r>
      <w:r w:rsidR="00846695" w:rsidRPr="009C49DE">
        <w:rPr>
          <w:sz w:val="22"/>
          <w:szCs w:val="22"/>
        </w:rPr>
        <w:t xml:space="preserve"> in 2010 to 25.0</w:t>
      </w:r>
      <w:r w:rsidR="000F4C18" w:rsidRPr="009C49DE">
        <w:rPr>
          <w:sz w:val="22"/>
          <w:szCs w:val="22"/>
        </w:rPr>
        <w:t xml:space="preserve"> per cent</w:t>
      </w:r>
      <w:r w:rsidR="00846695" w:rsidRPr="009C49DE">
        <w:rPr>
          <w:sz w:val="22"/>
          <w:szCs w:val="22"/>
        </w:rPr>
        <w:t xml:space="preserve"> in 2022</w:t>
      </w:r>
      <w:r w:rsidR="00CC70A9" w:rsidRPr="009C49DE">
        <w:rPr>
          <w:sz w:val="22"/>
          <w:szCs w:val="22"/>
        </w:rPr>
        <w:t xml:space="preserve"> (i.e. </w:t>
      </w:r>
      <w:r w:rsidR="00E971EB" w:rsidRPr="009C49DE">
        <w:rPr>
          <w:sz w:val="22"/>
          <w:szCs w:val="22"/>
        </w:rPr>
        <w:t xml:space="preserve">a </w:t>
      </w:r>
      <w:r w:rsidR="00CC70A9" w:rsidRPr="009C49DE">
        <w:rPr>
          <w:sz w:val="22"/>
          <w:szCs w:val="22"/>
        </w:rPr>
        <w:t>growth rate of 126.1</w:t>
      </w:r>
      <w:r w:rsidR="000F4C18" w:rsidRPr="009C49DE">
        <w:rPr>
          <w:sz w:val="22"/>
          <w:szCs w:val="22"/>
        </w:rPr>
        <w:t xml:space="preserve"> per cent</w:t>
      </w:r>
      <w:r w:rsidR="00CC70A9" w:rsidRPr="009C49DE">
        <w:rPr>
          <w:sz w:val="22"/>
          <w:szCs w:val="22"/>
        </w:rPr>
        <w:t>)</w:t>
      </w:r>
      <w:r w:rsidR="00846695" w:rsidRPr="009C49DE">
        <w:rPr>
          <w:sz w:val="22"/>
          <w:szCs w:val="22"/>
        </w:rPr>
        <w:t xml:space="preserve">. </w:t>
      </w:r>
      <w:r w:rsidR="00120D3D" w:rsidRPr="009C49DE">
        <w:rPr>
          <w:sz w:val="22"/>
          <w:szCs w:val="22"/>
        </w:rPr>
        <w:t>Although not all of the industrial products are necessarily sophisticated products</w:t>
      </w:r>
      <w:r w:rsidR="009A6245" w:rsidRPr="009C49DE">
        <w:rPr>
          <w:sz w:val="22"/>
          <w:szCs w:val="22"/>
        </w:rPr>
        <w:t>,</w:t>
      </w:r>
      <w:r w:rsidR="00120D3D" w:rsidRPr="009C49DE">
        <w:rPr>
          <w:sz w:val="22"/>
          <w:szCs w:val="22"/>
        </w:rPr>
        <w:t xml:space="preserve"> this indicates an</w:t>
      </w:r>
      <w:r w:rsidR="00981175" w:rsidRPr="009C49DE">
        <w:rPr>
          <w:sz w:val="22"/>
          <w:szCs w:val="22"/>
        </w:rPr>
        <w:t xml:space="preserve"> </w:t>
      </w:r>
      <w:r w:rsidR="00BC5F56" w:rsidRPr="009C49DE">
        <w:rPr>
          <w:sz w:val="22"/>
          <w:szCs w:val="22"/>
        </w:rPr>
        <w:t>expansion</w:t>
      </w:r>
      <w:r w:rsidR="00981175" w:rsidRPr="009C49DE">
        <w:rPr>
          <w:sz w:val="22"/>
          <w:szCs w:val="22"/>
        </w:rPr>
        <w:t xml:space="preserve"> </w:t>
      </w:r>
      <w:r w:rsidR="00E971EB" w:rsidRPr="009C49DE">
        <w:rPr>
          <w:sz w:val="22"/>
          <w:szCs w:val="22"/>
        </w:rPr>
        <w:t xml:space="preserve">of </w:t>
      </w:r>
      <w:r w:rsidR="00981175" w:rsidRPr="009C49DE">
        <w:rPr>
          <w:sz w:val="22"/>
          <w:szCs w:val="22"/>
        </w:rPr>
        <w:t xml:space="preserve">intra-African trade </w:t>
      </w:r>
      <w:r w:rsidR="00120D3D" w:rsidRPr="009C49DE">
        <w:rPr>
          <w:sz w:val="22"/>
          <w:szCs w:val="22"/>
        </w:rPr>
        <w:t xml:space="preserve">in more </w:t>
      </w:r>
      <w:r w:rsidR="00BC287A" w:rsidRPr="009C49DE">
        <w:rPr>
          <w:sz w:val="22"/>
          <w:szCs w:val="22"/>
        </w:rPr>
        <w:t>elaborated</w:t>
      </w:r>
      <w:r w:rsidR="00120D3D" w:rsidRPr="009C49DE">
        <w:rPr>
          <w:sz w:val="22"/>
          <w:szCs w:val="22"/>
        </w:rPr>
        <w:t xml:space="preserve"> products </w:t>
      </w:r>
      <w:r w:rsidR="00981175" w:rsidRPr="009C49DE">
        <w:rPr>
          <w:sz w:val="22"/>
          <w:szCs w:val="22"/>
        </w:rPr>
        <w:t>if a</w:t>
      </w:r>
      <w:r w:rsidR="00733AB9" w:rsidRPr="009C49DE">
        <w:rPr>
          <w:sz w:val="22"/>
          <w:szCs w:val="22"/>
        </w:rPr>
        <w:t>n FTA</w:t>
      </w:r>
      <w:r w:rsidR="00597E3D" w:rsidRPr="009C49DE">
        <w:rPr>
          <w:sz w:val="22"/>
          <w:szCs w:val="22"/>
        </w:rPr>
        <w:t xml:space="preserve"> </w:t>
      </w:r>
      <w:r w:rsidR="00981175" w:rsidRPr="009C49DE">
        <w:rPr>
          <w:sz w:val="22"/>
          <w:szCs w:val="22"/>
        </w:rPr>
        <w:t>at the continental level is implemented and complemented by trade facilitation measures.</w:t>
      </w:r>
    </w:p>
    <w:p w:rsidR="007F3336" w:rsidRPr="0061584B" w:rsidRDefault="007F3336" w:rsidP="00403014">
      <w:pPr>
        <w:pStyle w:val="Tableheading"/>
        <w:ind w:left="1440" w:hanging="1440"/>
      </w:pPr>
      <w:r w:rsidRPr="0061584B">
        <w:t xml:space="preserve">Table </w:t>
      </w:r>
      <w:r w:rsidR="006436C9" w:rsidRPr="0061584B">
        <w:t>8.</w:t>
      </w:r>
      <w:r w:rsidR="003A5AE7" w:rsidRPr="0061584B">
        <w:t>2</w:t>
      </w:r>
      <w:r w:rsidR="004554CB" w:rsidRPr="0061584B">
        <w:t>0</w:t>
      </w:r>
      <w:r w:rsidRPr="0061584B">
        <w:t xml:space="preserve">: </w:t>
      </w:r>
      <w:r w:rsidR="00EE7040" w:rsidRPr="0061584B">
        <w:tab/>
      </w:r>
      <w:r w:rsidR="00E24842">
        <w:t>Percentage increases in</w:t>
      </w:r>
      <w:r w:rsidRPr="0061584B">
        <w:t xml:space="preserve"> intra-African trade volumes with adoption of trade facilitation measures</w:t>
      </w:r>
      <w:r w:rsidR="00E971EB">
        <w:t xml:space="preserve"> </w:t>
      </w:r>
      <w:r w:rsidR="00B07F6F">
        <w:t>on top of FTA reforms</w:t>
      </w:r>
    </w:p>
    <w:p w:rsidR="00B07F6F" w:rsidRPr="0061584B" w:rsidRDefault="009817A9" w:rsidP="001223A0">
      <w:pPr>
        <w:spacing w:line="360" w:lineRule="auto"/>
      </w:pPr>
      <w:r w:rsidRPr="0061584B">
        <w:t xml:space="preserve"> </w:t>
      </w:r>
      <w:r w:rsidR="00B07F6F" w:rsidRPr="00B07F6F">
        <w:pict>
          <v:shape id="_x0000_i1047" type="#_x0000_t75" style="width:423pt;height:77.25pt">
            <v:imagedata r:id="rId29" o:title=""/>
          </v:shape>
        </w:pict>
      </w:r>
    </w:p>
    <w:p w:rsidR="007F3336" w:rsidRPr="009C49DE" w:rsidRDefault="007F3336"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7F3336" w:rsidRPr="0061584B" w:rsidRDefault="001E3264" w:rsidP="006D5982">
      <w:pPr>
        <w:spacing w:line="360" w:lineRule="auto"/>
      </w:pPr>
      <w:r w:rsidRPr="009C49DE">
        <w:rPr>
          <w:sz w:val="22"/>
          <w:szCs w:val="22"/>
        </w:rPr>
        <w:t>A</w:t>
      </w:r>
      <w:r w:rsidR="00154EF1" w:rsidRPr="009C49DE">
        <w:rPr>
          <w:sz w:val="22"/>
          <w:szCs w:val="22"/>
        </w:rPr>
        <w:t>s</w:t>
      </w:r>
      <w:r w:rsidRPr="009C49DE">
        <w:rPr>
          <w:sz w:val="22"/>
          <w:szCs w:val="22"/>
        </w:rPr>
        <w:t xml:space="preserve"> </w:t>
      </w:r>
      <w:r w:rsidR="00154EF1" w:rsidRPr="009C49DE">
        <w:rPr>
          <w:sz w:val="22"/>
          <w:szCs w:val="22"/>
        </w:rPr>
        <w:t xml:space="preserve">a </w:t>
      </w:r>
      <w:r w:rsidRPr="009C49DE">
        <w:rPr>
          <w:sz w:val="22"/>
          <w:szCs w:val="22"/>
        </w:rPr>
        <w:t xml:space="preserve">consequence </w:t>
      </w:r>
      <w:r w:rsidR="00154EF1" w:rsidRPr="009C49DE">
        <w:rPr>
          <w:sz w:val="22"/>
          <w:szCs w:val="22"/>
        </w:rPr>
        <w:t xml:space="preserve">of </w:t>
      </w:r>
      <w:r w:rsidRPr="009C49DE">
        <w:rPr>
          <w:sz w:val="22"/>
          <w:szCs w:val="22"/>
        </w:rPr>
        <w:t xml:space="preserve">the </w:t>
      </w:r>
      <w:r w:rsidR="00154EF1" w:rsidRPr="009C49DE">
        <w:rPr>
          <w:sz w:val="22"/>
          <w:szCs w:val="22"/>
        </w:rPr>
        <w:t>shift</w:t>
      </w:r>
      <w:r w:rsidRPr="009C49DE">
        <w:rPr>
          <w:sz w:val="22"/>
          <w:szCs w:val="22"/>
        </w:rPr>
        <w:t xml:space="preserve"> of trade and production towards more industrial products</w:t>
      </w:r>
      <w:r w:rsidR="00154EF1" w:rsidRPr="009C49DE">
        <w:rPr>
          <w:sz w:val="22"/>
          <w:szCs w:val="22"/>
        </w:rPr>
        <w:t xml:space="preserve">, </w:t>
      </w:r>
      <w:r w:rsidR="009D4688" w:rsidRPr="009C49DE">
        <w:rPr>
          <w:sz w:val="22"/>
          <w:szCs w:val="22"/>
        </w:rPr>
        <w:t>real wages for both skilled and unskilled workers in non-agricultural activities increase</w:t>
      </w:r>
      <w:r w:rsidR="00FF617C" w:rsidRPr="009C49DE">
        <w:rPr>
          <w:sz w:val="22"/>
          <w:szCs w:val="22"/>
        </w:rPr>
        <w:t xml:space="preserve">. </w:t>
      </w:r>
      <w:r w:rsidR="00154EF1" w:rsidRPr="009C49DE">
        <w:rPr>
          <w:sz w:val="22"/>
          <w:szCs w:val="22"/>
        </w:rPr>
        <w:t>W</w:t>
      </w:r>
      <w:r w:rsidR="00FF617C" w:rsidRPr="009C49DE">
        <w:rPr>
          <w:sz w:val="22"/>
          <w:szCs w:val="22"/>
        </w:rPr>
        <w:t>ith FTA reforms alone, real wages of skilled workers increas</w:t>
      </w:r>
      <w:r w:rsidR="00597E3D" w:rsidRPr="009C49DE">
        <w:rPr>
          <w:sz w:val="22"/>
          <w:szCs w:val="22"/>
        </w:rPr>
        <w:t>e</w:t>
      </w:r>
      <w:r w:rsidR="00FF617C" w:rsidRPr="009C49DE">
        <w:rPr>
          <w:sz w:val="22"/>
          <w:szCs w:val="22"/>
        </w:rPr>
        <w:t xml:space="preserve"> </w:t>
      </w:r>
      <w:r w:rsidR="00154EF1" w:rsidRPr="009C49DE">
        <w:rPr>
          <w:sz w:val="22"/>
          <w:szCs w:val="22"/>
        </w:rPr>
        <w:t>less than those of unskilled workers</w:t>
      </w:r>
      <w:r w:rsidR="00264940" w:rsidRPr="009C49DE">
        <w:rPr>
          <w:sz w:val="22"/>
          <w:szCs w:val="22"/>
        </w:rPr>
        <w:t xml:space="preserve"> employed in either agricultural or non-agricultural activities</w:t>
      </w:r>
      <w:r w:rsidR="00154EF1" w:rsidRPr="009C49DE">
        <w:rPr>
          <w:sz w:val="22"/>
          <w:szCs w:val="22"/>
        </w:rPr>
        <w:t>,</w:t>
      </w:r>
      <w:r w:rsidR="00AB7050" w:rsidRPr="009C49DE">
        <w:rPr>
          <w:sz w:val="22"/>
          <w:szCs w:val="22"/>
        </w:rPr>
        <w:t xml:space="preserve"> </w:t>
      </w:r>
      <w:r w:rsidR="00597E3D" w:rsidRPr="009C49DE">
        <w:rPr>
          <w:sz w:val="22"/>
          <w:szCs w:val="22"/>
        </w:rPr>
        <w:t>whereas</w:t>
      </w:r>
      <w:r w:rsidR="00154EF1" w:rsidRPr="009C49DE">
        <w:rPr>
          <w:sz w:val="22"/>
          <w:szCs w:val="22"/>
        </w:rPr>
        <w:t>,</w:t>
      </w:r>
      <w:r w:rsidR="00597E3D" w:rsidRPr="009C49DE">
        <w:rPr>
          <w:sz w:val="22"/>
          <w:szCs w:val="22"/>
        </w:rPr>
        <w:t xml:space="preserve"> </w:t>
      </w:r>
      <w:r w:rsidR="00C85811" w:rsidRPr="009C49DE">
        <w:rPr>
          <w:sz w:val="22"/>
          <w:szCs w:val="22"/>
        </w:rPr>
        <w:t xml:space="preserve">when </w:t>
      </w:r>
      <w:r w:rsidR="00AB7050" w:rsidRPr="009C49DE">
        <w:rPr>
          <w:sz w:val="22"/>
          <w:szCs w:val="22"/>
        </w:rPr>
        <w:t xml:space="preserve">trade facilitation measures </w:t>
      </w:r>
      <w:r w:rsidR="00C85811" w:rsidRPr="009C49DE">
        <w:rPr>
          <w:sz w:val="22"/>
          <w:szCs w:val="22"/>
        </w:rPr>
        <w:t>are introduced</w:t>
      </w:r>
      <w:r w:rsidR="00154EF1" w:rsidRPr="009C49DE">
        <w:rPr>
          <w:sz w:val="22"/>
          <w:szCs w:val="22"/>
        </w:rPr>
        <w:t xml:space="preserve"> as well, skilled</w:t>
      </w:r>
      <w:r w:rsidR="00C85811" w:rsidRPr="009C49DE">
        <w:rPr>
          <w:sz w:val="22"/>
          <w:szCs w:val="22"/>
        </w:rPr>
        <w:t xml:space="preserve"> labo</w:t>
      </w:r>
      <w:r w:rsidR="00154EF1" w:rsidRPr="009C49DE">
        <w:rPr>
          <w:sz w:val="22"/>
          <w:szCs w:val="22"/>
        </w:rPr>
        <w:t>u</w:t>
      </w:r>
      <w:r w:rsidR="00C85811" w:rsidRPr="009C49DE">
        <w:rPr>
          <w:sz w:val="22"/>
          <w:szCs w:val="22"/>
        </w:rPr>
        <w:t xml:space="preserve">rers </w:t>
      </w:r>
      <w:r w:rsidR="00AB7050" w:rsidRPr="009C49DE">
        <w:rPr>
          <w:sz w:val="22"/>
          <w:szCs w:val="22"/>
        </w:rPr>
        <w:t xml:space="preserve">register </w:t>
      </w:r>
      <w:r w:rsidR="00154EF1" w:rsidRPr="009C49DE">
        <w:rPr>
          <w:sz w:val="22"/>
          <w:szCs w:val="22"/>
        </w:rPr>
        <w:t>greater</w:t>
      </w:r>
      <w:r w:rsidR="00AB7050" w:rsidRPr="009C49DE">
        <w:rPr>
          <w:sz w:val="22"/>
          <w:szCs w:val="22"/>
        </w:rPr>
        <w:t xml:space="preserve"> salary increase</w:t>
      </w:r>
      <w:r w:rsidR="00C85811" w:rsidRPr="009C49DE">
        <w:rPr>
          <w:sz w:val="22"/>
          <w:szCs w:val="22"/>
        </w:rPr>
        <w:t>.</w:t>
      </w:r>
      <w:r w:rsidR="00597E3D" w:rsidRPr="009C49DE">
        <w:rPr>
          <w:sz w:val="22"/>
          <w:szCs w:val="22"/>
        </w:rPr>
        <w:t xml:space="preserve"> </w:t>
      </w:r>
      <w:r w:rsidR="00FF617C" w:rsidRPr="009C49DE">
        <w:rPr>
          <w:sz w:val="22"/>
          <w:szCs w:val="22"/>
        </w:rPr>
        <w:t xml:space="preserve">Thanks to </w:t>
      </w:r>
      <w:r w:rsidR="00AB7050" w:rsidRPr="009C49DE">
        <w:rPr>
          <w:sz w:val="22"/>
          <w:szCs w:val="22"/>
        </w:rPr>
        <w:t>increased</w:t>
      </w:r>
      <w:r w:rsidR="00FF617C" w:rsidRPr="009C49DE">
        <w:rPr>
          <w:sz w:val="22"/>
          <w:szCs w:val="22"/>
        </w:rPr>
        <w:t xml:space="preserve"> </w:t>
      </w:r>
      <w:r w:rsidR="00EA1CFF" w:rsidRPr="009C49DE">
        <w:rPr>
          <w:sz w:val="22"/>
          <w:szCs w:val="22"/>
        </w:rPr>
        <w:t>production, consumption</w:t>
      </w:r>
      <w:r w:rsidR="00661531" w:rsidRPr="009C49DE">
        <w:rPr>
          <w:sz w:val="22"/>
          <w:szCs w:val="22"/>
        </w:rPr>
        <w:t>,</w:t>
      </w:r>
      <w:r w:rsidR="00EA1CFF" w:rsidRPr="009C49DE">
        <w:rPr>
          <w:sz w:val="22"/>
          <w:szCs w:val="22"/>
        </w:rPr>
        <w:t xml:space="preserve"> and </w:t>
      </w:r>
      <w:r w:rsidR="00AB7050" w:rsidRPr="009C49DE">
        <w:rPr>
          <w:sz w:val="22"/>
          <w:szCs w:val="22"/>
        </w:rPr>
        <w:t>exchanges</w:t>
      </w:r>
      <w:r w:rsidR="00FF617C" w:rsidRPr="009C49DE">
        <w:rPr>
          <w:sz w:val="22"/>
          <w:szCs w:val="22"/>
        </w:rPr>
        <w:t xml:space="preserve"> of agricultural and food products, </w:t>
      </w:r>
      <w:r w:rsidR="00661531" w:rsidRPr="009C49DE">
        <w:rPr>
          <w:sz w:val="22"/>
          <w:szCs w:val="22"/>
        </w:rPr>
        <w:t xml:space="preserve">trade reforms also would increase the </w:t>
      </w:r>
      <w:r w:rsidR="00FF617C" w:rsidRPr="009C49DE">
        <w:rPr>
          <w:sz w:val="22"/>
          <w:szCs w:val="22"/>
        </w:rPr>
        <w:t>real wages of unskilled agricultural workers</w:t>
      </w:r>
      <w:r w:rsidR="00597E3D" w:rsidRPr="009C49DE">
        <w:rPr>
          <w:sz w:val="22"/>
          <w:szCs w:val="22"/>
        </w:rPr>
        <w:t>,</w:t>
      </w:r>
      <w:r w:rsidR="00FF617C" w:rsidRPr="009C49DE">
        <w:rPr>
          <w:sz w:val="22"/>
          <w:szCs w:val="22"/>
        </w:rPr>
        <w:t xml:space="preserve"> but </w:t>
      </w:r>
      <w:r w:rsidR="00597E3D" w:rsidRPr="009C49DE">
        <w:rPr>
          <w:sz w:val="22"/>
          <w:szCs w:val="22"/>
        </w:rPr>
        <w:t xml:space="preserve">to a </w:t>
      </w:r>
      <w:r w:rsidR="00FF617C" w:rsidRPr="009C49DE">
        <w:rPr>
          <w:sz w:val="22"/>
          <w:szCs w:val="22"/>
        </w:rPr>
        <w:t>lesser exten</w:t>
      </w:r>
      <w:r w:rsidR="00597E3D" w:rsidRPr="009C49DE">
        <w:rPr>
          <w:sz w:val="22"/>
          <w:szCs w:val="22"/>
        </w:rPr>
        <w:t>t</w:t>
      </w:r>
      <w:r w:rsidR="00FF617C" w:rsidRPr="009C49DE">
        <w:rPr>
          <w:sz w:val="22"/>
          <w:szCs w:val="22"/>
        </w:rPr>
        <w:t xml:space="preserve"> than f</w:t>
      </w:r>
      <w:r w:rsidR="00AB7050" w:rsidRPr="009C49DE">
        <w:rPr>
          <w:sz w:val="22"/>
          <w:szCs w:val="22"/>
        </w:rPr>
        <w:t>or other categories of workers (</w:t>
      </w:r>
      <w:r w:rsidR="00FB0D3B">
        <w:rPr>
          <w:sz w:val="22"/>
          <w:szCs w:val="22"/>
        </w:rPr>
        <w:t>table</w:t>
      </w:r>
      <w:r w:rsidR="00AB7050" w:rsidRPr="009C49DE">
        <w:rPr>
          <w:sz w:val="22"/>
          <w:szCs w:val="22"/>
        </w:rPr>
        <w:t xml:space="preserve"> </w:t>
      </w:r>
      <w:r w:rsidR="006436C9" w:rsidRPr="009C49DE">
        <w:rPr>
          <w:sz w:val="22"/>
          <w:szCs w:val="22"/>
        </w:rPr>
        <w:t>8.</w:t>
      </w:r>
      <w:r w:rsidR="00AB7050" w:rsidRPr="009C49DE">
        <w:rPr>
          <w:sz w:val="22"/>
          <w:szCs w:val="22"/>
        </w:rPr>
        <w:t>2</w:t>
      </w:r>
      <w:r w:rsidR="004554CB" w:rsidRPr="009C49DE">
        <w:rPr>
          <w:sz w:val="22"/>
          <w:szCs w:val="22"/>
        </w:rPr>
        <w:t>1</w:t>
      </w:r>
      <w:r w:rsidR="00AB7050" w:rsidRPr="009C49DE">
        <w:rPr>
          <w:sz w:val="22"/>
          <w:szCs w:val="22"/>
        </w:rPr>
        <w:t>).</w:t>
      </w:r>
      <w:r w:rsidR="00FF617C" w:rsidRPr="009C49DE">
        <w:rPr>
          <w:sz w:val="22"/>
          <w:szCs w:val="22"/>
        </w:rPr>
        <w:t xml:space="preserve"> </w:t>
      </w:r>
    </w:p>
    <w:p w:rsidR="00CA74C0" w:rsidRDefault="009A4B0A" w:rsidP="001223A0">
      <w:pPr>
        <w:pStyle w:val="Tableheading"/>
        <w:ind w:left="1440" w:hanging="1440"/>
      </w:pPr>
      <w:r w:rsidRPr="0061584B">
        <w:t xml:space="preserve">Table </w:t>
      </w:r>
      <w:r w:rsidR="006436C9" w:rsidRPr="0061584B">
        <w:t>8.</w:t>
      </w:r>
      <w:r w:rsidRPr="0061584B">
        <w:t>2</w:t>
      </w:r>
      <w:r w:rsidR="004554CB" w:rsidRPr="0061584B">
        <w:t>1</w:t>
      </w:r>
      <w:r w:rsidRPr="0061584B">
        <w:t xml:space="preserve">: </w:t>
      </w:r>
      <w:r w:rsidR="00EE7040" w:rsidRPr="0061584B">
        <w:tab/>
      </w:r>
      <w:r w:rsidRPr="0061584B">
        <w:t xml:space="preserve">Real wages by main qualifications and main sectors of activity with and without adoption of trade facilitation measures </w:t>
      </w:r>
      <w:r w:rsidR="00BF53E0">
        <w:t xml:space="preserve">on top of FTA reforms </w:t>
      </w:r>
      <w:r w:rsidRPr="0061584B">
        <w:t xml:space="preserve">– </w:t>
      </w:r>
      <w:r w:rsidR="00661531">
        <w:t>p</w:t>
      </w:r>
      <w:r w:rsidR="00DD5924" w:rsidRPr="0061584B">
        <w:t>ercentage c</w:t>
      </w:r>
      <w:r w:rsidRPr="0061584B">
        <w:t xml:space="preserve">hanges compared </w:t>
      </w:r>
      <w:r w:rsidR="00661531">
        <w:t xml:space="preserve">with </w:t>
      </w:r>
      <w:r w:rsidRPr="0061584B">
        <w:t>the baseline scenario</w:t>
      </w:r>
      <w:r w:rsidR="003E352D">
        <w:t>,</w:t>
      </w:r>
      <w:r w:rsidRPr="0061584B">
        <w:t xml:space="preserve"> 2022</w:t>
      </w:r>
      <w:r w:rsidR="00951DC9" w:rsidRPr="0061584B">
        <w:t xml:space="preserve"> </w:t>
      </w:r>
      <w:r w:rsidR="00377CC4" w:rsidRPr="0061584B">
        <w:t xml:space="preserve"> </w:t>
      </w:r>
    </w:p>
    <w:p w:rsidR="00B07F6F" w:rsidRPr="00A677A3" w:rsidRDefault="001223A0" w:rsidP="00B07F6F">
      <w:pPr>
        <w:spacing w:line="360" w:lineRule="auto"/>
        <w:ind w:firstLine="0"/>
        <w:jc w:val="center"/>
      </w:pPr>
      <w:r w:rsidRPr="00A677A3">
        <w:pict>
          <v:shape id="_x0000_i1048" type="#_x0000_t75" style="width:6in;height:162pt">
            <v:imagedata r:id="rId30" o:title=""/>
          </v:shape>
        </w:pict>
      </w:r>
    </w:p>
    <w:p w:rsidR="009A4B0A" w:rsidRPr="009C49DE" w:rsidRDefault="009A4B0A" w:rsidP="006D5982">
      <w:pPr>
        <w:pStyle w:val="Source"/>
        <w:spacing w:line="360" w:lineRule="auto"/>
        <w:rPr>
          <w:sz w:val="20"/>
          <w:szCs w:val="20"/>
        </w:rPr>
      </w:pPr>
      <w:r w:rsidRPr="009C49DE">
        <w:rPr>
          <w:sz w:val="20"/>
          <w:szCs w:val="20"/>
        </w:rPr>
        <w:t>Source: Authors’ calculations based on MIRAGE model</w:t>
      </w:r>
      <w:r w:rsidR="00334680" w:rsidRPr="009C49DE">
        <w:rPr>
          <w:sz w:val="20"/>
          <w:szCs w:val="20"/>
        </w:rPr>
        <w:t>.</w:t>
      </w:r>
    </w:p>
    <w:p w:rsidR="00CA74C0" w:rsidRPr="0061584B" w:rsidRDefault="00CA74C0" w:rsidP="006D5982">
      <w:pPr>
        <w:spacing w:line="360" w:lineRule="auto"/>
      </w:pPr>
    </w:p>
    <w:p w:rsidR="001223A0" w:rsidRDefault="00AB7050" w:rsidP="001223A0">
      <w:pPr>
        <w:spacing w:line="360" w:lineRule="auto"/>
        <w:rPr>
          <w:sz w:val="22"/>
          <w:szCs w:val="22"/>
        </w:rPr>
      </w:pPr>
      <w:r w:rsidRPr="009C49DE">
        <w:rPr>
          <w:sz w:val="22"/>
          <w:szCs w:val="22"/>
        </w:rPr>
        <w:t xml:space="preserve">Therefore, </w:t>
      </w:r>
      <w:r w:rsidR="00C85811" w:rsidRPr="009C49DE">
        <w:rPr>
          <w:sz w:val="22"/>
          <w:szCs w:val="22"/>
        </w:rPr>
        <w:t xml:space="preserve">the </w:t>
      </w:r>
      <w:r w:rsidR="00264940" w:rsidRPr="009C49DE">
        <w:rPr>
          <w:sz w:val="22"/>
          <w:szCs w:val="22"/>
        </w:rPr>
        <w:t xml:space="preserve">inclusion of trade facilitation measures on top on FTA </w:t>
      </w:r>
      <w:r w:rsidR="00C85811" w:rsidRPr="009C49DE">
        <w:rPr>
          <w:sz w:val="22"/>
          <w:szCs w:val="22"/>
        </w:rPr>
        <w:t>reforms tend to favo</w:t>
      </w:r>
      <w:r w:rsidR="003E352D" w:rsidRPr="009C49DE">
        <w:rPr>
          <w:sz w:val="22"/>
          <w:szCs w:val="22"/>
        </w:rPr>
        <w:t>u</w:t>
      </w:r>
      <w:r w:rsidR="00C85811" w:rsidRPr="009C49DE">
        <w:rPr>
          <w:sz w:val="22"/>
          <w:szCs w:val="22"/>
        </w:rPr>
        <w:t xml:space="preserve">r </w:t>
      </w:r>
      <w:r w:rsidRPr="009C49DE">
        <w:rPr>
          <w:sz w:val="22"/>
          <w:szCs w:val="22"/>
        </w:rPr>
        <w:t xml:space="preserve">employment </w:t>
      </w:r>
      <w:r w:rsidR="00C85811" w:rsidRPr="009C49DE">
        <w:rPr>
          <w:sz w:val="22"/>
          <w:szCs w:val="22"/>
        </w:rPr>
        <w:t xml:space="preserve">and salaries for workers engaged </w:t>
      </w:r>
      <w:r w:rsidR="00FC1C0F" w:rsidRPr="009C49DE">
        <w:rPr>
          <w:sz w:val="22"/>
          <w:szCs w:val="22"/>
        </w:rPr>
        <w:t xml:space="preserve">in non-agricultural </w:t>
      </w:r>
      <w:r w:rsidR="00C85811" w:rsidRPr="009C49DE">
        <w:rPr>
          <w:sz w:val="22"/>
          <w:szCs w:val="22"/>
        </w:rPr>
        <w:t>activities in</w:t>
      </w:r>
      <w:r w:rsidR="00FC1C0F" w:rsidRPr="009C49DE">
        <w:rPr>
          <w:sz w:val="22"/>
          <w:szCs w:val="22"/>
        </w:rPr>
        <w:t xml:space="preserve"> respon</w:t>
      </w:r>
      <w:r w:rsidR="00C85811" w:rsidRPr="009C49DE">
        <w:rPr>
          <w:sz w:val="22"/>
          <w:szCs w:val="22"/>
        </w:rPr>
        <w:t>se</w:t>
      </w:r>
      <w:r w:rsidR="00FC1C0F" w:rsidRPr="009C49DE">
        <w:rPr>
          <w:sz w:val="22"/>
          <w:szCs w:val="22"/>
        </w:rPr>
        <w:t xml:space="preserve"> to </w:t>
      </w:r>
      <w:r w:rsidR="00B87722" w:rsidRPr="009C49DE">
        <w:rPr>
          <w:sz w:val="22"/>
          <w:szCs w:val="22"/>
        </w:rPr>
        <w:t xml:space="preserve">a </w:t>
      </w:r>
      <w:r w:rsidR="00EA1CFF" w:rsidRPr="009C49DE">
        <w:rPr>
          <w:sz w:val="22"/>
          <w:szCs w:val="22"/>
        </w:rPr>
        <w:t xml:space="preserve">relatively </w:t>
      </w:r>
      <w:r w:rsidR="003E352D" w:rsidRPr="009C49DE">
        <w:rPr>
          <w:sz w:val="22"/>
          <w:szCs w:val="22"/>
        </w:rPr>
        <w:t xml:space="preserve">greater </w:t>
      </w:r>
      <w:r w:rsidR="00EA1CFF" w:rsidRPr="009C49DE">
        <w:rPr>
          <w:sz w:val="22"/>
          <w:szCs w:val="22"/>
        </w:rPr>
        <w:t>increase in</w:t>
      </w:r>
      <w:r w:rsidR="00FC1C0F" w:rsidRPr="009C49DE">
        <w:rPr>
          <w:sz w:val="22"/>
          <w:szCs w:val="22"/>
        </w:rPr>
        <w:t xml:space="preserve"> demand </w:t>
      </w:r>
      <w:r w:rsidR="00C85811" w:rsidRPr="009C49DE">
        <w:rPr>
          <w:sz w:val="22"/>
          <w:szCs w:val="22"/>
        </w:rPr>
        <w:t xml:space="preserve">for industrial </w:t>
      </w:r>
      <w:r w:rsidR="00FC1C0F" w:rsidRPr="009C49DE">
        <w:rPr>
          <w:sz w:val="22"/>
          <w:szCs w:val="22"/>
        </w:rPr>
        <w:t>products within Africa</w:t>
      </w:r>
      <w:r w:rsidR="003E352D" w:rsidRPr="009C49DE">
        <w:rPr>
          <w:sz w:val="22"/>
          <w:szCs w:val="22"/>
        </w:rPr>
        <w:t>. Correspondingly</w:t>
      </w:r>
      <w:r w:rsidR="00FC1C0F" w:rsidRPr="009C49DE">
        <w:rPr>
          <w:sz w:val="22"/>
          <w:szCs w:val="22"/>
        </w:rPr>
        <w:t xml:space="preserve">, </w:t>
      </w:r>
      <w:r w:rsidR="00731884" w:rsidRPr="009C49DE">
        <w:rPr>
          <w:sz w:val="22"/>
          <w:szCs w:val="22"/>
        </w:rPr>
        <w:t xml:space="preserve">wages and </w:t>
      </w:r>
      <w:r w:rsidR="003E352D" w:rsidRPr="009C49DE">
        <w:rPr>
          <w:sz w:val="22"/>
          <w:szCs w:val="22"/>
        </w:rPr>
        <w:t>employment in the</w:t>
      </w:r>
      <w:r w:rsidR="00FC1C0F" w:rsidRPr="009C49DE">
        <w:rPr>
          <w:sz w:val="22"/>
          <w:szCs w:val="22"/>
        </w:rPr>
        <w:t xml:space="preserve"> agricultural sector</w:t>
      </w:r>
      <w:r w:rsidR="00B87722" w:rsidRPr="009C49DE">
        <w:rPr>
          <w:sz w:val="22"/>
          <w:szCs w:val="22"/>
        </w:rPr>
        <w:t xml:space="preserve"> </w:t>
      </w:r>
      <w:r w:rsidR="003E352D" w:rsidRPr="009C49DE">
        <w:rPr>
          <w:sz w:val="22"/>
          <w:szCs w:val="22"/>
        </w:rPr>
        <w:t>decline</w:t>
      </w:r>
      <w:r w:rsidR="00C85811" w:rsidRPr="009C49DE">
        <w:rPr>
          <w:sz w:val="22"/>
          <w:szCs w:val="22"/>
        </w:rPr>
        <w:t xml:space="preserve"> </w:t>
      </w:r>
      <w:r w:rsidR="004554CB" w:rsidRPr="009C49DE">
        <w:rPr>
          <w:sz w:val="22"/>
          <w:szCs w:val="22"/>
        </w:rPr>
        <w:t>(</w:t>
      </w:r>
      <w:r w:rsidR="00FB0D3B">
        <w:rPr>
          <w:sz w:val="22"/>
          <w:szCs w:val="22"/>
        </w:rPr>
        <w:t>table</w:t>
      </w:r>
      <w:r w:rsidR="00D342C2" w:rsidRPr="009C49DE">
        <w:rPr>
          <w:sz w:val="22"/>
          <w:szCs w:val="22"/>
        </w:rPr>
        <w:t>s</w:t>
      </w:r>
      <w:r w:rsidR="004554CB" w:rsidRPr="009C49DE">
        <w:rPr>
          <w:sz w:val="22"/>
          <w:szCs w:val="22"/>
        </w:rPr>
        <w:t xml:space="preserve"> </w:t>
      </w:r>
      <w:r w:rsidR="006436C9" w:rsidRPr="009C49DE">
        <w:rPr>
          <w:sz w:val="22"/>
          <w:szCs w:val="22"/>
        </w:rPr>
        <w:t>8.</w:t>
      </w:r>
      <w:r w:rsidR="004554CB" w:rsidRPr="009C49DE">
        <w:rPr>
          <w:sz w:val="22"/>
          <w:szCs w:val="22"/>
        </w:rPr>
        <w:t>22</w:t>
      </w:r>
      <w:r w:rsidR="00D342C2" w:rsidRPr="009C49DE">
        <w:rPr>
          <w:sz w:val="22"/>
          <w:szCs w:val="22"/>
        </w:rPr>
        <w:t xml:space="preserve"> and 8.23</w:t>
      </w:r>
      <w:r w:rsidR="00FC1C0F" w:rsidRPr="009C49DE">
        <w:rPr>
          <w:sz w:val="22"/>
          <w:szCs w:val="22"/>
        </w:rPr>
        <w:t>).</w:t>
      </w:r>
      <w:r w:rsidR="00117C36" w:rsidRPr="009C49DE">
        <w:rPr>
          <w:sz w:val="22"/>
          <w:szCs w:val="22"/>
        </w:rPr>
        <w:t xml:space="preserve"> </w:t>
      </w:r>
      <w:r w:rsidR="00697DAC" w:rsidRPr="009C49DE">
        <w:rPr>
          <w:sz w:val="22"/>
          <w:szCs w:val="22"/>
        </w:rPr>
        <w:t xml:space="preserve">If the model assumptions </w:t>
      </w:r>
      <w:r w:rsidR="003E352D" w:rsidRPr="009C49DE">
        <w:rPr>
          <w:sz w:val="22"/>
          <w:szCs w:val="22"/>
        </w:rPr>
        <w:t>were</w:t>
      </w:r>
      <w:r w:rsidR="00697DAC" w:rsidRPr="009C49DE">
        <w:rPr>
          <w:sz w:val="22"/>
          <w:szCs w:val="22"/>
        </w:rPr>
        <w:t xml:space="preserve"> changed to allow for unemployment, </w:t>
      </w:r>
      <w:r w:rsidR="00C85811" w:rsidRPr="009C49DE">
        <w:rPr>
          <w:sz w:val="22"/>
          <w:szCs w:val="22"/>
        </w:rPr>
        <w:t>it could be expect</w:t>
      </w:r>
      <w:r w:rsidR="003E352D" w:rsidRPr="009C49DE">
        <w:rPr>
          <w:sz w:val="22"/>
          <w:szCs w:val="22"/>
        </w:rPr>
        <w:t>ed</w:t>
      </w:r>
      <w:r w:rsidR="00C85811" w:rsidRPr="009C49DE">
        <w:rPr>
          <w:sz w:val="22"/>
          <w:szCs w:val="22"/>
        </w:rPr>
        <w:t xml:space="preserve"> that employment </w:t>
      </w:r>
      <w:r w:rsidR="003E352D" w:rsidRPr="009C49DE">
        <w:rPr>
          <w:sz w:val="22"/>
          <w:szCs w:val="22"/>
        </w:rPr>
        <w:t>would increase in</w:t>
      </w:r>
      <w:r w:rsidR="00C85811" w:rsidRPr="009C49DE">
        <w:rPr>
          <w:sz w:val="22"/>
          <w:szCs w:val="22"/>
        </w:rPr>
        <w:t xml:space="preserve"> both agriculture and industry</w:t>
      </w:r>
      <w:r w:rsidR="00697DAC" w:rsidRPr="009C49DE">
        <w:rPr>
          <w:sz w:val="22"/>
          <w:szCs w:val="22"/>
        </w:rPr>
        <w:t xml:space="preserve"> in </w:t>
      </w:r>
      <w:smartTag w:uri="urn:schemas-microsoft-com:office:smarttags" w:element="place">
        <w:r w:rsidR="00697DAC" w:rsidRPr="009C49DE">
          <w:rPr>
            <w:sz w:val="22"/>
            <w:szCs w:val="22"/>
          </w:rPr>
          <w:t>Africa</w:t>
        </w:r>
      </w:smartTag>
      <w:r w:rsidR="003E352D" w:rsidRPr="009C49DE">
        <w:rPr>
          <w:sz w:val="22"/>
          <w:szCs w:val="22"/>
        </w:rPr>
        <w:t xml:space="preserve">, </w:t>
      </w:r>
      <w:r w:rsidR="00AE130E" w:rsidRPr="009C49DE">
        <w:rPr>
          <w:sz w:val="22"/>
          <w:szCs w:val="22"/>
        </w:rPr>
        <w:t xml:space="preserve">considering the </w:t>
      </w:r>
      <w:r w:rsidR="003E352D" w:rsidRPr="009C49DE">
        <w:rPr>
          <w:sz w:val="22"/>
          <w:szCs w:val="22"/>
        </w:rPr>
        <w:t xml:space="preserve">large </w:t>
      </w:r>
      <w:r w:rsidR="00AE130E" w:rsidRPr="009C49DE">
        <w:rPr>
          <w:sz w:val="22"/>
          <w:szCs w:val="22"/>
        </w:rPr>
        <w:t>increased demand in all categories of products</w:t>
      </w:r>
      <w:r w:rsidR="00C85811" w:rsidRPr="009C49DE">
        <w:rPr>
          <w:sz w:val="22"/>
          <w:szCs w:val="22"/>
        </w:rPr>
        <w:t xml:space="preserve">. However, </w:t>
      </w:r>
      <w:r w:rsidR="003E352D" w:rsidRPr="009C49DE">
        <w:rPr>
          <w:sz w:val="22"/>
          <w:szCs w:val="22"/>
        </w:rPr>
        <w:t xml:space="preserve">given </w:t>
      </w:r>
      <w:r w:rsidR="00C85811" w:rsidRPr="009C49DE">
        <w:rPr>
          <w:sz w:val="22"/>
          <w:szCs w:val="22"/>
        </w:rPr>
        <w:t>the model</w:t>
      </w:r>
      <w:r w:rsidR="003E352D" w:rsidRPr="009C49DE">
        <w:rPr>
          <w:sz w:val="22"/>
          <w:szCs w:val="22"/>
        </w:rPr>
        <w:t>’s</w:t>
      </w:r>
      <w:r w:rsidR="00C85811" w:rsidRPr="009C49DE">
        <w:rPr>
          <w:sz w:val="22"/>
          <w:szCs w:val="22"/>
        </w:rPr>
        <w:t xml:space="preserve"> </w:t>
      </w:r>
      <w:r w:rsidR="003E352D" w:rsidRPr="009C49DE">
        <w:rPr>
          <w:sz w:val="22"/>
          <w:szCs w:val="22"/>
        </w:rPr>
        <w:t xml:space="preserve">assumption of </w:t>
      </w:r>
      <w:r w:rsidR="00C85811" w:rsidRPr="009C49DE">
        <w:rPr>
          <w:sz w:val="22"/>
          <w:szCs w:val="22"/>
        </w:rPr>
        <w:t xml:space="preserve">fixed employment </w:t>
      </w:r>
      <w:r w:rsidR="00FB39D4" w:rsidRPr="009C49DE">
        <w:rPr>
          <w:sz w:val="22"/>
          <w:szCs w:val="22"/>
        </w:rPr>
        <w:t xml:space="preserve">– </w:t>
      </w:r>
      <w:r w:rsidR="00C85811" w:rsidRPr="009C49DE">
        <w:rPr>
          <w:sz w:val="22"/>
          <w:szCs w:val="22"/>
        </w:rPr>
        <w:t>and because</w:t>
      </w:r>
      <w:r w:rsidR="00697DAC" w:rsidRPr="009C49DE">
        <w:rPr>
          <w:sz w:val="22"/>
          <w:szCs w:val="22"/>
        </w:rPr>
        <w:t xml:space="preserve"> the</w:t>
      </w:r>
      <w:r w:rsidR="00C85811" w:rsidRPr="009C49DE">
        <w:rPr>
          <w:sz w:val="22"/>
          <w:szCs w:val="22"/>
        </w:rPr>
        <w:t xml:space="preserve"> increase in industrial output strongly dominates </w:t>
      </w:r>
      <w:r w:rsidR="00697DAC" w:rsidRPr="009C49DE">
        <w:rPr>
          <w:sz w:val="22"/>
          <w:szCs w:val="22"/>
        </w:rPr>
        <w:t xml:space="preserve">the </w:t>
      </w:r>
      <w:r w:rsidR="00C85811" w:rsidRPr="009C49DE">
        <w:rPr>
          <w:sz w:val="22"/>
          <w:szCs w:val="22"/>
        </w:rPr>
        <w:t>increase in agricultural and food production (</w:t>
      </w:r>
      <w:r w:rsidR="00FB0D3B">
        <w:rPr>
          <w:sz w:val="22"/>
          <w:szCs w:val="22"/>
        </w:rPr>
        <w:t>table</w:t>
      </w:r>
      <w:r w:rsidR="00C85811" w:rsidRPr="009C49DE">
        <w:rPr>
          <w:sz w:val="22"/>
          <w:szCs w:val="22"/>
        </w:rPr>
        <w:t xml:space="preserve"> </w:t>
      </w:r>
      <w:r w:rsidR="006436C9" w:rsidRPr="009C49DE">
        <w:rPr>
          <w:sz w:val="22"/>
          <w:szCs w:val="22"/>
        </w:rPr>
        <w:t>8.</w:t>
      </w:r>
      <w:r w:rsidR="00C85811" w:rsidRPr="009C49DE">
        <w:rPr>
          <w:sz w:val="22"/>
          <w:szCs w:val="22"/>
        </w:rPr>
        <w:t>23)</w:t>
      </w:r>
      <w:r w:rsidR="00C81B45" w:rsidRPr="009C49DE">
        <w:rPr>
          <w:sz w:val="22"/>
          <w:szCs w:val="22"/>
        </w:rPr>
        <w:t xml:space="preserve"> – </w:t>
      </w:r>
      <w:r w:rsidR="00C85811" w:rsidRPr="009C49DE">
        <w:rPr>
          <w:sz w:val="22"/>
          <w:szCs w:val="22"/>
        </w:rPr>
        <w:t>employment of workers in agricultural and food activities slightly decreases</w:t>
      </w:r>
      <w:r w:rsidR="00697DAC" w:rsidRPr="009C49DE">
        <w:rPr>
          <w:sz w:val="22"/>
          <w:szCs w:val="22"/>
        </w:rPr>
        <w:t>.</w:t>
      </w:r>
      <w:r w:rsidR="00C85811" w:rsidRPr="009C49DE">
        <w:rPr>
          <w:sz w:val="22"/>
          <w:szCs w:val="22"/>
        </w:rPr>
        <w:t xml:space="preserve"> </w:t>
      </w:r>
      <w:r w:rsidR="00697DAC" w:rsidRPr="009C49DE">
        <w:rPr>
          <w:sz w:val="22"/>
          <w:szCs w:val="22"/>
        </w:rPr>
        <w:t>T</w:t>
      </w:r>
      <w:r w:rsidR="00C85811" w:rsidRPr="009C49DE">
        <w:rPr>
          <w:sz w:val="22"/>
          <w:szCs w:val="22"/>
        </w:rPr>
        <w:t xml:space="preserve">he </w:t>
      </w:r>
      <w:r w:rsidR="003E352D" w:rsidRPr="009C49DE">
        <w:rPr>
          <w:sz w:val="22"/>
          <w:szCs w:val="22"/>
        </w:rPr>
        <w:t xml:space="preserve">greater </w:t>
      </w:r>
      <w:r w:rsidR="00C85811" w:rsidRPr="009C49DE">
        <w:rPr>
          <w:sz w:val="22"/>
          <w:szCs w:val="22"/>
        </w:rPr>
        <w:t>the</w:t>
      </w:r>
      <w:r w:rsidR="00697DAC" w:rsidRPr="009C49DE">
        <w:rPr>
          <w:sz w:val="22"/>
          <w:szCs w:val="22"/>
        </w:rPr>
        <w:t xml:space="preserve"> </w:t>
      </w:r>
      <w:r w:rsidR="00C85811" w:rsidRPr="009C49DE">
        <w:rPr>
          <w:sz w:val="22"/>
          <w:szCs w:val="22"/>
        </w:rPr>
        <w:t xml:space="preserve">increase in industrial output </w:t>
      </w:r>
      <w:r w:rsidR="003E352D" w:rsidRPr="009C49DE">
        <w:rPr>
          <w:sz w:val="22"/>
          <w:szCs w:val="22"/>
        </w:rPr>
        <w:t>relative</w:t>
      </w:r>
      <w:r w:rsidR="00C85811" w:rsidRPr="009C49DE">
        <w:rPr>
          <w:sz w:val="22"/>
          <w:szCs w:val="22"/>
        </w:rPr>
        <w:t xml:space="preserve"> to the output </w:t>
      </w:r>
      <w:r w:rsidR="003E352D" w:rsidRPr="009C49DE">
        <w:rPr>
          <w:sz w:val="22"/>
          <w:szCs w:val="22"/>
        </w:rPr>
        <w:t xml:space="preserve">in </w:t>
      </w:r>
      <w:r w:rsidR="00C85811" w:rsidRPr="009C49DE">
        <w:rPr>
          <w:sz w:val="22"/>
          <w:szCs w:val="22"/>
        </w:rPr>
        <w:t xml:space="preserve">agriculture and food, the </w:t>
      </w:r>
      <w:r w:rsidR="003E352D" w:rsidRPr="009C49DE">
        <w:rPr>
          <w:sz w:val="22"/>
          <w:szCs w:val="22"/>
        </w:rPr>
        <w:t>greater</w:t>
      </w:r>
      <w:r w:rsidR="00697DAC" w:rsidRPr="009C49DE">
        <w:rPr>
          <w:sz w:val="22"/>
          <w:szCs w:val="22"/>
        </w:rPr>
        <w:t xml:space="preserve"> </w:t>
      </w:r>
      <w:r w:rsidR="00C85811" w:rsidRPr="009C49DE">
        <w:rPr>
          <w:sz w:val="22"/>
          <w:szCs w:val="22"/>
        </w:rPr>
        <w:t>the decrease in employment for workers in agricultural sectors.</w:t>
      </w:r>
    </w:p>
    <w:p w:rsidR="00CA74C0" w:rsidRDefault="009A4B0A" w:rsidP="006D5982">
      <w:pPr>
        <w:spacing w:line="360" w:lineRule="auto"/>
      </w:pPr>
      <w:r w:rsidRPr="001223A0">
        <w:rPr>
          <w:b/>
          <w:sz w:val="22"/>
          <w:szCs w:val="22"/>
        </w:rPr>
        <w:t xml:space="preserve">Table </w:t>
      </w:r>
      <w:r w:rsidR="006436C9" w:rsidRPr="001223A0">
        <w:rPr>
          <w:b/>
          <w:sz w:val="22"/>
          <w:szCs w:val="22"/>
        </w:rPr>
        <w:t>8.</w:t>
      </w:r>
      <w:r w:rsidRPr="001223A0">
        <w:rPr>
          <w:b/>
          <w:sz w:val="22"/>
          <w:szCs w:val="22"/>
        </w:rPr>
        <w:t>2</w:t>
      </w:r>
      <w:r w:rsidR="004554CB" w:rsidRPr="001223A0">
        <w:rPr>
          <w:b/>
          <w:sz w:val="22"/>
          <w:szCs w:val="22"/>
        </w:rPr>
        <w:t>2</w:t>
      </w:r>
      <w:r w:rsidRPr="001223A0">
        <w:rPr>
          <w:b/>
          <w:sz w:val="22"/>
          <w:szCs w:val="22"/>
        </w:rPr>
        <w:t xml:space="preserve">: </w:t>
      </w:r>
      <w:r w:rsidR="00EE7040" w:rsidRPr="001223A0">
        <w:rPr>
          <w:b/>
          <w:sz w:val="22"/>
          <w:szCs w:val="22"/>
        </w:rPr>
        <w:tab/>
      </w:r>
      <w:r w:rsidRPr="001223A0">
        <w:rPr>
          <w:b/>
          <w:sz w:val="22"/>
          <w:szCs w:val="22"/>
        </w:rPr>
        <w:t xml:space="preserve">Employment by main sectors of activity with and without adoption of trade facilitation measures </w:t>
      </w:r>
      <w:r w:rsidR="00BF53E0" w:rsidRPr="001223A0">
        <w:rPr>
          <w:b/>
          <w:sz w:val="22"/>
          <w:szCs w:val="22"/>
        </w:rPr>
        <w:t xml:space="preserve">on top of FTA reforms </w:t>
      </w:r>
      <w:r w:rsidRPr="001223A0">
        <w:rPr>
          <w:b/>
          <w:sz w:val="22"/>
          <w:szCs w:val="22"/>
        </w:rPr>
        <w:t xml:space="preserve">– </w:t>
      </w:r>
      <w:r w:rsidR="002F403F" w:rsidRPr="001223A0">
        <w:rPr>
          <w:b/>
          <w:sz w:val="22"/>
          <w:szCs w:val="22"/>
        </w:rPr>
        <w:t>p</w:t>
      </w:r>
      <w:r w:rsidR="00DD5924" w:rsidRPr="001223A0">
        <w:rPr>
          <w:b/>
          <w:sz w:val="22"/>
          <w:szCs w:val="22"/>
        </w:rPr>
        <w:t>ercentage c</w:t>
      </w:r>
      <w:r w:rsidRPr="001223A0">
        <w:rPr>
          <w:b/>
          <w:sz w:val="22"/>
          <w:szCs w:val="22"/>
        </w:rPr>
        <w:t xml:space="preserve">hanges compared </w:t>
      </w:r>
      <w:r w:rsidR="002F403F" w:rsidRPr="001223A0">
        <w:rPr>
          <w:b/>
          <w:sz w:val="22"/>
          <w:szCs w:val="22"/>
        </w:rPr>
        <w:t xml:space="preserve">with </w:t>
      </w:r>
      <w:r w:rsidRPr="001223A0">
        <w:rPr>
          <w:b/>
          <w:sz w:val="22"/>
          <w:szCs w:val="22"/>
        </w:rPr>
        <w:t>the baseline scenario</w:t>
      </w:r>
      <w:r w:rsidR="002F403F" w:rsidRPr="001223A0">
        <w:rPr>
          <w:b/>
          <w:sz w:val="22"/>
          <w:szCs w:val="22"/>
        </w:rPr>
        <w:t>,</w:t>
      </w:r>
      <w:r w:rsidRPr="001223A0">
        <w:rPr>
          <w:b/>
          <w:sz w:val="22"/>
          <w:szCs w:val="22"/>
        </w:rPr>
        <w:t xml:space="preserve"> 2022</w:t>
      </w:r>
    </w:p>
    <w:p w:rsidR="00BF53E0" w:rsidRPr="00A677A3" w:rsidRDefault="00A677A3" w:rsidP="00BF53E0">
      <w:pPr>
        <w:spacing w:line="360" w:lineRule="auto"/>
        <w:ind w:firstLine="0"/>
        <w:jc w:val="center"/>
      </w:pPr>
      <w:r w:rsidRPr="00A677A3">
        <w:pict>
          <v:shape id="_x0000_i1049" type="#_x0000_t75" style="width:385.5pt;height:147.75pt">
            <v:imagedata r:id="rId31" o:title=""/>
          </v:shape>
        </w:pict>
      </w:r>
    </w:p>
    <w:p w:rsidR="009A4B0A" w:rsidRPr="005B0816" w:rsidRDefault="009A4B0A" w:rsidP="006D5982">
      <w:pPr>
        <w:pStyle w:val="Source"/>
        <w:spacing w:line="360" w:lineRule="auto"/>
        <w:rPr>
          <w:sz w:val="20"/>
          <w:szCs w:val="20"/>
        </w:rPr>
      </w:pPr>
      <w:r w:rsidRPr="005B0816">
        <w:rPr>
          <w:sz w:val="20"/>
          <w:szCs w:val="20"/>
        </w:rPr>
        <w:t>Source: Authors’ calculations based on MIRAGE model</w:t>
      </w:r>
      <w:r w:rsidR="00334680" w:rsidRPr="005B0816">
        <w:rPr>
          <w:sz w:val="20"/>
          <w:szCs w:val="20"/>
        </w:rPr>
        <w:t>.</w:t>
      </w:r>
    </w:p>
    <w:p w:rsidR="00C85811" w:rsidRPr="005B0816" w:rsidRDefault="000208AB" w:rsidP="006D5982">
      <w:pPr>
        <w:spacing w:line="360" w:lineRule="auto"/>
        <w:rPr>
          <w:sz w:val="22"/>
          <w:szCs w:val="22"/>
        </w:rPr>
      </w:pPr>
      <w:r w:rsidRPr="005B0816">
        <w:rPr>
          <w:sz w:val="22"/>
          <w:szCs w:val="22"/>
        </w:rPr>
        <w:t>R</w:t>
      </w:r>
      <w:r w:rsidR="00C85811" w:rsidRPr="005B0816">
        <w:rPr>
          <w:sz w:val="22"/>
          <w:szCs w:val="22"/>
        </w:rPr>
        <w:t>esults at the county level are very heterogeneous and certainly more meani</w:t>
      </w:r>
      <w:r w:rsidR="006011C9" w:rsidRPr="005B0816">
        <w:rPr>
          <w:sz w:val="22"/>
          <w:szCs w:val="22"/>
        </w:rPr>
        <w:t>ngful (</w:t>
      </w:r>
      <w:r w:rsidR="00FB0D3B">
        <w:rPr>
          <w:sz w:val="22"/>
          <w:szCs w:val="22"/>
        </w:rPr>
        <w:t>annex</w:t>
      </w:r>
      <w:r w:rsidR="009D6DA5">
        <w:rPr>
          <w:sz w:val="22"/>
          <w:szCs w:val="22"/>
        </w:rPr>
        <w:t xml:space="preserve"> tables A</w:t>
      </w:r>
      <w:r w:rsidR="006436C9" w:rsidRPr="005B0816">
        <w:rPr>
          <w:sz w:val="22"/>
          <w:szCs w:val="22"/>
        </w:rPr>
        <w:t>8.</w:t>
      </w:r>
      <w:r w:rsidR="006011C9" w:rsidRPr="005B0816">
        <w:rPr>
          <w:sz w:val="22"/>
          <w:szCs w:val="22"/>
        </w:rPr>
        <w:t xml:space="preserve">11 and </w:t>
      </w:r>
      <w:r w:rsidR="009D6DA5">
        <w:rPr>
          <w:sz w:val="22"/>
          <w:szCs w:val="22"/>
        </w:rPr>
        <w:t>A</w:t>
      </w:r>
      <w:r w:rsidR="006436C9" w:rsidRPr="005B0816">
        <w:rPr>
          <w:sz w:val="22"/>
          <w:szCs w:val="22"/>
        </w:rPr>
        <w:t>8.</w:t>
      </w:r>
      <w:r w:rsidR="006011C9" w:rsidRPr="005B0816">
        <w:rPr>
          <w:sz w:val="22"/>
          <w:szCs w:val="22"/>
        </w:rPr>
        <w:t>12</w:t>
      </w:r>
      <w:r w:rsidR="00C85811" w:rsidRPr="005B0816">
        <w:rPr>
          <w:sz w:val="22"/>
          <w:szCs w:val="22"/>
        </w:rPr>
        <w:t xml:space="preserve">). Indeed, due to the introduction of the trade reforms, imports of agriculture and food products strongly increase, </w:t>
      </w:r>
      <w:r w:rsidRPr="005B0816">
        <w:rPr>
          <w:sz w:val="22"/>
          <w:szCs w:val="22"/>
        </w:rPr>
        <w:t xml:space="preserve">adversely </w:t>
      </w:r>
      <w:r w:rsidR="00C85811" w:rsidRPr="005B0816">
        <w:rPr>
          <w:sz w:val="22"/>
          <w:szCs w:val="22"/>
        </w:rPr>
        <w:t xml:space="preserve">affecting domestic production of these products in almost half of the African countries/regions </w:t>
      </w:r>
      <w:r w:rsidRPr="005B0816">
        <w:rPr>
          <w:sz w:val="22"/>
          <w:szCs w:val="22"/>
        </w:rPr>
        <w:t>considered in</w:t>
      </w:r>
      <w:r w:rsidR="00C85811" w:rsidRPr="005B0816">
        <w:rPr>
          <w:sz w:val="22"/>
          <w:szCs w:val="22"/>
        </w:rPr>
        <w:t xml:space="preserve"> the analysis</w:t>
      </w:r>
      <w:r w:rsidR="00C81B45" w:rsidRPr="005B0816">
        <w:rPr>
          <w:sz w:val="22"/>
          <w:szCs w:val="22"/>
        </w:rPr>
        <w:t>.</w:t>
      </w:r>
      <w:r w:rsidR="00C85811" w:rsidRPr="005B0816">
        <w:rPr>
          <w:sz w:val="22"/>
          <w:szCs w:val="22"/>
        </w:rPr>
        <w:t xml:space="preserve"> </w:t>
      </w:r>
      <w:r w:rsidRPr="005B0816">
        <w:rPr>
          <w:sz w:val="22"/>
          <w:szCs w:val="22"/>
        </w:rPr>
        <w:t>Where</w:t>
      </w:r>
      <w:r w:rsidR="00C85811" w:rsidRPr="005B0816">
        <w:rPr>
          <w:sz w:val="22"/>
          <w:szCs w:val="22"/>
        </w:rPr>
        <w:t xml:space="preserve"> imports increase more than exports</w:t>
      </w:r>
      <w:r w:rsidRPr="005B0816">
        <w:rPr>
          <w:sz w:val="22"/>
          <w:szCs w:val="22"/>
        </w:rPr>
        <w:t>, countries</w:t>
      </w:r>
      <w:r w:rsidR="00C85811" w:rsidRPr="005B0816">
        <w:rPr>
          <w:sz w:val="22"/>
          <w:szCs w:val="22"/>
        </w:rPr>
        <w:t xml:space="preserve"> register a decrease in production, and employment </w:t>
      </w:r>
      <w:r w:rsidRPr="005B0816">
        <w:rPr>
          <w:sz w:val="22"/>
          <w:szCs w:val="22"/>
        </w:rPr>
        <w:t>falls</w:t>
      </w:r>
      <w:r w:rsidR="00C85811" w:rsidRPr="005B0816">
        <w:rPr>
          <w:sz w:val="22"/>
          <w:szCs w:val="22"/>
        </w:rPr>
        <w:t xml:space="preserve">. In </w:t>
      </w:r>
      <w:r w:rsidRPr="005B0816">
        <w:rPr>
          <w:sz w:val="22"/>
          <w:szCs w:val="22"/>
        </w:rPr>
        <w:t xml:space="preserve">contrast, in </w:t>
      </w:r>
      <w:r w:rsidR="00C85811" w:rsidRPr="005B0816">
        <w:rPr>
          <w:sz w:val="22"/>
          <w:szCs w:val="22"/>
        </w:rPr>
        <w:t>the case of industrial products, production, employment</w:t>
      </w:r>
      <w:r w:rsidRPr="005B0816">
        <w:rPr>
          <w:sz w:val="22"/>
          <w:szCs w:val="22"/>
        </w:rPr>
        <w:t>,</w:t>
      </w:r>
      <w:r w:rsidR="00C85811" w:rsidRPr="005B0816">
        <w:rPr>
          <w:sz w:val="22"/>
          <w:szCs w:val="22"/>
        </w:rPr>
        <w:t xml:space="preserve"> and wages increase nearly everywhere, thanks to higher demand and stronger exports </w:t>
      </w:r>
      <w:r w:rsidRPr="005B0816">
        <w:rPr>
          <w:sz w:val="22"/>
          <w:szCs w:val="22"/>
        </w:rPr>
        <w:t>than</w:t>
      </w:r>
      <w:r w:rsidR="00C85811" w:rsidRPr="005B0816">
        <w:rPr>
          <w:sz w:val="22"/>
          <w:szCs w:val="22"/>
        </w:rPr>
        <w:t xml:space="preserve"> imports</w:t>
      </w:r>
      <w:r w:rsidR="006011C9" w:rsidRPr="005B0816">
        <w:rPr>
          <w:sz w:val="22"/>
          <w:szCs w:val="22"/>
        </w:rPr>
        <w:t xml:space="preserve"> (</w:t>
      </w:r>
      <w:r w:rsidR="00FB0D3B">
        <w:rPr>
          <w:sz w:val="22"/>
          <w:szCs w:val="22"/>
        </w:rPr>
        <w:t>annex</w:t>
      </w:r>
      <w:r w:rsidR="009D6DA5">
        <w:rPr>
          <w:sz w:val="22"/>
          <w:szCs w:val="22"/>
        </w:rPr>
        <w:t xml:space="preserve"> tables</w:t>
      </w:r>
      <w:r w:rsidR="006011C9" w:rsidRPr="005B0816">
        <w:rPr>
          <w:sz w:val="22"/>
          <w:szCs w:val="22"/>
        </w:rPr>
        <w:t xml:space="preserve"> </w:t>
      </w:r>
      <w:r w:rsidR="009D6DA5">
        <w:rPr>
          <w:sz w:val="22"/>
          <w:szCs w:val="22"/>
        </w:rPr>
        <w:t>A</w:t>
      </w:r>
      <w:r w:rsidR="006436C9" w:rsidRPr="005B0816">
        <w:rPr>
          <w:sz w:val="22"/>
          <w:szCs w:val="22"/>
        </w:rPr>
        <w:t>8.</w:t>
      </w:r>
      <w:r w:rsidR="006011C9" w:rsidRPr="005B0816">
        <w:rPr>
          <w:sz w:val="22"/>
          <w:szCs w:val="22"/>
        </w:rPr>
        <w:t xml:space="preserve">10, </w:t>
      </w:r>
      <w:r w:rsidR="009D6DA5">
        <w:rPr>
          <w:sz w:val="22"/>
          <w:szCs w:val="22"/>
        </w:rPr>
        <w:t>A</w:t>
      </w:r>
      <w:r w:rsidR="006436C9" w:rsidRPr="005B0816">
        <w:rPr>
          <w:sz w:val="22"/>
          <w:szCs w:val="22"/>
        </w:rPr>
        <w:t>8.</w:t>
      </w:r>
      <w:r w:rsidR="006011C9" w:rsidRPr="005B0816">
        <w:rPr>
          <w:sz w:val="22"/>
          <w:szCs w:val="22"/>
        </w:rPr>
        <w:t>11</w:t>
      </w:r>
      <w:r w:rsidR="008E578D" w:rsidRPr="005B0816">
        <w:rPr>
          <w:sz w:val="22"/>
          <w:szCs w:val="22"/>
        </w:rPr>
        <w:t>,</w:t>
      </w:r>
      <w:r w:rsidR="006011C9" w:rsidRPr="005B0816">
        <w:rPr>
          <w:sz w:val="22"/>
          <w:szCs w:val="22"/>
        </w:rPr>
        <w:t xml:space="preserve"> and </w:t>
      </w:r>
      <w:r w:rsidR="009D6DA5">
        <w:rPr>
          <w:sz w:val="22"/>
          <w:szCs w:val="22"/>
        </w:rPr>
        <w:t>A</w:t>
      </w:r>
      <w:r w:rsidR="006436C9" w:rsidRPr="005B0816">
        <w:rPr>
          <w:sz w:val="22"/>
          <w:szCs w:val="22"/>
        </w:rPr>
        <w:t>8.</w:t>
      </w:r>
      <w:r w:rsidR="006011C9" w:rsidRPr="005B0816">
        <w:rPr>
          <w:sz w:val="22"/>
          <w:szCs w:val="22"/>
        </w:rPr>
        <w:t>12</w:t>
      </w:r>
      <w:r w:rsidR="00C85811" w:rsidRPr="005B0816">
        <w:rPr>
          <w:sz w:val="22"/>
          <w:szCs w:val="22"/>
        </w:rPr>
        <w:t>).</w:t>
      </w:r>
    </w:p>
    <w:p w:rsidR="00776F22" w:rsidRPr="005B0816" w:rsidRDefault="000208AB" w:rsidP="006D5982">
      <w:pPr>
        <w:spacing w:line="360" w:lineRule="auto"/>
        <w:rPr>
          <w:sz w:val="22"/>
          <w:szCs w:val="22"/>
        </w:rPr>
      </w:pPr>
      <w:r w:rsidRPr="005B0816">
        <w:rPr>
          <w:sz w:val="22"/>
          <w:szCs w:val="22"/>
        </w:rPr>
        <w:t>Overall, however,</w:t>
      </w:r>
      <w:r w:rsidR="00C85811" w:rsidRPr="005B0816">
        <w:rPr>
          <w:sz w:val="22"/>
          <w:szCs w:val="22"/>
        </w:rPr>
        <w:t xml:space="preserve"> at the </w:t>
      </w:r>
      <w:r w:rsidR="006451B0" w:rsidRPr="005B0816">
        <w:rPr>
          <w:sz w:val="22"/>
          <w:szCs w:val="22"/>
        </w:rPr>
        <w:t>continental</w:t>
      </w:r>
      <w:r w:rsidR="00C85811" w:rsidRPr="005B0816">
        <w:rPr>
          <w:sz w:val="22"/>
          <w:szCs w:val="22"/>
        </w:rPr>
        <w:t xml:space="preserve"> level</w:t>
      </w:r>
      <w:r w:rsidR="00377CC4" w:rsidRPr="005B0816">
        <w:rPr>
          <w:sz w:val="22"/>
          <w:szCs w:val="22"/>
        </w:rPr>
        <w:t xml:space="preserve"> production </w:t>
      </w:r>
      <w:r w:rsidR="00C85811" w:rsidRPr="005B0816">
        <w:rPr>
          <w:sz w:val="22"/>
          <w:szCs w:val="22"/>
        </w:rPr>
        <w:t>of agricultural and food products as well as manufactured goods increase</w:t>
      </w:r>
      <w:r w:rsidRPr="005B0816">
        <w:rPr>
          <w:sz w:val="22"/>
          <w:szCs w:val="22"/>
        </w:rPr>
        <w:t>s</w:t>
      </w:r>
      <w:r w:rsidR="00C85811" w:rsidRPr="005B0816">
        <w:rPr>
          <w:sz w:val="22"/>
          <w:szCs w:val="22"/>
        </w:rPr>
        <w:t xml:space="preserve"> with the establishment of the reforms</w:t>
      </w:r>
      <w:r w:rsidRPr="005B0816">
        <w:rPr>
          <w:sz w:val="22"/>
          <w:szCs w:val="22"/>
        </w:rPr>
        <w:t>.</w:t>
      </w:r>
      <w:r w:rsidR="00C85811" w:rsidRPr="005B0816">
        <w:rPr>
          <w:sz w:val="22"/>
          <w:szCs w:val="22"/>
        </w:rPr>
        <w:t xml:space="preserve"> In other words, </w:t>
      </w:r>
      <w:smartTag w:uri="urn:schemas-microsoft-com:office:smarttags" w:element="place">
        <w:r w:rsidR="00C85811" w:rsidRPr="005B0816">
          <w:rPr>
            <w:sz w:val="22"/>
            <w:szCs w:val="22"/>
          </w:rPr>
          <w:t>Africa</w:t>
        </w:r>
      </w:smartTag>
      <w:r w:rsidR="00C85811" w:rsidRPr="005B0816">
        <w:rPr>
          <w:sz w:val="22"/>
          <w:szCs w:val="22"/>
        </w:rPr>
        <w:t xml:space="preserve"> as a whole would be better off if regional integration is deepened. </w:t>
      </w:r>
      <w:r w:rsidR="00787124" w:rsidRPr="005B0816">
        <w:rPr>
          <w:sz w:val="22"/>
          <w:szCs w:val="22"/>
        </w:rPr>
        <w:t xml:space="preserve">This is particularly true if trade facilitation measures are </w:t>
      </w:r>
      <w:r w:rsidR="00C85811" w:rsidRPr="005B0816">
        <w:rPr>
          <w:sz w:val="22"/>
          <w:szCs w:val="22"/>
        </w:rPr>
        <w:t>implemented</w:t>
      </w:r>
      <w:r w:rsidR="00787124" w:rsidRPr="005B0816">
        <w:rPr>
          <w:sz w:val="22"/>
          <w:szCs w:val="22"/>
        </w:rPr>
        <w:t xml:space="preserve"> along with </w:t>
      </w:r>
      <w:r w:rsidR="006539F8" w:rsidRPr="005B0816">
        <w:rPr>
          <w:sz w:val="22"/>
          <w:szCs w:val="22"/>
        </w:rPr>
        <w:t>the reduction/removal of tariff barriers on goods</w:t>
      </w:r>
      <w:r w:rsidR="00C85811" w:rsidRPr="005B0816">
        <w:rPr>
          <w:sz w:val="22"/>
          <w:szCs w:val="22"/>
        </w:rPr>
        <w:t xml:space="preserve"> (</w:t>
      </w:r>
      <w:r w:rsidR="00FB0D3B">
        <w:rPr>
          <w:sz w:val="22"/>
          <w:szCs w:val="22"/>
        </w:rPr>
        <w:t>table</w:t>
      </w:r>
      <w:r w:rsidR="00C85811" w:rsidRPr="005B0816">
        <w:rPr>
          <w:sz w:val="22"/>
          <w:szCs w:val="22"/>
        </w:rPr>
        <w:t xml:space="preserve"> </w:t>
      </w:r>
      <w:r w:rsidR="006436C9" w:rsidRPr="005B0816">
        <w:rPr>
          <w:sz w:val="22"/>
          <w:szCs w:val="22"/>
        </w:rPr>
        <w:t>8.</w:t>
      </w:r>
      <w:r w:rsidR="00C85811" w:rsidRPr="005B0816">
        <w:rPr>
          <w:sz w:val="22"/>
          <w:szCs w:val="22"/>
        </w:rPr>
        <w:t>23).</w:t>
      </w:r>
    </w:p>
    <w:p w:rsidR="000D60C3" w:rsidRPr="001C49FE" w:rsidRDefault="000D60C3" w:rsidP="005B0816">
      <w:pPr>
        <w:pStyle w:val="Tableheading"/>
        <w:ind w:left="1440" w:hanging="1440"/>
      </w:pPr>
      <w:r w:rsidRPr="001C49FE">
        <w:t xml:space="preserve">Table </w:t>
      </w:r>
      <w:r w:rsidR="006436C9" w:rsidRPr="001C49FE">
        <w:t>8.</w:t>
      </w:r>
      <w:r w:rsidRPr="001C49FE">
        <w:t>23:</w:t>
      </w:r>
      <w:r w:rsidR="00EE7040" w:rsidRPr="001C49FE">
        <w:tab/>
      </w:r>
      <w:r w:rsidRPr="001C49FE">
        <w:t xml:space="preserve">Output by main sectors with and without adoption of trade facilitation measures – </w:t>
      </w:r>
      <w:r w:rsidR="002F403F" w:rsidRPr="001C49FE">
        <w:t>p</w:t>
      </w:r>
      <w:r w:rsidRPr="001C49FE">
        <w:t xml:space="preserve">ercentage changes compared </w:t>
      </w:r>
      <w:r w:rsidR="002F403F" w:rsidRPr="001C49FE">
        <w:t xml:space="preserve">with </w:t>
      </w:r>
      <w:r w:rsidRPr="001C49FE">
        <w:t>the baseline scenario</w:t>
      </w:r>
      <w:r w:rsidR="002F403F" w:rsidRPr="001C49FE">
        <w:t>,</w:t>
      </w:r>
      <w:r w:rsidRPr="001C49FE">
        <w:t xml:space="preserve"> 2022 </w:t>
      </w:r>
    </w:p>
    <w:p w:rsidR="00377CC4" w:rsidRDefault="00377CC4" w:rsidP="006D5982">
      <w:pPr>
        <w:spacing w:line="360" w:lineRule="auto"/>
      </w:pPr>
    </w:p>
    <w:p w:rsidR="00BF53E0" w:rsidRPr="00A677A3" w:rsidRDefault="00A677A3" w:rsidP="00BF53E0">
      <w:pPr>
        <w:spacing w:line="360" w:lineRule="auto"/>
        <w:ind w:firstLine="0"/>
        <w:jc w:val="center"/>
      </w:pPr>
      <w:r w:rsidRPr="00A677A3">
        <w:pict>
          <v:shape id="_x0000_i1050" type="#_x0000_t75" style="width:431.25pt;height:81pt">
            <v:imagedata r:id="rId32" o:title=""/>
          </v:shape>
        </w:pict>
      </w:r>
    </w:p>
    <w:p w:rsidR="000D60C3" w:rsidRPr="005B0816" w:rsidRDefault="000D60C3" w:rsidP="006D5982">
      <w:pPr>
        <w:pStyle w:val="Source"/>
        <w:spacing w:line="360" w:lineRule="auto"/>
        <w:rPr>
          <w:sz w:val="20"/>
          <w:szCs w:val="20"/>
        </w:rPr>
      </w:pPr>
      <w:r w:rsidRPr="005B0816">
        <w:rPr>
          <w:sz w:val="20"/>
          <w:szCs w:val="20"/>
        </w:rPr>
        <w:t>Source: Authors’ calculations based on MIRAGE model</w:t>
      </w:r>
      <w:r w:rsidR="00334680" w:rsidRPr="005B0816">
        <w:rPr>
          <w:sz w:val="20"/>
          <w:szCs w:val="20"/>
        </w:rPr>
        <w:t>.</w:t>
      </w:r>
    </w:p>
    <w:p w:rsidR="00C75511" w:rsidRPr="0061584B" w:rsidRDefault="00820A4C" w:rsidP="006D5982">
      <w:pPr>
        <w:pStyle w:val="Heading1"/>
        <w:spacing w:line="360" w:lineRule="auto"/>
      </w:pPr>
      <w:r w:rsidRPr="0061584B">
        <w:t>8.5</w:t>
      </w:r>
      <w:r w:rsidRPr="0061584B">
        <w:tab/>
      </w:r>
      <w:r w:rsidR="00C75511" w:rsidRPr="0061584B">
        <w:t>Conclusion</w:t>
      </w:r>
      <w:r w:rsidR="00000400" w:rsidRPr="0061584B">
        <w:t>s and policy recommendations</w:t>
      </w:r>
    </w:p>
    <w:p w:rsidR="00FC1C0F" w:rsidRPr="005B0816" w:rsidRDefault="00E61B0C" w:rsidP="006D5982">
      <w:pPr>
        <w:spacing w:line="360" w:lineRule="auto"/>
        <w:rPr>
          <w:sz w:val="22"/>
          <w:szCs w:val="22"/>
        </w:rPr>
      </w:pPr>
      <w:r w:rsidRPr="005B0816">
        <w:rPr>
          <w:sz w:val="22"/>
          <w:szCs w:val="22"/>
        </w:rPr>
        <w:t>African m</w:t>
      </w:r>
      <w:r w:rsidR="000F53AB" w:rsidRPr="005B0816">
        <w:rPr>
          <w:sz w:val="22"/>
          <w:szCs w:val="22"/>
        </w:rPr>
        <w:t xml:space="preserve">inisters of </w:t>
      </w:r>
      <w:r w:rsidR="00D67FDF" w:rsidRPr="005B0816">
        <w:rPr>
          <w:sz w:val="22"/>
          <w:szCs w:val="22"/>
        </w:rPr>
        <w:t>t</w:t>
      </w:r>
      <w:r w:rsidR="000F53AB" w:rsidRPr="005B0816">
        <w:rPr>
          <w:sz w:val="22"/>
          <w:szCs w:val="22"/>
        </w:rPr>
        <w:t xml:space="preserve">rade </w:t>
      </w:r>
      <w:r w:rsidR="006451B0" w:rsidRPr="005B0816">
        <w:rPr>
          <w:sz w:val="22"/>
          <w:szCs w:val="22"/>
        </w:rPr>
        <w:t xml:space="preserve">recommended </w:t>
      </w:r>
      <w:r w:rsidR="000F53AB" w:rsidRPr="005B0816">
        <w:rPr>
          <w:sz w:val="22"/>
          <w:szCs w:val="22"/>
        </w:rPr>
        <w:t>in November 2010</w:t>
      </w:r>
      <w:r w:rsidR="00AB101C" w:rsidRPr="005B0816">
        <w:rPr>
          <w:sz w:val="22"/>
          <w:szCs w:val="22"/>
        </w:rPr>
        <w:t>,</w:t>
      </w:r>
      <w:r w:rsidR="000F53AB" w:rsidRPr="005B0816">
        <w:rPr>
          <w:sz w:val="22"/>
          <w:szCs w:val="22"/>
        </w:rPr>
        <w:t xml:space="preserve"> in </w:t>
      </w:r>
      <w:smartTag w:uri="urn:schemas-microsoft-com:office:smarttags" w:element="City">
        <w:r w:rsidR="000F53AB" w:rsidRPr="005B0816">
          <w:rPr>
            <w:sz w:val="22"/>
            <w:szCs w:val="22"/>
          </w:rPr>
          <w:t>Kigali</w:t>
        </w:r>
      </w:smartTag>
      <w:r w:rsidR="00350CD2" w:rsidRPr="005B0816">
        <w:rPr>
          <w:sz w:val="22"/>
          <w:szCs w:val="22"/>
        </w:rPr>
        <w:t>,</w:t>
      </w:r>
      <w:r w:rsidR="00573B29" w:rsidRPr="005B0816">
        <w:rPr>
          <w:sz w:val="22"/>
          <w:szCs w:val="22"/>
        </w:rPr>
        <w:t xml:space="preserve"> that </w:t>
      </w:r>
      <w:smartTag w:uri="urn:schemas-microsoft-com:office:smarttags" w:element="place">
        <w:r w:rsidR="00573B29" w:rsidRPr="005B0816">
          <w:rPr>
            <w:sz w:val="22"/>
            <w:szCs w:val="22"/>
          </w:rPr>
          <w:t>Africa</w:t>
        </w:r>
      </w:smartTag>
      <w:r w:rsidR="00573B29" w:rsidRPr="005B0816">
        <w:rPr>
          <w:sz w:val="22"/>
          <w:szCs w:val="22"/>
        </w:rPr>
        <w:t xml:space="preserve"> should fast-track its regional integration process. This </w:t>
      </w:r>
      <w:r w:rsidR="0046379D" w:rsidRPr="005B0816">
        <w:rPr>
          <w:sz w:val="22"/>
          <w:szCs w:val="22"/>
        </w:rPr>
        <w:t xml:space="preserve">political will </w:t>
      </w:r>
      <w:r w:rsidR="00573B29" w:rsidRPr="005B0816">
        <w:rPr>
          <w:sz w:val="22"/>
          <w:szCs w:val="22"/>
        </w:rPr>
        <w:t>was</w:t>
      </w:r>
      <w:r w:rsidR="000F53AB" w:rsidRPr="005B0816">
        <w:rPr>
          <w:sz w:val="22"/>
          <w:szCs w:val="22"/>
        </w:rPr>
        <w:t xml:space="preserve"> </w:t>
      </w:r>
      <w:r w:rsidR="0046379D" w:rsidRPr="005B0816">
        <w:rPr>
          <w:sz w:val="22"/>
          <w:szCs w:val="22"/>
        </w:rPr>
        <w:t>reaffirmed</w:t>
      </w:r>
      <w:r w:rsidR="00F86A13" w:rsidRPr="005B0816">
        <w:rPr>
          <w:sz w:val="22"/>
          <w:szCs w:val="22"/>
        </w:rPr>
        <w:t xml:space="preserve"> </w:t>
      </w:r>
      <w:r w:rsidRPr="005B0816">
        <w:rPr>
          <w:sz w:val="22"/>
          <w:szCs w:val="22"/>
        </w:rPr>
        <w:t>during the 18</w:t>
      </w:r>
      <w:r w:rsidRPr="005B0816">
        <w:rPr>
          <w:sz w:val="22"/>
          <w:szCs w:val="22"/>
          <w:vertAlign w:val="superscript"/>
        </w:rPr>
        <w:t>th</w:t>
      </w:r>
      <w:r w:rsidRPr="005B0816">
        <w:rPr>
          <w:sz w:val="22"/>
          <w:szCs w:val="22"/>
        </w:rPr>
        <w:t xml:space="preserve"> African Union Summit held in Addis Ababa in January 2012</w:t>
      </w:r>
      <w:r w:rsidR="004A76F8">
        <w:rPr>
          <w:sz w:val="22"/>
          <w:szCs w:val="22"/>
        </w:rPr>
        <w:t>,</w:t>
      </w:r>
      <w:r w:rsidRPr="005B0816">
        <w:rPr>
          <w:sz w:val="22"/>
          <w:szCs w:val="22"/>
        </w:rPr>
        <w:t xml:space="preserve"> as </w:t>
      </w:r>
      <w:r w:rsidR="00C21BBE" w:rsidRPr="005B0816">
        <w:rPr>
          <w:sz w:val="22"/>
          <w:szCs w:val="22"/>
        </w:rPr>
        <w:t xml:space="preserve">African </w:t>
      </w:r>
      <w:r w:rsidR="004A76F8">
        <w:rPr>
          <w:sz w:val="22"/>
          <w:szCs w:val="22"/>
        </w:rPr>
        <w:t>h</w:t>
      </w:r>
      <w:r w:rsidR="00C21BBE" w:rsidRPr="005B0816">
        <w:rPr>
          <w:sz w:val="22"/>
          <w:szCs w:val="22"/>
        </w:rPr>
        <w:t xml:space="preserve">eads of </w:t>
      </w:r>
      <w:r w:rsidR="004A76F8">
        <w:rPr>
          <w:sz w:val="22"/>
          <w:szCs w:val="22"/>
        </w:rPr>
        <w:t>s</w:t>
      </w:r>
      <w:r w:rsidR="00C21BBE" w:rsidRPr="005B0816">
        <w:rPr>
          <w:sz w:val="22"/>
          <w:szCs w:val="22"/>
        </w:rPr>
        <w:t>tate</w:t>
      </w:r>
      <w:r w:rsidR="001371E0" w:rsidRPr="005B0816">
        <w:rPr>
          <w:sz w:val="22"/>
          <w:szCs w:val="22"/>
        </w:rPr>
        <w:t xml:space="preserve"> </w:t>
      </w:r>
      <w:r w:rsidRPr="005B0816">
        <w:rPr>
          <w:sz w:val="22"/>
          <w:szCs w:val="22"/>
        </w:rPr>
        <w:t xml:space="preserve">and </w:t>
      </w:r>
      <w:r w:rsidR="004A76F8">
        <w:rPr>
          <w:sz w:val="22"/>
          <w:szCs w:val="22"/>
        </w:rPr>
        <w:t>g</w:t>
      </w:r>
      <w:r w:rsidRPr="005B0816">
        <w:rPr>
          <w:sz w:val="22"/>
          <w:szCs w:val="22"/>
        </w:rPr>
        <w:t>overnment endorsed an action plan for “boosting intra-African trade and the establishment of the continental free trade area”</w:t>
      </w:r>
      <w:r w:rsidR="004A76F8">
        <w:rPr>
          <w:sz w:val="22"/>
          <w:szCs w:val="22"/>
        </w:rPr>
        <w:t>,</w:t>
      </w:r>
      <w:r w:rsidRPr="005B0816">
        <w:rPr>
          <w:sz w:val="22"/>
          <w:szCs w:val="22"/>
        </w:rPr>
        <w:t xml:space="preserve"> with 2017 set as the tentative date for the creation of the CFTA</w:t>
      </w:r>
      <w:r w:rsidR="00573B29" w:rsidRPr="005B0816">
        <w:rPr>
          <w:sz w:val="22"/>
          <w:szCs w:val="22"/>
        </w:rPr>
        <w:t xml:space="preserve">. </w:t>
      </w:r>
    </w:p>
    <w:p w:rsidR="008979C0" w:rsidRPr="005B0816" w:rsidRDefault="00875C22" w:rsidP="006D5982">
      <w:pPr>
        <w:spacing w:line="360" w:lineRule="auto"/>
        <w:rPr>
          <w:sz w:val="22"/>
          <w:szCs w:val="22"/>
        </w:rPr>
      </w:pPr>
      <w:r w:rsidRPr="005B0816">
        <w:rPr>
          <w:sz w:val="22"/>
          <w:szCs w:val="22"/>
        </w:rPr>
        <w:t xml:space="preserve">The foregoing </w:t>
      </w:r>
      <w:r w:rsidR="008979C0" w:rsidRPr="005B0816">
        <w:rPr>
          <w:sz w:val="22"/>
          <w:szCs w:val="22"/>
        </w:rPr>
        <w:t>analysis</w:t>
      </w:r>
      <w:r w:rsidRPr="005B0816">
        <w:rPr>
          <w:sz w:val="22"/>
          <w:szCs w:val="22"/>
        </w:rPr>
        <w:t>,</w:t>
      </w:r>
      <w:r w:rsidR="008979C0" w:rsidRPr="005B0816">
        <w:rPr>
          <w:sz w:val="22"/>
          <w:szCs w:val="22"/>
        </w:rPr>
        <w:t xml:space="preserve"> using a computable general equilibrium model</w:t>
      </w:r>
      <w:r w:rsidRPr="005B0816">
        <w:rPr>
          <w:sz w:val="22"/>
          <w:szCs w:val="22"/>
        </w:rPr>
        <w:t>,</w:t>
      </w:r>
      <w:r w:rsidR="008979C0" w:rsidRPr="005B0816">
        <w:rPr>
          <w:sz w:val="22"/>
          <w:szCs w:val="22"/>
        </w:rPr>
        <w:t xml:space="preserve"> shows that such</w:t>
      </w:r>
      <w:r w:rsidRPr="005B0816">
        <w:rPr>
          <w:sz w:val="22"/>
          <w:szCs w:val="22"/>
        </w:rPr>
        <w:t xml:space="preserve"> </w:t>
      </w:r>
      <w:r w:rsidR="008979C0" w:rsidRPr="005B0816">
        <w:rPr>
          <w:sz w:val="22"/>
          <w:szCs w:val="22"/>
        </w:rPr>
        <w:t xml:space="preserve">trade reform would </w:t>
      </w:r>
      <w:r w:rsidR="00061673" w:rsidRPr="005B0816">
        <w:rPr>
          <w:sz w:val="22"/>
          <w:szCs w:val="22"/>
        </w:rPr>
        <w:t>benefit</w:t>
      </w:r>
      <w:r w:rsidR="008979C0" w:rsidRPr="005B0816">
        <w:rPr>
          <w:sz w:val="22"/>
          <w:szCs w:val="22"/>
        </w:rPr>
        <w:t xml:space="preserve"> </w:t>
      </w:r>
      <w:smartTag w:uri="urn:schemas-microsoft-com:office:smarttags" w:element="place">
        <w:r w:rsidR="008979C0" w:rsidRPr="005B0816">
          <w:rPr>
            <w:sz w:val="22"/>
            <w:szCs w:val="22"/>
          </w:rPr>
          <w:t>Africa</w:t>
        </w:r>
      </w:smartTag>
      <w:r w:rsidR="008979C0" w:rsidRPr="005B0816">
        <w:rPr>
          <w:sz w:val="22"/>
          <w:szCs w:val="22"/>
        </w:rPr>
        <w:t xml:space="preserve"> as a whole. </w:t>
      </w:r>
      <w:r w:rsidR="00CB10DE" w:rsidRPr="005B0816">
        <w:rPr>
          <w:sz w:val="22"/>
          <w:szCs w:val="22"/>
        </w:rPr>
        <w:t>T</w:t>
      </w:r>
      <w:r w:rsidRPr="005B0816">
        <w:rPr>
          <w:sz w:val="22"/>
          <w:szCs w:val="22"/>
        </w:rPr>
        <w:t xml:space="preserve">he </w:t>
      </w:r>
      <w:r w:rsidR="00350CD2" w:rsidRPr="005B0816">
        <w:rPr>
          <w:sz w:val="22"/>
          <w:szCs w:val="22"/>
        </w:rPr>
        <w:t>results indicate that</w:t>
      </w:r>
      <w:r w:rsidR="001371E0" w:rsidRPr="005B0816">
        <w:rPr>
          <w:sz w:val="22"/>
          <w:szCs w:val="22"/>
        </w:rPr>
        <w:t xml:space="preserve">, for </w:t>
      </w:r>
      <w:smartTag w:uri="urn:schemas-microsoft-com:office:smarttags" w:element="place">
        <w:r w:rsidR="001371E0" w:rsidRPr="005B0816">
          <w:rPr>
            <w:sz w:val="22"/>
            <w:szCs w:val="22"/>
          </w:rPr>
          <w:t>Africa</w:t>
        </w:r>
      </w:smartTag>
      <w:r w:rsidR="00061673" w:rsidRPr="005B0816">
        <w:rPr>
          <w:sz w:val="22"/>
          <w:szCs w:val="22"/>
        </w:rPr>
        <w:t xml:space="preserve"> as a whole</w:t>
      </w:r>
      <w:r w:rsidR="001371E0" w:rsidRPr="005B0816">
        <w:rPr>
          <w:sz w:val="22"/>
          <w:szCs w:val="22"/>
        </w:rPr>
        <w:t>,</w:t>
      </w:r>
      <w:r w:rsidR="00350CD2" w:rsidRPr="005B0816">
        <w:rPr>
          <w:sz w:val="22"/>
          <w:szCs w:val="22"/>
        </w:rPr>
        <w:t xml:space="preserve"> </w:t>
      </w:r>
      <w:r w:rsidR="008979C0" w:rsidRPr="005B0816">
        <w:rPr>
          <w:sz w:val="22"/>
          <w:szCs w:val="22"/>
        </w:rPr>
        <w:t xml:space="preserve">the establishment of </w:t>
      </w:r>
      <w:r w:rsidR="00061673" w:rsidRPr="005B0816">
        <w:rPr>
          <w:sz w:val="22"/>
          <w:szCs w:val="22"/>
        </w:rPr>
        <w:t>r</w:t>
      </w:r>
      <w:r w:rsidR="008979C0" w:rsidRPr="005B0816">
        <w:rPr>
          <w:sz w:val="22"/>
          <w:szCs w:val="22"/>
        </w:rPr>
        <w:t xml:space="preserve">egional FTAs would </w:t>
      </w:r>
      <w:r w:rsidR="00350CD2" w:rsidRPr="005B0816">
        <w:rPr>
          <w:sz w:val="22"/>
          <w:szCs w:val="22"/>
        </w:rPr>
        <w:t>increase</w:t>
      </w:r>
      <w:r w:rsidR="008979C0" w:rsidRPr="005B0816">
        <w:rPr>
          <w:sz w:val="22"/>
          <w:szCs w:val="22"/>
        </w:rPr>
        <w:t xml:space="preserve"> </w:t>
      </w:r>
      <w:r w:rsidR="001371E0" w:rsidRPr="005B0816">
        <w:rPr>
          <w:sz w:val="22"/>
          <w:szCs w:val="22"/>
        </w:rPr>
        <w:t xml:space="preserve">continental </w:t>
      </w:r>
      <w:r w:rsidR="008979C0" w:rsidRPr="005B0816">
        <w:rPr>
          <w:sz w:val="22"/>
          <w:szCs w:val="22"/>
        </w:rPr>
        <w:t>exports, real income</w:t>
      </w:r>
      <w:r w:rsidR="00061673" w:rsidRPr="005B0816">
        <w:rPr>
          <w:sz w:val="22"/>
          <w:szCs w:val="22"/>
        </w:rPr>
        <w:t xml:space="preserve">, and </w:t>
      </w:r>
      <w:r w:rsidR="008979C0" w:rsidRPr="005B0816">
        <w:rPr>
          <w:sz w:val="22"/>
          <w:szCs w:val="22"/>
        </w:rPr>
        <w:t xml:space="preserve">real wages </w:t>
      </w:r>
      <w:r w:rsidR="00A56685" w:rsidRPr="005B0816">
        <w:rPr>
          <w:sz w:val="22"/>
          <w:szCs w:val="22"/>
        </w:rPr>
        <w:t>for</w:t>
      </w:r>
      <w:r w:rsidR="008979C0" w:rsidRPr="005B0816">
        <w:rPr>
          <w:sz w:val="22"/>
          <w:szCs w:val="22"/>
        </w:rPr>
        <w:t xml:space="preserve"> all categories of workers</w:t>
      </w:r>
      <w:r w:rsidR="00742DE5" w:rsidRPr="005B0816">
        <w:rPr>
          <w:sz w:val="22"/>
          <w:szCs w:val="22"/>
        </w:rPr>
        <w:t xml:space="preserve">, </w:t>
      </w:r>
      <w:r w:rsidR="00061673" w:rsidRPr="005B0816">
        <w:rPr>
          <w:sz w:val="22"/>
          <w:szCs w:val="22"/>
        </w:rPr>
        <w:t>al</w:t>
      </w:r>
      <w:r w:rsidR="00742DE5" w:rsidRPr="005B0816">
        <w:rPr>
          <w:sz w:val="22"/>
          <w:szCs w:val="22"/>
        </w:rPr>
        <w:t xml:space="preserve">though </w:t>
      </w:r>
      <w:r w:rsidR="00061673" w:rsidRPr="005B0816">
        <w:rPr>
          <w:sz w:val="22"/>
          <w:szCs w:val="22"/>
        </w:rPr>
        <w:t xml:space="preserve">the </w:t>
      </w:r>
      <w:r w:rsidR="00742DE5" w:rsidRPr="005B0816">
        <w:rPr>
          <w:sz w:val="22"/>
          <w:szCs w:val="22"/>
        </w:rPr>
        <w:t xml:space="preserve">estimated changes are </w:t>
      </w:r>
      <w:r w:rsidR="003C1D15" w:rsidRPr="005B0816">
        <w:rPr>
          <w:sz w:val="22"/>
          <w:szCs w:val="22"/>
        </w:rPr>
        <w:t>small</w:t>
      </w:r>
      <w:r w:rsidR="00742DE5" w:rsidRPr="005B0816">
        <w:rPr>
          <w:sz w:val="22"/>
          <w:szCs w:val="22"/>
        </w:rPr>
        <w:t>. T</w:t>
      </w:r>
      <w:r w:rsidR="008979C0" w:rsidRPr="005B0816">
        <w:rPr>
          <w:sz w:val="22"/>
          <w:szCs w:val="22"/>
        </w:rPr>
        <w:t xml:space="preserve">he formation of a larger </w:t>
      </w:r>
      <w:r w:rsidRPr="005B0816">
        <w:rPr>
          <w:sz w:val="22"/>
          <w:szCs w:val="22"/>
        </w:rPr>
        <w:t xml:space="preserve">FTA </w:t>
      </w:r>
      <w:r w:rsidR="008979C0" w:rsidRPr="005B0816">
        <w:rPr>
          <w:sz w:val="22"/>
          <w:szCs w:val="22"/>
        </w:rPr>
        <w:t>at the continent</w:t>
      </w:r>
      <w:r w:rsidRPr="005B0816">
        <w:rPr>
          <w:sz w:val="22"/>
          <w:szCs w:val="22"/>
        </w:rPr>
        <w:t>al level</w:t>
      </w:r>
      <w:r w:rsidR="008979C0" w:rsidRPr="005B0816">
        <w:rPr>
          <w:sz w:val="22"/>
          <w:szCs w:val="22"/>
        </w:rPr>
        <w:t xml:space="preserve"> would amplify the</w:t>
      </w:r>
      <w:r w:rsidR="00061673" w:rsidRPr="005B0816">
        <w:rPr>
          <w:sz w:val="22"/>
          <w:szCs w:val="22"/>
        </w:rPr>
        <w:t>se</w:t>
      </w:r>
      <w:r w:rsidR="00294076" w:rsidRPr="005B0816">
        <w:rPr>
          <w:sz w:val="22"/>
          <w:szCs w:val="22"/>
        </w:rPr>
        <w:t xml:space="preserve"> </w:t>
      </w:r>
      <w:r w:rsidR="008979C0" w:rsidRPr="005B0816">
        <w:rPr>
          <w:sz w:val="22"/>
          <w:szCs w:val="22"/>
        </w:rPr>
        <w:t xml:space="preserve">gains. In particular, agricultural and food exports would be significantly </w:t>
      </w:r>
      <w:r w:rsidR="00350CD2" w:rsidRPr="005B0816">
        <w:rPr>
          <w:sz w:val="22"/>
          <w:szCs w:val="22"/>
        </w:rPr>
        <w:t>stimulated</w:t>
      </w:r>
      <w:r w:rsidR="008979C0" w:rsidRPr="005B0816">
        <w:rPr>
          <w:sz w:val="22"/>
          <w:szCs w:val="22"/>
        </w:rPr>
        <w:t xml:space="preserve"> following the removal of relatively high initial tariff barriers, and unskilled workers employed in agriculture would see the</w:t>
      </w:r>
      <w:r w:rsidR="00350CD2" w:rsidRPr="005B0816">
        <w:rPr>
          <w:sz w:val="22"/>
          <w:szCs w:val="22"/>
        </w:rPr>
        <w:t>ir</w:t>
      </w:r>
      <w:r w:rsidR="008979C0" w:rsidRPr="005B0816">
        <w:rPr>
          <w:sz w:val="22"/>
          <w:szCs w:val="22"/>
        </w:rPr>
        <w:t xml:space="preserve"> purchas</w:t>
      </w:r>
      <w:r w:rsidRPr="005B0816">
        <w:rPr>
          <w:sz w:val="22"/>
          <w:szCs w:val="22"/>
        </w:rPr>
        <w:t>ing</w:t>
      </w:r>
      <w:r w:rsidR="008979C0" w:rsidRPr="005B0816">
        <w:rPr>
          <w:sz w:val="22"/>
          <w:szCs w:val="22"/>
        </w:rPr>
        <w:t xml:space="preserve"> power enhanced.</w:t>
      </w:r>
      <w:r w:rsidR="00350CD2" w:rsidRPr="005B0816">
        <w:rPr>
          <w:sz w:val="22"/>
          <w:szCs w:val="22"/>
        </w:rPr>
        <w:t xml:space="preserve"> Moreover, </w:t>
      </w:r>
      <w:r w:rsidR="00061673" w:rsidRPr="005B0816">
        <w:rPr>
          <w:sz w:val="22"/>
          <w:szCs w:val="22"/>
        </w:rPr>
        <w:t>with the increase in</w:t>
      </w:r>
      <w:r w:rsidR="00350CD2" w:rsidRPr="005B0816">
        <w:rPr>
          <w:sz w:val="22"/>
          <w:szCs w:val="22"/>
        </w:rPr>
        <w:t xml:space="preserve"> trade of industrial products, </w:t>
      </w:r>
      <w:r w:rsidRPr="005B0816">
        <w:rPr>
          <w:sz w:val="22"/>
          <w:szCs w:val="22"/>
        </w:rPr>
        <w:t xml:space="preserve">as well as </w:t>
      </w:r>
      <w:r w:rsidR="00061673" w:rsidRPr="005B0816">
        <w:rPr>
          <w:sz w:val="22"/>
          <w:szCs w:val="22"/>
        </w:rPr>
        <w:t>the</w:t>
      </w:r>
      <w:r w:rsidR="00350CD2" w:rsidRPr="005B0816">
        <w:rPr>
          <w:sz w:val="22"/>
          <w:szCs w:val="22"/>
        </w:rPr>
        <w:t xml:space="preserve"> </w:t>
      </w:r>
      <w:r w:rsidR="00061673" w:rsidRPr="005B0816">
        <w:rPr>
          <w:sz w:val="22"/>
          <w:szCs w:val="22"/>
        </w:rPr>
        <w:t xml:space="preserve">dominant </w:t>
      </w:r>
      <w:r w:rsidR="00350CD2" w:rsidRPr="005B0816">
        <w:rPr>
          <w:sz w:val="22"/>
          <w:szCs w:val="22"/>
        </w:rPr>
        <w:t>trade</w:t>
      </w:r>
      <w:r w:rsidR="00061673" w:rsidRPr="005B0816">
        <w:rPr>
          <w:sz w:val="22"/>
          <w:szCs w:val="22"/>
        </w:rPr>
        <w:t>-</w:t>
      </w:r>
      <w:r w:rsidR="00350CD2" w:rsidRPr="005B0816">
        <w:rPr>
          <w:sz w:val="22"/>
          <w:szCs w:val="22"/>
        </w:rPr>
        <w:t>creatin</w:t>
      </w:r>
      <w:r w:rsidR="00061673" w:rsidRPr="005B0816">
        <w:rPr>
          <w:sz w:val="22"/>
          <w:szCs w:val="22"/>
        </w:rPr>
        <w:t>g</w:t>
      </w:r>
      <w:r w:rsidR="00350CD2" w:rsidRPr="005B0816">
        <w:rPr>
          <w:sz w:val="22"/>
          <w:szCs w:val="22"/>
        </w:rPr>
        <w:t xml:space="preserve"> </w:t>
      </w:r>
      <w:r w:rsidRPr="005B0816">
        <w:rPr>
          <w:sz w:val="22"/>
          <w:szCs w:val="22"/>
        </w:rPr>
        <w:t xml:space="preserve">effects </w:t>
      </w:r>
      <w:r w:rsidR="00061673" w:rsidRPr="005B0816">
        <w:rPr>
          <w:sz w:val="22"/>
          <w:szCs w:val="22"/>
        </w:rPr>
        <w:t>of</w:t>
      </w:r>
      <w:r w:rsidR="00350CD2" w:rsidRPr="005B0816">
        <w:rPr>
          <w:sz w:val="22"/>
          <w:szCs w:val="22"/>
        </w:rPr>
        <w:t xml:space="preserve"> the FTA reforms, intra-African trade </w:t>
      </w:r>
      <w:r w:rsidR="00061673" w:rsidRPr="005B0816">
        <w:rPr>
          <w:sz w:val="22"/>
          <w:szCs w:val="22"/>
        </w:rPr>
        <w:t xml:space="preserve">as a share of Africa’s total trade </w:t>
      </w:r>
      <w:r w:rsidR="00350CD2" w:rsidRPr="005B0816">
        <w:rPr>
          <w:sz w:val="22"/>
          <w:szCs w:val="22"/>
        </w:rPr>
        <w:t xml:space="preserve">would increase by </w:t>
      </w:r>
      <w:r w:rsidR="001371E0" w:rsidRPr="005B0816">
        <w:rPr>
          <w:sz w:val="22"/>
          <w:szCs w:val="22"/>
        </w:rPr>
        <w:t xml:space="preserve">about </w:t>
      </w:r>
      <w:r w:rsidR="00B95ECC" w:rsidRPr="005B0816">
        <w:rPr>
          <w:sz w:val="22"/>
          <w:szCs w:val="22"/>
        </w:rPr>
        <w:t>half</w:t>
      </w:r>
      <w:r w:rsidR="00350CD2" w:rsidRPr="005B0816">
        <w:rPr>
          <w:sz w:val="22"/>
          <w:szCs w:val="22"/>
        </w:rPr>
        <w:t xml:space="preserve"> over a </w:t>
      </w:r>
      <w:r w:rsidR="00061673" w:rsidRPr="005B0816">
        <w:rPr>
          <w:sz w:val="22"/>
          <w:szCs w:val="22"/>
        </w:rPr>
        <w:t>12-</w:t>
      </w:r>
      <w:r w:rsidR="00350CD2" w:rsidRPr="005B0816">
        <w:rPr>
          <w:sz w:val="22"/>
          <w:szCs w:val="22"/>
        </w:rPr>
        <w:t>year period, from 10.2</w:t>
      </w:r>
      <w:r w:rsidR="000F4C18" w:rsidRPr="005B0816">
        <w:rPr>
          <w:sz w:val="22"/>
          <w:szCs w:val="22"/>
        </w:rPr>
        <w:t xml:space="preserve"> per cent</w:t>
      </w:r>
      <w:r w:rsidR="00350CD2" w:rsidRPr="005B0816">
        <w:rPr>
          <w:sz w:val="22"/>
          <w:szCs w:val="22"/>
        </w:rPr>
        <w:t xml:space="preserve"> in 2010 to 15.</w:t>
      </w:r>
      <w:r w:rsidR="00F90E7A" w:rsidRPr="005B0816">
        <w:rPr>
          <w:sz w:val="22"/>
          <w:szCs w:val="22"/>
        </w:rPr>
        <w:t>5</w:t>
      </w:r>
      <w:r w:rsidR="000F4C18" w:rsidRPr="005B0816">
        <w:rPr>
          <w:sz w:val="22"/>
          <w:szCs w:val="22"/>
        </w:rPr>
        <w:t xml:space="preserve"> per cent</w:t>
      </w:r>
      <w:r w:rsidR="00350CD2" w:rsidRPr="005B0816">
        <w:rPr>
          <w:sz w:val="22"/>
          <w:szCs w:val="22"/>
        </w:rPr>
        <w:t xml:space="preserve"> in 2022.</w:t>
      </w:r>
    </w:p>
    <w:p w:rsidR="00350CD2" w:rsidRPr="005B0816" w:rsidRDefault="00350CD2" w:rsidP="006D5982">
      <w:pPr>
        <w:spacing w:line="360" w:lineRule="auto"/>
        <w:rPr>
          <w:sz w:val="22"/>
          <w:szCs w:val="22"/>
        </w:rPr>
      </w:pPr>
      <w:r w:rsidRPr="005B0816">
        <w:rPr>
          <w:sz w:val="22"/>
          <w:szCs w:val="22"/>
        </w:rPr>
        <w:t xml:space="preserve">However, </w:t>
      </w:r>
      <w:r w:rsidR="001371E0" w:rsidRPr="005B0816">
        <w:rPr>
          <w:sz w:val="22"/>
          <w:szCs w:val="22"/>
        </w:rPr>
        <w:t xml:space="preserve">the formation of a CFTA would not increase the share of intra-African trade </w:t>
      </w:r>
      <w:r w:rsidR="00B95ECC" w:rsidRPr="005B0816">
        <w:rPr>
          <w:sz w:val="22"/>
          <w:szCs w:val="22"/>
        </w:rPr>
        <w:t xml:space="preserve">as much as </w:t>
      </w:r>
      <w:r w:rsidR="001371E0" w:rsidRPr="005B0816">
        <w:rPr>
          <w:sz w:val="22"/>
          <w:szCs w:val="22"/>
        </w:rPr>
        <w:t>the AU Member States</w:t>
      </w:r>
      <w:r w:rsidR="00B95ECC" w:rsidRPr="005B0816">
        <w:rPr>
          <w:sz w:val="22"/>
          <w:szCs w:val="22"/>
        </w:rPr>
        <w:t xml:space="preserve"> desire; they</w:t>
      </w:r>
      <w:r w:rsidR="001371E0" w:rsidRPr="005B0816">
        <w:rPr>
          <w:sz w:val="22"/>
          <w:szCs w:val="22"/>
        </w:rPr>
        <w:t xml:space="preserve"> recently affirmed the wish to see the share of intra-continental trade doubl</w:t>
      </w:r>
      <w:r w:rsidR="00B95ECC" w:rsidRPr="005B0816">
        <w:rPr>
          <w:sz w:val="22"/>
          <w:szCs w:val="22"/>
        </w:rPr>
        <w:t>e</w:t>
      </w:r>
      <w:r w:rsidR="001371E0" w:rsidRPr="005B0816">
        <w:rPr>
          <w:sz w:val="22"/>
          <w:szCs w:val="22"/>
        </w:rPr>
        <w:t xml:space="preserve"> within the next </w:t>
      </w:r>
      <w:r w:rsidR="00B95ECC" w:rsidRPr="005B0816">
        <w:rPr>
          <w:sz w:val="22"/>
          <w:szCs w:val="22"/>
        </w:rPr>
        <w:t xml:space="preserve">ten </w:t>
      </w:r>
      <w:r w:rsidR="001371E0" w:rsidRPr="005B0816">
        <w:rPr>
          <w:sz w:val="22"/>
          <w:szCs w:val="22"/>
        </w:rPr>
        <w:t xml:space="preserve">years. Moreover, the relatively </w:t>
      </w:r>
      <w:r w:rsidR="00B95ECC" w:rsidRPr="005B0816">
        <w:rPr>
          <w:sz w:val="22"/>
          <w:szCs w:val="22"/>
        </w:rPr>
        <w:t>small gains in</w:t>
      </w:r>
      <w:r w:rsidR="001371E0" w:rsidRPr="005B0816">
        <w:rPr>
          <w:sz w:val="22"/>
          <w:szCs w:val="22"/>
        </w:rPr>
        <w:t xml:space="preserve"> production, real income</w:t>
      </w:r>
      <w:r w:rsidR="00B95ECC" w:rsidRPr="005B0816">
        <w:rPr>
          <w:sz w:val="22"/>
          <w:szCs w:val="22"/>
        </w:rPr>
        <w:t>,</w:t>
      </w:r>
      <w:r w:rsidR="001371E0" w:rsidRPr="005B0816">
        <w:rPr>
          <w:sz w:val="22"/>
          <w:szCs w:val="22"/>
        </w:rPr>
        <w:t xml:space="preserve"> and real wage</w:t>
      </w:r>
      <w:r w:rsidR="00C320D8">
        <w:rPr>
          <w:sz w:val="22"/>
          <w:szCs w:val="22"/>
        </w:rPr>
        <w:t xml:space="preserve"> – small</w:t>
      </w:r>
      <w:r w:rsidR="001371E0" w:rsidRPr="005B0816">
        <w:rPr>
          <w:sz w:val="22"/>
          <w:szCs w:val="22"/>
        </w:rPr>
        <w:t xml:space="preserve"> in part due to </w:t>
      </w:r>
      <w:r w:rsidR="00B33AD3" w:rsidRPr="005B0816">
        <w:rPr>
          <w:sz w:val="22"/>
          <w:szCs w:val="22"/>
        </w:rPr>
        <w:t>the decrease of revenues from tariff duties</w:t>
      </w:r>
      <w:r w:rsidR="00C320D8">
        <w:rPr>
          <w:sz w:val="22"/>
          <w:szCs w:val="22"/>
        </w:rPr>
        <w:t xml:space="preserve"> – </w:t>
      </w:r>
      <w:r w:rsidR="001371E0" w:rsidRPr="005B0816">
        <w:rPr>
          <w:sz w:val="22"/>
          <w:szCs w:val="22"/>
        </w:rPr>
        <w:t>tend to limit the overall benefits of the trade reform.</w:t>
      </w:r>
      <w:r w:rsidR="00B33AD3" w:rsidRPr="005B0816">
        <w:rPr>
          <w:sz w:val="22"/>
          <w:szCs w:val="22"/>
        </w:rPr>
        <w:t xml:space="preserve"> Furthermore, </w:t>
      </w:r>
      <w:r w:rsidRPr="005B0816">
        <w:rPr>
          <w:sz w:val="22"/>
          <w:szCs w:val="22"/>
        </w:rPr>
        <w:t xml:space="preserve">at the country level, results </w:t>
      </w:r>
      <w:r w:rsidR="00875C22" w:rsidRPr="005B0816">
        <w:rPr>
          <w:sz w:val="22"/>
          <w:szCs w:val="22"/>
        </w:rPr>
        <w:t>are varied</w:t>
      </w:r>
      <w:r w:rsidR="00125F34" w:rsidRPr="005B0816">
        <w:rPr>
          <w:sz w:val="22"/>
          <w:szCs w:val="22"/>
        </w:rPr>
        <w:t>, with</w:t>
      </w:r>
      <w:r w:rsidRPr="005B0816">
        <w:rPr>
          <w:sz w:val="22"/>
          <w:szCs w:val="22"/>
        </w:rPr>
        <w:t xml:space="preserve"> some African economies register</w:t>
      </w:r>
      <w:r w:rsidR="00125F34" w:rsidRPr="005B0816">
        <w:rPr>
          <w:sz w:val="22"/>
          <w:szCs w:val="22"/>
        </w:rPr>
        <w:t>ing</w:t>
      </w:r>
      <w:r w:rsidRPr="005B0816">
        <w:rPr>
          <w:sz w:val="22"/>
          <w:szCs w:val="22"/>
        </w:rPr>
        <w:t xml:space="preserve"> a decrease </w:t>
      </w:r>
      <w:r w:rsidR="00125F34" w:rsidRPr="005B0816">
        <w:rPr>
          <w:sz w:val="22"/>
          <w:szCs w:val="22"/>
        </w:rPr>
        <w:t xml:space="preserve">in </w:t>
      </w:r>
      <w:r w:rsidRPr="005B0816">
        <w:rPr>
          <w:sz w:val="22"/>
          <w:szCs w:val="22"/>
        </w:rPr>
        <w:t>real inco</w:t>
      </w:r>
      <w:r w:rsidR="00D46516" w:rsidRPr="005B0816">
        <w:rPr>
          <w:sz w:val="22"/>
          <w:szCs w:val="22"/>
        </w:rPr>
        <w:t xml:space="preserve">me due to tariff revenue losses </w:t>
      </w:r>
      <w:r w:rsidR="00125F34" w:rsidRPr="005B0816">
        <w:rPr>
          <w:sz w:val="22"/>
          <w:szCs w:val="22"/>
        </w:rPr>
        <w:t xml:space="preserve">and/or </w:t>
      </w:r>
      <w:r w:rsidRPr="005B0816">
        <w:rPr>
          <w:sz w:val="22"/>
          <w:szCs w:val="22"/>
        </w:rPr>
        <w:t xml:space="preserve">negative terms of trade </w:t>
      </w:r>
      <w:r w:rsidR="00125F34" w:rsidRPr="005B0816">
        <w:rPr>
          <w:sz w:val="22"/>
          <w:szCs w:val="22"/>
        </w:rPr>
        <w:t xml:space="preserve">and/or </w:t>
      </w:r>
      <w:r w:rsidRPr="005B0816">
        <w:rPr>
          <w:sz w:val="22"/>
          <w:szCs w:val="22"/>
        </w:rPr>
        <w:t xml:space="preserve">net </w:t>
      </w:r>
      <w:r w:rsidR="00B95ECC" w:rsidRPr="005B0816">
        <w:rPr>
          <w:sz w:val="22"/>
          <w:szCs w:val="22"/>
        </w:rPr>
        <w:t xml:space="preserve">negative </w:t>
      </w:r>
      <w:r w:rsidRPr="005B0816">
        <w:rPr>
          <w:sz w:val="22"/>
          <w:szCs w:val="22"/>
        </w:rPr>
        <w:t xml:space="preserve">food trade balances. Also, </w:t>
      </w:r>
      <w:r w:rsidR="00B33AD3" w:rsidRPr="005B0816">
        <w:rPr>
          <w:sz w:val="22"/>
          <w:szCs w:val="22"/>
        </w:rPr>
        <w:t xml:space="preserve">in some countries </w:t>
      </w:r>
      <w:r w:rsidRPr="005B0816">
        <w:rPr>
          <w:sz w:val="22"/>
          <w:szCs w:val="22"/>
        </w:rPr>
        <w:t>certain categories of workers</w:t>
      </w:r>
      <w:r w:rsidR="00B33AD3" w:rsidRPr="005B0816">
        <w:rPr>
          <w:sz w:val="22"/>
          <w:szCs w:val="22"/>
        </w:rPr>
        <w:t xml:space="preserve"> </w:t>
      </w:r>
      <w:r w:rsidR="00FB39D4" w:rsidRPr="005B0816">
        <w:rPr>
          <w:sz w:val="22"/>
          <w:szCs w:val="22"/>
        </w:rPr>
        <w:t xml:space="preserve">– </w:t>
      </w:r>
      <w:r w:rsidR="00B33AD3" w:rsidRPr="005B0816">
        <w:rPr>
          <w:sz w:val="22"/>
          <w:szCs w:val="22"/>
        </w:rPr>
        <w:t>especially those engaged in agricultural activities</w:t>
      </w:r>
      <w:r w:rsidR="00B95ECC" w:rsidRPr="005B0816">
        <w:rPr>
          <w:sz w:val="22"/>
          <w:szCs w:val="22"/>
        </w:rPr>
        <w:t xml:space="preserve"> –</w:t>
      </w:r>
      <w:r w:rsidR="00B33AD3" w:rsidRPr="005B0816">
        <w:rPr>
          <w:sz w:val="22"/>
          <w:szCs w:val="22"/>
        </w:rPr>
        <w:t xml:space="preserve"> </w:t>
      </w:r>
      <w:r w:rsidRPr="005B0816">
        <w:rPr>
          <w:sz w:val="22"/>
          <w:szCs w:val="22"/>
        </w:rPr>
        <w:t xml:space="preserve">see their real wages </w:t>
      </w:r>
      <w:r w:rsidR="00B33AD3" w:rsidRPr="005B0816">
        <w:rPr>
          <w:sz w:val="22"/>
          <w:szCs w:val="22"/>
        </w:rPr>
        <w:t>declin</w:t>
      </w:r>
      <w:r w:rsidR="00B95ECC" w:rsidRPr="005B0816">
        <w:rPr>
          <w:sz w:val="22"/>
          <w:szCs w:val="22"/>
        </w:rPr>
        <w:t>e</w:t>
      </w:r>
      <w:r w:rsidR="00B33AD3" w:rsidRPr="005B0816">
        <w:rPr>
          <w:sz w:val="22"/>
          <w:szCs w:val="22"/>
        </w:rPr>
        <w:t xml:space="preserve"> </w:t>
      </w:r>
      <w:r w:rsidRPr="005B0816">
        <w:rPr>
          <w:sz w:val="22"/>
          <w:szCs w:val="22"/>
        </w:rPr>
        <w:t>with the reforms</w:t>
      </w:r>
      <w:r w:rsidR="00B33AD3" w:rsidRPr="005B0816">
        <w:rPr>
          <w:sz w:val="22"/>
          <w:szCs w:val="22"/>
        </w:rPr>
        <w:t xml:space="preserve"> due to employment contractions</w:t>
      </w:r>
      <w:r w:rsidR="00B95ECC" w:rsidRPr="005B0816">
        <w:rPr>
          <w:sz w:val="22"/>
          <w:szCs w:val="22"/>
        </w:rPr>
        <w:t xml:space="preserve"> as</w:t>
      </w:r>
      <w:r w:rsidR="00A10E01" w:rsidRPr="005B0816">
        <w:rPr>
          <w:sz w:val="22"/>
          <w:szCs w:val="22"/>
        </w:rPr>
        <w:t xml:space="preserve"> domestic production </w:t>
      </w:r>
      <w:r w:rsidR="00B95ECC" w:rsidRPr="005B0816">
        <w:rPr>
          <w:sz w:val="22"/>
          <w:szCs w:val="22"/>
        </w:rPr>
        <w:t xml:space="preserve">in </w:t>
      </w:r>
      <w:r w:rsidR="00A10E01" w:rsidRPr="005B0816">
        <w:rPr>
          <w:sz w:val="22"/>
          <w:szCs w:val="22"/>
        </w:rPr>
        <w:t xml:space="preserve">agriculture </w:t>
      </w:r>
      <w:r w:rsidR="00B95ECC" w:rsidRPr="005B0816">
        <w:rPr>
          <w:sz w:val="22"/>
          <w:szCs w:val="22"/>
        </w:rPr>
        <w:t xml:space="preserve">is </w:t>
      </w:r>
      <w:r w:rsidR="00A10E01" w:rsidRPr="005B0816">
        <w:rPr>
          <w:sz w:val="22"/>
          <w:szCs w:val="22"/>
        </w:rPr>
        <w:t xml:space="preserve">hurt by </w:t>
      </w:r>
      <w:r w:rsidR="00B95ECC" w:rsidRPr="005B0816">
        <w:rPr>
          <w:sz w:val="22"/>
          <w:szCs w:val="22"/>
        </w:rPr>
        <w:t xml:space="preserve">the excess of </w:t>
      </w:r>
      <w:r w:rsidR="00A10E01" w:rsidRPr="005B0816">
        <w:rPr>
          <w:sz w:val="22"/>
          <w:szCs w:val="22"/>
        </w:rPr>
        <w:t>imports</w:t>
      </w:r>
      <w:r w:rsidR="005B7150" w:rsidRPr="005B0816">
        <w:rPr>
          <w:sz w:val="22"/>
          <w:szCs w:val="22"/>
        </w:rPr>
        <w:t xml:space="preserve"> </w:t>
      </w:r>
      <w:r w:rsidR="00B95ECC" w:rsidRPr="005B0816">
        <w:rPr>
          <w:sz w:val="22"/>
          <w:szCs w:val="22"/>
        </w:rPr>
        <w:t xml:space="preserve">over </w:t>
      </w:r>
      <w:r w:rsidR="005B7150" w:rsidRPr="005B0816">
        <w:rPr>
          <w:sz w:val="22"/>
          <w:szCs w:val="22"/>
        </w:rPr>
        <w:t>exports</w:t>
      </w:r>
      <w:r w:rsidRPr="005B0816">
        <w:rPr>
          <w:sz w:val="22"/>
          <w:szCs w:val="22"/>
        </w:rPr>
        <w:t>.</w:t>
      </w:r>
    </w:p>
    <w:p w:rsidR="004660AB" w:rsidRPr="005B0816" w:rsidRDefault="00350CD2" w:rsidP="006D5982">
      <w:pPr>
        <w:spacing w:line="360" w:lineRule="auto"/>
        <w:rPr>
          <w:sz w:val="22"/>
          <w:szCs w:val="22"/>
        </w:rPr>
      </w:pPr>
      <w:r w:rsidRPr="005B0816">
        <w:rPr>
          <w:sz w:val="22"/>
          <w:szCs w:val="22"/>
        </w:rPr>
        <w:t xml:space="preserve">For these reasons, </w:t>
      </w:r>
      <w:r w:rsidR="009E1DC7" w:rsidRPr="005B0816">
        <w:rPr>
          <w:sz w:val="22"/>
          <w:szCs w:val="22"/>
        </w:rPr>
        <w:t>implementing</w:t>
      </w:r>
      <w:r w:rsidR="00125F34" w:rsidRPr="005B0816">
        <w:rPr>
          <w:sz w:val="22"/>
          <w:szCs w:val="22"/>
        </w:rPr>
        <w:t xml:space="preserve"> an</w:t>
      </w:r>
      <w:r w:rsidR="009E1DC7" w:rsidRPr="005B0816">
        <w:rPr>
          <w:sz w:val="22"/>
          <w:szCs w:val="22"/>
        </w:rPr>
        <w:t xml:space="preserve"> FTA alone would not be sufficient to generate benefits </w:t>
      </w:r>
      <w:r w:rsidR="00D46516" w:rsidRPr="005B0816">
        <w:rPr>
          <w:sz w:val="22"/>
          <w:szCs w:val="22"/>
        </w:rPr>
        <w:t xml:space="preserve">for </w:t>
      </w:r>
      <w:r w:rsidR="009E1DC7" w:rsidRPr="005B0816">
        <w:rPr>
          <w:sz w:val="22"/>
          <w:szCs w:val="22"/>
        </w:rPr>
        <w:t xml:space="preserve">every African economy. </w:t>
      </w:r>
      <w:r w:rsidR="003C1D15" w:rsidRPr="005B0816">
        <w:rPr>
          <w:sz w:val="22"/>
          <w:szCs w:val="22"/>
        </w:rPr>
        <w:t>One possible path could be to address non-tariff barriers</w:t>
      </w:r>
      <w:r w:rsidR="00B95ECC" w:rsidRPr="005B0816">
        <w:rPr>
          <w:sz w:val="22"/>
          <w:szCs w:val="22"/>
        </w:rPr>
        <w:t xml:space="preserve"> as well</w:t>
      </w:r>
      <w:r w:rsidR="003C1D15" w:rsidRPr="005B0816">
        <w:rPr>
          <w:sz w:val="22"/>
          <w:szCs w:val="22"/>
        </w:rPr>
        <w:t xml:space="preserve">. </w:t>
      </w:r>
      <w:r w:rsidR="005B7150" w:rsidRPr="005B0816">
        <w:rPr>
          <w:sz w:val="22"/>
          <w:szCs w:val="22"/>
        </w:rPr>
        <w:t>These</w:t>
      </w:r>
      <w:r w:rsidR="009E1DC7" w:rsidRPr="005B0816">
        <w:rPr>
          <w:sz w:val="22"/>
          <w:szCs w:val="22"/>
        </w:rPr>
        <w:t xml:space="preserve"> barriers are quite high within the continent</w:t>
      </w:r>
      <w:r w:rsidR="00D46516" w:rsidRPr="005B0816">
        <w:rPr>
          <w:sz w:val="22"/>
          <w:szCs w:val="22"/>
        </w:rPr>
        <w:t>,</w:t>
      </w:r>
      <w:r w:rsidR="009E1DC7" w:rsidRPr="005B0816">
        <w:rPr>
          <w:sz w:val="22"/>
          <w:szCs w:val="22"/>
        </w:rPr>
        <w:t xml:space="preserve"> limiting </w:t>
      </w:r>
      <w:r w:rsidR="00125F34" w:rsidRPr="005B0816">
        <w:rPr>
          <w:sz w:val="22"/>
          <w:szCs w:val="22"/>
        </w:rPr>
        <w:t xml:space="preserve">potential </w:t>
      </w:r>
      <w:r w:rsidR="009E1DC7" w:rsidRPr="005B0816">
        <w:rPr>
          <w:sz w:val="22"/>
          <w:szCs w:val="22"/>
        </w:rPr>
        <w:t xml:space="preserve">exchanges. Therefore, it </w:t>
      </w:r>
      <w:r w:rsidR="00C20195" w:rsidRPr="005B0816">
        <w:rPr>
          <w:sz w:val="22"/>
          <w:szCs w:val="22"/>
        </w:rPr>
        <w:t>is</w:t>
      </w:r>
      <w:r w:rsidR="009E1DC7" w:rsidRPr="005B0816">
        <w:rPr>
          <w:sz w:val="22"/>
          <w:szCs w:val="22"/>
        </w:rPr>
        <w:t xml:space="preserve"> paramount </w:t>
      </w:r>
      <w:r w:rsidR="00125F34" w:rsidRPr="005B0816">
        <w:rPr>
          <w:sz w:val="22"/>
          <w:szCs w:val="22"/>
        </w:rPr>
        <w:t xml:space="preserve">that </w:t>
      </w:r>
      <w:r w:rsidR="009E1DC7" w:rsidRPr="005B0816">
        <w:rPr>
          <w:sz w:val="22"/>
          <w:szCs w:val="22"/>
        </w:rPr>
        <w:t>additional measures</w:t>
      </w:r>
      <w:r w:rsidR="005B7150" w:rsidRPr="005B0816">
        <w:rPr>
          <w:sz w:val="22"/>
          <w:szCs w:val="22"/>
        </w:rPr>
        <w:t xml:space="preserve"> aiming at easing trade across borders</w:t>
      </w:r>
      <w:r w:rsidR="00B95ECC" w:rsidRPr="005B0816">
        <w:rPr>
          <w:sz w:val="22"/>
          <w:szCs w:val="22"/>
        </w:rPr>
        <w:t xml:space="preserve"> accompany FTA reforms</w:t>
      </w:r>
      <w:r w:rsidR="009E1DC7" w:rsidRPr="005B0816">
        <w:rPr>
          <w:sz w:val="22"/>
          <w:szCs w:val="22"/>
        </w:rPr>
        <w:t xml:space="preserve">. </w:t>
      </w:r>
      <w:r w:rsidR="007465C6" w:rsidRPr="005B0816">
        <w:rPr>
          <w:sz w:val="22"/>
          <w:szCs w:val="22"/>
        </w:rPr>
        <w:t>T</w:t>
      </w:r>
      <w:r w:rsidR="00125F34" w:rsidRPr="005B0816">
        <w:rPr>
          <w:sz w:val="22"/>
          <w:szCs w:val="22"/>
        </w:rPr>
        <w:t xml:space="preserve">he </w:t>
      </w:r>
      <w:r w:rsidR="009E1DC7" w:rsidRPr="005B0816">
        <w:rPr>
          <w:sz w:val="22"/>
          <w:szCs w:val="22"/>
        </w:rPr>
        <w:t>analysis ass</w:t>
      </w:r>
      <w:r w:rsidR="007465C6" w:rsidRPr="005B0816">
        <w:rPr>
          <w:sz w:val="22"/>
          <w:szCs w:val="22"/>
        </w:rPr>
        <w:t>esses</w:t>
      </w:r>
      <w:r w:rsidR="009E1DC7" w:rsidRPr="005B0816">
        <w:rPr>
          <w:sz w:val="22"/>
          <w:szCs w:val="22"/>
        </w:rPr>
        <w:t xml:space="preserve"> </w:t>
      </w:r>
      <w:r w:rsidR="007465C6" w:rsidRPr="005B0816">
        <w:rPr>
          <w:sz w:val="22"/>
          <w:szCs w:val="22"/>
        </w:rPr>
        <w:t xml:space="preserve">the additional effect of </w:t>
      </w:r>
      <w:r w:rsidR="00B95ECC" w:rsidRPr="005B0816">
        <w:rPr>
          <w:sz w:val="22"/>
          <w:szCs w:val="22"/>
        </w:rPr>
        <w:t xml:space="preserve">making </w:t>
      </w:r>
      <w:r w:rsidR="00D46516" w:rsidRPr="005B0816">
        <w:rPr>
          <w:sz w:val="22"/>
          <w:szCs w:val="22"/>
        </w:rPr>
        <w:t>customs procedures</w:t>
      </w:r>
      <w:r w:rsidR="00FB39D4" w:rsidRPr="005B0816">
        <w:rPr>
          <w:sz w:val="22"/>
          <w:szCs w:val="22"/>
        </w:rPr>
        <w:t xml:space="preserve"> </w:t>
      </w:r>
      <w:r w:rsidR="00D46516" w:rsidRPr="005B0816">
        <w:rPr>
          <w:sz w:val="22"/>
          <w:szCs w:val="22"/>
        </w:rPr>
        <w:t xml:space="preserve">twice </w:t>
      </w:r>
      <w:r w:rsidR="00B95ECC" w:rsidRPr="005B0816">
        <w:rPr>
          <w:sz w:val="22"/>
          <w:szCs w:val="22"/>
        </w:rPr>
        <w:t xml:space="preserve">as </w:t>
      </w:r>
      <w:r w:rsidR="00D46516" w:rsidRPr="005B0816">
        <w:rPr>
          <w:sz w:val="22"/>
          <w:szCs w:val="22"/>
        </w:rPr>
        <w:t>efficient</w:t>
      </w:r>
      <w:r w:rsidR="00FB39D4" w:rsidRPr="005B0816">
        <w:rPr>
          <w:sz w:val="22"/>
          <w:szCs w:val="22"/>
        </w:rPr>
        <w:t xml:space="preserve"> </w:t>
      </w:r>
      <w:r w:rsidR="00D46516" w:rsidRPr="005B0816">
        <w:rPr>
          <w:sz w:val="22"/>
          <w:szCs w:val="22"/>
        </w:rPr>
        <w:t>as well as</w:t>
      </w:r>
      <w:r w:rsidR="005B7150" w:rsidRPr="005B0816">
        <w:rPr>
          <w:sz w:val="22"/>
          <w:szCs w:val="22"/>
        </w:rPr>
        <w:t xml:space="preserve"> </w:t>
      </w:r>
      <w:r w:rsidR="00B95ECC" w:rsidRPr="005B0816">
        <w:rPr>
          <w:sz w:val="22"/>
          <w:szCs w:val="22"/>
        </w:rPr>
        <w:t>halving</w:t>
      </w:r>
      <w:r w:rsidR="005B7150" w:rsidRPr="005B0816">
        <w:rPr>
          <w:sz w:val="22"/>
          <w:szCs w:val="22"/>
        </w:rPr>
        <w:t xml:space="preserve"> </w:t>
      </w:r>
      <w:r w:rsidR="00125F34" w:rsidRPr="005B0816">
        <w:rPr>
          <w:sz w:val="22"/>
          <w:szCs w:val="22"/>
        </w:rPr>
        <w:t xml:space="preserve">the </w:t>
      </w:r>
      <w:r w:rsidR="00D46516" w:rsidRPr="005B0816">
        <w:rPr>
          <w:sz w:val="22"/>
          <w:szCs w:val="22"/>
        </w:rPr>
        <w:t xml:space="preserve">time </w:t>
      </w:r>
      <w:r w:rsidR="00B95ECC" w:rsidRPr="005B0816">
        <w:rPr>
          <w:sz w:val="22"/>
          <w:szCs w:val="22"/>
        </w:rPr>
        <w:t xml:space="preserve">that </w:t>
      </w:r>
      <w:r w:rsidR="00D46516" w:rsidRPr="005B0816">
        <w:rPr>
          <w:sz w:val="22"/>
          <w:szCs w:val="22"/>
        </w:rPr>
        <w:t xml:space="preserve">merchandise </w:t>
      </w:r>
      <w:r w:rsidR="00125F34" w:rsidRPr="005B0816">
        <w:rPr>
          <w:sz w:val="22"/>
          <w:szCs w:val="22"/>
        </w:rPr>
        <w:t xml:space="preserve">is held </w:t>
      </w:r>
      <w:r w:rsidR="00D46516" w:rsidRPr="005B0816">
        <w:rPr>
          <w:sz w:val="22"/>
          <w:szCs w:val="22"/>
        </w:rPr>
        <w:t>at African ports. Th</w:t>
      </w:r>
      <w:r w:rsidR="007465C6" w:rsidRPr="005B0816">
        <w:rPr>
          <w:sz w:val="22"/>
          <w:szCs w:val="22"/>
        </w:rPr>
        <w:t>ese improvements</w:t>
      </w:r>
      <w:r w:rsidR="00D46516" w:rsidRPr="005B0816">
        <w:rPr>
          <w:sz w:val="22"/>
          <w:szCs w:val="22"/>
        </w:rPr>
        <w:t xml:space="preserve"> would lead to positive exports</w:t>
      </w:r>
      <w:r w:rsidR="00CA5A45" w:rsidRPr="005B0816">
        <w:rPr>
          <w:sz w:val="22"/>
          <w:szCs w:val="22"/>
        </w:rPr>
        <w:t xml:space="preserve"> and</w:t>
      </w:r>
      <w:r w:rsidR="00D46516" w:rsidRPr="005B0816">
        <w:rPr>
          <w:sz w:val="22"/>
          <w:szCs w:val="22"/>
        </w:rPr>
        <w:t xml:space="preserve"> real income </w:t>
      </w:r>
      <w:r w:rsidR="007465C6" w:rsidRPr="005B0816">
        <w:rPr>
          <w:sz w:val="22"/>
          <w:szCs w:val="22"/>
        </w:rPr>
        <w:t xml:space="preserve">increases </w:t>
      </w:r>
      <w:r w:rsidR="00D46516" w:rsidRPr="005B0816">
        <w:rPr>
          <w:sz w:val="22"/>
          <w:szCs w:val="22"/>
        </w:rPr>
        <w:t>in all African countries</w:t>
      </w:r>
      <w:r w:rsidR="007465C6" w:rsidRPr="005B0816">
        <w:rPr>
          <w:sz w:val="22"/>
          <w:szCs w:val="22"/>
        </w:rPr>
        <w:t>. With these non-tariff barriers reduced</w:t>
      </w:r>
      <w:r w:rsidR="004660AB" w:rsidRPr="005B0816">
        <w:rPr>
          <w:sz w:val="22"/>
          <w:szCs w:val="22"/>
        </w:rPr>
        <w:t xml:space="preserve"> and a CTFA effectively implemented</w:t>
      </w:r>
      <w:r w:rsidR="007465C6" w:rsidRPr="005B0816">
        <w:rPr>
          <w:sz w:val="22"/>
          <w:szCs w:val="22"/>
        </w:rPr>
        <w:t xml:space="preserve">, </w:t>
      </w:r>
      <w:r w:rsidR="00125F34" w:rsidRPr="005B0816">
        <w:rPr>
          <w:sz w:val="22"/>
          <w:szCs w:val="22"/>
        </w:rPr>
        <w:t xml:space="preserve">the </w:t>
      </w:r>
      <w:r w:rsidR="00D46516" w:rsidRPr="005B0816">
        <w:rPr>
          <w:sz w:val="22"/>
          <w:szCs w:val="22"/>
        </w:rPr>
        <w:t xml:space="preserve">share </w:t>
      </w:r>
      <w:r w:rsidR="00861B5C" w:rsidRPr="005B0816">
        <w:rPr>
          <w:sz w:val="22"/>
          <w:szCs w:val="22"/>
        </w:rPr>
        <w:t xml:space="preserve">of </w:t>
      </w:r>
      <w:r w:rsidR="00D46516" w:rsidRPr="005B0816">
        <w:rPr>
          <w:sz w:val="22"/>
          <w:szCs w:val="22"/>
        </w:rPr>
        <w:t xml:space="preserve">intra-African trade </w:t>
      </w:r>
      <w:r w:rsidR="00DA0EE7" w:rsidRPr="005B0816">
        <w:rPr>
          <w:sz w:val="22"/>
          <w:szCs w:val="22"/>
        </w:rPr>
        <w:t xml:space="preserve">more than </w:t>
      </w:r>
      <w:r w:rsidR="00D46516" w:rsidRPr="005B0816">
        <w:rPr>
          <w:sz w:val="22"/>
          <w:szCs w:val="22"/>
        </w:rPr>
        <w:t>doubl</w:t>
      </w:r>
      <w:r w:rsidR="007465C6" w:rsidRPr="005B0816">
        <w:rPr>
          <w:sz w:val="22"/>
          <w:szCs w:val="22"/>
        </w:rPr>
        <w:t>es</w:t>
      </w:r>
      <w:r w:rsidR="005B7150" w:rsidRPr="005B0816">
        <w:rPr>
          <w:sz w:val="22"/>
          <w:szCs w:val="22"/>
        </w:rPr>
        <w:t xml:space="preserve">, </w:t>
      </w:r>
      <w:r w:rsidR="007465C6" w:rsidRPr="005B0816">
        <w:rPr>
          <w:sz w:val="22"/>
          <w:szCs w:val="22"/>
        </w:rPr>
        <w:t xml:space="preserve">rising </w:t>
      </w:r>
      <w:r w:rsidR="00D46516" w:rsidRPr="005B0816">
        <w:rPr>
          <w:sz w:val="22"/>
          <w:szCs w:val="22"/>
        </w:rPr>
        <w:t>from 10.2</w:t>
      </w:r>
      <w:r w:rsidR="000F4C18" w:rsidRPr="005B0816">
        <w:rPr>
          <w:sz w:val="22"/>
          <w:szCs w:val="22"/>
        </w:rPr>
        <w:t xml:space="preserve"> per cent</w:t>
      </w:r>
      <w:r w:rsidR="00D46516" w:rsidRPr="005B0816">
        <w:rPr>
          <w:sz w:val="22"/>
          <w:szCs w:val="22"/>
        </w:rPr>
        <w:t xml:space="preserve"> </w:t>
      </w:r>
      <w:r w:rsidR="00125F34" w:rsidRPr="005B0816">
        <w:rPr>
          <w:sz w:val="22"/>
          <w:szCs w:val="22"/>
        </w:rPr>
        <w:t xml:space="preserve">in 2010 </w:t>
      </w:r>
      <w:r w:rsidR="00D46516" w:rsidRPr="005B0816">
        <w:rPr>
          <w:sz w:val="22"/>
          <w:szCs w:val="22"/>
        </w:rPr>
        <w:t>to 21.</w:t>
      </w:r>
      <w:r w:rsidR="00F90E7A" w:rsidRPr="005B0816">
        <w:rPr>
          <w:sz w:val="22"/>
          <w:szCs w:val="22"/>
        </w:rPr>
        <w:t>9</w:t>
      </w:r>
      <w:r w:rsidR="000F4C18" w:rsidRPr="005B0816">
        <w:rPr>
          <w:sz w:val="22"/>
          <w:szCs w:val="22"/>
        </w:rPr>
        <w:t xml:space="preserve"> per cent</w:t>
      </w:r>
      <w:r w:rsidR="00861B5C" w:rsidRPr="005B0816">
        <w:rPr>
          <w:rStyle w:val="FootnoteReference"/>
          <w:sz w:val="22"/>
          <w:szCs w:val="22"/>
        </w:rPr>
        <w:footnoteReference w:id="38"/>
      </w:r>
      <w:r w:rsidR="00125F34" w:rsidRPr="005B0816">
        <w:rPr>
          <w:sz w:val="22"/>
          <w:szCs w:val="22"/>
        </w:rPr>
        <w:t xml:space="preserve"> in 2022. </w:t>
      </w:r>
      <w:r w:rsidR="00AB101C" w:rsidRPr="005B0816">
        <w:rPr>
          <w:sz w:val="22"/>
          <w:szCs w:val="22"/>
        </w:rPr>
        <w:t>Moreover,</w:t>
      </w:r>
      <w:r w:rsidR="003C1D15" w:rsidRPr="005B0816">
        <w:rPr>
          <w:sz w:val="22"/>
          <w:szCs w:val="22"/>
        </w:rPr>
        <w:t xml:space="preserve"> </w:t>
      </w:r>
      <w:r w:rsidR="00AB101C" w:rsidRPr="005B0816">
        <w:rPr>
          <w:sz w:val="22"/>
          <w:szCs w:val="22"/>
        </w:rPr>
        <w:t>i</w:t>
      </w:r>
      <w:r w:rsidR="00125F34" w:rsidRPr="005B0816">
        <w:rPr>
          <w:sz w:val="22"/>
          <w:szCs w:val="22"/>
        </w:rPr>
        <w:t>ntroducing</w:t>
      </w:r>
      <w:r w:rsidR="005677D6" w:rsidRPr="005B0816">
        <w:rPr>
          <w:sz w:val="22"/>
          <w:szCs w:val="22"/>
        </w:rPr>
        <w:t xml:space="preserve"> trade facilitation measures would</w:t>
      </w:r>
      <w:r w:rsidR="003C1D15" w:rsidRPr="005B0816">
        <w:rPr>
          <w:sz w:val="22"/>
          <w:szCs w:val="22"/>
        </w:rPr>
        <w:t xml:space="preserve"> </w:t>
      </w:r>
      <w:r w:rsidR="004660AB" w:rsidRPr="005B0816">
        <w:rPr>
          <w:sz w:val="22"/>
          <w:szCs w:val="22"/>
        </w:rPr>
        <w:t xml:space="preserve">expand </w:t>
      </w:r>
      <w:r w:rsidR="003C1D15" w:rsidRPr="005B0816">
        <w:rPr>
          <w:sz w:val="22"/>
          <w:szCs w:val="22"/>
        </w:rPr>
        <w:t>the exchanges of industrial products</w:t>
      </w:r>
      <w:r w:rsidR="004660AB" w:rsidRPr="005B0816">
        <w:rPr>
          <w:sz w:val="22"/>
          <w:szCs w:val="22"/>
        </w:rPr>
        <w:t>,</w:t>
      </w:r>
      <w:r w:rsidR="003C1D15" w:rsidRPr="005B0816">
        <w:rPr>
          <w:sz w:val="22"/>
          <w:szCs w:val="22"/>
        </w:rPr>
        <w:t xml:space="preserve"> thus </w:t>
      </w:r>
      <w:r w:rsidR="004660AB" w:rsidRPr="005B0816">
        <w:rPr>
          <w:sz w:val="22"/>
          <w:szCs w:val="22"/>
        </w:rPr>
        <w:t>increasing</w:t>
      </w:r>
      <w:r w:rsidR="005677D6" w:rsidRPr="005B0816">
        <w:rPr>
          <w:sz w:val="22"/>
          <w:szCs w:val="22"/>
        </w:rPr>
        <w:t xml:space="preserve"> the sophis</w:t>
      </w:r>
      <w:r w:rsidR="00DE0581" w:rsidRPr="005B0816">
        <w:rPr>
          <w:sz w:val="22"/>
          <w:szCs w:val="22"/>
        </w:rPr>
        <w:t>tication of intra-African trade</w:t>
      </w:r>
      <w:r w:rsidR="005B7150" w:rsidRPr="005B0816">
        <w:rPr>
          <w:sz w:val="22"/>
          <w:szCs w:val="22"/>
        </w:rPr>
        <w:t xml:space="preserve">. </w:t>
      </w:r>
      <w:r w:rsidR="004660AB" w:rsidRPr="005B0816">
        <w:rPr>
          <w:sz w:val="22"/>
          <w:szCs w:val="22"/>
        </w:rPr>
        <w:t>I</w:t>
      </w:r>
      <w:r w:rsidR="00861B5C" w:rsidRPr="005B0816">
        <w:rPr>
          <w:sz w:val="22"/>
          <w:szCs w:val="22"/>
        </w:rPr>
        <w:t>n percent</w:t>
      </w:r>
      <w:r w:rsidR="00125F34" w:rsidRPr="005B0816">
        <w:rPr>
          <w:sz w:val="22"/>
          <w:szCs w:val="22"/>
        </w:rPr>
        <w:t>age</w:t>
      </w:r>
      <w:r w:rsidR="00861B5C" w:rsidRPr="005B0816">
        <w:rPr>
          <w:sz w:val="22"/>
          <w:szCs w:val="22"/>
        </w:rPr>
        <w:t xml:space="preserve"> terms the increase of Africa’s industrial exports would </w:t>
      </w:r>
      <w:r w:rsidR="00800461" w:rsidRPr="005B0816">
        <w:rPr>
          <w:sz w:val="22"/>
          <w:szCs w:val="22"/>
        </w:rPr>
        <w:t xml:space="preserve">surpass that </w:t>
      </w:r>
      <w:r w:rsidR="00861B5C" w:rsidRPr="005B0816">
        <w:rPr>
          <w:sz w:val="22"/>
          <w:szCs w:val="22"/>
        </w:rPr>
        <w:t xml:space="preserve">of </w:t>
      </w:r>
      <w:smartTag w:uri="urn:schemas-microsoft-com:office:smarttags" w:element="place">
        <w:r w:rsidR="00861B5C" w:rsidRPr="005B0816">
          <w:rPr>
            <w:sz w:val="22"/>
            <w:szCs w:val="22"/>
          </w:rPr>
          <w:t>Africa</w:t>
        </w:r>
      </w:smartTag>
      <w:r w:rsidR="00861B5C" w:rsidRPr="005B0816">
        <w:rPr>
          <w:sz w:val="22"/>
          <w:szCs w:val="22"/>
        </w:rPr>
        <w:t>’s agricultur</w:t>
      </w:r>
      <w:r w:rsidR="00800461" w:rsidRPr="005B0816">
        <w:rPr>
          <w:sz w:val="22"/>
          <w:szCs w:val="22"/>
        </w:rPr>
        <w:t>al</w:t>
      </w:r>
      <w:r w:rsidR="00861B5C" w:rsidRPr="005B0816">
        <w:rPr>
          <w:sz w:val="22"/>
          <w:szCs w:val="22"/>
        </w:rPr>
        <w:t xml:space="preserve"> and food exports, leading to higher wage increase for skilled and unskilled workers employed in non-agricultural activities </w:t>
      </w:r>
      <w:r w:rsidR="004660AB" w:rsidRPr="005B0816">
        <w:rPr>
          <w:sz w:val="22"/>
          <w:szCs w:val="22"/>
        </w:rPr>
        <w:t xml:space="preserve">than for </w:t>
      </w:r>
      <w:r w:rsidR="00800461" w:rsidRPr="005B0816">
        <w:rPr>
          <w:sz w:val="22"/>
          <w:szCs w:val="22"/>
        </w:rPr>
        <w:t>their counterparts</w:t>
      </w:r>
      <w:r w:rsidR="00C320D8">
        <w:rPr>
          <w:sz w:val="22"/>
          <w:szCs w:val="22"/>
        </w:rPr>
        <w:t xml:space="preserve"> in agriculture</w:t>
      </w:r>
      <w:r w:rsidR="004660AB" w:rsidRPr="005B0816">
        <w:rPr>
          <w:sz w:val="22"/>
          <w:szCs w:val="22"/>
        </w:rPr>
        <w:t>.</w:t>
      </w:r>
    </w:p>
    <w:p w:rsidR="003C1D15" w:rsidRPr="005B0816" w:rsidRDefault="004660AB" w:rsidP="006D5982">
      <w:pPr>
        <w:spacing w:line="360" w:lineRule="auto"/>
        <w:rPr>
          <w:sz w:val="22"/>
          <w:szCs w:val="22"/>
        </w:rPr>
      </w:pPr>
      <w:r w:rsidRPr="005B0816">
        <w:rPr>
          <w:sz w:val="22"/>
          <w:szCs w:val="22"/>
        </w:rPr>
        <w:t>Wh</w:t>
      </w:r>
      <w:r w:rsidR="00E576F0" w:rsidRPr="005B0816">
        <w:rPr>
          <w:sz w:val="22"/>
          <w:szCs w:val="22"/>
        </w:rPr>
        <w:t>i</w:t>
      </w:r>
      <w:r w:rsidRPr="005B0816">
        <w:rPr>
          <w:sz w:val="22"/>
          <w:szCs w:val="22"/>
        </w:rPr>
        <w:t xml:space="preserve">le </w:t>
      </w:r>
      <w:r w:rsidR="00861B5C" w:rsidRPr="005B0816">
        <w:rPr>
          <w:sz w:val="22"/>
          <w:szCs w:val="22"/>
        </w:rPr>
        <w:t xml:space="preserve">real wages </w:t>
      </w:r>
      <w:r w:rsidRPr="005B0816">
        <w:rPr>
          <w:sz w:val="22"/>
          <w:szCs w:val="22"/>
        </w:rPr>
        <w:t xml:space="preserve">in agriculture </w:t>
      </w:r>
      <w:r w:rsidR="00861B5C" w:rsidRPr="005B0816">
        <w:rPr>
          <w:sz w:val="22"/>
          <w:szCs w:val="22"/>
        </w:rPr>
        <w:t xml:space="preserve">would </w:t>
      </w:r>
      <w:r w:rsidRPr="005B0816">
        <w:rPr>
          <w:sz w:val="22"/>
          <w:szCs w:val="22"/>
        </w:rPr>
        <w:t>still increase</w:t>
      </w:r>
      <w:r w:rsidR="00861B5C" w:rsidRPr="005B0816">
        <w:rPr>
          <w:sz w:val="22"/>
          <w:szCs w:val="22"/>
        </w:rPr>
        <w:t xml:space="preserve"> significant</w:t>
      </w:r>
      <w:r w:rsidRPr="005B0816">
        <w:rPr>
          <w:sz w:val="22"/>
          <w:szCs w:val="22"/>
        </w:rPr>
        <w:t xml:space="preserve">ly, </w:t>
      </w:r>
      <w:r w:rsidR="00CA5A45" w:rsidRPr="005B0816">
        <w:rPr>
          <w:sz w:val="22"/>
          <w:szCs w:val="22"/>
        </w:rPr>
        <w:t>e</w:t>
      </w:r>
      <w:r w:rsidR="003C1D15" w:rsidRPr="005B0816">
        <w:rPr>
          <w:sz w:val="22"/>
          <w:szCs w:val="22"/>
        </w:rPr>
        <w:t xml:space="preserve">mployment in agriculture in </w:t>
      </w:r>
      <w:smartTag w:uri="urn:schemas-microsoft-com:office:smarttags" w:element="place">
        <w:r w:rsidR="003C1D15" w:rsidRPr="005B0816">
          <w:rPr>
            <w:sz w:val="22"/>
            <w:szCs w:val="22"/>
          </w:rPr>
          <w:t>Africa</w:t>
        </w:r>
      </w:smartTag>
      <w:r w:rsidR="003C1D15" w:rsidRPr="005B0816">
        <w:rPr>
          <w:sz w:val="22"/>
          <w:szCs w:val="22"/>
        </w:rPr>
        <w:t xml:space="preserve"> </w:t>
      </w:r>
      <w:r w:rsidR="00C320D8">
        <w:rPr>
          <w:sz w:val="22"/>
          <w:szCs w:val="22"/>
        </w:rPr>
        <w:t>is</w:t>
      </w:r>
      <w:r w:rsidR="00C320D8" w:rsidRPr="005B0816">
        <w:rPr>
          <w:sz w:val="22"/>
          <w:szCs w:val="22"/>
        </w:rPr>
        <w:t xml:space="preserve"> </w:t>
      </w:r>
      <w:r w:rsidR="00E576F0" w:rsidRPr="005B0816">
        <w:rPr>
          <w:sz w:val="22"/>
          <w:szCs w:val="22"/>
        </w:rPr>
        <w:t xml:space="preserve">projected to </w:t>
      </w:r>
      <w:r w:rsidR="003C1D15" w:rsidRPr="005B0816">
        <w:rPr>
          <w:sz w:val="22"/>
          <w:szCs w:val="22"/>
        </w:rPr>
        <w:t xml:space="preserve">decrease </w:t>
      </w:r>
      <w:r w:rsidR="00E576F0" w:rsidRPr="005B0816">
        <w:rPr>
          <w:sz w:val="22"/>
          <w:szCs w:val="22"/>
        </w:rPr>
        <w:t xml:space="preserve">slightly </w:t>
      </w:r>
      <w:r w:rsidR="003C1D15" w:rsidRPr="005B0816">
        <w:rPr>
          <w:sz w:val="22"/>
          <w:szCs w:val="22"/>
        </w:rPr>
        <w:t xml:space="preserve">because </w:t>
      </w:r>
      <w:r w:rsidR="00C31B0B" w:rsidRPr="005B0816">
        <w:rPr>
          <w:sz w:val="22"/>
          <w:szCs w:val="22"/>
        </w:rPr>
        <w:t>labour</w:t>
      </w:r>
      <w:r w:rsidR="003C1D15" w:rsidRPr="005B0816">
        <w:rPr>
          <w:sz w:val="22"/>
          <w:szCs w:val="22"/>
        </w:rPr>
        <w:t xml:space="preserve"> demand in the industrial sector would increase relatively more</w:t>
      </w:r>
      <w:r w:rsidR="00CA5A45" w:rsidRPr="005B0816">
        <w:rPr>
          <w:sz w:val="22"/>
          <w:szCs w:val="22"/>
        </w:rPr>
        <w:t xml:space="preserve"> and </w:t>
      </w:r>
      <w:r w:rsidR="00E576F0" w:rsidRPr="005B0816">
        <w:rPr>
          <w:sz w:val="22"/>
          <w:szCs w:val="22"/>
        </w:rPr>
        <w:t>because of the model’s</w:t>
      </w:r>
      <w:r w:rsidR="00CA5A45" w:rsidRPr="005B0816">
        <w:rPr>
          <w:sz w:val="22"/>
          <w:szCs w:val="22"/>
        </w:rPr>
        <w:t xml:space="preserve"> assumption of fixed employment</w:t>
      </w:r>
      <w:r w:rsidR="003C1D15" w:rsidRPr="005B0816">
        <w:rPr>
          <w:sz w:val="22"/>
          <w:szCs w:val="22"/>
        </w:rPr>
        <w:t>.</w:t>
      </w:r>
      <w:r w:rsidR="00E576F0" w:rsidRPr="005B0816">
        <w:rPr>
          <w:sz w:val="22"/>
          <w:szCs w:val="22"/>
        </w:rPr>
        <w:t xml:space="preserve"> T</w:t>
      </w:r>
      <w:r w:rsidR="00300335" w:rsidRPr="005B0816">
        <w:rPr>
          <w:sz w:val="22"/>
          <w:szCs w:val="22"/>
        </w:rPr>
        <w:t>he decreas</w:t>
      </w:r>
      <w:r w:rsidR="00E576F0" w:rsidRPr="005B0816">
        <w:rPr>
          <w:sz w:val="22"/>
          <w:szCs w:val="22"/>
        </w:rPr>
        <w:t>e</w:t>
      </w:r>
      <w:r w:rsidR="00300335" w:rsidRPr="005B0816">
        <w:rPr>
          <w:sz w:val="22"/>
          <w:szCs w:val="22"/>
        </w:rPr>
        <w:t xml:space="preserve"> in agricultur</w:t>
      </w:r>
      <w:r w:rsidR="00E576F0" w:rsidRPr="005B0816">
        <w:rPr>
          <w:sz w:val="22"/>
          <w:szCs w:val="22"/>
        </w:rPr>
        <w:t>al employment</w:t>
      </w:r>
      <w:r w:rsidR="00300335" w:rsidRPr="005B0816">
        <w:rPr>
          <w:sz w:val="22"/>
          <w:szCs w:val="22"/>
        </w:rPr>
        <w:t xml:space="preserve"> does not </w:t>
      </w:r>
      <w:r w:rsidR="00CA5A45" w:rsidRPr="005B0816">
        <w:rPr>
          <w:sz w:val="22"/>
          <w:szCs w:val="22"/>
        </w:rPr>
        <w:t xml:space="preserve">necessarily </w:t>
      </w:r>
      <w:r w:rsidR="00300335" w:rsidRPr="005B0816">
        <w:rPr>
          <w:sz w:val="22"/>
          <w:szCs w:val="22"/>
        </w:rPr>
        <w:t xml:space="preserve">mean that unemployment </w:t>
      </w:r>
      <w:r w:rsidR="00C72869" w:rsidRPr="005B0816">
        <w:rPr>
          <w:sz w:val="22"/>
          <w:szCs w:val="22"/>
        </w:rPr>
        <w:t>is</w:t>
      </w:r>
      <w:r w:rsidR="00300335" w:rsidRPr="005B0816">
        <w:rPr>
          <w:sz w:val="22"/>
          <w:szCs w:val="22"/>
        </w:rPr>
        <w:t xml:space="preserve"> rising</w:t>
      </w:r>
      <w:r w:rsidR="00E576F0" w:rsidRPr="005B0816">
        <w:rPr>
          <w:sz w:val="22"/>
          <w:szCs w:val="22"/>
        </w:rPr>
        <w:t>,</w:t>
      </w:r>
      <w:r w:rsidR="00CA5A45" w:rsidRPr="005B0816">
        <w:rPr>
          <w:sz w:val="22"/>
          <w:szCs w:val="22"/>
        </w:rPr>
        <w:t xml:space="preserve"> but rather </w:t>
      </w:r>
      <w:r w:rsidR="00E576F0" w:rsidRPr="005B0816">
        <w:rPr>
          <w:sz w:val="22"/>
          <w:szCs w:val="22"/>
        </w:rPr>
        <w:t xml:space="preserve">it reflects </w:t>
      </w:r>
      <w:r w:rsidR="00CA5A45" w:rsidRPr="005B0816">
        <w:rPr>
          <w:sz w:val="22"/>
          <w:szCs w:val="22"/>
        </w:rPr>
        <w:t>a reallocation of workers from one sector to another</w:t>
      </w:r>
      <w:r w:rsidR="00300335" w:rsidRPr="005B0816">
        <w:rPr>
          <w:sz w:val="22"/>
          <w:szCs w:val="22"/>
        </w:rPr>
        <w:t xml:space="preserve">. </w:t>
      </w:r>
      <w:r w:rsidR="0026256C" w:rsidRPr="005B0816">
        <w:rPr>
          <w:sz w:val="22"/>
          <w:szCs w:val="22"/>
        </w:rPr>
        <w:t>Since the industr</w:t>
      </w:r>
      <w:r w:rsidR="00C320D8">
        <w:rPr>
          <w:sz w:val="22"/>
          <w:szCs w:val="22"/>
        </w:rPr>
        <w:t>ial</w:t>
      </w:r>
      <w:r w:rsidR="0026256C" w:rsidRPr="005B0816">
        <w:rPr>
          <w:sz w:val="22"/>
          <w:szCs w:val="22"/>
        </w:rPr>
        <w:t xml:space="preserve"> sector is in general more productive than the agricultural sector (</w:t>
      </w:r>
      <w:r w:rsidR="00E576F0" w:rsidRPr="005B0816">
        <w:rPr>
          <w:sz w:val="22"/>
          <w:szCs w:val="22"/>
        </w:rPr>
        <w:t xml:space="preserve">the </w:t>
      </w:r>
      <w:r w:rsidR="0026256C" w:rsidRPr="005B0816">
        <w:rPr>
          <w:sz w:val="22"/>
          <w:szCs w:val="22"/>
        </w:rPr>
        <w:t>6</w:t>
      </w:r>
      <w:r w:rsidR="001C0507" w:rsidRPr="005B0816">
        <w:rPr>
          <w:sz w:val="22"/>
          <w:szCs w:val="22"/>
        </w:rPr>
        <w:t>5</w:t>
      </w:r>
      <w:r w:rsidR="0026256C" w:rsidRPr="005B0816">
        <w:rPr>
          <w:sz w:val="22"/>
          <w:szCs w:val="22"/>
        </w:rPr>
        <w:t xml:space="preserve"> per cent of </w:t>
      </w:r>
      <w:r w:rsidR="00C31B0B" w:rsidRPr="005B0816">
        <w:rPr>
          <w:sz w:val="22"/>
          <w:szCs w:val="22"/>
        </w:rPr>
        <w:t>labour</w:t>
      </w:r>
      <w:r w:rsidR="001C0507" w:rsidRPr="005B0816">
        <w:rPr>
          <w:sz w:val="22"/>
          <w:szCs w:val="22"/>
        </w:rPr>
        <w:t xml:space="preserve"> force</w:t>
      </w:r>
      <w:r w:rsidR="0026256C" w:rsidRPr="005B0816">
        <w:rPr>
          <w:sz w:val="22"/>
          <w:szCs w:val="22"/>
        </w:rPr>
        <w:t xml:space="preserve"> </w:t>
      </w:r>
      <w:r w:rsidR="00E576F0" w:rsidRPr="005B0816">
        <w:rPr>
          <w:sz w:val="22"/>
          <w:szCs w:val="22"/>
        </w:rPr>
        <w:t xml:space="preserve">engaged </w:t>
      </w:r>
      <w:r w:rsidR="0026256C" w:rsidRPr="005B0816">
        <w:rPr>
          <w:sz w:val="22"/>
          <w:szCs w:val="22"/>
        </w:rPr>
        <w:t xml:space="preserve">in agriculture in </w:t>
      </w:r>
      <w:smartTag w:uri="urn:schemas-microsoft-com:office:smarttags" w:element="place">
        <w:r w:rsidR="0026256C" w:rsidRPr="005B0816">
          <w:rPr>
            <w:sz w:val="22"/>
            <w:szCs w:val="22"/>
          </w:rPr>
          <w:t>Africa</w:t>
        </w:r>
      </w:smartTag>
      <w:r w:rsidR="0026256C" w:rsidRPr="005B0816">
        <w:rPr>
          <w:sz w:val="22"/>
          <w:szCs w:val="22"/>
        </w:rPr>
        <w:t xml:space="preserve"> contribute</w:t>
      </w:r>
      <w:r w:rsidR="001C0507" w:rsidRPr="005B0816">
        <w:rPr>
          <w:sz w:val="22"/>
          <w:szCs w:val="22"/>
        </w:rPr>
        <w:t>s</w:t>
      </w:r>
      <w:r w:rsidR="0026256C" w:rsidRPr="005B0816">
        <w:rPr>
          <w:sz w:val="22"/>
          <w:szCs w:val="22"/>
        </w:rPr>
        <w:t xml:space="preserve"> </w:t>
      </w:r>
      <w:r w:rsidR="001C0507" w:rsidRPr="005B0816">
        <w:rPr>
          <w:sz w:val="22"/>
          <w:szCs w:val="22"/>
        </w:rPr>
        <w:t>32</w:t>
      </w:r>
      <w:r w:rsidR="0026256C" w:rsidRPr="005B0816">
        <w:rPr>
          <w:sz w:val="22"/>
          <w:szCs w:val="22"/>
        </w:rPr>
        <w:t xml:space="preserve"> per cent </w:t>
      </w:r>
      <w:r w:rsidR="001C0507" w:rsidRPr="005B0816">
        <w:rPr>
          <w:sz w:val="22"/>
          <w:szCs w:val="22"/>
        </w:rPr>
        <w:t>of</w:t>
      </w:r>
      <w:r w:rsidR="0026256C" w:rsidRPr="005B0816">
        <w:rPr>
          <w:sz w:val="22"/>
          <w:szCs w:val="22"/>
        </w:rPr>
        <w:t xml:space="preserve"> GDP)</w:t>
      </w:r>
      <w:r w:rsidR="00C320D8">
        <w:rPr>
          <w:sz w:val="22"/>
          <w:szCs w:val="22"/>
        </w:rPr>
        <w:t>,</w:t>
      </w:r>
      <w:r w:rsidR="0026256C" w:rsidRPr="005B0816">
        <w:rPr>
          <w:sz w:val="22"/>
          <w:szCs w:val="22"/>
        </w:rPr>
        <w:t xml:space="preserve"> this </w:t>
      </w:r>
      <w:r w:rsidR="00E671A7" w:rsidRPr="005B0816">
        <w:rPr>
          <w:sz w:val="22"/>
          <w:szCs w:val="22"/>
        </w:rPr>
        <w:t>change would mean</w:t>
      </w:r>
      <w:r w:rsidR="0026256C" w:rsidRPr="005B0816">
        <w:rPr>
          <w:sz w:val="22"/>
          <w:szCs w:val="22"/>
        </w:rPr>
        <w:t xml:space="preserve"> an increase in total productivity. Structural change that contributes to growth is very much needed in </w:t>
      </w:r>
      <w:smartTag w:uri="urn:schemas-microsoft-com:office:smarttags" w:element="place">
        <w:r w:rsidR="0026256C" w:rsidRPr="005B0816">
          <w:rPr>
            <w:sz w:val="22"/>
            <w:szCs w:val="22"/>
          </w:rPr>
          <w:t>Africa</w:t>
        </w:r>
      </w:smartTag>
      <w:r w:rsidR="0026256C" w:rsidRPr="005B0816">
        <w:rPr>
          <w:sz w:val="22"/>
          <w:szCs w:val="22"/>
        </w:rPr>
        <w:t>. McMillan and Rodrik (2011) observe a growth-</w:t>
      </w:r>
      <w:r w:rsidR="0026256C" w:rsidRPr="005B0816">
        <w:rPr>
          <w:i/>
          <w:sz w:val="22"/>
          <w:szCs w:val="22"/>
        </w:rPr>
        <w:t>reducing</w:t>
      </w:r>
      <w:r w:rsidR="0026256C" w:rsidRPr="005B0816">
        <w:rPr>
          <w:sz w:val="22"/>
          <w:szCs w:val="22"/>
        </w:rPr>
        <w:t xml:space="preserve"> structural change </w:t>
      </w:r>
      <w:r w:rsidR="00E671A7" w:rsidRPr="005B0816">
        <w:rPr>
          <w:sz w:val="22"/>
          <w:szCs w:val="22"/>
        </w:rPr>
        <w:t xml:space="preserve">for </w:t>
      </w:r>
      <w:smartTag w:uri="urn:schemas-microsoft-com:office:smarttags" w:element="place">
        <w:r w:rsidR="00E671A7" w:rsidRPr="005B0816">
          <w:rPr>
            <w:sz w:val="22"/>
            <w:szCs w:val="22"/>
          </w:rPr>
          <w:t>Africa</w:t>
        </w:r>
      </w:smartTag>
      <w:r w:rsidR="00E671A7" w:rsidRPr="005B0816">
        <w:rPr>
          <w:sz w:val="22"/>
          <w:szCs w:val="22"/>
        </w:rPr>
        <w:t xml:space="preserve"> </w:t>
      </w:r>
      <w:r w:rsidR="0026256C" w:rsidRPr="005B0816">
        <w:rPr>
          <w:sz w:val="22"/>
          <w:szCs w:val="22"/>
        </w:rPr>
        <w:t>between 1990 and 2005</w:t>
      </w:r>
      <w:r w:rsidR="009E5D22" w:rsidRPr="005B0816">
        <w:rPr>
          <w:sz w:val="22"/>
          <w:szCs w:val="22"/>
        </w:rPr>
        <w:t xml:space="preserve">, that is to say, </w:t>
      </w:r>
      <w:r w:rsidR="00E671A7" w:rsidRPr="005B0816">
        <w:rPr>
          <w:sz w:val="22"/>
          <w:szCs w:val="22"/>
        </w:rPr>
        <w:t xml:space="preserve">on </w:t>
      </w:r>
      <w:proofErr w:type="gramStart"/>
      <w:r w:rsidR="00E671A7" w:rsidRPr="005B0816">
        <w:rPr>
          <w:sz w:val="22"/>
          <w:szCs w:val="22"/>
        </w:rPr>
        <w:t>balance,</w:t>
      </w:r>
      <w:proofErr w:type="gramEnd"/>
      <w:r w:rsidR="00E671A7" w:rsidRPr="005B0816">
        <w:rPr>
          <w:sz w:val="22"/>
          <w:szCs w:val="22"/>
        </w:rPr>
        <w:t xml:space="preserve"> </w:t>
      </w:r>
      <w:r w:rsidR="0026256C" w:rsidRPr="005B0816">
        <w:rPr>
          <w:sz w:val="22"/>
          <w:szCs w:val="22"/>
        </w:rPr>
        <w:t xml:space="preserve">resources </w:t>
      </w:r>
      <w:r w:rsidR="003062E0" w:rsidRPr="005B0816">
        <w:rPr>
          <w:sz w:val="22"/>
          <w:szCs w:val="22"/>
        </w:rPr>
        <w:t xml:space="preserve">were </w:t>
      </w:r>
      <w:r w:rsidR="0026256C" w:rsidRPr="005B0816">
        <w:rPr>
          <w:sz w:val="22"/>
          <w:szCs w:val="22"/>
        </w:rPr>
        <w:t xml:space="preserve">moved from </w:t>
      </w:r>
      <w:r w:rsidR="00E671A7" w:rsidRPr="005B0816">
        <w:rPr>
          <w:sz w:val="22"/>
          <w:szCs w:val="22"/>
        </w:rPr>
        <w:t xml:space="preserve">more </w:t>
      </w:r>
      <w:r w:rsidR="0026256C" w:rsidRPr="005B0816">
        <w:rPr>
          <w:sz w:val="22"/>
          <w:szCs w:val="22"/>
        </w:rPr>
        <w:t xml:space="preserve">productive sectors into less productive </w:t>
      </w:r>
      <w:r w:rsidR="009E5D22" w:rsidRPr="005B0816">
        <w:rPr>
          <w:sz w:val="22"/>
          <w:szCs w:val="22"/>
        </w:rPr>
        <w:t>ones</w:t>
      </w:r>
      <w:r w:rsidR="0026256C" w:rsidRPr="005B0816">
        <w:rPr>
          <w:sz w:val="22"/>
          <w:szCs w:val="22"/>
        </w:rPr>
        <w:t xml:space="preserve">. </w:t>
      </w:r>
      <w:r w:rsidR="009E5D22" w:rsidRPr="005B0816">
        <w:rPr>
          <w:sz w:val="22"/>
          <w:szCs w:val="22"/>
        </w:rPr>
        <w:t xml:space="preserve">Therefore, a </w:t>
      </w:r>
      <w:r w:rsidR="003062E0" w:rsidRPr="005B0816">
        <w:rPr>
          <w:sz w:val="22"/>
          <w:szCs w:val="22"/>
        </w:rPr>
        <w:t xml:space="preserve">CFTA </w:t>
      </w:r>
      <w:r w:rsidR="009E5D22" w:rsidRPr="005B0816">
        <w:rPr>
          <w:sz w:val="22"/>
          <w:szCs w:val="22"/>
        </w:rPr>
        <w:t xml:space="preserve">that could help production and export structures of African economies </w:t>
      </w:r>
      <w:r w:rsidR="00E671A7" w:rsidRPr="005B0816">
        <w:rPr>
          <w:sz w:val="22"/>
          <w:szCs w:val="22"/>
        </w:rPr>
        <w:t xml:space="preserve">to </w:t>
      </w:r>
      <w:r w:rsidR="009E5D22" w:rsidRPr="005B0816">
        <w:rPr>
          <w:sz w:val="22"/>
          <w:szCs w:val="22"/>
        </w:rPr>
        <w:t>mov</w:t>
      </w:r>
      <w:r w:rsidR="00E671A7" w:rsidRPr="005B0816">
        <w:rPr>
          <w:sz w:val="22"/>
          <w:szCs w:val="22"/>
        </w:rPr>
        <w:t>e</w:t>
      </w:r>
      <w:r w:rsidR="009E5D22" w:rsidRPr="005B0816">
        <w:rPr>
          <w:sz w:val="22"/>
          <w:szCs w:val="22"/>
        </w:rPr>
        <w:t xml:space="preserve"> away from primary commodities and giv</w:t>
      </w:r>
      <w:r w:rsidR="00E671A7" w:rsidRPr="005B0816">
        <w:rPr>
          <w:sz w:val="22"/>
          <w:szCs w:val="22"/>
        </w:rPr>
        <w:t>e</w:t>
      </w:r>
      <w:r w:rsidR="009E5D22" w:rsidRPr="005B0816">
        <w:rPr>
          <w:sz w:val="22"/>
          <w:szCs w:val="22"/>
        </w:rPr>
        <w:t xml:space="preserve"> more weight to industry would facilitate the </w:t>
      </w:r>
      <w:r w:rsidR="00D8623E" w:rsidRPr="005B0816">
        <w:rPr>
          <w:sz w:val="22"/>
          <w:szCs w:val="22"/>
        </w:rPr>
        <w:t>transition</w:t>
      </w:r>
      <w:r w:rsidR="009E5D22" w:rsidRPr="005B0816">
        <w:rPr>
          <w:sz w:val="22"/>
          <w:szCs w:val="22"/>
        </w:rPr>
        <w:t xml:space="preserve"> in the right direction. However, efforts will be necessary to ensure appropriate human capital to </w:t>
      </w:r>
      <w:r w:rsidR="00D8623E" w:rsidRPr="005B0816">
        <w:rPr>
          <w:sz w:val="22"/>
          <w:szCs w:val="22"/>
        </w:rPr>
        <w:t xml:space="preserve">properly </w:t>
      </w:r>
      <w:r w:rsidR="00E671A7" w:rsidRPr="005B0816">
        <w:rPr>
          <w:sz w:val="22"/>
          <w:szCs w:val="22"/>
        </w:rPr>
        <w:t xml:space="preserve">meet </w:t>
      </w:r>
      <w:r w:rsidR="009E5D22" w:rsidRPr="005B0816">
        <w:rPr>
          <w:sz w:val="22"/>
          <w:szCs w:val="22"/>
        </w:rPr>
        <w:t>the challenge.</w:t>
      </w:r>
      <w:r w:rsidR="00977982" w:rsidRPr="005B0816">
        <w:rPr>
          <w:sz w:val="22"/>
          <w:szCs w:val="22"/>
        </w:rPr>
        <w:t xml:space="preserve"> This </w:t>
      </w:r>
      <w:r w:rsidR="00E671A7" w:rsidRPr="005B0816">
        <w:rPr>
          <w:sz w:val="22"/>
          <w:szCs w:val="22"/>
        </w:rPr>
        <w:t xml:space="preserve">requires greater </w:t>
      </w:r>
      <w:r w:rsidR="00977982" w:rsidRPr="005B0816">
        <w:rPr>
          <w:sz w:val="22"/>
          <w:szCs w:val="22"/>
        </w:rPr>
        <w:t>focus on men</w:t>
      </w:r>
      <w:r w:rsidR="00E671A7" w:rsidRPr="005B0816">
        <w:rPr>
          <w:sz w:val="22"/>
          <w:szCs w:val="22"/>
        </w:rPr>
        <w:t>’s</w:t>
      </w:r>
      <w:r w:rsidR="00977982" w:rsidRPr="005B0816">
        <w:rPr>
          <w:sz w:val="22"/>
          <w:szCs w:val="22"/>
        </w:rPr>
        <w:t xml:space="preserve"> and women</w:t>
      </w:r>
      <w:r w:rsidR="00D8623E" w:rsidRPr="005B0816">
        <w:rPr>
          <w:sz w:val="22"/>
          <w:szCs w:val="22"/>
        </w:rPr>
        <w:t>’s</w:t>
      </w:r>
      <w:r w:rsidR="00977982" w:rsidRPr="005B0816">
        <w:rPr>
          <w:sz w:val="22"/>
          <w:szCs w:val="22"/>
        </w:rPr>
        <w:t xml:space="preserve"> education and initiatives </w:t>
      </w:r>
      <w:r w:rsidR="00E671A7" w:rsidRPr="005B0816">
        <w:rPr>
          <w:sz w:val="22"/>
          <w:szCs w:val="22"/>
        </w:rPr>
        <w:t>that</w:t>
      </w:r>
      <w:r w:rsidR="00D8623E" w:rsidRPr="005B0816">
        <w:rPr>
          <w:sz w:val="22"/>
          <w:szCs w:val="22"/>
        </w:rPr>
        <w:t xml:space="preserve"> devote sufficient resources </w:t>
      </w:r>
      <w:r w:rsidR="00E671A7" w:rsidRPr="005B0816">
        <w:rPr>
          <w:sz w:val="22"/>
          <w:szCs w:val="22"/>
        </w:rPr>
        <w:t xml:space="preserve">to </w:t>
      </w:r>
      <w:r w:rsidR="00977982" w:rsidRPr="005B0816">
        <w:rPr>
          <w:sz w:val="22"/>
          <w:szCs w:val="22"/>
        </w:rPr>
        <w:t>encourag</w:t>
      </w:r>
      <w:r w:rsidR="00D8623E" w:rsidRPr="005B0816">
        <w:rPr>
          <w:sz w:val="22"/>
          <w:szCs w:val="22"/>
        </w:rPr>
        <w:t>ing</w:t>
      </w:r>
      <w:r w:rsidR="00977982" w:rsidRPr="005B0816">
        <w:rPr>
          <w:sz w:val="22"/>
          <w:szCs w:val="22"/>
        </w:rPr>
        <w:t xml:space="preserve"> creativity and innovat</w:t>
      </w:r>
      <w:r w:rsidR="00D8623E" w:rsidRPr="005B0816">
        <w:rPr>
          <w:sz w:val="22"/>
          <w:szCs w:val="22"/>
        </w:rPr>
        <w:t>ion</w:t>
      </w:r>
      <w:r w:rsidR="00977982" w:rsidRPr="005B0816">
        <w:rPr>
          <w:sz w:val="22"/>
          <w:szCs w:val="22"/>
        </w:rPr>
        <w:t>.</w:t>
      </w:r>
      <w:r w:rsidR="00D22201" w:rsidRPr="005B0816">
        <w:rPr>
          <w:sz w:val="22"/>
          <w:szCs w:val="22"/>
        </w:rPr>
        <w:t xml:space="preserve"> Measures aiming at developing productive capacities will also be essential and could help promot</w:t>
      </w:r>
      <w:r w:rsidR="00E671A7" w:rsidRPr="005B0816">
        <w:rPr>
          <w:sz w:val="22"/>
          <w:szCs w:val="22"/>
        </w:rPr>
        <w:t>e</w:t>
      </w:r>
      <w:r w:rsidR="00D22201" w:rsidRPr="005B0816">
        <w:rPr>
          <w:sz w:val="22"/>
          <w:szCs w:val="22"/>
        </w:rPr>
        <w:t xml:space="preserve"> competitiveness and export diversification.</w:t>
      </w:r>
    </w:p>
    <w:p w:rsidR="00343FF6" w:rsidRPr="005B0816" w:rsidRDefault="003332AB" w:rsidP="006D5982">
      <w:pPr>
        <w:spacing w:line="360" w:lineRule="auto"/>
        <w:rPr>
          <w:sz w:val="22"/>
          <w:szCs w:val="22"/>
        </w:rPr>
      </w:pPr>
      <w:r w:rsidRPr="005B0816">
        <w:rPr>
          <w:sz w:val="22"/>
          <w:szCs w:val="22"/>
        </w:rPr>
        <w:t>T</w:t>
      </w:r>
      <w:r w:rsidR="00343FF6" w:rsidRPr="005B0816">
        <w:rPr>
          <w:sz w:val="22"/>
          <w:szCs w:val="22"/>
        </w:rPr>
        <w:t xml:space="preserve">he CGE analysis undertaken </w:t>
      </w:r>
      <w:r w:rsidR="00800461" w:rsidRPr="005B0816">
        <w:rPr>
          <w:sz w:val="22"/>
          <w:szCs w:val="22"/>
        </w:rPr>
        <w:t xml:space="preserve">entails </w:t>
      </w:r>
      <w:r w:rsidR="00343FF6" w:rsidRPr="005B0816">
        <w:rPr>
          <w:sz w:val="22"/>
          <w:szCs w:val="22"/>
        </w:rPr>
        <w:t>several limitations</w:t>
      </w:r>
      <w:r w:rsidR="00800461" w:rsidRPr="005B0816">
        <w:rPr>
          <w:sz w:val="22"/>
          <w:szCs w:val="22"/>
        </w:rPr>
        <w:t>,</w:t>
      </w:r>
      <w:r w:rsidR="00343FF6" w:rsidRPr="005B0816">
        <w:rPr>
          <w:sz w:val="22"/>
          <w:szCs w:val="22"/>
        </w:rPr>
        <w:t xml:space="preserve"> in particular </w:t>
      </w:r>
      <w:r w:rsidR="00800461" w:rsidRPr="005B0816">
        <w:rPr>
          <w:sz w:val="22"/>
          <w:szCs w:val="22"/>
        </w:rPr>
        <w:t xml:space="preserve">regarding the </w:t>
      </w:r>
      <w:r w:rsidR="00343FF6" w:rsidRPr="005B0816">
        <w:rPr>
          <w:sz w:val="22"/>
          <w:szCs w:val="22"/>
        </w:rPr>
        <w:t>represent</w:t>
      </w:r>
      <w:r w:rsidR="00800461" w:rsidRPr="005B0816">
        <w:rPr>
          <w:sz w:val="22"/>
          <w:szCs w:val="22"/>
        </w:rPr>
        <w:t>ation of</w:t>
      </w:r>
      <w:r w:rsidR="00343FF6" w:rsidRPr="005B0816">
        <w:rPr>
          <w:sz w:val="22"/>
          <w:szCs w:val="22"/>
        </w:rPr>
        <w:t xml:space="preserve"> African economies</w:t>
      </w:r>
      <w:r w:rsidR="00800461" w:rsidRPr="005B0816">
        <w:rPr>
          <w:sz w:val="22"/>
          <w:szCs w:val="22"/>
        </w:rPr>
        <w:t>,</w:t>
      </w:r>
      <w:r w:rsidR="00343FF6" w:rsidRPr="005B0816">
        <w:rPr>
          <w:sz w:val="22"/>
          <w:szCs w:val="22"/>
        </w:rPr>
        <w:t xml:space="preserve"> such as the lack o</w:t>
      </w:r>
      <w:r w:rsidR="00C320D8">
        <w:rPr>
          <w:sz w:val="22"/>
          <w:szCs w:val="22"/>
        </w:rPr>
        <w:t>f</w:t>
      </w:r>
      <w:r w:rsidR="00343FF6" w:rsidRPr="005B0816">
        <w:rPr>
          <w:sz w:val="22"/>
          <w:szCs w:val="22"/>
        </w:rPr>
        <w:t xml:space="preserve"> data </w:t>
      </w:r>
      <w:r w:rsidR="00800461" w:rsidRPr="005B0816">
        <w:rPr>
          <w:sz w:val="22"/>
          <w:szCs w:val="22"/>
        </w:rPr>
        <w:t>in the GTAP database</w:t>
      </w:r>
      <w:r w:rsidR="00343FF6" w:rsidRPr="005B0816">
        <w:rPr>
          <w:sz w:val="22"/>
          <w:szCs w:val="22"/>
        </w:rPr>
        <w:t>, the assumption of a single representative consumer for each economy</w:t>
      </w:r>
      <w:r w:rsidR="00E953AC" w:rsidRPr="005B0816">
        <w:rPr>
          <w:sz w:val="22"/>
          <w:szCs w:val="22"/>
        </w:rPr>
        <w:t>,</w:t>
      </w:r>
      <w:r w:rsidR="00343FF6" w:rsidRPr="005B0816">
        <w:rPr>
          <w:sz w:val="22"/>
          <w:szCs w:val="22"/>
        </w:rPr>
        <w:t xml:space="preserve"> </w:t>
      </w:r>
      <w:r w:rsidR="00800461" w:rsidRPr="005B0816">
        <w:rPr>
          <w:sz w:val="22"/>
          <w:szCs w:val="22"/>
        </w:rPr>
        <w:t xml:space="preserve">and </w:t>
      </w:r>
      <w:r w:rsidR="00343FF6" w:rsidRPr="005B0816">
        <w:rPr>
          <w:sz w:val="22"/>
          <w:szCs w:val="22"/>
        </w:rPr>
        <w:t>the</w:t>
      </w:r>
      <w:r w:rsidR="00CE42FE" w:rsidRPr="005B0816">
        <w:rPr>
          <w:sz w:val="22"/>
          <w:szCs w:val="22"/>
        </w:rPr>
        <w:t xml:space="preserve"> </w:t>
      </w:r>
      <w:r w:rsidR="00715DAB" w:rsidRPr="005B0816">
        <w:rPr>
          <w:sz w:val="22"/>
          <w:szCs w:val="22"/>
        </w:rPr>
        <w:t xml:space="preserve">assumption </w:t>
      </w:r>
      <w:r w:rsidR="00CE42FE" w:rsidRPr="005B0816">
        <w:rPr>
          <w:sz w:val="22"/>
          <w:szCs w:val="22"/>
        </w:rPr>
        <w:t>of</w:t>
      </w:r>
      <w:r w:rsidR="00343FF6" w:rsidRPr="005B0816">
        <w:rPr>
          <w:sz w:val="22"/>
          <w:szCs w:val="22"/>
        </w:rPr>
        <w:t xml:space="preserve"> full employment of </w:t>
      </w:r>
      <w:r w:rsidR="00C31B0B" w:rsidRPr="005B0816">
        <w:rPr>
          <w:sz w:val="22"/>
          <w:szCs w:val="22"/>
        </w:rPr>
        <w:t>labour</w:t>
      </w:r>
      <w:r w:rsidR="00CE42FE" w:rsidRPr="005B0816">
        <w:rPr>
          <w:sz w:val="22"/>
          <w:szCs w:val="22"/>
        </w:rPr>
        <w:t>.</w:t>
      </w:r>
      <w:r w:rsidR="00800461" w:rsidRPr="005B0816">
        <w:rPr>
          <w:sz w:val="22"/>
          <w:szCs w:val="22"/>
        </w:rPr>
        <w:t xml:space="preserve"> </w:t>
      </w:r>
      <w:r w:rsidR="00CE42FE" w:rsidRPr="005B0816">
        <w:rPr>
          <w:sz w:val="22"/>
          <w:szCs w:val="22"/>
        </w:rPr>
        <w:t>Still</w:t>
      </w:r>
      <w:r w:rsidR="00343FF6" w:rsidRPr="005B0816">
        <w:rPr>
          <w:sz w:val="22"/>
          <w:szCs w:val="22"/>
        </w:rPr>
        <w:t xml:space="preserve">, these caveats </w:t>
      </w:r>
      <w:r w:rsidR="00800461" w:rsidRPr="005B0816">
        <w:rPr>
          <w:sz w:val="22"/>
          <w:szCs w:val="22"/>
        </w:rPr>
        <w:t xml:space="preserve">should not </w:t>
      </w:r>
      <w:r w:rsidR="00CE42FE" w:rsidRPr="005B0816">
        <w:rPr>
          <w:sz w:val="22"/>
          <w:szCs w:val="22"/>
        </w:rPr>
        <w:t xml:space="preserve">detract from </w:t>
      </w:r>
      <w:r w:rsidR="00343FF6" w:rsidRPr="005B0816">
        <w:rPr>
          <w:sz w:val="22"/>
          <w:szCs w:val="22"/>
        </w:rPr>
        <w:t xml:space="preserve">the </w:t>
      </w:r>
      <w:r w:rsidR="00CE42FE" w:rsidRPr="005B0816">
        <w:rPr>
          <w:sz w:val="22"/>
          <w:szCs w:val="22"/>
        </w:rPr>
        <w:t xml:space="preserve">message of the </w:t>
      </w:r>
      <w:r w:rsidR="00343FF6" w:rsidRPr="005B0816">
        <w:rPr>
          <w:sz w:val="22"/>
          <w:szCs w:val="22"/>
        </w:rPr>
        <w:t>above findings</w:t>
      </w:r>
      <w:r w:rsidR="00800461" w:rsidRPr="005B0816">
        <w:rPr>
          <w:sz w:val="22"/>
          <w:szCs w:val="22"/>
        </w:rPr>
        <w:t>.</w:t>
      </w:r>
      <w:r w:rsidR="00343FF6" w:rsidRPr="005B0816">
        <w:rPr>
          <w:sz w:val="22"/>
          <w:szCs w:val="22"/>
        </w:rPr>
        <w:t xml:space="preserve"> </w:t>
      </w:r>
      <w:r w:rsidR="00CE42FE" w:rsidRPr="005B0816">
        <w:rPr>
          <w:sz w:val="22"/>
          <w:szCs w:val="22"/>
        </w:rPr>
        <w:t xml:space="preserve">They </w:t>
      </w:r>
      <w:r w:rsidR="00D8623E" w:rsidRPr="005B0816">
        <w:rPr>
          <w:sz w:val="22"/>
          <w:szCs w:val="22"/>
        </w:rPr>
        <w:t xml:space="preserve">clearly </w:t>
      </w:r>
      <w:r w:rsidR="00CE42FE" w:rsidRPr="005B0816">
        <w:rPr>
          <w:sz w:val="22"/>
          <w:szCs w:val="22"/>
        </w:rPr>
        <w:t>show</w:t>
      </w:r>
      <w:r w:rsidR="00D8623E" w:rsidRPr="005B0816">
        <w:rPr>
          <w:sz w:val="22"/>
          <w:szCs w:val="22"/>
        </w:rPr>
        <w:t xml:space="preserve"> that, despite mitigated gains at the country level, t</w:t>
      </w:r>
      <w:r w:rsidR="00C526D6" w:rsidRPr="005B0816">
        <w:rPr>
          <w:sz w:val="22"/>
          <w:szCs w:val="22"/>
        </w:rPr>
        <w:t>he larger the FTA reforms</w:t>
      </w:r>
      <w:r w:rsidR="00CE42FE" w:rsidRPr="005B0816">
        <w:rPr>
          <w:sz w:val="22"/>
          <w:szCs w:val="22"/>
        </w:rPr>
        <w:t>,</w:t>
      </w:r>
      <w:r w:rsidR="00343FF6" w:rsidRPr="005B0816">
        <w:rPr>
          <w:sz w:val="22"/>
          <w:szCs w:val="22"/>
        </w:rPr>
        <w:t xml:space="preserve"> the greater the </w:t>
      </w:r>
      <w:r w:rsidR="008135BD" w:rsidRPr="005B0816">
        <w:rPr>
          <w:sz w:val="22"/>
          <w:szCs w:val="22"/>
        </w:rPr>
        <w:t xml:space="preserve">overall </w:t>
      </w:r>
      <w:r w:rsidR="00343FF6" w:rsidRPr="005B0816">
        <w:rPr>
          <w:sz w:val="22"/>
          <w:szCs w:val="22"/>
        </w:rPr>
        <w:t>benefits</w:t>
      </w:r>
      <w:r w:rsidR="00D8623E" w:rsidRPr="005B0816">
        <w:rPr>
          <w:sz w:val="22"/>
          <w:szCs w:val="22"/>
        </w:rPr>
        <w:t xml:space="preserve"> for </w:t>
      </w:r>
      <w:smartTag w:uri="urn:schemas-microsoft-com:office:smarttags" w:element="place">
        <w:r w:rsidR="00715DAB" w:rsidRPr="005B0816">
          <w:rPr>
            <w:sz w:val="22"/>
            <w:szCs w:val="22"/>
          </w:rPr>
          <w:t>Africa</w:t>
        </w:r>
      </w:smartTag>
      <w:r w:rsidR="00CE42FE" w:rsidRPr="005B0816">
        <w:rPr>
          <w:sz w:val="22"/>
          <w:szCs w:val="22"/>
        </w:rPr>
        <w:t>.</w:t>
      </w:r>
      <w:r w:rsidR="00800461" w:rsidRPr="005B0816">
        <w:rPr>
          <w:sz w:val="22"/>
          <w:szCs w:val="22"/>
        </w:rPr>
        <w:t xml:space="preserve"> </w:t>
      </w:r>
      <w:r w:rsidR="00AB23C3" w:rsidRPr="005B0816">
        <w:rPr>
          <w:sz w:val="22"/>
          <w:szCs w:val="22"/>
        </w:rPr>
        <w:t>C</w:t>
      </w:r>
      <w:r w:rsidR="002116A7" w:rsidRPr="005B0816">
        <w:rPr>
          <w:sz w:val="22"/>
          <w:szCs w:val="22"/>
        </w:rPr>
        <w:t>omplement</w:t>
      </w:r>
      <w:r w:rsidR="00AB23C3" w:rsidRPr="005B0816">
        <w:rPr>
          <w:sz w:val="22"/>
          <w:szCs w:val="22"/>
        </w:rPr>
        <w:t xml:space="preserve">ary measures such as </w:t>
      </w:r>
      <w:r w:rsidR="002116A7" w:rsidRPr="005B0816">
        <w:rPr>
          <w:sz w:val="22"/>
          <w:szCs w:val="22"/>
        </w:rPr>
        <w:t>trade facilitation</w:t>
      </w:r>
      <w:r w:rsidR="00AB23C3" w:rsidRPr="005B0816">
        <w:rPr>
          <w:sz w:val="22"/>
          <w:szCs w:val="22"/>
        </w:rPr>
        <w:t xml:space="preserve"> are critical to ensure</w:t>
      </w:r>
      <w:r w:rsidR="002116A7" w:rsidRPr="005B0816">
        <w:rPr>
          <w:sz w:val="22"/>
          <w:szCs w:val="22"/>
        </w:rPr>
        <w:t xml:space="preserve"> </w:t>
      </w:r>
      <w:r w:rsidR="00AB23C3" w:rsidRPr="005B0816">
        <w:rPr>
          <w:sz w:val="22"/>
          <w:szCs w:val="22"/>
        </w:rPr>
        <w:t xml:space="preserve">that </w:t>
      </w:r>
      <w:r w:rsidR="00C20195" w:rsidRPr="005B0816">
        <w:rPr>
          <w:sz w:val="22"/>
          <w:szCs w:val="22"/>
        </w:rPr>
        <w:t>gains</w:t>
      </w:r>
      <w:r w:rsidR="002116A7" w:rsidRPr="005B0816">
        <w:rPr>
          <w:sz w:val="22"/>
          <w:szCs w:val="22"/>
        </w:rPr>
        <w:t xml:space="preserve"> are better redistributed</w:t>
      </w:r>
      <w:r w:rsidR="00CE42FE" w:rsidRPr="005B0816">
        <w:rPr>
          <w:sz w:val="22"/>
          <w:szCs w:val="22"/>
        </w:rPr>
        <w:t>,</w:t>
      </w:r>
      <w:r w:rsidR="00C20195" w:rsidRPr="005B0816">
        <w:rPr>
          <w:sz w:val="22"/>
          <w:szCs w:val="22"/>
        </w:rPr>
        <w:t xml:space="preserve"> and </w:t>
      </w:r>
      <w:r w:rsidR="00CE42FE" w:rsidRPr="005B0816">
        <w:rPr>
          <w:sz w:val="22"/>
          <w:szCs w:val="22"/>
        </w:rPr>
        <w:t xml:space="preserve">they </w:t>
      </w:r>
      <w:r w:rsidR="00C20195" w:rsidRPr="005B0816">
        <w:rPr>
          <w:sz w:val="22"/>
          <w:szCs w:val="22"/>
        </w:rPr>
        <w:t>could benefit all African countries</w:t>
      </w:r>
      <w:r w:rsidR="002116A7" w:rsidRPr="005B0816">
        <w:rPr>
          <w:sz w:val="22"/>
          <w:szCs w:val="22"/>
        </w:rPr>
        <w:t xml:space="preserve">. </w:t>
      </w:r>
      <w:r w:rsidR="00AB23C3" w:rsidRPr="005B0816">
        <w:rPr>
          <w:sz w:val="22"/>
          <w:szCs w:val="22"/>
        </w:rPr>
        <w:t>Tackling n</w:t>
      </w:r>
      <w:r w:rsidR="002116A7" w:rsidRPr="005B0816">
        <w:rPr>
          <w:sz w:val="22"/>
          <w:szCs w:val="22"/>
        </w:rPr>
        <w:t>on-tariff barriers to trade</w:t>
      </w:r>
      <w:r w:rsidR="00800461" w:rsidRPr="005B0816">
        <w:rPr>
          <w:sz w:val="22"/>
          <w:szCs w:val="22"/>
        </w:rPr>
        <w:t xml:space="preserve"> effectively</w:t>
      </w:r>
      <w:r w:rsidR="002116A7" w:rsidRPr="005B0816">
        <w:rPr>
          <w:sz w:val="22"/>
          <w:szCs w:val="22"/>
        </w:rPr>
        <w:t xml:space="preserve"> and improving infrastructure</w:t>
      </w:r>
      <w:r w:rsidR="00AB23C3" w:rsidRPr="005B0816">
        <w:rPr>
          <w:sz w:val="22"/>
          <w:szCs w:val="22"/>
        </w:rPr>
        <w:t xml:space="preserve"> </w:t>
      </w:r>
      <w:r w:rsidR="002116A7" w:rsidRPr="005B0816">
        <w:rPr>
          <w:sz w:val="22"/>
          <w:szCs w:val="22"/>
        </w:rPr>
        <w:t xml:space="preserve">should </w:t>
      </w:r>
      <w:r w:rsidR="00C526D6" w:rsidRPr="005B0816">
        <w:rPr>
          <w:sz w:val="22"/>
          <w:szCs w:val="22"/>
        </w:rPr>
        <w:t xml:space="preserve">certainly </w:t>
      </w:r>
      <w:r w:rsidR="00800461" w:rsidRPr="005B0816">
        <w:rPr>
          <w:sz w:val="22"/>
          <w:szCs w:val="22"/>
        </w:rPr>
        <w:t xml:space="preserve">be </w:t>
      </w:r>
      <w:r w:rsidR="00AB23C3" w:rsidRPr="005B0816">
        <w:rPr>
          <w:sz w:val="22"/>
          <w:szCs w:val="22"/>
        </w:rPr>
        <w:t xml:space="preserve">seen as a key </w:t>
      </w:r>
      <w:r w:rsidR="00800461" w:rsidRPr="005B0816">
        <w:rPr>
          <w:sz w:val="22"/>
          <w:szCs w:val="22"/>
        </w:rPr>
        <w:t>priorit</w:t>
      </w:r>
      <w:r w:rsidR="00AB23C3" w:rsidRPr="005B0816">
        <w:rPr>
          <w:sz w:val="22"/>
          <w:szCs w:val="22"/>
        </w:rPr>
        <w:t xml:space="preserve">y </w:t>
      </w:r>
      <w:r w:rsidR="002116A7" w:rsidRPr="005B0816">
        <w:rPr>
          <w:sz w:val="22"/>
          <w:szCs w:val="22"/>
        </w:rPr>
        <w:t xml:space="preserve">in the </w:t>
      </w:r>
      <w:r w:rsidR="00AB23C3" w:rsidRPr="005B0816">
        <w:rPr>
          <w:sz w:val="22"/>
          <w:szCs w:val="22"/>
        </w:rPr>
        <w:t>regional integration process</w:t>
      </w:r>
      <w:r w:rsidR="002116A7" w:rsidRPr="005B0816">
        <w:rPr>
          <w:sz w:val="22"/>
          <w:szCs w:val="22"/>
        </w:rPr>
        <w:t>. Finally, the expected impacts of the reforms on the</w:t>
      </w:r>
      <w:r w:rsidR="00CE42FE" w:rsidRPr="005B0816">
        <w:rPr>
          <w:sz w:val="22"/>
          <w:szCs w:val="22"/>
        </w:rPr>
        <w:t xml:space="preserve"> agriculture sector, which engages the</w:t>
      </w:r>
      <w:r w:rsidR="002116A7" w:rsidRPr="005B0816">
        <w:rPr>
          <w:sz w:val="22"/>
          <w:szCs w:val="22"/>
        </w:rPr>
        <w:t xml:space="preserve"> major part of </w:t>
      </w:r>
      <w:r w:rsidR="00800461" w:rsidRPr="005B0816">
        <w:rPr>
          <w:sz w:val="22"/>
          <w:szCs w:val="22"/>
        </w:rPr>
        <w:t xml:space="preserve">the </w:t>
      </w:r>
      <w:r w:rsidR="00C20195" w:rsidRPr="005B0816">
        <w:rPr>
          <w:sz w:val="22"/>
          <w:szCs w:val="22"/>
        </w:rPr>
        <w:t xml:space="preserve">continent’s </w:t>
      </w:r>
      <w:r w:rsidR="002116A7" w:rsidRPr="005B0816">
        <w:rPr>
          <w:sz w:val="22"/>
          <w:szCs w:val="22"/>
        </w:rPr>
        <w:t>population, are also encouraging</w:t>
      </w:r>
      <w:r w:rsidR="00CE42FE" w:rsidRPr="005B0816">
        <w:rPr>
          <w:sz w:val="22"/>
          <w:szCs w:val="22"/>
        </w:rPr>
        <w:t>,</w:t>
      </w:r>
      <w:r w:rsidR="00AB23C3" w:rsidRPr="005B0816">
        <w:rPr>
          <w:sz w:val="22"/>
          <w:szCs w:val="22"/>
        </w:rPr>
        <w:t xml:space="preserve"> although</w:t>
      </w:r>
      <w:r w:rsidR="002116A7" w:rsidRPr="005B0816">
        <w:rPr>
          <w:sz w:val="22"/>
          <w:szCs w:val="22"/>
        </w:rPr>
        <w:t xml:space="preserve"> </w:t>
      </w:r>
      <w:r w:rsidR="008620AD" w:rsidRPr="005B0816">
        <w:rPr>
          <w:sz w:val="22"/>
          <w:szCs w:val="22"/>
        </w:rPr>
        <w:t xml:space="preserve">also </w:t>
      </w:r>
      <w:r w:rsidR="00C20195" w:rsidRPr="005B0816">
        <w:rPr>
          <w:sz w:val="22"/>
          <w:szCs w:val="22"/>
        </w:rPr>
        <w:t>suggesti</w:t>
      </w:r>
      <w:r w:rsidR="008620AD" w:rsidRPr="005B0816">
        <w:rPr>
          <w:sz w:val="22"/>
          <w:szCs w:val="22"/>
        </w:rPr>
        <w:t>ng</w:t>
      </w:r>
      <w:r w:rsidR="002116A7" w:rsidRPr="005B0816">
        <w:rPr>
          <w:sz w:val="22"/>
          <w:szCs w:val="22"/>
        </w:rPr>
        <w:t xml:space="preserve"> the </w:t>
      </w:r>
      <w:r w:rsidR="0070784D" w:rsidRPr="005B0816">
        <w:rPr>
          <w:sz w:val="22"/>
          <w:szCs w:val="22"/>
        </w:rPr>
        <w:t>importance of</w:t>
      </w:r>
      <w:r w:rsidR="002116A7" w:rsidRPr="005B0816">
        <w:rPr>
          <w:sz w:val="22"/>
          <w:szCs w:val="22"/>
        </w:rPr>
        <w:t xml:space="preserve"> </w:t>
      </w:r>
      <w:r w:rsidR="00C20195" w:rsidRPr="005B0816">
        <w:rPr>
          <w:sz w:val="22"/>
          <w:szCs w:val="22"/>
        </w:rPr>
        <w:t>diversify</w:t>
      </w:r>
      <w:r w:rsidR="0070784D" w:rsidRPr="005B0816">
        <w:rPr>
          <w:sz w:val="22"/>
          <w:szCs w:val="22"/>
        </w:rPr>
        <w:t>ing</w:t>
      </w:r>
      <w:r w:rsidR="00C20195" w:rsidRPr="005B0816">
        <w:rPr>
          <w:sz w:val="22"/>
          <w:szCs w:val="22"/>
        </w:rPr>
        <w:t xml:space="preserve"> </w:t>
      </w:r>
      <w:r w:rsidR="00800461" w:rsidRPr="005B0816">
        <w:rPr>
          <w:sz w:val="22"/>
          <w:szCs w:val="22"/>
        </w:rPr>
        <w:t xml:space="preserve">economies </w:t>
      </w:r>
      <w:r w:rsidR="00C20195" w:rsidRPr="005B0816">
        <w:rPr>
          <w:sz w:val="22"/>
          <w:szCs w:val="22"/>
        </w:rPr>
        <w:t>further towards more industrialized structure</w:t>
      </w:r>
      <w:r w:rsidR="00AB23C3" w:rsidRPr="005B0816">
        <w:rPr>
          <w:sz w:val="22"/>
          <w:szCs w:val="22"/>
        </w:rPr>
        <w:t>s</w:t>
      </w:r>
      <w:r w:rsidR="002116A7" w:rsidRPr="005B0816">
        <w:rPr>
          <w:sz w:val="22"/>
          <w:szCs w:val="22"/>
        </w:rPr>
        <w:t>.</w:t>
      </w:r>
      <w:r w:rsidR="00483086" w:rsidRPr="005B0816">
        <w:rPr>
          <w:sz w:val="22"/>
          <w:szCs w:val="22"/>
        </w:rPr>
        <w:t xml:space="preserve"> In that respect, </w:t>
      </w:r>
      <w:bookmarkStart w:id="7" w:name="OLE_LINK8"/>
      <w:bookmarkStart w:id="8" w:name="OLE_LINK9"/>
      <w:r w:rsidR="00483086" w:rsidRPr="005B0816">
        <w:rPr>
          <w:sz w:val="22"/>
          <w:szCs w:val="22"/>
        </w:rPr>
        <w:t xml:space="preserve">education policies </w:t>
      </w:r>
      <w:bookmarkEnd w:id="7"/>
      <w:bookmarkEnd w:id="8"/>
      <w:r w:rsidR="00483086" w:rsidRPr="005B0816">
        <w:rPr>
          <w:sz w:val="22"/>
          <w:szCs w:val="22"/>
        </w:rPr>
        <w:t xml:space="preserve">should </w:t>
      </w:r>
      <w:r w:rsidR="0070784D" w:rsidRPr="005B0816">
        <w:rPr>
          <w:sz w:val="22"/>
          <w:szCs w:val="22"/>
        </w:rPr>
        <w:t>seek to produce</w:t>
      </w:r>
      <w:r w:rsidR="00483086" w:rsidRPr="005B0816">
        <w:rPr>
          <w:sz w:val="22"/>
          <w:szCs w:val="22"/>
        </w:rPr>
        <w:t xml:space="preserve"> </w:t>
      </w:r>
      <w:r w:rsidR="00932C75" w:rsidRPr="005B0816">
        <w:rPr>
          <w:sz w:val="22"/>
          <w:szCs w:val="22"/>
        </w:rPr>
        <w:t>better</w:t>
      </w:r>
      <w:r w:rsidR="001E6930" w:rsidRPr="005B0816">
        <w:rPr>
          <w:sz w:val="22"/>
          <w:szCs w:val="22"/>
        </w:rPr>
        <w:t xml:space="preserve"> </w:t>
      </w:r>
      <w:r w:rsidR="00483086" w:rsidRPr="005B0816">
        <w:rPr>
          <w:sz w:val="22"/>
          <w:szCs w:val="22"/>
        </w:rPr>
        <w:t xml:space="preserve">qualified </w:t>
      </w:r>
      <w:r w:rsidR="00AB23C3" w:rsidRPr="005B0816">
        <w:rPr>
          <w:sz w:val="22"/>
          <w:szCs w:val="22"/>
        </w:rPr>
        <w:t xml:space="preserve">men and women </w:t>
      </w:r>
      <w:r w:rsidR="0070784D" w:rsidRPr="005B0816">
        <w:rPr>
          <w:sz w:val="22"/>
          <w:szCs w:val="22"/>
        </w:rPr>
        <w:t xml:space="preserve">for </w:t>
      </w:r>
      <w:r w:rsidR="00483086" w:rsidRPr="005B0816">
        <w:rPr>
          <w:sz w:val="22"/>
          <w:szCs w:val="22"/>
        </w:rPr>
        <w:t>the African</w:t>
      </w:r>
      <w:r w:rsidR="0070784D" w:rsidRPr="005B0816">
        <w:rPr>
          <w:sz w:val="22"/>
          <w:szCs w:val="22"/>
        </w:rPr>
        <w:t xml:space="preserve"> labour market</w:t>
      </w:r>
      <w:r w:rsidR="00483086" w:rsidRPr="005B0816">
        <w:rPr>
          <w:sz w:val="22"/>
          <w:szCs w:val="22"/>
        </w:rPr>
        <w:t xml:space="preserve">. </w:t>
      </w:r>
    </w:p>
    <w:p w:rsidR="00A357C2" w:rsidRPr="00101836" w:rsidRDefault="00A357C2" w:rsidP="00101836">
      <w:pPr>
        <w:pStyle w:val="Heading1"/>
      </w:pPr>
      <w:r w:rsidRPr="00101836">
        <w:t>Annexes</w:t>
      </w:r>
    </w:p>
    <w:p w:rsidR="008E686B" w:rsidRPr="0061584B" w:rsidRDefault="00C1193B" w:rsidP="00C1193B">
      <w:pPr>
        <w:pStyle w:val="Tableheading"/>
        <w:ind w:left="1440" w:hanging="1440"/>
      </w:pPr>
      <w:r>
        <w:t>Table A</w:t>
      </w:r>
      <w:r w:rsidR="006436C9" w:rsidRPr="0061584B">
        <w:t>8.</w:t>
      </w:r>
      <w:r w:rsidR="008E686B" w:rsidRPr="0061584B">
        <w:t>1</w:t>
      </w:r>
      <w:r w:rsidR="00B4192A" w:rsidRPr="0061584B">
        <w:t>:</w:t>
      </w:r>
      <w:r w:rsidR="00B4192A" w:rsidRPr="0061584B">
        <w:tab/>
      </w:r>
      <w:r w:rsidR="008E686B" w:rsidRPr="0061584B">
        <w:t xml:space="preserve">Average protection </w:t>
      </w:r>
      <w:r w:rsidR="00BC21C5">
        <w:t xml:space="preserve">(tariff rate) </w:t>
      </w:r>
      <w:r w:rsidR="00D44EAE">
        <w:t>imposed</w:t>
      </w:r>
      <w:r w:rsidR="0041449A" w:rsidRPr="0061584B">
        <w:t>/faced on</w:t>
      </w:r>
      <w:r w:rsidR="008E686B" w:rsidRPr="0061584B">
        <w:t xml:space="preserve"> African countrie</w:t>
      </w:r>
      <w:r w:rsidR="00535231" w:rsidRPr="0061584B">
        <w:t>s’ imports/exports</w:t>
      </w:r>
      <w:r w:rsidR="00B4192A" w:rsidRPr="0061584B">
        <w:t xml:space="preserve">, </w:t>
      </w:r>
      <w:r w:rsidR="009D7F6C" w:rsidRPr="0061584B">
        <w:t>2004</w:t>
      </w:r>
    </w:p>
    <w:p w:rsidR="00BF53E0" w:rsidRPr="00C56CC5" w:rsidRDefault="00C56CC5" w:rsidP="00BF53E0">
      <w:pPr>
        <w:spacing w:line="360" w:lineRule="auto"/>
        <w:ind w:firstLine="0"/>
        <w:jc w:val="center"/>
      </w:pPr>
      <w:r w:rsidRPr="00C56CC5">
        <w:t xml:space="preserve"> </w:t>
      </w:r>
      <w:r w:rsidRPr="00C56CC5">
        <w:pict>
          <v:shape id="_x0000_i1051" type="#_x0000_t75" style="width:6in;height:421.5pt">
            <v:imagedata r:id="rId33" o:title=""/>
          </v:shape>
        </w:pict>
      </w:r>
    </w:p>
    <w:p w:rsidR="009E137C" w:rsidRPr="00C1193B" w:rsidRDefault="009E137C" w:rsidP="006D5982">
      <w:pPr>
        <w:pStyle w:val="Source"/>
        <w:spacing w:line="360" w:lineRule="auto"/>
        <w:rPr>
          <w:sz w:val="20"/>
          <w:szCs w:val="20"/>
        </w:rPr>
      </w:pPr>
      <w:r w:rsidRPr="00C1193B">
        <w:rPr>
          <w:sz w:val="20"/>
          <w:szCs w:val="20"/>
        </w:rPr>
        <w:t>Source: Authors’ calculations based on TASTE software and MAcMap</w:t>
      </w:r>
      <w:r w:rsidR="00734C06">
        <w:rPr>
          <w:sz w:val="20"/>
          <w:szCs w:val="20"/>
        </w:rPr>
        <w:t>-</w:t>
      </w:r>
      <w:r w:rsidRPr="00C1193B">
        <w:rPr>
          <w:sz w:val="20"/>
          <w:szCs w:val="20"/>
        </w:rPr>
        <w:t>HS6v2 database</w:t>
      </w:r>
      <w:r w:rsidR="00334680" w:rsidRPr="00C1193B">
        <w:rPr>
          <w:sz w:val="20"/>
          <w:szCs w:val="20"/>
        </w:rPr>
        <w:t>.</w:t>
      </w:r>
    </w:p>
    <w:p w:rsidR="003333E9" w:rsidRPr="0061584B" w:rsidRDefault="00BC21C5" w:rsidP="002F7894">
      <w:pPr>
        <w:pStyle w:val="Tableheading"/>
        <w:ind w:left="1440" w:hanging="1440"/>
      </w:pPr>
      <w:r>
        <w:br w:type="page"/>
      </w:r>
      <w:r w:rsidR="002F7894">
        <w:t>Table</w:t>
      </w:r>
      <w:r w:rsidR="00A879BD">
        <w:t xml:space="preserve"> A</w:t>
      </w:r>
      <w:r w:rsidR="006436C9" w:rsidRPr="0061584B">
        <w:t>8.</w:t>
      </w:r>
      <w:r w:rsidR="00C93139" w:rsidRPr="0061584B">
        <w:t>2</w:t>
      </w:r>
      <w:r w:rsidR="00B4192A" w:rsidRPr="0061584B">
        <w:t>:</w:t>
      </w:r>
      <w:r w:rsidR="00B4192A" w:rsidRPr="0061584B">
        <w:tab/>
      </w:r>
      <w:r w:rsidR="00523053">
        <w:t>Share</w:t>
      </w:r>
      <w:r w:rsidR="003333E9" w:rsidRPr="0061584B">
        <w:t xml:space="preserve"> </w:t>
      </w:r>
      <w:r w:rsidR="00C54AEB" w:rsidRPr="0061584B">
        <w:t xml:space="preserve">of tariff </w:t>
      </w:r>
      <w:r w:rsidR="003333E9" w:rsidRPr="0061584B">
        <w:t>revenues</w:t>
      </w:r>
      <w:r w:rsidR="00C54AEB" w:rsidRPr="0061584B">
        <w:t xml:space="preserve"> collected by</w:t>
      </w:r>
      <w:r w:rsidR="003333E9" w:rsidRPr="0061584B">
        <w:t xml:space="preserve"> African countries</w:t>
      </w:r>
      <w:r w:rsidR="00523053">
        <w:t xml:space="preserve"> on their imports from African partners v</w:t>
      </w:r>
      <w:r w:rsidR="0068298D">
        <w:t>ersu</w:t>
      </w:r>
      <w:r w:rsidR="00523053">
        <w:t xml:space="preserve">s </w:t>
      </w:r>
      <w:r w:rsidR="0068298D">
        <w:t>t</w:t>
      </w:r>
      <w:r w:rsidR="00523053">
        <w:t>he rest of the world</w:t>
      </w:r>
      <w:r>
        <w:t>,</w:t>
      </w:r>
      <w:r w:rsidR="003333E9" w:rsidRPr="0061584B">
        <w:t xml:space="preserve"> 2010 </w:t>
      </w:r>
    </w:p>
    <w:p w:rsidR="00523053" w:rsidRPr="00C56CC5" w:rsidRDefault="00C56CC5" w:rsidP="00523053">
      <w:pPr>
        <w:spacing w:line="360" w:lineRule="auto"/>
        <w:ind w:firstLine="0"/>
        <w:jc w:val="center"/>
        <w:rPr>
          <w:highlight w:val="yellow"/>
        </w:rPr>
      </w:pPr>
      <w:r w:rsidRPr="00C56CC5">
        <w:t xml:space="preserve"> </w:t>
      </w:r>
      <w:r w:rsidR="001223A0" w:rsidRPr="00C56CC5">
        <w:pict>
          <v:shape id="_x0000_i1052" type="#_x0000_t75" style="width:4in;height:570pt">
            <v:imagedata r:id="rId34" o:title=""/>
          </v:shape>
        </w:pict>
      </w:r>
    </w:p>
    <w:p w:rsidR="009D08E0" w:rsidRPr="00A879BD" w:rsidRDefault="003333E9" w:rsidP="006D5982">
      <w:pPr>
        <w:pStyle w:val="Source"/>
        <w:spacing w:line="360" w:lineRule="auto"/>
        <w:rPr>
          <w:sz w:val="20"/>
          <w:szCs w:val="20"/>
        </w:rPr>
      </w:pPr>
      <w:r w:rsidRPr="00A879BD">
        <w:rPr>
          <w:sz w:val="20"/>
          <w:szCs w:val="20"/>
        </w:rPr>
        <w:t>Source:</w:t>
      </w:r>
      <w:r w:rsidRPr="00A879BD">
        <w:rPr>
          <w:color w:val="FF0000"/>
          <w:sz w:val="20"/>
          <w:szCs w:val="20"/>
        </w:rPr>
        <w:t xml:space="preserve"> </w:t>
      </w:r>
      <w:r w:rsidRPr="00A879BD">
        <w:rPr>
          <w:sz w:val="20"/>
          <w:szCs w:val="20"/>
        </w:rPr>
        <w:t>Authors’ calculations based on TASTE software and MAcMap</w:t>
      </w:r>
      <w:r w:rsidR="00A879BD">
        <w:rPr>
          <w:sz w:val="20"/>
          <w:szCs w:val="20"/>
        </w:rPr>
        <w:t>-</w:t>
      </w:r>
      <w:r w:rsidRPr="00A879BD">
        <w:rPr>
          <w:sz w:val="20"/>
          <w:szCs w:val="20"/>
        </w:rPr>
        <w:t>HS6v2 database</w:t>
      </w:r>
      <w:r w:rsidR="00334680" w:rsidRPr="00A879BD">
        <w:rPr>
          <w:sz w:val="20"/>
          <w:szCs w:val="20"/>
        </w:rPr>
        <w:t>.</w:t>
      </w:r>
    </w:p>
    <w:p w:rsidR="001042EE" w:rsidRPr="00D858B3" w:rsidRDefault="001042EE" w:rsidP="00734C06">
      <w:pPr>
        <w:pStyle w:val="Heading2"/>
        <w:rPr>
          <w:i w:val="0"/>
        </w:rPr>
      </w:pPr>
      <w:r w:rsidRPr="00D858B3">
        <w:rPr>
          <w:i w:val="0"/>
        </w:rPr>
        <w:t xml:space="preserve">Annex </w:t>
      </w:r>
      <w:r w:rsidR="006436C9" w:rsidRPr="00D858B3">
        <w:rPr>
          <w:i w:val="0"/>
        </w:rPr>
        <w:t>8.</w:t>
      </w:r>
      <w:r w:rsidR="00C93139" w:rsidRPr="00D858B3">
        <w:rPr>
          <w:i w:val="0"/>
        </w:rPr>
        <w:t>3</w:t>
      </w:r>
      <w:r w:rsidR="00B4192A" w:rsidRPr="00D858B3">
        <w:rPr>
          <w:i w:val="0"/>
        </w:rPr>
        <w:t>:</w:t>
      </w:r>
      <w:r w:rsidR="009D08E0" w:rsidRPr="00D858B3">
        <w:rPr>
          <w:i w:val="0"/>
        </w:rPr>
        <w:tab/>
      </w:r>
      <w:r w:rsidRPr="00D858B3">
        <w:rPr>
          <w:i w:val="0"/>
        </w:rPr>
        <w:t>Brief description of the MIRAGE CGE model</w:t>
      </w:r>
    </w:p>
    <w:p w:rsidR="001042EE" w:rsidRPr="001223A0" w:rsidRDefault="001042EE" w:rsidP="006D5982">
      <w:pPr>
        <w:spacing w:line="360" w:lineRule="auto"/>
        <w:rPr>
          <w:sz w:val="19"/>
          <w:szCs w:val="19"/>
        </w:rPr>
      </w:pPr>
      <w:r w:rsidRPr="001223A0">
        <w:rPr>
          <w:sz w:val="19"/>
          <w:szCs w:val="19"/>
        </w:rPr>
        <w:t>On the demand side of the model, a single representative agent is assumed in each region; this agent allocat</w:t>
      </w:r>
      <w:r w:rsidR="009D08E0" w:rsidRPr="001223A0">
        <w:rPr>
          <w:sz w:val="19"/>
          <w:szCs w:val="19"/>
        </w:rPr>
        <w:t>es</w:t>
      </w:r>
      <w:r w:rsidRPr="001223A0">
        <w:rPr>
          <w:sz w:val="19"/>
          <w:szCs w:val="19"/>
        </w:rPr>
        <w:t xml:space="preserve"> a fixed share of its income for savings and </w:t>
      </w:r>
      <w:r w:rsidR="009D08E0" w:rsidRPr="001223A0">
        <w:rPr>
          <w:sz w:val="19"/>
          <w:szCs w:val="19"/>
        </w:rPr>
        <w:t xml:space="preserve">devotes </w:t>
      </w:r>
      <w:r w:rsidRPr="001223A0">
        <w:rPr>
          <w:sz w:val="19"/>
          <w:szCs w:val="19"/>
        </w:rPr>
        <w:t xml:space="preserve">the rest to consumption of goods. A Linear Expenditure System–Constant Elasticity of Substitution (LES–CES) function is used </w:t>
      </w:r>
      <w:r w:rsidR="009D08E0" w:rsidRPr="001223A0">
        <w:rPr>
          <w:sz w:val="19"/>
          <w:szCs w:val="19"/>
        </w:rPr>
        <w:t>to represent the</w:t>
      </w:r>
      <w:r w:rsidRPr="001223A0">
        <w:rPr>
          <w:sz w:val="19"/>
          <w:szCs w:val="19"/>
        </w:rPr>
        <w:t xml:space="preserve"> agent’s preferences across sectors</w:t>
      </w:r>
      <w:r w:rsidR="009D08E0" w:rsidRPr="001223A0">
        <w:rPr>
          <w:sz w:val="19"/>
          <w:szCs w:val="19"/>
        </w:rPr>
        <w:t>.</w:t>
      </w:r>
      <w:r w:rsidRPr="001223A0">
        <w:rPr>
          <w:rStyle w:val="FootnoteReference"/>
          <w:sz w:val="19"/>
          <w:szCs w:val="19"/>
        </w:rPr>
        <w:footnoteReference w:id="39"/>
      </w:r>
      <w:r w:rsidRPr="001223A0">
        <w:rPr>
          <w:sz w:val="19"/>
          <w:szCs w:val="19"/>
        </w:rPr>
        <w:t xml:space="preserve"> The model allows for vertical (quality) as well as horizontal (variety) differentiations in goods. The goods produced by developed countries are assumed to have a higher quality than the ones produced by developing countries (Armington hypothesis</w:t>
      </w:r>
      <w:r w:rsidRPr="001223A0">
        <w:rPr>
          <w:rStyle w:val="FootnoteReference"/>
          <w:sz w:val="19"/>
          <w:szCs w:val="19"/>
        </w:rPr>
        <w:footnoteReference w:id="40"/>
      </w:r>
      <w:r w:rsidRPr="001223A0">
        <w:rPr>
          <w:sz w:val="19"/>
          <w:szCs w:val="19"/>
        </w:rPr>
        <w:t xml:space="preserve">). </w:t>
      </w:r>
    </w:p>
    <w:p w:rsidR="001042EE" w:rsidRPr="001223A0" w:rsidRDefault="001042EE" w:rsidP="006D5982">
      <w:pPr>
        <w:spacing w:line="360" w:lineRule="auto"/>
        <w:rPr>
          <w:sz w:val="19"/>
          <w:szCs w:val="19"/>
        </w:rPr>
      </w:pPr>
      <w:r w:rsidRPr="001223A0">
        <w:rPr>
          <w:sz w:val="19"/>
          <w:szCs w:val="19"/>
        </w:rPr>
        <w:t>On the supply side, the model relies on a Leontief function assuming perfect complementarity between intermediate consumption and value added. Five factors of production contribut</w:t>
      </w:r>
      <w:r w:rsidR="00EF39A5" w:rsidRPr="001223A0">
        <w:rPr>
          <w:sz w:val="19"/>
          <w:szCs w:val="19"/>
        </w:rPr>
        <w:t>e</w:t>
      </w:r>
      <w:r w:rsidRPr="001223A0">
        <w:rPr>
          <w:sz w:val="19"/>
          <w:szCs w:val="19"/>
        </w:rPr>
        <w:t xml:space="preserve"> to value added: unskilled </w:t>
      </w:r>
      <w:r w:rsidR="00EF39A5" w:rsidRPr="001223A0">
        <w:rPr>
          <w:sz w:val="19"/>
          <w:szCs w:val="19"/>
        </w:rPr>
        <w:t xml:space="preserve">labour, </w:t>
      </w:r>
      <w:r w:rsidRPr="001223A0">
        <w:rPr>
          <w:sz w:val="19"/>
          <w:szCs w:val="19"/>
        </w:rPr>
        <w:t xml:space="preserve">skilled </w:t>
      </w:r>
      <w:r w:rsidR="00C31B0B" w:rsidRPr="001223A0">
        <w:rPr>
          <w:sz w:val="19"/>
          <w:szCs w:val="19"/>
        </w:rPr>
        <w:t>labour</w:t>
      </w:r>
      <w:r w:rsidRPr="001223A0">
        <w:rPr>
          <w:sz w:val="19"/>
          <w:szCs w:val="19"/>
        </w:rPr>
        <w:t xml:space="preserve">, capital, land, and natural resources. </w:t>
      </w:r>
      <w:r w:rsidR="00ED22EE" w:rsidRPr="001223A0">
        <w:rPr>
          <w:sz w:val="19"/>
          <w:szCs w:val="19"/>
        </w:rPr>
        <w:t>Skilled</w:t>
      </w:r>
      <w:r w:rsidRPr="001223A0">
        <w:rPr>
          <w:sz w:val="19"/>
          <w:szCs w:val="19"/>
        </w:rPr>
        <w:t xml:space="preserve"> </w:t>
      </w:r>
      <w:r w:rsidR="00C31B0B" w:rsidRPr="001223A0">
        <w:rPr>
          <w:sz w:val="19"/>
          <w:szCs w:val="19"/>
        </w:rPr>
        <w:t>labour</w:t>
      </w:r>
      <w:r w:rsidRPr="001223A0">
        <w:rPr>
          <w:sz w:val="19"/>
          <w:szCs w:val="19"/>
        </w:rPr>
        <w:t xml:space="preserve"> and capital are supposed to be more substitutable </w:t>
      </w:r>
      <w:r w:rsidR="001444D7" w:rsidRPr="001223A0">
        <w:rPr>
          <w:sz w:val="19"/>
          <w:szCs w:val="19"/>
        </w:rPr>
        <w:t>for one another</w:t>
      </w:r>
      <w:r w:rsidRPr="001223A0">
        <w:rPr>
          <w:sz w:val="19"/>
          <w:szCs w:val="19"/>
        </w:rPr>
        <w:t xml:space="preserve"> than with other </w:t>
      </w:r>
      <w:r w:rsidR="00EF39A5" w:rsidRPr="001223A0">
        <w:rPr>
          <w:sz w:val="19"/>
          <w:szCs w:val="19"/>
        </w:rPr>
        <w:t xml:space="preserve">combinations of </w:t>
      </w:r>
      <w:r w:rsidRPr="001223A0">
        <w:rPr>
          <w:sz w:val="19"/>
          <w:szCs w:val="19"/>
        </w:rPr>
        <w:t xml:space="preserve">factors. </w:t>
      </w:r>
      <w:r w:rsidR="00EF39A5" w:rsidRPr="001223A0">
        <w:rPr>
          <w:sz w:val="19"/>
          <w:szCs w:val="19"/>
        </w:rPr>
        <w:t>The</w:t>
      </w:r>
      <w:r w:rsidRPr="001223A0">
        <w:rPr>
          <w:sz w:val="19"/>
          <w:szCs w:val="19"/>
        </w:rPr>
        <w:t xml:space="preserve"> full employment of factor endowments is assumed. </w:t>
      </w:r>
      <w:r w:rsidR="00C31B0B" w:rsidRPr="001223A0">
        <w:rPr>
          <w:sz w:val="19"/>
          <w:szCs w:val="19"/>
        </w:rPr>
        <w:t>Labour</w:t>
      </w:r>
      <w:r w:rsidR="002D78C1" w:rsidRPr="001223A0">
        <w:rPr>
          <w:sz w:val="19"/>
          <w:szCs w:val="19"/>
        </w:rPr>
        <w:t xml:space="preserve"> is country</w:t>
      </w:r>
      <w:r w:rsidR="00EF39A5" w:rsidRPr="001223A0">
        <w:rPr>
          <w:sz w:val="19"/>
          <w:szCs w:val="19"/>
        </w:rPr>
        <w:t>-</w:t>
      </w:r>
      <w:r w:rsidR="002D78C1" w:rsidRPr="001223A0">
        <w:rPr>
          <w:sz w:val="19"/>
          <w:szCs w:val="19"/>
        </w:rPr>
        <w:t xml:space="preserve">specific. </w:t>
      </w:r>
      <w:r w:rsidRPr="001223A0">
        <w:rPr>
          <w:sz w:val="19"/>
          <w:szCs w:val="19"/>
        </w:rPr>
        <w:t xml:space="preserve">Skilled </w:t>
      </w:r>
      <w:r w:rsidR="00C31B0B" w:rsidRPr="001223A0">
        <w:rPr>
          <w:sz w:val="19"/>
          <w:szCs w:val="19"/>
        </w:rPr>
        <w:t>labour</w:t>
      </w:r>
      <w:r w:rsidRPr="001223A0">
        <w:rPr>
          <w:sz w:val="19"/>
          <w:szCs w:val="19"/>
        </w:rPr>
        <w:t xml:space="preserve"> is perfectly mobile between sectors</w:t>
      </w:r>
      <w:r w:rsidR="002D5861" w:rsidRPr="001223A0">
        <w:rPr>
          <w:sz w:val="19"/>
          <w:szCs w:val="19"/>
        </w:rPr>
        <w:t>, In contrast,</w:t>
      </w:r>
      <w:r w:rsidRPr="001223A0">
        <w:rPr>
          <w:sz w:val="19"/>
          <w:szCs w:val="19"/>
        </w:rPr>
        <w:t xml:space="preserve"> in the case of unskilled </w:t>
      </w:r>
      <w:r w:rsidR="00C31B0B" w:rsidRPr="001223A0">
        <w:rPr>
          <w:sz w:val="19"/>
          <w:szCs w:val="19"/>
        </w:rPr>
        <w:t>labour</w:t>
      </w:r>
      <w:r w:rsidR="002D5861" w:rsidRPr="001223A0">
        <w:rPr>
          <w:sz w:val="19"/>
          <w:szCs w:val="19"/>
        </w:rPr>
        <w:t>,</w:t>
      </w:r>
      <w:r w:rsidRPr="001223A0">
        <w:rPr>
          <w:sz w:val="19"/>
          <w:szCs w:val="19"/>
        </w:rPr>
        <w:t xml:space="preserve"> there is imperfect mobility between agricultural and non</w:t>
      </w:r>
      <w:r w:rsidR="00824DBF" w:rsidRPr="001223A0">
        <w:rPr>
          <w:sz w:val="19"/>
          <w:szCs w:val="19"/>
        </w:rPr>
        <w:t>-</w:t>
      </w:r>
      <w:r w:rsidRPr="001223A0">
        <w:rPr>
          <w:sz w:val="19"/>
          <w:szCs w:val="19"/>
        </w:rPr>
        <w:t>agricultural sectors</w:t>
      </w:r>
      <w:r w:rsidR="002D5861" w:rsidRPr="001223A0">
        <w:rPr>
          <w:sz w:val="19"/>
          <w:szCs w:val="19"/>
        </w:rPr>
        <w:t>,</w:t>
      </w:r>
      <w:r w:rsidRPr="001223A0">
        <w:rPr>
          <w:sz w:val="19"/>
          <w:szCs w:val="19"/>
        </w:rPr>
        <w:t xml:space="preserve"> but the mobility is perfect among each group of sectors</w:t>
      </w:r>
      <w:r w:rsidR="00B34CFF" w:rsidRPr="001223A0">
        <w:rPr>
          <w:sz w:val="19"/>
          <w:szCs w:val="19"/>
        </w:rPr>
        <w:t>,</w:t>
      </w:r>
      <w:r w:rsidR="002D78C1" w:rsidRPr="001223A0">
        <w:rPr>
          <w:sz w:val="19"/>
          <w:szCs w:val="19"/>
        </w:rPr>
        <w:t xml:space="preserve"> </w:t>
      </w:r>
      <w:r w:rsidR="00B34CFF" w:rsidRPr="001223A0">
        <w:rPr>
          <w:sz w:val="19"/>
          <w:szCs w:val="19"/>
        </w:rPr>
        <w:t xml:space="preserve">while </w:t>
      </w:r>
      <w:r w:rsidR="002D78C1" w:rsidRPr="001223A0">
        <w:rPr>
          <w:sz w:val="19"/>
          <w:szCs w:val="19"/>
        </w:rPr>
        <w:t xml:space="preserve">there is immobility across countries. </w:t>
      </w:r>
      <w:r w:rsidR="00C31B0B" w:rsidRPr="001223A0">
        <w:rPr>
          <w:sz w:val="19"/>
          <w:szCs w:val="19"/>
        </w:rPr>
        <w:t>Labour</w:t>
      </w:r>
      <w:r w:rsidR="002D78C1" w:rsidRPr="001223A0">
        <w:rPr>
          <w:sz w:val="19"/>
          <w:szCs w:val="19"/>
        </w:rPr>
        <w:t xml:space="preserve"> mobility across the two sets of sectors is represented through the assumption that total </w:t>
      </w:r>
      <w:r w:rsidR="00C31B0B" w:rsidRPr="001223A0">
        <w:rPr>
          <w:sz w:val="19"/>
          <w:szCs w:val="19"/>
        </w:rPr>
        <w:t>labour</w:t>
      </w:r>
      <w:r w:rsidR="002D78C1" w:rsidRPr="001223A0">
        <w:rPr>
          <w:sz w:val="19"/>
          <w:szCs w:val="19"/>
        </w:rPr>
        <w:t xml:space="preserve"> is a C</w:t>
      </w:r>
      <w:r w:rsidR="007733FD" w:rsidRPr="001223A0">
        <w:rPr>
          <w:sz w:val="19"/>
          <w:szCs w:val="19"/>
        </w:rPr>
        <w:t xml:space="preserve">onstant </w:t>
      </w:r>
      <w:r w:rsidR="002D78C1" w:rsidRPr="001223A0">
        <w:rPr>
          <w:sz w:val="19"/>
          <w:szCs w:val="19"/>
        </w:rPr>
        <w:t>E</w:t>
      </w:r>
      <w:r w:rsidR="007733FD" w:rsidRPr="001223A0">
        <w:rPr>
          <w:sz w:val="19"/>
          <w:szCs w:val="19"/>
        </w:rPr>
        <w:t xml:space="preserve">lasticity of </w:t>
      </w:r>
      <w:r w:rsidR="002D78C1" w:rsidRPr="001223A0">
        <w:rPr>
          <w:sz w:val="19"/>
          <w:szCs w:val="19"/>
        </w:rPr>
        <w:t>T</w:t>
      </w:r>
      <w:r w:rsidR="007733FD" w:rsidRPr="001223A0">
        <w:rPr>
          <w:sz w:val="19"/>
          <w:szCs w:val="19"/>
        </w:rPr>
        <w:t>ransformation</w:t>
      </w:r>
      <w:r w:rsidR="002D78C1" w:rsidRPr="001223A0">
        <w:rPr>
          <w:sz w:val="19"/>
          <w:szCs w:val="19"/>
        </w:rPr>
        <w:t xml:space="preserve"> bundle of </w:t>
      </w:r>
      <w:r w:rsidR="00561161" w:rsidRPr="001223A0">
        <w:rPr>
          <w:sz w:val="19"/>
          <w:szCs w:val="19"/>
        </w:rPr>
        <w:t xml:space="preserve">the </w:t>
      </w:r>
      <w:r w:rsidR="002D78C1" w:rsidRPr="001223A0">
        <w:rPr>
          <w:sz w:val="19"/>
          <w:szCs w:val="19"/>
        </w:rPr>
        <w:t xml:space="preserve">two </w:t>
      </w:r>
      <w:r w:rsidR="00C31B0B" w:rsidRPr="001223A0">
        <w:rPr>
          <w:sz w:val="19"/>
          <w:szCs w:val="19"/>
        </w:rPr>
        <w:t>labour</w:t>
      </w:r>
      <w:r w:rsidR="002D78C1" w:rsidRPr="001223A0">
        <w:rPr>
          <w:sz w:val="19"/>
          <w:szCs w:val="19"/>
        </w:rPr>
        <w:t xml:space="preserve"> types. The</w:t>
      </w:r>
      <w:r w:rsidRPr="001223A0">
        <w:rPr>
          <w:sz w:val="19"/>
          <w:szCs w:val="19"/>
        </w:rPr>
        <w:t xml:space="preserve"> rates of variations of </w:t>
      </w:r>
      <w:r w:rsidR="00C31B0B" w:rsidRPr="001223A0">
        <w:rPr>
          <w:sz w:val="19"/>
          <w:szCs w:val="19"/>
        </w:rPr>
        <w:t>labour</w:t>
      </w:r>
      <w:r w:rsidRPr="001223A0">
        <w:rPr>
          <w:sz w:val="19"/>
          <w:szCs w:val="19"/>
        </w:rPr>
        <w:t xml:space="preserve"> are exogenously set following the demographic forecast</w:t>
      </w:r>
      <w:r w:rsidR="00342D23" w:rsidRPr="001223A0">
        <w:rPr>
          <w:sz w:val="19"/>
          <w:szCs w:val="19"/>
        </w:rPr>
        <w:t>s</w:t>
      </w:r>
      <w:r w:rsidRPr="001223A0">
        <w:rPr>
          <w:sz w:val="19"/>
          <w:szCs w:val="19"/>
        </w:rPr>
        <w:t xml:space="preserve"> provided by the World Bank</w:t>
      </w:r>
      <w:r w:rsidR="00D95315" w:rsidRPr="001223A0">
        <w:rPr>
          <w:sz w:val="19"/>
          <w:szCs w:val="19"/>
        </w:rPr>
        <w:t>.</w:t>
      </w:r>
      <w:r w:rsidRPr="001223A0">
        <w:rPr>
          <w:rStyle w:val="FootnoteReference"/>
          <w:sz w:val="19"/>
          <w:szCs w:val="19"/>
        </w:rPr>
        <w:footnoteReference w:id="41"/>
      </w:r>
      <w:r w:rsidRPr="001223A0">
        <w:rPr>
          <w:sz w:val="19"/>
          <w:szCs w:val="19"/>
        </w:rPr>
        <w:t xml:space="preserve"> Land is imperfectly mobile between sectors</w:t>
      </w:r>
      <w:r w:rsidR="00342D23" w:rsidRPr="001223A0">
        <w:rPr>
          <w:sz w:val="19"/>
          <w:szCs w:val="19"/>
        </w:rPr>
        <w:t>,</w:t>
      </w:r>
      <w:r w:rsidRPr="001223A0">
        <w:rPr>
          <w:sz w:val="19"/>
          <w:szCs w:val="19"/>
        </w:rPr>
        <w:t xml:space="preserve"> while natural resources and capital are sector-specific. </w:t>
      </w:r>
      <w:r w:rsidR="00342D23" w:rsidRPr="001223A0">
        <w:rPr>
          <w:sz w:val="19"/>
          <w:szCs w:val="19"/>
        </w:rPr>
        <w:t>N</w:t>
      </w:r>
      <w:r w:rsidRPr="001223A0">
        <w:rPr>
          <w:sz w:val="19"/>
          <w:szCs w:val="19"/>
        </w:rPr>
        <w:t>atural resources are constant</w:t>
      </w:r>
      <w:r w:rsidR="00570745" w:rsidRPr="001223A0">
        <w:rPr>
          <w:sz w:val="19"/>
          <w:szCs w:val="19"/>
        </w:rPr>
        <w:t>, while</w:t>
      </w:r>
      <w:r w:rsidRPr="001223A0">
        <w:rPr>
          <w:sz w:val="19"/>
          <w:szCs w:val="19"/>
        </w:rPr>
        <w:t xml:space="preserve"> capital is accumulative. The sole adjustment variable for capital stocks is the investment, such </w:t>
      </w:r>
      <w:r w:rsidR="00570745" w:rsidRPr="001223A0">
        <w:rPr>
          <w:sz w:val="19"/>
          <w:szCs w:val="19"/>
        </w:rPr>
        <w:t xml:space="preserve">that </w:t>
      </w:r>
      <w:r w:rsidRPr="001223A0">
        <w:rPr>
          <w:sz w:val="19"/>
          <w:szCs w:val="19"/>
        </w:rPr>
        <w:t>the capital stock for the current year depends on the investment made for the same year and the capital stock from the previous year</w:t>
      </w:r>
      <w:r w:rsidR="00B34CFF" w:rsidRPr="001223A0">
        <w:rPr>
          <w:sz w:val="19"/>
          <w:szCs w:val="19"/>
        </w:rPr>
        <w:t>,</w:t>
      </w:r>
      <w:r w:rsidRPr="001223A0">
        <w:rPr>
          <w:sz w:val="19"/>
          <w:szCs w:val="19"/>
        </w:rPr>
        <w:t xml:space="preserve"> which has depreciated.</w:t>
      </w:r>
    </w:p>
    <w:p w:rsidR="001042EE" w:rsidRPr="001223A0" w:rsidRDefault="001042EE" w:rsidP="006D5982">
      <w:pPr>
        <w:spacing w:line="360" w:lineRule="auto"/>
        <w:rPr>
          <w:sz w:val="19"/>
          <w:szCs w:val="19"/>
        </w:rPr>
      </w:pPr>
      <w:r w:rsidRPr="001223A0">
        <w:rPr>
          <w:sz w:val="19"/>
          <w:szCs w:val="19"/>
        </w:rPr>
        <w:t xml:space="preserve">The macroeconomic closure of the MIRAGE model is obtained by </w:t>
      </w:r>
      <w:r w:rsidR="008211F0" w:rsidRPr="001223A0">
        <w:rPr>
          <w:sz w:val="19"/>
          <w:szCs w:val="19"/>
        </w:rPr>
        <w:t xml:space="preserve">keeping </w:t>
      </w:r>
      <w:r w:rsidRPr="001223A0">
        <w:rPr>
          <w:sz w:val="19"/>
          <w:szCs w:val="19"/>
        </w:rPr>
        <w:t xml:space="preserve">the current account of each region constant and fixed to </w:t>
      </w:r>
      <w:r w:rsidR="00766498" w:rsidRPr="001223A0">
        <w:rPr>
          <w:sz w:val="19"/>
          <w:szCs w:val="19"/>
        </w:rPr>
        <w:t>the base year</w:t>
      </w:r>
      <w:r w:rsidRPr="001223A0">
        <w:rPr>
          <w:sz w:val="19"/>
          <w:szCs w:val="19"/>
        </w:rPr>
        <w:t xml:space="preserve">. The real exchange rate is allowed to adjust in order to balance any possible disequilibrium of the current account. In other words, when a trade reform, such as reduction </w:t>
      </w:r>
      <w:r w:rsidR="00570745" w:rsidRPr="001223A0">
        <w:rPr>
          <w:sz w:val="19"/>
          <w:szCs w:val="19"/>
        </w:rPr>
        <w:t xml:space="preserve">of </w:t>
      </w:r>
      <w:r w:rsidRPr="001223A0">
        <w:rPr>
          <w:sz w:val="19"/>
          <w:szCs w:val="19"/>
        </w:rPr>
        <w:t xml:space="preserve">tariff barriers, </w:t>
      </w:r>
      <w:r w:rsidR="00570745" w:rsidRPr="001223A0">
        <w:rPr>
          <w:sz w:val="19"/>
          <w:szCs w:val="19"/>
        </w:rPr>
        <w:t xml:space="preserve">stimulates trade, </w:t>
      </w:r>
      <w:r w:rsidRPr="001223A0">
        <w:rPr>
          <w:sz w:val="19"/>
          <w:szCs w:val="19"/>
        </w:rPr>
        <w:t xml:space="preserve">the real exchange rates appreciate </w:t>
      </w:r>
      <w:r w:rsidR="00570745" w:rsidRPr="001223A0">
        <w:rPr>
          <w:sz w:val="19"/>
          <w:szCs w:val="19"/>
        </w:rPr>
        <w:t xml:space="preserve">when </w:t>
      </w:r>
      <w:r w:rsidRPr="001223A0">
        <w:rPr>
          <w:sz w:val="19"/>
          <w:szCs w:val="19"/>
        </w:rPr>
        <w:t xml:space="preserve">exports increase more than imports </w:t>
      </w:r>
      <w:r w:rsidR="00570745" w:rsidRPr="001223A0">
        <w:rPr>
          <w:sz w:val="19"/>
          <w:szCs w:val="19"/>
        </w:rPr>
        <w:t xml:space="preserve">and </w:t>
      </w:r>
      <w:r w:rsidRPr="001223A0">
        <w:rPr>
          <w:sz w:val="19"/>
          <w:szCs w:val="19"/>
        </w:rPr>
        <w:t>depreciate when the exports increase less than the imports.</w:t>
      </w:r>
    </w:p>
    <w:p w:rsidR="005562BC" w:rsidRPr="0061584B" w:rsidRDefault="00562651" w:rsidP="00233BE0">
      <w:pPr>
        <w:pStyle w:val="Tableheading"/>
        <w:ind w:left="1440" w:hanging="1440"/>
      </w:pPr>
      <w:r>
        <w:br w:type="page"/>
      </w:r>
      <w:r w:rsidR="00BC7821">
        <w:t xml:space="preserve">Table </w:t>
      </w:r>
      <w:r w:rsidR="00C93139" w:rsidRPr="0061584B">
        <w:t>A</w:t>
      </w:r>
      <w:r w:rsidR="006436C9" w:rsidRPr="0061584B">
        <w:t>8.</w:t>
      </w:r>
      <w:r w:rsidR="00C93139" w:rsidRPr="0061584B">
        <w:t>4</w:t>
      </w:r>
      <w:r w:rsidR="00B4192A" w:rsidRPr="0061584B">
        <w:t>:</w:t>
      </w:r>
      <w:r w:rsidR="00B4192A" w:rsidRPr="0061584B">
        <w:tab/>
      </w:r>
      <w:r w:rsidR="005562BC" w:rsidRPr="0061584B">
        <w:t>GTAP countries</w:t>
      </w:r>
      <w:r>
        <w:t>/</w:t>
      </w:r>
      <w:r w:rsidR="005562BC" w:rsidRPr="0061584B">
        <w:t xml:space="preserve">regions and correspondences with geographic </w:t>
      </w:r>
      <w:r w:rsidR="00D10866">
        <w:t>aggregation</w:t>
      </w:r>
      <w:r w:rsidR="00D10866" w:rsidRPr="0061584B">
        <w:t xml:space="preserve"> </w:t>
      </w:r>
      <w:r w:rsidR="005562BC" w:rsidRPr="0061584B">
        <w:t>chosen for the study</w:t>
      </w:r>
    </w:p>
    <w:p w:rsidR="009D7F6C" w:rsidRPr="00B57A9D" w:rsidRDefault="00BA1373" w:rsidP="00BA1373">
      <w:pPr>
        <w:spacing w:line="360" w:lineRule="auto"/>
        <w:ind w:left="-709" w:firstLine="0"/>
        <w:rPr>
          <w:sz w:val="18"/>
          <w:szCs w:val="18"/>
        </w:rPr>
      </w:pPr>
      <w:r>
        <w:object w:dxaOrig="16052" w:dyaOrig="19518">
          <v:shape id="_x0000_i1053" type="#_x0000_t75" style="width:516pt;height:602.25pt" o:ole="">
            <v:imagedata r:id="rId35" o:title=""/>
          </v:shape>
          <o:OLEObject Type="Embed" ProgID="Excel.Sheet.8" ShapeID="_x0000_i1053" DrawAspect="Content" ObjectID="_1420281882" r:id="rId36"/>
        </w:object>
      </w:r>
      <w:r w:rsidR="00B57A9D" w:rsidRPr="00B57A9D">
        <w:rPr>
          <w:sz w:val="18"/>
          <w:szCs w:val="18"/>
        </w:rPr>
        <w:t>BRIC=Brazil, Russia, India, China</w:t>
      </w:r>
    </w:p>
    <w:p w:rsidR="008E686B" w:rsidRPr="0061584B" w:rsidRDefault="000522CF" w:rsidP="000522CF">
      <w:pPr>
        <w:pStyle w:val="Tableheading"/>
        <w:ind w:left="1440" w:hanging="1440"/>
      </w:pPr>
      <w:r>
        <w:t>Table A</w:t>
      </w:r>
      <w:r w:rsidR="006436C9" w:rsidRPr="0061584B">
        <w:t>8.</w:t>
      </w:r>
      <w:r w:rsidR="00C93139" w:rsidRPr="0061584B">
        <w:t>5</w:t>
      </w:r>
      <w:r w:rsidR="00B4192A" w:rsidRPr="0061584B">
        <w:t>:</w:t>
      </w:r>
      <w:r w:rsidR="00B4192A" w:rsidRPr="0061584B">
        <w:tab/>
      </w:r>
      <w:r w:rsidR="00C96A63" w:rsidRPr="0061584B">
        <w:t>GTAP sectors and correspondences with sector decomposition chosen for the study</w:t>
      </w:r>
    </w:p>
    <w:p w:rsidR="009D7F6C" w:rsidRDefault="009D7F6C" w:rsidP="006D5982">
      <w:pPr>
        <w:spacing w:line="360" w:lineRule="auto"/>
      </w:pPr>
    </w:p>
    <w:p w:rsidR="00A65F8F" w:rsidRPr="0061584B" w:rsidRDefault="00BA1373" w:rsidP="00A65F8F">
      <w:pPr>
        <w:spacing w:line="360" w:lineRule="auto"/>
        <w:ind w:firstLine="0"/>
        <w:jc w:val="center"/>
      </w:pPr>
      <w:r w:rsidRPr="00A65F8F">
        <w:pict>
          <v:shape id="_x0000_i1054" type="#_x0000_t75" style="width:6in;height:560.25pt">
            <v:imagedata r:id="rId37" o:title=""/>
          </v:shape>
        </w:pict>
      </w:r>
    </w:p>
    <w:p w:rsidR="006829B1" w:rsidRPr="00B57A9D" w:rsidRDefault="00B57A9D" w:rsidP="006D5982">
      <w:pPr>
        <w:spacing w:line="360" w:lineRule="auto"/>
        <w:rPr>
          <w:sz w:val="18"/>
          <w:szCs w:val="18"/>
        </w:rPr>
      </w:pPr>
      <w:proofErr w:type="gramStart"/>
      <w:r w:rsidRPr="00B57A9D">
        <w:rPr>
          <w:sz w:val="18"/>
          <w:szCs w:val="18"/>
        </w:rPr>
        <w:t>nec=</w:t>
      </w:r>
      <w:proofErr w:type="gramEnd"/>
      <w:r w:rsidRPr="00B57A9D">
        <w:rPr>
          <w:sz w:val="18"/>
          <w:szCs w:val="18"/>
        </w:rPr>
        <w:t>not elsewhere classified</w:t>
      </w:r>
    </w:p>
    <w:p w:rsidR="005E3896" w:rsidRDefault="005E3896" w:rsidP="009C49DE">
      <w:pPr>
        <w:pStyle w:val="Tableheading"/>
        <w:sectPr w:rsidR="005E3896" w:rsidSect="00042533">
          <w:headerReference w:type="even" r:id="rId38"/>
          <w:headerReference w:type="default" r:id="rId39"/>
          <w:footerReference w:type="even" r:id="rId40"/>
          <w:footerReference w:type="default" r:id="rId41"/>
          <w:headerReference w:type="first" r:id="rId42"/>
          <w:footerReference w:type="first" r:id="rId43"/>
          <w:pgSz w:w="12240" w:h="15840"/>
          <w:pgMar w:top="1440" w:right="1800" w:bottom="1440" w:left="1800" w:header="720" w:footer="720" w:gutter="0"/>
          <w:cols w:space="720"/>
          <w:docGrid w:linePitch="360"/>
        </w:sectPr>
      </w:pPr>
    </w:p>
    <w:p w:rsidR="0040445B" w:rsidRPr="0061584B" w:rsidRDefault="000522CF" w:rsidP="009C49DE">
      <w:pPr>
        <w:pStyle w:val="Tableheading"/>
      </w:pPr>
      <w:r>
        <w:t xml:space="preserve">Table </w:t>
      </w:r>
      <w:r w:rsidR="00BC4F0A" w:rsidRPr="0061584B">
        <w:t>A</w:t>
      </w:r>
      <w:r w:rsidR="006436C9" w:rsidRPr="0061584B">
        <w:t>8.</w:t>
      </w:r>
      <w:r w:rsidR="00510A9F" w:rsidRPr="0061584B">
        <w:t>6</w:t>
      </w:r>
      <w:r w:rsidR="00B4192A" w:rsidRPr="0061584B">
        <w:t>:</w:t>
      </w:r>
      <w:r w:rsidR="0040445B" w:rsidRPr="0061584B">
        <w:t xml:space="preserve"> </w:t>
      </w:r>
      <w:r w:rsidR="00B4192A" w:rsidRPr="0061584B">
        <w:tab/>
      </w:r>
      <w:r w:rsidR="0040445B" w:rsidRPr="0061584B">
        <w:t xml:space="preserve">Initial export structures </w:t>
      </w:r>
      <w:r w:rsidR="007E3495">
        <w:t>(</w:t>
      </w:r>
      <w:r w:rsidR="00A86CE1">
        <w:t>per</w:t>
      </w:r>
      <w:r w:rsidR="000C5AB2">
        <w:t>cent</w:t>
      </w:r>
      <w:r w:rsidR="00A86CE1">
        <w:t>age</w:t>
      </w:r>
      <w:r w:rsidR="007E3495">
        <w:t xml:space="preserve"> distribution) </w:t>
      </w:r>
      <w:r w:rsidR="0040445B" w:rsidRPr="0061584B">
        <w:t>by country/region and sector</w:t>
      </w:r>
      <w:r w:rsidR="00B57A9D">
        <w:t>,</w:t>
      </w:r>
      <w:r w:rsidR="0040445B" w:rsidRPr="0061584B">
        <w:t xml:space="preserve"> 2004</w:t>
      </w:r>
    </w:p>
    <w:p w:rsidR="0040445B" w:rsidRDefault="0040445B" w:rsidP="006D5982">
      <w:pPr>
        <w:spacing w:line="360" w:lineRule="auto"/>
      </w:pPr>
    </w:p>
    <w:p w:rsidR="001D0874" w:rsidRPr="0061584B" w:rsidRDefault="000F0058" w:rsidP="001D0874">
      <w:pPr>
        <w:spacing w:line="360" w:lineRule="auto"/>
        <w:ind w:firstLine="0"/>
        <w:jc w:val="center"/>
      </w:pPr>
      <w:r w:rsidRPr="002E5DDB">
        <w:pict>
          <v:shape id="_x0000_i1055" type="#_x0000_t75" style="width:647.25pt;height:342pt">
            <v:imagedata r:id="rId44" o:title=""/>
          </v:shape>
        </w:pict>
      </w:r>
    </w:p>
    <w:p w:rsidR="00AF1989" w:rsidRDefault="00AF1989" w:rsidP="006D5982">
      <w:pPr>
        <w:pStyle w:val="Source"/>
        <w:spacing w:line="360" w:lineRule="auto"/>
      </w:pPr>
      <w:r>
        <w:t>BRIC=</w:t>
      </w:r>
      <w:smartTag w:uri="urn:schemas-microsoft-com:office:smarttags" w:element="country-region">
        <w:r>
          <w:t>Brazil</w:t>
        </w:r>
      </w:smartTag>
      <w:r>
        <w:t xml:space="preserve">, </w:t>
      </w:r>
      <w:smartTag w:uri="urn:schemas-microsoft-com:office:smarttags" w:element="country-region">
        <w:r>
          <w:t>Russia</w:t>
        </w:r>
      </w:smartTag>
      <w:r>
        <w:t xml:space="preserve">, </w:t>
      </w:r>
      <w:smartTag w:uri="urn:schemas-microsoft-com:office:smarttags" w:element="country-region">
        <w:r>
          <w:t>India</w:t>
        </w:r>
      </w:smartTag>
      <w:r>
        <w:t xml:space="preserve">, </w:t>
      </w:r>
      <w:smartTag w:uri="urn:schemas-microsoft-com:office:smarttags" w:element="place">
        <w:smartTag w:uri="urn:schemas-microsoft-com:office:smarttags" w:element="country-region">
          <w:r>
            <w:t>China</w:t>
          </w:r>
        </w:smartTag>
      </w:smartTag>
    </w:p>
    <w:p w:rsidR="006829B1" w:rsidRPr="0061584B" w:rsidRDefault="0040445B" w:rsidP="006D5982">
      <w:pPr>
        <w:pStyle w:val="Source"/>
        <w:spacing w:line="360" w:lineRule="auto"/>
      </w:pPr>
      <w:r w:rsidRPr="0061584B">
        <w:t>Source: Authors’ calculations based on MIRAGE model</w:t>
      </w:r>
      <w:r w:rsidR="00334680" w:rsidRPr="0061584B">
        <w:t>.</w:t>
      </w:r>
    </w:p>
    <w:p w:rsidR="004514FD" w:rsidRPr="0061584B" w:rsidRDefault="000522CF" w:rsidP="000522CF">
      <w:pPr>
        <w:pStyle w:val="Tableheading"/>
        <w:ind w:left="1440" w:hanging="1440"/>
      </w:pPr>
      <w:r>
        <w:t xml:space="preserve">Table </w:t>
      </w:r>
      <w:r w:rsidR="004514FD" w:rsidRPr="0061584B">
        <w:t>A</w:t>
      </w:r>
      <w:r w:rsidR="006436C9" w:rsidRPr="0061584B">
        <w:t>8.</w:t>
      </w:r>
      <w:r w:rsidR="00510A9F" w:rsidRPr="0061584B">
        <w:t>7</w:t>
      </w:r>
      <w:r w:rsidR="00FB39D4" w:rsidRPr="0061584B">
        <w:t>:</w:t>
      </w:r>
      <w:r w:rsidR="004514FD" w:rsidRPr="0061584B">
        <w:t xml:space="preserve"> </w:t>
      </w:r>
      <w:r w:rsidR="00FB39D4" w:rsidRPr="0061584B">
        <w:tab/>
      </w:r>
      <w:r w:rsidR="004514FD" w:rsidRPr="0061584B">
        <w:t>Export volumes by African country/region and sector</w:t>
      </w:r>
      <w:r w:rsidR="003556E8">
        <w:t>,</w:t>
      </w:r>
      <w:r w:rsidR="004514FD" w:rsidRPr="0061584B">
        <w:t xml:space="preserve"> </w:t>
      </w:r>
      <w:r w:rsidR="003556E8">
        <w:t>r</w:t>
      </w:r>
      <w:r w:rsidR="004514FD" w:rsidRPr="0061584B">
        <w:t>eg</w:t>
      </w:r>
      <w:r w:rsidR="003556E8">
        <w:t xml:space="preserve">ional </w:t>
      </w:r>
      <w:r w:rsidR="004514FD" w:rsidRPr="0061584B">
        <w:t xml:space="preserve">FTAs </w:t>
      </w:r>
      <w:r w:rsidR="003556E8">
        <w:t>s</w:t>
      </w:r>
      <w:r w:rsidR="004514FD" w:rsidRPr="0061584B">
        <w:t xml:space="preserve">cenario </w:t>
      </w:r>
      <w:r w:rsidR="00FB39D4" w:rsidRPr="0061584B">
        <w:t>–</w:t>
      </w:r>
      <w:r w:rsidR="004514FD" w:rsidRPr="0061584B">
        <w:t xml:space="preserve"> </w:t>
      </w:r>
      <w:r w:rsidR="00552C8C">
        <w:t xml:space="preserve">percentage </w:t>
      </w:r>
      <w:r w:rsidR="003556E8">
        <w:t>c</w:t>
      </w:r>
      <w:r w:rsidR="004514FD" w:rsidRPr="0061584B">
        <w:t xml:space="preserve">hanges compared </w:t>
      </w:r>
      <w:r w:rsidR="003556E8">
        <w:t xml:space="preserve">with </w:t>
      </w:r>
      <w:r w:rsidR="004514FD" w:rsidRPr="0061584B">
        <w:t>the baseline scenario</w:t>
      </w:r>
      <w:r w:rsidR="003556E8">
        <w:t>,</w:t>
      </w:r>
      <w:r w:rsidR="00B4192A" w:rsidRPr="0061584B">
        <w:t xml:space="preserve"> </w:t>
      </w:r>
      <w:r w:rsidR="004514FD" w:rsidRPr="0061584B">
        <w:t>2022</w:t>
      </w:r>
    </w:p>
    <w:p w:rsidR="004514FD" w:rsidRPr="002E5DDB" w:rsidRDefault="000F0058" w:rsidP="006D5982">
      <w:pPr>
        <w:spacing w:line="360" w:lineRule="auto"/>
      </w:pPr>
      <w:r w:rsidRPr="002E5DDB">
        <w:pict>
          <v:shape id="_x0000_i1056" type="#_x0000_t75" style="width:647.25pt;height:345pt">
            <v:imagedata r:id="rId45" o:title=""/>
          </v:shape>
        </w:pict>
      </w:r>
    </w:p>
    <w:p w:rsidR="001D0874" w:rsidRPr="0061584B" w:rsidRDefault="001D0874" w:rsidP="001D0874">
      <w:pPr>
        <w:spacing w:line="360" w:lineRule="auto"/>
        <w:ind w:firstLine="0"/>
        <w:jc w:val="center"/>
      </w:pPr>
    </w:p>
    <w:p w:rsidR="004514FD" w:rsidRPr="0061584B" w:rsidRDefault="004514FD" w:rsidP="006D5982">
      <w:pPr>
        <w:pStyle w:val="Source"/>
        <w:spacing w:line="360" w:lineRule="auto"/>
        <w:rPr>
          <w:sz w:val="20"/>
          <w:szCs w:val="20"/>
        </w:rPr>
      </w:pPr>
      <w:r w:rsidRPr="0061584B">
        <w:t>Source: Authors’ calculations based on MIRAGE model</w:t>
      </w:r>
      <w:r w:rsidR="00334680" w:rsidRPr="0061584B">
        <w:t>.</w:t>
      </w:r>
    </w:p>
    <w:p w:rsidR="004514FD" w:rsidRDefault="009659AE" w:rsidP="000F0058">
      <w:pPr>
        <w:pStyle w:val="Tableheading"/>
        <w:ind w:left="1440" w:hanging="1440"/>
      </w:pPr>
      <w:r>
        <w:br w:type="page"/>
      </w:r>
      <w:r w:rsidR="0084520E">
        <w:t>Table A</w:t>
      </w:r>
      <w:r w:rsidR="006436C9" w:rsidRPr="0061584B">
        <w:t>8.</w:t>
      </w:r>
      <w:r w:rsidR="00510A9F" w:rsidRPr="0061584B">
        <w:t>8</w:t>
      </w:r>
      <w:r w:rsidR="00FB39D4" w:rsidRPr="0061584B">
        <w:t>:</w:t>
      </w:r>
      <w:r w:rsidR="00FB39D4" w:rsidRPr="0061584B">
        <w:tab/>
      </w:r>
      <w:r w:rsidR="004514FD" w:rsidRPr="0061584B">
        <w:t>Export volumes by African country/region and sector</w:t>
      </w:r>
      <w:r w:rsidR="00CB0E34">
        <w:t>,</w:t>
      </w:r>
      <w:r w:rsidR="004514FD" w:rsidRPr="0061584B">
        <w:t xml:space="preserve"> </w:t>
      </w:r>
      <w:r w:rsidR="00B4008B">
        <w:t>c</w:t>
      </w:r>
      <w:r w:rsidR="004514FD" w:rsidRPr="0061584B">
        <w:t>ont</w:t>
      </w:r>
      <w:r w:rsidR="00B4008B">
        <w:t xml:space="preserve">inental </w:t>
      </w:r>
      <w:r w:rsidR="004514FD" w:rsidRPr="0061584B">
        <w:t xml:space="preserve">FTA </w:t>
      </w:r>
      <w:r w:rsidR="00B4008B">
        <w:t>s</w:t>
      </w:r>
      <w:r w:rsidR="00B4008B" w:rsidRPr="0061584B">
        <w:t xml:space="preserve">cenario </w:t>
      </w:r>
      <w:r w:rsidR="00FB39D4" w:rsidRPr="0061584B">
        <w:t>–</w:t>
      </w:r>
      <w:r w:rsidR="004514FD" w:rsidRPr="0061584B">
        <w:t xml:space="preserve"> </w:t>
      </w:r>
      <w:r w:rsidR="00CB0E34">
        <w:t xml:space="preserve">percentage </w:t>
      </w:r>
      <w:r w:rsidR="00B4008B">
        <w:t>c</w:t>
      </w:r>
      <w:r w:rsidR="004514FD" w:rsidRPr="0061584B">
        <w:t xml:space="preserve">hanges compared </w:t>
      </w:r>
      <w:r w:rsidR="00B4008B">
        <w:t>with</w:t>
      </w:r>
      <w:r w:rsidR="00B4008B" w:rsidRPr="0061584B">
        <w:t xml:space="preserve"> </w:t>
      </w:r>
      <w:r w:rsidR="004514FD" w:rsidRPr="0061584B">
        <w:t>the baseline scenario</w:t>
      </w:r>
      <w:r w:rsidR="00B4008B">
        <w:t>,</w:t>
      </w:r>
      <w:r w:rsidR="00B4192A" w:rsidRPr="0061584B">
        <w:t xml:space="preserve"> </w:t>
      </w:r>
      <w:r w:rsidR="004514FD" w:rsidRPr="0061584B">
        <w:t>2022</w:t>
      </w:r>
    </w:p>
    <w:p w:rsidR="0090532E" w:rsidRPr="002E5DDB" w:rsidRDefault="002E5DDB" w:rsidP="0090532E">
      <w:pPr>
        <w:spacing w:line="360" w:lineRule="auto"/>
        <w:ind w:firstLine="0"/>
        <w:jc w:val="center"/>
      </w:pPr>
      <w:r w:rsidRPr="002E5DDB">
        <w:pict>
          <v:shape id="_x0000_i1057" type="#_x0000_t75" style="width:647.25pt;height:362.25pt">
            <v:imagedata r:id="rId46" o:title=""/>
          </v:shape>
        </w:pict>
      </w:r>
    </w:p>
    <w:p w:rsidR="004514FD" w:rsidRPr="0061584B" w:rsidRDefault="004514FD" w:rsidP="006D5982">
      <w:pPr>
        <w:pStyle w:val="Source"/>
        <w:spacing w:line="360" w:lineRule="auto"/>
        <w:rPr>
          <w:sz w:val="20"/>
          <w:szCs w:val="20"/>
        </w:rPr>
      </w:pPr>
      <w:r w:rsidRPr="0061584B">
        <w:t>Source: Authors’ calculations based on MIRAGE model</w:t>
      </w:r>
      <w:r w:rsidR="00334680" w:rsidRPr="0061584B">
        <w:t>.</w:t>
      </w:r>
    </w:p>
    <w:p w:rsidR="00734C06" w:rsidRDefault="00734C06" w:rsidP="005E3896">
      <w:pPr>
        <w:pStyle w:val="Tableheading"/>
        <w:ind w:left="0" w:firstLine="0"/>
        <w:sectPr w:rsidR="00734C06" w:rsidSect="005E3896">
          <w:pgSz w:w="15840" w:h="12240" w:orient="landscape"/>
          <w:pgMar w:top="1800" w:right="1440" w:bottom="1800" w:left="1440" w:header="720" w:footer="720" w:gutter="0"/>
          <w:cols w:space="720"/>
          <w:docGrid w:linePitch="360"/>
        </w:sectPr>
      </w:pPr>
    </w:p>
    <w:p w:rsidR="00042533" w:rsidRPr="0061584B" w:rsidRDefault="005E5CAA" w:rsidP="005E5CAA">
      <w:pPr>
        <w:pStyle w:val="Tableheading"/>
        <w:ind w:left="1440" w:hanging="1440"/>
      </w:pPr>
      <w:r>
        <w:t>Table</w:t>
      </w:r>
      <w:r w:rsidR="00042533" w:rsidRPr="0061584B">
        <w:t xml:space="preserve"> </w:t>
      </w:r>
      <w:r>
        <w:t>A</w:t>
      </w:r>
      <w:r w:rsidR="006436C9" w:rsidRPr="0061584B">
        <w:t>8.</w:t>
      </w:r>
      <w:r w:rsidR="00510A9F" w:rsidRPr="0061584B">
        <w:t>9</w:t>
      </w:r>
      <w:r w:rsidR="00FB39D4" w:rsidRPr="0061584B">
        <w:t>:</w:t>
      </w:r>
      <w:r w:rsidR="00042533" w:rsidRPr="0061584B">
        <w:t xml:space="preserve"> </w:t>
      </w:r>
      <w:r w:rsidR="00B4192A" w:rsidRPr="0061584B">
        <w:tab/>
      </w:r>
      <w:r w:rsidR="00042533" w:rsidRPr="0061584B">
        <w:t>Export volumes and real income by African country/region</w:t>
      </w:r>
      <w:r w:rsidR="009468D6">
        <w:t>,</w:t>
      </w:r>
      <w:r w:rsidR="00042533" w:rsidRPr="0061584B">
        <w:t xml:space="preserve"> FTA reforms with introduction of trade facilitation (TF) measures </w:t>
      </w:r>
      <w:r w:rsidR="00B4192A" w:rsidRPr="0061584B">
        <w:t>–</w:t>
      </w:r>
      <w:r w:rsidR="009468D6">
        <w:t xml:space="preserve"> percentage</w:t>
      </w:r>
      <w:r w:rsidR="00042533" w:rsidRPr="0061584B">
        <w:t xml:space="preserve"> </w:t>
      </w:r>
      <w:r w:rsidR="009468D6">
        <w:t>c</w:t>
      </w:r>
      <w:r w:rsidR="00042533" w:rsidRPr="0061584B">
        <w:t xml:space="preserve">hanges compared </w:t>
      </w:r>
      <w:r w:rsidR="009468D6">
        <w:t>with</w:t>
      </w:r>
      <w:r w:rsidR="009468D6" w:rsidRPr="0061584B">
        <w:t xml:space="preserve"> </w:t>
      </w:r>
      <w:r w:rsidR="00042533" w:rsidRPr="0061584B">
        <w:t>the baseline scenario</w:t>
      </w:r>
      <w:r w:rsidR="009468D6">
        <w:t>,</w:t>
      </w:r>
      <w:r w:rsidR="00B4192A" w:rsidRPr="0061584B">
        <w:t xml:space="preserve"> </w:t>
      </w:r>
      <w:r w:rsidR="00042533" w:rsidRPr="0061584B">
        <w:t>2022</w:t>
      </w:r>
    </w:p>
    <w:p w:rsidR="00042533" w:rsidRDefault="00042533" w:rsidP="006D5982">
      <w:pPr>
        <w:spacing w:line="360" w:lineRule="auto"/>
      </w:pPr>
    </w:p>
    <w:p w:rsidR="0090532E" w:rsidRPr="002E5DDB" w:rsidRDefault="002E5DDB" w:rsidP="0090532E">
      <w:pPr>
        <w:spacing w:line="360" w:lineRule="auto"/>
        <w:ind w:firstLine="0"/>
        <w:jc w:val="center"/>
      </w:pPr>
      <w:r w:rsidRPr="002E5DDB">
        <w:pict>
          <v:shape id="_x0000_i1058" type="#_x0000_t75" style="width:404.25pt;height:379.5pt">
            <v:imagedata r:id="rId47" o:title=""/>
          </v:shape>
        </w:pict>
      </w:r>
    </w:p>
    <w:p w:rsidR="00042533" w:rsidRPr="0061584B" w:rsidRDefault="00042533" w:rsidP="006D5982">
      <w:pPr>
        <w:pStyle w:val="Source"/>
        <w:spacing w:line="360" w:lineRule="auto"/>
        <w:rPr>
          <w:sz w:val="20"/>
          <w:szCs w:val="20"/>
        </w:rPr>
      </w:pPr>
      <w:r w:rsidRPr="0061584B">
        <w:t>Source: Authors’ calculations based on MIRAGE model</w:t>
      </w:r>
      <w:r w:rsidR="00334680" w:rsidRPr="0061584B">
        <w:t>.</w:t>
      </w:r>
    </w:p>
    <w:p w:rsidR="00B46B7E" w:rsidRPr="0061584B" w:rsidRDefault="009468D6" w:rsidP="00C55230">
      <w:pPr>
        <w:pStyle w:val="Tableheading"/>
        <w:ind w:left="1440" w:hanging="1440"/>
      </w:pPr>
      <w:r>
        <w:br w:type="page"/>
      </w:r>
      <w:r w:rsidR="00C55230">
        <w:t xml:space="preserve">Table </w:t>
      </w:r>
      <w:r w:rsidR="00C93139" w:rsidRPr="0061584B">
        <w:t>A</w:t>
      </w:r>
      <w:r w:rsidR="006436C9" w:rsidRPr="0061584B">
        <w:t>8.</w:t>
      </w:r>
      <w:r w:rsidR="00C93139" w:rsidRPr="0061584B">
        <w:t>1</w:t>
      </w:r>
      <w:r w:rsidR="00510A9F" w:rsidRPr="0061584B">
        <w:t>0</w:t>
      </w:r>
      <w:r w:rsidR="00B4192A" w:rsidRPr="0061584B">
        <w:t>:</w:t>
      </w:r>
      <w:r w:rsidR="00B4192A" w:rsidRPr="0061584B">
        <w:tab/>
      </w:r>
      <w:r w:rsidR="00B46B7E" w:rsidRPr="0061584B">
        <w:t>Real wages by African country/region</w:t>
      </w:r>
      <w:r>
        <w:t>,</w:t>
      </w:r>
      <w:r w:rsidR="00B46B7E" w:rsidRPr="0061584B">
        <w:t xml:space="preserve"> FTA reforms with introduction of trade facilitation (TF) measures </w:t>
      </w:r>
      <w:r w:rsidR="00B4192A" w:rsidRPr="0061584B">
        <w:t>–</w:t>
      </w:r>
      <w:r w:rsidR="00B46B7E" w:rsidRPr="0061584B">
        <w:t xml:space="preserve"> </w:t>
      </w:r>
      <w:r>
        <w:t>percentage c</w:t>
      </w:r>
      <w:r w:rsidR="00B46B7E" w:rsidRPr="0061584B">
        <w:t xml:space="preserve">hanges compared </w:t>
      </w:r>
      <w:r w:rsidR="00ED22EE">
        <w:t>with</w:t>
      </w:r>
      <w:r w:rsidR="00ED22EE" w:rsidRPr="0061584B">
        <w:t xml:space="preserve"> the</w:t>
      </w:r>
      <w:r w:rsidR="00B46B7E" w:rsidRPr="0061584B">
        <w:t xml:space="preserve"> baseline scenario</w:t>
      </w:r>
      <w:r>
        <w:t>,</w:t>
      </w:r>
      <w:r w:rsidR="00B46B7E" w:rsidRPr="0061584B">
        <w:t xml:space="preserve"> 2022</w:t>
      </w:r>
    </w:p>
    <w:p w:rsidR="00B46B7E" w:rsidRDefault="00B46B7E" w:rsidP="006D5982">
      <w:pPr>
        <w:spacing w:line="360" w:lineRule="auto"/>
      </w:pPr>
    </w:p>
    <w:p w:rsidR="003825F4" w:rsidRPr="0061584B" w:rsidRDefault="003825F4" w:rsidP="003825F4">
      <w:pPr>
        <w:spacing w:line="360" w:lineRule="auto"/>
        <w:ind w:firstLine="0"/>
        <w:jc w:val="center"/>
      </w:pPr>
      <w:r w:rsidRPr="003825F4">
        <w:pict>
          <v:shape id="_x0000_i1059" type="#_x0000_t75" style="width:6in;height:332.25pt">
            <v:imagedata r:id="rId48" o:title=""/>
          </v:shape>
        </w:pict>
      </w:r>
    </w:p>
    <w:p w:rsidR="00B46B7E" w:rsidRPr="0061584B" w:rsidRDefault="00B46B7E" w:rsidP="006D5982">
      <w:pPr>
        <w:pStyle w:val="Source"/>
        <w:spacing w:line="360" w:lineRule="auto"/>
        <w:rPr>
          <w:sz w:val="20"/>
          <w:szCs w:val="20"/>
        </w:rPr>
      </w:pPr>
      <w:r w:rsidRPr="0061584B">
        <w:t>Source: Authors’ calculations based on MIRAGE model</w:t>
      </w:r>
      <w:r w:rsidR="00334680" w:rsidRPr="0061584B">
        <w:t>.</w:t>
      </w:r>
    </w:p>
    <w:p w:rsidR="006539F8" w:rsidRPr="0061584B" w:rsidRDefault="005E6DE6" w:rsidP="00C55230">
      <w:pPr>
        <w:pStyle w:val="Tableheading"/>
        <w:ind w:left="1440" w:hanging="1440"/>
      </w:pPr>
      <w:r>
        <w:br w:type="page"/>
      </w:r>
      <w:r w:rsidR="00C55230">
        <w:t xml:space="preserve">Table </w:t>
      </w:r>
      <w:r w:rsidR="00510A9F" w:rsidRPr="0061584B">
        <w:t>A</w:t>
      </w:r>
      <w:r w:rsidR="006436C9" w:rsidRPr="0061584B">
        <w:t>8.</w:t>
      </w:r>
      <w:r w:rsidR="00510A9F" w:rsidRPr="0061584B">
        <w:t>11</w:t>
      </w:r>
      <w:r w:rsidR="00B4192A" w:rsidRPr="0061584B">
        <w:t>:</w:t>
      </w:r>
      <w:r w:rsidR="00B4192A" w:rsidRPr="0061584B">
        <w:tab/>
      </w:r>
      <w:r w:rsidR="006539F8" w:rsidRPr="0061584B">
        <w:t>Employment by main sectors of activity</w:t>
      </w:r>
      <w:r>
        <w:t>,</w:t>
      </w:r>
      <w:r w:rsidR="006539F8" w:rsidRPr="0061584B">
        <w:t xml:space="preserve"> FTA reforms with introduction of trade facilitation (TF) measures – </w:t>
      </w:r>
      <w:r w:rsidR="00B4192A" w:rsidRPr="0061584B">
        <w:t>p</w:t>
      </w:r>
      <w:r w:rsidR="006539F8" w:rsidRPr="0061584B">
        <w:t xml:space="preserve">ercentage changes compared </w:t>
      </w:r>
      <w:r>
        <w:t>with</w:t>
      </w:r>
      <w:r w:rsidRPr="0061584B">
        <w:t xml:space="preserve"> </w:t>
      </w:r>
      <w:r w:rsidR="006539F8" w:rsidRPr="0061584B">
        <w:t>the baseline scenario</w:t>
      </w:r>
      <w:r>
        <w:t>,</w:t>
      </w:r>
      <w:r w:rsidR="006539F8" w:rsidRPr="0061584B">
        <w:t xml:space="preserve"> 2022</w:t>
      </w:r>
    </w:p>
    <w:p w:rsidR="006539F8" w:rsidRDefault="006539F8" w:rsidP="006D5982">
      <w:pPr>
        <w:spacing w:line="360" w:lineRule="auto"/>
      </w:pPr>
    </w:p>
    <w:p w:rsidR="003825F4" w:rsidRPr="0061584B" w:rsidRDefault="003825F4" w:rsidP="003825F4">
      <w:pPr>
        <w:spacing w:line="360" w:lineRule="auto"/>
        <w:ind w:firstLine="0"/>
        <w:jc w:val="center"/>
      </w:pPr>
      <w:r w:rsidRPr="003825F4">
        <w:pict>
          <v:shape id="_x0000_i1060" type="#_x0000_t75" style="width:396pt;height:401.25pt">
            <v:imagedata r:id="rId49" o:title=""/>
          </v:shape>
        </w:pict>
      </w:r>
    </w:p>
    <w:p w:rsidR="006539F8" w:rsidRPr="0061584B" w:rsidRDefault="006539F8" w:rsidP="006D5982">
      <w:pPr>
        <w:pStyle w:val="Source"/>
        <w:spacing w:line="360" w:lineRule="auto"/>
        <w:rPr>
          <w:sz w:val="20"/>
          <w:szCs w:val="20"/>
        </w:rPr>
      </w:pPr>
      <w:r w:rsidRPr="0061584B">
        <w:t>Source: Authors’ calculations based on MIRAGE model</w:t>
      </w:r>
      <w:r w:rsidR="00334680" w:rsidRPr="0061584B">
        <w:t>.</w:t>
      </w:r>
    </w:p>
    <w:p w:rsidR="00787124" w:rsidRPr="0061584B" w:rsidRDefault="00787124" w:rsidP="006D5982">
      <w:pPr>
        <w:spacing w:line="360" w:lineRule="auto"/>
      </w:pPr>
    </w:p>
    <w:p w:rsidR="00787124" w:rsidRPr="0061584B" w:rsidRDefault="00787124" w:rsidP="006D5982">
      <w:pPr>
        <w:spacing w:line="360" w:lineRule="auto"/>
        <w:sectPr w:rsidR="00787124" w:rsidRPr="0061584B" w:rsidSect="00042533">
          <w:pgSz w:w="12240" w:h="15840"/>
          <w:pgMar w:top="1440" w:right="1800" w:bottom="1440" w:left="1800" w:header="720" w:footer="720" w:gutter="0"/>
          <w:cols w:space="720"/>
          <w:docGrid w:linePitch="360"/>
        </w:sectPr>
      </w:pPr>
    </w:p>
    <w:p w:rsidR="00787124" w:rsidRPr="0061584B" w:rsidRDefault="0084520E" w:rsidP="00C55230">
      <w:pPr>
        <w:pStyle w:val="Tableheading"/>
        <w:ind w:left="1440" w:hanging="1440"/>
      </w:pPr>
      <w:r>
        <w:t>Table A</w:t>
      </w:r>
      <w:r w:rsidR="006436C9" w:rsidRPr="0061584B">
        <w:t>8.</w:t>
      </w:r>
      <w:r w:rsidR="00787124" w:rsidRPr="0061584B">
        <w:t>1</w:t>
      </w:r>
      <w:r w:rsidR="00510A9F" w:rsidRPr="0061584B">
        <w:t>2</w:t>
      </w:r>
      <w:r w:rsidR="00B4192A" w:rsidRPr="0061584B">
        <w:t>:</w:t>
      </w:r>
      <w:r w:rsidR="00B4192A" w:rsidRPr="0061584B">
        <w:tab/>
      </w:r>
      <w:r w:rsidR="00787124" w:rsidRPr="0061584B">
        <w:t>Output by African country/region and main sectors</w:t>
      </w:r>
      <w:r w:rsidR="009110D5">
        <w:t>,</w:t>
      </w:r>
      <w:r w:rsidR="00787124" w:rsidRPr="0061584B">
        <w:t xml:space="preserve"> FTA reforms with introduction of trade facilitation (TF) measures </w:t>
      </w:r>
      <w:r w:rsidR="00B4192A" w:rsidRPr="0061584B">
        <w:t>–</w:t>
      </w:r>
      <w:r w:rsidR="00787124" w:rsidRPr="0061584B">
        <w:t xml:space="preserve"> </w:t>
      </w:r>
      <w:r w:rsidR="009110D5">
        <w:t xml:space="preserve">percentage </w:t>
      </w:r>
      <w:r w:rsidR="00B4192A" w:rsidRPr="0061584B">
        <w:t xml:space="preserve">changes </w:t>
      </w:r>
      <w:r w:rsidR="00787124" w:rsidRPr="0061584B">
        <w:t xml:space="preserve">compared </w:t>
      </w:r>
      <w:r w:rsidR="009110D5">
        <w:t>with</w:t>
      </w:r>
      <w:r w:rsidR="009110D5" w:rsidRPr="0061584B">
        <w:t xml:space="preserve"> </w:t>
      </w:r>
      <w:r w:rsidR="00787124" w:rsidRPr="0061584B">
        <w:t>the baseline scenario</w:t>
      </w:r>
      <w:r w:rsidR="009110D5">
        <w:t>,</w:t>
      </w:r>
      <w:r w:rsidR="00787124" w:rsidRPr="0061584B">
        <w:t xml:space="preserve"> 2022</w:t>
      </w:r>
    </w:p>
    <w:p w:rsidR="00787124" w:rsidRDefault="00787124" w:rsidP="006D5982">
      <w:pPr>
        <w:spacing w:line="360" w:lineRule="auto"/>
      </w:pPr>
    </w:p>
    <w:p w:rsidR="003825F4" w:rsidRPr="0061584B" w:rsidRDefault="00752684" w:rsidP="003825F4">
      <w:pPr>
        <w:spacing w:line="360" w:lineRule="auto"/>
        <w:ind w:firstLine="0"/>
        <w:jc w:val="center"/>
      </w:pPr>
      <w:r w:rsidRPr="00752684">
        <w:pict>
          <v:shape id="_x0000_i1061" type="#_x0000_t75" style="width:493.5pt;height:332.25pt">
            <v:imagedata r:id="rId50" o:title=""/>
          </v:shape>
        </w:pict>
      </w:r>
    </w:p>
    <w:p w:rsidR="00787124" w:rsidRPr="0061584B" w:rsidRDefault="00787124" w:rsidP="006D5982">
      <w:pPr>
        <w:pStyle w:val="Source"/>
        <w:spacing w:line="360" w:lineRule="auto"/>
        <w:rPr>
          <w:sz w:val="20"/>
          <w:szCs w:val="20"/>
        </w:rPr>
      </w:pPr>
      <w:r w:rsidRPr="0061584B">
        <w:t>Source: Authors’ calculations based on MIRAGE model</w:t>
      </w:r>
      <w:r w:rsidR="00334680" w:rsidRPr="0061584B">
        <w:t>.</w:t>
      </w:r>
    </w:p>
    <w:p w:rsidR="0078386E" w:rsidRDefault="00CA3F0D" w:rsidP="0078386E">
      <w:pPr>
        <w:spacing w:line="360" w:lineRule="auto"/>
      </w:pPr>
      <w:r w:rsidRPr="0061584B">
        <w:br/>
      </w:r>
    </w:p>
    <w:p w:rsidR="0078386E" w:rsidRPr="0061584B" w:rsidRDefault="0078386E" w:rsidP="0078386E">
      <w:pPr>
        <w:pStyle w:val="Heading1"/>
        <w:spacing w:line="360" w:lineRule="auto"/>
      </w:pPr>
      <w:r>
        <w:br w:type="page"/>
      </w:r>
      <w:r w:rsidRPr="0061584B">
        <w:t>References</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African Union Commission.</w:t>
      </w:r>
      <w:proofErr w:type="gramEnd"/>
      <w:r>
        <w:rPr>
          <w:rFonts w:ascii="Calibri" w:hAnsi="Calibri" w:cs="Calibri"/>
        </w:rPr>
        <w:t xml:space="preserve"> 1991. </w:t>
      </w:r>
      <w:r w:rsidRPr="0020442E">
        <w:rPr>
          <w:rFonts w:ascii="Calibri" w:hAnsi="Calibri" w:cs="Calibri"/>
          <w:i/>
        </w:rPr>
        <w:t xml:space="preserve">Treaty </w:t>
      </w:r>
      <w:r>
        <w:rPr>
          <w:rFonts w:ascii="Calibri" w:hAnsi="Calibri" w:cs="Calibri"/>
          <w:i/>
        </w:rPr>
        <w:t>e</w:t>
      </w:r>
      <w:r w:rsidRPr="0020442E">
        <w:rPr>
          <w:rFonts w:ascii="Calibri" w:hAnsi="Calibri" w:cs="Calibri"/>
          <w:i/>
        </w:rPr>
        <w:t xml:space="preserve">stablishing the African </w:t>
      </w:r>
      <w:r>
        <w:rPr>
          <w:rFonts w:ascii="Calibri" w:hAnsi="Calibri" w:cs="Calibri"/>
          <w:i/>
        </w:rPr>
        <w:t>e</w:t>
      </w:r>
      <w:r w:rsidRPr="0020442E">
        <w:rPr>
          <w:rFonts w:ascii="Calibri" w:hAnsi="Calibri" w:cs="Calibri"/>
          <w:i/>
        </w:rPr>
        <w:t xml:space="preserve">conomic </w:t>
      </w:r>
      <w:r>
        <w:rPr>
          <w:rFonts w:ascii="Calibri" w:hAnsi="Calibri" w:cs="Calibri"/>
          <w:i/>
        </w:rPr>
        <w:t>c</w:t>
      </w:r>
      <w:r w:rsidRPr="0020442E">
        <w:rPr>
          <w:rFonts w:ascii="Calibri" w:hAnsi="Calibri" w:cs="Calibri"/>
          <w:i/>
        </w:rPr>
        <w:t>ommunity</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Addis Ababa</w:t>
          </w:r>
        </w:smartTag>
      </w:smartTag>
      <w:r>
        <w:rPr>
          <w:rFonts w:ascii="Calibri" w:hAnsi="Calibri" w:cs="Calibri"/>
        </w:rPr>
        <w:t>).</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 xml:space="preserve">Alcala, F.; Ciccone, A. 2004 “Trade and productivity”, in </w:t>
      </w:r>
      <w:r w:rsidRPr="0020442E">
        <w:rPr>
          <w:rFonts w:ascii="Calibri" w:hAnsi="Calibri" w:cs="Calibri"/>
          <w:i/>
        </w:rPr>
        <w:t>The Quarterly Journal of Economics</w:t>
      </w:r>
      <w:r>
        <w:rPr>
          <w:rFonts w:ascii="Calibri" w:hAnsi="Calibri" w:cs="Calibri"/>
        </w:rPr>
        <w:t>, Vol. 119, No. 2, pp. 613–646.</w:t>
      </w:r>
      <w:proofErr w:type="gramEnd"/>
      <w:r>
        <w:rPr>
          <w:rFonts w:ascii="Calibri" w:hAnsi="Calibri" w:cs="Calibri"/>
        </w:rPr>
        <w:t xml:space="preserve"> </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sidRPr="0078386E">
        <w:rPr>
          <w:rFonts w:ascii="Calibri" w:hAnsi="Calibri" w:cs="Calibri"/>
          <w:lang w:val="en-US"/>
        </w:rPr>
        <w:t>Ben Hammouda, H.; Osakwe, P.N. 2006.</w:t>
      </w:r>
      <w:proofErr w:type="gramEnd"/>
      <w:r w:rsidRPr="0078386E">
        <w:rPr>
          <w:rFonts w:ascii="Calibri" w:hAnsi="Calibri" w:cs="Calibri"/>
          <w:lang w:val="en-US"/>
        </w:rPr>
        <w:t xml:space="preserve"> </w:t>
      </w:r>
      <w:r w:rsidRPr="00D858B3">
        <w:rPr>
          <w:rFonts w:ascii="Calibri" w:hAnsi="Calibri" w:cs="Calibri"/>
          <w:i/>
        </w:rPr>
        <w:t>Global trade models and economic policy analyses: Relevance, risks, and repercussions for Africa</w:t>
      </w:r>
      <w:r>
        <w:rPr>
          <w:rFonts w:ascii="Calibri" w:hAnsi="Calibri" w:cs="Calibri"/>
        </w:rPr>
        <w:t xml:space="preserve">, </w:t>
      </w:r>
      <w:r w:rsidRPr="00D858B3">
        <w:rPr>
          <w:rFonts w:ascii="Calibri" w:hAnsi="Calibri" w:cs="Calibri"/>
        </w:rPr>
        <w:t>ATPC Work in Progress</w:t>
      </w:r>
      <w:r>
        <w:rPr>
          <w:rFonts w:ascii="Calibri" w:hAnsi="Calibri" w:cs="Calibri"/>
        </w:rPr>
        <w:t>,</w:t>
      </w:r>
      <w:r w:rsidRPr="00D858B3">
        <w:rPr>
          <w:rFonts w:ascii="Calibri" w:hAnsi="Calibri" w:cs="Calibri"/>
        </w:rPr>
        <w:t xml:space="preserve"> No. 47</w:t>
      </w:r>
      <w:r>
        <w:rPr>
          <w:rFonts w:ascii="Calibri" w:hAnsi="Calibri" w:cs="Calibri"/>
        </w:rPr>
        <w:t xml:space="preserve"> (</w:t>
      </w:r>
      <w:smartTag w:uri="urn:schemas-microsoft-com:office:smarttags" w:element="City">
        <w:r>
          <w:rPr>
            <w:rFonts w:ascii="Calibri" w:hAnsi="Calibri" w:cs="Calibri"/>
          </w:rPr>
          <w:t>Addis Ababa</w:t>
        </w:r>
      </w:smartTag>
      <w:r>
        <w:rPr>
          <w:rFonts w:ascii="Calibri" w:hAnsi="Calibri" w:cs="Calibri"/>
        </w:rPr>
        <w:t xml:space="preserve">, </w:t>
      </w:r>
      <w:r w:rsidRPr="0020442E">
        <w:rPr>
          <w:rFonts w:ascii="Calibri" w:hAnsi="Calibri" w:cs="Calibri"/>
          <w:bCs/>
        </w:rPr>
        <w:t xml:space="preserve">United Nations Economic Commission for </w:t>
      </w:r>
      <w:smartTag w:uri="urn:schemas-microsoft-com:office:smarttags" w:element="place">
        <w:r w:rsidRPr="0020442E">
          <w:rPr>
            <w:rFonts w:ascii="Calibri" w:hAnsi="Calibri" w:cs="Calibri"/>
            <w:bCs/>
          </w:rPr>
          <w:t>Africa</w:t>
        </w:r>
      </w:smartTag>
      <w:r>
        <w:rPr>
          <w:rFonts w:ascii="Calibri" w:hAnsi="Calibri" w:cs="Calibri"/>
          <w:bCs/>
        </w:rPr>
        <w:t>).</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Blanchflower, D.G.; Oswald, A.J. 2005.</w:t>
      </w:r>
      <w:proofErr w:type="gramEnd"/>
      <w:r>
        <w:rPr>
          <w:rFonts w:ascii="Calibri" w:hAnsi="Calibri" w:cs="Calibri"/>
        </w:rPr>
        <w:t xml:space="preserve"> </w:t>
      </w:r>
      <w:r w:rsidRPr="00D858B3">
        <w:rPr>
          <w:rFonts w:ascii="Calibri" w:hAnsi="Calibri" w:cs="Calibri"/>
          <w:i/>
        </w:rPr>
        <w:t>The wage curve reloaded</w:t>
      </w:r>
      <w:r>
        <w:rPr>
          <w:rFonts w:ascii="Calibri" w:hAnsi="Calibri" w:cs="Calibri"/>
        </w:rPr>
        <w:t xml:space="preserve">, </w:t>
      </w:r>
      <w:r w:rsidRPr="00D858B3">
        <w:rPr>
          <w:rFonts w:ascii="Calibri" w:hAnsi="Calibri" w:cs="Calibri"/>
        </w:rPr>
        <w:t>NBER Working Paper,</w:t>
      </w:r>
      <w:r w:rsidRPr="0020442E">
        <w:rPr>
          <w:rFonts w:ascii="Calibri" w:hAnsi="Calibri" w:cs="Calibri"/>
          <w:i/>
        </w:rPr>
        <w:t xml:space="preserve"> </w:t>
      </w:r>
      <w:r w:rsidRPr="0020442E">
        <w:rPr>
          <w:rFonts w:ascii="Calibri" w:hAnsi="Calibri" w:cs="Calibri"/>
          <w:bCs/>
        </w:rPr>
        <w:t>No.</w:t>
      </w:r>
      <w:r w:rsidRPr="0020442E">
        <w:rPr>
          <w:rFonts w:ascii="Calibri" w:hAnsi="Calibri" w:cs="Calibri"/>
          <w:b/>
          <w:bCs/>
        </w:rPr>
        <w:t xml:space="preserve"> </w:t>
      </w:r>
      <w:r w:rsidRPr="0020442E">
        <w:rPr>
          <w:rFonts w:ascii="Calibri" w:hAnsi="Calibri" w:cs="Calibri"/>
          <w:bCs/>
        </w:rPr>
        <w:t>11338</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Cambridge</w:t>
          </w:r>
        </w:smartTag>
        <w:r>
          <w:rPr>
            <w:rFonts w:ascii="Calibri" w:hAnsi="Calibri" w:cs="Calibri"/>
          </w:rPr>
          <w:t xml:space="preserve">, </w:t>
        </w:r>
        <w:smartTag w:uri="urn:schemas-microsoft-com:office:smarttags" w:element="State">
          <w:r>
            <w:rPr>
              <w:rFonts w:ascii="Calibri" w:hAnsi="Calibri" w:cs="Calibri"/>
            </w:rPr>
            <w:t>MA</w:t>
          </w:r>
        </w:smartTag>
      </w:smartTag>
      <w:r>
        <w:rPr>
          <w:rFonts w:ascii="Calibri" w:hAnsi="Calibri" w:cs="Calibri"/>
        </w:rPr>
        <w:t>, National Bureau of Economic Research).</w:t>
      </w:r>
    </w:p>
    <w:p w:rsidR="0078386E" w:rsidRDefault="0078386E" w:rsidP="0078386E">
      <w:pPr>
        <w:widowControl w:val="0"/>
        <w:autoSpaceDE w:val="0"/>
        <w:autoSpaceDN w:val="0"/>
        <w:adjustRightInd w:val="0"/>
        <w:spacing w:after="200"/>
        <w:ind w:right="-386" w:firstLine="0"/>
        <w:rPr>
          <w:rFonts w:ascii="Calibri" w:hAnsi="Calibri" w:cs="Calibri"/>
        </w:rPr>
      </w:pPr>
      <w:r w:rsidRPr="005728AC">
        <w:rPr>
          <w:rFonts w:ascii="Calibri" w:hAnsi="Calibri" w:cs="Calibri"/>
          <w:lang w:val="es-MX"/>
        </w:rPr>
        <w:t xml:space="preserve">Bouët, A.; Dimaranan, B.; Valin, H. 2010. </w:t>
      </w:r>
      <w:r w:rsidRPr="00D858B3">
        <w:rPr>
          <w:rFonts w:ascii="Calibri" w:hAnsi="Calibri" w:cs="Calibri"/>
          <w:i/>
        </w:rPr>
        <w:t>Modeling the global trade and environment impacts of biofuel policies</w:t>
      </w:r>
      <w:r>
        <w:rPr>
          <w:rFonts w:ascii="Calibri" w:hAnsi="Calibri" w:cs="Calibri"/>
        </w:rPr>
        <w:t xml:space="preserve">, </w:t>
      </w:r>
      <w:r w:rsidRPr="00D858B3">
        <w:rPr>
          <w:rFonts w:ascii="Calibri" w:hAnsi="Calibri" w:cs="Calibri"/>
        </w:rPr>
        <w:t>IFPRI Discussion Paper</w:t>
      </w:r>
      <w:r>
        <w:rPr>
          <w:rFonts w:ascii="Calibri" w:hAnsi="Calibri" w:cs="Calibri"/>
        </w:rPr>
        <w:t xml:space="preserve"> No. 01018 (</w:t>
      </w:r>
      <w:smartTag w:uri="urn:schemas-microsoft-com:office:smarttags" w:element="place">
        <w:smartTag w:uri="urn:schemas-microsoft-com:office:smarttags" w:element="City">
          <w:r>
            <w:rPr>
              <w:rFonts w:ascii="Calibri" w:hAnsi="Calibri" w:cs="Calibri"/>
            </w:rPr>
            <w:t>Washington</w:t>
          </w:r>
        </w:smartTag>
        <w:r>
          <w:rPr>
            <w:rFonts w:ascii="Calibri" w:hAnsi="Calibri" w:cs="Calibri"/>
          </w:rPr>
          <w:t xml:space="preserve">, </w:t>
        </w:r>
        <w:smartTag w:uri="urn:schemas-microsoft-com:office:smarttags" w:element="State">
          <w:r>
            <w:rPr>
              <w:rFonts w:ascii="Calibri" w:hAnsi="Calibri" w:cs="Calibri"/>
            </w:rPr>
            <w:t>D.C.</w:t>
          </w:r>
        </w:smartTag>
      </w:smartTag>
      <w:r>
        <w:rPr>
          <w:rFonts w:ascii="Calibri" w:hAnsi="Calibri" w:cs="Calibri"/>
        </w:rPr>
        <w:t>, International Food Policy Research Institute).</w:t>
      </w:r>
    </w:p>
    <w:p w:rsidR="0078386E" w:rsidRDefault="0078386E" w:rsidP="0078386E">
      <w:pPr>
        <w:widowControl w:val="0"/>
        <w:autoSpaceDE w:val="0"/>
        <w:autoSpaceDN w:val="0"/>
        <w:adjustRightInd w:val="0"/>
        <w:spacing w:after="200"/>
        <w:ind w:right="-386" w:firstLine="0"/>
        <w:rPr>
          <w:rFonts w:ascii="Calibri" w:hAnsi="Calibri" w:cs="Calibri"/>
        </w:rPr>
      </w:pPr>
      <w:r w:rsidRPr="005728AC">
        <w:rPr>
          <w:rFonts w:ascii="Calibri" w:hAnsi="Calibri" w:cs="Calibri"/>
          <w:lang w:val="fr-FR"/>
        </w:rPr>
        <w:t xml:space="preserve">Boumellassa, H.; Laborde, D.; Mitaritonna, C. 2009. </w:t>
      </w:r>
      <w:r w:rsidRPr="00D858B3">
        <w:rPr>
          <w:rFonts w:ascii="Calibri" w:hAnsi="Calibri" w:cs="Calibri"/>
          <w:i/>
        </w:rPr>
        <w:t>A picture of tariff protection across the world in 2004: MAcMap−HS6, Version 2</w:t>
      </w:r>
      <w:r>
        <w:rPr>
          <w:rFonts w:ascii="Calibri" w:hAnsi="Calibri" w:cs="Calibri"/>
        </w:rPr>
        <w:t xml:space="preserve">, </w:t>
      </w:r>
      <w:r w:rsidRPr="00D858B3">
        <w:rPr>
          <w:rFonts w:ascii="Calibri" w:hAnsi="Calibri" w:cs="Calibri"/>
        </w:rPr>
        <w:t>IFPRI Discussion Paper,</w:t>
      </w:r>
      <w:r>
        <w:rPr>
          <w:rFonts w:ascii="Calibri" w:hAnsi="Calibri" w:cs="Calibri"/>
        </w:rPr>
        <w:t xml:space="preserve"> No. 00903 (Washington, D.C., International Food Policy Research Institute).</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Decreux, Y.; Fontagne, L. 2009.</w:t>
      </w:r>
      <w:proofErr w:type="gramEnd"/>
      <w:r>
        <w:rPr>
          <w:rFonts w:ascii="Calibri" w:hAnsi="Calibri" w:cs="Calibri"/>
        </w:rPr>
        <w:t xml:space="preserve"> </w:t>
      </w:r>
      <w:r w:rsidRPr="00D858B3">
        <w:rPr>
          <w:rFonts w:ascii="Calibri" w:hAnsi="Calibri" w:cs="Calibri"/>
          <w:i/>
        </w:rPr>
        <w:t>Economic impact of potential outcome of the DDA</w:t>
      </w:r>
      <w:r>
        <w:rPr>
          <w:rFonts w:ascii="Calibri" w:hAnsi="Calibri" w:cs="Calibri"/>
        </w:rPr>
        <w:t xml:space="preserve">, </w:t>
      </w:r>
      <w:r w:rsidRPr="00D858B3">
        <w:rPr>
          <w:rFonts w:ascii="Calibri" w:hAnsi="Calibri" w:cs="Calibri"/>
        </w:rPr>
        <w:t>CEPII Working Paper</w:t>
      </w:r>
      <w:r>
        <w:rPr>
          <w:rFonts w:ascii="Calibri" w:hAnsi="Calibri" w:cs="Calibri"/>
          <w:i/>
        </w:rPr>
        <w:t>,</w:t>
      </w:r>
      <w:r>
        <w:rPr>
          <w:rFonts w:ascii="Calibri" w:hAnsi="Calibri" w:cs="Calibri"/>
        </w:rPr>
        <w:t xml:space="preserve"> No. 2009−01</w:t>
      </w:r>
      <w:r w:rsidRPr="00BE067E">
        <w:rPr>
          <w:rFonts w:ascii="Calibri" w:hAnsi="Calibri" w:cs="Calibri"/>
        </w:rPr>
        <w:t xml:space="preserve"> </w:t>
      </w:r>
      <w:r>
        <w:rPr>
          <w:rFonts w:ascii="Calibri" w:hAnsi="Calibri" w:cs="Calibri"/>
        </w:rPr>
        <w:t>(</w:t>
      </w:r>
      <w:smartTag w:uri="urn:schemas-microsoft-com:office:smarttags" w:element="place">
        <w:smartTag w:uri="urn:schemas-microsoft-com:office:smarttags" w:element="City">
          <w:r>
            <w:rPr>
              <w:rFonts w:ascii="Calibri" w:hAnsi="Calibri" w:cs="Calibri"/>
            </w:rPr>
            <w:t>Paris</w:t>
          </w:r>
        </w:smartTag>
      </w:smartTag>
      <w:r>
        <w:rPr>
          <w:rFonts w:ascii="Calibri" w:hAnsi="Calibri" w:cs="Calibri"/>
        </w:rPr>
        <w:t xml:space="preserve">, </w:t>
      </w:r>
      <w:r w:rsidRPr="00BE067E">
        <w:rPr>
          <w:rFonts w:ascii="Calibri" w:hAnsi="Calibri" w:cs="Calibri"/>
        </w:rPr>
        <w:t xml:space="preserve">Centre d'Etudes Prospectives </w:t>
      </w:r>
      <w:proofErr w:type="gramStart"/>
      <w:r w:rsidRPr="00BE067E">
        <w:rPr>
          <w:rFonts w:ascii="Calibri" w:hAnsi="Calibri" w:cs="Calibri"/>
        </w:rPr>
        <w:t>et</w:t>
      </w:r>
      <w:proofErr w:type="gramEnd"/>
      <w:r w:rsidRPr="00BE067E">
        <w:rPr>
          <w:rFonts w:ascii="Calibri" w:hAnsi="Calibri" w:cs="Calibri"/>
        </w:rPr>
        <w:t xml:space="preserve"> d'Informations Internationales</w:t>
      </w:r>
      <w:r>
        <w:rPr>
          <w:rFonts w:ascii="Calibri" w:hAnsi="Calibri" w:cs="Calibri"/>
        </w:rPr>
        <w:t xml:space="preserve">). </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Decreux, Y.; Valin, H. 2007.</w:t>
      </w:r>
      <w:proofErr w:type="gramEnd"/>
      <w:r>
        <w:rPr>
          <w:rFonts w:ascii="Calibri" w:hAnsi="Calibri" w:cs="Calibri"/>
        </w:rPr>
        <w:t xml:space="preserve"> </w:t>
      </w:r>
      <w:r w:rsidRPr="00D858B3">
        <w:rPr>
          <w:rFonts w:ascii="Calibri" w:hAnsi="Calibri" w:cs="Calibri"/>
          <w:i/>
        </w:rPr>
        <w:t>MIRAGE, updated version of the model for trade policy analysis: Focus on agricultural and dynamics</w:t>
      </w:r>
      <w:r>
        <w:rPr>
          <w:rFonts w:ascii="Calibri" w:hAnsi="Calibri" w:cs="Calibri"/>
        </w:rPr>
        <w:t xml:space="preserve">, </w:t>
      </w:r>
      <w:r w:rsidRPr="00D858B3">
        <w:rPr>
          <w:rFonts w:ascii="Calibri" w:hAnsi="Calibri" w:cs="Calibri"/>
        </w:rPr>
        <w:t>CEPII Working Paper,</w:t>
      </w:r>
      <w:r>
        <w:rPr>
          <w:rFonts w:ascii="Calibri" w:hAnsi="Calibri" w:cs="Calibri"/>
        </w:rPr>
        <w:t xml:space="preserve"> No. 2007−15 (</w:t>
      </w:r>
      <w:smartTag w:uri="urn:schemas-microsoft-com:office:smarttags" w:element="place">
        <w:smartTag w:uri="urn:schemas-microsoft-com:office:smarttags" w:element="City">
          <w:r>
            <w:rPr>
              <w:rFonts w:ascii="Calibri" w:hAnsi="Calibri" w:cs="Calibri"/>
            </w:rPr>
            <w:t>Paris</w:t>
          </w:r>
        </w:smartTag>
      </w:smartTag>
      <w:r>
        <w:rPr>
          <w:rFonts w:ascii="Calibri" w:hAnsi="Calibri" w:cs="Calibri"/>
        </w:rPr>
        <w:t xml:space="preserve">, </w:t>
      </w:r>
      <w:r w:rsidRPr="00BE067E">
        <w:rPr>
          <w:rFonts w:ascii="Calibri" w:hAnsi="Calibri" w:cs="Calibri"/>
        </w:rPr>
        <w:t xml:space="preserve">Centre d'Etudes Prospectives </w:t>
      </w:r>
      <w:proofErr w:type="gramStart"/>
      <w:r w:rsidRPr="00BE067E">
        <w:rPr>
          <w:rFonts w:ascii="Calibri" w:hAnsi="Calibri" w:cs="Calibri"/>
        </w:rPr>
        <w:t>et</w:t>
      </w:r>
      <w:proofErr w:type="gramEnd"/>
      <w:r w:rsidRPr="00BE067E">
        <w:rPr>
          <w:rFonts w:ascii="Calibri" w:hAnsi="Calibri" w:cs="Calibri"/>
        </w:rPr>
        <w:t xml:space="preserve"> d'Informations Internationales</w:t>
      </w:r>
      <w:r>
        <w:rPr>
          <w:rFonts w:ascii="Calibri" w:hAnsi="Calibri" w:cs="Calibri"/>
        </w:rPr>
        <w:t xml:space="preserve">). </w:t>
      </w:r>
    </w:p>
    <w:p w:rsidR="0078386E" w:rsidRPr="00F85897" w:rsidRDefault="0078386E" w:rsidP="0078386E">
      <w:pPr>
        <w:widowControl w:val="0"/>
        <w:autoSpaceDE w:val="0"/>
        <w:autoSpaceDN w:val="0"/>
        <w:adjustRightInd w:val="0"/>
        <w:spacing w:after="200"/>
        <w:ind w:right="-386" w:firstLine="0"/>
        <w:rPr>
          <w:rFonts w:ascii="Calibri" w:hAnsi="Calibri" w:cs="Calibri"/>
        </w:rPr>
      </w:pPr>
      <w:r w:rsidRPr="006C4F88">
        <w:rPr>
          <w:rFonts w:ascii="Calibri" w:hAnsi="Calibri" w:cs="Calibri"/>
          <w:lang w:val="pt-BR"/>
        </w:rPr>
        <w:t xml:space="preserve">Horridge, J.M.; Laborde, D. 2008. </w:t>
      </w:r>
      <w:proofErr w:type="gramStart"/>
      <w:r w:rsidRPr="00F85897">
        <w:rPr>
          <w:rFonts w:ascii="Calibri" w:hAnsi="Calibri" w:cs="Calibri"/>
        </w:rPr>
        <w:t xml:space="preserve">“TASTE: A program to adapt detailed trade and tariff data to GTAP-related purposes”, </w:t>
      </w:r>
      <w:r w:rsidRPr="00F85897">
        <w:rPr>
          <w:rFonts w:ascii="Calibri" w:hAnsi="Calibri" w:cs="Calibri"/>
          <w:i/>
        </w:rPr>
        <w:t>GTAP Technical Paper</w:t>
      </w:r>
      <w:r w:rsidRPr="00F85897">
        <w:rPr>
          <w:rFonts w:ascii="Calibri" w:hAnsi="Calibri" w:cs="Calibri"/>
        </w:rPr>
        <w:t xml:space="preserve"> (</w:t>
      </w:r>
      <w:smartTag w:uri="urn:schemas-microsoft-com:office:smarttags" w:element="City">
        <w:r w:rsidRPr="00F85897">
          <w:rPr>
            <w:rFonts w:ascii="Calibri" w:hAnsi="Calibri" w:cs="Calibri"/>
          </w:rPr>
          <w:t>West Lafayette</w:t>
        </w:r>
      </w:smartTag>
      <w:r w:rsidRPr="00F85897">
        <w:rPr>
          <w:rFonts w:ascii="Calibri" w:hAnsi="Calibri" w:cs="Calibri"/>
        </w:rPr>
        <w:t xml:space="preserve">, </w:t>
      </w:r>
      <w:smartTag w:uri="urn:schemas-microsoft-com:office:smarttags" w:element="State">
        <w:r w:rsidRPr="00F85897">
          <w:rPr>
            <w:rFonts w:ascii="Calibri" w:hAnsi="Calibri" w:cs="Calibri"/>
          </w:rPr>
          <w:t>IN</w:t>
        </w:r>
      </w:smartTag>
      <w:r w:rsidRPr="00F85897">
        <w:rPr>
          <w:rFonts w:ascii="Calibri" w:hAnsi="Calibri" w:cs="Calibri"/>
        </w:rPr>
        <w:t xml:space="preserve">, Center for Global Trade Analysis, </w:t>
      </w:r>
      <w:smartTag w:uri="urn:schemas-microsoft-com:office:smarttags" w:element="place">
        <w:smartTag w:uri="urn:schemas-microsoft-com:office:smarttags" w:element="PlaceName">
          <w:r w:rsidRPr="00F85897">
            <w:rPr>
              <w:rFonts w:ascii="Calibri" w:hAnsi="Calibri" w:cs="Calibri"/>
            </w:rPr>
            <w:t>Purdue</w:t>
          </w:r>
        </w:smartTag>
        <w:r w:rsidRPr="00F85897">
          <w:rPr>
            <w:rFonts w:ascii="Calibri" w:hAnsi="Calibri" w:cs="Calibri"/>
          </w:rPr>
          <w:t xml:space="preserve"> </w:t>
        </w:r>
        <w:smartTag w:uri="urn:schemas-microsoft-com:office:smarttags" w:element="PlaceType">
          <w:r w:rsidRPr="00F85897">
            <w:rPr>
              <w:rFonts w:ascii="Calibri" w:hAnsi="Calibri" w:cs="Calibri"/>
            </w:rPr>
            <w:t>University</w:t>
          </w:r>
        </w:smartTag>
      </w:smartTag>
      <w:r w:rsidRPr="00F85897">
        <w:rPr>
          <w:rFonts w:ascii="Calibri" w:hAnsi="Calibri" w:cs="Calibri"/>
        </w:rPr>
        <w:t>).</w:t>
      </w:r>
      <w:proofErr w:type="gramEnd"/>
    </w:p>
    <w:p w:rsidR="0078386E" w:rsidRPr="00F85897" w:rsidRDefault="0078386E" w:rsidP="0078386E">
      <w:pPr>
        <w:widowControl w:val="0"/>
        <w:autoSpaceDE w:val="0"/>
        <w:autoSpaceDN w:val="0"/>
        <w:adjustRightInd w:val="0"/>
        <w:spacing w:after="200"/>
        <w:ind w:right="-386" w:firstLine="0"/>
        <w:rPr>
          <w:rFonts w:ascii="Calibri" w:hAnsi="Calibri" w:cs="Calibri"/>
        </w:rPr>
      </w:pPr>
      <w:r w:rsidRPr="00F85897">
        <w:rPr>
          <w:rFonts w:ascii="Calibri" w:hAnsi="Calibri" w:cs="Calibri"/>
        </w:rPr>
        <w:t xml:space="preserve">Hummels, D. 2001. </w:t>
      </w:r>
      <w:proofErr w:type="gramStart"/>
      <w:r>
        <w:rPr>
          <w:rFonts w:ascii="Calibri" w:hAnsi="Calibri" w:cs="Calibri"/>
        </w:rPr>
        <w:t>“</w:t>
      </w:r>
      <w:r w:rsidRPr="00F85897">
        <w:rPr>
          <w:rFonts w:ascii="Calibri" w:hAnsi="Calibri" w:cs="Calibri"/>
          <w:i/>
        </w:rPr>
        <w:t>Time as a trade barrier</w:t>
      </w:r>
      <w:r>
        <w:rPr>
          <w:rFonts w:ascii="Calibri" w:hAnsi="Calibri" w:cs="Calibri"/>
          <w:i/>
        </w:rPr>
        <w:t>”</w:t>
      </w:r>
      <w:r w:rsidRPr="00F85897">
        <w:rPr>
          <w:rFonts w:ascii="Calibri" w:hAnsi="Calibri" w:cs="Calibri"/>
        </w:rPr>
        <w:t xml:space="preserve"> (</w:t>
      </w:r>
      <w:smartTag w:uri="urn:schemas-microsoft-com:office:smarttags" w:element="City">
        <w:r w:rsidRPr="00F85897">
          <w:rPr>
            <w:rFonts w:ascii="Calibri" w:hAnsi="Calibri" w:cs="Calibri"/>
          </w:rPr>
          <w:t>West Lafayette</w:t>
        </w:r>
      </w:smartTag>
      <w:r w:rsidRPr="00F85897">
        <w:rPr>
          <w:rFonts w:ascii="Calibri" w:hAnsi="Calibri" w:cs="Calibri"/>
        </w:rPr>
        <w:t xml:space="preserve">, </w:t>
      </w:r>
      <w:smartTag w:uri="urn:schemas-microsoft-com:office:smarttags" w:element="State">
        <w:r w:rsidRPr="00F85897">
          <w:rPr>
            <w:rFonts w:ascii="Calibri" w:hAnsi="Calibri" w:cs="Calibri"/>
          </w:rPr>
          <w:t>IN</w:t>
        </w:r>
      </w:smartTag>
      <w:r w:rsidRPr="00F85897">
        <w:rPr>
          <w:rFonts w:ascii="Calibri" w:hAnsi="Calibri" w:cs="Calibri"/>
        </w:rPr>
        <w:t xml:space="preserve">, </w:t>
      </w:r>
      <w:smartTag w:uri="urn:schemas-microsoft-com:office:smarttags" w:element="place">
        <w:smartTag w:uri="urn:schemas-microsoft-com:office:smarttags" w:element="PlaceName">
          <w:r w:rsidRPr="00F85897">
            <w:rPr>
              <w:rFonts w:ascii="Calibri" w:hAnsi="Calibri" w:cs="Calibri"/>
            </w:rPr>
            <w:t>Purdue</w:t>
          </w:r>
        </w:smartTag>
        <w:r w:rsidRPr="00F85897">
          <w:rPr>
            <w:rFonts w:ascii="Calibri" w:hAnsi="Calibri" w:cs="Calibri"/>
          </w:rPr>
          <w:t xml:space="preserve"> </w:t>
        </w:r>
        <w:smartTag w:uri="urn:schemas-microsoft-com:office:smarttags" w:element="PlaceType">
          <w:r w:rsidRPr="00F85897">
            <w:rPr>
              <w:rFonts w:ascii="Calibri" w:hAnsi="Calibri" w:cs="Calibri"/>
            </w:rPr>
            <w:t>University</w:t>
          </w:r>
        </w:smartTag>
      </w:smartTag>
      <w:r w:rsidRPr="00F85897">
        <w:rPr>
          <w:rFonts w:ascii="Calibri" w:hAnsi="Calibri" w:cs="Calibri"/>
        </w:rPr>
        <w:t>).</w:t>
      </w:r>
      <w:proofErr w:type="gramEnd"/>
    </w:p>
    <w:p w:rsidR="0078386E" w:rsidRPr="000C6D1B" w:rsidRDefault="0078386E" w:rsidP="0078386E">
      <w:pPr>
        <w:widowControl w:val="0"/>
        <w:autoSpaceDE w:val="0"/>
        <w:autoSpaceDN w:val="0"/>
        <w:adjustRightInd w:val="0"/>
        <w:spacing w:after="200"/>
        <w:ind w:right="-386" w:firstLine="0"/>
        <w:rPr>
          <w:rFonts w:ascii="Calibri" w:hAnsi="Calibri"/>
        </w:rPr>
      </w:pPr>
      <w:r w:rsidRPr="000C6D1B">
        <w:rPr>
          <w:rFonts w:ascii="Calibri" w:hAnsi="Calibri"/>
        </w:rPr>
        <w:t xml:space="preserve">Krugman, P. (1995). </w:t>
      </w:r>
      <w:proofErr w:type="gramStart"/>
      <w:r w:rsidRPr="000C6D1B">
        <w:rPr>
          <w:rFonts w:ascii="Calibri" w:hAnsi="Calibri"/>
        </w:rPr>
        <w:t>“</w:t>
      </w:r>
      <w:r w:rsidRPr="000C6D1B">
        <w:rPr>
          <w:rFonts w:ascii="Calibri" w:hAnsi="Calibri"/>
          <w:i/>
          <w:iCs/>
        </w:rPr>
        <w:t>Development, geography, and economic theory</w:t>
      </w:r>
      <w:r w:rsidRPr="000C6D1B">
        <w:rPr>
          <w:rFonts w:ascii="Calibri" w:hAnsi="Calibri"/>
        </w:rPr>
        <w:t>”, MIT Press (</w:t>
      </w:r>
      <w:smartTag w:uri="urn:schemas-microsoft-com:office:smarttags" w:element="place">
        <w:smartTag w:uri="urn:schemas-microsoft-com:office:smarttags" w:element="City">
          <w:r w:rsidRPr="000C6D1B">
            <w:rPr>
              <w:rFonts w:ascii="Calibri" w:hAnsi="Calibri"/>
            </w:rPr>
            <w:t>Cambridge</w:t>
          </w:r>
        </w:smartTag>
      </w:smartTag>
      <w:r w:rsidRPr="000C6D1B">
        <w:rPr>
          <w:rFonts w:ascii="Calibri" w:hAnsi="Calibri"/>
        </w:rPr>
        <w:t>)</w:t>
      </w:r>
      <w:r>
        <w:rPr>
          <w:rFonts w:ascii="Calibri" w:hAnsi="Calibri"/>
        </w:rPr>
        <w:t>.</w:t>
      </w:r>
      <w:proofErr w:type="gramEnd"/>
    </w:p>
    <w:p w:rsidR="0078386E" w:rsidRDefault="0078386E" w:rsidP="0078386E">
      <w:pPr>
        <w:widowControl w:val="0"/>
        <w:autoSpaceDE w:val="0"/>
        <w:autoSpaceDN w:val="0"/>
        <w:adjustRightInd w:val="0"/>
        <w:spacing w:after="200"/>
        <w:ind w:right="-386" w:firstLine="0"/>
        <w:rPr>
          <w:rFonts w:ascii="Calibri" w:hAnsi="Calibri" w:cs="Calibri"/>
        </w:rPr>
      </w:pPr>
      <w:r w:rsidRPr="0078386E">
        <w:rPr>
          <w:lang w:val="pt-BR"/>
        </w:rPr>
        <w:t>Kee, HL.; Nicita, A.; Olarreaga</w:t>
      </w:r>
      <w:r w:rsidRPr="0078386E">
        <w:rPr>
          <w:rFonts w:ascii="Calibri" w:hAnsi="Calibri" w:cs="Calibri"/>
          <w:lang w:val="pt-BR"/>
        </w:rPr>
        <w:t xml:space="preserve">, M. 2009. </w:t>
      </w:r>
      <w:proofErr w:type="gramStart"/>
      <w:r>
        <w:rPr>
          <w:rFonts w:ascii="Calibri" w:hAnsi="Calibri" w:cs="Calibri"/>
        </w:rPr>
        <w:t xml:space="preserve">“Estimating trade restrictiveness indices”, in </w:t>
      </w:r>
      <w:r w:rsidRPr="0020442E">
        <w:rPr>
          <w:rFonts w:ascii="Calibri" w:hAnsi="Calibri" w:cs="Calibri"/>
          <w:i/>
        </w:rPr>
        <w:t>Economic Journal</w:t>
      </w:r>
      <w:r>
        <w:rPr>
          <w:rFonts w:ascii="Calibri" w:hAnsi="Calibri" w:cs="Calibri"/>
        </w:rPr>
        <w:t>, Vol. 119, pp. 172–199.</w:t>
      </w:r>
      <w:proofErr w:type="gramEnd"/>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McMillan, M.; Rodrik, D. 2011.</w:t>
      </w:r>
      <w:proofErr w:type="gramEnd"/>
      <w:r>
        <w:rPr>
          <w:rFonts w:ascii="Calibri" w:hAnsi="Calibri" w:cs="Calibri"/>
        </w:rPr>
        <w:t xml:space="preserve"> “</w:t>
      </w:r>
      <w:r w:rsidRPr="007C69E5">
        <w:rPr>
          <w:rFonts w:ascii="Calibri" w:hAnsi="Calibri" w:cs="Calibri"/>
        </w:rPr>
        <w:t>Globalization, structural change and productivity growth</w:t>
      </w:r>
      <w:r>
        <w:rPr>
          <w:rFonts w:ascii="Calibri" w:hAnsi="Calibri" w:cs="Calibri"/>
        </w:rPr>
        <w:t xml:space="preserve">”, in M. Bachetta and M. Jansen (eds.): </w:t>
      </w:r>
      <w:r w:rsidRPr="0020442E">
        <w:rPr>
          <w:rFonts w:ascii="Calibri" w:hAnsi="Calibri" w:cs="Calibri"/>
          <w:i/>
        </w:rPr>
        <w:t xml:space="preserve">Making </w:t>
      </w:r>
      <w:r>
        <w:rPr>
          <w:rFonts w:ascii="Calibri" w:hAnsi="Calibri" w:cs="Calibri"/>
          <w:i/>
        </w:rPr>
        <w:t>g</w:t>
      </w:r>
      <w:r w:rsidRPr="0020442E">
        <w:rPr>
          <w:rFonts w:ascii="Calibri" w:hAnsi="Calibri" w:cs="Calibri"/>
          <w:i/>
        </w:rPr>
        <w:t xml:space="preserve">lobalization </w:t>
      </w:r>
      <w:r>
        <w:rPr>
          <w:rFonts w:ascii="Calibri" w:hAnsi="Calibri" w:cs="Calibri"/>
          <w:i/>
        </w:rPr>
        <w:t>s</w:t>
      </w:r>
      <w:r w:rsidRPr="0020442E">
        <w:rPr>
          <w:rFonts w:ascii="Calibri" w:hAnsi="Calibri" w:cs="Calibri"/>
          <w:i/>
        </w:rPr>
        <w:t xml:space="preserve">ocially </w:t>
      </w:r>
      <w:r>
        <w:rPr>
          <w:rFonts w:ascii="Calibri" w:hAnsi="Calibri" w:cs="Calibri"/>
          <w:i/>
        </w:rPr>
        <w:t>s</w:t>
      </w:r>
      <w:r w:rsidRPr="0020442E">
        <w:rPr>
          <w:rFonts w:ascii="Calibri" w:hAnsi="Calibri" w:cs="Calibri"/>
          <w:i/>
        </w:rPr>
        <w:t>ustainable</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Geneva</w:t>
          </w:r>
        </w:smartTag>
      </w:smartTag>
      <w:r>
        <w:rPr>
          <w:rFonts w:ascii="Calibri" w:hAnsi="Calibri" w:cs="Calibri"/>
        </w:rPr>
        <w:t>, International Labour Office and World Trade Organization).</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Minor, P.; Tsigas, M. 2008.</w:t>
      </w:r>
      <w:proofErr w:type="gramEnd"/>
      <w:r>
        <w:rPr>
          <w:rFonts w:ascii="Calibri" w:hAnsi="Calibri" w:cs="Calibri"/>
        </w:rPr>
        <w:t xml:space="preserve"> Impact of better trade facilitation in developing countries: Analysis with a new GTAP database for the value of time in trade, research report submitted to GTAP 11th Annual Conference, </w:t>
      </w:r>
      <w:smartTag w:uri="urn:schemas-microsoft-com:office:smarttags" w:element="place">
        <w:smartTag w:uri="urn:schemas-microsoft-com:office:smarttags" w:element="City">
          <w:r>
            <w:rPr>
              <w:rFonts w:ascii="Calibri" w:hAnsi="Calibri" w:cs="Calibri"/>
            </w:rPr>
            <w:t>Helsinki</w:t>
          </w:r>
        </w:smartTag>
        <w:r>
          <w:rPr>
            <w:rFonts w:ascii="Calibri" w:hAnsi="Calibri" w:cs="Calibri"/>
          </w:rPr>
          <w:t xml:space="preserve">, </w:t>
        </w:r>
        <w:smartTag w:uri="urn:schemas-microsoft-com:office:smarttags" w:element="country-region">
          <w:r>
            <w:rPr>
              <w:rFonts w:ascii="Calibri" w:hAnsi="Calibri" w:cs="Calibri"/>
            </w:rPr>
            <w:t>Finland</w:t>
          </w:r>
        </w:smartTag>
      </w:smartTag>
      <w:r>
        <w:rPr>
          <w:rFonts w:ascii="Calibri" w:hAnsi="Calibri" w:cs="Calibri"/>
        </w:rPr>
        <w:t>.</w:t>
      </w:r>
    </w:p>
    <w:p w:rsidR="0078386E" w:rsidRDefault="0078386E" w:rsidP="0078386E">
      <w:pPr>
        <w:widowControl w:val="0"/>
        <w:autoSpaceDE w:val="0"/>
        <w:autoSpaceDN w:val="0"/>
        <w:adjustRightInd w:val="0"/>
        <w:spacing w:after="200"/>
        <w:ind w:right="-386" w:firstLine="0"/>
        <w:rPr>
          <w:rFonts w:ascii="Calibri" w:hAnsi="Calibri" w:cs="Calibri"/>
        </w:rPr>
      </w:pPr>
      <w:r>
        <w:rPr>
          <w:rFonts w:ascii="Calibri" w:hAnsi="Calibri" w:cs="Calibri"/>
        </w:rPr>
        <w:t>Narayanan, B.; Walmsley, T.L. (</w:t>
      </w:r>
      <w:proofErr w:type="gramStart"/>
      <w:r>
        <w:rPr>
          <w:rFonts w:ascii="Calibri" w:hAnsi="Calibri" w:cs="Calibri"/>
        </w:rPr>
        <w:t>eds</w:t>
      </w:r>
      <w:proofErr w:type="gramEnd"/>
      <w:r>
        <w:rPr>
          <w:rFonts w:ascii="Calibri" w:hAnsi="Calibri" w:cs="Calibri"/>
        </w:rPr>
        <w:t xml:space="preserve">.). 2008. </w:t>
      </w:r>
      <w:r w:rsidRPr="0020442E">
        <w:rPr>
          <w:rFonts w:ascii="Calibri" w:hAnsi="Calibri" w:cs="Calibri"/>
          <w:i/>
        </w:rPr>
        <w:t>Global trade, assistance, and production: The GTAP 7 database</w:t>
      </w:r>
      <w:r>
        <w:rPr>
          <w:rFonts w:ascii="Calibri" w:hAnsi="Calibri" w:cs="Calibri"/>
        </w:rPr>
        <w:t xml:space="preserve"> (</w:t>
      </w:r>
      <w:smartTag w:uri="urn:schemas-microsoft-com:office:smarttags" w:element="City">
        <w:r>
          <w:rPr>
            <w:rFonts w:ascii="Calibri" w:hAnsi="Calibri" w:cs="Calibri"/>
          </w:rPr>
          <w:t>Lafayette</w:t>
        </w:r>
      </w:smartTag>
      <w:r>
        <w:rPr>
          <w:rFonts w:ascii="Calibri" w:hAnsi="Calibri" w:cs="Calibri"/>
        </w:rPr>
        <w:t xml:space="preserve">, </w:t>
      </w:r>
      <w:smartTag w:uri="urn:schemas-microsoft-com:office:smarttags" w:element="State">
        <w:r>
          <w:rPr>
            <w:rFonts w:ascii="Calibri" w:hAnsi="Calibri" w:cs="Calibri"/>
          </w:rPr>
          <w:t>IN</w:t>
        </w:r>
      </w:smartTag>
      <w:r>
        <w:rPr>
          <w:rFonts w:ascii="Calibri" w:hAnsi="Calibri" w:cs="Calibri"/>
        </w:rPr>
        <w:t xml:space="preserve">, Center for Global Trade Analysis, </w:t>
      </w:r>
      <w:smartTag w:uri="urn:schemas-microsoft-com:office:smarttags" w:element="place">
        <w:smartTag w:uri="urn:schemas-microsoft-com:office:smarttags" w:element="PlaceName">
          <w:r>
            <w:rPr>
              <w:rFonts w:ascii="Calibri" w:hAnsi="Calibri" w:cs="Calibri"/>
            </w:rPr>
            <w:t>Purdue</w:t>
          </w:r>
        </w:smartTag>
        <w:r>
          <w:rPr>
            <w:rFonts w:ascii="Calibri" w:hAnsi="Calibri" w:cs="Calibri"/>
          </w:rPr>
          <w:t xml:space="preserve"> </w:t>
        </w:r>
        <w:smartTag w:uri="urn:schemas-microsoft-com:office:smarttags" w:element="PlaceType">
          <w:r>
            <w:rPr>
              <w:rFonts w:ascii="Calibri" w:hAnsi="Calibri" w:cs="Calibri"/>
            </w:rPr>
            <w:t>University</w:t>
          </w:r>
        </w:smartTag>
      </w:smartTag>
      <w:r>
        <w:rPr>
          <w:rFonts w:ascii="Calibri" w:hAnsi="Calibri" w:cs="Calibri"/>
        </w:rPr>
        <w:t>).</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United Nations Conference on Trade and Development (UNCTAD).</w:t>
      </w:r>
      <w:proofErr w:type="gramEnd"/>
      <w:r>
        <w:rPr>
          <w:rFonts w:ascii="Calibri" w:hAnsi="Calibri" w:cs="Calibri"/>
        </w:rPr>
        <w:t xml:space="preserve"> 2006. </w:t>
      </w:r>
      <w:r w:rsidRPr="0020442E">
        <w:rPr>
          <w:rFonts w:ascii="Calibri" w:hAnsi="Calibri" w:cs="Calibri"/>
          <w:i/>
        </w:rPr>
        <w:t xml:space="preserve">The </w:t>
      </w:r>
      <w:r>
        <w:rPr>
          <w:rFonts w:ascii="Calibri" w:hAnsi="Calibri" w:cs="Calibri"/>
          <w:i/>
        </w:rPr>
        <w:t>l</w:t>
      </w:r>
      <w:r w:rsidRPr="0020442E">
        <w:rPr>
          <w:rFonts w:ascii="Calibri" w:hAnsi="Calibri" w:cs="Calibri"/>
          <w:i/>
        </w:rPr>
        <w:t xml:space="preserve">east </w:t>
      </w:r>
      <w:r>
        <w:rPr>
          <w:rFonts w:ascii="Calibri" w:hAnsi="Calibri" w:cs="Calibri"/>
          <w:i/>
        </w:rPr>
        <w:t>d</w:t>
      </w:r>
      <w:r w:rsidRPr="0020442E">
        <w:rPr>
          <w:rFonts w:ascii="Calibri" w:hAnsi="Calibri" w:cs="Calibri"/>
          <w:i/>
        </w:rPr>
        <w:t xml:space="preserve">eveloped </w:t>
      </w:r>
      <w:r>
        <w:rPr>
          <w:rFonts w:ascii="Calibri" w:hAnsi="Calibri" w:cs="Calibri"/>
          <w:i/>
        </w:rPr>
        <w:t>c</w:t>
      </w:r>
      <w:r w:rsidRPr="0020442E">
        <w:rPr>
          <w:rFonts w:ascii="Calibri" w:hAnsi="Calibri" w:cs="Calibri"/>
          <w:i/>
        </w:rPr>
        <w:t xml:space="preserve">ountries </w:t>
      </w:r>
      <w:r>
        <w:rPr>
          <w:rFonts w:ascii="Calibri" w:hAnsi="Calibri" w:cs="Calibri"/>
          <w:i/>
        </w:rPr>
        <w:t>r</w:t>
      </w:r>
      <w:r w:rsidRPr="0020442E">
        <w:rPr>
          <w:rFonts w:ascii="Calibri" w:hAnsi="Calibri" w:cs="Calibri"/>
          <w:i/>
        </w:rPr>
        <w:t xml:space="preserve">eport: Developing </w:t>
      </w:r>
      <w:r>
        <w:rPr>
          <w:rFonts w:ascii="Calibri" w:hAnsi="Calibri" w:cs="Calibri"/>
          <w:i/>
        </w:rPr>
        <w:t>p</w:t>
      </w:r>
      <w:r w:rsidRPr="0020442E">
        <w:rPr>
          <w:rFonts w:ascii="Calibri" w:hAnsi="Calibri" w:cs="Calibri"/>
          <w:i/>
        </w:rPr>
        <w:t xml:space="preserve">roductive </w:t>
      </w:r>
      <w:r>
        <w:rPr>
          <w:rFonts w:ascii="Calibri" w:hAnsi="Calibri" w:cs="Calibri"/>
          <w:i/>
        </w:rPr>
        <w:t>c</w:t>
      </w:r>
      <w:r w:rsidRPr="0020442E">
        <w:rPr>
          <w:rFonts w:ascii="Calibri" w:hAnsi="Calibri" w:cs="Calibri"/>
          <w:i/>
        </w:rPr>
        <w:t>apacities</w:t>
      </w:r>
      <w:r>
        <w:rPr>
          <w:rFonts w:ascii="Calibri" w:hAnsi="Calibri" w:cs="Calibri"/>
        </w:rPr>
        <w:t xml:space="preserve"> (</w:t>
      </w:r>
      <w:smartTag w:uri="urn:schemas-microsoft-com:office:smarttags" w:element="State">
        <w:r>
          <w:rPr>
            <w:rFonts w:ascii="Calibri" w:hAnsi="Calibri" w:cs="Calibri"/>
          </w:rPr>
          <w:t>New York</w:t>
        </w:r>
      </w:smartTag>
      <w:r>
        <w:rPr>
          <w:rFonts w:ascii="Calibri" w:hAnsi="Calibri" w:cs="Calibri"/>
        </w:rPr>
        <w:t xml:space="preserve"> and </w:t>
      </w:r>
      <w:smartTag w:uri="urn:schemas-microsoft-com:office:smarttags" w:element="place">
        <w:smartTag w:uri="urn:schemas-microsoft-com:office:smarttags" w:element="City">
          <w:r>
            <w:rPr>
              <w:rFonts w:ascii="Calibri" w:hAnsi="Calibri" w:cs="Calibri"/>
            </w:rPr>
            <w:t>Geneva</w:t>
          </w:r>
        </w:smartTag>
      </w:smartTag>
      <w:r>
        <w:rPr>
          <w:rFonts w:ascii="Calibri" w:hAnsi="Calibri" w:cs="Calibri"/>
        </w:rPr>
        <w:t>, United Nations).</w:t>
      </w:r>
    </w:p>
    <w:p w:rsidR="0078386E" w:rsidRDefault="0078386E" w:rsidP="0078386E">
      <w:pPr>
        <w:widowControl w:val="0"/>
        <w:autoSpaceDE w:val="0"/>
        <w:autoSpaceDN w:val="0"/>
        <w:adjustRightInd w:val="0"/>
        <w:spacing w:after="200"/>
        <w:ind w:right="-386" w:firstLine="0"/>
        <w:rPr>
          <w:rFonts w:ascii="Calibri" w:hAnsi="Calibri" w:cs="Calibri"/>
        </w:rPr>
      </w:pPr>
      <w:r>
        <w:rPr>
          <w:rFonts w:ascii="Calibri" w:hAnsi="Calibri" w:cs="Calibri"/>
        </w:rPr>
        <w:t xml:space="preserve">—. 2009. </w:t>
      </w:r>
      <w:r w:rsidRPr="0020442E">
        <w:rPr>
          <w:rFonts w:ascii="Calibri" w:hAnsi="Calibri" w:cs="Calibri"/>
          <w:i/>
        </w:rPr>
        <w:t xml:space="preserve">Economic </w:t>
      </w:r>
      <w:r>
        <w:rPr>
          <w:rFonts w:ascii="Calibri" w:hAnsi="Calibri" w:cs="Calibri"/>
          <w:i/>
        </w:rPr>
        <w:t>d</w:t>
      </w:r>
      <w:r w:rsidRPr="0020442E">
        <w:rPr>
          <w:rFonts w:ascii="Calibri" w:hAnsi="Calibri" w:cs="Calibri"/>
          <w:i/>
        </w:rPr>
        <w:t xml:space="preserve">evelopment in Africa </w:t>
      </w:r>
      <w:r>
        <w:rPr>
          <w:rFonts w:ascii="Calibri" w:hAnsi="Calibri" w:cs="Calibri"/>
          <w:i/>
        </w:rPr>
        <w:t>r</w:t>
      </w:r>
      <w:r w:rsidRPr="0020442E">
        <w:rPr>
          <w:rFonts w:ascii="Calibri" w:hAnsi="Calibri" w:cs="Calibri"/>
          <w:i/>
        </w:rPr>
        <w:t xml:space="preserve">eport: Strengthening </w:t>
      </w:r>
      <w:r>
        <w:rPr>
          <w:rFonts w:ascii="Calibri" w:hAnsi="Calibri" w:cs="Calibri"/>
          <w:i/>
        </w:rPr>
        <w:t>r</w:t>
      </w:r>
      <w:r w:rsidRPr="0020442E">
        <w:rPr>
          <w:rFonts w:ascii="Calibri" w:hAnsi="Calibri" w:cs="Calibri"/>
          <w:i/>
        </w:rPr>
        <w:t xml:space="preserve">egional </w:t>
      </w:r>
      <w:r>
        <w:rPr>
          <w:rFonts w:ascii="Calibri" w:hAnsi="Calibri" w:cs="Calibri"/>
          <w:i/>
        </w:rPr>
        <w:t>e</w:t>
      </w:r>
      <w:r w:rsidRPr="0020442E">
        <w:rPr>
          <w:rFonts w:ascii="Calibri" w:hAnsi="Calibri" w:cs="Calibri"/>
          <w:i/>
        </w:rPr>
        <w:t xml:space="preserve">conomic </w:t>
      </w:r>
      <w:r>
        <w:rPr>
          <w:rFonts w:ascii="Calibri" w:hAnsi="Calibri" w:cs="Calibri"/>
          <w:i/>
        </w:rPr>
        <w:t>integration for Africa’s d</w:t>
      </w:r>
      <w:r w:rsidRPr="0020442E">
        <w:rPr>
          <w:rFonts w:ascii="Calibri" w:hAnsi="Calibri" w:cs="Calibri"/>
          <w:i/>
        </w:rPr>
        <w:t>evelopment</w:t>
      </w:r>
      <w:r>
        <w:rPr>
          <w:rFonts w:ascii="Calibri" w:hAnsi="Calibri" w:cs="Calibri"/>
        </w:rPr>
        <w:t xml:space="preserve"> (</w:t>
      </w:r>
      <w:smartTag w:uri="urn:schemas-microsoft-com:office:smarttags" w:element="State">
        <w:r>
          <w:rPr>
            <w:rFonts w:ascii="Calibri" w:hAnsi="Calibri" w:cs="Calibri"/>
          </w:rPr>
          <w:t>New York</w:t>
        </w:r>
      </w:smartTag>
      <w:r>
        <w:rPr>
          <w:rFonts w:ascii="Calibri" w:hAnsi="Calibri" w:cs="Calibri"/>
        </w:rPr>
        <w:t xml:space="preserve"> and </w:t>
      </w:r>
      <w:smartTag w:uri="urn:schemas-microsoft-com:office:smarttags" w:element="place">
        <w:smartTag w:uri="urn:schemas-microsoft-com:office:smarttags" w:element="City">
          <w:r>
            <w:rPr>
              <w:rFonts w:ascii="Calibri" w:hAnsi="Calibri" w:cs="Calibri"/>
            </w:rPr>
            <w:t>Geneva</w:t>
          </w:r>
        </w:smartTag>
      </w:smartTag>
      <w:r>
        <w:rPr>
          <w:rFonts w:ascii="Calibri" w:hAnsi="Calibri" w:cs="Calibri"/>
        </w:rPr>
        <w:t>,</w:t>
      </w:r>
      <w:r w:rsidRPr="0074142E">
        <w:rPr>
          <w:rFonts w:ascii="Calibri" w:hAnsi="Calibri" w:cs="Calibri"/>
        </w:rPr>
        <w:t xml:space="preserve"> </w:t>
      </w:r>
      <w:r>
        <w:rPr>
          <w:rFonts w:ascii="Calibri" w:hAnsi="Calibri" w:cs="Calibri"/>
        </w:rPr>
        <w:t>United Nations).</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 xml:space="preserve">United Nations Economic Commission for </w:t>
      </w:r>
      <w:smartTag w:uri="urn:schemas-microsoft-com:office:smarttags" w:element="place">
        <w:r>
          <w:rPr>
            <w:rFonts w:ascii="Calibri" w:hAnsi="Calibri" w:cs="Calibri"/>
          </w:rPr>
          <w:t>Africa</w:t>
        </w:r>
      </w:smartTag>
      <w:r>
        <w:rPr>
          <w:rFonts w:ascii="Calibri" w:hAnsi="Calibri" w:cs="Calibri"/>
        </w:rPr>
        <w:t>; African Union Commission; African Development Bank.</w:t>
      </w:r>
      <w:proofErr w:type="gramEnd"/>
      <w:r>
        <w:rPr>
          <w:rFonts w:ascii="Calibri" w:hAnsi="Calibri" w:cs="Calibri"/>
        </w:rPr>
        <w:t xml:space="preserve"> 2010. </w:t>
      </w:r>
      <w:r w:rsidRPr="0020442E">
        <w:rPr>
          <w:rFonts w:ascii="Calibri" w:hAnsi="Calibri" w:cs="Calibri"/>
          <w:i/>
        </w:rPr>
        <w:t xml:space="preserve">Assessing </w:t>
      </w:r>
      <w:r>
        <w:rPr>
          <w:rFonts w:ascii="Calibri" w:hAnsi="Calibri" w:cs="Calibri"/>
          <w:i/>
        </w:rPr>
        <w:t>r</w:t>
      </w:r>
      <w:r w:rsidRPr="0020442E">
        <w:rPr>
          <w:rFonts w:ascii="Calibri" w:hAnsi="Calibri" w:cs="Calibri"/>
          <w:i/>
        </w:rPr>
        <w:t xml:space="preserve">egional </w:t>
      </w:r>
      <w:r>
        <w:rPr>
          <w:rFonts w:ascii="Calibri" w:hAnsi="Calibri" w:cs="Calibri"/>
          <w:i/>
        </w:rPr>
        <w:t>i</w:t>
      </w:r>
      <w:r w:rsidRPr="0020442E">
        <w:rPr>
          <w:rFonts w:ascii="Calibri" w:hAnsi="Calibri" w:cs="Calibri"/>
          <w:i/>
        </w:rPr>
        <w:t xml:space="preserve">ntegration in Africa IV: Enhancing </w:t>
      </w:r>
      <w:r>
        <w:rPr>
          <w:rFonts w:ascii="Calibri" w:hAnsi="Calibri" w:cs="Calibri"/>
          <w:i/>
        </w:rPr>
        <w:t>i</w:t>
      </w:r>
      <w:r w:rsidRPr="0020442E">
        <w:rPr>
          <w:rFonts w:ascii="Calibri" w:hAnsi="Calibri" w:cs="Calibri"/>
          <w:i/>
        </w:rPr>
        <w:t xml:space="preserve">ntra−African </w:t>
      </w:r>
      <w:r>
        <w:rPr>
          <w:rFonts w:ascii="Calibri" w:hAnsi="Calibri" w:cs="Calibri"/>
          <w:i/>
        </w:rPr>
        <w:t>t</w:t>
      </w:r>
      <w:r w:rsidRPr="0020442E">
        <w:rPr>
          <w:rFonts w:ascii="Calibri" w:hAnsi="Calibri" w:cs="Calibri"/>
          <w:i/>
        </w:rPr>
        <w:t>rade</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Geneva</w:t>
          </w:r>
        </w:smartTag>
      </w:smartTag>
      <w:r>
        <w:rPr>
          <w:rFonts w:ascii="Calibri" w:hAnsi="Calibri" w:cs="Calibri"/>
        </w:rPr>
        <w:t>, United Nations).</w:t>
      </w:r>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United States Agency for International Development.</w:t>
      </w:r>
      <w:proofErr w:type="gramEnd"/>
      <w:r>
        <w:rPr>
          <w:rFonts w:ascii="Calibri" w:hAnsi="Calibri" w:cs="Calibri"/>
        </w:rPr>
        <w:t xml:space="preserve"> 2007. </w:t>
      </w:r>
      <w:r w:rsidRPr="0020442E">
        <w:rPr>
          <w:rFonts w:ascii="Calibri" w:hAnsi="Calibri" w:cs="Calibri"/>
          <w:i/>
        </w:rPr>
        <w:t>Calculating tariff equivalents for time in trade</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Washington</w:t>
          </w:r>
        </w:smartTag>
        <w:r>
          <w:rPr>
            <w:rFonts w:ascii="Calibri" w:hAnsi="Calibri" w:cs="Calibri"/>
          </w:rPr>
          <w:t xml:space="preserve">, </w:t>
        </w:r>
        <w:smartTag w:uri="urn:schemas-microsoft-com:office:smarttags" w:element="State">
          <w:r>
            <w:rPr>
              <w:rFonts w:ascii="Calibri" w:hAnsi="Calibri" w:cs="Calibri"/>
            </w:rPr>
            <w:t>D.C.</w:t>
          </w:r>
        </w:smartTag>
      </w:smartTag>
      <w:r>
        <w:rPr>
          <w:rFonts w:ascii="Calibri" w:hAnsi="Calibri" w:cs="Calibri"/>
        </w:rPr>
        <w:t>).</w:t>
      </w:r>
    </w:p>
    <w:p w:rsidR="0078386E" w:rsidRPr="006D0954" w:rsidRDefault="0078386E" w:rsidP="0078386E">
      <w:pPr>
        <w:widowControl w:val="0"/>
        <w:autoSpaceDE w:val="0"/>
        <w:autoSpaceDN w:val="0"/>
        <w:adjustRightInd w:val="0"/>
        <w:spacing w:after="200"/>
        <w:ind w:right="-386" w:firstLine="0"/>
        <w:rPr>
          <w:rFonts w:ascii="Calibri" w:hAnsi="Calibri" w:cs="Calibri"/>
          <w:b/>
        </w:rPr>
      </w:pPr>
      <w:r w:rsidRPr="006D0954">
        <w:rPr>
          <w:rFonts w:ascii="Calibri" w:hAnsi="Calibri" w:cs="Calibri"/>
        </w:rPr>
        <w:t>Von Uexkull, E. 2012.</w:t>
      </w:r>
      <w:r>
        <w:rPr>
          <w:rFonts w:ascii="Calibri" w:hAnsi="Calibri" w:cs="Calibri"/>
        </w:rPr>
        <w:t xml:space="preserve"> </w:t>
      </w:r>
      <w:proofErr w:type="gramStart"/>
      <w:r w:rsidRPr="00101836">
        <w:rPr>
          <w:rFonts w:ascii="Calibri" w:hAnsi="Calibri" w:cs="Calibri"/>
        </w:rPr>
        <w:t>“Regional trade and employment in ECOWAS”,</w:t>
      </w:r>
      <w:r w:rsidRPr="006D0954">
        <w:rPr>
          <w:rFonts w:ascii="Calibri" w:hAnsi="Calibri" w:cs="Calibri"/>
        </w:rPr>
        <w:t xml:space="preserve"> </w:t>
      </w:r>
      <w:r w:rsidRPr="00101836">
        <w:rPr>
          <w:rFonts w:ascii="Calibri" w:hAnsi="Calibri" w:cs="Calibri"/>
          <w:i/>
        </w:rPr>
        <w:t>Employment Working Paper</w:t>
      </w:r>
      <w:r w:rsidRPr="00D858B3">
        <w:rPr>
          <w:rFonts w:ascii="Calibri" w:hAnsi="Calibri" w:cs="Calibri"/>
        </w:rPr>
        <w:t>, No</w:t>
      </w:r>
      <w:r w:rsidRPr="006D0954">
        <w:rPr>
          <w:rFonts w:ascii="Calibri" w:hAnsi="Calibri" w:cs="Calibri"/>
        </w:rPr>
        <w:t>. 114 (</w:t>
      </w:r>
      <w:smartTag w:uri="urn:schemas-microsoft-com:office:smarttags" w:element="place">
        <w:smartTag w:uri="urn:schemas-microsoft-com:office:smarttags" w:element="City">
          <w:r w:rsidRPr="006D0954">
            <w:rPr>
              <w:rFonts w:ascii="Calibri" w:hAnsi="Calibri" w:cs="Calibri"/>
            </w:rPr>
            <w:t>Geneva</w:t>
          </w:r>
        </w:smartTag>
      </w:smartTag>
      <w:r w:rsidRPr="006D0954">
        <w:rPr>
          <w:rFonts w:ascii="Calibri" w:hAnsi="Calibri" w:cs="Calibri"/>
        </w:rPr>
        <w:t>, International Labour Office).</w:t>
      </w:r>
      <w:proofErr w:type="gramEnd"/>
    </w:p>
    <w:p w:rsidR="0078386E" w:rsidRDefault="0078386E" w:rsidP="0078386E">
      <w:pPr>
        <w:widowControl w:val="0"/>
        <w:autoSpaceDE w:val="0"/>
        <w:autoSpaceDN w:val="0"/>
        <w:adjustRightInd w:val="0"/>
        <w:spacing w:after="200"/>
        <w:ind w:right="-386" w:firstLine="0"/>
        <w:rPr>
          <w:rFonts w:ascii="Calibri" w:hAnsi="Calibri" w:cs="Calibri"/>
        </w:rPr>
      </w:pPr>
      <w:proofErr w:type="gramStart"/>
      <w:r>
        <w:rPr>
          <w:rFonts w:ascii="Calibri" w:hAnsi="Calibri" w:cs="Calibri"/>
        </w:rPr>
        <w:t>World Bank.</w:t>
      </w:r>
      <w:proofErr w:type="gramEnd"/>
      <w:r>
        <w:rPr>
          <w:rFonts w:ascii="Calibri" w:hAnsi="Calibri" w:cs="Calibri"/>
        </w:rPr>
        <w:t xml:space="preserve"> 2011. </w:t>
      </w:r>
      <w:r w:rsidRPr="009D7634">
        <w:rPr>
          <w:rFonts w:ascii="Calibri" w:hAnsi="Calibri" w:cs="Calibri"/>
          <w:i/>
        </w:rPr>
        <w:t xml:space="preserve">World </w:t>
      </w:r>
      <w:r>
        <w:rPr>
          <w:rFonts w:ascii="Calibri" w:hAnsi="Calibri" w:cs="Calibri"/>
          <w:i/>
        </w:rPr>
        <w:t>development i</w:t>
      </w:r>
      <w:r w:rsidRPr="009D7634">
        <w:rPr>
          <w:rFonts w:ascii="Calibri" w:hAnsi="Calibri" w:cs="Calibri"/>
          <w:i/>
        </w:rPr>
        <w:t>ndicators</w:t>
      </w:r>
      <w:r>
        <w:rPr>
          <w:rFonts w:ascii="Calibri" w:hAnsi="Calibri" w:cs="Calibri"/>
        </w:rPr>
        <w:t xml:space="preserve"> (</w:t>
      </w:r>
      <w:smartTag w:uri="urn:schemas-microsoft-com:office:smarttags" w:element="place">
        <w:smartTag w:uri="urn:schemas-microsoft-com:office:smarttags" w:element="City">
          <w:r>
            <w:rPr>
              <w:rFonts w:ascii="Calibri" w:hAnsi="Calibri" w:cs="Calibri"/>
            </w:rPr>
            <w:t>Washington</w:t>
          </w:r>
        </w:smartTag>
        <w:r>
          <w:rPr>
            <w:rFonts w:ascii="Calibri" w:hAnsi="Calibri" w:cs="Calibri"/>
          </w:rPr>
          <w:t xml:space="preserve">, </w:t>
        </w:r>
        <w:smartTag w:uri="urn:schemas-microsoft-com:office:smarttags" w:element="State">
          <w:r>
            <w:rPr>
              <w:rFonts w:ascii="Calibri" w:hAnsi="Calibri" w:cs="Calibri"/>
            </w:rPr>
            <w:t>D.C.</w:t>
          </w:r>
        </w:smartTag>
      </w:smartTag>
      <w:r>
        <w:rPr>
          <w:rFonts w:ascii="Calibri" w:hAnsi="Calibri" w:cs="Calibri"/>
        </w:rPr>
        <w:t>).</w:t>
      </w:r>
    </w:p>
    <w:p w:rsidR="00787124" w:rsidRPr="0061584B" w:rsidRDefault="0078386E" w:rsidP="0078386E">
      <w:pPr>
        <w:spacing w:line="360" w:lineRule="auto"/>
      </w:pPr>
      <w:r w:rsidRPr="0084520E">
        <w:rPr>
          <w:rFonts w:ascii="Calibri" w:hAnsi="Calibri" w:cs="Calibri"/>
        </w:rPr>
        <w:t xml:space="preserve">—. 2012. </w:t>
      </w:r>
      <w:r w:rsidRPr="0084520E">
        <w:rPr>
          <w:rFonts w:ascii="Calibri" w:hAnsi="Calibri" w:cs="Calibri"/>
          <w:i/>
        </w:rPr>
        <w:t xml:space="preserve">Doing </w:t>
      </w:r>
      <w:r>
        <w:rPr>
          <w:rFonts w:ascii="Calibri" w:hAnsi="Calibri" w:cs="Calibri"/>
          <w:i/>
        </w:rPr>
        <w:t>B</w:t>
      </w:r>
      <w:r w:rsidRPr="0084520E">
        <w:rPr>
          <w:rFonts w:ascii="Calibri" w:hAnsi="Calibri" w:cs="Calibri"/>
          <w:i/>
        </w:rPr>
        <w:t>usiness 2012: Doing business in a more transparent world</w:t>
      </w:r>
      <w:r w:rsidRPr="0084520E">
        <w:rPr>
          <w:rFonts w:ascii="Calibri" w:hAnsi="Calibri" w:cs="Calibri"/>
        </w:rPr>
        <w:t xml:space="preserve"> (</w:t>
      </w:r>
      <w:smartTag w:uri="urn:schemas-microsoft-com:office:smarttags" w:element="place">
        <w:smartTag w:uri="urn:schemas-microsoft-com:office:smarttags" w:element="City">
          <w:r w:rsidRPr="0084520E">
            <w:rPr>
              <w:rFonts w:ascii="Calibri" w:hAnsi="Calibri" w:cs="Calibri"/>
            </w:rPr>
            <w:t>Washington</w:t>
          </w:r>
        </w:smartTag>
        <w:r w:rsidRPr="0084520E">
          <w:rPr>
            <w:rFonts w:ascii="Calibri" w:hAnsi="Calibri" w:cs="Calibri"/>
          </w:rPr>
          <w:t xml:space="preserve">, </w:t>
        </w:r>
        <w:smartTag w:uri="urn:schemas-microsoft-com:office:smarttags" w:element="State">
          <w:r w:rsidRPr="0084520E">
            <w:rPr>
              <w:rFonts w:ascii="Calibri" w:hAnsi="Calibri" w:cs="Calibri"/>
            </w:rPr>
            <w:t>D.C.</w:t>
          </w:r>
        </w:smartTag>
      </w:smartTag>
      <w:r w:rsidRPr="0084520E">
        <w:rPr>
          <w:rFonts w:ascii="Calibri" w:hAnsi="Calibri" w:cs="Calibri"/>
        </w:rPr>
        <w:t>).</w:t>
      </w:r>
    </w:p>
    <w:sectPr w:rsidR="00787124" w:rsidRPr="0061584B" w:rsidSect="00752684">
      <w:pgSz w:w="12240" w:h="15840"/>
      <w:pgMar w:top="1440" w:right="1797" w:bottom="1440"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84C" w:rsidRDefault="0043684C" w:rsidP="00715A87">
      <w:r>
        <w:separator/>
      </w:r>
    </w:p>
  </w:endnote>
  <w:endnote w:type="continuationSeparator" w:id="0">
    <w:p w:rsidR="0043684C" w:rsidRDefault="0043684C" w:rsidP="00715A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058" w:rsidRDefault="000F0058" w:rsidP="00715A87">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0F0058" w:rsidRDefault="000F0058" w:rsidP="00715A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058" w:rsidRDefault="000F0058" w:rsidP="00715A87">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C37B6A">
      <w:rPr>
        <w:rStyle w:val="PageNumber"/>
        <w:noProof/>
      </w:rPr>
      <w:t>1</w:t>
    </w:r>
    <w:r>
      <w:rPr>
        <w:rStyle w:val="PageNumber"/>
      </w:rPr>
      <w:fldChar w:fldCharType="end"/>
    </w:r>
  </w:p>
  <w:p w:rsidR="000F0058" w:rsidRDefault="000F0058" w:rsidP="00715A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6A" w:rsidRDefault="00C37B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84C" w:rsidRDefault="0043684C" w:rsidP="00715A87">
      <w:r>
        <w:separator/>
      </w:r>
    </w:p>
  </w:footnote>
  <w:footnote w:type="continuationSeparator" w:id="0">
    <w:p w:rsidR="0043684C" w:rsidRDefault="0043684C" w:rsidP="00715A87">
      <w:r>
        <w:continuationSeparator/>
      </w:r>
    </w:p>
  </w:footnote>
  <w:footnote w:id="1">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treaty was signed on 3 June</w:t>
      </w:r>
      <w:proofErr w:type="gramStart"/>
      <w:r w:rsidRPr="001223A0">
        <w:rPr>
          <w:sz w:val="18"/>
          <w:szCs w:val="18"/>
        </w:rPr>
        <w:t>,1991</w:t>
      </w:r>
      <w:proofErr w:type="gramEnd"/>
      <w:r w:rsidRPr="001223A0">
        <w:rPr>
          <w:sz w:val="18"/>
          <w:szCs w:val="18"/>
        </w:rPr>
        <w:t xml:space="preserve"> (in Nigeria) and entered into force on 12 May 1994.</w:t>
      </w:r>
    </w:p>
  </w:footnote>
  <w:footnote w:id="2">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eight RECs recognized by the African Union are: the Common Market for Eastern and Southern Africa (COMESA), the East African Community (EAC), the Southern African Development Community (SADC), the Intergovernmental Authority on Development (IGAD), the Economic Community of West African States (ECOWAS), the Community of Sahel–Saharan States (CEN-SAD), the Economic Community of Central African States (ECCAS), and the Arab Maghreb Union (AMU).</w:t>
      </w:r>
    </w:p>
  </w:footnote>
  <w:footnote w:id="3">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According to the United Nations Economic Commission for Africa (UNECA) in </w:t>
      </w:r>
      <w:proofErr w:type="gramStart"/>
      <w:r w:rsidRPr="001223A0">
        <w:rPr>
          <w:i/>
          <w:sz w:val="18"/>
          <w:szCs w:val="18"/>
        </w:rPr>
        <w:t>Assessing</w:t>
      </w:r>
      <w:proofErr w:type="gramEnd"/>
      <w:r w:rsidRPr="001223A0">
        <w:rPr>
          <w:i/>
          <w:sz w:val="18"/>
          <w:szCs w:val="18"/>
        </w:rPr>
        <w:t xml:space="preserve"> regional integration in Africa IV: Enhancing intra-African trade</w:t>
      </w:r>
      <w:r w:rsidRPr="001223A0">
        <w:rPr>
          <w:sz w:val="18"/>
          <w:szCs w:val="18"/>
        </w:rPr>
        <w:t xml:space="preserve"> (2010), agriculture accounts for 70 per cent of the continent’s full-time employment.</w:t>
      </w:r>
    </w:p>
  </w:footnote>
  <w:footnote w:id="4">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It should to be noted, however, that, due to the poor quality of employment data and the difficulty of measuring it in the informal sector, only full employment is considered in the modelling exercise. Attempts were made to account for unemployment, but, as explained in section 8.3, these were not retained.</w:t>
      </w:r>
    </w:p>
  </w:footnote>
  <w:footnote w:id="5">
    <w:p w:rsidR="000F0058" w:rsidRPr="001223A0" w:rsidRDefault="000F0058" w:rsidP="0051013D">
      <w:pPr>
        <w:pStyle w:val="FootnoteText"/>
        <w:ind w:firstLine="0"/>
        <w:rPr>
          <w:rFonts w:ascii="Calibri" w:hAnsi="Calibri" w:cs="Calibri"/>
          <w:sz w:val="18"/>
          <w:szCs w:val="18"/>
        </w:rPr>
      </w:pPr>
      <w:r w:rsidRPr="001223A0">
        <w:rPr>
          <w:rStyle w:val="FootnoteReference"/>
          <w:rFonts w:ascii="Calibri" w:hAnsi="Calibri" w:cs="Calibri"/>
          <w:sz w:val="18"/>
          <w:szCs w:val="18"/>
        </w:rPr>
        <w:footnoteRef/>
      </w:r>
      <w:r w:rsidRPr="001223A0">
        <w:rPr>
          <w:rFonts w:ascii="Calibri" w:hAnsi="Calibri" w:cs="Calibri"/>
          <w:sz w:val="18"/>
          <w:szCs w:val="18"/>
        </w:rPr>
        <w:t xml:space="preserve"> “BRIC” stands for Brazil, Russia, India, and China.</w:t>
      </w:r>
    </w:p>
  </w:footnote>
  <w:footnote w:id="6">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See e.g. von Uexkull (2012). Computations based on the MIRAGE model show that 56.5 per cent of agricultural exports from SACU were directed towards the continent in 2010. The figure is 54.1 per cent for Zimbabwe. Countries such as Botswana, Malawi, Mozambique, Senegal, and South Africa also have high shares of agricultural exports destined for African partners.</w:t>
      </w:r>
    </w:p>
  </w:footnote>
  <w:footnote w:id="7">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Firstly, African countries had until the year 1999 to join an existing economic community or to establish new ones where they did not exist. Secondly, before 2007 each REC was expected to consolidate internal taxes and trade and non-trade barriers and to plan their future reductions. In addition, actions were to be taken to coordinate and harmonize activities among the RECs as well as to enhance sectoral integration in all areas of activities at both regional and continental levels. Thirdly, the RECs were to pursue their regional integration by establishing free trade areas; they have until 2017 to adopt Common External Tariffs (CETs), becoming Regional Customs Unions. Fourthly, no later than 2019, the RECs must set up a continental customs union by coordinating and harmonizing tariffs and non-tariffs systems with the objective of defining a CET band structure for Africa. Fifthly, by 2023 persons must be able to move freely within African states and to establish their residence or firms anywhere on the continent. This will result in the creation of an African Common Market. Finally, a sixth and last step – which must be accomplished by 2028 – leads to the establishment of the AEC and in particular the creation of a Pan-African Economic and Monetary Union.</w:t>
      </w:r>
    </w:p>
  </w:footnote>
  <w:footnote w:id="8">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All tariff barriers mentioned in this paper correspond to data for 2004 computed from the MAcMap-HS6v2 database using the TASTE software. Unfortunately, the 2004 data are the most recent available on market access at the disaggregated level required for CGE modelling. A newer version of the MAcMap-HS6 database, including data for the year 2007, is currently being developed. Protection structures did not significantly evolve in Africa between 2004 and 2007, however; changes have occurred more recently and essentially within the RECs, thanks in particular to the COMESA–EAC–SADC tripartite initiative. However, we made a comparison with the latest tariff data available from the United Nations Conference on Trade and Development (UNCTAD) TRAINS database and found that the general patterns are essentially unchanged (see section 8.3.1, on methodology, for more details). For more information about the MAcMap-HS6v2 database and tariff aggregation methods, see Boumellassa et al. (2009). For more information about the TASTE software, see Horridge and Laborde (2008).</w:t>
      </w:r>
    </w:p>
  </w:footnote>
  <w:footnote w:id="9">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MAcMap-HS6v2 database does not provide protection data on services.</w:t>
      </w:r>
    </w:p>
  </w:footnote>
  <w:footnote w:id="10">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Authors’ calculation based on the MIRAGE model. Tariff revenues represent less than 6 per cent of gross domestic product (GDP) for any African country (World Bank, 2011).</w:t>
      </w:r>
    </w:p>
  </w:footnote>
  <w:footnote w:id="11">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At the country level there are a few exceptions, however (see annex table A8.2).</w:t>
      </w:r>
    </w:p>
  </w:footnote>
  <w:footnote w:id="12">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These figures are average time spent on inland transport, customs procedures, and port handling in the export or import processes. </w:t>
      </w:r>
    </w:p>
  </w:footnote>
  <w:footnote w:id="13">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MIRAGE stands for</w:t>
      </w:r>
      <w:r w:rsidRPr="001223A0">
        <w:rPr>
          <w:rStyle w:val="Emphasis"/>
          <w:i w:val="0"/>
          <w:sz w:val="18"/>
          <w:szCs w:val="18"/>
        </w:rPr>
        <w:t xml:space="preserve"> Modelling</w:t>
      </w:r>
      <w:r w:rsidRPr="001223A0">
        <w:rPr>
          <w:rStyle w:val="st"/>
          <w:sz w:val="18"/>
          <w:szCs w:val="18"/>
        </w:rPr>
        <w:t xml:space="preserve"> International Relationships in Applied General Equilibrium</w:t>
      </w:r>
      <w:r w:rsidRPr="001223A0">
        <w:rPr>
          <w:sz w:val="18"/>
          <w:szCs w:val="18"/>
        </w:rPr>
        <w:t xml:space="preserve">. The model was initially developed at the Centre d’Etudes Prospectives </w:t>
      </w:r>
      <w:proofErr w:type="gramStart"/>
      <w:r w:rsidRPr="001223A0">
        <w:rPr>
          <w:sz w:val="18"/>
          <w:szCs w:val="18"/>
        </w:rPr>
        <w:t>et</w:t>
      </w:r>
      <w:proofErr w:type="gramEnd"/>
      <w:r w:rsidRPr="001223A0">
        <w:rPr>
          <w:sz w:val="18"/>
          <w:szCs w:val="18"/>
        </w:rPr>
        <w:t xml:space="preserve"> d’Informations Internationales (CEPII) in Paris and is now used in several well-know research centres and international organizations around the world. For the main features of the model, see annex 8.3. A full description of the MIRAGE model can be found in Decreux and Valin (2007).</w:t>
      </w:r>
    </w:p>
  </w:footnote>
  <w:footnote w:id="14">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GTAP database was developed at Purdue University, Indiana, United States of America. A full description of the database can be obtained from Narayanan and Walmsley, eds. (2008).</w:t>
      </w:r>
    </w:p>
  </w:footnote>
  <w:footnote w:id="15">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For example, in the case of a prohibitive tariff, imports are discouraged. Thus, if the “trade weight” aggregation method is used, there will be no weight associated with such a tariff line. The “reference group weight” yields more satisfactory outcomes, as it will allow some weight on non-traded tariff lines.</w:t>
      </w:r>
    </w:p>
  </w:footnote>
  <w:footnote w:id="16">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More information can be obtained at the following Internet address: http://wits.worldbank.org/wits/.</w:t>
      </w:r>
    </w:p>
  </w:footnote>
  <w:footnote w:id="17">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One of the main limitations of the GTAP database, version 7, is that the detail for African countries is rather sparse. Indeed, only Botswana, Egypt, Ethiopia, Madagascar, Malawi, Mauritius, Morocco, Mozambique, Nigeria, Senegal, South Africa, the United Republic of Tanzania, Tunisia, Uganda, Zambia, and Zimbabwe are represented. The rest of the countries of the continent are gathered into six heterogeneous regions, namely, Rest of North Africa, Rest of Western Africa, Central Africa, Rest of South Central Africa, Rest of Eastern Africa, and Rest of South African Customs Union.</w:t>
      </w:r>
    </w:p>
  </w:footnote>
  <w:footnote w:id="18">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Many African countries belong to more than one REC (table 8.7).</w:t>
      </w:r>
    </w:p>
  </w:footnote>
  <w:footnote w:id="19">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Some 26 African country members of COMESA, EAC, and SADC have agreed to establish a Tripartite FTA by 2014.</w:t>
      </w:r>
    </w:p>
  </w:footnote>
  <w:footnote w:id="20">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IGAD is not part of the Tripartite FTA. However, except for Somalia, all country members of IGAD belong to at least one of the three RECs of the Tripartite FTA.</w:t>
      </w:r>
    </w:p>
  </w:footnote>
  <w:footnote w:id="21">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Of the 28 country members of ECOWAS, ECCAS, or AMU, 16 are also members of CEN-SAD.</w:t>
      </w:r>
    </w:p>
  </w:footnote>
  <w:footnote w:id="22">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Hummels (2001) initiated the construction of the database, which was then pursued by the United States Agency for International Development (2007) and further improved by Minor and Tsigas (2008).</w:t>
      </w:r>
    </w:p>
  </w:footnote>
  <w:footnote w:id="23">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Trade weights are used for the aggregation process.</w:t>
      </w:r>
    </w:p>
  </w:footnote>
  <w:footnote w:id="24">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“Iceberg costs” imply that when 100 units of a product are exported, 100 or fewer units reach the destination.</w:t>
      </w:r>
    </w:p>
  </w:footnote>
  <w:footnote w:id="25">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Due to lack of data, we are not accounting for a certain number of other trade costs, such as those associated with the time merchandise is in transit or the costs generated by relatively poor infrastructure per se. For this reason we may underestimate impacts from trade facilitation. Nevertheless, we do not take into account the price to pay for the improvements in trade costs considered in the analysis. Making customs processing or port handling more efficient certainly requires substantial investments (for example, investments in workforce training or in newer equipment). </w:t>
      </w:r>
    </w:p>
  </w:footnote>
  <w:footnote w:id="26">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full employment hypothesis assumes wage flexibility, as there is a fixed aggregate employment in all regions. </w:t>
      </w:r>
    </w:p>
  </w:footnote>
  <w:footnote w:id="27">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See annex 8.3 for more details.</w:t>
      </w:r>
    </w:p>
  </w:footnote>
  <w:footnote w:id="28">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Although we assume that trade reforms are fully implemented by 2017, we compare results by 2022 in order to leave time for variables to adjust in the model. Indeed, due to the dynamics of the model, shocks occurring today will affect certain economic behaviour only tomorrow. For example, investment made this year may bear fruit only in subsequent years. </w:t>
      </w:r>
    </w:p>
  </w:footnote>
  <w:footnote w:id="29">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In absolute terms African industrial exports would increase the most, as they initially represent a larger share of total African exports.</w:t>
      </w:r>
    </w:p>
  </w:footnote>
  <w:footnote w:id="30">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This finding is rather reassuring. Indeed, Krugman (1995) explains that, when most trade is already regional before the establishment of a RTA, it can be expected that trade reform will not greatly reduce trade from outside. However, in the case of Africa, and as intra-African trade is initially low, it is difficult to prejudge whether trade creation or trade diversion will dominate after the formation of RTAs. In that sense, it would not be unreasonable to imagine that trade diversion could have outweighed trade creation after establishment of FTA reforms in Africa.</w:t>
      </w:r>
    </w:p>
  </w:footnote>
  <w:footnote w:id="31">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African imports from non-African developing countries would decrease by 0.9 per cent (or $1.9 billion) and by 1.6 per cent (or $3.2 billion) with regional FTAs and the continental FTA, respectively.</w:t>
      </w:r>
    </w:p>
  </w:footnote>
  <w:footnote w:id="32">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African imports from developed countries would decrease by 1.2 per cent (or $4.1 billion) and by 1.7 per cent (or $6.2 billion) with regional FTAs and the continental FTA, respectively.</w:t>
      </w:r>
    </w:p>
  </w:footnote>
  <w:footnote w:id="33">
    <w:p w:rsidR="000F0058" w:rsidRPr="001223A0" w:rsidRDefault="000F0058" w:rsidP="006D2C95">
      <w:pPr>
        <w:pStyle w:val="Footnote"/>
        <w:rPr>
          <w:sz w:val="18"/>
          <w:szCs w:val="18"/>
        </w:rPr>
      </w:pPr>
      <w:r w:rsidRPr="001223A0">
        <w:rPr>
          <w:rStyle w:val="FootnoteReference"/>
          <w:sz w:val="18"/>
          <w:szCs w:val="18"/>
        </w:rPr>
        <w:footnoteRef/>
      </w:r>
      <w:r w:rsidRPr="001223A0">
        <w:rPr>
          <w:sz w:val="18"/>
          <w:szCs w:val="18"/>
        </w:rPr>
        <w:t xml:space="preserve"> Botswana’s exports, however, would be unchanged with the FTA reforms. Moreover, only three countries/regions − Botswana, Mozambique, and the rest of SACU – would not benefit more from a continental FTA than from regional FTAs. One reason is that these countries are initially among the least diversified economies in terms of products and market of imports and exports. In terms of imports, these economies depend heavily on South Africa: 34 per cent, 65 per cent, and 71 per cent of Mozambique’s, rest of SACU’s, and Botswana’s imports, respectively, come from South Africa, while 33 per cent of rest of SACU products are exported to South Africa. Some 67 per cent of Mozambique’s exports and 76 per cent of Botswana’s exports go to the European Union. In addition, mineral and metal products constitute 54 per cent of Mozambique’s exports, while 71 per cent of Botswana’s exports are primary products.</w:t>
      </w:r>
    </w:p>
  </w:footnote>
  <w:footnote w:id="34">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Countries with initially higher tariff structures are generally the most adversely affected in terms of real income due to tariff revenue losses. For example, Zimbabwe’s real income would decrease the most with establishment of regional FTAs and a CFTA, by 1.5 per cent and 1.4 per cent, respectively. Zimbabwe initially imposes an average tariff of 21.5 per cent on its imports of agricultural products from African economies, and its initial import share of agricultural products is among the highest in Africa.</w:t>
      </w:r>
    </w:p>
  </w:footnote>
  <w:footnote w:id="35">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For some countries, such as Malawi, Mozambique, Zambia, and Zimbabwe, exchanges shift from relatively efficient to less efficient partners, implying that relatively cheap imports are replaced by more expensive ones, leading to trade diversion, a decrease in terms of trade, and lower real income.</w:t>
      </w:r>
    </w:p>
  </w:footnote>
  <w:footnote w:id="36">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For Zimbabwe 38 per cent and for Malawi 56 per cent of initial exports are concentrated in agriculture and food (annex table A8.6).</w:t>
      </w:r>
    </w:p>
  </w:footnote>
  <w:footnote w:id="37">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Mauritius would see a slight decrease in real income.</w:t>
      </w:r>
    </w:p>
  </w:footnote>
  <w:footnote w:id="38">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This corresponds to a growth rate of nearly 115 per cent over the 12-year period.</w:t>
      </w:r>
    </w:p>
  </w:footnote>
  <w:footnote w:id="39">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A LES-CES function indicates that the demand structure of each region depends on its income level. In MIRAGE developed countries are assumed to be constrained to a lower minimum level of consumption than developing countries. Ideally, findings of household surveys should be used to represent the demand structures in each region, but this requires a significant amount of data collection.</w:t>
      </w:r>
    </w:p>
  </w:footnote>
  <w:footnote w:id="40">
    <w:p w:rsidR="000F0058" w:rsidRPr="001223A0" w:rsidRDefault="000F0058" w:rsidP="00814FE7">
      <w:pPr>
        <w:pStyle w:val="Footnote"/>
        <w:rPr>
          <w:sz w:val="18"/>
          <w:szCs w:val="18"/>
        </w:rPr>
      </w:pPr>
      <w:r w:rsidRPr="001223A0">
        <w:rPr>
          <w:rStyle w:val="FootnoteReference"/>
          <w:sz w:val="18"/>
          <w:szCs w:val="18"/>
        </w:rPr>
        <w:footnoteRef/>
      </w:r>
      <w:r w:rsidRPr="001223A0">
        <w:rPr>
          <w:sz w:val="18"/>
          <w:szCs w:val="18"/>
        </w:rPr>
        <w:t xml:space="preserve"> The Armington hypothesis stipulates that consumer choices can be influenced by the geographic origin of the goods.</w:t>
      </w:r>
    </w:p>
  </w:footnote>
  <w:footnote w:id="41">
    <w:p w:rsidR="000F0058" w:rsidRPr="001223A0" w:rsidRDefault="000F0058" w:rsidP="001223A0">
      <w:pPr>
        <w:pStyle w:val="Footnote"/>
        <w:jc w:val="left"/>
        <w:rPr>
          <w:sz w:val="18"/>
          <w:szCs w:val="18"/>
        </w:rPr>
      </w:pPr>
      <w:r w:rsidRPr="001223A0">
        <w:rPr>
          <w:rStyle w:val="FootnoteReference"/>
          <w:sz w:val="18"/>
          <w:szCs w:val="18"/>
        </w:rPr>
        <w:footnoteRef/>
      </w:r>
      <w:r w:rsidRPr="001223A0">
        <w:rPr>
          <w:sz w:val="18"/>
          <w:szCs w:val="18"/>
        </w:rPr>
        <w:t xml:space="preserve"> Population growth rates are based on IBRD/World Bank projections, </w:t>
      </w:r>
      <w:r w:rsidRPr="001223A0">
        <w:rPr>
          <w:i/>
          <w:sz w:val="18"/>
          <w:szCs w:val="18"/>
        </w:rPr>
        <w:t xml:space="preserve">Global economic prospects 2005: Trade, regionalism, and development. </w:t>
      </w:r>
      <w:proofErr w:type="gramStart"/>
      <w:r w:rsidRPr="001223A0">
        <w:rPr>
          <w:sz w:val="18"/>
          <w:szCs w:val="18"/>
        </w:rPr>
        <w:t>Available at http://siteresources.worldbank.org/INTGEP2005/Resources/gep2005.pdf.</w:t>
      </w:r>
      <w:proofErr w:type="gramEnd"/>
      <w:r w:rsidRPr="001223A0">
        <w:rPr>
          <w:sz w:val="18"/>
          <w:szCs w:val="18"/>
        </w:rPr>
        <w:t xml:space="preserve"> </w:t>
      </w:r>
    </w:p>
    <w:p w:rsidR="000F0058" w:rsidRPr="001223A0" w:rsidRDefault="000F0058" w:rsidP="00715A87">
      <w:pPr>
        <w:pStyle w:val="FootnoteText"/>
        <w:rPr>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6A" w:rsidRDefault="00C37B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6A" w:rsidRDefault="00C37B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B6A" w:rsidRDefault="00C37B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w:pict>
  </w:numPicBullet>
  <w:numPicBullet w:numPicBulletId="1">
    <w:pict>
      <v:shape id="_x0000_i1026" type="#_x0000_t75" style="width:3in;height:3in" o:bullet="t"/>
    </w:pict>
  </w:numPicBullet>
  <w:numPicBullet w:numPicBulletId="2">
    <w:pict>
      <v:shape id="_x0000_i1027" type="#_x0000_t75" style="width:3in;height:3in" o:bullet="t"/>
    </w:pict>
  </w:numPicBullet>
  <w:abstractNum w:abstractNumId="0">
    <w:nsid w:val="FFFFFF7C"/>
    <w:multiLevelType w:val="singleLevel"/>
    <w:tmpl w:val="FE2CAC1C"/>
    <w:lvl w:ilvl="0">
      <w:start w:val="1"/>
      <w:numFmt w:val="decimal"/>
      <w:lvlText w:val="%1."/>
      <w:lvlJc w:val="left"/>
      <w:pPr>
        <w:tabs>
          <w:tab w:val="num" w:pos="1800"/>
        </w:tabs>
        <w:ind w:left="1800" w:hanging="360"/>
      </w:pPr>
    </w:lvl>
  </w:abstractNum>
  <w:abstractNum w:abstractNumId="1">
    <w:nsid w:val="FFFFFF7D"/>
    <w:multiLevelType w:val="singleLevel"/>
    <w:tmpl w:val="21702468"/>
    <w:lvl w:ilvl="0">
      <w:start w:val="1"/>
      <w:numFmt w:val="decimal"/>
      <w:lvlText w:val="%1."/>
      <w:lvlJc w:val="left"/>
      <w:pPr>
        <w:tabs>
          <w:tab w:val="num" w:pos="1440"/>
        </w:tabs>
        <w:ind w:left="1440" w:hanging="360"/>
      </w:pPr>
    </w:lvl>
  </w:abstractNum>
  <w:abstractNum w:abstractNumId="2">
    <w:nsid w:val="FFFFFF7E"/>
    <w:multiLevelType w:val="singleLevel"/>
    <w:tmpl w:val="24C4DC54"/>
    <w:lvl w:ilvl="0">
      <w:start w:val="1"/>
      <w:numFmt w:val="decimal"/>
      <w:lvlText w:val="%1."/>
      <w:lvlJc w:val="left"/>
      <w:pPr>
        <w:tabs>
          <w:tab w:val="num" w:pos="1080"/>
        </w:tabs>
        <w:ind w:left="1080" w:hanging="360"/>
      </w:pPr>
    </w:lvl>
  </w:abstractNum>
  <w:abstractNum w:abstractNumId="3">
    <w:nsid w:val="FFFFFF7F"/>
    <w:multiLevelType w:val="singleLevel"/>
    <w:tmpl w:val="80AEFA70"/>
    <w:lvl w:ilvl="0">
      <w:start w:val="1"/>
      <w:numFmt w:val="decimal"/>
      <w:lvlText w:val="%1."/>
      <w:lvlJc w:val="left"/>
      <w:pPr>
        <w:tabs>
          <w:tab w:val="num" w:pos="720"/>
        </w:tabs>
        <w:ind w:left="720" w:hanging="360"/>
      </w:pPr>
    </w:lvl>
  </w:abstractNum>
  <w:abstractNum w:abstractNumId="4">
    <w:nsid w:val="FFFFFF80"/>
    <w:multiLevelType w:val="singleLevel"/>
    <w:tmpl w:val="0A04AA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DA32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88AEA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E84CD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A2FF02"/>
    <w:lvl w:ilvl="0">
      <w:start w:val="1"/>
      <w:numFmt w:val="decimal"/>
      <w:lvlText w:val="%1."/>
      <w:lvlJc w:val="left"/>
      <w:pPr>
        <w:tabs>
          <w:tab w:val="num" w:pos="360"/>
        </w:tabs>
        <w:ind w:left="360" w:hanging="360"/>
      </w:pPr>
    </w:lvl>
  </w:abstractNum>
  <w:abstractNum w:abstractNumId="9">
    <w:nsid w:val="FFFFFF89"/>
    <w:multiLevelType w:val="singleLevel"/>
    <w:tmpl w:val="2C76FCCE"/>
    <w:lvl w:ilvl="0">
      <w:start w:val="1"/>
      <w:numFmt w:val="bullet"/>
      <w:lvlText w:val=""/>
      <w:lvlJc w:val="left"/>
      <w:pPr>
        <w:tabs>
          <w:tab w:val="num" w:pos="360"/>
        </w:tabs>
        <w:ind w:left="360" w:hanging="360"/>
      </w:pPr>
      <w:rPr>
        <w:rFonts w:ascii="Symbol" w:hAnsi="Symbol" w:hint="default"/>
      </w:rPr>
    </w:lvl>
  </w:abstractNum>
  <w:abstractNum w:abstractNumId="10">
    <w:nsid w:val="0757388C"/>
    <w:multiLevelType w:val="hybridMultilevel"/>
    <w:tmpl w:val="AF806EB0"/>
    <w:lvl w:ilvl="0" w:tplc="08C2419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1855C75"/>
    <w:multiLevelType w:val="hybridMultilevel"/>
    <w:tmpl w:val="6A64137A"/>
    <w:lvl w:ilvl="0" w:tplc="AB24FA44">
      <w:start w:val="1"/>
      <w:numFmt w:val="bullet"/>
      <w:lvlText w:val=""/>
      <w:lvlJc w:val="left"/>
      <w:pPr>
        <w:tabs>
          <w:tab w:val="num" w:pos="720"/>
        </w:tabs>
        <w:ind w:left="720" w:hanging="360"/>
      </w:pPr>
      <w:rPr>
        <w:rFonts w:ascii="Wingdings" w:hAnsi="Wingdings" w:hint="default"/>
      </w:rPr>
    </w:lvl>
    <w:lvl w:ilvl="1" w:tplc="99C47E14">
      <w:start w:val="1"/>
      <w:numFmt w:val="bullet"/>
      <w:lvlText w:val=""/>
      <w:lvlJc w:val="left"/>
      <w:pPr>
        <w:tabs>
          <w:tab w:val="num" w:pos="1440"/>
        </w:tabs>
        <w:ind w:left="1440" w:hanging="360"/>
      </w:pPr>
      <w:rPr>
        <w:rFonts w:ascii="Wingdings" w:hAnsi="Wingdings" w:hint="default"/>
      </w:rPr>
    </w:lvl>
    <w:lvl w:ilvl="2" w:tplc="4A143D4C" w:tentative="1">
      <w:start w:val="1"/>
      <w:numFmt w:val="bullet"/>
      <w:lvlText w:val=""/>
      <w:lvlJc w:val="left"/>
      <w:pPr>
        <w:tabs>
          <w:tab w:val="num" w:pos="2160"/>
        </w:tabs>
        <w:ind w:left="2160" w:hanging="360"/>
      </w:pPr>
      <w:rPr>
        <w:rFonts w:ascii="Wingdings" w:hAnsi="Wingdings" w:hint="default"/>
      </w:rPr>
    </w:lvl>
    <w:lvl w:ilvl="3" w:tplc="E7AA0074" w:tentative="1">
      <w:start w:val="1"/>
      <w:numFmt w:val="bullet"/>
      <w:lvlText w:val=""/>
      <w:lvlJc w:val="left"/>
      <w:pPr>
        <w:tabs>
          <w:tab w:val="num" w:pos="2880"/>
        </w:tabs>
        <w:ind w:left="2880" w:hanging="360"/>
      </w:pPr>
      <w:rPr>
        <w:rFonts w:ascii="Wingdings" w:hAnsi="Wingdings" w:hint="default"/>
      </w:rPr>
    </w:lvl>
    <w:lvl w:ilvl="4" w:tplc="AB00BC82" w:tentative="1">
      <w:start w:val="1"/>
      <w:numFmt w:val="bullet"/>
      <w:lvlText w:val=""/>
      <w:lvlJc w:val="left"/>
      <w:pPr>
        <w:tabs>
          <w:tab w:val="num" w:pos="3600"/>
        </w:tabs>
        <w:ind w:left="3600" w:hanging="360"/>
      </w:pPr>
      <w:rPr>
        <w:rFonts w:ascii="Wingdings" w:hAnsi="Wingdings" w:hint="default"/>
      </w:rPr>
    </w:lvl>
    <w:lvl w:ilvl="5" w:tplc="7D964A4A" w:tentative="1">
      <w:start w:val="1"/>
      <w:numFmt w:val="bullet"/>
      <w:lvlText w:val=""/>
      <w:lvlJc w:val="left"/>
      <w:pPr>
        <w:tabs>
          <w:tab w:val="num" w:pos="4320"/>
        </w:tabs>
        <w:ind w:left="4320" w:hanging="360"/>
      </w:pPr>
      <w:rPr>
        <w:rFonts w:ascii="Wingdings" w:hAnsi="Wingdings" w:hint="default"/>
      </w:rPr>
    </w:lvl>
    <w:lvl w:ilvl="6" w:tplc="838AEAFE" w:tentative="1">
      <w:start w:val="1"/>
      <w:numFmt w:val="bullet"/>
      <w:lvlText w:val=""/>
      <w:lvlJc w:val="left"/>
      <w:pPr>
        <w:tabs>
          <w:tab w:val="num" w:pos="5040"/>
        </w:tabs>
        <w:ind w:left="5040" w:hanging="360"/>
      </w:pPr>
      <w:rPr>
        <w:rFonts w:ascii="Wingdings" w:hAnsi="Wingdings" w:hint="default"/>
      </w:rPr>
    </w:lvl>
    <w:lvl w:ilvl="7" w:tplc="C710358A" w:tentative="1">
      <w:start w:val="1"/>
      <w:numFmt w:val="bullet"/>
      <w:lvlText w:val=""/>
      <w:lvlJc w:val="left"/>
      <w:pPr>
        <w:tabs>
          <w:tab w:val="num" w:pos="5760"/>
        </w:tabs>
        <w:ind w:left="5760" w:hanging="360"/>
      </w:pPr>
      <w:rPr>
        <w:rFonts w:ascii="Wingdings" w:hAnsi="Wingdings" w:hint="default"/>
      </w:rPr>
    </w:lvl>
    <w:lvl w:ilvl="8" w:tplc="66C63A92" w:tentative="1">
      <w:start w:val="1"/>
      <w:numFmt w:val="bullet"/>
      <w:lvlText w:val=""/>
      <w:lvlJc w:val="left"/>
      <w:pPr>
        <w:tabs>
          <w:tab w:val="num" w:pos="6480"/>
        </w:tabs>
        <w:ind w:left="6480" w:hanging="360"/>
      </w:pPr>
      <w:rPr>
        <w:rFonts w:ascii="Wingdings" w:hAnsi="Wingdings" w:hint="default"/>
      </w:rPr>
    </w:lvl>
  </w:abstractNum>
  <w:abstractNum w:abstractNumId="12">
    <w:nsid w:val="1C9B1B64"/>
    <w:multiLevelType w:val="hybridMultilevel"/>
    <w:tmpl w:val="3CDC249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1E6BED"/>
    <w:multiLevelType w:val="hybridMultilevel"/>
    <w:tmpl w:val="54BAC284"/>
    <w:lvl w:ilvl="0" w:tplc="0409001B">
      <w:start w:val="1"/>
      <w:numFmt w:val="lowerRoman"/>
      <w:lvlText w:val="%1."/>
      <w:lvlJc w:val="righ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6596C46"/>
    <w:multiLevelType w:val="multilevel"/>
    <w:tmpl w:val="F1A843B2"/>
    <w:lvl w:ilvl="0">
      <w:start w:val="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9FA23B0"/>
    <w:multiLevelType w:val="multilevel"/>
    <w:tmpl w:val="950ED31C"/>
    <w:lvl w:ilvl="0">
      <w:start w:val="8"/>
      <w:numFmt w:val="decimal"/>
      <w:lvlText w:val="%1"/>
      <w:lvlJc w:val="left"/>
      <w:pPr>
        <w:ind w:left="480" w:hanging="480"/>
      </w:pPr>
      <w:rPr>
        <w:rFonts w:ascii="Times New Roman" w:hAnsi="Times New Roman" w:cs="Times New Roman" w:hint="default"/>
        <w:b w:val="0"/>
        <w:sz w:val="24"/>
      </w:rPr>
    </w:lvl>
    <w:lvl w:ilvl="1">
      <w:start w:val="2"/>
      <w:numFmt w:val="decimal"/>
      <w:lvlText w:val="%1.%2"/>
      <w:lvlJc w:val="left"/>
      <w:pPr>
        <w:ind w:left="480" w:hanging="480"/>
      </w:pPr>
      <w:rPr>
        <w:rFonts w:ascii="Times New Roman" w:hAnsi="Times New Roman" w:cs="Times New Roman" w:hint="default"/>
        <w:b w:val="0"/>
        <w:sz w:val="24"/>
      </w:rPr>
    </w:lvl>
    <w:lvl w:ilvl="2">
      <w:start w:val="5"/>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720" w:hanging="72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080" w:hanging="1080"/>
      </w:pPr>
      <w:rPr>
        <w:rFonts w:ascii="Times New Roman" w:hAnsi="Times New Roman" w:cs="Times New Roman" w:hint="default"/>
        <w:b w:val="0"/>
        <w:sz w:val="24"/>
      </w:rPr>
    </w:lvl>
    <w:lvl w:ilvl="6">
      <w:start w:val="1"/>
      <w:numFmt w:val="decimal"/>
      <w:lvlText w:val="%1.%2.%3.%4.%5.%6.%7"/>
      <w:lvlJc w:val="left"/>
      <w:pPr>
        <w:ind w:left="1440" w:hanging="1440"/>
      </w:pPr>
      <w:rPr>
        <w:rFonts w:ascii="Times New Roman" w:hAnsi="Times New Roman" w:cs="Times New Roman" w:hint="default"/>
        <w:b w:val="0"/>
        <w:sz w:val="24"/>
      </w:rPr>
    </w:lvl>
    <w:lvl w:ilvl="7">
      <w:start w:val="1"/>
      <w:numFmt w:val="decimal"/>
      <w:lvlText w:val="%1.%2.%3.%4.%5.%6.%7.%8"/>
      <w:lvlJc w:val="left"/>
      <w:pPr>
        <w:ind w:left="1440" w:hanging="1440"/>
      </w:pPr>
      <w:rPr>
        <w:rFonts w:ascii="Times New Roman" w:hAnsi="Times New Roman" w:cs="Times New Roman" w:hint="default"/>
        <w:b w:val="0"/>
        <w:sz w:val="24"/>
      </w:rPr>
    </w:lvl>
    <w:lvl w:ilvl="8">
      <w:start w:val="1"/>
      <w:numFmt w:val="decimal"/>
      <w:lvlText w:val="%1.%2.%3.%4.%5.%6.%7.%8.%9"/>
      <w:lvlJc w:val="left"/>
      <w:pPr>
        <w:ind w:left="1800" w:hanging="1800"/>
      </w:pPr>
      <w:rPr>
        <w:rFonts w:ascii="Times New Roman" w:hAnsi="Times New Roman" w:cs="Times New Roman" w:hint="default"/>
        <w:b w:val="0"/>
        <w:sz w:val="24"/>
      </w:rPr>
    </w:lvl>
  </w:abstractNum>
  <w:abstractNum w:abstractNumId="16">
    <w:nsid w:val="2DF678D3"/>
    <w:multiLevelType w:val="hybridMultilevel"/>
    <w:tmpl w:val="41141056"/>
    <w:lvl w:ilvl="0" w:tplc="E1AC181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3C6F73"/>
    <w:multiLevelType w:val="hybridMultilevel"/>
    <w:tmpl w:val="1A4E607A"/>
    <w:lvl w:ilvl="0" w:tplc="44026DC8">
      <w:start w:val="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EA06A2A"/>
    <w:multiLevelType w:val="multilevel"/>
    <w:tmpl w:val="59D84F9A"/>
    <w:lvl w:ilvl="0">
      <w:start w:val="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2690270"/>
    <w:multiLevelType w:val="hybridMultilevel"/>
    <w:tmpl w:val="3E1E5098"/>
    <w:lvl w:ilvl="0" w:tplc="0409001B">
      <w:start w:val="1"/>
      <w:numFmt w:val="lowerRoman"/>
      <w:lvlText w:val="%1."/>
      <w:lvlJc w:val="righ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4BA70844"/>
    <w:multiLevelType w:val="multilevel"/>
    <w:tmpl w:val="4114105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6442862"/>
    <w:multiLevelType w:val="multilevel"/>
    <w:tmpl w:val="CFA219EC"/>
    <w:lvl w:ilvl="0">
      <w:start w:val="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9061301"/>
    <w:multiLevelType w:val="hybridMultilevel"/>
    <w:tmpl w:val="D7DCBA3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ABD51A1"/>
    <w:multiLevelType w:val="hybridMultilevel"/>
    <w:tmpl w:val="685CFC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AC4DDF"/>
    <w:multiLevelType w:val="multilevel"/>
    <w:tmpl w:val="5ABA21E4"/>
    <w:lvl w:ilvl="0">
      <w:start w:val="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1F7EB8"/>
    <w:multiLevelType w:val="hybridMultilevel"/>
    <w:tmpl w:val="31CAA26C"/>
    <w:lvl w:ilvl="0" w:tplc="317238B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0118CB"/>
    <w:multiLevelType w:val="multilevel"/>
    <w:tmpl w:val="7450A3E2"/>
    <w:lvl w:ilvl="0">
      <w:start w:val="1"/>
      <w:numFmt w:val="lowerRoman"/>
      <w:lvlText w:val="%1."/>
      <w:lvlJc w:val="righ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nsid w:val="65F40807"/>
    <w:multiLevelType w:val="hybridMultilevel"/>
    <w:tmpl w:val="6C881AEC"/>
    <w:lvl w:ilvl="0" w:tplc="2E5252F6">
      <w:start w:val="1"/>
      <w:numFmt w:val="bullet"/>
      <w:lvlText w:val=""/>
      <w:lvlJc w:val="left"/>
      <w:pPr>
        <w:tabs>
          <w:tab w:val="num" w:pos="720"/>
        </w:tabs>
        <w:ind w:left="720" w:hanging="360"/>
      </w:pPr>
      <w:rPr>
        <w:rFonts w:ascii="Wingdings" w:hAnsi="Wingdings" w:hint="default"/>
      </w:rPr>
    </w:lvl>
    <w:lvl w:ilvl="1" w:tplc="0200F8BA">
      <w:start w:val="1"/>
      <w:numFmt w:val="bullet"/>
      <w:lvlText w:val=""/>
      <w:lvlJc w:val="left"/>
      <w:pPr>
        <w:tabs>
          <w:tab w:val="num" w:pos="1440"/>
        </w:tabs>
        <w:ind w:left="1440" w:hanging="360"/>
      </w:pPr>
      <w:rPr>
        <w:rFonts w:ascii="Wingdings" w:hAnsi="Wingdings" w:hint="default"/>
      </w:rPr>
    </w:lvl>
    <w:lvl w:ilvl="2" w:tplc="7D6E59F4" w:tentative="1">
      <w:start w:val="1"/>
      <w:numFmt w:val="bullet"/>
      <w:lvlText w:val=""/>
      <w:lvlJc w:val="left"/>
      <w:pPr>
        <w:tabs>
          <w:tab w:val="num" w:pos="2160"/>
        </w:tabs>
        <w:ind w:left="2160" w:hanging="360"/>
      </w:pPr>
      <w:rPr>
        <w:rFonts w:ascii="Wingdings" w:hAnsi="Wingdings" w:hint="default"/>
      </w:rPr>
    </w:lvl>
    <w:lvl w:ilvl="3" w:tplc="500EB93A" w:tentative="1">
      <w:start w:val="1"/>
      <w:numFmt w:val="bullet"/>
      <w:lvlText w:val=""/>
      <w:lvlJc w:val="left"/>
      <w:pPr>
        <w:tabs>
          <w:tab w:val="num" w:pos="2880"/>
        </w:tabs>
        <w:ind w:left="2880" w:hanging="360"/>
      </w:pPr>
      <w:rPr>
        <w:rFonts w:ascii="Wingdings" w:hAnsi="Wingdings" w:hint="default"/>
      </w:rPr>
    </w:lvl>
    <w:lvl w:ilvl="4" w:tplc="64E04BE8" w:tentative="1">
      <w:start w:val="1"/>
      <w:numFmt w:val="bullet"/>
      <w:lvlText w:val=""/>
      <w:lvlJc w:val="left"/>
      <w:pPr>
        <w:tabs>
          <w:tab w:val="num" w:pos="3600"/>
        </w:tabs>
        <w:ind w:left="3600" w:hanging="360"/>
      </w:pPr>
      <w:rPr>
        <w:rFonts w:ascii="Wingdings" w:hAnsi="Wingdings" w:hint="default"/>
      </w:rPr>
    </w:lvl>
    <w:lvl w:ilvl="5" w:tplc="75ACE234" w:tentative="1">
      <w:start w:val="1"/>
      <w:numFmt w:val="bullet"/>
      <w:lvlText w:val=""/>
      <w:lvlJc w:val="left"/>
      <w:pPr>
        <w:tabs>
          <w:tab w:val="num" w:pos="4320"/>
        </w:tabs>
        <w:ind w:left="4320" w:hanging="360"/>
      </w:pPr>
      <w:rPr>
        <w:rFonts w:ascii="Wingdings" w:hAnsi="Wingdings" w:hint="default"/>
      </w:rPr>
    </w:lvl>
    <w:lvl w:ilvl="6" w:tplc="654A5234" w:tentative="1">
      <w:start w:val="1"/>
      <w:numFmt w:val="bullet"/>
      <w:lvlText w:val=""/>
      <w:lvlJc w:val="left"/>
      <w:pPr>
        <w:tabs>
          <w:tab w:val="num" w:pos="5040"/>
        </w:tabs>
        <w:ind w:left="5040" w:hanging="360"/>
      </w:pPr>
      <w:rPr>
        <w:rFonts w:ascii="Wingdings" w:hAnsi="Wingdings" w:hint="default"/>
      </w:rPr>
    </w:lvl>
    <w:lvl w:ilvl="7" w:tplc="E7F8D004" w:tentative="1">
      <w:start w:val="1"/>
      <w:numFmt w:val="bullet"/>
      <w:lvlText w:val=""/>
      <w:lvlJc w:val="left"/>
      <w:pPr>
        <w:tabs>
          <w:tab w:val="num" w:pos="5760"/>
        </w:tabs>
        <w:ind w:left="5760" w:hanging="360"/>
      </w:pPr>
      <w:rPr>
        <w:rFonts w:ascii="Wingdings" w:hAnsi="Wingdings" w:hint="default"/>
      </w:rPr>
    </w:lvl>
    <w:lvl w:ilvl="8" w:tplc="D52ECDF2" w:tentative="1">
      <w:start w:val="1"/>
      <w:numFmt w:val="bullet"/>
      <w:lvlText w:val=""/>
      <w:lvlJc w:val="left"/>
      <w:pPr>
        <w:tabs>
          <w:tab w:val="num" w:pos="6480"/>
        </w:tabs>
        <w:ind w:left="6480" w:hanging="360"/>
      </w:pPr>
      <w:rPr>
        <w:rFonts w:ascii="Wingdings" w:hAnsi="Wingdings" w:hint="default"/>
      </w:rPr>
    </w:lvl>
  </w:abstractNum>
  <w:abstractNum w:abstractNumId="28">
    <w:nsid w:val="74FC311C"/>
    <w:multiLevelType w:val="hybridMultilevel"/>
    <w:tmpl w:val="977039DE"/>
    <w:lvl w:ilvl="0" w:tplc="30EA0706">
      <w:start w:val="2"/>
      <w:numFmt w:val="upperRoman"/>
      <w:lvlText w:val="%1.i"/>
      <w:lvlJc w:val="right"/>
      <w:pPr>
        <w:tabs>
          <w:tab w:val="num" w:pos="1260"/>
        </w:tabs>
        <w:ind w:left="126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77B76C83"/>
    <w:multiLevelType w:val="multilevel"/>
    <w:tmpl w:val="61B6F786"/>
    <w:lvl w:ilvl="0">
      <w:start w:val="8"/>
      <w:numFmt w:val="decimal"/>
      <w:lvlText w:val="%1"/>
      <w:lvlJc w:val="left"/>
      <w:pPr>
        <w:ind w:left="480" w:hanging="480"/>
      </w:pPr>
      <w:rPr>
        <w:rFonts w:ascii="Times New Roman" w:hAnsi="Times New Roman" w:cs="Times New Roman" w:hint="default"/>
        <w:b w:val="0"/>
        <w:sz w:val="24"/>
      </w:rPr>
    </w:lvl>
    <w:lvl w:ilvl="1">
      <w:start w:val="2"/>
      <w:numFmt w:val="decimal"/>
      <w:lvlText w:val="%1.%2"/>
      <w:lvlJc w:val="left"/>
      <w:pPr>
        <w:ind w:left="480" w:hanging="480"/>
      </w:pPr>
      <w:rPr>
        <w:rFonts w:ascii="Times New Roman" w:hAnsi="Times New Roman" w:cs="Times New Roman" w:hint="default"/>
        <w:b w:val="0"/>
        <w:sz w:val="24"/>
      </w:rPr>
    </w:lvl>
    <w:lvl w:ilvl="2">
      <w:start w:val="1"/>
      <w:numFmt w:val="decimal"/>
      <w:lvlText w:val="%1.%2.%3"/>
      <w:lvlJc w:val="left"/>
      <w:pPr>
        <w:ind w:left="1170" w:hanging="720"/>
      </w:pPr>
      <w:rPr>
        <w:rFonts w:ascii="Times New Roman" w:hAnsi="Times New Roman" w:cs="Times New Roman" w:hint="default"/>
        <w:b w:val="0"/>
        <w:sz w:val="24"/>
      </w:rPr>
    </w:lvl>
    <w:lvl w:ilvl="3">
      <w:start w:val="1"/>
      <w:numFmt w:val="decimal"/>
      <w:lvlText w:val="%1.%2.%3.%4"/>
      <w:lvlJc w:val="left"/>
      <w:pPr>
        <w:ind w:left="720" w:hanging="72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080" w:hanging="1080"/>
      </w:pPr>
      <w:rPr>
        <w:rFonts w:ascii="Times New Roman" w:hAnsi="Times New Roman" w:cs="Times New Roman" w:hint="default"/>
        <w:b w:val="0"/>
        <w:sz w:val="24"/>
      </w:rPr>
    </w:lvl>
    <w:lvl w:ilvl="6">
      <w:start w:val="1"/>
      <w:numFmt w:val="decimal"/>
      <w:lvlText w:val="%1.%2.%3.%4.%5.%6.%7"/>
      <w:lvlJc w:val="left"/>
      <w:pPr>
        <w:ind w:left="1440" w:hanging="1440"/>
      </w:pPr>
      <w:rPr>
        <w:rFonts w:ascii="Times New Roman" w:hAnsi="Times New Roman" w:cs="Times New Roman" w:hint="default"/>
        <w:b w:val="0"/>
        <w:sz w:val="24"/>
      </w:rPr>
    </w:lvl>
    <w:lvl w:ilvl="7">
      <w:start w:val="1"/>
      <w:numFmt w:val="decimal"/>
      <w:lvlText w:val="%1.%2.%3.%4.%5.%6.%7.%8"/>
      <w:lvlJc w:val="left"/>
      <w:pPr>
        <w:ind w:left="1440" w:hanging="1440"/>
      </w:pPr>
      <w:rPr>
        <w:rFonts w:ascii="Times New Roman" w:hAnsi="Times New Roman" w:cs="Times New Roman" w:hint="default"/>
        <w:b w:val="0"/>
        <w:sz w:val="24"/>
      </w:rPr>
    </w:lvl>
    <w:lvl w:ilvl="8">
      <w:start w:val="1"/>
      <w:numFmt w:val="decimal"/>
      <w:lvlText w:val="%1.%2.%3.%4.%5.%6.%7.%8.%9"/>
      <w:lvlJc w:val="left"/>
      <w:pPr>
        <w:ind w:left="1800" w:hanging="1800"/>
      </w:pPr>
      <w:rPr>
        <w:rFonts w:ascii="Times New Roman" w:hAnsi="Times New Roman" w:cs="Times New Roman" w:hint="default"/>
        <w:b w:val="0"/>
        <w:sz w:val="24"/>
      </w:rPr>
    </w:lvl>
  </w:abstractNum>
  <w:abstractNum w:abstractNumId="30">
    <w:nsid w:val="798E7D57"/>
    <w:multiLevelType w:val="multilevel"/>
    <w:tmpl w:val="716E0B5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D177FD"/>
    <w:multiLevelType w:val="hybridMultilevel"/>
    <w:tmpl w:val="1F405D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F372E6B"/>
    <w:multiLevelType w:val="hybridMultilevel"/>
    <w:tmpl w:val="D30C112A"/>
    <w:lvl w:ilvl="0" w:tplc="096489CC">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3"/>
  </w:num>
  <w:num w:numId="3">
    <w:abstractNumId w:val="12"/>
  </w:num>
  <w:num w:numId="4">
    <w:abstractNumId w:val="16"/>
  </w:num>
  <w:num w:numId="5">
    <w:abstractNumId w:val="20"/>
  </w:num>
  <w:num w:numId="6">
    <w:abstractNumId w:val="22"/>
  </w:num>
  <w:num w:numId="7">
    <w:abstractNumId w:val="31"/>
  </w:num>
  <w:num w:numId="8">
    <w:abstractNumId w:val="32"/>
  </w:num>
  <w:num w:numId="9">
    <w:abstractNumId w:val="25"/>
  </w:num>
  <w:num w:numId="10">
    <w:abstractNumId w:val="11"/>
  </w:num>
  <w:num w:numId="11">
    <w:abstractNumId w:val="27"/>
  </w:num>
  <w:num w:numId="12">
    <w:abstractNumId w:val="28"/>
  </w:num>
  <w:num w:numId="13">
    <w:abstractNumId w:val="26"/>
  </w:num>
  <w:num w:numId="14">
    <w:abstractNumId w:val="19"/>
  </w:num>
  <w:num w:numId="15">
    <w:abstractNumId w:val="13"/>
  </w:num>
  <w:num w:numId="16">
    <w:abstractNumId w:val="17"/>
  </w:num>
  <w:num w:numId="17">
    <w:abstractNumId w:val="30"/>
  </w:num>
  <w:num w:numId="18">
    <w:abstractNumId w:val="29"/>
  </w:num>
  <w:num w:numId="19">
    <w:abstractNumId w:val="21"/>
  </w:num>
  <w:num w:numId="20">
    <w:abstractNumId w:val="24"/>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5"/>
  </w:num>
  <w:num w:numId="32">
    <w:abstractNumId w:val="18"/>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4"/>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5511"/>
    <w:rsid w:val="00000400"/>
    <w:rsid w:val="00001102"/>
    <w:rsid w:val="000017FF"/>
    <w:rsid w:val="00001AA0"/>
    <w:rsid w:val="00002577"/>
    <w:rsid w:val="000052F0"/>
    <w:rsid w:val="00005DA9"/>
    <w:rsid w:val="00006102"/>
    <w:rsid w:val="0000658D"/>
    <w:rsid w:val="00006783"/>
    <w:rsid w:val="00006E59"/>
    <w:rsid w:val="0000778E"/>
    <w:rsid w:val="0001011D"/>
    <w:rsid w:val="0001122A"/>
    <w:rsid w:val="00011267"/>
    <w:rsid w:val="00014722"/>
    <w:rsid w:val="00015658"/>
    <w:rsid w:val="00016B76"/>
    <w:rsid w:val="00017850"/>
    <w:rsid w:val="000208AB"/>
    <w:rsid w:val="00020A7C"/>
    <w:rsid w:val="000215B0"/>
    <w:rsid w:val="0002171A"/>
    <w:rsid w:val="00022E09"/>
    <w:rsid w:val="00023659"/>
    <w:rsid w:val="0002426B"/>
    <w:rsid w:val="0002616F"/>
    <w:rsid w:val="00027354"/>
    <w:rsid w:val="00027C96"/>
    <w:rsid w:val="00030C10"/>
    <w:rsid w:val="0003138B"/>
    <w:rsid w:val="000315A3"/>
    <w:rsid w:val="000322BF"/>
    <w:rsid w:val="00033747"/>
    <w:rsid w:val="00034647"/>
    <w:rsid w:val="00034C8E"/>
    <w:rsid w:val="00035313"/>
    <w:rsid w:val="0003571C"/>
    <w:rsid w:val="00036351"/>
    <w:rsid w:val="00036476"/>
    <w:rsid w:val="000374D4"/>
    <w:rsid w:val="0004000D"/>
    <w:rsid w:val="000409D7"/>
    <w:rsid w:val="00041040"/>
    <w:rsid w:val="00041D54"/>
    <w:rsid w:val="000421B4"/>
    <w:rsid w:val="00042533"/>
    <w:rsid w:val="000439E5"/>
    <w:rsid w:val="000444CC"/>
    <w:rsid w:val="0004524A"/>
    <w:rsid w:val="00046A2C"/>
    <w:rsid w:val="0004759D"/>
    <w:rsid w:val="0004762D"/>
    <w:rsid w:val="00047B31"/>
    <w:rsid w:val="00050605"/>
    <w:rsid w:val="000522CF"/>
    <w:rsid w:val="00052A90"/>
    <w:rsid w:val="0005340F"/>
    <w:rsid w:val="00053E6F"/>
    <w:rsid w:val="000551EA"/>
    <w:rsid w:val="00056957"/>
    <w:rsid w:val="00057836"/>
    <w:rsid w:val="00057D79"/>
    <w:rsid w:val="00057D96"/>
    <w:rsid w:val="00061670"/>
    <w:rsid w:val="00061673"/>
    <w:rsid w:val="0006264C"/>
    <w:rsid w:val="00063255"/>
    <w:rsid w:val="00063F0B"/>
    <w:rsid w:val="00064905"/>
    <w:rsid w:val="00065886"/>
    <w:rsid w:val="0006652B"/>
    <w:rsid w:val="00066712"/>
    <w:rsid w:val="00066833"/>
    <w:rsid w:val="00066EE1"/>
    <w:rsid w:val="00070613"/>
    <w:rsid w:val="00071C29"/>
    <w:rsid w:val="00073475"/>
    <w:rsid w:val="00073CCE"/>
    <w:rsid w:val="000764B4"/>
    <w:rsid w:val="00076C79"/>
    <w:rsid w:val="00081972"/>
    <w:rsid w:val="00081B77"/>
    <w:rsid w:val="00081D4A"/>
    <w:rsid w:val="0008291E"/>
    <w:rsid w:val="0008417C"/>
    <w:rsid w:val="000858EC"/>
    <w:rsid w:val="00087CCE"/>
    <w:rsid w:val="000906BF"/>
    <w:rsid w:val="00090EA8"/>
    <w:rsid w:val="0009298A"/>
    <w:rsid w:val="00094E37"/>
    <w:rsid w:val="00094E66"/>
    <w:rsid w:val="000957C7"/>
    <w:rsid w:val="000966D5"/>
    <w:rsid w:val="0009771E"/>
    <w:rsid w:val="000978E6"/>
    <w:rsid w:val="000A02A7"/>
    <w:rsid w:val="000A0D66"/>
    <w:rsid w:val="000A168F"/>
    <w:rsid w:val="000A3BCD"/>
    <w:rsid w:val="000A5C97"/>
    <w:rsid w:val="000A725F"/>
    <w:rsid w:val="000B2967"/>
    <w:rsid w:val="000B6183"/>
    <w:rsid w:val="000B6291"/>
    <w:rsid w:val="000B6372"/>
    <w:rsid w:val="000B7035"/>
    <w:rsid w:val="000B7DE8"/>
    <w:rsid w:val="000C0A90"/>
    <w:rsid w:val="000C0B9A"/>
    <w:rsid w:val="000C0C56"/>
    <w:rsid w:val="000C1875"/>
    <w:rsid w:val="000C235B"/>
    <w:rsid w:val="000C2A61"/>
    <w:rsid w:val="000C35B7"/>
    <w:rsid w:val="000C3A61"/>
    <w:rsid w:val="000C566A"/>
    <w:rsid w:val="000C573C"/>
    <w:rsid w:val="000C5AAB"/>
    <w:rsid w:val="000C5AB2"/>
    <w:rsid w:val="000C67D9"/>
    <w:rsid w:val="000C6D1B"/>
    <w:rsid w:val="000D07C5"/>
    <w:rsid w:val="000D2212"/>
    <w:rsid w:val="000D308C"/>
    <w:rsid w:val="000D3AF3"/>
    <w:rsid w:val="000D4055"/>
    <w:rsid w:val="000D4FCA"/>
    <w:rsid w:val="000D60C3"/>
    <w:rsid w:val="000D6D82"/>
    <w:rsid w:val="000E049E"/>
    <w:rsid w:val="000E071C"/>
    <w:rsid w:val="000E208A"/>
    <w:rsid w:val="000E22FE"/>
    <w:rsid w:val="000E47F5"/>
    <w:rsid w:val="000E662A"/>
    <w:rsid w:val="000E681E"/>
    <w:rsid w:val="000E6DAB"/>
    <w:rsid w:val="000E761C"/>
    <w:rsid w:val="000E7772"/>
    <w:rsid w:val="000E7EFD"/>
    <w:rsid w:val="000F0058"/>
    <w:rsid w:val="000F12AA"/>
    <w:rsid w:val="000F1558"/>
    <w:rsid w:val="000F1A58"/>
    <w:rsid w:val="000F210F"/>
    <w:rsid w:val="000F21F4"/>
    <w:rsid w:val="000F39F1"/>
    <w:rsid w:val="000F3A8E"/>
    <w:rsid w:val="000F3E42"/>
    <w:rsid w:val="000F4BC5"/>
    <w:rsid w:val="000F4C18"/>
    <w:rsid w:val="000F4C30"/>
    <w:rsid w:val="000F53AB"/>
    <w:rsid w:val="000F7149"/>
    <w:rsid w:val="000F75E3"/>
    <w:rsid w:val="000F7CE1"/>
    <w:rsid w:val="00100197"/>
    <w:rsid w:val="0010034D"/>
    <w:rsid w:val="0010106F"/>
    <w:rsid w:val="00101836"/>
    <w:rsid w:val="00102650"/>
    <w:rsid w:val="00102A98"/>
    <w:rsid w:val="00103341"/>
    <w:rsid w:val="00103B1A"/>
    <w:rsid w:val="001042ED"/>
    <w:rsid w:val="001042EE"/>
    <w:rsid w:val="00107388"/>
    <w:rsid w:val="001074E0"/>
    <w:rsid w:val="001108AF"/>
    <w:rsid w:val="001111B1"/>
    <w:rsid w:val="001118DD"/>
    <w:rsid w:val="00112E9A"/>
    <w:rsid w:val="00113175"/>
    <w:rsid w:val="00113C0F"/>
    <w:rsid w:val="001148B6"/>
    <w:rsid w:val="00114B0D"/>
    <w:rsid w:val="00115BAE"/>
    <w:rsid w:val="00116377"/>
    <w:rsid w:val="00117C36"/>
    <w:rsid w:val="00120D3D"/>
    <w:rsid w:val="00121218"/>
    <w:rsid w:val="001223A0"/>
    <w:rsid w:val="001227E8"/>
    <w:rsid w:val="00122980"/>
    <w:rsid w:val="00122E8F"/>
    <w:rsid w:val="00123910"/>
    <w:rsid w:val="00124258"/>
    <w:rsid w:val="00124807"/>
    <w:rsid w:val="0012559C"/>
    <w:rsid w:val="00125CD6"/>
    <w:rsid w:val="00125F34"/>
    <w:rsid w:val="00126225"/>
    <w:rsid w:val="00127140"/>
    <w:rsid w:val="00130A45"/>
    <w:rsid w:val="0013135B"/>
    <w:rsid w:val="00132AEB"/>
    <w:rsid w:val="00132EE5"/>
    <w:rsid w:val="00133063"/>
    <w:rsid w:val="00133F63"/>
    <w:rsid w:val="00135C1B"/>
    <w:rsid w:val="00137025"/>
    <w:rsid w:val="00137139"/>
    <w:rsid w:val="00137169"/>
    <w:rsid w:val="001371E0"/>
    <w:rsid w:val="00140E3D"/>
    <w:rsid w:val="001420F1"/>
    <w:rsid w:val="0014217C"/>
    <w:rsid w:val="001444D7"/>
    <w:rsid w:val="00144CF4"/>
    <w:rsid w:val="001463A9"/>
    <w:rsid w:val="0015160B"/>
    <w:rsid w:val="00151720"/>
    <w:rsid w:val="00151B73"/>
    <w:rsid w:val="001526F7"/>
    <w:rsid w:val="00154D6B"/>
    <w:rsid w:val="00154EF1"/>
    <w:rsid w:val="0015562C"/>
    <w:rsid w:val="00155794"/>
    <w:rsid w:val="00155939"/>
    <w:rsid w:val="00155E57"/>
    <w:rsid w:val="00156CF1"/>
    <w:rsid w:val="0015731A"/>
    <w:rsid w:val="00157525"/>
    <w:rsid w:val="0016059D"/>
    <w:rsid w:val="00160F81"/>
    <w:rsid w:val="001613DC"/>
    <w:rsid w:val="0016221A"/>
    <w:rsid w:val="00163433"/>
    <w:rsid w:val="00163676"/>
    <w:rsid w:val="001638AC"/>
    <w:rsid w:val="0016430C"/>
    <w:rsid w:val="001659B4"/>
    <w:rsid w:val="00165E23"/>
    <w:rsid w:val="00167480"/>
    <w:rsid w:val="00170C4F"/>
    <w:rsid w:val="00171718"/>
    <w:rsid w:val="00171BE2"/>
    <w:rsid w:val="00173049"/>
    <w:rsid w:val="00173508"/>
    <w:rsid w:val="001745CC"/>
    <w:rsid w:val="001750AB"/>
    <w:rsid w:val="00177642"/>
    <w:rsid w:val="00181DE7"/>
    <w:rsid w:val="001823AC"/>
    <w:rsid w:val="00182BAB"/>
    <w:rsid w:val="00183738"/>
    <w:rsid w:val="00183790"/>
    <w:rsid w:val="001856BB"/>
    <w:rsid w:val="0018636B"/>
    <w:rsid w:val="00187330"/>
    <w:rsid w:val="00187E78"/>
    <w:rsid w:val="00191500"/>
    <w:rsid w:val="00191EDC"/>
    <w:rsid w:val="001922D7"/>
    <w:rsid w:val="00192A82"/>
    <w:rsid w:val="00193D95"/>
    <w:rsid w:val="00195EF7"/>
    <w:rsid w:val="00196A6D"/>
    <w:rsid w:val="001970B4"/>
    <w:rsid w:val="001976D1"/>
    <w:rsid w:val="00197B1D"/>
    <w:rsid w:val="00197D3E"/>
    <w:rsid w:val="001A11B2"/>
    <w:rsid w:val="001A2235"/>
    <w:rsid w:val="001A2989"/>
    <w:rsid w:val="001A410E"/>
    <w:rsid w:val="001A63E0"/>
    <w:rsid w:val="001A7A3D"/>
    <w:rsid w:val="001B15CF"/>
    <w:rsid w:val="001B185A"/>
    <w:rsid w:val="001B1CFF"/>
    <w:rsid w:val="001B26F5"/>
    <w:rsid w:val="001B3038"/>
    <w:rsid w:val="001B40B9"/>
    <w:rsid w:val="001B4DB5"/>
    <w:rsid w:val="001B720B"/>
    <w:rsid w:val="001B7DBD"/>
    <w:rsid w:val="001C0321"/>
    <w:rsid w:val="001C0507"/>
    <w:rsid w:val="001C1817"/>
    <w:rsid w:val="001C1E29"/>
    <w:rsid w:val="001C288D"/>
    <w:rsid w:val="001C2FAA"/>
    <w:rsid w:val="001C4681"/>
    <w:rsid w:val="001C4916"/>
    <w:rsid w:val="001C49FE"/>
    <w:rsid w:val="001C4D08"/>
    <w:rsid w:val="001C4DE3"/>
    <w:rsid w:val="001C51BE"/>
    <w:rsid w:val="001C56FC"/>
    <w:rsid w:val="001C5780"/>
    <w:rsid w:val="001C5BEB"/>
    <w:rsid w:val="001C6FE0"/>
    <w:rsid w:val="001C711E"/>
    <w:rsid w:val="001C7D3F"/>
    <w:rsid w:val="001D0874"/>
    <w:rsid w:val="001D2E34"/>
    <w:rsid w:val="001D405E"/>
    <w:rsid w:val="001D40E7"/>
    <w:rsid w:val="001D58CA"/>
    <w:rsid w:val="001D5D93"/>
    <w:rsid w:val="001D5E12"/>
    <w:rsid w:val="001D644D"/>
    <w:rsid w:val="001D7182"/>
    <w:rsid w:val="001E0EAD"/>
    <w:rsid w:val="001E15BD"/>
    <w:rsid w:val="001E1A76"/>
    <w:rsid w:val="001E2E0C"/>
    <w:rsid w:val="001E3264"/>
    <w:rsid w:val="001E3988"/>
    <w:rsid w:val="001E3E2E"/>
    <w:rsid w:val="001E5665"/>
    <w:rsid w:val="001E5CF3"/>
    <w:rsid w:val="001E6930"/>
    <w:rsid w:val="001F061D"/>
    <w:rsid w:val="001F1EFA"/>
    <w:rsid w:val="001F2B0B"/>
    <w:rsid w:val="001F2B50"/>
    <w:rsid w:val="001F3797"/>
    <w:rsid w:val="001F472E"/>
    <w:rsid w:val="001F5C91"/>
    <w:rsid w:val="001F5CCA"/>
    <w:rsid w:val="001F6F2B"/>
    <w:rsid w:val="001F725D"/>
    <w:rsid w:val="002011DD"/>
    <w:rsid w:val="002016C3"/>
    <w:rsid w:val="002018DA"/>
    <w:rsid w:val="002041C3"/>
    <w:rsid w:val="00204643"/>
    <w:rsid w:val="00204F93"/>
    <w:rsid w:val="00206912"/>
    <w:rsid w:val="00207E04"/>
    <w:rsid w:val="0021040A"/>
    <w:rsid w:val="002116A7"/>
    <w:rsid w:val="00211FBE"/>
    <w:rsid w:val="00212466"/>
    <w:rsid w:val="00213411"/>
    <w:rsid w:val="00213EC9"/>
    <w:rsid w:val="002146BE"/>
    <w:rsid w:val="00214AE9"/>
    <w:rsid w:val="00216360"/>
    <w:rsid w:val="00217FB5"/>
    <w:rsid w:val="00221073"/>
    <w:rsid w:val="00222C01"/>
    <w:rsid w:val="002251B9"/>
    <w:rsid w:val="0022527C"/>
    <w:rsid w:val="002257F8"/>
    <w:rsid w:val="00225933"/>
    <w:rsid w:val="00225D97"/>
    <w:rsid w:val="0022640D"/>
    <w:rsid w:val="00226B3D"/>
    <w:rsid w:val="00227F2F"/>
    <w:rsid w:val="00232A02"/>
    <w:rsid w:val="00233BE0"/>
    <w:rsid w:val="00235C2B"/>
    <w:rsid w:val="00240C0E"/>
    <w:rsid w:val="00241E7B"/>
    <w:rsid w:val="0024292D"/>
    <w:rsid w:val="00243F1D"/>
    <w:rsid w:val="002447D6"/>
    <w:rsid w:val="00244EAF"/>
    <w:rsid w:val="00245425"/>
    <w:rsid w:val="00245E4E"/>
    <w:rsid w:val="002465F5"/>
    <w:rsid w:val="00246C6D"/>
    <w:rsid w:val="002476DD"/>
    <w:rsid w:val="002516DC"/>
    <w:rsid w:val="00252C90"/>
    <w:rsid w:val="0025329B"/>
    <w:rsid w:val="00253385"/>
    <w:rsid w:val="00254AA0"/>
    <w:rsid w:val="0025581C"/>
    <w:rsid w:val="00255EE4"/>
    <w:rsid w:val="0025640E"/>
    <w:rsid w:val="002572B6"/>
    <w:rsid w:val="00257774"/>
    <w:rsid w:val="002601BD"/>
    <w:rsid w:val="00260B6A"/>
    <w:rsid w:val="002613BE"/>
    <w:rsid w:val="0026256C"/>
    <w:rsid w:val="00263099"/>
    <w:rsid w:val="00264940"/>
    <w:rsid w:val="00265EBC"/>
    <w:rsid w:val="002666B1"/>
    <w:rsid w:val="00267437"/>
    <w:rsid w:val="0026781C"/>
    <w:rsid w:val="002679B8"/>
    <w:rsid w:val="00270492"/>
    <w:rsid w:val="002710AB"/>
    <w:rsid w:val="00271502"/>
    <w:rsid w:val="00272CD5"/>
    <w:rsid w:val="002739C6"/>
    <w:rsid w:val="00274945"/>
    <w:rsid w:val="00275898"/>
    <w:rsid w:val="00277026"/>
    <w:rsid w:val="00277FBB"/>
    <w:rsid w:val="00281D87"/>
    <w:rsid w:val="002829CF"/>
    <w:rsid w:val="00283100"/>
    <w:rsid w:val="002832B7"/>
    <w:rsid w:val="002844F2"/>
    <w:rsid w:val="00284F26"/>
    <w:rsid w:val="00285447"/>
    <w:rsid w:val="00285926"/>
    <w:rsid w:val="002859E6"/>
    <w:rsid w:val="002906B4"/>
    <w:rsid w:val="002907E5"/>
    <w:rsid w:val="00292848"/>
    <w:rsid w:val="00292A1A"/>
    <w:rsid w:val="00294076"/>
    <w:rsid w:val="00294CDE"/>
    <w:rsid w:val="00295E37"/>
    <w:rsid w:val="002966AF"/>
    <w:rsid w:val="00296ACF"/>
    <w:rsid w:val="002970E9"/>
    <w:rsid w:val="002A05FB"/>
    <w:rsid w:val="002A0E26"/>
    <w:rsid w:val="002A2185"/>
    <w:rsid w:val="002A23AB"/>
    <w:rsid w:val="002A2522"/>
    <w:rsid w:val="002A3515"/>
    <w:rsid w:val="002A3FE9"/>
    <w:rsid w:val="002A4325"/>
    <w:rsid w:val="002A524D"/>
    <w:rsid w:val="002A5E73"/>
    <w:rsid w:val="002A73FB"/>
    <w:rsid w:val="002A791F"/>
    <w:rsid w:val="002A7C6F"/>
    <w:rsid w:val="002B0787"/>
    <w:rsid w:val="002B16A3"/>
    <w:rsid w:val="002B2028"/>
    <w:rsid w:val="002B2262"/>
    <w:rsid w:val="002B7B12"/>
    <w:rsid w:val="002C120C"/>
    <w:rsid w:val="002C1CD7"/>
    <w:rsid w:val="002C1F11"/>
    <w:rsid w:val="002C1F3D"/>
    <w:rsid w:val="002C3F6E"/>
    <w:rsid w:val="002C4027"/>
    <w:rsid w:val="002C4476"/>
    <w:rsid w:val="002C4715"/>
    <w:rsid w:val="002C6B01"/>
    <w:rsid w:val="002C7905"/>
    <w:rsid w:val="002D0D60"/>
    <w:rsid w:val="002D190A"/>
    <w:rsid w:val="002D37D8"/>
    <w:rsid w:val="002D4379"/>
    <w:rsid w:val="002D43F9"/>
    <w:rsid w:val="002D469A"/>
    <w:rsid w:val="002D4E63"/>
    <w:rsid w:val="002D4FF4"/>
    <w:rsid w:val="002D5861"/>
    <w:rsid w:val="002D5B02"/>
    <w:rsid w:val="002D6CCC"/>
    <w:rsid w:val="002D6F48"/>
    <w:rsid w:val="002D78C1"/>
    <w:rsid w:val="002E1217"/>
    <w:rsid w:val="002E2BF6"/>
    <w:rsid w:val="002E2DD2"/>
    <w:rsid w:val="002E3843"/>
    <w:rsid w:val="002E5DDB"/>
    <w:rsid w:val="002E69C1"/>
    <w:rsid w:val="002F09DE"/>
    <w:rsid w:val="002F0C4D"/>
    <w:rsid w:val="002F3645"/>
    <w:rsid w:val="002F38BB"/>
    <w:rsid w:val="002F403F"/>
    <w:rsid w:val="002F4AA7"/>
    <w:rsid w:val="002F5B65"/>
    <w:rsid w:val="002F6E25"/>
    <w:rsid w:val="002F7894"/>
    <w:rsid w:val="00300335"/>
    <w:rsid w:val="0030157C"/>
    <w:rsid w:val="0030166F"/>
    <w:rsid w:val="0030171E"/>
    <w:rsid w:val="00303B47"/>
    <w:rsid w:val="00303EE3"/>
    <w:rsid w:val="00303FFC"/>
    <w:rsid w:val="003062E0"/>
    <w:rsid w:val="00306DE0"/>
    <w:rsid w:val="003072C3"/>
    <w:rsid w:val="00307695"/>
    <w:rsid w:val="00307C72"/>
    <w:rsid w:val="003101D5"/>
    <w:rsid w:val="00312277"/>
    <w:rsid w:val="003129C9"/>
    <w:rsid w:val="003139ED"/>
    <w:rsid w:val="003141C0"/>
    <w:rsid w:val="003153C7"/>
    <w:rsid w:val="00320EAC"/>
    <w:rsid w:val="00322477"/>
    <w:rsid w:val="00322806"/>
    <w:rsid w:val="00322AB8"/>
    <w:rsid w:val="003233F1"/>
    <w:rsid w:val="00324412"/>
    <w:rsid w:val="003272E9"/>
    <w:rsid w:val="00330079"/>
    <w:rsid w:val="00330F11"/>
    <w:rsid w:val="00330F7C"/>
    <w:rsid w:val="0033196B"/>
    <w:rsid w:val="00331DCA"/>
    <w:rsid w:val="00332A59"/>
    <w:rsid w:val="00332B81"/>
    <w:rsid w:val="003332AB"/>
    <w:rsid w:val="003333E9"/>
    <w:rsid w:val="00334615"/>
    <w:rsid w:val="00334680"/>
    <w:rsid w:val="003347B6"/>
    <w:rsid w:val="00334AFB"/>
    <w:rsid w:val="00337D6C"/>
    <w:rsid w:val="00341D49"/>
    <w:rsid w:val="00342D23"/>
    <w:rsid w:val="00342DBC"/>
    <w:rsid w:val="00342ECF"/>
    <w:rsid w:val="003437F1"/>
    <w:rsid w:val="00343FF6"/>
    <w:rsid w:val="003440A2"/>
    <w:rsid w:val="00344131"/>
    <w:rsid w:val="0034560C"/>
    <w:rsid w:val="0034680C"/>
    <w:rsid w:val="00350149"/>
    <w:rsid w:val="00350CD2"/>
    <w:rsid w:val="003523B2"/>
    <w:rsid w:val="003531EF"/>
    <w:rsid w:val="00353877"/>
    <w:rsid w:val="003544C1"/>
    <w:rsid w:val="003556E8"/>
    <w:rsid w:val="00355DC1"/>
    <w:rsid w:val="00357868"/>
    <w:rsid w:val="00357A37"/>
    <w:rsid w:val="00360085"/>
    <w:rsid w:val="0036009A"/>
    <w:rsid w:val="00360C22"/>
    <w:rsid w:val="0036139C"/>
    <w:rsid w:val="00362C94"/>
    <w:rsid w:val="00362CB9"/>
    <w:rsid w:val="00363847"/>
    <w:rsid w:val="003643CC"/>
    <w:rsid w:val="00365A5E"/>
    <w:rsid w:val="00365B9D"/>
    <w:rsid w:val="003667C2"/>
    <w:rsid w:val="00366ECD"/>
    <w:rsid w:val="00367148"/>
    <w:rsid w:val="0036794A"/>
    <w:rsid w:val="003704DC"/>
    <w:rsid w:val="003709AE"/>
    <w:rsid w:val="003710AF"/>
    <w:rsid w:val="00372301"/>
    <w:rsid w:val="00374124"/>
    <w:rsid w:val="00377CC4"/>
    <w:rsid w:val="00380EE3"/>
    <w:rsid w:val="00381603"/>
    <w:rsid w:val="003825F4"/>
    <w:rsid w:val="0038268D"/>
    <w:rsid w:val="00382C29"/>
    <w:rsid w:val="00383803"/>
    <w:rsid w:val="0038463A"/>
    <w:rsid w:val="00384A0A"/>
    <w:rsid w:val="00384FAB"/>
    <w:rsid w:val="00386740"/>
    <w:rsid w:val="00387244"/>
    <w:rsid w:val="00387FFE"/>
    <w:rsid w:val="0039288C"/>
    <w:rsid w:val="00395890"/>
    <w:rsid w:val="00396EC2"/>
    <w:rsid w:val="00397390"/>
    <w:rsid w:val="00397C8B"/>
    <w:rsid w:val="003A44E1"/>
    <w:rsid w:val="003A480E"/>
    <w:rsid w:val="003A48F4"/>
    <w:rsid w:val="003A5AE7"/>
    <w:rsid w:val="003A6308"/>
    <w:rsid w:val="003A6F3E"/>
    <w:rsid w:val="003A7B5E"/>
    <w:rsid w:val="003A7B98"/>
    <w:rsid w:val="003B1DB7"/>
    <w:rsid w:val="003B27A1"/>
    <w:rsid w:val="003B3EE0"/>
    <w:rsid w:val="003B44E4"/>
    <w:rsid w:val="003B4FFD"/>
    <w:rsid w:val="003B5321"/>
    <w:rsid w:val="003C046C"/>
    <w:rsid w:val="003C102F"/>
    <w:rsid w:val="003C1D15"/>
    <w:rsid w:val="003C6DE9"/>
    <w:rsid w:val="003C6E00"/>
    <w:rsid w:val="003C6EAF"/>
    <w:rsid w:val="003C72A2"/>
    <w:rsid w:val="003D0E25"/>
    <w:rsid w:val="003D1B1F"/>
    <w:rsid w:val="003D2794"/>
    <w:rsid w:val="003D2DD2"/>
    <w:rsid w:val="003D409D"/>
    <w:rsid w:val="003D40C7"/>
    <w:rsid w:val="003D479D"/>
    <w:rsid w:val="003D4A38"/>
    <w:rsid w:val="003D5061"/>
    <w:rsid w:val="003D66F8"/>
    <w:rsid w:val="003D776E"/>
    <w:rsid w:val="003E10E5"/>
    <w:rsid w:val="003E13ED"/>
    <w:rsid w:val="003E1AC2"/>
    <w:rsid w:val="003E352D"/>
    <w:rsid w:val="003E416F"/>
    <w:rsid w:val="003E4442"/>
    <w:rsid w:val="003E45C0"/>
    <w:rsid w:val="003E61D2"/>
    <w:rsid w:val="003E6277"/>
    <w:rsid w:val="003E659E"/>
    <w:rsid w:val="003E693C"/>
    <w:rsid w:val="003E7CCF"/>
    <w:rsid w:val="003F0E43"/>
    <w:rsid w:val="003F128B"/>
    <w:rsid w:val="003F1768"/>
    <w:rsid w:val="003F20C2"/>
    <w:rsid w:val="003F5A90"/>
    <w:rsid w:val="003F7388"/>
    <w:rsid w:val="004000CC"/>
    <w:rsid w:val="004013F2"/>
    <w:rsid w:val="0040269B"/>
    <w:rsid w:val="00402C89"/>
    <w:rsid w:val="00403014"/>
    <w:rsid w:val="00403620"/>
    <w:rsid w:val="0040387C"/>
    <w:rsid w:val="00403991"/>
    <w:rsid w:val="00403CE6"/>
    <w:rsid w:val="00403D3B"/>
    <w:rsid w:val="0040445B"/>
    <w:rsid w:val="0040533D"/>
    <w:rsid w:val="00410790"/>
    <w:rsid w:val="00410C80"/>
    <w:rsid w:val="00410ED7"/>
    <w:rsid w:val="004119EE"/>
    <w:rsid w:val="00412E5C"/>
    <w:rsid w:val="004133A3"/>
    <w:rsid w:val="0041348C"/>
    <w:rsid w:val="00413A79"/>
    <w:rsid w:val="0041408A"/>
    <w:rsid w:val="0041449A"/>
    <w:rsid w:val="00415747"/>
    <w:rsid w:val="00416C09"/>
    <w:rsid w:val="0041753D"/>
    <w:rsid w:val="00420BDF"/>
    <w:rsid w:val="00420FFB"/>
    <w:rsid w:val="0042128B"/>
    <w:rsid w:val="0042229A"/>
    <w:rsid w:val="004224F2"/>
    <w:rsid w:val="00422608"/>
    <w:rsid w:val="004242B0"/>
    <w:rsid w:val="00424391"/>
    <w:rsid w:val="0042670F"/>
    <w:rsid w:val="00430409"/>
    <w:rsid w:val="00432167"/>
    <w:rsid w:val="00432520"/>
    <w:rsid w:val="00433585"/>
    <w:rsid w:val="00434C1A"/>
    <w:rsid w:val="0043684C"/>
    <w:rsid w:val="00437290"/>
    <w:rsid w:val="00440987"/>
    <w:rsid w:val="00440BCD"/>
    <w:rsid w:val="00443A36"/>
    <w:rsid w:val="00444552"/>
    <w:rsid w:val="004448EE"/>
    <w:rsid w:val="0044518A"/>
    <w:rsid w:val="00445576"/>
    <w:rsid w:val="0044557C"/>
    <w:rsid w:val="00446CA3"/>
    <w:rsid w:val="00450637"/>
    <w:rsid w:val="0045124A"/>
    <w:rsid w:val="004514FD"/>
    <w:rsid w:val="00451748"/>
    <w:rsid w:val="00452535"/>
    <w:rsid w:val="004531D5"/>
    <w:rsid w:val="0045357F"/>
    <w:rsid w:val="004539C4"/>
    <w:rsid w:val="00453F57"/>
    <w:rsid w:val="004544BC"/>
    <w:rsid w:val="004547F9"/>
    <w:rsid w:val="004554CB"/>
    <w:rsid w:val="00456995"/>
    <w:rsid w:val="00457492"/>
    <w:rsid w:val="004607C8"/>
    <w:rsid w:val="0046178F"/>
    <w:rsid w:val="0046379D"/>
    <w:rsid w:val="0046395E"/>
    <w:rsid w:val="00463982"/>
    <w:rsid w:val="00463D15"/>
    <w:rsid w:val="00464D61"/>
    <w:rsid w:val="00465601"/>
    <w:rsid w:val="004658C2"/>
    <w:rsid w:val="00465B19"/>
    <w:rsid w:val="004660AB"/>
    <w:rsid w:val="004716C5"/>
    <w:rsid w:val="00473FD6"/>
    <w:rsid w:val="00474929"/>
    <w:rsid w:val="00475547"/>
    <w:rsid w:val="00477131"/>
    <w:rsid w:val="00480B9E"/>
    <w:rsid w:val="0048124B"/>
    <w:rsid w:val="004826CC"/>
    <w:rsid w:val="00483086"/>
    <w:rsid w:val="00485A4B"/>
    <w:rsid w:val="00485DD8"/>
    <w:rsid w:val="0048668A"/>
    <w:rsid w:val="004867F6"/>
    <w:rsid w:val="0049208E"/>
    <w:rsid w:val="00492A11"/>
    <w:rsid w:val="004938FF"/>
    <w:rsid w:val="00495657"/>
    <w:rsid w:val="0049585C"/>
    <w:rsid w:val="00495D63"/>
    <w:rsid w:val="00496AFC"/>
    <w:rsid w:val="00497008"/>
    <w:rsid w:val="004A12FE"/>
    <w:rsid w:val="004A2119"/>
    <w:rsid w:val="004A228F"/>
    <w:rsid w:val="004A2484"/>
    <w:rsid w:val="004A261B"/>
    <w:rsid w:val="004A32D2"/>
    <w:rsid w:val="004A3C54"/>
    <w:rsid w:val="004A4044"/>
    <w:rsid w:val="004A76F8"/>
    <w:rsid w:val="004B00E9"/>
    <w:rsid w:val="004B24E5"/>
    <w:rsid w:val="004B2A3E"/>
    <w:rsid w:val="004B30FF"/>
    <w:rsid w:val="004B3FA5"/>
    <w:rsid w:val="004B52C5"/>
    <w:rsid w:val="004B5822"/>
    <w:rsid w:val="004B5FB1"/>
    <w:rsid w:val="004B62EF"/>
    <w:rsid w:val="004B7481"/>
    <w:rsid w:val="004B75A1"/>
    <w:rsid w:val="004C3393"/>
    <w:rsid w:val="004C4346"/>
    <w:rsid w:val="004C57C2"/>
    <w:rsid w:val="004C79FD"/>
    <w:rsid w:val="004D2847"/>
    <w:rsid w:val="004D2AAA"/>
    <w:rsid w:val="004D31E0"/>
    <w:rsid w:val="004D4B4C"/>
    <w:rsid w:val="004D4C0D"/>
    <w:rsid w:val="004D5410"/>
    <w:rsid w:val="004D6A15"/>
    <w:rsid w:val="004D7290"/>
    <w:rsid w:val="004E0307"/>
    <w:rsid w:val="004E0427"/>
    <w:rsid w:val="004E34B3"/>
    <w:rsid w:val="004E391E"/>
    <w:rsid w:val="004E41E3"/>
    <w:rsid w:val="004F0772"/>
    <w:rsid w:val="004F1543"/>
    <w:rsid w:val="004F25F8"/>
    <w:rsid w:val="004F43F4"/>
    <w:rsid w:val="004F63DE"/>
    <w:rsid w:val="00500C39"/>
    <w:rsid w:val="0050196E"/>
    <w:rsid w:val="00502DB5"/>
    <w:rsid w:val="005051A4"/>
    <w:rsid w:val="005053EB"/>
    <w:rsid w:val="00505D9A"/>
    <w:rsid w:val="00507941"/>
    <w:rsid w:val="0050799C"/>
    <w:rsid w:val="005079D3"/>
    <w:rsid w:val="0051013D"/>
    <w:rsid w:val="005108B8"/>
    <w:rsid w:val="00510A9F"/>
    <w:rsid w:val="00510B0D"/>
    <w:rsid w:val="0051186A"/>
    <w:rsid w:val="00512869"/>
    <w:rsid w:val="005133DF"/>
    <w:rsid w:val="005144F2"/>
    <w:rsid w:val="00514E19"/>
    <w:rsid w:val="0051706E"/>
    <w:rsid w:val="00517942"/>
    <w:rsid w:val="00517AFD"/>
    <w:rsid w:val="00520375"/>
    <w:rsid w:val="00520F67"/>
    <w:rsid w:val="0052100B"/>
    <w:rsid w:val="00521180"/>
    <w:rsid w:val="00522028"/>
    <w:rsid w:val="00523053"/>
    <w:rsid w:val="00523244"/>
    <w:rsid w:val="005241B0"/>
    <w:rsid w:val="00524A7A"/>
    <w:rsid w:val="0052798F"/>
    <w:rsid w:val="00531031"/>
    <w:rsid w:val="00531A04"/>
    <w:rsid w:val="005323AE"/>
    <w:rsid w:val="005339A8"/>
    <w:rsid w:val="005342DA"/>
    <w:rsid w:val="00534DB3"/>
    <w:rsid w:val="00535231"/>
    <w:rsid w:val="005358AB"/>
    <w:rsid w:val="00536AF8"/>
    <w:rsid w:val="00537ACC"/>
    <w:rsid w:val="00541961"/>
    <w:rsid w:val="0054243F"/>
    <w:rsid w:val="0054279C"/>
    <w:rsid w:val="00546BB0"/>
    <w:rsid w:val="00546CD2"/>
    <w:rsid w:val="00547BBD"/>
    <w:rsid w:val="00552AF1"/>
    <w:rsid w:val="00552C8C"/>
    <w:rsid w:val="00553E24"/>
    <w:rsid w:val="00554296"/>
    <w:rsid w:val="005562BC"/>
    <w:rsid w:val="005564F6"/>
    <w:rsid w:val="0055701D"/>
    <w:rsid w:val="00557167"/>
    <w:rsid w:val="00560B00"/>
    <w:rsid w:val="00561161"/>
    <w:rsid w:val="005611F9"/>
    <w:rsid w:val="005617A0"/>
    <w:rsid w:val="00561970"/>
    <w:rsid w:val="00562651"/>
    <w:rsid w:val="005629B3"/>
    <w:rsid w:val="00562F6D"/>
    <w:rsid w:val="0056389A"/>
    <w:rsid w:val="00565D6D"/>
    <w:rsid w:val="0056631F"/>
    <w:rsid w:val="005664B8"/>
    <w:rsid w:val="005667E6"/>
    <w:rsid w:val="00566D38"/>
    <w:rsid w:val="00566E6F"/>
    <w:rsid w:val="005677D6"/>
    <w:rsid w:val="00570745"/>
    <w:rsid w:val="00570A07"/>
    <w:rsid w:val="00571026"/>
    <w:rsid w:val="0057268F"/>
    <w:rsid w:val="00573B29"/>
    <w:rsid w:val="00575DFD"/>
    <w:rsid w:val="00577737"/>
    <w:rsid w:val="00580656"/>
    <w:rsid w:val="00581B30"/>
    <w:rsid w:val="00582CC2"/>
    <w:rsid w:val="005835B4"/>
    <w:rsid w:val="0058395F"/>
    <w:rsid w:val="00584E32"/>
    <w:rsid w:val="00584F89"/>
    <w:rsid w:val="00586293"/>
    <w:rsid w:val="00586D12"/>
    <w:rsid w:val="00587771"/>
    <w:rsid w:val="00594E41"/>
    <w:rsid w:val="0059533D"/>
    <w:rsid w:val="005968BD"/>
    <w:rsid w:val="0059707A"/>
    <w:rsid w:val="00597E3D"/>
    <w:rsid w:val="005A0170"/>
    <w:rsid w:val="005A1449"/>
    <w:rsid w:val="005A1D40"/>
    <w:rsid w:val="005A2C1D"/>
    <w:rsid w:val="005A2FE0"/>
    <w:rsid w:val="005A2FEA"/>
    <w:rsid w:val="005A3F3D"/>
    <w:rsid w:val="005A3F9F"/>
    <w:rsid w:val="005A4785"/>
    <w:rsid w:val="005A530C"/>
    <w:rsid w:val="005A5BA8"/>
    <w:rsid w:val="005B0816"/>
    <w:rsid w:val="005B12FB"/>
    <w:rsid w:val="005B1530"/>
    <w:rsid w:val="005B259F"/>
    <w:rsid w:val="005B5236"/>
    <w:rsid w:val="005B582C"/>
    <w:rsid w:val="005B5E48"/>
    <w:rsid w:val="005B6244"/>
    <w:rsid w:val="005B6B20"/>
    <w:rsid w:val="005B6C0E"/>
    <w:rsid w:val="005B7150"/>
    <w:rsid w:val="005B75C2"/>
    <w:rsid w:val="005B7A53"/>
    <w:rsid w:val="005C0718"/>
    <w:rsid w:val="005C19CA"/>
    <w:rsid w:val="005C28DB"/>
    <w:rsid w:val="005C2991"/>
    <w:rsid w:val="005C314A"/>
    <w:rsid w:val="005C41CB"/>
    <w:rsid w:val="005C6484"/>
    <w:rsid w:val="005C77FE"/>
    <w:rsid w:val="005D1508"/>
    <w:rsid w:val="005D16EE"/>
    <w:rsid w:val="005D1EC9"/>
    <w:rsid w:val="005D2AA8"/>
    <w:rsid w:val="005D379C"/>
    <w:rsid w:val="005D44EC"/>
    <w:rsid w:val="005D55D7"/>
    <w:rsid w:val="005D6330"/>
    <w:rsid w:val="005D70E5"/>
    <w:rsid w:val="005D7E91"/>
    <w:rsid w:val="005E0AF4"/>
    <w:rsid w:val="005E1F76"/>
    <w:rsid w:val="005E3896"/>
    <w:rsid w:val="005E4802"/>
    <w:rsid w:val="005E4DEC"/>
    <w:rsid w:val="005E56E9"/>
    <w:rsid w:val="005E5B94"/>
    <w:rsid w:val="005E5CAA"/>
    <w:rsid w:val="005E6DE6"/>
    <w:rsid w:val="005E6F1A"/>
    <w:rsid w:val="005F031C"/>
    <w:rsid w:val="005F1601"/>
    <w:rsid w:val="005F338A"/>
    <w:rsid w:val="005F4338"/>
    <w:rsid w:val="005F4D3F"/>
    <w:rsid w:val="005F5F34"/>
    <w:rsid w:val="005F6EAD"/>
    <w:rsid w:val="006011C9"/>
    <w:rsid w:val="00601433"/>
    <w:rsid w:val="00601585"/>
    <w:rsid w:val="00603207"/>
    <w:rsid w:val="00604515"/>
    <w:rsid w:val="006074CF"/>
    <w:rsid w:val="0060791B"/>
    <w:rsid w:val="00607F6F"/>
    <w:rsid w:val="00610497"/>
    <w:rsid w:val="00610795"/>
    <w:rsid w:val="00610A3B"/>
    <w:rsid w:val="0061158A"/>
    <w:rsid w:val="00611802"/>
    <w:rsid w:val="00612629"/>
    <w:rsid w:val="006127D7"/>
    <w:rsid w:val="0061286B"/>
    <w:rsid w:val="0061584B"/>
    <w:rsid w:val="00615D3E"/>
    <w:rsid w:val="00615DA4"/>
    <w:rsid w:val="006176EE"/>
    <w:rsid w:val="00617AEC"/>
    <w:rsid w:val="00620121"/>
    <w:rsid w:val="00621925"/>
    <w:rsid w:val="00622967"/>
    <w:rsid w:val="0062296D"/>
    <w:rsid w:val="00622FBB"/>
    <w:rsid w:val="006231ED"/>
    <w:rsid w:val="00623651"/>
    <w:rsid w:val="00624250"/>
    <w:rsid w:val="00624551"/>
    <w:rsid w:val="00625FD4"/>
    <w:rsid w:val="0062745B"/>
    <w:rsid w:val="00627844"/>
    <w:rsid w:val="00627D0A"/>
    <w:rsid w:val="0063035A"/>
    <w:rsid w:val="006307BF"/>
    <w:rsid w:val="00630DB4"/>
    <w:rsid w:val="00631523"/>
    <w:rsid w:val="0063459C"/>
    <w:rsid w:val="006347A3"/>
    <w:rsid w:val="006349F3"/>
    <w:rsid w:val="00635AC6"/>
    <w:rsid w:val="006364E6"/>
    <w:rsid w:val="00636709"/>
    <w:rsid w:val="00636A55"/>
    <w:rsid w:val="00641077"/>
    <w:rsid w:val="00642204"/>
    <w:rsid w:val="00643111"/>
    <w:rsid w:val="006436C9"/>
    <w:rsid w:val="00644F2E"/>
    <w:rsid w:val="006451B0"/>
    <w:rsid w:val="006454A1"/>
    <w:rsid w:val="00647AA9"/>
    <w:rsid w:val="00650B8A"/>
    <w:rsid w:val="0065271F"/>
    <w:rsid w:val="00653302"/>
    <w:rsid w:val="0065342A"/>
    <w:rsid w:val="006539F8"/>
    <w:rsid w:val="00654868"/>
    <w:rsid w:val="006560CD"/>
    <w:rsid w:val="00657037"/>
    <w:rsid w:val="006577FB"/>
    <w:rsid w:val="00657F9C"/>
    <w:rsid w:val="00660467"/>
    <w:rsid w:val="0066058F"/>
    <w:rsid w:val="00661531"/>
    <w:rsid w:val="00662500"/>
    <w:rsid w:val="00663025"/>
    <w:rsid w:val="00663D6E"/>
    <w:rsid w:val="00665304"/>
    <w:rsid w:val="006653BA"/>
    <w:rsid w:val="00667F3A"/>
    <w:rsid w:val="0067018F"/>
    <w:rsid w:val="0067201D"/>
    <w:rsid w:val="00674DD1"/>
    <w:rsid w:val="00681571"/>
    <w:rsid w:val="00681A56"/>
    <w:rsid w:val="0068298D"/>
    <w:rsid w:val="006829B1"/>
    <w:rsid w:val="00683947"/>
    <w:rsid w:val="00684765"/>
    <w:rsid w:val="0068521F"/>
    <w:rsid w:val="00685C8A"/>
    <w:rsid w:val="00686677"/>
    <w:rsid w:val="0068683D"/>
    <w:rsid w:val="00687039"/>
    <w:rsid w:val="0068756D"/>
    <w:rsid w:val="0068761D"/>
    <w:rsid w:val="00687D92"/>
    <w:rsid w:val="00691650"/>
    <w:rsid w:val="00691826"/>
    <w:rsid w:val="006925D1"/>
    <w:rsid w:val="006931DC"/>
    <w:rsid w:val="00693910"/>
    <w:rsid w:val="00694FD6"/>
    <w:rsid w:val="0069510C"/>
    <w:rsid w:val="00697DAC"/>
    <w:rsid w:val="006A058E"/>
    <w:rsid w:val="006A22A2"/>
    <w:rsid w:val="006A251A"/>
    <w:rsid w:val="006A3034"/>
    <w:rsid w:val="006A3306"/>
    <w:rsid w:val="006A4413"/>
    <w:rsid w:val="006A5D75"/>
    <w:rsid w:val="006A6050"/>
    <w:rsid w:val="006A6186"/>
    <w:rsid w:val="006B0437"/>
    <w:rsid w:val="006B1875"/>
    <w:rsid w:val="006B1974"/>
    <w:rsid w:val="006B2377"/>
    <w:rsid w:val="006B32BA"/>
    <w:rsid w:val="006B5017"/>
    <w:rsid w:val="006B5236"/>
    <w:rsid w:val="006B54B6"/>
    <w:rsid w:val="006B65DF"/>
    <w:rsid w:val="006B72C8"/>
    <w:rsid w:val="006C0098"/>
    <w:rsid w:val="006C024A"/>
    <w:rsid w:val="006C2752"/>
    <w:rsid w:val="006C348F"/>
    <w:rsid w:val="006C36E0"/>
    <w:rsid w:val="006C4820"/>
    <w:rsid w:val="006C4A43"/>
    <w:rsid w:val="006C4F88"/>
    <w:rsid w:val="006C51E8"/>
    <w:rsid w:val="006C6E9A"/>
    <w:rsid w:val="006D0153"/>
    <w:rsid w:val="006D0646"/>
    <w:rsid w:val="006D0954"/>
    <w:rsid w:val="006D0B05"/>
    <w:rsid w:val="006D2C95"/>
    <w:rsid w:val="006D31FD"/>
    <w:rsid w:val="006D4042"/>
    <w:rsid w:val="006D41A6"/>
    <w:rsid w:val="006D4FC4"/>
    <w:rsid w:val="006D5982"/>
    <w:rsid w:val="006D5ACB"/>
    <w:rsid w:val="006D5CBB"/>
    <w:rsid w:val="006D78BD"/>
    <w:rsid w:val="006D7CEB"/>
    <w:rsid w:val="006D7FF1"/>
    <w:rsid w:val="006E070C"/>
    <w:rsid w:val="006E0F42"/>
    <w:rsid w:val="006E0F94"/>
    <w:rsid w:val="006E193C"/>
    <w:rsid w:val="006E691B"/>
    <w:rsid w:val="006E7FE2"/>
    <w:rsid w:val="006F0F2F"/>
    <w:rsid w:val="006F1567"/>
    <w:rsid w:val="006F17E9"/>
    <w:rsid w:val="006F1EC1"/>
    <w:rsid w:val="006F23F1"/>
    <w:rsid w:val="006F240A"/>
    <w:rsid w:val="006F2576"/>
    <w:rsid w:val="006F2EBB"/>
    <w:rsid w:val="006F3537"/>
    <w:rsid w:val="006F42A9"/>
    <w:rsid w:val="006F4BFA"/>
    <w:rsid w:val="006F5220"/>
    <w:rsid w:val="006F6323"/>
    <w:rsid w:val="006F76F6"/>
    <w:rsid w:val="006F77F9"/>
    <w:rsid w:val="00701B03"/>
    <w:rsid w:val="00701CA4"/>
    <w:rsid w:val="00702011"/>
    <w:rsid w:val="0070287F"/>
    <w:rsid w:val="0070343E"/>
    <w:rsid w:val="007048F8"/>
    <w:rsid w:val="00705015"/>
    <w:rsid w:val="00705F74"/>
    <w:rsid w:val="00706655"/>
    <w:rsid w:val="00706B33"/>
    <w:rsid w:val="0070784D"/>
    <w:rsid w:val="007112B2"/>
    <w:rsid w:val="00713D15"/>
    <w:rsid w:val="0071410C"/>
    <w:rsid w:val="00714285"/>
    <w:rsid w:val="007159D3"/>
    <w:rsid w:val="00715A87"/>
    <w:rsid w:val="00715DAB"/>
    <w:rsid w:val="00716685"/>
    <w:rsid w:val="00716978"/>
    <w:rsid w:val="007169CB"/>
    <w:rsid w:val="00716C37"/>
    <w:rsid w:val="00716C5F"/>
    <w:rsid w:val="00716DB7"/>
    <w:rsid w:val="00716E4D"/>
    <w:rsid w:val="00716E77"/>
    <w:rsid w:val="00717770"/>
    <w:rsid w:val="007217A0"/>
    <w:rsid w:val="00722D83"/>
    <w:rsid w:val="00723EB3"/>
    <w:rsid w:val="00724728"/>
    <w:rsid w:val="007247F1"/>
    <w:rsid w:val="007252D0"/>
    <w:rsid w:val="0072536D"/>
    <w:rsid w:val="00725CDE"/>
    <w:rsid w:val="00726483"/>
    <w:rsid w:val="0072787F"/>
    <w:rsid w:val="007279AD"/>
    <w:rsid w:val="00731704"/>
    <w:rsid w:val="00731884"/>
    <w:rsid w:val="00731E0B"/>
    <w:rsid w:val="00732A80"/>
    <w:rsid w:val="00732D99"/>
    <w:rsid w:val="00733AB9"/>
    <w:rsid w:val="00733F9A"/>
    <w:rsid w:val="00734C06"/>
    <w:rsid w:val="007357DD"/>
    <w:rsid w:val="00735CAB"/>
    <w:rsid w:val="00741E7F"/>
    <w:rsid w:val="00742DE5"/>
    <w:rsid w:val="00742E8B"/>
    <w:rsid w:val="007439FF"/>
    <w:rsid w:val="00743A5C"/>
    <w:rsid w:val="0074520E"/>
    <w:rsid w:val="007465C6"/>
    <w:rsid w:val="0075069B"/>
    <w:rsid w:val="007509B5"/>
    <w:rsid w:val="0075161A"/>
    <w:rsid w:val="0075223F"/>
    <w:rsid w:val="00752684"/>
    <w:rsid w:val="00752F26"/>
    <w:rsid w:val="00754297"/>
    <w:rsid w:val="00754AD0"/>
    <w:rsid w:val="007566B8"/>
    <w:rsid w:val="00756717"/>
    <w:rsid w:val="00756AE1"/>
    <w:rsid w:val="00756F35"/>
    <w:rsid w:val="00757D35"/>
    <w:rsid w:val="007604B5"/>
    <w:rsid w:val="00761209"/>
    <w:rsid w:val="00761900"/>
    <w:rsid w:val="0076231C"/>
    <w:rsid w:val="0076264B"/>
    <w:rsid w:val="007629DD"/>
    <w:rsid w:val="0076376D"/>
    <w:rsid w:val="00763ECA"/>
    <w:rsid w:val="00765B8C"/>
    <w:rsid w:val="00766498"/>
    <w:rsid w:val="00766644"/>
    <w:rsid w:val="00767302"/>
    <w:rsid w:val="00772C43"/>
    <w:rsid w:val="00773125"/>
    <w:rsid w:val="007731E0"/>
    <w:rsid w:val="007733FD"/>
    <w:rsid w:val="00774476"/>
    <w:rsid w:val="00775B3D"/>
    <w:rsid w:val="0077675A"/>
    <w:rsid w:val="00776F22"/>
    <w:rsid w:val="007802B7"/>
    <w:rsid w:val="00782320"/>
    <w:rsid w:val="00782BA1"/>
    <w:rsid w:val="0078386E"/>
    <w:rsid w:val="00783CC1"/>
    <w:rsid w:val="007845D6"/>
    <w:rsid w:val="00784B71"/>
    <w:rsid w:val="007853CA"/>
    <w:rsid w:val="0078626D"/>
    <w:rsid w:val="00787124"/>
    <w:rsid w:val="0079154A"/>
    <w:rsid w:val="00792AE9"/>
    <w:rsid w:val="007943F3"/>
    <w:rsid w:val="0079446D"/>
    <w:rsid w:val="007948D5"/>
    <w:rsid w:val="00794F64"/>
    <w:rsid w:val="00795C52"/>
    <w:rsid w:val="007960A2"/>
    <w:rsid w:val="007966F0"/>
    <w:rsid w:val="00796DA4"/>
    <w:rsid w:val="0079718A"/>
    <w:rsid w:val="007A139D"/>
    <w:rsid w:val="007A1614"/>
    <w:rsid w:val="007A3B88"/>
    <w:rsid w:val="007A3E9D"/>
    <w:rsid w:val="007A42D5"/>
    <w:rsid w:val="007A4E9E"/>
    <w:rsid w:val="007A557F"/>
    <w:rsid w:val="007A6A0A"/>
    <w:rsid w:val="007A72F1"/>
    <w:rsid w:val="007A79E0"/>
    <w:rsid w:val="007A7A8E"/>
    <w:rsid w:val="007B0811"/>
    <w:rsid w:val="007B130E"/>
    <w:rsid w:val="007B2487"/>
    <w:rsid w:val="007B289F"/>
    <w:rsid w:val="007B35FE"/>
    <w:rsid w:val="007B36E5"/>
    <w:rsid w:val="007B4ABE"/>
    <w:rsid w:val="007B5782"/>
    <w:rsid w:val="007B5B03"/>
    <w:rsid w:val="007B5C7F"/>
    <w:rsid w:val="007B623D"/>
    <w:rsid w:val="007B7D87"/>
    <w:rsid w:val="007C3CF4"/>
    <w:rsid w:val="007C6624"/>
    <w:rsid w:val="007C6B46"/>
    <w:rsid w:val="007C6B82"/>
    <w:rsid w:val="007D2083"/>
    <w:rsid w:val="007D4861"/>
    <w:rsid w:val="007D619A"/>
    <w:rsid w:val="007D6850"/>
    <w:rsid w:val="007D6ECF"/>
    <w:rsid w:val="007D6F9F"/>
    <w:rsid w:val="007E0781"/>
    <w:rsid w:val="007E2244"/>
    <w:rsid w:val="007E3495"/>
    <w:rsid w:val="007E49DE"/>
    <w:rsid w:val="007E4E7D"/>
    <w:rsid w:val="007E5870"/>
    <w:rsid w:val="007E6519"/>
    <w:rsid w:val="007E6AA1"/>
    <w:rsid w:val="007E7A1B"/>
    <w:rsid w:val="007F0717"/>
    <w:rsid w:val="007F27FD"/>
    <w:rsid w:val="007F3066"/>
    <w:rsid w:val="007F309E"/>
    <w:rsid w:val="007F3336"/>
    <w:rsid w:val="007F42A5"/>
    <w:rsid w:val="007F507B"/>
    <w:rsid w:val="007F579F"/>
    <w:rsid w:val="007F6304"/>
    <w:rsid w:val="007F6E0A"/>
    <w:rsid w:val="007F79D8"/>
    <w:rsid w:val="007F7A3A"/>
    <w:rsid w:val="00800461"/>
    <w:rsid w:val="008025C9"/>
    <w:rsid w:val="00802F27"/>
    <w:rsid w:val="00802FF0"/>
    <w:rsid w:val="00804890"/>
    <w:rsid w:val="0080503D"/>
    <w:rsid w:val="0080624D"/>
    <w:rsid w:val="0080632A"/>
    <w:rsid w:val="00806F5C"/>
    <w:rsid w:val="008100E7"/>
    <w:rsid w:val="00810635"/>
    <w:rsid w:val="008120E9"/>
    <w:rsid w:val="008135BD"/>
    <w:rsid w:val="00813CFB"/>
    <w:rsid w:val="00814BF6"/>
    <w:rsid w:val="00814F52"/>
    <w:rsid w:val="00814FE7"/>
    <w:rsid w:val="008166D7"/>
    <w:rsid w:val="0081762F"/>
    <w:rsid w:val="00817A0A"/>
    <w:rsid w:val="00817E22"/>
    <w:rsid w:val="00820721"/>
    <w:rsid w:val="00820A4C"/>
    <w:rsid w:val="00820EA1"/>
    <w:rsid w:val="008211F0"/>
    <w:rsid w:val="008219B5"/>
    <w:rsid w:val="00821D4B"/>
    <w:rsid w:val="00821E02"/>
    <w:rsid w:val="00823734"/>
    <w:rsid w:val="00823D35"/>
    <w:rsid w:val="00824DBF"/>
    <w:rsid w:val="00825D4E"/>
    <w:rsid w:val="008273C3"/>
    <w:rsid w:val="008276DA"/>
    <w:rsid w:val="00827E3F"/>
    <w:rsid w:val="00830C40"/>
    <w:rsid w:val="00832599"/>
    <w:rsid w:val="00832A97"/>
    <w:rsid w:val="00833322"/>
    <w:rsid w:val="00835891"/>
    <w:rsid w:val="008365BD"/>
    <w:rsid w:val="00837B84"/>
    <w:rsid w:val="00843181"/>
    <w:rsid w:val="008431DF"/>
    <w:rsid w:val="00844735"/>
    <w:rsid w:val="0084520E"/>
    <w:rsid w:val="00845546"/>
    <w:rsid w:val="00846205"/>
    <w:rsid w:val="00846377"/>
    <w:rsid w:val="00846476"/>
    <w:rsid w:val="00846695"/>
    <w:rsid w:val="00847719"/>
    <w:rsid w:val="0085096F"/>
    <w:rsid w:val="00850A42"/>
    <w:rsid w:val="00851F8C"/>
    <w:rsid w:val="00853529"/>
    <w:rsid w:val="0085372F"/>
    <w:rsid w:val="008538F2"/>
    <w:rsid w:val="00853C2C"/>
    <w:rsid w:val="008544E2"/>
    <w:rsid w:val="008578AD"/>
    <w:rsid w:val="0086100A"/>
    <w:rsid w:val="00861B5C"/>
    <w:rsid w:val="008620AD"/>
    <w:rsid w:val="00862170"/>
    <w:rsid w:val="00862271"/>
    <w:rsid w:val="00863D55"/>
    <w:rsid w:val="008640F1"/>
    <w:rsid w:val="00865344"/>
    <w:rsid w:val="0086622F"/>
    <w:rsid w:val="0086796A"/>
    <w:rsid w:val="00870961"/>
    <w:rsid w:val="00871164"/>
    <w:rsid w:val="00872A69"/>
    <w:rsid w:val="008740EF"/>
    <w:rsid w:val="008755EB"/>
    <w:rsid w:val="00875648"/>
    <w:rsid w:val="008758C1"/>
    <w:rsid w:val="00875C22"/>
    <w:rsid w:val="008803F4"/>
    <w:rsid w:val="008807AE"/>
    <w:rsid w:val="0088273C"/>
    <w:rsid w:val="00882E77"/>
    <w:rsid w:val="00884845"/>
    <w:rsid w:val="00884E97"/>
    <w:rsid w:val="00885FCF"/>
    <w:rsid w:val="0088624A"/>
    <w:rsid w:val="00886D6E"/>
    <w:rsid w:val="00890480"/>
    <w:rsid w:val="0089520D"/>
    <w:rsid w:val="008957A9"/>
    <w:rsid w:val="008979C0"/>
    <w:rsid w:val="008A01EF"/>
    <w:rsid w:val="008A06A2"/>
    <w:rsid w:val="008A092A"/>
    <w:rsid w:val="008A14A7"/>
    <w:rsid w:val="008A1B4F"/>
    <w:rsid w:val="008A1E2E"/>
    <w:rsid w:val="008A2748"/>
    <w:rsid w:val="008A5FFC"/>
    <w:rsid w:val="008A6AF9"/>
    <w:rsid w:val="008B2D5B"/>
    <w:rsid w:val="008B428F"/>
    <w:rsid w:val="008B472F"/>
    <w:rsid w:val="008B4B9E"/>
    <w:rsid w:val="008B5167"/>
    <w:rsid w:val="008B79C4"/>
    <w:rsid w:val="008C0804"/>
    <w:rsid w:val="008C3430"/>
    <w:rsid w:val="008C5EA0"/>
    <w:rsid w:val="008C6444"/>
    <w:rsid w:val="008C7488"/>
    <w:rsid w:val="008D219D"/>
    <w:rsid w:val="008D2489"/>
    <w:rsid w:val="008D3583"/>
    <w:rsid w:val="008D4A12"/>
    <w:rsid w:val="008D579C"/>
    <w:rsid w:val="008D688D"/>
    <w:rsid w:val="008D6CC9"/>
    <w:rsid w:val="008D7630"/>
    <w:rsid w:val="008E00D8"/>
    <w:rsid w:val="008E039A"/>
    <w:rsid w:val="008E0A6A"/>
    <w:rsid w:val="008E109C"/>
    <w:rsid w:val="008E12C8"/>
    <w:rsid w:val="008E326D"/>
    <w:rsid w:val="008E5419"/>
    <w:rsid w:val="008E578D"/>
    <w:rsid w:val="008E5F7E"/>
    <w:rsid w:val="008E686B"/>
    <w:rsid w:val="008E7F77"/>
    <w:rsid w:val="008F0647"/>
    <w:rsid w:val="008F0C68"/>
    <w:rsid w:val="008F0E30"/>
    <w:rsid w:val="008F301A"/>
    <w:rsid w:val="008F3B12"/>
    <w:rsid w:val="008F4E35"/>
    <w:rsid w:val="008F574D"/>
    <w:rsid w:val="008F5E23"/>
    <w:rsid w:val="008F76AF"/>
    <w:rsid w:val="009007BB"/>
    <w:rsid w:val="00900A4E"/>
    <w:rsid w:val="00900EBF"/>
    <w:rsid w:val="00901014"/>
    <w:rsid w:val="0090217C"/>
    <w:rsid w:val="00902313"/>
    <w:rsid w:val="00902FA8"/>
    <w:rsid w:val="00903A7B"/>
    <w:rsid w:val="0090463B"/>
    <w:rsid w:val="0090532E"/>
    <w:rsid w:val="00907BAA"/>
    <w:rsid w:val="009102C7"/>
    <w:rsid w:val="009110D5"/>
    <w:rsid w:val="009113BC"/>
    <w:rsid w:val="00912E40"/>
    <w:rsid w:val="009134AA"/>
    <w:rsid w:val="009135F3"/>
    <w:rsid w:val="00913C19"/>
    <w:rsid w:val="009151F2"/>
    <w:rsid w:val="00915AAB"/>
    <w:rsid w:val="00916624"/>
    <w:rsid w:val="009174D5"/>
    <w:rsid w:val="00917A47"/>
    <w:rsid w:val="00920045"/>
    <w:rsid w:val="0092056A"/>
    <w:rsid w:val="009215E1"/>
    <w:rsid w:val="00921FD9"/>
    <w:rsid w:val="00923B4B"/>
    <w:rsid w:val="00924E88"/>
    <w:rsid w:val="0092558B"/>
    <w:rsid w:val="00930181"/>
    <w:rsid w:val="00930AC9"/>
    <w:rsid w:val="009325D0"/>
    <w:rsid w:val="00932C75"/>
    <w:rsid w:val="009331F2"/>
    <w:rsid w:val="009334A5"/>
    <w:rsid w:val="00933F7B"/>
    <w:rsid w:val="00934F85"/>
    <w:rsid w:val="00937502"/>
    <w:rsid w:val="00940D16"/>
    <w:rsid w:val="00941BCF"/>
    <w:rsid w:val="00944875"/>
    <w:rsid w:val="0094537E"/>
    <w:rsid w:val="00946666"/>
    <w:rsid w:val="009468D6"/>
    <w:rsid w:val="009504A9"/>
    <w:rsid w:val="00951432"/>
    <w:rsid w:val="00951DC9"/>
    <w:rsid w:val="00952CD7"/>
    <w:rsid w:val="009533F6"/>
    <w:rsid w:val="009539BD"/>
    <w:rsid w:val="00953AC7"/>
    <w:rsid w:val="00953C48"/>
    <w:rsid w:val="00954C6B"/>
    <w:rsid w:val="00954DD3"/>
    <w:rsid w:val="00954F51"/>
    <w:rsid w:val="00955127"/>
    <w:rsid w:val="009554E6"/>
    <w:rsid w:val="00956493"/>
    <w:rsid w:val="00957282"/>
    <w:rsid w:val="00960926"/>
    <w:rsid w:val="00961FEA"/>
    <w:rsid w:val="00962082"/>
    <w:rsid w:val="00962640"/>
    <w:rsid w:val="00962990"/>
    <w:rsid w:val="00963AE1"/>
    <w:rsid w:val="00963CA7"/>
    <w:rsid w:val="00963E35"/>
    <w:rsid w:val="00964814"/>
    <w:rsid w:val="00964F90"/>
    <w:rsid w:val="009650B4"/>
    <w:rsid w:val="00965924"/>
    <w:rsid w:val="009659AE"/>
    <w:rsid w:val="00965D7C"/>
    <w:rsid w:val="00965E27"/>
    <w:rsid w:val="009713D0"/>
    <w:rsid w:val="0097183B"/>
    <w:rsid w:val="009727CD"/>
    <w:rsid w:val="009743D9"/>
    <w:rsid w:val="009745E2"/>
    <w:rsid w:val="009757E5"/>
    <w:rsid w:val="00976449"/>
    <w:rsid w:val="009765ED"/>
    <w:rsid w:val="00977982"/>
    <w:rsid w:val="00977B07"/>
    <w:rsid w:val="00980AC4"/>
    <w:rsid w:val="00981175"/>
    <w:rsid w:val="009817A9"/>
    <w:rsid w:val="0098315C"/>
    <w:rsid w:val="00984D0F"/>
    <w:rsid w:val="00984F27"/>
    <w:rsid w:val="0098722E"/>
    <w:rsid w:val="009923B5"/>
    <w:rsid w:val="009931FC"/>
    <w:rsid w:val="0099373A"/>
    <w:rsid w:val="00994366"/>
    <w:rsid w:val="0099482B"/>
    <w:rsid w:val="00994EEC"/>
    <w:rsid w:val="00996113"/>
    <w:rsid w:val="00996664"/>
    <w:rsid w:val="0099694A"/>
    <w:rsid w:val="009969F0"/>
    <w:rsid w:val="00996EBA"/>
    <w:rsid w:val="009972DD"/>
    <w:rsid w:val="009977DC"/>
    <w:rsid w:val="009A07D3"/>
    <w:rsid w:val="009A0C1E"/>
    <w:rsid w:val="009A3084"/>
    <w:rsid w:val="009A39D2"/>
    <w:rsid w:val="009A4B0A"/>
    <w:rsid w:val="009A4B12"/>
    <w:rsid w:val="009A6245"/>
    <w:rsid w:val="009A6703"/>
    <w:rsid w:val="009A6937"/>
    <w:rsid w:val="009A6A88"/>
    <w:rsid w:val="009A6F77"/>
    <w:rsid w:val="009B1539"/>
    <w:rsid w:val="009B1CCE"/>
    <w:rsid w:val="009B2963"/>
    <w:rsid w:val="009B5A66"/>
    <w:rsid w:val="009B60C2"/>
    <w:rsid w:val="009B7240"/>
    <w:rsid w:val="009B7253"/>
    <w:rsid w:val="009C0D2E"/>
    <w:rsid w:val="009C12EF"/>
    <w:rsid w:val="009C49DE"/>
    <w:rsid w:val="009C4E53"/>
    <w:rsid w:val="009C4F6A"/>
    <w:rsid w:val="009C59B6"/>
    <w:rsid w:val="009D08E0"/>
    <w:rsid w:val="009D3501"/>
    <w:rsid w:val="009D4228"/>
    <w:rsid w:val="009D4688"/>
    <w:rsid w:val="009D6DA5"/>
    <w:rsid w:val="009D7084"/>
    <w:rsid w:val="009D7269"/>
    <w:rsid w:val="009D7634"/>
    <w:rsid w:val="009D7F6C"/>
    <w:rsid w:val="009E11F9"/>
    <w:rsid w:val="009E137C"/>
    <w:rsid w:val="009E1DC7"/>
    <w:rsid w:val="009E1E67"/>
    <w:rsid w:val="009E2183"/>
    <w:rsid w:val="009E250F"/>
    <w:rsid w:val="009E462B"/>
    <w:rsid w:val="009E5D22"/>
    <w:rsid w:val="009E6371"/>
    <w:rsid w:val="009E7548"/>
    <w:rsid w:val="009F017A"/>
    <w:rsid w:val="009F099A"/>
    <w:rsid w:val="009F2E65"/>
    <w:rsid w:val="009F314C"/>
    <w:rsid w:val="009F34A1"/>
    <w:rsid w:val="009F5194"/>
    <w:rsid w:val="009F5B3B"/>
    <w:rsid w:val="009F7E71"/>
    <w:rsid w:val="009F7FEC"/>
    <w:rsid w:val="00A00709"/>
    <w:rsid w:val="00A0331E"/>
    <w:rsid w:val="00A035F5"/>
    <w:rsid w:val="00A03B9A"/>
    <w:rsid w:val="00A04873"/>
    <w:rsid w:val="00A04F2D"/>
    <w:rsid w:val="00A06249"/>
    <w:rsid w:val="00A072B5"/>
    <w:rsid w:val="00A107AA"/>
    <w:rsid w:val="00A108C2"/>
    <w:rsid w:val="00A10E01"/>
    <w:rsid w:val="00A11914"/>
    <w:rsid w:val="00A12130"/>
    <w:rsid w:val="00A121E5"/>
    <w:rsid w:val="00A13853"/>
    <w:rsid w:val="00A13AAE"/>
    <w:rsid w:val="00A13C14"/>
    <w:rsid w:val="00A13FDA"/>
    <w:rsid w:val="00A14356"/>
    <w:rsid w:val="00A1541C"/>
    <w:rsid w:val="00A15E68"/>
    <w:rsid w:val="00A178F3"/>
    <w:rsid w:val="00A203F1"/>
    <w:rsid w:val="00A22A93"/>
    <w:rsid w:val="00A233C2"/>
    <w:rsid w:val="00A244F4"/>
    <w:rsid w:val="00A250E4"/>
    <w:rsid w:val="00A30594"/>
    <w:rsid w:val="00A3209C"/>
    <w:rsid w:val="00A32858"/>
    <w:rsid w:val="00A357C2"/>
    <w:rsid w:val="00A35FE9"/>
    <w:rsid w:val="00A36821"/>
    <w:rsid w:val="00A36F85"/>
    <w:rsid w:val="00A36F8F"/>
    <w:rsid w:val="00A376F1"/>
    <w:rsid w:val="00A41940"/>
    <w:rsid w:val="00A4215C"/>
    <w:rsid w:val="00A42EFD"/>
    <w:rsid w:val="00A44F8E"/>
    <w:rsid w:val="00A519A2"/>
    <w:rsid w:val="00A51B02"/>
    <w:rsid w:val="00A51B31"/>
    <w:rsid w:val="00A51CD0"/>
    <w:rsid w:val="00A52E4F"/>
    <w:rsid w:val="00A55D18"/>
    <w:rsid w:val="00A56360"/>
    <w:rsid w:val="00A56685"/>
    <w:rsid w:val="00A57D16"/>
    <w:rsid w:val="00A6070E"/>
    <w:rsid w:val="00A61671"/>
    <w:rsid w:val="00A646A9"/>
    <w:rsid w:val="00A64D7F"/>
    <w:rsid w:val="00A654C5"/>
    <w:rsid w:val="00A65B38"/>
    <w:rsid w:val="00A65EF1"/>
    <w:rsid w:val="00A65F8F"/>
    <w:rsid w:val="00A66E3E"/>
    <w:rsid w:val="00A677A3"/>
    <w:rsid w:val="00A6786B"/>
    <w:rsid w:val="00A67AAD"/>
    <w:rsid w:val="00A67B14"/>
    <w:rsid w:val="00A72839"/>
    <w:rsid w:val="00A74507"/>
    <w:rsid w:val="00A74A36"/>
    <w:rsid w:val="00A7507D"/>
    <w:rsid w:val="00A75082"/>
    <w:rsid w:val="00A752A4"/>
    <w:rsid w:val="00A7548E"/>
    <w:rsid w:val="00A756F1"/>
    <w:rsid w:val="00A75E21"/>
    <w:rsid w:val="00A76EA3"/>
    <w:rsid w:val="00A821FB"/>
    <w:rsid w:val="00A826C3"/>
    <w:rsid w:val="00A828BF"/>
    <w:rsid w:val="00A844CD"/>
    <w:rsid w:val="00A85C30"/>
    <w:rsid w:val="00A86CE1"/>
    <w:rsid w:val="00A8707F"/>
    <w:rsid w:val="00A879BD"/>
    <w:rsid w:val="00A90A76"/>
    <w:rsid w:val="00A914CD"/>
    <w:rsid w:val="00A923F8"/>
    <w:rsid w:val="00A94229"/>
    <w:rsid w:val="00A97E52"/>
    <w:rsid w:val="00A97E55"/>
    <w:rsid w:val="00AA0CCD"/>
    <w:rsid w:val="00AA10D2"/>
    <w:rsid w:val="00AA212F"/>
    <w:rsid w:val="00AA2319"/>
    <w:rsid w:val="00AA23AA"/>
    <w:rsid w:val="00AA2CBB"/>
    <w:rsid w:val="00AA3F4D"/>
    <w:rsid w:val="00AA498E"/>
    <w:rsid w:val="00AA49B2"/>
    <w:rsid w:val="00AA55E4"/>
    <w:rsid w:val="00AA5626"/>
    <w:rsid w:val="00AA57C6"/>
    <w:rsid w:val="00AA68C3"/>
    <w:rsid w:val="00AA6FEE"/>
    <w:rsid w:val="00AB012F"/>
    <w:rsid w:val="00AB0FE3"/>
    <w:rsid w:val="00AB101C"/>
    <w:rsid w:val="00AB23C3"/>
    <w:rsid w:val="00AB3001"/>
    <w:rsid w:val="00AB38D7"/>
    <w:rsid w:val="00AB3A3D"/>
    <w:rsid w:val="00AB3B69"/>
    <w:rsid w:val="00AB3C61"/>
    <w:rsid w:val="00AB6336"/>
    <w:rsid w:val="00AB7050"/>
    <w:rsid w:val="00AB7F93"/>
    <w:rsid w:val="00AC0667"/>
    <w:rsid w:val="00AC0FAC"/>
    <w:rsid w:val="00AC243B"/>
    <w:rsid w:val="00AC364C"/>
    <w:rsid w:val="00AC46F7"/>
    <w:rsid w:val="00AC7257"/>
    <w:rsid w:val="00AC7BB1"/>
    <w:rsid w:val="00AD0188"/>
    <w:rsid w:val="00AD05AF"/>
    <w:rsid w:val="00AD1A7B"/>
    <w:rsid w:val="00AD3875"/>
    <w:rsid w:val="00AD3EC7"/>
    <w:rsid w:val="00AD4F7A"/>
    <w:rsid w:val="00AE130E"/>
    <w:rsid w:val="00AE49D4"/>
    <w:rsid w:val="00AE6F16"/>
    <w:rsid w:val="00AE799F"/>
    <w:rsid w:val="00AE7C14"/>
    <w:rsid w:val="00AF1989"/>
    <w:rsid w:val="00AF27A3"/>
    <w:rsid w:val="00AF30A0"/>
    <w:rsid w:val="00AF33EB"/>
    <w:rsid w:val="00AF45A5"/>
    <w:rsid w:val="00AF50E5"/>
    <w:rsid w:val="00AF6C98"/>
    <w:rsid w:val="00B00FD6"/>
    <w:rsid w:val="00B0180E"/>
    <w:rsid w:val="00B0349E"/>
    <w:rsid w:val="00B03DEF"/>
    <w:rsid w:val="00B03E3F"/>
    <w:rsid w:val="00B04495"/>
    <w:rsid w:val="00B047ED"/>
    <w:rsid w:val="00B04F62"/>
    <w:rsid w:val="00B051BD"/>
    <w:rsid w:val="00B062AA"/>
    <w:rsid w:val="00B06D26"/>
    <w:rsid w:val="00B07F6F"/>
    <w:rsid w:val="00B10D8A"/>
    <w:rsid w:val="00B11EF5"/>
    <w:rsid w:val="00B11F47"/>
    <w:rsid w:val="00B140CB"/>
    <w:rsid w:val="00B142BF"/>
    <w:rsid w:val="00B1694F"/>
    <w:rsid w:val="00B16FBC"/>
    <w:rsid w:val="00B17F2F"/>
    <w:rsid w:val="00B20B54"/>
    <w:rsid w:val="00B21566"/>
    <w:rsid w:val="00B21AF4"/>
    <w:rsid w:val="00B21DBE"/>
    <w:rsid w:val="00B22A1A"/>
    <w:rsid w:val="00B23F05"/>
    <w:rsid w:val="00B25505"/>
    <w:rsid w:val="00B304B7"/>
    <w:rsid w:val="00B30576"/>
    <w:rsid w:val="00B315BC"/>
    <w:rsid w:val="00B31807"/>
    <w:rsid w:val="00B31892"/>
    <w:rsid w:val="00B32A83"/>
    <w:rsid w:val="00B33AD3"/>
    <w:rsid w:val="00B34CFF"/>
    <w:rsid w:val="00B36118"/>
    <w:rsid w:val="00B36D45"/>
    <w:rsid w:val="00B36E62"/>
    <w:rsid w:val="00B3725F"/>
    <w:rsid w:val="00B4008B"/>
    <w:rsid w:val="00B4192A"/>
    <w:rsid w:val="00B4254F"/>
    <w:rsid w:val="00B42A20"/>
    <w:rsid w:val="00B43AF3"/>
    <w:rsid w:val="00B4417D"/>
    <w:rsid w:val="00B459DA"/>
    <w:rsid w:val="00B46B7E"/>
    <w:rsid w:val="00B46ED2"/>
    <w:rsid w:val="00B5051B"/>
    <w:rsid w:val="00B50F05"/>
    <w:rsid w:val="00B53270"/>
    <w:rsid w:val="00B53963"/>
    <w:rsid w:val="00B549C3"/>
    <w:rsid w:val="00B5617B"/>
    <w:rsid w:val="00B562EF"/>
    <w:rsid w:val="00B57432"/>
    <w:rsid w:val="00B57A9D"/>
    <w:rsid w:val="00B60B83"/>
    <w:rsid w:val="00B61E6D"/>
    <w:rsid w:val="00B63859"/>
    <w:rsid w:val="00B6414F"/>
    <w:rsid w:val="00B66567"/>
    <w:rsid w:val="00B67AAF"/>
    <w:rsid w:val="00B67E80"/>
    <w:rsid w:val="00B71C46"/>
    <w:rsid w:val="00B71CCB"/>
    <w:rsid w:val="00B72149"/>
    <w:rsid w:val="00B72456"/>
    <w:rsid w:val="00B72E3B"/>
    <w:rsid w:val="00B7310A"/>
    <w:rsid w:val="00B73617"/>
    <w:rsid w:val="00B75133"/>
    <w:rsid w:val="00B76485"/>
    <w:rsid w:val="00B765E9"/>
    <w:rsid w:val="00B77AD6"/>
    <w:rsid w:val="00B8020D"/>
    <w:rsid w:val="00B81F8F"/>
    <w:rsid w:val="00B82205"/>
    <w:rsid w:val="00B823A9"/>
    <w:rsid w:val="00B84ACC"/>
    <w:rsid w:val="00B863FE"/>
    <w:rsid w:val="00B875C2"/>
    <w:rsid w:val="00B87722"/>
    <w:rsid w:val="00B94C88"/>
    <w:rsid w:val="00B94CD2"/>
    <w:rsid w:val="00B94D83"/>
    <w:rsid w:val="00B957B8"/>
    <w:rsid w:val="00B95E4B"/>
    <w:rsid w:val="00B95ECC"/>
    <w:rsid w:val="00B97BE9"/>
    <w:rsid w:val="00BA032B"/>
    <w:rsid w:val="00BA1373"/>
    <w:rsid w:val="00BA2AB7"/>
    <w:rsid w:val="00BA3B54"/>
    <w:rsid w:val="00BA3E7A"/>
    <w:rsid w:val="00BA4763"/>
    <w:rsid w:val="00BA476D"/>
    <w:rsid w:val="00BA4A68"/>
    <w:rsid w:val="00BA5586"/>
    <w:rsid w:val="00BA6169"/>
    <w:rsid w:val="00BA6257"/>
    <w:rsid w:val="00BA6265"/>
    <w:rsid w:val="00BA6644"/>
    <w:rsid w:val="00BB028B"/>
    <w:rsid w:val="00BB10A3"/>
    <w:rsid w:val="00BB12CD"/>
    <w:rsid w:val="00BB18B6"/>
    <w:rsid w:val="00BB1A70"/>
    <w:rsid w:val="00BB2D61"/>
    <w:rsid w:val="00BB41EB"/>
    <w:rsid w:val="00BB622E"/>
    <w:rsid w:val="00BB7BCA"/>
    <w:rsid w:val="00BB7FD3"/>
    <w:rsid w:val="00BC00FD"/>
    <w:rsid w:val="00BC0E83"/>
    <w:rsid w:val="00BC180C"/>
    <w:rsid w:val="00BC21C5"/>
    <w:rsid w:val="00BC22FE"/>
    <w:rsid w:val="00BC287A"/>
    <w:rsid w:val="00BC2AC4"/>
    <w:rsid w:val="00BC34B1"/>
    <w:rsid w:val="00BC3B70"/>
    <w:rsid w:val="00BC4F0A"/>
    <w:rsid w:val="00BC513C"/>
    <w:rsid w:val="00BC575B"/>
    <w:rsid w:val="00BC5919"/>
    <w:rsid w:val="00BC5F56"/>
    <w:rsid w:val="00BC7821"/>
    <w:rsid w:val="00BD0D94"/>
    <w:rsid w:val="00BD0FAA"/>
    <w:rsid w:val="00BD1171"/>
    <w:rsid w:val="00BD27DF"/>
    <w:rsid w:val="00BD302B"/>
    <w:rsid w:val="00BD5BCA"/>
    <w:rsid w:val="00BD64D2"/>
    <w:rsid w:val="00BD6CC5"/>
    <w:rsid w:val="00BD7218"/>
    <w:rsid w:val="00BD7391"/>
    <w:rsid w:val="00BE067E"/>
    <w:rsid w:val="00BE59B9"/>
    <w:rsid w:val="00BE6A1D"/>
    <w:rsid w:val="00BE7E6D"/>
    <w:rsid w:val="00BF1635"/>
    <w:rsid w:val="00BF3274"/>
    <w:rsid w:val="00BF4CA9"/>
    <w:rsid w:val="00BF53E0"/>
    <w:rsid w:val="00BF5A8E"/>
    <w:rsid w:val="00BF6F7B"/>
    <w:rsid w:val="00C003B1"/>
    <w:rsid w:val="00C017B5"/>
    <w:rsid w:val="00C019A8"/>
    <w:rsid w:val="00C020F9"/>
    <w:rsid w:val="00C02B59"/>
    <w:rsid w:val="00C03457"/>
    <w:rsid w:val="00C042C3"/>
    <w:rsid w:val="00C05A32"/>
    <w:rsid w:val="00C05C8B"/>
    <w:rsid w:val="00C06784"/>
    <w:rsid w:val="00C10B50"/>
    <w:rsid w:val="00C1193B"/>
    <w:rsid w:val="00C1366A"/>
    <w:rsid w:val="00C137C9"/>
    <w:rsid w:val="00C14774"/>
    <w:rsid w:val="00C14D2C"/>
    <w:rsid w:val="00C14DAA"/>
    <w:rsid w:val="00C152D9"/>
    <w:rsid w:val="00C16CB9"/>
    <w:rsid w:val="00C17A83"/>
    <w:rsid w:val="00C20195"/>
    <w:rsid w:val="00C21BBE"/>
    <w:rsid w:val="00C22C98"/>
    <w:rsid w:val="00C22DBE"/>
    <w:rsid w:val="00C244F2"/>
    <w:rsid w:val="00C24921"/>
    <w:rsid w:val="00C255F6"/>
    <w:rsid w:val="00C2612A"/>
    <w:rsid w:val="00C267A1"/>
    <w:rsid w:val="00C27836"/>
    <w:rsid w:val="00C27B10"/>
    <w:rsid w:val="00C30513"/>
    <w:rsid w:val="00C31B0B"/>
    <w:rsid w:val="00C320D8"/>
    <w:rsid w:val="00C331A3"/>
    <w:rsid w:val="00C337ED"/>
    <w:rsid w:val="00C33940"/>
    <w:rsid w:val="00C3427B"/>
    <w:rsid w:val="00C35F31"/>
    <w:rsid w:val="00C37A75"/>
    <w:rsid w:val="00C37B6A"/>
    <w:rsid w:val="00C400E5"/>
    <w:rsid w:val="00C41C3B"/>
    <w:rsid w:val="00C43737"/>
    <w:rsid w:val="00C438BB"/>
    <w:rsid w:val="00C43CB6"/>
    <w:rsid w:val="00C4414F"/>
    <w:rsid w:val="00C44907"/>
    <w:rsid w:val="00C45869"/>
    <w:rsid w:val="00C45E03"/>
    <w:rsid w:val="00C47CB6"/>
    <w:rsid w:val="00C47EA0"/>
    <w:rsid w:val="00C5047F"/>
    <w:rsid w:val="00C50975"/>
    <w:rsid w:val="00C5223E"/>
    <w:rsid w:val="00C526D6"/>
    <w:rsid w:val="00C532DE"/>
    <w:rsid w:val="00C5340F"/>
    <w:rsid w:val="00C53847"/>
    <w:rsid w:val="00C54AEB"/>
    <w:rsid w:val="00C54D84"/>
    <w:rsid w:val="00C55230"/>
    <w:rsid w:val="00C56A1C"/>
    <w:rsid w:val="00C56CC5"/>
    <w:rsid w:val="00C56F7D"/>
    <w:rsid w:val="00C56F86"/>
    <w:rsid w:val="00C603F5"/>
    <w:rsid w:val="00C61879"/>
    <w:rsid w:val="00C65CFC"/>
    <w:rsid w:val="00C669D2"/>
    <w:rsid w:val="00C66B9F"/>
    <w:rsid w:val="00C66D4F"/>
    <w:rsid w:val="00C715D2"/>
    <w:rsid w:val="00C72869"/>
    <w:rsid w:val="00C72896"/>
    <w:rsid w:val="00C72D7A"/>
    <w:rsid w:val="00C73838"/>
    <w:rsid w:val="00C73DE9"/>
    <w:rsid w:val="00C741DF"/>
    <w:rsid w:val="00C75511"/>
    <w:rsid w:val="00C765BF"/>
    <w:rsid w:val="00C769DD"/>
    <w:rsid w:val="00C77070"/>
    <w:rsid w:val="00C801D9"/>
    <w:rsid w:val="00C80B5C"/>
    <w:rsid w:val="00C816EC"/>
    <w:rsid w:val="00C81B45"/>
    <w:rsid w:val="00C83FF9"/>
    <w:rsid w:val="00C85811"/>
    <w:rsid w:val="00C85A0F"/>
    <w:rsid w:val="00C8643F"/>
    <w:rsid w:val="00C87A16"/>
    <w:rsid w:val="00C919FC"/>
    <w:rsid w:val="00C91B00"/>
    <w:rsid w:val="00C9244B"/>
    <w:rsid w:val="00C93139"/>
    <w:rsid w:val="00C934E5"/>
    <w:rsid w:val="00C93CC7"/>
    <w:rsid w:val="00C94B6E"/>
    <w:rsid w:val="00C959CE"/>
    <w:rsid w:val="00C96A63"/>
    <w:rsid w:val="00C96D71"/>
    <w:rsid w:val="00CA1A5C"/>
    <w:rsid w:val="00CA20A9"/>
    <w:rsid w:val="00CA267A"/>
    <w:rsid w:val="00CA2BAC"/>
    <w:rsid w:val="00CA3F0D"/>
    <w:rsid w:val="00CA429C"/>
    <w:rsid w:val="00CA4681"/>
    <w:rsid w:val="00CA53AD"/>
    <w:rsid w:val="00CA5605"/>
    <w:rsid w:val="00CA5A45"/>
    <w:rsid w:val="00CA5EB0"/>
    <w:rsid w:val="00CA6771"/>
    <w:rsid w:val="00CA69F7"/>
    <w:rsid w:val="00CA74C0"/>
    <w:rsid w:val="00CB002F"/>
    <w:rsid w:val="00CB0E34"/>
    <w:rsid w:val="00CB10DE"/>
    <w:rsid w:val="00CB23EB"/>
    <w:rsid w:val="00CB407E"/>
    <w:rsid w:val="00CB53B3"/>
    <w:rsid w:val="00CB62DA"/>
    <w:rsid w:val="00CC0177"/>
    <w:rsid w:val="00CC0513"/>
    <w:rsid w:val="00CC1FAB"/>
    <w:rsid w:val="00CC31CB"/>
    <w:rsid w:val="00CC3C94"/>
    <w:rsid w:val="00CC6858"/>
    <w:rsid w:val="00CC70A9"/>
    <w:rsid w:val="00CC72A2"/>
    <w:rsid w:val="00CD4194"/>
    <w:rsid w:val="00CD4980"/>
    <w:rsid w:val="00CD5A69"/>
    <w:rsid w:val="00CD623A"/>
    <w:rsid w:val="00CE2D30"/>
    <w:rsid w:val="00CE3667"/>
    <w:rsid w:val="00CE40FB"/>
    <w:rsid w:val="00CE42FE"/>
    <w:rsid w:val="00CE431B"/>
    <w:rsid w:val="00CE457F"/>
    <w:rsid w:val="00CE6343"/>
    <w:rsid w:val="00CE667E"/>
    <w:rsid w:val="00CE6DA8"/>
    <w:rsid w:val="00CF02B7"/>
    <w:rsid w:val="00CF03FD"/>
    <w:rsid w:val="00CF21AF"/>
    <w:rsid w:val="00CF5719"/>
    <w:rsid w:val="00CF587E"/>
    <w:rsid w:val="00CF6486"/>
    <w:rsid w:val="00CF6768"/>
    <w:rsid w:val="00CF7A1C"/>
    <w:rsid w:val="00D01236"/>
    <w:rsid w:val="00D016F4"/>
    <w:rsid w:val="00D04CFA"/>
    <w:rsid w:val="00D052EC"/>
    <w:rsid w:val="00D05D21"/>
    <w:rsid w:val="00D1004C"/>
    <w:rsid w:val="00D10866"/>
    <w:rsid w:val="00D11656"/>
    <w:rsid w:val="00D1380C"/>
    <w:rsid w:val="00D15619"/>
    <w:rsid w:val="00D159EA"/>
    <w:rsid w:val="00D15ECC"/>
    <w:rsid w:val="00D17F0D"/>
    <w:rsid w:val="00D17F92"/>
    <w:rsid w:val="00D22035"/>
    <w:rsid w:val="00D22201"/>
    <w:rsid w:val="00D23B99"/>
    <w:rsid w:val="00D2561B"/>
    <w:rsid w:val="00D26539"/>
    <w:rsid w:val="00D26985"/>
    <w:rsid w:val="00D27657"/>
    <w:rsid w:val="00D30E80"/>
    <w:rsid w:val="00D32687"/>
    <w:rsid w:val="00D32920"/>
    <w:rsid w:val="00D342C2"/>
    <w:rsid w:val="00D344CF"/>
    <w:rsid w:val="00D36194"/>
    <w:rsid w:val="00D37984"/>
    <w:rsid w:val="00D41527"/>
    <w:rsid w:val="00D424A8"/>
    <w:rsid w:val="00D43612"/>
    <w:rsid w:val="00D44302"/>
    <w:rsid w:val="00D44EAE"/>
    <w:rsid w:val="00D45EBA"/>
    <w:rsid w:val="00D45F79"/>
    <w:rsid w:val="00D46516"/>
    <w:rsid w:val="00D47648"/>
    <w:rsid w:val="00D5053C"/>
    <w:rsid w:val="00D505D4"/>
    <w:rsid w:val="00D50855"/>
    <w:rsid w:val="00D50A10"/>
    <w:rsid w:val="00D50D6A"/>
    <w:rsid w:val="00D546AF"/>
    <w:rsid w:val="00D55653"/>
    <w:rsid w:val="00D55F6B"/>
    <w:rsid w:val="00D60141"/>
    <w:rsid w:val="00D603FC"/>
    <w:rsid w:val="00D60538"/>
    <w:rsid w:val="00D60F82"/>
    <w:rsid w:val="00D61193"/>
    <w:rsid w:val="00D621ED"/>
    <w:rsid w:val="00D628F8"/>
    <w:rsid w:val="00D640CB"/>
    <w:rsid w:val="00D644EA"/>
    <w:rsid w:val="00D65980"/>
    <w:rsid w:val="00D65DA4"/>
    <w:rsid w:val="00D67A8D"/>
    <w:rsid w:val="00D67FDF"/>
    <w:rsid w:val="00D70176"/>
    <w:rsid w:val="00D70FFD"/>
    <w:rsid w:val="00D72BDD"/>
    <w:rsid w:val="00D73287"/>
    <w:rsid w:val="00D76626"/>
    <w:rsid w:val="00D7708A"/>
    <w:rsid w:val="00D7770D"/>
    <w:rsid w:val="00D77F1B"/>
    <w:rsid w:val="00D811EA"/>
    <w:rsid w:val="00D81600"/>
    <w:rsid w:val="00D84F30"/>
    <w:rsid w:val="00D858B3"/>
    <w:rsid w:val="00D8623E"/>
    <w:rsid w:val="00D86C27"/>
    <w:rsid w:val="00D87BFC"/>
    <w:rsid w:val="00D87C54"/>
    <w:rsid w:val="00D90229"/>
    <w:rsid w:val="00D90B64"/>
    <w:rsid w:val="00D91EC1"/>
    <w:rsid w:val="00D932FF"/>
    <w:rsid w:val="00D93750"/>
    <w:rsid w:val="00D93F5E"/>
    <w:rsid w:val="00D95315"/>
    <w:rsid w:val="00D9616B"/>
    <w:rsid w:val="00D96D8C"/>
    <w:rsid w:val="00D970CD"/>
    <w:rsid w:val="00D971E8"/>
    <w:rsid w:val="00D972AE"/>
    <w:rsid w:val="00D973D2"/>
    <w:rsid w:val="00DA0EE7"/>
    <w:rsid w:val="00DA59C6"/>
    <w:rsid w:val="00DB06E2"/>
    <w:rsid w:val="00DB0A5B"/>
    <w:rsid w:val="00DB0BC7"/>
    <w:rsid w:val="00DB1A00"/>
    <w:rsid w:val="00DB25B2"/>
    <w:rsid w:val="00DB3A20"/>
    <w:rsid w:val="00DB408A"/>
    <w:rsid w:val="00DB484F"/>
    <w:rsid w:val="00DB4BD3"/>
    <w:rsid w:val="00DB56AB"/>
    <w:rsid w:val="00DC1D91"/>
    <w:rsid w:val="00DC3CCD"/>
    <w:rsid w:val="00DC3F55"/>
    <w:rsid w:val="00DC441D"/>
    <w:rsid w:val="00DC4455"/>
    <w:rsid w:val="00DC5629"/>
    <w:rsid w:val="00DC57CC"/>
    <w:rsid w:val="00DC58C1"/>
    <w:rsid w:val="00DC6147"/>
    <w:rsid w:val="00DC655F"/>
    <w:rsid w:val="00DC7255"/>
    <w:rsid w:val="00DD0A62"/>
    <w:rsid w:val="00DD50DA"/>
    <w:rsid w:val="00DD5840"/>
    <w:rsid w:val="00DD5924"/>
    <w:rsid w:val="00DD64C7"/>
    <w:rsid w:val="00DE01C1"/>
    <w:rsid w:val="00DE0581"/>
    <w:rsid w:val="00DE0BF5"/>
    <w:rsid w:val="00DE13C3"/>
    <w:rsid w:val="00DE1A28"/>
    <w:rsid w:val="00DE2211"/>
    <w:rsid w:val="00DE24DD"/>
    <w:rsid w:val="00DE3F00"/>
    <w:rsid w:val="00DE5AA3"/>
    <w:rsid w:val="00DE5E22"/>
    <w:rsid w:val="00DE75C0"/>
    <w:rsid w:val="00DF011D"/>
    <w:rsid w:val="00DF1B09"/>
    <w:rsid w:val="00DF768E"/>
    <w:rsid w:val="00E00054"/>
    <w:rsid w:val="00E0018E"/>
    <w:rsid w:val="00E005B0"/>
    <w:rsid w:val="00E00F3B"/>
    <w:rsid w:val="00E01146"/>
    <w:rsid w:val="00E020BF"/>
    <w:rsid w:val="00E0277B"/>
    <w:rsid w:val="00E02DC2"/>
    <w:rsid w:val="00E0324B"/>
    <w:rsid w:val="00E03E5F"/>
    <w:rsid w:val="00E04C05"/>
    <w:rsid w:val="00E06A56"/>
    <w:rsid w:val="00E10056"/>
    <w:rsid w:val="00E10713"/>
    <w:rsid w:val="00E10E11"/>
    <w:rsid w:val="00E10FEA"/>
    <w:rsid w:val="00E117F0"/>
    <w:rsid w:val="00E12365"/>
    <w:rsid w:val="00E159B6"/>
    <w:rsid w:val="00E15A48"/>
    <w:rsid w:val="00E161A6"/>
    <w:rsid w:val="00E16BF7"/>
    <w:rsid w:val="00E16CEA"/>
    <w:rsid w:val="00E20186"/>
    <w:rsid w:val="00E21370"/>
    <w:rsid w:val="00E215FB"/>
    <w:rsid w:val="00E21B0C"/>
    <w:rsid w:val="00E2350C"/>
    <w:rsid w:val="00E23E11"/>
    <w:rsid w:val="00E24752"/>
    <w:rsid w:val="00E24842"/>
    <w:rsid w:val="00E25F8B"/>
    <w:rsid w:val="00E26F6C"/>
    <w:rsid w:val="00E26F83"/>
    <w:rsid w:val="00E271F3"/>
    <w:rsid w:val="00E30AA4"/>
    <w:rsid w:val="00E33349"/>
    <w:rsid w:val="00E34A26"/>
    <w:rsid w:val="00E35675"/>
    <w:rsid w:val="00E37BC9"/>
    <w:rsid w:val="00E41011"/>
    <w:rsid w:val="00E41AE7"/>
    <w:rsid w:val="00E42208"/>
    <w:rsid w:val="00E432B8"/>
    <w:rsid w:val="00E43408"/>
    <w:rsid w:val="00E43841"/>
    <w:rsid w:val="00E444D3"/>
    <w:rsid w:val="00E447D3"/>
    <w:rsid w:val="00E503D6"/>
    <w:rsid w:val="00E5044E"/>
    <w:rsid w:val="00E517F7"/>
    <w:rsid w:val="00E51E5B"/>
    <w:rsid w:val="00E54FE6"/>
    <w:rsid w:val="00E57363"/>
    <w:rsid w:val="00E576F0"/>
    <w:rsid w:val="00E57D1F"/>
    <w:rsid w:val="00E60D80"/>
    <w:rsid w:val="00E613F3"/>
    <w:rsid w:val="00E61B0C"/>
    <w:rsid w:val="00E62E8D"/>
    <w:rsid w:val="00E643BC"/>
    <w:rsid w:val="00E64765"/>
    <w:rsid w:val="00E65B89"/>
    <w:rsid w:val="00E671A7"/>
    <w:rsid w:val="00E70274"/>
    <w:rsid w:val="00E707D5"/>
    <w:rsid w:val="00E71644"/>
    <w:rsid w:val="00E71BE2"/>
    <w:rsid w:val="00E72E53"/>
    <w:rsid w:val="00E7383A"/>
    <w:rsid w:val="00E73CDB"/>
    <w:rsid w:val="00E74935"/>
    <w:rsid w:val="00E75802"/>
    <w:rsid w:val="00E776B4"/>
    <w:rsid w:val="00E84204"/>
    <w:rsid w:val="00E84DDF"/>
    <w:rsid w:val="00E86A19"/>
    <w:rsid w:val="00E86EE0"/>
    <w:rsid w:val="00E878ED"/>
    <w:rsid w:val="00E879E2"/>
    <w:rsid w:val="00E87A13"/>
    <w:rsid w:val="00E9090A"/>
    <w:rsid w:val="00E91A1C"/>
    <w:rsid w:val="00E953AC"/>
    <w:rsid w:val="00E95D76"/>
    <w:rsid w:val="00E971EB"/>
    <w:rsid w:val="00EA19A2"/>
    <w:rsid w:val="00EA1CFF"/>
    <w:rsid w:val="00EA46C8"/>
    <w:rsid w:val="00EA4BFA"/>
    <w:rsid w:val="00EA5D88"/>
    <w:rsid w:val="00EA7281"/>
    <w:rsid w:val="00EB318B"/>
    <w:rsid w:val="00EB3EF3"/>
    <w:rsid w:val="00EB47E1"/>
    <w:rsid w:val="00EB4CC4"/>
    <w:rsid w:val="00EB5F3F"/>
    <w:rsid w:val="00EB7CD4"/>
    <w:rsid w:val="00EB7D96"/>
    <w:rsid w:val="00EC01F9"/>
    <w:rsid w:val="00EC19B9"/>
    <w:rsid w:val="00EC1F24"/>
    <w:rsid w:val="00EC2B51"/>
    <w:rsid w:val="00EC473A"/>
    <w:rsid w:val="00EC5100"/>
    <w:rsid w:val="00EC561D"/>
    <w:rsid w:val="00EC59A8"/>
    <w:rsid w:val="00EC7F68"/>
    <w:rsid w:val="00ED0678"/>
    <w:rsid w:val="00ED22EE"/>
    <w:rsid w:val="00ED2893"/>
    <w:rsid w:val="00ED3F9F"/>
    <w:rsid w:val="00ED4B5F"/>
    <w:rsid w:val="00ED54D6"/>
    <w:rsid w:val="00ED7AD5"/>
    <w:rsid w:val="00ED7DE2"/>
    <w:rsid w:val="00EE18BF"/>
    <w:rsid w:val="00EE1CEB"/>
    <w:rsid w:val="00EE20BF"/>
    <w:rsid w:val="00EE2619"/>
    <w:rsid w:val="00EE2FAC"/>
    <w:rsid w:val="00EE3437"/>
    <w:rsid w:val="00EE4908"/>
    <w:rsid w:val="00EE5A62"/>
    <w:rsid w:val="00EE6729"/>
    <w:rsid w:val="00EE6774"/>
    <w:rsid w:val="00EE7040"/>
    <w:rsid w:val="00EE75A4"/>
    <w:rsid w:val="00EF06A4"/>
    <w:rsid w:val="00EF0B69"/>
    <w:rsid w:val="00EF1EF4"/>
    <w:rsid w:val="00EF2181"/>
    <w:rsid w:val="00EF39A5"/>
    <w:rsid w:val="00EF519E"/>
    <w:rsid w:val="00F0119B"/>
    <w:rsid w:val="00F04DCC"/>
    <w:rsid w:val="00F04EE8"/>
    <w:rsid w:val="00F04EF3"/>
    <w:rsid w:val="00F05371"/>
    <w:rsid w:val="00F05E04"/>
    <w:rsid w:val="00F06E4E"/>
    <w:rsid w:val="00F11C98"/>
    <w:rsid w:val="00F11DF2"/>
    <w:rsid w:val="00F12F52"/>
    <w:rsid w:val="00F13C62"/>
    <w:rsid w:val="00F156C9"/>
    <w:rsid w:val="00F15970"/>
    <w:rsid w:val="00F15B2F"/>
    <w:rsid w:val="00F15CAC"/>
    <w:rsid w:val="00F15DB6"/>
    <w:rsid w:val="00F15E0D"/>
    <w:rsid w:val="00F17221"/>
    <w:rsid w:val="00F17F56"/>
    <w:rsid w:val="00F2022F"/>
    <w:rsid w:val="00F225F2"/>
    <w:rsid w:val="00F230ED"/>
    <w:rsid w:val="00F23D5F"/>
    <w:rsid w:val="00F25947"/>
    <w:rsid w:val="00F25B47"/>
    <w:rsid w:val="00F278B9"/>
    <w:rsid w:val="00F30545"/>
    <w:rsid w:val="00F30D87"/>
    <w:rsid w:val="00F31F82"/>
    <w:rsid w:val="00F32561"/>
    <w:rsid w:val="00F33BD1"/>
    <w:rsid w:val="00F34FC0"/>
    <w:rsid w:val="00F36FEC"/>
    <w:rsid w:val="00F375D5"/>
    <w:rsid w:val="00F3775A"/>
    <w:rsid w:val="00F43404"/>
    <w:rsid w:val="00F4351B"/>
    <w:rsid w:val="00F45562"/>
    <w:rsid w:val="00F458D5"/>
    <w:rsid w:val="00F45F52"/>
    <w:rsid w:val="00F47D87"/>
    <w:rsid w:val="00F50C3C"/>
    <w:rsid w:val="00F5100A"/>
    <w:rsid w:val="00F5224A"/>
    <w:rsid w:val="00F5240E"/>
    <w:rsid w:val="00F53856"/>
    <w:rsid w:val="00F53E11"/>
    <w:rsid w:val="00F54107"/>
    <w:rsid w:val="00F55305"/>
    <w:rsid w:val="00F56040"/>
    <w:rsid w:val="00F57699"/>
    <w:rsid w:val="00F57AB3"/>
    <w:rsid w:val="00F57CAD"/>
    <w:rsid w:val="00F57D5E"/>
    <w:rsid w:val="00F6055F"/>
    <w:rsid w:val="00F60AEB"/>
    <w:rsid w:val="00F60B31"/>
    <w:rsid w:val="00F62AC8"/>
    <w:rsid w:val="00F64A3C"/>
    <w:rsid w:val="00F663D9"/>
    <w:rsid w:val="00F6712A"/>
    <w:rsid w:val="00F67A29"/>
    <w:rsid w:val="00F67DF0"/>
    <w:rsid w:val="00F72FE0"/>
    <w:rsid w:val="00F7329D"/>
    <w:rsid w:val="00F73FB8"/>
    <w:rsid w:val="00F74394"/>
    <w:rsid w:val="00F74AE9"/>
    <w:rsid w:val="00F74BDD"/>
    <w:rsid w:val="00F76067"/>
    <w:rsid w:val="00F764F4"/>
    <w:rsid w:val="00F76F93"/>
    <w:rsid w:val="00F8081D"/>
    <w:rsid w:val="00F80E2A"/>
    <w:rsid w:val="00F81086"/>
    <w:rsid w:val="00F810D3"/>
    <w:rsid w:val="00F827AC"/>
    <w:rsid w:val="00F82EEB"/>
    <w:rsid w:val="00F82EF8"/>
    <w:rsid w:val="00F8327F"/>
    <w:rsid w:val="00F832E8"/>
    <w:rsid w:val="00F85897"/>
    <w:rsid w:val="00F86A13"/>
    <w:rsid w:val="00F87915"/>
    <w:rsid w:val="00F87CC8"/>
    <w:rsid w:val="00F90648"/>
    <w:rsid w:val="00F90E7A"/>
    <w:rsid w:val="00F91685"/>
    <w:rsid w:val="00F916D3"/>
    <w:rsid w:val="00F935F2"/>
    <w:rsid w:val="00F93650"/>
    <w:rsid w:val="00F93856"/>
    <w:rsid w:val="00F9428A"/>
    <w:rsid w:val="00F94340"/>
    <w:rsid w:val="00F949DB"/>
    <w:rsid w:val="00F94EBE"/>
    <w:rsid w:val="00F95690"/>
    <w:rsid w:val="00F96F10"/>
    <w:rsid w:val="00F97B11"/>
    <w:rsid w:val="00F97D0D"/>
    <w:rsid w:val="00FA0647"/>
    <w:rsid w:val="00FA11CB"/>
    <w:rsid w:val="00FA197F"/>
    <w:rsid w:val="00FA2310"/>
    <w:rsid w:val="00FA495D"/>
    <w:rsid w:val="00FA49F6"/>
    <w:rsid w:val="00FA56B5"/>
    <w:rsid w:val="00FA58CF"/>
    <w:rsid w:val="00FA5C5C"/>
    <w:rsid w:val="00FB0D3B"/>
    <w:rsid w:val="00FB0DAA"/>
    <w:rsid w:val="00FB1B62"/>
    <w:rsid w:val="00FB1D79"/>
    <w:rsid w:val="00FB2578"/>
    <w:rsid w:val="00FB2D00"/>
    <w:rsid w:val="00FB2FA4"/>
    <w:rsid w:val="00FB32CA"/>
    <w:rsid w:val="00FB39D4"/>
    <w:rsid w:val="00FB3E78"/>
    <w:rsid w:val="00FB3F0C"/>
    <w:rsid w:val="00FB4716"/>
    <w:rsid w:val="00FB5D40"/>
    <w:rsid w:val="00FB5F20"/>
    <w:rsid w:val="00FB6923"/>
    <w:rsid w:val="00FB7C1E"/>
    <w:rsid w:val="00FC1765"/>
    <w:rsid w:val="00FC1C0F"/>
    <w:rsid w:val="00FC48FA"/>
    <w:rsid w:val="00FC5F99"/>
    <w:rsid w:val="00FC7D24"/>
    <w:rsid w:val="00FD042C"/>
    <w:rsid w:val="00FD0AAE"/>
    <w:rsid w:val="00FD46E2"/>
    <w:rsid w:val="00FD5B72"/>
    <w:rsid w:val="00FD74BE"/>
    <w:rsid w:val="00FE09A5"/>
    <w:rsid w:val="00FE09C3"/>
    <w:rsid w:val="00FE0B8B"/>
    <w:rsid w:val="00FE0F67"/>
    <w:rsid w:val="00FE12D0"/>
    <w:rsid w:val="00FE187E"/>
    <w:rsid w:val="00FE1F29"/>
    <w:rsid w:val="00FE2976"/>
    <w:rsid w:val="00FE5057"/>
    <w:rsid w:val="00FE55F0"/>
    <w:rsid w:val="00FE62FF"/>
    <w:rsid w:val="00FE73BA"/>
    <w:rsid w:val="00FF4559"/>
    <w:rsid w:val="00FF5044"/>
    <w:rsid w:val="00FF617C"/>
    <w:rsid w:val="00FF642B"/>
    <w:rsid w:val="00FF6BD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5A87"/>
    <w:pPr>
      <w:spacing w:after="120" w:line="276" w:lineRule="auto"/>
      <w:ind w:firstLine="720"/>
      <w:jc w:val="both"/>
    </w:pPr>
    <w:rPr>
      <w:rFonts w:ascii="Arial" w:hAnsi="Arial" w:cs="Arial"/>
      <w:lang w:eastAsia="en-US"/>
    </w:rPr>
  </w:style>
  <w:style w:type="paragraph" w:styleId="Heading1">
    <w:name w:val="heading 1"/>
    <w:basedOn w:val="Normal"/>
    <w:next w:val="Normal"/>
    <w:link w:val="Heading1Char"/>
    <w:uiPriority w:val="9"/>
    <w:qFormat/>
    <w:rsid w:val="000F4C18"/>
    <w:pPr>
      <w:keepNext/>
      <w:spacing w:before="240" w:line="240" w:lineRule="auto"/>
      <w:ind w:left="720" w:hanging="720"/>
      <w:jc w:val="left"/>
      <w:outlineLvl w:val="0"/>
    </w:pPr>
    <w:rPr>
      <w:rFonts w:ascii="Calibri" w:hAnsi="Calibri" w:cs="Times New Roman"/>
      <w:bCs/>
      <w:caps/>
      <w:kern w:val="32"/>
      <w:sz w:val="32"/>
      <w:szCs w:val="32"/>
      <w:lang/>
    </w:rPr>
  </w:style>
  <w:style w:type="paragraph" w:styleId="Heading2">
    <w:name w:val="heading 2"/>
    <w:basedOn w:val="Normal"/>
    <w:next w:val="Normal"/>
    <w:link w:val="Heading2Char1"/>
    <w:qFormat/>
    <w:rsid w:val="000F4C18"/>
    <w:pPr>
      <w:keepNext/>
      <w:spacing w:before="240"/>
      <w:ind w:left="720" w:hanging="720"/>
      <w:outlineLvl w:val="1"/>
    </w:pPr>
    <w:rPr>
      <w:rFonts w:ascii="Calibri" w:hAnsi="Calibri" w:cs="Times New Roman"/>
      <w:bCs/>
      <w:i/>
      <w:iCs/>
      <w:sz w:val="28"/>
      <w:szCs w:val="28"/>
      <w:lang w:eastAsia="fr-FR"/>
    </w:rPr>
  </w:style>
  <w:style w:type="paragraph" w:styleId="Heading5">
    <w:name w:val="heading 5"/>
    <w:basedOn w:val="Normal"/>
    <w:next w:val="Normal"/>
    <w:qFormat/>
    <w:rsid w:val="0034680C"/>
    <w:pPr>
      <w:spacing w:before="240" w:after="60"/>
      <w:outlineLvl w:val="4"/>
    </w:pPr>
    <w:rPr>
      <w:rFonts w:ascii="Calibri" w:eastAsia="Calibri" w:hAnsi="Calibri" w:cs="Calibr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D1004C"/>
    <w:rPr>
      <w:rFonts w:ascii="Tahoma" w:hAnsi="Tahoma" w:cs="Times New Roman"/>
      <w:sz w:val="16"/>
      <w:szCs w:val="16"/>
      <w:lang w:val="en-US"/>
    </w:rPr>
  </w:style>
  <w:style w:type="character" w:customStyle="1" w:styleId="BalloonTextChar">
    <w:name w:val="Balloon Text Char"/>
    <w:link w:val="BalloonText"/>
    <w:rsid w:val="00D1004C"/>
    <w:rPr>
      <w:rFonts w:ascii="Tahoma" w:hAnsi="Tahoma" w:cs="Tahoma"/>
      <w:sz w:val="16"/>
      <w:szCs w:val="16"/>
      <w:lang w:val="en-US" w:eastAsia="en-US"/>
    </w:rPr>
  </w:style>
  <w:style w:type="paragraph" w:styleId="FootnoteText">
    <w:name w:val="footnote text"/>
    <w:basedOn w:val="Normal"/>
    <w:semiHidden/>
    <w:rsid w:val="009215E1"/>
  </w:style>
  <w:style w:type="character" w:styleId="FootnoteReference">
    <w:name w:val="footnote reference"/>
    <w:semiHidden/>
    <w:rsid w:val="009215E1"/>
    <w:rPr>
      <w:vertAlign w:val="superscript"/>
    </w:rPr>
  </w:style>
  <w:style w:type="character" w:styleId="CommentReference">
    <w:name w:val="annotation reference"/>
    <w:rsid w:val="008C5EA0"/>
    <w:rPr>
      <w:sz w:val="16"/>
      <w:szCs w:val="16"/>
    </w:rPr>
  </w:style>
  <w:style w:type="paragraph" w:styleId="CommentText">
    <w:name w:val="annotation text"/>
    <w:basedOn w:val="Normal"/>
    <w:link w:val="CommentTextChar"/>
    <w:rsid w:val="00715A87"/>
    <w:rPr>
      <w:rFonts w:ascii="Arial Narrow" w:hAnsi="Arial Narrow" w:cs="Times New Roman"/>
      <w:lang w:val="en-US"/>
    </w:rPr>
  </w:style>
  <w:style w:type="character" w:customStyle="1" w:styleId="CommentTextChar">
    <w:name w:val="Comment Text Char"/>
    <w:link w:val="CommentText"/>
    <w:rsid w:val="00715A87"/>
    <w:rPr>
      <w:rFonts w:ascii="Arial Narrow" w:hAnsi="Arial Narrow" w:cs="Calibri"/>
      <w:lang w:val="en-US" w:eastAsia="en-US"/>
    </w:rPr>
  </w:style>
  <w:style w:type="paragraph" w:styleId="CommentSubject">
    <w:name w:val="annotation subject"/>
    <w:basedOn w:val="CommentText"/>
    <w:next w:val="CommentText"/>
    <w:link w:val="CommentSubjectChar"/>
    <w:rsid w:val="008C5EA0"/>
    <w:rPr>
      <w:rFonts w:ascii="Times New Roman" w:hAnsi="Times New Roman"/>
      <w:b/>
      <w:bCs/>
    </w:rPr>
  </w:style>
  <w:style w:type="character" w:customStyle="1" w:styleId="CommentSubjectChar">
    <w:name w:val="Comment Subject Char"/>
    <w:link w:val="CommentSubject"/>
    <w:rsid w:val="008C5EA0"/>
    <w:rPr>
      <w:b/>
      <w:bCs/>
      <w:lang w:val="en-US" w:eastAsia="en-US"/>
    </w:rPr>
  </w:style>
  <w:style w:type="character" w:customStyle="1" w:styleId="st">
    <w:name w:val="st"/>
    <w:basedOn w:val="DefaultParagraphFont"/>
    <w:rsid w:val="00CA4681"/>
  </w:style>
  <w:style w:type="character" w:styleId="Emphasis">
    <w:name w:val="Emphasis"/>
    <w:qFormat/>
    <w:rsid w:val="00685C8A"/>
    <w:rPr>
      <w:i/>
      <w:iCs/>
    </w:rPr>
  </w:style>
  <w:style w:type="paragraph" w:styleId="Footer">
    <w:name w:val="footer"/>
    <w:basedOn w:val="Normal"/>
    <w:rsid w:val="00C042C3"/>
    <w:pPr>
      <w:tabs>
        <w:tab w:val="center" w:pos="4320"/>
        <w:tab w:val="right" w:pos="8640"/>
      </w:tabs>
    </w:pPr>
  </w:style>
  <w:style w:type="character" w:styleId="PageNumber">
    <w:name w:val="page number"/>
    <w:basedOn w:val="DefaultParagraphFont"/>
    <w:rsid w:val="00C042C3"/>
  </w:style>
  <w:style w:type="paragraph" w:customStyle="1" w:styleId="Default">
    <w:name w:val="Default"/>
    <w:rsid w:val="0034680C"/>
    <w:pPr>
      <w:autoSpaceDE w:val="0"/>
      <w:autoSpaceDN w:val="0"/>
      <w:adjustRightInd w:val="0"/>
    </w:pPr>
    <w:rPr>
      <w:rFonts w:ascii="Calibri" w:eastAsia="Calibri" w:hAnsi="Calibri"/>
      <w:color w:val="000000"/>
      <w:sz w:val="24"/>
      <w:szCs w:val="24"/>
      <w:lang w:val="en-US" w:eastAsia="en-US"/>
    </w:rPr>
  </w:style>
  <w:style w:type="paragraph" w:customStyle="1" w:styleId="Pa1">
    <w:name w:val="Pa1"/>
    <w:basedOn w:val="Default"/>
    <w:next w:val="Default"/>
    <w:rsid w:val="001E3988"/>
    <w:pPr>
      <w:spacing w:line="241" w:lineRule="atLeast"/>
    </w:pPr>
    <w:rPr>
      <w:rFonts w:ascii="Helvetica 65 Medium" w:eastAsia="Times New Roman" w:hAnsi="Helvetica 65 Medium"/>
      <w:color w:val="auto"/>
    </w:rPr>
  </w:style>
  <w:style w:type="character" w:customStyle="1" w:styleId="A1">
    <w:name w:val="A1"/>
    <w:rsid w:val="001E3988"/>
    <w:rPr>
      <w:rFonts w:cs="Helvetica 65 Medium"/>
      <w:i/>
      <w:iCs/>
      <w:color w:val="221E1F"/>
      <w:sz w:val="48"/>
      <w:szCs w:val="48"/>
    </w:rPr>
  </w:style>
  <w:style w:type="paragraph" w:customStyle="1" w:styleId="Pa3">
    <w:name w:val="Pa3"/>
    <w:basedOn w:val="Default"/>
    <w:next w:val="Default"/>
    <w:rsid w:val="001E3988"/>
    <w:pPr>
      <w:spacing w:line="241" w:lineRule="atLeast"/>
    </w:pPr>
    <w:rPr>
      <w:rFonts w:ascii="Helvetica 65 Medium" w:eastAsia="Times New Roman" w:hAnsi="Helvetica 65 Medium"/>
      <w:color w:val="auto"/>
    </w:rPr>
  </w:style>
  <w:style w:type="character" w:customStyle="1" w:styleId="A2">
    <w:name w:val="A2"/>
    <w:rsid w:val="001E3988"/>
    <w:rPr>
      <w:rFonts w:ascii="Helvetica 55 Roman" w:hAnsi="Helvetica 55 Roman" w:cs="Helvetica 55 Roman"/>
      <w:color w:val="221E1F"/>
      <w:sz w:val="28"/>
      <w:szCs w:val="28"/>
    </w:rPr>
  </w:style>
  <w:style w:type="paragraph" w:customStyle="1" w:styleId="Pa0">
    <w:name w:val="Pa0"/>
    <w:basedOn w:val="Default"/>
    <w:next w:val="Default"/>
    <w:rsid w:val="001E3988"/>
    <w:pPr>
      <w:spacing w:line="181" w:lineRule="atLeast"/>
    </w:pPr>
    <w:rPr>
      <w:rFonts w:ascii="Arial" w:eastAsia="Times New Roman" w:hAnsi="Arial"/>
      <w:color w:val="auto"/>
    </w:rPr>
  </w:style>
  <w:style w:type="character" w:customStyle="1" w:styleId="A3">
    <w:name w:val="A3"/>
    <w:rsid w:val="001E3988"/>
    <w:rPr>
      <w:rFonts w:cs="Arial"/>
      <w:color w:val="221E1F"/>
      <w:sz w:val="84"/>
      <w:szCs w:val="84"/>
    </w:rPr>
  </w:style>
  <w:style w:type="character" w:customStyle="1" w:styleId="A4">
    <w:name w:val="A4"/>
    <w:rsid w:val="001E3988"/>
    <w:rPr>
      <w:rFonts w:cs="Arial"/>
      <w:color w:val="221E1F"/>
      <w:sz w:val="29"/>
      <w:szCs w:val="29"/>
    </w:rPr>
  </w:style>
  <w:style w:type="character" w:styleId="Hyperlink">
    <w:name w:val="Hyperlink"/>
    <w:rsid w:val="000E22FE"/>
    <w:rPr>
      <w:color w:val="0000FF"/>
      <w:u w:val="single"/>
    </w:rPr>
  </w:style>
  <w:style w:type="character" w:customStyle="1" w:styleId="volume-value">
    <w:name w:val="volume-value"/>
    <w:basedOn w:val="DefaultParagraphFont"/>
    <w:rsid w:val="000E22FE"/>
  </w:style>
  <w:style w:type="character" w:customStyle="1" w:styleId="vol-issue-comma">
    <w:name w:val="vol-issue-comma"/>
    <w:basedOn w:val="DefaultParagraphFont"/>
    <w:rsid w:val="000E22FE"/>
  </w:style>
  <w:style w:type="character" w:customStyle="1" w:styleId="issue-value">
    <w:name w:val="issue-value"/>
    <w:basedOn w:val="DefaultParagraphFont"/>
    <w:rsid w:val="000E22FE"/>
  </w:style>
  <w:style w:type="character" w:customStyle="1" w:styleId="slug-pages3">
    <w:name w:val="slug-pages3"/>
    <w:basedOn w:val="DefaultParagraphFont"/>
    <w:rsid w:val="000E22FE"/>
  </w:style>
  <w:style w:type="character" w:customStyle="1" w:styleId="Heading1Char">
    <w:name w:val="Heading 1 Char"/>
    <w:link w:val="Heading1"/>
    <w:uiPriority w:val="9"/>
    <w:rsid w:val="000F4C18"/>
    <w:rPr>
      <w:rFonts w:ascii="Calibri" w:hAnsi="Calibri"/>
      <w:bCs/>
      <w:caps/>
      <w:kern w:val="32"/>
      <w:sz w:val="32"/>
      <w:szCs w:val="32"/>
      <w:lang/>
    </w:rPr>
  </w:style>
  <w:style w:type="character" w:customStyle="1" w:styleId="apple-converted-space">
    <w:name w:val="apple-converted-space"/>
    <w:rsid w:val="009F5B3B"/>
  </w:style>
  <w:style w:type="character" w:customStyle="1" w:styleId="Heading2Char">
    <w:name w:val="Heading 2 Char"/>
    <w:rsid w:val="00137139"/>
    <w:rPr>
      <w:rFonts w:ascii="Calibri" w:eastAsia="Times New Roman" w:hAnsi="Calibri" w:cs="Times New Roman"/>
      <w:bCs/>
      <w:i/>
      <w:iCs/>
      <w:sz w:val="28"/>
      <w:szCs w:val="28"/>
      <w:lang w:eastAsia="fr-FR"/>
    </w:rPr>
  </w:style>
  <w:style w:type="character" w:customStyle="1" w:styleId="Heading2Char1">
    <w:name w:val="Heading 2 Char1"/>
    <w:link w:val="Heading2"/>
    <w:rsid w:val="000F4C18"/>
    <w:rPr>
      <w:rFonts w:ascii="Calibri" w:hAnsi="Calibri"/>
      <w:bCs/>
      <w:i/>
      <w:iCs/>
      <w:sz w:val="28"/>
      <w:szCs w:val="28"/>
      <w:lang w:eastAsia="fr-FR"/>
    </w:rPr>
  </w:style>
  <w:style w:type="paragraph" w:customStyle="1" w:styleId="Tableheading">
    <w:name w:val="Table heading"/>
    <w:basedOn w:val="Normal"/>
    <w:qFormat/>
    <w:rsid w:val="009C49DE"/>
    <w:pPr>
      <w:keepNext/>
      <w:spacing w:line="240" w:lineRule="auto"/>
      <w:ind w:left="1080" w:hanging="1080"/>
      <w:jc w:val="left"/>
    </w:pPr>
    <w:rPr>
      <w:b/>
      <w:sz w:val="22"/>
      <w:szCs w:val="22"/>
    </w:rPr>
  </w:style>
  <w:style w:type="paragraph" w:customStyle="1" w:styleId="Source">
    <w:name w:val="Source"/>
    <w:basedOn w:val="Normal"/>
    <w:qFormat/>
    <w:rsid w:val="00F17221"/>
    <w:rPr>
      <w:rFonts w:eastAsia="Calibri"/>
      <w:sz w:val="18"/>
      <w:szCs w:val="18"/>
    </w:rPr>
  </w:style>
  <w:style w:type="paragraph" w:customStyle="1" w:styleId="Footnote">
    <w:name w:val="Footnote"/>
    <w:basedOn w:val="FootnoteText"/>
    <w:qFormat/>
    <w:rsid w:val="00814FE7"/>
    <w:pPr>
      <w:spacing w:line="240" w:lineRule="auto"/>
      <w:ind w:firstLine="0"/>
    </w:pPr>
    <w:rPr>
      <w:rFonts w:eastAsia="Calibri"/>
    </w:rPr>
  </w:style>
  <w:style w:type="paragraph" w:customStyle="1" w:styleId="Revision1">
    <w:name w:val="Revision1"/>
    <w:hidden/>
    <w:uiPriority w:val="99"/>
    <w:semiHidden/>
    <w:rsid w:val="004B3FA5"/>
    <w:rPr>
      <w:rFonts w:ascii="Arial" w:hAnsi="Arial" w:cs="Arial"/>
      <w:lang w:eastAsia="en-US"/>
    </w:rPr>
  </w:style>
  <w:style w:type="paragraph" w:styleId="Header">
    <w:name w:val="header"/>
    <w:basedOn w:val="Normal"/>
    <w:rsid w:val="00706B33"/>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81336653">
      <w:bodyDiv w:val="1"/>
      <w:marLeft w:val="0"/>
      <w:marRight w:val="0"/>
      <w:marTop w:val="0"/>
      <w:marBottom w:val="0"/>
      <w:divBdr>
        <w:top w:val="none" w:sz="0" w:space="0" w:color="auto"/>
        <w:left w:val="none" w:sz="0" w:space="0" w:color="auto"/>
        <w:bottom w:val="none" w:sz="0" w:space="0" w:color="auto"/>
        <w:right w:val="none" w:sz="0" w:space="0" w:color="auto"/>
      </w:divBdr>
      <w:divsChild>
        <w:div w:id="1330980286">
          <w:marLeft w:val="0"/>
          <w:marRight w:val="0"/>
          <w:marTop w:val="0"/>
          <w:marBottom w:val="0"/>
          <w:divBdr>
            <w:top w:val="none" w:sz="0" w:space="0" w:color="auto"/>
            <w:left w:val="none" w:sz="0" w:space="0" w:color="auto"/>
            <w:bottom w:val="none" w:sz="0" w:space="0" w:color="auto"/>
            <w:right w:val="none" w:sz="0" w:space="0" w:color="auto"/>
          </w:divBdr>
        </w:div>
      </w:divsChild>
    </w:div>
    <w:div w:id="520515142">
      <w:bodyDiv w:val="1"/>
      <w:marLeft w:val="0"/>
      <w:marRight w:val="0"/>
      <w:marTop w:val="0"/>
      <w:marBottom w:val="0"/>
      <w:divBdr>
        <w:top w:val="none" w:sz="0" w:space="0" w:color="auto"/>
        <w:left w:val="none" w:sz="0" w:space="0" w:color="auto"/>
        <w:bottom w:val="none" w:sz="0" w:space="0" w:color="auto"/>
        <w:right w:val="none" w:sz="0" w:space="0" w:color="auto"/>
      </w:divBdr>
    </w:div>
    <w:div w:id="532502846">
      <w:bodyDiv w:val="1"/>
      <w:marLeft w:val="0"/>
      <w:marRight w:val="0"/>
      <w:marTop w:val="0"/>
      <w:marBottom w:val="0"/>
      <w:divBdr>
        <w:top w:val="none" w:sz="0" w:space="0" w:color="auto"/>
        <w:left w:val="none" w:sz="0" w:space="0" w:color="auto"/>
        <w:bottom w:val="none" w:sz="0" w:space="0" w:color="auto"/>
        <w:right w:val="none" w:sz="0" w:space="0" w:color="auto"/>
      </w:divBdr>
      <w:divsChild>
        <w:div w:id="1496801271">
          <w:marLeft w:val="0"/>
          <w:marRight w:val="0"/>
          <w:marTop w:val="0"/>
          <w:marBottom w:val="0"/>
          <w:divBdr>
            <w:top w:val="none" w:sz="0" w:space="0" w:color="auto"/>
            <w:left w:val="none" w:sz="0" w:space="0" w:color="auto"/>
            <w:bottom w:val="none" w:sz="0" w:space="0" w:color="auto"/>
            <w:right w:val="none" w:sz="0" w:space="0" w:color="auto"/>
          </w:divBdr>
        </w:div>
      </w:divsChild>
    </w:div>
    <w:div w:id="665474875">
      <w:bodyDiv w:val="1"/>
      <w:marLeft w:val="0"/>
      <w:marRight w:val="0"/>
      <w:marTop w:val="0"/>
      <w:marBottom w:val="0"/>
      <w:divBdr>
        <w:top w:val="none" w:sz="0" w:space="0" w:color="auto"/>
        <w:left w:val="none" w:sz="0" w:space="0" w:color="auto"/>
        <w:bottom w:val="none" w:sz="0" w:space="0" w:color="auto"/>
        <w:right w:val="none" w:sz="0" w:space="0" w:color="auto"/>
      </w:divBdr>
    </w:div>
    <w:div w:id="899174781">
      <w:bodyDiv w:val="1"/>
      <w:marLeft w:val="0"/>
      <w:marRight w:val="0"/>
      <w:marTop w:val="0"/>
      <w:marBottom w:val="0"/>
      <w:divBdr>
        <w:top w:val="none" w:sz="0" w:space="0" w:color="auto"/>
        <w:left w:val="none" w:sz="0" w:space="0" w:color="auto"/>
        <w:bottom w:val="none" w:sz="0" w:space="0" w:color="auto"/>
        <w:right w:val="none" w:sz="0" w:space="0" w:color="auto"/>
      </w:divBdr>
      <w:divsChild>
        <w:div w:id="1174682079">
          <w:marLeft w:val="0"/>
          <w:marRight w:val="0"/>
          <w:marTop w:val="0"/>
          <w:marBottom w:val="0"/>
          <w:divBdr>
            <w:top w:val="none" w:sz="0" w:space="0" w:color="auto"/>
            <w:left w:val="none" w:sz="0" w:space="0" w:color="auto"/>
            <w:bottom w:val="none" w:sz="0" w:space="0" w:color="auto"/>
            <w:right w:val="none" w:sz="0" w:space="0" w:color="auto"/>
          </w:divBdr>
          <w:divsChild>
            <w:div w:id="1689091736">
              <w:marLeft w:val="0"/>
              <w:marRight w:val="0"/>
              <w:marTop w:val="0"/>
              <w:marBottom w:val="0"/>
              <w:divBdr>
                <w:top w:val="none" w:sz="0" w:space="0" w:color="auto"/>
                <w:left w:val="none" w:sz="0" w:space="0" w:color="auto"/>
                <w:bottom w:val="none" w:sz="0" w:space="0" w:color="auto"/>
                <w:right w:val="none" w:sz="0" w:space="0" w:color="auto"/>
              </w:divBdr>
              <w:divsChild>
                <w:div w:id="1998533585">
                  <w:marLeft w:val="0"/>
                  <w:marRight w:val="0"/>
                  <w:marTop w:val="0"/>
                  <w:marBottom w:val="0"/>
                  <w:divBdr>
                    <w:top w:val="none" w:sz="0" w:space="0" w:color="auto"/>
                    <w:left w:val="none" w:sz="0" w:space="0" w:color="auto"/>
                    <w:bottom w:val="none" w:sz="0" w:space="0" w:color="auto"/>
                    <w:right w:val="none" w:sz="0" w:space="0" w:color="auto"/>
                  </w:divBdr>
                  <w:divsChild>
                    <w:div w:id="1838304992">
                      <w:marLeft w:val="0"/>
                      <w:marRight w:val="0"/>
                      <w:marTop w:val="0"/>
                      <w:marBottom w:val="0"/>
                      <w:divBdr>
                        <w:top w:val="none" w:sz="0" w:space="0" w:color="auto"/>
                        <w:left w:val="none" w:sz="0" w:space="0" w:color="auto"/>
                        <w:bottom w:val="none" w:sz="0" w:space="0" w:color="auto"/>
                        <w:right w:val="none" w:sz="0" w:space="0" w:color="auto"/>
                      </w:divBdr>
                      <w:divsChild>
                        <w:div w:id="337932062">
                          <w:marLeft w:val="0"/>
                          <w:marRight w:val="0"/>
                          <w:marTop w:val="0"/>
                          <w:marBottom w:val="0"/>
                          <w:divBdr>
                            <w:top w:val="none" w:sz="0" w:space="0" w:color="auto"/>
                            <w:left w:val="none" w:sz="0" w:space="0" w:color="auto"/>
                            <w:bottom w:val="none" w:sz="0" w:space="0" w:color="auto"/>
                            <w:right w:val="none" w:sz="0" w:space="0" w:color="auto"/>
                          </w:divBdr>
                          <w:divsChild>
                            <w:div w:id="84570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601883">
      <w:bodyDiv w:val="1"/>
      <w:marLeft w:val="0"/>
      <w:marRight w:val="0"/>
      <w:marTop w:val="0"/>
      <w:marBottom w:val="0"/>
      <w:divBdr>
        <w:top w:val="none" w:sz="0" w:space="0" w:color="auto"/>
        <w:left w:val="none" w:sz="0" w:space="0" w:color="auto"/>
        <w:bottom w:val="none" w:sz="0" w:space="0" w:color="auto"/>
        <w:right w:val="none" w:sz="0" w:space="0" w:color="auto"/>
      </w:divBdr>
      <w:divsChild>
        <w:div w:id="1207446169">
          <w:marLeft w:val="0"/>
          <w:marRight w:val="0"/>
          <w:marTop w:val="0"/>
          <w:marBottom w:val="0"/>
          <w:divBdr>
            <w:top w:val="none" w:sz="0" w:space="0" w:color="auto"/>
            <w:left w:val="none" w:sz="0" w:space="0" w:color="auto"/>
            <w:bottom w:val="none" w:sz="0" w:space="0" w:color="auto"/>
            <w:right w:val="none" w:sz="0" w:space="0" w:color="auto"/>
          </w:divBdr>
          <w:divsChild>
            <w:div w:id="625895440">
              <w:marLeft w:val="0"/>
              <w:marRight w:val="0"/>
              <w:marTop w:val="0"/>
              <w:marBottom w:val="0"/>
              <w:divBdr>
                <w:top w:val="none" w:sz="0" w:space="0" w:color="auto"/>
                <w:left w:val="none" w:sz="0" w:space="0" w:color="auto"/>
                <w:bottom w:val="none" w:sz="0" w:space="0" w:color="auto"/>
                <w:right w:val="none" w:sz="0" w:space="0" w:color="auto"/>
              </w:divBdr>
            </w:div>
            <w:div w:id="811170206">
              <w:marLeft w:val="0"/>
              <w:marRight w:val="0"/>
              <w:marTop w:val="0"/>
              <w:marBottom w:val="0"/>
              <w:divBdr>
                <w:top w:val="none" w:sz="0" w:space="0" w:color="auto"/>
                <w:left w:val="none" w:sz="0" w:space="0" w:color="auto"/>
                <w:bottom w:val="none" w:sz="0" w:space="0" w:color="auto"/>
                <w:right w:val="none" w:sz="0" w:space="0" w:color="auto"/>
              </w:divBdr>
            </w:div>
            <w:div w:id="12925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74393">
      <w:bodyDiv w:val="1"/>
      <w:marLeft w:val="0"/>
      <w:marRight w:val="0"/>
      <w:marTop w:val="0"/>
      <w:marBottom w:val="0"/>
      <w:divBdr>
        <w:top w:val="none" w:sz="0" w:space="0" w:color="auto"/>
        <w:left w:val="none" w:sz="0" w:space="0" w:color="auto"/>
        <w:bottom w:val="none" w:sz="0" w:space="0" w:color="auto"/>
        <w:right w:val="none" w:sz="0" w:space="0" w:color="auto"/>
      </w:divBdr>
    </w:div>
    <w:div w:id="1429692680">
      <w:bodyDiv w:val="1"/>
      <w:marLeft w:val="0"/>
      <w:marRight w:val="0"/>
      <w:marTop w:val="0"/>
      <w:marBottom w:val="0"/>
      <w:divBdr>
        <w:top w:val="none" w:sz="0" w:space="0" w:color="auto"/>
        <w:left w:val="none" w:sz="0" w:space="0" w:color="auto"/>
        <w:bottom w:val="none" w:sz="0" w:space="0" w:color="auto"/>
        <w:right w:val="none" w:sz="0" w:space="0" w:color="auto"/>
      </w:divBdr>
    </w:div>
    <w:div w:id="1568220714">
      <w:bodyDiv w:val="1"/>
      <w:marLeft w:val="0"/>
      <w:marRight w:val="0"/>
      <w:marTop w:val="0"/>
      <w:marBottom w:val="0"/>
      <w:divBdr>
        <w:top w:val="none" w:sz="0" w:space="0" w:color="auto"/>
        <w:left w:val="none" w:sz="0" w:space="0" w:color="auto"/>
        <w:bottom w:val="none" w:sz="0" w:space="0" w:color="auto"/>
        <w:right w:val="none" w:sz="0" w:space="0" w:color="auto"/>
      </w:divBdr>
    </w:div>
    <w:div w:id="157793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image" Target="media/image28.emf"/><Relationship Id="rId42" Type="http://schemas.openxmlformats.org/officeDocument/2006/relationships/header" Target="header3.xml"/><Relationship Id="rId47" Type="http://schemas.openxmlformats.org/officeDocument/2006/relationships/image" Target="media/image34.emf"/><Relationship Id="rId50" Type="http://schemas.openxmlformats.org/officeDocument/2006/relationships/image" Target="media/image37.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header" Target="header1.xml"/><Relationship Id="rId46" Type="http://schemas.openxmlformats.org/officeDocument/2006/relationships/image" Target="media/image33.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image" Target="media/image30.emf"/><Relationship Id="rId40" Type="http://schemas.openxmlformats.org/officeDocument/2006/relationships/footer" Target="footer1.xml"/><Relationship Id="rId45" Type="http://schemas.openxmlformats.org/officeDocument/2006/relationships/image" Target="media/image32.e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oleObject" Target="embeddings/Microsoft_Office_Excel_97-2003_Worksheet1.xls"/><Relationship Id="rId49" Type="http://schemas.openxmlformats.org/officeDocument/2006/relationships/image" Target="media/image36.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4" Type="http://schemas.openxmlformats.org/officeDocument/2006/relationships/image" Target="media/image31.e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emf"/><Relationship Id="rId43" Type="http://schemas.openxmlformats.org/officeDocument/2006/relationships/footer" Target="footer3.xml"/><Relationship Id="rId48" Type="http://schemas.openxmlformats.org/officeDocument/2006/relationships/image" Target="media/image35.emf"/><Relationship Id="rId8" Type="http://schemas.openxmlformats.org/officeDocument/2006/relationships/image" Target="media/image2.emf"/><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9175</Words>
  <Characters>52390</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Regional Integration in Africa:</vt:lpstr>
    </vt:vector>
  </TitlesOfParts>
  <Company/>
  <LinksUpToDate>false</LinksUpToDate>
  <CharactersWithSpaces>61443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Integration in Africa:</dc:title>
  <dc:subject/>
  <dc:creator>HPprobook</dc:creator>
  <cp:keywords/>
  <cp:lastModifiedBy>cheong</cp:lastModifiedBy>
  <cp:revision>3</cp:revision>
  <cp:lastPrinted>2012-06-07T17:22:00Z</cp:lastPrinted>
  <dcterms:created xsi:type="dcterms:W3CDTF">2013-01-21T12:58:00Z</dcterms:created>
  <dcterms:modified xsi:type="dcterms:W3CDTF">2013-01-21T12:58:00Z</dcterms:modified>
</cp:coreProperties>
</file>