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drawings/drawing3.xml" ContentType="application/vnd.openxmlformats-officedocument.drawingml.chartshap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drawings/drawing2.xml" ContentType="application/vnd.openxmlformats-officedocument.drawingml.chartshapes+xml"/>
  <Override PartName="/word/footer2.xml" ContentType="application/vnd.openxmlformats-officedocument.wordprocessingml.footer+xml"/>
  <Override PartName="/word/footer3.xml" ContentType="application/vnd.openxmlformats-officedocument.wordprocessingml.footer+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CD2" w:rsidRPr="001E69D4" w:rsidRDefault="00162CD2" w:rsidP="004261F8">
      <w:pPr>
        <w:ind w:firstLine="0"/>
        <w:jc w:val="center"/>
        <w:rPr>
          <w:b/>
          <w:sz w:val="28"/>
          <w:szCs w:val="28"/>
        </w:rPr>
      </w:pPr>
      <w:r w:rsidRPr="001E69D4">
        <w:rPr>
          <w:b/>
          <w:sz w:val="28"/>
          <w:szCs w:val="28"/>
        </w:rPr>
        <w:t xml:space="preserve">Potential Impacts of WTO </w:t>
      </w:r>
      <w:r>
        <w:rPr>
          <w:b/>
          <w:sz w:val="28"/>
          <w:szCs w:val="28"/>
        </w:rPr>
        <w:t xml:space="preserve">and EU </w:t>
      </w:r>
      <w:r w:rsidRPr="001E69D4">
        <w:rPr>
          <w:b/>
          <w:sz w:val="28"/>
          <w:szCs w:val="28"/>
        </w:rPr>
        <w:t>Accession on the Agricultural Sector</w:t>
      </w:r>
      <w:r>
        <w:rPr>
          <w:b/>
          <w:sz w:val="28"/>
          <w:szCs w:val="28"/>
        </w:rPr>
        <w:br/>
      </w:r>
      <w:r w:rsidRPr="001E69D4">
        <w:rPr>
          <w:b/>
          <w:sz w:val="28"/>
          <w:szCs w:val="28"/>
        </w:rPr>
        <w:t>in Bosnia and Herzegovina</w:t>
      </w:r>
      <w:r w:rsidRPr="001E69D4">
        <w:rPr>
          <w:rStyle w:val="FootnoteReference"/>
          <w:bCs/>
          <w:sz w:val="28"/>
          <w:szCs w:val="28"/>
        </w:rPr>
        <w:footnoteReference w:id="1"/>
      </w:r>
    </w:p>
    <w:p w:rsidR="00162CD2" w:rsidRPr="001E69D4" w:rsidRDefault="00162CD2" w:rsidP="002A3EA4">
      <w:pPr>
        <w:ind w:firstLine="0"/>
      </w:pPr>
    </w:p>
    <w:p w:rsidR="00162CD2" w:rsidRPr="006076A4" w:rsidRDefault="000A120D" w:rsidP="004E07AC">
      <w:pPr>
        <w:pStyle w:val="Authornames"/>
        <w:ind w:firstLine="0"/>
        <w:jc w:val="center"/>
        <w:rPr>
          <w:sz w:val="24"/>
          <w:szCs w:val="24"/>
        </w:rPr>
      </w:pPr>
      <w:r w:rsidRPr="000A120D">
        <w:rPr>
          <w:sz w:val="24"/>
          <w:szCs w:val="24"/>
        </w:rPr>
        <w:t xml:space="preserve">David Vanzetti and Aleksandra </w:t>
      </w:r>
      <w:proofErr w:type="spellStart"/>
      <w:r w:rsidRPr="000A120D">
        <w:rPr>
          <w:sz w:val="24"/>
          <w:szCs w:val="24"/>
        </w:rPr>
        <w:t>Nikolić</w:t>
      </w:r>
      <w:proofErr w:type="spellEnd"/>
    </w:p>
    <w:p w:rsidR="00162CD2" w:rsidRPr="001E69D4" w:rsidRDefault="00A33C12" w:rsidP="00520D42">
      <w:pPr>
        <w:pStyle w:val="Heading1"/>
      </w:pPr>
      <w:r>
        <w:t>9</w:t>
      </w:r>
      <w:r w:rsidR="00162CD2" w:rsidRPr="001E69D4">
        <w:t>.1</w:t>
      </w:r>
      <w:r w:rsidR="00162CD2" w:rsidRPr="001E69D4">
        <w:tab/>
        <w:t>INTRODUCTION</w:t>
      </w:r>
    </w:p>
    <w:p w:rsidR="00162CD2" w:rsidRPr="001E69D4" w:rsidRDefault="00162CD2" w:rsidP="004261F8">
      <w:r w:rsidRPr="001E69D4">
        <w:t xml:space="preserve">The agricultural sector of Bosnia and Herzegovina </w:t>
      </w:r>
      <w:r w:rsidR="007C2B6E">
        <w:t xml:space="preserve">(BH) </w:t>
      </w:r>
      <w:r w:rsidRPr="001E69D4">
        <w:t xml:space="preserve">is continuing to undergo significant changes. While </w:t>
      </w:r>
      <w:r>
        <w:t xml:space="preserve">ongoing </w:t>
      </w:r>
      <w:r w:rsidRPr="001E69D4">
        <w:t xml:space="preserve">integration into the European Union (EU) and global markets poses a threat to domestic production, it also provides opportunities to potential exporters. Agriculture is a sensitive sector in BH, accounting for a relatively high share of employment and also of people living below the poverty line. Therefore, the general objective of this paper is to provide detailed information about the potential impacts on the agricultural sector of greater integration into the EU and global markets. This information may help identify ways to overcome major constraints and boost development. </w:t>
      </w:r>
    </w:p>
    <w:p w:rsidR="00162CD2" w:rsidRPr="001E69D4" w:rsidRDefault="00162CD2" w:rsidP="004261F8">
      <w:r w:rsidRPr="001E69D4">
        <w:t xml:space="preserve">The specific objectives of this paper are to develop two scenarios, BH accession into the World Trade Organization (WTO) and BH accession into the EU, to assess impacts on sensitive agribusiness sub-sectors such as dairy, beef, pork, poultry meat, processed meat, fruit and vegetables, cereals, and wine. Our assessment focuses on impacts on trade, output, and employment and then on impacts on consumers and </w:t>
      </w:r>
      <w:r>
        <w:t>the economy more generally.</w:t>
      </w:r>
      <w:r w:rsidRPr="001E69D4">
        <w:t xml:space="preserve"> To assess these impacts, first we describe recent political and institutional developments and trade patterns. Next, we examine the current BH policy framework, including applied agricultural tariffs that are calculated from the specific and ad valorem components. Next, we describe in detail a framework for quantitative assessment of the effects of accession on selected sensitive products. </w:t>
      </w:r>
    </w:p>
    <w:p w:rsidR="00162CD2" w:rsidRPr="001E69D4" w:rsidRDefault="00162CD2" w:rsidP="004261F8">
      <w:r w:rsidRPr="001E69D4">
        <w:t xml:space="preserve">The main part of the analysis compares </w:t>
      </w:r>
      <w:r>
        <w:t xml:space="preserve">current </w:t>
      </w:r>
      <w:r w:rsidRPr="001E69D4">
        <w:t>tariffs with two other options: the WTO initial offer and the EU regime. We assess the potential impacts on production and trade using a bilateral trade model that captures the differential tariff changes by BH’s various trading partners. While the modelling is simple, in that it is based on output and trade and does not take into account cross-</w:t>
      </w:r>
      <w:proofErr w:type="spellStart"/>
      <w:r w:rsidRPr="001E69D4">
        <w:t>sectoral</w:t>
      </w:r>
      <w:proofErr w:type="spellEnd"/>
      <w:r w:rsidRPr="001E69D4">
        <w:t xml:space="preserve"> effects, at the same time it is transparent, and it throws light on </w:t>
      </w:r>
      <w:r w:rsidR="006076A4">
        <w:t>which</w:t>
      </w:r>
      <w:r>
        <w:t xml:space="preserve"> specific tariff changes are </w:t>
      </w:r>
      <w:r w:rsidRPr="001E69D4">
        <w:t xml:space="preserve">important and </w:t>
      </w:r>
      <w:r w:rsidR="006076A4">
        <w:t xml:space="preserve">which </w:t>
      </w:r>
      <w:r>
        <w:t xml:space="preserve">are </w:t>
      </w:r>
      <w:r w:rsidRPr="001E69D4">
        <w:t>not. By doing so, the model identifies major issues that should be the centre of policy focus. The study assesses employment effects assuming fixed labour–output ratios for each sector. In the final part of the paper,</w:t>
      </w:r>
      <w:r w:rsidRPr="001E69D4" w:rsidDel="00A73BA8">
        <w:t xml:space="preserve"> </w:t>
      </w:r>
      <w:r w:rsidRPr="001E69D4">
        <w:t>we describe the results and main implications for policy-makers and the sector.</w:t>
      </w:r>
    </w:p>
    <w:p w:rsidR="00162CD2" w:rsidRPr="001E69D4" w:rsidRDefault="00A33C12" w:rsidP="00520D42">
      <w:pPr>
        <w:pStyle w:val="Heading1"/>
      </w:pPr>
      <w:r>
        <w:lastRenderedPageBreak/>
        <w:t>9</w:t>
      </w:r>
      <w:r w:rsidR="00162CD2" w:rsidRPr="001E69D4">
        <w:t>.2</w:t>
      </w:r>
      <w:r w:rsidR="00162CD2" w:rsidRPr="001E69D4">
        <w:tab/>
        <w:t>Recent developments</w:t>
      </w:r>
    </w:p>
    <w:p w:rsidR="00162CD2" w:rsidRPr="001E69D4" w:rsidRDefault="00162CD2" w:rsidP="004261F8">
      <w:pPr>
        <w:rPr>
          <w:color w:val="000000"/>
          <w:lang w:eastAsia="en-US"/>
        </w:rPr>
      </w:pPr>
      <w:r w:rsidRPr="001E69D4">
        <w:t xml:space="preserve">The Balkans wars (1992−1995) led to the formation of BH as an independent nation along with other members of the former </w:t>
      </w:r>
      <w:smartTag w:uri="urn:schemas-microsoft-com:office:smarttags" w:element="country-region">
        <w:smartTag w:uri="urn:schemas-microsoft-com:office:smarttags" w:element="place">
          <w:r w:rsidRPr="001E69D4">
            <w:t>Yugoslavia</w:t>
          </w:r>
        </w:smartTag>
      </w:smartTag>
      <w:r w:rsidRPr="001E69D4">
        <w:t xml:space="preserve">. The 1995 </w:t>
      </w:r>
      <w:smartTag w:uri="urn:schemas-microsoft-com:office:smarttags" w:element="City">
        <w:smartTag w:uri="urn:schemas-microsoft-com:office:smarttags" w:element="place">
          <w:r w:rsidRPr="001E69D4">
            <w:t>Dayton</w:t>
          </w:r>
        </w:smartTag>
      </w:smartTag>
      <w:r w:rsidRPr="001E69D4">
        <w:t xml:space="preserve"> peace agreement shaped its political and socio-economic structures. Reflecting the need for compromise,</w:t>
      </w:r>
      <w:r w:rsidRPr="001E69D4">
        <w:rPr>
          <w:rStyle w:val="Style11pt"/>
          <w:sz w:val="24"/>
          <w:szCs w:val="24"/>
        </w:rPr>
        <w:t xml:space="preserve"> </w:t>
      </w:r>
      <w:r w:rsidRPr="001E69D4">
        <w:t>a major part of institutional responsibility and governance went to the entity (provincial) level, leaving the central government relatively powerless. Therefore, in reality BH is split into two economic entities</w:t>
      </w:r>
      <w:r w:rsidR="00790FF4">
        <w:t xml:space="preserve"> </w:t>
      </w:r>
      <w:r w:rsidR="00790FF4" w:rsidRPr="001E69D4">
        <w:rPr>
          <w:lang w:eastAsia="en-US"/>
        </w:rPr>
        <w:t>(</w:t>
      </w:r>
      <w:proofErr w:type="spellStart"/>
      <w:r w:rsidR="00790FF4">
        <w:t>Republika</w:t>
      </w:r>
      <w:proofErr w:type="spellEnd"/>
      <w:r w:rsidR="00790FF4">
        <w:t xml:space="preserve"> </w:t>
      </w:r>
      <w:proofErr w:type="spellStart"/>
      <w:r w:rsidR="00790FF4">
        <w:t>Srpska</w:t>
      </w:r>
      <w:proofErr w:type="spellEnd"/>
      <w:r w:rsidR="00790FF4">
        <w:t xml:space="preserve"> (</w:t>
      </w:r>
      <w:r w:rsidR="00790FF4" w:rsidRPr="001E69D4">
        <w:rPr>
          <w:lang w:eastAsia="en-US"/>
        </w:rPr>
        <w:t>RS</w:t>
      </w:r>
      <w:r w:rsidR="00790FF4">
        <w:rPr>
          <w:lang w:eastAsia="en-US"/>
        </w:rPr>
        <w:t>)</w:t>
      </w:r>
      <w:r w:rsidR="00790FF4" w:rsidRPr="001E69D4">
        <w:rPr>
          <w:lang w:eastAsia="en-US"/>
        </w:rPr>
        <w:t xml:space="preserve"> </w:t>
      </w:r>
      <w:r w:rsidR="00790FF4">
        <w:rPr>
          <w:lang w:eastAsia="en-US"/>
        </w:rPr>
        <w:t xml:space="preserve">and </w:t>
      </w:r>
      <w:r w:rsidR="00790FF4">
        <w:t>the Federation of Bosnia and Herzegovina</w:t>
      </w:r>
      <w:r w:rsidR="00790FF4">
        <w:rPr>
          <w:lang w:eastAsia="en-US"/>
        </w:rPr>
        <w:t xml:space="preserve"> (</w:t>
      </w:r>
      <w:proofErr w:type="spellStart"/>
      <w:r w:rsidR="00790FF4" w:rsidRPr="001E69D4">
        <w:rPr>
          <w:lang w:eastAsia="en-US"/>
        </w:rPr>
        <w:t>FB</w:t>
      </w:r>
      <w:r w:rsidR="00790FF4">
        <w:rPr>
          <w:lang w:eastAsia="en-US"/>
        </w:rPr>
        <w:t>i</w:t>
      </w:r>
      <w:r w:rsidR="00790FF4" w:rsidRPr="001E69D4">
        <w:rPr>
          <w:lang w:eastAsia="en-US"/>
        </w:rPr>
        <w:t>H</w:t>
      </w:r>
      <w:proofErr w:type="spellEnd"/>
      <w:r w:rsidR="00790FF4" w:rsidRPr="001E69D4">
        <w:rPr>
          <w:lang w:eastAsia="en-US"/>
        </w:rPr>
        <w:t>)</w:t>
      </w:r>
      <w:r w:rsidR="00790FF4">
        <w:rPr>
          <w:lang w:eastAsia="en-US"/>
        </w:rPr>
        <w:t>)</w:t>
      </w:r>
      <w:r w:rsidRPr="001E69D4">
        <w:t xml:space="preserve"> with different business environments. In addition, the division of responsibilities between state/national and entity levels is unclear, fuelling bureaucracy and slowing the reforms and development of key institutions at the national level. In spite of these difficulties, BH succeeded in establishing relatively stable macroeconomic conditions, at least until the global financial crisis and the recent political crisis (during which BH was without government for one year). In </w:t>
      </w:r>
      <w:r>
        <w:t>contrast to</w:t>
      </w:r>
      <w:r w:rsidRPr="001E69D4">
        <w:t xml:space="preserve"> other south-eastern European (SEE)</w:t>
      </w:r>
      <w:r>
        <w:rPr>
          <w:rStyle w:val="FootnoteReference"/>
        </w:rPr>
        <w:footnoteReference w:id="2"/>
      </w:r>
      <w:r w:rsidRPr="001E69D4">
        <w:t xml:space="preserve"> countries, BH was able to maintain economic growth (gross domestic product (GDP) per capita increased from €</w:t>
      </w:r>
      <w:r w:rsidRPr="001E69D4">
        <w:rPr>
          <w:color w:val="000000"/>
          <w:lang w:eastAsia="en-US"/>
        </w:rPr>
        <w:t>1,278 in 1999</w:t>
      </w:r>
      <w:r w:rsidRPr="001E69D4">
        <w:t xml:space="preserve"> to €</w:t>
      </w:r>
      <w:r w:rsidRPr="001E69D4">
        <w:rPr>
          <w:color w:val="000000"/>
          <w:lang w:eastAsia="en-US"/>
        </w:rPr>
        <w:t>3,270 in 2010</w:t>
      </w:r>
      <w:r w:rsidRPr="001E69D4">
        <w:rPr>
          <w:rStyle w:val="FootnoteReference"/>
          <w:color w:val="000000"/>
          <w:lang w:eastAsia="en-US"/>
        </w:rPr>
        <w:footnoteReference w:id="3"/>
      </w:r>
      <w:r w:rsidRPr="001E69D4">
        <w:rPr>
          <w:color w:val="000000"/>
          <w:lang w:eastAsia="en-US"/>
        </w:rPr>
        <w:t>),</w:t>
      </w:r>
      <w:r w:rsidRPr="001E69D4">
        <w:t xml:space="preserve"> control inflation, and </w:t>
      </w:r>
      <w:r w:rsidR="00DE2FF8">
        <w:t>avoid an increase in</w:t>
      </w:r>
      <w:r w:rsidR="00DE2FF8" w:rsidRPr="001E69D4">
        <w:t xml:space="preserve"> </w:t>
      </w:r>
      <w:r w:rsidRPr="001E69D4">
        <w:t xml:space="preserve">the share of foreign debt in GDP. At 26 per cent in </w:t>
      </w:r>
      <w:r w:rsidR="006A492D" w:rsidRPr="001E69D4">
        <w:t>2010</w:t>
      </w:r>
      <w:proofErr w:type="gramStart"/>
      <w:r w:rsidR="006076A4">
        <w:t>,</w:t>
      </w:r>
      <w:r w:rsidR="006A492D">
        <w:rPr>
          <w:vertAlign w:val="superscript"/>
        </w:rPr>
        <w:t>3</w:t>
      </w:r>
      <w:proofErr w:type="gramEnd"/>
      <w:r w:rsidRPr="001E69D4">
        <w:t xml:space="preserve"> BH’s foreign debt is quite low in comparison with that of other SEE countries (Croatia’s was above 85 per cent</w:t>
      </w:r>
      <w:r w:rsidR="00424A04">
        <w:t>,</w:t>
      </w:r>
      <w:r w:rsidR="006A492D">
        <w:t xml:space="preserve"> </w:t>
      </w:r>
      <w:r w:rsidRPr="001E69D4">
        <w:t>and Serbia’s was 63 per cent in 2007</w:t>
      </w:r>
      <w:r w:rsidR="006A492D" w:rsidRPr="001E69D4">
        <w:rPr>
          <w:vertAlign w:val="superscript"/>
        </w:rPr>
        <w:t>3</w:t>
      </w:r>
      <w:r w:rsidRPr="001E69D4">
        <w:t xml:space="preserve">). The moderate share of foreign debt in GDP provides scope for BH to borrow for key investments (infrastructure) that will fuel economic growth and improve competitiveness. After a drop of the GDP in 2009, BH began a slow recovery, with estimated real GDP growth of 0.7 per cent in 2010 and 1.6 per cent in 2011, according to the </w:t>
      </w:r>
      <w:r w:rsidR="00AD0CE7" w:rsidRPr="00AD0CE7">
        <w:t>Economist</w:t>
      </w:r>
      <w:r w:rsidRPr="001E69D4">
        <w:t xml:space="preserve"> Intelligence Unit. </w:t>
      </w:r>
    </w:p>
    <w:p w:rsidR="00162CD2" w:rsidRPr="001E69D4" w:rsidRDefault="00162CD2" w:rsidP="00B7195F">
      <w:pPr>
        <w:rPr>
          <w:rStyle w:val="Style11pt"/>
          <w:rFonts w:ascii="Calibri" w:hAnsi="Calibri" w:cs="Calibri"/>
        </w:rPr>
      </w:pPr>
      <w:r w:rsidRPr="001E69D4">
        <w:t xml:space="preserve">The requirements of integration into the EU have shaped all BH macroeconomic policies and the development of an institutional and regulatory framework. Entry into the EU had been proclaimed </w:t>
      </w:r>
      <w:r>
        <w:t xml:space="preserve">domestically </w:t>
      </w:r>
      <w:r w:rsidRPr="001E69D4">
        <w:t>as the ultimate goal of BH development. Trade liberalization</w:t>
      </w:r>
      <w:r w:rsidRPr="001E69D4">
        <w:rPr>
          <w:rStyle w:val="Style11pt"/>
          <w:rFonts w:ascii="Calibri" w:hAnsi="Calibri" w:cs="Calibri"/>
        </w:rPr>
        <w:t xml:space="preserve"> and stronger economic integration of SEE markets </w:t>
      </w:r>
      <w:r w:rsidRPr="001E69D4">
        <w:t xml:space="preserve">are an integral, mandatory part of the EU accession process. Since its formation BH has signed bilateral free trade agreements with neighbouring </w:t>
      </w:r>
      <w:smartTag w:uri="urn:schemas-microsoft-com:office:smarttags" w:element="country-region">
        <w:r w:rsidRPr="001E69D4">
          <w:rPr>
            <w:color w:val="000000"/>
          </w:rPr>
          <w:t>Albania</w:t>
        </w:r>
      </w:smartTag>
      <w:r w:rsidRPr="001E69D4">
        <w:rPr>
          <w:color w:val="000000"/>
        </w:rPr>
        <w:t xml:space="preserve">, </w:t>
      </w:r>
      <w:smartTag w:uri="urn:schemas-microsoft-com:office:smarttags" w:element="country-region">
        <w:r w:rsidRPr="001E69D4">
          <w:rPr>
            <w:color w:val="000000"/>
          </w:rPr>
          <w:t>Croatia</w:t>
        </w:r>
      </w:smartTag>
      <w:r w:rsidRPr="001E69D4">
        <w:rPr>
          <w:color w:val="000000"/>
        </w:rPr>
        <w:t xml:space="preserve">, </w:t>
      </w:r>
      <w:smartTag w:uri="urn:schemas-microsoft-com:office:smarttags" w:element="country-region">
        <w:r w:rsidRPr="001E69D4">
          <w:rPr>
            <w:color w:val="000000"/>
          </w:rPr>
          <w:t>Macedonia</w:t>
        </w:r>
      </w:smartTag>
      <w:r w:rsidRPr="001E69D4">
        <w:rPr>
          <w:color w:val="000000"/>
        </w:rPr>
        <w:t xml:space="preserve">, </w:t>
      </w:r>
      <w:smartTag w:uri="urn:schemas-microsoft-com:office:smarttags" w:element="country-region">
        <w:r w:rsidRPr="001E69D4">
          <w:rPr>
            <w:color w:val="000000"/>
          </w:rPr>
          <w:t>Moldova</w:t>
        </w:r>
      </w:smartTag>
      <w:r w:rsidRPr="001E69D4">
        <w:rPr>
          <w:color w:val="000000"/>
        </w:rPr>
        <w:t xml:space="preserve">, </w:t>
      </w:r>
      <w:smartTag w:uri="urn:schemas-microsoft-com:office:smarttags" w:element="country-region">
        <w:r w:rsidRPr="001E69D4">
          <w:rPr>
            <w:color w:val="000000"/>
          </w:rPr>
          <w:t>Romania</w:t>
        </w:r>
      </w:smartTag>
      <w:r w:rsidRPr="001E69D4">
        <w:rPr>
          <w:color w:val="000000"/>
        </w:rPr>
        <w:t xml:space="preserve">, Serbia−Montenegro, and </w:t>
      </w:r>
      <w:smartTag w:uri="urn:schemas-microsoft-com:office:smarttags" w:element="country-region">
        <w:smartTag w:uri="urn:schemas-microsoft-com:office:smarttags" w:element="place">
          <w:r w:rsidRPr="001E69D4">
            <w:rPr>
              <w:color w:val="000000"/>
            </w:rPr>
            <w:t>Turkey</w:t>
          </w:r>
        </w:smartTag>
      </w:smartTag>
      <w:r w:rsidRPr="001E69D4">
        <w:t xml:space="preserve"> to form a single regional trade agreement, the Central European Free Trade Agreement (CEFTA). </w:t>
      </w:r>
      <w:r w:rsidRPr="001E69D4">
        <w:rPr>
          <w:lang w:eastAsia="hr-HR"/>
        </w:rPr>
        <w:t xml:space="preserve">In mid-2008 BH signed the Stabilization and Association Agreement with the EU </w:t>
      </w:r>
      <w:r w:rsidRPr="001E69D4">
        <w:t xml:space="preserve">and is planning to join the WTO. This three-pronged approach (bilateral, regional, and multilateral) to trade policy both widens and deepens BH’s integration into the world economy. </w:t>
      </w:r>
      <w:r w:rsidRPr="001E69D4">
        <w:rPr>
          <w:color w:val="000000"/>
        </w:rPr>
        <w:t xml:space="preserve">Currently, BH has </w:t>
      </w:r>
      <w:r w:rsidRPr="001E69D4">
        <w:rPr>
          <w:rStyle w:val="Style11pt"/>
          <w:rFonts w:ascii="Calibri" w:hAnsi="Calibri" w:cs="Calibri"/>
        </w:rPr>
        <w:t>the lowest average applied tariffs in the region (</w:t>
      </w:r>
      <w:proofErr w:type="spellStart"/>
      <w:r w:rsidRPr="001E69D4">
        <w:rPr>
          <w:rStyle w:val="Style11pt"/>
          <w:rFonts w:ascii="Calibri" w:hAnsi="Calibri" w:cs="Calibri"/>
        </w:rPr>
        <w:t>Čaušević</w:t>
      </w:r>
      <w:proofErr w:type="spellEnd"/>
      <w:r w:rsidRPr="001E69D4">
        <w:rPr>
          <w:rStyle w:val="Style11pt"/>
          <w:rFonts w:ascii="Calibri" w:hAnsi="Calibri" w:cs="Calibri"/>
        </w:rPr>
        <w:t>, 2006)</w:t>
      </w:r>
      <w:r>
        <w:rPr>
          <w:rStyle w:val="Style11pt"/>
          <w:rFonts w:ascii="Calibri" w:hAnsi="Calibri" w:cs="Calibri"/>
        </w:rPr>
        <w:t>. This includes zero</w:t>
      </w:r>
      <w:r w:rsidRPr="001E69D4">
        <w:rPr>
          <w:rStyle w:val="Style11pt"/>
          <w:rFonts w:ascii="Calibri" w:hAnsi="Calibri" w:cs="Calibri"/>
        </w:rPr>
        <w:t xml:space="preserve"> applied tariffs for the CEFTA countries and </w:t>
      </w:r>
      <w:r>
        <w:rPr>
          <w:rStyle w:val="Style11pt"/>
          <w:rFonts w:ascii="Calibri" w:hAnsi="Calibri" w:cs="Calibri"/>
        </w:rPr>
        <w:t xml:space="preserve">a </w:t>
      </w:r>
      <w:r w:rsidRPr="001E69D4">
        <w:rPr>
          <w:rStyle w:val="Style11pt"/>
          <w:rFonts w:ascii="Calibri" w:hAnsi="Calibri" w:cs="Calibri"/>
        </w:rPr>
        <w:t xml:space="preserve">gradual lowering of tariffs </w:t>
      </w:r>
      <w:r>
        <w:rPr>
          <w:rStyle w:val="Style11pt"/>
          <w:rFonts w:ascii="Calibri" w:hAnsi="Calibri" w:cs="Calibri"/>
        </w:rPr>
        <w:t>on imports from</w:t>
      </w:r>
      <w:r w:rsidRPr="001E69D4">
        <w:rPr>
          <w:rStyle w:val="Style11pt"/>
          <w:rFonts w:ascii="Calibri" w:hAnsi="Calibri" w:cs="Calibri"/>
        </w:rPr>
        <w:t xml:space="preserve"> EU countries. Likewise, BH faces almost no tariffs </w:t>
      </w:r>
      <w:r w:rsidRPr="001E69D4">
        <w:rPr>
          <w:rStyle w:val="Style11pt"/>
          <w:rFonts w:ascii="Calibri" w:hAnsi="Calibri" w:cs="Calibri"/>
        </w:rPr>
        <w:lastRenderedPageBreak/>
        <w:t xml:space="preserve">in exporting to the CEFTA countries, and more than 90 per cent of agricultural exports to the EU are duty-free. </w:t>
      </w:r>
    </w:p>
    <w:p w:rsidR="00162CD2" w:rsidRPr="001E69D4" w:rsidRDefault="00162CD2">
      <w:pPr>
        <w:rPr>
          <w:rStyle w:val="Style11pt"/>
          <w:rFonts w:ascii="Calibri" w:hAnsi="Calibri" w:cs="Calibri"/>
        </w:rPr>
      </w:pPr>
      <w:r w:rsidRPr="001E69D4">
        <w:rPr>
          <w:rStyle w:val="Style11pt"/>
          <w:rFonts w:ascii="Calibri" w:hAnsi="Calibri" w:cs="Calibri"/>
        </w:rPr>
        <w:t xml:space="preserve">Trade liberalization can significantly affect domestic competitiveness and, consequently, depending on comparative advantage, the patterns of production and trade as well as consumption. Trade liberalization also creates new </w:t>
      </w:r>
      <w:r w:rsidRPr="001E69D4">
        <w:t>relationships between countries at the multilateral and regional levels and in a wide range of economic sectors (</w:t>
      </w:r>
      <w:proofErr w:type="spellStart"/>
      <w:r w:rsidRPr="001E69D4">
        <w:t>Hallatt</w:t>
      </w:r>
      <w:proofErr w:type="spellEnd"/>
      <w:r w:rsidRPr="001E69D4">
        <w:t>, 2005)</w:t>
      </w:r>
      <w:r w:rsidRPr="001E69D4">
        <w:rPr>
          <w:rStyle w:val="Style11pt"/>
          <w:rFonts w:ascii="Calibri" w:hAnsi="Calibri" w:cs="Calibri"/>
        </w:rPr>
        <w:t xml:space="preserve">. The change in the value of total BH imports and exports over time illustrates this. After initial trade liberalization in 2004, exports and imports have increased each year, except in 2009 as a consequence of the global economic crisis (table </w:t>
      </w:r>
      <w:r w:rsidR="00F93001">
        <w:rPr>
          <w:rStyle w:val="Style11pt"/>
          <w:rFonts w:ascii="Calibri" w:hAnsi="Calibri" w:cs="Calibri"/>
        </w:rPr>
        <w:t>9</w:t>
      </w:r>
      <w:r w:rsidRPr="001E69D4">
        <w:rPr>
          <w:rStyle w:val="Style11pt"/>
          <w:rFonts w:ascii="Calibri" w:hAnsi="Calibri" w:cs="Calibri"/>
        </w:rPr>
        <w:t>.1).</w:t>
      </w:r>
    </w:p>
    <w:p w:rsidR="00162CD2" w:rsidRPr="0097058E" w:rsidRDefault="000A120D" w:rsidP="00CA1614">
      <w:pPr>
        <w:pStyle w:val="Tabletitle"/>
      </w:pPr>
      <w:r w:rsidRPr="000A120D">
        <w:t>Table 9.1:</w:t>
      </w:r>
      <w:r w:rsidRPr="000A120D">
        <w:tab/>
        <w:t>Annual growth in BH trade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840"/>
        <w:gridCol w:w="2841"/>
        <w:gridCol w:w="2841"/>
      </w:tblGrid>
      <w:tr w:rsidR="00162CD2" w:rsidRPr="008A36EB" w:rsidTr="00503F5A">
        <w:tc>
          <w:tcPr>
            <w:tcW w:w="2840" w:type="dxa"/>
          </w:tcPr>
          <w:p w:rsidR="00162CD2" w:rsidRPr="00424A04" w:rsidRDefault="00424A04" w:rsidP="00153DB4">
            <w:pPr>
              <w:spacing w:after="0" w:line="240" w:lineRule="auto"/>
              <w:ind w:firstLine="0"/>
              <w:rPr>
                <w:rStyle w:val="Style11pt"/>
                <w:rFonts w:ascii="Calibri" w:hAnsi="Calibri" w:cs="Calibri"/>
                <w:b/>
              </w:rPr>
            </w:pPr>
            <w:r w:rsidRPr="00424A04">
              <w:rPr>
                <w:rStyle w:val="Style11pt"/>
                <w:rFonts w:ascii="Calibri" w:hAnsi="Calibri" w:cs="Calibri"/>
                <w:b/>
              </w:rPr>
              <w:t>Year</w:t>
            </w:r>
          </w:p>
        </w:tc>
        <w:tc>
          <w:tcPr>
            <w:tcW w:w="2841" w:type="dxa"/>
            <w:vAlign w:val="bottom"/>
          </w:tcPr>
          <w:p w:rsidR="00162CD2" w:rsidRPr="00424A04" w:rsidRDefault="00162CD2" w:rsidP="00153DB4">
            <w:pPr>
              <w:spacing w:after="0" w:line="240" w:lineRule="auto"/>
              <w:ind w:firstLine="0"/>
              <w:rPr>
                <w:rStyle w:val="Style11pt"/>
                <w:rFonts w:ascii="Calibri" w:hAnsi="Calibri" w:cs="Calibri"/>
                <w:b/>
              </w:rPr>
            </w:pPr>
            <w:r w:rsidRPr="00424A04">
              <w:rPr>
                <w:rStyle w:val="Style11pt"/>
                <w:rFonts w:ascii="Calibri" w:hAnsi="Calibri" w:cs="Calibri"/>
                <w:b/>
              </w:rPr>
              <w:t>Growth of exports (%)</w:t>
            </w:r>
          </w:p>
        </w:tc>
        <w:tc>
          <w:tcPr>
            <w:tcW w:w="2841" w:type="dxa"/>
            <w:vAlign w:val="bottom"/>
          </w:tcPr>
          <w:p w:rsidR="00162CD2" w:rsidRPr="00424A04" w:rsidRDefault="00162CD2" w:rsidP="00153DB4">
            <w:pPr>
              <w:spacing w:after="0" w:line="240" w:lineRule="auto"/>
              <w:ind w:firstLine="0"/>
              <w:rPr>
                <w:rStyle w:val="Style11pt"/>
                <w:rFonts w:ascii="Calibri" w:hAnsi="Calibri" w:cs="Calibri"/>
                <w:b/>
              </w:rPr>
            </w:pPr>
            <w:r w:rsidRPr="00424A04">
              <w:rPr>
                <w:rStyle w:val="Style11pt"/>
                <w:rFonts w:ascii="Calibri" w:hAnsi="Calibri" w:cs="Calibri"/>
                <w:b/>
              </w:rPr>
              <w:t>Growth of imports (%)</w:t>
            </w:r>
          </w:p>
        </w:tc>
      </w:tr>
      <w:tr w:rsidR="00162CD2" w:rsidRPr="008A36EB" w:rsidTr="00503F5A">
        <w:tc>
          <w:tcPr>
            <w:tcW w:w="2840" w:type="dxa"/>
          </w:tcPr>
          <w:p w:rsidR="00162CD2" w:rsidRPr="001E69D4" w:rsidRDefault="00162CD2" w:rsidP="00153DB4">
            <w:pPr>
              <w:spacing w:after="0" w:line="240" w:lineRule="auto"/>
              <w:ind w:firstLine="0"/>
              <w:rPr>
                <w:rStyle w:val="Style11pt"/>
                <w:rFonts w:ascii="Calibri" w:hAnsi="Calibri" w:cs="Calibri"/>
              </w:rPr>
            </w:pPr>
            <w:r w:rsidRPr="001E69D4">
              <w:rPr>
                <w:rStyle w:val="Style11pt"/>
                <w:rFonts w:ascii="Calibri" w:hAnsi="Calibri" w:cs="Calibri"/>
              </w:rPr>
              <w:t>2006</w:t>
            </w:r>
          </w:p>
        </w:tc>
        <w:tc>
          <w:tcPr>
            <w:tcW w:w="2841" w:type="dxa"/>
            <w:vAlign w:val="bottom"/>
          </w:tcPr>
          <w:p w:rsidR="00162CD2" w:rsidRPr="001E69D4" w:rsidRDefault="00162CD2" w:rsidP="00153DB4">
            <w:pPr>
              <w:spacing w:after="0" w:line="240" w:lineRule="auto"/>
              <w:ind w:firstLine="0"/>
              <w:rPr>
                <w:rStyle w:val="Style11pt"/>
                <w:rFonts w:ascii="Calibri" w:hAnsi="Calibri" w:cs="Calibri"/>
              </w:rPr>
            </w:pPr>
            <w:r w:rsidRPr="001E69D4">
              <w:rPr>
                <w:rStyle w:val="Style11pt"/>
                <w:rFonts w:ascii="Calibri" w:hAnsi="Calibri" w:cs="Calibri"/>
              </w:rPr>
              <w:t>36</w:t>
            </w:r>
          </w:p>
        </w:tc>
        <w:tc>
          <w:tcPr>
            <w:tcW w:w="2841" w:type="dxa"/>
            <w:vAlign w:val="bottom"/>
          </w:tcPr>
          <w:p w:rsidR="00162CD2" w:rsidRPr="001E69D4" w:rsidRDefault="00162CD2" w:rsidP="00153DB4">
            <w:pPr>
              <w:spacing w:after="0" w:line="240" w:lineRule="auto"/>
              <w:ind w:firstLine="0"/>
              <w:rPr>
                <w:rStyle w:val="Style11pt"/>
                <w:rFonts w:ascii="Calibri" w:hAnsi="Calibri" w:cs="Calibri"/>
              </w:rPr>
            </w:pPr>
            <w:r w:rsidRPr="001E69D4">
              <w:rPr>
                <w:rStyle w:val="Style11pt"/>
                <w:rFonts w:ascii="Calibri" w:hAnsi="Calibri" w:cs="Calibri"/>
              </w:rPr>
              <w:t>1.8</w:t>
            </w:r>
          </w:p>
        </w:tc>
      </w:tr>
      <w:tr w:rsidR="00162CD2" w:rsidRPr="008A36EB" w:rsidTr="00503F5A">
        <w:tc>
          <w:tcPr>
            <w:tcW w:w="2840" w:type="dxa"/>
          </w:tcPr>
          <w:p w:rsidR="00162CD2" w:rsidRPr="001E69D4" w:rsidRDefault="00162CD2" w:rsidP="00153DB4">
            <w:pPr>
              <w:spacing w:after="0" w:line="240" w:lineRule="auto"/>
              <w:ind w:firstLine="0"/>
              <w:rPr>
                <w:rStyle w:val="Style11pt"/>
                <w:rFonts w:ascii="Calibri" w:hAnsi="Calibri" w:cs="Calibri"/>
              </w:rPr>
            </w:pPr>
            <w:r w:rsidRPr="001E69D4">
              <w:rPr>
                <w:rStyle w:val="Style11pt"/>
                <w:rFonts w:ascii="Calibri" w:hAnsi="Calibri" w:cs="Calibri"/>
              </w:rPr>
              <w:t>2007</w:t>
            </w:r>
          </w:p>
        </w:tc>
        <w:tc>
          <w:tcPr>
            <w:tcW w:w="2841" w:type="dxa"/>
            <w:vAlign w:val="bottom"/>
          </w:tcPr>
          <w:p w:rsidR="00162CD2" w:rsidRPr="001E69D4" w:rsidRDefault="00162CD2" w:rsidP="00153DB4">
            <w:pPr>
              <w:spacing w:after="0" w:line="240" w:lineRule="auto"/>
              <w:ind w:firstLine="0"/>
              <w:rPr>
                <w:rStyle w:val="Style11pt"/>
                <w:rFonts w:ascii="Calibri" w:hAnsi="Calibri" w:cs="Calibri"/>
              </w:rPr>
            </w:pPr>
            <w:r w:rsidRPr="001E69D4">
              <w:rPr>
                <w:rStyle w:val="Style11pt"/>
                <w:rFonts w:ascii="Calibri" w:hAnsi="Calibri" w:cs="Calibri"/>
              </w:rPr>
              <w:t>15</w:t>
            </w:r>
          </w:p>
        </w:tc>
        <w:tc>
          <w:tcPr>
            <w:tcW w:w="2841" w:type="dxa"/>
            <w:vAlign w:val="bottom"/>
          </w:tcPr>
          <w:p w:rsidR="00162CD2" w:rsidRPr="001E69D4" w:rsidRDefault="00162CD2" w:rsidP="00153DB4">
            <w:pPr>
              <w:spacing w:after="0" w:line="240" w:lineRule="auto"/>
              <w:ind w:firstLine="0"/>
              <w:rPr>
                <w:rStyle w:val="Style11pt"/>
                <w:rFonts w:ascii="Calibri" w:hAnsi="Calibri" w:cs="Calibri"/>
              </w:rPr>
            </w:pPr>
            <w:r w:rsidRPr="001E69D4">
              <w:rPr>
                <w:rStyle w:val="Style11pt"/>
                <w:rFonts w:ascii="Calibri" w:hAnsi="Calibri" w:cs="Calibri"/>
              </w:rPr>
              <w:t>22</w:t>
            </w:r>
          </w:p>
        </w:tc>
      </w:tr>
      <w:tr w:rsidR="00162CD2" w:rsidRPr="008A36EB" w:rsidTr="00503F5A">
        <w:tc>
          <w:tcPr>
            <w:tcW w:w="2840" w:type="dxa"/>
          </w:tcPr>
          <w:p w:rsidR="00162CD2" w:rsidRPr="001E69D4" w:rsidRDefault="00162CD2" w:rsidP="00153DB4">
            <w:pPr>
              <w:spacing w:after="0" w:line="240" w:lineRule="auto"/>
              <w:ind w:firstLine="0"/>
              <w:rPr>
                <w:rStyle w:val="Style11pt"/>
                <w:rFonts w:ascii="Calibri" w:hAnsi="Calibri" w:cs="Calibri"/>
              </w:rPr>
            </w:pPr>
            <w:r w:rsidRPr="001E69D4">
              <w:rPr>
                <w:rStyle w:val="Style11pt"/>
                <w:rFonts w:ascii="Calibri" w:hAnsi="Calibri" w:cs="Calibri"/>
              </w:rPr>
              <w:t>2008</w:t>
            </w:r>
          </w:p>
        </w:tc>
        <w:tc>
          <w:tcPr>
            <w:tcW w:w="2841" w:type="dxa"/>
            <w:vAlign w:val="bottom"/>
          </w:tcPr>
          <w:p w:rsidR="00162CD2" w:rsidRPr="001E69D4" w:rsidRDefault="00162CD2" w:rsidP="00153DB4">
            <w:pPr>
              <w:spacing w:after="0" w:line="240" w:lineRule="auto"/>
              <w:ind w:firstLine="0"/>
              <w:rPr>
                <w:rStyle w:val="Style11pt"/>
                <w:rFonts w:ascii="Calibri" w:hAnsi="Calibri" w:cs="Calibri"/>
              </w:rPr>
            </w:pPr>
            <w:r w:rsidRPr="001E69D4">
              <w:rPr>
                <w:rStyle w:val="Style11pt"/>
                <w:rFonts w:ascii="Calibri" w:hAnsi="Calibri" w:cs="Calibri"/>
              </w:rPr>
              <w:t>13</w:t>
            </w:r>
          </w:p>
        </w:tc>
        <w:tc>
          <w:tcPr>
            <w:tcW w:w="2841" w:type="dxa"/>
            <w:vAlign w:val="bottom"/>
          </w:tcPr>
          <w:p w:rsidR="00162CD2" w:rsidRPr="001E69D4" w:rsidRDefault="00162CD2" w:rsidP="00153DB4">
            <w:pPr>
              <w:spacing w:after="0" w:line="240" w:lineRule="auto"/>
              <w:ind w:firstLine="0"/>
              <w:rPr>
                <w:rStyle w:val="Style11pt"/>
                <w:rFonts w:ascii="Calibri" w:hAnsi="Calibri" w:cs="Calibri"/>
              </w:rPr>
            </w:pPr>
            <w:r w:rsidRPr="001E69D4">
              <w:rPr>
                <w:rStyle w:val="Style11pt"/>
                <w:rFonts w:ascii="Calibri" w:hAnsi="Calibri" w:cs="Calibri"/>
              </w:rPr>
              <w:t>17</w:t>
            </w:r>
          </w:p>
        </w:tc>
      </w:tr>
      <w:tr w:rsidR="00162CD2" w:rsidRPr="008A36EB" w:rsidTr="00503F5A">
        <w:tc>
          <w:tcPr>
            <w:tcW w:w="2840" w:type="dxa"/>
          </w:tcPr>
          <w:p w:rsidR="00162CD2" w:rsidRPr="001E69D4" w:rsidRDefault="00162CD2" w:rsidP="00153DB4">
            <w:pPr>
              <w:spacing w:after="0" w:line="240" w:lineRule="auto"/>
              <w:ind w:firstLine="0"/>
              <w:rPr>
                <w:rStyle w:val="Style11pt"/>
                <w:rFonts w:ascii="Calibri" w:hAnsi="Calibri" w:cs="Calibri"/>
              </w:rPr>
            </w:pPr>
            <w:r w:rsidRPr="001E69D4">
              <w:rPr>
                <w:rStyle w:val="Style11pt"/>
                <w:rFonts w:ascii="Calibri" w:hAnsi="Calibri" w:cs="Calibri"/>
              </w:rPr>
              <w:t>2009</w:t>
            </w:r>
          </w:p>
        </w:tc>
        <w:tc>
          <w:tcPr>
            <w:tcW w:w="2841" w:type="dxa"/>
            <w:vAlign w:val="bottom"/>
          </w:tcPr>
          <w:p w:rsidR="00162CD2" w:rsidRPr="001E69D4" w:rsidRDefault="006A492D" w:rsidP="00153DB4">
            <w:pPr>
              <w:spacing w:after="0" w:line="240" w:lineRule="auto"/>
              <w:ind w:firstLine="0"/>
              <w:rPr>
                <w:rStyle w:val="Style11pt"/>
                <w:rFonts w:ascii="Calibri" w:hAnsi="Calibri" w:cs="Calibri"/>
              </w:rPr>
            </w:pPr>
            <w:r>
              <w:rPr>
                <w:rStyle w:val="Style11pt"/>
                <w:rFonts w:ascii="Calibri" w:hAnsi="Calibri" w:cs="Calibri"/>
              </w:rPr>
              <w:t>−</w:t>
            </w:r>
            <w:r w:rsidR="00162CD2" w:rsidRPr="001E69D4">
              <w:rPr>
                <w:rStyle w:val="Style11pt"/>
                <w:rFonts w:ascii="Calibri" w:hAnsi="Calibri" w:cs="Calibri"/>
              </w:rPr>
              <w:t>17</w:t>
            </w:r>
          </w:p>
        </w:tc>
        <w:tc>
          <w:tcPr>
            <w:tcW w:w="2841" w:type="dxa"/>
            <w:vAlign w:val="bottom"/>
          </w:tcPr>
          <w:p w:rsidR="00162CD2" w:rsidRPr="001E69D4" w:rsidRDefault="006A492D" w:rsidP="00153DB4">
            <w:pPr>
              <w:spacing w:after="0" w:line="240" w:lineRule="auto"/>
              <w:ind w:firstLine="0"/>
              <w:rPr>
                <w:rStyle w:val="Style11pt"/>
                <w:rFonts w:ascii="Calibri" w:hAnsi="Calibri" w:cs="Calibri"/>
              </w:rPr>
            </w:pPr>
            <w:r>
              <w:rPr>
                <w:rStyle w:val="Style11pt"/>
                <w:rFonts w:ascii="Calibri" w:hAnsi="Calibri" w:cs="Calibri"/>
              </w:rPr>
              <w:t>−</w:t>
            </w:r>
            <w:r w:rsidR="00162CD2" w:rsidRPr="001E69D4">
              <w:rPr>
                <w:rStyle w:val="Style11pt"/>
                <w:rFonts w:ascii="Calibri" w:hAnsi="Calibri" w:cs="Calibri"/>
              </w:rPr>
              <w:t>24</w:t>
            </w:r>
          </w:p>
        </w:tc>
      </w:tr>
      <w:tr w:rsidR="00162CD2" w:rsidRPr="008A36EB" w:rsidTr="00503F5A">
        <w:tc>
          <w:tcPr>
            <w:tcW w:w="2840" w:type="dxa"/>
          </w:tcPr>
          <w:p w:rsidR="00162CD2" w:rsidRPr="001E69D4" w:rsidRDefault="00162CD2" w:rsidP="00153DB4">
            <w:pPr>
              <w:spacing w:after="0" w:line="240" w:lineRule="auto"/>
              <w:ind w:firstLine="0"/>
              <w:rPr>
                <w:rStyle w:val="Style11pt"/>
                <w:rFonts w:ascii="Calibri" w:hAnsi="Calibri" w:cs="Calibri"/>
              </w:rPr>
            </w:pPr>
            <w:r w:rsidRPr="001E69D4">
              <w:rPr>
                <w:rStyle w:val="Style11pt"/>
                <w:rFonts w:ascii="Calibri" w:hAnsi="Calibri" w:cs="Calibri"/>
              </w:rPr>
              <w:t>2010</w:t>
            </w:r>
          </w:p>
        </w:tc>
        <w:tc>
          <w:tcPr>
            <w:tcW w:w="2841" w:type="dxa"/>
            <w:vAlign w:val="bottom"/>
          </w:tcPr>
          <w:p w:rsidR="00162CD2" w:rsidRPr="001E69D4" w:rsidRDefault="00162CD2" w:rsidP="00153DB4">
            <w:pPr>
              <w:spacing w:after="0" w:line="240" w:lineRule="auto"/>
              <w:ind w:firstLine="0"/>
              <w:rPr>
                <w:rStyle w:val="Style11pt"/>
                <w:rFonts w:ascii="Calibri" w:hAnsi="Calibri" w:cs="Calibri"/>
              </w:rPr>
            </w:pPr>
            <w:r w:rsidRPr="001E69D4">
              <w:rPr>
                <w:rStyle w:val="Style11pt"/>
                <w:rFonts w:ascii="Calibri" w:hAnsi="Calibri" w:cs="Calibri"/>
              </w:rPr>
              <w:t>28</w:t>
            </w:r>
          </w:p>
        </w:tc>
        <w:tc>
          <w:tcPr>
            <w:tcW w:w="2841" w:type="dxa"/>
            <w:vAlign w:val="bottom"/>
          </w:tcPr>
          <w:p w:rsidR="00162CD2" w:rsidRPr="001E69D4" w:rsidRDefault="00162CD2" w:rsidP="00153DB4">
            <w:pPr>
              <w:spacing w:after="0" w:line="240" w:lineRule="auto"/>
              <w:ind w:firstLine="0"/>
              <w:rPr>
                <w:rStyle w:val="Style11pt"/>
                <w:rFonts w:ascii="Calibri" w:hAnsi="Calibri" w:cs="Calibri"/>
              </w:rPr>
            </w:pPr>
            <w:r w:rsidRPr="001E69D4">
              <w:rPr>
                <w:rStyle w:val="Style11pt"/>
                <w:rFonts w:ascii="Calibri" w:hAnsi="Calibri" w:cs="Calibri"/>
              </w:rPr>
              <w:t>10</w:t>
            </w:r>
          </w:p>
        </w:tc>
      </w:tr>
      <w:tr w:rsidR="00162CD2" w:rsidRPr="008A36EB" w:rsidTr="00503F5A">
        <w:tc>
          <w:tcPr>
            <w:tcW w:w="2840" w:type="dxa"/>
          </w:tcPr>
          <w:p w:rsidR="00162CD2" w:rsidRPr="001E69D4" w:rsidRDefault="00162CD2" w:rsidP="00153DB4">
            <w:pPr>
              <w:spacing w:after="0" w:line="240" w:lineRule="auto"/>
              <w:ind w:firstLine="0"/>
              <w:rPr>
                <w:rStyle w:val="Style11pt"/>
                <w:rFonts w:ascii="Calibri" w:hAnsi="Calibri" w:cs="Calibri"/>
              </w:rPr>
            </w:pPr>
            <w:r w:rsidRPr="001E69D4">
              <w:rPr>
                <w:rStyle w:val="Style11pt"/>
                <w:rFonts w:ascii="Calibri" w:hAnsi="Calibri" w:cs="Calibri"/>
              </w:rPr>
              <w:t>2011</w:t>
            </w:r>
          </w:p>
        </w:tc>
        <w:tc>
          <w:tcPr>
            <w:tcW w:w="2841" w:type="dxa"/>
            <w:vAlign w:val="bottom"/>
          </w:tcPr>
          <w:p w:rsidR="00162CD2" w:rsidRPr="001E69D4" w:rsidRDefault="00162CD2" w:rsidP="00153DB4">
            <w:pPr>
              <w:spacing w:after="0" w:line="240" w:lineRule="auto"/>
              <w:ind w:firstLine="0"/>
              <w:rPr>
                <w:rStyle w:val="Style11pt"/>
                <w:rFonts w:ascii="Calibri" w:hAnsi="Calibri" w:cs="Calibri"/>
              </w:rPr>
            </w:pPr>
            <w:r w:rsidRPr="001E69D4">
              <w:rPr>
                <w:rStyle w:val="Style11pt"/>
                <w:rFonts w:ascii="Calibri" w:hAnsi="Calibri" w:cs="Calibri"/>
              </w:rPr>
              <w:t>16</w:t>
            </w:r>
          </w:p>
        </w:tc>
        <w:tc>
          <w:tcPr>
            <w:tcW w:w="2841" w:type="dxa"/>
            <w:vAlign w:val="bottom"/>
          </w:tcPr>
          <w:p w:rsidR="00162CD2" w:rsidRPr="001E69D4" w:rsidRDefault="00162CD2" w:rsidP="00153DB4">
            <w:pPr>
              <w:spacing w:after="0" w:line="240" w:lineRule="auto"/>
              <w:ind w:firstLine="0"/>
              <w:rPr>
                <w:rStyle w:val="Style11pt"/>
                <w:rFonts w:ascii="Calibri" w:hAnsi="Calibri" w:cs="Calibri"/>
              </w:rPr>
            </w:pPr>
            <w:r w:rsidRPr="001E69D4">
              <w:rPr>
                <w:rStyle w:val="Style11pt"/>
                <w:rFonts w:ascii="Calibri" w:hAnsi="Calibri" w:cs="Calibri"/>
              </w:rPr>
              <w:t>14</w:t>
            </w:r>
          </w:p>
        </w:tc>
      </w:tr>
    </w:tbl>
    <w:p w:rsidR="00162CD2" w:rsidRPr="001E69D4" w:rsidRDefault="00162CD2" w:rsidP="002A371E">
      <w:pPr>
        <w:pStyle w:val="Footnotes"/>
      </w:pPr>
      <w:r w:rsidRPr="001E69D4">
        <w:rPr>
          <w:rStyle w:val="Style11pt"/>
          <w:rFonts w:ascii="Calibri" w:hAnsi="Calibri"/>
          <w:sz w:val="20"/>
        </w:rPr>
        <w:t xml:space="preserve">Source: </w:t>
      </w:r>
      <w:r w:rsidRPr="001E69D4">
        <w:t xml:space="preserve">Central Bank of </w:t>
      </w:r>
      <w:smartTag w:uri="urn:schemas-microsoft-com:office:smarttags" w:element="country-region">
        <w:smartTag w:uri="urn:schemas-microsoft-com:office:smarttags" w:element="place">
          <w:r w:rsidRPr="001E69D4">
            <w:t>Bosnia and Herzegovina</w:t>
          </w:r>
        </w:smartTag>
      </w:smartTag>
      <w:r w:rsidRPr="001E69D4">
        <w:t>.</w:t>
      </w:r>
    </w:p>
    <w:p w:rsidR="00162CD2" w:rsidRPr="001E69D4" w:rsidRDefault="00162CD2">
      <w:pPr>
        <w:rPr>
          <w:rStyle w:val="Style11pt"/>
          <w:rFonts w:ascii="Calibri" w:hAnsi="Calibri" w:cs="Calibri"/>
        </w:rPr>
      </w:pPr>
      <w:r w:rsidRPr="001E69D4">
        <w:rPr>
          <w:rStyle w:val="Style11pt"/>
          <w:rFonts w:ascii="Calibri" w:hAnsi="Calibri" w:cs="Calibri"/>
        </w:rPr>
        <w:t>In spite of a rapid growth in exports, in 2011 imports far exceeded imports – €7,938 million in imports compared with €4,209 million in exports. Although the trade deficit is significant as a share of GDP, it has been decreasing steadily, from about 36 per cent in 2007 to 26 per cent in 2011. At the same time trade is becoming more important. The share of trade in GDP has been steadily increasing, from 42.7 per cent in 2007 to about 53 per cent in 2011. This trend is expected to continue as BH integrates into the regional and global economies.</w:t>
      </w:r>
    </w:p>
    <w:p w:rsidR="00162CD2" w:rsidRPr="001E69D4" w:rsidRDefault="00162CD2">
      <w:pPr>
        <w:rPr>
          <w:lang w:eastAsia="hr-HR"/>
        </w:rPr>
      </w:pPr>
      <w:r w:rsidRPr="001E69D4">
        <w:t>Following trade liberalization in BH, the contribution of tariffs to government revenues has fallen slightly, from 13 per cent in 2006 to 11 per cent in 2007 (BH Indirect Tax Authority</w:t>
      </w:r>
      <w:r>
        <w:t>, 2008</w:t>
      </w:r>
      <w:r w:rsidRPr="001E69D4">
        <w:t>).</w:t>
      </w:r>
      <w:r w:rsidRPr="001E69D4">
        <w:rPr>
          <w:color w:val="000000"/>
        </w:rPr>
        <w:t xml:space="preserve"> As a result of trade agreements with the EU, </w:t>
      </w:r>
      <w:r w:rsidRPr="001E69D4">
        <w:rPr>
          <w:lang w:eastAsia="hr-HR"/>
        </w:rPr>
        <w:t xml:space="preserve">duty revenues </w:t>
      </w:r>
      <w:r>
        <w:rPr>
          <w:lang w:eastAsia="hr-HR"/>
        </w:rPr>
        <w:t>in 2008</w:t>
      </w:r>
      <w:r w:rsidRPr="001E69D4">
        <w:rPr>
          <w:lang w:eastAsia="hr-HR"/>
        </w:rPr>
        <w:t xml:space="preserve"> were 0.6 per cent less than those collected in 2007. However, full and more dramatic effects of the reduction in duty revenues were expected at the start of 200</w:t>
      </w:r>
      <w:r>
        <w:rPr>
          <w:lang w:eastAsia="hr-HR"/>
        </w:rPr>
        <w:t>9</w:t>
      </w:r>
      <w:r w:rsidRPr="001E69D4">
        <w:rPr>
          <w:lang w:eastAsia="hr-HR"/>
        </w:rPr>
        <w:t>, based on an additional reduction of duty rates, imports, and consumption</w:t>
      </w:r>
      <w:r w:rsidRPr="001E69D4">
        <w:rPr>
          <w:color w:val="000000"/>
        </w:rPr>
        <w:t xml:space="preserve"> (BH Directorate for Economic Planning, 2009)</w:t>
      </w:r>
      <w:r w:rsidRPr="001E69D4">
        <w:rPr>
          <w:lang w:eastAsia="hr-HR"/>
        </w:rPr>
        <w:t xml:space="preserve">. </w:t>
      </w:r>
      <w:r w:rsidRPr="001E69D4">
        <w:rPr>
          <w:rStyle w:val="hps"/>
          <w:rFonts w:cs="Calibri"/>
        </w:rPr>
        <w:t>Thus,</w:t>
      </w:r>
      <w:r w:rsidRPr="001E69D4">
        <w:rPr>
          <w:rStyle w:val="shorttext"/>
          <w:rFonts w:cs="Calibri"/>
        </w:rPr>
        <w:t xml:space="preserve"> </w:t>
      </w:r>
      <w:r w:rsidRPr="001E69D4">
        <w:rPr>
          <w:rStyle w:val="hps"/>
          <w:rFonts w:cs="Calibri"/>
        </w:rPr>
        <w:t>it is no surprise</w:t>
      </w:r>
      <w:r w:rsidRPr="001E69D4">
        <w:rPr>
          <w:rStyle w:val="shorttext"/>
          <w:rFonts w:cs="Calibri"/>
        </w:rPr>
        <w:t xml:space="preserve"> </w:t>
      </w:r>
      <w:r w:rsidRPr="001E69D4">
        <w:rPr>
          <w:rStyle w:val="hps"/>
          <w:rFonts w:cs="Calibri"/>
        </w:rPr>
        <w:t>that duty revenues contributed only 4.8 per cent of government revenues in 2011</w:t>
      </w:r>
      <w:r w:rsidR="00784AC8">
        <w:rPr>
          <w:rStyle w:val="hps"/>
          <w:rFonts w:cs="Calibri"/>
        </w:rPr>
        <w:t xml:space="preserve"> (</w:t>
      </w:r>
      <w:r w:rsidR="0075325A" w:rsidRPr="001E69D4">
        <w:t>BH Indirect Tax Authority</w:t>
      </w:r>
      <w:r w:rsidR="00784AC8">
        <w:rPr>
          <w:rStyle w:val="hps"/>
          <w:rFonts w:cs="Calibri"/>
        </w:rPr>
        <w:t>, 2012)</w:t>
      </w:r>
      <w:r w:rsidRPr="001E69D4">
        <w:rPr>
          <w:rStyle w:val="hps"/>
          <w:rFonts w:cs="Calibri"/>
        </w:rPr>
        <w:t>.</w:t>
      </w:r>
    </w:p>
    <w:p w:rsidR="00162CD2" w:rsidRPr="001E69D4" w:rsidRDefault="00162CD2">
      <w:pPr>
        <w:pStyle w:val="Follow-onparagraphstyle"/>
        <w:spacing w:line="276" w:lineRule="auto"/>
        <w:rPr>
          <w:rStyle w:val="Style11pt"/>
          <w:rFonts w:ascii="Calibri" w:hAnsi="Calibri" w:cs="Calibri"/>
        </w:rPr>
      </w:pPr>
      <w:r w:rsidRPr="001E69D4">
        <w:rPr>
          <w:rStyle w:val="Style11pt"/>
          <w:rFonts w:ascii="Calibri" w:hAnsi="Calibri" w:cs="Calibri"/>
        </w:rPr>
        <w:t xml:space="preserve">Even a superficial look at the major export and import sectors indicates that BH exports are driven by primary industries such as base metals (table </w:t>
      </w:r>
      <w:r w:rsidR="00F93001">
        <w:rPr>
          <w:rStyle w:val="Style11pt"/>
          <w:rFonts w:ascii="Calibri" w:hAnsi="Calibri" w:cs="Calibri"/>
        </w:rPr>
        <w:t>9</w:t>
      </w:r>
      <w:r w:rsidRPr="001E69D4">
        <w:rPr>
          <w:rStyle w:val="Style11pt"/>
          <w:rFonts w:ascii="Calibri" w:hAnsi="Calibri" w:cs="Calibri"/>
        </w:rPr>
        <w:t>.2), with insignificant contribution from middle- or high-tech sectors (</w:t>
      </w:r>
      <w:proofErr w:type="spellStart"/>
      <w:r w:rsidRPr="001E69D4">
        <w:rPr>
          <w:rStyle w:val="Style11pt"/>
          <w:rFonts w:ascii="Calibri" w:hAnsi="Calibri" w:cs="Calibri"/>
        </w:rPr>
        <w:t>Silajdžić</w:t>
      </w:r>
      <w:proofErr w:type="spellEnd"/>
      <w:r w:rsidRPr="001E69D4">
        <w:rPr>
          <w:rStyle w:val="Style11pt"/>
          <w:rFonts w:ascii="Calibri" w:hAnsi="Calibri" w:cs="Calibri"/>
        </w:rPr>
        <w:t>, 2007). The trade structure suggests that BH exports strongly depend on raw material imports such as chemicals and chemical products, fuel, and machinery and equipment. It also suggests that low levels of supply capacity and other problems connected with the size and scope of production, product quality, poor institutional framework, and high transaction costs of trade are behind the weak BH trade position.</w:t>
      </w:r>
    </w:p>
    <w:p w:rsidR="00162CD2" w:rsidRPr="0097058E" w:rsidRDefault="000A120D" w:rsidP="00CA1614">
      <w:pPr>
        <w:pStyle w:val="Tabletitle"/>
      </w:pPr>
      <w:r w:rsidRPr="000A120D">
        <w:t>Table 9.2:</w:t>
      </w:r>
      <w:r w:rsidRPr="000A120D">
        <w:tab/>
        <w:t>BH share of exports and imports by sector</w:t>
      </w:r>
      <w:r w:rsidR="00162CD2" w:rsidRPr="0097058E">
        <w:t xml:space="preserve"> </w:t>
      </w:r>
    </w:p>
    <w:tbl>
      <w:tblPr>
        <w:tblW w:w="8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93"/>
        <w:gridCol w:w="696"/>
        <w:gridCol w:w="696"/>
        <w:gridCol w:w="696"/>
        <w:gridCol w:w="2307"/>
        <w:gridCol w:w="696"/>
        <w:gridCol w:w="696"/>
        <w:gridCol w:w="696"/>
      </w:tblGrid>
      <w:tr w:rsidR="00162CD2" w:rsidRPr="008A36EB" w:rsidTr="00424A04">
        <w:trPr>
          <w:trHeight w:val="300"/>
        </w:trPr>
        <w:tc>
          <w:tcPr>
            <w:tcW w:w="2093" w:type="dxa"/>
            <w:vMerge w:val="restart"/>
            <w:noWrap/>
            <w:vAlign w:val="bottom"/>
          </w:tcPr>
          <w:p w:rsidR="00162CD2" w:rsidRPr="008A36EB" w:rsidRDefault="00424A04" w:rsidP="00424A04">
            <w:pPr>
              <w:spacing w:after="0" w:line="240" w:lineRule="auto"/>
              <w:ind w:firstLine="0"/>
              <w:jc w:val="left"/>
              <w:rPr>
                <w:lang w:eastAsia="hr-HR"/>
              </w:rPr>
            </w:pPr>
            <w:r>
              <w:rPr>
                <w:lang w:eastAsia="hr-HR"/>
              </w:rPr>
              <w:t>Sector</w:t>
            </w:r>
          </w:p>
        </w:tc>
        <w:tc>
          <w:tcPr>
            <w:tcW w:w="2088" w:type="dxa"/>
            <w:gridSpan w:val="3"/>
          </w:tcPr>
          <w:p w:rsidR="00162CD2" w:rsidRPr="008A36EB" w:rsidRDefault="00162CD2" w:rsidP="00BE05C1">
            <w:pPr>
              <w:spacing w:after="0" w:line="240" w:lineRule="auto"/>
              <w:ind w:firstLine="0"/>
              <w:jc w:val="left"/>
              <w:rPr>
                <w:lang w:eastAsia="hr-HR"/>
              </w:rPr>
            </w:pPr>
            <w:r w:rsidRPr="008A36EB">
              <w:rPr>
                <w:lang w:eastAsia="hr-HR"/>
              </w:rPr>
              <w:t>Import share (%)</w:t>
            </w:r>
          </w:p>
        </w:tc>
        <w:tc>
          <w:tcPr>
            <w:tcW w:w="2307" w:type="dxa"/>
            <w:vMerge w:val="restart"/>
            <w:noWrap/>
            <w:vAlign w:val="bottom"/>
          </w:tcPr>
          <w:p w:rsidR="00162CD2" w:rsidRPr="008A36EB" w:rsidRDefault="00424A04" w:rsidP="00424A04">
            <w:pPr>
              <w:spacing w:after="0" w:line="240" w:lineRule="auto"/>
              <w:ind w:firstLine="0"/>
              <w:jc w:val="left"/>
              <w:rPr>
                <w:lang w:eastAsia="hr-HR"/>
              </w:rPr>
            </w:pPr>
            <w:r>
              <w:rPr>
                <w:lang w:eastAsia="hr-HR"/>
              </w:rPr>
              <w:t>Sector</w:t>
            </w:r>
          </w:p>
        </w:tc>
        <w:tc>
          <w:tcPr>
            <w:tcW w:w="2088" w:type="dxa"/>
            <w:gridSpan w:val="3"/>
          </w:tcPr>
          <w:p w:rsidR="00162CD2" w:rsidRPr="008A36EB" w:rsidRDefault="00162CD2" w:rsidP="00BE05C1">
            <w:pPr>
              <w:spacing w:after="0" w:line="240" w:lineRule="auto"/>
              <w:ind w:firstLine="0"/>
              <w:jc w:val="left"/>
              <w:rPr>
                <w:lang w:eastAsia="hr-HR"/>
              </w:rPr>
            </w:pPr>
            <w:r w:rsidRPr="008A36EB">
              <w:rPr>
                <w:lang w:eastAsia="hr-HR"/>
              </w:rPr>
              <w:t>Export share (%)</w:t>
            </w:r>
          </w:p>
        </w:tc>
      </w:tr>
      <w:tr w:rsidR="00162CD2" w:rsidRPr="008A36EB" w:rsidTr="00BE05C1">
        <w:trPr>
          <w:trHeight w:val="300"/>
        </w:trPr>
        <w:tc>
          <w:tcPr>
            <w:tcW w:w="2093" w:type="dxa"/>
            <w:vMerge/>
          </w:tcPr>
          <w:p w:rsidR="00162CD2" w:rsidRPr="008A36EB" w:rsidRDefault="00162CD2" w:rsidP="00BE05C1">
            <w:pPr>
              <w:spacing w:after="0" w:line="240" w:lineRule="auto"/>
              <w:ind w:firstLine="0"/>
              <w:jc w:val="left"/>
              <w:rPr>
                <w:lang w:eastAsia="hr-HR"/>
              </w:rPr>
            </w:pPr>
          </w:p>
        </w:tc>
        <w:tc>
          <w:tcPr>
            <w:tcW w:w="696" w:type="dxa"/>
          </w:tcPr>
          <w:p w:rsidR="00162CD2" w:rsidRPr="008A36EB" w:rsidRDefault="00162CD2" w:rsidP="00BE05C1">
            <w:pPr>
              <w:spacing w:after="0" w:line="240" w:lineRule="auto"/>
              <w:ind w:firstLine="0"/>
              <w:jc w:val="left"/>
              <w:rPr>
                <w:lang w:eastAsia="hr-HR"/>
              </w:rPr>
            </w:pPr>
            <w:r w:rsidRPr="008A36EB">
              <w:rPr>
                <w:lang w:eastAsia="hr-HR"/>
              </w:rPr>
              <w:t>20</w:t>
            </w:r>
            <w:r>
              <w:rPr>
                <w:lang w:eastAsia="hr-HR"/>
              </w:rPr>
              <w:t>05</w:t>
            </w:r>
          </w:p>
        </w:tc>
        <w:tc>
          <w:tcPr>
            <w:tcW w:w="696" w:type="dxa"/>
            <w:noWrap/>
          </w:tcPr>
          <w:p w:rsidR="00162CD2" w:rsidRPr="008A36EB" w:rsidRDefault="00162CD2" w:rsidP="00BE05C1">
            <w:pPr>
              <w:spacing w:after="0" w:line="240" w:lineRule="auto"/>
              <w:ind w:firstLine="0"/>
              <w:jc w:val="left"/>
              <w:rPr>
                <w:lang w:eastAsia="hr-HR"/>
              </w:rPr>
            </w:pPr>
            <w:r w:rsidRPr="008A36EB">
              <w:rPr>
                <w:lang w:eastAsia="hr-HR"/>
              </w:rPr>
              <w:t>2007</w:t>
            </w:r>
          </w:p>
        </w:tc>
        <w:tc>
          <w:tcPr>
            <w:tcW w:w="696" w:type="dxa"/>
            <w:noWrap/>
          </w:tcPr>
          <w:p w:rsidR="00162CD2" w:rsidRPr="008A36EB" w:rsidRDefault="00162CD2" w:rsidP="00BE05C1">
            <w:pPr>
              <w:spacing w:after="0" w:line="240" w:lineRule="auto"/>
              <w:ind w:firstLine="0"/>
              <w:jc w:val="left"/>
              <w:rPr>
                <w:lang w:eastAsia="hr-HR"/>
              </w:rPr>
            </w:pPr>
            <w:r w:rsidRPr="008A36EB">
              <w:rPr>
                <w:lang w:eastAsia="hr-HR"/>
              </w:rPr>
              <w:t>20</w:t>
            </w:r>
            <w:r>
              <w:rPr>
                <w:lang w:eastAsia="hr-HR"/>
              </w:rPr>
              <w:t>11</w:t>
            </w:r>
          </w:p>
        </w:tc>
        <w:tc>
          <w:tcPr>
            <w:tcW w:w="2307" w:type="dxa"/>
            <w:vMerge/>
          </w:tcPr>
          <w:p w:rsidR="00162CD2" w:rsidRPr="008A36EB" w:rsidRDefault="00162CD2" w:rsidP="00BE05C1">
            <w:pPr>
              <w:spacing w:after="0" w:line="240" w:lineRule="auto"/>
              <w:ind w:firstLine="0"/>
              <w:jc w:val="left"/>
              <w:rPr>
                <w:lang w:eastAsia="hr-HR"/>
              </w:rPr>
            </w:pPr>
          </w:p>
        </w:tc>
        <w:tc>
          <w:tcPr>
            <w:tcW w:w="696" w:type="dxa"/>
          </w:tcPr>
          <w:p w:rsidR="00162CD2" w:rsidRPr="008A36EB" w:rsidRDefault="00162CD2" w:rsidP="00BE05C1">
            <w:pPr>
              <w:spacing w:after="0" w:line="240" w:lineRule="auto"/>
              <w:ind w:firstLine="0"/>
              <w:jc w:val="left"/>
              <w:rPr>
                <w:lang w:eastAsia="hr-HR"/>
              </w:rPr>
            </w:pPr>
            <w:r w:rsidRPr="008A36EB">
              <w:rPr>
                <w:lang w:eastAsia="hr-HR"/>
              </w:rPr>
              <w:t>20</w:t>
            </w:r>
            <w:r>
              <w:rPr>
                <w:lang w:eastAsia="hr-HR"/>
              </w:rPr>
              <w:t>05</w:t>
            </w:r>
          </w:p>
        </w:tc>
        <w:tc>
          <w:tcPr>
            <w:tcW w:w="696" w:type="dxa"/>
            <w:noWrap/>
          </w:tcPr>
          <w:p w:rsidR="00162CD2" w:rsidRPr="008A36EB" w:rsidRDefault="00162CD2" w:rsidP="00BE05C1">
            <w:pPr>
              <w:spacing w:after="0" w:line="240" w:lineRule="auto"/>
              <w:ind w:firstLine="0"/>
              <w:jc w:val="left"/>
              <w:rPr>
                <w:lang w:eastAsia="hr-HR"/>
              </w:rPr>
            </w:pPr>
            <w:r w:rsidRPr="008A36EB">
              <w:rPr>
                <w:lang w:eastAsia="hr-HR"/>
              </w:rPr>
              <w:t>2007</w:t>
            </w:r>
          </w:p>
        </w:tc>
        <w:tc>
          <w:tcPr>
            <w:tcW w:w="696" w:type="dxa"/>
            <w:noWrap/>
          </w:tcPr>
          <w:p w:rsidR="00162CD2" w:rsidRPr="008A36EB" w:rsidRDefault="00162CD2" w:rsidP="00BE05C1">
            <w:pPr>
              <w:spacing w:after="0" w:line="240" w:lineRule="auto"/>
              <w:ind w:firstLine="0"/>
              <w:jc w:val="left"/>
              <w:rPr>
                <w:lang w:eastAsia="hr-HR"/>
              </w:rPr>
            </w:pPr>
            <w:r w:rsidRPr="008A36EB">
              <w:rPr>
                <w:lang w:eastAsia="hr-HR"/>
              </w:rPr>
              <w:t>20</w:t>
            </w:r>
            <w:r>
              <w:rPr>
                <w:lang w:eastAsia="hr-HR"/>
              </w:rPr>
              <w:t>11</w:t>
            </w:r>
          </w:p>
        </w:tc>
      </w:tr>
      <w:tr w:rsidR="00162CD2" w:rsidRPr="008A36EB" w:rsidTr="00BE05C1">
        <w:trPr>
          <w:trHeight w:val="300"/>
        </w:trPr>
        <w:tc>
          <w:tcPr>
            <w:tcW w:w="2093" w:type="dxa"/>
            <w:noWrap/>
          </w:tcPr>
          <w:p w:rsidR="00162CD2" w:rsidRPr="008A36EB" w:rsidRDefault="00162CD2" w:rsidP="00BE05C1">
            <w:pPr>
              <w:spacing w:after="0" w:line="240" w:lineRule="auto"/>
              <w:ind w:firstLine="0"/>
              <w:jc w:val="left"/>
              <w:rPr>
                <w:lang w:eastAsia="hr-HR"/>
              </w:rPr>
            </w:pPr>
            <w:r w:rsidRPr="008A36EB">
              <w:rPr>
                <w:lang w:eastAsia="hr-HR"/>
              </w:rPr>
              <w:t>Food and beverage</w:t>
            </w:r>
          </w:p>
        </w:tc>
        <w:tc>
          <w:tcPr>
            <w:tcW w:w="696" w:type="dxa"/>
          </w:tcPr>
          <w:p w:rsidR="00162CD2" w:rsidRPr="008A36EB" w:rsidRDefault="00162CD2" w:rsidP="00BE05C1">
            <w:pPr>
              <w:spacing w:after="0" w:line="240" w:lineRule="auto"/>
              <w:ind w:firstLine="0"/>
              <w:jc w:val="left"/>
              <w:rPr>
                <w:lang w:eastAsia="hr-HR"/>
              </w:rPr>
            </w:pPr>
            <w:r w:rsidRPr="008A36EB">
              <w:rPr>
                <w:lang w:eastAsia="hr-HR"/>
              </w:rPr>
              <w:t>12.1</w:t>
            </w:r>
          </w:p>
        </w:tc>
        <w:tc>
          <w:tcPr>
            <w:tcW w:w="696" w:type="dxa"/>
            <w:noWrap/>
          </w:tcPr>
          <w:p w:rsidR="00162CD2" w:rsidRPr="008A36EB" w:rsidRDefault="00162CD2" w:rsidP="00BE05C1">
            <w:pPr>
              <w:spacing w:after="0" w:line="240" w:lineRule="auto"/>
              <w:ind w:firstLine="0"/>
              <w:jc w:val="left"/>
              <w:rPr>
                <w:lang w:eastAsia="hr-HR"/>
              </w:rPr>
            </w:pPr>
            <w:r w:rsidRPr="008A36EB">
              <w:rPr>
                <w:lang w:eastAsia="hr-HR"/>
              </w:rPr>
              <w:t>11.3</w:t>
            </w:r>
          </w:p>
        </w:tc>
        <w:tc>
          <w:tcPr>
            <w:tcW w:w="696" w:type="dxa"/>
            <w:noWrap/>
          </w:tcPr>
          <w:p w:rsidR="00162CD2" w:rsidRPr="008A36EB" w:rsidRDefault="00162CD2" w:rsidP="00BE05C1">
            <w:pPr>
              <w:spacing w:after="0" w:line="240" w:lineRule="auto"/>
              <w:ind w:firstLine="0"/>
              <w:jc w:val="left"/>
              <w:rPr>
                <w:lang w:eastAsia="hr-HR"/>
              </w:rPr>
            </w:pPr>
            <w:r w:rsidRPr="008A36EB">
              <w:t>13.1</w:t>
            </w:r>
          </w:p>
        </w:tc>
        <w:tc>
          <w:tcPr>
            <w:tcW w:w="2307" w:type="dxa"/>
            <w:noWrap/>
          </w:tcPr>
          <w:p w:rsidR="00162CD2" w:rsidRPr="008A36EB" w:rsidRDefault="00162CD2" w:rsidP="00BE05C1">
            <w:pPr>
              <w:spacing w:after="0" w:line="240" w:lineRule="auto"/>
              <w:ind w:firstLine="0"/>
              <w:jc w:val="left"/>
              <w:rPr>
                <w:lang w:eastAsia="hr-HR"/>
              </w:rPr>
            </w:pPr>
            <w:r w:rsidRPr="008A36EB">
              <w:rPr>
                <w:lang w:eastAsia="hr-HR"/>
              </w:rPr>
              <w:t>Base metals</w:t>
            </w:r>
          </w:p>
        </w:tc>
        <w:tc>
          <w:tcPr>
            <w:tcW w:w="696" w:type="dxa"/>
          </w:tcPr>
          <w:p w:rsidR="00162CD2" w:rsidRPr="008A36EB" w:rsidRDefault="00162CD2" w:rsidP="00BE05C1">
            <w:pPr>
              <w:spacing w:after="0" w:line="240" w:lineRule="auto"/>
              <w:ind w:firstLine="0"/>
              <w:jc w:val="left"/>
              <w:rPr>
                <w:lang w:eastAsia="hr-HR"/>
              </w:rPr>
            </w:pPr>
            <w:r w:rsidRPr="008A36EB">
              <w:rPr>
                <w:lang w:eastAsia="hr-HR"/>
              </w:rPr>
              <w:t>22.0</w:t>
            </w:r>
          </w:p>
        </w:tc>
        <w:tc>
          <w:tcPr>
            <w:tcW w:w="696" w:type="dxa"/>
            <w:noWrap/>
          </w:tcPr>
          <w:p w:rsidR="00162CD2" w:rsidRPr="008A36EB" w:rsidRDefault="00162CD2" w:rsidP="00BE05C1">
            <w:pPr>
              <w:spacing w:after="0" w:line="240" w:lineRule="auto"/>
              <w:ind w:firstLine="0"/>
              <w:jc w:val="left"/>
              <w:rPr>
                <w:lang w:eastAsia="hr-HR"/>
              </w:rPr>
            </w:pPr>
            <w:r w:rsidRPr="008A36EB">
              <w:rPr>
                <w:lang w:eastAsia="hr-HR"/>
              </w:rPr>
              <w:t>21.7</w:t>
            </w:r>
          </w:p>
        </w:tc>
        <w:tc>
          <w:tcPr>
            <w:tcW w:w="696" w:type="dxa"/>
            <w:noWrap/>
          </w:tcPr>
          <w:p w:rsidR="00162CD2" w:rsidRPr="008A36EB" w:rsidRDefault="00162CD2" w:rsidP="00BE05C1">
            <w:pPr>
              <w:spacing w:after="0" w:line="240" w:lineRule="auto"/>
              <w:ind w:firstLine="0"/>
              <w:jc w:val="left"/>
              <w:rPr>
                <w:lang w:eastAsia="hr-HR"/>
              </w:rPr>
            </w:pPr>
            <w:r w:rsidRPr="008A36EB">
              <w:t>15.9</w:t>
            </w:r>
          </w:p>
        </w:tc>
      </w:tr>
      <w:tr w:rsidR="00162CD2" w:rsidRPr="008A36EB" w:rsidTr="00BE05C1">
        <w:trPr>
          <w:trHeight w:val="300"/>
        </w:trPr>
        <w:tc>
          <w:tcPr>
            <w:tcW w:w="2093" w:type="dxa"/>
            <w:noWrap/>
          </w:tcPr>
          <w:p w:rsidR="00162CD2" w:rsidRPr="008A36EB" w:rsidRDefault="00162CD2" w:rsidP="00BE05C1">
            <w:pPr>
              <w:spacing w:after="0" w:line="240" w:lineRule="auto"/>
              <w:ind w:firstLine="0"/>
              <w:jc w:val="left"/>
              <w:rPr>
                <w:lang w:eastAsia="hr-HR"/>
              </w:rPr>
            </w:pPr>
            <w:r w:rsidRPr="008A36EB">
              <w:t>Coke, refined petroleum products</w:t>
            </w:r>
          </w:p>
        </w:tc>
        <w:tc>
          <w:tcPr>
            <w:tcW w:w="696" w:type="dxa"/>
          </w:tcPr>
          <w:p w:rsidR="00162CD2" w:rsidRPr="008A36EB" w:rsidRDefault="00162CD2" w:rsidP="00BE05C1">
            <w:pPr>
              <w:spacing w:after="0" w:line="240" w:lineRule="auto"/>
              <w:ind w:firstLine="0"/>
              <w:jc w:val="left"/>
              <w:rPr>
                <w:lang w:eastAsia="hr-HR"/>
              </w:rPr>
            </w:pPr>
            <w:r w:rsidRPr="008A36EB">
              <w:rPr>
                <w:lang w:eastAsia="hr-HR"/>
              </w:rPr>
              <w:t>9.3</w:t>
            </w:r>
          </w:p>
        </w:tc>
        <w:tc>
          <w:tcPr>
            <w:tcW w:w="696" w:type="dxa"/>
            <w:noWrap/>
          </w:tcPr>
          <w:p w:rsidR="00162CD2" w:rsidRPr="008A36EB" w:rsidRDefault="00162CD2" w:rsidP="00BE05C1">
            <w:pPr>
              <w:spacing w:after="0" w:line="240" w:lineRule="auto"/>
              <w:ind w:firstLine="0"/>
              <w:jc w:val="left"/>
              <w:rPr>
                <w:lang w:eastAsia="hr-HR"/>
              </w:rPr>
            </w:pPr>
            <w:r w:rsidRPr="008A36EB">
              <w:rPr>
                <w:lang w:eastAsia="hr-HR"/>
              </w:rPr>
              <w:t>10.2</w:t>
            </w:r>
          </w:p>
        </w:tc>
        <w:tc>
          <w:tcPr>
            <w:tcW w:w="696" w:type="dxa"/>
            <w:noWrap/>
          </w:tcPr>
          <w:p w:rsidR="00162CD2" w:rsidRPr="008A36EB" w:rsidRDefault="00162CD2" w:rsidP="00BE05C1">
            <w:pPr>
              <w:spacing w:after="0" w:line="240" w:lineRule="auto"/>
              <w:ind w:firstLine="0"/>
              <w:jc w:val="left"/>
              <w:rPr>
                <w:lang w:eastAsia="hr-HR"/>
              </w:rPr>
            </w:pPr>
            <w:r w:rsidRPr="008A36EB">
              <w:t>7.5</w:t>
            </w:r>
          </w:p>
        </w:tc>
        <w:tc>
          <w:tcPr>
            <w:tcW w:w="2307" w:type="dxa"/>
            <w:noWrap/>
          </w:tcPr>
          <w:p w:rsidR="00162CD2" w:rsidRPr="008A36EB" w:rsidRDefault="00162CD2" w:rsidP="00BE05C1">
            <w:pPr>
              <w:spacing w:after="0" w:line="240" w:lineRule="auto"/>
              <w:ind w:firstLine="0"/>
              <w:jc w:val="left"/>
              <w:rPr>
                <w:lang w:eastAsia="hr-HR"/>
              </w:rPr>
            </w:pPr>
            <w:r w:rsidRPr="008A36EB">
              <w:t>Fabricated metal products, except machinery and equipment</w:t>
            </w:r>
          </w:p>
        </w:tc>
        <w:tc>
          <w:tcPr>
            <w:tcW w:w="696" w:type="dxa"/>
          </w:tcPr>
          <w:p w:rsidR="00162CD2" w:rsidRPr="008A36EB" w:rsidRDefault="00162CD2" w:rsidP="00BE05C1">
            <w:pPr>
              <w:spacing w:after="0" w:line="240" w:lineRule="auto"/>
              <w:ind w:firstLine="0"/>
              <w:jc w:val="left"/>
              <w:rPr>
                <w:lang w:eastAsia="hr-HR"/>
              </w:rPr>
            </w:pPr>
            <w:r w:rsidRPr="008A36EB">
              <w:rPr>
                <w:lang w:eastAsia="hr-HR"/>
              </w:rPr>
              <w:t>5.9</w:t>
            </w:r>
          </w:p>
        </w:tc>
        <w:tc>
          <w:tcPr>
            <w:tcW w:w="696" w:type="dxa"/>
            <w:noWrap/>
          </w:tcPr>
          <w:p w:rsidR="00162CD2" w:rsidRPr="008A36EB" w:rsidRDefault="00162CD2" w:rsidP="00BE05C1">
            <w:pPr>
              <w:spacing w:after="0" w:line="240" w:lineRule="auto"/>
              <w:ind w:firstLine="0"/>
              <w:jc w:val="left"/>
              <w:rPr>
                <w:lang w:eastAsia="hr-HR"/>
              </w:rPr>
            </w:pPr>
            <w:r w:rsidRPr="008A36EB">
              <w:rPr>
                <w:lang w:eastAsia="hr-HR"/>
              </w:rPr>
              <w:t>8.4</w:t>
            </w:r>
          </w:p>
        </w:tc>
        <w:tc>
          <w:tcPr>
            <w:tcW w:w="696" w:type="dxa"/>
            <w:noWrap/>
          </w:tcPr>
          <w:p w:rsidR="00162CD2" w:rsidRPr="008A36EB" w:rsidRDefault="00162CD2" w:rsidP="00BE05C1">
            <w:pPr>
              <w:spacing w:after="0" w:line="240" w:lineRule="auto"/>
              <w:ind w:firstLine="0"/>
              <w:jc w:val="left"/>
              <w:rPr>
                <w:lang w:eastAsia="hr-HR"/>
              </w:rPr>
            </w:pPr>
            <w:r w:rsidRPr="008A36EB">
              <w:t>6.5</w:t>
            </w:r>
          </w:p>
        </w:tc>
      </w:tr>
      <w:tr w:rsidR="00162CD2" w:rsidRPr="008A36EB" w:rsidTr="00BE05C1">
        <w:trPr>
          <w:trHeight w:val="300"/>
        </w:trPr>
        <w:tc>
          <w:tcPr>
            <w:tcW w:w="2093" w:type="dxa"/>
            <w:noWrap/>
          </w:tcPr>
          <w:p w:rsidR="00162CD2" w:rsidRPr="008A36EB" w:rsidRDefault="00162CD2" w:rsidP="00BE05C1">
            <w:pPr>
              <w:spacing w:after="0" w:line="240" w:lineRule="auto"/>
              <w:ind w:firstLine="0"/>
              <w:jc w:val="left"/>
              <w:rPr>
                <w:lang w:eastAsia="hr-HR"/>
              </w:rPr>
            </w:pPr>
            <w:r w:rsidRPr="008A36EB">
              <w:t>Machinery and equipment</w:t>
            </w:r>
          </w:p>
        </w:tc>
        <w:tc>
          <w:tcPr>
            <w:tcW w:w="696" w:type="dxa"/>
          </w:tcPr>
          <w:p w:rsidR="00162CD2" w:rsidRPr="008A36EB" w:rsidRDefault="00162CD2" w:rsidP="00BE05C1">
            <w:pPr>
              <w:spacing w:after="0" w:line="240" w:lineRule="auto"/>
              <w:ind w:firstLine="0"/>
              <w:jc w:val="left"/>
              <w:rPr>
                <w:lang w:eastAsia="hr-HR"/>
              </w:rPr>
            </w:pPr>
            <w:r w:rsidRPr="008A36EB">
              <w:rPr>
                <w:lang w:eastAsia="hr-HR"/>
              </w:rPr>
              <w:t>8.9</w:t>
            </w:r>
          </w:p>
        </w:tc>
        <w:tc>
          <w:tcPr>
            <w:tcW w:w="696" w:type="dxa"/>
            <w:noWrap/>
          </w:tcPr>
          <w:p w:rsidR="00162CD2" w:rsidRPr="008A36EB" w:rsidRDefault="00162CD2" w:rsidP="00BE05C1">
            <w:pPr>
              <w:spacing w:after="0" w:line="240" w:lineRule="auto"/>
              <w:ind w:firstLine="0"/>
              <w:jc w:val="left"/>
              <w:rPr>
                <w:lang w:eastAsia="hr-HR"/>
              </w:rPr>
            </w:pPr>
            <w:r w:rsidRPr="008A36EB">
              <w:rPr>
                <w:lang w:eastAsia="hr-HR"/>
              </w:rPr>
              <w:t>9.5</w:t>
            </w:r>
          </w:p>
        </w:tc>
        <w:tc>
          <w:tcPr>
            <w:tcW w:w="696" w:type="dxa"/>
            <w:noWrap/>
          </w:tcPr>
          <w:p w:rsidR="00162CD2" w:rsidRPr="008A36EB" w:rsidRDefault="00162CD2" w:rsidP="00BE05C1">
            <w:pPr>
              <w:spacing w:after="0" w:line="240" w:lineRule="auto"/>
              <w:ind w:firstLine="0"/>
              <w:jc w:val="left"/>
              <w:rPr>
                <w:lang w:eastAsia="hr-HR"/>
              </w:rPr>
            </w:pPr>
            <w:r w:rsidRPr="008A36EB">
              <w:t>5.8</w:t>
            </w:r>
          </w:p>
        </w:tc>
        <w:tc>
          <w:tcPr>
            <w:tcW w:w="2307" w:type="dxa"/>
            <w:noWrap/>
          </w:tcPr>
          <w:p w:rsidR="00162CD2" w:rsidRPr="008A36EB" w:rsidRDefault="00162CD2" w:rsidP="00BE05C1">
            <w:pPr>
              <w:spacing w:after="0" w:line="240" w:lineRule="auto"/>
              <w:ind w:firstLine="0"/>
              <w:jc w:val="left"/>
              <w:rPr>
                <w:lang w:eastAsia="hr-HR"/>
              </w:rPr>
            </w:pPr>
            <w:r w:rsidRPr="008A36EB">
              <w:t>Wood and wood products, except furniture</w:t>
            </w:r>
          </w:p>
        </w:tc>
        <w:tc>
          <w:tcPr>
            <w:tcW w:w="696" w:type="dxa"/>
          </w:tcPr>
          <w:p w:rsidR="00162CD2" w:rsidRPr="008A36EB" w:rsidRDefault="00162CD2" w:rsidP="00BE05C1">
            <w:pPr>
              <w:spacing w:after="0" w:line="240" w:lineRule="auto"/>
              <w:ind w:firstLine="0"/>
              <w:jc w:val="left"/>
              <w:rPr>
                <w:lang w:eastAsia="hr-HR"/>
              </w:rPr>
            </w:pPr>
            <w:r w:rsidRPr="008A36EB">
              <w:rPr>
                <w:lang w:eastAsia="hr-HR"/>
              </w:rPr>
              <w:t>9.2</w:t>
            </w:r>
          </w:p>
        </w:tc>
        <w:tc>
          <w:tcPr>
            <w:tcW w:w="696" w:type="dxa"/>
            <w:noWrap/>
          </w:tcPr>
          <w:p w:rsidR="00162CD2" w:rsidRPr="008A36EB" w:rsidRDefault="00162CD2" w:rsidP="00BE05C1">
            <w:pPr>
              <w:spacing w:after="0" w:line="240" w:lineRule="auto"/>
              <w:ind w:firstLine="0"/>
              <w:jc w:val="left"/>
              <w:rPr>
                <w:lang w:eastAsia="hr-HR"/>
              </w:rPr>
            </w:pPr>
            <w:r w:rsidRPr="008A36EB">
              <w:rPr>
                <w:lang w:eastAsia="hr-HR"/>
              </w:rPr>
              <w:t>7.9</w:t>
            </w:r>
          </w:p>
        </w:tc>
        <w:tc>
          <w:tcPr>
            <w:tcW w:w="696" w:type="dxa"/>
            <w:noWrap/>
          </w:tcPr>
          <w:p w:rsidR="00162CD2" w:rsidRPr="008A36EB" w:rsidRDefault="00162CD2" w:rsidP="00BE05C1">
            <w:pPr>
              <w:spacing w:after="0" w:line="240" w:lineRule="auto"/>
              <w:ind w:firstLine="0"/>
              <w:jc w:val="left"/>
              <w:rPr>
                <w:lang w:eastAsia="hr-HR"/>
              </w:rPr>
            </w:pPr>
            <w:r w:rsidRPr="008A36EB">
              <w:t>4.6</w:t>
            </w:r>
          </w:p>
        </w:tc>
      </w:tr>
      <w:tr w:rsidR="00162CD2" w:rsidRPr="008A36EB" w:rsidTr="00BE05C1">
        <w:trPr>
          <w:trHeight w:val="300"/>
        </w:trPr>
        <w:tc>
          <w:tcPr>
            <w:tcW w:w="2093" w:type="dxa"/>
            <w:noWrap/>
          </w:tcPr>
          <w:p w:rsidR="00162CD2" w:rsidRPr="008A36EB" w:rsidRDefault="00162CD2" w:rsidP="00BE05C1">
            <w:pPr>
              <w:spacing w:after="0" w:line="240" w:lineRule="auto"/>
              <w:ind w:firstLine="0"/>
              <w:jc w:val="left"/>
              <w:rPr>
                <w:lang w:eastAsia="hr-HR"/>
              </w:rPr>
            </w:pPr>
            <w:r w:rsidRPr="008A36EB">
              <w:t>Base metals</w:t>
            </w:r>
          </w:p>
        </w:tc>
        <w:tc>
          <w:tcPr>
            <w:tcW w:w="696" w:type="dxa"/>
          </w:tcPr>
          <w:p w:rsidR="00162CD2" w:rsidRPr="008A36EB" w:rsidRDefault="00162CD2" w:rsidP="00BE05C1">
            <w:pPr>
              <w:spacing w:after="0" w:line="240" w:lineRule="auto"/>
              <w:ind w:firstLine="0"/>
              <w:jc w:val="left"/>
              <w:rPr>
                <w:lang w:eastAsia="hr-HR"/>
              </w:rPr>
            </w:pPr>
            <w:r w:rsidRPr="008A36EB">
              <w:rPr>
                <w:lang w:eastAsia="hr-HR"/>
              </w:rPr>
              <w:t>5.0</w:t>
            </w:r>
          </w:p>
        </w:tc>
        <w:tc>
          <w:tcPr>
            <w:tcW w:w="696" w:type="dxa"/>
            <w:noWrap/>
          </w:tcPr>
          <w:p w:rsidR="00162CD2" w:rsidRPr="008A36EB" w:rsidRDefault="00162CD2" w:rsidP="00BE05C1">
            <w:pPr>
              <w:spacing w:after="0" w:line="240" w:lineRule="auto"/>
              <w:ind w:firstLine="0"/>
              <w:jc w:val="left"/>
              <w:rPr>
                <w:lang w:eastAsia="hr-HR"/>
              </w:rPr>
            </w:pPr>
            <w:r w:rsidRPr="008A36EB">
              <w:rPr>
                <w:lang w:eastAsia="hr-HR"/>
              </w:rPr>
              <w:t>9.3</w:t>
            </w:r>
          </w:p>
        </w:tc>
        <w:tc>
          <w:tcPr>
            <w:tcW w:w="696" w:type="dxa"/>
            <w:noWrap/>
          </w:tcPr>
          <w:p w:rsidR="00162CD2" w:rsidRPr="008A36EB" w:rsidRDefault="00162CD2" w:rsidP="00BE05C1">
            <w:pPr>
              <w:spacing w:after="0" w:line="240" w:lineRule="auto"/>
              <w:ind w:firstLine="0"/>
              <w:jc w:val="left"/>
              <w:rPr>
                <w:lang w:eastAsia="hr-HR"/>
              </w:rPr>
            </w:pPr>
            <w:r w:rsidRPr="008A36EB">
              <w:t>6.7</w:t>
            </w:r>
          </w:p>
        </w:tc>
        <w:tc>
          <w:tcPr>
            <w:tcW w:w="2307" w:type="dxa"/>
            <w:noWrap/>
          </w:tcPr>
          <w:p w:rsidR="00162CD2" w:rsidRPr="008A36EB" w:rsidRDefault="00162CD2" w:rsidP="00BE05C1">
            <w:pPr>
              <w:spacing w:after="0" w:line="240" w:lineRule="auto"/>
              <w:ind w:firstLine="0"/>
              <w:jc w:val="left"/>
              <w:rPr>
                <w:lang w:eastAsia="hr-HR"/>
              </w:rPr>
            </w:pPr>
            <w:r w:rsidRPr="008A36EB">
              <w:rPr>
                <w:lang w:eastAsia="hr-HR"/>
              </w:rPr>
              <w:t>Furniture</w:t>
            </w:r>
          </w:p>
        </w:tc>
        <w:tc>
          <w:tcPr>
            <w:tcW w:w="696" w:type="dxa"/>
          </w:tcPr>
          <w:p w:rsidR="00162CD2" w:rsidRPr="008A36EB" w:rsidRDefault="00162CD2" w:rsidP="00BE05C1">
            <w:pPr>
              <w:spacing w:after="0" w:line="240" w:lineRule="auto"/>
              <w:ind w:firstLine="0"/>
              <w:jc w:val="left"/>
              <w:rPr>
                <w:lang w:eastAsia="hr-HR"/>
              </w:rPr>
            </w:pPr>
            <w:r w:rsidRPr="008A36EB">
              <w:rPr>
                <w:lang w:eastAsia="hr-HR"/>
              </w:rPr>
              <w:t>5.8</w:t>
            </w:r>
          </w:p>
        </w:tc>
        <w:tc>
          <w:tcPr>
            <w:tcW w:w="696" w:type="dxa"/>
            <w:noWrap/>
          </w:tcPr>
          <w:p w:rsidR="00162CD2" w:rsidRPr="008A36EB" w:rsidRDefault="00162CD2" w:rsidP="00BE05C1">
            <w:pPr>
              <w:spacing w:after="0" w:line="240" w:lineRule="auto"/>
              <w:ind w:firstLine="0"/>
              <w:jc w:val="left"/>
              <w:rPr>
                <w:lang w:eastAsia="hr-HR"/>
              </w:rPr>
            </w:pPr>
            <w:r w:rsidRPr="008A36EB">
              <w:rPr>
                <w:lang w:eastAsia="hr-HR"/>
              </w:rPr>
              <w:t>7.3</w:t>
            </w:r>
          </w:p>
        </w:tc>
        <w:tc>
          <w:tcPr>
            <w:tcW w:w="696" w:type="dxa"/>
            <w:noWrap/>
          </w:tcPr>
          <w:p w:rsidR="00162CD2" w:rsidRPr="008A36EB" w:rsidRDefault="00162CD2" w:rsidP="00BE05C1">
            <w:pPr>
              <w:spacing w:after="0" w:line="240" w:lineRule="auto"/>
              <w:ind w:firstLine="0"/>
              <w:jc w:val="left"/>
              <w:rPr>
                <w:lang w:eastAsia="hr-HR"/>
              </w:rPr>
            </w:pPr>
            <w:r w:rsidRPr="008A36EB">
              <w:t>8.5</w:t>
            </w:r>
          </w:p>
        </w:tc>
      </w:tr>
      <w:tr w:rsidR="00162CD2" w:rsidRPr="008A36EB" w:rsidTr="00BE05C1">
        <w:trPr>
          <w:trHeight w:val="300"/>
        </w:trPr>
        <w:tc>
          <w:tcPr>
            <w:tcW w:w="2093" w:type="dxa"/>
            <w:noWrap/>
          </w:tcPr>
          <w:p w:rsidR="00162CD2" w:rsidRPr="008A36EB" w:rsidRDefault="00162CD2" w:rsidP="00BE05C1">
            <w:pPr>
              <w:spacing w:after="0" w:line="240" w:lineRule="auto"/>
              <w:ind w:firstLine="0"/>
              <w:jc w:val="left"/>
              <w:rPr>
                <w:lang w:eastAsia="hr-HR"/>
              </w:rPr>
            </w:pPr>
            <w:r w:rsidRPr="008A36EB">
              <w:t>Chemicals and chemical products</w:t>
            </w:r>
          </w:p>
        </w:tc>
        <w:tc>
          <w:tcPr>
            <w:tcW w:w="696" w:type="dxa"/>
          </w:tcPr>
          <w:p w:rsidR="00162CD2" w:rsidRPr="008A36EB" w:rsidRDefault="00162CD2" w:rsidP="00BE05C1">
            <w:pPr>
              <w:spacing w:after="0" w:line="240" w:lineRule="auto"/>
              <w:ind w:firstLine="0"/>
              <w:jc w:val="left"/>
              <w:rPr>
                <w:lang w:eastAsia="hr-HR"/>
              </w:rPr>
            </w:pPr>
            <w:r w:rsidRPr="008A36EB">
              <w:rPr>
                <w:lang w:eastAsia="hr-HR"/>
              </w:rPr>
              <w:t>9.4</w:t>
            </w:r>
          </w:p>
        </w:tc>
        <w:tc>
          <w:tcPr>
            <w:tcW w:w="696" w:type="dxa"/>
            <w:noWrap/>
          </w:tcPr>
          <w:p w:rsidR="00162CD2" w:rsidRPr="008A36EB" w:rsidRDefault="00162CD2" w:rsidP="00BE05C1">
            <w:pPr>
              <w:spacing w:after="0" w:line="240" w:lineRule="auto"/>
              <w:ind w:firstLine="0"/>
              <w:jc w:val="left"/>
              <w:rPr>
                <w:lang w:eastAsia="hr-HR"/>
              </w:rPr>
            </w:pPr>
            <w:r w:rsidRPr="008A36EB">
              <w:rPr>
                <w:lang w:eastAsia="hr-HR"/>
              </w:rPr>
              <w:t>9.3</w:t>
            </w:r>
          </w:p>
        </w:tc>
        <w:tc>
          <w:tcPr>
            <w:tcW w:w="696" w:type="dxa"/>
            <w:noWrap/>
          </w:tcPr>
          <w:p w:rsidR="00162CD2" w:rsidRPr="008A36EB" w:rsidRDefault="00162CD2" w:rsidP="00BE05C1">
            <w:pPr>
              <w:spacing w:after="0" w:line="240" w:lineRule="auto"/>
              <w:ind w:firstLine="0"/>
              <w:jc w:val="left"/>
              <w:rPr>
                <w:lang w:eastAsia="hr-HR"/>
              </w:rPr>
            </w:pPr>
            <w:r w:rsidRPr="008A36EB">
              <w:t>7.2</w:t>
            </w:r>
          </w:p>
        </w:tc>
        <w:tc>
          <w:tcPr>
            <w:tcW w:w="2307" w:type="dxa"/>
            <w:noWrap/>
          </w:tcPr>
          <w:p w:rsidR="00162CD2" w:rsidRPr="008A36EB" w:rsidRDefault="00162CD2" w:rsidP="00BE05C1">
            <w:pPr>
              <w:spacing w:after="0" w:line="240" w:lineRule="auto"/>
              <w:ind w:firstLine="0"/>
              <w:jc w:val="left"/>
              <w:rPr>
                <w:lang w:eastAsia="hr-HR"/>
              </w:rPr>
            </w:pPr>
            <w:r w:rsidRPr="008A36EB">
              <w:t>Motor vehicles, trailers</w:t>
            </w:r>
            <w:r w:rsidR="00424A04">
              <w:t>,</w:t>
            </w:r>
            <w:r w:rsidRPr="008A36EB">
              <w:t xml:space="preserve"> and semitrailers</w:t>
            </w:r>
          </w:p>
        </w:tc>
        <w:tc>
          <w:tcPr>
            <w:tcW w:w="696" w:type="dxa"/>
          </w:tcPr>
          <w:p w:rsidR="00162CD2" w:rsidRPr="008A36EB" w:rsidRDefault="00162CD2" w:rsidP="00BE05C1">
            <w:pPr>
              <w:spacing w:after="0" w:line="240" w:lineRule="auto"/>
              <w:ind w:firstLine="0"/>
              <w:jc w:val="left"/>
              <w:rPr>
                <w:lang w:eastAsia="hr-HR"/>
              </w:rPr>
            </w:pPr>
            <w:r w:rsidRPr="008A36EB">
              <w:rPr>
                <w:lang w:eastAsia="hr-HR"/>
              </w:rPr>
              <w:t>9.5</w:t>
            </w:r>
          </w:p>
        </w:tc>
        <w:tc>
          <w:tcPr>
            <w:tcW w:w="696" w:type="dxa"/>
            <w:noWrap/>
          </w:tcPr>
          <w:p w:rsidR="00162CD2" w:rsidRPr="008A36EB" w:rsidRDefault="00162CD2" w:rsidP="00BE05C1">
            <w:pPr>
              <w:spacing w:after="0" w:line="240" w:lineRule="auto"/>
              <w:ind w:firstLine="0"/>
              <w:jc w:val="left"/>
              <w:rPr>
                <w:lang w:eastAsia="hr-HR"/>
              </w:rPr>
            </w:pPr>
            <w:r w:rsidRPr="008A36EB">
              <w:rPr>
                <w:lang w:eastAsia="hr-HR"/>
              </w:rPr>
              <w:t>7.1</w:t>
            </w:r>
          </w:p>
        </w:tc>
        <w:tc>
          <w:tcPr>
            <w:tcW w:w="696" w:type="dxa"/>
            <w:noWrap/>
          </w:tcPr>
          <w:p w:rsidR="00162CD2" w:rsidRPr="008A36EB" w:rsidRDefault="00162CD2" w:rsidP="00BE05C1">
            <w:pPr>
              <w:spacing w:after="0" w:line="240" w:lineRule="auto"/>
              <w:ind w:firstLine="0"/>
              <w:jc w:val="left"/>
              <w:rPr>
                <w:lang w:eastAsia="hr-HR"/>
              </w:rPr>
            </w:pPr>
            <w:r w:rsidRPr="008A36EB">
              <w:t>2.5</w:t>
            </w:r>
          </w:p>
        </w:tc>
      </w:tr>
      <w:tr w:rsidR="00162CD2" w:rsidRPr="008A36EB" w:rsidTr="00BE05C1">
        <w:trPr>
          <w:trHeight w:val="300"/>
        </w:trPr>
        <w:tc>
          <w:tcPr>
            <w:tcW w:w="2093" w:type="dxa"/>
            <w:noWrap/>
          </w:tcPr>
          <w:p w:rsidR="00162CD2" w:rsidRPr="008A36EB" w:rsidRDefault="00162CD2" w:rsidP="00BE05C1">
            <w:pPr>
              <w:spacing w:after="0" w:line="240" w:lineRule="auto"/>
              <w:ind w:firstLine="0"/>
              <w:jc w:val="left"/>
              <w:rPr>
                <w:lang w:eastAsia="hr-HR"/>
              </w:rPr>
            </w:pPr>
            <w:r w:rsidRPr="008A36EB">
              <w:t>Motor vehicles, trailers, and semitrailers</w:t>
            </w:r>
          </w:p>
        </w:tc>
        <w:tc>
          <w:tcPr>
            <w:tcW w:w="696" w:type="dxa"/>
          </w:tcPr>
          <w:p w:rsidR="00162CD2" w:rsidRPr="008A36EB" w:rsidRDefault="00162CD2" w:rsidP="00BE05C1">
            <w:pPr>
              <w:spacing w:after="0" w:line="240" w:lineRule="auto"/>
              <w:ind w:firstLine="0"/>
              <w:jc w:val="left"/>
              <w:rPr>
                <w:lang w:eastAsia="hr-HR"/>
              </w:rPr>
            </w:pPr>
            <w:r w:rsidRPr="008A36EB">
              <w:rPr>
                <w:lang w:eastAsia="hr-HR"/>
              </w:rPr>
              <w:t>8.9</w:t>
            </w:r>
          </w:p>
        </w:tc>
        <w:tc>
          <w:tcPr>
            <w:tcW w:w="696" w:type="dxa"/>
            <w:noWrap/>
          </w:tcPr>
          <w:p w:rsidR="00162CD2" w:rsidRPr="008A36EB" w:rsidRDefault="00162CD2" w:rsidP="00BE05C1">
            <w:pPr>
              <w:spacing w:after="0" w:line="240" w:lineRule="auto"/>
              <w:ind w:firstLine="0"/>
              <w:jc w:val="left"/>
              <w:rPr>
                <w:lang w:eastAsia="hr-HR"/>
              </w:rPr>
            </w:pPr>
            <w:r w:rsidRPr="008A36EB">
              <w:rPr>
                <w:lang w:eastAsia="hr-HR"/>
              </w:rPr>
              <w:t>8.3</w:t>
            </w:r>
          </w:p>
        </w:tc>
        <w:tc>
          <w:tcPr>
            <w:tcW w:w="696" w:type="dxa"/>
            <w:noWrap/>
          </w:tcPr>
          <w:p w:rsidR="00162CD2" w:rsidRPr="008A36EB" w:rsidRDefault="00162CD2" w:rsidP="00BE05C1">
            <w:pPr>
              <w:spacing w:after="0" w:line="240" w:lineRule="auto"/>
              <w:ind w:firstLine="0"/>
              <w:jc w:val="left"/>
              <w:rPr>
                <w:lang w:eastAsia="hr-HR"/>
              </w:rPr>
            </w:pPr>
            <w:r w:rsidRPr="008A36EB">
              <w:t>5.5</w:t>
            </w:r>
          </w:p>
        </w:tc>
        <w:tc>
          <w:tcPr>
            <w:tcW w:w="2307" w:type="dxa"/>
            <w:noWrap/>
          </w:tcPr>
          <w:p w:rsidR="00162CD2" w:rsidRPr="008A36EB" w:rsidRDefault="00162CD2" w:rsidP="00BE05C1">
            <w:pPr>
              <w:spacing w:after="0" w:line="240" w:lineRule="auto"/>
              <w:ind w:firstLine="0"/>
              <w:jc w:val="left"/>
              <w:rPr>
                <w:lang w:eastAsia="hr-HR"/>
              </w:rPr>
            </w:pPr>
            <w:r w:rsidRPr="008A36EB">
              <w:rPr>
                <w:lang w:eastAsia="hr-HR"/>
              </w:rPr>
              <w:t>Tanning and dressing of leather</w:t>
            </w:r>
          </w:p>
        </w:tc>
        <w:tc>
          <w:tcPr>
            <w:tcW w:w="696" w:type="dxa"/>
          </w:tcPr>
          <w:p w:rsidR="00162CD2" w:rsidRPr="008A36EB" w:rsidRDefault="00162CD2" w:rsidP="00BE05C1">
            <w:pPr>
              <w:spacing w:after="0" w:line="240" w:lineRule="auto"/>
              <w:ind w:firstLine="0"/>
              <w:jc w:val="left"/>
              <w:rPr>
                <w:lang w:eastAsia="hr-HR"/>
              </w:rPr>
            </w:pPr>
            <w:r w:rsidRPr="008A36EB">
              <w:rPr>
                <w:lang w:eastAsia="hr-HR"/>
              </w:rPr>
              <w:t>2.9</w:t>
            </w:r>
          </w:p>
        </w:tc>
        <w:tc>
          <w:tcPr>
            <w:tcW w:w="696" w:type="dxa"/>
            <w:noWrap/>
          </w:tcPr>
          <w:p w:rsidR="00162CD2" w:rsidRPr="008A36EB" w:rsidRDefault="00162CD2" w:rsidP="00BE05C1">
            <w:pPr>
              <w:spacing w:after="0" w:line="240" w:lineRule="auto"/>
              <w:ind w:firstLine="0"/>
              <w:jc w:val="left"/>
              <w:rPr>
                <w:lang w:eastAsia="hr-HR"/>
              </w:rPr>
            </w:pPr>
            <w:r w:rsidRPr="008A36EB">
              <w:rPr>
                <w:lang w:eastAsia="hr-HR"/>
              </w:rPr>
              <w:t>6.5</w:t>
            </w:r>
          </w:p>
        </w:tc>
        <w:tc>
          <w:tcPr>
            <w:tcW w:w="696" w:type="dxa"/>
            <w:noWrap/>
          </w:tcPr>
          <w:p w:rsidR="00162CD2" w:rsidRPr="008A36EB" w:rsidRDefault="00162CD2" w:rsidP="00BE05C1">
            <w:pPr>
              <w:spacing w:after="0" w:line="240" w:lineRule="auto"/>
              <w:ind w:firstLine="0"/>
              <w:jc w:val="left"/>
              <w:rPr>
                <w:lang w:eastAsia="hr-HR"/>
              </w:rPr>
            </w:pPr>
            <w:r w:rsidRPr="008A36EB">
              <w:t>6.4</w:t>
            </w:r>
          </w:p>
        </w:tc>
      </w:tr>
      <w:tr w:rsidR="00162CD2" w:rsidRPr="008A36EB" w:rsidTr="00BE05C1">
        <w:trPr>
          <w:trHeight w:val="300"/>
        </w:trPr>
        <w:tc>
          <w:tcPr>
            <w:tcW w:w="2093" w:type="dxa"/>
            <w:noWrap/>
          </w:tcPr>
          <w:p w:rsidR="00162CD2" w:rsidRPr="008A36EB" w:rsidRDefault="00162CD2" w:rsidP="00BE05C1">
            <w:pPr>
              <w:spacing w:after="0" w:line="240" w:lineRule="auto"/>
              <w:ind w:firstLine="0"/>
              <w:jc w:val="left"/>
            </w:pPr>
          </w:p>
        </w:tc>
        <w:tc>
          <w:tcPr>
            <w:tcW w:w="696" w:type="dxa"/>
          </w:tcPr>
          <w:p w:rsidR="00162CD2" w:rsidRPr="008A36EB" w:rsidRDefault="00162CD2" w:rsidP="00BE05C1">
            <w:pPr>
              <w:spacing w:after="0" w:line="240" w:lineRule="auto"/>
              <w:ind w:firstLine="0"/>
              <w:jc w:val="left"/>
            </w:pPr>
          </w:p>
        </w:tc>
        <w:tc>
          <w:tcPr>
            <w:tcW w:w="696" w:type="dxa"/>
            <w:noWrap/>
          </w:tcPr>
          <w:p w:rsidR="00162CD2" w:rsidRPr="008A36EB" w:rsidRDefault="00162CD2" w:rsidP="00BE05C1">
            <w:pPr>
              <w:spacing w:after="0" w:line="240" w:lineRule="auto"/>
              <w:ind w:firstLine="0"/>
              <w:jc w:val="left"/>
              <w:rPr>
                <w:lang w:eastAsia="hr-HR"/>
              </w:rPr>
            </w:pPr>
          </w:p>
        </w:tc>
        <w:tc>
          <w:tcPr>
            <w:tcW w:w="696" w:type="dxa"/>
            <w:noWrap/>
          </w:tcPr>
          <w:p w:rsidR="00162CD2" w:rsidRPr="008A36EB" w:rsidRDefault="00162CD2" w:rsidP="00BE05C1">
            <w:pPr>
              <w:spacing w:after="0" w:line="240" w:lineRule="auto"/>
              <w:ind w:firstLine="0"/>
              <w:jc w:val="left"/>
              <w:rPr>
                <w:lang w:eastAsia="hr-HR"/>
              </w:rPr>
            </w:pPr>
          </w:p>
        </w:tc>
        <w:tc>
          <w:tcPr>
            <w:tcW w:w="2307" w:type="dxa"/>
            <w:noWrap/>
          </w:tcPr>
          <w:p w:rsidR="00162CD2" w:rsidRPr="008A36EB" w:rsidRDefault="00162CD2" w:rsidP="00BE05C1">
            <w:pPr>
              <w:spacing w:after="0" w:line="240" w:lineRule="auto"/>
              <w:ind w:firstLine="0"/>
              <w:jc w:val="left"/>
              <w:rPr>
                <w:lang w:eastAsia="hr-HR"/>
              </w:rPr>
            </w:pPr>
            <w:r w:rsidRPr="008A36EB">
              <w:rPr>
                <w:lang w:eastAsia="hr-HR"/>
              </w:rPr>
              <w:t>Food and beverage**</w:t>
            </w:r>
          </w:p>
        </w:tc>
        <w:tc>
          <w:tcPr>
            <w:tcW w:w="696" w:type="dxa"/>
          </w:tcPr>
          <w:p w:rsidR="00162CD2" w:rsidRPr="008A36EB" w:rsidRDefault="00162CD2" w:rsidP="00BE05C1">
            <w:pPr>
              <w:spacing w:after="0" w:line="240" w:lineRule="auto"/>
              <w:ind w:firstLine="0"/>
              <w:jc w:val="left"/>
              <w:rPr>
                <w:lang w:eastAsia="hr-HR"/>
              </w:rPr>
            </w:pPr>
            <w:r w:rsidRPr="008A36EB">
              <w:rPr>
                <w:lang w:eastAsia="hr-HR"/>
              </w:rPr>
              <w:t xml:space="preserve">6.6 </w:t>
            </w:r>
          </w:p>
        </w:tc>
        <w:tc>
          <w:tcPr>
            <w:tcW w:w="696" w:type="dxa"/>
            <w:noWrap/>
          </w:tcPr>
          <w:p w:rsidR="00162CD2" w:rsidRPr="008A36EB" w:rsidRDefault="00162CD2" w:rsidP="00BE05C1">
            <w:pPr>
              <w:spacing w:after="0" w:line="240" w:lineRule="auto"/>
              <w:ind w:firstLine="0"/>
              <w:jc w:val="left"/>
              <w:rPr>
                <w:lang w:eastAsia="hr-HR"/>
              </w:rPr>
            </w:pPr>
            <w:r w:rsidRPr="008A36EB">
              <w:rPr>
                <w:lang w:eastAsia="hr-HR"/>
              </w:rPr>
              <w:t>5.9</w:t>
            </w:r>
          </w:p>
        </w:tc>
        <w:tc>
          <w:tcPr>
            <w:tcW w:w="696" w:type="dxa"/>
            <w:noWrap/>
          </w:tcPr>
          <w:p w:rsidR="00162CD2" w:rsidRPr="008A36EB" w:rsidRDefault="00162CD2" w:rsidP="00BE05C1">
            <w:pPr>
              <w:spacing w:after="0" w:line="240" w:lineRule="auto"/>
              <w:ind w:firstLine="0"/>
              <w:jc w:val="left"/>
            </w:pPr>
            <w:r w:rsidRPr="008A36EB">
              <w:t>7.5</w:t>
            </w:r>
          </w:p>
        </w:tc>
      </w:tr>
      <w:tr w:rsidR="00162CD2" w:rsidRPr="008A36EB" w:rsidTr="00BE05C1">
        <w:trPr>
          <w:trHeight w:val="300"/>
        </w:trPr>
        <w:tc>
          <w:tcPr>
            <w:tcW w:w="2093" w:type="dxa"/>
            <w:noWrap/>
          </w:tcPr>
          <w:p w:rsidR="00162CD2" w:rsidRPr="008A36EB" w:rsidRDefault="00162CD2" w:rsidP="00BE05C1">
            <w:pPr>
              <w:spacing w:after="0" w:line="240" w:lineRule="auto"/>
              <w:ind w:firstLine="0"/>
              <w:jc w:val="left"/>
            </w:pPr>
          </w:p>
        </w:tc>
        <w:tc>
          <w:tcPr>
            <w:tcW w:w="696" w:type="dxa"/>
          </w:tcPr>
          <w:p w:rsidR="00162CD2" w:rsidRPr="008A36EB" w:rsidRDefault="00162CD2" w:rsidP="00BE05C1">
            <w:pPr>
              <w:spacing w:after="0" w:line="240" w:lineRule="auto"/>
              <w:ind w:firstLine="0"/>
              <w:jc w:val="left"/>
            </w:pPr>
          </w:p>
        </w:tc>
        <w:tc>
          <w:tcPr>
            <w:tcW w:w="696" w:type="dxa"/>
            <w:noWrap/>
          </w:tcPr>
          <w:p w:rsidR="00162CD2" w:rsidRPr="008A36EB" w:rsidRDefault="00162CD2" w:rsidP="00BE05C1">
            <w:pPr>
              <w:spacing w:after="0" w:line="240" w:lineRule="auto"/>
              <w:ind w:firstLine="0"/>
              <w:jc w:val="left"/>
              <w:rPr>
                <w:lang w:eastAsia="hr-HR"/>
              </w:rPr>
            </w:pPr>
          </w:p>
        </w:tc>
        <w:tc>
          <w:tcPr>
            <w:tcW w:w="696" w:type="dxa"/>
            <w:noWrap/>
          </w:tcPr>
          <w:p w:rsidR="00162CD2" w:rsidRPr="008A36EB" w:rsidRDefault="00162CD2" w:rsidP="00BE05C1">
            <w:pPr>
              <w:spacing w:after="0" w:line="240" w:lineRule="auto"/>
              <w:ind w:firstLine="0"/>
              <w:jc w:val="left"/>
              <w:rPr>
                <w:lang w:eastAsia="hr-HR"/>
              </w:rPr>
            </w:pPr>
          </w:p>
        </w:tc>
        <w:tc>
          <w:tcPr>
            <w:tcW w:w="2307" w:type="dxa"/>
            <w:noWrap/>
          </w:tcPr>
          <w:p w:rsidR="00162CD2" w:rsidRPr="008A36EB" w:rsidRDefault="00162CD2" w:rsidP="00BE05C1">
            <w:pPr>
              <w:spacing w:after="0" w:line="240" w:lineRule="auto"/>
              <w:ind w:firstLine="0"/>
              <w:jc w:val="left"/>
              <w:rPr>
                <w:lang w:eastAsia="hr-HR"/>
              </w:rPr>
            </w:pPr>
            <w:r w:rsidRPr="008A36EB">
              <w:rPr>
                <w:lang w:eastAsia="hr-HR"/>
              </w:rPr>
              <w:t>Machinery**</w:t>
            </w:r>
          </w:p>
        </w:tc>
        <w:tc>
          <w:tcPr>
            <w:tcW w:w="696" w:type="dxa"/>
          </w:tcPr>
          <w:p w:rsidR="00162CD2" w:rsidRPr="008A36EB" w:rsidRDefault="00162CD2" w:rsidP="00BE05C1">
            <w:pPr>
              <w:spacing w:after="0" w:line="240" w:lineRule="auto"/>
              <w:ind w:firstLine="0"/>
              <w:jc w:val="left"/>
              <w:rPr>
                <w:lang w:eastAsia="hr-HR"/>
              </w:rPr>
            </w:pPr>
            <w:r w:rsidRPr="008A36EB">
              <w:rPr>
                <w:lang w:eastAsia="hr-HR"/>
              </w:rPr>
              <w:t>5.2</w:t>
            </w:r>
          </w:p>
        </w:tc>
        <w:tc>
          <w:tcPr>
            <w:tcW w:w="696" w:type="dxa"/>
            <w:noWrap/>
          </w:tcPr>
          <w:p w:rsidR="00162CD2" w:rsidRPr="008A36EB" w:rsidRDefault="00162CD2" w:rsidP="00BE05C1">
            <w:pPr>
              <w:spacing w:after="0" w:line="240" w:lineRule="auto"/>
              <w:ind w:firstLine="0"/>
              <w:jc w:val="left"/>
              <w:rPr>
                <w:lang w:eastAsia="hr-HR"/>
              </w:rPr>
            </w:pPr>
            <w:r w:rsidRPr="008A36EB">
              <w:rPr>
                <w:lang w:eastAsia="hr-HR"/>
              </w:rPr>
              <w:t>3.9</w:t>
            </w:r>
          </w:p>
        </w:tc>
        <w:tc>
          <w:tcPr>
            <w:tcW w:w="696" w:type="dxa"/>
            <w:noWrap/>
          </w:tcPr>
          <w:p w:rsidR="00162CD2" w:rsidRPr="008A36EB" w:rsidRDefault="00162CD2" w:rsidP="00BE05C1">
            <w:pPr>
              <w:spacing w:after="0" w:line="240" w:lineRule="auto"/>
              <w:ind w:firstLine="0"/>
              <w:jc w:val="left"/>
            </w:pPr>
            <w:r w:rsidRPr="008A36EB">
              <w:t>6.2</w:t>
            </w:r>
          </w:p>
        </w:tc>
      </w:tr>
    </w:tbl>
    <w:p w:rsidR="00162CD2" w:rsidRPr="001E69D4" w:rsidRDefault="00162CD2" w:rsidP="00153DB4">
      <w:pPr>
        <w:pStyle w:val="Footnotes"/>
        <w:spacing w:after="120"/>
      </w:pPr>
      <w:r w:rsidRPr="001E69D4">
        <w:t>**These two sectors increased their share significantly in 2011.</w:t>
      </w:r>
    </w:p>
    <w:p w:rsidR="00162CD2" w:rsidRPr="001E69D4" w:rsidRDefault="00162CD2" w:rsidP="00153DB4">
      <w:pPr>
        <w:pStyle w:val="Footnotes"/>
      </w:pPr>
      <w:r w:rsidRPr="001E69D4">
        <w:t>Source: BH Statistical Office.</w:t>
      </w:r>
    </w:p>
    <w:p w:rsidR="00162CD2" w:rsidRPr="001E69D4" w:rsidRDefault="00162CD2">
      <w:pPr>
        <w:pStyle w:val="Follow-onparagraphstyle"/>
        <w:spacing w:line="276" w:lineRule="auto"/>
      </w:pPr>
      <w:r w:rsidRPr="001E69D4">
        <w:rPr>
          <w:rStyle w:val="Style11pt"/>
          <w:rFonts w:ascii="Calibri" w:hAnsi="Calibri" w:cs="Calibri"/>
        </w:rPr>
        <w:t xml:space="preserve">Low competitiveness </w:t>
      </w:r>
      <w:r w:rsidRPr="001E69D4">
        <w:t>(</w:t>
      </w:r>
      <w:proofErr w:type="spellStart"/>
      <w:r w:rsidRPr="001E69D4">
        <w:t>Ca’Zorzi</w:t>
      </w:r>
      <w:proofErr w:type="spellEnd"/>
      <w:r w:rsidRPr="001E69D4">
        <w:t xml:space="preserve"> </w:t>
      </w:r>
      <w:r w:rsidR="000E647E">
        <w:t xml:space="preserve">and </w:t>
      </w:r>
      <w:proofErr w:type="spellStart"/>
      <w:r w:rsidR="000E647E">
        <w:t>Schnatz</w:t>
      </w:r>
      <w:proofErr w:type="spellEnd"/>
      <w:r w:rsidRPr="001E69D4">
        <w:t xml:space="preserve">, 2007; </w:t>
      </w:r>
      <w:proofErr w:type="spellStart"/>
      <w:r w:rsidRPr="001E69D4">
        <w:t>Esterhuizen</w:t>
      </w:r>
      <w:proofErr w:type="spellEnd"/>
      <w:r w:rsidRPr="001E69D4">
        <w:t xml:space="preserve"> and van </w:t>
      </w:r>
      <w:proofErr w:type="spellStart"/>
      <w:r w:rsidRPr="001E69D4">
        <w:t>Rooyen</w:t>
      </w:r>
      <w:proofErr w:type="spellEnd"/>
      <w:r w:rsidRPr="001E69D4">
        <w:t xml:space="preserve">, 2006) helps to explain the achievements or failures of the economy (Adams et al., 2004; </w:t>
      </w:r>
      <w:proofErr w:type="spellStart"/>
      <w:r w:rsidRPr="001E69D4">
        <w:t>Kovačić</w:t>
      </w:r>
      <w:proofErr w:type="spellEnd"/>
      <w:r w:rsidRPr="001E69D4">
        <w:t xml:space="preserve">, 2007; </w:t>
      </w:r>
      <w:proofErr w:type="spellStart"/>
      <w:r w:rsidRPr="001E69D4">
        <w:t>Nikolić</w:t>
      </w:r>
      <w:proofErr w:type="spellEnd"/>
      <w:r w:rsidRPr="001E69D4">
        <w:t>, 2008) as well as patterns of sustainable development including rural development (</w:t>
      </w:r>
      <w:proofErr w:type="spellStart"/>
      <w:r w:rsidRPr="001E69D4">
        <w:t>Krom</w:t>
      </w:r>
      <w:proofErr w:type="spellEnd"/>
      <w:r w:rsidRPr="001E69D4">
        <w:t xml:space="preserve"> </w:t>
      </w:r>
      <w:r w:rsidR="000E647E">
        <w:t xml:space="preserve">and </w:t>
      </w:r>
      <w:proofErr w:type="spellStart"/>
      <w:r w:rsidR="000E647E">
        <w:t>Sagi</w:t>
      </w:r>
      <w:proofErr w:type="spellEnd"/>
      <w:r w:rsidR="000E647E">
        <w:t>,</w:t>
      </w:r>
      <w:r w:rsidRPr="001E69D4">
        <w:t xml:space="preserve"> 2005). </w:t>
      </w:r>
      <w:r w:rsidR="002E4D82">
        <w:t>T</w:t>
      </w:r>
      <w:r w:rsidRPr="001E69D4">
        <w:t xml:space="preserve">he fact that BH trade deficit is fuelled by high levels of food imports – the deficit in food trade accounts for 29 per cent of BH’s overall trade deficit – confirms the limited ability of food producers to respond to new market conditions and trends. However, recent trade liberalization improved market access, which, in turn, induced growth in the food industry; from 2004 to 2009 growth amounted to 59 per cent. This made the food industry one of the most dynamic sectors. </w:t>
      </w:r>
    </w:p>
    <w:p w:rsidR="00162CD2" w:rsidRDefault="000A120D" w:rsidP="00C4155D">
      <w:pPr>
        <w:pStyle w:val="Tabletitle"/>
        <w:ind w:left="1170" w:hanging="1170"/>
      </w:pPr>
      <w:r w:rsidRPr="00831BF9">
        <w:t>Figure 9.1</w:t>
      </w:r>
      <w:r w:rsidRPr="00831BF9">
        <w:tab/>
      </w:r>
      <w:proofErr w:type="gramStart"/>
      <w:r w:rsidRPr="00831BF9">
        <w:t>The</w:t>
      </w:r>
      <w:proofErr w:type="gramEnd"/>
      <w:r w:rsidRPr="00831BF9">
        <w:t xml:space="preserve"> GDP share of agriculture, processing industry, and services at entities and state levels</w:t>
      </w:r>
    </w:p>
    <w:p w:rsidR="00C44E33" w:rsidRPr="00C44E33" w:rsidRDefault="00E37DDB" w:rsidP="00E37DDB">
      <w:pPr>
        <w:ind w:firstLine="0"/>
        <w:rPr>
          <w:lang w:eastAsia="en-US"/>
        </w:rPr>
      </w:pPr>
      <w:r>
        <w:rPr>
          <w:lang w:eastAsia="en-US"/>
        </w:rPr>
        <w:object w:dxaOrig="10802" w:dyaOrig="40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204pt" o:ole="">
            <v:imagedata r:id="rId8" o:title=""/>
          </v:shape>
          <o:OLEObject Type="Embed" ProgID="Excel.Sheet.12" ShapeID="_x0000_i1025" DrawAspect="Content" ObjectID="_1420295758" r:id="rId9"/>
        </w:object>
      </w:r>
    </w:p>
    <w:p w:rsidR="003B1358" w:rsidRPr="003B1358" w:rsidRDefault="003B1358" w:rsidP="003B1358">
      <w:pPr>
        <w:ind w:firstLine="0"/>
        <w:rPr>
          <w:lang w:eastAsia="en-US"/>
        </w:rPr>
      </w:pPr>
      <w:r>
        <w:rPr>
          <w:lang w:eastAsia="en-US"/>
        </w:rPr>
        <w:t>Notes: BH=Bosnia Herzegovina, RS=</w:t>
      </w:r>
      <w:proofErr w:type="spellStart"/>
      <w:r w:rsidRPr="003B1358">
        <w:rPr>
          <w:lang w:eastAsia="en-US"/>
        </w:rPr>
        <w:t>Republika</w:t>
      </w:r>
      <w:proofErr w:type="spellEnd"/>
      <w:r w:rsidRPr="003B1358">
        <w:rPr>
          <w:lang w:eastAsia="en-US"/>
        </w:rPr>
        <w:t xml:space="preserve"> </w:t>
      </w:r>
      <w:proofErr w:type="spellStart"/>
      <w:r w:rsidRPr="003B1358">
        <w:rPr>
          <w:lang w:eastAsia="en-US"/>
        </w:rPr>
        <w:t>Srpska</w:t>
      </w:r>
      <w:proofErr w:type="spellEnd"/>
      <w:r>
        <w:rPr>
          <w:lang w:eastAsia="en-US"/>
        </w:rPr>
        <w:t xml:space="preserve">, and </w:t>
      </w:r>
      <w:proofErr w:type="spellStart"/>
      <w:r>
        <w:rPr>
          <w:lang w:eastAsia="en-US"/>
        </w:rPr>
        <w:t>FB</w:t>
      </w:r>
      <w:r w:rsidR="00790FF4">
        <w:rPr>
          <w:lang w:eastAsia="en-US"/>
        </w:rPr>
        <w:t>i</w:t>
      </w:r>
      <w:r>
        <w:rPr>
          <w:lang w:eastAsia="en-US"/>
        </w:rPr>
        <w:t>H</w:t>
      </w:r>
      <w:proofErr w:type="spellEnd"/>
      <w:r>
        <w:rPr>
          <w:lang w:eastAsia="en-US"/>
        </w:rPr>
        <w:t>=</w:t>
      </w:r>
      <w:r w:rsidRPr="003B1358">
        <w:t xml:space="preserve"> </w:t>
      </w:r>
      <w:r w:rsidRPr="003B1358">
        <w:rPr>
          <w:lang w:eastAsia="en-US"/>
        </w:rPr>
        <w:t>Federation of Bosnia and Herzegovina</w:t>
      </w:r>
    </w:p>
    <w:p w:rsidR="00162CD2" w:rsidRPr="001E69D4" w:rsidRDefault="00162CD2" w:rsidP="00577127">
      <w:r w:rsidRPr="001E69D4">
        <w:t xml:space="preserve">Agriculture remains an important source of employment in BH. Reliable data about employment in agriculture are not available, however. </w:t>
      </w:r>
      <w:r>
        <w:t>With the loss of non-agricultural jobs associated with the destruction of the war and associated</w:t>
      </w:r>
      <w:r w:rsidRPr="001E69D4">
        <w:t xml:space="preserve"> economic declines, a large proportion of employees in industrial activities have been left obviously unemployed or else </w:t>
      </w:r>
      <w:r w:rsidR="00424A04">
        <w:t xml:space="preserve">have </w:t>
      </w:r>
      <w:r w:rsidRPr="001E69D4">
        <w:t>moved into (hidden) agricultural and rural unemployment (</w:t>
      </w:r>
      <w:proofErr w:type="spellStart"/>
      <w:r w:rsidRPr="001E69D4">
        <w:t>Bojnec</w:t>
      </w:r>
      <w:proofErr w:type="spellEnd"/>
      <w:r w:rsidRPr="001E69D4">
        <w:t xml:space="preserve">, S., 2005; cited from </w:t>
      </w:r>
      <w:proofErr w:type="spellStart"/>
      <w:r w:rsidRPr="001E69D4">
        <w:t>AgriPolicy</w:t>
      </w:r>
      <w:proofErr w:type="spellEnd"/>
      <w:r w:rsidRPr="001E69D4">
        <w:t xml:space="preserve">, 2007). According to a study from </w:t>
      </w:r>
      <w:proofErr w:type="spellStart"/>
      <w:r w:rsidRPr="001E69D4">
        <w:t>AgriPolicy</w:t>
      </w:r>
      <w:proofErr w:type="spellEnd"/>
      <w:r w:rsidRPr="001E69D4">
        <w:t xml:space="preserve"> (2007), the share of agriculture in total employment in BH was 18.1 per cent in 2003. Along with high unemployment, there is a large informal sector in BH, of which 39 per cent or 50 per cent (according to different sources – </w:t>
      </w:r>
      <w:proofErr w:type="spellStart"/>
      <w:r w:rsidRPr="001E69D4">
        <w:t>AgriPolicy</w:t>
      </w:r>
      <w:proofErr w:type="spellEnd"/>
      <w:r w:rsidRPr="001E69D4">
        <w:t xml:space="preserve">, 2007, and the World Bank, respectively) are active in agriculture. It is roughly estimated that in a population of 3.2 million, with 1.2 million economically active, about 500,000 people are employed in agriculture. In fact, this is probably an upper bound. </w:t>
      </w:r>
    </w:p>
    <w:p w:rsidR="00162CD2" w:rsidRPr="001E69D4" w:rsidRDefault="00162CD2" w:rsidP="00C4155D">
      <w:r w:rsidRPr="001E69D4">
        <w:t xml:space="preserve">Agribusiness groups are concerned about further liberalization of sensitive sectors and are pointing to several factors as reasons for concern. These include the huge </w:t>
      </w:r>
      <w:proofErr w:type="spellStart"/>
      <w:r w:rsidRPr="001E69D4">
        <w:t>agri</w:t>
      </w:r>
      <w:proofErr w:type="spellEnd"/>
      <w:r w:rsidRPr="001E69D4">
        <w:t xml:space="preserve">-food trade deficit (over €1 billion in 2008), the continuing growth in imports, and the sector’s economic importance (figure </w:t>
      </w:r>
      <w:r w:rsidR="00F93001">
        <w:t>9</w:t>
      </w:r>
      <w:r w:rsidRPr="001E69D4">
        <w:t>.</w:t>
      </w:r>
      <w:r w:rsidR="001B3C35">
        <w:t>1)</w:t>
      </w:r>
      <w:r w:rsidRPr="001E69D4">
        <w:t xml:space="preserve">, especially for employment. </w:t>
      </w:r>
      <w:r w:rsidR="00F93001">
        <w:t>Stakeholders</w:t>
      </w:r>
      <w:r w:rsidRPr="001E69D4">
        <w:t xml:space="preserve"> argue</w:t>
      </w:r>
      <w:r>
        <w:t xml:space="preserve"> </w:t>
      </w:r>
      <w:r w:rsidRPr="001E69D4">
        <w:t xml:space="preserve">that agriculture makes a significant contribution to GDP and poverty reduction. The public debate, however, fails to recognize either the sector’s poor performance or positive trade developments such as a significant increase in agricultural exports. </w:t>
      </w:r>
    </w:p>
    <w:p w:rsidR="003B1A3A" w:rsidRDefault="000A120D" w:rsidP="00A17410">
      <w:pPr>
        <w:pStyle w:val="Tabletitle"/>
      </w:pPr>
      <w:r w:rsidRPr="00A17410" w:rsidDel="003B1A3A">
        <w:t xml:space="preserve">Figure </w:t>
      </w:r>
      <w:r w:rsidR="00A17410" w:rsidRPr="00A17410">
        <w:t>9.2:</w:t>
      </w:r>
      <w:r w:rsidRPr="00A17410" w:rsidDel="003B1A3A">
        <w:t xml:space="preserve"> Structure of total BH </w:t>
      </w:r>
      <w:proofErr w:type="spellStart"/>
      <w:r w:rsidRPr="00A17410" w:rsidDel="003B1A3A">
        <w:t>agri</w:t>
      </w:r>
      <w:proofErr w:type="spellEnd"/>
      <w:r w:rsidRPr="00A17410" w:rsidDel="003B1A3A">
        <w:t>-food exports (in BAM million)</w:t>
      </w:r>
    </w:p>
    <w:p w:rsidR="00C44E33" w:rsidRPr="00C44E33" w:rsidRDefault="0073758D" w:rsidP="00E37DDB">
      <w:pPr>
        <w:ind w:firstLine="0"/>
        <w:rPr>
          <w:lang w:eastAsia="en-US"/>
        </w:rPr>
      </w:pPr>
      <w:r w:rsidRPr="0073758D">
        <w:rPr>
          <w:noProof/>
        </w:rPr>
        <w:drawing>
          <wp:inline distT="0" distB="0" distL="0" distR="0">
            <wp:extent cx="5274310" cy="3667787"/>
            <wp:effectExtent l="19050" t="0" r="2540" b="0"/>
            <wp:docPr id="17"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629400" cy="4610100"/>
                      <a:chOff x="0" y="0"/>
                      <a:chExt cx="6629400" cy="4610100"/>
                    </a:xfrm>
                  </a:grpSpPr>
                  <a:grpSp>
                    <a:nvGrpSpPr>
                      <a:cNvPr id="10" name="Group 9"/>
                      <a:cNvGrpSpPr/>
                    </a:nvGrpSpPr>
                    <a:grpSpPr>
                      <a:xfrm>
                        <a:off x="0" y="0"/>
                        <a:ext cx="6629400" cy="4610100"/>
                        <a:chOff x="0" y="0"/>
                        <a:chExt cx="6629400" cy="4610100"/>
                      </a:xfrm>
                    </a:grpSpPr>
                    <a:graphicFrame>
                      <a:nvGraphicFramePr>
                        <a:cNvPr id="8" name="Chart 7"/>
                        <a:cNvGraphicFramePr/>
                      </a:nvGraphicFramePr>
                      <a:graphic>
                        <a:graphicData uri="http://schemas.openxmlformats.org/drawingml/2006/chart">
                          <c:chart xmlns:c="http://schemas.openxmlformats.org/drawingml/2006/chart" xmlns:r="http://schemas.openxmlformats.org/officeDocument/2006/relationships" r:id="rId10"/>
                        </a:graphicData>
                      </a:graphic>
                      <a:xfrm>
                        <a:off x="0" y="0"/>
                        <a:ext cx="6629400" cy="4610100"/>
                      </a:xfrm>
                    </a:graphicFrame>
                    <a:sp>
                      <a:nvSpPr>
                        <a:cNvPr id="9" name="TextBox 8"/>
                        <a:cNvSpPr txBox="1"/>
                      </a:nvSpPr>
                      <a:spPr>
                        <a:xfrm>
                          <a:off x="6057900" y="4181474"/>
                          <a:ext cx="561975" cy="409575"/>
                        </a:xfrm>
                        <a:prstGeom prst="rect">
                          <a:avLst/>
                        </a:prstGeom>
                        <a:noFill/>
                        <a:ln w="9525" cmpd="sng">
                          <a:solidFill>
                            <a:schemeClr val="lt1">
                              <a:shade val="50000"/>
                            </a:schemeClr>
                          </a:solidFill>
                        </a:ln>
                      </a:spPr>
                      <a:txSp>
                        <a:txBody>
                          <a:bodyPr vertOverflow="clip" wrap="square" rtlCol="0" anchor="t"/>
                          <a:lstStyle>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a:r>
                              <a:rPr lang="hr-HR" sz="600"/>
                              <a:t>ANNUAL EXPORT GROWTH</a:t>
                            </a:r>
                          </a:p>
                        </a:txBody>
                        <a:useSpRect/>
                      </a:txSp>
                      <a:style>
                        <a:lnRef idx="0">
                          <a:scrgbClr r="0" g="0" b="0"/>
                        </a:lnRef>
                        <a:fillRef idx="0">
                          <a:scrgbClr r="0" g="0" b="0"/>
                        </a:fillRef>
                        <a:effectRef idx="0">
                          <a:scrgbClr r="0" g="0" b="0"/>
                        </a:effectRef>
                        <a:fontRef idx="minor">
                          <a:schemeClr val="dk1"/>
                        </a:fontRef>
                      </a:style>
                    </a:sp>
                  </a:grpSp>
                </lc:lockedCanvas>
              </a:graphicData>
            </a:graphic>
          </wp:inline>
        </w:drawing>
      </w:r>
    </w:p>
    <w:p w:rsidR="00162CD2" w:rsidRDefault="00162CD2">
      <w:r w:rsidRPr="001E69D4">
        <w:t xml:space="preserve">Agricultural </w:t>
      </w:r>
      <w:r w:rsidRPr="001E69D4">
        <w:rPr>
          <w:rStyle w:val="hps"/>
          <w:rFonts w:cs="Calibri"/>
        </w:rPr>
        <w:t>exports have been growing</w:t>
      </w:r>
      <w:r w:rsidRPr="001E69D4">
        <w:t xml:space="preserve"> steadily </w:t>
      </w:r>
      <w:r w:rsidRPr="001E69D4">
        <w:rPr>
          <w:rStyle w:val="hps"/>
          <w:rFonts w:cs="Calibri"/>
        </w:rPr>
        <w:t>at high</w:t>
      </w:r>
      <w:r w:rsidRPr="001E69D4">
        <w:t xml:space="preserve"> </w:t>
      </w:r>
      <w:r w:rsidRPr="001E69D4">
        <w:rPr>
          <w:rStyle w:val="hps"/>
          <w:rFonts w:cs="Calibri"/>
        </w:rPr>
        <w:t>annual rates</w:t>
      </w:r>
      <w:r w:rsidRPr="001E69D4">
        <w:t xml:space="preserve"> </w:t>
      </w:r>
      <w:r w:rsidRPr="001E69D4">
        <w:rPr>
          <w:rStyle w:val="hps"/>
          <w:rFonts w:cs="Calibri"/>
        </w:rPr>
        <w:t>(</w:t>
      </w:r>
      <w:r w:rsidRPr="001E69D4">
        <w:t xml:space="preserve">figure </w:t>
      </w:r>
      <w:r w:rsidR="00F93001">
        <w:t>9</w:t>
      </w:r>
      <w:r w:rsidRPr="001E69D4">
        <w:t>.</w:t>
      </w:r>
      <w:r w:rsidR="001B3C35">
        <w:rPr>
          <w:rStyle w:val="hps"/>
          <w:rFonts w:cs="Calibri"/>
        </w:rPr>
        <w:t>2</w:t>
      </w:r>
      <w:r w:rsidRPr="001E69D4">
        <w:rPr>
          <w:rStyle w:val="hps"/>
          <w:rFonts w:cs="Calibri"/>
        </w:rPr>
        <w:t xml:space="preserve">). </w:t>
      </w:r>
      <w:r w:rsidRPr="001E69D4">
        <w:t xml:space="preserve">Agricultural exports grew even in 2009, when the whole economy, including exports overall, declined (GDP </w:t>
      </w:r>
      <w:r w:rsidR="002E4D82">
        <w:t>by</w:t>
      </w:r>
      <w:r w:rsidR="002E4D82" w:rsidRPr="001E69D4">
        <w:t xml:space="preserve"> </w:t>
      </w:r>
      <w:r w:rsidRPr="001E69D4">
        <w:t xml:space="preserve">−2.8 per cent and total exports </w:t>
      </w:r>
      <w:r w:rsidR="002E4D82">
        <w:t>by</w:t>
      </w:r>
      <w:r w:rsidR="002E4D82" w:rsidRPr="001E69D4">
        <w:t xml:space="preserve"> </w:t>
      </w:r>
      <w:r w:rsidRPr="001E69D4">
        <w:t xml:space="preserve">−17 per cent). The sector’s contribution to overall export value is slowly decreasing as other exports increase faster. However, it still remains significant (8.4 per cent in 2009, 8.0 per cent in 2010, and 7.4 per cent in 2011), even though its absolute value is modest </w:t>
      </w:r>
      <w:r w:rsidR="000A120D" w:rsidRPr="000A120D">
        <w:rPr>
          <w:rFonts w:asciiTheme="minorHAnsi" w:hAnsiTheme="minorHAnsi"/>
        </w:rPr>
        <w:t>(</w:t>
      </w:r>
      <w:r w:rsidR="000A120D" w:rsidRPr="000A120D">
        <w:rPr>
          <w:rFonts w:asciiTheme="minorHAnsi" w:hAnsiTheme="minorHAnsi" w:cs="Arial"/>
          <w:bCs/>
          <w:color w:val="000000"/>
          <w:sz w:val="20"/>
          <w:szCs w:val="20"/>
          <w:shd w:val="clear" w:color="auto" w:fill="FFFFFF"/>
        </w:rPr>
        <w:t>Bosnia and Herzegovina convertible mark (</w:t>
      </w:r>
      <w:r w:rsidRPr="001E69D4">
        <w:t>BAM</w:t>
      </w:r>
      <w:r w:rsidR="00D40A78">
        <w:t>)</w:t>
      </w:r>
      <w:r w:rsidRPr="001E69D4">
        <w:t xml:space="preserve"> 612.2 million). At the same time, the value of agricultural imports has increased</w:t>
      </w:r>
      <w:r>
        <w:t xml:space="preserve"> (figure </w:t>
      </w:r>
      <w:r w:rsidR="00F93001">
        <w:t>9</w:t>
      </w:r>
      <w:r>
        <w:t>.</w:t>
      </w:r>
      <w:r w:rsidR="001B3C35">
        <w:t>3</w:t>
      </w:r>
      <w:r>
        <w:t>)</w:t>
      </w:r>
      <w:r w:rsidRPr="001E69D4">
        <w:t xml:space="preserve">, but at significantly lower rates than exports – by 15 per cent in 2007, 17 per cent in 2008, −8 per cent in 2009, and only 4 per cent in 2010. The increase of BH </w:t>
      </w:r>
      <w:proofErr w:type="spellStart"/>
      <w:r w:rsidRPr="001E69D4">
        <w:t>agri</w:t>
      </w:r>
      <w:proofErr w:type="spellEnd"/>
      <w:r w:rsidRPr="001E69D4">
        <w:t>-food import values in 2008 was driven partly by increases in global food and fuel prices (</w:t>
      </w:r>
      <w:r w:rsidR="000E647E">
        <w:t xml:space="preserve">BH </w:t>
      </w:r>
      <w:r w:rsidR="00EC3E44" w:rsidRPr="001E69D4">
        <w:rPr>
          <w:color w:val="000000"/>
        </w:rPr>
        <w:t>Directorate for Economic Planning</w:t>
      </w:r>
      <w:r w:rsidRPr="001E69D4">
        <w:t xml:space="preserve">, 2009). Export growth has continued, with the value of exports of agricultural goods increasing by 21 per cent in 2010 and 9 per cent in 2011. Aggregate </w:t>
      </w:r>
      <w:proofErr w:type="spellStart"/>
      <w:r w:rsidRPr="001E69D4">
        <w:t>agri</w:t>
      </w:r>
      <w:proofErr w:type="spellEnd"/>
      <w:r w:rsidRPr="001E69D4">
        <w:t xml:space="preserve">-food trade data suggest that trade liberalization (especially with CEFTA members) opened up a “window of opportunity” for BH agribusiness. </w:t>
      </w:r>
    </w:p>
    <w:p w:rsidR="00162CD2" w:rsidRPr="001E69D4" w:rsidRDefault="00162CD2" w:rsidP="00877906">
      <w:r w:rsidRPr="00890D4E">
        <w:t xml:space="preserve">One of the </w:t>
      </w:r>
      <w:r w:rsidRPr="009E578E">
        <w:t>most</w:t>
      </w:r>
      <w:r w:rsidRPr="001E69D4">
        <w:t xml:space="preserve"> important factors behind the rapid increase in agricultural imports is the inability of BH agribusiness to increase production and productivity to satisfy market needs. BH agricultural imports are dominated by beverages, alcohol, and vinegar (11.7 per cent share in 2010), various food products (7.9 per cent), followed by cereals (7.7 per cent), sugar and sugar products (7.6 per cent), food industry remains and products based on flour, grain, etc. (6.4 per cent each 2010), dairy products (6.1 per cent), tobacco (5.8 per cent), and cocoa and processed food based on cocoa (5.1 per </w:t>
      </w:r>
      <w:r w:rsidR="00E806D1" w:rsidRPr="001E69D4">
        <w:t>cent)</w:t>
      </w:r>
      <w:r w:rsidRPr="001E69D4">
        <w:t xml:space="preserve">. </w:t>
      </w:r>
    </w:p>
    <w:p w:rsidR="00162CD2" w:rsidRPr="001E69D4" w:rsidRDefault="00162CD2">
      <w:r w:rsidRPr="001E69D4">
        <w:t xml:space="preserve">The major exporters to BH are </w:t>
      </w:r>
      <w:r>
        <w:t>the 25 EU members (</w:t>
      </w:r>
      <w:r w:rsidRPr="001E69D4">
        <w:t>EU-25</w:t>
      </w:r>
      <w:r>
        <w:t>)</w:t>
      </w:r>
      <w:r>
        <w:rPr>
          <w:rStyle w:val="FootnoteReference"/>
        </w:rPr>
        <w:footnoteReference w:id="4"/>
      </w:r>
      <w:r w:rsidRPr="001E69D4">
        <w:t xml:space="preserve"> (about 48 per cent of total imports), closely followed by Croatia and by Serbia and Montenegro (together about 45 per cent of total import</w:t>
      </w:r>
      <w:r w:rsidR="00922B8A">
        <w:t>s</w:t>
      </w:r>
      <w:r w:rsidRPr="001E69D4">
        <w:t>). BH agricultural imports are driven by higher value goods</w:t>
      </w:r>
      <w:r w:rsidR="00544047">
        <w:t xml:space="preserve"> (figure 9.3)</w:t>
      </w:r>
      <w:r w:rsidRPr="001E69D4">
        <w:t>, which require higher innovative capacity and more sophisticated marketing knowledge as well as facility at recognizing and following market trends. This suggests that the trade deficit could not be significantly decreased without local industry becoming more sophisticated, moving into greater levels of processing</w:t>
      </w:r>
      <w:r w:rsidR="00825472">
        <w:t>,</w:t>
      </w:r>
      <w:r w:rsidRPr="001E69D4">
        <w:t xml:space="preserve"> and developing economies of </w:t>
      </w:r>
      <w:r>
        <w:t>scale</w:t>
      </w:r>
      <w:r w:rsidRPr="001E69D4">
        <w:t xml:space="preserve"> and scope (greate</w:t>
      </w:r>
      <w:r>
        <w:t>r</w:t>
      </w:r>
      <w:r w:rsidRPr="001E69D4">
        <w:t xml:space="preserve"> quantities and a wider assortment of products).</w:t>
      </w:r>
    </w:p>
    <w:p w:rsidR="00162CD2" w:rsidRDefault="00C078F7" w:rsidP="00CA1614">
      <w:pPr>
        <w:pStyle w:val="Tabletitle"/>
      </w:pPr>
      <w:r w:rsidRPr="00C078F7">
        <w:t>Figure 9.3:</w:t>
      </w:r>
      <w:r w:rsidRPr="00C078F7">
        <w:tab/>
        <w:t xml:space="preserve">Structure of total BH </w:t>
      </w:r>
      <w:proofErr w:type="spellStart"/>
      <w:r w:rsidRPr="00C078F7">
        <w:t>agri</w:t>
      </w:r>
      <w:proofErr w:type="spellEnd"/>
      <w:r w:rsidRPr="00C078F7">
        <w:t>-food imports (in € million)</w:t>
      </w:r>
    </w:p>
    <w:p w:rsidR="00C44E33" w:rsidRPr="00C44E33" w:rsidRDefault="0073758D" w:rsidP="00E37DDB">
      <w:pPr>
        <w:ind w:firstLine="0"/>
        <w:rPr>
          <w:lang w:eastAsia="en-US"/>
        </w:rPr>
      </w:pPr>
      <w:r>
        <w:rPr>
          <w:lang w:eastAsia="en-US"/>
        </w:rPr>
        <w:object w:dxaOrig="12255" w:dyaOrig="7968">
          <v:shape id="_x0000_i1026" type="#_x0000_t75" style="width:420.75pt;height:288.75pt" o:ole="">
            <v:imagedata r:id="rId11" o:title=""/>
          </v:shape>
          <o:OLEObject Type="Embed" ProgID="Excel.Sheet.12" ShapeID="_x0000_i1026" DrawAspect="Content" ObjectID="_1420295759" r:id="rId12"/>
        </w:object>
      </w:r>
    </w:p>
    <w:p w:rsidR="00162CD2" w:rsidRPr="001E69D4" w:rsidRDefault="00162CD2">
      <w:r w:rsidRPr="001E69D4">
        <w:t xml:space="preserve">Additionally, the main BH </w:t>
      </w:r>
      <w:proofErr w:type="spellStart"/>
      <w:r w:rsidRPr="001E69D4">
        <w:t>agri</w:t>
      </w:r>
      <w:proofErr w:type="spellEnd"/>
      <w:r w:rsidRPr="001E69D4">
        <w:t>-food export markets are Croatia, Serbia, Macedonia, Kosovo,</w:t>
      </w:r>
      <w:r w:rsidRPr="001E69D4">
        <w:rPr>
          <w:rStyle w:val="FootnoteReference"/>
        </w:rPr>
        <w:footnoteReference w:id="5"/>
      </w:r>
      <w:r w:rsidRPr="001E69D4">
        <w:t xml:space="preserve"> and Montenegro (about 70 per cent of total exports</w:t>
      </w:r>
      <w:r w:rsidR="00D514C8">
        <w:t xml:space="preserve"> (</w:t>
      </w:r>
      <w:proofErr w:type="spellStart"/>
      <w:r w:rsidR="00D514C8" w:rsidRPr="00D514C8">
        <w:t>Lalić</w:t>
      </w:r>
      <w:proofErr w:type="spellEnd"/>
      <w:r w:rsidR="00D514C8" w:rsidRPr="00D514C8">
        <w:t xml:space="preserve"> et al.</w:t>
      </w:r>
      <w:r w:rsidR="00D514C8">
        <w:t>,</w:t>
      </w:r>
      <w:r w:rsidR="00D514C8" w:rsidRPr="00D514C8">
        <w:t xml:space="preserve"> 2010)</w:t>
      </w:r>
      <w:r w:rsidRPr="001E69D4">
        <w:t>), followed by the EU</w:t>
      </w:r>
      <w:r>
        <w:t>-</w:t>
      </w:r>
      <w:r w:rsidRPr="001E69D4">
        <w:t xml:space="preserve">25 (about 23 per cent of total exports). This suggests that sanitary and </w:t>
      </w:r>
      <w:proofErr w:type="spellStart"/>
      <w:r w:rsidRPr="001E69D4">
        <w:t>phytosanitary</w:t>
      </w:r>
      <w:proofErr w:type="spellEnd"/>
      <w:r w:rsidRPr="001E69D4">
        <w:t xml:space="preserve"> (SPS) and technical barriers to trade (TBT) requirements, which are more stringent in EU markets than in CEFTA markets, constrain exports. An example is exports of meat and dairy products to the EU, which, according to </w:t>
      </w:r>
      <w:proofErr w:type="spellStart"/>
      <w:r w:rsidRPr="001E69D4">
        <w:t>Nikolić</w:t>
      </w:r>
      <w:proofErr w:type="spellEnd"/>
      <w:r w:rsidRPr="001E69D4">
        <w:t xml:space="preserve"> (2007, p. 112), accounted for less than 1 per cent of dairy product exports in 2007. This low share decreased to almost zero in 2010 (UNCTAD statistics). It is likely that cultural and historical ties as well as common consumption patterns partly explain the low share of </w:t>
      </w:r>
      <w:r w:rsidR="002D6F44">
        <w:t xml:space="preserve">dairy </w:t>
      </w:r>
      <w:r w:rsidRPr="001E69D4">
        <w:t>exports going to the EU. Still, the particularly low level exports of goods where standards are very important may reflect the low capacity of the sector to comply with sanitary requirements.</w:t>
      </w:r>
      <w:r w:rsidRPr="001E69D4">
        <w:rPr>
          <w:rStyle w:val="FootnoteReference"/>
          <w:rFonts w:cs="Calibri"/>
        </w:rPr>
        <w:footnoteReference w:id="6"/>
      </w:r>
      <w:r w:rsidRPr="001E69D4">
        <w:t xml:space="preserve"> This inability to meet SPS requirements reflects, in turn, the limited capability of the national institutional framework (involving testing, verification, inspection, and certification systems) to ensure that SPS measures and other standards and technical regulations are satisfied. These BH institutions are too weak (</w:t>
      </w:r>
      <w:proofErr w:type="spellStart"/>
      <w:r w:rsidRPr="001E69D4">
        <w:t>Bajramović</w:t>
      </w:r>
      <w:proofErr w:type="spellEnd"/>
      <w:r w:rsidRPr="001E69D4">
        <w:t xml:space="preserve"> et al. 2004; </w:t>
      </w:r>
      <w:proofErr w:type="spellStart"/>
      <w:r w:rsidRPr="001E69D4">
        <w:t>Efendić</w:t>
      </w:r>
      <w:proofErr w:type="spellEnd"/>
      <w:r w:rsidRPr="001E69D4">
        <w:t>, 2004) to support valid international cooperation, as they might do by helping reassure trading partners that products conform to standards and by facilitating mutual recognition between trading partners. As Chena et al. point out (2008, p. 501), reaching Mutual Recognition Agreements (MRAs) can help firms to comply with standards and to benefit fully from trade liberalization. In short, adequate institutions and domestic policies are crucial to obtaining the full benefit from trade liberalization (</w:t>
      </w:r>
      <w:proofErr w:type="spellStart"/>
      <w:r w:rsidRPr="001E69D4">
        <w:t>Esterhuizen</w:t>
      </w:r>
      <w:proofErr w:type="spellEnd"/>
      <w:r w:rsidRPr="001E69D4">
        <w:t xml:space="preserve"> and van </w:t>
      </w:r>
      <w:proofErr w:type="spellStart"/>
      <w:r w:rsidRPr="001E69D4">
        <w:t>Rooyen</w:t>
      </w:r>
      <w:proofErr w:type="spellEnd"/>
      <w:r w:rsidRPr="001E69D4">
        <w:t xml:space="preserve">, 2006; </w:t>
      </w:r>
      <w:proofErr w:type="spellStart"/>
      <w:r w:rsidRPr="001E69D4">
        <w:t>Mitra</w:t>
      </w:r>
      <w:proofErr w:type="spellEnd"/>
      <w:r w:rsidRPr="001E69D4">
        <w:t xml:space="preserve"> and Ural, 2008; Romano, 2006) and to realizing its potential to contribute to increasing global welfare and promote better employment (Jansen and Lee, 2007). Due to weak institutions and therefore inadequate food safety and quality assurance, BH </w:t>
      </w:r>
      <w:r w:rsidRPr="001E69D4">
        <w:rPr>
          <w:rStyle w:val="hps"/>
          <w:rFonts w:cs="Calibri"/>
        </w:rPr>
        <w:t>exports</w:t>
      </w:r>
      <w:r w:rsidRPr="001E69D4">
        <w:t xml:space="preserve"> </w:t>
      </w:r>
      <w:r w:rsidRPr="001E69D4">
        <w:rPr>
          <w:rStyle w:val="hps"/>
          <w:rFonts w:cs="Calibri"/>
        </w:rPr>
        <w:t>could</w:t>
      </w:r>
      <w:r w:rsidRPr="001E69D4">
        <w:t xml:space="preserve"> </w:t>
      </w:r>
      <w:r w:rsidRPr="001E69D4">
        <w:rPr>
          <w:rStyle w:val="hps"/>
          <w:rFonts w:cs="Calibri"/>
        </w:rPr>
        <w:t>be seriously</w:t>
      </w:r>
      <w:r w:rsidRPr="001E69D4">
        <w:t xml:space="preserve"> </w:t>
      </w:r>
      <w:r w:rsidRPr="001E69D4">
        <w:rPr>
          <w:rStyle w:val="hps"/>
          <w:rFonts w:cs="Calibri"/>
        </w:rPr>
        <w:t>compromised</w:t>
      </w:r>
      <w:r w:rsidRPr="001E69D4">
        <w:t xml:space="preserve"> </w:t>
      </w:r>
      <w:r w:rsidRPr="001E69D4">
        <w:rPr>
          <w:rStyle w:val="hps"/>
          <w:rFonts w:cs="Calibri"/>
        </w:rPr>
        <w:t>when</w:t>
      </w:r>
      <w:r w:rsidRPr="001E69D4">
        <w:t xml:space="preserve"> </w:t>
      </w:r>
      <w:r w:rsidRPr="001E69D4">
        <w:rPr>
          <w:rStyle w:val="hps"/>
          <w:rFonts w:cs="Calibri"/>
        </w:rPr>
        <w:t>Croatia becomes</w:t>
      </w:r>
      <w:r w:rsidRPr="001E69D4">
        <w:t xml:space="preserve"> </w:t>
      </w:r>
      <w:r w:rsidRPr="001E69D4">
        <w:rPr>
          <w:rStyle w:val="hps"/>
          <w:rFonts w:cs="Calibri"/>
        </w:rPr>
        <w:t>a full EU member</w:t>
      </w:r>
      <w:r w:rsidRPr="001E69D4">
        <w:t xml:space="preserve"> </w:t>
      </w:r>
      <w:r w:rsidRPr="001E69D4">
        <w:rPr>
          <w:rStyle w:val="hps"/>
          <w:rFonts w:cs="Calibri"/>
        </w:rPr>
        <w:t xml:space="preserve">in 2013 and adopts EU standards. Currently, Croatia is BH’s biggest agricultural trade partner, accounting for one-third of total </w:t>
      </w:r>
      <w:proofErr w:type="spellStart"/>
      <w:r w:rsidRPr="001E69D4">
        <w:rPr>
          <w:rStyle w:val="hps"/>
          <w:rFonts w:cs="Calibri"/>
        </w:rPr>
        <w:t>agri</w:t>
      </w:r>
      <w:proofErr w:type="spellEnd"/>
      <w:r w:rsidRPr="001E69D4">
        <w:rPr>
          <w:rStyle w:val="hps"/>
          <w:rFonts w:cs="Calibri"/>
        </w:rPr>
        <w:t>-food trade.</w:t>
      </w:r>
    </w:p>
    <w:p w:rsidR="00162CD2" w:rsidRPr="001E69D4" w:rsidRDefault="00162CD2">
      <w:r w:rsidRPr="001E69D4">
        <w:t>Employment creation is important and needed. The unemployment rate in BH was 27 per cent in 2010 according to the World Bank and 43 per cent according to official statistics.</w:t>
      </w:r>
      <w:r w:rsidRPr="001E69D4">
        <w:rPr>
          <w:rStyle w:val="FootnoteReference"/>
          <w:rFonts w:cs="Calibri"/>
        </w:rPr>
        <w:footnoteReference w:id="7"/>
      </w:r>
      <w:r w:rsidRPr="001E69D4">
        <w:t xml:space="preserve"> The latest Labour Force Survey, in 2008, reported the youth unemployment rate at 51.9 per cent, double the overall rate and four times higher than the EU average (USAID, 2009). Since </w:t>
      </w:r>
      <w:r>
        <w:t>BH</w:t>
      </w:r>
      <w:r w:rsidRPr="001E69D4">
        <w:t xml:space="preserve"> has a growing workforce, it is very important for policy to support job-creation. Economic prosperity and continuous improvement of living standards, which currently are still low, are important to stabilize the country. Recently, concerns have been raised that efforts to stabilize BH are failing (</w:t>
      </w:r>
      <w:proofErr w:type="spellStart"/>
      <w:r w:rsidRPr="001E69D4">
        <w:t>Woehrel</w:t>
      </w:r>
      <w:proofErr w:type="spellEnd"/>
      <w:r w:rsidRPr="001E69D4">
        <w:t xml:space="preserve">, 2012). </w:t>
      </w:r>
    </w:p>
    <w:p w:rsidR="00162CD2" w:rsidRPr="001E69D4" w:rsidRDefault="00162CD2">
      <w:r w:rsidRPr="001E69D4">
        <w:t xml:space="preserve">Protectionist sentiments concerning agribusiness characterize the current public debate in BH over further integration into regional and global markets. The preceding overview of BH </w:t>
      </w:r>
      <w:proofErr w:type="spellStart"/>
      <w:r w:rsidRPr="001E69D4">
        <w:t>agri</w:t>
      </w:r>
      <w:proofErr w:type="spellEnd"/>
      <w:r w:rsidRPr="001E69D4">
        <w:t xml:space="preserve">-food trade, previous research on </w:t>
      </w:r>
      <w:r>
        <w:t>B</w:t>
      </w:r>
      <w:r w:rsidRPr="001E69D4">
        <w:t>H’s agricultural sector (</w:t>
      </w:r>
      <w:proofErr w:type="spellStart"/>
      <w:r w:rsidRPr="001E69D4">
        <w:t>Bajramović</w:t>
      </w:r>
      <w:proofErr w:type="spellEnd"/>
      <w:r w:rsidRPr="001E69D4">
        <w:t xml:space="preserve">, 2006; </w:t>
      </w:r>
      <w:proofErr w:type="spellStart"/>
      <w:r w:rsidRPr="001E69D4">
        <w:t>Čaušević</w:t>
      </w:r>
      <w:proofErr w:type="spellEnd"/>
      <w:r w:rsidRPr="001E69D4">
        <w:t xml:space="preserve">, 2006; </w:t>
      </w:r>
      <w:proofErr w:type="spellStart"/>
      <w:r w:rsidRPr="001E69D4">
        <w:t>Hadžiomeragić</w:t>
      </w:r>
      <w:proofErr w:type="spellEnd"/>
      <w:r w:rsidRPr="001E69D4">
        <w:t xml:space="preserve"> et al., 2007; </w:t>
      </w:r>
      <w:proofErr w:type="spellStart"/>
      <w:r w:rsidRPr="001E69D4">
        <w:t>Nikolić</w:t>
      </w:r>
      <w:proofErr w:type="spellEnd"/>
      <w:r w:rsidRPr="001E69D4">
        <w:t xml:space="preserve">, 2008; </w:t>
      </w:r>
      <w:proofErr w:type="spellStart"/>
      <w:r w:rsidRPr="001E69D4">
        <w:t>Nikolić</w:t>
      </w:r>
      <w:proofErr w:type="spellEnd"/>
      <w:r w:rsidRPr="001E69D4">
        <w:t xml:space="preserve"> et al., 2011; </w:t>
      </w:r>
      <w:proofErr w:type="spellStart"/>
      <w:r w:rsidRPr="001E69D4">
        <w:t>Silajdžić</w:t>
      </w:r>
      <w:proofErr w:type="spellEnd"/>
      <w:r w:rsidR="00BA0DCE">
        <w:t>,</w:t>
      </w:r>
      <w:r w:rsidRPr="001E69D4">
        <w:t xml:space="preserve"> 2007), and other literature linking trade liberalization and productivity growth (Alfonso </w:t>
      </w:r>
      <w:r w:rsidR="00BA0DCE">
        <w:t xml:space="preserve">and Henrique </w:t>
      </w:r>
      <w:proofErr w:type="spellStart"/>
      <w:r w:rsidR="00BA0DCE">
        <w:t>Alves</w:t>
      </w:r>
      <w:proofErr w:type="spellEnd"/>
      <w:r w:rsidRPr="001E69D4">
        <w:t xml:space="preserve">, 2008; </w:t>
      </w:r>
      <w:proofErr w:type="spellStart"/>
      <w:r w:rsidRPr="001E69D4">
        <w:t>Kucera</w:t>
      </w:r>
      <w:proofErr w:type="spellEnd"/>
      <w:r w:rsidRPr="001E69D4">
        <w:t xml:space="preserve"> and </w:t>
      </w:r>
      <w:proofErr w:type="spellStart"/>
      <w:r w:rsidRPr="001E69D4">
        <w:t>Sarna</w:t>
      </w:r>
      <w:proofErr w:type="spellEnd"/>
      <w:r w:rsidRPr="001E69D4">
        <w:t xml:space="preserve">, 2006; </w:t>
      </w:r>
      <w:proofErr w:type="spellStart"/>
      <w:r w:rsidRPr="001E69D4">
        <w:t>Mitra</w:t>
      </w:r>
      <w:proofErr w:type="spellEnd"/>
      <w:r w:rsidRPr="001E69D4">
        <w:t xml:space="preserve"> and Ural, 2008), coupled with concerns about the effect of trade liberalization on employment, suggest that this debate could benefit from better information on the likely impact of closer integration.  </w:t>
      </w:r>
    </w:p>
    <w:p w:rsidR="00162CD2" w:rsidRPr="001E69D4" w:rsidRDefault="00CE0B87" w:rsidP="00AA3537">
      <w:pPr>
        <w:pStyle w:val="Heading1"/>
      </w:pPr>
      <w:r>
        <w:t>9</w:t>
      </w:r>
      <w:r w:rsidR="00162CD2" w:rsidRPr="001E69D4">
        <w:t>.</w:t>
      </w:r>
      <w:r w:rsidR="006E5332">
        <w:t>3</w:t>
      </w:r>
      <w:r w:rsidR="00162CD2" w:rsidRPr="001E69D4">
        <w:tab/>
        <w:t>Current policy framework</w:t>
      </w:r>
    </w:p>
    <w:p w:rsidR="00162CD2" w:rsidRPr="001E69D4" w:rsidRDefault="00CE0B87" w:rsidP="00E92F91">
      <w:pPr>
        <w:pStyle w:val="Heading2"/>
      </w:pPr>
      <w:r>
        <w:t>9</w:t>
      </w:r>
      <w:r w:rsidR="00162CD2" w:rsidRPr="001E69D4">
        <w:t>.</w:t>
      </w:r>
      <w:r w:rsidR="006E5332">
        <w:t>3</w:t>
      </w:r>
      <w:r w:rsidR="00162CD2" w:rsidRPr="001E69D4">
        <w:t>.1</w:t>
      </w:r>
      <w:r w:rsidR="00162CD2" w:rsidRPr="001E69D4">
        <w:tab/>
        <w:t>Trade reform in Bosnia and Herzegovina</w:t>
      </w:r>
    </w:p>
    <w:p w:rsidR="00162CD2" w:rsidRPr="001E69D4" w:rsidRDefault="00162CD2">
      <w:pPr>
        <w:rPr>
          <w:lang w:eastAsia="hr-HR"/>
        </w:rPr>
      </w:pPr>
      <w:r w:rsidRPr="001E69D4">
        <w:t>BH has preferential agreements with the European Union, which takes around 50 per cent of its agricultural exports.</w:t>
      </w:r>
      <w:r w:rsidRPr="001E69D4">
        <w:rPr>
          <w:lang w:eastAsia="hr-HR"/>
        </w:rPr>
        <w:t xml:space="preserve"> In mid-2008 BH signed the Stabilization and Association Agreement. The Interim Agreement entered into force on 1 July 2008, calling for gradual reduction of duties to zero for goods originating from the EU. This phasing-out of tariffs is scheduled for completion in 2013. </w:t>
      </w:r>
    </w:p>
    <w:p w:rsidR="00162CD2" w:rsidRPr="001E69D4" w:rsidRDefault="00162CD2">
      <w:pPr>
        <w:rPr>
          <w:lang w:eastAsia="hr-HR"/>
        </w:rPr>
      </w:pPr>
      <w:r w:rsidRPr="001E69D4">
        <w:t xml:space="preserve">BH also has bilateral agreements with its neighbours Albania, Croatia, Macedonia, Moldova, Serbia and Montenegro (CEFTA agreement), and Turkey, with whom it is negotiating a free trade area with a common external tariff and zero tariffs on internal trade. These countries account for about 45 per cent of BH’s trade. </w:t>
      </w:r>
      <w:r w:rsidRPr="001E69D4">
        <w:rPr>
          <w:lang w:eastAsia="hr-HR"/>
        </w:rPr>
        <w:t>As of 2008 the greatest contribution to overall exports and imports came from the EU countries. This pattern is expected to continue</w:t>
      </w:r>
      <w:r w:rsidR="002D6F44">
        <w:rPr>
          <w:lang w:eastAsia="hr-HR"/>
        </w:rPr>
        <w:t>,</w:t>
      </w:r>
      <w:r w:rsidRPr="001E69D4">
        <w:rPr>
          <w:lang w:eastAsia="hr-HR"/>
        </w:rPr>
        <w:t xml:space="preserve"> since the EU market is </w:t>
      </w:r>
      <w:r>
        <w:rPr>
          <w:lang w:eastAsia="hr-HR"/>
        </w:rPr>
        <w:t xml:space="preserve">becoming </w:t>
      </w:r>
      <w:r w:rsidRPr="001E69D4">
        <w:rPr>
          <w:lang w:eastAsia="hr-HR"/>
        </w:rPr>
        <w:t>more open for BH exports.</w:t>
      </w:r>
    </w:p>
    <w:p w:rsidR="00162CD2" w:rsidRPr="001E69D4" w:rsidRDefault="00162CD2">
      <w:r w:rsidRPr="001E69D4">
        <w:t>The remainder of the country’s trade is mostly with other countries that are WTO members. It seems likely that liberalizing trade with WTO members outside Europe will have little impact on trade flows. According to WTO/ITC/UNCTAD</w:t>
      </w:r>
      <w:r>
        <w:t xml:space="preserve"> </w:t>
      </w:r>
      <w:r w:rsidRPr="001E69D4">
        <w:t>estimates</w:t>
      </w:r>
      <w:r w:rsidR="00BA0DCE">
        <w:t xml:space="preserve"> (WTO, 2011)</w:t>
      </w:r>
      <w:r w:rsidRPr="001E69D4">
        <w:t>, the average applied agricultural tariff is 10.2 per cent, similar to that of its neighbours.</w:t>
      </w:r>
    </w:p>
    <w:p w:rsidR="00162CD2" w:rsidRPr="001E69D4" w:rsidRDefault="00162CD2">
      <w:pPr>
        <w:rPr>
          <w:lang w:eastAsia="hr-HR"/>
        </w:rPr>
      </w:pPr>
      <w:r w:rsidRPr="001E69D4">
        <w:t>In preparation for accession to the WTO, BH has reduced the higher tariffs facing countries outside its preferential agreements. There are 2,077 tariff line items covered by the Agreement on Agriculture. The Most Favoured Nation (MFN) tariffs were set at zero, 5, 10</w:t>
      </w:r>
      <w:r>
        <w:t>,</w:t>
      </w:r>
      <w:r w:rsidRPr="001E69D4">
        <w:t xml:space="preserve"> or 15 per cent in 2008</w:t>
      </w:r>
      <w:r>
        <w:t>; a</w:t>
      </w:r>
      <w:r w:rsidRPr="001E69D4">
        <w:t>bout one</w:t>
      </w:r>
      <w:r>
        <w:t>-</w:t>
      </w:r>
      <w:r w:rsidRPr="001E69D4">
        <w:t xml:space="preserve">half of the tariffs </w:t>
      </w:r>
      <w:r>
        <w:t>are</w:t>
      </w:r>
      <w:r w:rsidRPr="001E69D4">
        <w:t xml:space="preserve"> less than or equal to 10 per cent. The simple average of ad valorem tariffs is 5.2 per cent. The highest tariffs are for alcohol (HS Chapter 22) and tobacco (HS Chapter 24). </w:t>
      </w:r>
      <w:r>
        <w:t>About</w:t>
      </w:r>
      <w:r w:rsidRPr="001E69D4">
        <w:t xml:space="preserve"> one</w:t>
      </w:r>
      <w:r>
        <w:t>-</w:t>
      </w:r>
      <w:r w:rsidRPr="001E69D4">
        <w:t xml:space="preserve">third of tariffs in agriculture are specific tariffs, i.e. not in ad valorem terms. The ad valorem equivalent rates for these </w:t>
      </w:r>
      <w:r>
        <w:t xml:space="preserve">tariffs </w:t>
      </w:r>
      <w:r w:rsidRPr="001E69D4">
        <w:t>are considerably higher</w:t>
      </w:r>
      <w:r>
        <w:t>,</w:t>
      </w:r>
      <w:r w:rsidRPr="001E69D4">
        <w:t xml:space="preserve"> giv</w:t>
      </w:r>
      <w:r>
        <w:t>ing</w:t>
      </w:r>
      <w:r w:rsidRPr="001E69D4">
        <w:t xml:space="preserve"> </w:t>
      </w:r>
      <w:r>
        <w:t>an</w:t>
      </w:r>
      <w:r w:rsidRPr="001E69D4">
        <w:t xml:space="preserve"> overall average of 10.2 per cent. Compared with </w:t>
      </w:r>
      <w:r>
        <w:t xml:space="preserve">the tariffs of </w:t>
      </w:r>
      <w:r w:rsidRPr="001E69D4">
        <w:t xml:space="preserve">other countries </w:t>
      </w:r>
      <w:r>
        <w:t>now</w:t>
      </w:r>
      <w:r w:rsidRPr="001E69D4">
        <w:t xml:space="preserve"> negotiating accession to </w:t>
      </w:r>
      <w:r>
        <w:t xml:space="preserve">the </w:t>
      </w:r>
      <w:r w:rsidRPr="001E69D4">
        <w:t>WTO, as well as existing members, agricultural tariffs in BH</w:t>
      </w:r>
      <w:r>
        <w:t xml:space="preserve"> are</w:t>
      </w:r>
      <w:r w:rsidRPr="001E69D4">
        <w:t xml:space="preserve"> low. </w:t>
      </w:r>
    </w:p>
    <w:p w:rsidR="00162CD2" w:rsidRPr="001E69D4" w:rsidRDefault="00162CD2">
      <w:r>
        <w:t>T</w:t>
      </w:r>
      <w:r w:rsidRPr="001E69D4">
        <w:t>he relatively high tariffs facing WTO members on processed agricultural goods exported to BH</w:t>
      </w:r>
      <w:r>
        <w:t xml:space="preserve"> may pose concerns for negotiators</w:t>
      </w:r>
      <w:r w:rsidRPr="001E69D4">
        <w:t xml:space="preserve">. The top ten BH agricultural imports are shown in table </w:t>
      </w:r>
      <w:r w:rsidR="00F93001">
        <w:t>9</w:t>
      </w:r>
      <w:r>
        <w:t>.</w:t>
      </w:r>
      <w:r w:rsidRPr="001E69D4">
        <w:t>3. The list is dominated by processed products, including tobacco, beer</w:t>
      </w:r>
      <w:r>
        <w:t>,</w:t>
      </w:r>
      <w:r w:rsidRPr="001E69D4">
        <w:t xml:space="preserve"> and chocolate. Unprocessed products in the top ten include wheat, maize</w:t>
      </w:r>
      <w:r>
        <w:t>,</w:t>
      </w:r>
      <w:r w:rsidRPr="001E69D4">
        <w:t xml:space="preserve"> and animal feeds, but these have relatively low tariffs. </w:t>
      </w:r>
    </w:p>
    <w:p w:rsidR="00162CD2" w:rsidRPr="001E69D4" w:rsidRDefault="00162CD2">
      <w:r w:rsidRPr="001E69D4">
        <w:t xml:space="preserve">Outside the first ten, but important nonetheless, are tariffs on various meats. These are shown in table </w:t>
      </w:r>
      <w:r w:rsidR="00F93001">
        <w:t>9</w:t>
      </w:r>
      <w:r>
        <w:t>.</w:t>
      </w:r>
      <w:r w:rsidRPr="001E69D4">
        <w:t xml:space="preserve">4, which lists the ten highest agricultural tariffs facing non-preferential exporters. The significant items here are meat and processed meats, plus processed cereal products, as production and employment </w:t>
      </w:r>
      <w:r>
        <w:t>for these items are</w:t>
      </w:r>
      <w:r w:rsidRPr="001E69D4">
        <w:t xml:space="preserve"> significant </w:t>
      </w:r>
      <w:r>
        <w:t xml:space="preserve">in BH, </w:t>
      </w:r>
      <w:r w:rsidRPr="001E69D4">
        <w:t xml:space="preserve">and </w:t>
      </w:r>
      <w:r>
        <w:t xml:space="preserve">tariff </w:t>
      </w:r>
      <w:r w:rsidRPr="00890D4E">
        <w:t>reform threatens a sizeable domestic industry.</w:t>
      </w:r>
    </w:p>
    <w:p w:rsidR="00162CD2" w:rsidRPr="00D40A78" w:rsidRDefault="00162CD2" w:rsidP="00544146">
      <w:pPr>
        <w:pStyle w:val="Tabletitle"/>
        <w:ind w:left="1440" w:hanging="1440"/>
        <w:rPr>
          <w:rStyle w:val="StyleBold"/>
          <w:rFonts w:ascii="Calibri" w:hAnsi="Calibri" w:cs="Calibri"/>
          <w:b/>
        </w:rPr>
      </w:pPr>
      <w:r w:rsidRPr="00E4059A">
        <w:rPr>
          <w:rStyle w:val="StyleBold"/>
          <w:rFonts w:ascii="Calibri" w:hAnsi="Calibri" w:cs="Calibri"/>
          <w:b/>
        </w:rPr>
        <w:t xml:space="preserve">Table </w:t>
      </w:r>
      <w:r w:rsidR="00CE0B87" w:rsidRPr="00E4059A">
        <w:rPr>
          <w:rStyle w:val="StyleBold"/>
          <w:rFonts w:ascii="Calibri" w:hAnsi="Calibri" w:cs="Calibri"/>
          <w:b/>
        </w:rPr>
        <w:t>9</w:t>
      </w:r>
      <w:r w:rsidRPr="00E4059A">
        <w:rPr>
          <w:rStyle w:val="StyleBold"/>
          <w:rFonts w:ascii="Calibri" w:hAnsi="Calibri" w:cs="Calibri"/>
          <w:b/>
        </w:rPr>
        <w:t>.3:</w:t>
      </w:r>
      <w:r w:rsidRPr="00E4059A">
        <w:rPr>
          <w:rStyle w:val="StyleBold"/>
          <w:rFonts w:ascii="Calibri" w:hAnsi="Calibri" w:cs="Calibri"/>
          <w:b/>
        </w:rPr>
        <w:tab/>
        <w:t>Bosnia and Herzegovina’s</w:t>
      </w:r>
      <w:r w:rsidRPr="00D40A78">
        <w:rPr>
          <w:rStyle w:val="StyleBold"/>
          <w:rFonts w:ascii="Calibri" w:hAnsi="Calibri" w:cs="Calibri"/>
          <w:b/>
        </w:rPr>
        <w:t xml:space="preserve"> top ten agricultural imports and their MFN tariffs, 2008</w:t>
      </w:r>
    </w:p>
    <w:tbl>
      <w:tblPr>
        <w:tblW w:w="837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870"/>
        <w:gridCol w:w="5085"/>
        <w:gridCol w:w="1080"/>
        <w:gridCol w:w="1344"/>
      </w:tblGrid>
      <w:tr w:rsidR="002D6F44" w:rsidRPr="008A36EB" w:rsidTr="00FA6521">
        <w:trPr>
          <w:trHeight w:val="777"/>
        </w:trPr>
        <w:tc>
          <w:tcPr>
            <w:tcW w:w="870" w:type="dxa"/>
            <w:noWrap/>
            <w:vAlign w:val="bottom"/>
          </w:tcPr>
          <w:p w:rsidR="00891A92" w:rsidRDefault="002D6F44" w:rsidP="00891A92">
            <w:pPr>
              <w:spacing w:after="0" w:line="240" w:lineRule="auto"/>
              <w:ind w:firstLine="0"/>
              <w:jc w:val="left"/>
              <w:rPr>
                <w:rFonts w:eastAsia="Arial Unicode MS"/>
              </w:rPr>
            </w:pPr>
            <w:r w:rsidRPr="008A36EB">
              <w:t>HS code</w:t>
            </w:r>
          </w:p>
        </w:tc>
        <w:tc>
          <w:tcPr>
            <w:tcW w:w="5085" w:type="dxa"/>
            <w:noWrap/>
            <w:vAlign w:val="bottom"/>
          </w:tcPr>
          <w:p w:rsidR="00891A92" w:rsidRDefault="002D6F44" w:rsidP="00891A92">
            <w:pPr>
              <w:spacing w:after="0" w:line="240" w:lineRule="auto"/>
              <w:ind w:firstLine="0"/>
              <w:jc w:val="left"/>
              <w:rPr>
                <w:rFonts w:eastAsia="Arial Unicode MS"/>
              </w:rPr>
            </w:pPr>
            <w:r w:rsidRPr="008A36EB">
              <w:t>Product description</w:t>
            </w:r>
          </w:p>
        </w:tc>
        <w:tc>
          <w:tcPr>
            <w:tcW w:w="1080" w:type="dxa"/>
            <w:vAlign w:val="bottom"/>
          </w:tcPr>
          <w:p w:rsidR="00891A92" w:rsidRPr="00891A92" w:rsidRDefault="00891A92" w:rsidP="00891A92">
            <w:pPr>
              <w:spacing w:after="0" w:line="240" w:lineRule="auto"/>
              <w:ind w:firstLine="0"/>
              <w:jc w:val="left"/>
              <w:rPr>
                <w:b/>
              </w:rPr>
            </w:pPr>
            <w:r w:rsidRPr="00891A92">
              <w:rPr>
                <w:b/>
              </w:rPr>
              <w:t>Imports</w:t>
            </w:r>
            <w:r w:rsidR="00FA6521">
              <w:rPr>
                <w:b/>
              </w:rPr>
              <w:t xml:space="preserve"> </w:t>
            </w:r>
            <w:r w:rsidRPr="00891A92">
              <w:rPr>
                <w:b/>
              </w:rPr>
              <w:t>(</w:t>
            </w:r>
            <w:proofErr w:type="spellStart"/>
            <w:r w:rsidRPr="00891A92">
              <w:rPr>
                <w:b/>
              </w:rPr>
              <w:t>US$m</w:t>
            </w:r>
            <w:proofErr w:type="spellEnd"/>
            <w:r w:rsidRPr="00891A92">
              <w:rPr>
                <w:b/>
              </w:rPr>
              <w:t>)</w:t>
            </w:r>
          </w:p>
        </w:tc>
        <w:tc>
          <w:tcPr>
            <w:tcW w:w="1344" w:type="dxa"/>
            <w:vAlign w:val="bottom"/>
          </w:tcPr>
          <w:p w:rsidR="00891A92" w:rsidRPr="00891A92" w:rsidRDefault="00891A92" w:rsidP="00891A92">
            <w:pPr>
              <w:spacing w:after="0" w:line="240" w:lineRule="auto"/>
              <w:ind w:firstLine="0"/>
              <w:jc w:val="left"/>
              <w:rPr>
                <w:rFonts w:eastAsia="Arial Unicode MS"/>
                <w:b/>
              </w:rPr>
            </w:pPr>
            <w:r w:rsidRPr="00891A92">
              <w:rPr>
                <w:b/>
              </w:rPr>
              <w:t>Tariff (%)</w:t>
            </w:r>
          </w:p>
        </w:tc>
      </w:tr>
      <w:tr w:rsidR="00162CD2" w:rsidRPr="008A36EB" w:rsidTr="00FA6521">
        <w:trPr>
          <w:trHeight w:val="255"/>
        </w:trPr>
        <w:tc>
          <w:tcPr>
            <w:tcW w:w="870" w:type="dxa"/>
            <w:noWrap/>
            <w:vAlign w:val="bottom"/>
          </w:tcPr>
          <w:p w:rsidR="00162CD2" w:rsidRPr="008A36EB" w:rsidRDefault="00162CD2" w:rsidP="00261E63">
            <w:pPr>
              <w:spacing w:after="0" w:line="240" w:lineRule="auto"/>
              <w:ind w:firstLine="0"/>
            </w:pPr>
            <w:r w:rsidRPr="008A36EB">
              <w:t>1001</w:t>
            </w:r>
          </w:p>
        </w:tc>
        <w:tc>
          <w:tcPr>
            <w:tcW w:w="5085" w:type="dxa"/>
            <w:noWrap/>
            <w:vAlign w:val="bottom"/>
          </w:tcPr>
          <w:p w:rsidR="00162CD2" w:rsidRPr="008A36EB" w:rsidRDefault="00162CD2" w:rsidP="00261E63">
            <w:pPr>
              <w:spacing w:after="0" w:line="240" w:lineRule="auto"/>
              <w:ind w:firstLine="0"/>
            </w:pPr>
            <w:r w:rsidRPr="008A36EB">
              <w:t xml:space="preserve">Wheat and </w:t>
            </w:r>
            <w:proofErr w:type="spellStart"/>
            <w:r w:rsidRPr="008A36EB">
              <w:t>meslin</w:t>
            </w:r>
            <w:proofErr w:type="spellEnd"/>
          </w:p>
        </w:tc>
        <w:tc>
          <w:tcPr>
            <w:tcW w:w="1080" w:type="dxa"/>
            <w:vAlign w:val="bottom"/>
          </w:tcPr>
          <w:p w:rsidR="00162CD2" w:rsidRPr="008A36EB" w:rsidRDefault="00162CD2" w:rsidP="00261E63">
            <w:pPr>
              <w:spacing w:after="0" w:line="240" w:lineRule="auto"/>
              <w:ind w:firstLine="0"/>
            </w:pPr>
            <w:r w:rsidRPr="008A36EB">
              <w:t>100</w:t>
            </w:r>
          </w:p>
        </w:tc>
        <w:tc>
          <w:tcPr>
            <w:tcW w:w="1344" w:type="dxa"/>
            <w:vAlign w:val="bottom"/>
          </w:tcPr>
          <w:p w:rsidR="00162CD2" w:rsidRPr="008A36EB" w:rsidRDefault="00162CD2" w:rsidP="00261E63">
            <w:pPr>
              <w:spacing w:after="0" w:line="240" w:lineRule="auto"/>
              <w:ind w:firstLine="0"/>
            </w:pPr>
            <w:r w:rsidRPr="008A36EB">
              <w:t>5</w:t>
            </w:r>
          </w:p>
        </w:tc>
      </w:tr>
      <w:tr w:rsidR="00162CD2" w:rsidRPr="008A36EB" w:rsidTr="00FA6521">
        <w:trPr>
          <w:trHeight w:val="255"/>
        </w:trPr>
        <w:tc>
          <w:tcPr>
            <w:tcW w:w="870" w:type="dxa"/>
            <w:noWrap/>
            <w:vAlign w:val="bottom"/>
          </w:tcPr>
          <w:p w:rsidR="00162CD2" w:rsidRPr="008A36EB" w:rsidRDefault="00162CD2" w:rsidP="00261E63">
            <w:pPr>
              <w:spacing w:after="0" w:line="240" w:lineRule="auto"/>
              <w:ind w:firstLine="0"/>
            </w:pPr>
            <w:r w:rsidRPr="008A36EB">
              <w:t>2402</w:t>
            </w:r>
          </w:p>
        </w:tc>
        <w:tc>
          <w:tcPr>
            <w:tcW w:w="5085" w:type="dxa"/>
            <w:noWrap/>
            <w:vAlign w:val="bottom"/>
          </w:tcPr>
          <w:p w:rsidR="00162CD2" w:rsidRPr="008A36EB" w:rsidRDefault="00162CD2" w:rsidP="002D6F44">
            <w:pPr>
              <w:spacing w:after="0" w:line="240" w:lineRule="auto"/>
              <w:ind w:firstLine="0"/>
            </w:pPr>
            <w:r w:rsidRPr="008A36EB">
              <w:t>Cigars, cheroots, cigarillos, and cigarettes…</w:t>
            </w:r>
          </w:p>
        </w:tc>
        <w:tc>
          <w:tcPr>
            <w:tcW w:w="1080" w:type="dxa"/>
            <w:vAlign w:val="bottom"/>
          </w:tcPr>
          <w:p w:rsidR="00162CD2" w:rsidRPr="008A36EB" w:rsidRDefault="00162CD2" w:rsidP="00261E63">
            <w:pPr>
              <w:spacing w:after="0" w:line="240" w:lineRule="auto"/>
              <w:ind w:firstLine="0"/>
            </w:pPr>
            <w:r w:rsidRPr="008A36EB">
              <w:t>86</w:t>
            </w:r>
          </w:p>
        </w:tc>
        <w:tc>
          <w:tcPr>
            <w:tcW w:w="1344" w:type="dxa"/>
            <w:vAlign w:val="bottom"/>
          </w:tcPr>
          <w:p w:rsidR="00162CD2" w:rsidRPr="008A36EB" w:rsidRDefault="00162CD2" w:rsidP="00261E63">
            <w:pPr>
              <w:spacing w:after="0" w:line="240" w:lineRule="auto"/>
              <w:ind w:firstLine="0"/>
            </w:pPr>
            <w:r w:rsidRPr="008A36EB">
              <w:t>15</w:t>
            </w:r>
          </w:p>
        </w:tc>
      </w:tr>
      <w:tr w:rsidR="00162CD2" w:rsidRPr="008A36EB" w:rsidTr="00FA6521">
        <w:trPr>
          <w:trHeight w:val="255"/>
        </w:trPr>
        <w:tc>
          <w:tcPr>
            <w:tcW w:w="870" w:type="dxa"/>
            <w:noWrap/>
            <w:vAlign w:val="bottom"/>
          </w:tcPr>
          <w:p w:rsidR="00162CD2" w:rsidRPr="008A36EB" w:rsidRDefault="00162CD2" w:rsidP="00261E63">
            <w:pPr>
              <w:spacing w:after="0" w:line="240" w:lineRule="auto"/>
              <w:ind w:firstLine="0"/>
            </w:pPr>
            <w:r w:rsidRPr="008A36EB">
              <w:t>2203</w:t>
            </w:r>
          </w:p>
        </w:tc>
        <w:tc>
          <w:tcPr>
            <w:tcW w:w="5085" w:type="dxa"/>
            <w:noWrap/>
            <w:vAlign w:val="bottom"/>
          </w:tcPr>
          <w:p w:rsidR="00162CD2" w:rsidRPr="008A36EB" w:rsidRDefault="00162CD2" w:rsidP="00261E63">
            <w:pPr>
              <w:spacing w:after="0" w:line="240" w:lineRule="auto"/>
              <w:ind w:firstLine="0"/>
            </w:pPr>
            <w:r w:rsidRPr="008A36EB">
              <w:t>Beer made from malt</w:t>
            </w:r>
          </w:p>
        </w:tc>
        <w:tc>
          <w:tcPr>
            <w:tcW w:w="1080" w:type="dxa"/>
            <w:vAlign w:val="bottom"/>
          </w:tcPr>
          <w:p w:rsidR="00162CD2" w:rsidRPr="008A36EB" w:rsidRDefault="00162CD2" w:rsidP="00261E63">
            <w:pPr>
              <w:spacing w:after="0" w:line="240" w:lineRule="auto"/>
              <w:ind w:firstLine="0"/>
            </w:pPr>
            <w:r w:rsidRPr="008A36EB">
              <w:t>78</w:t>
            </w:r>
          </w:p>
        </w:tc>
        <w:tc>
          <w:tcPr>
            <w:tcW w:w="1344" w:type="dxa"/>
            <w:vAlign w:val="bottom"/>
          </w:tcPr>
          <w:p w:rsidR="00162CD2" w:rsidRPr="008A36EB" w:rsidRDefault="00162CD2" w:rsidP="00261E63">
            <w:pPr>
              <w:spacing w:after="0" w:line="240" w:lineRule="auto"/>
              <w:ind w:firstLine="0"/>
            </w:pPr>
            <w:r w:rsidRPr="008A36EB">
              <w:t>15%+0.3 KM/L</w:t>
            </w:r>
          </w:p>
        </w:tc>
      </w:tr>
      <w:tr w:rsidR="00162CD2" w:rsidRPr="008A36EB" w:rsidTr="00FA6521">
        <w:trPr>
          <w:trHeight w:val="255"/>
        </w:trPr>
        <w:tc>
          <w:tcPr>
            <w:tcW w:w="870" w:type="dxa"/>
            <w:noWrap/>
            <w:vAlign w:val="bottom"/>
          </w:tcPr>
          <w:p w:rsidR="00162CD2" w:rsidRPr="008A36EB" w:rsidRDefault="00162CD2" w:rsidP="00261E63">
            <w:pPr>
              <w:spacing w:after="0" w:line="240" w:lineRule="auto"/>
              <w:ind w:firstLine="0"/>
            </w:pPr>
            <w:r w:rsidRPr="008A36EB">
              <w:t>1806</w:t>
            </w:r>
          </w:p>
        </w:tc>
        <w:tc>
          <w:tcPr>
            <w:tcW w:w="5085" w:type="dxa"/>
            <w:noWrap/>
            <w:vAlign w:val="bottom"/>
          </w:tcPr>
          <w:p w:rsidR="00162CD2" w:rsidRPr="008A36EB" w:rsidRDefault="00162CD2" w:rsidP="00261E63">
            <w:pPr>
              <w:spacing w:after="0" w:line="240" w:lineRule="auto"/>
              <w:ind w:firstLine="0"/>
            </w:pPr>
            <w:r w:rsidRPr="008A36EB">
              <w:t>Chocolate and other food preparations …</w:t>
            </w:r>
          </w:p>
        </w:tc>
        <w:tc>
          <w:tcPr>
            <w:tcW w:w="1080" w:type="dxa"/>
            <w:vAlign w:val="bottom"/>
          </w:tcPr>
          <w:p w:rsidR="00162CD2" w:rsidRPr="008A36EB" w:rsidRDefault="00162CD2" w:rsidP="00261E63">
            <w:pPr>
              <w:spacing w:after="0" w:line="240" w:lineRule="auto"/>
              <w:ind w:firstLine="0"/>
            </w:pPr>
            <w:r w:rsidRPr="008A36EB">
              <w:t>73</w:t>
            </w:r>
          </w:p>
        </w:tc>
        <w:tc>
          <w:tcPr>
            <w:tcW w:w="1344" w:type="dxa"/>
            <w:vAlign w:val="bottom"/>
          </w:tcPr>
          <w:p w:rsidR="00162CD2" w:rsidRPr="008A36EB" w:rsidRDefault="00162CD2" w:rsidP="00261E63">
            <w:pPr>
              <w:spacing w:after="0" w:line="240" w:lineRule="auto"/>
              <w:ind w:firstLine="0"/>
            </w:pPr>
            <w:r w:rsidRPr="008A36EB">
              <w:t>10%+1.0 KM/L</w:t>
            </w:r>
          </w:p>
        </w:tc>
      </w:tr>
      <w:tr w:rsidR="00162CD2" w:rsidRPr="008A36EB" w:rsidTr="00FA6521">
        <w:trPr>
          <w:trHeight w:val="255"/>
        </w:trPr>
        <w:tc>
          <w:tcPr>
            <w:tcW w:w="870" w:type="dxa"/>
            <w:noWrap/>
            <w:vAlign w:val="bottom"/>
          </w:tcPr>
          <w:p w:rsidR="00162CD2" w:rsidRPr="008A36EB" w:rsidRDefault="00162CD2" w:rsidP="00261E63">
            <w:pPr>
              <w:spacing w:after="0" w:line="240" w:lineRule="auto"/>
              <w:ind w:firstLine="0"/>
            </w:pPr>
            <w:r w:rsidRPr="008A36EB">
              <w:t>2202</w:t>
            </w:r>
          </w:p>
        </w:tc>
        <w:tc>
          <w:tcPr>
            <w:tcW w:w="5085" w:type="dxa"/>
            <w:noWrap/>
            <w:vAlign w:val="bottom"/>
          </w:tcPr>
          <w:p w:rsidR="00162CD2" w:rsidRPr="008A36EB" w:rsidRDefault="00162CD2" w:rsidP="00261E63">
            <w:pPr>
              <w:spacing w:after="0" w:line="240" w:lineRule="auto"/>
              <w:ind w:firstLine="0"/>
            </w:pPr>
            <w:r w:rsidRPr="008A36EB">
              <w:t>Waters, including mineral waters and aerated water</w:t>
            </w:r>
          </w:p>
        </w:tc>
        <w:tc>
          <w:tcPr>
            <w:tcW w:w="1080" w:type="dxa"/>
            <w:vAlign w:val="bottom"/>
          </w:tcPr>
          <w:p w:rsidR="00162CD2" w:rsidRPr="008A36EB" w:rsidRDefault="00162CD2" w:rsidP="00261E63">
            <w:pPr>
              <w:spacing w:after="0" w:line="240" w:lineRule="auto"/>
              <w:ind w:firstLine="0"/>
            </w:pPr>
            <w:r w:rsidRPr="008A36EB">
              <w:t>59</w:t>
            </w:r>
          </w:p>
        </w:tc>
        <w:tc>
          <w:tcPr>
            <w:tcW w:w="1344" w:type="dxa"/>
            <w:vAlign w:val="bottom"/>
          </w:tcPr>
          <w:p w:rsidR="00162CD2" w:rsidRPr="008A36EB" w:rsidRDefault="00162CD2" w:rsidP="00261E63">
            <w:pPr>
              <w:spacing w:after="0" w:line="240" w:lineRule="auto"/>
              <w:ind w:firstLine="0"/>
            </w:pPr>
            <w:r w:rsidRPr="008A36EB">
              <w:t>10%+0.2 KM/L</w:t>
            </w:r>
          </w:p>
        </w:tc>
      </w:tr>
      <w:tr w:rsidR="00162CD2" w:rsidRPr="008A36EB" w:rsidTr="00FA6521">
        <w:trPr>
          <w:trHeight w:val="255"/>
        </w:trPr>
        <w:tc>
          <w:tcPr>
            <w:tcW w:w="870" w:type="dxa"/>
            <w:noWrap/>
            <w:vAlign w:val="bottom"/>
          </w:tcPr>
          <w:p w:rsidR="00162CD2" w:rsidRPr="008A36EB" w:rsidRDefault="00162CD2" w:rsidP="00261E63">
            <w:pPr>
              <w:spacing w:after="0" w:line="240" w:lineRule="auto"/>
              <w:ind w:firstLine="0"/>
            </w:pPr>
            <w:r w:rsidRPr="008A36EB">
              <w:t>1905</w:t>
            </w:r>
          </w:p>
        </w:tc>
        <w:tc>
          <w:tcPr>
            <w:tcW w:w="5085" w:type="dxa"/>
            <w:noWrap/>
            <w:vAlign w:val="bottom"/>
          </w:tcPr>
          <w:p w:rsidR="00162CD2" w:rsidRPr="008A36EB" w:rsidRDefault="00162CD2" w:rsidP="00261E63">
            <w:pPr>
              <w:spacing w:after="0" w:line="240" w:lineRule="auto"/>
              <w:ind w:firstLine="0"/>
            </w:pPr>
            <w:r w:rsidRPr="008A36EB">
              <w:t>Bread, pastry, cakes, biscuits, and other bakers' …</w:t>
            </w:r>
          </w:p>
        </w:tc>
        <w:tc>
          <w:tcPr>
            <w:tcW w:w="1080" w:type="dxa"/>
            <w:vAlign w:val="bottom"/>
          </w:tcPr>
          <w:p w:rsidR="00162CD2" w:rsidRPr="008A36EB" w:rsidRDefault="00162CD2" w:rsidP="00261E63">
            <w:pPr>
              <w:spacing w:after="0" w:line="240" w:lineRule="auto"/>
              <w:ind w:firstLine="0"/>
            </w:pPr>
            <w:r w:rsidRPr="008A36EB">
              <w:t>58</w:t>
            </w:r>
          </w:p>
        </w:tc>
        <w:tc>
          <w:tcPr>
            <w:tcW w:w="1344" w:type="dxa"/>
            <w:vAlign w:val="bottom"/>
          </w:tcPr>
          <w:p w:rsidR="00162CD2" w:rsidRPr="008A36EB" w:rsidRDefault="00162CD2" w:rsidP="00261E63">
            <w:pPr>
              <w:spacing w:after="0" w:line="240" w:lineRule="auto"/>
              <w:ind w:firstLine="0"/>
            </w:pPr>
            <w:r w:rsidRPr="008A36EB">
              <w:t>15%+0.2 KM/L</w:t>
            </w:r>
          </w:p>
        </w:tc>
      </w:tr>
      <w:tr w:rsidR="00162CD2" w:rsidRPr="008A36EB" w:rsidTr="00FA6521">
        <w:trPr>
          <w:trHeight w:val="255"/>
        </w:trPr>
        <w:tc>
          <w:tcPr>
            <w:tcW w:w="870" w:type="dxa"/>
            <w:noWrap/>
            <w:vAlign w:val="bottom"/>
          </w:tcPr>
          <w:p w:rsidR="00162CD2" w:rsidRPr="008A36EB" w:rsidRDefault="00162CD2" w:rsidP="00261E63">
            <w:pPr>
              <w:spacing w:after="0" w:line="240" w:lineRule="auto"/>
              <w:ind w:firstLine="0"/>
            </w:pPr>
            <w:r w:rsidRPr="008A36EB">
              <w:t>2106</w:t>
            </w:r>
          </w:p>
        </w:tc>
        <w:tc>
          <w:tcPr>
            <w:tcW w:w="5085" w:type="dxa"/>
            <w:noWrap/>
            <w:vAlign w:val="bottom"/>
          </w:tcPr>
          <w:p w:rsidR="00162CD2" w:rsidRPr="008A36EB" w:rsidRDefault="00162CD2" w:rsidP="00261E63">
            <w:pPr>
              <w:spacing w:after="0" w:line="240" w:lineRule="auto"/>
              <w:ind w:firstLine="0"/>
            </w:pPr>
            <w:r w:rsidRPr="008A36EB">
              <w:t>Food preparations not elsewhere specified …</w:t>
            </w:r>
          </w:p>
        </w:tc>
        <w:tc>
          <w:tcPr>
            <w:tcW w:w="1080" w:type="dxa"/>
            <w:vAlign w:val="bottom"/>
          </w:tcPr>
          <w:p w:rsidR="00162CD2" w:rsidRPr="008A36EB" w:rsidRDefault="00162CD2" w:rsidP="00261E63">
            <w:pPr>
              <w:spacing w:after="0" w:line="240" w:lineRule="auto"/>
              <w:ind w:firstLine="0"/>
            </w:pPr>
            <w:r w:rsidRPr="008A36EB">
              <w:t>54</w:t>
            </w:r>
          </w:p>
        </w:tc>
        <w:tc>
          <w:tcPr>
            <w:tcW w:w="1344" w:type="dxa"/>
            <w:vAlign w:val="bottom"/>
          </w:tcPr>
          <w:p w:rsidR="00162CD2" w:rsidRPr="008A36EB" w:rsidRDefault="00162CD2" w:rsidP="00261E63">
            <w:pPr>
              <w:spacing w:after="0" w:line="240" w:lineRule="auto"/>
              <w:ind w:firstLine="0"/>
            </w:pPr>
            <w:r w:rsidRPr="008A36EB">
              <w:t>5</w:t>
            </w:r>
          </w:p>
        </w:tc>
      </w:tr>
      <w:tr w:rsidR="00162CD2" w:rsidRPr="008A36EB" w:rsidTr="00FA6521">
        <w:trPr>
          <w:trHeight w:val="255"/>
        </w:trPr>
        <w:tc>
          <w:tcPr>
            <w:tcW w:w="870" w:type="dxa"/>
            <w:noWrap/>
            <w:vAlign w:val="bottom"/>
          </w:tcPr>
          <w:p w:rsidR="00162CD2" w:rsidRPr="008A36EB" w:rsidRDefault="00162CD2" w:rsidP="00261E63">
            <w:pPr>
              <w:spacing w:after="0" w:line="240" w:lineRule="auto"/>
              <w:ind w:firstLine="0"/>
            </w:pPr>
            <w:r w:rsidRPr="008A36EB">
              <w:t>1005</w:t>
            </w:r>
          </w:p>
        </w:tc>
        <w:tc>
          <w:tcPr>
            <w:tcW w:w="5085" w:type="dxa"/>
            <w:noWrap/>
            <w:vAlign w:val="bottom"/>
          </w:tcPr>
          <w:p w:rsidR="00162CD2" w:rsidRPr="008A36EB" w:rsidRDefault="00162CD2" w:rsidP="00261E63">
            <w:pPr>
              <w:spacing w:after="0" w:line="240" w:lineRule="auto"/>
              <w:ind w:firstLine="0"/>
            </w:pPr>
            <w:r w:rsidRPr="008A36EB">
              <w:t>Maize (corn)</w:t>
            </w:r>
          </w:p>
        </w:tc>
        <w:tc>
          <w:tcPr>
            <w:tcW w:w="1080" w:type="dxa"/>
            <w:vAlign w:val="bottom"/>
          </w:tcPr>
          <w:p w:rsidR="00162CD2" w:rsidRPr="008A36EB" w:rsidRDefault="00162CD2" w:rsidP="00261E63">
            <w:pPr>
              <w:spacing w:after="0" w:line="240" w:lineRule="auto"/>
              <w:ind w:firstLine="0"/>
            </w:pPr>
            <w:r w:rsidRPr="008A36EB">
              <w:t>40</w:t>
            </w:r>
          </w:p>
        </w:tc>
        <w:tc>
          <w:tcPr>
            <w:tcW w:w="1344" w:type="dxa"/>
            <w:vAlign w:val="bottom"/>
          </w:tcPr>
          <w:p w:rsidR="00162CD2" w:rsidRPr="008A36EB" w:rsidRDefault="00162CD2" w:rsidP="00261E63">
            <w:pPr>
              <w:spacing w:after="0" w:line="240" w:lineRule="auto"/>
              <w:ind w:firstLine="0"/>
            </w:pPr>
            <w:r w:rsidRPr="008A36EB">
              <w:t>10</w:t>
            </w:r>
          </w:p>
        </w:tc>
      </w:tr>
      <w:tr w:rsidR="00162CD2" w:rsidRPr="008A36EB" w:rsidTr="00FA6521">
        <w:trPr>
          <w:trHeight w:val="255"/>
        </w:trPr>
        <w:tc>
          <w:tcPr>
            <w:tcW w:w="870" w:type="dxa"/>
            <w:noWrap/>
            <w:vAlign w:val="bottom"/>
          </w:tcPr>
          <w:p w:rsidR="00162CD2" w:rsidRPr="008A36EB" w:rsidRDefault="00162CD2" w:rsidP="00261E63">
            <w:pPr>
              <w:spacing w:after="0" w:line="240" w:lineRule="auto"/>
              <w:ind w:firstLine="0"/>
            </w:pPr>
            <w:r w:rsidRPr="008A36EB">
              <w:t>2309</w:t>
            </w:r>
          </w:p>
        </w:tc>
        <w:tc>
          <w:tcPr>
            <w:tcW w:w="5085" w:type="dxa"/>
            <w:noWrap/>
            <w:vAlign w:val="bottom"/>
          </w:tcPr>
          <w:p w:rsidR="00162CD2" w:rsidRPr="008A36EB" w:rsidRDefault="00162CD2" w:rsidP="00261E63">
            <w:pPr>
              <w:spacing w:after="0" w:line="240" w:lineRule="auto"/>
              <w:ind w:firstLine="0"/>
            </w:pPr>
            <w:r w:rsidRPr="008A36EB">
              <w:t>Preparations of a kind used in animal feeding</w:t>
            </w:r>
          </w:p>
        </w:tc>
        <w:tc>
          <w:tcPr>
            <w:tcW w:w="1080" w:type="dxa"/>
            <w:vAlign w:val="bottom"/>
          </w:tcPr>
          <w:p w:rsidR="00162CD2" w:rsidRPr="008A36EB" w:rsidRDefault="00162CD2" w:rsidP="00261E63">
            <w:pPr>
              <w:spacing w:after="0" w:line="240" w:lineRule="auto"/>
              <w:ind w:firstLine="0"/>
            </w:pPr>
            <w:r w:rsidRPr="008A36EB">
              <w:t>39</w:t>
            </w:r>
          </w:p>
        </w:tc>
        <w:tc>
          <w:tcPr>
            <w:tcW w:w="1344" w:type="dxa"/>
            <w:vAlign w:val="bottom"/>
          </w:tcPr>
          <w:p w:rsidR="00162CD2" w:rsidRPr="008A36EB" w:rsidRDefault="00162CD2" w:rsidP="00261E63">
            <w:pPr>
              <w:spacing w:after="0" w:line="240" w:lineRule="auto"/>
              <w:ind w:firstLine="0"/>
            </w:pPr>
            <w:r w:rsidRPr="008A36EB">
              <w:t>5</w:t>
            </w:r>
          </w:p>
        </w:tc>
      </w:tr>
      <w:tr w:rsidR="00162CD2" w:rsidRPr="008A36EB" w:rsidTr="00FA6521">
        <w:trPr>
          <w:trHeight w:val="255"/>
        </w:trPr>
        <w:tc>
          <w:tcPr>
            <w:tcW w:w="870" w:type="dxa"/>
            <w:noWrap/>
            <w:vAlign w:val="bottom"/>
          </w:tcPr>
          <w:p w:rsidR="00162CD2" w:rsidRPr="008A36EB" w:rsidRDefault="00162CD2" w:rsidP="00261E63">
            <w:pPr>
              <w:spacing w:after="0" w:line="240" w:lineRule="auto"/>
              <w:ind w:firstLine="0"/>
            </w:pPr>
            <w:r w:rsidRPr="008A36EB">
              <w:t>1512</w:t>
            </w:r>
          </w:p>
        </w:tc>
        <w:tc>
          <w:tcPr>
            <w:tcW w:w="5085" w:type="dxa"/>
            <w:noWrap/>
            <w:vAlign w:val="bottom"/>
          </w:tcPr>
          <w:p w:rsidR="00162CD2" w:rsidRPr="008A36EB" w:rsidRDefault="00162CD2" w:rsidP="00261E63">
            <w:pPr>
              <w:spacing w:after="0" w:line="240" w:lineRule="auto"/>
              <w:ind w:firstLine="0"/>
            </w:pPr>
            <w:r w:rsidRPr="008A36EB">
              <w:t>Sunflower-seed, safflower or cotton-seed oil …</w:t>
            </w:r>
          </w:p>
        </w:tc>
        <w:tc>
          <w:tcPr>
            <w:tcW w:w="1080" w:type="dxa"/>
            <w:vAlign w:val="bottom"/>
          </w:tcPr>
          <w:p w:rsidR="00162CD2" w:rsidRPr="008A36EB" w:rsidRDefault="00162CD2" w:rsidP="00261E63">
            <w:pPr>
              <w:spacing w:after="0" w:line="240" w:lineRule="auto"/>
              <w:ind w:firstLine="0"/>
            </w:pPr>
            <w:r w:rsidRPr="008A36EB">
              <w:t>38</w:t>
            </w:r>
          </w:p>
        </w:tc>
        <w:tc>
          <w:tcPr>
            <w:tcW w:w="1344" w:type="dxa"/>
            <w:vAlign w:val="bottom"/>
          </w:tcPr>
          <w:p w:rsidR="00162CD2" w:rsidRPr="008A36EB" w:rsidRDefault="00162CD2" w:rsidP="00261E63">
            <w:pPr>
              <w:spacing w:after="0" w:line="240" w:lineRule="auto"/>
              <w:ind w:firstLine="0"/>
            </w:pPr>
            <w:r w:rsidRPr="008A36EB">
              <w:t>5</w:t>
            </w:r>
          </w:p>
        </w:tc>
      </w:tr>
    </w:tbl>
    <w:p w:rsidR="00822EB7" w:rsidRDefault="00162CD2">
      <w:pPr>
        <w:pStyle w:val="Footnotes"/>
        <w:spacing w:line="240" w:lineRule="auto"/>
      </w:pPr>
      <w:r w:rsidRPr="00761CB5">
        <w:t xml:space="preserve">Source: UNCTAD TRAINS and </w:t>
      </w:r>
      <w:proofErr w:type="spellStart"/>
      <w:r w:rsidRPr="00761CB5">
        <w:t>Comtrade</w:t>
      </w:r>
      <w:proofErr w:type="spellEnd"/>
      <w:r w:rsidRPr="00761CB5">
        <w:t>. Tariffs are applied MFN. These tariffs are not necessarily applied to all the imports, most of which enter under preferential arrangements. Trade data are for 2007.</w:t>
      </w:r>
    </w:p>
    <w:p w:rsidR="00162CD2" w:rsidRDefault="00162CD2">
      <w:pPr>
        <w:pStyle w:val="StyleJustifiedAfter10ptLinespacing15lines"/>
        <w:spacing w:line="276" w:lineRule="auto"/>
        <w:rPr>
          <w:lang w:val="en-GB"/>
        </w:rPr>
      </w:pPr>
      <w:r w:rsidRPr="001E69D4">
        <w:rPr>
          <w:lang w:val="en-GB"/>
        </w:rPr>
        <w:t>Some of agricultural products (cereals, grain, oilseed, tobacco, sugar, raw meat, live animals, seeds</w:t>
      </w:r>
      <w:r>
        <w:rPr>
          <w:lang w:val="en-GB"/>
        </w:rPr>
        <w:t>,</w:t>
      </w:r>
      <w:r w:rsidRPr="001E69D4">
        <w:rPr>
          <w:lang w:val="en-GB"/>
        </w:rPr>
        <w:t xml:space="preserve"> etc</w:t>
      </w:r>
      <w:r>
        <w:rPr>
          <w:lang w:val="en-GB"/>
        </w:rPr>
        <w:t>.</w:t>
      </w:r>
      <w:r w:rsidRPr="001E69D4">
        <w:rPr>
          <w:lang w:val="en-GB"/>
        </w:rPr>
        <w:t>) are intermediate inputs for the food production and processing industry. Currently, the tariff rate for new machinery and equipment is 10 per cent. Tariffs on inputs are</w:t>
      </w:r>
      <w:r>
        <w:rPr>
          <w:lang w:val="en-GB"/>
        </w:rPr>
        <w:t>, in</w:t>
      </w:r>
      <w:r w:rsidRPr="001E69D4">
        <w:rPr>
          <w:lang w:val="en-GB"/>
        </w:rPr>
        <w:t xml:space="preserve"> </w:t>
      </w:r>
      <w:r>
        <w:rPr>
          <w:lang w:val="en-GB"/>
        </w:rPr>
        <w:t>effect,</w:t>
      </w:r>
      <w:r w:rsidRPr="001E69D4">
        <w:rPr>
          <w:lang w:val="en-GB"/>
        </w:rPr>
        <w:t xml:space="preserve"> a tax on production and possibly on exports as well. Additionally</w:t>
      </w:r>
      <w:r>
        <w:rPr>
          <w:lang w:val="en-GB"/>
        </w:rPr>
        <w:t>,</w:t>
      </w:r>
      <w:r w:rsidRPr="001E69D4">
        <w:rPr>
          <w:lang w:val="en-GB"/>
        </w:rPr>
        <w:t xml:space="preserve"> those tariffs could slow the </w:t>
      </w:r>
      <w:r>
        <w:rPr>
          <w:lang w:val="en-GB"/>
        </w:rPr>
        <w:t>growth</w:t>
      </w:r>
      <w:r w:rsidRPr="001E69D4">
        <w:rPr>
          <w:lang w:val="en-GB"/>
        </w:rPr>
        <w:t xml:space="preserve"> of productivity in the primary production and processing sector.</w:t>
      </w:r>
    </w:p>
    <w:p w:rsidR="00162CD2" w:rsidRPr="00D40A78" w:rsidRDefault="00162CD2" w:rsidP="00EB0E50">
      <w:pPr>
        <w:pStyle w:val="Tabletitle"/>
        <w:rPr>
          <w:rStyle w:val="StyleBold"/>
          <w:rFonts w:ascii="Calibri" w:hAnsi="Calibri" w:cs="Calibri"/>
          <w:b/>
          <w:bCs w:val="0"/>
        </w:rPr>
      </w:pPr>
      <w:r w:rsidRPr="00E4059A">
        <w:rPr>
          <w:rStyle w:val="StyleBold"/>
          <w:rFonts w:ascii="Calibri" w:hAnsi="Calibri" w:cs="Calibri"/>
          <w:b/>
          <w:bCs w:val="0"/>
        </w:rPr>
        <w:t xml:space="preserve">Table </w:t>
      </w:r>
      <w:r w:rsidR="00CE0B87" w:rsidRPr="00E4059A">
        <w:rPr>
          <w:rStyle w:val="StyleBold"/>
          <w:rFonts w:ascii="Calibri" w:hAnsi="Calibri" w:cs="Calibri"/>
          <w:b/>
          <w:bCs w:val="0"/>
        </w:rPr>
        <w:t>9</w:t>
      </w:r>
      <w:r w:rsidRPr="00E4059A">
        <w:rPr>
          <w:rStyle w:val="StyleBold"/>
          <w:rFonts w:ascii="Calibri" w:hAnsi="Calibri" w:cs="Calibri"/>
          <w:b/>
          <w:bCs w:val="0"/>
        </w:rPr>
        <w:t>.4:</w:t>
      </w:r>
      <w:r w:rsidRPr="00E4059A">
        <w:rPr>
          <w:rStyle w:val="StyleBold"/>
          <w:rFonts w:ascii="Calibri" w:hAnsi="Calibri" w:cs="Calibri"/>
          <w:b/>
          <w:bCs w:val="0"/>
        </w:rPr>
        <w:tab/>
        <w:t>Bosnia and Herzegovina’s highest tariffs, 2008</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6"/>
        <w:gridCol w:w="4802"/>
        <w:gridCol w:w="1701"/>
        <w:gridCol w:w="1701"/>
      </w:tblGrid>
      <w:tr w:rsidR="00162CD2" w:rsidRPr="008A36EB" w:rsidTr="00066254">
        <w:trPr>
          <w:trHeight w:val="565"/>
        </w:trPr>
        <w:tc>
          <w:tcPr>
            <w:tcW w:w="976" w:type="dxa"/>
            <w:noWrap/>
            <w:vAlign w:val="bottom"/>
          </w:tcPr>
          <w:p w:rsidR="00891A92" w:rsidRDefault="00162CD2" w:rsidP="00891A92">
            <w:pPr>
              <w:spacing w:after="0" w:line="240" w:lineRule="auto"/>
              <w:ind w:firstLine="0"/>
              <w:jc w:val="left"/>
              <w:rPr>
                <w:rFonts w:eastAsia="Arial Unicode MS"/>
              </w:rPr>
            </w:pPr>
            <w:r w:rsidRPr="008A36EB">
              <w:t>HS code</w:t>
            </w:r>
          </w:p>
        </w:tc>
        <w:tc>
          <w:tcPr>
            <w:tcW w:w="4802" w:type="dxa"/>
            <w:noWrap/>
            <w:vAlign w:val="bottom"/>
          </w:tcPr>
          <w:p w:rsidR="00891A92" w:rsidRDefault="00162CD2" w:rsidP="00891A92">
            <w:pPr>
              <w:spacing w:after="0" w:line="240" w:lineRule="auto"/>
              <w:ind w:firstLine="0"/>
              <w:jc w:val="left"/>
              <w:rPr>
                <w:rFonts w:eastAsia="Arial Unicode MS"/>
              </w:rPr>
            </w:pPr>
            <w:r w:rsidRPr="008A36EB">
              <w:t>Product</w:t>
            </w:r>
          </w:p>
        </w:tc>
        <w:tc>
          <w:tcPr>
            <w:tcW w:w="1701" w:type="dxa"/>
            <w:vAlign w:val="bottom"/>
          </w:tcPr>
          <w:p w:rsidR="00891A92" w:rsidRDefault="00162CD2" w:rsidP="00891A92">
            <w:pPr>
              <w:spacing w:after="0" w:line="240" w:lineRule="auto"/>
              <w:ind w:firstLine="0"/>
              <w:jc w:val="left"/>
              <w:rPr>
                <w:rFonts w:eastAsia="Arial Unicode MS"/>
              </w:rPr>
            </w:pPr>
            <w:r w:rsidRPr="008A36EB">
              <w:t>Imports</w:t>
            </w:r>
          </w:p>
          <w:p w:rsidR="00891A92" w:rsidRDefault="00162CD2" w:rsidP="00891A92">
            <w:pPr>
              <w:spacing w:after="0" w:line="240" w:lineRule="auto"/>
              <w:ind w:firstLine="0"/>
              <w:jc w:val="left"/>
              <w:rPr>
                <w:rFonts w:eastAsia="Arial Unicode MS"/>
              </w:rPr>
            </w:pPr>
            <w:r w:rsidRPr="008A36EB">
              <w:t>(</w:t>
            </w:r>
            <w:proofErr w:type="spellStart"/>
            <w:r w:rsidR="00066254">
              <w:t>US</w:t>
            </w:r>
            <w:r w:rsidRPr="008A36EB">
              <w:t>$m</w:t>
            </w:r>
            <w:proofErr w:type="spellEnd"/>
            <w:r w:rsidRPr="008A36EB">
              <w:t>)</w:t>
            </w:r>
          </w:p>
        </w:tc>
        <w:tc>
          <w:tcPr>
            <w:tcW w:w="1701" w:type="dxa"/>
            <w:noWrap/>
            <w:vAlign w:val="bottom"/>
          </w:tcPr>
          <w:p w:rsidR="00891A92" w:rsidRDefault="00162CD2" w:rsidP="00891A92">
            <w:pPr>
              <w:spacing w:after="0" w:line="240" w:lineRule="auto"/>
              <w:ind w:firstLine="0"/>
              <w:jc w:val="left"/>
              <w:rPr>
                <w:rFonts w:eastAsia="Arial Unicode MS"/>
              </w:rPr>
            </w:pPr>
            <w:r w:rsidRPr="008A36EB">
              <w:rPr>
                <w:rFonts w:eastAsia="Arial Unicode MS"/>
              </w:rPr>
              <w:t>Tariffs</w:t>
            </w:r>
          </w:p>
        </w:tc>
      </w:tr>
      <w:tr w:rsidR="00162CD2" w:rsidRPr="008A36EB" w:rsidTr="00EB0E50">
        <w:trPr>
          <w:trHeight w:val="255"/>
        </w:trPr>
        <w:tc>
          <w:tcPr>
            <w:tcW w:w="976" w:type="dxa"/>
            <w:noWrap/>
          </w:tcPr>
          <w:p w:rsidR="00162CD2" w:rsidRPr="008A36EB" w:rsidRDefault="00162CD2" w:rsidP="00261E63">
            <w:pPr>
              <w:spacing w:after="0" w:line="240" w:lineRule="auto"/>
              <w:ind w:firstLine="0"/>
              <w:rPr>
                <w:rFonts w:eastAsia="Arial Unicode MS"/>
              </w:rPr>
            </w:pPr>
            <w:r w:rsidRPr="008A36EB">
              <w:t>0201</w:t>
            </w:r>
          </w:p>
        </w:tc>
        <w:tc>
          <w:tcPr>
            <w:tcW w:w="4802" w:type="dxa"/>
            <w:noWrap/>
          </w:tcPr>
          <w:p w:rsidR="00162CD2" w:rsidRPr="008A36EB" w:rsidRDefault="00162CD2" w:rsidP="00261E63">
            <w:pPr>
              <w:spacing w:after="0" w:line="240" w:lineRule="auto"/>
              <w:ind w:firstLine="0"/>
              <w:rPr>
                <w:rFonts w:eastAsia="Arial Unicode MS"/>
              </w:rPr>
            </w:pPr>
            <w:r w:rsidRPr="008A36EB">
              <w:t>Meat of bovine animals, fresh or chilled</w:t>
            </w:r>
          </w:p>
        </w:tc>
        <w:tc>
          <w:tcPr>
            <w:tcW w:w="1701" w:type="dxa"/>
          </w:tcPr>
          <w:p w:rsidR="00162CD2" w:rsidRPr="008A36EB" w:rsidRDefault="00162CD2" w:rsidP="00261E63">
            <w:pPr>
              <w:spacing w:after="0" w:line="240" w:lineRule="auto"/>
              <w:ind w:firstLine="0"/>
            </w:pPr>
            <w:r w:rsidRPr="008A36EB">
              <w:t>2.127</w:t>
            </w:r>
          </w:p>
        </w:tc>
        <w:tc>
          <w:tcPr>
            <w:tcW w:w="1701" w:type="dxa"/>
            <w:noWrap/>
          </w:tcPr>
          <w:p w:rsidR="00162CD2" w:rsidRPr="008A36EB" w:rsidRDefault="00162CD2" w:rsidP="00261E63">
            <w:pPr>
              <w:spacing w:after="0" w:line="240" w:lineRule="auto"/>
              <w:ind w:firstLine="0"/>
              <w:rPr>
                <w:rFonts w:eastAsia="Arial Unicode MS"/>
              </w:rPr>
            </w:pPr>
            <w:r w:rsidRPr="008A36EB">
              <w:t>10%+2.5 KM/kg</w:t>
            </w:r>
          </w:p>
        </w:tc>
      </w:tr>
      <w:tr w:rsidR="00162CD2" w:rsidRPr="008A36EB" w:rsidTr="00EB0E50">
        <w:trPr>
          <w:trHeight w:val="255"/>
        </w:trPr>
        <w:tc>
          <w:tcPr>
            <w:tcW w:w="976" w:type="dxa"/>
            <w:noWrap/>
          </w:tcPr>
          <w:p w:rsidR="00162CD2" w:rsidRPr="008A36EB" w:rsidRDefault="00162CD2" w:rsidP="00261E63">
            <w:pPr>
              <w:spacing w:after="0" w:line="240" w:lineRule="auto"/>
              <w:ind w:firstLine="0"/>
              <w:rPr>
                <w:rFonts w:eastAsia="Arial Unicode MS"/>
              </w:rPr>
            </w:pPr>
            <w:r w:rsidRPr="008A36EB">
              <w:t>0202</w:t>
            </w:r>
          </w:p>
        </w:tc>
        <w:tc>
          <w:tcPr>
            <w:tcW w:w="4802" w:type="dxa"/>
            <w:noWrap/>
          </w:tcPr>
          <w:p w:rsidR="00162CD2" w:rsidRPr="008A36EB" w:rsidRDefault="00162CD2" w:rsidP="00261E63">
            <w:pPr>
              <w:spacing w:after="0" w:line="240" w:lineRule="auto"/>
              <w:ind w:firstLine="0"/>
              <w:rPr>
                <w:rFonts w:eastAsia="Arial Unicode MS"/>
              </w:rPr>
            </w:pPr>
            <w:r w:rsidRPr="008A36EB">
              <w:t>Meat of bovine animals, frozen</w:t>
            </w:r>
          </w:p>
        </w:tc>
        <w:tc>
          <w:tcPr>
            <w:tcW w:w="1701" w:type="dxa"/>
          </w:tcPr>
          <w:p w:rsidR="00162CD2" w:rsidRPr="008A36EB" w:rsidRDefault="00162CD2" w:rsidP="00261E63">
            <w:pPr>
              <w:spacing w:after="0" w:line="240" w:lineRule="auto"/>
              <w:ind w:firstLine="0"/>
            </w:pPr>
            <w:r w:rsidRPr="008A36EB">
              <w:t>17.329</w:t>
            </w:r>
          </w:p>
        </w:tc>
        <w:tc>
          <w:tcPr>
            <w:tcW w:w="1701" w:type="dxa"/>
            <w:noWrap/>
          </w:tcPr>
          <w:p w:rsidR="00162CD2" w:rsidRPr="008A36EB" w:rsidRDefault="00162CD2" w:rsidP="00261E63">
            <w:pPr>
              <w:spacing w:after="0" w:line="240" w:lineRule="auto"/>
              <w:ind w:firstLine="0"/>
              <w:rPr>
                <w:rFonts w:eastAsia="Arial Unicode MS"/>
              </w:rPr>
            </w:pPr>
            <w:r w:rsidRPr="008A36EB">
              <w:t>10%+2.5 KM/kg</w:t>
            </w:r>
          </w:p>
        </w:tc>
      </w:tr>
      <w:tr w:rsidR="00162CD2" w:rsidRPr="008A36EB" w:rsidTr="00EB0E50">
        <w:trPr>
          <w:trHeight w:val="255"/>
        </w:trPr>
        <w:tc>
          <w:tcPr>
            <w:tcW w:w="976" w:type="dxa"/>
            <w:noWrap/>
          </w:tcPr>
          <w:p w:rsidR="00162CD2" w:rsidRPr="008A36EB" w:rsidRDefault="00162CD2" w:rsidP="00261E63">
            <w:pPr>
              <w:spacing w:after="0" w:line="240" w:lineRule="auto"/>
              <w:ind w:firstLine="0"/>
              <w:rPr>
                <w:rFonts w:eastAsia="Arial Unicode MS"/>
              </w:rPr>
            </w:pPr>
            <w:r w:rsidRPr="008A36EB">
              <w:t>0204</w:t>
            </w:r>
          </w:p>
        </w:tc>
        <w:tc>
          <w:tcPr>
            <w:tcW w:w="4802" w:type="dxa"/>
            <w:noWrap/>
          </w:tcPr>
          <w:p w:rsidR="00162CD2" w:rsidRPr="008A36EB" w:rsidRDefault="00162CD2" w:rsidP="00261E63">
            <w:pPr>
              <w:spacing w:after="0" w:line="240" w:lineRule="auto"/>
              <w:ind w:firstLine="0"/>
              <w:rPr>
                <w:rFonts w:eastAsia="Arial Unicode MS"/>
              </w:rPr>
            </w:pPr>
            <w:r w:rsidRPr="008A36EB">
              <w:t>Meat of sheep or goats, fresh, chilled</w:t>
            </w:r>
            <w:r w:rsidR="00066254">
              <w:t>,</w:t>
            </w:r>
            <w:r w:rsidRPr="008A36EB">
              <w:t xml:space="preserve"> or frozen</w:t>
            </w:r>
          </w:p>
        </w:tc>
        <w:tc>
          <w:tcPr>
            <w:tcW w:w="1701" w:type="dxa"/>
          </w:tcPr>
          <w:p w:rsidR="00162CD2" w:rsidRPr="008A36EB" w:rsidRDefault="00162CD2" w:rsidP="00261E63">
            <w:pPr>
              <w:spacing w:after="0" w:line="240" w:lineRule="auto"/>
              <w:ind w:firstLine="0"/>
            </w:pPr>
            <w:r w:rsidRPr="008A36EB">
              <w:t>1.234</w:t>
            </w:r>
          </w:p>
        </w:tc>
        <w:tc>
          <w:tcPr>
            <w:tcW w:w="1701" w:type="dxa"/>
            <w:noWrap/>
          </w:tcPr>
          <w:p w:rsidR="00162CD2" w:rsidRPr="008A36EB" w:rsidRDefault="00162CD2" w:rsidP="00261E63">
            <w:pPr>
              <w:spacing w:after="0" w:line="240" w:lineRule="auto"/>
              <w:ind w:firstLine="0"/>
              <w:rPr>
                <w:rFonts w:eastAsia="Arial Unicode MS"/>
              </w:rPr>
            </w:pPr>
            <w:r w:rsidRPr="008A36EB">
              <w:t>10%+2.0 KM/kg</w:t>
            </w:r>
          </w:p>
        </w:tc>
      </w:tr>
      <w:tr w:rsidR="00162CD2" w:rsidRPr="008A36EB" w:rsidTr="00EB0E50">
        <w:trPr>
          <w:trHeight w:val="255"/>
        </w:trPr>
        <w:tc>
          <w:tcPr>
            <w:tcW w:w="976" w:type="dxa"/>
            <w:noWrap/>
          </w:tcPr>
          <w:p w:rsidR="00162CD2" w:rsidRPr="008A36EB" w:rsidRDefault="00162CD2" w:rsidP="00261E63">
            <w:pPr>
              <w:spacing w:after="0" w:line="240" w:lineRule="auto"/>
              <w:ind w:firstLine="0"/>
              <w:rPr>
                <w:rFonts w:eastAsia="Arial Unicode MS"/>
              </w:rPr>
            </w:pPr>
            <w:r w:rsidRPr="008A36EB">
              <w:t>0207</w:t>
            </w:r>
          </w:p>
        </w:tc>
        <w:tc>
          <w:tcPr>
            <w:tcW w:w="4802" w:type="dxa"/>
            <w:noWrap/>
          </w:tcPr>
          <w:p w:rsidR="00162CD2" w:rsidRPr="008A36EB" w:rsidRDefault="00162CD2" w:rsidP="00261E63">
            <w:pPr>
              <w:spacing w:after="0" w:line="240" w:lineRule="auto"/>
              <w:ind w:firstLine="0"/>
              <w:rPr>
                <w:rFonts w:eastAsia="Arial Unicode MS"/>
              </w:rPr>
            </w:pPr>
            <w:r w:rsidRPr="008A36EB">
              <w:t>Meat and edible offal of poultry, fresh, chilled or frozen</w:t>
            </w:r>
          </w:p>
        </w:tc>
        <w:tc>
          <w:tcPr>
            <w:tcW w:w="1701" w:type="dxa"/>
          </w:tcPr>
          <w:p w:rsidR="00162CD2" w:rsidRPr="008A36EB" w:rsidRDefault="00162CD2" w:rsidP="00261E63">
            <w:pPr>
              <w:spacing w:after="0" w:line="240" w:lineRule="auto"/>
              <w:ind w:firstLine="0"/>
            </w:pPr>
            <w:r w:rsidRPr="008A36EB">
              <w:t>19.651</w:t>
            </w:r>
          </w:p>
        </w:tc>
        <w:tc>
          <w:tcPr>
            <w:tcW w:w="1701" w:type="dxa"/>
            <w:noWrap/>
          </w:tcPr>
          <w:p w:rsidR="00162CD2" w:rsidRPr="008A36EB" w:rsidRDefault="00162CD2" w:rsidP="00261E63">
            <w:pPr>
              <w:spacing w:after="0" w:line="240" w:lineRule="auto"/>
              <w:ind w:firstLine="0"/>
              <w:rPr>
                <w:rFonts w:eastAsia="Arial Unicode MS"/>
              </w:rPr>
            </w:pPr>
            <w:r w:rsidRPr="008A36EB">
              <w:t>10%+2.0 KM/kg</w:t>
            </w:r>
          </w:p>
        </w:tc>
      </w:tr>
      <w:tr w:rsidR="00162CD2" w:rsidRPr="008A36EB" w:rsidTr="00EB0E50">
        <w:trPr>
          <w:trHeight w:val="255"/>
        </w:trPr>
        <w:tc>
          <w:tcPr>
            <w:tcW w:w="976" w:type="dxa"/>
            <w:noWrap/>
          </w:tcPr>
          <w:p w:rsidR="00162CD2" w:rsidRPr="008A36EB" w:rsidRDefault="00162CD2" w:rsidP="00261E63">
            <w:pPr>
              <w:spacing w:after="0" w:line="240" w:lineRule="auto"/>
              <w:ind w:firstLine="0"/>
              <w:rPr>
                <w:rFonts w:eastAsia="Arial Unicode MS"/>
              </w:rPr>
            </w:pPr>
            <w:r w:rsidRPr="008A36EB">
              <w:t>0209</w:t>
            </w:r>
          </w:p>
        </w:tc>
        <w:tc>
          <w:tcPr>
            <w:tcW w:w="4802" w:type="dxa"/>
            <w:noWrap/>
          </w:tcPr>
          <w:p w:rsidR="00162CD2" w:rsidRPr="008A36EB" w:rsidRDefault="00162CD2" w:rsidP="00261E63">
            <w:pPr>
              <w:spacing w:after="0" w:line="240" w:lineRule="auto"/>
              <w:ind w:firstLine="0"/>
              <w:rPr>
                <w:rFonts w:eastAsia="Arial Unicode MS"/>
              </w:rPr>
            </w:pPr>
            <w:r w:rsidRPr="008A36EB">
              <w:t>Pig and poultry fat, fresh, chilled, frozen, salted</w:t>
            </w:r>
            <w:r w:rsidR="00066254">
              <w:t xml:space="preserve"> </w:t>
            </w:r>
            <w:r w:rsidRPr="008A36EB">
              <w:t>... or smoked</w:t>
            </w:r>
          </w:p>
        </w:tc>
        <w:tc>
          <w:tcPr>
            <w:tcW w:w="1701" w:type="dxa"/>
          </w:tcPr>
          <w:p w:rsidR="00162CD2" w:rsidRPr="008A36EB" w:rsidRDefault="00162CD2" w:rsidP="00261E63">
            <w:pPr>
              <w:spacing w:after="0" w:line="240" w:lineRule="auto"/>
              <w:ind w:firstLine="0"/>
            </w:pPr>
            <w:r w:rsidRPr="008A36EB">
              <w:t>0.960</w:t>
            </w:r>
          </w:p>
        </w:tc>
        <w:tc>
          <w:tcPr>
            <w:tcW w:w="1701" w:type="dxa"/>
            <w:noWrap/>
          </w:tcPr>
          <w:p w:rsidR="00162CD2" w:rsidRPr="008A36EB" w:rsidRDefault="00162CD2" w:rsidP="00261E63">
            <w:pPr>
              <w:spacing w:after="0" w:line="240" w:lineRule="auto"/>
              <w:ind w:firstLine="0"/>
              <w:rPr>
                <w:rFonts w:eastAsia="Arial Unicode MS"/>
              </w:rPr>
            </w:pPr>
            <w:r w:rsidRPr="008A36EB">
              <w:t>10%+2.5 KM/kg</w:t>
            </w:r>
          </w:p>
        </w:tc>
      </w:tr>
      <w:tr w:rsidR="00162CD2" w:rsidRPr="008A36EB" w:rsidTr="00EB0E50">
        <w:trPr>
          <w:trHeight w:val="255"/>
        </w:trPr>
        <w:tc>
          <w:tcPr>
            <w:tcW w:w="976" w:type="dxa"/>
            <w:noWrap/>
          </w:tcPr>
          <w:p w:rsidR="00162CD2" w:rsidRPr="008A36EB" w:rsidRDefault="00162CD2" w:rsidP="00261E63">
            <w:pPr>
              <w:spacing w:after="0" w:line="240" w:lineRule="auto"/>
              <w:ind w:firstLine="0"/>
              <w:rPr>
                <w:rFonts w:eastAsia="Arial Unicode MS"/>
              </w:rPr>
            </w:pPr>
            <w:r w:rsidRPr="008A36EB">
              <w:t>1101</w:t>
            </w:r>
          </w:p>
        </w:tc>
        <w:tc>
          <w:tcPr>
            <w:tcW w:w="4802" w:type="dxa"/>
            <w:noWrap/>
          </w:tcPr>
          <w:p w:rsidR="00162CD2" w:rsidRPr="008A36EB" w:rsidRDefault="00162CD2" w:rsidP="00261E63">
            <w:pPr>
              <w:spacing w:after="0" w:line="240" w:lineRule="auto"/>
              <w:ind w:firstLine="0"/>
              <w:rPr>
                <w:rFonts w:eastAsia="Arial Unicode MS"/>
              </w:rPr>
            </w:pPr>
            <w:r w:rsidRPr="008A36EB">
              <w:t xml:space="preserve">Wheat or </w:t>
            </w:r>
            <w:proofErr w:type="spellStart"/>
            <w:r w:rsidRPr="008A36EB">
              <w:t>meslin</w:t>
            </w:r>
            <w:proofErr w:type="spellEnd"/>
            <w:r w:rsidRPr="008A36EB">
              <w:t xml:space="preserve"> flour</w:t>
            </w:r>
          </w:p>
        </w:tc>
        <w:tc>
          <w:tcPr>
            <w:tcW w:w="1701" w:type="dxa"/>
          </w:tcPr>
          <w:p w:rsidR="00162CD2" w:rsidRPr="008A36EB" w:rsidRDefault="00162CD2" w:rsidP="00261E63">
            <w:pPr>
              <w:spacing w:after="0" w:line="240" w:lineRule="auto"/>
              <w:ind w:firstLine="0"/>
            </w:pPr>
            <w:r w:rsidRPr="008A36EB">
              <w:t>24.568</w:t>
            </w:r>
          </w:p>
        </w:tc>
        <w:tc>
          <w:tcPr>
            <w:tcW w:w="1701" w:type="dxa"/>
            <w:noWrap/>
          </w:tcPr>
          <w:p w:rsidR="00162CD2" w:rsidRPr="008A36EB" w:rsidRDefault="00162CD2" w:rsidP="00261E63">
            <w:pPr>
              <w:spacing w:after="0" w:line="240" w:lineRule="auto"/>
              <w:ind w:firstLine="0"/>
              <w:rPr>
                <w:rFonts w:eastAsia="Arial Unicode MS"/>
              </w:rPr>
            </w:pPr>
            <w:r w:rsidRPr="008A36EB">
              <w:t>10%+0.2 KM/kg</w:t>
            </w:r>
          </w:p>
        </w:tc>
      </w:tr>
      <w:tr w:rsidR="00162CD2" w:rsidRPr="008A36EB" w:rsidTr="00EB0E50">
        <w:trPr>
          <w:trHeight w:val="255"/>
        </w:trPr>
        <w:tc>
          <w:tcPr>
            <w:tcW w:w="976" w:type="dxa"/>
            <w:noWrap/>
          </w:tcPr>
          <w:p w:rsidR="00162CD2" w:rsidRPr="008A36EB" w:rsidRDefault="00162CD2" w:rsidP="00261E63">
            <w:pPr>
              <w:spacing w:after="0" w:line="240" w:lineRule="auto"/>
              <w:ind w:firstLine="0"/>
              <w:rPr>
                <w:rFonts w:eastAsia="Arial Unicode MS"/>
              </w:rPr>
            </w:pPr>
            <w:r w:rsidRPr="008A36EB">
              <w:t>1211</w:t>
            </w:r>
          </w:p>
        </w:tc>
        <w:tc>
          <w:tcPr>
            <w:tcW w:w="4802" w:type="dxa"/>
            <w:noWrap/>
          </w:tcPr>
          <w:p w:rsidR="00162CD2" w:rsidRPr="008A36EB" w:rsidRDefault="00162CD2" w:rsidP="00066254">
            <w:pPr>
              <w:spacing w:after="0" w:line="240" w:lineRule="auto"/>
              <w:ind w:firstLine="0"/>
              <w:rPr>
                <w:rFonts w:eastAsia="Arial Unicode MS"/>
              </w:rPr>
            </w:pPr>
            <w:r w:rsidRPr="008A36EB">
              <w:t>Plants and parts of plants, of a kind used in perfumery, pharmacy</w:t>
            </w:r>
            <w:r w:rsidR="00066254">
              <w:t xml:space="preserve"> </w:t>
            </w:r>
            <w:r w:rsidRPr="008A36EB">
              <w:t>...</w:t>
            </w:r>
          </w:p>
        </w:tc>
        <w:tc>
          <w:tcPr>
            <w:tcW w:w="1701" w:type="dxa"/>
          </w:tcPr>
          <w:p w:rsidR="00162CD2" w:rsidRPr="008A36EB" w:rsidRDefault="00162CD2" w:rsidP="00261E63">
            <w:pPr>
              <w:spacing w:after="0" w:line="240" w:lineRule="auto"/>
              <w:ind w:firstLine="0"/>
            </w:pPr>
            <w:r w:rsidRPr="008A36EB">
              <w:t>4.014</w:t>
            </w:r>
          </w:p>
        </w:tc>
        <w:tc>
          <w:tcPr>
            <w:tcW w:w="1701" w:type="dxa"/>
            <w:noWrap/>
          </w:tcPr>
          <w:p w:rsidR="00162CD2" w:rsidRPr="008A36EB" w:rsidRDefault="00162CD2" w:rsidP="00261E63">
            <w:pPr>
              <w:spacing w:after="0" w:line="240" w:lineRule="auto"/>
              <w:ind w:firstLine="0"/>
              <w:rPr>
                <w:rFonts w:eastAsia="Arial Unicode MS"/>
              </w:rPr>
            </w:pPr>
            <w:r w:rsidRPr="008A36EB">
              <w:t>0%+6.0 KM/kg</w:t>
            </w:r>
          </w:p>
        </w:tc>
      </w:tr>
      <w:tr w:rsidR="00162CD2" w:rsidRPr="008A36EB" w:rsidTr="00EB0E50">
        <w:trPr>
          <w:trHeight w:val="255"/>
        </w:trPr>
        <w:tc>
          <w:tcPr>
            <w:tcW w:w="976" w:type="dxa"/>
            <w:noWrap/>
          </w:tcPr>
          <w:p w:rsidR="00162CD2" w:rsidRPr="008A36EB" w:rsidRDefault="00162CD2" w:rsidP="00261E63">
            <w:pPr>
              <w:spacing w:after="0" w:line="240" w:lineRule="auto"/>
              <w:ind w:firstLine="0"/>
              <w:rPr>
                <w:rFonts w:eastAsia="Arial Unicode MS"/>
              </w:rPr>
            </w:pPr>
            <w:r w:rsidRPr="008A36EB">
              <w:t>1601</w:t>
            </w:r>
          </w:p>
        </w:tc>
        <w:tc>
          <w:tcPr>
            <w:tcW w:w="4802" w:type="dxa"/>
            <w:noWrap/>
          </w:tcPr>
          <w:p w:rsidR="00162CD2" w:rsidRPr="008A36EB" w:rsidRDefault="00162CD2" w:rsidP="00261E63">
            <w:pPr>
              <w:spacing w:after="0" w:line="240" w:lineRule="auto"/>
              <w:ind w:firstLine="0"/>
              <w:rPr>
                <w:rFonts w:eastAsia="Arial Unicode MS"/>
              </w:rPr>
            </w:pPr>
            <w:r w:rsidRPr="008A36EB">
              <w:t>Sausages and similar products; food preparations based on these products</w:t>
            </w:r>
          </w:p>
        </w:tc>
        <w:tc>
          <w:tcPr>
            <w:tcW w:w="1701" w:type="dxa"/>
          </w:tcPr>
          <w:p w:rsidR="00162CD2" w:rsidRPr="008A36EB" w:rsidRDefault="00162CD2" w:rsidP="00261E63">
            <w:pPr>
              <w:spacing w:after="0" w:line="240" w:lineRule="auto"/>
              <w:ind w:firstLine="0"/>
            </w:pPr>
            <w:r w:rsidRPr="008A36EB">
              <w:t>28.001</w:t>
            </w:r>
          </w:p>
        </w:tc>
        <w:tc>
          <w:tcPr>
            <w:tcW w:w="1701" w:type="dxa"/>
            <w:noWrap/>
          </w:tcPr>
          <w:p w:rsidR="00162CD2" w:rsidRPr="008A36EB" w:rsidRDefault="00162CD2" w:rsidP="00261E63">
            <w:pPr>
              <w:spacing w:after="0" w:line="240" w:lineRule="auto"/>
              <w:ind w:firstLine="0"/>
              <w:rPr>
                <w:rFonts w:eastAsia="Arial Unicode MS"/>
              </w:rPr>
            </w:pPr>
            <w:r w:rsidRPr="008A36EB">
              <w:t>10%+3.0 KM/kg</w:t>
            </w:r>
          </w:p>
        </w:tc>
      </w:tr>
      <w:tr w:rsidR="00162CD2" w:rsidRPr="008A36EB" w:rsidTr="00EB0E50">
        <w:trPr>
          <w:trHeight w:val="255"/>
        </w:trPr>
        <w:tc>
          <w:tcPr>
            <w:tcW w:w="976" w:type="dxa"/>
            <w:noWrap/>
          </w:tcPr>
          <w:p w:rsidR="00162CD2" w:rsidRPr="008A36EB" w:rsidRDefault="00162CD2" w:rsidP="00261E63">
            <w:pPr>
              <w:spacing w:after="0" w:line="240" w:lineRule="auto"/>
              <w:ind w:firstLine="0"/>
              <w:rPr>
                <w:rFonts w:eastAsia="Arial Unicode MS"/>
              </w:rPr>
            </w:pPr>
            <w:r w:rsidRPr="008A36EB">
              <w:t>1602</w:t>
            </w:r>
          </w:p>
        </w:tc>
        <w:tc>
          <w:tcPr>
            <w:tcW w:w="4802" w:type="dxa"/>
            <w:noWrap/>
          </w:tcPr>
          <w:p w:rsidR="00162CD2" w:rsidRPr="008A36EB" w:rsidRDefault="00162CD2" w:rsidP="00261E63">
            <w:pPr>
              <w:spacing w:after="0" w:line="240" w:lineRule="auto"/>
              <w:ind w:firstLine="0"/>
              <w:rPr>
                <w:rFonts w:eastAsia="Arial Unicode MS"/>
              </w:rPr>
            </w:pPr>
            <w:r w:rsidRPr="008A36EB">
              <w:t>Other prepared or preserved meat, meat offal, or blood</w:t>
            </w:r>
          </w:p>
        </w:tc>
        <w:tc>
          <w:tcPr>
            <w:tcW w:w="1701" w:type="dxa"/>
          </w:tcPr>
          <w:p w:rsidR="00162CD2" w:rsidRPr="008A36EB" w:rsidRDefault="00162CD2" w:rsidP="00261E63">
            <w:pPr>
              <w:spacing w:after="0" w:line="240" w:lineRule="auto"/>
              <w:ind w:firstLine="0"/>
            </w:pPr>
            <w:r w:rsidRPr="008A36EB">
              <w:t>18.985</w:t>
            </w:r>
          </w:p>
        </w:tc>
        <w:tc>
          <w:tcPr>
            <w:tcW w:w="1701" w:type="dxa"/>
            <w:noWrap/>
          </w:tcPr>
          <w:p w:rsidR="00162CD2" w:rsidRPr="008A36EB" w:rsidRDefault="00162CD2" w:rsidP="00261E63">
            <w:pPr>
              <w:spacing w:after="0" w:line="240" w:lineRule="auto"/>
              <w:ind w:firstLine="0"/>
              <w:rPr>
                <w:rFonts w:eastAsia="Arial Unicode MS"/>
              </w:rPr>
            </w:pPr>
            <w:r w:rsidRPr="008A36EB">
              <w:t>10%+2.5 KM/kg</w:t>
            </w:r>
          </w:p>
        </w:tc>
      </w:tr>
      <w:tr w:rsidR="00162CD2" w:rsidRPr="008A36EB" w:rsidTr="00EB0E50">
        <w:trPr>
          <w:trHeight w:val="255"/>
        </w:trPr>
        <w:tc>
          <w:tcPr>
            <w:tcW w:w="976" w:type="dxa"/>
            <w:noWrap/>
          </w:tcPr>
          <w:p w:rsidR="00162CD2" w:rsidRPr="008A36EB" w:rsidRDefault="00162CD2" w:rsidP="00261E63">
            <w:pPr>
              <w:spacing w:after="0" w:line="240" w:lineRule="auto"/>
              <w:ind w:firstLine="0"/>
              <w:rPr>
                <w:rFonts w:eastAsia="Arial Unicode MS"/>
              </w:rPr>
            </w:pPr>
            <w:r w:rsidRPr="008A36EB">
              <w:t>1905</w:t>
            </w:r>
          </w:p>
        </w:tc>
        <w:tc>
          <w:tcPr>
            <w:tcW w:w="4802" w:type="dxa"/>
            <w:noWrap/>
          </w:tcPr>
          <w:p w:rsidR="00162CD2" w:rsidRPr="008A36EB" w:rsidRDefault="00162CD2" w:rsidP="00261E63">
            <w:pPr>
              <w:spacing w:after="0" w:line="240" w:lineRule="auto"/>
              <w:ind w:firstLine="0"/>
              <w:rPr>
                <w:rFonts w:eastAsia="Arial Unicode MS"/>
              </w:rPr>
            </w:pPr>
            <w:r w:rsidRPr="008A36EB">
              <w:t>Bread, pastry, cakes, etc.; communion wafers, rice paper, etc.</w:t>
            </w:r>
          </w:p>
        </w:tc>
        <w:tc>
          <w:tcPr>
            <w:tcW w:w="1701" w:type="dxa"/>
          </w:tcPr>
          <w:p w:rsidR="00162CD2" w:rsidRPr="008A36EB" w:rsidRDefault="00162CD2" w:rsidP="00261E63">
            <w:pPr>
              <w:spacing w:after="0" w:line="240" w:lineRule="auto"/>
              <w:ind w:firstLine="0"/>
            </w:pPr>
            <w:r w:rsidRPr="008A36EB">
              <w:t>81.049</w:t>
            </w:r>
          </w:p>
        </w:tc>
        <w:tc>
          <w:tcPr>
            <w:tcW w:w="1701" w:type="dxa"/>
            <w:noWrap/>
          </w:tcPr>
          <w:p w:rsidR="00162CD2" w:rsidRPr="008A36EB" w:rsidRDefault="00162CD2" w:rsidP="00261E63">
            <w:pPr>
              <w:spacing w:after="0" w:line="240" w:lineRule="auto"/>
              <w:ind w:firstLine="0"/>
              <w:rPr>
                <w:rFonts w:eastAsia="Arial Unicode MS"/>
              </w:rPr>
            </w:pPr>
            <w:r w:rsidRPr="008A36EB">
              <w:t>15%+1.5 KM/kg</w:t>
            </w:r>
          </w:p>
        </w:tc>
      </w:tr>
      <w:tr w:rsidR="00162CD2" w:rsidRPr="008A36EB" w:rsidTr="00EB0E50">
        <w:trPr>
          <w:trHeight w:val="255"/>
        </w:trPr>
        <w:tc>
          <w:tcPr>
            <w:tcW w:w="976" w:type="dxa"/>
            <w:noWrap/>
          </w:tcPr>
          <w:p w:rsidR="00162CD2" w:rsidRPr="008A36EB" w:rsidRDefault="00162CD2" w:rsidP="00261E63">
            <w:pPr>
              <w:spacing w:after="0" w:line="240" w:lineRule="auto"/>
              <w:ind w:firstLine="0"/>
              <w:rPr>
                <w:rFonts w:eastAsia="Arial Unicode MS"/>
              </w:rPr>
            </w:pPr>
            <w:r w:rsidRPr="008A36EB">
              <w:t>2201</w:t>
            </w:r>
          </w:p>
        </w:tc>
        <w:tc>
          <w:tcPr>
            <w:tcW w:w="4802" w:type="dxa"/>
            <w:noWrap/>
          </w:tcPr>
          <w:p w:rsidR="00162CD2" w:rsidRPr="008A36EB" w:rsidRDefault="00162CD2" w:rsidP="00177943">
            <w:pPr>
              <w:spacing w:after="0" w:line="240" w:lineRule="auto"/>
              <w:ind w:firstLine="0"/>
              <w:rPr>
                <w:rFonts w:eastAsia="Arial Unicode MS"/>
              </w:rPr>
            </w:pPr>
            <w:r w:rsidRPr="008A36EB">
              <w:t>Waters (including mineral waters and aerated waters); ice, and snow</w:t>
            </w:r>
          </w:p>
        </w:tc>
        <w:tc>
          <w:tcPr>
            <w:tcW w:w="1701" w:type="dxa"/>
          </w:tcPr>
          <w:p w:rsidR="00162CD2" w:rsidRPr="008A36EB" w:rsidRDefault="00162CD2" w:rsidP="00261E63">
            <w:pPr>
              <w:spacing w:after="0" w:line="240" w:lineRule="auto"/>
              <w:ind w:firstLine="0"/>
            </w:pPr>
            <w:r w:rsidRPr="008A36EB">
              <w:t>13.846</w:t>
            </w:r>
          </w:p>
        </w:tc>
        <w:tc>
          <w:tcPr>
            <w:tcW w:w="1701" w:type="dxa"/>
            <w:noWrap/>
          </w:tcPr>
          <w:p w:rsidR="00162CD2" w:rsidRPr="008A36EB" w:rsidRDefault="00162CD2" w:rsidP="00261E63">
            <w:pPr>
              <w:spacing w:after="0" w:line="240" w:lineRule="auto"/>
              <w:ind w:firstLine="0"/>
              <w:rPr>
                <w:rFonts w:eastAsia="Arial Unicode MS"/>
              </w:rPr>
            </w:pPr>
            <w:r w:rsidRPr="008A36EB">
              <w:t>15+0.2 KM/kg</w:t>
            </w:r>
          </w:p>
        </w:tc>
      </w:tr>
    </w:tbl>
    <w:p w:rsidR="00162CD2" w:rsidRPr="001E69D4" w:rsidRDefault="00162CD2" w:rsidP="00261E63">
      <w:pPr>
        <w:pStyle w:val="Footnotes"/>
      </w:pPr>
      <w:r w:rsidRPr="001E69D4">
        <w:t xml:space="preserve">Source: </w:t>
      </w:r>
      <w:r>
        <w:t>World Integrated Trade System (</w:t>
      </w:r>
      <w:r w:rsidRPr="001E69D4">
        <w:t>WITS</w:t>
      </w:r>
      <w:r>
        <w:t>)</w:t>
      </w:r>
      <w:r w:rsidRPr="001E69D4">
        <w:t xml:space="preserve">. Tariffs are applied </w:t>
      </w:r>
      <w:r>
        <w:t>MFN</w:t>
      </w:r>
      <w:r w:rsidRPr="001E69D4">
        <w:t>.</w:t>
      </w:r>
    </w:p>
    <w:p w:rsidR="00162CD2" w:rsidRPr="001E69D4" w:rsidRDefault="00CE0B87" w:rsidP="00E92F91">
      <w:pPr>
        <w:pStyle w:val="Heading2"/>
      </w:pPr>
      <w:r>
        <w:t>9</w:t>
      </w:r>
      <w:r w:rsidR="00162CD2">
        <w:t>.</w:t>
      </w:r>
      <w:r w:rsidR="006E5332">
        <w:t>3</w:t>
      </w:r>
      <w:r w:rsidR="00162CD2">
        <w:t>.2</w:t>
      </w:r>
      <w:r w:rsidR="00162CD2">
        <w:tab/>
      </w:r>
      <w:r w:rsidR="00162CD2" w:rsidRPr="001E69D4">
        <w:t>Non-tariff market access measures</w:t>
      </w:r>
    </w:p>
    <w:p w:rsidR="00162CD2" w:rsidRPr="001E69D4" w:rsidRDefault="00162CD2">
      <w:pPr>
        <w:pStyle w:val="StyleJustifiedAfter10ptLinespacing15lines"/>
        <w:spacing w:line="276" w:lineRule="auto"/>
        <w:rPr>
          <w:lang w:val="en-GB"/>
        </w:rPr>
      </w:pPr>
      <w:r w:rsidRPr="001E69D4">
        <w:rPr>
          <w:iCs/>
          <w:lang w:val="en-GB"/>
        </w:rPr>
        <w:t xml:space="preserve">Non-tariff barriers include various </w:t>
      </w:r>
      <w:r w:rsidRPr="001E69D4">
        <w:rPr>
          <w:lang w:val="en-GB"/>
        </w:rPr>
        <w:t>quantitative restrictions, import licensing, customs valuation procedures, rules of origin, trade-related investment measures, standards (i.e. technical barriers to trade)</w:t>
      </w:r>
      <w:r>
        <w:rPr>
          <w:lang w:val="en-GB"/>
        </w:rPr>
        <w:t>,</w:t>
      </w:r>
      <w:r w:rsidRPr="001E69D4">
        <w:rPr>
          <w:lang w:val="en-GB"/>
        </w:rPr>
        <w:t xml:space="preserve"> and SPS regulations. In the </w:t>
      </w:r>
      <w:r>
        <w:rPr>
          <w:lang w:val="en-GB"/>
        </w:rPr>
        <w:t xml:space="preserve">BH agricultural and food sector, </w:t>
      </w:r>
      <w:r w:rsidRPr="001E69D4">
        <w:rPr>
          <w:lang w:val="en-GB"/>
        </w:rPr>
        <w:t xml:space="preserve">there are no quantitative restrictions (quotas) on imports of any products. Only products that are considered as a public health, </w:t>
      </w:r>
      <w:r>
        <w:rPr>
          <w:lang w:val="en-GB"/>
        </w:rPr>
        <w:t>environmental, or</w:t>
      </w:r>
      <w:r w:rsidRPr="001E69D4">
        <w:rPr>
          <w:lang w:val="en-GB"/>
        </w:rPr>
        <w:t xml:space="preserve"> economic risk (pharmaceutical, chemical, </w:t>
      </w:r>
      <w:r>
        <w:rPr>
          <w:lang w:val="en-GB"/>
        </w:rPr>
        <w:t xml:space="preserve">and </w:t>
      </w:r>
      <w:r w:rsidRPr="001E69D4">
        <w:rPr>
          <w:lang w:val="en-GB"/>
        </w:rPr>
        <w:t>military products, antiques</w:t>
      </w:r>
      <w:r>
        <w:rPr>
          <w:lang w:val="en-GB"/>
        </w:rPr>
        <w:t>,</w:t>
      </w:r>
      <w:r w:rsidRPr="001E69D4">
        <w:rPr>
          <w:lang w:val="en-GB"/>
        </w:rPr>
        <w:t xml:space="preserve"> etc</w:t>
      </w:r>
      <w:r>
        <w:rPr>
          <w:lang w:val="en-GB"/>
        </w:rPr>
        <w:t>.</w:t>
      </w:r>
      <w:r w:rsidRPr="001E69D4">
        <w:rPr>
          <w:lang w:val="en-GB"/>
        </w:rPr>
        <w:t xml:space="preserve">) </w:t>
      </w:r>
      <w:r>
        <w:rPr>
          <w:lang w:val="en-GB"/>
        </w:rPr>
        <w:t>require</w:t>
      </w:r>
      <w:r w:rsidRPr="001E69D4">
        <w:rPr>
          <w:lang w:val="en-GB"/>
        </w:rPr>
        <w:t xml:space="preserve"> import and export licenses. Those rules are not important for the </w:t>
      </w:r>
      <w:r>
        <w:rPr>
          <w:lang w:val="en-GB"/>
        </w:rPr>
        <w:t xml:space="preserve">agricultural </w:t>
      </w:r>
      <w:r w:rsidRPr="001E69D4">
        <w:rPr>
          <w:lang w:val="en-GB"/>
        </w:rPr>
        <w:t xml:space="preserve">sector. </w:t>
      </w:r>
    </w:p>
    <w:p w:rsidR="00162CD2" w:rsidRPr="001E69D4" w:rsidRDefault="00162CD2">
      <w:r>
        <w:t>R</w:t>
      </w:r>
      <w:r w:rsidRPr="001E69D4">
        <w:t>ules of origin de</w:t>
      </w:r>
      <w:r w:rsidR="004872CA">
        <w:t xml:space="preserve">termine whether goods </w:t>
      </w:r>
      <w:r w:rsidR="009C4986">
        <w:t>import</w:t>
      </w:r>
      <w:r w:rsidR="004872CA">
        <w:t>ed</w:t>
      </w:r>
      <w:r w:rsidR="009C4986">
        <w:t xml:space="preserve"> from specific countries hav</w:t>
      </w:r>
      <w:r w:rsidR="004872CA">
        <w:t>e</w:t>
      </w:r>
      <w:r w:rsidR="009C4986">
        <w:t xml:space="preserve"> </w:t>
      </w:r>
      <w:r w:rsidRPr="001E69D4">
        <w:t xml:space="preserve">preferential </w:t>
      </w:r>
      <w:r>
        <w:t>or</w:t>
      </w:r>
      <w:r w:rsidRPr="001E69D4">
        <w:t xml:space="preserve"> non-preferential status</w:t>
      </w:r>
      <w:r w:rsidR="009C4986">
        <w:t>.</w:t>
      </w:r>
      <w:r w:rsidRPr="001E69D4">
        <w:t xml:space="preserve"> BH Law on Custom Policy</w:t>
      </w:r>
      <w:r>
        <w:t xml:space="preserve"> governs </w:t>
      </w:r>
      <w:r w:rsidR="004872CA">
        <w:t>the i</w:t>
      </w:r>
      <w:r w:rsidRPr="001E69D4">
        <w:t xml:space="preserve">mplementation of </w:t>
      </w:r>
      <w:r w:rsidR="004872CA">
        <w:t>preferential tariffs</w:t>
      </w:r>
      <w:r>
        <w:t xml:space="preserve">, which </w:t>
      </w:r>
      <w:r w:rsidRPr="001E69D4">
        <w:t>appl</w:t>
      </w:r>
      <w:r w:rsidR="004872CA">
        <w:t>y</w:t>
      </w:r>
      <w:r w:rsidRPr="001E69D4">
        <w:t xml:space="preserve"> to imports from the nine countries with which BH has free trade agreements. Each of those agreements </w:t>
      </w:r>
      <w:r>
        <w:t>includes</w:t>
      </w:r>
      <w:r w:rsidRPr="001E69D4">
        <w:t xml:space="preserve"> provisions in which contracting parties agreed to apply the harmonized European preferential rules of origin in their mutual trade (</w:t>
      </w:r>
      <w:proofErr w:type="spellStart"/>
      <w:r w:rsidRPr="001E69D4">
        <w:t>Efendić</w:t>
      </w:r>
      <w:proofErr w:type="spellEnd"/>
      <w:r w:rsidRPr="001E69D4">
        <w:t>, 2004). This means</w:t>
      </w:r>
      <w:r>
        <w:t xml:space="preserve"> that</w:t>
      </w:r>
      <w:r w:rsidRPr="001E69D4">
        <w:t xml:space="preserve"> the countries are supposed to implement a sophisticated administrative system to issue certificates of origin and to verify</w:t>
      </w:r>
      <w:r>
        <w:t xml:space="preserve"> them</w:t>
      </w:r>
      <w:r w:rsidRPr="001E69D4">
        <w:t xml:space="preserve">. According to </w:t>
      </w:r>
      <w:proofErr w:type="spellStart"/>
      <w:r w:rsidRPr="001E69D4">
        <w:t>Hadžiomeragić</w:t>
      </w:r>
      <w:proofErr w:type="spellEnd"/>
      <w:r w:rsidRPr="001E69D4">
        <w:t xml:space="preserve"> et al. (2007, p</w:t>
      </w:r>
      <w:r>
        <w:t>.</w:t>
      </w:r>
      <w:r w:rsidRPr="001E69D4">
        <w:t xml:space="preserve"> 30)</w:t>
      </w:r>
      <w:r>
        <w:t>,</w:t>
      </w:r>
      <w:r w:rsidR="009C4986">
        <w:t xml:space="preserve"> “</w:t>
      </w:r>
      <w:r w:rsidRPr="001E69D4">
        <w:t>Experts added that</w:t>
      </w:r>
      <w:r>
        <w:t>,</w:t>
      </w:r>
      <w:r w:rsidRPr="001E69D4">
        <w:t xml:space="preserve"> without diagonal </w:t>
      </w:r>
      <w:proofErr w:type="spellStart"/>
      <w:r w:rsidRPr="001E69D4">
        <w:t>cumulation</w:t>
      </w:r>
      <w:proofErr w:type="spellEnd"/>
      <w:r w:rsidRPr="001E69D4">
        <w:t xml:space="preserve"> of origin, at least among the other SEE countries, fewer BH products can qualify as of BH origin. Therefore, origin requirements in the present form create </w:t>
      </w:r>
      <w:r>
        <w:t xml:space="preserve">a </w:t>
      </w:r>
      <w:r w:rsidRPr="001E69D4">
        <w:t>significant barrier for exports (CEFTA should improve the situation)…</w:t>
      </w:r>
      <w:r>
        <w:t>.</w:t>
      </w:r>
      <w:r w:rsidR="009C4986">
        <w:t>”</w:t>
      </w:r>
      <w:r w:rsidRPr="001E69D4">
        <w:t xml:space="preserve"> However, implementing European standards is</w:t>
      </w:r>
      <w:r>
        <w:t>,</w:t>
      </w:r>
      <w:r w:rsidRPr="001E69D4">
        <w:t xml:space="preserve"> in several </w:t>
      </w:r>
      <w:r>
        <w:t>aspects,</w:t>
      </w:r>
      <w:r w:rsidRPr="001E69D4">
        <w:t xml:space="preserve"> beyond the administrative capacity of many countries, including BH.</w:t>
      </w:r>
    </w:p>
    <w:p w:rsidR="00162CD2" w:rsidRPr="001E69D4" w:rsidRDefault="00162CD2">
      <w:r w:rsidRPr="001E69D4">
        <w:t xml:space="preserve">Additionally, each business export/import entity has to be registered with the Ministry of Foreign Trade and within the </w:t>
      </w:r>
      <w:r>
        <w:t>C</w:t>
      </w:r>
      <w:r w:rsidRPr="001E69D4">
        <w:t xml:space="preserve">ourt of Entity where it is located and/or where goods are cleared. Consequently, </w:t>
      </w:r>
      <w:r>
        <w:t xml:space="preserve">the </w:t>
      </w:r>
      <w:r w:rsidRPr="001E69D4">
        <w:t xml:space="preserve">procedure </w:t>
      </w:r>
      <w:r>
        <w:t xml:space="preserve">for </w:t>
      </w:r>
      <w:r w:rsidRPr="001E69D4">
        <w:t>registration is long</w:t>
      </w:r>
      <w:r>
        <w:t>. Efforts are underway to simplify and shorte</w:t>
      </w:r>
      <w:r w:rsidR="00D80479">
        <w:t>n</w:t>
      </w:r>
      <w:r>
        <w:t xml:space="preserve"> the process</w:t>
      </w:r>
      <w:r w:rsidRPr="001E69D4">
        <w:t xml:space="preserve"> </w:t>
      </w:r>
      <w:r>
        <w:t xml:space="preserve">by using a common </w:t>
      </w:r>
      <w:r w:rsidRPr="001E69D4">
        <w:t xml:space="preserve">registration </w:t>
      </w:r>
      <w:r>
        <w:t>system</w:t>
      </w:r>
      <w:r w:rsidRPr="001E69D4">
        <w:t>.</w:t>
      </w:r>
    </w:p>
    <w:p w:rsidR="00162CD2" w:rsidRPr="001E69D4" w:rsidRDefault="00162CD2">
      <w:r>
        <w:t xml:space="preserve">Clearly, </w:t>
      </w:r>
      <w:r w:rsidRPr="001E69D4">
        <w:t xml:space="preserve">SPS and TBT measures are fields where </w:t>
      </w:r>
      <w:r>
        <w:t xml:space="preserve">the </w:t>
      </w:r>
      <w:r w:rsidRPr="001E69D4">
        <w:t>differ</w:t>
      </w:r>
      <w:r>
        <w:t>ing authorities</w:t>
      </w:r>
      <w:r w:rsidRPr="001E69D4">
        <w:t xml:space="preserve"> between the State and the Entities</w:t>
      </w:r>
      <w:r>
        <w:t>,</w:t>
      </w:r>
      <w:r w:rsidRPr="001E69D4">
        <w:t xml:space="preserve"> </w:t>
      </w:r>
      <w:r>
        <w:t>combined with</w:t>
      </w:r>
      <w:r w:rsidRPr="001E69D4">
        <w:t xml:space="preserve"> an outdated approach based on compulsory standards</w:t>
      </w:r>
      <w:r>
        <w:t>,</w:t>
      </w:r>
      <w:r w:rsidRPr="001E69D4">
        <w:t xml:space="preserve"> </w:t>
      </w:r>
      <w:r>
        <w:t xml:space="preserve">have </w:t>
      </w:r>
      <w:r w:rsidRPr="001E69D4">
        <w:t>create</w:t>
      </w:r>
      <w:r>
        <w:t>d</w:t>
      </w:r>
      <w:r w:rsidRPr="001E69D4">
        <w:t xml:space="preserve"> a serious obstacle to quick integration of BH into the modern international trading system (</w:t>
      </w:r>
      <w:proofErr w:type="spellStart"/>
      <w:r w:rsidRPr="001E69D4">
        <w:t>Efendić</w:t>
      </w:r>
      <w:proofErr w:type="spellEnd"/>
      <w:r w:rsidRPr="001E69D4">
        <w:t xml:space="preserve">, 2004). The institutions established at the state level (Veterinary Office, Agency for </w:t>
      </w:r>
      <w:r>
        <w:t>P</w:t>
      </w:r>
      <w:r w:rsidRPr="001E69D4">
        <w:t xml:space="preserve">lant </w:t>
      </w:r>
      <w:r>
        <w:t>H</w:t>
      </w:r>
      <w:r w:rsidRPr="001E69D4">
        <w:t xml:space="preserve">ealth </w:t>
      </w:r>
      <w:r>
        <w:t>P</w:t>
      </w:r>
      <w:r w:rsidRPr="001E69D4">
        <w:t>rotection</w:t>
      </w:r>
      <w:r>
        <w:t>,</w:t>
      </w:r>
      <w:r w:rsidRPr="001E69D4">
        <w:t xml:space="preserve"> and Food Agency) are not capable of providing the necessary services to facilitate imports of food and foodstuffs while </w:t>
      </w:r>
      <w:r>
        <w:t>e</w:t>
      </w:r>
      <w:r w:rsidRPr="001E69D4">
        <w:t>nsuring consumer protection.</w:t>
      </w:r>
    </w:p>
    <w:p w:rsidR="00162CD2" w:rsidRPr="001E69D4" w:rsidRDefault="00162CD2">
      <w:r w:rsidRPr="001E69D4">
        <w:t>BH</w:t>
      </w:r>
      <w:r>
        <w:t>’s</w:t>
      </w:r>
      <w:r w:rsidRPr="001E69D4">
        <w:t xml:space="preserve"> cumbersome governing structure hamper</w:t>
      </w:r>
      <w:r>
        <w:t>s</w:t>
      </w:r>
      <w:r w:rsidRPr="001E69D4">
        <w:t xml:space="preserve"> </w:t>
      </w:r>
      <w:r>
        <w:t>customs control</w:t>
      </w:r>
      <w:r w:rsidRPr="001E69D4">
        <w:t xml:space="preserve">, although </w:t>
      </w:r>
      <w:r>
        <w:t>many</w:t>
      </w:r>
      <w:r w:rsidRPr="001E69D4">
        <w:t xml:space="preserve"> improvements have been </w:t>
      </w:r>
      <w:r>
        <w:t>made</w:t>
      </w:r>
      <w:r w:rsidRPr="001E69D4">
        <w:t xml:space="preserve"> in recent years. A further impediment to trade is the long waiting times </w:t>
      </w:r>
      <w:r>
        <w:t>at</w:t>
      </w:r>
      <w:r w:rsidRPr="001E69D4">
        <w:t xml:space="preserve"> border crossings. </w:t>
      </w:r>
      <w:r>
        <w:t>O</w:t>
      </w:r>
      <w:r w:rsidRPr="001E69D4">
        <w:t>n average</w:t>
      </w:r>
      <w:r>
        <w:t xml:space="preserve">, </w:t>
      </w:r>
      <w:r w:rsidRPr="001E69D4">
        <w:t>time for export is 16 days</w:t>
      </w:r>
      <w:r>
        <w:t>,</w:t>
      </w:r>
      <w:r w:rsidRPr="001E69D4">
        <w:t xml:space="preserve"> with costs </w:t>
      </w:r>
      <w:r>
        <w:t>amounting to U</w:t>
      </w:r>
      <w:r w:rsidR="00C1445C">
        <w:t>S</w:t>
      </w:r>
      <w:r w:rsidRPr="001E69D4">
        <w:t>$1</w:t>
      </w:r>
      <w:r>
        <w:t>,</w:t>
      </w:r>
      <w:r w:rsidRPr="001E69D4">
        <w:t>125 per container</w:t>
      </w:r>
      <w:r>
        <w:t xml:space="preserve">. By comparison, </w:t>
      </w:r>
      <w:r w:rsidRPr="001E69D4">
        <w:t xml:space="preserve">in </w:t>
      </w:r>
      <w:r>
        <w:t xml:space="preserve">the </w:t>
      </w:r>
      <w:r w:rsidRPr="001E69D4">
        <w:t xml:space="preserve">EU </w:t>
      </w:r>
      <w:r>
        <w:t>the average wait</w:t>
      </w:r>
      <w:r w:rsidRPr="001E69D4">
        <w:t xml:space="preserve"> is 12 days</w:t>
      </w:r>
      <w:r>
        <w:t>,</w:t>
      </w:r>
      <w:r w:rsidRPr="001E69D4">
        <w:t xml:space="preserve"> with costs of $1</w:t>
      </w:r>
      <w:r>
        <w:t>,</w:t>
      </w:r>
      <w:r w:rsidRPr="001E69D4">
        <w:t>039</w:t>
      </w:r>
      <w:r>
        <w:t xml:space="preserve"> per container</w:t>
      </w:r>
      <w:r w:rsidRPr="001E69D4">
        <w:t xml:space="preserve">. For perishable food items this </w:t>
      </w:r>
      <w:r>
        <w:t xml:space="preserve">longer delay </w:t>
      </w:r>
      <w:r w:rsidRPr="001E69D4">
        <w:t>caus</w:t>
      </w:r>
      <w:r>
        <w:t>es</w:t>
      </w:r>
      <w:r w:rsidRPr="001E69D4">
        <w:t xml:space="preserve"> difficulties. </w:t>
      </w:r>
      <w:r>
        <w:t>Also,</w:t>
      </w:r>
      <w:r w:rsidRPr="001E69D4">
        <w:t xml:space="preserve"> foreign transporters need a CEMT</w:t>
      </w:r>
      <w:r>
        <w:rPr>
          <w:rStyle w:val="FootnoteReference"/>
        </w:rPr>
        <w:footnoteReference w:id="8"/>
      </w:r>
      <w:r w:rsidRPr="001E69D4">
        <w:t xml:space="preserve"> certificate</w:t>
      </w:r>
      <w:r>
        <w:t>,</w:t>
      </w:r>
      <w:r w:rsidRPr="001E69D4">
        <w:t xml:space="preserve"> which is not available at the border. </w:t>
      </w:r>
      <w:r>
        <w:t>(T</w:t>
      </w:r>
      <w:r w:rsidRPr="001E69D4">
        <w:t>ransporters from countries with which BH has bilateral agreements</w:t>
      </w:r>
      <w:r>
        <w:t xml:space="preserve"> are exempt from this rule</w:t>
      </w:r>
      <w:r w:rsidRPr="001E69D4">
        <w:t>.</w:t>
      </w:r>
      <w:r>
        <w:t>)</w:t>
      </w:r>
      <w:r w:rsidRPr="001E69D4">
        <w:t xml:space="preserve"> </w:t>
      </w:r>
    </w:p>
    <w:p w:rsidR="00162CD2" w:rsidRPr="00D8541B" w:rsidRDefault="00CE0B87" w:rsidP="00E92F91">
      <w:pPr>
        <w:pStyle w:val="Heading2"/>
      </w:pPr>
      <w:r>
        <w:t>9</w:t>
      </w:r>
      <w:r w:rsidR="00162CD2" w:rsidRPr="00D8541B">
        <w:t>.</w:t>
      </w:r>
      <w:r w:rsidR="006E5332">
        <w:t>3</w:t>
      </w:r>
      <w:r w:rsidR="00162CD2" w:rsidRPr="00D8541B">
        <w:t>.3</w:t>
      </w:r>
      <w:r w:rsidR="00162CD2" w:rsidRPr="00D8541B">
        <w:tab/>
        <w:t>Barriers to exports</w:t>
      </w:r>
    </w:p>
    <w:p w:rsidR="00162CD2" w:rsidRDefault="00162CD2">
      <w:pPr>
        <w:pStyle w:val="StyleBodyTextAfter10pt"/>
        <w:spacing w:line="276" w:lineRule="auto"/>
        <w:rPr>
          <w:lang w:val="en-GB"/>
        </w:rPr>
      </w:pPr>
      <w:r w:rsidRPr="001E69D4">
        <w:rPr>
          <w:lang w:val="en-GB"/>
        </w:rPr>
        <w:t>Bosnia and Herzegovina enjoys the autonomous trade measures granted unilaterally by the European Union, BH’s major trading partner. These measures, expanded in the interim agreements on trade and trade-related matters, ensure free access to the EU market for almost all products. The only exceptions are the tariff</w:t>
      </w:r>
      <w:r w:rsidR="00E4059A">
        <w:rPr>
          <w:lang w:val="en-GB"/>
        </w:rPr>
        <w:t xml:space="preserve"> </w:t>
      </w:r>
      <w:r w:rsidRPr="001E69D4">
        <w:rPr>
          <w:lang w:val="en-GB"/>
        </w:rPr>
        <w:t>rate quotas for wine, some fisheries products</w:t>
      </w:r>
      <w:r>
        <w:rPr>
          <w:lang w:val="en-GB"/>
        </w:rPr>
        <w:t>,</w:t>
      </w:r>
      <w:r w:rsidRPr="001E69D4">
        <w:rPr>
          <w:lang w:val="en-GB"/>
        </w:rPr>
        <w:t xml:space="preserve"> and sugar. For baby beef</w:t>
      </w:r>
      <w:r>
        <w:rPr>
          <w:lang w:val="en-GB"/>
        </w:rPr>
        <w:t>,</w:t>
      </w:r>
      <w:r w:rsidRPr="001E69D4">
        <w:rPr>
          <w:lang w:val="en-GB"/>
        </w:rPr>
        <w:t xml:space="preserve"> only the specific element of the import duty has been eliminated, whilst the ad valorem element</w:t>
      </w:r>
      <w:r w:rsidR="00C1445C">
        <w:rPr>
          <w:lang w:val="en-GB"/>
        </w:rPr>
        <w:t>,</w:t>
      </w:r>
      <w:r w:rsidRPr="001E69D4">
        <w:rPr>
          <w:lang w:val="en-GB"/>
        </w:rPr>
        <w:t xml:space="preserve"> set at 20 per cent</w:t>
      </w:r>
      <w:r>
        <w:rPr>
          <w:lang w:val="en-GB"/>
        </w:rPr>
        <w:t>,</w:t>
      </w:r>
      <w:r w:rsidRPr="001E69D4">
        <w:rPr>
          <w:lang w:val="en-GB"/>
        </w:rPr>
        <w:t xml:space="preserve"> continues to apply. EU exports to BH have been granted trade preferences. BH also </w:t>
      </w:r>
      <w:r>
        <w:rPr>
          <w:lang w:val="en-GB"/>
        </w:rPr>
        <w:t xml:space="preserve">has </w:t>
      </w:r>
      <w:r w:rsidRPr="001E69D4">
        <w:rPr>
          <w:lang w:val="en-GB"/>
        </w:rPr>
        <w:t xml:space="preserve">signed </w:t>
      </w:r>
      <w:r>
        <w:rPr>
          <w:lang w:val="en-GB"/>
        </w:rPr>
        <w:t xml:space="preserve">bilateral </w:t>
      </w:r>
      <w:r w:rsidRPr="001E69D4">
        <w:rPr>
          <w:lang w:val="en-GB"/>
        </w:rPr>
        <w:t xml:space="preserve">free trade agreements with all countries in the region. That means BH enjoys preferential status in all major export markets. </w:t>
      </w:r>
    </w:p>
    <w:p w:rsidR="00162CD2" w:rsidRPr="001E69D4" w:rsidRDefault="00162CD2">
      <w:pPr>
        <w:pStyle w:val="StyleBodyTextAfter10pt"/>
        <w:spacing w:line="276" w:lineRule="auto"/>
        <w:rPr>
          <w:lang w:val="en-GB"/>
        </w:rPr>
      </w:pPr>
      <w:r w:rsidRPr="001E69D4">
        <w:rPr>
          <w:lang w:val="en-GB"/>
        </w:rPr>
        <w:t>Nonetheless, BH</w:t>
      </w:r>
      <w:r>
        <w:rPr>
          <w:lang w:val="en-GB"/>
        </w:rPr>
        <w:t>’s</w:t>
      </w:r>
      <w:r w:rsidRPr="001E69D4">
        <w:rPr>
          <w:lang w:val="en-GB"/>
        </w:rPr>
        <w:t xml:space="preserve"> poor trade performance </w:t>
      </w:r>
      <w:r>
        <w:rPr>
          <w:lang w:val="en-GB"/>
        </w:rPr>
        <w:t>reflects</w:t>
      </w:r>
      <w:r w:rsidRPr="001E69D4">
        <w:rPr>
          <w:lang w:val="en-GB"/>
        </w:rPr>
        <w:t xml:space="preserve"> an inability to benefit fully from such </w:t>
      </w:r>
      <w:r>
        <w:rPr>
          <w:lang w:val="en-GB"/>
        </w:rPr>
        <w:t xml:space="preserve">a </w:t>
      </w:r>
      <w:r w:rsidRPr="001E69D4">
        <w:rPr>
          <w:lang w:val="en-GB"/>
        </w:rPr>
        <w:t xml:space="preserve">situation. </w:t>
      </w:r>
      <w:r>
        <w:rPr>
          <w:lang w:val="en-GB"/>
        </w:rPr>
        <w:t xml:space="preserve">The weakness of BH’s </w:t>
      </w:r>
      <w:r w:rsidRPr="001E69D4">
        <w:rPr>
          <w:lang w:val="en-GB"/>
        </w:rPr>
        <w:t>administrative and managerial capacit</w:t>
      </w:r>
      <w:r>
        <w:rPr>
          <w:lang w:val="en-GB"/>
        </w:rPr>
        <w:t>y</w:t>
      </w:r>
      <w:r w:rsidRPr="001E69D4">
        <w:rPr>
          <w:lang w:val="en-GB"/>
        </w:rPr>
        <w:t xml:space="preserve"> to deal with food safety and quality issues as well as with the rules of origin </w:t>
      </w:r>
      <w:r>
        <w:rPr>
          <w:lang w:val="en-GB"/>
        </w:rPr>
        <w:t>is a</w:t>
      </w:r>
      <w:r w:rsidRPr="001E69D4">
        <w:rPr>
          <w:lang w:val="en-GB"/>
        </w:rPr>
        <w:t xml:space="preserve"> major obstacle to an increase in agricultural BH exports. The largest barrier </w:t>
      </w:r>
      <w:r>
        <w:rPr>
          <w:lang w:val="en-GB"/>
        </w:rPr>
        <w:t>to export</w:t>
      </w:r>
      <w:r w:rsidR="00365502">
        <w:rPr>
          <w:lang w:val="en-GB"/>
        </w:rPr>
        <w:t>s</w:t>
      </w:r>
      <w:r>
        <w:rPr>
          <w:lang w:val="en-GB"/>
        </w:rPr>
        <w:t xml:space="preserve"> of</w:t>
      </w:r>
      <w:r w:rsidRPr="001E69D4">
        <w:rPr>
          <w:lang w:val="en-GB"/>
        </w:rPr>
        <w:t xml:space="preserve"> BH animal product</w:t>
      </w:r>
      <w:r>
        <w:rPr>
          <w:lang w:val="en-GB"/>
        </w:rPr>
        <w:t>s</w:t>
      </w:r>
      <w:r w:rsidRPr="001E69D4">
        <w:rPr>
          <w:lang w:val="en-GB"/>
        </w:rPr>
        <w:t xml:space="preserve"> to the EU is the inability of potential exporters to meet the SPS requirements (W</w:t>
      </w:r>
      <w:r w:rsidR="00C1445C">
        <w:rPr>
          <w:lang w:val="en-GB"/>
        </w:rPr>
        <w:t xml:space="preserve">orld </w:t>
      </w:r>
      <w:r w:rsidRPr="001E69D4">
        <w:rPr>
          <w:lang w:val="en-GB"/>
        </w:rPr>
        <w:t>B</w:t>
      </w:r>
      <w:r w:rsidR="00C1445C">
        <w:rPr>
          <w:lang w:val="en-GB"/>
        </w:rPr>
        <w:t>ank</w:t>
      </w:r>
      <w:r w:rsidRPr="001E69D4">
        <w:rPr>
          <w:lang w:val="en-GB"/>
        </w:rPr>
        <w:t>, 2005</w:t>
      </w:r>
      <w:r w:rsidR="00C1445C">
        <w:rPr>
          <w:lang w:val="en-GB"/>
        </w:rPr>
        <w:t xml:space="preserve">) </w:t>
      </w:r>
      <w:r>
        <w:rPr>
          <w:lang w:val="en-GB"/>
        </w:rPr>
        <w:t xml:space="preserve">or, more precisely, to provide an </w:t>
      </w:r>
      <w:r w:rsidRPr="001E69D4">
        <w:rPr>
          <w:lang w:val="en-GB"/>
        </w:rPr>
        <w:t>efficien</w:t>
      </w:r>
      <w:r>
        <w:rPr>
          <w:lang w:val="en-GB"/>
        </w:rPr>
        <w:t>t</w:t>
      </w:r>
      <w:r w:rsidRPr="001E69D4">
        <w:rPr>
          <w:lang w:val="en-GB"/>
        </w:rPr>
        <w:t xml:space="preserve"> institutional framework for food</w:t>
      </w:r>
      <w:r w:rsidR="00815365">
        <w:rPr>
          <w:lang w:val="en-GB"/>
        </w:rPr>
        <w:t xml:space="preserve"> </w:t>
      </w:r>
      <w:r w:rsidRPr="001E69D4">
        <w:rPr>
          <w:lang w:val="en-GB"/>
        </w:rPr>
        <w:t>safety and quality assurance</w:t>
      </w:r>
      <w:r>
        <w:rPr>
          <w:lang w:val="en-GB"/>
        </w:rPr>
        <w:t>.</w:t>
      </w:r>
    </w:p>
    <w:p w:rsidR="00162CD2" w:rsidRPr="001E69D4" w:rsidRDefault="00162CD2">
      <w:pPr>
        <w:pStyle w:val="StyleBodyTextAfter10pt"/>
        <w:spacing w:line="276" w:lineRule="auto"/>
        <w:rPr>
          <w:lang w:val="en-GB"/>
        </w:rPr>
      </w:pPr>
      <w:r w:rsidRPr="001E69D4">
        <w:rPr>
          <w:lang w:val="en-GB"/>
        </w:rPr>
        <w:t>In addition, the lack of defined administrative structure and trained people constrain the efficient operation of international transport. The major part of international shipment has to be done by foreign companies because the TIR</w:t>
      </w:r>
      <w:r w:rsidR="00C1445C">
        <w:rPr>
          <w:rStyle w:val="FootnoteReference"/>
          <w:lang w:val="en-GB"/>
        </w:rPr>
        <w:footnoteReference w:id="9"/>
      </w:r>
      <w:r w:rsidRPr="001E69D4">
        <w:rPr>
          <w:lang w:val="en-GB"/>
        </w:rPr>
        <w:t xml:space="preserve"> carnet system of international insurance is not fully operational. Consequently, the transaction costs of BH exporters are high, undermining </w:t>
      </w:r>
      <w:r>
        <w:rPr>
          <w:lang w:val="en-GB"/>
        </w:rPr>
        <w:t xml:space="preserve">the </w:t>
      </w:r>
      <w:r w:rsidRPr="001E69D4">
        <w:rPr>
          <w:lang w:val="en-GB"/>
        </w:rPr>
        <w:t>competitiveness of BH goods.</w:t>
      </w:r>
    </w:p>
    <w:p w:rsidR="00162CD2" w:rsidRPr="001E69D4" w:rsidRDefault="00162CD2">
      <w:pPr>
        <w:pStyle w:val="StyleBodyTextAfter10pt"/>
        <w:spacing w:line="276" w:lineRule="auto"/>
        <w:rPr>
          <w:lang w:val="en-GB"/>
        </w:rPr>
      </w:pPr>
      <w:r>
        <w:rPr>
          <w:lang w:val="en-GB"/>
        </w:rPr>
        <w:t>Additional</w:t>
      </w:r>
      <w:r w:rsidRPr="001E69D4">
        <w:rPr>
          <w:lang w:val="en-GB"/>
        </w:rPr>
        <w:t xml:space="preserve"> barriers to BH exports</w:t>
      </w:r>
      <w:r>
        <w:rPr>
          <w:lang w:val="en-GB"/>
        </w:rPr>
        <w:t xml:space="preserve"> include</w:t>
      </w:r>
      <w:r w:rsidRPr="001E69D4">
        <w:rPr>
          <w:lang w:val="en-GB"/>
        </w:rPr>
        <w:t>: (</w:t>
      </w:r>
      <w:proofErr w:type="spellStart"/>
      <w:r w:rsidRPr="001E69D4">
        <w:rPr>
          <w:lang w:val="en-GB"/>
        </w:rPr>
        <w:t>i</w:t>
      </w:r>
      <w:proofErr w:type="spellEnd"/>
      <w:r w:rsidRPr="001E69D4">
        <w:rPr>
          <w:lang w:val="en-GB"/>
        </w:rPr>
        <w:t>) the significant reduction of marketed agricultural production in BH</w:t>
      </w:r>
      <w:r>
        <w:rPr>
          <w:lang w:val="en-GB"/>
        </w:rPr>
        <w:t xml:space="preserve"> due to internal conflict in the 1990s</w:t>
      </w:r>
      <w:r w:rsidRPr="001E69D4">
        <w:rPr>
          <w:lang w:val="en-GB"/>
        </w:rPr>
        <w:t xml:space="preserve">; (ii) the </w:t>
      </w:r>
      <w:r>
        <w:rPr>
          <w:lang w:val="en-GB"/>
        </w:rPr>
        <w:t>paucity</w:t>
      </w:r>
      <w:r w:rsidRPr="001E69D4">
        <w:rPr>
          <w:lang w:val="en-GB"/>
        </w:rPr>
        <w:t xml:space="preserve"> of stable trade links between exporters from the region and importers in the EU; </w:t>
      </w:r>
      <w:r>
        <w:rPr>
          <w:lang w:val="en-GB"/>
        </w:rPr>
        <w:t xml:space="preserve">and </w:t>
      </w:r>
      <w:r w:rsidRPr="001E69D4">
        <w:rPr>
          <w:lang w:val="en-GB"/>
        </w:rPr>
        <w:t xml:space="preserve">(iii) </w:t>
      </w:r>
      <w:r>
        <w:rPr>
          <w:lang w:val="en-GB"/>
        </w:rPr>
        <w:t xml:space="preserve">not enough </w:t>
      </w:r>
      <w:r w:rsidRPr="001E69D4">
        <w:rPr>
          <w:lang w:val="en-GB"/>
        </w:rPr>
        <w:t>produce of homogeneous quality to take advantage of economies of scale (</w:t>
      </w:r>
      <w:proofErr w:type="spellStart"/>
      <w:r w:rsidRPr="001E69D4">
        <w:rPr>
          <w:lang w:val="en-GB"/>
        </w:rPr>
        <w:t>Bajaramović</w:t>
      </w:r>
      <w:proofErr w:type="spellEnd"/>
      <w:r w:rsidRPr="001E69D4">
        <w:rPr>
          <w:lang w:val="en-GB"/>
        </w:rPr>
        <w:t xml:space="preserve"> et al., 200</w:t>
      </w:r>
      <w:r w:rsidR="00365502">
        <w:rPr>
          <w:lang w:val="en-GB"/>
        </w:rPr>
        <w:t>4</w:t>
      </w:r>
      <w:r w:rsidRPr="001E69D4">
        <w:rPr>
          <w:lang w:val="en-GB"/>
        </w:rPr>
        <w:t>).</w:t>
      </w:r>
    </w:p>
    <w:p w:rsidR="00162CD2" w:rsidRPr="001E69D4" w:rsidRDefault="00CE0B87" w:rsidP="00E92F91">
      <w:pPr>
        <w:pStyle w:val="Heading2"/>
      </w:pPr>
      <w:r>
        <w:t>9</w:t>
      </w:r>
      <w:r w:rsidR="00162CD2">
        <w:t>.</w:t>
      </w:r>
      <w:r w:rsidR="006E5332">
        <w:t>3</w:t>
      </w:r>
      <w:r w:rsidR="00162CD2">
        <w:t>.4</w:t>
      </w:r>
      <w:r w:rsidR="00162CD2">
        <w:tab/>
      </w:r>
      <w:r w:rsidR="00162CD2" w:rsidRPr="001E69D4">
        <w:t>Domestic support</w:t>
      </w:r>
    </w:p>
    <w:p w:rsidR="00162CD2" w:rsidRDefault="00162CD2">
      <w:pPr>
        <w:pStyle w:val="StyleBodyTextAfter10pt"/>
        <w:spacing w:line="276" w:lineRule="auto"/>
        <w:rPr>
          <w:lang w:val="en-GB"/>
        </w:rPr>
      </w:pPr>
      <w:r w:rsidRPr="001E69D4">
        <w:rPr>
          <w:lang w:val="en-GB"/>
        </w:rPr>
        <w:t>Domestic support to agriculture is very low in BH</w:t>
      </w:r>
      <w:r w:rsidR="00CE0B87">
        <w:rPr>
          <w:lang w:val="en-GB"/>
        </w:rPr>
        <w:t xml:space="preserve"> (figure 9</w:t>
      </w:r>
      <w:r w:rsidR="005216F7">
        <w:rPr>
          <w:lang w:val="en-GB"/>
        </w:rPr>
        <w:t>.4)</w:t>
      </w:r>
      <w:r w:rsidRPr="001E69D4">
        <w:rPr>
          <w:lang w:val="en-GB"/>
        </w:rPr>
        <w:t xml:space="preserve">. According to </w:t>
      </w:r>
      <w:r>
        <w:rPr>
          <w:lang w:val="en-GB"/>
        </w:rPr>
        <w:t xml:space="preserve">the </w:t>
      </w:r>
      <w:r w:rsidRPr="001E69D4">
        <w:rPr>
          <w:lang w:val="en-GB"/>
        </w:rPr>
        <w:t xml:space="preserve">Ministry of Foreign </w:t>
      </w:r>
      <w:r>
        <w:rPr>
          <w:lang w:val="en-GB"/>
        </w:rPr>
        <w:t>T</w:t>
      </w:r>
      <w:r w:rsidRPr="001E69D4">
        <w:rPr>
          <w:lang w:val="en-GB"/>
        </w:rPr>
        <w:t xml:space="preserve">rade and </w:t>
      </w:r>
      <w:r>
        <w:rPr>
          <w:lang w:val="en-GB"/>
        </w:rPr>
        <w:t>E</w:t>
      </w:r>
      <w:r w:rsidRPr="001E69D4">
        <w:rPr>
          <w:lang w:val="en-GB"/>
        </w:rPr>
        <w:t xml:space="preserve">conomic </w:t>
      </w:r>
      <w:r>
        <w:rPr>
          <w:lang w:val="en-GB"/>
        </w:rPr>
        <w:t>R</w:t>
      </w:r>
      <w:r w:rsidRPr="001E69D4">
        <w:rPr>
          <w:lang w:val="en-GB"/>
        </w:rPr>
        <w:t>elations (MOFTER)</w:t>
      </w:r>
      <w:r>
        <w:rPr>
          <w:lang w:val="en-GB"/>
        </w:rPr>
        <w:t>,</w:t>
      </w:r>
      <w:r w:rsidRPr="001E69D4">
        <w:rPr>
          <w:lang w:val="en-GB"/>
        </w:rPr>
        <w:t xml:space="preserve"> only three commodities</w:t>
      </w:r>
      <w:r w:rsidR="0073758D">
        <w:rPr>
          <w:lang w:val="en-GB"/>
        </w:rPr>
        <w:t xml:space="preserve"> </w:t>
      </w:r>
      <w:r w:rsidRPr="001E69D4">
        <w:rPr>
          <w:lang w:val="en-GB"/>
        </w:rPr>
        <w:t xml:space="preserve">receive product specific support in excess of the WTO </w:t>
      </w:r>
      <w:r w:rsidRPr="00D65E73">
        <w:rPr>
          <w:lang w:val="en-GB"/>
        </w:rPr>
        <w:t xml:space="preserve">de </w:t>
      </w:r>
      <w:proofErr w:type="spellStart"/>
      <w:r w:rsidRPr="00D65E73">
        <w:rPr>
          <w:lang w:val="en-GB"/>
        </w:rPr>
        <w:t>minim</w:t>
      </w:r>
      <w:r w:rsidR="00E806D1">
        <w:rPr>
          <w:lang w:val="en-GB"/>
        </w:rPr>
        <w:t>i</w:t>
      </w:r>
      <w:r w:rsidRPr="00D65E73">
        <w:rPr>
          <w:lang w:val="en-GB"/>
        </w:rPr>
        <w:t>s</w:t>
      </w:r>
      <w:proofErr w:type="spellEnd"/>
      <w:r w:rsidRPr="001E69D4">
        <w:rPr>
          <w:i/>
          <w:lang w:val="en-GB"/>
        </w:rPr>
        <w:t xml:space="preserve"> </w:t>
      </w:r>
      <w:r w:rsidRPr="001E69D4">
        <w:rPr>
          <w:lang w:val="en-GB"/>
        </w:rPr>
        <w:t>limit of 5 per cent of the value of production.</w:t>
      </w:r>
      <w:r>
        <w:rPr>
          <w:rStyle w:val="FootnoteReference"/>
          <w:lang w:val="en-GB"/>
        </w:rPr>
        <w:footnoteReference w:id="10"/>
      </w:r>
      <w:r w:rsidRPr="001E69D4">
        <w:rPr>
          <w:lang w:val="en-GB"/>
        </w:rPr>
        <w:t xml:space="preserve"> Support under th</w:t>
      </w:r>
      <w:r>
        <w:rPr>
          <w:lang w:val="en-GB"/>
        </w:rPr>
        <w:t>is</w:t>
      </w:r>
      <w:r w:rsidRPr="001E69D4">
        <w:rPr>
          <w:lang w:val="en-GB"/>
        </w:rPr>
        <w:t xml:space="preserve"> limit is exempt from reduction commitments</w:t>
      </w:r>
      <w:r>
        <w:rPr>
          <w:lang w:val="en-GB"/>
        </w:rPr>
        <w:t>.</w:t>
      </w:r>
    </w:p>
    <w:p w:rsidR="009A3E6B" w:rsidRDefault="009A3E6B" w:rsidP="009A3E6B">
      <w:pPr>
        <w:pStyle w:val="Tabletitle"/>
      </w:pPr>
      <w:r w:rsidRPr="00922B8A">
        <w:t>Figure 9.</w:t>
      </w:r>
      <w:r>
        <w:t>4</w:t>
      </w:r>
      <w:r w:rsidRPr="00922B8A">
        <w:t>:</w:t>
      </w:r>
      <w:r w:rsidRPr="00922B8A">
        <w:tab/>
      </w:r>
      <w:r>
        <w:t xml:space="preserve">Domestic support to agriculture </w:t>
      </w:r>
      <w:r w:rsidRPr="00922B8A">
        <w:t>(in € million)</w:t>
      </w:r>
    </w:p>
    <w:p w:rsidR="00C44E33" w:rsidRPr="00C44E33" w:rsidRDefault="00C44E33" w:rsidP="00E37DDB">
      <w:pPr>
        <w:ind w:firstLine="0"/>
        <w:rPr>
          <w:lang w:eastAsia="en-US"/>
        </w:rPr>
      </w:pPr>
      <w:r w:rsidRPr="00C44E33">
        <w:rPr>
          <w:noProof/>
        </w:rPr>
        <w:drawing>
          <wp:inline distT="0" distB="0" distL="0" distR="0">
            <wp:extent cx="4572000" cy="2743200"/>
            <wp:effectExtent l="19050" t="0" r="1905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3758D" w:rsidRDefault="0073758D" w:rsidP="0073758D">
      <w:pPr>
        <w:pStyle w:val="BodyText"/>
        <w:spacing w:line="276" w:lineRule="auto"/>
        <w:rPr>
          <w:lang w:val="en-GB"/>
        </w:rPr>
      </w:pPr>
      <w:r w:rsidRPr="001E69D4">
        <w:rPr>
          <w:lang w:val="en-GB"/>
        </w:rPr>
        <w:t xml:space="preserve">In summary, it appears that BH has one of the lowest levels of tariffs on its agricultural products in the region and minimal domestic support. Through </w:t>
      </w:r>
      <w:r>
        <w:rPr>
          <w:lang w:val="en-GB"/>
        </w:rPr>
        <w:t>its</w:t>
      </w:r>
      <w:r w:rsidRPr="001E69D4">
        <w:rPr>
          <w:lang w:val="en-GB"/>
        </w:rPr>
        <w:t xml:space="preserve"> various bilateral and multilateral trade agreements</w:t>
      </w:r>
      <w:r>
        <w:rPr>
          <w:lang w:val="en-GB"/>
        </w:rPr>
        <w:t>,</w:t>
      </w:r>
      <w:r w:rsidRPr="001E69D4">
        <w:rPr>
          <w:lang w:val="en-GB"/>
        </w:rPr>
        <w:t xml:space="preserve"> BH has preferential status in its major exporting markets. In spite of substantial non-tariff barriers to imports and exports, the tariff reductions, driven by these agreements, </w:t>
      </w:r>
      <w:r>
        <w:rPr>
          <w:lang w:val="en-GB"/>
        </w:rPr>
        <w:t xml:space="preserve">have </w:t>
      </w:r>
      <w:r w:rsidRPr="001E69D4">
        <w:rPr>
          <w:lang w:val="en-GB"/>
        </w:rPr>
        <w:t xml:space="preserve">had a positive impact on </w:t>
      </w:r>
      <w:r>
        <w:rPr>
          <w:lang w:val="en-GB"/>
        </w:rPr>
        <w:t xml:space="preserve">the growth of </w:t>
      </w:r>
      <w:r w:rsidRPr="001E69D4">
        <w:rPr>
          <w:lang w:val="en-GB"/>
        </w:rPr>
        <w:t>agricultural export</w:t>
      </w:r>
      <w:r>
        <w:rPr>
          <w:lang w:val="en-GB"/>
        </w:rPr>
        <w:t>:</w:t>
      </w:r>
      <w:r w:rsidRPr="001E69D4">
        <w:rPr>
          <w:lang w:val="en-GB"/>
        </w:rPr>
        <w:t xml:space="preserve"> </w:t>
      </w:r>
      <w:r>
        <w:rPr>
          <w:lang w:val="en-GB"/>
        </w:rPr>
        <w:t>I</w:t>
      </w:r>
      <w:r w:rsidRPr="001E69D4">
        <w:rPr>
          <w:lang w:val="en-GB"/>
        </w:rPr>
        <w:t>n the period 2004</w:t>
      </w:r>
      <w:r>
        <w:rPr>
          <w:lang w:val="en-GB"/>
        </w:rPr>
        <w:t>–</w:t>
      </w:r>
      <w:r w:rsidRPr="001E69D4">
        <w:rPr>
          <w:lang w:val="en-GB"/>
        </w:rPr>
        <w:t xml:space="preserve">2011 exports increased by 248 per cent. In the same </w:t>
      </w:r>
      <w:r>
        <w:rPr>
          <w:lang w:val="en-GB"/>
        </w:rPr>
        <w:t>period</w:t>
      </w:r>
      <w:r w:rsidRPr="001E69D4">
        <w:rPr>
          <w:lang w:val="en-GB"/>
        </w:rPr>
        <w:t xml:space="preserve"> imports have grown but at lower annual rates</w:t>
      </w:r>
      <w:r>
        <w:rPr>
          <w:lang w:val="en-GB"/>
        </w:rPr>
        <w:t>:</w:t>
      </w:r>
      <w:r w:rsidRPr="001E69D4">
        <w:rPr>
          <w:lang w:val="en-GB"/>
        </w:rPr>
        <w:t xml:space="preserve"> </w:t>
      </w:r>
      <w:r>
        <w:rPr>
          <w:lang w:val="en-GB"/>
        </w:rPr>
        <w:t>In</w:t>
      </w:r>
      <w:r w:rsidRPr="001E69D4">
        <w:rPr>
          <w:lang w:val="en-GB"/>
        </w:rPr>
        <w:t xml:space="preserve"> the period 2004</w:t>
      </w:r>
      <w:r>
        <w:rPr>
          <w:lang w:val="en-GB"/>
        </w:rPr>
        <w:t>–</w:t>
      </w:r>
      <w:r w:rsidRPr="001E69D4">
        <w:rPr>
          <w:lang w:val="en-GB"/>
        </w:rPr>
        <w:t>2011 import</w:t>
      </w:r>
      <w:r>
        <w:rPr>
          <w:lang w:val="en-GB"/>
        </w:rPr>
        <w:t>s</w:t>
      </w:r>
      <w:r w:rsidRPr="001E69D4">
        <w:rPr>
          <w:lang w:val="en-GB"/>
        </w:rPr>
        <w:t xml:space="preserve"> increased </w:t>
      </w:r>
      <w:r>
        <w:rPr>
          <w:lang w:val="en-GB"/>
        </w:rPr>
        <w:t>by</w:t>
      </w:r>
      <w:r w:rsidRPr="001E69D4">
        <w:rPr>
          <w:lang w:val="en-GB"/>
        </w:rPr>
        <w:t xml:space="preserve"> 43 per cent</w:t>
      </w:r>
      <w:r>
        <w:rPr>
          <w:lang w:val="en-GB"/>
        </w:rPr>
        <w:t>.</w:t>
      </w:r>
      <w:r w:rsidRPr="001E69D4">
        <w:rPr>
          <w:rStyle w:val="FootnoteReference"/>
          <w:rFonts w:cs="Calibri"/>
          <w:lang w:val="en-GB"/>
        </w:rPr>
        <w:footnoteReference w:id="11"/>
      </w:r>
      <w:r w:rsidRPr="001E69D4">
        <w:rPr>
          <w:lang w:val="en-GB"/>
        </w:rPr>
        <w:t xml:space="preserve"> </w:t>
      </w:r>
    </w:p>
    <w:p w:rsidR="0073758D" w:rsidRDefault="0073758D" w:rsidP="0073758D">
      <w:pPr>
        <w:pStyle w:val="BodyText"/>
        <w:spacing w:line="276" w:lineRule="auto"/>
      </w:pPr>
      <w:r w:rsidRPr="001E69D4">
        <w:rPr>
          <w:lang w:val="en-GB"/>
        </w:rPr>
        <w:t xml:space="preserve">Tariffs on imports from outside Europe are significantly higher, </w:t>
      </w:r>
      <w:r>
        <w:rPr>
          <w:lang w:val="en-GB"/>
        </w:rPr>
        <w:t xml:space="preserve">at </w:t>
      </w:r>
      <w:r w:rsidRPr="001E69D4">
        <w:rPr>
          <w:lang w:val="en-GB"/>
        </w:rPr>
        <w:t xml:space="preserve">50 to 100 per cent or more on some sensitive goods such as meat and other processed foods. Accession to the WTO will most likely require </w:t>
      </w:r>
      <w:r>
        <w:rPr>
          <w:lang w:val="en-GB"/>
        </w:rPr>
        <w:t xml:space="preserve">reduction of </w:t>
      </w:r>
      <w:r w:rsidRPr="001E69D4">
        <w:rPr>
          <w:lang w:val="en-GB"/>
        </w:rPr>
        <w:t>these tariffs. Accession to the European Union will also require a realignment of tariffs to EU levels. The tariff reductions have the potential to increase trade and may have effects on employment in agriculture. However, with respect to WTO accession</w:t>
      </w:r>
      <w:r>
        <w:rPr>
          <w:lang w:val="en-GB"/>
        </w:rPr>
        <w:t>,</w:t>
      </w:r>
      <w:r w:rsidRPr="001E69D4">
        <w:rPr>
          <w:lang w:val="en-GB"/>
        </w:rPr>
        <w:t xml:space="preserve"> the impacts are likely to be slight because a relatively small share of trade</w:t>
      </w:r>
      <w:r>
        <w:rPr>
          <w:lang w:val="en-GB"/>
        </w:rPr>
        <w:t xml:space="preserve"> is</w:t>
      </w:r>
      <w:r w:rsidRPr="001E69D4">
        <w:rPr>
          <w:lang w:val="en-GB"/>
        </w:rPr>
        <w:t xml:space="preserve"> with WTO members</w:t>
      </w:r>
      <w:r>
        <w:rPr>
          <w:lang w:val="en-GB"/>
        </w:rPr>
        <w:t xml:space="preserve"> </w:t>
      </w:r>
      <w:r w:rsidRPr="001E69D4">
        <w:rPr>
          <w:lang w:val="en-GB"/>
        </w:rPr>
        <w:t>outside the region (</w:t>
      </w:r>
      <w:r>
        <w:rPr>
          <w:lang w:val="en-GB"/>
        </w:rPr>
        <w:t>about</w:t>
      </w:r>
      <w:r w:rsidRPr="001E69D4">
        <w:rPr>
          <w:lang w:val="en-GB"/>
        </w:rPr>
        <w:t xml:space="preserve"> 7 per cent of total </w:t>
      </w:r>
      <w:proofErr w:type="spellStart"/>
      <w:r w:rsidRPr="001E69D4">
        <w:rPr>
          <w:lang w:val="en-GB"/>
        </w:rPr>
        <w:t>agri</w:t>
      </w:r>
      <w:proofErr w:type="spellEnd"/>
      <w:r w:rsidRPr="001E69D4">
        <w:rPr>
          <w:lang w:val="en-GB"/>
        </w:rPr>
        <w:t xml:space="preserve">-food trade). </w:t>
      </w:r>
      <w:r>
        <w:rPr>
          <w:lang w:val="en-GB"/>
        </w:rPr>
        <w:t xml:space="preserve">The next section quantifies </w:t>
      </w:r>
      <w:r w:rsidRPr="001E69D4">
        <w:rPr>
          <w:lang w:val="en-GB"/>
        </w:rPr>
        <w:t>the likely impacts</w:t>
      </w:r>
      <w:r>
        <w:rPr>
          <w:lang w:val="en-GB"/>
        </w:rPr>
        <w:t>.</w:t>
      </w:r>
      <w:r w:rsidRPr="001E69D4">
        <w:rPr>
          <w:lang w:val="en-GB"/>
        </w:rPr>
        <w:t xml:space="preserve"> </w:t>
      </w:r>
    </w:p>
    <w:p w:rsidR="00162CD2" w:rsidRPr="00E4059A" w:rsidRDefault="00E13919" w:rsidP="00F95D12">
      <w:pPr>
        <w:pStyle w:val="Tabletitle"/>
        <w:ind w:left="1440" w:hanging="1440"/>
      </w:pPr>
      <w:r w:rsidRPr="00E13919">
        <w:t>Table 9.5:</w:t>
      </w:r>
      <w:r w:rsidRPr="00E13919">
        <w:tab/>
        <w:t>Agricultural budget according to government level in Bosnia and Herzegovina</w:t>
      </w:r>
    </w:p>
    <w:tbl>
      <w:tblPr>
        <w:tblW w:w="5760" w:type="dxa"/>
        <w:tblInd w:w="95" w:type="dxa"/>
        <w:tblLook w:val="00A0"/>
      </w:tblPr>
      <w:tblGrid>
        <w:gridCol w:w="1635"/>
        <w:gridCol w:w="718"/>
        <w:gridCol w:w="855"/>
        <w:gridCol w:w="855"/>
        <w:gridCol w:w="855"/>
        <w:gridCol w:w="855"/>
      </w:tblGrid>
      <w:tr w:rsidR="00162CD2" w:rsidRPr="008A36EB" w:rsidTr="00DC3E2B">
        <w:trPr>
          <w:trHeight w:val="300"/>
        </w:trPr>
        <w:tc>
          <w:tcPr>
            <w:tcW w:w="5760" w:type="dxa"/>
            <w:gridSpan w:val="6"/>
            <w:tcBorders>
              <w:top w:val="single" w:sz="4" w:space="0" w:color="auto"/>
              <w:left w:val="single" w:sz="4" w:space="0" w:color="auto"/>
              <w:bottom w:val="single" w:sz="4" w:space="0" w:color="auto"/>
              <w:right w:val="single" w:sz="4" w:space="0" w:color="000000"/>
            </w:tcBorders>
            <w:noWrap/>
            <w:vAlign w:val="bottom"/>
          </w:tcPr>
          <w:p w:rsidR="00162CD2" w:rsidRPr="00DD613C" w:rsidRDefault="00C078F7" w:rsidP="00261E63">
            <w:pPr>
              <w:spacing w:after="0" w:line="240" w:lineRule="auto"/>
              <w:ind w:firstLine="0"/>
              <w:rPr>
                <w:b/>
                <w:lang w:eastAsia="hr-HR"/>
              </w:rPr>
            </w:pPr>
            <w:r w:rsidRPr="00C078F7">
              <w:rPr>
                <w:b/>
                <w:lang w:eastAsia="hr-HR"/>
              </w:rPr>
              <w:t>Agricultural budget in million BAM</w:t>
            </w:r>
          </w:p>
        </w:tc>
      </w:tr>
      <w:tr w:rsidR="00162CD2" w:rsidRPr="008A36EB" w:rsidTr="00DC3E2B">
        <w:trPr>
          <w:trHeight w:val="300"/>
        </w:trPr>
        <w:tc>
          <w:tcPr>
            <w:tcW w:w="1635" w:type="dxa"/>
            <w:tcBorders>
              <w:top w:val="nil"/>
              <w:left w:val="single" w:sz="4" w:space="0" w:color="auto"/>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 </w:t>
            </w:r>
          </w:p>
        </w:tc>
        <w:tc>
          <w:tcPr>
            <w:tcW w:w="70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2006</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2007</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2008</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2009</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2010</w:t>
            </w:r>
          </w:p>
        </w:tc>
      </w:tr>
      <w:tr w:rsidR="00162CD2" w:rsidRPr="008A36EB" w:rsidTr="00DC3E2B">
        <w:trPr>
          <w:trHeight w:val="300"/>
        </w:trPr>
        <w:tc>
          <w:tcPr>
            <w:tcW w:w="1635" w:type="dxa"/>
            <w:tcBorders>
              <w:top w:val="nil"/>
              <w:left w:val="single" w:sz="4" w:space="0" w:color="auto"/>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proofErr w:type="spellStart"/>
            <w:r w:rsidRPr="008A36EB">
              <w:rPr>
                <w:lang w:eastAsia="hr-HR"/>
              </w:rPr>
              <w:t>FBiH</w:t>
            </w:r>
            <w:proofErr w:type="spellEnd"/>
          </w:p>
        </w:tc>
        <w:tc>
          <w:tcPr>
            <w:tcW w:w="70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35</w:t>
            </w:r>
            <w:r>
              <w:rPr>
                <w:lang w:eastAsia="hr-HR"/>
              </w:rPr>
              <w:t>.</w:t>
            </w:r>
            <w:r w:rsidRPr="008A36EB">
              <w:rPr>
                <w:lang w:eastAsia="hr-HR"/>
              </w:rPr>
              <w:t>42</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58</w:t>
            </w:r>
            <w:r>
              <w:rPr>
                <w:lang w:eastAsia="hr-HR"/>
              </w:rPr>
              <w:t>.</w:t>
            </w:r>
            <w:r w:rsidRPr="008A36EB">
              <w:rPr>
                <w:lang w:eastAsia="hr-HR"/>
              </w:rPr>
              <w:t>54</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78</w:t>
            </w:r>
            <w:r>
              <w:rPr>
                <w:lang w:eastAsia="hr-HR"/>
              </w:rPr>
              <w:t>.</w:t>
            </w:r>
            <w:r w:rsidRPr="008A36EB">
              <w:rPr>
                <w:lang w:eastAsia="hr-HR"/>
              </w:rPr>
              <w:t>79</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72</w:t>
            </w:r>
            <w:r>
              <w:rPr>
                <w:lang w:eastAsia="hr-HR"/>
              </w:rPr>
              <w:t>.</w:t>
            </w:r>
            <w:r w:rsidRPr="008A36EB">
              <w:rPr>
                <w:lang w:eastAsia="hr-HR"/>
              </w:rPr>
              <w:t>07</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78</w:t>
            </w:r>
            <w:r>
              <w:rPr>
                <w:lang w:eastAsia="hr-HR"/>
              </w:rPr>
              <w:t>.</w:t>
            </w:r>
            <w:r w:rsidRPr="008A36EB">
              <w:rPr>
                <w:lang w:eastAsia="hr-HR"/>
              </w:rPr>
              <w:t>92</w:t>
            </w:r>
          </w:p>
        </w:tc>
      </w:tr>
      <w:tr w:rsidR="00162CD2" w:rsidRPr="008A36EB" w:rsidTr="00DC3E2B">
        <w:trPr>
          <w:trHeight w:val="300"/>
        </w:trPr>
        <w:tc>
          <w:tcPr>
            <w:tcW w:w="1635" w:type="dxa"/>
            <w:tcBorders>
              <w:top w:val="nil"/>
              <w:left w:val="single" w:sz="4" w:space="0" w:color="auto"/>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RS</w:t>
            </w:r>
          </w:p>
        </w:tc>
        <w:tc>
          <w:tcPr>
            <w:tcW w:w="70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45</w:t>
            </w:r>
            <w:r>
              <w:rPr>
                <w:lang w:eastAsia="hr-HR"/>
              </w:rPr>
              <w:t>.</w:t>
            </w:r>
            <w:r w:rsidRPr="008A36EB">
              <w:rPr>
                <w:lang w:eastAsia="hr-HR"/>
              </w:rPr>
              <w:t>47</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80</w:t>
            </w:r>
            <w:r>
              <w:rPr>
                <w:lang w:eastAsia="hr-HR"/>
              </w:rPr>
              <w:t>.</w:t>
            </w:r>
            <w:r w:rsidRPr="008A36EB">
              <w:rPr>
                <w:lang w:eastAsia="hr-HR"/>
              </w:rPr>
              <w:t>91</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80</w:t>
            </w:r>
            <w:r>
              <w:rPr>
                <w:lang w:eastAsia="hr-HR"/>
              </w:rPr>
              <w:t>.</w:t>
            </w:r>
            <w:r w:rsidRPr="008A36EB">
              <w:rPr>
                <w:lang w:eastAsia="hr-HR"/>
              </w:rPr>
              <w:t>21</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81</w:t>
            </w:r>
            <w:r>
              <w:rPr>
                <w:lang w:eastAsia="hr-HR"/>
              </w:rPr>
              <w:t>.</w:t>
            </w:r>
            <w:r w:rsidRPr="008A36EB">
              <w:rPr>
                <w:lang w:eastAsia="hr-HR"/>
              </w:rPr>
              <w:t>56</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80</w:t>
            </w:r>
            <w:r>
              <w:rPr>
                <w:lang w:eastAsia="hr-HR"/>
              </w:rPr>
              <w:t>.</w:t>
            </w:r>
            <w:r w:rsidRPr="008A36EB">
              <w:rPr>
                <w:lang w:eastAsia="hr-HR"/>
              </w:rPr>
              <w:t>34</w:t>
            </w:r>
          </w:p>
        </w:tc>
      </w:tr>
      <w:tr w:rsidR="00162CD2" w:rsidRPr="008A36EB" w:rsidTr="00DC3E2B">
        <w:trPr>
          <w:trHeight w:val="300"/>
        </w:trPr>
        <w:tc>
          <w:tcPr>
            <w:tcW w:w="1635" w:type="dxa"/>
            <w:tcBorders>
              <w:top w:val="nil"/>
              <w:left w:val="single" w:sz="4" w:space="0" w:color="auto"/>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proofErr w:type="spellStart"/>
            <w:r w:rsidRPr="008A36EB">
              <w:rPr>
                <w:lang w:eastAsia="hr-HR"/>
              </w:rPr>
              <w:t>Brcko</w:t>
            </w:r>
            <w:proofErr w:type="spellEnd"/>
            <w:r w:rsidRPr="008A36EB">
              <w:rPr>
                <w:lang w:eastAsia="hr-HR"/>
              </w:rPr>
              <w:t xml:space="preserve"> District</w:t>
            </w:r>
          </w:p>
        </w:tc>
        <w:tc>
          <w:tcPr>
            <w:tcW w:w="70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3</w:t>
            </w:r>
            <w:r>
              <w:rPr>
                <w:lang w:eastAsia="hr-HR"/>
              </w:rPr>
              <w:t>.</w:t>
            </w:r>
            <w:r w:rsidRPr="008A36EB">
              <w:rPr>
                <w:lang w:eastAsia="hr-HR"/>
              </w:rPr>
              <w:t>08</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5</w:t>
            </w:r>
            <w:r>
              <w:rPr>
                <w:lang w:eastAsia="hr-HR"/>
              </w:rPr>
              <w:t>.</w:t>
            </w:r>
            <w:r w:rsidRPr="008A36EB">
              <w:rPr>
                <w:lang w:eastAsia="hr-HR"/>
              </w:rPr>
              <w:t>01</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4</w:t>
            </w:r>
            <w:r>
              <w:rPr>
                <w:lang w:eastAsia="hr-HR"/>
              </w:rPr>
              <w:t>.</w:t>
            </w:r>
            <w:r w:rsidRPr="008A36EB">
              <w:rPr>
                <w:lang w:eastAsia="hr-HR"/>
              </w:rPr>
              <w:t>72</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6</w:t>
            </w:r>
            <w:r>
              <w:rPr>
                <w:lang w:eastAsia="hr-HR"/>
              </w:rPr>
              <w:t>.</w:t>
            </w:r>
            <w:r w:rsidRPr="008A36EB">
              <w:rPr>
                <w:lang w:eastAsia="hr-HR"/>
              </w:rPr>
              <w:t>06</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6</w:t>
            </w:r>
            <w:r>
              <w:rPr>
                <w:lang w:eastAsia="hr-HR"/>
              </w:rPr>
              <w:t>.</w:t>
            </w:r>
            <w:r w:rsidRPr="008A36EB">
              <w:rPr>
                <w:lang w:eastAsia="hr-HR"/>
              </w:rPr>
              <w:t>43</w:t>
            </w:r>
          </w:p>
        </w:tc>
      </w:tr>
      <w:tr w:rsidR="00162CD2" w:rsidRPr="008A36EB" w:rsidTr="00DC3E2B">
        <w:trPr>
          <w:trHeight w:val="300"/>
        </w:trPr>
        <w:tc>
          <w:tcPr>
            <w:tcW w:w="1635" w:type="dxa"/>
            <w:tcBorders>
              <w:top w:val="nil"/>
              <w:left w:val="single" w:sz="4" w:space="0" w:color="auto"/>
              <w:bottom w:val="single" w:sz="4" w:space="0" w:color="auto"/>
              <w:right w:val="single" w:sz="4" w:space="0" w:color="auto"/>
            </w:tcBorders>
            <w:noWrap/>
            <w:vAlign w:val="bottom"/>
          </w:tcPr>
          <w:p w:rsidR="00162CD2" w:rsidRPr="008A36EB" w:rsidRDefault="00E37DDB" w:rsidP="00261E63">
            <w:pPr>
              <w:spacing w:after="0" w:line="240" w:lineRule="auto"/>
              <w:ind w:firstLine="0"/>
              <w:rPr>
                <w:lang w:eastAsia="hr-HR"/>
              </w:rPr>
            </w:pPr>
            <w:r>
              <w:rPr>
                <w:lang w:eastAsia="hr-HR"/>
              </w:rPr>
              <w:t>B</w:t>
            </w:r>
            <w:r w:rsidR="00162CD2" w:rsidRPr="008A36EB">
              <w:rPr>
                <w:lang w:eastAsia="hr-HR"/>
              </w:rPr>
              <w:t>H</w:t>
            </w:r>
          </w:p>
        </w:tc>
        <w:tc>
          <w:tcPr>
            <w:tcW w:w="70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83</w:t>
            </w:r>
            <w:r>
              <w:rPr>
                <w:lang w:eastAsia="hr-HR"/>
              </w:rPr>
              <w:t>.</w:t>
            </w:r>
            <w:r w:rsidRPr="008A36EB">
              <w:rPr>
                <w:lang w:eastAsia="hr-HR"/>
              </w:rPr>
              <w:t>97</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144</w:t>
            </w:r>
            <w:r>
              <w:rPr>
                <w:lang w:eastAsia="hr-HR"/>
              </w:rPr>
              <w:t>.</w:t>
            </w:r>
            <w:r w:rsidRPr="008A36EB">
              <w:rPr>
                <w:lang w:eastAsia="hr-HR"/>
              </w:rPr>
              <w:t>46</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163</w:t>
            </w:r>
            <w:r>
              <w:rPr>
                <w:lang w:eastAsia="hr-HR"/>
              </w:rPr>
              <w:t>.</w:t>
            </w:r>
            <w:r w:rsidRPr="008A36EB">
              <w:rPr>
                <w:lang w:eastAsia="hr-HR"/>
              </w:rPr>
              <w:t>72</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159</w:t>
            </w:r>
            <w:r>
              <w:rPr>
                <w:lang w:eastAsia="hr-HR"/>
              </w:rPr>
              <w:t>.</w:t>
            </w:r>
            <w:r w:rsidRPr="008A36EB">
              <w:rPr>
                <w:lang w:eastAsia="hr-HR"/>
              </w:rPr>
              <w:t>69</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165</w:t>
            </w:r>
            <w:r>
              <w:rPr>
                <w:lang w:eastAsia="hr-HR"/>
              </w:rPr>
              <w:t>.</w:t>
            </w:r>
            <w:r w:rsidRPr="008A36EB">
              <w:rPr>
                <w:lang w:eastAsia="hr-HR"/>
              </w:rPr>
              <w:t>69</w:t>
            </w:r>
          </w:p>
        </w:tc>
      </w:tr>
      <w:tr w:rsidR="00162CD2" w:rsidRPr="008A36EB" w:rsidTr="00DC3E2B">
        <w:trPr>
          <w:trHeight w:val="300"/>
        </w:trPr>
        <w:tc>
          <w:tcPr>
            <w:tcW w:w="5760" w:type="dxa"/>
            <w:gridSpan w:val="6"/>
            <w:tcBorders>
              <w:top w:val="single" w:sz="4" w:space="0" w:color="auto"/>
              <w:left w:val="single" w:sz="4" w:space="0" w:color="auto"/>
              <w:bottom w:val="single" w:sz="4" w:space="0" w:color="auto"/>
              <w:right w:val="single" w:sz="4" w:space="0" w:color="000000"/>
            </w:tcBorders>
            <w:noWrap/>
            <w:vAlign w:val="bottom"/>
          </w:tcPr>
          <w:p w:rsidR="00162CD2" w:rsidRPr="00DD613C" w:rsidRDefault="00162CD2" w:rsidP="00E44A94">
            <w:pPr>
              <w:spacing w:after="0" w:line="240" w:lineRule="auto"/>
              <w:ind w:firstLine="0"/>
              <w:rPr>
                <w:b/>
                <w:lang w:eastAsia="hr-HR"/>
              </w:rPr>
            </w:pPr>
            <w:r w:rsidRPr="00DD613C">
              <w:rPr>
                <w:b/>
                <w:lang w:eastAsia="hr-HR"/>
              </w:rPr>
              <w:t xml:space="preserve">Share of agricultural budget in GDP </w:t>
            </w:r>
          </w:p>
        </w:tc>
      </w:tr>
      <w:tr w:rsidR="00162CD2" w:rsidRPr="008A36EB" w:rsidTr="00DC3E2B">
        <w:trPr>
          <w:trHeight w:val="300"/>
        </w:trPr>
        <w:tc>
          <w:tcPr>
            <w:tcW w:w="1635" w:type="dxa"/>
            <w:tcBorders>
              <w:top w:val="nil"/>
              <w:left w:val="single" w:sz="4" w:space="0" w:color="auto"/>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proofErr w:type="spellStart"/>
            <w:r w:rsidRPr="008A36EB">
              <w:rPr>
                <w:lang w:eastAsia="hr-HR"/>
              </w:rPr>
              <w:t>FBiH</w:t>
            </w:r>
            <w:proofErr w:type="spellEnd"/>
          </w:p>
        </w:tc>
        <w:tc>
          <w:tcPr>
            <w:tcW w:w="70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6</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9</w:t>
            </w:r>
            <w:r>
              <w:rPr>
                <w:lang w:eastAsia="hr-HR"/>
              </w:rPr>
              <w:t>.</w:t>
            </w:r>
            <w:r w:rsidRPr="008A36EB">
              <w:rPr>
                <w:lang w:eastAsia="hr-HR"/>
              </w:rPr>
              <w:t>07</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11</w:t>
            </w:r>
            <w:r>
              <w:rPr>
                <w:lang w:eastAsia="hr-HR"/>
              </w:rPr>
              <w:t>.</w:t>
            </w:r>
            <w:r w:rsidRPr="008A36EB">
              <w:rPr>
                <w:lang w:eastAsia="hr-HR"/>
              </w:rPr>
              <w:t>59</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10</w:t>
            </w:r>
            <w:r>
              <w:rPr>
                <w:lang w:eastAsia="hr-HR"/>
              </w:rPr>
              <w:t>.</w:t>
            </w:r>
            <w:r w:rsidRPr="008A36EB">
              <w:rPr>
                <w:lang w:eastAsia="hr-HR"/>
              </w:rPr>
              <w:t>45</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11</w:t>
            </w:r>
            <w:r>
              <w:rPr>
                <w:lang w:eastAsia="hr-HR"/>
              </w:rPr>
              <w:t>.</w:t>
            </w:r>
            <w:r w:rsidRPr="008A36EB">
              <w:rPr>
                <w:lang w:eastAsia="hr-HR"/>
              </w:rPr>
              <w:t>37</w:t>
            </w:r>
          </w:p>
        </w:tc>
      </w:tr>
      <w:tr w:rsidR="00162CD2" w:rsidRPr="008A36EB" w:rsidTr="00DC3E2B">
        <w:trPr>
          <w:trHeight w:val="300"/>
        </w:trPr>
        <w:tc>
          <w:tcPr>
            <w:tcW w:w="1635" w:type="dxa"/>
            <w:tcBorders>
              <w:top w:val="nil"/>
              <w:left w:val="single" w:sz="4" w:space="0" w:color="auto"/>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RS</w:t>
            </w:r>
          </w:p>
        </w:tc>
        <w:tc>
          <w:tcPr>
            <w:tcW w:w="70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5</w:t>
            </w:r>
            <w:r>
              <w:rPr>
                <w:lang w:eastAsia="hr-HR"/>
              </w:rPr>
              <w:t>.</w:t>
            </w:r>
            <w:r w:rsidRPr="008A36EB">
              <w:rPr>
                <w:lang w:eastAsia="hr-HR"/>
              </w:rPr>
              <w:t>29</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8</w:t>
            </w:r>
            <w:r>
              <w:rPr>
                <w:lang w:eastAsia="hr-HR"/>
              </w:rPr>
              <w:t>.</w:t>
            </w:r>
            <w:r w:rsidRPr="008A36EB">
              <w:rPr>
                <w:lang w:eastAsia="hr-HR"/>
              </w:rPr>
              <w:t>82</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8</w:t>
            </w:r>
            <w:r>
              <w:rPr>
                <w:lang w:eastAsia="hr-HR"/>
              </w:rPr>
              <w:t>.</w:t>
            </w:r>
            <w:r w:rsidRPr="008A36EB">
              <w:rPr>
                <w:lang w:eastAsia="hr-HR"/>
              </w:rPr>
              <w:t>2</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8</w:t>
            </w:r>
            <w:r>
              <w:rPr>
                <w:lang w:eastAsia="hr-HR"/>
              </w:rPr>
              <w:t>.</w:t>
            </w:r>
            <w:r w:rsidRPr="008A36EB">
              <w:rPr>
                <w:lang w:eastAsia="hr-HR"/>
              </w:rPr>
              <w:t>86</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10</w:t>
            </w:r>
            <w:r>
              <w:rPr>
                <w:lang w:eastAsia="hr-HR"/>
              </w:rPr>
              <w:t>.</w:t>
            </w:r>
            <w:r w:rsidRPr="008A36EB">
              <w:rPr>
                <w:lang w:eastAsia="hr-HR"/>
              </w:rPr>
              <w:t>2</w:t>
            </w:r>
          </w:p>
        </w:tc>
      </w:tr>
      <w:tr w:rsidR="00162CD2" w:rsidRPr="008A36EB" w:rsidTr="00DC3E2B">
        <w:trPr>
          <w:trHeight w:val="300"/>
        </w:trPr>
        <w:tc>
          <w:tcPr>
            <w:tcW w:w="1635" w:type="dxa"/>
            <w:tcBorders>
              <w:top w:val="nil"/>
              <w:left w:val="single" w:sz="4" w:space="0" w:color="auto"/>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proofErr w:type="spellStart"/>
            <w:r w:rsidRPr="008A36EB">
              <w:rPr>
                <w:lang w:eastAsia="hr-HR"/>
              </w:rPr>
              <w:t>Brcko</w:t>
            </w:r>
            <w:proofErr w:type="spellEnd"/>
            <w:r w:rsidRPr="008A36EB">
              <w:rPr>
                <w:lang w:eastAsia="hr-HR"/>
              </w:rPr>
              <w:t xml:space="preserve"> District</w:t>
            </w:r>
          </w:p>
        </w:tc>
        <w:tc>
          <w:tcPr>
            <w:tcW w:w="70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6</w:t>
            </w:r>
            <w:r>
              <w:rPr>
                <w:lang w:eastAsia="hr-HR"/>
              </w:rPr>
              <w:t>.</w:t>
            </w:r>
            <w:r w:rsidRPr="008A36EB">
              <w:rPr>
                <w:lang w:eastAsia="hr-HR"/>
              </w:rPr>
              <w:t>62</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10</w:t>
            </w:r>
            <w:r>
              <w:rPr>
                <w:lang w:eastAsia="hr-HR"/>
              </w:rPr>
              <w:t>.</w:t>
            </w:r>
            <w:r w:rsidRPr="008A36EB">
              <w:rPr>
                <w:lang w:eastAsia="hr-HR"/>
              </w:rPr>
              <w:t>06</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9</w:t>
            </w:r>
            <w:r>
              <w:rPr>
                <w:lang w:eastAsia="hr-HR"/>
              </w:rPr>
              <w:t>.</w:t>
            </w:r>
            <w:r w:rsidRPr="008A36EB">
              <w:rPr>
                <w:lang w:eastAsia="hr-HR"/>
              </w:rPr>
              <w:t>01</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12</w:t>
            </w:r>
            <w:r>
              <w:rPr>
                <w:lang w:eastAsia="hr-HR"/>
              </w:rPr>
              <w:t>.</w:t>
            </w:r>
            <w:r w:rsidRPr="008A36EB">
              <w:rPr>
                <w:lang w:eastAsia="hr-HR"/>
              </w:rPr>
              <w:t>73</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13</w:t>
            </w:r>
            <w:r>
              <w:rPr>
                <w:lang w:eastAsia="hr-HR"/>
              </w:rPr>
              <w:t>.</w:t>
            </w:r>
            <w:r w:rsidRPr="008A36EB">
              <w:rPr>
                <w:lang w:eastAsia="hr-HR"/>
              </w:rPr>
              <w:t>61</w:t>
            </w:r>
          </w:p>
        </w:tc>
      </w:tr>
      <w:tr w:rsidR="00162CD2" w:rsidRPr="008A36EB" w:rsidTr="00DC3E2B">
        <w:trPr>
          <w:trHeight w:val="300"/>
        </w:trPr>
        <w:tc>
          <w:tcPr>
            <w:tcW w:w="1635" w:type="dxa"/>
            <w:tcBorders>
              <w:top w:val="nil"/>
              <w:left w:val="single" w:sz="4" w:space="0" w:color="auto"/>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BH</w:t>
            </w:r>
          </w:p>
        </w:tc>
        <w:tc>
          <w:tcPr>
            <w:tcW w:w="70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5</w:t>
            </w:r>
            <w:r>
              <w:rPr>
                <w:lang w:eastAsia="hr-HR"/>
              </w:rPr>
              <w:t>.</w:t>
            </w:r>
            <w:r w:rsidRPr="008A36EB">
              <w:rPr>
                <w:lang w:eastAsia="hr-HR"/>
              </w:rPr>
              <w:t>62</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8</w:t>
            </w:r>
            <w:r>
              <w:rPr>
                <w:lang w:eastAsia="hr-HR"/>
              </w:rPr>
              <w:t>.</w:t>
            </w:r>
            <w:r w:rsidRPr="008A36EB">
              <w:rPr>
                <w:lang w:eastAsia="hr-HR"/>
              </w:rPr>
              <w:t>96</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9</w:t>
            </w:r>
            <w:r>
              <w:rPr>
                <w:lang w:eastAsia="hr-HR"/>
              </w:rPr>
              <w:t>.</w:t>
            </w:r>
            <w:r w:rsidRPr="008A36EB">
              <w:rPr>
                <w:lang w:eastAsia="hr-HR"/>
              </w:rPr>
              <w:t>58</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9</w:t>
            </w:r>
            <w:r>
              <w:rPr>
                <w:lang w:eastAsia="hr-HR"/>
              </w:rPr>
              <w:t>.</w:t>
            </w:r>
            <w:r w:rsidRPr="008A36EB">
              <w:rPr>
                <w:lang w:eastAsia="hr-HR"/>
              </w:rPr>
              <w:t>63</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10</w:t>
            </w:r>
            <w:r>
              <w:rPr>
                <w:lang w:eastAsia="hr-HR"/>
              </w:rPr>
              <w:t>.</w:t>
            </w:r>
            <w:r w:rsidRPr="008A36EB">
              <w:rPr>
                <w:lang w:eastAsia="hr-HR"/>
              </w:rPr>
              <w:t>84</w:t>
            </w:r>
          </w:p>
        </w:tc>
      </w:tr>
      <w:tr w:rsidR="00162CD2" w:rsidRPr="008A36EB" w:rsidTr="00DC3E2B">
        <w:trPr>
          <w:trHeight w:val="300"/>
        </w:trPr>
        <w:tc>
          <w:tcPr>
            <w:tcW w:w="5760" w:type="dxa"/>
            <w:gridSpan w:val="6"/>
            <w:tcBorders>
              <w:top w:val="single" w:sz="4" w:space="0" w:color="auto"/>
              <w:left w:val="single" w:sz="4" w:space="0" w:color="auto"/>
              <w:bottom w:val="single" w:sz="4" w:space="0" w:color="auto"/>
              <w:right w:val="single" w:sz="4" w:space="0" w:color="000000"/>
            </w:tcBorders>
            <w:noWrap/>
            <w:vAlign w:val="bottom"/>
          </w:tcPr>
          <w:p w:rsidR="00162CD2" w:rsidRPr="00DD613C" w:rsidRDefault="00162CD2" w:rsidP="006E77CC">
            <w:pPr>
              <w:spacing w:after="0" w:line="240" w:lineRule="auto"/>
              <w:ind w:firstLine="0"/>
              <w:rPr>
                <w:b/>
                <w:lang w:eastAsia="hr-HR"/>
              </w:rPr>
            </w:pPr>
            <w:r w:rsidRPr="00DD613C">
              <w:rPr>
                <w:b/>
                <w:lang w:eastAsia="hr-HR"/>
              </w:rPr>
              <w:t>Agricultural budget per</w:t>
            </w:r>
            <w:r w:rsidRPr="00DD613C">
              <w:rPr>
                <w:rFonts w:ascii="Arial" w:hAnsi="Arial" w:cs="Arial"/>
                <w:b/>
                <w:color w:val="000000"/>
                <w:sz w:val="16"/>
                <w:szCs w:val="16"/>
                <w:shd w:val="clear" w:color="auto" w:fill="FFFFFF"/>
              </w:rPr>
              <w:t xml:space="preserve"> </w:t>
            </w:r>
            <w:r w:rsidR="006E77CC" w:rsidRPr="00DD613C">
              <w:rPr>
                <w:b/>
                <w:color w:val="000000"/>
                <w:shd w:val="clear" w:color="auto" w:fill="FFFFFF"/>
              </w:rPr>
              <w:t>u</w:t>
            </w:r>
            <w:r w:rsidR="00891A92" w:rsidRPr="00DD613C">
              <w:rPr>
                <w:b/>
                <w:color w:val="000000"/>
                <w:shd w:val="clear" w:color="auto" w:fill="FFFFFF"/>
              </w:rPr>
              <w:t>tili</w:t>
            </w:r>
            <w:r w:rsidR="006E77CC" w:rsidRPr="00DD613C">
              <w:rPr>
                <w:b/>
                <w:color w:val="000000"/>
                <w:shd w:val="clear" w:color="auto" w:fill="FFFFFF"/>
              </w:rPr>
              <w:t>z</w:t>
            </w:r>
            <w:r w:rsidR="00891A92" w:rsidRPr="00DD613C">
              <w:rPr>
                <w:b/>
                <w:color w:val="000000"/>
                <w:shd w:val="clear" w:color="auto" w:fill="FFFFFF"/>
              </w:rPr>
              <w:t xml:space="preserve">ed </w:t>
            </w:r>
            <w:r w:rsidR="006E77CC" w:rsidRPr="00DD613C">
              <w:rPr>
                <w:b/>
                <w:color w:val="000000"/>
                <w:shd w:val="clear" w:color="auto" w:fill="FFFFFF"/>
              </w:rPr>
              <w:t>a</w:t>
            </w:r>
            <w:r w:rsidR="00891A92" w:rsidRPr="00DD613C">
              <w:rPr>
                <w:b/>
                <w:color w:val="000000"/>
                <w:shd w:val="clear" w:color="auto" w:fill="FFFFFF"/>
              </w:rPr>
              <w:t xml:space="preserve">gricultural </w:t>
            </w:r>
            <w:r w:rsidR="006E77CC" w:rsidRPr="00DD613C">
              <w:rPr>
                <w:b/>
                <w:color w:val="000000"/>
                <w:shd w:val="clear" w:color="auto" w:fill="FFFFFF"/>
              </w:rPr>
              <w:t>a</w:t>
            </w:r>
            <w:r w:rsidR="00891A92" w:rsidRPr="00DD613C">
              <w:rPr>
                <w:b/>
                <w:color w:val="000000"/>
                <w:shd w:val="clear" w:color="auto" w:fill="FFFFFF"/>
              </w:rPr>
              <w:t>rea</w:t>
            </w:r>
            <w:r w:rsidRPr="00DD613C">
              <w:rPr>
                <w:b/>
                <w:lang w:eastAsia="hr-HR"/>
              </w:rPr>
              <w:t xml:space="preserve"> </w:t>
            </w:r>
            <w:r w:rsidR="00896560" w:rsidRPr="00DD613C">
              <w:rPr>
                <w:b/>
                <w:lang w:eastAsia="hr-HR"/>
              </w:rPr>
              <w:t>(</w:t>
            </w:r>
            <w:r w:rsidRPr="00DD613C">
              <w:rPr>
                <w:b/>
                <w:lang w:eastAsia="hr-HR"/>
              </w:rPr>
              <w:t>UAA</w:t>
            </w:r>
            <w:r w:rsidR="00896560" w:rsidRPr="00DD613C">
              <w:rPr>
                <w:b/>
                <w:lang w:eastAsia="hr-HR"/>
              </w:rPr>
              <w:t>)</w:t>
            </w:r>
            <w:r w:rsidRPr="00DD613C">
              <w:rPr>
                <w:b/>
                <w:lang w:eastAsia="hr-HR"/>
              </w:rPr>
              <w:t xml:space="preserve"> (in BAM/ha)</w:t>
            </w:r>
          </w:p>
        </w:tc>
      </w:tr>
      <w:tr w:rsidR="00162CD2" w:rsidRPr="008A36EB" w:rsidTr="00DC3E2B">
        <w:trPr>
          <w:trHeight w:val="300"/>
        </w:trPr>
        <w:tc>
          <w:tcPr>
            <w:tcW w:w="1635" w:type="dxa"/>
            <w:tcBorders>
              <w:top w:val="nil"/>
              <w:left w:val="single" w:sz="4" w:space="0" w:color="auto"/>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proofErr w:type="spellStart"/>
            <w:r w:rsidRPr="008A36EB">
              <w:rPr>
                <w:lang w:eastAsia="hr-HR"/>
              </w:rPr>
              <w:t>FBiH</w:t>
            </w:r>
            <w:proofErr w:type="spellEnd"/>
          </w:p>
        </w:tc>
        <w:tc>
          <w:tcPr>
            <w:tcW w:w="70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38</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63</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82</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76</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82</w:t>
            </w:r>
          </w:p>
        </w:tc>
      </w:tr>
      <w:tr w:rsidR="00162CD2" w:rsidRPr="008A36EB" w:rsidTr="00DC3E2B">
        <w:trPr>
          <w:trHeight w:val="300"/>
        </w:trPr>
        <w:tc>
          <w:tcPr>
            <w:tcW w:w="1635" w:type="dxa"/>
            <w:tcBorders>
              <w:top w:val="nil"/>
              <w:left w:val="single" w:sz="4" w:space="0" w:color="auto"/>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RS</w:t>
            </w:r>
          </w:p>
        </w:tc>
        <w:tc>
          <w:tcPr>
            <w:tcW w:w="70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60</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108</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111</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113</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113</w:t>
            </w:r>
          </w:p>
        </w:tc>
      </w:tr>
      <w:tr w:rsidR="00162CD2" w:rsidRPr="008A36EB" w:rsidTr="00DC3E2B">
        <w:trPr>
          <w:trHeight w:val="300"/>
        </w:trPr>
        <w:tc>
          <w:tcPr>
            <w:tcW w:w="1635" w:type="dxa"/>
            <w:tcBorders>
              <w:top w:val="nil"/>
              <w:left w:val="single" w:sz="4" w:space="0" w:color="auto"/>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proofErr w:type="spellStart"/>
            <w:r w:rsidRPr="008A36EB">
              <w:rPr>
                <w:lang w:eastAsia="hr-HR"/>
              </w:rPr>
              <w:t>Brcko</w:t>
            </w:r>
            <w:proofErr w:type="spellEnd"/>
            <w:r w:rsidRPr="008A36EB">
              <w:rPr>
                <w:lang w:eastAsia="hr-HR"/>
              </w:rPr>
              <w:t xml:space="preserve"> District</w:t>
            </w:r>
          </w:p>
        </w:tc>
        <w:tc>
          <w:tcPr>
            <w:tcW w:w="70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103</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167</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157</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195</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207</w:t>
            </w:r>
          </w:p>
        </w:tc>
      </w:tr>
      <w:tr w:rsidR="00162CD2" w:rsidRPr="008A36EB" w:rsidTr="00DC3E2B">
        <w:trPr>
          <w:trHeight w:val="300"/>
        </w:trPr>
        <w:tc>
          <w:tcPr>
            <w:tcW w:w="1635" w:type="dxa"/>
            <w:tcBorders>
              <w:top w:val="nil"/>
              <w:left w:val="single" w:sz="4" w:space="0" w:color="auto"/>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BH</w:t>
            </w:r>
          </w:p>
        </w:tc>
        <w:tc>
          <w:tcPr>
            <w:tcW w:w="70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49</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84</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95</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94</w:t>
            </w:r>
          </w:p>
        </w:tc>
        <w:tc>
          <w:tcPr>
            <w:tcW w:w="855" w:type="dxa"/>
            <w:tcBorders>
              <w:top w:val="nil"/>
              <w:left w:val="nil"/>
              <w:bottom w:val="single" w:sz="4" w:space="0" w:color="auto"/>
              <w:right w:val="single" w:sz="4" w:space="0" w:color="auto"/>
            </w:tcBorders>
            <w:noWrap/>
            <w:vAlign w:val="bottom"/>
          </w:tcPr>
          <w:p w:rsidR="00162CD2" w:rsidRPr="008A36EB" w:rsidRDefault="00162CD2" w:rsidP="00261E63">
            <w:pPr>
              <w:spacing w:after="0" w:line="240" w:lineRule="auto"/>
              <w:ind w:firstLine="0"/>
              <w:rPr>
                <w:lang w:eastAsia="hr-HR"/>
              </w:rPr>
            </w:pPr>
            <w:r w:rsidRPr="008A36EB">
              <w:rPr>
                <w:lang w:eastAsia="hr-HR"/>
              </w:rPr>
              <w:t>98</w:t>
            </w:r>
          </w:p>
        </w:tc>
      </w:tr>
    </w:tbl>
    <w:p w:rsidR="009C303D" w:rsidRDefault="009C303D" w:rsidP="009C303D">
      <w:pPr>
        <w:pStyle w:val="Footnotes"/>
        <w:spacing w:after="0"/>
      </w:pPr>
    </w:p>
    <w:p w:rsidR="009C303D" w:rsidRDefault="00162CD2" w:rsidP="009C303D">
      <w:pPr>
        <w:pStyle w:val="Footnotes"/>
        <w:spacing w:after="0"/>
      </w:pPr>
      <w:r>
        <w:t xml:space="preserve">Note: Two entities </w:t>
      </w:r>
      <w:proofErr w:type="spellStart"/>
      <w:r>
        <w:t>FBiH</w:t>
      </w:r>
      <w:proofErr w:type="spellEnd"/>
      <w:r w:rsidR="00E4059A">
        <w:t>=</w:t>
      </w:r>
      <w:r>
        <w:t>Federation of Bosnia and Herzegovina, RS=</w:t>
      </w:r>
      <w:proofErr w:type="spellStart"/>
      <w:r>
        <w:t>Republi</w:t>
      </w:r>
      <w:r w:rsidR="00E51CE7">
        <w:t>k</w:t>
      </w:r>
      <w:r>
        <w:t>a</w:t>
      </w:r>
      <w:proofErr w:type="spellEnd"/>
      <w:r>
        <w:t xml:space="preserve"> </w:t>
      </w:r>
      <w:proofErr w:type="spellStart"/>
      <w:r>
        <w:t>Srpska</w:t>
      </w:r>
      <w:proofErr w:type="spellEnd"/>
      <w:r>
        <w:t xml:space="preserve">, and one district. </w:t>
      </w:r>
      <w:r w:rsidR="00896560">
        <w:t>“</w:t>
      </w:r>
      <w:r>
        <w:t>BH</w:t>
      </w:r>
      <w:r w:rsidR="00896560">
        <w:t xml:space="preserve">” </w:t>
      </w:r>
      <w:r>
        <w:t xml:space="preserve">stands for </w:t>
      </w:r>
      <w:r w:rsidR="00E37DDB">
        <w:t>total agricultural budget in BH</w:t>
      </w:r>
      <w:r w:rsidR="00DA67B9">
        <w:t>.</w:t>
      </w:r>
    </w:p>
    <w:p w:rsidR="009C303D" w:rsidRDefault="009C303D" w:rsidP="009C303D">
      <w:pPr>
        <w:pStyle w:val="Footnotes"/>
        <w:spacing w:after="0"/>
      </w:pPr>
    </w:p>
    <w:p w:rsidR="00162CD2" w:rsidRPr="001E69D4" w:rsidRDefault="00162CD2" w:rsidP="009C303D">
      <w:pPr>
        <w:pStyle w:val="Footnotes"/>
        <w:spacing w:after="0"/>
      </w:pPr>
      <w:r>
        <w:t xml:space="preserve">Source: </w:t>
      </w:r>
      <w:r w:rsidRPr="001E69D4">
        <w:t xml:space="preserve">Ministry of Foreign </w:t>
      </w:r>
      <w:r>
        <w:t>T</w:t>
      </w:r>
      <w:r w:rsidRPr="001E69D4">
        <w:t xml:space="preserve">rade and </w:t>
      </w:r>
      <w:r>
        <w:t>E</w:t>
      </w:r>
      <w:r w:rsidRPr="001E69D4">
        <w:t xml:space="preserve">conomic </w:t>
      </w:r>
      <w:r>
        <w:t>R</w:t>
      </w:r>
      <w:r w:rsidRPr="001E69D4">
        <w:t>elations</w:t>
      </w:r>
      <w:r w:rsidR="00D514C8">
        <w:t xml:space="preserve"> cited in </w:t>
      </w:r>
      <w:proofErr w:type="spellStart"/>
      <w:r w:rsidR="00D514C8">
        <w:t>Bajramovic</w:t>
      </w:r>
      <w:proofErr w:type="spellEnd"/>
      <w:r w:rsidR="00D514C8">
        <w:t xml:space="preserve"> et al. (</w:t>
      </w:r>
      <w:r w:rsidR="00D514C8" w:rsidRPr="00D514C8">
        <w:t>2010</w:t>
      </w:r>
      <w:r w:rsidR="00D514C8">
        <w:t>).</w:t>
      </w:r>
    </w:p>
    <w:p w:rsidR="00162CD2" w:rsidRPr="001E69D4" w:rsidRDefault="00CE0B87" w:rsidP="009C303D">
      <w:pPr>
        <w:pStyle w:val="Heading1"/>
        <w:spacing w:after="0"/>
        <w:ind w:left="720" w:hanging="720"/>
      </w:pPr>
      <w:r>
        <w:t>9</w:t>
      </w:r>
      <w:r w:rsidR="00162CD2">
        <w:t>.</w:t>
      </w:r>
      <w:r w:rsidR="006E5332">
        <w:t>4</w:t>
      </w:r>
      <w:r w:rsidR="00162CD2">
        <w:tab/>
      </w:r>
      <w:r w:rsidR="00162CD2" w:rsidRPr="001E69D4">
        <w:t>A quantitative assessment of accession on selected sensitive products</w:t>
      </w:r>
    </w:p>
    <w:p w:rsidR="00162CD2" w:rsidRPr="001E69D4" w:rsidRDefault="00162CD2" w:rsidP="004073FC">
      <w:pPr>
        <w:spacing w:after="0"/>
      </w:pPr>
      <w:r w:rsidRPr="001E69D4">
        <w:t>To assess the impacts of accession on selected products</w:t>
      </w:r>
      <w:r>
        <w:t>,</w:t>
      </w:r>
      <w:r w:rsidRPr="001E69D4">
        <w:t xml:space="preserve"> we look at two scenarios</w:t>
      </w:r>
      <w:r>
        <w:t>:</w:t>
      </w:r>
    </w:p>
    <w:p w:rsidR="00162CD2" w:rsidRPr="001E69D4" w:rsidRDefault="00162CD2" w:rsidP="000A3C72">
      <w:pPr>
        <w:pStyle w:val="ListParagraph"/>
        <w:numPr>
          <w:ilvl w:val="0"/>
          <w:numId w:val="29"/>
        </w:numPr>
        <w:tabs>
          <w:tab w:val="clear" w:pos="1080"/>
        </w:tabs>
        <w:ind w:left="720" w:hanging="450"/>
        <w:rPr>
          <w:lang w:val="en-GB"/>
        </w:rPr>
      </w:pPr>
      <w:r w:rsidRPr="001E69D4">
        <w:rPr>
          <w:lang w:val="en-GB"/>
        </w:rPr>
        <w:t>EU accession: Removal of tariffs on BH</w:t>
      </w:r>
      <w:r>
        <w:rPr>
          <w:lang w:val="en-GB"/>
        </w:rPr>
        <w:t>–</w:t>
      </w:r>
      <w:r w:rsidRPr="001E69D4">
        <w:rPr>
          <w:lang w:val="en-GB"/>
        </w:rPr>
        <w:t xml:space="preserve">EU trade, and change in BH tariffs on </w:t>
      </w:r>
      <w:r>
        <w:rPr>
          <w:lang w:val="en-GB"/>
        </w:rPr>
        <w:t>Rest of World (</w:t>
      </w:r>
      <w:proofErr w:type="spellStart"/>
      <w:r w:rsidRPr="001E69D4">
        <w:rPr>
          <w:lang w:val="en-GB"/>
        </w:rPr>
        <w:t>RoW</w:t>
      </w:r>
      <w:proofErr w:type="spellEnd"/>
      <w:r>
        <w:rPr>
          <w:lang w:val="en-GB"/>
        </w:rPr>
        <w:t>)</w:t>
      </w:r>
      <w:r w:rsidRPr="001E69D4">
        <w:rPr>
          <w:lang w:val="en-GB"/>
        </w:rPr>
        <w:t xml:space="preserve"> imports to EU levels.</w:t>
      </w:r>
    </w:p>
    <w:p w:rsidR="00162CD2" w:rsidRPr="001E69D4" w:rsidRDefault="00162CD2" w:rsidP="000A3C72">
      <w:pPr>
        <w:pStyle w:val="ListParagraph"/>
        <w:numPr>
          <w:ilvl w:val="0"/>
          <w:numId w:val="29"/>
        </w:numPr>
        <w:tabs>
          <w:tab w:val="clear" w:pos="1080"/>
        </w:tabs>
        <w:ind w:left="720" w:hanging="450"/>
        <w:rPr>
          <w:lang w:val="en-GB"/>
        </w:rPr>
      </w:pPr>
      <w:r w:rsidRPr="001E69D4">
        <w:rPr>
          <w:lang w:val="en-GB"/>
        </w:rPr>
        <w:t xml:space="preserve">WTO accession: Reduction in BH tariffs on imports from </w:t>
      </w:r>
      <w:proofErr w:type="spellStart"/>
      <w:r>
        <w:rPr>
          <w:lang w:val="en-GB"/>
        </w:rPr>
        <w:t>RoW</w:t>
      </w:r>
      <w:proofErr w:type="spellEnd"/>
      <w:r w:rsidRPr="001E69D4">
        <w:rPr>
          <w:lang w:val="en-GB"/>
        </w:rPr>
        <w:t xml:space="preserve"> to 5 per cent</w:t>
      </w:r>
      <w:r>
        <w:rPr>
          <w:lang w:val="en-GB"/>
        </w:rPr>
        <w:t>.</w:t>
      </w:r>
    </w:p>
    <w:p w:rsidR="00162CD2" w:rsidRPr="001E69D4" w:rsidRDefault="00162CD2">
      <w:pPr>
        <w:pStyle w:val="StyleJustifiedLinespacing15lines"/>
        <w:spacing w:line="276" w:lineRule="auto"/>
        <w:rPr>
          <w:lang w:val="en-GB"/>
        </w:rPr>
      </w:pPr>
      <w:r w:rsidRPr="001E69D4">
        <w:rPr>
          <w:lang w:val="en-GB"/>
        </w:rPr>
        <w:t xml:space="preserve">The analysis is </w:t>
      </w:r>
      <w:r>
        <w:rPr>
          <w:lang w:val="en-GB"/>
        </w:rPr>
        <w:t>limited</w:t>
      </w:r>
      <w:r w:rsidRPr="001E69D4">
        <w:rPr>
          <w:lang w:val="en-GB"/>
        </w:rPr>
        <w:t xml:space="preserve"> to looking at tariff reductions for sensitive products such as meat, dairy products</w:t>
      </w:r>
      <w:r>
        <w:rPr>
          <w:lang w:val="en-GB"/>
        </w:rPr>
        <w:t>,</w:t>
      </w:r>
      <w:r w:rsidRPr="001E69D4">
        <w:rPr>
          <w:lang w:val="en-GB"/>
        </w:rPr>
        <w:t xml:space="preserve"> wine</w:t>
      </w:r>
      <w:r>
        <w:rPr>
          <w:lang w:val="en-GB"/>
        </w:rPr>
        <w:t>,</w:t>
      </w:r>
      <w:r w:rsidRPr="001E69D4">
        <w:rPr>
          <w:lang w:val="en-GB"/>
        </w:rPr>
        <w:t xml:space="preserve"> and some processed foods, </w:t>
      </w:r>
      <w:r>
        <w:rPr>
          <w:lang w:val="en-GB"/>
        </w:rPr>
        <w:t xml:space="preserve">as </w:t>
      </w:r>
      <w:r w:rsidRPr="001E69D4">
        <w:rPr>
          <w:lang w:val="en-GB"/>
        </w:rPr>
        <w:t xml:space="preserve">listed in table </w:t>
      </w:r>
      <w:r w:rsidR="00F93001">
        <w:rPr>
          <w:lang w:val="en-GB"/>
        </w:rPr>
        <w:t>9</w:t>
      </w:r>
      <w:r>
        <w:rPr>
          <w:lang w:val="en-GB"/>
        </w:rPr>
        <w:t>.6.</w:t>
      </w:r>
      <w:r w:rsidRPr="001E69D4">
        <w:rPr>
          <w:lang w:val="en-GB"/>
        </w:rPr>
        <w:t xml:space="preserve"> The first scenario involves removing BH tariffs on imports from the EU and raising or lowering BH tariffs on imports from </w:t>
      </w:r>
      <w:proofErr w:type="spellStart"/>
      <w:r w:rsidRPr="001E69D4">
        <w:rPr>
          <w:lang w:val="en-GB"/>
        </w:rPr>
        <w:t>RoW</w:t>
      </w:r>
      <w:proofErr w:type="spellEnd"/>
      <w:r w:rsidRPr="001E69D4">
        <w:rPr>
          <w:lang w:val="en-GB"/>
        </w:rPr>
        <w:t xml:space="preserve"> </w:t>
      </w:r>
      <w:r>
        <w:rPr>
          <w:lang w:val="en-GB"/>
        </w:rPr>
        <w:t xml:space="preserve">levels </w:t>
      </w:r>
      <w:r w:rsidRPr="001E69D4">
        <w:rPr>
          <w:lang w:val="en-GB"/>
        </w:rPr>
        <w:t xml:space="preserve">to EU levels, given in the </w:t>
      </w:r>
      <w:r>
        <w:rPr>
          <w:lang w:val="en-GB"/>
        </w:rPr>
        <w:t>right</w:t>
      </w:r>
      <w:r w:rsidRPr="001E69D4">
        <w:rPr>
          <w:lang w:val="en-GB"/>
        </w:rPr>
        <w:t xml:space="preserve"> column of table </w:t>
      </w:r>
      <w:r w:rsidR="00F93001">
        <w:rPr>
          <w:lang w:val="en-GB"/>
        </w:rPr>
        <w:t>9</w:t>
      </w:r>
      <w:r>
        <w:rPr>
          <w:lang w:val="en-GB"/>
        </w:rPr>
        <w:t>.6</w:t>
      </w:r>
      <w:r w:rsidRPr="001E69D4">
        <w:rPr>
          <w:lang w:val="en-GB"/>
        </w:rPr>
        <w:t xml:space="preserve">. All countries within the European Union must have a common external tariff. </w:t>
      </w:r>
      <w:r>
        <w:rPr>
          <w:lang w:val="en-GB"/>
        </w:rPr>
        <w:t>T</w:t>
      </w:r>
      <w:r w:rsidRPr="001E69D4">
        <w:rPr>
          <w:lang w:val="en-GB"/>
        </w:rPr>
        <w:t>his implies</w:t>
      </w:r>
      <w:r>
        <w:rPr>
          <w:lang w:val="en-GB"/>
        </w:rPr>
        <w:t>, for example, that</w:t>
      </w:r>
      <w:r w:rsidRPr="001E69D4">
        <w:rPr>
          <w:lang w:val="en-GB"/>
        </w:rPr>
        <w:t xml:space="preserve"> the BH tariff on beef would fall from 83 to 23 per cent. The</w:t>
      </w:r>
      <w:r>
        <w:rPr>
          <w:lang w:val="en-GB"/>
        </w:rPr>
        <w:t xml:space="preserve"> scenario assumes that the</w:t>
      </w:r>
      <w:r w:rsidRPr="001E69D4">
        <w:rPr>
          <w:lang w:val="en-GB"/>
        </w:rPr>
        <w:t>re is no change</w:t>
      </w:r>
      <w:r>
        <w:rPr>
          <w:lang w:val="en-GB"/>
        </w:rPr>
        <w:t xml:space="preserve"> </w:t>
      </w:r>
      <w:r w:rsidRPr="001E69D4">
        <w:rPr>
          <w:lang w:val="en-GB"/>
        </w:rPr>
        <w:t xml:space="preserve">in domestic support or export subsidies. The second scenario assumes tariffs on imports from countries outside the preferential markets, labelled </w:t>
      </w:r>
      <w:r>
        <w:rPr>
          <w:lang w:val="en-GB"/>
        </w:rPr>
        <w:t>“</w:t>
      </w:r>
      <w:proofErr w:type="spellStart"/>
      <w:r w:rsidRPr="001E69D4">
        <w:rPr>
          <w:lang w:val="en-GB"/>
        </w:rPr>
        <w:t>RoW</w:t>
      </w:r>
      <w:proofErr w:type="spellEnd"/>
      <w:r>
        <w:rPr>
          <w:lang w:val="en-GB"/>
        </w:rPr>
        <w:t>”</w:t>
      </w:r>
      <w:r w:rsidRPr="001E69D4">
        <w:rPr>
          <w:lang w:val="en-GB"/>
        </w:rPr>
        <w:t xml:space="preserve"> in table </w:t>
      </w:r>
      <w:r w:rsidR="00CE0B87">
        <w:rPr>
          <w:lang w:val="en-GB"/>
        </w:rPr>
        <w:t>9</w:t>
      </w:r>
      <w:r>
        <w:rPr>
          <w:lang w:val="en-GB"/>
        </w:rPr>
        <w:t>.</w:t>
      </w:r>
      <w:r w:rsidRPr="001E69D4">
        <w:rPr>
          <w:lang w:val="en-GB"/>
        </w:rPr>
        <w:t xml:space="preserve">4, would be reduced to </w:t>
      </w:r>
      <w:r>
        <w:rPr>
          <w:lang w:val="en-GB"/>
        </w:rPr>
        <w:t>5</w:t>
      </w:r>
      <w:r w:rsidRPr="001E69D4">
        <w:rPr>
          <w:lang w:val="en-GB"/>
        </w:rPr>
        <w:t xml:space="preserve"> per cent. This relatively low level is </w:t>
      </w:r>
      <w:r>
        <w:rPr>
          <w:lang w:val="en-GB"/>
        </w:rPr>
        <w:t>perhaps</w:t>
      </w:r>
      <w:r w:rsidRPr="001E69D4">
        <w:rPr>
          <w:lang w:val="en-GB"/>
        </w:rPr>
        <w:t xml:space="preserve"> a </w:t>
      </w:r>
      <w:r w:rsidR="004450A2">
        <w:rPr>
          <w:lang w:val="en-GB"/>
        </w:rPr>
        <w:t>lower limit,</w:t>
      </w:r>
      <w:r w:rsidR="004450A2" w:rsidRPr="001E69D4">
        <w:rPr>
          <w:lang w:val="en-GB"/>
        </w:rPr>
        <w:t xml:space="preserve"> </w:t>
      </w:r>
      <w:r w:rsidRPr="001E69D4">
        <w:rPr>
          <w:lang w:val="en-GB"/>
        </w:rPr>
        <w:t xml:space="preserve">but </w:t>
      </w:r>
      <w:r>
        <w:rPr>
          <w:lang w:val="en-GB"/>
        </w:rPr>
        <w:t xml:space="preserve">it </w:t>
      </w:r>
      <w:r w:rsidRPr="001E69D4">
        <w:rPr>
          <w:lang w:val="en-GB"/>
        </w:rPr>
        <w:t>may be requested in accession negotiations for certain products. Tariffs on imports from the free trade areas and the European Union would remain unchanged.</w:t>
      </w:r>
    </w:p>
    <w:p w:rsidR="00162CD2" w:rsidRPr="00E4059A" w:rsidRDefault="000A120D" w:rsidP="00057F9D">
      <w:pPr>
        <w:pStyle w:val="Tabletitle"/>
        <w:ind w:left="1440" w:hanging="1440"/>
      </w:pPr>
      <w:r w:rsidRPr="000A120D">
        <w:t>Table 9.6:</w:t>
      </w:r>
      <w:r w:rsidRPr="000A120D">
        <w:tab/>
        <w:t>Initial tariffs on sensitive products, Bosnia and Herzegovina and European Union compared</w:t>
      </w:r>
    </w:p>
    <w:tbl>
      <w:tblPr>
        <w:tblW w:w="8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500"/>
        <w:gridCol w:w="1924"/>
        <w:gridCol w:w="1985"/>
      </w:tblGrid>
      <w:tr w:rsidR="00162CD2" w:rsidRPr="008A36EB" w:rsidTr="00AF4D46">
        <w:trPr>
          <w:trHeight w:val="255"/>
        </w:trPr>
        <w:tc>
          <w:tcPr>
            <w:tcW w:w="4500" w:type="dxa"/>
            <w:noWrap/>
            <w:vAlign w:val="bottom"/>
          </w:tcPr>
          <w:p w:rsidR="00891A92" w:rsidRDefault="00162CD2" w:rsidP="00891A92">
            <w:pPr>
              <w:spacing w:after="0" w:line="240" w:lineRule="auto"/>
              <w:ind w:firstLine="0"/>
              <w:jc w:val="left"/>
              <w:rPr>
                <w:rFonts w:eastAsia="Arial Unicode MS"/>
              </w:rPr>
            </w:pPr>
            <w:r w:rsidRPr="008A36EB">
              <w:t>Product</w:t>
            </w:r>
          </w:p>
        </w:tc>
        <w:tc>
          <w:tcPr>
            <w:tcW w:w="1924" w:type="dxa"/>
            <w:vAlign w:val="bottom"/>
          </w:tcPr>
          <w:p w:rsidR="00891A92" w:rsidRDefault="00162CD2" w:rsidP="00891A92">
            <w:pPr>
              <w:pStyle w:val="Heading3"/>
              <w:spacing w:line="240" w:lineRule="auto"/>
              <w:jc w:val="left"/>
              <w:rPr>
                <w:rFonts w:eastAsia="Arial Unicode MS"/>
              </w:rPr>
            </w:pPr>
            <w:r w:rsidRPr="008A36EB">
              <w:rPr>
                <w:rFonts w:eastAsia="Arial Unicode MS"/>
              </w:rPr>
              <w:t xml:space="preserve">BH tariffs on imports from </w:t>
            </w:r>
            <w:proofErr w:type="spellStart"/>
            <w:r w:rsidRPr="008A36EB">
              <w:rPr>
                <w:rFonts w:eastAsia="Arial Unicode MS"/>
              </w:rPr>
              <w:t>RoW</w:t>
            </w:r>
            <w:proofErr w:type="spellEnd"/>
            <w:r w:rsidRPr="008A36EB">
              <w:rPr>
                <w:rFonts w:eastAsia="Arial Unicode MS"/>
              </w:rPr>
              <w:t xml:space="preserve"> (%)</w:t>
            </w:r>
          </w:p>
        </w:tc>
        <w:tc>
          <w:tcPr>
            <w:tcW w:w="1985" w:type="dxa"/>
            <w:vAlign w:val="bottom"/>
          </w:tcPr>
          <w:p w:rsidR="00891A92" w:rsidRDefault="00162CD2" w:rsidP="00891A92">
            <w:pPr>
              <w:pStyle w:val="Heading3"/>
              <w:spacing w:line="240" w:lineRule="auto"/>
              <w:jc w:val="left"/>
            </w:pPr>
            <w:r w:rsidRPr="008A36EB">
              <w:rPr>
                <w:rFonts w:eastAsia="Arial Unicode MS"/>
              </w:rPr>
              <w:t xml:space="preserve">EU tariffs on imports from </w:t>
            </w:r>
            <w:proofErr w:type="spellStart"/>
            <w:r w:rsidRPr="008A36EB">
              <w:rPr>
                <w:rFonts w:eastAsia="Arial Unicode MS"/>
              </w:rPr>
              <w:t>RoW</w:t>
            </w:r>
            <w:proofErr w:type="spellEnd"/>
            <w:r w:rsidRPr="008A36EB">
              <w:rPr>
                <w:rFonts w:eastAsia="Arial Unicode MS"/>
              </w:rPr>
              <w:t xml:space="preserve"> (%)</w:t>
            </w:r>
          </w:p>
        </w:tc>
      </w:tr>
      <w:tr w:rsidR="00162CD2" w:rsidRPr="008A36EB" w:rsidTr="00CC6129">
        <w:trPr>
          <w:trHeight w:val="255"/>
        </w:trPr>
        <w:tc>
          <w:tcPr>
            <w:tcW w:w="4500" w:type="dxa"/>
            <w:noWrap/>
          </w:tcPr>
          <w:p w:rsidR="00162CD2" w:rsidRPr="001E69D4" w:rsidRDefault="00162CD2" w:rsidP="00261E63">
            <w:pPr>
              <w:spacing w:after="0" w:line="240" w:lineRule="auto"/>
              <w:ind w:firstLine="0"/>
              <w:rPr>
                <w:rStyle w:val="Style11pt"/>
                <w:rFonts w:ascii="Calibri" w:eastAsia="Arial Unicode MS" w:hAnsi="Calibri" w:cs="Calibri"/>
              </w:rPr>
            </w:pPr>
            <w:r w:rsidRPr="001E69D4">
              <w:rPr>
                <w:rStyle w:val="Style11pt"/>
                <w:rFonts w:ascii="Calibri" w:hAnsi="Calibri" w:cs="Calibri"/>
              </w:rPr>
              <w:t>Beef</w:t>
            </w:r>
          </w:p>
        </w:tc>
        <w:tc>
          <w:tcPr>
            <w:tcW w:w="1924" w:type="dxa"/>
          </w:tcPr>
          <w:p w:rsidR="00162CD2" w:rsidRPr="008A36EB" w:rsidRDefault="00162CD2" w:rsidP="00261E63">
            <w:pPr>
              <w:pStyle w:val="FootnoteText"/>
              <w:spacing w:after="0" w:line="240" w:lineRule="auto"/>
              <w:ind w:firstLine="0"/>
              <w:rPr>
                <w:rFonts w:eastAsia="Arial Unicode MS"/>
                <w:lang w:val="en-GB"/>
              </w:rPr>
            </w:pPr>
            <w:r w:rsidRPr="008A36EB">
              <w:rPr>
                <w:rFonts w:eastAsia="Arial Unicode MS"/>
                <w:sz w:val="22"/>
                <w:szCs w:val="22"/>
                <w:lang w:val="en-GB"/>
              </w:rPr>
              <w:t>83</w:t>
            </w:r>
          </w:p>
        </w:tc>
        <w:tc>
          <w:tcPr>
            <w:tcW w:w="1985" w:type="dxa"/>
          </w:tcPr>
          <w:p w:rsidR="00162CD2" w:rsidRPr="008A36EB" w:rsidRDefault="00162CD2" w:rsidP="00261E63">
            <w:pPr>
              <w:pStyle w:val="FootnoteText"/>
              <w:spacing w:after="0" w:line="240" w:lineRule="auto"/>
              <w:ind w:firstLine="0"/>
              <w:rPr>
                <w:sz w:val="22"/>
                <w:szCs w:val="22"/>
                <w:lang w:val="en-GB"/>
              </w:rPr>
            </w:pPr>
            <w:r w:rsidRPr="008A36EB">
              <w:rPr>
                <w:sz w:val="22"/>
                <w:szCs w:val="22"/>
                <w:lang w:val="en-GB"/>
              </w:rPr>
              <w:t>23</w:t>
            </w:r>
          </w:p>
        </w:tc>
      </w:tr>
      <w:tr w:rsidR="00162CD2" w:rsidRPr="008A36EB" w:rsidTr="00CC6129">
        <w:trPr>
          <w:trHeight w:val="255"/>
        </w:trPr>
        <w:tc>
          <w:tcPr>
            <w:tcW w:w="4500" w:type="dxa"/>
            <w:noWrap/>
          </w:tcPr>
          <w:p w:rsidR="00162CD2" w:rsidRPr="001E69D4" w:rsidRDefault="00162CD2" w:rsidP="00261E63">
            <w:pPr>
              <w:spacing w:after="0" w:line="240" w:lineRule="auto"/>
              <w:ind w:firstLine="0"/>
              <w:rPr>
                <w:rStyle w:val="Style11pt"/>
                <w:rFonts w:ascii="Calibri" w:eastAsia="Arial Unicode MS" w:hAnsi="Calibri" w:cs="Calibri"/>
              </w:rPr>
            </w:pPr>
            <w:r w:rsidRPr="001E69D4">
              <w:rPr>
                <w:rStyle w:val="Style11pt"/>
                <w:rFonts w:ascii="Calibri" w:hAnsi="Calibri" w:cs="Calibri"/>
              </w:rPr>
              <w:t>Pork</w:t>
            </w:r>
          </w:p>
        </w:tc>
        <w:tc>
          <w:tcPr>
            <w:tcW w:w="1924" w:type="dxa"/>
          </w:tcPr>
          <w:p w:rsidR="00162CD2" w:rsidRPr="008A36EB" w:rsidRDefault="00162CD2" w:rsidP="00261E63">
            <w:pPr>
              <w:spacing w:after="0" w:line="240" w:lineRule="auto"/>
              <w:ind w:firstLine="0"/>
              <w:rPr>
                <w:rFonts w:eastAsia="Arial Unicode MS"/>
              </w:rPr>
            </w:pPr>
            <w:r w:rsidRPr="008A36EB">
              <w:rPr>
                <w:rFonts w:eastAsia="Arial Unicode MS"/>
              </w:rPr>
              <w:t>62</w:t>
            </w:r>
          </w:p>
        </w:tc>
        <w:tc>
          <w:tcPr>
            <w:tcW w:w="1985" w:type="dxa"/>
          </w:tcPr>
          <w:p w:rsidR="00162CD2" w:rsidRPr="008A36EB" w:rsidRDefault="00162CD2" w:rsidP="00261E63">
            <w:pPr>
              <w:spacing w:after="0" w:line="240" w:lineRule="auto"/>
              <w:ind w:firstLine="0"/>
            </w:pPr>
            <w:r w:rsidRPr="008A36EB">
              <w:t>32</w:t>
            </w:r>
          </w:p>
        </w:tc>
      </w:tr>
      <w:tr w:rsidR="00162CD2" w:rsidRPr="008A36EB" w:rsidTr="00CC6129">
        <w:trPr>
          <w:trHeight w:val="255"/>
        </w:trPr>
        <w:tc>
          <w:tcPr>
            <w:tcW w:w="4500" w:type="dxa"/>
            <w:noWrap/>
          </w:tcPr>
          <w:p w:rsidR="00162CD2" w:rsidRPr="001E69D4" w:rsidRDefault="00162CD2" w:rsidP="00261E63">
            <w:pPr>
              <w:spacing w:after="0" w:line="240" w:lineRule="auto"/>
              <w:ind w:firstLine="0"/>
              <w:rPr>
                <w:rStyle w:val="Style11pt"/>
                <w:rFonts w:ascii="Calibri" w:eastAsia="Arial Unicode MS" w:hAnsi="Calibri" w:cs="Calibri"/>
              </w:rPr>
            </w:pPr>
            <w:r w:rsidRPr="001E69D4">
              <w:rPr>
                <w:rStyle w:val="Style11pt"/>
                <w:rFonts w:ascii="Calibri" w:hAnsi="Calibri" w:cs="Calibri"/>
              </w:rPr>
              <w:t>Poultry meat</w:t>
            </w:r>
          </w:p>
        </w:tc>
        <w:tc>
          <w:tcPr>
            <w:tcW w:w="1924" w:type="dxa"/>
          </w:tcPr>
          <w:p w:rsidR="00162CD2" w:rsidRPr="008A36EB" w:rsidRDefault="00162CD2" w:rsidP="00261E63">
            <w:pPr>
              <w:spacing w:after="0" w:line="240" w:lineRule="auto"/>
              <w:ind w:firstLine="0"/>
              <w:rPr>
                <w:rFonts w:eastAsia="Arial Unicode MS"/>
              </w:rPr>
            </w:pPr>
            <w:r w:rsidRPr="008A36EB">
              <w:rPr>
                <w:rFonts w:eastAsia="Arial Unicode MS"/>
              </w:rPr>
              <w:t>0</w:t>
            </w:r>
          </w:p>
        </w:tc>
        <w:tc>
          <w:tcPr>
            <w:tcW w:w="1985" w:type="dxa"/>
          </w:tcPr>
          <w:p w:rsidR="00162CD2" w:rsidRPr="008A36EB" w:rsidRDefault="00162CD2" w:rsidP="00261E63">
            <w:pPr>
              <w:spacing w:after="0" w:line="240" w:lineRule="auto"/>
              <w:ind w:firstLine="0"/>
            </w:pPr>
            <w:r w:rsidRPr="008A36EB">
              <w:t>34</w:t>
            </w:r>
          </w:p>
        </w:tc>
      </w:tr>
      <w:tr w:rsidR="00162CD2" w:rsidRPr="008A36EB" w:rsidTr="00CC6129">
        <w:trPr>
          <w:trHeight w:val="255"/>
        </w:trPr>
        <w:tc>
          <w:tcPr>
            <w:tcW w:w="4500" w:type="dxa"/>
            <w:noWrap/>
          </w:tcPr>
          <w:p w:rsidR="00162CD2" w:rsidRPr="001E69D4" w:rsidRDefault="00162CD2" w:rsidP="00261E63">
            <w:pPr>
              <w:spacing w:after="0" w:line="240" w:lineRule="auto"/>
              <w:ind w:firstLine="0"/>
              <w:rPr>
                <w:rStyle w:val="Style11pt"/>
                <w:rFonts w:ascii="Calibri" w:eastAsia="Arial Unicode MS" w:hAnsi="Calibri" w:cs="Calibri"/>
              </w:rPr>
            </w:pPr>
            <w:r w:rsidRPr="001E69D4">
              <w:rPr>
                <w:rStyle w:val="Style11pt"/>
                <w:rFonts w:ascii="Calibri" w:hAnsi="Calibri" w:cs="Calibri"/>
              </w:rPr>
              <w:t>Dairy products</w:t>
            </w:r>
          </w:p>
        </w:tc>
        <w:tc>
          <w:tcPr>
            <w:tcW w:w="1924" w:type="dxa"/>
          </w:tcPr>
          <w:p w:rsidR="00162CD2" w:rsidRPr="008A36EB" w:rsidRDefault="00162CD2" w:rsidP="00261E63">
            <w:pPr>
              <w:spacing w:after="0" w:line="240" w:lineRule="auto"/>
              <w:ind w:firstLine="0"/>
              <w:rPr>
                <w:rFonts w:eastAsia="Arial Unicode MS"/>
              </w:rPr>
            </w:pPr>
            <w:r w:rsidRPr="008A36EB">
              <w:rPr>
                <w:rFonts w:eastAsia="Arial Unicode MS"/>
              </w:rPr>
              <w:t>10</w:t>
            </w:r>
          </w:p>
        </w:tc>
        <w:tc>
          <w:tcPr>
            <w:tcW w:w="1985" w:type="dxa"/>
          </w:tcPr>
          <w:p w:rsidR="00162CD2" w:rsidRPr="008A36EB" w:rsidRDefault="00162CD2" w:rsidP="00261E63">
            <w:pPr>
              <w:spacing w:after="0" w:line="240" w:lineRule="auto"/>
              <w:ind w:firstLine="0"/>
            </w:pPr>
            <w:r w:rsidRPr="008A36EB">
              <w:t>35</w:t>
            </w:r>
          </w:p>
        </w:tc>
      </w:tr>
      <w:tr w:rsidR="00162CD2" w:rsidRPr="008A36EB" w:rsidTr="00CC6129">
        <w:trPr>
          <w:trHeight w:val="255"/>
        </w:trPr>
        <w:tc>
          <w:tcPr>
            <w:tcW w:w="4500" w:type="dxa"/>
            <w:noWrap/>
          </w:tcPr>
          <w:p w:rsidR="00162CD2" w:rsidRPr="001E69D4" w:rsidRDefault="00162CD2" w:rsidP="00261E63">
            <w:pPr>
              <w:spacing w:after="0" w:line="240" w:lineRule="auto"/>
              <w:ind w:firstLine="0"/>
              <w:rPr>
                <w:rStyle w:val="Style11pt"/>
                <w:rFonts w:ascii="Calibri" w:eastAsia="Arial Unicode MS" w:hAnsi="Calibri" w:cs="Calibri"/>
              </w:rPr>
            </w:pPr>
            <w:r w:rsidRPr="001E69D4">
              <w:rPr>
                <w:rStyle w:val="Style11pt"/>
                <w:rFonts w:ascii="Calibri" w:hAnsi="Calibri" w:cs="Calibri"/>
              </w:rPr>
              <w:t>Processed meat</w:t>
            </w:r>
          </w:p>
        </w:tc>
        <w:tc>
          <w:tcPr>
            <w:tcW w:w="1924" w:type="dxa"/>
          </w:tcPr>
          <w:p w:rsidR="00162CD2" w:rsidRPr="008A36EB" w:rsidRDefault="00162CD2" w:rsidP="00261E63">
            <w:pPr>
              <w:spacing w:after="0" w:line="240" w:lineRule="auto"/>
              <w:ind w:firstLine="0"/>
              <w:rPr>
                <w:rFonts w:eastAsia="Arial Unicode MS"/>
              </w:rPr>
            </w:pPr>
            <w:r w:rsidRPr="008A36EB">
              <w:rPr>
                <w:rFonts w:eastAsia="Arial Unicode MS"/>
              </w:rPr>
              <w:t>64</w:t>
            </w:r>
          </w:p>
        </w:tc>
        <w:tc>
          <w:tcPr>
            <w:tcW w:w="1985" w:type="dxa"/>
          </w:tcPr>
          <w:p w:rsidR="00162CD2" w:rsidRPr="008A36EB" w:rsidRDefault="00162CD2" w:rsidP="00261E63">
            <w:pPr>
              <w:spacing w:after="0" w:line="240" w:lineRule="auto"/>
              <w:ind w:firstLine="0"/>
            </w:pPr>
            <w:r w:rsidRPr="008A36EB">
              <w:t>14</w:t>
            </w:r>
          </w:p>
        </w:tc>
      </w:tr>
      <w:tr w:rsidR="00162CD2" w:rsidRPr="008A36EB" w:rsidTr="00CC6129">
        <w:trPr>
          <w:trHeight w:val="255"/>
        </w:trPr>
        <w:tc>
          <w:tcPr>
            <w:tcW w:w="4500" w:type="dxa"/>
            <w:noWrap/>
          </w:tcPr>
          <w:p w:rsidR="00162CD2" w:rsidRPr="001E69D4" w:rsidRDefault="00162CD2" w:rsidP="00261E63">
            <w:pPr>
              <w:spacing w:after="0" w:line="240" w:lineRule="auto"/>
              <w:ind w:firstLine="0"/>
              <w:rPr>
                <w:rStyle w:val="Style11pt"/>
                <w:rFonts w:ascii="Calibri" w:eastAsia="Arial Unicode MS" w:hAnsi="Calibri" w:cs="Calibri"/>
              </w:rPr>
            </w:pPr>
            <w:r w:rsidRPr="001E69D4">
              <w:rPr>
                <w:rStyle w:val="Style11pt"/>
                <w:rFonts w:ascii="Calibri" w:hAnsi="Calibri" w:cs="Calibri"/>
              </w:rPr>
              <w:t>Processed cereals</w:t>
            </w:r>
          </w:p>
        </w:tc>
        <w:tc>
          <w:tcPr>
            <w:tcW w:w="1924" w:type="dxa"/>
          </w:tcPr>
          <w:p w:rsidR="00162CD2" w:rsidRPr="008A36EB" w:rsidRDefault="00162CD2" w:rsidP="00261E63">
            <w:pPr>
              <w:spacing w:after="0" w:line="240" w:lineRule="auto"/>
              <w:ind w:firstLine="0"/>
              <w:rPr>
                <w:rFonts w:eastAsia="Arial Unicode MS"/>
              </w:rPr>
            </w:pPr>
            <w:r w:rsidRPr="008A36EB">
              <w:rPr>
                <w:rFonts w:eastAsia="Arial Unicode MS"/>
              </w:rPr>
              <w:t>5</w:t>
            </w:r>
          </w:p>
        </w:tc>
        <w:tc>
          <w:tcPr>
            <w:tcW w:w="1985" w:type="dxa"/>
          </w:tcPr>
          <w:p w:rsidR="00162CD2" w:rsidRPr="008A36EB" w:rsidRDefault="00162CD2" w:rsidP="00261E63">
            <w:pPr>
              <w:spacing w:after="0" w:line="240" w:lineRule="auto"/>
              <w:ind w:firstLine="0"/>
            </w:pPr>
            <w:r w:rsidRPr="008A36EB">
              <w:t>15</w:t>
            </w:r>
          </w:p>
        </w:tc>
      </w:tr>
      <w:tr w:rsidR="00162CD2" w:rsidRPr="008A36EB" w:rsidTr="00CC6129">
        <w:trPr>
          <w:trHeight w:val="255"/>
        </w:trPr>
        <w:tc>
          <w:tcPr>
            <w:tcW w:w="4500" w:type="dxa"/>
            <w:noWrap/>
          </w:tcPr>
          <w:p w:rsidR="00162CD2" w:rsidRPr="001E69D4" w:rsidRDefault="00162CD2" w:rsidP="00261E63">
            <w:pPr>
              <w:spacing w:after="0" w:line="240" w:lineRule="auto"/>
              <w:ind w:firstLine="0"/>
              <w:rPr>
                <w:rStyle w:val="Style11pt"/>
                <w:rFonts w:ascii="Calibri" w:eastAsia="Arial Unicode MS" w:hAnsi="Calibri" w:cs="Calibri"/>
              </w:rPr>
            </w:pPr>
            <w:r w:rsidRPr="001E69D4">
              <w:rPr>
                <w:rStyle w:val="Style11pt"/>
                <w:rFonts w:ascii="Calibri" w:hAnsi="Calibri" w:cs="Calibri"/>
              </w:rPr>
              <w:t>Processed fruit and vegetables</w:t>
            </w:r>
          </w:p>
        </w:tc>
        <w:tc>
          <w:tcPr>
            <w:tcW w:w="1924" w:type="dxa"/>
          </w:tcPr>
          <w:p w:rsidR="00162CD2" w:rsidRPr="008A36EB" w:rsidRDefault="00162CD2" w:rsidP="00261E63">
            <w:pPr>
              <w:spacing w:after="0" w:line="240" w:lineRule="auto"/>
              <w:ind w:firstLine="0"/>
              <w:rPr>
                <w:rFonts w:eastAsia="Arial Unicode MS"/>
              </w:rPr>
            </w:pPr>
            <w:r w:rsidRPr="008A36EB">
              <w:rPr>
                <w:rFonts w:eastAsia="Arial Unicode MS"/>
              </w:rPr>
              <w:t>7</w:t>
            </w:r>
          </w:p>
        </w:tc>
        <w:tc>
          <w:tcPr>
            <w:tcW w:w="1985" w:type="dxa"/>
          </w:tcPr>
          <w:p w:rsidR="00162CD2" w:rsidRPr="008A36EB" w:rsidRDefault="00162CD2" w:rsidP="00261E63">
            <w:pPr>
              <w:spacing w:after="0" w:line="240" w:lineRule="auto"/>
              <w:ind w:firstLine="0"/>
            </w:pPr>
            <w:r w:rsidRPr="008A36EB">
              <w:t>11</w:t>
            </w:r>
          </w:p>
        </w:tc>
      </w:tr>
      <w:tr w:rsidR="00162CD2" w:rsidRPr="008A36EB" w:rsidTr="00CC6129">
        <w:trPr>
          <w:trHeight w:val="255"/>
        </w:trPr>
        <w:tc>
          <w:tcPr>
            <w:tcW w:w="4500" w:type="dxa"/>
            <w:noWrap/>
          </w:tcPr>
          <w:p w:rsidR="00162CD2" w:rsidRPr="001E69D4" w:rsidRDefault="00162CD2" w:rsidP="00261E63">
            <w:pPr>
              <w:spacing w:after="0" w:line="240" w:lineRule="auto"/>
              <w:ind w:firstLine="0"/>
              <w:rPr>
                <w:rStyle w:val="Style11pt"/>
                <w:rFonts w:ascii="Calibri" w:eastAsia="Arial Unicode MS" w:hAnsi="Calibri" w:cs="Calibri"/>
              </w:rPr>
            </w:pPr>
            <w:r w:rsidRPr="001E69D4">
              <w:rPr>
                <w:rStyle w:val="Style11pt"/>
                <w:rFonts w:ascii="Calibri" w:hAnsi="Calibri" w:cs="Calibri"/>
              </w:rPr>
              <w:t>Wine</w:t>
            </w:r>
          </w:p>
        </w:tc>
        <w:tc>
          <w:tcPr>
            <w:tcW w:w="1924" w:type="dxa"/>
          </w:tcPr>
          <w:p w:rsidR="00162CD2" w:rsidRPr="008A36EB" w:rsidRDefault="00162CD2" w:rsidP="00261E63">
            <w:pPr>
              <w:spacing w:after="0" w:line="240" w:lineRule="auto"/>
              <w:ind w:firstLine="0"/>
              <w:rPr>
                <w:rFonts w:eastAsia="Arial Unicode MS"/>
              </w:rPr>
            </w:pPr>
            <w:r w:rsidRPr="008A36EB">
              <w:rPr>
                <w:rFonts w:eastAsia="Arial Unicode MS"/>
              </w:rPr>
              <w:t>15</w:t>
            </w:r>
          </w:p>
        </w:tc>
        <w:tc>
          <w:tcPr>
            <w:tcW w:w="1985" w:type="dxa"/>
          </w:tcPr>
          <w:p w:rsidR="00162CD2" w:rsidRPr="008A36EB" w:rsidRDefault="00162CD2" w:rsidP="00261E63">
            <w:pPr>
              <w:spacing w:after="0" w:line="240" w:lineRule="auto"/>
              <w:ind w:firstLine="0"/>
            </w:pPr>
            <w:r w:rsidRPr="008A36EB">
              <w:t>15</w:t>
            </w:r>
          </w:p>
        </w:tc>
      </w:tr>
    </w:tbl>
    <w:p w:rsidR="006E77CC" w:rsidRDefault="006E77CC" w:rsidP="006E77CC">
      <w:pPr>
        <w:pStyle w:val="Footnotes"/>
        <w:spacing w:before="60" w:after="60"/>
      </w:pPr>
      <w:proofErr w:type="spellStart"/>
      <w:r>
        <w:t>R</w:t>
      </w:r>
      <w:r w:rsidR="00CE2222">
        <w:t>o</w:t>
      </w:r>
      <w:r>
        <w:t>W</w:t>
      </w:r>
      <w:proofErr w:type="spellEnd"/>
      <w:r>
        <w:t>=rest of world.</w:t>
      </w:r>
    </w:p>
    <w:p w:rsidR="00162CD2" w:rsidRDefault="00AD0CE7" w:rsidP="006E77CC">
      <w:pPr>
        <w:pStyle w:val="Footnotes"/>
      </w:pPr>
      <w:r w:rsidRPr="00AD0CE7">
        <w:t>Source: UNCTAD TRAINS database.</w:t>
      </w:r>
    </w:p>
    <w:p w:rsidR="00162CD2" w:rsidRPr="001E69D4" w:rsidRDefault="00CE0B87" w:rsidP="00E92F91">
      <w:pPr>
        <w:pStyle w:val="Heading2"/>
      </w:pPr>
      <w:r>
        <w:t>9</w:t>
      </w:r>
      <w:r w:rsidR="00162CD2">
        <w:t>.</w:t>
      </w:r>
      <w:r w:rsidR="006E5332">
        <w:t>4</w:t>
      </w:r>
      <w:r w:rsidR="00162CD2">
        <w:t>.1</w:t>
      </w:r>
      <w:r w:rsidR="00162CD2">
        <w:tab/>
      </w:r>
      <w:r w:rsidR="00162CD2" w:rsidRPr="001E69D4">
        <w:t>The model</w:t>
      </w:r>
    </w:p>
    <w:p w:rsidR="00162CD2" w:rsidRPr="001E69D4" w:rsidRDefault="00162CD2">
      <w:pPr>
        <w:pStyle w:val="StyleJustifiedLinespacing15lines"/>
        <w:spacing w:line="276" w:lineRule="auto"/>
        <w:rPr>
          <w:lang w:val="en-GB"/>
        </w:rPr>
      </w:pPr>
      <w:r w:rsidRPr="001E69D4">
        <w:rPr>
          <w:lang w:val="en-GB"/>
        </w:rPr>
        <w:t>The quantitative analysis employs GSIM, a static, single</w:t>
      </w:r>
      <w:r>
        <w:rPr>
          <w:lang w:val="en-GB"/>
        </w:rPr>
        <w:t>-</w:t>
      </w:r>
      <w:proofErr w:type="gramStart"/>
      <w:r w:rsidRPr="001E69D4">
        <w:rPr>
          <w:lang w:val="en-GB"/>
        </w:rPr>
        <w:t>commodity,</w:t>
      </w:r>
      <w:proofErr w:type="gramEnd"/>
      <w:r w:rsidRPr="001E69D4">
        <w:rPr>
          <w:lang w:val="en-GB"/>
        </w:rPr>
        <w:t xml:space="preserve"> bilateral trade model that distinguishes between imports from different sources (</w:t>
      </w:r>
      <w:proofErr w:type="spellStart"/>
      <w:r w:rsidRPr="001E69D4">
        <w:rPr>
          <w:lang w:val="en-GB"/>
        </w:rPr>
        <w:t>Armington</w:t>
      </w:r>
      <w:proofErr w:type="spellEnd"/>
      <w:r w:rsidRPr="001E69D4">
        <w:rPr>
          <w:lang w:val="en-GB"/>
        </w:rPr>
        <w:t xml:space="preserve"> assumption)</w:t>
      </w:r>
      <w:r>
        <w:rPr>
          <w:lang w:val="en-GB"/>
        </w:rPr>
        <w:t>.</w:t>
      </w:r>
      <w:r w:rsidRPr="001E69D4">
        <w:rPr>
          <w:lang w:val="en-GB"/>
        </w:rPr>
        <w:t xml:space="preserve"> This</w:t>
      </w:r>
      <w:r>
        <w:rPr>
          <w:lang w:val="en-GB"/>
        </w:rPr>
        <w:t xml:space="preserve"> capability</w:t>
      </w:r>
      <w:r w:rsidRPr="001E69D4">
        <w:rPr>
          <w:lang w:val="en-GB"/>
        </w:rPr>
        <w:t xml:space="preserve"> is essential to capture the impacts on trade of the differing tariff changes in different countries, in this case due to the regional trade agreements. </w:t>
      </w:r>
    </w:p>
    <w:p w:rsidR="00162CD2" w:rsidRPr="001E69D4" w:rsidRDefault="00162CD2">
      <w:pPr>
        <w:pStyle w:val="StyleBodyTextAfter10pt"/>
        <w:spacing w:line="276" w:lineRule="auto"/>
        <w:rPr>
          <w:lang w:val="en-GB"/>
        </w:rPr>
      </w:pPr>
      <w:r w:rsidRPr="001E69D4">
        <w:rPr>
          <w:lang w:val="en-GB"/>
        </w:rPr>
        <w:t xml:space="preserve">GSIM is essentially a set of simultaneous equations in a spreadsheet in which export prices are varied to satisfy the requirement </w:t>
      </w:r>
      <w:proofErr w:type="gramStart"/>
      <w:r w:rsidRPr="001E69D4">
        <w:rPr>
          <w:lang w:val="en-GB"/>
        </w:rPr>
        <w:t>that global imports equal exports</w:t>
      </w:r>
      <w:proofErr w:type="gramEnd"/>
      <w:r w:rsidRPr="001E69D4">
        <w:rPr>
          <w:lang w:val="en-GB"/>
        </w:rPr>
        <w:t xml:space="preserve">. As a static model it compares two situations at a point in time and does not attempt to show the transition from one state to another. In this particular case the effect on trade is assessed with and without </w:t>
      </w:r>
      <w:r>
        <w:rPr>
          <w:lang w:val="en-GB"/>
        </w:rPr>
        <w:t xml:space="preserve">the </w:t>
      </w:r>
      <w:r w:rsidRPr="001E69D4">
        <w:rPr>
          <w:lang w:val="en-GB"/>
        </w:rPr>
        <w:t xml:space="preserve">bilateral tariff reductions required </w:t>
      </w:r>
      <w:r>
        <w:rPr>
          <w:lang w:val="en-GB"/>
        </w:rPr>
        <w:t xml:space="preserve">to be implemented </w:t>
      </w:r>
      <w:r w:rsidRPr="001E69D4">
        <w:rPr>
          <w:lang w:val="en-GB"/>
        </w:rPr>
        <w:t xml:space="preserve">following accession. With lower tariffs imports become cheaper compared with domestically produced goods. This decrease in cost will reduce consumer prices and increase consumption, but there will be a decrease in demand for locally produced goods. The aim of this analysis is to estimate the </w:t>
      </w:r>
      <w:r>
        <w:rPr>
          <w:lang w:val="en-GB"/>
        </w:rPr>
        <w:t xml:space="preserve">resulting </w:t>
      </w:r>
      <w:r w:rsidRPr="001E69D4">
        <w:rPr>
          <w:lang w:val="en-GB"/>
        </w:rPr>
        <w:t>effects on output and employment. We also estimate the effects on government revenue, total returns to farming</w:t>
      </w:r>
      <w:r>
        <w:rPr>
          <w:lang w:val="en-GB"/>
        </w:rPr>
        <w:t>,</w:t>
      </w:r>
      <w:r w:rsidRPr="001E69D4">
        <w:rPr>
          <w:lang w:val="en-GB"/>
        </w:rPr>
        <w:t xml:space="preserve"> and consumer expenditure (here called </w:t>
      </w:r>
      <w:r>
        <w:rPr>
          <w:lang w:val="en-GB"/>
        </w:rPr>
        <w:t>“</w:t>
      </w:r>
      <w:r w:rsidRPr="001E69D4">
        <w:rPr>
          <w:lang w:val="en-GB"/>
        </w:rPr>
        <w:t>net welfare</w:t>
      </w:r>
      <w:r>
        <w:rPr>
          <w:lang w:val="en-GB"/>
        </w:rPr>
        <w:t>”</w:t>
      </w:r>
      <w:r w:rsidRPr="001E69D4">
        <w:rPr>
          <w:lang w:val="en-GB"/>
        </w:rPr>
        <w:t xml:space="preserve">). </w:t>
      </w:r>
    </w:p>
    <w:p w:rsidR="00162CD2" w:rsidRPr="001E69D4" w:rsidRDefault="00162CD2">
      <w:pPr>
        <w:pStyle w:val="StyleBodyTextAfter10pt"/>
        <w:spacing w:line="276" w:lineRule="auto"/>
        <w:rPr>
          <w:lang w:val="en-GB"/>
        </w:rPr>
      </w:pPr>
      <w:r w:rsidRPr="001E69D4">
        <w:rPr>
          <w:lang w:val="en-GB"/>
        </w:rPr>
        <w:t xml:space="preserve">GSIM was designed as a single-commodity modelling framework (for example, </w:t>
      </w:r>
      <w:r>
        <w:rPr>
          <w:lang w:val="en-GB"/>
        </w:rPr>
        <w:t xml:space="preserve">for </w:t>
      </w:r>
      <w:r w:rsidRPr="001E69D4">
        <w:rPr>
          <w:lang w:val="en-GB"/>
        </w:rPr>
        <w:t>beef). For this application linkages on the production side have been incorporated with cross-price elasticity. This implies</w:t>
      </w:r>
      <w:r>
        <w:rPr>
          <w:lang w:val="en-GB"/>
        </w:rPr>
        <w:t>,</w:t>
      </w:r>
      <w:r w:rsidRPr="001E69D4">
        <w:rPr>
          <w:lang w:val="en-GB"/>
        </w:rPr>
        <w:t xml:space="preserve"> for example</w:t>
      </w:r>
      <w:r>
        <w:rPr>
          <w:lang w:val="en-GB"/>
        </w:rPr>
        <w:t>,</w:t>
      </w:r>
      <w:r w:rsidRPr="001E69D4">
        <w:rPr>
          <w:lang w:val="en-GB"/>
        </w:rPr>
        <w:t xml:space="preserve"> that the price of beef </w:t>
      </w:r>
      <w:r>
        <w:rPr>
          <w:lang w:val="en-GB"/>
        </w:rPr>
        <w:t>a</w:t>
      </w:r>
      <w:r w:rsidRPr="001E69D4">
        <w:rPr>
          <w:lang w:val="en-GB"/>
        </w:rPr>
        <w:t xml:space="preserve">ffects the production of pork. </w:t>
      </w:r>
      <w:r w:rsidR="00E806D1" w:rsidRPr="001E69D4">
        <w:rPr>
          <w:lang w:val="en-GB"/>
        </w:rPr>
        <w:t xml:space="preserve">Potential </w:t>
      </w:r>
      <w:r w:rsidR="00E806D1">
        <w:rPr>
          <w:lang w:val="en-GB"/>
        </w:rPr>
        <w:t>substitution</w:t>
      </w:r>
      <w:r w:rsidR="00E806D1" w:rsidRPr="001E69D4">
        <w:rPr>
          <w:lang w:val="en-GB"/>
        </w:rPr>
        <w:t xml:space="preserve"> in consumption between goods (for example, beef and poultry) </w:t>
      </w:r>
      <w:r w:rsidR="00E806D1">
        <w:rPr>
          <w:lang w:val="en-GB"/>
        </w:rPr>
        <w:t>is</w:t>
      </w:r>
      <w:r w:rsidR="00E806D1" w:rsidRPr="001E69D4">
        <w:rPr>
          <w:lang w:val="en-GB"/>
        </w:rPr>
        <w:t xml:space="preserve"> ignored</w:t>
      </w:r>
      <w:r w:rsidR="00E806D1">
        <w:rPr>
          <w:lang w:val="en-GB"/>
        </w:rPr>
        <w:t>.</w:t>
      </w:r>
      <w:r w:rsidR="00E806D1" w:rsidRPr="001E69D4">
        <w:rPr>
          <w:lang w:val="en-GB"/>
        </w:rPr>
        <w:t xml:space="preserve"> </w:t>
      </w:r>
      <w:r w:rsidRPr="001E69D4">
        <w:rPr>
          <w:lang w:val="en-GB"/>
        </w:rPr>
        <w:t xml:space="preserve">A further simplifying assumption is no changes in stocks, nor is there growth in production or consumption over time. Thus, we are ignoring the phase-in period and merely assessing what the pattern of production and trade would have been had the tariff changes been applied to the economy as it was in 2007, the base period. </w:t>
      </w:r>
    </w:p>
    <w:p w:rsidR="00162CD2" w:rsidRPr="001E69D4" w:rsidRDefault="00162CD2">
      <w:pPr>
        <w:pStyle w:val="StyleBodyTextAfter10pt"/>
        <w:spacing w:line="276" w:lineRule="auto"/>
        <w:rPr>
          <w:lang w:val="en-GB"/>
        </w:rPr>
      </w:pPr>
      <w:r w:rsidRPr="001E69D4">
        <w:rPr>
          <w:lang w:val="en-GB"/>
        </w:rPr>
        <w:t>The model is simple, in that it does not include land, labour</w:t>
      </w:r>
      <w:r>
        <w:rPr>
          <w:lang w:val="en-GB"/>
        </w:rPr>
        <w:t>,</w:t>
      </w:r>
      <w:r w:rsidRPr="001E69D4">
        <w:rPr>
          <w:lang w:val="en-GB"/>
        </w:rPr>
        <w:t xml:space="preserve"> and capital or other sectors of the economy. However, if it is assumed that inputs are used in fixed proportions, then changes in employment can be gauged from the change in output. This implies </w:t>
      </w:r>
      <w:r>
        <w:rPr>
          <w:lang w:val="en-GB"/>
        </w:rPr>
        <w:t xml:space="preserve">that </w:t>
      </w:r>
      <w:r w:rsidRPr="001E69D4">
        <w:rPr>
          <w:lang w:val="en-GB"/>
        </w:rPr>
        <w:t>there is no substitution between labour</w:t>
      </w:r>
      <w:r>
        <w:rPr>
          <w:lang w:val="en-GB"/>
        </w:rPr>
        <w:t>, on one hand,</w:t>
      </w:r>
      <w:r w:rsidRPr="001E69D4">
        <w:rPr>
          <w:lang w:val="en-GB"/>
        </w:rPr>
        <w:t xml:space="preserve"> and capital and other inputs</w:t>
      </w:r>
      <w:r>
        <w:rPr>
          <w:lang w:val="en-GB"/>
        </w:rPr>
        <w:t>, on the other,</w:t>
      </w:r>
      <w:r w:rsidRPr="001E69D4">
        <w:rPr>
          <w:lang w:val="en-GB"/>
        </w:rPr>
        <w:t xml:space="preserve"> when output changes. GSIM does not include constraints that may limit production, such as the availability of water for irrigation, or demand</w:t>
      </w:r>
      <w:r w:rsidR="000A3C72">
        <w:rPr>
          <w:lang w:val="en-GB"/>
        </w:rPr>
        <w:t>-</w:t>
      </w:r>
      <w:r w:rsidRPr="001E69D4">
        <w:rPr>
          <w:lang w:val="en-GB"/>
        </w:rPr>
        <w:t>side constraints such as SPS requirements. Nor does it take into account that labour forced out of agriculture by declining output may find employment in other sectors of the economy. Notwithstanding the</w:t>
      </w:r>
      <w:r>
        <w:rPr>
          <w:lang w:val="en-GB"/>
        </w:rPr>
        <w:t>se</w:t>
      </w:r>
      <w:r w:rsidRPr="001E69D4">
        <w:rPr>
          <w:lang w:val="en-GB"/>
        </w:rPr>
        <w:t xml:space="preserve"> limitations, the advantage of simplicity is that the model is transparent, and the factors determining changes in trade flows and employment can be readily identified. Furthermore, it allows </w:t>
      </w:r>
      <w:r>
        <w:rPr>
          <w:lang w:val="en-GB"/>
        </w:rPr>
        <w:t>setting</w:t>
      </w:r>
      <w:r w:rsidRPr="001E69D4">
        <w:rPr>
          <w:lang w:val="en-GB"/>
        </w:rPr>
        <w:t xml:space="preserve"> the level of product aggregation according to the analytical requirement. Here, most products are at the 4-digit HS</w:t>
      </w:r>
      <w:r>
        <w:rPr>
          <w:lang w:val="en-GB"/>
        </w:rPr>
        <w:t xml:space="preserve"> </w:t>
      </w:r>
      <w:r w:rsidRPr="001E69D4">
        <w:rPr>
          <w:lang w:val="en-GB"/>
        </w:rPr>
        <w:t>level.</w:t>
      </w:r>
    </w:p>
    <w:p w:rsidR="00162CD2" w:rsidRPr="001E69D4" w:rsidRDefault="00CE0B87" w:rsidP="00E92F91">
      <w:pPr>
        <w:pStyle w:val="Heading2"/>
      </w:pPr>
      <w:r>
        <w:t>9</w:t>
      </w:r>
      <w:r w:rsidR="00162CD2">
        <w:t>.</w:t>
      </w:r>
      <w:r w:rsidR="006E5332">
        <w:t>4</w:t>
      </w:r>
      <w:r w:rsidR="00162CD2">
        <w:t>.2</w:t>
      </w:r>
      <w:r w:rsidR="00162CD2">
        <w:tab/>
      </w:r>
      <w:r w:rsidR="00162CD2" w:rsidRPr="001E69D4">
        <w:t>Data</w:t>
      </w:r>
    </w:p>
    <w:p w:rsidR="00162CD2" w:rsidRPr="001E69D4" w:rsidRDefault="00162CD2">
      <w:pPr>
        <w:pStyle w:val="BodyText"/>
        <w:spacing w:line="276" w:lineRule="auto"/>
        <w:rPr>
          <w:lang w:val="en-GB"/>
        </w:rPr>
      </w:pPr>
      <w:r w:rsidRPr="001E69D4">
        <w:rPr>
          <w:lang w:val="en-GB"/>
        </w:rPr>
        <w:t>As with most models, the data available determine the quality of the output. In this case the data required include:</w:t>
      </w:r>
    </w:p>
    <w:p w:rsidR="00162CD2" w:rsidRPr="001E69D4" w:rsidRDefault="00162CD2">
      <w:pPr>
        <w:pStyle w:val="StyleJustifiedLinespacing15lines"/>
        <w:numPr>
          <w:ilvl w:val="0"/>
          <w:numId w:val="31"/>
        </w:numPr>
        <w:spacing w:line="276" w:lineRule="auto"/>
        <w:rPr>
          <w:lang w:val="en-GB"/>
        </w:rPr>
      </w:pPr>
      <w:r>
        <w:rPr>
          <w:lang w:val="en-GB"/>
        </w:rPr>
        <w:t>B</w:t>
      </w:r>
      <w:r w:rsidRPr="001E69D4">
        <w:rPr>
          <w:lang w:val="en-GB"/>
        </w:rPr>
        <w:t xml:space="preserve">ilateral trade flows between the main countries involved in trade. These data, in values at world prices, are obtained from UN </w:t>
      </w:r>
      <w:proofErr w:type="spellStart"/>
      <w:r w:rsidRPr="001E69D4">
        <w:rPr>
          <w:lang w:val="en-GB"/>
        </w:rPr>
        <w:t>Comtrade</w:t>
      </w:r>
      <w:proofErr w:type="spellEnd"/>
      <w:r w:rsidRPr="001E69D4">
        <w:rPr>
          <w:lang w:val="en-GB"/>
        </w:rPr>
        <w:t xml:space="preserve"> via WITS, a World Bank/UNCTAD data integration package. The trade data originally come from national sources</w:t>
      </w:r>
      <w:r>
        <w:rPr>
          <w:lang w:val="en-GB"/>
        </w:rPr>
        <w:t>.</w:t>
      </w:r>
    </w:p>
    <w:p w:rsidR="00162CD2" w:rsidRPr="001E69D4" w:rsidRDefault="00162CD2" w:rsidP="00425514">
      <w:pPr>
        <w:pStyle w:val="StyleJustifiedLinespacing15lines"/>
        <w:numPr>
          <w:ilvl w:val="0"/>
          <w:numId w:val="31"/>
        </w:numPr>
        <w:spacing w:line="276" w:lineRule="auto"/>
        <w:rPr>
          <w:lang w:val="en-GB"/>
        </w:rPr>
      </w:pPr>
      <w:r w:rsidRPr="001E69D4">
        <w:rPr>
          <w:lang w:val="en-GB"/>
        </w:rPr>
        <w:t xml:space="preserve">Production. Estimates of production at world prices </w:t>
      </w:r>
      <w:r>
        <w:rPr>
          <w:lang w:val="en-GB"/>
        </w:rPr>
        <w:t>come</w:t>
      </w:r>
      <w:r w:rsidRPr="001E69D4">
        <w:rPr>
          <w:lang w:val="en-GB"/>
        </w:rPr>
        <w:t xml:space="preserve"> from FAOSTAT and </w:t>
      </w:r>
      <w:r w:rsidR="006E77CC">
        <w:rPr>
          <w:lang w:val="en-GB"/>
        </w:rPr>
        <w:t xml:space="preserve">are </w:t>
      </w:r>
      <w:r w:rsidRPr="001E69D4">
        <w:rPr>
          <w:lang w:val="en-GB"/>
        </w:rPr>
        <w:t xml:space="preserve">supplemented by official </w:t>
      </w:r>
      <w:r>
        <w:rPr>
          <w:lang w:val="en-GB"/>
        </w:rPr>
        <w:t>state</w:t>
      </w:r>
      <w:r w:rsidRPr="001E69D4">
        <w:rPr>
          <w:lang w:val="en-GB"/>
        </w:rPr>
        <w:t xml:space="preserve"> data.</w:t>
      </w:r>
    </w:p>
    <w:p w:rsidR="00162CD2" w:rsidRPr="001E69D4" w:rsidRDefault="00162CD2">
      <w:pPr>
        <w:pStyle w:val="StyleJustifiedLinespacing15lines"/>
        <w:numPr>
          <w:ilvl w:val="0"/>
          <w:numId w:val="31"/>
        </w:numPr>
        <w:spacing w:line="276" w:lineRule="auto"/>
        <w:rPr>
          <w:lang w:val="en-GB"/>
        </w:rPr>
      </w:pPr>
      <w:r w:rsidRPr="001E69D4">
        <w:rPr>
          <w:lang w:val="en-GB"/>
        </w:rPr>
        <w:t xml:space="preserve">Employment. In the absence of census data or recent surveys, it is assumed that 500,000 people are employed in agriculture, and </w:t>
      </w:r>
      <w:r>
        <w:rPr>
          <w:lang w:val="en-GB"/>
        </w:rPr>
        <w:t>about</w:t>
      </w:r>
      <w:r w:rsidRPr="001E69D4">
        <w:rPr>
          <w:lang w:val="en-GB"/>
        </w:rPr>
        <w:t xml:space="preserve"> 204,000 are employed in the eight sectors examined here. This </w:t>
      </w:r>
      <w:r>
        <w:rPr>
          <w:lang w:val="en-GB"/>
        </w:rPr>
        <w:t xml:space="preserve">assumption </w:t>
      </w:r>
      <w:r w:rsidRPr="001E69D4">
        <w:rPr>
          <w:lang w:val="en-GB"/>
        </w:rPr>
        <w:t xml:space="preserve">is based on the estimated value of production, from FAOSTAT. This number of workers </w:t>
      </w:r>
      <w:r>
        <w:rPr>
          <w:lang w:val="en-GB"/>
        </w:rPr>
        <w:t>is</w:t>
      </w:r>
      <w:r w:rsidRPr="001E69D4">
        <w:rPr>
          <w:lang w:val="en-GB"/>
        </w:rPr>
        <w:t xml:space="preserve"> allocated to the sectors taking into account the labour</w:t>
      </w:r>
      <w:r>
        <w:rPr>
          <w:lang w:val="en-GB"/>
        </w:rPr>
        <w:t>–</w:t>
      </w:r>
      <w:r w:rsidRPr="001E69D4">
        <w:rPr>
          <w:lang w:val="en-GB"/>
        </w:rPr>
        <w:t xml:space="preserve">output ratios taken from the </w:t>
      </w:r>
      <w:r>
        <w:rPr>
          <w:lang w:val="en-GB"/>
        </w:rPr>
        <w:t xml:space="preserve">Global Trade Analysis Project </w:t>
      </w:r>
      <w:r w:rsidR="000A3C72">
        <w:rPr>
          <w:lang w:val="en-GB"/>
        </w:rPr>
        <w:t>(</w:t>
      </w:r>
      <w:r w:rsidRPr="001E69D4">
        <w:rPr>
          <w:lang w:val="en-GB"/>
        </w:rPr>
        <w:t>GTAP</w:t>
      </w:r>
      <w:r w:rsidR="000A3C72">
        <w:rPr>
          <w:lang w:val="en-GB"/>
        </w:rPr>
        <w:t>)</w:t>
      </w:r>
      <w:r w:rsidRPr="001E69D4">
        <w:rPr>
          <w:lang w:val="en-GB"/>
        </w:rPr>
        <w:t xml:space="preserve"> Version 8 database. Because BH </w:t>
      </w:r>
      <w:r>
        <w:rPr>
          <w:lang w:val="en-GB"/>
        </w:rPr>
        <w:t>data are</w:t>
      </w:r>
      <w:r w:rsidRPr="001E69D4">
        <w:rPr>
          <w:lang w:val="en-GB"/>
        </w:rPr>
        <w:t xml:space="preserve"> not in the database, </w:t>
      </w:r>
      <w:r>
        <w:rPr>
          <w:lang w:val="en-GB"/>
        </w:rPr>
        <w:t>BH</w:t>
      </w:r>
      <w:r w:rsidRPr="001E69D4">
        <w:rPr>
          <w:lang w:val="en-GB"/>
        </w:rPr>
        <w:t xml:space="preserve"> is assumed to have labour</w:t>
      </w:r>
      <w:r>
        <w:rPr>
          <w:lang w:val="en-GB"/>
        </w:rPr>
        <w:t>–</w:t>
      </w:r>
      <w:r w:rsidRPr="001E69D4">
        <w:rPr>
          <w:lang w:val="en-GB"/>
        </w:rPr>
        <w:t xml:space="preserve">output ratios </w:t>
      </w:r>
      <w:r>
        <w:rPr>
          <w:lang w:val="en-GB"/>
        </w:rPr>
        <w:t xml:space="preserve">similar </w:t>
      </w:r>
      <w:r w:rsidRPr="001E69D4">
        <w:rPr>
          <w:lang w:val="en-GB"/>
        </w:rPr>
        <w:t xml:space="preserve">to </w:t>
      </w:r>
      <w:r>
        <w:rPr>
          <w:lang w:val="en-GB"/>
        </w:rPr>
        <w:t xml:space="preserve">those of </w:t>
      </w:r>
      <w:r w:rsidRPr="001E69D4">
        <w:rPr>
          <w:lang w:val="en-GB"/>
        </w:rPr>
        <w:t>Bulgaria, a neighbouring country at a similar stage of development.</w:t>
      </w:r>
    </w:p>
    <w:p w:rsidR="00162CD2" w:rsidRPr="001E69D4" w:rsidRDefault="00162CD2">
      <w:pPr>
        <w:pStyle w:val="StyleJustifiedLinespacing15lines"/>
        <w:numPr>
          <w:ilvl w:val="0"/>
          <w:numId w:val="31"/>
        </w:numPr>
        <w:spacing w:line="276" w:lineRule="auto"/>
        <w:rPr>
          <w:lang w:val="en-GB"/>
        </w:rPr>
      </w:pPr>
      <w:r w:rsidRPr="001E69D4">
        <w:rPr>
          <w:lang w:val="en-GB"/>
        </w:rPr>
        <w:t xml:space="preserve">Bilateral tariffs. The model requires applied tariffs on an ad valorem equivalent basis. Many of the agricultural tariffs of the European Union and BH contain a specific element and </w:t>
      </w:r>
      <w:r>
        <w:rPr>
          <w:lang w:val="en-GB"/>
        </w:rPr>
        <w:t xml:space="preserve">therefore </w:t>
      </w:r>
      <w:r w:rsidRPr="001E69D4">
        <w:rPr>
          <w:lang w:val="en-GB"/>
        </w:rPr>
        <w:t xml:space="preserve">need to be converted. There are several methods for converting specific </w:t>
      </w:r>
      <w:r>
        <w:rPr>
          <w:lang w:val="en-GB"/>
        </w:rPr>
        <w:t xml:space="preserve">tariffs </w:t>
      </w:r>
      <w:r w:rsidRPr="001E69D4">
        <w:rPr>
          <w:lang w:val="en-GB"/>
        </w:rPr>
        <w:t xml:space="preserve">to ad valorem equivalents. These differ on the appropriate price to use and can generate markedly different results. The method used here is the so-called “WTO method”, </w:t>
      </w:r>
      <w:r>
        <w:rPr>
          <w:lang w:val="en-GB"/>
        </w:rPr>
        <w:t xml:space="preserve">to </w:t>
      </w:r>
      <w:r w:rsidRPr="001E69D4">
        <w:rPr>
          <w:lang w:val="en-GB"/>
        </w:rPr>
        <w:t xml:space="preserve">which WTO members </w:t>
      </w:r>
      <w:r>
        <w:rPr>
          <w:lang w:val="en-GB"/>
        </w:rPr>
        <w:t xml:space="preserve">agreed </w:t>
      </w:r>
      <w:r w:rsidRPr="001E69D4">
        <w:rPr>
          <w:lang w:val="en-GB"/>
        </w:rPr>
        <w:t xml:space="preserve">in May 2005. </w:t>
      </w:r>
    </w:p>
    <w:p w:rsidR="00162CD2" w:rsidRPr="001E69D4" w:rsidRDefault="00162CD2">
      <w:pPr>
        <w:pStyle w:val="StyleJustifiedLinespacing15lines"/>
        <w:numPr>
          <w:ilvl w:val="0"/>
          <w:numId w:val="31"/>
        </w:numPr>
        <w:spacing w:line="276" w:lineRule="auto"/>
        <w:rPr>
          <w:lang w:val="en-GB"/>
        </w:rPr>
      </w:pPr>
      <w:r w:rsidRPr="001E69D4">
        <w:rPr>
          <w:lang w:val="en-GB"/>
        </w:rPr>
        <w:t>Export subsidies. These data are notified to the WTO. The</w:t>
      </w:r>
      <w:r>
        <w:rPr>
          <w:lang w:val="en-GB"/>
        </w:rPr>
        <w:t>y</w:t>
      </w:r>
      <w:r w:rsidRPr="001E69D4">
        <w:rPr>
          <w:lang w:val="en-GB"/>
        </w:rPr>
        <w:t xml:space="preserve"> are obtained from the Agricultural Market Access Database (AMAD). BH pays no export subsidies, but it imports subsidi</w:t>
      </w:r>
      <w:r>
        <w:rPr>
          <w:lang w:val="en-GB"/>
        </w:rPr>
        <w:t>z</w:t>
      </w:r>
      <w:r w:rsidRPr="001E69D4">
        <w:rPr>
          <w:lang w:val="en-GB"/>
        </w:rPr>
        <w:t>ed exports from the European Union.</w:t>
      </w:r>
    </w:p>
    <w:p w:rsidR="00162CD2" w:rsidRPr="001E69D4" w:rsidRDefault="00162CD2">
      <w:pPr>
        <w:pStyle w:val="StyleJustifiedLinespacing15lines"/>
        <w:numPr>
          <w:ilvl w:val="0"/>
          <w:numId w:val="31"/>
        </w:numPr>
        <w:spacing w:line="276" w:lineRule="auto"/>
        <w:rPr>
          <w:lang w:val="en-GB"/>
        </w:rPr>
      </w:pPr>
      <w:r w:rsidRPr="001E69D4">
        <w:rPr>
          <w:lang w:val="en-GB"/>
        </w:rPr>
        <w:t>Domestic support. BH pays limited domestic support</w:t>
      </w:r>
      <w:r>
        <w:rPr>
          <w:lang w:val="en-GB"/>
        </w:rPr>
        <w:t xml:space="preserve">, </w:t>
      </w:r>
      <w:r w:rsidRPr="001E69D4">
        <w:rPr>
          <w:lang w:val="en-GB"/>
        </w:rPr>
        <w:t xml:space="preserve">less than </w:t>
      </w:r>
      <w:r>
        <w:rPr>
          <w:lang w:val="en-GB"/>
        </w:rPr>
        <w:t>5</w:t>
      </w:r>
      <w:r w:rsidRPr="001E69D4">
        <w:rPr>
          <w:lang w:val="en-GB"/>
        </w:rPr>
        <w:t xml:space="preserve"> per cent of the value of production for most products</w:t>
      </w:r>
      <w:r>
        <w:rPr>
          <w:lang w:val="en-GB"/>
        </w:rPr>
        <w:t>. This level of support</w:t>
      </w:r>
      <w:r w:rsidRPr="001E69D4">
        <w:rPr>
          <w:lang w:val="en-GB"/>
        </w:rPr>
        <w:t xml:space="preserve"> would be allowed under the </w:t>
      </w:r>
      <w:r w:rsidRPr="00DA443C">
        <w:rPr>
          <w:iCs/>
          <w:lang w:val="en-GB"/>
        </w:rPr>
        <w:t xml:space="preserve">de </w:t>
      </w:r>
      <w:proofErr w:type="spellStart"/>
      <w:r w:rsidRPr="00DA443C">
        <w:rPr>
          <w:iCs/>
          <w:lang w:val="en-GB"/>
        </w:rPr>
        <w:t>minimis</w:t>
      </w:r>
      <w:proofErr w:type="spellEnd"/>
      <w:r w:rsidRPr="001E69D4">
        <w:rPr>
          <w:lang w:val="en-GB"/>
        </w:rPr>
        <w:t xml:space="preserve"> provisions. </w:t>
      </w:r>
      <w:r>
        <w:rPr>
          <w:lang w:val="en-GB"/>
        </w:rPr>
        <w:t xml:space="preserve">However, </w:t>
      </w:r>
      <w:r w:rsidRPr="001E69D4">
        <w:rPr>
          <w:lang w:val="en-GB"/>
        </w:rPr>
        <w:t>BH may have to change the nature of its support away from market</w:t>
      </w:r>
      <w:r>
        <w:rPr>
          <w:lang w:val="en-GB"/>
        </w:rPr>
        <w:t>-</w:t>
      </w:r>
      <w:r w:rsidRPr="001E69D4">
        <w:rPr>
          <w:lang w:val="en-GB"/>
        </w:rPr>
        <w:t>based measures to income support.</w:t>
      </w:r>
    </w:p>
    <w:p w:rsidR="00162CD2" w:rsidRPr="001E69D4" w:rsidRDefault="00162CD2">
      <w:pPr>
        <w:pStyle w:val="StyleJustifiedLinespacing15lines"/>
        <w:numPr>
          <w:ilvl w:val="0"/>
          <w:numId w:val="31"/>
        </w:numPr>
        <w:spacing w:line="276" w:lineRule="auto"/>
        <w:rPr>
          <w:lang w:val="en-GB"/>
        </w:rPr>
      </w:pPr>
      <w:r w:rsidRPr="001E69D4">
        <w:rPr>
          <w:lang w:val="en-GB"/>
        </w:rPr>
        <w:t>Responsiveness of production and consumption to changes in prices. There are three types of elasticity in the model</w:t>
      </w:r>
      <w:r w:rsidR="00646F34">
        <w:rPr>
          <w:lang w:val="en-GB"/>
        </w:rPr>
        <w:t>:</w:t>
      </w:r>
      <w:r w:rsidRPr="001E69D4">
        <w:rPr>
          <w:lang w:val="en-GB"/>
        </w:rPr>
        <w:t xml:space="preserve"> demand, supply and </w:t>
      </w:r>
      <w:proofErr w:type="spellStart"/>
      <w:r w:rsidRPr="001E69D4">
        <w:rPr>
          <w:lang w:val="en-GB"/>
        </w:rPr>
        <w:t>Armington</w:t>
      </w:r>
      <w:proofErr w:type="spellEnd"/>
      <w:r w:rsidRPr="001E69D4">
        <w:rPr>
          <w:lang w:val="en-GB"/>
        </w:rPr>
        <w:t xml:space="preserve"> </w:t>
      </w:r>
      <w:proofErr w:type="spellStart"/>
      <w:r w:rsidRPr="001E69D4">
        <w:rPr>
          <w:lang w:val="en-GB"/>
        </w:rPr>
        <w:t>elasticit</w:t>
      </w:r>
      <w:r w:rsidR="00646F34">
        <w:rPr>
          <w:lang w:val="en-GB"/>
        </w:rPr>
        <w:t>ies</w:t>
      </w:r>
      <w:proofErr w:type="spellEnd"/>
      <w:r w:rsidRPr="001E69D4">
        <w:rPr>
          <w:lang w:val="en-GB"/>
        </w:rPr>
        <w:t xml:space="preserve">. </w:t>
      </w:r>
      <w:r>
        <w:rPr>
          <w:lang w:val="en-GB"/>
        </w:rPr>
        <w:t>W</w:t>
      </w:r>
      <w:r w:rsidRPr="001E69D4">
        <w:rPr>
          <w:lang w:val="en-GB"/>
        </w:rPr>
        <w:t>here possible</w:t>
      </w:r>
      <w:r>
        <w:rPr>
          <w:lang w:val="en-GB"/>
        </w:rPr>
        <w:t>,</w:t>
      </w:r>
      <w:r w:rsidRPr="001E69D4">
        <w:rPr>
          <w:lang w:val="en-GB"/>
        </w:rPr>
        <w:t xml:space="preserve"> </w:t>
      </w:r>
      <w:r>
        <w:rPr>
          <w:lang w:val="en-GB"/>
        </w:rPr>
        <w:t>d</w:t>
      </w:r>
      <w:r w:rsidRPr="001E69D4">
        <w:rPr>
          <w:lang w:val="en-GB"/>
        </w:rPr>
        <w:t xml:space="preserve">emand and supply </w:t>
      </w:r>
      <w:proofErr w:type="spellStart"/>
      <w:r w:rsidRPr="001E69D4">
        <w:rPr>
          <w:lang w:val="en-GB"/>
        </w:rPr>
        <w:t>elasticities</w:t>
      </w:r>
      <w:proofErr w:type="spellEnd"/>
      <w:r w:rsidRPr="001E69D4">
        <w:rPr>
          <w:lang w:val="en-GB"/>
        </w:rPr>
        <w:t xml:space="preserve"> are obtained from UNCTAD’s </w:t>
      </w:r>
      <w:r>
        <w:rPr>
          <w:rStyle w:val="st"/>
          <w:rFonts w:cs="Calibri"/>
        </w:rPr>
        <w:t>Agriculture Trade Policy Simulation Model</w:t>
      </w:r>
      <w:r w:rsidRPr="001E69D4">
        <w:rPr>
          <w:lang w:val="en-GB"/>
        </w:rPr>
        <w:t xml:space="preserve">. Where this is not possible, estimates are obtained from a similar country (Croatia) or based on a lower level of processing. For example, in the absence of estimates for processed meat, estimates for beef are used. </w:t>
      </w:r>
      <w:r>
        <w:rPr>
          <w:lang w:val="en-GB"/>
        </w:rPr>
        <w:t xml:space="preserve">The </w:t>
      </w:r>
      <w:proofErr w:type="spellStart"/>
      <w:r w:rsidRPr="001E69D4">
        <w:rPr>
          <w:lang w:val="en-GB"/>
        </w:rPr>
        <w:t>Armington</w:t>
      </w:r>
      <w:proofErr w:type="spellEnd"/>
      <w:r w:rsidRPr="001E69D4">
        <w:rPr>
          <w:lang w:val="en-GB"/>
        </w:rPr>
        <w:t xml:space="preserve"> </w:t>
      </w:r>
      <w:proofErr w:type="spellStart"/>
      <w:r w:rsidRPr="001E69D4">
        <w:rPr>
          <w:lang w:val="en-GB"/>
        </w:rPr>
        <w:t>elasticit</w:t>
      </w:r>
      <w:r>
        <w:rPr>
          <w:lang w:val="en-GB"/>
        </w:rPr>
        <w:t>ies</w:t>
      </w:r>
      <w:proofErr w:type="spellEnd"/>
      <w:r w:rsidRPr="001E69D4">
        <w:rPr>
          <w:lang w:val="en-GB"/>
        </w:rPr>
        <w:t>, which measure the responsive</w:t>
      </w:r>
      <w:r w:rsidR="006E77CC">
        <w:rPr>
          <w:lang w:val="en-GB"/>
        </w:rPr>
        <w:t>ness</w:t>
      </w:r>
      <w:r w:rsidRPr="001E69D4">
        <w:rPr>
          <w:lang w:val="en-GB"/>
        </w:rPr>
        <w:t xml:space="preserve"> of consumers to </w:t>
      </w:r>
      <w:r w:rsidR="00646F34">
        <w:rPr>
          <w:lang w:val="en-GB"/>
        </w:rPr>
        <w:t xml:space="preserve">a </w:t>
      </w:r>
      <w:r w:rsidRPr="001E69D4">
        <w:rPr>
          <w:lang w:val="en-GB"/>
        </w:rPr>
        <w:t xml:space="preserve">change in relative prices of imports from alternative sources, </w:t>
      </w:r>
      <w:r>
        <w:rPr>
          <w:lang w:val="en-GB"/>
        </w:rPr>
        <w:t>come</w:t>
      </w:r>
      <w:r w:rsidRPr="001E69D4">
        <w:rPr>
          <w:lang w:val="en-GB"/>
        </w:rPr>
        <w:t xml:space="preserve"> from the GTAP database. </w:t>
      </w:r>
      <w:r>
        <w:rPr>
          <w:lang w:val="en-GB"/>
        </w:rPr>
        <w:t>Because BH</w:t>
      </w:r>
      <w:r w:rsidRPr="001E69D4">
        <w:rPr>
          <w:lang w:val="en-GB"/>
        </w:rPr>
        <w:t xml:space="preserve"> is not included as a separate country in the database, estimates for Bulgaria are used. </w:t>
      </w:r>
    </w:p>
    <w:p w:rsidR="00162CD2" w:rsidRDefault="00162CD2">
      <w:pPr>
        <w:pStyle w:val="StyleJustifiedLinespacing15lines"/>
        <w:spacing w:line="276" w:lineRule="auto"/>
        <w:rPr>
          <w:lang w:val="en-GB"/>
        </w:rPr>
      </w:pPr>
      <w:r w:rsidRPr="001E69D4">
        <w:rPr>
          <w:lang w:val="en-GB"/>
        </w:rPr>
        <w:t>This analysis is applied to eight specific products</w:t>
      </w:r>
      <w:r>
        <w:rPr>
          <w:lang w:val="en-GB"/>
        </w:rPr>
        <w:t xml:space="preserve">, as listed in Table </w:t>
      </w:r>
      <w:r w:rsidR="00F93001">
        <w:rPr>
          <w:lang w:val="en-GB"/>
        </w:rPr>
        <w:t>9</w:t>
      </w:r>
      <w:r>
        <w:rPr>
          <w:lang w:val="en-GB"/>
        </w:rPr>
        <w:t>.7</w:t>
      </w:r>
      <w:r w:rsidRPr="001E69D4">
        <w:rPr>
          <w:lang w:val="en-GB"/>
        </w:rPr>
        <w:t>. These products are considered sensitive and of particular interest to policy-makers.</w:t>
      </w:r>
    </w:p>
    <w:p w:rsidR="00E37DDB" w:rsidRDefault="00E37DDB">
      <w:pPr>
        <w:spacing w:after="0" w:line="240" w:lineRule="auto"/>
        <w:ind w:firstLine="0"/>
        <w:jc w:val="left"/>
        <w:rPr>
          <w:lang w:eastAsia="en-US"/>
        </w:rPr>
      </w:pPr>
    </w:p>
    <w:p w:rsidR="00162CD2" w:rsidRPr="00E4059A" w:rsidRDefault="000A120D" w:rsidP="00363C76">
      <w:pPr>
        <w:pStyle w:val="Tabletitle"/>
      </w:pPr>
      <w:r w:rsidRPr="000A120D">
        <w:t>Table 9.7:</w:t>
      </w:r>
      <w:r w:rsidRPr="000A120D">
        <w:tab/>
        <w:t>Model coverage</w:t>
      </w:r>
    </w:p>
    <w:tbl>
      <w:tblPr>
        <w:tblW w:w="8453" w:type="dxa"/>
        <w:tblLayout w:type="fixed"/>
        <w:tblLook w:val="0000"/>
      </w:tblPr>
      <w:tblGrid>
        <w:gridCol w:w="2568"/>
        <w:gridCol w:w="3480"/>
        <w:gridCol w:w="2405"/>
      </w:tblGrid>
      <w:tr w:rsidR="00162CD2" w:rsidRPr="008A36EB" w:rsidTr="004011B9">
        <w:trPr>
          <w:trHeight w:val="255"/>
        </w:trPr>
        <w:tc>
          <w:tcPr>
            <w:tcW w:w="2568" w:type="dxa"/>
            <w:tcBorders>
              <w:bottom w:val="single" w:sz="4" w:space="0" w:color="000000"/>
              <w:right w:val="double" w:sz="4" w:space="0" w:color="auto"/>
            </w:tcBorders>
            <w:vAlign w:val="bottom"/>
          </w:tcPr>
          <w:p w:rsidR="00E86140" w:rsidRDefault="00162CD2">
            <w:pPr>
              <w:pStyle w:val="Heading3"/>
              <w:jc w:val="left"/>
            </w:pPr>
            <w:r w:rsidRPr="008A36EB">
              <w:t>Region</w:t>
            </w:r>
            <w:r w:rsidR="004011B9">
              <w:t>s</w:t>
            </w:r>
          </w:p>
        </w:tc>
        <w:tc>
          <w:tcPr>
            <w:tcW w:w="3480" w:type="dxa"/>
            <w:tcBorders>
              <w:left w:val="double" w:sz="4" w:space="0" w:color="auto"/>
              <w:bottom w:val="double" w:sz="4" w:space="0" w:color="auto"/>
            </w:tcBorders>
            <w:noWrap/>
            <w:vAlign w:val="bottom"/>
          </w:tcPr>
          <w:p w:rsidR="00E86140" w:rsidRDefault="00AD0CE7" w:rsidP="004011B9">
            <w:pPr>
              <w:pStyle w:val="Heading3"/>
              <w:jc w:val="left"/>
              <w:rPr>
                <w:rFonts w:eastAsia="Arial Unicode MS"/>
                <w:b w:val="0"/>
              </w:rPr>
            </w:pPr>
            <w:r w:rsidRPr="004011B9">
              <w:t>Product</w:t>
            </w:r>
            <w:r w:rsidR="00162CD2" w:rsidRPr="004011B9">
              <w:t xml:space="preserve"> </w:t>
            </w:r>
          </w:p>
        </w:tc>
        <w:tc>
          <w:tcPr>
            <w:tcW w:w="2405" w:type="dxa"/>
            <w:tcBorders>
              <w:bottom w:val="double" w:sz="4" w:space="0" w:color="auto"/>
            </w:tcBorders>
            <w:vAlign w:val="bottom"/>
          </w:tcPr>
          <w:p w:rsidR="00E86140" w:rsidRDefault="00162CD2">
            <w:pPr>
              <w:pStyle w:val="Heading3"/>
              <w:jc w:val="left"/>
              <w:rPr>
                <w:rFonts w:eastAsia="Arial Unicode MS"/>
              </w:rPr>
            </w:pPr>
            <w:r w:rsidRPr="008A36EB">
              <w:t>HS Code</w:t>
            </w:r>
          </w:p>
        </w:tc>
      </w:tr>
      <w:tr w:rsidR="00162CD2" w:rsidRPr="008A36EB" w:rsidTr="004011B9">
        <w:trPr>
          <w:trHeight w:val="255"/>
        </w:trPr>
        <w:tc>
          <w:tcPr>
            <w:tcW w:w="2568" w:type="dxa"/>
            <w:tcBorders>
              <w:right w:val="double" w:sz="4" w:space="0" w:color="auto"/>
            </w:tcBorders>
          </w:tcPr>
          <w:p w:rsidR="00162CD2" w:rsidRPr="001E69D4" w:rsidRDefault="00162CD2" w:rsidP="002A371E">
            <w:pPr>
              <w:spacing w:after="0" w:line="240" w:lineRule="auto"/>
              <w:ind w:firstLine="0"/>
              <w:rPr>
                <w:rStyle w:val="Style11pt"/>
                <w:rFonts w:ascii="Calibri" w:hAnsi="Calibri" w:cs="Calibri"/>
              </w:rPr>
            </w:pPr>
            <w:r w:rsidRPr="001E69D4">
              <w:rPr>
                <w:rStyle w:val="Style11pt"/>
                <w:rFonts w:ascii="Calibri" w:hAnsi="Calibri" w:cs="Calibri"/>
              </w:rPr>
              <w:t>Bosnia and Herzegovina</w:t>
            </w:r>
          </w:p>
        </w:tc>
        <w:tc>
          <w:tcPr>
            <w:tcW w:w="3480" w:type="dxa"/>
            <w:tcBorders>
              <w:top w:val="double" w:sz="4" w:space="0" w:color="auto"/>
              <w:left w:val="double" w:sz="4" w:space="0" w:color="auto"/>
            </w:tcBorders>
            <w:noWrap/>
          </w:tcPr>
          <w:p w:rsidR="00162CD2" w:rsidRPr="001E69D4" w:rsidRDefault="00162CD2" w:rsidP="002A371E">
            <w:pPr>
              <w:spacing w:after="0" w:line="240" w:lineRule="auto"/>
              <w:ind w:firstLine="0"/>
              <w:rPr>
                <w:rStyle w:val="Style11pt"/>
                <w:rFonts w:ascii="Calibri" w:eastAsia="Arial Unicode MS" w:hAnsi="Calibri" w:cs="Calibri"/>
              </w:rPr>
            </w:pPr>
            <w:r w:rsidRPr="001E69D4">
              <w:rPr>
                <w:rStyle w:val="Style11pt"/>
                <w:rFonts w:ascii="Calibri" w:hAnsi="Calibri" w:cs="Calibri"/>
              </w:rPr>
              <w:t>Beef</w:t>
            </w:r>
          </w:p>
        </w:tc>
        <w:tc>
          <w:tcPr>
            <w:tcW w:w="2405" w:type="dxa"/>
            <w:tcBorders>
              <w:top w:val="double" w:sz="4" w:space="0" w:color="auto"/>
            </w:tcBorders>
          </w:tcPr>
          <w:p w:rsidR="00162CD2" w:rsidRPr="008A36EB" w:rsidRDefault="00162CD2" w:rsidP="009C4729">
            <w:pPr>
              <w:pStyle w:val="FootnoteText"/>
              <w:spacing w:after="0" w:line="240" w:lineRule="auto"/>
              <w:ind w:firstLine="0"/>
              <w:rPr>
                <w:rFonts w:eastAsia="Arial Unicode MS"/>
                <w:lang w:val="en-GB"/>
              </w:rPr>
            </w:pPr>
            <w:r w:rsidRPr="008A36EB">
              <w:rPr>
                <w:sz w:val="22"/>
                <w:szCs w:val="22"/>
                <w:lang w:val="en-GB"/>
              </w:rPr>
              <w:t>0201–0202</w:t>
            </w:r>
          </w:p>
        </w:tc>
      </w:tr>
      <w:tr w:rsidR="00162CD2" w:rsidRPr="008A36EB" w:rsidTr="004011B9">
        <w:trPr>
          <w:trHeight w:val="255"/>
        </w:trPr>
        <w:tc>
          <w:tcPr>
            <w:tcW w:w="2568" w:type="dxa"/>
            <w:tcBorders>
              <w:right w:val="double" w:sz="4" w:space="0" w:color="auto"/>
            </w:tcBorders>
          </w:tcPr>
          <w:p w:rsidR="00162CD2" w:rsidRPr="001E69D4" w:rsidRDefault="00162CD2" w:rsidP="002A371E">
            <w:pPr>
              <w:spacing w:after="0" w:line="240" w:lineRule="auto"/>
              <w:ind w:firstLine="0"/>
              <w:rPr>
                <w:rStyle w:val="Style11pt"/>
                <w:rFonts w:ascii="Calibri" w:hAnsi="Calibri" w:cs="Calibri"/>
              </w:rPr>
            </w:pPr>
            <w:r w:rsidRPr="001E69D4">
              <w:rPr>
                <w:rStyle w:val="Style11pt"/>
                <w:rFonts w:ascii="Calibri" w:hAnsi="Calibri" w:cs="Calibri"/>
              </w:rPr>
              <w:t>European Union 25</w:t>
            </w:r>
          </w:p>
        </w:tc>
        <w:tc>
          <w:tcPr>
            <w:tcW w:w="3480" w:type="dxa"/>
            <w:tcBorders>
              <w:left w:val="double" w:sz="4" w:space="0" w:color="auto"/>
            </w:tcBorders>
            <w:noWrap/>
          </w:tcPr>
          <w:p w:rsidR="00162CD2" w:rsidRPr="001E69D4" w:rsidRDefault="00162CD2" w:rsidP="002A371E">
            <w:pPr>
              <w:spacing w:after="0" w:line="240" w:lineRule="auto"/>
              <w:ind w:firstLine="0"/>
              <w:rPr>
                <w:rStyle w:val="Style11pt"/>
                <w:rFonts w:ascii="Calibri" w:eastAsia="Arial Unicode MS" w:hAnsi="Calibri" w:cs="Calibri"/>
              </w:rPr>
            </w:pPr>
            <w:r w:rsidRPr="001E69D4">
              <w:rPr>
                <w:rStyle w:val="Style11pt"/>
                <w:rFonts w:ascii="Calibri" w:hAnsi="Calibri" w:cs="Calibri"/>
              </w:rPr>
              <w:t>Pork</w:t>
            </w:r>
          </w:p>
        </w:tc>
        <w:tc>
          <w:tcPr>
            <w:tcW w:w="2405" w:type="dxa"/>
          </w:tcPr>
          <w:p w:rsidR="00162CD2" w:rsidRPr="001E69D4" w:rsidRDefault="00162CD2" w:rsidP="002A371E">
            <w:pPr>
              <w:spacing w:after="0" w:line="240" w:lineRule="auto"/>
              <w:ind w:firstLine="0"/>
              <w:rPr>
                <w:rStyle w:val="Style11pt"/>
                <w:rFonts w:ascii="Calibri" w:eastAsia="Arial Unicode MS" w:hAnsi="Calibri" w:cs="Calibri"/>
              </w:rPr>
            </w:pPr>
            <w:r w:rsidRPr="001E69D4">
              <w:rPr>
                <w:rStyle w:val="Style11pt"/>
                <w:rFonts w:ascii="Calibri" w:hAnsi="Calibri" w:cs="Calibri"/>
              </w:rPr>
              <w:t>0203</w:t>
            </w:r>
          </w:p>
        </w:tc>
      </w:tr>
      <w:tr w:rsidR="00162CD2" w:rsidRPr="008A36EB" w:rsidTr="004011B9">
        <w:trPr>
          <w:trHeight w:val="255"/>
        </w:trPr>
        <w:tc>
          <w:tcPr>
            <w:tcW w:w="2568" w:type="dxa"/>
            <w:tcBorders>
              <w:right w:val="double" w:sz="4" w:space="0" w:color="auto"/>
            </w:tcBorders>
          </w:tcPr>
          <w:p w:rsidR="00162CD2" w:rsidRPr="001E69D4" w:rsidRDefault="00162CD2" w:rsidP="002A371E">
            <w:pPr>
              <w:spacing w:after="0" w:line="240" w:lineRule="auto"/>
              <w:ind w:firstLine="0"/>
              <w:rPr>
                <w:rStyle w:val="Style11pt"/>
                <w:rFonts w:ascii="Calibri" w:hAnsi="Calibri" w:cs="Calibri"/>
              </w:rPr>
            </w:pPr>
            <w:r w:rsidRPr="001E69D4">
              <w:rPr>
                <w:rStyle w:val="Style11pt"/>
                <w:rFonts w:ascii="Calibri" w:hAnsi="Calibri" w:cs="Calibri"/>
              </w:rPr>
              <w:t xml:space="preserve">CEFTA </w:t>
            </w:r>
          </w:p>
        </w:tc>
        <w:tc>
          <w:tcPr>
            <w:tcW w:w="3480" w:type="dxa"/>
            <w:tcBorders>
              <w:left w:val="double" w:sz="4" w:space="0" w:color="auto"/>
            </w:tcBorders>
            <w:noWrap/>
          </w:tcPr>
          <w:p w:rsidR="00162CD2" w:rsidRPr="001E69D4" w:rsidRDefault="00162CD2" w:rsidP="002A371E">
            <w:pPr>
              <w:spacing w:after="0" w:line="240" w:lineRule="auto"/>
              <w:ind w:firstLine="0"/>
              <w:rPr>
                <w:rStyle w:val="Style11pt"/>
                <w:rFonts w:ascii="Calibri" w:eastAsia="Arial Unicode MS" w:hAnsi="Calibri" w:cs="Calibri"/>
              </w:rPr>
            </w:pPr>
            <w:r w:rsidRPr="001E69D4">
              <w:rPr>
                <w:rStyle w:val="Style11pt"/>
                <w:rFonts w:ascii="Calibri" w:hAnsi="Calibri" w:cs="Calibri"/>
              </w:rPr>
              <w:t>Poultry meat</w:t>
            </w:r>
          </w:p>
        </w:tc>
        <w:tc>
          <w:tcPr>
            <w:tcW w:w="2405" w:type="dxa"/>
          </w:tcPr>
          <w:p w:rsidR="00162CD2" w:rsidRPr="001E69D4" w:rsidRDefault="00162CD2" w:rsidP="002A371E">
            <w:pPr>
              <w:spacing w:after="0" w:line="240" w:lineRule="auto"/>
              <w:ind w:firstLine="0"/>
              <w:rPr>
                <w:rStyle w:val="Style11pt"/>
                <w:rFonts w:ascii="Calibri" w:eastAsia="Arial Unicode MS" w:hAnsi="Calibri" w:cs="Calibri"/>
              </w:rPr>
            </w:pPr>
            <w:r w:rsidRPr="001E69D4">
              <w:rPr>
                <w:rStyle w:val="Style11pt"/>
                <w:rFonts w:ascii="Calibri" w:hAnsi="Calibri" w:cs="Calibri"/>
              </w:rPr>
              <w:t>0207</w:t>
            </w:r>
          </w:p>
        </w:tc>
      </w:tr>
      <w:tr w:rsidR="00162CD2" w:rsidRPr="008A36EB" w:rsidTr="004011B9">
        <w:trPr>
          <w:trHeight w:val="255"/>
        </w:trPr>
        <w:tc>
          <w:tcPr>
            <w:tcW w:w="2568" w:type="dxa"/>
            <w:tcBorders>
              <w:right w:val="double" w:sz="4" w:space="0" w:color="auto"/>
            </w:tcBorders>
          </w:tcPr>
          <w:p w:rsidR="00162CD2" w:rsidRPr="001E69D4" w:rsidRDefault="00162CD2" w:rsidP="002A371E">
            <w:pPr>
              <w:spacing w:after="0" w:line="240" w:lineRule="auto"/>
              <w:ind w:firstLine="0"/>
              <w:rPr>
                <w:rStyle w:val="Style11pt"/>
                <w:rFonts w:ascii="Calibri" w:hAnsi="Calibri" w:cs="Calibri"/>
              </w:rPr>
            </w:pPr>
            <w:r w:rsidRPr="001E69D4">
              <w:rPr>
                <w:rStyle w:val="Style11pt"/>
                <w:rFonts w:ascii="Calibri" w:hAnsi="Calibri" w:cs="Calibri"/>
              </w:rPr>
              <w:t xml:space="preserve">Rest of </w:t>
            </w:r>
            <w:r w:rsidR="004011B9">
              <w:rPr>
                <w:rStyle w:val="Style11pt"/>
                <w:rFonts w:ascii="Calibri" w:hAnsi="Calibri" w:cs="Calibri"/>
              </w:rPr>
              <w:t>w</w:t>
            </w:r>
            <w:r w:rsidRPr="001E69D4">
              <w:rPr>
                <w:rStyle w:val="Style11pt"/>
                <w:rFonts w:ascii="Calibri" w:hAnsi="Calibri" w:cs="Calibri"/>
              </w:rPr>
              <w:t>orld</w:t>
            </w:r>
          </w:p>
        </w:tc>
        <w:tc>
          <w:tcPr>
            <w:tcW w:w="3480" w:type="dxa"/>
            <w:tcBorders>
              <w:left w:val="double" w:sz="4" w:space="0" w:color="auto"/>
            </w:tcBorders>
            <w:noWrap/>
          </w:tcPr>
          <w:p w:rsidR="00162CD2" w:rsidRPr="001E69D4" w:rsidRDefault="00162CD2" w:rsidP="002A371E">
            <w:pPr>
              <w:spacing w:after="0" w:line="240" w:lineRule="auto"/>
              <w:ind w:firstLine="0"/>
              <w:rPr>
                <w:rStyle w:val="Style11pt"/>
                <w:rFonts w:ascii="Calibri" w:eastAsia="Arial Unicode MS" w:hAnsi="Calibri" w:cs="Calibri"/>
              </w:rPr>
            </w:pPr>
            <w:r w:rsidRPr="001E69D4">
              <w:rPr>
                <w:rStyle w:val="Style11pt"/>
                <w:rFonts w:ascii="Calibri" w:hAnsi="Calibri" w:cs="Calibri"/>
              </w:rPr>
              <w:t>Dairy products</w:t>
            </w:r>
          </w:p>
        </w:tc>
        <w:tc>
          <w:tcPr>
            <w:tcW w:w="2405" w:type="dxa"/>
          </w:tcPr>
          <w:p w:rsidR="00162CD2" w:rsidRPr="001E69D4" w:rsidRDefault="00162CD2" w:rsidP="002A371E">
            <w:pPr>
              <w:spacing w:after="0" w:line="240" w:lineRule="auto"/>
              <w:ind w:firstLine="0"/>
              <w:rPr>
                <w:rStyle w:val="Style11pt"/>
                <w:rFonts w:ascii="Calibri" w:eastAsia="Arial Unicode MS" w:hAnsi="Calibri" w:cs="Calibri"/>
              </w:rPr>
            </w:pPr>
            <w:r w:rsidRPr="001E69D4">
              <w:rPr>
                <w:rStyle w:val="Style11pt"/>
                <w:rFonts w:ascii="Calibri" w:hAnsi="Calibri" w:cs="Calibri"/>
              </w:rPr>
              <w:t>0402–0406</w:t>
            </w:r>
          </w:p>
        </w:tc>
      </w:tr>
      <w:tr w:rsidR="00162CD2" w:rsidRPr="008A36EB" w:rsidTr="004011B9">
        <w:trPr>
          <w:trHeight w:val="255"/>
        </w:trPr>
        <w:tc>
          <w:tcPr>
            <w:tcW w:w="2568" w:type="dxa"/>
            <w:tcBorders>
              <w:right w:val="double" w:sz="4" w:space="0" w:color="auto"/>
            </w:tcBorders>
          </w:tcPr>
          <w:p w:rsidR="00162CD2" w:rsidRPr="008A36EB" w:rsidRDefault="00162CD2" w:rsidP="002A371E">
            <w:pPr>
              <w:spacing w:after="0" w:line="240" w:lineRule="auto"/>
              <w:ind w:firstLine="0"/>
            </w:pPr>
          </w:p>
        </w:tc>
        <w:tc>
          <w:tcPr>
            <w:tcW w:w="3480" w:type="dxa"/>
            <w:tcBorders>
              <w:left w:val="double" w:sz="4" w:space="0" w:color="auto"/>
            </w:tcBorders>
            <w:noWrap/>
          </w:tcPr>
          <w:p w:rsidR="00162CD2" w:rsidRPr="001E69D4" w:rsidRDefault="00162CD2" w:rsidP="002A371E">
            <w:pPr>
              <w:spacing w:after="0" w:line="240" w:lineRule="auto"/>
              <w:ind w:firstLine="0"/>
              <w:rPr>
                <w:rStyle w:val="Style11pt"/>
                <w:rFonts w:ascii="Calibri" w:eastAsia="Arial Unicode MS" w:hAnsi="Calibri" w:cs="Calibri"/>
              </w:rPr>
            </w:pPr>
            <w:r w:rsidRPr="001E69D4">
              <w:rPr>
                <w:rStyle w:val="Style11pt"/>
                <w:rFonts w:ascii="Calibri" w:hAnsi="Calibri" w:cs="Calibri"/>
              </w:rPr>
              <w:t>Processed meat</w:t>
            </w:r>
          </w:p>
        </w:tc>
        <w:tc>
          <w:tcPr>
            <w:tcW w:w="2405" w:type="dxa"/>
          </w:tcPr>
          <w:p w:rsidR="00162CD2" w:rsidRPr="001E69D4" w:rsidRDefault="00162CD2" w:rsidP="009C4729">
            <w:pPr>
              <w:spacing w:after="0" w:line="240" w:lineRule="auto"/>
              <w:ind w:firstLine="0"/>
              <w:rPr>
                <w:rStyle w:val="Style11pt"/>
                <w:rFonts w:ascii="Calibri" w:eastAsia="Arial Unicode MS" w:hAnsi="Calibri" w:cs="Calibri"/>
              </w:rPr>
            </w:pPr>
            <w:r w:rsidRPr="001E69D4">
              <w:rPr>
                <w:rStyle w:val="Style11pt"/>
                <w:rFonts w:ascii="Calibri" w:hAnsi="Calibri" w:cs="Calibri"/>
              </w:rPr>
              <w:t>1601</w:t>
            </w:r>
            <w:r>
              <w:rPr>
                <w:rStyle w:val="Style11pt"/>
                <w:rFonts w:ascii="Calibri" w:hAnsi="Calibri" w:cs="Calibri"/>
              </w:rPr>
              <w:t>–</w:t>
            </w:r>
            <w:r w:rsidRPr="001E69D4">
              <w:rPr>
                <w:rStyle w:val="Style11pt"/>
                <w:rFonts w:ascii="Calibri" w:hAnsi="Calibri" w:cs="Calibri"/>
              </w:rPr>
              <w:t>1602</w:t>
            </w:r>
          </w:p>
        </w:tc>
      </w:tr>
      <w:tr w:rsidR="00162CD2" w:rsidRPr="008A36EB" w:rsidTr="004011B9">
        <w:trPr>
          <w:trHeight w:val="255"/>
        </w:trPr>
        <w:tc>
          <w:tcPr>
            <w:tcW w:w="2568" w:type="dxa"/>
            <w:tcBorders>
              <w:right w:val="double" w:sz="4" w:space="0" w:color="auto"/>
            </w:tcBorders>
          </w:tcPr>
          <w:p w:rsidR="00162CD2" w:rsidRPr="008A36EB" w:rsidRDefault="00162CD2" w:rsidP="002A371E">
            <w:pPr>
              <w:spacing w:after="0" w:line="240" w:lineRule="auto"/>
              <w:ind w:firstLine="0"/>
            </w:pPr>
          </w:p>
        </w:tc>
        <w:tc>
          <w:tcPr>
            <w:tcW w:w="3480" w:type="dxa"/>
            <w:tcBorders>
              <w:left w:val="double" w:sz="4" w:space="0" w:color="auto"/>
            </w:tcBorders>
            <w:noWrap/>
          </w:tcPr>
          <w:p w:rsidR="00162CD2" w:rsidRPr="001E69D4" w:rsidRDefault="00162CD2" w:rsidP="002A371E">
            <w:pPr>
              <w:spacing w:after="0" w:line="240" w:lineRule="auto"/>
              <w:ind w:firstLine="0"/>
              <w:rPr>
                <w:rStyle w:val="Style11pt"/>
                <w:rFonts w:ascii="Calibri" w:eastAsia="Arial Unicode MS" w:hAnsi="Calibri" w:cs="Calibri"/>
              </w:rPr>
            </w:pPr>
            <w:r w:rsidRPr="001E69D4">
              <w:rPr>
                <w:rStyle w:val="Style11pt"/>
                <w:rFonts w:ascii="Calibri" w:hAnsi="Calibri" w:cs="Calibri"/>
              </w:rPr>
              <w:t>Processed cereals</w:t>
            </w:r>
          </w:p>
        </w:tc>
        <w:tc>
          <w:tcPr>
            <w:tcW w:w="2405" w:type="dxa"/>
          </w:tcPr>
          <w:p w:rsidR="00162CD2" w:rsidRPr="001E69D4" w:rsidRDefault="00162CD2" w:rsidP="009C4729">
            <w:pPr>
              <w:spacing w:after="0" w:line="240" w:lineRule="auto"/>
              <w:ind w:firstLine="0"/>
              <w:rPr>
                <w:rStyle w:val="Style11pt"/>
                <w:rFonts w:ascii="Calibri" w:eastAsia="Arial Unicode MS" w:hAnsi="Calibri" w:cs="Calibri"/>
              </w:rPr>
            </w:pPr>
            <w:r w:rsidRPr="001E69D4">
              <w:rPr>
                <w:rStyle w:val="Style11pt"/>
                <w:rFonts w:ascii="Calibri" w:hAnsi="Calibri" w:cs="Calibri"/>
              </w:rPr>
              <w:t>1901</w:t>
            </w:r>
            <w:r>
              <w:rPr>
                <w:rStyle w:val="Style11pt"/>
                <w:rFonts w:ascii="Calibri" w:hAnsi="Calibri" w:cs="Calibri"/>
              </w:rPr>
              <w:t>–</w:t>
            </w:r>
            <w:r w:rsidRPr="001E69D4">
              <w:rPr>
                <w:rStyle w:val="Style11pt"/>
                <w:rFonts w:ascii="Calibri" w:hAnsi="Calibri" w:cs="Calibri"/>
              </w:rPr>
              <w:t>1905</w:t>
            </w:r>
          </w:p>
        </w:tc>
      </w:tr>
      <w:tr w:rsidR="00162CD2" w:rsidRPr="008A36EB" w:rsidTr="00DD613C">
        <w:trPr>
          <w:trHeight w:val="255"/>
        </w:trPr>
        <w:tc>
          <w:tcPr>
            <w:tcW w:w="2568" w:type="dxa"/>
            <w:tcBorders>
              <w:right w:val="double" w:sz="4" w:space="0" w:color="auto"/>
            </w:tcBorders>
          </w:tcPr>
          <w:p w:rsidR="00162CD2" w:rsidRPr="008A36EB" w:rsidRDefault="00162CD2" w:rsidP="002A371E">
            <w:pPr>
              <w:spacing w:after="0" w:line="240" w:lineRule="auto"/>
              <w:ind w:firstLine="0"/>
            </w:pPr>
          </w:p>
        </w:tc>
        <w:tc>
          <w:tcPr>
            <w:tcW w:w="3480" w:type="dxa"/>
            <w:tcBorders>
              <w:left w:val="double" w:sz="4" w:space="0" w:color="auto"/>
            </w:tcBorders>
            <w:noWrap/>
          </w:tcPr>
          <w:p w:rsidR="00162CD2" w:rsidRPr="001E69D4" w:rsidRDefault="00162CD2" w:rsidP="002A371E">
            <w:pPr>
              <w:spacing w:after="0" w:line="240" w:lineRule="auto"/>
              <w:ind w:firstLine="0"/>
              <w:rPr>
                <w:rStyle w:val="Style11pt"/>
                <w:rFonts w:ascii="Calibri" w:eastAsia="Arial Unicode MS" w:hAnsi="Calibri" w:cs="Calibri"/>
              </w:rPr>
            </w:pPr>
            <w:r w:rsidRPr="001E69D4">
              <w:rPr>
                <w:rStyle w:val="Style11pt"/>
                <w:rFonts w:ascii="Calibri" w:hAnsi="Calibri" w:cs="Calibri"/>
              </w:rPr>
              <w:t>Processed fruit and vegetables</w:t>
            </w:r>
          </w:p>
        </w:tc>
        <w:tc>
          <w:tcPr>
            <w:tcW w:w="2405" w:type="dxa"/>
          </w:tcPr>
          <w:p w:rsidR="00162CD2" w:rsidRPr="001E69D4" w:rsidRDefault="00162CD2" w:rsidP="009C4729">
            <w:pPr>
              <w:spacing w:after="0" w:line="240" w:lineRule="auto"/>
              <w:ind w:firstLine="0"/>
              <w:rPr>
                <w:rStyle w:val="Style11pt"/>
                <w:rFonts w:ascii="Calibri" w:eastAsia="Arial Unicode MS" w:hAnsi="Calibri" w:cs="Calibri"/>
              </w:rPr>
            </w:pPr>
            <w:r w:rsidRPr="001E69D4">
              <w:rPr>
                <w:rStyle w:val="Style11pt"/>
                <w:rFonts w:ascii="Calibri" w:hAnsi="Calibri" w:cs="Calibri"/>
              </w:rPr>
              <w:t>2001</w:t>
            </w:r>
            <w:r>
              <w:rPr>
                <w:rStyle w:val="Style11pt"/>
                <w:rFonts w:ascii="Calibri" w:hAnsi="Calibri" w:cs="Calibri"/>
              </w:rPr>
              <w:t>–</w:t>
            </w:r>
            <w:r w:rsidRPr="001E69D4">
              <w:rPr>
                <w:rStyle w:val="Style11pt"/>
                <w:rFonts w:ascii="Calibri" w:hAnsi="Calibri" w:cs="Calibri"/>
              </w:rPr>
              <w:t>2009</w:t>
            </w:r>
          </w:p>
        </w:tc>
      </w:tr>
      <w:tr w:rsidR="00162CD2" w:rsidRPr="008A36EB" w:rsidTr="00DD613C">
        <w:trPr>
          <w:trHeight w:val="255"/>
        </w:trPr>
        <w:tc>
          <w:tcPr>
            <w:tcW w:w="2568" w:type="dxa"/>
            <w:tcBorders>
              <w:bottom w:val="single" w:sz="4" w:space="0" w:color="auto"/>
            </w:tcBorders>
          </w:tcPr>
          <w:p w:rsidR="00162CD2" w:rsidRPr="008A36EB" w:rsidRDefault="00162CD2" w:rsidP="002A371E">
            <w:pPr>
              <w:spacing w:after="0" w:line="240" w:lineRule="auto"/>
              <w:ind w:firstLine="0"/>
            </w:pPr>
          </w:p>
        </w:tc>
        <w:tc>
          <w:tcPr>
            <w:tcW w:w="3480" w:type="dxa"/>
            <w:tcBorders>
              <w:bottom w:val="single" w:sz="4" w:space="0" w:color="auto"/>
            </w:tcBorders>
            <w:noWrap/>
          </w:tcPr>
          <w:p w:rsidR="00162CD2" w:rsidRPr="001E69D4" w:rsidRDefault="00162CD2" w:rsidP="002A371E">
            <w:pPr>
              <w:spacing w:after="0" w:line="240" w:lineRule="auto"/>
              <w:ind w:firstLine="0"/>
              <w:rPr>
                <w:rStyle w:val="Style11pt"/>
                <w:rFonts w:ascii="Calibri" w:eastAsia="Arial Unicode MS" w:hAnsi="Calibri" w:cs="Calibri"/>
              </w:rPr>
            </w:pPr>
            <w:r w:rsidRPr="001E69D4">
              <w:rPr>
                <w:rStyle w:val="Style11pt"/>
                <w:rFonts w:ascii="Calibri" w:hAnsi="Calibri" w:cs="Calibri"/>
              </w:rPr>
              <w:t>Wine</w:t>
            </w:r>
          </w:p>
        </w:tc>
        <w:tc>
          <w:tcPr>
            <w:tcW w:w="2405" w:type="dxa"/>
            <w:tcBorders>
              <w:bottom w:val="single" w:sz="4" w:space="0" w:color="auto"/>
            </w:tcBorders>
          </w:tcPr>
          <w:p w:rsidR="00162CD2" w:rsidRPr="001E69D4" w:rsidRDefault="00162CD2" w:rsidP="009C4729">
            <w:pPr>
              <w:spacing w:after="0" w:line="240" w:lineRule="auto"/>
              <w:ind w:firstLine="0"/>
              <w:rPr>
                <w:rStyle w:val="Style11pt"/>
                <w:rFonts w:ascii="Calibri" w:eastAsia="Arial Unicode MS" w:hAnsi="Calibri" w:cs="Calibri"/>
              </w:rPr>
            </w:pPr>
            <w:r w:rsidRPr="001E69D4">
              <w:rPr>
                <w:rStyle w:val="Style11pt"/>
                <w:rFonts w:ascii="Calibri" w:hAnsi="Calibri" w:cs="Calibri"/>
              </w:rPr>
              <w:t>2204</w:t>
            </w:r>
            <w:r>
              <w:rPr>
                <w:rStyle w:val="Style11pt"/>
                <w:rFonts w:ascii="Calibri" w:hAnsi="Calibri" w:cs="Calibri"/>
              </w:rPr>
              <w:t>–</w:t>
            </w:r>
            <w:r w:rsidRPr="001E69D4">
              <w:rPr>
                <w:rStyle w:val="Style11pt"/>
                <w:rFonts w:ascii="Calibri" w:hAnsi="Calibri" w:cs="Calibri"/>
              </w:rPr>
              <w:t>2205</w:t>
            </w:r>
          </w:p>
        </w:tc>
      </w:tr>
    </w:tbl>
    <w:p w:rsidR="00822EB7" w:rsidRDefault="00207AE7">
      <w:pPr>
        <w:pStyle w:val="Footnotes"/>
        <w:spacing w:before="120" w:line="240" w:lineRule="auto"/>
        <w:rPr>
          <w:lang w:val="pt-BR"/>
        </w:rPr>
      </w:pPr>
      <w:r w:rsidRPr="00207AE7">
        <w:rPr>
          <w:rStyle w:val="Style11pt"/>
          <w:rFonts w:ascii="Calibri" w:hAnsi="Calibri" w:cs="Calibri"/>
          <w:sz w:val="20"/>
          <w:szCs w:val="20"/>
          <w:lang w:val="pt-BR"/>
        </w:rPr>
        <w:t xml:space="preserve">Note: </w:t>
      </w:r>
      <w:r w:rsidR="000A120D" w:rsidRPr="000A120D">
        <w:rPr>
          <w:rStyle w:val="Style11pt"/>
          <w:rFonts w:ascii="Calibri" w:hAnsi="Calibri" w:cs="Calibri"/>
          <w:sz w:val="20"/>
          <w:szCs w:val="20"/>
          <w:lang w:val="pt-BR"/>
        </w:rPr>
        <w:t xml:space="preserve">CEFTA includes </w:t>
      </w:r>
      <w:r w:rsidR="00AD0CE7" w:rsidRPr="00207AE7">
        <w:rPr>
          <w:lang w:val="pt-BR"/>
        </w:rPr>
        <w:t>Albania, Bulgaria, Croatia, Macedonia, Moldova, Serbia, Montenegro, and Turkey.</w:t>
      </w:r>
    </w:p>
    <w:p w:rsidR="00162CD2" w:rsidRPr="00162CD2" w:rsidRDefault="00162CD2">
      <w:pPr>
        <w:pStyle w:val="BodyText3"/>
        <w:rPr>
          <w:lang w:val="pt-BR"/>
        </w:rPr>
      </w:pPr>
    </w:p>
    <w:p w:rsidR="00513FD3" w:rsidRDefault="00162CD2">
      <w:pPr>
        <w:pStyle w:val="StyleBodyText3Latin12ptComplex10ptJustifiedLine"/>
        <w:spacing w:line="276" w:lineRule="auto"/>
        <w:rPr>
          <w:szCs w:val="22"/>
        </w:rPr>
      </w:pPr>
      <w:r w:rsidRPr="001E69D4">
        <w:rPr>
          <w:szCs w:val="22"/>
        </w:rPr>
        <w:t xml:space="preserve">Bilateral trade flows for the four regions are shown in table </w:t>
      </w:r>
      <w:r w:rsidR="00F93001">
        <w:rPr>
          <w:szCs w:val="22"/>
        </w:rPr>
        <w:t>9</w:t>
      </w:r>
      <w:r>
        <w:rPr>
          <w:szCs w:val="22"/>
        </w:rPr>
        <w:t>.</w:t>
      </w:r>
      <w:r w:rsidR="00AF76C6">
        <w:rPr>
          <w:szCs w:val="22"/>
        </w:rPr>
        <w:t>8</w:t>
      </w:r>
      <w:r w:rsidRPr="001E69D4">
        <w:rPr>
          <w:szCs w:val="22"/>
        </w:rPr>
        <w:t xml:space="preserve">. The </w:t>
      </w:r>
      <w:r>
        <w:rPr>
          <w:szCs w:val="22"/>
        </w:rPr>
        <w:t>diagonal</w:t>
      </w:r>
      <w:r w:rsidR="00513FD3">
        <w:rPr>
          <w:szCs w:val="22"/>
        </w:rPr>
        <w:t>s</w:t>
      </w:r>
      <w:r w:rsidRPr="001E69D4">
        <w:rPr>
          <w:szCs w:val="22"/>
        </w:rPr>
        <w:t xml:space="preserve"> in each matrix </w:t>
      </w:r>
      <w:r>
        <w:rPr>
          <w:szCs w:val="22"/>
        </w:rPr>
        <w:t xml:space="preserve">(that is, the figures at the intersections of </w:t>
      </w:r>
      <w:r w:rsidR="00513FD3">
        <w:rPr>
          <w:szCs w:val="22"/>
        </w:rPr>
        <w:t xml:space="preserve">a </w:t>
      </w:r>
      <w:r>
        <w:rPr>
          <w:szCs w:val="22"/>
        </w:rPr>
        <w:t xml:space="preserve">rows and columns with the same label) </w:t>
      </w:r>
      <w:r w:rsidRPr="001E69D4">
        <w:rPr>
          <w:szCs w:val="22"/>
        </w:rPr>
        <w:t xml:space="preserve">refer to domestic production that is consumed locally. The remaining elements in each row refer to exports. </w:t>
      </w:r>
      <w:r>
        <w:rPr>
          <w:szCs w:val="22"/>
        </w:rPr>
        <w:t>F</w:t>
      </w:r>
      <w:r w:rsidRPr="001E69D4">
        <w:rPr>
          <w:szCs w:val="22"/>
        </w:rPr>
        <w:t>or example</w:t>
      </w:r>
      <w:r>
        <w:rPr>
          <w:szCs w:val="22"/>
        </w:rPr>
        <w:t>,</w:t>
      </w:r>
      <w:r w:rsidRPr="001E69D4">
        <w:rPr>
          <w:szCs w:val="22"/>
        </w:rPr>
        <w:t xml:space="preserve"> </w:t>
      </w:r>
      <w:r>
        <w:rPr>
          <w:szCs w:val="22"/>
        </w:rPr>
        <w:t>t</w:t>
      </w:r>
      <w:r w:rsidRPr="001E69D4">
        <w:rPr>
          <w:szCs w:val="22"/>
        </w:rPr>
        <w:t xml:space="preserve">he first row indicates that BH produces </w:t>
      </w:r>
      <w:r>
        <w:rPr>
          <w:szCs w:val="22"/>
        </w:rPr>
        <w:t>US</w:t>
      </w:r>
      <w:r w:rsidRPr="001E69D4">
        <w:rPr>
          <w:szCs w:val="22"/>
        </w:rPr>
        <w:t>$23 million</w:t>
      </w:r>
      <w:r>
        <w:rPr>
          <w:szCs w:val="22"/>
        </w:rPr>
        <w:t xml:space="preserve"> in beef</w:t>
      </w:r>
      <w:r w:rsidRPr="001E69D4">
        <w:rPr>
          <w:szCs w:val="22"/>
        </w:rPr>
        <w:t xml:space="preserve"> </w:t>
      </w:r>
      <w:r>
        <w:rPr>
          <w:szCs w:val="22"/>
        </w:rPr>
        <w:t>that</w:t>
      </w:r>
      <w:r w:rsidRPr="001E69D4">
        <w:rPr>
          <w:szCs w:val="22"/>
        </w:rPr>
        <w:t xml:space="preserve"> is consumed domestically plus exports of $19,000 to the EU and $2</w:t>
      </w:r>
      <w:r>
        <w:rPr>
          <w:szCs w:val="22"/>
        </w:rPr>
        <w:t>,</w:t>
      </w:r>
      <w:r w:rsidRPr="001E69D4">
        <w:rPr>
          <w:szCs w:val="22"/>
        </w:rPr>
        <w:t xml:space="preserve">000 to CEFTA members. </w:t>
      </w:r>
    </w:p>
    <w:p w:rsidR="00162CD2" w:rsidRPr="00E4059A" w:rsidRDefault="00513FD3" w:rsidP="00513FD3">
      <w:pPr>
        <w:pStyle w:val="StyleBodyText3Latin12ptComplex10ptJustifiedLine"/>
        <w:spacing w:line="276" w:lineRule="auto"/>
        <w:ind w:firstLine="0"/>
        <w:rPr>
          <w:b/>
        </w:rPr>
      </w:pPr>
      <w:r>
        <w:rPr>
          <w:szCs w:val="22"/>
        </w:rPr>
        <w:br w:type="page"/>
      </w:r>
      <w:r w:rsidR="000A120D" w:rsidRPr="000A120D">
        <w:rPr>
          <w:b/>
        </w:rPr>
        <w:t>Table 9.8:</w:t>
      </w:r>
      <w:r w:rsidR="000A120D" w:rsidRPr="000A120D">
        <w:rPr>
          <w:b/>
        </w:rPr>
        <w:tab/>
        <w:t>Initial bilateral trade flows, 2007</w:t>
      </w:r>
    </w:p>
    <w:tbl>
      <w:tblPr>
        <w:tblW w:w="0" w:type="auto"/>
        <w:tblLayout w:type="fixed"/>
        <w:tblCellMar>
          <w:left w:w="30" w:type="dxa"/>
          <w:right w:w="30" w:type="dxa"/>
        </w:tblCellMar>
        <w:tblLook w:val="0000"/>
      </w:tblPr>
      <w:tblGrid>
        <w:gridCol w:w="2010"/>
        <w:gridCol w:w="1875"/>
        <w:gridCol w:w="1241"/>
        <w:gridCol w:w="1241"/>
        <w:gridCol w:w="1241"/>
        <w:gridCol w:w="1242"/>
      </w:tblGrid>
      <w:tr w:rsidR="00162CD2" w:rsidRPr="008A36EB" w:rsidTr="0079220D">
        <w:trPr>
          <w:trHeight w:val="68"/>
        </w:trPr>
        <w:tc>
          <w:tcPr>
            <w:tcW w:w="2010" w:type="dxa"/>
            <w:vMerge w:val="restart"/>
            <w:tcBorders>
              <w:top w:val="single" w:sz="4" w:space="0" w:color="auto"/>
              <w:left w:val="single" w:sz="4" w:space="0" w:color="auto"/>
              <w:bottom w:val="single" w:sz="4" w:space="0" w:color="auto"/>
              <w:right w:val="single" w:sz="4" w:space="0" w:color="auto"/>
            </w:tcBorders>
            <w:vAlign w:val="bottom"/>
          </w:tcPr>
          <w:p w:rsidR="00162CD2" w:rsidRPr="00513FD3" w:rsidRDefault="00162CD2" w:rsidP="00610348">
            <w:pPr>
              <w:spacing w:after="0" w:line="240" w:lineRule="auto"/>
              <w:ind w:firstLine="0"/>
              <w:rPr>
                <w:b/>
              </w:rPr>
            </w:pPr>
            <w:r w:rsidRPr="00513FD3">
              <w:rPr>
                <w:b/>
              </w:rPr>
              <w:t>Product</w:t>
            </w:r>
          </w:p>
        </w:tc>
        <w:tc>
          <w:tcPr>
            <w:tcW w:w="1875" w:type="dxa"/>
            <w:vMerge w:val="restart"/>
            <w:tcBorders>
              <w:top w:val="single" w:sz="4" w:space="0" w:color="auto"/>
              <w:left w:val="single" w:sz="4" w:space="0" w:color="auto"/>
              <w:bottom w:val="single" w:sz="4" w:space="0" w:color="auto"/>
              <w:right w:val="single" w:sz="4" w:space="0" w:color="auto"/>
            </w:tcBorders>
            <w:vAlign w:val="bottom"/>
          </w:tcPr>
          <w:p w:rsidR="00162CD2" w:rsidRPr="00513FD3" w:rsidRDefault="00162CD2" w:rsidP="00610348">
            <w:pPr>
              <w:spacing w:after="0" w:line="240" w:lineRule="auto"/>
              <w:ind w:firstLine="0"/>
              <w:rPr>
                <w:b/>
              </w:rPr>
            </w:pPr>
            <w:r w:rsidRPr="00513FD3">
              <w:rPr>
                <w:b/>
              </w:rPr>
              <w:t>Exporter</w:t>
            </w:r>
          </w:p>
        </w:tc>
        <w:tc>
          <w:tcPr>
            <w:tcW w:w="4965" w:type="dxa"/>
            <w:gridSpan w:val="4"/>
            <w:tcBorders>
              <w:top w:val="single" w:sz="4" w:space="0" w:color="auto"/>
              <w:left w:val="single" w:sz="4" w:space="0" w:color="auto"/>
              <w:bottom w:val="single" w:sz="4" w:space="0" w:color="auto"/>
              <w:right w:val="single" w:sz="4" w:space="0" w:color="auto"/>
            </w:tcBorders>
          </w:tcPr>
          <w:p w:rsidR="00162CD2" w:rsidRPr="00513FD3" w:rsidRDefault="00162CD2" w:rsidP="00610348">
            <w:pPr>
              <w:spacing w:after="0" w:line="240" w:lineRule="auto"/>
              <w:ind w:firstLine="0"/>
              <w:rPr>
                <w:b/>
              </w:rPr>
            </w:pPr>
            <w:r w:rsidRPr="00513FD3">
              <w:rPr>
                <w:b/>
              </w:rPr>
              <w:t>Importer</w:t>
            </w:r>
          </w:p>
        </w:tc>
      </w:tr>
      <w:tr w:rsidR="00162CD2" w:rsidRPr="008A36EB" w:rsidTr="0079220D">
        <w:trPr>
          <w:trHeight w:val="765"/>
        </w:trPr>
        <w:tc>
          <w:tcPr>
            <w:tcW w:w="2010" w:type="dxa"/>
            <w:vMerge/>
            <w:tcBorders>
              <w:top w:val="single" w:sz="4" w:space="0" w:color="auto"/>
              <w:left w:val="single" w:sz="4" w:space="0" w:color="auto"/>
              <w:bottom w:val="single" w:sz="4" w:space="0" w:color="auto"/>
              <w:right w:val="single" w:sz="4" w:space="0" w:color="auto"/>
            </w:tcBorders>
            <w:shd w:val="clear" w:color="auto" w:fill="FFFF99"/>
          </w:tcPr>
          <w:p w:rsidR="00162CD2" w:rsidRPr="00513FD3" w:rsidRDefault="00162CD2" w:rsidP="00610348">
            <w:pPr>
              <w:spacing w:after="0" w:line="240" w:lineRule="auto"/>
              <w:ind w:firstLine="0"/>
              <w:rPr>
                <w:b/>
              </w:rPr>
            </w:pPr>
          </w:p>
        </w:tc>
        <w:tc>
          <w:tcPr>
            <w:tcW w:w="1875" w:type="dxa"/>
            <w:vMerge/>
            <w:tcBorders>
              <w:top w:val="single" w:sz="4" w:space="0" w:color="auto"/>
              <w:left w:val="single" w:sz="4" w:space="0" w:color="auto"/>
              <w:bottom w:val="single" w:sz="4" w:space="0" w:color="auto"/>
              <w:right w:val="single" w:sz="4" w:space="0" w:color="auto"/>
            </w:tcBorders>
            <w:shd w:val="clear" w:color="auto" w:fill="FFFF99"/>
          </w:tcPr>
          <w:p w:rsidR="00162CD2" w:rsidRPr="00513FD3" w:rsidRDefault="00162CD2" w:rsidP="00610348">
            <w:pPr>
              <w:spacing w:after="0" w:line="240" w:lineRule="auto"/>
              <w:ind w:firstLine="0"/>
              <w:rPr>
                <w:b/>
              </w:rPr>
            </w:pP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513FD3" w:rsidRDefault="00162CD2" w:rsidP="00610348">
            <w:pPr>
              <w:spacing w:after="0" w:line="240" w:lineRule="auto"/>
              <w:ind w:firstLine="0"/>
              <w:rPr>
                <w:b/>
              </w:rPr>
            </w:pPr>
            <w:r w:rsidRPr="00513FD3">
              <w:rPr>
                <w:b/>
              </w:rPr>
              <w:t>BH</w:t>
            </w:r>
          </w:p>
          <w:p w:rsidR="00162CD2" w:rsidRPr="00513FD3" w:rsidRDefault="00162CD2" w:rsidP="00610348">
            <w:pPr>
              <w:spacing w:after="0" w:line="240" w:lineRule="auto"/>
              <w:ind w:firstLine="0"/>
              <w:rPr>
                <w:b/>
              </w:rPr>
            </w:pPr>
            <w:r w:rsidRPr="00513FD3">
              <w:rPr>
                <w:b/>
              </w:rPr>
              <w:t>(</w:t>
            </w:r>
            <w:r w:rsidR="00513FD3">
              <w:rPr>
                <w:b/>
              </w:rPr>
              <w:t>US</w:t>
            </w:r>
            <w:r w:rsidRPr="00513FD3">
              <w:rPr>
                <w:b/>
              </w:rPr>
              <w:t>$000)</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513FD3" w:rsidRDefault="00162CD2" w:rsidP="00610348">
            <w:pPr>
              <w:spacing w:after="0" w:line="240" w:lineRule="auto"/>
              <w:ind w:firstLine="0"/>
              <w:rPr>
                <w:b/>
              </w:rPr>
            </w:pPr>
            <w:r w:rsidRPr="00513FD3">
              <w:rPr>
                <w:b/>
              </w:rPr>
              <w:t>EU25</w:t>
            </w:r>
          </w:p>
          <w:p w:rsidR="00162CD2" w:rsidRPr="00513FD3" w:rsidRDefault="00162CD2" w:rsidP="00610348">
            <w:pPr>
              <w:spacing w:after="0" w:line="240" w:lineRule="auto"/>
              <w:ind w:firstLine="0"/>
              <w:rPr>
                <w:b/>
              </w:rPr>
            </w:pPr>
            <w:r w:rsidRPr="00513FD3">
              <w:rPr>
                <w:b/>
              </w:rPr>
              <w:t>(</w:t>
            </w:r>
            <w:r w:rsidR="00513FD3">
              <w:rPr>
                <w:b/>
              </w:rPr>
              <w:t>US</w:t>
            </w:r>
            <w:r w:rsidRPr="00513FD3">
              <w:rPr>
                <w:b/>
              </w:rPr>
              <w:t>$000)</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513FD3" w:rsidRDefault="00162CD2" w:rsidP="00610348">
            <w:pPr>
              <w:spacing w:after="0" w:line="240" w:lineRule="auto"/>
              <w:ind w:firstLine="0"/>
              <w:rPr>
                <w:b/>
              </w:rPr>
            </w:pPr>
            <w:r w:rsidRPr="00513FD3">
              <w:rPr>
                <w:b/>
              </w:rPr>
              <w:t>CEFTA</w:t>
            </w:r>
          </w:p>
          <w:p w:rsidR="00162CD2" w:rsidRPr="00513FD3" w:rsidRDefault="00162CD2" w:rsidP="00610348">
            <w:pPr>
              <w:spacing w:after="0" w:line="240" w:lineRule="auto"/>
              <w:ind w:firstLine="0"/>
              <w:rPr>
                <w:b/>
              </w:rPr>
            </w:pPr>
            <w:r w:rsidRPr="00513FD3">
              <w:rPr>
                <w:b/>
              </w:rPr>
              <w:t>(</w:t>
            </w:r>
            <w:r w:rsidR="00513FD3">
              <w:rPr>
                <w:b/>
              </w:rPr>
              <w:t>US</w:t>
            </w:r>
            <w:r w:rsidRPr="00513FD3">
              <w:rPr>
                <w:b/>
              </w:rPr>
              <w:t>$000)</w:t>
            </w:r>
          </w:p>
        </w:tc>
        <w:tc>
          <w:tcPr>
            <w:tcW w:w="1242" w:type="dxa"/>
            <w:tcBorders>
              <w:top w:val="single" w:sz="4" w:space="0" w:color="auto"/>
              <w:left w:val="single" w:sz="4" w:space="0" w:color="auto"/>
              <w:bottom w:val="single" w:sz="4" w:space="0" w:color="auto"/>
              <w:right w:val="single" w:sz="4" w:space="0" w:color="auto"/>
            </w:tcBorders>
            <w:vAlign w:val="bottom"/>
          </w:tcPr>
          <w:p w:rsidR="00162CD2" w:rsidRPr="00513FD3" w:rsidRDefault="00162CD2" w:rsidP="00610348">
            <w:pPr>
              <w:spacing w:after="0" w:line="240" w:lineRule="auto"/>
              <w:ind w:firstLine="0"/>
              <w:rPr>
                <w:b/>
              </w:rPr>
            </w:pPr>
            <w:proofErr w:type="spellStart"/>
            <w:r w:rsidRPr="00513FD3">
              <w:rPr>
                <w:b/>
              </w:rPr>
              <w:t>RoW</w:t>
            </w:r>
            <w:proofErr w:type="spellEnd"/>
          </w:p>
          <w:p w:rsidR="00162CD2" w:rsidRPr="00513FD3" w:rsidRDefault="00162CD2" w:rsidP="00610348">
            <w:pPr>
              <w:spacing w:after="0" w:line="240" w:lineRule="auto"/>
              <w:ind w:firstLine="0"/>
              <w:rPr>
                <w:b/>
              </w:rPr>
            </w:pPr>
            <w:r w:rsidRPr="00513FD3">
              <w:rPr>
                <w:b/>
              </w:rPr>
              <w:t>(</w:t>
            </w:r>
            <w:r w:rsidR="00513FD3">
              <w:rPr>
                <w:b/>
              </w:rPr>
              <w:t>US</w:t>
            </w:r>
            <w:r w:rsidRPr="00513FD3">
              <w:rPr>
                <w:b/>
              </w:rPr>
              <w:t>$000)</w:t>
            </w:r>
          </w:p>
        </w:tc>
      </w:tr>
      <w:tr w:rsidR="00162CD2" w:rsidRPr="008A36EB" w:rsidTr="0079220D">
        <w:trPr>
          <w:trHeight w:val="68"/>
        </w:trPr>
        <w:tc>
          <w:tcPr>
            <w:tcW w:w="2010" w:type="dxa"/>
            <w:vMerge w:val="restart"/>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r w:rsidRPr="008A36EB">
              <w:t>Beef</w:t>
            </w:r>
          </w:p>
        </w:tc>
        <w:tc>
          <w:tcPr>
            <w:tcW w:w="1875" w:type="dxa"/>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r w:rsidRPr="008A36EB">
              <w:t>BH</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23 001</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19</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2</w:t>
            </w:r>
          </w:p>
        </w:tc>
        <w:tc>
          <w:tcPr>
            <w:tcW w:w="124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0</w:t>
            </w:r>
          </w:p>
        </w:tc>
      </w:tr>
      <w:tr w:rsidR="00162CD2" w:rsidRPr="008A36EB" w:rsidTr="0079220D">
        <w:trPr>
          <w:trHeight w:val="68"/>
        </w:trPr>
        <w:tc>
          <w:tcPr>
            <w:tcW w:w="2010" w:type="dxa"/>
            <w:vMerge/>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p>
        </w:tc>
        <w:tc>
          <w:tcPr>
            <w:tcW w:w="1875" w:type="dxa"/>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r w:rsidRPr="008A36EB">
              <w:t>EU</w:t>
            </w:r>
            <w:r w:rsidR="000A3C72">
              <w:t>-</w:t>
            </w:r>
            <w:r w:rsidRPr="008A36EB">
              <w:t>25</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1 811</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15 837 290</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11 737</w:t>
            </w:r>
          </w:p>
        </w:tc>
        <w:tc>
          <w:tcPr>
            <w:tcW w:w="124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382 156</w:t>
            </w:r>
          </w:p>
        </w:tc>
      </w:tr>
      <w:tr w:rsidR="00162CD2" w:rsidRPr="008A36EB" w:rsidTr="0079220D">
        <w:trPr>
          <w:trHeight w:val="68"/>
        </w:trPr>
        <w:tc>
          <w:tcPr>
            <w:tcW w:w="2010" w:type="dxa"/>
            <w:vMerge/>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p>
        </w:tc>
        <w:tc>
          <w:tcPr>
            <w:tcW w:w="1875" w:type="dxa"/>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r w:rsidRPr="008A36EB">
              <w:t>CEFTA</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1 545</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242</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1 283 700</w:t>
            </w:r>
          </w:p>
        </w:tc>
        <w:tc>
          <w:tcPr>
            <w:tcW w:w="124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862</w:t>
            </w:r>
          </w:p>
        </w:tc>
      </w:tr>
      <w:tr w:rsidR="00162CD2" w:rsidRPr="008A36EB" w:rsidTr="0079220D">
        <w:trPr>
          <w:trHeight w:val="68"/>
        </w:trPr>
        <w:tc>
          <w:tcPr>
            <w:tcW w:w="2010" w:type="dxa"/>
            <w:vMerge/>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p>
        </w:tc>
        <w:tc>
          <w:tcPr>
            <w:tcW w:w="1875" w:type="dxa"/>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proofErr w:type="spellStart"/>
            <w:r w:rsidRPr="008A36EB">
              <w:t>RoW</w:t>
            </w:r>
            <w:proofErr w:type="spellEnd"/>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1 214</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85 384</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105 220</w:t>
            </w:r>
          </w:p>
        </w:tc>
        <w:tc>
          <w:tcPr>
            <w:tcW w:w="124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105 789 831</w:t>
            </w:r>
          </w:p>
        </w:tc>
      </w:tr>
      <w:tr w:rsidR="00162CD2" w:rsidRPr="008A36EB" w:rsidTr="0079220D">
        <w:trPr>
          <w:trHeight w:val="68"/>
        </w:trPr>
        <w:tc>
          <w:tcPr>
            <w:tcW w:w="2010" w:type="dxa"/>
            <w:tcBorders>
              <w:top w:val="single" w:sz="4" w:space="0" w:color="auto"/>
              <w:left w:val="nil"/>
              <w:bottom w:val="single" w:sz="4" w:space="0" w:color="auto"/>
              <w:right w:val="nil"/>
            </w:tcBorders>
          </w:tcPr>
          <w:p w:rsidR="00162CD2" w:rsidRPr="008A36EB" w:rsidRDefault="00162CD2" w:rsidP="00610348">
            <w:pPr>
              <w:spacing w:after="0" w:line="240" w:lineRule="auto"/>
              <w:ind w:firstLine="0"/>
            </w:pPr>
          </w:p>
        </w:tc>
        <w:tc>
          <w:tcPr>
            <w:tcW w:w="1875" w:type="dxa"/>
            <w:tcBorders>
              <w:top w:val="single" w:sz="4" w:space="0" w:color="auto"/>
              <w:left w:val="nil"/>
              <w:bottom w:val="single" w:sz="4" w:space="0" w:color="auto"/>
              <w:right w:val="nil"/>
            </w:tcBorders>
          </w:tcPr>
          <w:p w:rsidR="00162CD2" w:rsidRPr="008A36EB" w:rsidRDefault="00162CD2" w:rsidP="00610348">
            <w:pPr>
              <w:spacing w:after="0" w:line="240" w:lineRule="auto"/>
              <w:ind w:firstLine="0"/>
            </w:pPr>
          </w:p>
        </w:tc>
        <w:tc>
          <w:tcPr>
            <w:tcW w:w="1241" w:type="dxa"/>
            <w:tcBorders>
              <w:top w:val="single" w:sz="4" w:space="0" w:color="auto"/>
              <w:left w:val="nil"/>
              <w:bottom w:val="single" w:sz="4" w:space="0" w:color="auto"/>
              <w:right w:val="nil"/>
            </w:tcBorders>
            <w:vAlign w:val="bottom"/>
          </w:tcPr>
          <w:p w:rsidR="00162CD2" w:rsidRPr="008A36EB" w:rsidRDefault="00162CD2" w:rsidP="00610348">
            <w:pPr>
              <w:spacing w:after="0" w:line="240" w:lineRule="auto"/>
              <w:ind w:firstLine="0"/>
            </w:pPr>
          </w:p>
        </w:tc>
        <w:tc>
          <w:tcPr>
            <w:tcW w:w="1241" w:type="dxa"/>
            <w:tcBorders>
              <w:top w:val="single" w:sz="4" w:space="0" w:color="auto"/>
              <w:left w:val="nil"/>
              <w:bottom w:val="single" w:sz="4" w:space="0" w:color="auto"/>
              <w:right w:val="nil"/>
            </w:tcBorders>
            <w:vAlign w:val="bottom"/>
          </w:tcPr>
          <w:p w:rsidR="00162CD2" w:rsidRPr="008A36EB" w:rsidRDefault="00162CD2" w:rsidP="00610348">
            <w:pPr>
              <w:spacing w:after="0" w:line="240" w:lineRule="auto"/>
              <w:ind w:firstLine="0"/>
            </w:pPr>
          </w:p>
        </w:tc>
        <w:tc>
          <w:tcPr>
            <w:tcW w:w="1241" w:type="dxa"/>
            <w:tcBorders>
              <w:top w:val="single" w:sz="4" w:space="0" w:color="auto"/>
              <w:left w:val="nil"/>
              <w:bottom w:val="single" w:sz="4" w:space="0" w:color="auto"/>
              <w:right w:val="nil"/>
            </w:tcBorders>
            <w:vAlign w:val="bottom"/>
          </w:tcPr>
          <w:p w:rsidR="00162CD2" w:rsidRPr="008A36EB" w:rsidRDefault="00162CD2" w:rsidP="00610348">
            <w:pPr>
              <w:spacing w:after="0" w:line="240" w:lineRule="auto"/>
              <w:ind w:firstLine="0"/>
            </w:pPr>
          </w:p>
        </w:tc>
        <w:tc>
          <w:tcPr>
            <w:tcW w:w="1242" w:type="dxa"/>
            <w:tcBorders>
              <w:top w:val="single" w:sz="4" w:space="0" w:color="auto"/>
              <w:left w:val="nil"/>
              <w:bottom w:val="single" w:sz="4" w:space="0" w:color="auto"/>
              <w:right w:val="nil"/>
            </w:tcBorders>
            <w:vAlign w:val="bottom"/>
          </w:tcPr>
          <w:p w:rsidR="00162CD2" w:rsidRPr="008A36EB" w:rsidRDefault="00162CD2" w:rsidP="00610348">
            <w:pPr>
              <w:spacing w:after="0" w:line="240" w:lineRule="auto"/>
              <w:ind w:firstLine="0"/>
            </w:pPr>
          </w:p>
        </w:tc>
      </w:tr>
      <w:tr w:rsidR="00162CD2" w:rsidRPr="008A36EB" w:rsidTr="0079220D">
        <w:trPr>
          <w:trHeight w:val="68"/>
        </w:trPr>
        <w:tc>
          <w:tcPr>
            <w:tcW w:w="2010" w:type="dxa"/>
            <w:vMerge w:val="restart"/>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r w:rsidRPr="008A36EB">
              <w:t>Pork</w:t>
            </w:r>
          </w:p>
        </w:tc>
        <w:tc>
          <w:tcPr>
            <w:tcW w:w="1875" w:type="dxa"/>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r w:rsidRPr="008A36EB">
              <w:t>BH</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5 472</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0</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4</w:t>
            </w:r>
          </w:p>
        </w:tc>
        <w:tc>
          <w:tcPr>
            <w:tcW w:w="124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0</w:t>
            </w:r>
          </w:p>
        </w:tc>
      </w:tr>
      <w:tr w:rsidR="00162CD2" w:rsidRPr="008A36EB" w:rsidTr="0079220D">
        <w:trPr>
          <w:trHeight w:val="68"/>
        </w:trPr>
        <w:tc>
          <w:tcPr>
            <w:tcW w:w="2010" w:type="dxa"/>
            <w:vMerge/>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p>
        </w:tc>
        <w:tc>
          <w:tcPr>
            <w:tcW w:w="1875" w:type="dxa"/>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r w:rsidRPr="008A36EB">
              <w:t>EU</w:t>
            </w:r>
            <w:r w:rsidR="000A3C72">
              <w:t>-</w:t>
            </w:r>
            <w:r w:rsidRPr="008A36EB">
              <w:t>25</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6 462</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25 899 657</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120 846</w:t>
            </w:r>
          </w:p>
        </w:tc>
        <w:tc>
          <w:tcPr>
            <w:tcW w:w="124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3 300 317</w:t>
            </w:r>
          </w:p>
        </w:tc>
      </w:tr>
      <w:tr w:rsidR="00162CD2" w:rsidRPr="008A36EB" w:rsidTr="0079220D">
        <w:trPr>
          <w:trHeight w:val="68"/>
        </w:trPr>
        <w:tc>
          <w:tcPr>
            <w:tcW w:w="2010" w:type="dxa"/>
            <w:vMerge/>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p>
        </w:tc>
        <w:tc>
          <w:tcPr>
            <w:tcW w:w="1875" w:type="dxa"/>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r w:rsidRPr="008A36EB">
              <w:t>CEFTA</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659</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51</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1 089 291</w:t>
            </w:r>
          </w:p>
        </w:tc>
        <w:tc>
          <w:tcPr>
            <w:tcW w:w="124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59</w:t>
            </w:r>
          </w:p>
        </w:tc>
      </w:tr>
      <w:tr w:rsidR="00162CD2" w:rsidRPr="008A36EB" w:rsidTr="0079220D">
        <w:trPr>
          <w:trHeight w:val="68"/>
        </w:trPr>
        <w:tc>
          <w:tcPr>
            <w:tcW w:w="2010" w:type="dxa"/>
            <w:vMerge/>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p>
        </w:tc>
        <w:tc>
          <w:tcPr>
            <w:tcW w:w="1875" w:type="dxa"/>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proofErr w:type="spellStart"/>
            <w:r w:rsidRPr="008A36EB">
              <w:t>RoW</w:t>
            </w:r>
            <w:proofErr w:type="spellEnd"/>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1 538</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72 222</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44 219</w:t>
            </w:r>
          </w:p>
        </w:tc>
        <w:tc>
          <w:tcPr>
            <w:tcW w:w="124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94 760 867</w:t>
            </w:r>
          </w:p>
        </w:tc>
      </w:tr>
      <w:tr w:rsidR="00162CD2" w:rsidRPr="008A36EB" w:rsidTr="0079220D">
        <w:trPr>
          <w:trHeight w:val="68"/>
        </w:trPr>
        <w:tc>
          <w:tcPr>
            <w:tcW w:w="2010" w:type="dxa"/>
            <w:tcBorders>
              <w:top w:val="single" w:sz="4" w:space="0" w:color="auto"/>
              <w:left w:val="nil"/>
              <w:bottom w:val="single" w:sz="4" w:space="0" w:color="auto"/>
              <w:right w:val="nil"/>
            </w:tcBorders>
          </w:tcPr>
          <w:p w:rsidR="00162CD2" w:rsidRPr="008A36EB" w:rsidRDefault="00162CD2" w:rsidP="00610348">
            <w:pPr>
              <w:spacing w:after="0" w:line="240" w:lineRule="auto"/>
              <w:ind w:firstLine="0"/>
            </w:pPr>
          </w:p>
        </w:tc>
        <w:tc>
          <w:tcPr>
            <w:tcW w:w="1875" w:type="dxa"/>
            <w:tcBorders>
              <w:top w:val="single" w:sz="4" w:space="0" w:color="auto"/>
              <w:left w:val="nil"/>
              <w:bottom w:val="single" w:sz="4" w:space="0" w:color="auto"/>
              <w:right w:val="nil"/>
            </w:tcBorders>
          </w:tcPr>
          <w:p w:rsidR="00162CD2" w:rsidRPr="008A36EB" w:rsidRDefault="00162CD2" w:rsidP="00610348">
            <w:pPr>
              <w:spacing w:after="0" w:line="240" w:lineRule="auto"/>
              <w:ind w:firstLine="0"/>
            </w:pPr>
          </w:p>
        </w:tc>
        <w:tc>
          <w:tcPr>
            <w:tcW w:w="1241" w:type="dxa"/>
            <w:tcBorders>
              <w:top w:val="single" w:sz="4" w:space="0" w:color="auto"/>
              <w:left w:val="nil"/>
              <w:bottom w:val="single" w:sz="4" w:space="0" w:color="auto"/>
              <w:right w:val="nil"/>
            </w:tcBorders>
            <w:vAlign w:val="bottom"/>
          </w:tcPr>
          <w:p w:rsidR="00162CD2" w:rsidRPr="008A36EB" w:rsidRDefault="00162CD2" w:rsidP="00610348">
            <w:pPr>
              <w:spacing w:after="0" w:line="240" w:lineRule="auto"/>
              <w:ind w:firstLine="0"/>
            </w:pPr>
          </w:p>
        </w:tc>
        <w:tc>
          <w:tcPr>
            <w:tcW w:w="1241" w:type="dxa"/>
            <w:tcBorders>
              <w:top w:val="single" w:sz="4" w:space="0" w:color="auto"/>
              <w:left w:val="nil"/>
              <w:bottom w:val="single" w:sz="4" w:space="0" w:color="auto"/>
              <w:right w:val="nil"/>
            </w:tcBorders>
            <w:vAlign w:val="bottom"/>
          </w:tcPr>
          <w:p w:rsidR="00162CD2" w:rsidRPr="008A36EB" w:rsidRDefault="00162CD2" w:rsidP="00610348">
            <w:pPr>
              <w:spacing w:after="0" w:line="240" w:lineRule="auto"/>
              <w:ind w:firstLine="0"/>
            </w:pPr>
          </w:p>
        </w:tc>
        <w:tc>
          <w:tcPr>
            <w:tcW w:w="1241" w:type="dxa"/>
            <w:tcBorders>
              <w:top w:val="single" w:sz="4" w:space="0" w:color="auto"/>
              <w:left w:val="nil"/>
              <w:bottom w:val="single" w:sz="4" w:space="0" w:color="auto"/>
              <w:right w:val="nil"/>
            </w:tcBorders>
            <w:vAlign w:val="bottom"/>
          </w:tcPr>
          <w:p w:rsidR="00162CD2" w:rsidRPr="008A36EB" w:rsidRDefault="00162CD2" w:rsidP="00610348">
            <w:pPr>
              <w:spacing w:after="0" w:line="240" w:lineRule="auto"/>
              <w:ind w:firstLine="0"/>
            </w:pPr>
          </w:p>
        </w:tc>
        <w:tc>
          <w:tcPr>
            <w:tcW w:w="1242" w:type="dxa"/>
            <w:tcBorders>
              <w:top w:val="single" w:sz="4" w:space="0" w:color="auto"/>
              <w:left w:val="nil"/>
              <w:bottom w:val="single" w:sz="4" w:space="0" w:color="auto"/>
              <w:right w:val="nil"/>
            </w:tcBorders>
            <w:vAlign w:val="bottom"/>
          </w:tcPr>
          <w:p w:rsidR="00162CD2" w:rsidRPr="008A36EB" w:rsidRDefault="00162CD2" w:rsidP="00610348">
            <w:pPr>
              <w:spacing w:after="0" w:line="240" w:lineRule="auto"/>
              <w:ind w:firstLine="0"/>
            </w:pPr>
          </w:p>
        </w:tc>
      </w:tr>
      <w:tr w:rsidR="00162CD2" w:rsidRPr="008A36EB" w:rsidTr="0079220D">
        <w:trPr>
          <w:trHeight w:val="68"/>
        </w:trPr>
        <w:tc>
          <w:tcPr>
            <w:tcW w:w="2010" w:type="dxa"/>
            <w:vMerge w:val="restart"/>
            <w:tcBorders>
              <w:top w:val="single" w:sz="4" w:space="0" w:color="auto"/>
              <w:left w:val="single" w:sz="4" w:space="0" w:color="auto"/>
              <w:bottom w:val="single" w:sz="4" w:space="0" w:color="auto"/>
              <w:right w:val="single" w:sz="4" w:space="0" w:color="auto"/>
            </w:tcBorders>
          </w:tcPr>
          <w:p w:rsidR="00162CD2" w:rsidRPr="001E69D4" w:rsidRDefault="00162CD2" w:rsidP="00610348">
            <w:pPr>
              <w:spacing w:after="0" w:line="240" w:lineRule="auto"/>
              <w:ind w:firstLine="0"/>
              <w:rPr>
                <w:rStyle w:val="Style11pt"/>
                <w:rFonts w:ascii="Calibri" w:hAnsi="Calibri" w:cs="Calibri"/>
              </w:rPr>
            </w:pPr>
            <w:r w:rsidRPr="001E69D4">
              <w:rPr>
                <w:rStyle w:val="Style11pt"/>
                <w:rFonts w:ascii="Calibri" w:hAnsi="Calibri" w:cs="Calibri"/>
              </w:rPr>
              <w:t>Poultry meat</w:t>
            </w:r>
          </w:p>
        </w:tc>
        <w:tc>
          <w:tcPr>
            <w:tcW w:w="1875" w:type="dxa"/>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r w:rsidRPr="008A36EB">
              <w:t>BH</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18 783</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12</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89</w:t>
            </w:r>
          </w:p>
        </w:tc>
        <w:tc>
          <w:tcPr>
            <w:tcW w:w="124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10</w:t>
            </w:r>
          </w:p>
        </w:tc>
      </w:tr>
      <w:tr w:rsidR="00162CD2" w:rsidRPr="008A36EB" w:rsidTr="0079220D">
        <w:trPr>
          <w:trHeight w:val="68"/>
        </w:trPr>
        <w:tc>
          <w:tcPr>
            <w:tcW w:w="2010" w:type="dxa"/>
            <w:vMerge/>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p>
        </w:tc>
        <w:tc>
          <w:tcPr>
            <w:tcW w:w="1875" w:type="dxa"/>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r w:rsidRPr="008A36EB">
              <w:t>EU</w:t>
            </w:r>
            <w:r w:rsidR="000A3C72">
              <w:t>-</w:t>
            </w:r>
            <w:r w:rsidRPr="008A36EB">
              <w:t>25</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2 541</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12 044 887</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37 607</w:t>
            </w:r>
          </w:p>
        </w:tc>
        <w:tc>
          <w:tcPr>
            <w:tcW w:w="124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1 036 879</w:t>
            </w:r>
          </w:p>
        </w:tc>
      </w:tr>
      <w:tr w:rsidR="00162CD2" w:rsidRPr="008A36EB" w:rsidTr="0079220D">
        <w:trPr>
          <w:trHeight w:val="68"/>
        </w:trPr>
        <w:tc>
          <w:tcPr>
            <w:tcW w:w="2010" w:type="dxa"/>
            <w:vMerge/>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p>
        </w:tc>
        <w:tc>
          <w:tcPr>
            <w:tcW w:w="1875" w:type="dxa"/>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r w:rsidRPr="008A36EB">
              <w:t>CEFTA</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7 514</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4 383</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1 471 979</w:t>
            </w:r>
          </w:p>
        </w:tc>
        <w:tc>
          <w:tcPr>
            <w:tcW w:w="124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5 029</w:t>
            </w:r>
          </w:p>
        </w:tc>
      </w:tr>
      <w:tr w:rsidR="00162CD2" w:rsidRPr="008A36EB" w:rsidTr="0079220D">
        <w:trPr>
          <w:trHeight w:val="68"/>
        </w:trPr>
        <w:tc>
          <w:tcPr>
            <w:tcW w:w="2010" w:type="dxa"/>
            <w:vMerge/>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p>
        </w:tc>
        <w:tc>
          <w:tcPr>
            <w:tcW w:w="1875" w:type="dxa"/>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proofErr w:type="spellStart"/>
            <w:r w:rsidRPr="008A36EB">
              <w:t>RoW</w:t>
            </w:r>
            <w:proofErr w:type="spellEnd"/>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397</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110 700</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123 418</w:t>
            </w:r>
          </w:p>
        </w:tc>
        <w:tc>
          <w:tcPr>
            <w:tcW w:w="124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79 341 133</w:t>
            </w:r>
          </w:p>
        </w:tc>
      </w:tr>
      <w:tr w:rsidR="00162CD2" w:rsidRPr="008A36EB" w:rsidTr="0079220D">
        <w:trPr>
          <w:trHeight w:val="68"/>
        </w:trPr>
        <w:tc>
          <w:tcPr>
            <w:tcW w:w="2010" w:type="dxa"/>
            <w:tcBorders>
              <w:top w:val="single" w:sz="4" w:space="0" w:color="auto"/>
              <w:left w:val="nil"/>
              <w:bottom w:val="single" w:sz="4" w:space="0" w:color="auto"/>
              <w:right w:val="nil"/>
            </w:tcBorders>
          </w:tcPr>
          <w:p w:rsidR="00162CD2" w:rsidRPr="008A36EB" w:rsidRDefault="00162CD2" w:rsidP="00610348">
            <w:pPr>
              <w:spacing w:after="0" w:line="240" w:lineRule="auto"/>
              <w:ind w:firstLine="0"/>
            </w:pPr>
          </w:p>
        </w:tc>
        <w:tc>
          <w:tcPr>
            <w:tcW w:w="1875" w:type="dxa"/>
            <w:tcBorders>
              <w:top w:val="single" w:sz="4" w:space="0" w:color="auto"/>
              <w:left w:val="nil"/>
              <w:bottom w:val="single" w:sz="4" w:space="0" w:color="auto"/>
              <w:right w:val="nil"/>
            </w:tcBorders>
          </w:tcPr>
          <w:p w:rsidR="00162CD2" w:rsidRPr="008A36EB" w:rsidRDefault="00162CD2" w:rsidP="00610348">
            <w:pPr>
              <w:spacing w:after="0" w:line="240" w:lineRule="auto"/>
              <w:ind w:firstLine="0"/>
            </w:pPr>
          </w:p>
        </w:tc>
        <w:tc>
          <w:tcPr>
            <w:tcW w:w="1241" w:type="dxa"/>
            <w:tcBorders>
              <w:top w:val="single" w:sz="4" w:space="0" w:color="auto"/>
              <w:left w:val="nil"/>
              <w:bottom w:val="single" w:sz="4" w:space="0" w:color="auto"/>
              <w:right w:val="nil"/>
            </w:tcBorders>
            <w:vAlign w:val="bottom"/>
          </w:tcPr>
          <w:p w:rsidR="00162CD2" w:rsidRPr="008A36EB" w:rsidRDefault="00162CD2" w:rsidP="00610348">
            <w:pPr>
              <w:spacing w:after="0" w:line="240" w:lineRule="auto"/>
              <w:ind w:firstLine="0"/>
            </w:pPr>
          </w:p>
        </w:tc>
        <w:tc>
          <w:tcPr>
            <w:tcW w:w="1241" w:type="dxa"/>
            <w:tcBorders>
              <w:top w:val="single" w:sz="4" w:space="0" w:color="auto"/>
              <w:left w:val="nil"/>
              <w:bottom w:val="single" w:sz="4" w:space="0" w:color="auto"/>
              <w:right w:val="nil"/>
            </w:tcBorders>
            <w:vAlign w:val="bottom"/>
          </w:tcPr>
          <w:p w:rsidR="00162CD2" w:rsidRPr="008A36EB" w:rsidRDefault="00162CD2" w:rsidP="00610348">
            <w:pPr>
              <w:spacing w:after="0" w:line="240" w:lineRule="auto"/>
              <w:ind w:firstLine="0"/>
            </w:pPr>
          </w:p>
        </w:tc>
        <w:tc>
          <w:tcPr>
            <w:tcW w:w="1241" w:type="dxa"/>
            <w:tcBorders>
              <w:top w:val="single" w:sz="4" w:space="0" w:color="auto"/>
              <w:left w:val="nil"/>
              <w:bottom w:val="single" w:sz="4" w:space="0" w:color="auto"/>
              <w:right w:val="nil"/>
            </w:tcBorders>
            <w:vAlign w:val="bottom"/>
          </w:tcPr>
          <w:p w:rsidR="00162CD2" w:rsidRPr="008A36EB" w:rsidRDefault="00162CD2" w:rsidP="00610348">
            <w:pPr>
              <w:spacing w:after="0" w:line="240" w:lineRule="auto"/>
              <w:ind w:firstLine="0"/>
            </w:pPr>
          </w:p>
        </w:tc>
        <w:tc>
          <w:tcPr>
            <w:tcW w:w="1242" w:type="dxa"/>
            <w:tcBorders>
              <w:top w:val="single" w:sz="4" w:space="0" w:color="auto"/>
              <w:left w:val="nil"/>
              <w:bottom w:val="single" w:sz="4" w:space="0" w:color="auto"/>
              <w:right w:val="nil"/>
            </w:tcBorders>
            <w:vAlign w:val="bottom"/>
          </w:tcPr>
          <w:p w:rsidR="00162CD2" w:rsidRPr="008A36EB" w:rsidRDefault="00162CD2" w:rsidP="00610348">
            <w:pPr>
              <w:spacing w:after="0" w:line="240" w:lineRule="auto"/>
              <w:ind w:firstLine="0"/>
            </w:pPr>
          </w:p>
        </w:tc>
      </w:tr>
      <w:tr w:rsidR="00162CD2" w:rsidRPr="008A36EB" w:rsidTr="0079220D">
        <w:trPr>
          <w:trHeight w:val="68"/>
        </w:trPr>
        <w:tc>
          <w:tcPr>
            <w:tcW w:w="2010" w:type="dxa"/>
            <w:vMerge w:val="restart"/>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r w:rsidRPr="008A36EB">
              <w:t xml:space="preserve">Dairy </w:t>
            </w:r>
            <w:r w:rsidRPr="001E69D4">
              <w:rPr>
                <w:rStyle w:val="Style11pt"/>
                <w:rFonts w:ascii="Calibri" w:hAnsi="Calibri" w:cs="Calibri"/>
              </w:rPr>
              <w:t>products</w:t>
            </w:r>
            <w:r w:rsidRPr="008A36EB">
              <w:t xml:space="preserve"> </w:t>
            </w:r>
          </w:p>
        </w:tc>
        <w:tc>
          <w:tcPr>
            <w:tcW w:w="1875" w:type="dxa"/>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r w:rsidRPr="008A36EB">
              <w:t>BH</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141 809</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23</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4 808</w:t>
            </w:r>
          </w:p>
        </w:tc>
        <w:tc>
          <w:tcPr>
            <w:tcW w:w="124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988</w:t>
            </w:r>
          </w:p>
        </w:tc>
      </w:tr>
      <w:tr w:rsidR="00162CD2" w:rsidRPr="008A36EB" w:rsidTr="0079220D">
        <w:trPr>
          <w:trHeight w:val="68"/>
        </w:trPr>
        <w:tc>
          <w:tcPr>
            <w:tcW w:w="2010" w:type="dxa"/>
            <w:vMerge/>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p>
        </w:tc>
        <w:tc>
          <w:tcPr>
            <w:tcW w:w="1875" w:type="dxa"/>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r w:rsidRPr="008A36EB">
              <w:t>EU</w:t>
            </w:r>
            <w:r w:rsidR="00E4059A">
              <w:t>-</w:t>
            </w:r>
            <w:r w:rsidRPr="008A36EB">
              <w:t>25</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7 561</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34 866 177</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53 042</w:t>
            </w:r>
          </w:p>
        </w:tc>
        <w:tc>
          <w:tcPr>
            <w:tcW w:w="124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797 276</w:t>
            </w:r>
          </w:p>
        </w:tc>
      </w:tr>
      <w:tr w:rsidR="00162CD2" w:rsidRPr="008A36EB" w:rsidTr="0079220D">
        <w:trPr>
          <w:trHeight w:val="68"/>
        </w:trPr>
        <w:tc>
          <w:tcPr>
            <w:tcW w:w="2010" w:type="dxa"/>
            <w:vMerge/>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p>
        </w:tc>
        <w:tc>
          <w:tcPr>
            <w:tcW w:w="1875" w:type="dxa"/>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r w:rsidRPr="008A36EB">
              <w:t>CEFTA</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18 108</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4 734</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831 373</w:t>
            </w:r>
          </w:p>
        </w:tc>
        <w:tc>
          <w:tcPr>
            <w:tcW w:w="124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9 378</w:t>
            </w:r>
          </w:p>
        </w:tc>
      </w:tr>
      <w:tr w:rsidR="00162CD2" w:rsidRPr="008A36EB" w:rsidTr="0079220D">
        <w:trPr>
          <w:trHeight w:val="68"/>
        </w:trPr>
        <w:tc>
          <w:tcPr>
            <w:tcW w:w="2010" w:type="dxa"/>
            <w:vMerge/>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p>
        </w:tc>
        <w:tc>
          <w:tcPr>
            <w:tcW w:w="1875" w:type="dxa"/>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proofErr w:type="spellStart"/>
            <w:r w:rsidRPr="008A36EB">
              <w:t>RoW</w:t>
            </w:r>
            <w:proofErr w:type="spellEnd"/>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13 686</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51 868</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21 171</w:t>
            </w:r>
          </w:p>
        </w:tc>
        <w:tc>
          <w:tcPr>
            <w:tcW w:w="124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36 347 174</w:t>
            </w:r>
          </w:p>
        </w:tc>
      </w:tr>
      <w:tr w:rsidR="00162CD2" w:rsidRPr="008A36EB" w:rsidTr="0079220D">
        <w:trPr>
          <w:trHeight w:val="68"/>
        </w:trPr>
        <w:tc>
          <w:tcPr>
            <w:tcW w:w="2010" w:type="dxa"/>
            <w:tcBorders>
              <w:top w:val="single" w:sz="4" w:space="0" w:color="auto"/>
              <w:left w:val="nil"/>
              <w:bottom w:val="single" w:sz="4" w:space="0" w:color="auto"/>
              <w:right w:val="nil"/>
            </w:tcBorders>
          </w:tcPr>
          <w:p w:rsidR="00162CD2" w:rsidRPr="008A36EB" w:rsidRDefault="00162CD2" w:rsidP="00610348">
            <w:pPr>
              <w:spacing w:after="0" w:line="240" w:lineRule="auto"/>
              <w:ind w:firstLine="0"/>
            </w:pPr>
          </w:p>
        </w:tc>
        <w:tc>
          <w:tcPr>
            <w:tcW w:w="1875" w:type="dxa"/>
            <w:tcBorders>
              <w:top w:val="single" w:sz="4" w:space="0" w:color="auto"/>
              <w:left w:val="nil"/>
              <w:bottom w:val="single" w:sz="4" w:space="0" w:color="auto"/>
              <w:right w:val="nil"/>
            </w:tcBorders>
          </w:tcPr>
          <w:p w:rsidR="00162CD2" w:rsidRPr="008A36EB" w:rsidRDefault="00162CD2" w:rsidP="00610348">
            <w:pPr>
              <w:spacing w:after="0" w:line="240" w:lineRule="auto"/>
              <w:ind w:firstLine="0"/>
            </w:pPr>
          </w:p>
        </w:tc>
        <w:tc>
          <w:tcPr>
            <w:tcW w:w="1241" w:type="dxa"/>
            <w:tcBorders>
              <w:top w:val="single" w:sz="4" w:space="0" w:color="auto"/>
              <w:left w:val="nil"/>
              <w:bottom w:val="single" w:sz="4" w:space="0" w:color="auto"/>
              <w:right w:val="nil"/>
            </w:tcBorders>
            <w:vAlign w:val="bottom"/>
          </w:tcPr>
          <w:p w:rsidR="00162CD2" w:rsidRPr="008A36EB" w:rsidRDefault="00162CD2" w:rsidP="00610348">
            <w:pPr>
              <w:spacing w:after="0" w:line="240" w:lineRule="auto"/>
              <w:ind w:firstLine="0"/>
            </w:pPr>
          </w:p>
        </w:tc>
        <w:tc>
          <w:tcPr>
            <w:tcW w:w="1241" w:type="dxa"/>
            <w:tcBorders>
              <w:top w:val="single" w:sz="4" w:space="0" w:color="auto"/>
              <w:left w:val="nil"/>
              <w:bottom w:val="single" w:sz="4" w:space="0" w:color="auto"/>
              <w:right w:val="nil"/>
            </w:tcBorders>
            <w:vAlign w:val="bottom"/>
          </w:tcPr>
          <w:p w:rsidR="00162CD2" w:rsidRPr="008A36EB" w:rsidRDefault="00162CD2" w:rsidP="00610348">
            <w:pPr>
              <w:spacing w:after="0" w:line="240" w:lineRule="auto"/>
              <w:ind w:firstLine="0"/>
            </w:pPr>
          </w:p>
        </w:tc>
        <w:tc>
          <w:tcPr>
            <w:tcW w:w="1241" w:type="dxa"/>
            <w:tcBorders>
              <w:top w:val="single" w:sz="4" w:space="0" w:color="auto"/>
              <w:left w:val="nil"/>
              <w:bottom w:val="single" w:sz="4" w:space="0" w:color="auto"/>
              <w:right w:val="nil"/>
            </w:tcBorders>
            <w:vAlign w:val="bottom"/>
          </w:tcPr>
          <w:p w:rsidR="00162CD2" w:rsidRPr="008A36EB" w:rsidRDefault="00162CD2" w:rsidP="00610348">
            <w:pPr>
              <w:spacing w:after="0" w:line="240" w:lineRule="auto"/>
              <w:ind w:firstLine="0"/>
            </w:pPr>
          </w:p>
        </w:tc>
        <w:tc>
          <w:tcPr>
            <w:tcW w:w="1242" w:type="dxa"/>
            <w:tcBorders>
              <w:top w:val="single" w:sz="4" w:space="0" w:color="auto"/>
              <w:left w:val="nil"/>
              <w:bottom w:val="single" w:sz="4" w:space="0" w:color="auto"/>
              <w:right w:val="nil"/>
            </w:tcBorders>
            <w:vAlign w:val="bottom"/>
          </w:tcPr>
          <w:p w:rsidR="00162CD2" w:rsidRPr="008A36EB" w:rsidRDefault="00162CD2" w:rsidP="00610348">
            <w:pPr>
              <w:spacing w:after="0" w:line="240" w:lineRule="auto"/>
              <w:ind w:firstLine="0"/>
            </w:pPr>
          </w:p>
        </w:tc>
      </w:tr>
      <w:tr w:rsidR="00162CD2" w:rsidRPr="008A36EB" w:rsidTr="0079220D">
        <w:trPr>
          <w:trHeight w:val="68"/>
        </w:trPr>
        <w:tc>
          <w:tcPr>
            <w:tcW w:w="2010" w:type="dxa"/>
            <w:vMerge w:val="restart"/>
            <w:tcBorders>
              <w:top w:val="single" w:sz="4" w:space="0" w:color="auto"/>
              <w:left w:val="single" w:sz="4" w:space="0" w:color="auto"/>
              <w:bottom w:val="single" w:sz="4" w:space="0" w:color="auto"/>
              <w:right w:val="single" w:sz="4" w:space="0" w:color="auto"/>
            </w:tcBorders>
          </w:tcPr>
          <w:p w:rsidR="00162CD2" w:rsidRPr="001E69D4" w:rsidRDefault="00162CD2" w:rsidP="00610348">
            <w:pPr>
              <w:spacing w:after="0" w:line="240" w:lineRule="auto"/>
              <w:ind w:firstLine="0"/>
              <w:rPr>
                <w:rStyle w:val="Style11pt"/>
                <w:rFonts w:ascii="Calibri" w:hAnsi="Calibri" w:cs="Calibri"/>
              </w:rPr>
            </w:pPr>
            <w:r w:rsidRPr="001E69D4">
              <w:rPr>
                <w:rStyle w:val="Style11pt"/>
                <w:rFonts w:ascii="Calibri" w:hAnsi="Calibri" w:cs="Calibri"/>
              </w:rPr>
              <w:t>Processed meat</w:t>
            </w:r>
          </w:p>
        </w:tc>
        <w:tc>
          <w:tcPr>
            <w:tcW w:w="1875" w:type="dxa"/>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r w:rsidRPr="008A36EB">
              <w:t>BH</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93 071</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0</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6 834</w:t>
            </w:r>
          </w:p>
        </w:tc>
        <w:tc>
          <w:tcPr>
            <w:tcW w:w="124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282</w:t>
            </w:r>
          </w:p>
        </w:tc>
      </w:tr>
      <w:tr w:rsidR="00162CD2" w:rsidRPr="008A36EB" w:rsidTr="0079220D">
        <w:trPr>
          <w:trHeight w:val="68"/>
        </w:trPr>
        <w:tc>
          <w:tcPr>
            <w:tcW w:w="2010" w:type="dxa"/>
            <w:vMerge/>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p>
        </w:tc>
        <w:tc>
          <w:tcPr>
            <w:tcW w:w="1875" w:type="dxa"/>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r w:rsidRPr="008A36EB">
              <w:t>EU</w:t>
            </w:r>
            <w:r w:rsidR="000A3C72">
              <w:t>-</w:t>
            </w:r>
            <w:r w:rsidRPr="008A36EB">
              <w:t>25</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32 380</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92 959 082</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176 929</w:t>
            </w:r>
          </w:p>
        </w:tc>
        <w:tc>
          <w:tcPr>
            <w:tcW w:w="124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7 847 717</w:t>
            </w:r>
          </w:p>
        </w:tc>
      </w:tr>
      <w:tr w:rsidR="00162CD2" w:rsidRPr="008A36EB" w:rsidTr="0079220D">
        <w:trPr>
          <w:trHeight w:val="68"/>
        </w:trPr>
        <w:tc>
          <w:tcPr>
            <w:tcW w:w="2010" w:type="dxa"/>
            <w:vMerge/>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p>
        </w:tc>
        <w:tc>
          <w:tcPr>
            <w:tcW w:w="1875" w:type="dxa"/>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r w:rsidRPr="008A36EB">
              <w:t>CEFTA</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22 704</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6 692</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6 415 299</w:t>
            </w:r>
          </w:p>
        </w:tc>
        <w:tc>
          <w:tcPr>
            <w:tcW w:w="124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91 930</w:t>
            </w:r>
          </w:p>
        </w:tc>
      </w:tr>
      <w:tr w:rsidR="00162CD2" w:rsidRPr="008A36EB" w:rsidTr="0079220D">
        <w:trPr>
          <w:trHeight w:val="68"/>
        </w:trPr>
        <w:tc>
          <w:tcPr>
            <w:tcW w:w="2010" w:type="dxa"/>
            <w:vMerge/>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p>
        </w:tc>
        <w:tc>
          <w:tcPr>
            <w:tcW w:w="1875" w:type="dxa"/>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proofErr w:type="spellStart"/>
            <w:r w:rsidRPr="008A36EB">
              <w:t>RoW</w:t>
            </w:r>
            <w:proofErr w:type="spellEnd"/>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6 736</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107 090</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86 842</w:t>
            </w:r>
          </w:p>
        </w:tc>
        <w:tc>
          <w:tcPr>
            <w:tcW w:w="124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105 476 617</w:t>
            </w:r>
          </w:p>
        </w:tc>
      </w:tr>
      <w:tr w:rsidR="00162CD2" w:rsidRPr="008A36EB" w:rsidTr="0079220D">
        <w:trPr>
          <w:trHeight w:val="68"/>
        </w:trPr>
        <w:tc>
          <w:tcPr>
            <w:tcW w:w="2010" w:type="dxa"/>
            <w:tcBorders>
              <w:top w:val="single" w:sz="4" w:space="0" w:color="auto"/>
              <w:left w:val="nil"/>
              <w:bottom w:val="single" w:sz="4" w:space="0" w:color="auto"/>
              <w:right w:val="nil"/>
            </w:tcBorders>
          </w:tcPr>
          <w:p w:rsidR="00162CD2" w:rsidRPr="008A36EB" w:rsidRDefault="00162CD2" w:rsidP="00610348">
            <w:pPr>
              <w:spacing w:after="0" w:line="240" w:lineRule="auto"/>
              <w:ind w:firstLine="0"/>
            </w:pPr>
          </w:p>
        </w:tc>
        <w:tc>
          <w:tcPr>
            <w:tcW w:w="1875" w:type="dxa"/>
            <w:tcBorders>
              <w:top w:val="single" w:sz="4" w:space="0" w:color="auto"/>
              <w:left w:val="nil"/>
              <w:bottom w:val="single" w:sz="4" w:space="0" w:color="auto"/>
              <w:right w:val="nil"/>
            </w:tcBorders>
          </w:tcPr>
          <w:p w:rsidR="00162CD2" w:rsidRPr="008A36EB" w:rsidRDefault="00162CD2" w:rsidP="00610348">
            <w:pPr>
              <w:spacing w:after="0" w:line="240" w:lineRule="auto"/>
              <w:ind w:firstLine="0"/>
            </w:pPr>
          </w:p>
        </w:tc>
        <w:tc>
          <w:tcPr>
            <w:tcW w:w="1241" w:type="dxa"/>
            <w:tcBorders>
              <w:top w:val="single" w:sz="4" w:space="0" w:color="auto"/>
              <w:left w:val="nil"/>
              <w:bottom w:val="single" w:sz="4" w:space="0" w:color="auto"/>
              <w:right w:val="nil"/>
            </w:tcBorders>
            <w:vAlign w:val="bottom"/>
          </w:tcPr>
          <w:p w:rsidR="00162CD2" w:rsidRPr="008A36EB" w:rsidRDefault="00162CD2" w:rsidP="00610348">
            <w:pPr>
              <w:spacing w:after="0" w:line="240" w:lineRule="auto"/>
              <w:ind w:firstLine="0"/>
            </w:pPr>
          </w:p>
        </w:tc>
        <w:tc>
          <w:tcPr>
            <w:tcW w:w="1241" w:type="dxa"/>
            <w:tcBorders>
              <w:top w:val="single" w:sz="4" w:space="0" w:color="auto"/>
              <w:left w:val="nil"/>
              <w:bottom w:val="single" w:sz="4" w:space="0" w:color="auto"/>
              <w:right w:val="nil"/>
            </w:tcBorders>
            <w:vAlign w:val="bottom"/>
          </w:tcPr>
          <w:p w:rsidR="00162CD2" w:rsidRPr="008A36EB" w:rsidRDefault="00162CD2" w:rsidP="00610348">
            <w:pPr>
              <w:spacing w:after="0" w:line="240" w:lineRule="auto"/>
              <w:ind w:firstLine="0"/>
            </w:pPr>
          </w:p>
        </w:tc>
        <w:tc>
          <w:tcPr>
            <w:tcW w:w="1241" w:type="dxa"/>
            <w:tcBorders>
              <w:top w:val="single" w:sz="4" w:space="0" w:color="auto"/>
              <w:left w:val="nil"/>
              <w:bottom w:val="single" w:sz="4" w:space="0" w:color="auto"/>
              <w:right w:val="nil"/>
            </w:tcBorders>
            <w:vAlign w:val="bottom"/>
          </w:tcPr>
          <w:p w:rsidR="00162CD2" w:rsidRPr="008A36EB" w:rsidRDefault="00162CD2" w:rsidP="00610348">
            <w:pPr>
              <w:spacing w:after="0" w:line="240" w:lineRule="auto"/>
              <w:ind w:firstLine="0"/>
            </w:pPr>
          </w:p>
        </w:tc>
        <w:tc>
          <w:tcPr>
            <w:tcW w:w="1242" w:type="dxa"/>
            <w:tcBorders>
              <w:top w:val="single" w:sz="4" w:space="0" w:color="auto"/>
              <w:left w:val="nil"/>
              <w:bottom w:val="single" w:sz="4" w:space="0" w:color="auto"/>
              <w:right w:val="nil"/>
            </w:tcBorders>
            <w:vAlign w:val="bottom"/>
          </w:tcPr>
          <w:p w:rsidR="00162CD2" w:rsidRPr="008A36EB" w:rsidRDefault="00162CD2" w:rsidP="00610348">
            <w:pPr>
              <w:spacing w:after="0" w:line="240" w:lineRule="auto"/>
              <w:ind w:firstLine="0"/>
            </w:pPr>
          </w:p>
        </w:tc>
      </w:tr>
      <w:tr w:rsidR="00162CD2" w:rsidRPr="008A36EB" w:rsidTr="0079220D">
        <w:trPr>
          <w:trHeight w:val="68"/>
        </w:trPr>
        <w:tc>
          <w:tcPr>
            <w:tcW w:w="2010" w:type="dxa"/>
            <w:vMerge w:val="restart"/>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rPr>
                <w:color w:val="000000"/>
              </w:rPr>
            </w:pPr>
            <w:r w:rsidRPr="001E69D4">
              <w:rPr>
                <w:rStyle w:val="Style11pt"/>
                <w:rFonts w:ascii="Calibri" w:hAnsi="Calibri" w:cs="Calibri"/>
              </w:rPr>
              <w:t>Processed c</w:t>
            </w:r>
            <w:r w:rsidRPr="008A36EB">
              <w:rPr>
                <w:color w:val="000000"/>
              </w:rPr>
              <w:t>ereals</w:t>
            </w:r>
          </w:p>
        </w:tc>
        <w:tc>
          <w:tcPr>
            <w:tcW w:w="1875" w:type="dxa"/>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r w:rsidRPr="008A36EB">
              <w:t>BH</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125 217</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297</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13 468</w:t>
            </w:r>
          </w:p>
        </w:tc>
        <w:tc>
          <w:tcPr>
            <w:tcW w:w="124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2 448</w:t>
            </w:r>
          </w:p>
        </w:tc>
      </w:tr>
      <w:tr w:rsidR="00162CD2" w:rsidRPr="008A36EB" w:rsidTr="0079220D">
        <w:trPr>
          <w:trHeight w:val="68"/>
        </w:trPr>
        <w:tc>
          <w:tcPr>
            <w:tcW w:w="2010" w:type="dxa"/>
            <w:vMerge/>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p>
        </w:tc>
        <w:tc>
          <w:tcPr>
            <w:tcW w:w="1875" w:type="dxa"/>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r w:rsidRPr="008A36EB">
              <w:t>EU</w:t>
            </w:r>
            <w:r w:rsidR="000A3C72">
              <w:t>-</w:t>
            </w:r>
            <w:r w:rsidRPr="008A36EB">
              <w:t>25</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20 741</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78 035 428</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291 909</w:t>
            </w:r>
          </w:p>
        </w:tc>
        <w:tc>
          <w:tcPr>
            <w:tcW w:w="124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5 639 806</w:t>
            </w:r>
          </w:p>
        </w:tc>
      </w:tr>
      <w:tr w:rsidR="00162CD2" w:rsidRPr="008A36EB" w:rsidTr="0079220D">
        <w:trPr>
          <w:trHeight w:val="68"/>
        </w:trPr>
        <w:tc>
          <w:tcPr>
            <w:tcW w:w="2010" w:type="dxa"/>
            <w:vMerge/>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p>
        </w:tc>
        <w:tc>
          <w:tcPr>
            <w:tcW w:w="1875" w:type="dxa"/>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r w:rsidRPr="008A36EB">
              <w:t>CEFTA</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30 786</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41 459</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9 760 491</w:t>
            </w:r>
          </w:p>
        </w:tc>
        <w:tc>
          <w:tcPr>
            <w:tcW w:w="124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240 325</w:t>
            </w:r>
          </w:p>
        </w:tc>
      </w:tr>
      <w:tr w:rsidR="00162CD2" w:rsidRPr="008A36EB" w:rsidTr="0079220D">
        <w:trPr>
          <w:trHeight w:val="68"/>
        </w:trPr>
        <w:tc>
          <w:tcPr>
            <w:tcW w:w="2010" w:type="dxa"/>
            <w:vMerge/>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p>
        </w:tc>
        <w:tc>
          <w:tcPr>
            <w:tcW w:w="1875" w:type="dxa"/>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proofErr w:type="spellStart"/>
            <w:r w:rsidRPr="008A36EB">
              <w:t>RoW</w:t>
            </w:r>
            <w:proofErr w:type="spellEnd"/>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38 519</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205 771</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107 913</w:t>
            </w:r>
          </w:p>
        </w:tc>
        <w:tc>
          <w:tcPr>
            <w:tcW w:w="124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8354B">
            <w:pPr>
              <w:spacing w:after="0" w:line="240" w:lineRule="auto"/>
              <w:ind w:firstLine="0"/>
            </w:pPr>
            <w:r w:rsidRPr="008A36EB">
              <w:t>378 147 972</w:t>
            </w:r>
          </w:p>
        </w:tc>
      </w:tr>
      <w:tr w:rsidR="00162CD2" w:rsidRPr="008A36EB" w:rsidTr="0079220D">
        <w:trPr>
          <w:trHeight w:val="68"/>
        </w:trPr>
        <w:tc>
          <w:tcPr>
            <w:tcW w:w="2010" w:type="dxa"/>
            <w:tcBorders>
              <w:top w:val="single" w:sz="4" w:space="0" w:color="auto"/>
              <w:left w:val="nil"/>
              <w:bottom w:val="single" w:sz="4" w:space="0" w:color="auto"/>
              <w:right w:val="nil"/>
            </w:tcBorders>
          </w:tcPr>
          <w:p w:rsidR="00162CD2" w:rsidRPr="008A36EB" w:rsidRDefault="00162CD2" w:rsidP="00610348">
            <w:pPr>
              <w:spacing w:after="0" w:line="240" w:lineRule="auto"/>
              <w:ind w:firstLine="0"/>
            </w:pPr>
          </w:p>
        </w:tc>
        <w:tc>
          <w:tcPr>
            <w:tcW w:w="1875" w:type="dxa"/>
            <w:tcBorders>
              <w:top w:val="single" w:sz="4" w:space="0" w:color="auto"/>
              <w:left w:val="nil"/>
              <w:bottom w:val="single" w:sz="4" w:space="0" w:color="auto"/>
              <w:right w:val="nil"/>
            </w:tcBorders>
          </w:tcPr>
          <w:p w:rsidR="00162CD2" w:rsidRPr="008A36EB" w:rsidRDefault="00162CD2" w:rsidP="00610348">
            <w:pPr>
              <w:spacing w:after="0" w:line="240" w:lineRule="auto"/>
              <w:ind w:firstLine="0"/>
            </w:pPr>
          </w:p>
        </w:tc>
        <w:tc>
          <w:tcPr>
            <w:tcW w:w="1241" w:type="dxa"/>
            <w:tcBorders>
              <w:top w:val="single" w:sz="4" w:space="0" w:color="auto"/>
              <w:left w:val="nil"/>
              <w:bottom w:val="single" w:sz="4" w:space="0" w:color="auto"/>
              <w:right w:val="nil"/>
            </w:tcBorders>
            <w:vAlign w:val="bottom"/>
          </w:tcPr>
          <w:p w:rsidR="00162CD2" w:rsidRPr="008A36EB" w:rsidRDefault="00162CD2" w:rsidP="00610348">
            <w:pPr>
              <w:spacing w:after="0" w:line="240" w:lineRule="auto"/>
              <w:ind w:firstLine="0"/>
            </w:pPr>
          </w:p>
        </w:tc>
        <w:tc>
          <w:tcPr>
            <w:tcW w:w="1241" w:type="dxa"/>
            <w:tcBorders>
              <w:top w:val="single" w:sz="4" w:space="0" w:color="auto"/>
              <w:left w:val="nil"/>
              <w:bottom w:val="single" w:sz="4" w:space="0" w:color="auto"/>
              <w:right w:val="nil"/>
            </w:tcBorders>
            <w:vAlign w:val="bottom"/>
          </w:tcPr>
          <w:p w:rsidR="00162CD2" w:rsidRPr="008A36EB" w:rsidRDefault="00162CD2" w:rsidP="00610348">
            <w:pPr>
              <w:spacing w:after="0" w:line="240" w:lineRule="auto"/>
              <w:ind w:firstLine="0"/>
            </w:pPr>
          </w:p>
        </w:tc>
        <w:tc>
          <w:tcPr>
            <w:tcW w:w="1241" w:type="dxa"/>
            <w:tcBorders>
              <w:top w:val="single" w:sz="4" w:space="0" w:color="auto"/>
              <w:left w:val="nil"/>
              <w:bottom w:val="single" w:sz="4" w:space="0" w:color="auto"/>
              <w:right w:val="nil"/>
            </w:tcBorders>
            <w:vAlign w:val="bottom"/>
          </w:tcPr>
          <w:p w:rsidR="00162CD2" w:rsidRPr="008A36EB" w:rsidRDefault="00162CD2" w:rsidP="00610348">
            <w:pPr>
              <w:spacing w:after="0" w:line="240" w:lineRule="auto"/>
              <w:ind w:firstLine="0"/>
            </w:pPr>
          </w:p>
        </w:tc>
        <w:tc>
          <w:tcPr>
            <w:tcW w:w="1242" w:type="dxa"/>
            <w:tcBorders>
              <w:top w:val="single" w:sz="4" w:space="0" w:color="auto"/>
              <w:left w:val="nil"/>
              <w:bottom w:val="single" w:sz="4" w:space="0" w:color="auto"/>
              <w:right w:val="nil"/>
            </w:tcBorders>
            <w:vAlign w:val="bottom"/>
          </w:tcPr>
          <w:p w:rsidR="00162CD2" w:rsidRPr="008A36EB" w:rsidRDefault="00162CD2" w:rsidP="00610348">
            <w:pPr>
              <w:spacing w:after="0" w:line="240" w:lineRule="auto"/>
              <w:ind w:firstLine="0"/>
            </w:pPr>
          </w:p>
        </w:tc>
      </w:tr>
      <w:tr w:rsidR="00162CD2" w:rsidRPr="008A36EB" w:rsidTr="0079220D">
        <w:trPr>
          <w:trHeight w:val="68"/>
        </w:trPr>
        <w:tc>
          <w:tcPr>
            <w:tcW w:w="2010" w:type="dxa"/>
            <w:vMerge w:val="restart"/>
            <w:tcBorders>
              <w:top w:val="single" w:sz="4" w:space="0" w:color="auto"/>
              <w:left w:val="single" w:sz="4" w:space="0" w:color="auto"/>
              <w:bottom w:val="single" w:sz="4" w:space="0" w:color="auto"/>
              <w:right w:val="single" w:sz="4" w:space="0" w:color="auto"/>
            </w:tcBorders>
          </w:tcPr>
          <w:p w:rsidR="00162CD2" w:rsidRPr="001E69D4" w:rsidRDefault="00162CD2" w:rsidP="00871DB1">
            <w:pPr>
              <w:spacing w:after="0" w:line="240" w:lineRule="auto"/>
              <w:ind w:firstLine="0"/>
              <w:jc w:val="left"/>
              <w:rPr>
                <w:rStyle w:val="Style11pt"/>
                <w:rFonts w:ascii="Calibri" w:hAnsi="Calibri" w:cs="Calibri"/>
              </w:rPr>
            </w:pPr>
            <w:r w:rsidRPr="001E69D4">
              <w:rPr>
                <w:rStyle w:val="Style11pt"/>
                <w:rFonts w:ascii="Calibri" w:hAnsi="Calibri" w:cs="Calibri"/>
              </w:rPr>
              <w:t>Processed fruit and vegetables</w:t>
            </w:r>
          </w:p>
        </w:tc>
        <w:tc>
          <w:tcPr>
            <w:tcW w:w="1875" w:type="dxa"/>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r w:rsidRPr="008A36EB">
              <w:t>BH</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75 942</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1 623</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7 218</w:t>
            </w:r>
          </w:p>
        </w:tc>
        <w:tc>
          <w:tcPr>
            <w:tcW w:w="124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3 022</w:t>
            </w:r>
          </w:p>
        </w:tc>
      </w:tr>
      <w:tr w:rsidR="00162CD2" w:rsidRPr="008A36EB" w:rsidTr="0079220D">
        <w:trPr>
          <w:trHeight w:val="68"/>
        </w:trPr>
        <w:tc>
          <w:tcPr>
            <w:tcW w:w="2010" w:type="dxa"/>
            <w:vMerge/>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p>
        </w:tc>
        <w:tc>
          <w:tcPr>
            <w:tcW w:w="1875" w:type="dxa"/>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r w:rsidRPr="008A36EB">
              <w:t>EU</w:t>
            </w:r>
            <w:r w:rsidR="000A3C72">
              <w:t>-</w:t>
            </w:r>
            <w:r w:rsidRPr="008A36EB">
              <w:t>25</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12 160</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39 178 851</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209 776</w:t>
            </w:r>
          </w:p>
        </w:tc>
        <w:tc>
          <w:tcPr>
            <w:tcW w:w="124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3 854 903</w:t>
            </w:r>
          </w:p>
        </w:tc>
      </w:tr>
      <w:tr w:rsidR="00162CD2" w:rsidRPr="008A36EB" w:rsidTr="0079220D">
        <w:trPr>
          <w:trHeight w:val="68"/>
        </w:trPr>
        <w:tc>
          <w:tcPr>
            <w:tcW w:w="2010" w:type="dxa"/>
            <w:vMerge/>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p>
        </w:tc>
        <w:tc>
          <w:tcPr>
            <w:tcW w:w="1875" w:type="dxa"/>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r w:rsidRPr="008A36EB">
              <w:t>CEFTA</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9 800</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46 772</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12 191 701</w:t>
            </w:r>
          </w:p>
        </w:tc>
        <w:tc>
          <w:tcPr>
            <w:tcW w:w="124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414 481</w:t>
            </w:r>
          </w:p>
        </w:tc>
      </w:tr>
      <w:tr w:rsidR="00162CD2" w:rsidRPr="008A36EB" w:rsidTr="0079220D">
        <w:trPr>
          <w:trHeight w:val="68"/>
        </w:trPr>
        <w:tc>
          <w:tcPr>
            <w:tcW w:w="2010" w:type="dxa"/>
            <w:vMerge/>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p>
        </w:tc>
        <w:tc>
          <w:tcPr>
            <w:tcW w:w="1875" w:type="dxa"/>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proofErr w:type="spellStart"/>
            <w:r w:rsidRPr="008A36EB">
              <w:t>RoW</w:t>
            </w:r>
            <w:proofErr w:type="spellEnd"/>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22 114</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611 762</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120 646</w:t>
            </w:r>
          </w:p>
        </w:tc>
        <w:tc>
          <w:tcPr>
            <w:tcW w:w="124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8354B">
            <w:pPr>
              <w:spacing w:after="0" w:line="240" w:lineRule="auto"/>
              <w:ind w:firstLine="0"/>
            </w:pPr>
            <w:r w:rsidRPr="008A36EB">
              <w:t>288 850 800</w:t>
            </w:r>
          </w:p>
        </w:tc>
      </w:tr>
      <w:tr w:rsidR="00162CD2" w:rsidRPr="008A36EB" w:rsidTr="0079220D">
        <w:trPr>
          <w:trHeight w:val="68"/>
        </w:trPr>
        <w:tc>
          <w:tcPr>
            <w:tcW w:w="2010" w:type="dxa"/>
            <w:tcBorders>
              <w:top w:val="single" w:sz="4" w:space="0" w:color="auto"/>
              <w:left w:val="nil"/>
              <w:bottom w:val="single" w:sz="4" w:space="0" w:color="auto"/>
              <w:right w:val="nil"/>
            </w:tcBorders>
          </w:tcPr>
          <w:p w:rsidR="00162CD2" w:rsidRPr="008A36EB" w:rsidRDefault="00162CD2" w:rsidP="00610348">
            <w:pPr>
              <w:spacing w:after="0" w:line="240" w:lineRule="auto"/>
              <w:ind w:firstLine="0"/>
            </w:pPr>
          </w:p>
        </w:tc>
        <w:tc>
          <w:tcPr>
            <w:tcW w:w="1875" w:type="dxa"/>
            <w:tcBorders>
              <w:top w:val="single" w:sz="4" w:space="0" w:color="auto"/>
              <w:left w:val="nil"/>
              <w:bottom w:val="single" w:sz="4" w:space="0" w:color="auto"/>
              <w:right w:val="nil"/>
            </w:tcBorders>
          </w:tcPr>
          <w:p w:rsidR="00162CD2" w:rsidRPr="008A36EB" w:rsidRDefault="00162CD2" w:rsidP="00610348">
            <w:pPr>
              <w:spacing w:after="0" w:line="240" w:lineRule="auto"/>
              <w:ind w:firstLine="0"/>
            </w:pPr>
          </w:p>
        </w:tc>
        <w:tc>
          <w:tcPr>
            <w:tcW w:w="1241" w:type="dxa"/>
            <w:tcBorders>
              <w:top w:val="single" w:sz="4" w:space="0" w:color="auto"/>
              <w:left w:val="nil"/>
              <w:bottom w:val="single" w:sz="4" w:space="0" w:color="auto"/>
              <w:right w:val="nil"/>
            </w:tcBorders>
            <w:vAlign w:val="bottom"/>
          </w:tcPr>
          <w:p w:rsidR="00162CD2" w:rsidRPr="008A36EB" w:rsidRDefault="00162CD2" w:rsidP="00610348">
            <w:pPr>
              <w:spacing w:after="0" w:line="240" w:lineRule="auto"/>
              <w:ind w:firstLine="0"/>
            </w:pPr>
          </w:p>
        </w:tc>
        <w:tc>
          <w:tcPr>
            <w:tcW w:w="1241" w:type="dxa"/>
            <w:tcBorders>
              <w:top w:val="single" w:sz="4" w:space="0" w:color="auto"/>
              <w:left w:val="nil"/>
              <w:bottom w:val="single" w:sz="4" w:space="0" w:color="auto"/>
              <w:right w:val="nil"/>
            </w:tcBorders>
            <w:vAlign w:val="bottom"/>
          </w:tcPr>
          <w:p w:rsidR="00162CD2" w:rsidRPr="008A36EB" w:rsidRDefault="00162CD2" w:rsidP="00610348">
            <w:pPr>
              <w:spacing w:after="0" w:line="240" w:lineRule="auto"/>
              <w:ind w:firstLine="0"/>
            </w:pPr>
          </w:p>
        </w:tc>
        <w:tc>
          <w:tcPr>
            <w:tcW w:w="1241" w:type="dxa"/>
            <w:tcBorders>
              <w:top w:val="single" w:sz="4" w:space="0" w:color="auto"/>
              <w:left w:val="nil"/>
              <w:bottom w:val="single" w:sz="4" w:space="0" w:color="auto"/>
              <w:right w:val="nil"/>
            </w:tcBorders>
            <w:vAlign w:val="bottom"/>
          </w:tcPr>
          <w:p w:rsidR="00162CD2" w:rsidRPr="008A36EB" w:rsidRDefault="00162CD2" w:rsidP="00610348">
            <w:pPr>
              <w:spacing w:after="0" w:line="240" w:lineRule="auto"/>
              <w:ind w:firstLine="0"/>
            </w:pPr>
          </w:p>
        </w:tc>
        <w:tc>
          <w:tcPr>
            <w:tcW w:w="1242" w:type="dxa"/>
            <w:tcBorders>
              <w:top w:val="single" w:sz="4" w:space="0" w:color="auto"/>
              <w:left w:val="nil"/>
              <w:bottom w:val="single" w:sz="4" w:space="0" w:color="auto"/>
              <w:right w:val="nil"/>
            </w:tcBorders>
            <w:vAlign w:val="bottom"/>
          </w:tcPr>
          <w:p w:rsidR="00162CD2" w:rsidRPr="008A36EB" w:rsidRDefault="00162CD2" w:rsidP="00610348">
            <w:pPr>
              <w:spacing w:after="0" w:line="240" w:lineRule="auto"/>
              <w:ind w:firstLine="0"/>
            </w:pPr>
          </w:p>
        </w:tc>
      </w:tr>
      <w:tr w:rsidR="00162CD2" w:rsidRPr="008A36EB" w:rsidTr="0079220D">
        <w:trPr>
          <w:trHeight w:val="68"/>
        </w:trPr>
        <w:tc>
          <w:tcPr>
            <w:tcW w:w="2010" w:type="dxa"/>
            <w:vMerge w:val="restart"/>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r w:rsidRPr="008A36EB">
              <w:t>Wine</w:t>
            </w:r>
          </w:p>
        </w:tc>
        <w:tc>
          <w:tcPr>
            <w:tcW w:w="1875" w:type="dxa"/>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r w:rsidRPr="008A36EB">
              <w:t>BH</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5 656</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7</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1 934</w:t>
            </w:r>
          </w:p>
        </w:tc>
        <w:tc>
          <w:tcPr>
            <w:tcW w:w="124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132</w:t>
            </w:r>
          </w:p>
        </w:tc>
      </w:tr>
      <w:tr w:rsidR="00162CD2" w:rsidRPr="008A36EB" w:rsidTr="0079220D">
        <w:trPr>
          <w:trHeight w:val="68"/>
        </w:trPr>
        <w:tc>
          <w:tcPr>
            <w:tcW w:w="2010" w:type="dxa"/>
            <w:vMerge/>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p>
        </w:tc>
        <w:tc>
          <w:tcPr>
            <w:tcW w:w="1875" w:type="dxa"/>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r w:rsidRPr="008A36EB">
              <w:t>EU</w:t>
            </w:r>
            <w:r w:rsidR="000A3C72">
              <w:t>-</w:t>
            </w:r>
            <w:r w:rsidRPr="008A36EB">
              <w:t>25</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2 572</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989 328</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22 501</w:t>
            </w:r>
          </w:p>
        </w:tc>
        <w:tc>
          <w:tcPr>
            <w:tcW w:w="124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9 058 022</w:t>
            </w:r>
          </w:p>
        </w:tc>
      </w:tr>
      <w:tr w:rsidR="00162CD2" w:rsidRPr="008A36EB" w:rsidTr="0079220D">
        <w:trPr>
          <w:trHeight w:val="68"/>
        </w:trPr>
        <w:tc>
          <w:tcPr>
            <w:tcW w:w="2010" w:type="dxa"/>
            <w:vMerge/>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p>
        </w:tc>
        <w:tc>
          <w:tcPr>
            <w:tcW w:w="1875" w:type="dxa"/>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r w:rsidRPr="008A36EB">
              <w:t>CEFTA</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7 740</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44 402</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77 333</w:t>
            </w:r>
          </w:p>
        </w:tc>
        <w:tc>
          <w:tcPr>
            <w:tcW w:w="124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8354B">
            <w:pPr>
              <w:spacing w:after="0" w:line="240" w:lineRule="auto"/>
              <w:ind w:firstLine="0"/>
            </w:pPr>
            <w:r w:rsidRPr="008A36EB">
              <w:t>217 938</w:t>
            </w:r>
          </w:p>
        </w:tc>
      </w:tr>
      <w:tr w:rsidR="00162CD2" w:rsidRPr="008A36EB" w:rsidTr="0079220D">
        <w:trPr>
          <w:trHeight w:val="68"/>
        </w:trPr>
        <w:tc>
          <w:tcPr>
            <w:tcW w:w="2010" w:type="dxa"/>
            <w:vMerge/>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p>
        </w:tc>
        <w:tc>
          <w:tcPr>
            <w:tcW w:w="1875" w:type="dxa"/>
            <w:tcBorders>
              <w:top w:val="single" w:sz="4" w:space="0" w:color="auto"/>
              <w:left w:val="single" w:sz="4" w:space="0" w:color="auto"/>
              <w:bottom w:val="single" w:sz="4" w:space="0" w:color="auto"/>
              <w:right w:val="single" w:sz="4" w:space="0" w:color="auto"/>
            </w:tcBorders>
          </w:tcPr>
          <w:p w:rsidR="00162CD2" w:rsidRPr="008A36EB" w:rsidRDefault="00162CD2" w:rsidP="00610348">
            <w:pPr>
              <w:spacing w:after="0" w:line="240" w:lineRule="auto"/>
              <w:ind w:firstLine="0"/>
            </w:pPr>
            <w:proofErr w:type="spellStart"/>
            <w:r w:rsidRPr="008A36EB">
              <w:t>RoW</w:t>
            </w:r>
            <w:proofErr w:type="spellEnd"/>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7 407</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196 360</w:t>
            </w:r>
          </w:p>
        </w:tc>
        <w:tc>
          <w:tcPr>
            <w:tcW w:w="1241"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14 102</w:t>
            </w:r>
          </w:p>
        </w:tc>
        <w:tc>
          <w:tcPr>
            <w:tcW w:w="124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10348">
            <w:pPr>
              <w:spacing w:after="0" w:line="240" w:lineRule="auto"/>
              <w:ind w:firstLine="0"/>
            </w:pPr>
            <w:r w:rsidRPr="008A36EB">
              <w:t>1 414 157</w:t>
            </w:r>
          </w:p>
        </w:tc>
      </w:tr>
    </w:tbl>
    <w:p w:rsidR="00162CD2" w:rsidRPr="001E69D4" w:rsidRDefault="00162CD2" w:rsidP="00610348">
      <w:pPr>
        <w:pStyle w:val="Footnotes"/>
      </w:pPr>
      <w:r w:rsidRPr="001E69D4">
        <w:t xml:space="preserve">Source: </w:t>
      </w:r>
      <w:proofErr w:type="spellStart"/>
      <w:r w:rsidRPr="001E69D4">
        <w:t>Comtrade</w:t>
      </w:r>
      <w:proofErr w:type="spellEnd"/>
      <w:r w:rsidRPr="001E69D4">
        <w:t>, FAOSTAT, BH government. Elements on the diagonal refer to own production consumed domestically.</w:t>
      </w:r>
    </w:p>
    <w:p w:rsidR="00162CD2" w:rsidRPr="00E92F91" w:rsidRDefault="00CE0B87" w:rsidP="00E92F91">
      <w:pPr>
        <w:pStyle w:val="Heading2"/>
      </w:pPr>
      <w:r w:rsidRPr="00E92F91">
        <w:t>9</w:t>
      </w:r>
      <w:r w:rsidR="00162CD2" w:rsidRPr="00E92F91">
        <w:t>.</w:t>
      </w:r>
      <w:r w:rsidR="006E5332">
        <w:t>4</w:t>
      </w:r>
      <w:r w:rsidR="00162CD2" w:rsidRPr="00E92F91">
        <w:t>.3</w:t>
      </w:r>
      <w:r w:rsidR="00162CD2" w:rsidRPr="00E92F91">
        <w:tab/>
        <w:t>The results</w:t>
      </w:r>
    </w:p>
    <w:p w:rsidR="00162CD2" w:rsidRPr="001E69D4" w:rsidRDefault="00162CD2">
      <w:pPr>
        <w:pStyle w:val="BodyText3"/>
      </w:pPr>
      <w:r w:rsidRPr="001E69D4">
        <w:rPr>
          <w:sz w:val="22"/>
          <w:szCs w:val="22"/>
        </w:rPr>
        <w:t xml:space="preserve">The accession of BH to both the EU and the WTO </w:t>
      </w:r>
      <w:r>
        <w:rPr>
          <w:sz w:val="22"/>
          <w:szCs w:val="22"/>
        </w:rPr>
        <w:t>will</w:t>
      </w:r>
      <w:r w:rsidRPr="001E69D4">
        <w:rPr>
          <w:sz w:val="22"/>
          <w:szCs w:val="22"/>
        </w:rPr>
        <w:t xml:space="preserve"> lead to falls in tariffs on BH’s imports and exports for the products examined here. The </w:t>
      </w:r>
      <w:r>
        <w:rPr>
          <w:sz w:val="22"/>
          <w:szCs w:val="22"/>
        </w:rPr>
        <w:t xml:space="preserve">resulting </w:t>
      </w:r>
      <w:r w:rsidRPr="001E69D4">
        <w:rPr>
          <w:sz w:val="22"/>
          <w:szCs w:val="22"/>
        </w:rPr>
        <w:t>changes in trade in turn lead to changes in output and employment. The net effect on employment is negative</w:t>
      </w:r>
      <w:r>
        <w:rPr>
          <w:sz w:val="22"/>
          <w:szCs w:val="22"/>
        </w:rPr>
        <w:t xml:space="preserve"> but</w:t>
      </w:r>
      <w:r w:rsidRPr="001E69D4">
        <w:rPr>
          <w:sz w:val="22"/>
          <w:szCs w:val="22"/>
        </w:rPr>
        <w:t xml:space="preserve"> slight, with an estimated 2</w:t>
      </w:r>
      <w:r>
        <w:rPr>
          <w:sz w:val="22"/>
          <w:szCs w:val="22"/>
        </w:rPr>
        <w:t>,</w:t>
      </w:r>
      <w:r w:rsidRPr="001E69D4">
        <w:rPr>
          <w:sz w:val="22"/>
          <w:szCs w:val="22"/>
        </w:rPr>
        <w:t>000 agricultural workers displaced. Changes in BH’s exports, imports, output</w:t>
      </w:r>
      <w:r>
        <w:rPr>
          <w:sz w:val="22"/>
          <w:szCs w:val="22"/>
        </w:rPr>
        <w:t>,</w:t>
      </w:r>
      <w:r w:rsidRPr="001E69D4">
        <w:rPr>
          <w:sz w:val="22"/>
          <w:szCs w:val="22"/>
        </w:rPr>
        <w:t xml:space="preserve"> and employment are presented in this section. We also report, in less detail, changes in tariff revenue, returns to producers</w:t>
      </w:r>
      <w:r>
        <w:rPr>
          <w:sz w:val="22"/>
          <w:szCs w:val="22"/>
        </w:rPr>
        <w:t>,</w:t>
      </w:r>
      <w:r w:rsidRPr="001E69D4">
        <w:rPr>
          <w:sz w:val="22"/>
          <w:szCs w:val="22"/>
        </w:rPr>
        <w:t xml:space="preserve"> and benefits to consumers. Because the changes in trade flows are driving the change in output, </w:t>
      </w:r>
      <w:r>
        <w:rPr>
          <w:sz w:val="22"/>
          <w:szCs w:val="22"/>
        </w:rPr>
        <w:t>we present them first.</w:t>
      </w:r>
      <w:r w:rsidRPr="001E69D4" w:rsidDel="00845A0A">
        <w:rPr>
          <w:sz w:val="22"/>
          <w:szCs w:val="22"/>
        </w:rPr>
        <w:t xml:space="preserve"> </w:t>
      </w:r>
    </w:p>
    <w:p w:rsidR="00162CD2" w:rsidRPr="00845A0A" w:rsidRDefault="00CE0B87" w:rsidP="00845A0A">
      <w:pPr>
        <w:pStyle w:val="Heading3"/>
      </w:pPr>
      <w:r>
        <w:t>9</w:t>
      </w:r>
      <w:r w:rsidR="00162CD2" w:rsidRPr="00845A0A">
        <w:t>.</w:t>
      </w:r>
      <w:r w:rsidR="006E5332">
        <w:t>4</w:t>
      </w:r>
      <w:r w:rsidR="00162CD2" w:rsidRPr="00845A0A">
        <w:t>.3.1</w:t>
      </w:r>
      <w:r w:rsidR="00162CD2" w:rsidRPr="00845A0A">
        <w:tab/>
        <w:t>Exports</w:t>
      </w:r>
    </w:p>
    <w:p w:rsidR="00162CD2" w:rsidRDefault="00162CD2">
      <w:pPr>
        <w:pStyle w:val="BodyText"/>
        <w:spacing w:line="276" w:lineRule="auto"/>
        <w:rPr>
          <w:lang w:val="en-GB"/>
        </w:rPr>
      </w:pPr>
      <w:r w:rsidRPr="001E69D4">
        <w:rPr>
          <w:lang w:val="en-GB"/>
        </w:rPr>
        <w:t xml:space="preserve">The changes in exports following accession are shown in table </w:t>
      </w:r>
      <w:r w:rsidR="00F93001">
        <w:rPr>
          <w:lang w:val="en-GB"/>
        </w:rPr>
        <w:t>9</w:t>
      </w:r>
      <w:r>
        <w:rPr>
          <w:lang w:val="en-GB"/>
        </w:rPr>
        <w:t>.</w:t>
      </w:r>
      <w:r w:rsidR="00AF76C6">
        <w:rPr>
          <w:lang w:val="en-GB"/>
        </w:rPr>
        <w:t>9</w:t>
      </w:r>
      <w:r w:rsidRPr="001E69D4">
        <w:rPr>
          <w:lang w:val="en-GB"/>
        </w:rPr>
        <w:t>. The dominant effects are increases in exports of beef, processed meats</w:t>
      </w:r>
      <w:r>
        <w:rPr>
          <w:lang w:val="en-GB"/>
        </w:rPr>
        <w:t>,</w:t>
      </w:r>
      <w:r w:rsidRPr="001E69D4">
        <w:rPr>
          <w:lang w:val="en-GB"/>
        </w:rPr>
        <w:t xml:space="preserve"> and dairy products, but these changes are modest because there is no additional opening of export markets in either the EU or CEFTA, with which BH currently has trade agreements, </w:t>
      </w:r>
      <w:proofErr w:type="gramStart"/>
      <w:r w:rsidRPr="001E69D4">
        <w:rPr>
          <w:lang w:val="en-GB"/>
        </w:rPr>
        <w:t>nor</w:t>
      </w:r>
      <w:proofErr w:type="gramEnd"/>
      <w:r w:rsidRPr="001E69D4">
        <w:rPr>
          <w:lang w:val="en-GB"/>
        </w:rPr>
        <w:t xml:space="preserve"> with the </w:t>
      </w:r>
      <w:proofErr w:type="spellStart"/>
      <w:r w:rsidRPr="001E69D4">
        <w:rPr>
          <w:lang w:val="en-GB"/>
        </w:rPr>
        <w:t>RoW</w:t>
      </w:r>
      <w:proofErr w:type="spellEnd"/>
      <w:r w:rsidRPr="001E69D4">
        <w:rPr>
          <w:lang w:val="en-GB"/>
        </w:rPr>
        <w:t xml:space="preserve"> countries </w:t>
      </w:r>
      <w:r>
        <w:rPr>
          <w:lang w:val="en-GB"/>
        </w:rPr>
        <w:t>that</w:t>
      </w:r>
      <w:r w:rsidRPr="001E69D4">
        <w:rPr>
          <w:lang w:val="en-GB"/>
        </w:rPr>
        <w:t xml:space="preserve"> already impose </w:t>
      </w:r>
      <w:r>
        <w:rPr>
          <w:lang w:val="en-GB"/>
        </w:rPr>
        <w:t>MFN</w:t>
      </w:r>
      <w:r w:rsidRPr="001E69D4">
        <w:rPr>
          <w:lang w:val="en-GB"/>
        </w:rPr>
        <w:t xml:space="preserve"> rates on imports from BH. </w:t>
      </w:r>
    </w:p>
    <w:p w:rsidR="00162CD2" w:rsidRPr="00E4059A" w:rsidRDefault="000A120D" w:rsidP="00610348">
      <w:pPr>
        <w:pStyle w:val="Tabletitle"/>
      </w:pPr>
      <w:r w:rsidRPr="000A120D">
        <w:t>Table 9.9:</w:t>
      </w:r>
      <w:r w:rsidRPr="000A120D">
        <w:tab/>
        <w:t xml:space="preserve">Change in BH exports </w:t>
      </w:r>
    </w:p>
    <w:tbl>
      <w:tblPr>
        <w:tblW w:w="8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629"/>
        <w:gridCol w:w="1216"/>
        <w:gridCol w:w="1216"/>
        <w:gridCol w:w="1208"/>
        <w:gridCol w:w="321"/>
        <w:gridCol w:w="1260"/>
        <w:gridCol w:w="1260"/>
      </w:tblGrid>
      <w:tr w:rsidR="00162CD2" w:rsidRPr="008A36EB" w:rsidTr="00E92F91">
        <w:trPr>
          <w:trHeight w:val="300"/>
        </w:trPr>
        <w:tc>
          <w:tcPr>
            <w:tcW w:w="1629" w:type="dxa"/>
            <w:vMerge w:val="restart"/>
            <w:noWrap/>
            <w:vAlign w:val="bottom"/>
          </w:tcPr>
          <w:p w:rsidR="00162CD2" w:rsidRPr="00E92F91" w:rsidRDefault="00162CD2" w:rsidP="00E92F91">
            <w:pPr>
              <w:spacing w:after="0" w:line="240" w:lineRule="auto"/>
              <w:ind w:firstLine="0"/>
              <w:jc w:val="left"/>
              <w:rPr>
                <w:b/>
              </w:rPr>
            </w:pPr>
            <w:r w:rsidRPr="00E92F91">
              <w:rPr>
                <w:b/>
              </w:rPr>
              <w:t>Product</w:t>
            </w:r>
          </w:p>
        </w:tc>
        <w:tc>
          <w:tcPr>
            <w:tcW w:w="1216" w:type="dxa"/>
            <w:vMerge w:val="restart"/>
            <w:noWrap/>
            <w:vAlign w:val="bottom"/>
          </w:tcPr>
          <w:p w:rsidR="00162CD2" w:rsidRPr="00E92F91" w:rsidRDefault="00162CD2" w:rsidP="00E92F91">
            <w:pPr>
              <w:spacing w:after="0" w:line="240" w:lineRule="auto"/>
              <w:ind w:firstLine="0"/>
              <w:jc w:val="left"/>
              <w:rPr>
                <w:rStyle w:val="Style11pt"/>
                <w:rFonts w:ascii="Calibri" w:hAnsi="Calibri" w:cs="Calibri"/>
                <w:b/>
              </w:rPr>
            </w:pPr>
          </w:p>
          <w:p w:rsidR="00162CD2" w:rsidRPr="00E92F91" w:rsidRDefault="00162CD2" w:rsidP="00E92F91">
            <w:pPr>
              <w:spacing w:after="0" w:line="240" w:lineRule="auto"/>
              <w:ind w:firstLine="0"/>
              <w:jc w:val="left"/>
              <w:rPr>
                <w:rStyle w:val="Style11pt"/>
                <w:rFonts w:ascii="Calibri" w:hAnsi="Calibri" w:cs="Calibri"/>
                <w:b/>
              </w:rPr>
            </w:pPr>
            <w:r w:rsidRPr="00E92F91">
              <w:rPr>
                <w:b/>
              </w:rPr>
              <w:t>Initial exports (</w:t>
            </w:r>
            <w:r w:rsidR="00E92F91">
              <w:rPr>
                <w:b/>
              </w:rPr>
              <w:t>US</w:t>
            </w:r>
            <w:r w:rsidRPr="00E92F91">
              <w:rPr>
                <w:b/>
              </w:rPr>
              <w:t>$000)</w:t>
            </w:r>
          </w:p>
        </w:tc>
        <w:tc>
          <w:tcPr>
            <w:tcW w:w="2424" w:type="dxa"/>
            <w:gridSpan w:val="2"/>
            <w:noWrap/>
            <w:vAlign w:val="bottom"/>
          </w:tcPr>
          <w:p w:rsidR="00162CD2" w:rsidRPr="00E92F91" w:rsidRDefault="00162CD2" w:rsidP="00E92F91">
            <w:pPr>
              <w:spacing w:after="0" w:line="240" w:lineRule="auto"/>
              <w:ind w:firstLine="0"/>
              <w:jc w:val="left"/>
              <w:rPr>
                <w:b/>
              </w:rPr>
            </w:pPr>
            <w:r w:rsidRPr="00E92F91">
              <w:rPr>
                <w:b/>
              </w:rPr>
              <w:t>EU accession</w:t>
            </w:r>
          </w:p>
        </w:tc>
        <w:tc>
          <w:tcPr>
            <w:tcW w:w="321" w:type="dxa"/>
            <w:vMerge w:val="restart"/>
            <w:vAlign w:val="bottom"/>
          </w:tcPr>
          <w:p w:rsidR="00162CD2" w:rsidRPr="00E92F91" w:rsidRDefault="00162CD2" w:rsidP="00E92F91">
            <w:pPr>
              <w:spacing w:after="0" w:line="240" w:lineRule="auto"/>
              <w:ind w:firstLine="0"/>
              <w:jc w:val="left"/>
              <w:rPr>
                <w:b/>
              </w:rPr>
            </w:pPr>
          </w:p>
        </w:tc>
        <w:tc>
          <w:tcPr>
            <w:tcW w:w="2520" w:type="dxa"/>
            <w:gridSpan w:val="2"/>
            <w:vAlign w:val="bottom"/>
          </w:tcPr>
          <w:p w:rsidR="00162CD2" w:rsidRPr="00E92F91" w:rsidRDefault="00162CD2" w:rsidP="00E92F91">
            <w:pPr>
              <w:spacing w:after="0" w:line="240" w:lineRule="auto"/>
              <w:ind w:firstLine="0"/>
              <w:jc w:val="left"/>
              <w:rPr>
                <w:b/>
              </w:rPr>
            </w:pPr>
            <w:r w:rsidRPr="00E92F91">
              <w:rPr>
                <w:b/>
              </w:rPr>
              <w:t>WTO accession</w:t>
            </w:r>
          </w:p>
        </w:tc>
      </w:tr>
      <w:tr w:rsidR="00162CD2" w:rsidRPr="008A36EB" w:rsidTr="00E92F91">
        <w:trPr>
          <w:trHeight w:val="806"/>
        </w:trPr>
        <w:tc>
          <w:tcPr>
            <w:tcW w:w="1629" w:type="dxa"/>
            <w:vMerge/>
            <w:noWrap/>
            <w:vAlign w:val="bottom"/>
          </w:tcPr>
          <w:p w:rsidR="00162CD2" w:rsidRPr="00E92F91" w:rsidRDefault="00162CD2" w:rsidP="00E92F91">
            <w:pPr>
              <w:spacing w:after="0" w:line="240" w:lineRule="auto"/>
              <w:ind w:firstLine="0"/>
              <w:jc w:val="left"/>
              <w:rPr>
                <w:b/>
              </w:rPr>
            </w:pPr>
          </w:p>
        </w:tc>
        <w:tc>
          <w:tcPr>
            <w:tcW w:w="1216" w:type="dxa"/>
            <w:vMerge/>
            <w:noWrap/>
            <w:vAlign w:val="bottom"/>
          </w:tcPr>
          <w:p w:rsidR="00162CD2" w:rsidRPr="00E92F91" w:rsidRDefault="00162CD2" w:rsidP="00E92F91">
            <w:pPr>
              <w:spacing w:after="0" w:line="240" w:lineRule="auto"/>
              <w:ind w:firstLine="0"/>
              <w:jc w:val="left"/>
              <w:rPr>
                <w:b/>
              </w:rPr>
            </w:pPr>
          </w:p>
        </w:tc>
        <w:tc>
          <w:tcPr>
            <w:tcW w:w="1216" w:type="dxa"/>
            <w:noWrap/>
            <w:vAlign w:val="bottom"/>
          </w:tcPr>
          <w:p w:rsidR="00162CD2" w:rsidRPr="00E92F91" w:rsidRDefault="00162CD2" w:rsidP="00E92F91">
            <w:pPr>
              <w:spacing w:after="0" w:line="240" w:lineRule="auto"/>
              <w:ind w:firstLine="0"/>
              <w:jc w:val="left"/>
              <w:rPr>
                <w:b/>
              </w:rPr>
            </w:pPr>
            <w:r w:rsidRPr="00E92F91">
              <w:rPr>
                <w:b/>
              </w:rPr>
              <w:t>Change in value (</w:t>
            </w:r>
            <w:r w:rsidR="00E92F91">
              <w:rPr>
                <w:b/>
              </w:rPr>
              <w:t>US</w:t>
            </w:r>
            <w:r w:rsidRPr="00E92F91">
              <w:rPr>
                <w:b/>
              </w:rPr>
              <w:t>$000)</w:t>
            </w:r>
          </w:p>
        </w:tc>
        <w:tc>
          <w:tcPr>
            <w:tcW w:w="1208" w:type="dxa"/>
            <w:noWrap/>
            <w:vAlign w:val="bottom"/>
          </w:tcPr>
          <w:p w:rsidR="00162CD2" w:rsidRPr="00E92F91" w:rsidRDefault="00162CD2" w:rsidP="00E92F91">
            <w:pPr>
              <w:spacing w:after="0" w:line="240" w:lineRule="auto"/>
              <w:ind w:firstLine="0"/>
              <w:jc w:val="left"/>
              <w:rPr>
                <w:b/>
                <w:bCs/>
              </w:rPr>
            </w:pPr>
            <w:r w:rsidRPr="00E92F91">
              <w:rPr>
                <w:b/>
              </w:rPr>
              <w:t>Change in value (%)</w:t>
            </w:r>
          </w:p>
        </w:tc>
        <w:tc>
          <w:tcPr>
            <w:tcW w:w="321" w:type="dxa"/>
            <w:vMerge/>
            <w:vAlign w:val="bottom"/>
          </w:tcPr>
          <w:p w:rsidR="00162CD2" w:rsidRPr="00E92F91" w:rsidRDefault="00162CD2" w:rsidP="00E92F91">
            <w:pPr>
              <w:spacing w:after="0" w:line="240" w:lineRule="auto"/>
              <w:ind w:firstLine="0"/>
              <w:jc w:val="left"/>
              <w:rPr>
                <w:b/>
              </w:rPr>
            </w:pPr>
          </w:p>
        </w:tc>
        <w:tc>
          <w:tcPr>
            <w:tcW w:w="1260" w:type="dxa"/>
            <w:vAlign w:val="bottom"/>
          </w:tcPr>
          <w:p w:rsidR="00162CD2" w:rsidRPr="00E92F91" w:rsidRDefault="00162CD2" w:rsidP="00E92F91">
            <w:pPr>
              <w:spacing w:after="0" w:line="240" w:lineRule="auto"/>
              <w:ind w:firstLine="0"/>
              <w:jc w:val="left"/>
              <w:rPr>
                <w:b/>
              </w:rPr>
            </w:pPr>
            <w:r w:rsidRPr="00E92F91">
              <w:rPr>
                <w:b/>
              </w:rPr>
              <w:t>Change in value (</w:t>
            </w:r>
            <w:r w:rsidR="00E92F91">
              <w:rPr>
                <w:b/>
              </w:rPr>
              <w:t>US</w:t>
            </w:r>
            <w:r w:rsidRPr="00E92F91">
              <w:rPr>
                <w:b/>
              </w:rPr>
              <w:t>$000)</w:t>
            </w:r>
          </w:p>
        </w:tc>
        <w:tc>
          <w:tcPr>
            <w:tcW w:w="1260" w:type="dxa"/>
            <w:vAlign w:val="bottom"/>
          </w:tcPr>
          <w:p w:rsidR="00162CD2" w:rsidRPr="00E92F91" w:rsidRDefault="00162CD2" w:rsidP="00E92F91">
            <w:pPr>
              <w:spacing w:after="0" w:line="240" w:lineRule="auto"/>
              <w:ind w:firstLine="0"/>
              <w:jc w:val="left"/>
              <w:rPr>
                <w:b/>
              </w:rPr>
            </w:pPr>
            <w:r w:rsidRPr="00E92F91">
              <w:rPr>
                <w:b/>
              </w:rPr>
              <w:t>Change in value (%)</w:t>
            </w:r>
          </w:p>
        </w:tc>
      </w:tr>
      <w:tr w:rsidR="00162CD2" w:rsidRPr="008A36EB" w:rsidTr="00CC6129">
        <w:trPr>
          <w:trHeight w:val="285"/>
        </w:trPr>
        <w:tc>
          <w:tcPr>
            <w:tcW w:w="1629" w:type="dxa"/>
            <w:noWrap/>
          </w:tcPr>
          <w:p w:rsidR="00162CD2" w:rsidRPr="008A36EB" w:rsidRDefault="00162CD2" w:rsidP="00DA3DD7">
            <w:pPr>
              <w:spacing w:after="0" w:line="240" w:lineRule="auto"/>
              <w:ind w:firstLine="0"/>
              <w:jc w:val="left"/>
            </w:pPr>
            <w:r w:rsidRPr="008A36EB">
              <w:t>Beef</w:t>
            </w:r>
          </w:p>
        </w:tc>
        <w:tc>
          <w:tcPr>
            <w:tcW w:w="1216" w:type="dxa"/>
            <w:noWrap/>
          </w:tcPr>
          <w:p w:rsidR="00162CD2" w:rsidRPr="008A36EB" w:rsidRDefault="00162CD2" w:rsidP="00610348">
            <w:pPr>
              <w:spacing w:after="0" w:line="240" w:lineRule="auto"/>
              <w:ind w:firstLine="0"/>
            </w:pPr>
            <w:r w:rsidRPr="008A36EB">
              <w:t>21</w:t>
            </w:r>
          </w:p>
        </w:tc>
        <w:tc>
          <w:tcPr>
            <w:tcW w:w="1216" w:type="dxa"/>
            <w:noWrap/>
          </w:tcPr>
          <w:p w:rsidR="00162CD2" w:rsidRPr="008A36EB" w:rsidRDefault="00162CD2" w:rsidP="00610348">
            <w:pPr>
              <w:spacing w:after="0" w:line="240" w:lineRule="auto"/>
              <w:ind w:firstLine="0"/>
            </w:pPr>
            <w:r w:rsidRPr="008A36EB">
              <w:t>91</w:t>
            </w:r>
          </w:p>
        </w:tc>
        <w:tc>
          <w:tcPr>
            <w:tcW w:w="1208" w:type="dxa"/>
            <w:noWrap/>
          </w:tcPr>
          <w:p w:rsidR="00162CD2" w:rsidRPr="008A36EB" w:rsidRDefault="00162CD2" w:rsidP="00610348">
            <w:pPr>
              <w:spacing w:after="0" w:line="240" w:lineRule="auto"/>
              <w:ind w:firstLine="0"/>
            </w:pPr>
            <w:r w:rsidRPr="008A36EB">
              <w:t>437</w:t>
            </w:r>
          </w:p>
        </w:tc>
        <w:tc>
          <w:tcPr>
            <w:tcW w:w="321" w:type="dxa"/>
          </w:tcPr>
          <w:p w:rsidR="00162CD2" w:rsidRPr="008A36EB" w:rsidRDefault="00162CD2" w:rsidP="00610348">
            <w:pPr>
              <w:spacing w:after="0" w:line="240" w:lineRule="auto"/>
              <w:ind w:firstLine="0"/>
            </w:pPr>
          </w:p>
        </w:tc>
        <w:tc>
          <w:tcPr>
            <w:tcW w:w="1260" w:type="dxa"/>
          </w:tcPr>
          <w:p w:rsidR="00162CD2" w:rsidRPr="008A36EB" w:rsidRDefault="00162CD2" w:rsidP="00610348">
            <w:pPr>
              <w:spacing w:after="0" w:line="240" w:lineRule="auto"/>
              <w:ind w:firstLine="0"/>
            </w:pPr>
            <w:r w:rsidRPr="008A36EB">
              <w:t>44</w:t>
            </w:r>
          </w:p>
        </w:tc>
        <w:tc>
          <w:tcPr>
            <w:tcW w:w="1260" w:type="dxa"/>
          </w:tcPr>
          <w:p w:rsidR="00162CD2" w:rsidRPr="008A36EB" w:rsidRDefault="00162CD2" w:rsidP="00610348">
            <w:pPr>
              <w:spacing w:after="0" w:line="240" w:lineRule="auto"/>
              <w:ind w:firstLine="0"/>
            </w:pPr>
            <w:r w:rsidRPr="008A36EB">
              <w:t>211</w:t>
            </w:r>
          </w:p>
        </w:tc>
      </w:tr>
      <w:tr w:rsidR="00162CD2" w:rsidRPr="008A36EB" w:rsidTr="00CC6129">
        <w:trPr>
          <w:trHeight w:val="285"/>
        </w:trPr>
        <w:tc>
          <w:tcPr>
            <w:tcW w:w="1629" w:type="dxa"/>
            <w:noWrap/>
          </w:tcPr>
          <w:p w:rsidR="00162CD2" w:rsidRPr="008A36EB" w:rsidRDefault="00162CD2" w:rsidP="00DA3DD7">
            <w:pPr>
              <w:spacing w:after="0" w:line="240" w:lineRule="auto"/>
              <w:ind w:firstLine="0"/>
              <w:jc w:val="left"/>
            </w:pPr>
            <w:r w:rsidRPr="008A36EB">
              <w:t>Pork</w:t>
            </w:r>
          </w:p>
        </w:tc>
        <w:tc>
          <w:tcPr>
            <w:tcW w:w="1216" w:type="dxa"/>
            <w:noWrap/>
          </w:tcPr>
          <w:p w:rsidR="00162CD2" w:rsidRPr="008A36EB" w:rsidRDefault="00162CD2" w:rsidP="00610348">
            <w:pPr>
              <w:spacing w:after="0" w:line="240" w:lineRule="auto"/>
              <w:ind w:firstLine="0"/>
            </w:pPr>
            <w:r w:rsidRPr="008A36EB">
              <w:t>4</w:t>
            </w:r>
          </w:p>
        </w:tc>
        <w:tc>
          <w:tcPr>
            <w:tcW w:w="1216" w:type="dxa"/>
            <w:noWrap/>
          </w:tcPr>
          <w:p w:rsidR="00162CD2" w:rsidRPr="008A36EB" w:rsidRDefault="00162CD2" w:rsidP="00610348">
            <w:pPr>
              <w:spacing w:after="0" w:line="240" w:lineRule="auto"/>
              <w:ind w:firstLine="0"/>
            </w:pPr>
            <w:r w:rsidRPr="008A36EB">
              <w:t>0</w:t>
            </w:r>
          </w:p>
        </w:tc>
        <w:tc>
          <w:tcPr>
            <w:tcW w:w="1208" w:type="dxa"/>
            <w:noWrap/>
          </w:tcPr>
          <w:p w:rsidR="00162CD2" w:rsidRPr="008A36EB" w:rsidRDefault="00162CD2" w:rsidP="00610348">
            <w:pPr>
              <w:spacing w:after="0" w:line="240" w:lineRule="auto"/>
              <w:ind w:firstLine="0"/>
            </w:pPr>
            <w:r w:rsidRPr="008A36EB">
              <w:t>0.00</w:t>
            </w:r>
          </w:p>
        </w:tc>
        <w:tc>
          <w:tcPr>
            <w:tcW w:w="321" w:type="dxa"/>
          </w:tcPr>
          <w:p w:rsidR="00162CD2" w:rsidRPr="008A36EB" w:rsidRDefault="00162CD2" w:rsidP="00610348">
            <w:pPr>
              <w:spacing w:after="0" w:line="240" w:lineRule="auto"/>
              <w:ind w:firstLine="0"/>
            </w:pPr>
          </w:p>
        </w:tc>
        <w:tc>
          <w:tcPr>
            <w:tcW w:w="1260" w:type="dxa"/>
          </w:tcPr>
          <w:p w:rsidR="00162CD2" w:rsidRPr="008A36EB" w:rsidRDefault="00162CD2" w:rsidP="00610348">
            <w:pPr>
              <w:spacing w:after="0" w:line="240" w:lineRule="auto"/>
              <w:ind w:firstLine="0"/>
            </w:pPr>
            <w:r w:rsidRPr="008A36EB">
              <w:t>0</w:t>
            </w:r>
          </w:p>
        </w:tc>
        <w:tc>
          <w:tcPr>
            <w:tcW w:w="1260" w:type="dxa"/>
          </w:tcPr>
          <w:p w:rsidR="00162CD2" w:rsidRPr="008A36EB" w:rsidRDefault="00162CD2" w:rsidP="00610348">
            <w:pPr>
              <w:spacing w:after="0" w:line="240" w:lineRule="auto"/>
              <w:ind w:firstLine="0"/>
            </w:pPr>
            <w:r w:rsidRPr="008A36EB">
              <w:t>0.00</w:t>
            </w:r>
          </w:p>
        </w:tc>
      </w:tr>
      <w:tr w:rsidR="00162CD2" w:rsidRPr="008A36EB" w:rsidTr="00CC6129">
        <w:trPr>
          <w:trHeight w:val="285"/>
        </w:trPr>
        <w:tc>
          <w:tcPr>
            <w:tcW w:w="1629" w:type="dxa"/>
            <w:noWrap/>
          </w:tcPr>
          <w:p w:rsidR="00162CD2" w:rsidRPr="008A36EB" w:rsidRDefault="00162CD2" w:rsidP="00DA3DD7">
            <w:pPr>
              <w:spacing w:after="0" w:line="240" w:lineRule="auto"/>
              <w:ind w:firstLine="0"/>
              <w:jc w:val="left"/>
            </w:pPr>
            <w:r w:rsidRPr="008A36EB">
              <w:t>Poultry</w:t>
            </w:r>
          </w:p>
        </w:tc>
        <w:tc>
          <w:tcPr>
            <w:tcW w:w="1216" w:type="dxa"/>
            <w:noWrap/>
          </w:tcPr>
          <w:p w:rsidR="00162CD2" w:rsidRPr="008A36EB" w:rsidRDefault="00162CD2" w:rsidP="00610348">
            <w:pPr>
              <w:spacing w:after="0" w:line="240" w:lineRule="auto"/>
              <w:ind w:firstLine="0"/>
            </w:pPr>
            <w:r w:rsidRPr="008A36EB">
              <w:t>111</w:t>
            </w:r>
          </w:p>
        </w:tc>
        <w:tc>
          <w:tcPr>
            <w:tcW w:w="1216" w:type="dxa"/>
            <w:noWrap/>
          </w:tcPr>
          <w:p w:rsidR="00162CD2" w:rsidRPr="008A36EB" w:rsidRDefault="00E92F91" w:rsidP="00610348">
            <w:pPr>
              <w:spacing w:after="0" w:line="240" w:lineRule="auto"/>
              <w:ind w:firstLine="0"/>
            </w:pPr>
            <w:r>
              <w:t>−</w:t>
            </w:r>
            <w:r w:rsidR="00162CD2" w:rsidRPr="008A36EB">
              <w:t>4</w:t>
            </w:r>
          </w:p>
        </w:tc>
        <w:tc>
          <w:tcPr>
            <w:tcW w:w="1208" w:type="dxa"/>
            <w:noWrap/>
          </w:tcPr>
          <w:p w:rsidR="00162CD2" w:rsidRPr="008A36EB" w:rsidRDefault="00E92F91" w:rsidP="00610348">
            <w:pPr>
              <w:spacing w:after="0" w:line="240" w:lineRule="auto"/>
              <w:ind w:firstLine="0"/>
            </w:pPr>
            <w:r>
              <w:t>−</w:t>
            </w:r>
            <w:r w:rsidR="00162CD2" w:rsidRPr="008A36EB">
              <w:t>3.58</w:t>
            </w:r>
          </w:p>
        </w:tc>
        <w:tc>
          <w:tcPr>
            <w:tcW w:w="321" w:type="dxa"/>
          </w:tcPr>
          <w:p w:rsidR="00162CD2" w:rsidRPr="008A36EB" w:rsidRDefault="00162CD2" w:rsidP="00610348">
            <w:pPr>
              <w:spacing w:after="0" w:line="240" w:lineRule="auto"/>
              <w:ind w:firstLine="0"/>
            </w:pPr>
          </w:p>
        </w:tc>
        <w:tc>
          <w:tcPr>
            <w:tcW w:w="1260" w:type="dxa"/>
          </w:tcPr>
          <w:p w:rsidR="00162CD2" w:rsidRPr="008A36EB" w:rsidRDefault="00162CD2" w:rsidP="00610348">
            <w:pPr>
              <w:spacing w:after="0" w:line="240" w:lineRule="auto"/>
              <w:ind w:firstLine="0"/>
            </w:pPr>
            <w:r w:rsidRPr="008A36EB">
              <w:t>0</w:t>
            </w:r>
          </w:p>
        </w:tc>
        <w:tc>
          <w:tcPr>
            <w:tcW w:w="1260" w:type="dxa"/>
          </w:tcPr>
          <w:p w:rsidR="00162CD2" w:rsidRPr="008A36EB" w:rsidRDefault="00E92F91" w:rsidP="00610348">
            <w:pPr>
              <w:spacing w:after="0" w:line="240" w:lineRule="auto"/>
              <w:ind w:firstLine="0"/>
            </w:pPr>
            <w:r>
              <w:t>−</w:t>
            </w:r>
            <w:r w:rsidR="00162CD2" w:rsidRPr="008A36EB">
              <w:t>0.36</w:t>
            </w:r>
          </w:p>
        </w:tc>
      </w:tr>
      <w:tr w:rsidR="00162CD2" w:rsidRPr="008A36EB" w:rsidTr="00CC6129">
        <w:trPr>
          <w:trHeight w:val="285"/>
        </w:trPr>
        <w:tc>
          <w:tcPr>
            <w:tcW w:w="1629" w:type="dxa"/>
            <w:noWrap/>
          </w:tcPr>
          <w:p w:rsidR="00162CD2" w:rsidRPr="008A36EB" w:rsidRDefault="00162CD2" w:rsidP="00DA3DD7">
            <w:pPr>
              <w:spacing w:after="0" w:line="240" w:lineRule="auto"/>
              <w:ind w:firstLine="0"/>
              <w:jc w:val="left"/>
            </w:pPr>
            <w:r w:rsidRPr="008A36EB">
              <w:t>Meats</w:t>
            </w:r>
          </w:p>
        </w:tc>
        <w:tc>
          <w:tcPr>
            <w:tcW w:w="1216" w:type="dxa"/>
            <w:noWrap/>
          </w:tcPr>
          <w:p w:rsidR="00162CD2" w:rsidRPr="008A36EB" w:rsidRDefault="00162CD2" w:rsidP="00610348">
            <w:pPr>
              <w:spacing w:after="0" w:line="240" w:lineRule="auto"/>
              <w:ind w:firstLine="0"/>
            </w:pPr>
            <w:r w:rsidRPr="008A36EB">
              <w:t>5 820</w:t>
            </w:r>
          </w:p>
        </w:tc>
        <w:tc>
          <w:tcPr>
            <w:tcW w:w="1216" w:type="dxa"/>
            <w:noWrap/>
          </w:tcPr>
          <w:p w:rsidR="00162CD2" w:rsidRPr="008A36EB" w:rsidRDefault="00162CD2" w:rsidP="00610348">
            <w:pPr>
              <w:spacing w:after="0" w:line="240" w:lineRule="auto"/>
              <w:ind w:firstLine="0"/>
            </w:pPr>
            <w:r w:rsidRPr="008A36EB">
              <w:t>38</w:t>
            </w:r>
          </w:p>
        </w:tc>
        <w:tc>
          <w:tcPr>
            <w:tcW w:w="1208" w:type="dxa"/>
            <w:noWrap/>
          </w:tcPr>
          <w:p w:rsidR="00162CD2" w:rsidRPr="008A36EB" w:rsidRDefault="00162CD2" w:rsidP="00610348">
            <w:pPr>
              <w:spacing w:after="0" w:line="240" w:lineRule="auto"/>
              <w:ind w:firstLine="0"/>
            </w:pPr>
            <w:r w:rsidRPr="008A36EB">
              <w:t>0.65</w:t>
            </w:r>
          </w:p>
        </w:tc>
        <w:tc>
          <w:tcPr>
            <w:tcW w:w="321" w:type="dxa"/>
          </w:tcPr>
          <w:p w:rsidR="00162CD2" w:rsidRPr="008A36EB" w:rsidRDefault="00162CD2" w:rsidP="00610348">
            <w:pPr>
              <w:spacing w:after="0" w:line="240" w:lineRule="auto"/>
              <w:ind w:firstLine="0"/>
            </w:pPr>
          </w:p>
        </w:tc>
        <w:tc>
          <w:tcPr>
            <w:tcW w:w="1260" w:type="dxa"/>
          </w:tcPr>
          <w:p w:rsidR="00162CD2" w:rsidRPr="008A36EB" w:rsidRDefault="00162CD2" w:rsidP="00610348">
            <w:pPr>
              <w:spacing w:after="0" w:line="240" w:lineRule="auto"/>
              <w:ind w:firstLine="0"/>
            </w:pPr>
            <w:r w:rsidRPr="008A36EB">
              <w:t>28</w:t>
            </w:r>
          </w:p>
        </w:tc>
        <w:tc>
          <w:tcPr>
            <w:tcW w:w="1260" w:type="dxa"/>
          </w:tcPr>
          <w:p w:rsidR="00162CD2" w:rsidRPr="008A36EB" w:rsidRDefault="00162CD2" w:rsidP="00610348">
            <w:pPr>
              <w:spacing w:after="0" w:line="240" w:lineRule="auto"/>
              <w:ind w:firstLine="0"/>
            </w:pPr>
            <w:r w:rsidRPr="008A36EB">
              <w:t>0.47</w:t>
            </w:r>
          </w:p>
        </w:tc>
      </w:tr>
      <w:tr w:rsidR="00162CD2" w:rsidRPr="008A36EB" w:rsidTr="00CC6129">
        <w:trPr>
          <w:trHeight w:val="285"/>
        </w:trPr>
        <w:tc>
          <w:tcPr>
            <w:tcW w:w="1629" w:type="dxa"/>
            <w:noWrap/>
          </w:tcPr>
          <w:p w:rsidR="00162CD2" w:rsidRPr="008A36EB" w:rsidRDefault="00162CD2" w:rsidP="00DA3DD7">
            <w:pPr>
              <w:spacing w:after="0" w:line="240" w:lineRule="auto"/>
              <w:ind w:firstLine="0"/>
              <w:jc w:val="left"/>
            </w:pPr>
            <w:r w:rsidRPr="008A36EB">
              <w:t>Dairy</w:t>
            </w:r>
          </w:p>
        </w:tc>
        <w:tc>
          <w:tcPr>
            <w:tcW w:w="1216" w:type="dxa"/>
            <w:noWrap/>
          </w:tcPr>
          <w:p w:rsidR="00162CD2" w:rsidRPr="008A36EB" w:rsidRDefault="00162CD2" w:rsidP="00610348">
            <w:pPr>
              <w:spacing w:after="0" w:line="240" w:lineRule="auto"/>
              <w:ind w:firstLine="0"/>
            </w:pPr>
            <w:r w:rsidRPr="008A36EB">
              <w:t>7 116</w:t>
            </w:r>
          </w:p>
        </w:tc>
        <w:tc>
          <w:tcPr>
            <w:tcW w:w="1216" w:type="dxa"/>
            <w:noWrap/>
          </w:tcPr>
          <w:p w:rsidR="00162CD2" w:rsidRPr="008A36EB" w:rsidRDefault="00162CD2" w:rsidP="00610348">
            <w:pPr>
              <w:spacing w:after="0" w:line="240" w:lineRule="auto"/>
              <w:ind w:firstLine="0"/>
            </w:pPr>
            <w:r w:rsidRPr="008A36EB">
              <w:t>9</w:t>
            </w:r>
          </w:p>
        </w:tc>
        <w:tc>
          <w:tcPr>
            <w:tcW w:w="1208" w:type="dxa"/>
            <w:noWrap/>
          </w:tcPr>
          <w:p w:rsidR="00162CD2" w:rsidRPr="008A36EB" w:rsidRDefault="00162CD2" w:rsidP="00610348">
            <w:pPr>
              <w:spacing w:after="0" w:line="240" w:lineRule="auto"/>
              <w:ind w:firstLine="0"/>
            </w:pPr>
            <w:r w:rsidRPr="008A36EB">
              <w:t>0.12</w:t>
            </w:r>
          </w:p>
        </w:tc>
        <w:tc>
          <w:tcPr>
            <w:tcW w:w="321" w:type="dxa"/>
          </w:tcPr>
          <w:p w:rsidR="00162CD2" w:rsidRPr="008A36EB" w:rsidRDefault="00162CD2" w:rsidP="00610348">
            <w:pPr>
              <w:spacing w:after="0" w:line="240" w:lineRule="auto"/>
              <w:ind w:firstLine="0"/>
            </w:pPr>
          </w:p>
        </w:tc>
        <w:tc>
          <w:tcPr>
            <w:tcW w:w="1260" w:type="dxa"/>
          </w:tcPr>
          <w:p w:rsidR="00162CD2" w:rsidRPr="008A36EB" w:rsidRDefault="00162CD2" w:rsidP="00610348">
            <w:pPr>
              <w:spacing w:after="0" w:line="240" w:lineRule="auto"/>
              <w:ind w:firstLine="0"/>
            </w:pPr>
            <w:r w:rsidRPr="008A36EB">
              <w:t>2</w:t>
            </w:r>
          </w:p>
        </w:tc>
        <w:tc>
          <w:tcPr>
            <w:tcW w:w="1260" w:type="dxa"/>
          </w:tcPr>
          <w:p w:rsidR="00162CD2" w:rsidRPr="008A36EB" w:rsidRDefault="00162CD2" w:rsidP="00610348">
            <w:pPr>
              <w:spacing w:after="0" w:line="240" w:lineRule="auto"/>
              <w:ind w:firstLine="0"/>
            </w:pPr>
            <w:r w:rsidRPr="008A36EB">
              <w:t>0.02</w:t>
            </w:r>
          </w:p>
        </w:tc>
      </w:tr>
      <w:tr w:rsidR="00162CD2" w:rsidRPr="008A36EB" w:rsidTr="00CC6129">
        <w:trPr>
          <w:trHeight w:val="285"/>
        </w:trPr>
        <w:tc>
          <w:tcPr>
            <w:tcW w:w="1629" w:type="dxa"/>
            <w:noWrap/>
          </w:tcPr>
          <w:p w:rsidR="00162CD2" w:rsidRPr="008A36EB" w:rsidRDefault="00162CD2" w:rsidP="00DA3DD7">
            <w:pPr>
              <w:spacing w:after="0" w:line="240" w:lineRule="auto"/>
              <w:ind w:firstLine="0"/>
              <w:jc w:val="left"/>
            </w:pPr>
            <w:r w:rsidRPr="008A36EB">
              <w:t>Processed cereals</w:t>
            </w:r>
          </w:p>
        </w:tc>
        <w:tc>
          <w:tcPr>
            <w:tcW w:w="1216" w:type="dxa"/>
            <w:noWrap/>
          </w:tcPr>
          <w:p w:rsidR="00162CD2" w:rsidRPr="008A36EB" w:rsidRDefault="00162CD2" w:rsidP="00610348">
            <w:pPr>
              <w:spacing w:after="0" w:line="240" w:lineRule="auto"/>
              <w:ind w:firstLine="0"/>
            </w:pPr>
            <w:r w:rsidRPr="008A36EB">
              <w:t>16 213</w:t>
            </w:r>
          </w:p>
        </w:tc>
        <w:tc>
          <w:tcPr>
            <w:tcW w:w="1216" w:type="dxa"/>
            <w:noWrap/>
          </w:tcPr>
          <w:p w:rsidR="00162CD2" w:rsidRPr="008A36EB" w:rsidRDefault="00E92F91" w:rsidP="00610348">
            <w:pPr>
              <w:spacing w:after="0" w:line="240" w:lineRule="auto"/>
              <w:ind w:firstLine="0"/>
            </w:pPr>
            <w:r>
              <w:t>−</w:t>
            </w:r>
            <w:r w:rsidR="00162CD2" w:rsidRPr="008A36EB">
              <w:t>5</w:t>
            </w:r>
          </w:p>
        </w:tc>
        <w:tc>
          <w:tcPr>
            <w:tcW w:w="1208" w:type="dxa"/>
            <w:noWrap/>
          </w:tcPr>
          <w:p w:rsidR="00162CD2" w:rsidRPr="008A36EB" w:rsidRDefault="00E92F91" w:rsidP="00610348">
            <w:pPr>
              <w:spacing w:after="0" w:line="240" w:lineRule="auto"/>
              <w:ind w:firstLine="0"/>
            </w:pPr>
            <w:r>
              <w:t>−</w:t>
            </w:r>
            <w:r w:rsidR="00162CD2" w:rsidRPr="008A36EB">
              <w:t>0.03</w:t>
            </w:r>
          </w:p>
        </w:tc>
        <w:tc>
          <w:tcPr>
            <w:tcW w:w="321" w:type="dxa"/>
          </w:tcPr>
          <w:p w:rsidR="00162CD2" w:rsidRPr="008A36EB" w:rsidRDefault="00162CD2" w:rsidP="00610348">
            <w:pPr>
              <w:spacing w:after="0" w:line="240" w:lineRule="auto"/>
              <w:ind w:firstLine="0"/>
            </w:pPr>
          </w:p>
        </w:tc>
        <w:tc>
          <w:tcPr>
            <w:tcW w:w="1260" w:type="dxa"/>
          </w:tcPr>
          <w:p w:rsidR="00162CD2" w:rsidRPr="008A36EB" w:rsidRDefault="00162CD2" w:rsidP="00610348">
            <w:pPr>
              <w:spacing w:after="0" w:line="240" w:lineRule="auto"/>
              <w:ind w:firstLine="0"/>
            </w:pPr>
            <w:r w:rsidRPr="008A36EB">
              <w:t>0</w:t>
            </w:r>
          </w:p>
        </w:tc>
        <w:tc>
          <w:tcPr>
            <w:tcW w:w="1260" w:type="dxa"/>
          </w:tcPr>
          <w:p w:rsidR="00162CD2" w:rsidRPr="008A36EB" w:rsidRDefault="00162CD2" w:rsidP="00610348">
            <w:pPr>
              <w:spacing w:after="0" w:line="240" w:lineRule="auto"/>
              <w:ind w:firstLine="0"/>
            </w:pPr>
            <w:r w:rsidRPr="008A36EB">
              <w:t>0.00</w:t>
            </w:r>
          </w:p>
        </w:tc>
      </w:tr>
      <w:tr w:rsidR="00162CD2" w:rsidRPr="008A36EB" w:rsidTr="00CC6129">
        <w:trPr>
          <w:trHeight w:val="285"/>
        </w:trPr>
        <w:tc>
          <w:tcPr>
            <w:tcW w:w="1629" w:type="dxa"/>
            <w:noWrap/>
          </w:tcPr>
          <w:p w:rsidR="00162CD2" w:rsidRPr="008A36EB" w:rsidRDefault="00162CD2" w:rsidP="00DA3DD7">
            <w:pPr>
              <w:spacing w:after="0" w:line="240" w:lineRule="auto"/>
              <w:ind w:firstLine="0"/>
              <w:jc w:val="left"/>
            </w:pPr>
            <w:r w:rsidRPr="008A36EB">
              <w:t>Processed fruit and vegetables</w:t>
            </w:r>
          </w:p>
        </w:tc>
        <w:tc>
          <w:tcPr>
            <w:tcW w:w="1216" w:type="dxa"/>
            <w:noWrap/>
          </w:tcPr>
          <w:p w:rsidR="00162CD2" w:rsidRPr="008A36EB" w:rsidRDefault="00162CD2" w:rsidP="00610348">
            <w:pPr>
              <w:spacing w:after="0" w:line="240" w:lineRule="auto"/>
              <w:ind w:firstLine="0"/>
            </w:pPr>
            <w:r w:rsidRPr="008A36EB">
              <w:t>1 1864</w:t>
            </w:r>
          </w:p>
        </w:tc>
        <w:tc>
          <w:tcPr>
            <w:tcW w:w="1216" w:type="dxa"/>
            <w:noWrap/>
          </w:tcPr>
          <w:p w:rsidR="00162CD2" w:rsidRPr="008A36EB" w:rsidRDefault="00162CD2" w:rsidP="00610348">
            <w:pPr>
              <w:spacing w:after="0" w:line="240" w:lineRule="auto"/>
              <w:ind w:firstLine="0"/>
            </w:pPr>
            <w:r w:rsidRPr="008A36EB">
              <w:t>0</w:t>
            </w:r>
          </w:p>
        </w:tc>
        <w:tc>
          <w:tcPr>
            <w:tcW w:w="1208" w:type="dxa"/>
            <w:noWrap/>
          </w:tcPr>
          <w:p w:rsidR="00162CD2" w:rsidRPr="008A36EB" w:rsidRDefault="00162CD2" w:rsidP="00610348">
            <w:pPr>
              <w:spacing w:after="0" w:line="240" w:lineRule="auto"/>
              <w:ind w:firstLine="0"/>
            </w:pPr>
            <w:r w:rsidRPr="008A36EB">
              <w:t>0.00</w:t>
            </w:r>
          </w:p>
        </w:tc>
        <w:tc>
          <w:tcPr>
            <w:tcW w:w="321" w:type="dxa"/>
          </w:tcPr>
          <w:p w:rsidR="00162CD2" w:rsidRPr="008A36EB" w:rsidRDefault="00162CD2" w:rsidP="00610348">
            <w:pPr>
              <w:spacing w:after="0" w:line="240" w:lineRule="auto"/>
              <w:ind w:firstLine="0"/>
            </w:pPr>
          </w:p>
        </w:tc>
        <w:tc>
          <w:tcPr>
            <w:tcW w:w="1260" w:type="dxa"/>
          </w:tcPr>
          <w:p w:rsidR="00162CD2" w:rsidRPr="008A36EB" w:rsidRDefault="00162CD2" w:rsidP="00610348">
            <w:pPr>
              <w:spacing w:after="0" w:line="240" w:lineRule="auto"/>
              <w:ind w:firstLine="0"/>
            </w:pPr>
            <w:r w:rsidRPr="008A36EB">
              <w:t>0</w:t>
            </w:r>
          </w:p>
        </w:tc>
        <w:tc>
          <w:tcPr>
            <w:tcW w:w="1260" w:type="dxa"/>
          </w:tcPr>
          <w:p w:rsidR="00162CD2" w:rsidRPr="008A36EB" w:rsidRDefault="00162CD2" w:rsidP="00610348">
            <w:pPr>
              <w:spacing w:after="0" w:line="240" w:lineRule="auto"/>
              <w:ind w:firstLine="0"/>
            </w:pPr>
            <w:r w:rsidRPr="008A36EB">
              <w:t>0.00</w:t>
            </w:r>
          </w:p>
        </w:tc>
      </w:tr>
      <w:tr w:rsidR="00162CD2" w:rsidRPr="008A36EB" w:rsidTr="00CC6129">
        <w:trPr>
          <w:trHeight w:val="300"/>
        </w:trPr>
        <w:tc>
          <w:tcPr>
            <w:tcW w:w="1629" w:type="dxa"/>
            <w:noWrap/>
          </w:tcPr>
          <w:p w:rsidR="00162CD2" w:rsidRPr="008A36EB" w:rsidRDefault="00162CD2" w:rsidP="00DA3DD7">
            <w:pPr>
              <w:spacing w:after="0" w:line="240" w:lineRule="auto"/>
              <w:ind w:firstLine="0"/>
              <w:jc w:val="left"/>
            </w:pPr>
            <w:r w:rsidRPr="008A36EB">
              <w:t>Wine</w:t>
            </w:r>
          </w:p>
        </w:tc>
        <w:tc>
          <w:tcPr>
            <w:tcW w:w="1216" w:type="dxa"/>
            <w:noWrap/>
          </w:tcPr>
          <w:p w:rsidR="00162CD2" w:rsidRPr="008A36EB" w:rsidRDefault="00162CD2" w:rsidP="00610348">
            <w:pPr>
              <w:spacing w:after="0" w:line="240" w:lineRule="auto"/>
              <w:ind w:firstLine="0"/>
            </w:pPr>
            <w:r w:rsidRPr="008A36EB">
              <w:t>2 073</w:t>
            </w:r>
          </w:p>
        </w:tc>
        <w:tc>
          <w:tcPr>
            <w:tcW w:w="1216" w:type="dxa"/>
            <w:noWrap/>
          </w:tcPr>
          <w:p w:rsidR="00162CD2" w:rsidRPr="008A36EB" w:rsidRDefault="00162CD2" w:rsidP="00610348">
            <w:pPr>
              <w:spacing w:after="0" w:line="240" w:lineRule="auto"/>
              <w:ind w:firstLine="0"/>
            </w:pPr>
            <w:r w:rsidRPr="008A36EB">
              <w:t>4</w:t>
            </w:r>
          </w:p>
        </w:tc>
        <w:tc>
          <w:tcPr>
            <w:tcW w:w="1208" w:type="dxa"/>
            <w:noWrap/>
          </w:tcPr>
          <w:p w:rsidR="00162CD2" w:rsidRPr="008A36EB" w:rsidRDefault="00162CD2" w:rsidP="00610348">
            <w:pPr>
              <w:spacing w:after="0" w:line="240" w:lineRule="auto"/>
              <w:ind w:firstLine="0"/>
            </w:pPr>
            <w:r w:rsidRPr="008A36EB">
              <w:t>0.19</w:t>
            </w:r>
          </w:p>
        </w:tc>
        <w:tc>
          <w:tcPr>
            <w:tcW w:w="321" w:type="dxa"/>
          </w:tcPr>
          <w:p w:rsidR="00162CD2" w:rsidRPr="008A36EB" w:rsidRDefault="00162CD2" w:rsidP="00610348">
            <w:pPr>
              <w:spacing w:after="0" w:line="240" w:lineRule="auto"/>
              <w:ind w:firstLine="0"/>
            </w:pPr>
          </w:p>
        </w:tc>
        <w:tc>
          <w:tcPr>
            <w:tcW w:w="1260" w:type="dxa"/>
          </w:tcPr>
          <w:p w:rsidR="00162CD2" w:rsidRPr="008A36EB" w:rsidRDefault="00162CD2" w:rsidP="00610348">
            <w:pPr>
              <w:spacing w:after="0" w:line="240" w:lineRule="auto"/>
              <w:ind w:firstLine="0"/>
            </w:pPr>
            <w:r w:rsidRPr="008A36EB">
              <w:t>8</w:t>
            </w:r>
          </w:p>
        </w:tc>
        <w:tc>
          <w:tcPr>
            <w:tcW w:w="1260" w:type="dxa"/>
          </w:tcPr>
          <w:p w:rsidR="00162CD2" w:rsidRPr="008A36EB" w:rsidRDefault="00162CD2" w:rsidP="00610348">
            <w:pPr>
              <w:spacing w:after="0" w:line="240" w:lineRule="auto"/>
              <w:ind w:firstLine="0"/>
            </w:pPr>
            <w:r w:rsidRPr="008A36EB">
              <w:t>0.39</w:t>
            </w:r>
          </w:p>
        </w:tc>
      </w:tr>
    </w:tbl>
    <w:p w:rsidR="00162CD2" w:rsidRPr="001E69D4" w:rsidRDefault="00162CD2" w:rsidP="00610348">
      <w:pPr>
        <w:pStyle w:val="Footnotes"/>
      </w:pPr>
      <w:r w:rsidRPr="001E69D4">
        <w:t>Source: GSIM simulations.</w:t>
      </w:r>
    </w:p>
    <w:p w:rsidR="00162CD2" w:rsidRPr="001E69D4" w:rsidRDefault="00162CD2">
      <w:pPr>
        <w:pStyle w:val="BodyText"/>
        <w:spacing w:line="276" w:lineRule="auto"/>
        <w:rPr>
          <w:lang w:val="en-GB"/>
        </w:rPr>
      </w:pPr>
      <w:r w:rsidRPr="001E69D4">
        <w:rPr>
          <w:lang w:val="en-GB"/>
        </w:rPr>
        <w:t xml:space="preserve">Under </w:t>
      </w:r>
      <w:r>
        <w:rPr>
          <w:lang w:val="en-GB"/>
        </w:rPr>
        <w:t xml:space="preserve">the </w:t>
      </w:r>
      <w:r w:rsidRPr="001E69D4">
        <w:rPr>
          <w:lang w:val="en-GB"/>
        </w:rPr>
        <w:t>EU accession scenario</w:t>
      </w:r>
      <w:r>
        <w:rPr>
          <w:lang w:val="en-GB"/>
        </w:rPr>
        <w:t>,</w:t>
      </w:r>
      <w:r w:rsidRPr="001E69D4">
        <w:rPr>
          <w:lang w:val="en-GB"/>
        </w:rPr>
        <w:t xml:space="preserve"> the strongest positive change estimated is in beef exports. A modest decrease of poultry and cereals export</w:t>
      </w:r>
      <w:r>
        <w:rPr>
          <w:lang w:val="en-GB"/>
        </w:rPr>
        <w:t>s</w:t>
      </w:r>
      <w:r w:rsidRPr="001E69D4">
        <w:rPr>
          <w:lang w:val="en-GB"/>
        </w:rPr>
        <w:t xml:space="preserve"> is expected</w:t>
      </w:r>
      <w:r>
        <w:rPr>
          <w:lang w:val="en-GB"/>
        </w:rPr>
        <w:t xml:space="preserve"> as well</w:t>
      </w:r>
      <w:r w:rsidRPr="001E69D4">
        <w:rPr>
          <w:lang w:val="en-GB"/>
        </w:rPr>
        <w:t xml:space="preserve">. Other </w:t>
      </w:r>
      <w:proofErr w:type="spellStart"/>
      <w:r w:rsidRPr="001E69D4">
        <w:rPr>
          <w:lang w:val="en-GB"/>
        </w:rPr>
        <w:t>sectoral</w:t>
      </w:r>
      <w:proofErr w:type="spellEnd"/>
      <w:r w:rsidRPr="001E69D4">
        <w:rPr>
          <w:lang w:val="en-GB"/>
        </w:rPr>
        <w:t xml:space="preserve"> exports will grow </w:t>
      </w:r>
      <w:r>
        <w:rPr>
          <w:lang w:val="en-GB"/>
        </w:rPr>
        <w:t xml:space="preserve">by </w:t>
      </w:r>
      <w:r w:rsidRPr="001E69D4">
        <w:rPr>
          <w:lang w:val="en-GB"/>
        </w:rPr>
        <w:t xml:space="preserve">only very modest </w:t>
      </w:r>
      <w:r>
        <w:rPr>
          <w:lang w:val="en-GB"/>
        </w:rPr>
        <w:t>amounts</w:t>
      </w:r>
      <w:r w:rsidRPr="001E69D4">
        <w:rPr>
          <w:lang w:val="en-GB"/>
        </w:rPr>
        <w:t xml:space="preserve">. </w:t>
      </w:r>
    </w:p>
    <w:p w:rsidR="00162CD2" w:rsidRPr="001E69D4" w:rsidRDefault="00162CD2">
      <w:pPr>
        <w:pStyle w:val="BodyText"/>
        <w:spacing w:line="276" w:lineRule="auto"/>
        <w:rPr>
          <w:lang w:val="en-GB"/>
        </w:rPr>
      </w:pPr>
      <w:r w:rsidRPr="001E69D4">
        <w:rPr>
          <w:lang w:val="en-GB"/>
        </w:rPr>
        <w:t>The policies modelled under the WTO accession scenario also have modest impacts on export performances for the sectors in question. As in the first scenario, the greatest change is in beef exports.</w:t>
      </w:r>
      <w:r>
        <w:rPr>
          <w:lang w:val="en-GB"/>
        </w:rPr>
        <w:t xml:space="preserve"> E</w:t>
      </w:r>
      <w:r w:rsidRPr="001E69D4">
        <w:rPr>
          <w:lang w:val="en-GB"/>
        </w:rPr>
        <w:t>xports of pork, cereals</w:t>
      </w:r>
      <w:r>
        <w:rPr>
          <w:lang w:val="en-GB"/>
        </w:rPr>
        <w:t>,</w:t>
      </w:r>
      <w:r w:rsidRPr="001E69D4">
        <w:rPr>
          <w:lang w:val="en-GB"/>
        </w:rPr>
        <w:t xml:space="preserve"> and vegetables and fruit will remain virtually unchanged under this scenario, while a modest contraction of poultry export is </w:t>
      </w:r>
      <w:r>
        <w:rPr>
          <w:lang w:val="en-GB"/>
        </w:rPr>
        <w:t>anticipated</w:t>
      </w:r>
      <w:r w:rsidRPr="001E69D4">
        <w:rPr>
          <w:lang w:val="en-GB"/>
        </w:rPr>
        <w:t xml:space="preserve">. </w:t>
      </w:r>
    </w:p>
    <w:p w:rsidR="00162CD2" w:rsidRPr="001E69D4" w:rsidRDefault="00CE0B87" w:rsidP="00301A2A">
      <w:pPr>
        <w:pStyle w:val="Heading3"/>
      </w:pPr>
      <w:r>
        <w:t>9</w:t>
      </w:r>
      <w:r w:rsidR="00162CD2">
        <w:t>.</w:t>
      </w:r>
      <w:r w:rsidR="006E5332">
        <w:t>4</w:t>
      </w:r>
      <w:r w:rsidR="00162CD2">
        <w:t>.3.2</w:t>
      </w:r>
      <w:r w:rsidR="00162CD2">
        <w:tab/>
      </w:r>
      <w:r w:rsidR="00162CD2" w:rsidRPr="001E69D4">
        <w:t>Imports</w:t>
      </w:r>
    </w:p>
    <w:p w:rsidR="00162CD2" w:rsidRPr="001E69D4" w:rsidRDefault="00162CD2">
      <w:pPr>
        <w:pStyle w:val="BodyText"/>
        <w:spacing w:line="276" w:lineRule="auto"/>
        <w:rPr>
          <w:lang w:val="en-GB"/>
        </w:rPr>
      </w:pPr>
      <w:r w:rsidRPr="001E69D4">
        <w:rPr>
          <w:lang w:val="en-GB"/>
        </w:rPr>
        <w:t xml:space="preserve">The EU accession scenario involves a switch in imports from CEFTA and </w:t>
      </w:r>
      <w:proofErr w:type="spellStart"/>
      <w:r w:rsidRPr="001E69D4">
        <w:rPr>
          <w:lang w:val="en-GB"/>
        </w:rPr>
        <w:t>RoW</w:t>
      </w:r>
      <w:proofErr w:type="spellEnd"/>
      <w:r w:rsidRPr="001E69D4">
        <w:rPr>
          <w:lang w:val="en-GB"/>
        </w:rPr>
        <w:t xml:space="preserve"> to the EU. This is driven by a significant reduction in BH bilateral tariffs on beef, pork</w:t>
      </w:r>
      <w:r>
        <w:rPr>
          <w:lang w:val="en-GB"/>
        </w:rPr>
        <w:t>,</w:t>
      </w:r>
      <w:r w:rsidRPr="001E69D4">
        <w:rPr>
          <w:lang w:val="en-GB"/>
        </w:rPr>
        <w:t xml:space="preserve"> and processed meat imports from the EU. Furthermore, tariffs on imports of poultry and dairy products from </w:t>
      </w:r>
      <w:proofErr w:type="spellStart"/>
      <w:r w:rsidRPr="001E69D4">
        <w:rPr>
          <w:lang w:val="en-GB"/>
        </w:rPr>
        <w:t>RoW</w:t>
      </w:r>
      <w:proofErr w:type="spellEnd"/>
      <w:r w:rsidRPr="001E69D4">
        <w:rPr>
          <w:lang w:val="en-GB"/>
        </w:rPr>
        <w:t xml:space="preserve"> would rise to match EU levels, contributing further to the trade diversion. Therefore, a significant fall of imports of pork, poultry, and dairy products from </w:t>
      </w:r>
      <w:proofErr w:type="spellStart"/>
      <w:r w:rsidRPr="001E69D4">
        <w:rPr>
          <w:lang w:val="en-GB"/>
        </w:rPr>
        <w:t>RoW</w:t>
      </w:r>
      <w:proofErr w:type="spellEnd"/>
      <w:r w:rsidRPr="001E69D4">
        <w:rPr>
          <w:lang w:val="en-GB"/>
        </w:rPr>
        <w:t xml:space="preserve"> is </w:t>
      </w:r>
      <w:r>
        <w:rPr>
          <w:lang w:val="en-GB"/>
        </w:rPr>
        <w:t>anticipated</w:t>
      </w:r>
      <w:r w:rsidRPr="001E69D4">
        <w:rPr>
          <w:lang w:val="en-GB"/>
        </w:rPr>
        <w:t xml:space="preserve">. </w:t>
      </w:r>
      <w:r>
        <w:rPr>
          <w:lang w:val="en-GB"/>
        </w:rPr>
        <w:t>I</w:t>
      </w:r>
      <w:r w:rsidRPr="001E69D4">
        <w:rPr>
          <w:lang w:val="en-GB"/>
        </w:rPr>
        <w:t xml:space="preserve">mports of processed cereals </w:t>
      </w:r>
      <w:r>
        <w:rPr>
          <w:lang w:val="en-GB"/>
        </w:rPr>
        <w:t xml:space="preserve">would fall </w:t>
      </w:r>
      <w:r w:rsidRPr="001E69D4">
        <w:rPr>
          <w:lang w:val="en-GB"/>
        </w:rPr>
        <w:t xml:space="preserve">as tariffs on imports from </w:t>
      </w:r>
      <w:proofErr w:type="spellStart"/>
      <w:r w:rsidRPr="001E69D4">
        <w:rPr>
          <w:lang w:val="en-GB"/>
        </w:rPr>
        <w:t>RoW</w:t>
      </w:r>
      <w:proofErr w:type="spellEnd"/>
      <w:r w:rsidRPr="001E69D4">
        <w:rPr>
          <w:lang w:val="en-GB"/>
        </w:rPr>
        <w:t xml:space="preserve"> are raised to EU levels. The fall reflects the significant share of imports of processed cereals in the base period. The total import value</w:t>
      </w:r>
      <w:r>
        <w:rPr>
          <w:lang w:val="en-GB"/>
        </w:rPr>
        <w:t>s</w:t>
      </w:r>
      <w:r w:rsidRPr="001E69D4">
        <w:rPr>
          <w:lang w:val="en-GB"/>
        </w:rPr>
        <w:t xml:space="preserve"> will increase by 37</w:t>
      </w:r>
      <w:r>
        <w:rPr>
          <w:lang w:val="en-GB"/>
        </w:rPr>
        <w:t xml:space="preserve"> percent for pork</w:t>
      </w:r>
      <w:r w:rsidRPr="001E69D4">
        <w:rPr>
          <w:lang w:val="en-GB"/>
        </w:rPr>
        <w:t>, 31</w:t>
      </w:r>
      <w:r>
        <w:rPr>
          <w:lang w:val="en-GB"/>
        </w:rPr>
        <w:t xml:space="preserve"> per cent for beef</w:t>
      </w:r>
      <w:r w:rsidRPr="001E69D4">
        <w:rPr>
          <w:lang w:val="en-GB"/>
        </w:rPr>
        <w:t xml:space="preserve">, </w:t>
      </w:r>
      <w:proofErr w:type="gramStart"/>
      <w:r w:rsidRPr="001E69D4">
        <w:rPr>
          <w:lang w:val="en-GB"/>
        </w:rPr>
        <w:t>25</w:t>
      </w:r>
      <w:proofErr w:type="gramEnd"/>
      <w:r>
        <w:rPr>
          <w:lang w:val="en-GB"/>
        </w:rPr>
        <w:t xml:space="preserve"> per cent for processed meats,</w:t>
      </w:r>
      <w:r w:rsidRPr="001E69D4">
        <w:rPr>
          <w:lang w:val="en-GB"/>
        </w:rPr>
        <w:t xml:space="preserve"> and 13 per cent</w:t>
      </w:r>
      <w:r>
        <w:rPr>
          <w:lang w:val="en-GB"/>
        </w:rPr>
        <w:t xml:space="preserve"> for dairy (table </w:t>
      </w:r>
      <w:r w:rsidR="00F93001">
        <w:rPr>
          <w:lang w:val="en-GB"/>
        </w:rPr>
        <w:t>9</w:t>
      </w:r>
      <w:r>
        <w:rPr>
          <w:lang w:val="en-GB"/>
        </w:rPr>
        <w:t>.1</w:t>
      </w:r>
      <w:r w:rsidR="00AF76C6">
        <w:rPr>
          <w:lang w:val="en-GB"/>
        </w:rPr>
        <w:t>0</w:t>
      </w:r>
      <w:r>
        <w:rPr>
          <w:lang w:val="en-GB"/>
        </w:rPr>
        <w:t>)</w:t>
      </w:r>
      <w:r w:rsidRPr="001E69D4">
        <w:rPr>
          <w:lang w:val="en-GB"/>
        </w:rPr>
        <w:t xml:space="preserve">. </w:t>
      </w:r>
    </w:p>
    <w:p w:rsidR="00162CD2" w:rsidRPr="001E69D4" w:rsidRDefault="00162CD2">
      <w:pPr>
        <w:pStyle w:val="BodyText"/>
        <w:spacing w:line="276" w:lineRule="auto"/>
        <w:rPr>
          <w:lang w:val="en-GB"/>
        </w:rPr>
      </w:pPr>
      <w:r w:rsidRPr="001E69D4">
        <w:rPr>
          <w:lang w:val="en-GB"/>
        </w:rPr>
        <w:t xml:space="preserve">The WTO accession scenario modelled here involves the reduction in bilateral tariffs on imports from </w:t>
      </w:r>
      <w:proofErr w:type="spellStart"/>
      <w:r w:rsidRPr="001E69D4">
        <w:rPr>
          <w:lang w:val="en-GB"/>
        </w:rPr>
        <w:t>RoW</w:t>
      </w:r>
      <w:proofErr w:type="spellEnd"/>
      <w:r w:rsidRPr="001E69D4">
        <w:rPr>
          <w:lang w:val="en-GB"/>
        </w:rPr>
        <w:t xml:space="preserve"> (that is, excluding CEFTA and </w:t>
      </w:r>
      <w:r w:rsidRPr="00E92F91">
        <w:rPr>
          <w:lang w:val="en-GB"/>
        </w:rPr>
        <w:t>EU-25</w:t>
      </w:r>
      <w:r w:rsidR="008D4AC7">
        <w:rPr>
          <w:lang w:val="en-GB"/>
        </w:rPr>
        <w:t xml:space="preserve"> </w:t>
      </w:r>
      <w:r w:rsidR="008D4AC7" w:rsidRPr="001E69D4">
        <w:rPr>
          <w:lang w:val="en-GB"/>
        </w:rPr>
        <w:t>countries</w:t>
      </w:r>
      <w:r w:rsidRPr="001E69D4">
        <w:rPr>
          <w:lang w:val="en-GB"/>
        </w:rPr>
        <w:t>). Tariffs on imports of beef, pork</w:t>
      </w:r>
      <w:r>
        <w:rPr>
          <w:lang w:val="en-GB"/>
        </w:rPr>
        <w:t>,</w:t>
      </w:r>
      <w:r w:rsidRPr="001E69D4">
        <w:rPr>
          <w:lang w:val="en-GB"/>
        </w:rPr>
        <w:t xml:space="preserve"> and processed meats from these countries are quite high (as shown</w:t>
      </w:r>
      <w:r>
        <w:rPr>
          <w:lang w:val="en-GB"/>
        </w:rPr>
        <w:t xml:space="preserve"> earlier,</w:t>
      </w:r>
      <w:r w:rsidRPr="001E69D4">
        <w:rPr>
          <w:lang w:val="en-GB"/>
        </w:rPr>
        <w:t xml:space="preserve"> in table </w:t>
      </w:r>
      <w:r w:rsidR="00F93001">
        <w:rPr>
          <w:lang w:val="en-GB"/>
        </w:rPr>
        <w:t>9</w:t>
      </w:r>
      <w:r>
        <w:rPr>
          <w:lang w:val="en-GB"/>
        </w:rPr>
        <w:t>.</w:t>
      </w:r>
      <w:r w:rsidRPr="001E69D4">
        <w:rPr>
          <w:lang w:val="en-GB"/>
        </w:rPr>
        <w:t>4)</w:t>
      </w:r>
      <w:r>
        <w:rPr>
          <w:lang w:val="en-GB"/>
        </w:rPr>
        <w:t>. Therefore,</w:t>
      </w:r>
      <w:r w:rsidRPr="001E69D4">
        <w:rPr>
          <w:lang w:val="en-GB"/>
        </w:rPr>
        <w:t xml:space="preserve"> reform of those policies leads to an increase in imports from </w:t>
      </w:r>
      <w:proofErr w:type="spellStart"/>
      <w:r w:rsidRPr="001E69D4">
        <w:rPr>
          <w:lang w:val="en-GB"/>
        </w:rPr>
        <w:t>RoW</w:t>
      </w:r>
      <w:proofErr w:type="spellEnd"/>
      <w:r w:rsidRPr="001E69D4">
        <w:rPr>
          <w:lang w:val="en-GB"/>
        </w:rPr>
        <w:t xml:space="preserve">. At the same time, </w:t>
      </w:r>
      <w:r>
        <w:rPr>
          <w:lang w:val="en-GB"/>
        </w:rPr>
        <w:t>a</w:t>
      </w:r>
      <w:r w:rsidRPr="001E69D4">
        <w:rPr>
          <w:lang w:val="en-GB"/>
        </w:rPr>
        <w:t xml:space="preserve"> reduction of imports from the CEFTA and EU-25 </w:t>
      </w:r>
      <w:r>
        <w:rPr>
          <w:lang w:val="en-GB"/>
        </w:rPr>
        <w:t xml:space="preserve">countries </w:t>
      </w:r>
      <w:r w:rsidRPr="001E69D4">
        <w:rPr>
          <w:lang w:val="en-GB"/>
        </w:rPr>
        <w:t>occurs as consumers switch to the relatively cheaper products. The overall import value for the selected products increases by 13</w:t>
      </w:r>
      <w:r>
        <w:rPr>
          <w:lang w:val="en-GB"/>
        </w:rPr>
        <w:t xml:space="preserve"> per cent for beef</w:t>
      </w:r>
      <w:r w:rsidRPr="001E69D4">
        <w:rPr>
          <w:lang w:val="en-GB"/>
        </w:rPr>
        <w:t>, 5</w:t>
      </w:r>
      <w:r>
        <w:rPr>
          <w:lang w:val="en-GB"/>
        </w:rPr>
        <w:t xml:space="preserve"> per cent for pork,</w:t>
      </w:r>
      <w:r w:rsidRPr="001E69D4">
        <w:rPr>
          <w:lang w:val="en-GB"/>
        </w:rPr>
        <w:t xml:space="preserve"> and 17 per cent for processed meats. There is little change in imports of poultry, dairy products, processed cereals</w:t>
      </w:r>
      <w:r>
        <w:rPr>
          <w:lang w:val="en-GB"/>
        </w:rPr>
        <w:t>,</w:t>
      </w:r>
      <w:r w:rsidRPr="001E69D4">
        <w:rPr>
          <w:lang w:val="en-GB"/>
        </w:rPr>
        <w:t xml:space="preserve"> vegetables</w:t>
      </w:r>
      <w:r>
        <w:rPr>
          <w:lang w:val="en-GB"/>
        </w:rPr>
        <w:t>,</w:t>
      </w:r>
      <w:r w:rsidRPr="001E69D4">
        <w:rPr>
          <w:lang w:val="en-GB"/>
        </w:rPr>
        <w:t xml:space="preserve"> and wine, as tariffs on these items are relatively low.</w:t>
      </w:r>
    </w:p>
    <w:p w:rsidR="0073758D" w:rsidRPr="001E69D4" w:rsidRDefault="0073758D" w:rsidP="0073758D">
      <w:pPr>
        <w:pStyle w:val="Heading3"/>
      </w:pPr>
      <w:r>
        <w:t>9.4.3.3</w:t>
      </w:r>
      <w:r>
        <w:tab/>
      </w:r>
      <w:r w:rsidRPr="001E69D4">
        <w:t>Output and employment</w:t>
      </w:r>
    </w:p>
    <w:p w:rsidR="0073758D" w:rsidRPr="001E69D4" w:rsidRDefault="0073758D" w:rsidP="0073758D">
      <w:pPr>
        <w:pStyle w:val="BodyText3"/>
      </w:pPr>
      <w:r w:rsidRPr="001E69D4">
        <w:rPr>
          <w:sz w:val="22"/>
          <w:szCs w:val="22"/>
        </w:rPr>
        <w:t xml:space="preserve">The estimated changes in output and employment following implementation of the two scenarios are shown in table </w:t>
      </w:r>
      <w:r>
        <w:rPr>
          <w:sz w:val="22"/>
          <w:szCs w:val="22"/>
        </w:rPr>
        <w:t>9.11</w:t>
      </w:r>
      <w:r w:rsidRPr="001E69D4">
        <w:rPr>
          <w:sz w:val="22"/>
          <w:szCs w:val="22"/>
        </w:rPr>
        <w:t xml:space="preserve">. The dominant effects are decreases in </w:t>
      </w:r>
      <w:r>
        <w:rPr>
          <w:sz w:val="22"/>
          <w:szCs w:val="22"/>
        </w:rPr>
        <w:t xml:space="preserve">the </w:t>
      </w:r>
      <w:r w:rsidRPr="001E69D4">
        <w:rPr>
          <w:sz w:val="22"/>
          <w:szCs w:val="22"/>
        </w:rPr>
        <w:t>output of processed meats and, to a lesser extent, dairy products, beef</w:t>
      </w:r>
      <w:r>
        <w:rPr>
          <w:sz w:val="22"/>
          <w:szCs w:val="22"/>
        </w:rPr>
        <w:t>,</w:t>
      </w:r>
      <w:r w:rsidRPr="001E69D4">
        <w:rPr>
          <w:sz w:val="22"/>
          <w:szCs w:val="22"/>
        </w:rPr>
        <w:t xml:space="preserve"> and pork, and slight increases in production of poultry and cereals. However, these changes, at less than </w:t>
      </w:r>
      <w:r>
        <w:rPr>
          <w:sz w:val="22"/>
          <w:szCs w:val="22"/>
        </w:rPr>
        <w:t>10</w:t>
      </w:r>
      <w:r w:rsidRPr="001E69D4">
        <w:rPr>
          <w:sz w:val="22"/>
          <w:szCs w:val="22"/>
        </w:rPr>
        <w:t xml:space="preserve"> per cent, are relatively modest because there is little additional trade</w:t>
      </w:r>
      <w:r>
        <w:rPr>
          <w:sz w:val="22"/>
          <w:szCs w:val="22"/>
        </w:rPr>
        <w:t xml:space="preserve"> generated</w:t>
      </w:r>
      <w:r w:rsidRPr="001E69D4">
        <w:rPr>
          <w:sz w:val="22"/>
          <w:szCs w:val="22"/>
        </w:rPr>
        <w:t xml:space="preserve">, as noted above. </w:t>
      </w:r>
    </w:p>
    <w:p w:rsidR="0073758D" w:rsidRPr="001E69D4" w:rsidRDefault="0073758D" w:rsidP="0073758D">
      <w:pPr>
        <w:pStyle w:val="BodyText"/>
        <w:spacing w:line="276" w:lineRule="auto"/>
        <w:rPr>
          <w:lang w:val="en-GB"/>
        </w:rPr>
      </w:pPr>
      <w:r>
        <w:rPr>
          <w:lang w:val="en-GB"/>
        </w:rPr>
        <w:t>T</w:t>
      </w:r>
      <w:r w:rsidRPr="001E69D4">
        <w:rPr>
          <w:lang w:val="en-GB"/>
        </w:rPr>
        <w:t xml:space="preserve">he WTO accession scenario leads to an increase in imports from </w:t>
      </w:r>
      <w:proofErr w:type="spellStart"/>
      <w:r w:rsidRPr="001E69D4">
        <w:rPr>
          <w:lang w:val="en-GB"/>
        </w:rPr>
        <w:t>RoW</w:t>
      </w:r>
      <w:proofErr w:type="spellEnd"/>
      <w:r w:rsidRPr="001E69D4">
        <w:rPr>
          <w:lang w:val="en-GB"/>
        </w:rPr>
        <w:t xml:space="preserve"> and a fall in domestic production for all products except poultry. The effect on production of an increase in imports from </w:t>
      </w:r>
      <w:r>
        <w:rPr>
          <w:lang w:val="en-GB"/>
        </w:rPr>
        <w:t>WTO countries</w:t>
      </w:r>
      <w:r w:rsidRPr="001E69D4">
        <w:rPr>
          <w:lang w:val="en-GB"/>
        </w:rPr>
        <w:t xml:space="preserve"> is offset to some extent by a reduction of imports from the CEFTA and EU-25</w:t>
      </w:r>
      <w:r>
        <w:rPr>
          <w:lang w:val="en-GB"/>
        </w:rPr>
        <w:t xml:space="preserve"> countries.</w:t>
      </w:r>
      <w:r w:rsidRPr="001E69D4">
        <w:rPr>
          <w:lang w:val="en-GB"/>
        </w:rPr>
        <w:t xml:space="preserve"> After accounting for the switch in source of imports, the changes in output are </w:t>
      </w:r>
      <w:r>
        <w:rPr>
          <w:lang w:val="en-GB"/>
        </w:rPr>
        <w:t>slight</w:t>
      </w:r>
      <w:r w:rsidRPr="001E69D4">
        <w:rPr>
          <w:lang w:val="en-GB"/>
        </w:rPr>
        <w:t xml:space="preserve">, less than </w:t>
      </w:r>
      <w:r>
        <w:rPr>
          <w:lang w:val="en-GB"/>
        </w:rPr>
        <w:t>3</w:t>
      </w:r>
      <w:r w:rsidRPr="001E69D4">
        <w:rPr>
          <w:lang w:val="en-GB"/>
        </w:rPr>
        <w:t xml:space="preserve"> per cent, with meats being the most affected</w:t>
      </w:r>
      <w:r>
        <w:rPr>
          <w:lang w:val="en-GB"/>
        </w:rPr>
        <w:t xml:space="preserve"> sector</w:t>
      </w:r>
      <w:r w:rsidRPr="001E69D4">
        <w:rPr>
          <w:lang w:val="en-GB"/>
        </w:rPr>
        <w:t>.</w:t>
      </w:r>
    </w:p>
    <w:p w:rsidR="0073758D" w:rsidRPr="001E69D4" w:rsidRDefault="0073758D" w:rsidP="0073758D">
      <w:pPr>
        <w:pStyle w:val="BodyText3"/>
        <w:rPr>
          <w:sz w:val="22"/>
          <w:szCs w:val="22"/>
        </w:rPr>
      </w:pPr>
      <w:r w:rsidRPr="001E69D4">
        <w:rPr>
          <w:sz w:val="22"/>
          <w:szCs w:val="22"/>
        </w:rPr>
        <w:t>Because labour is assumed to be used in fixed proportions with other inputs, the changes in employment are proportional to the changes in output. Thus</w:t>
      </w:r>
      <w:r>
        <w:rPr>
          <w:sz w:val="22"/>
          <w:szCs w:val="22"/>
        </w:rPr>
        <w:t>,</w:t>
      </w:r>
      <w:r w:rsidRPr="001E69D4">
        <w:rPr>
          <w:sz w:val="22"/>
          <w:szCs w:val="22"/>
        </w:rPr>
        <w:t xml:space="preserve"> a 3 per cent change in output for beef leads to a change in employment of</w:t>
      </w:r>
      <w:r>
        <w:rPr>
          <w:sz w:val="22"/>
          <w:szCs w:val="22"/>
        </w:rPr>
        <w:t xml:space="preserve"> 3 percent, or</w:t>
      </w:r>
      <w:r w:rsidRPr="001E69D4">
        <w:rPr>
          <w:sz w:val="22"/>
          <w:szCs w:val="22"/>
        </w:rPr>
        <w:t xml:space="preserve"> 273</w:t>
      </w:r>
      <w:r>
        <w:rPr>
          <w:sz w:val="22"/>
          <w:szCs w:val="22"/>
        </w:rPr>
        <w:t xml:space="preserve"> jobs.</w:t>
      </w:r>
    </w:p>
    <w:p w:rsidR="00E37DDB" w:rsidRDefault="00E37DDB">
      <w:pPr>
        <w:spacing w:after="0" w:line="240" w:lineRule="auto"/>
        <w:ind w:firstLine="0"/>
        <w:jc w:val="left"/>
        <w:rPr>
          <w:b/>
          <w:lang w:eastAsia="en-US"/>
        </w:rPr>
      </w:pPr>
      <w:r>
        <w:br w:type="page"/>
      </w:r>
    </w:p>
    <w:p w:rsidR="00162CD2" w:rsidRPr="00E4059A" w:rsidRDefault="000A120D" w:rsidP="00CA1614">
      <w:pPr>
        <w:pStyle w:val="Tabletitle"/>
      </w:pPr>
      <w:r w:rsidRPr="000A120D">
        <w:t>Table 9.10:</w:t>
      </w:r>
      <w:r w:rsidRPr="000A120D">
        <w:tab/>
        <w:t xml:space="preserve">Change in BH imports </w:t>
      </w:r>
    </w:p>
    <w:tbl>
      <w:tblPr>
        <w:tblW w:w="8251" w:type="dxa"/>
        <w:tblLayout w:type="fixed"/>
        <w:tblLook w:val="0000"/>
      </w:tblPr>
      <w:tblGrid>
        <w:gridCol w:w="1565"/>
        <w:gridCol w:w="992"/>
        <w:gridCol w:w="1316"/>
        <w:gridCol w:w="1317"/>
        <w:gridCol w:w="408"/>
        <w:gridCol w:w="1336"/>
        <w:gridCol w:w="1305"/>
        <w:gridCol w:w="12"/>
      </w:tblGrid>
      <w:tr w:rsidR="00162CD2" w:rsidRPr="008D4AC7" w:rsidTr="00E74D72">
        <w:trPr>
          <w:gridAfter w:val="1"/>
          <w:wAfter w:w="12" w:type="dxa"/>
          <w:trHeight w:val="240"/>
        </w:trPr>
        <w:tc>
          <w:tcPr>
            <w:tcW w:w="1565" w:type="dxa"/>
            <w:vMerge w:val="restart"/>
            <w:tcBorders>
              <w:top w:val="single" w:sz="4" w:space="0" w:color="000000"/>
            </w:tcBorders>
            <w:noWrap/>
          </w:tcPr>
          <w:p w:rsidR="00162CD2" w:rsidRPr="008D4AC7" w:rsidRDefault="00162CD2" w:rsidP="00CA1614">
            <w:pPr>
              <w:keepNext/>
              <w:spacing w:before="240" w:after="0"/>
              <w:ind w:firstLine="0"/>
              <w:outlineLvl w:val="2"/>
              <w:rPr>
                <w:b/>
              </w:rPr>
            </w:pPr>
          </w:p>
        </w:tc>
        <w:tc>
          <w:tcPr>
            <w:tcW w:w="992" w:type="dxa"/>
            <w:tcBorders>
              <w:top w:val="single" w:sz="4" w:space="0" w:color="000000"/>
            </w:tcBorders>
            <w:noWrap/>
          </w:tcPr>
          <w:p w:rsidR="00162CD2" w:rsidRPr="008D4AC7" w:rsidRDefault="00162CD2" w:rsidP="00CA1614">
            <w:pPr>
              <w:keepNext/>
              <w:spacing w:before="240" w:after="0"/>
              <w:ind w:firstLine="0"/>
              <w:outlineLvl w:val="2"/>
              <w:rPr>
                <w:b/>
              </w:rPr>
            </w:pPr>
          </w:p>
        </w:tc>
        <w:tc>
          <w:tcPr>
            <w:tcW w:w="2633" w:type="dxa"/>
            <w:gridSpan w:val="2"/>
            <w:tcBorders>
              <w:top w:val="single" w:sz="4" w:space="0" w:color="000000"/>
              <w:bottom w:val="single" w:sz="4" w:space="0" w:color="000000"/>
            </w:tcBorders>
            <w:noWrap/>
            <w:vAlign w:val="bottom"/>
          </w:tcPr>
          <w:p w:rsidR="00822EB7" w:rsidRDefault="008E070E">
            <w:pPr>
              <w:spacing w:after="0"/>
              <w:ind w:firstLine="0"/>
              <w:jc w:val="left"/>
              <w:rPr>
                <w:b/>
              </w:rPr>
            </w:pPr>
            <w:r w:rsidRPr="008E070E">
              <w:rPr>
                <w:b/>
              </w:rPr>
              <w:t>EU accession</w:t>
            </w:r>
          </w:p>
        </w:tc>
        <w:tc>
          <w:tcPr>
            <w:tcW w:w="408" w:type="dxa"/>
            <w:tcBorders>
              <w:top w:val="single" w:sz="4" w:space="0" w:color="000000"/>
            </w:tcBorders>
            <w:vAlign w:val="bottom"/>
          </w:tcPr>
          <w:p w:rsidR="00822EB7" w:rsidRDefault="00822EB7">
            <w:pPr>
              <w:spacing w:after="0"/>
              <w:ind w:firstLine="0"/>
              <w:jc w:val="left"/>
              <w:rPr>
                <w:b/>
              </w:rPr>
            </w:pPr>
          </w:p>
        </w:tc>
        <w:tc>
          <w:tcPr>
            <w:tcW w:w="2641" w:type="dxa"/>
            <w:gridSpan w:val="2"/>
            <w:tcBorders>
              <w:top w:val="single" w:sz="4" w:space="0" w:color="000000"/>
              <w:bottom w:val="single" w:sz="4" w:space="0" w:color="000000"/>
            </w:tcBorders>
            <w:noWrap/>
            <w:vAlign w:val="bottom"/>
          </w:tcPr>
          <w:p w:rsidR="00822EB7" w:rsidRDefault="008E070E">
            <w:pPr>
              <w:spacing w:after="0"/>
              <w:ind w:firstLine="0"/>
              <w:jc w:val="left"/>
              <w:rPr>
                <w:b/>
              </w:rPr>
            </w:pPr>
            <w:r w:rsidRPr="008E070E">
              <w:rPr>
                <w:b/>
              </w:rPr>
              <w:t>WTO accession</w:t>
            </w:r>
          </w:p>
        </w:tc>
      </w:tr>
      <w:tr w:rsidR="00162CD2" w:rsidRPr="008A36EB" w:rsidTr="00F83148">
        <w:trPr>
          <w:trHeight w:val="240"/>
        </w:trPr>
        <w:tc>
          <w:tcPr>
            <w:tcW w:w="1565" w:type="dxa"/>
            <w:vMerge/>
            <w:tcBorders>
              <w:bottom w:val="single" w:sz="4" w:space="0" w:color="000000"/>
            </w:tcBorders>
            <w:noWrap/>
          </w:tcPr>
          <w:p w:rsidR="00162CD2" w:rsidRPr="008D4AC7" w:rsidRDefault="00162CD2" w:rsidP="00CA1614">
            <w:pPr>
              <w:spacing w:after="0"/>
              <w:ind w:firstLine="0"/>
              <w:rPr>
                <w:b/>
              </w:rPr>
            </w:pPr>
          </w:p>
        </w:tc>
        <w:tc>
          <w:tcPr>
            <w:tcW w:w="992" w:type="dxa"/>
            <w:vMerge w:val="restart"/>
            <w:tcBorders>
              <w:bottom w:val="single" w:sz="4" w:space="0" w:color="000000"/>
            </w:tcBorders>
            <w:noWrap/>
          </w:tcPr>
          <w:p w:rsidR="00162CD2" w:rsidRPr="008D4AC7" w:rsidRDefault="008E070E" w:rsidP="00CA1614">
            <w:pPr>
              <w:spacing w:after="0" w:line="240" w:lineRule="auto"/>
              <w:ind w:firstLine="0"/>
              <w:rPr>
                <w:b/>
              </w:rPr>
            </w:pPr>
            <w:r w:rsidRPr="008E070E">
              <w:rPr>
                <w:b/>
              </w:rPr>
              <w:t>Initial ($m)</w:t>
            </w:r>
          </w:p>
        </w:tc>
        <w:tc>
          <w:tcPr>
            <w:tcW w:w="1316" w:type="dxa"/>
            <w:vMerge w:val="restart"/>
            <w:tcBorders>
              <w:top w:val="single" w:sz="4" w:space="0" w:color="000000"/>
              <w:bottom w:val="single" w:sz="4" w:space="0" w:color="000000"/>
            </w:tcBorders>
            <w:noWrap/>
          </w:tcPr>
          <w:p w:rsidR="00162CD2" w:rsidRPr="008D4AC7" w:rsidRDefault="008E070E" w:rsidP="00CA1614">
            <w:pPr>
              <w:spacing w:after="0" w:line="240" w:lineRule="auto"/>
              <w:ind w:firstLine="0"/>
              <w:rPr>
                <w:b/>
              </w:rPr>
            </w:pPr>
            <w:r w:rsidRPr="008E070E">
              <w:rPr>
                <w:b/>
              </w:rPr>
              <w:t>Change in</w:t>
            </w:r>
          </w:p>
          <w:p w:rsidR="00162CD2" w:rsidRPr="008D4AC7" w:rsidRDefault="008E070E" w:rsidP="00CA1614">
            <w:pPr>
              <w:spacing w:after="0" w:line="240" w:lineRule="auto"/>
              <w:ind w:firstLine="0"/>
              <w:rPr>
                <w:b/>
              </w:rPr>
            </w:pPr>
            <w:r w:rsidRPr="008E070E">
              <w:rPr>
                <w:b/>
              </w:rPr>
              <w:t>value (</w:t>
            </w:r>
            <w:proofErr w:type="spellStart"/>
            <w:r w:rsidR="008D4AC7">
              <w:rPr>
                <w:b/>
              </w:rPr>
              <w:t>US</w:t>
            </w:r>
            <w:r w:rsidRPr="008E070E">
              <w:rPr>
                <w:b/>
              </w:rPr>
              <w:t>$m</w:t>
            </w:r>
            <w:proofErr w:type="spellEnd"/>
            <w:r w:rsidRPr="008E070E">
              <w:rPr>
                <w:b/>
              </w:rPr>
              <w:t>)</w:t>
            </w:r>
          </w:p>
        </w:tc>
        <w:tc>
          <w:tcPr>
            <w:tcW w:w="1317" w:type="dxa"/>
            <w:vMerge w:val="restart"/>
            <w:tcBorders>
              <w:top w:val="single" w:sz="4" w:space="0" w:color="000000"/>
              <w:bottom w:val="single" w:sz="4" w:space="0" w:color="000000"/>
            </w:tcBorders>
            <w:noWrap/>
          </w:tcPr>
          <w:p w:rsidR="00162CD2" w:rsidRPr="008D4AC7" w:rsidRDefault="008E070E" w:rsidP="00CA1614">
            <w:pPr>
              <w:spacing w:after="0" w:line="240" w:lineRule="auto"/>
              <w:ind w:firstLine="0"/>
              <w:rPr>
                <w:b/>
              </w:rPr>
            </w:pPr>
            <w:r w:rsidRPr="008E070E">
              <w:rPr>
                <w:b/>
              </w:rPr>
              <w:t>Change in</w:t>
            </w:r>
          </w:p>
          <w:p w:rsidR="00162CD2" w:rsidRPr="008D4AC7" w:rsidRDefault="008E070E" w:rsidP="00CA1614">
            <w:pPr>
              <w:spacing w:after="0" w:line="240" w:lineRule="auto"/>
              <w:ind w:firstLine="0"/>
              <w:rPr>
                <w:b/>
              </w:rPr>
            </w:pPr>
            <w:r w:rsidRPr="008E070E">
              <w:rPr>
                <w:b/>
              </w:rPr>
              <w:t>value (</w:t>
            </w:r>
            <w:proofErr w:type="spellStart"/>
            <w:r w:rsidR="008D4AC7">
              <w:rPr>
                <w:b/>
              </w:rPr>
              <w:t>US</w:t>
            </w:r>
            <w:r w:rsidRPr="008E070E">
              <w:rPr>
                <w:b/>
              </w:rPr>
              <w:t>$m</w:t>
            </w:r>
            <w:proofErr w:type="spellEnd"/>
            <w:r w:rsidRPr="008E070E">
              <w:rPr>
                <w:b/>
              </w:rPr>
              <w:t>)</w:t>
            </w:r>
          </w:p>
        </w:tc>
        <w:tc>
          <w:tcPr>
            <w:tcW w:w="408" w:type="dxa"/>
          </w:tcPr>
          <w:p w:rsidR="00162CD2" w:rsidRPr="008D4AC7" w:rsidRDefault="00162CD2" w:rsidP="00CA1614">
            <w:pPr>
              <w:spacing w:after="0" w:line="240" w:lineRule="auto"/>
              <w:ind w:firstLine="0"/>
              <w:rPr>
                <w:b/>
              </w:rPr>
            </w:pPr>
          </w:p>
        </w:tc>
        <w:tc>
          <w:tcPr>
            <w:tcW w:w="1336" w:type="dxa"/>
            <w:vMerge w:val="restart"/>
            <w:tcBorders>
              <w:bottom w:val="single" w:sz="4" w:space="0" w:color="000000"/>
            </w:tcBorders>
            <w:noWrap/>
          </w:tcPr>
          <w:p w:rsidR="00162CD2" w:rsidRPr="008D4AC7" w:rsidRDefault="008E070E" w:rsidP="00CA1614">
            <w:pPr>
              <w:spacing w:after="0" w:line="240" w:lineRule="auto"/>
              <w:ind w:firstLine="0"/>
              <w:rPr>
                <w:b/>
              </w:rPr>
            </w:pPr>
            <w:r w:rsidRPr="008E070E">
              <w:rPr>
                <w:b/>
              </w:rPr>
              <w:t>Change in</w:t>
            </w:r>
          </w:p>
          <w:p w:rsidR="00162CD2" w:rsidRPr="008D4AC7" w:rsidRDefault="008E070E" w:rsidP="00CA1614">
            <w:pPr>
              <w:spacing w:after="0" w:line="240" w:lineRule="auto"/>
              <w:ind w:firstLine="0"/>
              <w:rPr>
                <w:b/>
              </w:rPr>
            </w:pPr>
            <w:r w:rsidRPr="008E070E">
              <w:rPr>
                <w:b/>
              </w:rPr>
              <w:t>value (</w:t>
            </w:r>
            <w:proofErr w:type="spellStart"/>
            <w:r w:rsidR="008D4AC7">
              <w:rPr>
                <w:b/>
              </w:rPr>
              <w:t>US</w:t>
            </w:r>
            <w:r w:rsidRPr="008E070E">
              <w:rPr>
                <w:b/>
              </w:rPr>
              <w:t>$m</w:t>
            </w:r>
            <w:proofErr w:type="spellEnd"/>
            <w:r w:rsidRPr="008E070E">
              <w:rPr>
                <w:b/>
              </w:rPr>
              <w:t>)</w:t>
            </w:r>
          </w:p>
        </w:tc>
        <w:tc>
          <w:tcPr>
            <w:tcW w:w="1317" w:type="dxa"/>
            <w:gridSpan w:val="2"/>
            <w:vMerge w:val="restart"/>
            <w:tcBorders>
              <w:bottom w:val="single" w:sz="4" w:space="0" w:color="000000"/>
            </w:tcBorders>
          </w:tcPr>
          <w:p w:rsidR="00162CD2" w:rsidRPr="008D4AC7" w:rsidRDefault="008E070E" w:rsidP="00CA1614">
            <w:pPr>
              <w:spacing w:after="0" w:line="240" w:lineRule="auto"/>
              <w:ind w:firstLine="0"/>
              <w:rPr>
                <w:b/>
              </w:rPr>
            </w:pPr>
            <w:r w:rsidRPr="008E070E">
              <w:rPr>
                <w:b/>
              </w:rPr>
              <w:t>Change in</w:t>
            </w:r>
          </w:p>
          <w:p w:rsidR="00162CD2" w:rsidRPr="008D4AC7" w:rsidRDefault="008E070E" w:rsidP="00CA1614">
            <w:pPr>
              <w:spacing w:after="0" w:line="240" w:lineRule="auto"/>
              <w:ind w:firstLine="0"/>
              <w:rPr>
                <w:b/>
              </w:rPr>
            </w:pPr>
            <w:r w:rsidRPr="008E070E">
              <w:rPr>
                <w:b/>
              </w:rPr>
              <w:t>value (</w:t>
            </w:r>
            <w:proofErr w:type="spellStart"/>
            <w:r w:rsidR="008D4AC7">
              <w:rPr>
                <w:b/>
              </w:rPr>
              <w:t>US</w:t>
            </w:r>
            <w:r w:rsidRPr="008E070E">
              <w:rPr>
                <w:b/>
              </w:rPr>
              <w:t>$m</w:t>
            </w:r>
            <w:proofErr w:type="spellEnd"/>
            <w:r w:rsidRPr="008E070E">
              <w:rPr>
                <w:b/>
              </w:rPr>
              <w:t>)</w:t>
            </w:r>
          </w:p>
        </w:tc>
      </w:tr>
      <w:tr w:rsidR="00162CD2" w:rsidRPr="008A36EB" w:rsidTr="00F83148">
        <w:trPr>
          <w:trHeight w:val="240"/>
        </w:trPr>
        <w:tc>
          <w:tcPr>
            <w:tcW w:w="1565" w:type="dxa"/>
            <w:vMerge/>
            <w:tcBorders>
              <w:top w:val="single" w:sz="4" w:space="0" w:color="000000"/>
              <w:bottom w:val="single" w:sz="4" w:space="0" w:color="000000"/>
            </w:tcBorders>
            <w:noWrap/>
          </w:tcPr>
          <w:p w:rsidR="00162CD2" w:rsidRPr="008A36EB" w:rsidRDefault="00162CD2" w:rsidP="00CA1614">
            <w:pPr>
              <w:spacing w:after="0"/>
              <w:ind w:firstLine="0"/>
            </w:pPr>
          </w:p>
        </w:tc>
        <w:tc>
          <w:tcPr>
            <w:tcW w:w="992" w:type="dxa"/>
            <w:vMerge/>
            <w:tcBorders>
              <w:top w:val="single" w:sz="4" w:space="0" w:color="000000"/>
              <w:bottom w:val="single" w:sz="4" w:space="0" w:color="000000"/>
            </w:tcBorders>
            <w:noWrap/>
          </w:tcPr>
          <w:p w:rsidR="00162CD2" w:rsidRPr="008A36EB" w:rsidRDefault="00162CD2" w:rsidP="00CA1614">
            <w:pPr>
              <w:spacing w:after="0"/>
              <w:ind w:firstLine="0"/>
            </w:pPr>
          </w:p>
        </w:tc>
        <w:tc>
          <w:tcPr>
            <w:tcW w:w="1316" w:type="dxa"/>
            <w:vMerge/>
            <w:tcBorders>
              <w:top w:val="single" w:sz="4" w:space="0" w:color="000000"/>
              <w:bottom w:val="single" w:sz="4" w:space="0" w:color="000000"/>
            </w:tcBorders>
            <w:noWrap/>
          </w:tcPr>
          <w:p w:rsidR="00162CD2" w:rsidRPr="008A36EB" w:rsidRDefault="00162CD2" w:rsidP="00CA1614">
            <w:pPr>
              <w:spacing w:after="0"/>
              <w:ind w:firstLine="0"/>
            </w:pPr>
          </w:p>
        </w:tc>
        <w:tc>
          <w:tcPr>
            <w:tcW w:w="1317" w:type="dxa"/>
            <w:vMerge/>
            <w:tcBorders>
              <w:bottom w:val="single" w:sz="4" w:space="0" w:color="000000"/>
            </w:tcBorders>
            <w:noWrap/>
          </w:tcPr>
          <w:p w:rsidR="00162CD2" w:rsidRPr="008A36EB" w:rsidRDefault="00162CD2" w:rsidP="00CA1614">
            <w:pPr>
              <w:spacing w:after="0"/>
              <w:ind w:firstLine="0"/>
            </w:pPr>
          </w:p>
        </w:tc>
        <w:tc>
          <w:tcPr>
            <w:tcW w:w="408" w:type="dxa"/>
            <w:tcBorders>
              <w:bottom w:val="single" w:sz="4" w:space="0" w:color="000000"/>
            </w:tcBorders>
          </w:tcPr>
          <w:p w:rsidR="00162CD2" w:rsidRPr="008A36EB" w:rsidRDefault="00162CD2" w:rsidP="00CA1614">
            <w:pPr>
              <w:spacing w:after="0"/>
              <w:ind w:firstLine="0"/>
            </w:pPr>
          </w:p>
        </w:tc>
        <w:tc>
          <w:tcPr>
            <w:tcW w:w="1336" w:type="dxa"/>
            <w:vMerge/>
            <w:tcBorders>
              <w:top w:val="single" w:sz="4" w:space="0" w:color="000000"/>
              <w:bottom w:val="single" w:sz="4" w:space="0" w:color="000000"/>
            </w:tcBorders>
            <w:noWrap/>
          </w:tcPr>
          <w:p w:rsidR="00162CD2" w:rsidRPr="008A36EB" w:rsidRDefault="00162CD2" w:rsidP="00CA1614">
            <w:pPr>
              <w:spacing w:after="0"/>
              <w:ind w:firstLine="0"/>
            </w:pPr>
          </w:p>
        </w:tc>
        <w:tc>
          <w:tcPr>
            <w:tcW w:w="1317" w:type="dxa"/>
            <w:gridSpan w:val="2"/>
            <w:vMerge/>
            <w:tcBorders>
              <w:top w:val="single" w:sz="4" w:space="0" w:color="000000"/>
              <w:bottom w:val="single" w:sz="4" w:space="0" w:color="000000"/>
            </w:tcBorders>
          </w:tcPr>
          <w:p w:rsidR="00162CD2" w:rsidRPr="008A36EB" w:rsidRDefault="00162CD2" w:rsidP="00CA1614">
            <w:pPr>
              <w:spacing w:after="0"/>
              <w:ind w:firstLine="0"/>
            </w:pPr>
          </w:p>
        </w:tc>
      </w:tr>
      <w:tr w:rsidR="00162CD2" w:rsidRPr="008A36EB" w:rsidTr="00F83148">
        <w:trPr>
          <w:trHeight w:val="240"/>
        </w:trPr>
        <w:tc>
          <w:tcPr>
            <w:tcW w:w="1565" w:type="dxa"/>
            <w:tcBorders>
              <w:top w:val="single" w:sz="4" w:space="0" w:color="000000"/>
            </w:tcBorders>
            <w:noWrap/>
          </w:tcPr>
          <w:p w:rsidR="00162CD2" w:rsidRPr="008A36EB" w:rsidRDefault="00162CD2" w:rsidP="00E37DDB">
            <w:pPr>
              <w:spacing w:after="0" w:line="240" w:lineRule="auto"/>
              <w:ind w:firstLine="0"/>
            </w:pPr>
            <w:r w:rsidRPr="008A36EB">
              <w:t>EU</w:t>
            </w:r>
            <w:r>
              <w:t>-</w:t>
            </w:r>
            <w:r w:rsidRPr="008A36EB">
              <w:t>25 beef</w:t>
            </w:r>
          </w:p>
        </w:tc>
        <w:tc>
          <w:tcPr>
            <w:tcW w:w="992" w:type="dxa"/>
            <w:tcBorders>
              <w:top w:val="single" w:sz="4" w:space="0" w:color="000000"/>
            </w:tcBorders>
            <w:noWrap/>
          </w:tcPr>
          <w:p w:rsidR="00162CD2" w:rsidRPr="008A36EB" w:rsidRDefault="00162CD2" w:rsidP="00E37DDB">
            <w:pPr>
              <w:spacing w:after="0" w:line="240" w:lineRule="auto"/>
              <w:ind w:firstLine="0"/>
            </w:pPr>
            <w:r w:rsidRPr="008A36EB">
              <w:t>1 811</w:t>
            </w:r>
          </w:p>
        </w:tc>
        <w:tc>
          <w:tcPr>
            <w:tcW w:w="1316" w:type="dxa"/>
            <w:tcBorders>
              <w:top w:val="single" w:sz="4" w:space="0" w:color="000000"/>
            </w:tcBorders>
            <w:noWrap/>
          </w:tcPr>
          <w:p w:rsidR="00162CD2" w:rsidRPr="008A36EB" w:rsidRDefault="00162CD2" w:rsidP="00E37DDB">
            <w:pPr>
              <w:spacing w:after="0" w:line="240" w:lineRule="auto"/>
              <w:ind w:firstLine="0"/>
            </w:pPr>
            <w:r w:rsidRPr="008A36EB">
              <w:t>1 731</w:t>
            </w:r>
          </w:p>
        </w:tc>
        <w:tc>
          <w:tcPr>
            <w:tcW w:w="1317" w:type="dxa"/>
            <w:tcBorders>
              <w:top w:val="single" w:sz="4" w:space="0" w:color="000000"/>
            </w:tcBorders>
            <w:noWrap/>
          </w:tcPr>
          <w:p w:rsidR="00162CD2" w:rsidRPr="008A36EB" w:rsidRDefault="00162CD2" w:rsidP="00E37DDB">
            <w:pPr>
              <w:spacing w:after="0" w:line="240" w:lineRule="auto"/>
              <w:ind w:firstLine="0"/>
            </w:pPr>
            <w:r w:rsidRPr="008A36EB">
              <w:t>96</w:t>
            </w:r>
          </w:p>
        </w:tc>
        <w:tc>
          <w:tcPr>
            <w:tcW w:w="408" w:type="dxa"/>
            <w:tcBorders>
              <w:top w:val="single" w:sz="4" w:space="0" w:color="000000"/>
            </w:tcBorders>
          </w:tcPr>
          <w:p w:rsidR="00162CD2" w:rsidRPr="008A36EB" w:rsidRDefault="00162CD2" w:rsidP="00E37DDB">
            <w:pPr>
              <w:spacing w:after="0" w:line="240" w:lineRule="auto"/>
              <w:ind w:firstLine="0"/>
            </w:pPr>
          </w:p>
        </w:tc>
        <w:tc>
          <w:tcPr>
            <w:tcW w:w="1336" w:type="dxa"/>
            <w:tcBorders>
              <w:top w:val="single" w:sz="4" w:space="0" w:color="000000"/>
            </w:tcBorders>
            <w:noWrap/>
          </w:tcPr>
          <w:p w:rsidR="00162CD2" w:rsidRPr="008A36EB" w:rsidRDefault="00162CD2" w:rsidP="00E37DDB">
            <w:pPr>
              <w:spacing w:after="0" w:line="240" w:lineRule="auto"/>
              <w:ind w:firstLine="0"/>
            </w:pPr>
            <w:r w:rsidRPr="008A36EB">
              <w:t>-467</w:t>
            </w:r>
          </w:p>
        </w:tc>
        <w:tc>
          <w:tcPr>
            <w:tcW w:w="1317" w:type="dxa"/>
            <w:gridSpan w:val="2"/>
            <w:tcBorders>
              <w:top w:val="single" w:sz="4" w:space="0" w:color="000000"/>
            </w:tcBorders>
          </w:tcPr>
          <w:p w:rsidR="00162CD2" w:rsidRPr="008A36EB" w:rsidRDefault="00162CD2" w:rsidP="00E37DDB">
            <w:pPr>
              <w:spacing w:after="0" w:line="240" w:lineRule="auto"/>
              <w:ind w:firstLine="0"/>
            </w:pPr>
            <w:r w:rsidRPr="008A36EB">
              <w:t>-26</w:t>
            </w:r>
          </w:p>
        </w:tc>
      </w:tr>
      <w:tr w:rsidR="00162CD2" w:rsidRPr="008A36EB" w:rsidTr="00F83148">
        <w:trPr>
          <w:trHeight w:val="240"/>
        </w:trPr>
        <w:tc>
          <w:tcPr>
            <w:tcW w:w="1565" w:type="dxa"/>
            <w:noWrap/>
          </w:tcPr>
          <w:p w:rsidR="00162CD2" w:rsidRPr="008A36EB" w:rsidRDefault="00162CD2" w:rsidP="00E37DDB">
            <w:pPr>
              <w:spacing w:after="0" w:line="240" w:lineRule="auto"/>
              <w:ind w:firstLine="0"/>
            </w:pPr>
            <w:r w:rsidRPr="008A36EB">
              <w:t>CEFTA beef</w:t>
            </w:r>
          </w:p>
        </w:tc>
        <w:tc>
          <w:tcPr>
            <w:tcW w:w="992" w:type="dxa"/>
            <w:noWrap/>
          </w:tcPr>
          <w:p w:rsidR="00162CD2" w:rsidRPr="008A36EB" w:rsidRDefault="00162CD2" w:rsidP="00E37DDB">
            <w:pPr>
              <w:spacing w:after="0" w:line="240" w:lineRule="auto"/>
              <w:ind w:firstLine="0"/>
            </w:pPr>
            <w:r w:rsidRPr="008A36EB">
              <w:t>1 545</w:t>
            </w:r>
          </w:p>
        </w:tc>
        <w:tc>
          <w:tcPr>
            <w:tcW w:w="1316" w:type="dxa"/>
            <w:noWrap/>
          </w:tcPr>
          <w:p w:rsidR="00162CD2" w:rsidRPr="008A36EB" w:rsidRDefault="008D4AC7" w:rsidP="00E37DDB">
            <w:pPr>
              <w:spacing w:after="0" w:line="240" w:lineRule="auto"/>
              <w:ind w:firstLine="0"/>
            </w:pPr>
            <w:r>
              <w:t>−</w:t>
            </w:r>
            <w:r w:rsidR="00162CD2" w:rsidRPr="008A36EB">
              <w:t>937</w:t>
            </w:r>
          </w:p>
        </w:tc>
        <w:tc>
          <w:tcPr>
            <w:tcW w:w="1317" w:type="dxa"/>
            <w:noWrap/>
          </w:tcPr>
          <w:p w:rsidR="00162CD2" w:rsidRPr="008A36EB" w:rsidRDefault="008D4AC7" w:rsidP="00E37DDB">
            <w:pPr>
              <w:spacing w:after="0" w:line="240" w:lineRule="auto"/>
              <w:ind w:firstLine="0"/>
            </w:pPr>
            <w:r>
              <w:t>−</w:t>
            </w:r>
            <w:r w:rsidR="00162CD2" w:rsidRPr="008A36EB">
              <w:t>61</w:t>
            </w: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r w:rsidRPr="008A36EB">
              <w:t>-398</w:t>
            </w:r>
          </w:p>
        </w:tc>
        <w:tc>
          <w:tcPr>
            <w:tcW w:w="1317" w:type="dxa"/>
            <w:gridSpan w:val="2"/>
          </w:tcPr>
          <w:p w:rsidR="00162CD2" w:rsidRPr="008A36EB" w:rsidRDefault="00162CD2" w:rsidP="00E37DDB">
            <w:pPr>
              <w:spacing w:after="0" w:line="240" w:lineRule="auto"/>
              <w:ind w:firstLine="0"/>
            </w:pPr>
            <w:r w:rsidRPr="008A36EB">
              <w:t>-26</w:t>
            </w:r>
          </w:p>
        </w:tc>
      </w:tr>
      <w:tr w:rsidR="00162CD2" w:rsidRPr="008A36EB" w:rsidTr="00F83148">
        <w:trPr>
          <w:trHeight w:val="240"/>
        </w:trPr>
        <w:tc>
          <w:tcPr>
            <w:tcW w:w="1565" w:type="dxa"/>
            <w:noWrap/>
          </w:tcPr>
          <w:p w:rsidR="00162CD2" w:rsidRPr="008A36EB" w:rsidRDefault="00162CD2" w:rsidP="00E37DDB">
            <w:pPr>
              <w:spacing w:after="0" w:line="240" w:lineRule="auto"/>
              <w:ind w:firstLine="0"/>
            </w:pPr>
            <w:proofErr w:type="spellStart"/>
            <w:r w:rsidRPr="008A36EB">
              <w:t>RoW</w:t>
            </w:r>
            <w:proofErr w:type="spellEnd"/>
            <w:r w:rsidRPr="008A36EB">
              <w:t xml:space="preserve"> beef</w:t>
            </w:r>
          </w:p>
        </w:tc>
        <w:tc>
          <w:tcPr>
            <w:tcW w:w="992" w:type="dxa"/>
            <w:noWrap/>
          </w:tcPr>
          <w:p w:rsidR="00162CD2" w:rsidRPr="008A36EB" w:rsidRDefault="00162CD2" w:rsidP="00E37DDB">
            <w:pPr>
              <w:spacing w:after="0" w:line="240" w:lineRule="auto"/>
              <w:ind w:firstLine="0"/>
            </w:pPr>
            <w:r w:rsidRPr="008A36EB">
              <w:t>1 214</w:t>
            </w:r>
          </w:p>
        </w:tc>
        <w:tc>
          <w:tcPr>
            <w:tcW w:w="1316" w:type="dxa"/>
            <w:noWrap/>
          </w:tcPr>
          <w:p w:rsidR="00162CD2" w:rsidRPr="008A36EB" w:rsidRDefault="00162CD2" w:rsidP="00E37DDB">
            <w:pPr>
              <w:spacing w:after="0" w:line="240" w:lineRule="auto"/>
              <w:ind w:firstLine="0"/>
            </w:pPr>
            <w:r w:rsidRPr="008A36EB">
              <w:t>632</w:t>
            </w:r>
          </w:p>
        </w:tc>
        <w:tc>
          <w:tcPr>
            <w:tcW w:w="1317" w:type="dxa"/>
            <w:noWrap/>
          </w:tcPr>
          <w:p w:rsidR="00162CD2" w:rsidRPr="008A36EB" w:rsidRDefault="00162CD2" w:rsidP="00E37DDB">
            <w:pPr>
              <w:spacing w:after="0" w:line="240" w:lineRule="auto"/>
              <w:ind w:firstLine="0"/>
            </w:pPr>
            <w:r w:rsidRPr="008A36EB">
              <w:t>52</w:t>
            </w: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r w:rsidRPr="008A36EB">
              <w:t>1 471</w:t>
            </w:r>
          </w:p>
        </w:tc>
        <w:tc>
          <w:tcPr>
            <w:tcW w:w="1317" w:type="dxa"/>
            <w:gridSpan w:val="2"/>
          </w:tcPr>
          <w:p w:rsidR="00162CD2" w:rsidRPr="008A36EB" w:rsidRDefault="00162CD2" w:rsidP="00E37DDB">
            <w:pPr>
              <w:spacing w:after="0" w:line="240" w:lineRule="auto"/>
              <w:ind w:firstLine="0"/>
            </w:pPr>
            <w:r w:rsidRPr="008A36EB">
              <w:t>121</w:t>
            </w:r>
          </w:p>
        </w:tc>
      </w:tr>
      <w:tr w:rsidR="00162CD2" w:rsidRPr="008A36EB" w:rsidTr="00F83148">
        <w:trPr>
          <w:trHeight w:val="240"/>
        </w:trPr>
        <w:tc>
          <w:tcPr>
            <w:tcW w:w="1565" w:type="dxa"/>
            <w:noWrap/>
          </w:tcPr>
          <w:p w:rsidR="00162CD2" w:rsidRPr="008A36EB" w:rsidRDefault="00162CD2" w:rsidP="00E37DDB">
            <w:pPr>
              <w:spacing w:after="0" w:line="240" w:lineRule="auto"/>
              <w:ind w:firstLine="0"/>
            </w:pPr>
            <w:r w:rsidRPr="008A36EB">
              <w:t>Total</w:t>
            </w:r>
          </w:p>
        </w:tc>
        <w:tc>
          <w:tcPr>
            <w:tcW w:w="992" w:type="dxa"/>
            <w:noWrap/>
          </w:tcPr>
          <w:p w:rsidR="00162CD2" w:rsidRPr="008A36EB" w:rsidRDefault="00162CD2" w:rsidP="00E37DDB">
            <w:pPr>
              <w:spacing w:after="0" w:line="240" w:lineRule="auto"/>
              <w:ind w:firstLine="0"/>
            </w:pPr>
            <w:r w:rsidRPr="008A36EB">
              <w:t>4 570</w:t>
            </w:r>
          </w:p>
        </w:tc>
        <w:tc>
          <w:tcPr>
            <w:tcW w:w="1316" w:type="dxa"/>
            <w:noWrap/>
          </w:tcPr>
          <w:p w:rsidR="00162CD2" w:rsidRPr="008A36EB" w:rsidRDefault="00162CD2" w:rsidP="00E37DDB">
            <w:pPr>
              <w:spacing w:after="0" w:line="240" w:lineRule="auto"/>
              <w:ind w:firstLine="0"/>
            </w:pPr>
            <w:r w:rsidRPr="008A36EB">
              <w:t>1 426</w:t>
            </w:r>
          </w:p>
        </w:tc>
        <w:tc>
          <w:tcPr>
            <w:tcW w:w="1317" w:type="dxa"/>
            <w:noWrap/>
          </w:tcPr>
          <w:p w:rsidR="00162CD2" w:rsidRPr="008A36EB" w:rsidRDefault="00162CD2" w:rsidP="00E37DDB">
            <w:pPr>
              <w:spacing w:after="0" w:line="240" w:lineRule="auto"/>
              <w:ind w:firstLine="0"/>
            </w:pPr>
            <w:r w:rsidRPr="008A36EB">
              <w:t>31</w:t>
            </w: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r w:rsidRPr="008A36EB">
              <w:t>606</w:t>
            </w:r>
          </w:p>
        </w:tc>
        <w:tc>
          <w:tcPr>
            <w:tcW w:w="1317" w:type="dxa"/>
            <w:gridSpan w:val="2"/>
          </w:tcPr>
          <w:p w:rsidR="00162CD2" w:rsidRPr="008A36EB" w:rsidRDefault="00162CD2" w:rsidP="00E37DDB">
            <w:pPr>
              <w:spacing w:after="0" w:line="240" w:lineRule="auto"/>
              <w:ind w:firstLine="0"/>
            </w:pPr>
            <w:r w:rsidRPr="008A36EB">
              <w:t>13</w:t>
            </w:r>
          </w:p>
        </w:tc>
      </w:tr>
      <w:tr w:rsidR="00162CD2" w:rsidRPr="008A36EB" w:rsidTr="00F83148">
        <w:trPr>
          <w:trHeight w:val="240"/>
        </w:trPr>
        <w:tc>
          <w:tcPr>
            <w:tcW w:w="1565" w:type="dxa"/>
            <w:noWrap/>
          </w:tcPr>
          <w:p w:rsidR="00162CD2" w:rsidRPr="008A36EB" w:rsidRDefault="00162CD2" w:rsidP="00E37DDB">
            <w:pPr>
              <w:spacing w:after="0" w:line="240" w:lineRule="auto"/>
              <w:ind w:firstLine="0"/>
            </w:pPr>
          </w:p>
        </w:tc>
        <w:tc>
          <w:tcPr>
            <w:tcW w:w="992" w:type="dxa"/>
            <w:noWrap/>
          </w:tcPr>
          <w:p w:rsidR="00162CD2" w:rsidRPr="008A36EB" w:rsidRDefault="00162CD2" w:rsidP="00E37DDB">
            <w:pPr>
              <w:spacing w:after="0" w:line="240" w:lineRule="auto"/>
              <w:ind w:firstLine="0"/>
            </w:pPr>
          </w:p>
        </w:tc>
        <w:tc>
          <w:tcPr>
            <w:tcW w:w="1316" w:type="dxa"/>
            <w:noWrap/>
          </w:tcPr>
          <w:p w:rsidR="00162CD2" w:rsidRPr="008A36EB" w:rsidRDefault="00162CD2" w:rsidP="00E37DDB">
            <w:pPr>
              <w:spacing w:after="0" w:line="240" w:lineRule="auto"/>
              <w:ind w:firstLine="0"/>
            </w:pPr>
          </w:p>
        </w:tc>
        <w:tc>
          <w:tcPr>
            <w:tcW w:w="1317" w:type="dxa"/>
            <w:noWrap/>
          </w:tcPr>
          <w:p w:rsidR="00162CD2" w:rsidRPr="008A36EB" w:rsidRDefault="00162CD2" w:rsidP="00E37DDB">
            <w:pPr>
              <w:spacing w:after="0" w:line="240" w:lineRule="auto"/>
              <w:ind w:firstLine="0"/>
            </w:pP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p>
        </w:tc>
        <w:tc>
          <w:tcPr>
            <w:tcW w:w="1317" w:type="dxa"/>
            <w:gridSpan w:val="2"/>
          </w:tcPr>
          <w:p w:rsidR="00162CD2" w:rsidRPr="008A36EB" w:rsidRDefault="00162CD2" w:rsidP="00E37DDB">
            <w:pPr>
              <w:spacing w:after="0" w:line="240" w:lineRule="auto"/>
              <w:ind w:firstLine="0"/>
            </w:pPr>
          </w:p>
        </w:tc>
      </w:tr>
      <w:tr w:rsidR="00162CD2" w:rsidRPr="008A36EB" w:rsidTr="00F83148">
        <w:trPr>
          <w:trHeight w:val="240"/>
        </w:trPr>
        <w:tc>
          <w:tcPr>
            <w:tcW w:w="1565" w:type="dxa"/>
            <w:noWrap/>
          </w:tcPr>
          <w:p w:rsidR="00162CD2" w:rsidRPr="008A36EB" w:rsidRDefault="00162CD2" w:rsidP="00E37DDB">
            <w:pPr>
              <w:spacing w:after="0" w:line="240" w:lineRule="auto"/>
              <w:ind w:firstLine="0"/>
            </w:pPr>
            <w:r w:rsidRPr="008A36EB">
              <w:t>EU</w:t>
            </w:r>
            <w:r>
              <w:t>-</w:t>
            </w:r>
            <w:r w:rsidRPr="008A36EB">
              <w:t>25 pork</w:t>
            </w:r>
          </w:p>
        </w:tc>
        <w:tc>
          <w:tcPr>
            <w:tcW w:w="992" w:type="dxa"/>
            <w:noWrap/>
          </w:tcPr>
          <w:p w:rsidR="00162CD2" w:rsidRPr="008A36EB" w:rsidRDefault="00162CD2" w:rsidP="00E37DDB">
            <w:pPr>
              <w:spacing w:after="0" w:line="240" w:lineRule="auto"/>
              <w:ind w:firstLine="0"/>
            </w:pPr>
            <w:r w:rsidRPr="008A36EB">
              <w:t>6 462</w:t>
            </w:r>
          </w:p>
        </w:tc>
        <w:tc>
          <w:tcPr>
            <w:tcW w:w="1316" w:type="dxa"/>
            <w:noWrap/>
          </w:tcPr>
          <w:p w:rsidR="00162CD2" w:rsidRPr="008A36EB" w:rsidRDefault="00162CD2" w:rsidP="00E37DDB">
            <w:pPr>
              <w:spacing w:after="0" w:line="240" w:lineRule="auto"/>
              <w:ind w:firstLine="0"/>
            </w:pPr>
            <w:r w:rsidRPr="008A36EB">
              <w:t>5 295</w:t>
            </w:r>
          </w:p>
        </w:tc>
        <w:tc>
          <w:tcPr>
            <w:tcW w:w="1317" w:type="dxa"/>
            <w:noWrap/>
          </w:tcPr>
          <w:p w:rsidR="00162CD2" w:rsidRPr="008A36EB" w:rsidRDefault="00162CD2" w:rsidP="00E37DDB">
            <w:pPr>
              <w:spacing w:after="0" w:line="240" w:lineRule="auto"/>
              <w:ind w:firstLine="0"/>
            </w:pPr>
            <w:r w:rsidRPr="008A36EB">
              <w:t>82</w:t>
            </w: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r w:rsidRPr="008A36EB">
              <w:t>-3 209</w:t>
            </w:r>
          </w:p>
        </w:tc>
        <w:tc>
          <w:tcPr>
            <w:tcW w:w="1317" w:type="dxa"/>
            <w:gridSpan w:val="2"/>
          </w:tcPr>
          <w:p w:rsidR="00162CD2" w:rsidRPr="008A36EB" w:rsidRDefault="00162CD2" w:rsidP="00E37DDB">
            <w:pPr>
              <w:spacing w:after="0" w:line="240" w:lineRule="auto"/>
              <w:ind w:firstLine="0"/>
            </w:pPr>
            <w:r w:rsidRPr="008A36EB">
              <w:t>-50</w:t>
            </w:r>
          </w:p>
        </w:tc>
      </w:tr>
      <w:tr w:rsidR="00162CD2" w:rsidRPr="008A36EB" w:rsidTr="00F83148">
        <w:trPr>
          <w:trHeight w:val="240"/>
        </w:trPr>
        <w:tc>
          <w:tcPr>
            <w:tcW w:w="1565" w:type="dxa"/>
            <w:noWrap/>
          </w:tcPr>
          <w:p w:rsidR="00162CD2" w:rsidRPr="008A36EB" w:rsidRDefault="00162CD2" w:rsidP="00E37DDB">
            <w:pPr>
              <w:spacing w:after="0" w:line="240" w:lineRule="auto"/>
              <w:ind w:firstLine="0"/>
            </w:pPr>
            <w:r w:rsidRPr="008A36EB">
              <w:t>CEFTA pork</w:t>
            </w:r>
          </w:p>
        </w:tc>
        <w:tc>
          <w:tcPr>
            <w:tcW w:w="992" w:type="dxa"/>
            <w:noWrap/>
          </w:tcPr>
          <w:p w:rsidR="00162CD2" w:rsidRPr="008A36EB" w:rsidRDefault="00162CD2" w:rsidP="00E37DDB">
            <w:pPr>
              <w:spacing w:after="0" w:line="240" w:lineRule="auto"/>
              <w:ind w:firstLine="0"/>
            </w:pPr>
            <w:r w:rsidRPr="008A36EB">
              <w:t>659</w:t>
            </w:r>
          </w:p>
        </w:tc>
        <w:tc>
          <w:tcPr>
            <w:tcW w:w="1316" w:type="dxa"/>
            <w:noWrap/>
          </w:tcPr>
          <w:p w:rsidR="00162CD2" w:rsidRPr="008A36EB" w:rsidRDefault="00162CD2" w:rsidP="00E37DDB">
            <w:pPr>
              <w:spacing w:after="0" w:line="240" w:lineRule="auto"/>
              <w:ind w:firstLine="0"/>
            </w:pPr>
            <w:r w:rsidRPr="008A36EB">
              <w:t>-659</w:t>
            </w:r>
          </w:p>
        </w:tc>
        <w:tc>
          <w:tcPr>
            <w:tcW w:w="1317" w:type="dxa"/>
            <w:noWrap/>
          </w:tcPr>
          <w:p w:rsidR="00162CD2" w:rsidRPr="008A36EB" w:rsidRDefault="00162CD2" w:rsidP="00E37DDB">
            <w:pPr>
              <w:spacing w:after="0" w:line="240" w:lineRule="auto"/>
              <w:ind w:firstLine="0"/>
            </w:pPr>
            <w:r w:rsidRPr="008A36EB">
              <w:t>-100</w:t>
            </w: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r w:rsidRPr="008A36EB">
              <w:t>-327</w:t>
            </w:r>
          </w:p>
        </w:tc>
        <w:tc>
          <w:tcPr>
            <w:tcW w:w="1317" w:type="dxa"/>
            <w:gridSpan w:val="2"/>
          </w:tcPr>
          <w:p w:rsidR="00162CD2" w:rsidRPr="008A36EB" w:rsidRDefault="00162CD2" w:rsidP="00E37DDB">
            <w:pPr>
              <w:spacing w:after="0" w:line="240" w:lineRule="auto"/>
              <w:ind w:firstLine="0"/>
            </w:pPr>
            <w:r w:rsidRPr="008A36EB">
              <w:t>-50</w:t>
            </w:r>
          </w:p>
        </w:tc>
      </w:tr>
      <w:tr w:rsidR="00162CD2" w:rsidRPr="008A36EB" w:rsidTr="00F83148">
        <w:trPr>
          <w:trHeight w:val="240"/>
        </w:trPr>
        <w:tc>
          <w:tcPr>
            <w:tcW w:w="1565" w:type="dxa"/>
            <w:noWrap/>
          </w:tcPr>
          <w:p w:rsidR="00162CD2" w:rsidRPr="008A36EB" w:rsidRDefault="00162CD2" w:rsidP="00E37DDB">
            <w:pPr>
              <w:spacing w:after="0" w:line="240" w:lineRule="auto"/>
              <w:ind w:firstLine="0"/>
            </w:pPr>
            <w:proofErr w:type="spellStart"/>
            <w:r w:rsidRPr="008A36EB">
              <w:t>RoW</w:t>
            </w:r>
            <w:proofErr w:type="spellEnd"/>
            <w:r w:rsidRPr="008A36EB">
              <w:t xml:space="preserve"> pork</w:t>
            </w:r>
          </w:p>
        </w:tc>
        <w:tc>
          <w:tcPr>
            <w:tcW w:w="992" w:type="dxa"/>
            <w:noWrap/>
          </w:tcPr>
          <w:p w:rsidR="00162CD2" w:rsidRPr="008A36EB" w:rsidRDefault="00162CD2" w:rsidP="00E37DDB">
            <w:pPr>
              <w:spacing w:after="0" w:line="240" w:lineRule="auto"/>
              <w:ind w:firstLine="0"/>
            </w:pPr>
            <w:r w:rsidRPr="008A36EB">
              <w:t>1 538</w:t>
            </w:r>
          </w:p>
        </w:tc>
        <w:tc>
          <w:tcPr>
            <w:tcW w:w="1316" w:type="dxa"/>
            <w:noWrap/>
          </w:tcPr>
          <w:p w:rsidR="00162CD2" w:rsidRPr="008A36EB" w:rsidRDefault="00162CD2" w:rsidP="00E37DDB">
            <w:pPr>
              <w:spacing w:after="0" w:line="240" w:lineRule="auto"/>
              <w:ind w:firstLine="0"/>
            </w:pPr>
            <w:r w:rsidRPr="008A36EB">
              <w:t>-1 410</w:t>
            </w:r>
          </w:p>
        </w:tc>
        <w:tc>
          <w:tcPr>
            <w:tcW w:w="1317" w:type="dxa"/>
            <w:noWrap/>
          </w:tcPr>
          <w:p w:rsidR="00162CD2" w:rsidRPr="008A36EB" w:rsidRDefault="00162CD2" w:rsidP="00E37DDB">
            <w:pPr>
              <w:spacing w:after="0" w:line="240" w:lineRule="auto"/>
              <w:ind w:firstLine="0"/>
            </w:pPr>
            <w:r w:rsidRPr="008A36EB">
              <w:t>-92</w:t>
            </w: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r w:rsidRPr="008A36EB">
              <w:t>3 971</w:t>
            </w:r>
          </w:p>
        </w:tc>
        <w:tc>
          <w:tcPr>
            <w:tcW w:w="1317" w:type="dxa"/>
            <w:gridSpan w:val="2"/>
          </w:tcPr>
          <w:p w:rsidR="00162CD2" w:rsidRPr="008A36EB" w:rsidRDefault="00162CD2" w:rsidP="00E37DDB">
            <w:pPr>
              <w:spacing w:after="0" w:line="240" w:lineRule="auto"/>
              <w:ind w:firstLine="0"/>
            </w:pPr>
            <w:r w:rsidRPr="008A36EB">
              <w:t>258</w:t>
            </w:r>
          </w:p>
        </w:tc>
      </w:tr>
      <w:tr w:rsidR="00162CD2" w:rsidRPr="008A36EB" w:rsidTr="00F83148">
        <w:trPr>
          <w:trHeight w:val="240"/>
        </w:trPr>
        <w:tc>
          <w:tcPr>
            <w:tcW w:w="1565" w:type="dxa"/>
            <w:noWrap/>
          </w:tcPr>
          <w:p w:rsidR="00162CD2" w:rsidRPr="008A36EB" w:rsidRDefault="00162CD2" w:rsidP="00E37DDB">
            <w:pPr>
              <w:spacing w:after="0" w:line="240" w:lineRule="auto"/>
              <w:ind w:firstLine="0"/>
            </w:pPr>
            <w:r w:rsidRPr="008A36EB">
              <w:t>Total</w:t>
            </w:r>
          </w:p>
        </w:tc>
        <w:tc>
          <w:tcPr>
            <w:tcW w:w="992" w:type="dxa"/>
            <w:noWrap/>
          </w:tcPr>
          <w:p w:rsidR="00162CD2" w:rsidRPr="008A36EB" w:rsidRDefault="00162CD2" w:rsidP="00E37DDB">
            <w:pPr>
              <w:spacing w:after="0" w:line="240" w:lineRule="auto"/>
              <w:ind w:firstLine="0"/>
            </w:pPr>
            <w:r w:rsidRPr="008A36EB">
              <w:t>8 658</w:t>
            </w:r>
          </w:p>
        </w:tc>
        <w:tc>
          <w:tcPr>
            <w:tcW w:w="1316" w:type="dxa"/>
            <w:noWrap/>
          </w:tcPr>
          <w:p w:rsidR="00162CD2" w:rsidRPr="008A36EB" w:rsidRDefault="00162CD2" w:rsidP="00E37DDB">
            <w:pPr>
              <w:spacing w:after="0" w:line="240" w:lineRule="auto"/>
              <w:ind w:firstLine="0"/>
            </w:pPr>
            <w:r w:rsidRPr="008A36EB">
              <w:t>3 227</w:t>
            </w:r>
          </w:p>
        </w:tc>
        <w:tc>
          <w:tcPr>
            <w:tcW w:w="1317" w:type="dxa"/>
            <w:noWrap/>
          </w:tcPr>
          <w:p w:rsidR="00162CD2" w:rsidRPr="008A36EB" w:rsidRDefault="00162CD2" w:rsidP="00E37DDB">
            <w:pPr>
              <w:spacing w:after="0" w:line="240" w:lineRule="auto"/>
              <w:ind w:firstLine="0"/>
            </w:pPr>
            <w:r w:rsidRPr="008A36EB">
              <w:t>37</w:t>
            </w: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r w:rsidRPr="008A36EB">
              <w:t>435</w:t>
            </w:r>
          </w:p>
        </w:tc>
        <w:tc>
          <w:tcPr>
            <w:tcW w:w="1317" w:type="dxa"/>
            <w:gridSpan w:val="2"/>
          </w:tcPr>
          <w:p w:rsidR="00162CD2" w:rsidRPr="008A36EB" w:rsidRDefault="00162CD2" w:rsidP="00E37DDB">
            <w:pPr>
              <w:spacing w:after="0" w:line="240" w:lineRule="auto"/>
              <w:ind w:firstLine="0"/>
            </w:pPr>
            <w:r w:rsidRPr="008A36EB">
              <w:t>5</w:t>
            </w:r>
          </w:p>
        </w:tc>
      </w:tr>
      <w:tr w:rsidR="00162CD2" w:rsidRPr="008A36EB" w:rsidTr="00F83148">
        <w:trPr>
          <w:trHeight w:val="240"/>
        </w:trPr>
        <w:tc>
          <w:tcPr>
            <w:tcW w:w="1565" w:type="dxa"/>
            <w:noWrap/>
          </w:tcPr>
          <w:p w:rsidR="00162CD2" w:rsidRPr="008A36EB" w:rsidRDefault="00162CD2" w:rsidP="00E37DDB">
            <w:pPr>
              <w:spacing w:after="0" w:line="240" w:lineRule="auto"/>
              <w:ind w:firstLine="0"/>
            </w:pPr>
          </w:p>
        </w:tc>
        <w:tc>
          <w:tcPr>
            <w:tcW w:w="992" w:type="dxa"/>
            <w:noWrap/>
          </w:tcPr>
          <w:p w:rsidR="00162CD2" w:rsidRPr="008A36EB" w:rsidRDefault="00162CD2" w:rsidP="00E37DDB">
            <w:pPr>
              <w:spacing w:after="0" w:line="240" w:lineRule="auto"/>
              <w:ind w:firstLine="0"/>
            </w:pPr>
          </w:p>
        </w:tc>
        <w:tc>
          <w:tcPr>
            <w:tcW w:w="1316" w:type="dxa"/>
            <w:noWrap/>
          </w:tcPr>
          <w:p w:rsidR="00162CD2" w:rsidRPr="008A36EB" w:rsidRDefault="00162CD2" w:rsidP="00E37DDB">
            <w:pPr>
              <w:spacing w:after="0" w:line="240" w:lineRule="auto"/>
              <w:ind w:firstLine="0"/>
            </w:pPr>
          </w:p>
        </w:tc>
        <w:tc>
          <w:tcPr>
            <w:tcW w:w="1317" w:type="dxa"/>
            <w:noWrap/>
          </w:tcPr>
          <w:p w:rsidR="00162CD2" w:rsidRPr="008A36EB" w:rsidRDefault="00162CD2" w:rsidP="00E37DDB">
            <w:pPr>
              <w:spacing w:after="0" w:line="240" w:lineRule="auto"/>
              <w:ind w:firstLine="0"/>
            </w:pP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p>
        </w:tc>
        <w:tc>
          <w:tcPr>
            <w:tcW w:w="1317" w:type="dxa"/>
            <w:gridSpan w:val="2"/>
          </w:tcPr>
          <w:p w:rsidR="00162CD2" w:rsidRPr="008A36EB" w:rsidRDefault="00162CD2" w:rsidP="00E37DDB">
            <w:pPr>
              <w:spacing w:after="0" w:line="240" w:lineRule="auto"/>
              <w:ind w:firstLine="0"/>
            </w:pPr>
          </w:p>
        </w:tc>
      </w:tr>
      <w:tr w:rsidR="00162CD2" w:rsidRPr="008A36EB" w:rsidTr="00F83148">
        <w:trPr>
          <w:trHeight w:val="240"/>
        </w:trPr>
        <w:tc>
          <w:tcPr>
            <w:tcW w:w="1565" w:type="dxa"/>
            <w:noWrap/>
          </w:tcPr>
          <w:p w:rsidR="00162CD2" w:rsidRPr="008A36EB" w:rsidRDefault="00162CD2" w:rsidP="00E37DDB">
            <w:pPr>
              <w:spacing w:after="0" w:line="240" w:lineRule="auto"/>
              <w:ind w:firstLine="0"/>
            </w:pPr>
            <w:r w:rsidRPr="008A36EB">
              <w:t>EU</w:t>
            </w:r>
            <w:r>
              <w:t>-</w:t>
            </w:r>
            <w:r w:rsidRPr="008A36EB">
              <w:t>25 poultry</w:t>
            </w:r>
          </w:p>
        </w:tc>
        <w:tc>
          <w:tcPr>
            <w:tcW w:w="992" w:type="dxa"/>
            <w:noWrap/>
          </w:tcPr>
          <w:p w:rsidR="00162CD2" w:rsidRPr="008A36EB" w:rsidRDefault="00162CD2" w:rsidP="00E37DDB">
            <w:pPr>
              <w:spacing w:after="0" w:line="240" w:lineRule="auto"/>
              <w:ind w:firstLine="0"/>
            </w:pPr>
            <w:r w:rsidRPr="008A36EB">
              <w:t>2 541</w:t>
            </w:r>
          </w:p>
        </w:tc>
        <w:tc>
          <w:tcPr>
            <w:tcW w:w="1316" w:type="dxa"/>
            <w:noWrap/>
          </w:tcPr>
          <w:p w:rsidR="00162CD2" w:rsidRPr="008A36EB" w:rsidRDefault="00162CD2" w:rsidP="00E37DDB">
            <w:pPr>
              <w:spacing w:after="0" w:line="240" w:lineRule="auto"/>
              <w:ind w:firstLine="0"/>
            </w:pPr>
            <w:r w:rsidRPr="008A36EB">
              <w:t>168</w:t>
            </w:r>
          </w:p>
        </w:tc>
        <w:tc>
          <w:tcPr>
            <w:tcW w:w="1317" w:type="dxa"/>
            <w:noWrap/>
          </w:tcPr>
          <w:p w:rsidR="00162CD2" w:rsidRPr="008A36EB" w:rsidRDefault="00162CD2" w:rsidP="00E37DDB">
            <w:pPr>
              <w:spacing w:after="0" w:line="240" w:lineRule="auto"/>
              <w:ind w:firstLine="0"/>
            </w:pPr>
            <w:r w:rsidRPr="008A36EB">
              <w:t>7</w:t>
            </w: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r w:rsidRPr="008A36EB">
              <w:t>22</w:t>
            </w:r>
          </w:p>
        </w:tc>
        <w:tc>
          <w:tcPr>
            <w:tcW w:w="1317" w:type="dxa"/>
            <w:gridSpan w:val="2"/>
          </w:tcPr>
          <w:p w:rsidR="00162CD2" w:rsidRPr="008A36EB" w:rsidRDefault="00162CD2" w:rsidP="00E37DDB">
            <w:pPr>
              <w:spacing w:after="0" w:line="240" w:lineRule="auto"/>
              <w:ind w:firstLine="0"/>
            </w:pPr>
            <w:r w:rsidRPr="008A36EB">
              <w:t>1</w:t>
            </w:r>
          </w:p>
        </w:tc>
      </w:tr>
      <w:tr w:rsidR="00162CD2" w:rsidRPr="008A36EB" w:rsidTr="00F83148">
        <w:trPr>
          <w:trHeight w:val="240"/>
        </w:trPr>
        <w:tc>
          <w:tcPr>
            <w:tcW w:w="1565" w:type="dxa"/>
            <w:noWrap/>
          </w:tcPr>
          <w:p w:rsidR="00162CD2" w:rsidRPr="008A36EB" w:rsidRDefault="00162CD2" w:rsidP="00E37DDB">
            <w:pPr>
              <w:spacing w:after="0" w:line="240" w:lineRule="auto"/>
              <w:ind w:firstLine="0"/>
            </w:pPr>
            <w:r w:rsidRPr="008A36EB">
              <w:t>CEFTA poultry</w:t>
            </w:r>
          </w:p>
        </w:tc>
        <w:tc>
          <w:tcPr>
            <w:tcW w:w="992" w:type="dxa"/>
            <w:noWrap/>
          </w:tcPr>
          <w:p w:rsidR="00162CD2" w:rsidRPr="008A36EB" w:rsidRDefault="00162CD2" w:rsidP="00E37DDB">
            <w:pPr>
              <w:spacing w:after="0" w:line="240" w:lineRule="auto"/>
              <w:ind w:firstLine="0"/>
            </w:pPr>
            <w:r w:rsidRPr="008A36EB">
              <w:t>7 514</w:t>
            </w:r>
          </w:p>
        </w:tc>
        <w:tc>
          <w:tcPr>
            <w:tcW w:w="1316" w:type="dxa"/>
            <w:noWrap/>
          </w:tcPr>
          <w:p w:rsidR="00162CD2" w:rsidRPr="008A36EB" w:rsidRDefault="00162CD2" w:rsidP="00E37DDB">
            <w:pPr>
              <w:spacing w:after="0" w:line="240" w:lineRule="auto"/>
              <w:ind w:firstLine="0"/>
            </w:pPr>
            <w:r w:rsidRPr="008A36EB">
              <w:t>489</w:t>
            </w:r>
          </w:p>
        </w:tc>
        <w:tc>
          <w:tcPr>
            <w:tcW w:w="1317" w:type="dxa"/>
            <w:noWrap/>
          </w:tcPr>
          <w:p w:rsidR="00162CD2" w:rsidRPr="008A36EB" w:rsidRDefault="00162CD2" w:rsidP="00E37DDB">
            <w:pPr>
              <w:spacing w:after="0" w:line="240" w:lineRule="auto"/>
              <w:ind w:firstLine="0"/>
            </w:pPr>
            <w:r w:rsidRPr="008A36EB">
              <w:t>7</w:t>
            </w: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r w:rsidRPr="008A36EB">
              <w:t>63</w:t>
            </w:r>
          </w:p>
        </w:tc>
        <w:tc>
          <w:tcPr>
            <w:tcW w:w="1317" w:type="dxa"/>
            <w:gridSpan w:val="2"/>
          </w:tcPr>
          <w:p w:rsidR="00162CD2" w:rsidRPr="008A36EB" w:rsidRDefault="00162CD2" w:rsidP="00E37DDB">
            <w:pPr>
              <w:spacing w:after="0" w:line="240" w:lineRule="auto"/>
              <w:ind w:firstLine="0"/>
            </w:pPr>
            <w:r w:rsidRPr="008A36EB">
              <w:t>1</w:t>
            </w:r>
          </w:p>
        </w:tc>
      </w:tr>
      <w:tr w:rsidR="00162CD2" w:rsidRPr="008A36EB" w:rsidTr="00F83148">
        <w:trPr>
          <w:trHeight w:val="255"/>
        </w:trPr>
        <w:tc>
          <w:tcPr>
            <w:tcW w:w="1565" w:type="dxa"/>
            <w:noWrap/>
          </w:tcPr>
          <w:p w:rsidR="00162CD2" w:rsidRPr="008A36EB" w:rsidRDefault="00162CD2" w:rsidP="00E37DDB">
            <w:pPr>
              <w:spacing w:after="0" w:line="240" w:lineRule="auto"/>
              <w:ind w:firstLine="0"/>
            </w:pPr>
            <w:proofErr w:type="spellStart"/>
            <w:r w:rsidRPr="008A36EB">
              <w:t>RoW</w:t>
            </w:r>
            <w:proofErr w:type="spellEnd"/>
            <w:r w:rsidRPr="008A36EB">
              <w:t xml:space="preserve"> poultry</w:t>
            </w:r>
          </w:p>
        </w:tc>
        <w:tc>
          <w:tcPr>
            <w:tcW w:w="992" w:type="dxa"/>
            <w:noWrap/>
          </w:tcPr>
          <w:p w:rsidR="00162CD2" w:rsidRPr="008A36EB" w:rsidRDefault="00162CD2" w:rsidP="00E37DDB">
            <w:pPr>
              <w:spacing w:after="0" w:line="240" w:lineRule="auto"/>
              <w:ind w:firstLine="0"/>
            </w:pPr>
            <w:r w:rsidRPr="008A36EB">
              <w:t>397</w:t>
            </w:r>
          </w:p>
        </w:tc>
        <w:tc>
          <w:tcPr>
            <w:tcW w:w="1316" w:type="dxa"/>
            <w:noWrap/>
          </w:tcPr>
          <w:p w:rsidR="00162CD2" w:rsidRPr="008A36EB" w:rsidRDefault="00162CD2" w:rsidP="00E37DDB">
            <w:pPr>
              <w:spacing w:after="0" w:line="240" w:lineRule="auto"/>
              <w:ind w:firstLine="0"/>
            </w:pPr>
            <w:r w:rsidRPr="008A36EB">
              <w:t>-397</w:t>
            </w:r>
          </w:p>
        </w:tc>
        <w:tc>
          <w:tcPr>
            <w:tcW w:w="1317" w:type="dxa"/>
            <w:noWrap/>
          </w:tcPr>
          <w:p w:rsidR="00162CD2" w:rsidRPr="008A36EB" w:rsidRDefault="00162CD2" w:rsidP="00E37DDB">
            <w:pPr>
              <w:spacing w:after="0" w:line="240" w:lineRule="auto"/>
              <w:ind w:firstLine="0"/>
            </w:pPr>
            <w:r w:rsidRPr="008A36EB">
              <w:t>-100</w:t>
            </w: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r w:rsidRPr="008A36EB">
              <w:t>-171</w:t>
            </w:r>
          </w:p>
        </w:tc>
        <w:tc>
          <w:tcPr>
            <w:tcW w:w="1317" w:type="dxa"/>
            <w:gridSpan w:val="2"/>
          </w:tcPr>
          <w:p w:rsidR="00162CD2" w:rsidRPr="008A36EB" w:rsidRDefault="00162CD2" w:rsidP="00E37DDB">
            <w:pPr>
              <w:spacing w:after="0" w:line="240" w:lineRule="auto"/>
              <w:ind w:firstLine="0"/>
            </w:pPr>
            <w:r w:rsidRPr="008A36EB">
              <w:t>-43</w:t>
            </w:r>
          </w:p>
        </w:tc>
      </w:tr>
      <w:tr w:rsidR="00162CD2" w:rsidRPr="008A36EB" w:rsidTr="00F83148">
        <w:trPr>
          <w:trHeight w:val="255"/>
        </w:trPr>
        <w:tc>
          <w:tcPr>
            <w:tcW w:w="1565" w:type="dxa"/>
            <w:noWrap/>
          </w:tcPr>
          <w:p w:rsidR="00162CD2" w:rsidRPr="008A36EB" w:rsidRDefault="00162CD2" w:rsidP="00E37DDB">
            <w:pPr>
              <w:spacing w:after="0" w:line="240" w:lineRule="auto"/>
              <w:ind w:firstLine="0"/>
            </w:pPr>
            <w:r w:rsidRPr="008A36EB">
              <w:t>Total</w:t>
            </w:r>
          </w:p>
        </w:tc>
        <w:tc>
          <w:tcPr>
            <w:tcW w:w="992" w:type="dxa"/>
            <w:noWrap/>
          </w:tcPr>
          <w:p w:rsidR="00162CD2" w:rsidRPr="008A36EB" w:rsidRDefault="00162CD2" w:rsidP="00E37DDB">
            <w:pPr>
              <w:spacing w:after="0" w:line="240" w:lineRule="auto"/>
              <w:ind w:firstLine="0"/>
            </w:pPr>
            <w:r w:rsidRPr="008A36EB">
              <w:t>10 452</w:t>
            </w:r>
          </w:p>
        </w:tc>
        <w:tc>
          <w:tcPr>
            <w:tcW w:w="1316" w:type="dxa"/>
            <w:noWrap/>
          </w:tcPr>
          <w:p w:rsidR="00162CD2" w:rsidRPr="008A36EB" w:rsidRDefault="00162CD2" w:rsidP="00E37DDB">
            <w:pPr>
              <w:spacing w:after="0" w:line="240" w:lineRule="auto"/>
              <w:ind w:firstLine="0"/>
            </w:pPr>
            <w:r w:rsidRPr="008A36EB">
              <w:t>260</w:t>
            </w:r>
          </w:p>
        </w:tc>
        <w:tc>
          <w:tcPr>
            <w:tcW w:w="1317" w:type="dxa"/>
            <w:noWrap/>
          </w:tcPr>
          <w:p w:rsidR="00162CD2" w:rsidRPr="008A36EB" w:rsidRDefault="00162CD2" w:rsidP="00E37DDB">
            <w:pPr>
              <w:spacing w:after="0" w:line="240" w:lineRule="auto"/>
              <w:ind w:firstLine="0"/>
            </w:pPr>
            <w:r w:rsidRPr="008A36EB">
              <w:t>2</w:t>
            </w: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r w:rsidRPr="008A36EB">
              <w:t>-87</w:t>
            </w:r>
          </w:p>
        </w:tc>
        <w:tc>
          <w:tcPr>
            <w:tcW w:w="1317" w:type="dxa"/>
            <w:gridSpan w:val="2"/>
          </w:tcPr>
          <w:p w:rsidR="00162CD2" w:rsidRPr="008A36EB" w:rsidRDefault="00162CD2" w:rsidP="00E37DDB">
            <w:pPr>
              <w:spacing w:after="0" w:line="240" w:lineRule="auto"/>
              <w:ind w:firstLine="0"/>
            </w:pPr>
            <w:r w:rsidRPr="008A36EB">
              <w:t>-1</w:t>
            </w:r>
          </w:p>
        </w:tc>
      </w:tr>
      <w:tr w:rsidR="00162CD2" w:rsidRPr="008A36EB" w:rsidTr="00F83148">
        <w:trPr>
          <w:trHeight w:val="255"/>
        </w:trPr>
        <w:tc>
          <w:tcPr>
            <w:tcW w:w="1565" w:type="dxa"/>
            <w:noWrap/>
          </w:tcPr>
          <w:p w:rsidR="00162CD2" w:rsidRPr="008A36EB" w:rsidRDefault="00162CD2" w:rsidP="00E37DDB">
            <w:pPr>
              <w:spacing w:after="0" w:line="240" w:lineRule="auto"/>
              <w:ind w:firstLine="0"/>
            </w:pPr>
          </w:p>
        </w:tc>
        <w:tc>
          <w:tcPr>
            <w:tcW w:w="992" w:type="dxa"/>
            <w:noWrap/>
          </w:tcPr>
          <w:p w:rsidR="00162CD2" w:rsidRPr="008A36EB" w:rsidRDefault="00162CD2" w:rsidP="00E37DDB">
            <w:pPr>
              <w:spacing w:after="0" w:line="240" w:lineRule="auto"/>
              <w:ind w:firstLine="0"/>
            </w:pPr>
          </w:p>
        </w:tc>
        <w:tc>
          <w:tcPr>
            <w:tcW w:w="1316" w:type="dxa"/>
            <w:noWrap/>
          </w:tcPr>
          <w:p w:rsidR="00162CD2" w:rsidRPr="008A36EB" w:rsidRDefault="00162CD2" w:rsidP="00E37DDB">
            <w:pPr>
              <w:spacing w:after="0" w:line="240" w:lineRule="auto"/>
              <w:ind w:firstLine="0"/>
            </w:pPr>
          </w:p>
        </w:tc>
        <w:tc>
          <w:tcPr>
            <w:tcW w:w="1317" w:type="dxa"/>
            <w:noWrap/>
          </w:tcPr>
          <w:p w:rsidR="00162CD2" w:rsidRPr="008A36EB" w:rsidRDefault="00162CD2" w:rsidP="00E37DDB">
            <w:pPr>
              <w:spacing w:after="0" w:line="240" w:lineRule="auto"/>
              <w:ind w:firstLine="0"/>
            </w:pP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p>
        </w:tc>
        <w:tc>
          <w:tcPr>
            <w:tcW w:w="1317" w:type="dxa"/>
            <w:gridSpan w:val="2"/>
          </w:tcPr>
          <w:p w:rsidR="00162CD2" w:rsidRPr="008A36EB" w:rsidRDefault="00162CD2" w:rsidP="00E37DDB">
            <w:pPr>
              <w:spacing w:after="0" w:line="240" w:lineRule="auto"/>
              <w:ind w:firstLine="0"/>
            </w:pPr>
          </w:p>
        </w:tc>
      </w:tr>
      <w:tr w:rsidR="00162CD2" w:rsidRPr="008A36EB" w:rsidTr="00F83148">
        <w:trPr>
          <w:trHeight w:val="255"/>
        </w:trPr>
        <w:tc>
          <w:tcPr>
            <w:tcW w:w="1565" w:type="dxa"/>
            <w:noWrap/>
          </w:tcPr>
          <w:p w:rsidR="00162CD2" w:rsidRPr="008A36EB" w:rsidRDefault="00162CD2" w:rsidP="00E37DDB">
            <w:pPr>
              <w:spacing w:after="0" w:line="240" w:lineRule="auto"/>
              <w:ind w:firstLine="0"/>
            </w:pPr>
            <w:r w:rsidRPr="008A36EB">
              <w:t>EU</w:t>
            </w:r>
            <w:r>
              <w:t>-</w:t>
            </w:r>
            <w:r w:rsidRPr="008A36EB">
              <w:t>25 meats</w:t>
            </w:r>
          </w:p>
        </w:tc>
        <w:tc>
          <w:tcPr>
            <w:tcW w:w="992" w:type="dxa"/>
            <w:noWrap/>
          </w:tcPr>
          <w:p w:rsidR="00162CD2" w:rsidRPr="008A36EB" w:rsidRDefault="00162CD2" w:rsidP="00E37DDB">
            <w:pPr>
              <w:spacing w:after="0" w:line="240" w:lineRule="auto"/>
              <w:ind w:firstLine="0"/>
            </w:pPr>
            <w:r w:rsidRPr="008A36EB">
              <w:t>7 561</w:t>
            </w:r>
          </w:p>
        </w:tc>
        <w:tc>
          <w:tcPr>
            <w:tcW w:w="1316" w:type="dxa"/>
            <w:noWrap/>
          </w:tcPr>
          <w:p w:rsidR="00162CD2" w:rsidRPr="008A36EB" w:rsidRDefault="00162CD2" w:rsidP="00E37DDB">
            <w:pPr>
              <w:spacing w:after="0" w:line="240" w:lineRule="auto"/>
              <w:ind w:firstLine="0"/>
            </w:pPr>
            <w:r w:rsidRPr="008A36EB">
              <w:t>9 599</w:t>
            </w:r>
          </w:p>
        </w:tc>
        <w:tc>
          <w:tcPr>
            <w:tcW w:w="1317" w:type="dxa"/>
            <w:noWrap/>
          </w:tcPr>
          <w:p w:rsidR="00162CD2" w:rsidRPr="008A36EB" w:rsidRDefault="00162CD2" w:rsidP="00E37DDB">
            <w:pPr>
              <w:spacing w:after="0" w:line="240" w:lineRule="auto"/>
              <w:ind w:firstLine="0"/>
            </w:pPr>
            <w:r w:rsidRPr="008A36EB">
              <w:t>127</w:t>
            </w: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r w:rsidRPr="008A36EB">
              <w:t>-3 521</w:t>
            </w:r>
          </w:p>
        </w:tc>
        <w:tc>
          <w:tcPr>
            <w:tcW w:w="1317" w:type="dxa"/>
            <w:gridSpan w:val="2"/>
          </w:tcPr>
          <w:p w:rsidR="00162CD2" w:rsidRPr="008A36EB" w:rsidRDefault="00162CD2" w:rsidP="00E37DDB">
            <w:pPr>
              <w:spacing w:after="0" w:line="240" w:lineRule="auto"/>
              <w:ind w:firstLine="0"/>
            </w:pPr>
            <w:r w:rsidRPr="008A36EB">
              <w:t>-47</w:t>
            </w:r>
          </w:p>
        </w:tc>
      </w:tr>
      <w:tr w:rsidR="00162CD2" w:rsidRPr="008A36EB" w:rsidTr="00F83148">
        <w:trPr>
          <w:trHeight w:val="255"/>
        </w:trPr>
        <w:tc>
          <w:tcPr>
            <w:tcW w:w="1565" w:type="dxa"/>
            <w:noWrap/>
          </w:tcPr>
          <w:p w:rsidR="00162CD2" w:rsidRPr="008A36EB" w:rsidRDefault="00162CD2" w:rsidP="00E37DDB">
            <w:pPr>
              <w:spacing w:after="0" w:line="240" w:lineRule="auto"/>
              <w:ind w:firstLine="0"/>
            </w:pPr>
            <w:r w:rsidRPr="008A36EB">
              <w:t>CEFTA meats</w:t>
            </w:r>
          </w:p>
        </w:tc>
        <w:tc>
          <w:tcPr>
            <w:tcW w:w="992" w:type="dxa"/>
            <w:noWrap/>
          </w:tcPr>
          <w:p w:rsidR="00162CD2" w:rsidRPr="008A36EB" w:rsidRDefault="00162CD2" w:rsidP="00E37DDB">
            <w:pPr>
              <w:spacing w:after="0" w:line="240" w:lineRule="auto"/>
              <w:ind w:firstLine="0"/>
            </w:pPr>
            <w:r w:rsidRPr="008A36EB">
              <w:t>18 108</w:t>
            </w:r>
          </w:p>
        </w:tc>
        <w:tc>
          <w:tcPr>
            <w:tcW w:w="1316" w:type="dxa"/>
            <w:noWrap/>
          </w:tcPr>
          <w:p w:rsidR="00162CD2" w:rsidRPr="008A36EB" w:rsidRDefault="00162CD2" w:rsidP="00E37DDB">
            <w:pPr>
              <w:spacing w:after="0" w:line="240" w:lineRule="auto"/>
              <w:ind w:firstLine="0"/>
            </w:pPr>
            <w:r w:rsidRPr="008A36EB">
              <w:t>-11 172</w:t>
            </w:r>
          </w:p>
        </w:tc>
        <w:tc>
          <w:tcPr>
            <w:tcW w:w="1317" w:type="dxa"/>
            <w:noWrap/>
          </w:tcPr>
          <w:p w:rsidR="00162CD2" w:rsidRPr="008A36EB" w:rsidRDefault="00162CD2" w:rsidP="00E37DDB">
            <w:pPr>
              <w:spacing w:after="0" w:line="240" w:lineRule="auto"/>
              <w:ind w:firstLine="0"/>
            </w:pPr>
            <w:r w:rsidRPr="008A36EB">
              <w:t>-62</w:t>
            </w: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r w:rsidRPr="008A36EB">
              <w:t>-7 772</w:t>
            </w:r>
          </w:p>
        </w:tc>
        <w:tc>
          <w:tcPr>
            <w:tcW w:w="1317" w:type="dxa"/>
            <w:gridSpan w:val="2"/>
          </w:tcPr>
          <w:p w:rsidR="00162CD2" w:rsidRPr="008A36EB" w:rsidRDefault="00162CD2" w:rsidP="00E37DDB">
            <w:pPr>
              <w:spacing w:after="0" w:line="240" w:lineRule="auto"/>
              <w:ind w:firstLine="0"/>
            </w:pPr>
            <w:r w:rsidRPr="008A36EB">
              <w:t>-43</w:t>
            </w:r>
          </w:p>
        </w:tc>
      </w:tr>
      <w:tr w:rsidR="00162CD2" w:rsidRPr="008A36EB" w:rsidTr="00F83148">
        <w:trPr>
          <w:trHeight w:val="255"/>
        </w:trPr>
        <w:tc>
          <w:tcPr>
            <w:tcW w:w="1565" w:type="dxa"/>
            <w:noWrap/>
          </w:tcPr>
          <w:p w:rsidR="00162CD2" w:rsidRPr="008A36EB" w:rsidRDefault="00162CD2" w:rsidP="00E37DDB">
            <w:pPr>
              <w:spacing w:after="0" w:line="240" w:lineRule="auto"/>
              <w:ind w:firstLine="0"/>
            </w:pPr>
            <w:proofErr w:type="spellStart"/>
            <w:r w:rsidRPr="008A36EB">
              <w:t>RoW</w:t>
            </w:r>
            <w:proofErr w:type="spellEnd"/>
            <w:r w:rsidRPr="008A36EB">
              <w:t xml:space="preserve"> meats</w:t>
            </w:r>
          </w:p>
        </w:tc>
        <w:tc>
          <w:tcPr>
            <w:tcW w:w="992" w:type="dxa"/>
            <w:noWrap/>
          </w:tcPr>
          <w:p w:rsidR="00162CD2" w:rsidRPr="008A36EB" w:rsidRDefault="00162CD2" w:rsidP="00E37DDB">
            <w:pPr>
              <w:spacing w:after="0" w:line="240" w:lineRule="auto"/>
              <w:ind w:firstLine="0"/>
            </w:pPr>
            <w:r w:rsidRPr="008A36EB">
              <w:t>13 686</w:t>
            </w:r>
          </w:p>
        </w:tc>
        <w:tc>
          <w:tcPr>
            <w:tcW w:w="1316" w:type="dxa"/>
            <w:noWrap/>
          </w:tcPr>
          <w:p w:rsidR="00162CD2" w:rsidRPr="008A36EB" w:rsidRDefault="00162CD2" w:rsidP="00E37DDB">
            <w:pPr>
              <w:spacing w:after="0" w:line="240" w:lineRule="auto"/>
              <w:ind w:firstLine="0"/>
            </w:pPr>
            <w:r w:rsidRPr="008A36EB">
              <w:t>11 421</w:t>
            </w:r>
          </w:p>
        </w:tc>
        <w:tc>
          <w:tcPr>
            <w:tcW w:w="1317" w:type="dxa"/>
            <w:noWrap/>
          </w:tcPr>
          <w:p w:rsidR="00162CD2" w:rsidRPr="008A36EB" w:rsidRDefault="00162CD2" w:rsidP="00E37DDB">
            <w:pPr>
              <w:spacing w:after="0" w:line="240" w:lineRule="auto"/>
              <w:ind w:firstLine="0"/>
            </w:pPr>
            <w:r w:rsidRPr="008A36EB">
              <w:t>83</w:t>
            </w: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r w:rsidRPr="008A36EB">
              <w:t>18 102</w:t>
            </w:r>
          </w:p>
        </w:tc>
        <w:tc>
          <w:tcPr>
            <w:tcW w:w="1317" w:type="dxa"/>
            <w:gridSpan w:val="2"/>
          </w:tcPr>
          <w:p w:rsidR="00162CD2" w:rsidRPr="008A36EB" w:rsidRDefault="00162CD2" w:rsidP="00E37DDB">
            <w:pPr>
              <w:spacing w:after="0" w:line="240" w:lineRule="auto"/>
              <w:ind w:firstLine="0"/>
            </w:pPr>
            <w:r w:rsidRPr="008A36EB">
              <w:t>132</w:t>
            </w:r>
          </w:p>
        </w:tc>
      </w:tr>
      <w:tr w:rsidR="00162CD2" w:rsidRPr="008A36EB" w:rsidTr="00F83148">
        <w:trPr>
          <w:trHeight w:val="255"/>
        </w:trPr>
        <w:tc>
          <w:tcPr>
            <w:tcW w:w="1565" w:type="dxa"/>
            <w:noWrap/>
          </w:tcPr>
          <w:p w:rsidR="00162CD2" w:rsidRPr="008A36EB" w:rsidRDefault="00162CD2" w:rsidP="00E37DDB">
            <w:pPr>
              <w:spacing w:after="0" w:line="240" w:lineRule="auto"/>
              <w:ind w:firstLine="0"/>
            </w:pPr>
            <w:r w:rsidRPr="008A36EB">
              <w:t>Total</w:t>
            </w:r>
          </w:p>
        </w:tc>
        <w:tc>
          <w:tcPr>
            <w:tcW w:w="992" w:type="dxa"/>
            <w:noWrap/>
          </w:tcPr>
          <w:p w:rsidR="00162CD2" w:rsidRPr="008A36EB" w:rsidRDefault="00162CD2" w:rsidP="00E37DDB">
            <w:pPr>
              <w:spacing w:after="0" w:line="240" w:lineRule="auto"/>
              <w:ind w:firstLine="0"/>
            </w:pPr>
            <w:r w:rsidRPr="008A36EB">
              <w:t>39 356</w:t>
            </w:r>
          </w:p>
        </w:tc>
        <w:tc>
          <w:tcPr>
            <w:tcW w:w="1316" w:type="dxa"/>
            <w:noWrap/>
          </w:tcPr>
          <w:p w:rsidR="00162CD2" w:rsidRPr="008A36EB" w:rsidRDefault="00162CD2" w:rsidP="00E37DDB">
            <w:pPr>
              <w:spacing w:after="0" w:line="240" w:lineRule="auto"/>
              <w:ind w:firstLine="0"/>
            </w:pPr>
            <w:r w:rsidRPr="008A36EB">
              <w:t>9 849</w:t>
            </w:r>
          </w:p>
        </w:tc>
        <w:tc>
          <w:tcPr>
            <w:tcW w:w="1317" w:type="dxa"/>
            <w:noWrap/>
          </w:tcPr>
          <w:p w:rsidR="00162CD2" w:rsidRPr="008A36EB" w:rsidRDefault="00162CD2" w:rsidP="00E37DDB">
            <w:pPr>
              <w:spacing w:after="0" w:line="240" w:lineRule="auto"/>
              <w:ind w:firstLine="0"/>
            </w:pPr>
            <w:r w:rsidRPr="008A36EB">
              <w:t>25</w:t>
            </w: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r w:rsidRPr="008A36EB">
              <w:t>6 809</w:t>
            </w:r>
          </w:p>
        </w:tc>
        <w:tc>
          <w:tcPr>
            <w:tcW w:w="1317" w:type="dxa"/>
            <w:gridSpan w:val="2"/>
          </w:tcPr>
          <w:p w:rsidR="00162CD2" w:rsidRPr="008A36EB" w:rsidRDefault="00162CD2" w:rsidP="00E37DDB">
            <w:pPr>
              <w:spacing w:after="0" w:line="240" w:lineRule="auto"/>
              <w:ind w:firstLine="0"/>
            </w:pPr>
            <w:r w:rsidRPr="008A36EB">
              <w:t>17</w:t>
            </w:r>
          </w:p>
        </w:tc>
      </w:tr>
      <w:tr w:rsidR="00162CD2" w:rsidRPr="008A36EB" w:rsidTr="00F83148">
        <w:trPr>
          <w:trHeight w:val="255"/>
        </w:trPr>
        <w:tc>
          <w:tcPr>
            <w:tcW w:w="1565" w:type="dxa"/>
            <w:noWrap/>
          </w:tcPr>
          <w:p w:rsidR="00162CD2" w:rsidRPr="008A36EB" w:rsidRDefault="00162CD2" w:rsidP="00E37DDB">
            <w:pPr>
              <w:spacing w:after="0" w:line="240" w:lineRule="auto"/>
              <w:ind w:firstLine="0"/>
            </w:pPr>
          </w:p>
        </w:tc>
        <w:tc>
          <w:tcPr>
            <w:tcW w:w="992" w:type="dxa"/>
            <w:noWrap/>
          </w:tcPr>
          <w:p w:rsidR="00162CD2" w:rsidRPr="008A36EB" w:rsidRDefault="00162CD2" w:rsidP="00E37DDB">
            <w:pPr>
              <w:spacing w:after="0" w:line="240" w:lineRule="auto"/>
              <w:ind w:firstLine="0"/>
            </w:pPr>
          </w:p>
        </w:tc>
        <w:tc>
          <w:tcPr>
            <w:tcW w:w="1316" w:type="dxa"/>
            <w:noWrap/>
          </w:tcPr>
          <w:p w:rsidR="00162CD2" w:rsidRPr="008A36EB" w:rsidRDefault="00162CD2" w:rsidP="00E37DDB">
            <w:pPr>
              <w:spacing w:after="0" w:line="240" w:lineRule="auto"/>
              <w:ind w:firstLine="0"/>
            </w:pPr>
          </w:p>
        </w:tc>
        <w:tc>
          <w:tcPr>
            <w:tcW w:w="1317" w:type="dxa"/>
            <w:noWrap/>
          </w:tcPr>
          <w:p w:rsidR="00162CD2" w:rsidRPr="008A36EB" w:rsidRDefault="00162CD2" w:rsidP="00E37DDB">
            <w:pPr>
              <w:spacing w:after="0" w:line="240" w:lineRule="auto"/>
              <w:ind w:firstLine="0"/>
            </w:pP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p>
        </w:tc>
        <w:tc>
          <w:tcPr>
            <w:tcW w:w="1317" w:type="dxa"/>
            <w:gridSpan w:val="2"/>
          </w:tcPr>
          <w:p w:rsidR="00162CD2" w:rsidRPr="008A36EB" w:rsidRDefault="00162CD2" w:rsidP="00E37DDB">
            <w:pPr>
              <w:spacing w:after="0" w:line="240" w:lineRule="auto"/>
              <w:ind w:firstLine="0"/>
            </w:pPr>
          </w:p>
        </w:tc>
      </w:tr>
      <w:tr w:rsidR="00162CD2" w:rsidRPr="008A36EB" w:rsidTr="00F83148">
        <w:trPr>
          <w:trHeight w:val="255"/>
        </w:trPr>
        <w:tc>
          <w:tcPr>
            <w:tcW w:w="1565" w:type="dxa"/>
            <w:noWrap/>
          </w:tcPr>
          <w:p w:rsidR="00162CD2" w:rsidRPr="008A36EB" w:rsidRDefault="00162CD2" w:rsidP="00E37DDB">
            <w:pPr>
              <w:spacing w:after="0" w:line="240" w:lineRule="auto"/>
              <w:ind w:firstLine="0"/>
            </w:pPr>
            <w:r w:rsidRPr="008A36EB">
              <w:t>EU</w:t>
            </w:r>
            <w:r>
              <w:t>-</w:t>
            </w:r>
            <w:r w:rsidRPr="008A36EB">
              <w:t>25 dairy</w:t>
            </w:r>
          </w:p>
        </w:tc>
        <w:tc>
          <w:tcPr>
            <w:tcW w:w="992" w:type="dxa"/>
            <w:noWrap/>
          </w:tcPr>
          <w:p w:rsidR="00162CD2" w:rsidRPr="008A36EB" w:rsidRDefault="00162CD2" w:rsidP="00E37DDB">
            <w:pPr>
              <w:spacing w:after="0" w:line="240" w:lineRule="auto"/>
              <w:ind w:firstLine="0"/>
            </w:pPr>
            <w:r w:rsidRPr="008A36EB">
              <w:t>32 380</w:t>
            </w:r>
          </w:p>
        </w:tc>
        <w:tc>
          <w:tcPr>
            <w:tcW w:w="1316" w:type="dxa"/>
            <w:noWrap/>
          </w:tcPr>
          <w:p w:rsidR="00162CD2" w:rsidRPr="008A36EB" w:rsidRDefault="00162CD2" w:rsidP="00E37DDB">
            <w:pPr>
              <w:spacing w:after="0" w:line="240" w:lineRule="auto"/>
              <w:ind w:firstLine="0"/>
            </w:pPr>
            <w:r w:rsidRPr="008A36EB">
              <w:t>17 367</w:t>
            </w:r>
          </w:p>
        </w:tc>
        <w:tc>
          <w:tcPr>
            <w:tcW w:w="1317" w:type="dxa"/>
            <w:noWrap/>
          </w:tcPr>
          <w:p w:rsidR="00162CD2" w:rsidRPr="008A36EB" w:rsidRDefault="00162CD2" w:rsidP="00E37DDB">
            <w:pPr>
              <w:spacing w:after="0" w:line="240" w:lineRule="auto"/>
              <w:ind w:firstLine="0"/>
            </w:pPr>
            <w:r w:rsidRPr="008A36EB">
              <w:t>54</w:t>
            </w: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r w:rsidRPr="008A36EB">
              <w:t>-845</w:t>
            </w:r>
          </w:p>
        </w:tc>
        <w:tc>
          <w:tcPr>
            <w:tcW w:w="1317" w:type="dxa"/>
            <w:gridSpan w:val="2"/>
          </w:tcPr>
          <w:p w:rsidR="00162CD2" w:rsidRPr="008A36EB" w:rsidRDefault="00162CD2" w:rsidP="00E37DDB">
            <w:pPr>
              <w:spacing w:after="0" w:line="240" w:lineRule="auto"/>
              <w:ind w:firstLine="0"/>
            </w:pPr>
            <w:r w:rsidRPr="008A36EB">
              <w:t>-3</w:t>
            </w:r>
          </w:p>
        </w:tc>
      </w:tr>
      <w:tr w:rsidR="00162CD2" w:rsidRPr="008A36EB" w:rsidTr="00F83148">
        <w:trPr>
          <w:trHeight w:val="255"/>
        </w:trPr>
        <w:tc>
          <w:tcPr>
            <w:tcW w:w="1565" w:type="dxa"/>
            <w:noWrap/>
          </w:tcPr>
          <w:p w:rsidR="00162CD2" w:rsidRPr="008A36EB" w:rsidRDefault="00162CD2" w:rsidP="00E37DDB">
            <w:pPr>
              <w:spacing w:after="0" w:line="240" w:lineRule="auto"/>
              <w:ind w:firstLine="0"/>
            </w:pPr>
            <w:r w:rsidRPr="008A36EB">
              <w:t>CEFTA dairy</w:t>
            </w:r>
          </w:p>
        </w:tc>
        <w:tc>
          <w:tcPr>
            <w:tcW w:w="992" w:type="dxa"/>
            <w:noWrap/>
          </w:tcPr>
          <w:p w:rsidR="00162CD2" w:rsidRPr="008A36EB" w:rsidRDefault="00162CD2" w:rsidP="00E37DDB">
            <w:pPr>
              <w:spacing w:after="0" w:line="240" w:lineRule="auto"/>
              <w:ind w:firstLine="0"/>
            </w:pPr>
            <w:r w:rsidRPr="008A36EB">
              <w:t>22 704</w:t>
            </w:r>
          </w:p>
        </w:tc>
        <w:tc>
          <w:tcPr>
            <w:tcW w:w="1316" w:type="dxa"/>
            <w:noWrap/>
          </w:tcPr>
          <w:p w:rsidR="00162CD2" w:rsidRPr="008A36EB" w:rsidRDefault="00162CD2" w:rsidP="00E37DDB">
            <w:pPr>
              <w:spacing w:after="0" w:line="240" w:lineRule="auto"/>
              <w:ind w:firstLine="0"/>
            </w:pPr>
            <w:r w:rsidRPr="008A36EB">
              <w:t>-2 798</w:t>
            </w:r>
          </w:p>
        </w:tc>
        <w:tc>
          <w:tcPr>
            <w:tcW w:w="1317" w:type="dxa"/>
            <w:noWrap/>
          </w:tcPr>
          <w:p w:rsidR="00162CD2" w:rsidRPr="008A36EB" w:rsidRDefault="00162CD2" w:rsidP="00E37DDB">
            <w:pPr>
              <w:spacing w:after="0" w:line="240" w:lineRule="auto"/>
              <w:ind w:firstLine="0"/>
            </w:pPr>
            <w:r w:rsidRPr="008A36EB">
              <w:t>-12</w:t>
            </w: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r w:rsidRPr="008A36EB">
              <w:t>-577</w:t>
            </w:r>
          </w:p>
        </w:tc>
        <w:tc>
          <w:tcPr>
            <w:tcW w:w="1317" w:type="dxa"/>
            <w:gridSpan w:val="2"/>
          </w:tcPr>
          <w:p w:rsidR="00162CD2" w:rsidRPr="008A36EB" w:rsidRDefault="00162CD2" w:rsidP="00E37DDB">
            <w:pPr>
              <w:spacing w:after="0" w:line="240" w:lineRule="auto"/>
              <w:ind w:firstLine="0"/>
            </w:pPr>
            <w:r w:rsidRPr="008A36EB">
              <w:t>-3</w:t>
            </w:r>
          </w:p>
        </w:tc>
      </w:tr>
      <w:tr w:rsidR="00162CD2" w:rsidRPr="008A36EB" w:rsidTr="00F83148">
        <w:trPr>
          <w:trHeight w:val="255"/>
        </w:trPr>
        <w:tc>
          <w:tcPr>
            <w:tcW w:w="1565" w:type="dxa"/>
            <w:noWrap/>
          </w:tcPr>
          <w:p w:rsidR="00162CD2" w:rsidRPr="008A36EB" w:rsidRDefault="00162CD2" w:rsidP="00E37DDB">
            <w:pPr>
              <w:spacing w:after="0" w:line="240" w:lineRule="auto"/>
              <w:ind w:firstLine="0"/>
            </w:pPr>
            <w:proofErr w:type="spellStart"/>
            <w:r w:rsidRPr="008A36EB">
              <w:t>RoW</w:t>
            </w:r>
            <w:proofErr w:type="spellEnd"/>
            <w:r w:rsidRPr="008A36EB">
              <w:t xml:space="preserve"> dairy</w:t>
            </w:r>
          </w:p>
        </w:tc>
        <w:tc>
          <w:tcPr>
            <w:tcW w:w="992" w:type="dxa"/>
            <w:noWrap/>
          </w:tcPr>
          <w:p w:rsidR="00162CD2" w:rsidRPr="008A36EB" w:rsidRDefault="00162CD2" w:rsidP="00E37DDB">
            <w:pPr>
              <w:spacing w:after="0" w:line="240" w:lineRule="auto"/>
              <w:ind w:firstLine="0"/>
            </w:pPr>
            <w:r w:rsidRPr="008A36EB">
              <w:t>6 736</w:t>
            </w:r>
          </w:p>
        </w:tc>
        <w:tc>
          <w:tcPr>
            <w:tcW w:w="1316" w:type="dxa"/>
            <w:noWrap/>
          </w:tcPr>
          <w:p w:rsidR="00162CD2" w:rsidRPr="008A36EB" w:rsidRDefault="00162CD2" w:rsidP="00E37DDB">
            <w:pPr>
              <w:spacing w:after="0" w:line="240" w:lineRule="auto"/>
              <w:ind w:firstLine="0"/>
            </w:pPr>
            <w:r w:rsidRPr="008A36EB">
              <w:t>-6 729</w:t>
            </w:r>
          </w:p>
        </w:tc>
        <w:tc>
          <w:tcPr>
            <w:tcW w:w="1317" w:type="dxa"/>
            <w:noWrap/>
          </w:tcPr>
          <w:p w:rsidR="00162CD2" w:rsidRPr="008A36EB" w:rsidRDefault="00162CD2" w:rsidP="00E37DDB">
            <w:pPr>
              <w:spacing w:after="0" w:line="240" w:lineRule="auto"/>
              <w:ind w:firstLine="0"/>
            </w:pPr>
            <w:r w:rsidRPr="008A36EB">
              <w:t>-100</w:t>
            </w: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r w:rsidRPr="008A36EB">
              <w:t>2 059</w:t>
            </w:r>
          </w:p>
        </w:tc>
        <w:tc>
          <w:tcPr>
            <w:tcW w:w="1317" w:type="dxa"/>
            <w:gridSpan w:val="2"/>
          </w:tcPr>
          <w:p w:rsidR="00162CD2" w:rsidRPr="008A36EB" w:rsidRDefault="00162CD2" w:rsidP="00E37DDB">
            <w:pPr>
              <w:spacing w:after="0" w:line="240" w:lineRule="auto"/>
              <w:ind w:firstLine="0"/>
            </w:pPr>
            <w:r w:rsidRPr="008A36EB">
              <w:t>31</w:t>
            </w:r>
          </w:p>
        </w:tc>
      </w:tr>
      <w:tr w:rsidR="00162CD2" w:rsidRPr="008A36EB" w:rsidTr="00F83148">
        <w:trPr>
          <w:trHeight w:val="255"/>
        </w:trPr>
        <w:tc>
          <w:tcPr>
            <w:tcW w:w="1565" w:type="dxa"/>
            <w:noWrap/>
          </w:tcPr>
          <w:p w:rsidR="00162CD2" w:rsidRPr="008A36EB" w:rsidRDefault="00162CD2" w:rsidP="00E37DDB">
            <w:pPr>
              <w:spacing w:after="0" w:line="240" w:lineRule="auto"/>
              <w:ind w:firstLine="0"/>
            </w:pPr>
            <w:r w:rsidRPr="008A36EB">
              <w:t>Total</w:t>
            </w:r>
          </w:p>
        </w:tc>
        <w:tc>
          <w:tcPr>
            <w:tcW w:w="992" w:type="dxa"/>
            <w:noWrap/>
          </w:tcPr>
          <w:p w:rsidR="00162CD2" w:rsidRPr="008A36EB" w:rsidRDefault="00162CD2" w:rsidP="00E37DDB">
            <w:pPr>
              <w:spacing w:after="0" w:line="240" w:lineRule="auto"/>
              <w:ind w:firstLine="0"/>
            </w:pPr>
            <w:r w:rsidRPr="008A36EB">
              <w:t>61 820</w:t>
            </w:r>
          </w:p>
        </w:tc>
        <w:tc>
          <w:tcPr>
            <w:tcW w:w="1316" w:type="dxa"/>
            <w:noWrap/>
          </w:tcPr>
          <w:p w:rsidR="00162CD2" w:rsidRPr="008A36EB" w:rsidRDefault="00162CD2" w:rsidP="00E37DDB">
            <w:pPr>
              <w:spacing w:after="0" w:line="240" w:lineRule="auto"/>
              <w:ind w:firstLine="0"/>
            </w:pPr>
            <w:r w:rsidRPr="008A36EB">
              <w:t>7 840</w:t>
            </w:r>
          </w:p>
        </w:tc>
        <w:tc>
          <w:tcPr>
            <w:tcW w:w="1317" w:type="dxa"/>
            <w:noWrap/>
          </w:tcPr>
          <w:p w:rsidR="00162CD2" w:rsidRPr="008A36EB" w:rsidRDefault="00162CD2" w:rsidP="00E37DDB">
            <w:pPr>
              <w:spacing w:after="0" w:line="240" w:lineRule="auto"/>
              <w:ind w:firstLine="0"/>
            </w:pPr>
            <w:r w:rsidRPr="008A36EB">
              <w:t>13</w:t>
            </w: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r w:rsidRPr="008A36EB">
              <w:t>636</w:t>
            </w:r>
          </w:p>
        </w:tc>
        <w:tc>
          <w:tcPr>
            <w:tcW w:w="1317" w:type="dxa"/>
            <w:gridSpan w:val="2"/>
          </w:tcPr>
          <w:p w:rsidR="00162CD2" w:rsidRPr="008A36EB" w:rsidRDefault="00162CD2" w:rsidP="00E37DDB">
            <w:pPr>
              <w:spacing w:after="0" w:line="240" w:lineRule="auto"/>
              <w:ind w:firstLine="0"/>
            </w:pPr>
            <w:r w:rsidRPr="008A36EB">
              <w:t>1</w:t>
            </w:r>
          </w:p>
        </w:tc>
      </w:tr>
      <w:tr w:rsidR="00162CD2" w:rsidRPr="008A36EB" w:rsidTr="00F83148">
        <w:trPr>
          <w:trHeight w:val="255"/>
        </w:trPr>
        <w:tc>
          <w:tcPr>
            <w:tcW w:w="1565" w:type="dxa"/>
            <w:noWrap/>
          </w:tcPr>
          <w:p w:rsidR="00162CD2" w:rsidRPr="008A36EB" w:rsidRDefault="00162CD2" w:rsidP="00E37DDB">
            <w:pPr>
              <w:spacing w:after="0" w:line="240" w:lineRule="auto"/>
              <w:ind w:firstLine="0"/>
            </w:pPr>
          </w:p>
        </w:tc>
        <w:tc>
          <w:tcPr>
            <w:tcW w:w="992" w:type="dxa"/>
            <w:noWrap/>
          </w:tcPr>
          <w:p w:rsidR="00162CD2" w:rsidRPr="008A36EB" w:rsidRDefault="00162CD2" w:rsidP="00E37DDB">
            <w:pPr>
              <w:spacing w:after="0" w:line="240" w:lineRule="auto"/>
              <w:ind w:firstLine="0"/>
            </w:pPr>
          </w:p>
        </w:tc>
        <w:tc>
          <w:tcPr>
            <w:tcW w:w="1316" w:type="dxa"/>
            <w:noWrap/>
          </w:tcPr>
          <w:p w:rsidR="00162CD2" w:rsidRPr="008A36EB" w:rsidRDefault="00162CD2" w:rsidP="00E37DDB">
            <w:pPr>
              <w:spacing w:after="0" w:line="240" w:lineRule="auto"/>
              <w:ind w:firstLine="0"/>
            </w:pPr>
          </w:p>
        </w:tc>
        <w:tc>
          <w:tcPr>
            <w:tcW w:w="1317" w:type="dxa"/>
            <w:noWrap/>
          </w:tcPr>
          <w:p w:rsidR="00162CD2" w:rsidRPr="008A36EB" w:rsidRDefault="00162CD2" w:rsidP="00E37DDB">
            <w:pPr>
              <w:spacing w:after="0" w:line="240" w:lineRule="auto"/>
              <w:ind w:firstLine="0"/>
            </w:pP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p>
        </w:tc>
        <w:tc>
          <w:tcPr>
            <w:tcW w:w="1317" w:type="dxa"/>
            <w:gridSpan w:val="2"/>
          </w:tcPr>
          <w:p w:rsidR="00162CD2" w:rsidRPr="008A36EB" w:rsidRDefault="00162CD2" w:rsidP="00E37DDB">
            <w:pPr>
              <w:spacing w:after="0" w:line="240" w:lineRule="auto"/>
              <w:ind w:firstLine="0"/>
            </w:pPr>
          </w:p>
        </w:tc>
      </w:tr>
      <w:tr w:rsidR="00162CD2" w:rsidRPr="008A36EB" w:rsidTr="00F83148">
        <w:trPr>
          <w:trHeight w:val="255"/>
        </w:trPr>
        <w:tc>
          <w:tcPr>
            <w:tcW w:w="1565" w:type="dxa"/>
            <w:noWrap/>
          </w:tcPr>
          <w:p w:rsidR="00162CD2" w:rsidRPr="008A36EB" w:rsidRDefault="00162CD2" w:rsidP="00E37DDB">
            <w:pPr>
              <w:spacing w:after="0" w:line="240" w:lineRule="auto"/>
              <w:ind w:firstLine="0"/>
            </w:pPr>
            <w:r w:rsidRPr="008A36EB">
              <w:t>EU</w:t>
            </w:r>
            <w:r>
              <w:t>-</w:t>
            </w:r>
            <w:r w:rsidRPr="008A36EB">
              <w:t>25 cereals</w:t>
            </w:r>
          </w:p>
        </w:tc>
        <w:tc>
          <w:tcPr>
            <w:tcW w:w="992" w:type="dxa"/>
            <w:noWrap/>
          </w:tcPr>
          <w:p w:rsidR="00162CD2" w:rsidRPr="008A36EB" w:rsidRDefault="00162CD2" w:rsidP="00E37DDB">
            <w:pPr>
              <w:spacing w:after="0" w:line="240" w:lineRule="auto"/>
              <w:ind w:firstLine="0"/>
            </w:pPr>
            <w:r w:rsidRPr="008A36EB">
              <w:t>20 741</w:t>
            </w:r>
          </w:p>
        </w:tc>
        <w:tc>
          <w:tcPr>
            <w:tcW w:w="1316" w:type="dxa"/>
            <w:noWrap/>
          </w:tcPr>
          <w:p w:rsidR="00162CD2" w:rsidRPr="008A36EB" w:rsidRDefault="00162CD2" w:rsidP="00E37DDB">
            <w:pPr>
              <w:spacing w:after="0" w:line="240" w:lineRule="auto"/>
              <w:ind w:firstLine="0"/>
            </w:pPr>
            <w:r w:rsidRPr="008A36EB">
              <w:t>4 710</w:t>
            </w:r>
          </w:p>
        </w:tc>
        <w:tc>
          <w:tcPr>
            <w:tcW w:w="1317" w:type="dxa"/>
            <w:noWrap/>
          </w:tcPr>
          <w:p w:rsidR="00162CD2" w:rsidRPr="008A36EB" w:rsidRDefault="00162CD2" w:rsidP="00E37DDB">
            <w:pPr>
              <w:spacing w:after="0" w:line="240" w:lineRule="auto"/>
              <w:ind w:firstLine="0"/>
            </w:pPr>
            <w:r w:rsidRPr="008A36EB">
              <w:t>23</w:t>
            </w: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r w:rsidRPr="008A36EB">
              <w:t>-50</w:t>
            </w:r>
          </w:p>
        </w:tc>
        <w:tc>
          <w:tcPr>
            <w:tcW w:w="1317" w:type="dxa"/>
            <w:gridSpan w:val="2"/>
          </w:tcPr>
          <w:p w:rsidR="00162CD2" w:rsidRPr="008A36EB" w:rsidRDefault="00162CD2" w:rsidP="00E37DDB">
            <w:pPr>
              <w:spacing w:after="0" w:line="240" w:lineRule="auto"/>
              <w:ind w:firstLine="0"/>
            </w:pPr>
            <w:r w:rsidRPr="008A36EB">
              <w:t>0</w:t>
            </w:r>
          </w:p>
        </w:tc>
      </w:tr>
      <w:tr w:rsidR="00162CD2" w:rsidRPr="008A36EB" w:rsidTr="00F83148">
        <w:trPr>
          <w:trHeight w:val="255"/>
        </w:trPr>
        <w:tc>
          <w:tcPr>
            <w:tcW w:w="1565" w:type="dxa"/>
            <w:noWrap/>
          </w:tcPr>
          <w:p w:rsidR="00162CD2" w:rsidRPr="008A36EB" w:rsidRDefault="00162CD2" w:rsidP="00E37DDB">
            <w:pPr>
              <w:spacing w:after="0" w:line="240" w:lineRule="auto"/>
              <w:ind w:firstLine="0"/>
            </w:pPr>
            <w:r w:rsidRPr="008A36EB">
              <w:t>CEFTA cereals</w:t>
            </w:r>
          </w:p>
        </w:tc>
        <w:tc>
          <w:tcPr>
            <w:tcW w:w="992" w:type="dxa"/>
            <w:noWrap/>
          </w:tcPr>
          <w:p w:rsidR="00162CD2" w:rsidRPr="008A36EB" w:rsidRDefault="00162CD2" w:rsidP="00E37DDB">
            <w:pPr>
              <w:spacing w:after="0" w:line="240" w:lineRule="auto"/>
              <w:ind w:firstLine="0"/>
            </w:pPr>
            <w:r w:rsidRPr="008A36EB">
              <w:t>30 786</w:t>
            </w:r>
          </w:p>
        </w:tc>
        <w:tc>
          <w:tcPr>
            <w:tcW w:w="1316" w:type="dxa"/>
            <w:noWrap/>
          </w:tcPr>
          <w:p w:rsidR="00162CD2" w:rsidRPr="008A36EB" w:rsidRDefault="00162CD2" w:rsidP="00E37DDB">
            <w:pPr>
              <w:spacing w:after="0" w:line="240" w:lineRule="auto"/>
              <w:ind w:firstLine="0"/>
            </w:pPr>
            <w:r w:rsidRPr="008A36EB">
              <w:t>2 336</w:t>
            </w:r>
          </w:p>
        </w:tc>
        <w:tc>
          <w:tcPr>
            <w:tcW w:w="1317" w:type="dxa"/>
            <w:noWrap/>
          </w:tcPr>
          <w:p w:rsidR="00162CD2" w:rsidRPr="008A36EB" w:rsidRDefault="00162CD2" w:rsidP="00E37DDB">
            <w:pPr>
              <w:spacing w:after="0" w:line="240" w:lineRule="auto"/>
              <w:ind w:firstLine="0"/>
            </w:pPr>
            <w:r w:rsidRPr="008A36EB">
              <w:t>8</w:t>
            </w: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r w:rsidRPr="008A36EB">
              <w:t>-74</w:t>
            </w:r>
          </w:p>
        </w:tc>
        <w:tc>
          <w:tcPr>
            <w:tcW w:w="1317" w:type="dxa"/>
            <w:gridSpan w:val="2"/>
          </w:tcPr>
          <w:p w:rsidR="00162CD2" w:rsidRPr="008A36EB" w:rsidRDefault="00162CD2" w:rsidP="00E37DDB">
            <w:pPr>
              <w:spacing w:after="0" w:line="240" w:lineRule="auto"/>
              <w:ind w:firstLine="0"/>
            </w:pPr>
            <w:r w:rsidRPr="008A36EB">
              <w:t>0</w:t>
            </w:r>
          </w:p>
        </w:tc>
      </w:tr>
      <w:tr w:rsidR="00162CD2" w:rsidRPr="008A36EB" w:rsidTr="00F83148">
        <w:trPr>
          <w:trHeight w:val="255"/>
        </w:trPr>
        <w:tc>
          <w:tcPr>
            <w:tcW w:w="1565" w:type="dxa"/>
            <w:noWrap/>
          </w:tcPr>
          <w:p w:rsidR="00162CD2" w:rsidRPr="008A36EB" w:rsidRDefault="00162CD2" w:rsidP="00E37DDB">
            <w:pPr>
              <w:spacing w:after="0" w:line="240" w:lineRule="auto"/>
              <w:ind w:firstLine="0"/>
            </w:pPr>
            <w:proofErr w:type="spellStart"/>
            <w:r w:rsidRPr="008A36EB">
              <w:t>RoW</w:t>
            </w:r>
            <w:proofErr w:type="spellEnd"/>
            <w:r w:rsidRPr="008A36EB">
              <w:t xml:space="preserve"> cereals</w:t>
            </w:r>
          </w:p>
        </w:tc>
        <w:tc>
          <w:tcPr>
            <w:tcW w:w="992" w:type="dxa"/>
            <w:noWrap/>
          </w:tcPr>
          <w:p w:rsidR="00162CD2" w:rsidRPr="008A36EB" w:rsidRDefault="00162CD2" w:rsidP="00E37DDB">
            <w:pPr>
              <w:spacing w:after="0" w:line="240" w:lineRule="auto"/>
              <w:ind w:firstLine="0"/>
            </w:pPr>
            <w:r w:rsidRPr="008A36EB">
              <w:t>38 519</w:t>
            </w:r>
          </w:p>
        </w:tc>
        <w:tc>
          <w:tcPr>
            <w:tcW w:w="1316" w:type="dxa"/>
            <w:noWrap/>
          </w:tcPr>
          <w:p w:rsidR="00162CD2" w:rsidRPr="008A36EB" w:rsidRDefault="00162CD2" w:rsidP="00E37DDB">
            <w:pPr>
              <w:spacing w:after="0" w:line="240" w:lineRule="auto"/>
              <w:ind w:firstLine="0"/>
            </w:pPr>
            <w:r w:rsidRPr="008A36EB">
              <w:t>-1 0731</w:t>
            </w:r>
          </w:p>
        </w:tc>
        <w:tc>
          <w:tcPr>
            <w:tcW w:w="1317" w:type="dxa"/>
            <w:noWrap/>
          </w:tcPr>
          <w:p w:rsidR="00162CD2" w:rsidRPr="008A36EB" w:rsidRDefault="00162CD2" w:rsidP="00E37DDB">
            <w:pPr>
              <w:spacing w:after="0" w:line="240" w:lineRule="auto"/>
              <w:ind w:firstLine="0"/>
            </w:pPr>
            <w:r w:rsidRPr="008A36EB">
              <w:t>-28</w:t>
            </w: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r w:rsidRPr="008A36EB">
              <w:t>243</w:t>
            </w:r>
          </w:p>
        </w:tc>
        <w:tc>
          <w:tcPr>
            <w:tcW w:w="1317" w:type="dxa"/>
            <w:gridSpan w:val="2"/>
          </w:tcPr>
          <w:p w:rsidR="00162CD2" w:rsidRPr="008A36EB" w:rsidRDefault="00162CD2" w:rsidP="00E37DDB">
            <w:pPr>
              <w:spacing w:after="0" w:line="240" w:lineRule="auto"/>
              <w:ind w:firstLine="0"/>
            </w:pPr>
            <w:r w:rsidRPr="008A36EB">
              <w:t>1</w:t>
            </w:r>
          </w:p>
        </w:tc>
      </w:tr>
      <w:tr w:rsidR="00162CD2" w:rsidRPr="008A36EB" w:rsidTr="00F83148">
        <w:trPr>
          <w:trHeight w:val="255"/>
        </w:trPr>
        <w:tc>
          <w:tcPr>
            <w:tcW w:w="1565" w:type="dxa"/>
            <w:noWrap/>
          </w:tcPr>
          <w:p w:rsidR="00162CD2" w:rsidRPr="008A36EB" w:rsidRDefault="00162CD2" w:rsidP="00E37DDB">
            <w:pPr>
              <w:spacing w:after="0" w:line="240" w:lineRule="auto"/>
              <w:ind w:firstLine="0"/>
            </w:pPr>
            <w:r w:rsidRPr="008A36EB">
              <w:t>Total</w:t>
            </w:r>
          </w:p>
        </w:tc>
        <w:tc>
          <w:tcPr>
            <w:tcW w:w="992" w:type="dxa"/>
            <w:noWrap/>
          </w:tcPr>
          <w:p w:rsidR="00162CD2" w:rsidRPr="008A36EB" w:rsidRDefault="00162CD2" w:rsidP="00E37DDB">
            <w:pPr>
              <w:spacing w:after="0" w:line="240" w:lineRule="auto"/>
              <w:ind w:firstLine="0"/>
            </w:pPr>
            <w:r w:rsidRPr="008A36EB">
              <w:t>90 046</w:t>
            </w:r>
          </w:p>
        </w:tc>
        <w:tc>
          <w:tcPr>
            <w:tcW w:w="1316" w:type="dxa"/>
            <w:noWrap/>
          </w:tcPr>
          <w:p w:rsidR="00162CD2" w:rsidRPr="008A36EB" w:rsidRDefault="00162CD2" w:rsidP="00E37DDB">
            <w:pPr>
              <w:spacing w:after="0" w:line="240" w:lineRule="auto"/>
              <w:ind w:firstLine="0"/>
            </w:pPr>
            <w:r w:rsidRPr="008A36EB">
              <w:t>-3 686</w:t>
            </w:r>
          </w:p>
        </w:tc>
        <w:tc>
          <w:tcPr>
            <w:tcW w:w="1317" w:type="dxa"/>
            <w:noWrap/>
          </w:tcPr>
          <w:p w:rsidR="00162CD2" w:rsidRPr="008A36EB" w:rsidRDefault="00162CD2" w:rsidP="00E37DDB">
            <w:pPr>
              <w:spacing w:after="0" w:line="240" w:lineRule="auto"/>
              <w:ind w:firstLine="0"/>
            </w:pPr>
            <w:r w:rsidRPr="008A36EB">
              <w:t>-4</w:t>
            </w: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r w:rsidRPr="008A36EB">
              <w:t>118</w:t>
            </w:r>
          </w:p>
        </w:tc>
        <w:tc>
          <w:tcPr>
            <w:tcW w:w="1317" w:type="dxa"/>
            <w:gridSpan w:val="2"/>
          </w:tcPr>
          <w:p w:rsidR="00162CD2" w:rsidRPr="008A36EB" w:rsidRDefault="00162CD2" w:rsidP="00E37DDB">
            <w:pPr>
              <w:spacing w:after="0" w:line="240" w:lineRule="auto"/>
              <w:ind w:firstLine="0"/>
            </w:pPr>
            <w:r w:rsidRPr="008A36EB">
              <w:t>0</w:t>
            </w:r>
          </w:p>
        </w:tc>
      </w:tr>
      <w:tr w:rsidR="00162CD2" w:rsidRPr="008A36EB" w:rsidTr="00F83148">
        <w:trPr>
          <w:trHeight w:val="255"/>
        </w:trPr>
        <w:tc>
          <w:tcPr>
            <w:tcW w:w="1565" w:type="dxa"/>
            <w:noWrap/>
          </w:tcPr>
          <w:p w:rsidR="00162CD2" w:rsidRPr="008A36EB" w:rsidRDefault="00162CD2" w:rsidP="00E37DDB">
            <w:pPr>
              <w:spacing w:after="0" w:line="240" w:lineRule="auto"/>
              <w:ind w:firstLine="0"/>
            </w:pPr>
          </w:p>
        </w:tc>
        <w:tc>
          <w:tcPr>
            <w:tcW w:w="992" w:type="dxa"/>
            <w:noWrap/>
          </w:tcPr>
          <w:p w:rsidR="00162CD2" w:rsidRPr="008A36EB" w:rsidRDefault="00162CD2" w:rsidP="00E37DDB">
            <w:pPr>
              <w:spacing w:after="0" w:line="240" w:lineRule="auto"/>
              <w:ind w:firstLine="0"/>
            </w:pPr>
          </w:p>
        </w:tc>
        <w:tc>
          <w:tcPr>
            <w:tcW w:w="1316" w:type="dxa"/>
            <w:noWrap/>
          </w:tcPr>
          <w:p w:rsidR="00162CD2" w:rsidRPr="008A36EB" w:rsidRDefault="00162CD2" w:rsidP="00E37DDB">
            <w:pPr>
              <w:spacing w:after="0" w:line="240" w:lineRule="auto"/>
              <w:ind w:firstLine="0"/>
            </w:pPr>
          </w:p>
        </w:tc>
        <w:tc>
          <w:tcPr>
            <w:tcW w:w="1317" w:type="dxa"/>
            <w:noWrap/>
          </w:tcPr>
          <w:p w:rsidR="00162CD2" w:rsidRPr="008A36EB" w:rsidRDefault="00162CD2" w:rsidP="00E37DDB">
            <w:pPr>
              <w:spacing w:after="0" w:line="240" w:lineRule="auto"/>
              <w:ind w:firstLine="0"/>
            </w:pP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p>
        </w:tc>
        <w:tc>
          <w:tcPr>
            <w:tcW w:w="1317" w:type="dxa"/>
            <w:gridSpan w:val="2"/>
          </w:tcPr>
          <w:p w:rsidR="00162CD2" w:rsidRPr="008A36EB" w:rsidRDefault="00162CD2" w:rsidP="00E37DDB">
            <w:pPr>
              <w:spacing w:after="0" w:line="240" w:lineRule="auto"/>
              <w:ind w:firstLine="0"/>
            </w:pPr>
          </w:p>
        </w:tc>
      </w:tr>
      <w:tr w:rsidR="00162CD2" w:rsidRPr="008A36EB" w:rsidTr="00F83148">
        <w:trPr>
          <w:trHeight w:val="255"/>
        </w:trPr>
        <w:tc>
          <w:tcPr>
            <w:tcW w:w="1565" w:type="dxa"/>
            <w:noWrap/>
          </w:tcPr>
          <w:p w:rsidR="00162CD2" w:rsidRPr="008A36EB" w:rsidRDefault="00162CD2" w:rsidP="00E37DDB">
            <w:pPr>
              <w:spacing w:after="0" w:line="240" w:lineRule="auto"/>
              <w:ind w:firstLine="0"/>
              <w:jc w:val="left"/>
            </w:pPr>
            <w:r w:rsidRPr="008A36EB">
              <w:t>EU</w:t>
            </w:r>
            <w:r>
              <w:t>-</w:t>
            </w:r>
            <w:r w:rsidRPr="008A36EB">
              <w:t xml:space="preserve">25 </w:t>
            </w:r>
            <w:r>
              <w:t>PFV</w:t>
            </w:r>
          </w:p>
        </w:tc>
        <w:tc>
          <w:tcPr>
            <w:tcW w:w="992" w:type="dxa"/>
            <w:noWrap/>
          </w:tcPr>
          <w:p w:rsidR="00162CD2" w:rsidRPr="008A36EB" w:rsidRDefault="00162CD2" w:rsidP="00E37DDB">
            <w:pPr>
              <w:spacing w:after="0" w:line="240" w:lineRule="auto"/>
              <w:ind w:firstLine="0"/>
            </w:pPr>
            <w:r w:rsidRPr="008A36EB">
              <w:t>12 160</w:t>
            </w:r>
          </w:p>
        </w:tc>
        <w:tc>
          <w:tcPr>
            <w:tcW w:w="1316" w:type="dxa"/>
            <w:noWrap/>
          </w:tcPr>
          <w:p w:rsidR="00162CD2" w:rsidRPr="008A36EB" w:rsidRDefault="00162CD2" w:rsidP="00E37DDB">
            <w:pPr>
              <w:spacing w:after="0" w:line="240" w:lineRule="auto"/>
              <w:ind w:firstLine="0"/>
            </w:pPr>
            <w:r w:rsidRPr="008A36EB">
              <w:t>3 528</w:t>
            </w:r>
          </w:p>
        </w:tc>
        <w:tc>
          <w:tcPr>
            <w:tcW w:w="1317" w:type="dxa"/>
            <w:noWrap/>
          </w:tcPr>
          <w:p w:rsidR="00162CD2" w:rsidRPr="008A36EB" w:rsidRDefault="00162CD2" w:rsidP="00E37DDB">
            <w:pPr>
              <w:spacing w:after="0" w:line="240" w:lineRule="auto"/>
              <w:ind w:firstLine="0"/>
            </w:pPr>
            <w:r w:rsidRPr="008A36EB">
              <w:t>29</w:t>
            </w: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r w:rsidRPr="008A36EB">
              <w:t>-297</w:t>
            </w:r>
          </w:p>
        </w:tc>
        <w:tc>
          <w:tcPr>
            <w:tcW w:w="1317" w:type="dxa"/>
            <w:gridSpan w:val="2"/>
          </w:tcPr>
          <w:p w:rsidR="00162CD2" w:rsidRPr="008A36EB" w:rsidRDefault="00162CD2" w:rsidP="00E37DDB">
            <w:pPr>
              <w:spacing w:after="0" w:line="240" w:lineRule="auto"/>
              <w:ind w:firstLine="0"/>
            </w:pPr>
            <w:r w:rsidRPr="008A36EB">
              <w:t>-2</w:t>
            </w:r>
          </w:p>
        </w:tc>
      </w:tr>
      <w:tr w:rsidR="00162CD2" w:rsidRPr="008A36EB" w:rsidTr="00F83148">
        <w:trPr>
          <w:trHeight w:val="255"/>
        </w:trPr>
        <w:tc>
          <w:tcPr>
            <w:tcW w:w="1565" w:type="dxa"/>
            <w:noWrap/>
          </w:tcPr>
          <w:p w:rsidR="00162CD2" w:rsidRPr="008A36EB" w:rsidRDefault="00162CD2" w:rsidP="00E37DDB">
            <w:pPr>
              <w:spacing w:after="0" w:line="240" w:lineRule="auto"/>
              <w:ind w:firstLine="0"/>
            </w:pPr>
            <w:r w:rsidRPr="008A36EB">
              <w:t xml:space="preserve">CEFTA </w:t>
            </w:r>
            <w:r>
              <w:t>PFV</w:t>
            </w:r>
          </w:p>
        </w:tc>
        <w:tc>
          <w:tcPr>
            <w:tcW w:w="992" w:type="dxa"/>
            <w:noWrap/>
          </w:tcPr>
          <w:p w:rsidR="00162CD2" w:rsidRPr="008A36EB" w:rsidRDefault="00162CD2" w:rsidP="00E37DDB">
            <w:pPr>
              <w:spacing w:after="0" w:line="240" w:lineRule="auto"/>
              <w:ind w:firstLine="0"/>
            </w:pPr>
            <w:r w:rsidRPr="008A36EB">
              <w:t>9 800</w:t>
            </w:r>
          </w:p>
        </w:tc>
        <w:tc>
          <w:tcPr>
            <w:tcW w:w="1316" w:type="dxa"/>
            <w:noWrap/>
          </w:tcPr>
          <w:p w:rsidR="00162CD2" w:rsidRPr="008A36EB" w:rsidRDefault="00162CD2" w:rsidP="00E37DDB">
            <w:pPr>
              <w:spacing w:after="0" w:line="240" w:lineRule="auto"/>
              <w:ind w:firstLine="0"/>
            </w:pPr>
            <w:r w:rsidRPr="008A36EB">
              <w:t>-8</w:t>
            </w:r>
          </w:p>
        </w:tc>
        <w:tc>
          <w:tcPr>
            <w:tcW w:w="1317" w:type="dxa"/>
            <w:noWrap/>
          </w:tcPr>
          <w:p w:rsidR="00162CD2" w:rsidRPr="008A36EB" w:rsidRDefault="00162CD2" w:rsidP="00E37DDB">
            <w:pPr>
              <w:spacing w:after="0" w:line="240" w:lineRule="auto"/>
              <w:ind w:firstLine="0"/>
            </w:pPr>
            <w:r w:rsidRPr="008A36EB">
              <w:t>0</w:t>
            </w: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r w:rsidRPr="008A36EB">
              <w:t>-239</w:t>
            </w:r>
          </w:p>
        </w:tc>
        <w:tc>
          <w:tcPr>
            <w:tcW w:w="1317" w:type="dxa"/>
            <w:gridSpan w:val="2"/>
          </w:tcPr>
          <w:p w:rsidR="00162CD2" w:rsidRPr="008A36EB" w:rsidRDefault="00162CD2" w:rsidP="00E37DDB">
            <w:pPr>
              <w:spacing w:after="0" w:line="240" w:lineRule="auto"/>
              <w:ind w:firstLine="0"/>
            </w:pPr>
            <w:r w:rsidRPr="008A36EB">
              <w:t>-2</w:t>
            </w:r>
          </w:p>
        </w:tc>
      </w:tr>
      <w:tr w:rsidR="00162CD2" w:rsidRPr="008A36EB" w:rsidTr="00F83148">
        <w:trPr>
          <w:trHeight w:val="255"/>
        </w:trPr>
        <w:tc>
          <w:tcPr>
            <w:tcW w:w="1565" w:type="dxa"/>
            <w:noWrap/>
          </w:tcPr>
          <w:p w:rsidR="00162CD2" w:rsidRPr="008A36EB" w:rsidRDefault="00162CD2" w:rsidP="00E37DDB">
            <w:pPr>
              <w:spacing w:after="0" w:line="240" w:lineRule="auto"/>
              <w:ind w:firstLine="0"/>
            </w:pPr>
            <w:proofErr w:type="spellStart"/>
            <w:r w:rsidRPr="008A36EB">
              <w:t>RoW</w:t>
            </w:r>
            <w:proofErr w:type="spellEnd"/>
            <w:r w:rsidRPr="008A36EB">
              <w:t xml:space="preserve"> </w:t>
            </w:r>
            <w:r>
              <w:t>PFV</w:t>
            </w:r>
          </w:p>
        </w:tc>
        <w:tc>
          <w:tcPr>
            <w:tcW w:w="992" w:type="dxa"/>
            <w:noWrap/>
          </w:tcPr>
          <w:p w:rsidR="00162CD2" w:rsidRPr="008A36EB" w:rsidRDefault="00162CD2" w:rsidP="00E37DDB">
            <w:pPr>
              <w:spacing w:after="0" w:line="240" w:lineRule="auto"/>
              <w:ind w:firstLine="0"/>
            </w:pPr>
            <w:r w:rsidRPr="008A36EB">
              <w:t>22 114</w:t>
            </w:r>
          </w:p>
        </w:tc>
        <w:tc>
          <w:tcPr>
            <w:tcW w:w="1316" w:type="dxa"/>
            <w:noWrap/>
          </w:tcPr>
          <w:p w:rsidR="00162CD2" w:rsidRPr="008A36EB" w:rsidRDefault="00162CD2" w:rsidP="00E37DDB">
            <w:pPr>
              <w:spacing w:after="0" w:line="240" w:lineRule="auto"/>
              <w:ind w:firstLine="0"/>
            </w:pPr>
            <w:r w:rsidRPr="008A36EB">
              <w:t>-3 517</w:t>
            </w:r>
          </w:p>
        </w:tc>
        <w:tc>
          <w:tcPr>
            <w:tcW w:w="1317" w:type="dxa"/>
            <w:noWrap/>
          </w:tcPr>
          <w:p w:rsidR="00162CD2" w:rsidRPr="008A36EB" w:rsidRDefault="00162CD2" w:rsidP="00E37DDB">
            <w:pPr>
              <w:spacing w:after="0" w:line="240" w:lineRule="auto"/>
              <w:ind w:firstLine="0"/>
            </w:pPr>
            <w:r w:rsidRPr="008A36EB">
              <w:t>-16</w:t>
            </w: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r w:rsidRPr="008A36EB">
              <w:t>1 259</w:t>
            </w:r>
          </w:p>
        </w:tc>
        <w:tc>
          <w:tcPr>
            <w:tcW w:w="1317" w:type="dxa"/>
            <w:gridSpan w:val="2"/>
          </w:tcPr>
          <w:p w:rsidR="00162CD2" w:rsidRPr="008A36EB" w:rsidRDefault="00162CD2" w:rsidP="00E37DDB">
            <w:pPr>
              <w:spacing w:after="0" w:line="240" w:lineRule="auto"/>
              <w:ind w:firstLine="0"/>
            </w:pPr>
            <w:r w:rsidRPr="008A36EB">
              <w:t>6</w:t>
            </w:r>
          </w:p>
        </w:tc>
      </w:tr>
      <w:tr w:rsidR="00162CD2" w:rsidRPr="008A36EB" w:rsidTr="00F83148">
        <w:trPr>
          <w:trHeight w:val="255"/>
        </w:trPr>
        <w:tc>
          <w:tcPr>
            <w:tcW w:w="1565" w:type="dxa"/>
            <w:noWrap/>
          </w:tcPr>
          <w:p w:rsidR="00162CD2" w:rsidRPr="008A36EB" w:rsidRDefault="00162CD2" w:rsidP="00E37DDB">
            <w:pPr>
              <w:spacing w:after="0" w:line="240" w:lineRule="auto"/>
              <w:ind w:firstLine="0"/>
            </w:pPr>
            <w:r w:rsidRPr="008A36EB">
              <w:t>Total</w:t>
            </w:r>
          </w:p>
        </w:tc>
        <w:tc>
          <w:tcPr>
            <w:tcW w:w="992" w:type="dxa"/>
            <w:noWrap/>
          </w:tcPr>
          <w:p w:rsidR="00162CD2" w:rsidRPr="008A36EB" w:rsidRDefault="00162CD2" w:rsidP="00E37DDB">
            <w:pPr>
              <w:spacing w:after="0" w:line="240" w:lineRule="auto"/>
              <w:ind w:firstLine="0"/>
            </w:pPr>
            <w:r w:rsidRPr="008A36EB">
              <w:t>44 074</w:t>
            </w:r>
          </w:p>
        </w:tc>
        <w:tc>
          <w:tcPr>
            <w:tcW w:w="1316" w:type="dxa"/>
            <w:noWrap/>
          </w:tcPr>
          <w:p w:rsidR="00162CD2" w:rsidRPr="008A36EB" w:rsidRDefault="00162CD2" w:rsidP="00E37DDB">
            <w:pPr>
              <w:spacing w:after="0" w:line="240" w:lineRule="auto"/>
              <w:ind w:firstLine="0"/>
            </w:pPr>
            <w:r w:rsidRPr="008A36EB">
              <w:t>3</w:t>
            </w:r>
          </w:p>
        </w:tc>
        <w:tc>
          <w:tcPr>
            <w:tcW w:w="1317" w:type="dxa"/>
            <w:noWrap/>
          </w:tcPr>
          <w:p w:rsidR="00162CD2" w:rsidRPr="008A36EB" w:rsidRDefault="00162CD2" w:rsidP="00E37DDB">
            <w:pPr>
              <w:spacing w:after="0" w:line="240" w:lineRule="auto"/>
              <w:ind w:firstLine="0"/>
            </w:pPr>
            <w:r w:rsidRPr="008A36EB">
              <w:t>0</w:t>
            </w: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r w:rsidRPr="008A36EB">
              <w:t>723</w:t>
            </w:r>
          </w:p>
        </w:tc>
        <w:tc>
          <w:tcPr>
            <w:tcW w:w="1317" w:type="dxa"/>
            <w:gridSpan w:val="2"/>
          </w:tcPr>
          <w:p w:rsidR="00162CD2" w:rsidRPr="008A36EB" w:rsidRDefault="00162CD2" w:rsidP="00E37DDB">
            <w:pPr>
              <w:spacing w:after="0" w:line="240" w:lineRule="auto"/>
              <w:ind w:firstLine="0"/>
            </w:pPr>
            <w:r w:rsidRPr="008A36EB">
              <w:t>2</w:t>
            </w:r>
          </w:p>
        </w:tc>
      </w:tr>
      <w:tr w:rsidR="00162CD2" w:rsidRPr="008A36EB" w:rsidTr="00F83148">
        <w:trPr>
          <w:trHeight w:val="255"/>
        </w:trPr>
        <w:tc>
          <w:tcPr>
            <w:tcW w:w="1565" w:type="dxa"/>
            <w:noWrap/>
          </w:tcPr>
          <w:p w:rsidR="00162CD2" w:rsidRPr="008A36EB" w:rsidRDefault="00162CD2" w:rsidP="00E37DDB">
            <w:pPr>
              <w:spacing w:after="0" w:line="240" w:lineRule="auto"/>
              <w:ind w:firstLine="0"/>
            </w:pPr>
          </w:p>
        </w:tc>
        <w:tc>
          <w:tcPr>
            <w:tcW w:w="992" w:type="dxa"/>
            <w:noWrap/>
          </w:tcPr>
          <w:p w:rsidR="00162CD2" w:rsidRPr="008A36EB" w:rsidRDefault="00162CD2" w:rsidP="00E37DDB">
            <w:pPr>
              <w:spacing w:after="0" w:line="240" w:lineRule="auto"/>
              <w:ind w:firstLine="0"/>
            </w:pPr>
          </w:p>
        </w:tc>
        <w:tc>
          <w:tcPr>
            <w:tcW w:w="1316" w:type="dxa"/>
            <w:noWrap/>
          </w:tcPr>
          <w:p w:rsidR="00162CD2" w:rsidRPr="008A36EB" w:rsidRDefault="00162CD2" w:rsidP="00E37DDB">
            <w:pPr>
              <w:spacing w:after="0" w:line="240" w:lineRule="auto"/>
              <w:ind w:firstLine="0"/>
            </w:pPr>
          </w:p>
        </w:tc>
        <w:tc>
          <w:tcPr>
            <w:tcW w:w="1317" w:type="dxa"/>
            <w:noWrap/>
          </w:tcPr>
          <w:p w:rsidR="00162CD2" w:rsidRPr="008A36EB" w:rsidRDefault="00162CD2" w:rsidP="00E37DDB">
            <w:pPr>
              <w:spacing w:after="0" w:line="240" w:lineRule="auto"/>
              <w:ind w:firstLine="0"/>
            </w:pP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p>
        </w:tc>
        <w:tc>
          <w:tcPr>
            <w:tcW w:w="1317" w:type="dxa"/>
            <w:gridSpan w:val="2"/>
          </w:tcPr>
          <w:p w:rsidR="00162CD2" w:rsidRPr="008A36EB" w:rsidRDefault="00162CD2" w:rsidP="00E37DDB">
            <w:pPr>
              <w:spacing w:after="0" w:line="240" w:lineRule="auto"/>
              <w:ind w:firstLine="0"/>
            </w:pPr>
          </w:p>
        </w:tc>
      </w:tr>
      <w:tr w:rsidR="00162CD2" w:rsidRPr="008A36EB" w:rsidTr="00F83148">
        <w:trPr>
          <w:trHeight w:val="255"/>
        </w:trPr>
        <w:tc>
          <w:tcPr>
            <w:tcW w:w="1565" w:type="dxa"/>
            <w:noWrap/>
          </w:tcPr>
          <w:p w:rsidR="00162CD2" w:rsidRPr="008A36EB" w:rsidRDefault="00162CD2" w:rsidP="00E37DDB">
            <w:pPr>
              <w:spacing w:after="0" w:line="240" w:lineRule="auto"/>
              <w:ind w:firstLine="0"/>
            </w:pPr>
            <w:r w:rsidRPr="008A36EB">
              <w:t>EU</w:t>
            </w:r>
            <w:r>
              <w:t>-</w:t>
            </w:r>
            <w:r w:rsidRPr="008A36EB">
              <w:t>25 wine</w:t>
            </w:r>
          </w:p>
        </w:tc>
        <w:tc>
          <w:tcPr>
            <w:tcW w:w="992" w:type="dxa"/>
            <w:noWrap/>
          </w:tcPr>
          <w:p w:rsidR="00162CD2" w:rsidRPr="008A36EB" w:rsidRDefault="00162CD2" w:rsidP="00E37DDB">
            <w:pPr>
              <w:spacing w:after="0" w:line="240" w:lineRule="auto"/>
              <w:ind w:firstLine="0"/>
            </w:pPr>
            <w:r w:rsidRPr="008A36EB">
              <w:t>2572</w:t>
            </w:r>
          </w:p>
        </w:tc>
        <w:tc>
          <w:tcPr>
            <w:tcW w:w="1316" w:type="dxa"/>
            <w:noWrap/>
          </w:tcPr>
          <w:p w:rsidR="00162CD2" w:rsidRPr="008A36EB" w:rsidRDefault="00162CD2" w:rsidP="00E37DDB">
            <w:pPr>
              <w:spacing w:after="0" w:line="240" w:lineRule="auto"/>
              <w:ind w:firstLine="0"/>
            </w:pPr>
            <w:r w:rsidRPr="008A36EB">
              <w:t>1484</w:t>
            </w:r>
          </w:p>
        </w:tc>
        <w:tc>
          <w:tcPr>
            <w:tcW w:w="1317" w:type="dxa"/>
            <w:noWrap/>
          </w:tcPr>
          <w:p w:rsidR="00162CD2" w:rsidRPr="008A36EB" w:rsidRDefault="00162CD2" w:rsidP="00E37DDB">
            <w:pPr>
              <w:spacing w:after="0" w:line="240" w:lineRule="auto"/>
              <w:ind w:firstLine="0"/>
            </w:pPr>
            <w:r w:rsidRPr="008A36EB">
              <w:t>58</w:t>
            </w: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r w:rsidRPr="008A36EB">
              <w:t>-404</w:t>
            </w:r>
          </w:p>
        </w:tc>
        <w:tc>
          <w:tcPr>
            <w:tcW w:w="1317" w:type="dxa"/>
            <w:gridSpan w:val="2"/>
          </w:tcPr>
          <w:p w:rsidR="00162CD2" w:rsidRPr="008A36EB" w:rsidRDefault="00162CD2" w:rsidP="00E37DDB">
            <w:pPr>
              <w:spacing w:after="0" w:line="240" w:lineRule="auto"/>
              <w:ind w:firstLine="0"/>
            </w:pPr>
            <w:r w:rsidRPr="008A36EB">
              <w:t>-16</w:t>
            </w:r>
          </w:p>
        </w:tc>
      </w:tr>
      <w:tr w:rsidR="00162CD2" w:rsidRPr="008A36EB" w:rsidTr="00F83148">
        <w:trPr>
          <w:trHeight w:val="255"/>
        </w:trPr>
        <w:tc>
          <w:tcPr>
            <w:tcW w:w="1565" w:type="dxa"/>
            <w:noWrap/>
          </w:tcPr>
          <w:p w:rsidR="00162CD2" w:rsidRPr="008A36EB" w:rsidRDefault="00162CD2" w:rsidP="00E37DDB">
            <w:pPr>
              <w:spacing w:after="0" w:line="240" w:lineRule="auto"/>
              <w:ind w:firstLine="0"/>
            </w:pPr>
            <w:r w:rsidRPr="008A36EB">
              <w:t>CEFTA wine</w:t>
            </w:r>
          </w:p>
        </w:tc>
        <w:tc>
          <w:tcPr>
            <w:tcW w:w="992" w:type="dxa"/>
            <w:noWrap/>
          </w:tcPr>
          <w:p w:rsidR="00162CD2" w:rsidRPr="008A36EB" w:rsidRDefault="00162CD2" w:rsidP="00E37DDB">
            <w:pPr>
              <w:spacing w:after="0" w:line="240" w:lineRule="auto"/>
              <w:ind w:firstLine="0"/>
            </w:pPr>
            <w:r w:rsidRPr="008A36EB">
              <w:t>7740</w:t>
            </w:r>
          </w:p>
        </w:tc>
        <w:tc>
          <w:tcPr>
            <w:tcW w:w="1316" w:type="dxa"/>
            <w:noWrap/>
          </w:tcPr>
          <w:p w:rsidR="00162CD2" w:rsidRPr="008A36EB" w:rsidRDefault="00162CD2" w:rsidP="00E37DDB">
            <w:pPr>
              <w:spacing w:after="0" w:line="240" w:lineRule="auto"/>
              <w:ind w:firstLine="0"/>
            </w:pPr>
            <w:r w:rsidRPr="008A36EB">
              <w:t>-570</w:t>
            </w:r>
          </w:p>
        </w:tc>
        <w:tc>
          <w:tcPr>
            <w:tcW w:w="1317" w:type="dxa"/>
            <w:noWrap/>
          </w:tcPr>
          <w:p w:rsidR="00162CD2" w:rsidRPr="008A36EB" w:rsidRDefault="00162CD2" w:rsidP="00E37DDB">
            <w:pPr>
              <w:spacing w:after="0" w:line="240" w:lineRule="auto"/>
              <w:ind w:firstLine="0"/>
            </w:pPr>
            <w:r w:rsidRPr="008A36EB">
              <w:t>-7</w:t>
            </w: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r w:rsidRPr="008A36EB">
              <w:t>-1 191</w:t>
            </w:r>
          </w:p>
        </w:tc>
        <w:tc>
          <w:tcPr>
            <w:tcW w:w="1317" w:type="dxa"/>
            <w:gridSpan w:val="2"/>
          </w:tcPr>
          <w:p w:rsidR="00162CD2" w:rsidRPr="008A36EB" w:rsidRDefault="00162CD2" w:rsidP="00E37DDB">
            <w:pPr>
              <w:spacing w:after="0" w:line="240" w:lineRule="auto"/>
              <w:ind w:firstLine="0"/>
            </w:pPr>
            <w:r w:rsidRPr="008A36EB">
              <w:t>-15</w:t>
            </w:r>
          </w:p>
        </w:tc>
      </w:tr>
      <w:tr w:rsidR="00162CD2" w:rsidRPr="008A36EB" w:rsidTr="00F83148">
        <w:trPr>
          <w:trHeight w:val="255"/>
        </w:trPr>
        <w:tc>
          <w:tcPr>
            <w:tcW w:w="1565" w:type="dxa"/>
            <w:noWrap/>
          </w:tcPr>
          <w:p w:rsidR="00162CD2" w:rsidRPr="008A36EB" w:rsidRDefault="00162CD2" w:rsidP="00E37DDB">
            <w:pPr>
              <w:spacing w:after="0" w:line="240" w:lineRule="auto"/>
              <w:ind w:firstLine="0"/>
            </w:pPr>
            <w:proofErr w:type="spellStart"/>
            <w:r w:rsidRPr="008A36EB">
              <w:t>RoW</w:t>
            </w:r>
            <w:proofErr w:type="spellEnd"/>
            <w:r w:rsidRPr="008A36EB">
              <w:t xml:space="preserve"> wine</w:t>
            </w:r>
          </w:p>
        </w:tc>
        <w:tc>
          <w:tcPr>
            <w:tcW w:w="992" w:type="dxa"/>
            <w:noWrap/>
          </w:tcPr>
          <w:p w:rsidR="00162CD2" w:rsidRPr="008A36EB" w:rsidRDefault="00162CD2" w:rsidP="00E37DDB">
            <w:pPr>
              <w:spacing w:after="0" w:line="240" w:lineRule="auto"/>
              <w:ind w:firstLine="0"/>
            </w:pPr>
            <w:r w:rsidRPr="008A36EB">
              <w:t>7407</w:t>
            </w:r>
          </w:p>
        </w:tc>
        <w:tc>
          <w:tcPr>
            <w:tcW w:w="1316" w:type="dxa"/>
            <w:noWrap/>
          </w:tcPr>
          <w:p w:rsidR="00162CD2" w:rsidRPr="008A36EB" w:rsidRDefault="00162CD2" w:rsidP="00E37DDB">
            <w:pPr>
              <w:spacing w:after="0" w:line="240" w:lineRule="auto"/>
              <w:ind w:firstLine="0"/>
            </w:pPr>
            <w:r w:rsidRPr="008A36EB">
              <w:t>-697</w:t>
            </w:r>
          </w:p>
        </w:tc>
        <w:tc>
          <w:tcPr>
            <w:tcW w:w="1317" w:type="dxa"/>
            <w:noWrap/>
          </w:tcPr>
          <w:p w:rsidR="00162CD2" w:rsidRPr="008A36EB" w:rsidRDefault="00162CD2" w:rsidP="00E37DDB">
            <w:pPr>
              <w:spacing w:after="0" w:line="240" w:lineRule="auto"/>
              <w:ind w:firstLine="0"/>
            </w:pPr>
            <w:r w:rsidRPr="008A36EB">
              <w:t>-9</w:t>
            </w:r>
          </w:p>
        </w:tc>
        <w:tc>
          <w:tcPr>
            <w:tcW w:w="408" w:type="dxa"/>
          </w:tcPr>
          <w:p w:rsidR="00162CD2" w:rsidRPr="008A36EB" w:rsidRDefault="00162CD2" w:rsidP="00E37DDB">
            <w:pPr>
              <w:spacing w:after="0" w:line="240" w:lineRule="auto"/>
              <w:ind w:firstLine="0"/>
            </w:pPr>
          </w:p>
        </w:tc>
        <w:tc>
          <w:tcPr>
            <w:tcW w:w="1336" w:type="dxa"/>
            <w:noWrap/>
          </w:tcPr>
          <w:p w:rsidR="00162CD2" w:rsidRPr="008A36EB" w:rsidRDefault="00162CD2" w:rsidP="00E37DDB">
            <w:pPr>
              <w:spacing w:after="0" w:line="240" w:lineRule="auto"/>
              <w:ind w:firstLine="0"/>
            </w:pPr>
            <w:r w:rsidRPr="008A36EB">
              <w:t>2 050</w:t>
            </w:r>
          </w:p>
        </w:tc>
        <w:tc>
          <w:tcPr>
            <w:tcW w:w="1317" w:type="dxa"/>
            <w:gridSpan w:val="2"/>
          </w:tcPr>
          <w:p w:rsidR="00162CD2" w:rsidRPr="008A36EB" w:rsidRDefault="00162CD2" w:rsidP="00E37DDB">
            <w:pPr>
              <w:spacing w:after="0" w:line="240" w:lineRule="auto"/>
              <w:ind w:firstLine="0"/>
            </w:pPr>
            <w:r w:rsidRPr="008A36EB">
              <w:t>28</w:t>
            </w:r>
          </w:p>
        </w:tc>
      </w:tr>
      <w:tr w:rsidR="00162CD2" w:rsidRPr="008A36EB" w:rsidTr="00F83148">
        <w:trPr>
          <w:trHeight w:val="255"/>
        </w:trPr>
        <w:tc>
          <w:tcPr>
            <w:tcW w:w="1565" w:type="dxa"/>
            <w:tcBorders>
              <w:bottom w:val="single" w:sz="4" w:space="0" w:color="000000"/>
            </w:tcBorders>
            <w:noWrap/>
          </w:tcPr>
          <w:p w:rsidR="00162CD2" w:rsidRPr="00E4059A" w:rsidRDefault="00162CD2" w:rsidP="00E37DDB">
            <w:pPr>
              <w:spacing w:after="0" w:line="240" w:lineRule="auto"/>
              <w:ind w:firstLine="0"/>
            </w:pPr>
            <w:r w:rsidRPr="00E4059A">
              <w:t>Total</w:t>
            </w:r>
          </w:p>
        </w:tc>
        <w:tc>
          <w:tcPr>
            <w:tcW w:w="992" w:type="dxa"/>
            <w:tcBorders>
              <w:bottom w:val="single" w:sz="4" w:space="0" w:color="000000"/>
            </w:tcBorders>
            <w:noWrap/>
          </w:tcPr>
          <w:p w:rsidR="00162CD2" w:rsidRPr="00D40A78" w:rsidRDefault="00162CD2" w:rsidP="00E37DDB">
            <w:pPr>
              <w:spacing w:after="0" w:line="240" w:lineRule="auto"/>
              <w:ind w:firstLine="0"/>
            </w:pPr>
            <w:r w:rsidRPr="00D40A78">
              <w:t>17719</w:t>
            </w:r>
          </w:p>
        </w:tc>
        <w:tc>
          <w:tcPr>
            <w:tcW w:w="1316" w:type="dxa"/>
            <w:tcBorders>
              <w:bottom w:val="single" w:sz="4" w:space="0" w:color="000000"/>
            </w:tcBorders>
            <w:noWrap/>
          </w:tcPr>
          <w:p w:rsidR="00162CD2" w:rsidRPr="00D40A78" w:rsidRDefault="00162CD2" w:rsidP="00E37DDB">
            <w:pPr>
              <w:spacing w:after="0" w:line="240" w:lineRule="auto"/>
              <w:ind w:firstLine="0"/>
            </w:pPr>
            <w:r w:rsidRPr="00D40A78">
              <w:t>216</w:t>
            </w:r>
          </w:p>
        </w:tc>
        <w:tc>
          <w:tcPr>
            <w:tcW w:w="1317" w:type="dxa"/>
            <w:tcBorders>
              <w:bottom w:val="single" w:sz="4" w:space="0" w:color="000000"/>
            </w:tcBorders>
            <w:noWrap/>
          </w:tcPr>
          <w:p w:rsidR="00162CD2" w:rsidRPr="00D40A78" w:rsidRDefault="00162CD2" w:rsidP="00E37DDB">
            <w:pPr>
              <w:spacing w:after="0" w:line="240" w:lineRule="auto"/>
              <w:ind w:firstLine="0"/>
            </w:pPr>
            <w:r w:rsidRPr="00D40A78">
              <w:t>1</w:t>
            </w:r>
          </w:p>
        </w:tc>
        <w:tc>
          <w:tcPr>
            <w:tcW w:w="408" w:type="dxa"/>
            <w:tcBorders>
              <w:bottom w:val="single" w:sz="4" w:space="0" w:color="000000"/>
            </w:tcBorders>
          </w:tcPr>
          <w:p w:rsidR="00162CD2" w:rsidRPr="00E4059A" w:rsidRDefault="00162CD2" w:rsidP="00E37DDB">
            <w:pPr>
              <w:spacing w:after="0" w:line="240" w:lineRule="auto"/>
              <w:ind w:firstLine="0"/>
            </w:pPr>
          </w:p>
        </w:tc>
        <w:tc>
          <w:tcPr>
            <w:tcW w:w="1336" w:type="dxa"/>
            <w:tcBorders>
              <w:bottom w:val="single" w:sz="4" w:space="0" w:color="000000"/>
            </w:tcBorders>
            <w:noWrap/>
          </w:tcPr>
          <w:p w:rsidR="00162CD2" w:rsidRPr="00E4059A" w:rsidRDefault="00162CD2" w:rsidP="00E37DDB">
            <w:pPr>
              <w:spacing w:after="0" w:line="240" w:lineRule="auto"/>
              <w:ind w:firstLine="0"/>
            </w:pPr>
            <w:r w:rsidRPr="00E4059A">
              <w:t>455</w:t>
            </w:r>
          </w:p>
        </w:tc>
        <w:tc>
          <w:tcPr>
            <w:tcW w:w="1317" w:type="dxa"/>
            <w:gridSpan w:val="2"/>
            <w:tcBorders>
              <w:bottom w:val="single" w:sz="4" w:space="0" w:color="000000"/>
            </w:tcBorders>
          </w:tcPr>
          <w:p w:rsidR="00162CD2" w:rsidRPr="00E4059A" w:rsidRDefault="00162CD2" w:rsidP="00E37DDB">
            <w:pPr>
              <w:spacing w:after="0" w:line="240" w:lineRule="auto"/>
              <w:ind w:firstLine="0"/>
            </w:pPr>
            <w:r w:rsidRPr="00E4059A">
              <w:t>3</w:t>
            </w:r>
          </w:p>
        </w:tc>
      </w:tr>
    </w:tbl>
    <w:p w:rsidR="00162CD2" w:rsidRDefault="00162CD2" w:rsidP="009907AE">
      <w:pPr>
        <w:pStyle w:val="Footnotes"/>
        <w:spacing w:after="120"/>
      </w:pPr>
      <w:r>
        <w:t>Note: PFV=processed fruit and vegetables</w:t>
      </w:r>
    </w:p>
    <w:p w:rsidR="00162CD2" w:rsidRPr="001E69D4" w:rsidRDefault="00162CD2" w:rsidP="005E018F">
      <w:pPr>
        <w:pStyle w:val="Footnotes"/>
      </w:pPr>
      <w:r w:rsidRPr="001E69D4">
        <w:t>Source: GSIM simulations.</w:t>
      </w:r>
    </w:p>
    <w:p w:rsidR="00162CD2" w:rsidRPr="00E4059A" w:rsidRDefault="000A120D" w:rsidP="00CA1614">
      <w:pPr>
        <w:pStyle w:val="Tabletitle"/>
      </w:pPr>
      <w:r w:rsidRPr="000A120D">
        <w:t>Table 9.11:</w:t>
      </w:r>
      <w:r w:rsidRPr="000A120D">
        <w:tab/>
        <w:t xml:space="preserve">Change in BH output and employment </w:t>
      </w:r>
    </w:p>
    <w:tbl>
      <w:tblPr>
        <w:tblW w:w="8799" w:type="dxa"/>
        <w:tblInd w:w="98" w:type="dxa"/>
        <w:tblLayout w:type="fixed"/>
        <w:tblLook w:val="0000"/>
      </w:tblPr>
      <w:tblGrid>
        <w:gridCol w:w="1629"/>
        <w:gridCol w:w="1642"/>
        <w:gridCol w:w="1559"/>
        <w:gridCol w:w="425"/>
        <w:gridCol w:w="1772"/>
        <w:gridCol w:w="1772"/>
      </w:tblGrid>
      <w:tr w:rsidR="00162CD2" w:rsidRPr="008A36EB" w:rsidTr="004D09ED">
        <w:trPr>
          <w:trHeight w:val="300"/>
        </w:trPr>
        <w:tc>
          <w:tcPr>
            <w:tcW w:w="1629" w:type="dxa"/>
            <w:vMerge w:val="restart"/>
            <w:tcBorders>
              <w:top w:val="single" w:sz="4" w:space="0" w:color="auto"/>
              <w:left w:val="single" w:sz="4" w:space="0" w:color="auto"/>
              <w:bottom w:val="single" w:sz="4" w:space="0" w:color="auto"/>
              <w:right w:val="single" w:sz="4" w:space="0" w:color="auto"/>
            </w:tcBorders>
            <w:noWrap/>
            <w:vAlign w:val="bottom"/>
          </w:tcPr>
          <w:p w:rsidR="00162CD2" w:rsidRPr="008A36EB" w:rsidRDefault="00162CD2" w:rsidP="006660F0">
            <w:pPr>
              <w:spacing w:after="0" w:line="240" w:lineRule="auto"/>
              <w:ind w:firstLine="0"/>
              <w:jc w:val="left"/>
            </w:pPr>
            <w:r w:rsidRPr="008A36EB">
              <w:t>Product</w:t>
            </w:r>
          </w:p>
        </w:tc>
        <w:tc>
          <w:tcPr>
            <w:tcW w:w="3201" w:type="dxa"/>
            <w:gridSpan w:val="2"/>
            <w:tcBorders>
              <w:top w:val="single" w:sz="4" w:space="0" w:color="auto"/>
              <w:left w:val="single" w:sz="4" w:space="0" w:color="auto"/>
              <w:bottom w:val="single" w:sz="4" w:space="0" w:color="auto"/>
              <w:right w:val="single" w:sz="4" w:space="0" w:color="auto"/>
            </w:tcBorders>
            <w:noWrap/>
            <w:vAlign w:val="bottom"/>
          </w:tcPr>
          <w:p w:rsidR="00162CD2" w:rsidRPr="008A36EB" w:rsidRDefault="00162CD2" w:rsidP="006660F0">
            <w:pPr>
              <w:spacing w:after="0" w:line="240" w:lineRule="auto"/>
              <w:ind w:firstLine="0"/>
              <w:jc w:val="left"/>
            </w:pPr>
            <w:r w:rsidRPr="008A36EB">
              <w:t>EU accession</w:t>
            </w:r>
          </w:p>
        </w:tc>
        <w:tc>
          <w:tcPr>
            <w:tcW w:w="425" w:type="dxa"/>
            <w:tcBorders>
              <w:top w:val="single" w:sz="8" w:space="0" w:color="auto"/>
              <w:left w:val="single" w:sz="4" w:space="0" w:color="auto"/>
              <w:right w:val="single" w:sz="4" w:space="0" w:color="auto"/>
            </w:tcBorders>
          </w:tcPr>
          <w:p w:rsidR="00162CD2" w:rsidRPr="008A36EB" w:rsidRDefault="00162CD2" w:rsidP="006660F0">
            <w:pPr>
              <w:spacing w:after="0" w:line="240" w:lineRule="auto"/>
              <w:ind w:firstLine="0"/>
              <w:jc w:val="left"/>
            </w:pPr>
          </w:p>
        </w:tc>
        <w:tc>
          <w:tcPr>
            <w:tcW w:w="3544" w:type="dxa"/>
            <w:gridSpan w:val="2"/>
            <w:tcBorders>
              <w:top w:val="single" w:sz="4" w:space="0" w:color="auto"/>
              <w:left w:val="single" w:sz="4" w:space="0" w:color="auto"/>
              <w:bottom w:val="single" w:sz="4" w:space="0" w:color="auto"/>
              <w:right w:val="single" w:sz="4" w:space="0" w:color="auto"/>
            </w:tcBorders>
          </w:tcPr>
          <w:p w:rsidR="00162CD2" w:rsidRPr="008A36EB" w:rsidRDefault="00162CD2" w:rsidP="006660F0">
            <w:pPr>
              <w:spacing w:after="0" w:line="240" w:lineRule="auto"/>
              <w:ind w:firstLine="0"/>
              <w:jc w:val="left"/>
            </w:pPr>
            <w:r w:rsidRPr="008A36EB">
              <w:t>WTO accession</w:t>
            </w:r>
          </w:p>
        </w:tc>
      </w:tr>
      <w:tr w:rsidR="00162CD2" w:rsidRPr="008A36EB" w:rsidTr="004D09ED">
        <w:trPr>
          <w:trHeight w:val="410"/>
        </w:trPr>
        <w:tc>
          <w:tcPr>
            <w:tcW w:w="1629" w:type="dxa"/>
            <w:vMerge/>
            <w:tcBorders>
              <w:left w:val="single" w:sz="4" w:space="0" w:color="auto"/>
              <w:bottom w:val="single" w:sz="4" w:space="0" w:color="auto"/>
              <w:right w:val="single" w:sz="4" w:space="0" w:color="auto"/>
            </w:tcBorders>
            <w:noWrap/>
            <w:vAlign w:val="bottom"/>
          </w:tcPr>
          <w:p w:rsidR="00162CD2" w:rsidRPr="008A36EB" w:rsidRDefault="00162CD2" w:rsidP="006660F0">
            <w:pPr>
              <w:spacing w:after="0" w:line="240" w:lineRule="auto"/>
              <w:ind w:firstLine="0"/>
              <w:jc w:val="left"/>
            </w:pPr>
          </w:p>
        </w:tc>
        <w:tc>
          <w:tcPr>
            <w:tcW w:w="1642" w:type="dxa"/>
            <w:vMerge w:val="restart"/>
            <w:tcBorders>
              <w:top w:val="single" w:sz="4" w:space="0" w:color="auto"/>
              <w:left w:val="single" w:sz="4" w:space="0" w:color="auto"/>
              <w:bottom w:val="single" w:sz="4" w:space="0" w:color="auto"/>
              <w:right w:val="single" w:sz="4" w:space="0" w:color="auto"/>
            </w:tcBorders>
            <w:noWrap/>
            <w:vAlign w:val="bottom"/>
          </w:tcPr>
          <w:p w:rsidR="00162CD2" w:rsidRPr="008A36EB" w:rsidRDefault="00162CD2" w:rsidP="006660F0">
            <w:pPr>
              <w:spacing w:after="0" w:line="240" w:lineRule="auto"/>
              <w:ind w:firstLine="0"/>
              <w:jc w:val="left"/>
            </w:pPr>
            <w:r w:rsidRPr="008A36EB">
              <w:t>Change in output (%)</w:t>
            </w:r>
          </w:p>
        </w:tc>
        <w:tc>
          <w:tcPr>
            <w:tcW w:w="1559" w:type="dxa"/>
            <w:vMerge w:val="restart"/>
            <w:tcBorders>
              <w:top w:val="single" w:sz="4" w:space="0" w:color="auto"/>
              <w:left w:val="single" w:sz="4" w:space="0" w:color="auto"/>
              <w:bottom w:val="single" w:sz="4" w:space="0" w:color="auto"/>
              <w:right w:val="single" w:sz="4" w:space="0" w:color="auto"/>
            </w:tcBorders>
            <w:noWrap/>
            <w:vAlign w:val="bottom"/>
          </w:tcPr>
          <w:p w:rsidR="00162CD2" w:rsidRPr="008A36EB" w:rsidRDefault="00162CD2" w:rsidP="006660F0">
            <w:pPr>
              <w:spacing w:after="0" w:line="240" w:lineRule="auto"/>
              <w:ind w:firstLine="0"/>
              <w:jc w:val="left"/>
            </w:pPr>
            <w:r w:rsidRPr="008A36EB">
              <w:t>Change in</w:t>
            </w:r>
          </w:p>
          <w:p w:rsidR="00162CD2" w:rsidRPr="008A36EB" w:rsidRDefault="00162CD2" w:rsidP="006660F0">
            <w:pPr>
              <w:spacing w:after="0" w:line="240" w:lineRule="auto"/>
              <w:ind w:firstLine="0"/>
              <w:jc w:val="left"/>
            </w:pPr>
            <w:r w:rsidRPr="008A36EB">
              <w:t>employment (number)</w:t>
            </w:r>
          </w:p>
        </w:tc>
        <w:tc>
          <w:tcPr>
            <w:tcW w:w="425" w:type="dxa"/>
            <w:tcBorders>
              <w:left w:val="single" w:sz="4" w:space="0" w:color="auto"/>
              <w:right w:val="single" w:sz="4" w:space="0" w:color="auto"/>
            </w:tcBorders>
          </w:tcPr>
          <w:p w:rsidR="00162CD2" w:rsidRPr="008A36EB" w:rsidRDefault="00162CD2" w:rsidP="006660F0">
            <w:pPr>
              <w:spacing w:after="0" w:line="240" w:lineRule="auto"/>
              <w:ind w:firstLine="0"/>
              <w:jc w:val="left"/>
            </w:pPr>
          </w:p>
        </w:tc>
        <w:tc>
          <w:tcPr>
            <w:tcW w:w="1772" w:type="dxa"/>
            <w:vMerge w:val="restart"/>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660F0">
            <w:pPr>
              <w:spacing w:after="0" w:line="240" w:lineRule="auto"/>
              <w:ind w:firstLine="0"/>
              <w:jc w:val="left"/>
            </w:pPr>
            <w:r w:rsidRPr="008A36EB">
              <w:t>Change in output (%)</w:t>
            </w:r>
          </w:p>
        </w:tc>
        <w:tc>
          <w:tcPr>
            <w:tcW w:w="1772" w:type="dxa"/>
            <w:vMerge w:val="restart"/>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660F0">
            <w:pPr>
              <w:spacing w:after="0" w:line="240" w:lineRule="auto"/>
              <w:ind w:firstLine="0"/>
              <w:jc w:val="left"/>
            </w:pPr>
            <w:r w:rsidRPr="008A36EB">
              <w:t>Change in</w:t>
            </w:r>
          </w:p>
          <w:p w:rsidR="00162CD2" w:rsidRPr="008A36EB" w:rsidRDefault="00162CD2" w:rsidP="006660F0">
            <w:pPr>
              <w:spacing w:after="0" w:line="240" w:lineRule="auto"/>
              <w:ind w:firstLine="0"/>
              <w:jc w:val="left"/>
            </w:pPr>
            <w:r w:rsidRPr="008A36EB">
              <w:t>employment (number)</w:t>
            </w:r>
          </w:p>
        </w:tc>
      </w:tr>
      <w:tr w:rsidR="00162CD2" w:rsidRPr="008A36EB" w:rsidTr="004D09ED">
        <w:trPr>
          <w:trHeight w:val="285"/>
        </w:trPr>
        <w:tc>
          <w:tcPr>
            <w:tcW w:w="1629" w:type="dxa"/>
            <w:vMerge/>
            <w:tcBorders>
              <w:left w:val="single" w:sz="4" w:space="0" w:color="auto"/>
              <w:bottom w:val="single" w:sz="4" w:space="0" w:color="auto"/>
              <w:right w:val="single" w:sz="4" w:space="0" w:color="auto"/>
            </w:tcBorders>
            <w:noWrap/>
            <w:vAlign w:val="bottom"/>
          </w:tcPr>
          <w:p w:rsidR="00162CD2" w:rsidRPr="008A36EB" w:rsidRDefault="00162CD2" w:rsidP="006660F0">
            <w:pPr>
              <w:spacing w:after="0" w:line="240" w:lineRule="auto"/>
              <w:ind w:firstLine="0"/>
              <w:jc w:val="left"/>
            </w:pPr>
          </w:p>
        </w:tc>
        <w:tc>
          <w:tcPr>
            <w:tcW w:w="1642" w:type="dxa"/>
            <w:vMerge/>
            <w:tcBorders>
              <w:top w:val="single" w:sz="4" w:space="0" w:color="auto"/>
              <w:left w:val="single" w:sz="4" w:space="0" w:color="auto"/>
              <w:bottom w:val="single" w:sz="4" w:space="0" w:color="auto"/>
              <w:right w:val="single" w:sz="4" w:space="0" w:color="auto"/>
            </w:tcBorders>
            <w:noWrap/>
            <w:vAlign w:val="bottom"/>
          </w:tcPr>
          <w:p w:rsidR="00162CD2" w:rsidRPr="008A36EB" w:rsidRDefault="00162CD2" w:rsidP="006660F0">
            <w:pPr>
              <w:spacing w:after="0" w:line="240" w:lineRule="auto"/>
              <w:ind w:firstLine="0"/>
              <w:jc w:val="left"/>
            </w:pPr>
          </w:p>
        </w:tc>
        <w:tc>
          <w:tcPr>
            <w:tcW w:w="1559" w:type="dxa"/>
            <w:vMerge/>
            <w:tcBorders>
              <w:top w:val="single" w:sz="4" w:space="0" w:color="auto"/>
              <w:left w:val="single" w:sz="4" w:space="0" w:color="auto"/>
              <w:bottom w:val="single" w:sz="4" w:space="0" w:color="auto"/>
              <w:right w:val="single" w:sz="4" w:space="0" w:color="auto"/>
            </w:tcBorders>
            <w:noWrap/>
            <w:vAlign w:val="bottom"/>
          </w:tcPr>
          <w:p w:rsidR="00162CD2" w:rsidRPr="008A36EB" w:rsidRDefault="00162CD2" w:rsidP="006660F0">
            <w:pPr>
              <w:spacing w:after="0" w:line="240" w:lineRule="auto"/>
              <w:ind w:firstLine="0"/>
              <w:jc w:val="left"/>
            </w:pPr>
          </w:p>
        </w:tc>
        <w:tc>
          <w:tcPr>
            <w:tcW w:w="425" w:type="dxa"/>
            <w:tcBorders>
              <w:top w:val="nil"/>
              <w:left w:val="single" w:sz="4" w:space="0" w:color="auto"/>
              <w:bottom w:val="nil"/>
              <w:right w:val="single" w:sz="4" w:space="0" w:color="auto"/>
            </w:tcBorders>
          </w:tcPr>
          <w:p w:rsidR="00162CD2" w:rsidRPr="008A36EB" w:rsidRDefault="00162CD2" w:rsidP="006660F0">
            <w:pPr>
              <w:spacing w:after="0" w:line="240" w:lineRule="auto"/>
              <w:ind w:firstLine="0"/>
              <w:jc w:val="left"/>
            </w:pPr>
          </w:p>
        </w:tc>
        <w:tc>
          <w:tcPr>
            <w:tcW w:w="1772" w:type="dxa"/>
            <w:vMerge/>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660F0">
            <w:pPr>
              <w:spacing w:after="0" w:line="240" w:lineRule="auto"/>
              <w:ind w:firstLine="0"/>
              <w:jc w:val="left"/>
            </w:pPr>
          </w:p>
        </w:tc>
        <w:tc>
          <w:tcPr>
            <w:tcW w:w="1772" w:type="dxa"/>
            <w:vMerge/>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660F0">
            <w:pPr>
              <w:spacing w:after="0" w:line="240" w:lineRule="auto"/>
              <w:ind w:firstLine="0"/>
              <w:jc w:val="left"/>
            </w:pPr>
          </w:p>
        </w:tc>
      </w:tr>
      <w:tr w:rsidR="00162CD2" w:rsidRPr="008A36EB" w:rsidTr="004D09ED">
        <w:trPr>
          <w:trHeight w:val="285"/>
        </w:trPr>
        <w:tc>
          <w:tcPr>
            <w:tcW w:w="1629" w:type="dxa"/>
            <w:tcBorders>
              <w:top w:val="single" w:sz="4" w:space="0" w:color="auto"/>
              <w:left w:val="single" w:sz="4" w:space="0" w:color="auto"/>
              <w:bottom w:val="single" w:sz="4" w:space="0" w:color="auto"/>
              <w:right w:val="single" w:sz="4" w:space="0" w:color="auto"/>
            </w:tcBorders>
            <w:noWrap/>
            <w:vAlign w:val="bottom"/>
          </w:tcPr>
          <w:p w:rsidR="00162CD2" w:rsidRPr="008A36EB" w:rsidRDefault="00162CD2" w:rsidP="006660F0">
            <w:pPr>
              <w:spacing w:after="0" w:line="240" w:lineRule="auto"/>
              <w:ind w:firstLine="0"/>
              <w:jc w:val="left"/>
            </w:pPr>
            <w:r w:rsidRPr="008A36EB">
              <w:t>Beef</w:t>
            </w:r>
          </w:p>
        </w:tc>
        <w:tc>
          <w:tcPr>
            <w:tcW w:w="1642" w:type="dxa"/>
            <w:tcBorders>
              <w:top w:val="single" w:sz="4" w:space="0" w:color="auto"/>
              <w:left w:val="single" w:sz="4" w:space="0" w:color="auto"/>
              <w:bottom w:val="single" w:sz="4" w:space="0" w:color="auto"/>
              <w:right w:val="single" w:sz="4" w:space="0" w:color="auto"/>
            </w:tcBorders>
            <w:noWrap/>
            <w:vAlign w:val="bottom"/>
          </w:tcPr>
          <w:p w:rsidR="00162CD2" w:rsidRPr="008A36EB" w:rsidRDefault="00162CD2" w:rsidP="006660F0">
            <w:pPr>
              <w:spacing w:after="0" w:line="240" w:lineRule="auto"/>
              <w:ind w:firstLine="0"/>
              <w:jc w:val="left"/>
            </w:pPr>
            <w:r w:rsidRPr="008A36EB">
              <w:t>-2.67</w:t>
            </w:r>
          </w:p>
        </w:tc>
        <w:tc>
          <w:tcPr>
            <w:tcW w:w="1559" w:type="dxa"/>
            <w:tcBorders>
              <w:top w:val="single" w:sz="4" w:space="0" w:color="auto"/>
              <w:left w:val="single" w:sz="4" w:space="0" w:color="auto"/>
              <w:bottom w:val="single" w:sz="4" w:space="0" w:color="auto"/>
              <w:right w:val="single" w:sz="4" w:space="0" w:color="auto"/>
            </w:tcBorders>
            <w:noWrap/>
            <w:vAlign w:val="bottom"/>
          </w:tcPr>
          <w:p w:rsidR="00162CD2" w:rsidRPr="008A36EB" w:rsidRDefault="00162CD2" w:rsidP="006660F0">
            <w:pPr>
              <w:spacing w:after="0" w:line="240" w:lineRule="auto"/>
              <w:ind w:firstLine="0"/>
              <w:jc w:val="left"/>
            </w:pPr>
            <w:r w:rsidRPr="008A36EB">
              <w:t>-273</w:t>
            </w:r>
          </w:p>
        </w:tc>
        <w:tc>
          <w:tcPr>
            <w:tcW w:w="425" w:type="dxa"/>
            <w:tcBorders>
              <w:top w:val="nil"/>
              <w:left w:val="single" w:sz="4" w:space="0" w:color="auto"/>
              <w:bottom w:val="nil"/>
              <w:right w:val="single" w:sz="4" w:space="0" w:color="auto"/>
            </w:tcBorders>
            <w:vAlign w:val="bottom"/>
          </w:tcPr>
          <w:p w:rsidR="00162CD2" w:rsidRPr="008A36EB" w:rsidRDefault="00162CD2" w:rsidP="006660F0">
            <w:pPr>
              <w:spacing w:after="0" w:line="240" w:lineRule="auto"/>
              <w:ind w:firstLine="0"/>
              <w:jc w:val="left"/>
            </w:pPr>
          </w:p>
        </w:tc>
        <w:tc>
          <w:tcPr>
            <w:tcW w:w="177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660F0">
            <w:pPr>
              <w:spacing w:after="0" w:line="240" w:lineRule="auto"/>
              <w:ind w:firstLine="0"/>
              <w:jc w:val="left"/>
            </w:pPr>
            <w:r w:rsidRPr="008A36EB">
              <w:t>-1.14</w:t>
            </w:r>
          </w:p>
        </w:tc>
        <w:tc>
          <w:tcPr>
            <w:tcW w:w="177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660F0">
            <w:pPr>
              <w:spacing w:after="0" w:line="240" w:lineRule="auto"/>
              <w:ind w:firstLine="0"/>
              <w:jc w:val="left"/>
            </w:pPr>
            <w:r w:rsidRPr="008A36EB">
              <w:t>-117</w:t>
            </w:r>
          </w:p>
        </w:tc>
      </w:tr>
      <w:tr w:rsidR="00162CD2" w:rsidRPr="008A36EB" w:rsidTr="004D09ED">
        <w:trPr>
          <w:trHeight w:val="285"/>
        </w:trPr>
        <w:tc>
          <w:tcPr>
            <w:tcW w:w="1629" w:type="dxa"/>
            <w:tcBorders>
              <w:top w:val="single" w:sz="4" w:space="0" w:color="auto"/>
              <w:left w:val="single" w:sz="4" w:space="0" w:color="auto"/>
              <w:bottom w:val="single" w:sz="4" w:space="0" w:color="auto"/>
              <w:right w:val="single" w:sz="4" w:space="0" w:color="auto"/>
            </w:tcBorders>
            <w:noWrap/>
            <w:vAlign w:val="bottom"/>
          </w:tcPr>
          <w:p w:rsidR="00162CD2" w:rsidRPr="008A36EB" w:rsidRDefault="00162CD2" w:rsidP="006660F0">
            <w:pPr>
              <w:spacing w:after="0" w:line="240" w:lineRule="auto"/>
              <w:ind w:firstLine="0"/>
              <w:jc w:val="left"/>
            </w:pPr>
            <w:r w:rsidRPr="008A36EB">
              <w:t>Pork</w:t>
            </w:r>
          </w:p>
        </w:tc>
        <w:tc>
          <w:tcPr>
            <w:tcW w:w="1642" w:type="dxa"/>
            <w:tcBorders>
              <w:top w:val="single" w:sz="4" w:space="0" w:color="auto"/>
              <w:left w:val="single" w:sz="4" w:space="0" w:color="auto"/>
              <w:bottom w:val="single" w:sz="4" w:space="0" w:color="auto"/>
              <w:right w:val="single" w:sz="4" w:space="0" w:color="auto"/>
            </w:tcBorders>
            <w:noWrap/>
            <w:vAlign w:val="bottom"/>
          </w:tcPr>
          <w:p w:rsidR="00162CD2" w:rsidRPr="008A36EB" w:rsidRDefault="00162CD2" w:rsidP="006660F0">
            <w:pPr>
              <w:spacing w:after="0" w:line="240" w:lineRule="auto"/>
              <w:ind w:firstLine="0"/>
              <w:jc w:val="left"/>
            </w:pPr>
            <w:r w:rsidRPr="008A36EB">
              <w:t>-7.84</w:t>
            </w:r>
          </w:p>
        </w:tc>
        <w:tc>
          <w:tcPr>
            <w:tcW w:w="1559" w:type="dxa"/>
            <w:tcBorders>
              <w:top w:val="single" w:sz="4" w:space="0" w:color="auto"/>
              <w:left w:val="single" w:sz="4" w:space="0" w:color="auto"/>
              <w:bottom w:val="single" w:sz="4" w:space="0" w:color="auto"/>
              <w:right w:val="single" w:sz="4" w:space="0" w:color="auto"/>
            </w:tcBorders>
            <w:noWrap/>
            <w:vAlign w:val="bottom"/>
          </w:tcPr>
          <w:p w:rsidR="00162CD2" w:rsidRPr="008A36EB" w:rsidRDefault="00162CD2" w:rsidP="006660F0">
            <w:pPr>
              <w:spacing w:after="0" w:line="240" w:lineRule="auto"/>
              <w:ind w:firstLine="0"/>
              <w:jc w:val="left"/>
            </w:pPr>
            <w:r w:rsidRPr="008A36EB">
              <w:t>-408</w:t>
            </w:r>
          </w:p>
        </w:tc>
        <w:tc>
          <w:tcPr>
            <w:tcW w:w="425" w:type="dxa"/>
            <w:tcBorders>
              <w:top w:val="nil"/>
              <w:left w:val="single" w:sz="4" w:space="0" w:color="auto"/>
              <w:bottom w:val="nil"/>
              <w:right w:val="single" w:sz="4" w:space="0" w:color="auto"/>
            </w:tcBorders>
            <w:vAlign w:val="bottom"/>
          </w:tcPr>
          <w:p w:rsidR="00162CD2" w:rsidRPr="008A36EB" w:rsidRDefault="00162CD2" w:rsidP="006660F0">
            <w:pPr>
              <w:spacing w:after="0" w:line="240" w:lineRule="auto"/>
              <w:ind w:firstLine="0"/>
              <w:jc w:val="left"/>
            </w:pPr>
          </w:p>
        </w:tc>
        <w:tc>
          <w:tcPr>
            <w:tcW w:w="177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660F0">
            <w:pPr>
              <w:spacing w:after="0" w:line="240" w:lineRule="auto"/>
              <w:ind w:firstLine="0"/>
              <w:jc w:val="left"/>
            </w:pPr>
            <w:r w:rsidRPr="008A36EB">
              <w:t>-1.53</w:t>
            </w:r>
          </w:p>
        </w:tc>
        <w:tc>
          <w:tcPr>
            <w:tcW w:w="177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660F0">
            <w:pPr>
              <w:spacing w:after="0" w:line="240" w:lineRule="auto"/>
              <w:ind w:firstLine="0"/>
              <w:jc w:val="left"/>
            </w:pPr>
            <w:r w:rsidRPr="008A36EB">
              <w:t>-80</w:t>
            </w:r>
          </w:p>
        </w:tc>
      </w:tr>
      <w:tr w:rsidR="00162CD2" w:rsidRPr="008A36EB" w:rsidTr="004D09ED">
        <w:trPr>
          <w:trHeight w:val="285"/>
        </w:trPr>
        <w:tc>
          <w:tcPr>
            <w:tcW w:w="1629" w:type="dxa"/>
            <w:tcBorders>
              <w:top w:val="single" w:sz="4" w:space="0" w:color="auto"/>
              <w:left w:val="single" w:sz="4" w:space="0" w:color="auto"/>
              <w:bottom w:val="single" w:sz="4" w:space="0" w:color="auto"/>
              <w:right w:val="single" w:sz="4" w:space="0" w:color="auto"/>
            </w:tcBorders>
            <w:noWrap/>
            <w:vAlign w:val="bottom"/>
          </w:tcPr>
          <w:p w:rsidR="00162CD2" w:rsidRPr="008A36EB" w:rsidRDefault="00162CD2" w:rsidP="006660F0">
            <w:pPr>
              <w:spacing w:after="0" w:line="240" w:lineRule="auto"/>
              <w:ind w:firstLine="0"/>
              <w:jc w:val="left"/>
            </w:pPr>
            <w:r w:rsidRPr="008A36EB">
              <w:t>Poultry</w:t>
            </w:r>
          </w:p>
        </w:tc>
        <w:tc>
          <w:tcPr>
            <w:tcW w:w="1642" w:type="dxa"/>
            <w:tcBorders>
              <w:top w:val="single" w:sz="4" w:space="0" w:color="auto"/>
              <w:left w:val="single" w:sz="4" w:space="0" w:color="auto"/>
              <w:bottom w:val="single" w:sz="4" w:space="0" w:color="auto"/>
              <w:right w:val="single" w:sz="4" w:space="0" w:color="auto"/>
            </w:tcBorders>
            <w:noWrap/>
            <w:vAlign w:val="bottom"/>
          </w:tcPr>
          <w:p w:rsidR="00162CD2" w:rsidRPr="008A36EB" w:rsidRDefault="00162CD2" w:rsidP="006660F0">
            <w:pPr>
              <w:spacing w:after="0" w:line="240" w:lineRule="auto"/>
              <w:ind w:firstLine="0"/>
              <w:jc w:val="left"/>
            </w:pPr>
            <w:r w:rsidRPr="008A36EB">
              <w:t>2.04</w:t>
            </w:r>
          </w:p>
        </w:tc>
        <w:tc>
          <w:tcPr>
            <w:tcW w:w="1559" w:type="dxa"/>
            <w:tcBorders>
              <w:top w:val="single" w:sz="4" w:space="0" w:color="auto"/>
              <w:left w:val="single" w:sz="4" w:space="0" w:color="auto"/>
              <w:bottom w:val="single" w:sz="4" w:space="0" w:color="auto"/>
              <w:right w:val="single" w:sz="4" w:space="0" w:color="auto"/>
            </w:tcBorders>
            <w:noWrap/>
            <w:vAlign w:val="bottom"/>
          </w:tcPr>
          <w:p w:rsidR="00162CD2" w:rsidRPr="008A36EB" w:rsidRDefault="00162CD2" w:rsidP="006660F0">
            <w:pPr>
              <w:spacing w:after="0" w:line="240" w:lineRule="auto"/>
              <w:ind w:firstLine="0"/>
              <w:jc w:val="left"/>
            </w:pPr>
            <w:r w:rsidRPr="008A36EB">
              <w:t>366</w:t>
            </w:r>
          </w:p>
        </w:tc>
        <w:tc>
          <w:tcPr>
            <w:tcW w:w="425" w:type="dxa"/>
            <w:tcBorders>
              <w:top w:val="nil"/>
              <w:left w:val="single" w:sz="4" w:space="0" w:color="auto"/>
              <w:bottom w:val="nil"/>
              <w:right w:val="single" w:sz="4" w:space="0" w:color="auto"/>
            </w:tcBorders>
            <w:vAlign w:val="bottom"/>
          </w:tcPr>
          <w:p w:rsidR="00162CD2" w:rsidRPr="008A36EB" w:rsidRDefault="00162CD2" w:rsidP="006660F0">
            <w:pPr>
              <w:spacing w:after="0" w:line="240" w:lineRule="auto"/>
              <w:ind w:firstLine="0"/>
              <w:jc w:val="left"/>
            </w:pPr>
          </w:p>
        </w:tc>
        <w:tc>
          <w:tcPr>
            <w:tcW w:w="177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660F0">
            <w:pPr>
              <w:spacing w:after="0" w:line="240" w:lineRule="auto"/>
              <w:ind w:firstLine="0"/>
              <w:jc w:val="left"/>
            </w:pPr>
            <w:r w:rsidRPr="008A36EB">
              <w:t>0.39</w:t>
            </w:r>
          </w:p>
        </w:tc>
        <w:tc>
          <w:tcPr>
            <w:tcW w:w="177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660F0">
            <w:pPr>
              <w:spacing w:after="0" w:line="240" w:lineRule="auto"/>
              <w:ind w:firstLine="0"/>
              <w:jc w:val="left"/>
            </w:pPr>
            <w:r w:rsidRPr="008A36EB">
              <w:t>69</w:t>
            </w:r>
          </w:p>
        </w:tc>
      </w:tr>
      <w:tr w:rsidR="00162CD2" w:rsidRPr="008A36EB" w:rsidTr="004D09ED">
        <w:trPr>
          <w:trHeight w:val="285"/>
        </w:trPr>
        <w:tc>
          <w:tcPr>
            <w:tcW w:w="1629" w:type="dxa"/>
            <w:tcBorders>
              <w:top w:val="single" w:sz="4" w:space="0" w:color="auto"/>
              <w:left w:val="single" w:sz="4" w:space="0" w:color="auto"/>
              <w:bottom w:val="single" w:sz="4" w:space="0" w:color="auto"/>
              <w:right w:val="single" w:sz="4" w:space="0" w:color="auto"/>
            </w:tcBorders>
            <w:noWrap/>
            <w:vAlign w:val="bottom"/>
          </w:tcPr>
          <w:p w:rsidR="00162CD2" w:rsidRPr="008A36EB" w:rsidRDefault="00162CD2" w:rsidP="006660F0">
            <w:pPr>
              <w:spacing w:after="0" w:line="240" w:lineRule="auto"/>
              <w:ind w:firstLine="0"/>
              <w:jc w:val="left"/>
            </w:pPr>
            <w:r w:rsidRPr="008A36EB">
              <w:t>Meats</w:t>
            </w:r>
          </w:p>
        </w:tc>
        <w:tc>
          <w:tcPr>
            <w:tcW w:w="1642" w:type="dxa"/>
            <w:tcBorders>
              <w:top w:val="single" w:sz="4" w:space="0" w:color="auto"/>
              <w:left w:val="single" w:sz="4" w:space="0" w:color="auto"/>
              <w:bottom w:val="single" w:sz="4" w:space="0" w:color="auto"/>
              <w:right w:val="single" w:sz="4" w:space="0" w:color="auto"/>
            </w:tcBorders>
            <w:noWrap/>
            <w:vAlign w:val="bottom"/>
          </w:tcPr>
          <w:p w:rsidR="00162CD2" w:rsidRPr="008A36EB" w:rsidRDefault="00162CD2" w:rsidP="006660F0">
            <w:pPr>
              <w:spacing w:after="0" w:line="240" w:lineRule="auto"/>
              <w:ind w:firstLine="0"/>
              <w:jc w:val="left"/>
            </w:pPr>
            <w:r w:rsidRPr="008A36EB">
              <w:t>-3.67</w:t>
            </w:r>
          </w:p>
        </w:tc>
        <w:tc>
          <w:tcPr>
            <w:tcW w:w="1559" w:type="dxa"/>
            <w:tcBorders>
              <w:top w:val="single" w:sz="4" w:space="0" w:color="auto"/>
              <w:left w:val="single" w:sz="4" w:space="0" w:color="auto"/>
              <w:bottom w:val="single" w:sz="4" w:space="0" w:color="auto"/>
              <w:right w:val="single" w:sz="4" w:space="0" w:color="auto"/>
            </w:tcBorders>
            <w:noWrap/>
            <w:vAlign w:val="bottom"/>
          </w:tcPr>
          <w:p w:rsidR="00162CD2" w:rsidRPr="008A36EB" w:rsidRDefault="00162CD2" w:rsidP="006660F0">
            <w:pPr>
              <w:spacing w:after="0" w:line="240" w:lineRule="auto"/>
              <w:ind w:firstLine="0"/>
              <w:jc w:val="left"/>
            </w:pPr>
            <w:r w:rsidRPr="008A36EB">
              <w:t>-1 413</w:t>
            </w:r>
          </w:p>
        </w:tc>
        <w:tc>
          <w:tcPr>
            <w:tcW w:w="425" w:type="dxa"/>
            <w:tcBorders>
              <w:top w:val="nil"/>
              <w:left w:val="single" w:sz="4" w:space="0" w:color="auto"/>
              <w:bottom w:val="nil"/>
              <w:right w:val="single" w:sz="4" w:space="0" w:color="auto"/>
            </w:tcBorders>
            <w:vAlign w:val="bottom"/>
          </w:tcPr>
          <w:p w:rsidR="00162CD2" w:rsidRPr="008A36EB" w:rsidRDefault="00162CD2" w:rsidP="006660F0">
            <w:pPr>
              <w:spacing w:after="0" w:line="240" w:lineRule="auto"/>
              <w:ind w:firstLine="0"/>
              <w:jc w:val="left"/>
            </w:pPr>
          </w:p>
        </w:tc>
        <w:tc>
          <w:tcPr>
            <w:tcW w:w="177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660F0">
            <w:pPr>
              <w:spacing w:after="0" w:line="240" w:lineRule="auto"/>
              <w:ind w:firstLine="0"/>
              <w:jc w:val="left"/>
            </w:pPr>
            <w:r w:rsidRPr="008A36EB">
              <w:t>-2.54</w:t>
            </w:r>
          </w:p>
        </w:tc>
        <w:tc>
          <w:tcPr>
            <w:tcW w:w="177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660F0">
            <w:pPr>
              <w:spacing w:after="0" w:line="240" w:lineRule="auto"/>
              <w:ind w:firstLine="0"/>
              <w:jc w:val="left"/>
            </w:pPr>
            <w:r w:rsidRPr="008A36EB">
              <w:t>-980</w:t>
            </w:r>
          </w:p>
        </w:tc>
      </w:tr>
      <w:tr w:rsidR="00162CD2" w:rsidRPr="008A36EB" w:rsidTr="004D09ED">
        <w:trPr>
          <w:trHeight w:val="285"/>
        </w:trPr>
        <w:tc>
          <w:tcPr>
            <w:tcW w:w="1629" w:type="dxa"/>
            <w:tcBorders>
              <w:top w:val="single" w:sz="4" w:space="0" w:color="auto"/>
              <w:left w:val="single" w:sz="4" w:space="0" w:color="auto"/>
              <w:bottom w:val="single" w:sz="4" w:space="0" w:color="auto"/>
              <w:right w:val="single" w:sz="4" w:space="0" w:color="auto"/>
            </w:tcBorders>
            <w:noWrap/>
            <w:vAlign w:val="bottom"/>
          </w:tcPr>
          <w:p w:rsidR="00162CD2" w:rsidRPr="008A36EB" w:rsidRDefault="00162CD2" w:rsidP="006660F0">
            <w:pPr>
              <w:spacing w:after="0" w:line="240" w:lineRule="auto"/>
              <w:ind w:firstLine="0"/>
              <w:jc w:val="left"/>
            </w:pPr>
            <w:r w:rsidRPr="008A36EB">
              <w:t>Dairy</w:t>
            </w:r>
          </w:p>
        </w:tc>
        <w:tc>
          <w:tcPr>
            <w:tcW w:w="1642" w:type="dxa"/>
            <w:tcBorders>
              <w:top w:val="single" w:sz="4" w:space="0" w:color="auto"/>
              <w:left w:val="single" w:sz="4" w:space="0" w:color="auto"/>
              <w:bottom w:val="single" w:sz="4" w:space="0" w:color="auto"/>
              <w:right w:val="single" w:sz="4" w:space="0" w:color="auto"/>
            </w:tcBorders>
            <w:noWrap/>
            <w:vAlign w:val="bottom"/>
          </w:tcPr>
          <w:p w:rsidR="00162CD2" w:rsidRPr="008A36EB" w:rsidRDefault="00162CD2" w:rsidP="006660F0">
            <w:pPr>
              <w:spacing w:after="0" w:line="240" w:lineRule="auto"/>
              <w:ind w:firstLine="0"/>
              <w:jc w:val="left"/>
            </w:pPr>
            <w:r w:rsidRPr="008A36EB">
              <w:t>-0.92</w:t>
            </w:r>
          </w:p>
        </w:tc>
        <w:tc>
          <w:tcPr>
            <w:tcW w:w="1559" w:type="dxa"/>
            <w:tcBorders>
              <w:top w:val="single" w:sz="4" w:space="0" w:color="auto"/>
              <w:left w:val="single" w:sz="4" w:space="0" w:color="auto"/>
              <w:bottom w:val="single" w:sz="4" w:space="0" w:color="auto"/>
              <w:right w:val="single" w:sz="4" w:space="0" w:color="auto"/>
            </w:tcBorders>
            <w:noWrap/>
            <w:vAlign w:val="bottom"/>
          </w:tcPr>
          <w:p w:rsidR="00162CD2" w:rsidRPr="008A36EB" w:rsidRDefault="00162CD2" w:rsidP="006660F0">
            <w:pPr>
              <w:spacing w:after="0" w:line="240" w:lineRule="auto"/>
              <w:ind w:firstLine="0"/>
              <w:jc w:val="left"/>
            </w:pPr>
            <w:r w:rsidRPr="008A36EB">
              <w:t>-466</w:t>
            </w:r>
          </w:p>
        </w:tc>
        <w:tc>
          <w:tcPr>
            <w:tcW w:w="425" w:type="dxa"/>
            <w:tcBorders>
              <w:top w:val="nil"/>
              <w:left w:val="single" w:sz="4" w:space="0" w:color="auto"/>
              <w:bottom w:val="nil"/>
              <w:right w:val="single" w:sz="4" w:space="0" w:color="auto"/>
            </w:tcBorders>
            <w:vAlign w:val="bottom"/>
          </w:tcPr>
          <w:p w:rsidR="00162CD2" w:rsidRPr="008A36EB" w:rsidRDefault="00162CD2" w:rsidP="006660F0">
            <w:pPr>
              <w:spacing w:after="0" w:line="240" w:lineRule="auto"/>
              <w:ind w:firstLine="0"/>
              <w:jc w:val="left"/>
            </w:pPr>
          </w:p>
        </w:tc>
        <w:tc>
          <w:tcPr>
            <w:tcW w:w="177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660F0">
            <w:pPr>
              <w:spacing w:after="0" w:line="240" w:lineRule="auto"/>
              <w:ind w:firstLine="0"/>
              <w:jc w:val="left"/>
            </w:pPr>
            <w:r w:rsidRPr="008A36EB">
              <w:t>-0.35</w:t>
            </w:r>
          </w:p>
        </w:tc>
        <w:tc>
          <w:tcPr>
            <w:tcW w:w="177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660F0">
            <w:pPr>
              <w:spacing w:after="0" w:line="240" w:lineRule="auto"/>
              <w:ind w:firstLine="0"/>
              <w:jc w:val="left"/>
            </w:pPr>
            <w:r w:rsidRPr="008A36EB">
              <w:t>-178</w:t>
            </w:r>
          </w:p>
        </w:tc>
      </w:tr>
      <w:tr w:rsidR="00162CD2" w:rsidRPr="008A36EB" w:rsidTr="004D09ED">
        <w:trPr>
          <w:trHeight w:val="285"/>
        </w:trPr>
        <w:tc>
          <w:tcPr>
            <w:tcW w:w="1629" w:type="dxa"/>
            <w:tcBorders>
              <w:top w:val="single" w:sz="4" w:space="0" w:color="auto"/>
              <w:left w:val="single" w:sz="4" w:space="0" w:color="auto"/>
              <w:bottom w:val="single" w:sz="4" w:space="0" w:color="auto"/>
              <w:right w:val="single" w:sz="4" w:space="0" w:color="auto"/>
            </w:tcBorders>
            <w:noWrap/>
            <w:vAlign w:val="bottom"/>
          </w:tcPr>
          <w:p w:rsidR="00162CD2" w:rsidRPr="008A36EB" w:rsidRDefault="00162CD2" w:rsidP="00C34F1D">
            <w:pPr>
              <w:spacing w:after="0" w:line="240" w:lineRule="auto"/>
              <w:ind w:firstLine="0"/>
              <w:jc w:val="left"/>
            </w:pPr>
            <w:r w:rsidRPr="008A36EB">
              <w:t>Cereals</w:t>
            </w:r>
          </w:p>
        </w:tc>
        <w:tc>
          <w:tcPr>
            <w:tcW w:w="1642" w:type="dxa"/>
            <w:tcBorders>
              <w:top w:val="single" w:sz="4" w:space="0" w:color="auto"/>
              <w:left w:val="single" w:sz="4" w:space="0" w:color="auto"/>
              <w:bottom w:val="single" w:sz="4" w:space="0" w:color="auto"/>
              <w:right w:val="single" w:sz="4" w:space="0" w:color="auto"/>
            </w:tcBorders>
            <w:noWrap/>
            <w:vAlign w:val="bottom"/>
          </w:tcPr>
          <w:p w:rsidR="00162CD2" w:rsidRPr="008A36EB" w:rsidRDefault="00162CD2" w:rsidP="006660F0">
            <w:pPr>
              <w:spacing w:after="0" w:line="240" w:lineRule="auto"/>
              <w:ind w:firstLine="0"/>
              <w:jc w:val="left"/>
            </w:pPr>
            <w:r w:rsidRPr="008A36EB">
              <w:t>0.47</w:t>
            </w:r>
          </w:p>
        </w:tc>
        <w:tc>
          <w:tcPr>
            <w:tcW w:w="1559" w:type="dxa"/>
            <w:tcBorders>
              <w:top w:val="single" w:sz="4" w:space="0" w:color="auto"/>
              <w:left w:val="single" w:sz="4" w:space="0" w:color="auto"/>
              <w:bottom w:val="single" w:sz="4" w:space="0" w:color="auto"/>
              <w:right w:val="single" w:sz="4" w:space="0" w:color="auto"/>
            </w:tcBorders>
            <w:noWrap/>
            <w:vAlign w:val="bottom"/>
          </w:tcPr>
          <w:p w:rsidR="00162CD2" w:rsidRPr="008A36EB" w:rsidRDefault="00162CD2" w:rsidP="006660F0">
            <w:pPr>
              <w:spacing w:after="0" w:line="240" w:lineRule="auto"/>
              <w:ind w:firstLine="0"/>
              <w:jc w:val="left"/>
            </w:pPr>
            <w:r w:rsidRPr="008A36EB">
              <w:t>134</w:t>
            </w:r>
          </w:p>
        </w:tc>
        <w:tc>
          <w:tcPr>
            <w:tcW w:w="425" w:type="dxa"/>
            <w:tcBorders>
              <w:top w:val="nil"/>
              <w:left w:val="single" w:sz="4" w:space="0" w:color="auto"/>
              <w:bottom w:val="nil"/>
              <w:right w:val="single" w:sz="4" w:space="0" w:color="auto"/>
            </w:tcBorders>
            <w:vAlign w:val="bottom"/>
          </w:tcPr>
          <w:p w:rsidR="00162CD2" w:rsidRPr="008A36EB" w:rsidRDefault="00162CD2" w:rsidP="006660F0">
            <w:pPr>
              <w:spacing w:after="0" w:line="240" w:lineRule="auto"/>
              <w:ind w:firstLine="0"/>
              <w:jc w:val="left"/>
            </w:pPr>
          </w:p>
        </w:tc>
        <w:tc>
          <w:tcPr>
            <w:tcW w:w="177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660F0">
            <w:pPr>
              <w:spacing w:after="0" w:line="240" w:lineRule="auto"/>
              <w:ind w:firstLine="0"/>
              <w:jc w:val="left"/>
            </w:pPr>
            <w:r w:rsidRPr="008A36EB">
              <w:t>-0.02</w:t>
            </w:r>
          </w:p>
        </w:tc>
        <w:tc>
          <w:tcPr>
            <w:tcW w:w="177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660F0">
            <w:pPr>
              <w:spacing w:after="0" w:line="240" w:lineRule="auto"/>
              <w:ind w:firstLine="0"/>
              <w:jc w:val="left"/>
            </w:pPr>
            <w:r w:rsidRPr="008A36EB">
              <w:t>-4</w:t>
            </w:r>
          </w:p>
        </w:tc>
      </w:tr>
      <w:tr w:rsidR="00162CD2" w:rsidRPr="008A36EB" w:rsidTr="004D09ED">
        <w:trPr>
          <w:trHeight w:val="285"/>
        </w:trPr>
        <w:tc>
          <w:tcPr>
            <w:tcW w:w="1629" w:type="dxa"/>
            <w:tcBorders>
              <w:top w:val="single" w:sz="4" w:space="0" w:color="auto"/>
              <w:left w:val="single" w:sz="4" w:space="0" w:color="auto"/>
              <w:bottom w:val="single" w:sz="4" w:space="0" w:color="auto"/>
              <w:right w:val="single" w:sz="4" w:space="0" w:color="auto"/>
            </w:tcBorders>
            <w:noWrap/>
            <w:vAlign w:val="bottom"/>
          </w:tcPr>
          <w:p w:rsidR="00162CD2" w:rsidRPr="008A36EB" w:rsidRDefault="00162CD2" w:rsidP="006660F0">
            <w:pPr>
              <w:spacing w:after="0" w:line="240" w:lineRule="auto"/>
              <w:ind w:firstLine="0"/>
              <w:jc w:val="left"/>
            </w:pPr>
            <w:r w:rsidRPr="008A36EB">
              <w:t>Processed fruit and vegetables</w:t>
            </w:r>
          </w:p>
        </w:tc>
        <w:tc>
          <w:tcPr>
            <w:tcW w:w="1642" w:type="dxa"/>
            <w:tcBorders>
              <w:top w:val="single" w:sz="4" w:space="0" w:color="auto"/>
              <w:left w:val="single" w:sz="4" w:space="0" w:color="auto"/>
              <w:bottom w:val="single" w:sz="4" w:space="0" w:color="auto"/>
              <w:right w:val="single" w:sz="4" w:space="0" w:color="auto"/>
            </w:tcBorders>
            <w:noWrap/>
            <w:vAlign w:val="bottom"/>
          </w:tcPr>
          <w:p w:rsidR="00162CD2" w:rsidRPr="008A36EB" w:rsidRDefault="00162CD2" w:rsidP="006660F0">
            <w:pPr>
              <w:spacing w:after="0" w:line="240" w:lineRule="auto"/>
              <w:ind w:firstLine="0"/>
              <w:jc w:val="left"/>
            </w:pPr>
            <w:r w:rsidRPr="008A36EB">
              <w:t>0.00</w:t>
            </w:r>
          </w:p>
        </w:tc>
        <w:tc>
          <w:tcPr>
            <w:tcW w:w="1559" w:type="dxa"/>
            <w:tcBorders>
              <w:top w:val="single" w:sz="4" w:space="0" w:color="auto"/>
              <w:left w:val="single" w:sz="4" w:space="0" w:color="auto"/>
              <w:bottom w:val="single" w:sz="4" w:space="0" w:color="auto"/>
              <w:right w:val="single" w:sz="4" w:space="0" w:color="auto"/>
            </w:tcBorders>
            <w:noWrap/>
            <w:vAlign w:val="bottom"/>
          </w:tcPr>
          <w:p w:rsidR="00162CD2" w:rsidRPr="008A36EB" w:rsidRDefault="00162CD2" w:rsidP="006660F0">
            <w:pPr>
              <w:spacing w:after="0" w:line="240" w:lineRule="auto"/>
              <w:ind w:firstLine="0"/>
              <w:jc w:val="left"/>
            </w:pPr>
            <w:r w:rsidRPr="008A36EB">
              <w:t>-2</w:t>
            </w:r>
          </w:p>
        </w:tc>
        <w:tc>
          <w:tcPr>
            <w:tcW w:w="425" w:type="dxa"/>
            <w:tcBorders>
              <w:top w:val="nil"/>
              <w:left w:val="single" w:sz="4" w:space="0" w:color="auto"/>
              <w:bottom w:val="nil"/>
              <w:right w:val="single" w:sz="4" w:space="0" w:color="auto"/>
            </w:tcBorders>
            <w:vAlign w:val="bottom"/>
          </w:tcPr>
          <w:p w:rsidR="00162CD2" w:rsidRPr="008A36EB" w:rsidRDefault="00162CD2" w:rsidP="006660F0">
            <w:pPr>
              <w:spacing w:after="0" w:line="240" w:lineRule="auto"/>
              <w:ind w:firstLine="0"/>
              <w:jc w:val="left"/>
            </w:pPr>
          </w:p>
        </w:tc>
        <w:tc>
          <w:tcPr>
            <w:tcW w:w="177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660F0">
            <w:pPr>
              <w:spacing w:after="0" w:line="240" w:lineRule="auto"/>
              <w:ind w:firstLine="0"/>
              <w:jc w:val="left"/>
            </w:pPr>
            <w:r w:rsidRPr="008A36EB">
              <w:t>-0.15</w:t>
            </w:r>
          </w:p>
        </w:tc>
        <w:tc>
          <w:tcPr>
            <w:tcW w:w="177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660F0">
            <w:pPr>
              <w:spacing w:after="0" w:line="240" w:lineRule="auto"/>
              <w:ind w:firstLine="0"/>
              <w:jc w:val="left"/>
            </w:pPr>
            <w:r w:rsidRPr="008A36EB">
              <w:t>-69</w:t>
            </w:r>
          </w:p>
        </w:tc>
      </w:tr>
      <w:tr w:rsidR="00162CD2" w:rsidRPr="008A36EB" w:rsidTr="004D09ED">
        <w:trPr>
          <w:trHeight w:val="300"/>
        </w:trPr>
        <w:tc>
          <w:tcPr>
            <w:tcW w:w="1629" w:type="dxa"/>
            <w:tcBorders>
              <w:top w:val="single" w:sz="4" w:space="0" w:color="auto"/>
              <w:left w:val="single" w:sz="4" w:space="0" w:color="auto"/>
              <w:bottom w:val="single" w:sz="4" w:space="0" w:color="auto"/>
              <w:right w:val="single" w:sz="4" w:space="0" w:color="auto"/>
            </w:tcBorders>
            <w:noWrap/>
            <w:vAlign w:val="bottom"/>
          </w:tcPr>
          <w:p w:rsidR="00162CD2" w:rsidRPr="008A36EB" w:rsidRDefault="00162CD2" w:rsidP="006660F0">
            <w:pPr>
              <w:spacing w:after="0" w:line="240" w:lineRule="auto"/>
              <w:ind w:firstLine="0"/>
              <w:jc w:val="left"/>
            </w:pPr>
            <w:r w:rsidRPr="008A36EB">
              <w:t>Wine</w:t>
            </w:r>
          </w:p>
        </w:tc>
        <w:tc>
          <w:tcPr>
            <w:tcW w:w="1642" w:type="dxa"/>
            <w:tcBorders>
              <w:top w:val="single" w:sz="4" w:space="0" w:color="auto"/>
              <w:left w:val="single" w:sz="4" w:space="0" w:color="auto"/>
              <w:bottom w:val="single" w:sz="4" w:space="0" w:color="auto"/>
              <w:right w:val="single" w:sz="4" w:space="0" w:color="auto"/>
            </w:tcBorders>
            <w:noWrap/>
            <w:vAlign w:val="bottom"/>
          </w:tcPr>
          <w:p w:rsidR="00162CD2" w:rsidRPr="008A36EB" w:rsidRDefault="00162CD2" w:rsidP="006660F0">
            <w:pPr>
              <w:spacing w:after="0" w:line="240" w:lineRule="auto"/>
              <w:ind w:firstLine="0"/>
              <w:jc w:val="left"/>
            </w:pPr>
            <w:r w:rsidRPr="008A36EB">
              <w:t>-0.31</w:t>
            </w:r>
          </w:p>
        </w:tc>
        <w:tc>
          <w:tcPr>
            <w:tcW w:w="1559" w:type="dxa"/>
            <w:tcBorders>
              <w:top w:val="single" w:sz="4" w:space="0" w:color="auto"/>
              <w:left w:val="single" w:sz="4" w:space="0" w:color="auto"/>
              <w:bottom w:val="single" w:sz="4" w:space="0" w:color="auto"/>
              <w:right w:val="single" w:sz="4" w:space="0" w:color="auto"/>
            </w:tcBorders>
            <w:noWrap/>
            <w:vAlign w:val="bottom"/>
          </w:tcPr>
          <w:p w:rsidR="00162CD2" w:rsidRPr="008A36EB" w:rsidRDefault="00162CD2" w:rsidP="006660F0">
            <w:pPr>
              <w:spacing w:after="0" w:line="240" w:lineRule="auto"/>
              <w:ind w:firstLine="0"/>
              <w:jc w:val="left"/>
            </w:pPr>
            <w:r w:rsidRPr="008A36EB">
              <w:t>-21</w:t>
            </w:r>
          </w:p>
        </w:tc>
        <w:tc>
          <w:tcPr>
            <w:tcW w:w="425" w:type="dxa"/>
            <w:tcBorders>
              <w:top w:val="nil"/>
              <w:left w:val="single" w:sz="4" w:space="0" w:color="auto"/>
              <w:bottom w:val="single" w:sz="4" w:space="0" w:color="auto"/>
              <w:right w:val="single" w:sz="4" w:space="0" w:color="auto"/>
            </w:tcBorders>
            <w:vAlign w:val="bottom"/>
          </w:tcPr>
          <w:p w:rsidR="00162CD2" w:rsidRPr="008A36EB" w:rsidRDefault="00162CD2" w:rsidP="006660F0">
            <w:pPr>
              <w:spacing w:after="0" w:line="240" w:lineRule="auto"/>
              <w:ind w:firstLine="0"/>
              <w:jc w:val="left"/>
            </w:pPr>
          </w:p>
        </w:tc>
        <w:tc>
          <w:tcPr>
            <w:tcW w:w="177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660F0">
            <w:pPr>
              <w:spacing w:after="0" w:line="240" w:lineRule="auto"/>
              <w:ind w:firstLine="0"/>
              <w:jc w:val="left"/>
            </w:pPr>
            <w:r w:rsidRPr="008A36EB">
              <w:t>-0.66</w:t>
            </w:r>
          </w:p>
        </w:tc>
        <w:tc>
          <w:tcPr>
            <w:tcW w:w="1772" w:type="dxa"/>
            <w:tcBorders>
              <w:top w:val="single" w:sz="4" w:space="0" w:color="auto"/>
              <w:left w:val="single" w:sz="4" w:space="0" w:color="auto"/>
              <w:bottom w:val="single" w:sz="4" w:space="0" w:color="auto"/>
              <w:right w:val="single" w:sz="4" w:space="0" w:color="auto"/>
            </w:tcBorders>
            <w:vAlign w:val="bottom"/>
          </w:tcPr>
          <w:p w:rsidR="00162CD2" w:rsidRPr="008A36EB" w:rsidRDefault="00162CD2" w:rsidP="006660F0">
            <w:pPr>
              <w:spacing w:after="0" w:line="240" w:lineRule="auto"/>
              <w:ind w:firstLine="0"/>
              <w:jc w:val="left"/>
            </w:pPr>
            <w:r w:rsidRPr="008A36EB">
              <w:t>-44</w:t>
            </w:r>
          </w:p>
        </w:tc>
      </w:tr>
    </w:tbl>
    <w:p w:rsidR="00162CD2" w:rsidRPr="001E69D4" w:rsidRDefault="00162CD2" w:rsidP="005E018F">
      <w:pPr>
        <w:pStyle w:val="Footnotes"/>
        <w:spacing w:after="0"/>
      </w:pPr>
      <w:r w:rsidRPr="001E69D4">
        <w:t>Source: GSIM simulations.</w:t>
      </w:r>
    </w:p>
    <w:p w:rsidR="00162CD2" w:rsidRDefault="00162CD2">
      <w:pPr>
        <w:pStyle w:val="BodyText3"/>
        <w:rPr>
          <w:sz w:val="22"/>
          <w:szCs w:val="22"/>
        </w:rPr>
      </w:pPr>
    </w:p>
    <w:p w:rsidR="00162CD2" w:rsidRDefault="00162CD2">
      <w:pPr>
        <w:pStyle w:val="BodyText3"/>
        <w:rPr>
          <w:sz w:val="22"/>
          <w:szCs w:val="22"/>
        </w:rPr>
      </w:pPr>
      <w:r w:rsidRPr="001E69D4">
        <w:rPr>
          <w:sz w:val="22"/>
          <w:szCs w:val="22"/>
        </w:rPr>
        <w:t xml:space="preserve">It is worth </w:t>
      </w:r>
      <w:r>
        <w:rPr>
          <w:sz w:val="22"/>
          <w:szCs w:val="22"/>
        </w:rPr>
        <w:t>noting</w:t>
      </w:r>
      <w:r w:rsidRPr="001E69D4">
        <w:rPr>
          <w:sz w:val="22"/>
          <w:szCs w:val="22"/>
        </w:rPr>
        <w:t xml:space="preserve"> the </w:t>
      </w:r>
      <w:r>
        <w:rPr>
          <w:sz w:val="22"/>
          <w:szCs w:val="22"/>
        </w:rPr>
        <w:t xml:space="preserve">impact of </w:t>
      </w:r>
      <w:r w:rsidRPr="001E69D4">
        <w:rPr>
          <w:sz w:val="22"/>
          <w:szCs w:val="22"/>
        </w:rPr>
        <w:t>differing labour</w:t>
      </w:r>
      <w:r>
        <w:rPr>
          <w:sz w:val="22"/>
          <w:szCs w:val="22"/>
        </w:rPr>
        <w:t>–</w:t>
      </w:r>
      <w:r w:rsidRPr="001E69D4">
        <w:rPr>
          <w:sz w:val="22"/>
          <w:szCs w:val="22"/>
        </w:rPr>
        <w:t>output ratios in the different sectors. Processed meats, the most affected sector in terms</w:t>
      </w:r>
      <w:r>
        <w:rPr>
          <w:sz w:val="22"/>
          <w:szCs w:val="22"/>
        </w:rPr>
        <w:t xml:space="preserve"> of value</w:t>
      </w:r>
      <w:r w:rsidRPr="001E69D4">
        <w:rPr>
          <w:sz w:val="22"/>
          <w:szCs w:val="22"/>
        </w:rPr>
        <w:t>, has a relatively low labour</w:t>
      </w:r>
      <w:r>
        <w:rPr>
          <w:sz w:val="22"/>
          <w:szCs w:val="22"/>
        </w:rPr>
        <w:t>–</w:t>
      </w:r>
      <w:r w:rsidRPr="001E69D4">
        <w:rPr>
          <w:sz w:val="22"/>
          <w:szCs w:val="22"/>
        </w:rPr>
        <w:t xml:space="preserve">output ratio at 0.12 (table </w:t>
      </w:r>
      <w:r w:rsidR="00F93001">
        <w:rPr>
          <w:sz w:val="22"/>
          <w:szCs w:val="22"/>
        </w:rPr>
        <w:t>9</w:t>
      </w:r>
      <w:r>
        <w:rPr>
          <w:sz w:val="22"/>
          <w:szCs w:val="22"/>
        </w:rPr>
        <w:t>.</w:t>
      </w:r>
      <w:r w:rsidR="00AF76C6">
        <w:rPr>
          <w:sz w:val="22"/>
          <w:szCs w:val="22"/>
        </w:rPr>
        <w:t>12</w:t>
      </w:r>
      <w:r w:rsidRPr="001E69D4">
        <w:rPr>
          <w:sz w:val="22"/>
          <w:szCs w:val="22"/>
        </w:rPr>
        <w:t>).</w:t>
      </w:r>
      <w:r>
        <w:rPr>
          <w:sz w:val="22"/>
          <w:szCs w:val="22"/>
        </w:rPr>
        <w:t xml:space="preserve"> – </w:t>
      </w:r>
      <w:proofErr w:type="gramStart"/>
      <w:r w:rsidRPr="001E69D4">
        <w:rPr>
          <w:sz w:val="22"/>
          <w:szCs w:val="22"/>
        </w:rPr>
        <w:t>half</w:t>
      </w:r>
      <w:proofErr w:type="gramEnd"/>
      <w:r w:rsidRPr="001E69D4">
        <w:rPr>
          <w:sz w:val="22"/>
          <w:szCs w:val="22"/>
        </w:rPr>
        <w:t xml:space="preserve"> the labour content of pork and poultry, which are relatively labour</w:t>
      </w:r>
      <w:r>
        <w:rPr>
          <w:sz w:val="22"/>
          <w:szCs w:val="22"/>
        </w:rPr>
        <w:t>-</w:t>
      </w:r>
      <w:r w:rsidRPr="001E69D4">
        <w:rPr>
          <w:sz w:val="22"/>
          <w:szCs w:val="22"/>
        </w:rPr>
        <w:t>intensive</w:t>
      </w:r>
      <w:r>
        <w:rPr>
          <w:sz w:val="22"/>
          <w:szCs w:val="22"/>
        </w:rPr>
        <w:t xml:space="preserve"> sectors</w:t>
      </w:r>
      <w:r w:rsidRPr="001E69D4">
        <w:rPr>
          <w:sz w:val="22"/>
          <w:szCs w:val="22"/>
        </w:rPr>
        <w:t xml:space="preserve">. This is because </w:t>
      </w:r>
      <w:r w:rsidR="00E02731">
        <w:rPr>
          <w:sz w:val="22"/>
          <w:szCs w:val="22"/>
        </w:rPr>
        <w:t xml:space="preserve">processed </w:t>
      </w:r>
      <w:r w:rsidR="007076F9">
        <w:rPr>
          <w:sz w:val="22"/>
          <w:szCs w:val="22"/>
        </w:rPr>
        <w:t>m</w:t>
      </w:r>
      <w:r w:rsidRPr="001E69D4">
        <w:rPr>
          <w:sz w:val="22"/>
          <w:szCs w:val="22"/>
        </w:rPr>
        <w:t>eats is a downstream sector, which relies on less processed inputs, including beef, pork</w:t>
      </w:r>
      <w:r>
        <w:rPr>
          <w:sz w:val="22"/>
          <w:szCs w:val="22"/>
        </w:rPr>
        <w:t>,</w:t>
      </w:r>
      <w:r w:rsidRPr="001E69D4">
        <w:rPr>
          <w:sz w:val="22"/>
          <w:szCs w:val="22"/>
        </w:rPr>
        <w:t xml:space="preserve"> and poultry. While it may seem an advantage that </w:t>
      </w:r>
      <w:r w:rsidR="00E02731">
        <w:rPr>
          <w:sz w:val="22"/>
          <w:szCs w:val="22"/>
        </w:rPr>
        <w:t xml:space="preserve">processed </w:t>
      </w:r>
      <w:r w:rsidR="007076F9">
        <w:rPr>
          <w:sz w:val="22"/>
          <w:szCs w:val="22"/>
        </w:rPr>
        <w:t>m</w:t>
      </w:r>
      <w:r w:rsidRPr="001E69D4">
        <w:rPr>
          <w:sz w:val="22"/>
          <w:szCs w:val="22"/>
        </w:rPr>
        <w:t>eats is not a labour-intensive sector, the effects of a change in output are passed up and down the supply chain. A decrease in demand for processed meats leads to a decrease in demand for unprocessed meats and ultimately for livestock. These interactions are not captured in this single</w:t>
      </w:r>
      <w:r>
        <w:rPr>
          <w:sz w:val="22"/>
          <w:szCs w:val="22"/>
        </w:rPr>
        <w:t>-</w:t>
      </w:r>
      <w:r w:rsidRPr="001E69D4">
        <w:rPr>
          <w:sz w:val="22"/>
          <w:szCs w:val="22"/>
        </w:rPr>
        <w:t xml:space="preserve">commodity analysis. </w:t>
      </w:r>
      <w:r>
        <w:rPr>
          <w:sz w:val="22"/>
          <w:szCs w:val="22"/>
        </w:rPr>
        <w:t>Thus, both</w:t>
      </w:r>
      <w:r w:rsidRPr="001E69D4">
        <w:rPr>
          <w:sz w:val="22"/>
          <w:szCs w:val="22"/>
        </w:rPr>
        <w:t xml:space="preserve"> negative and positive employment effects </w:t>
      </w:r>
      <w:r>
        <w:rPr>
          <w:sz w:val="22"/>
          <w:szCs w:val="22"/>
        </w:rPr>
        <w:t>may be</w:t>
      </w:r>
      <w:r w:rsidRPr="001E69D4">
        <w:rPr>
          <w:sz w:val="22"/>
          <w:szCs w:val="22"/>
        </w:rPr>
        <w:t xml:space="preserve"> understated. </w:t>
      </w:r>
      <w:r>
        <w:rPr>
          <w:sz w:val="22"/>
          <w:szCs w:val="22"/>
        </w:rPr>
        <w:t xml:space="preserve">At the same time, </w:t>
      </w:r>
      <w:r w:rsidRPr="001E69D4">
        <w:rPr>
          <w:sz w:val="22"/>
          <w:szCs w:val="22"/>
        </w:rPr>
        <w:t xml:space="preserve">there is no attempt to take into account the scope for displaced workers to find employment in other sectors. A general equilibrium model, with an up-to-date social accounting matrix, would be required for this. </w:t>
      </w:r>
      <w:r>
        <w:rPr>
          <w:sz w:val="22"/>
          <w:szCs w:val="22"/>
        </w:rPr>
        <w:t>M</w:t>
      </w:r>
      <w:r w:rsidRPr="001E69D4">
        <w:rPr>
          <w:sz w:val="22"/>
          <w:szCs w:val="22"/>
        </w:rPr>
        <w:t xml:space="preserve">ost social accounting matrices have a high level of product aggregation and </w:t>
      </w:r>
      <w:r>
        <w:rPr>
          <w:sz w:val="22"/>
          <w:szCs w:val="22"/>
        </w:rPr>
        <w:t xml:space="preserve">therefore </w:t>
      </w:r>
      <w:r w:rsidRPr="001E69D4">
        <w:rPr>
          <w:sz w:val="22"/>
          <w:szCs w:val="22"/>
        </w:rPr>
        <w:t>could not analy</w:t>
      </w:r>
      <w:r>
        <w:rPr>
          <w:sz w:val="22"/>
          <w:szCs w:val="22"/>
        </w:rPr>
        <w:t>s</w:t>
      </w:r>
      <w:r w:rsidRPr="001E69D4">
        <w:rPr>
          <w:sz w:val="22"/>
          <w:szCs w:val="22"/>
        </w:rPr>
        <w:t xml:space="preserve">e the effects on specific sectors such as processed meat. </w:t>
      </w:r>
    </w:p>
    <w:p w:rsidR="0073758D" w:rsidRDefault="0073758D" w:rsidP="007076F9">
      <w:pPr>
        <w:pStyle w:val="Tabletitle"/>
      </w:pPr>
    </w:p>
    <w:p w:rsidR="007076F9" w:rsidRPr="00E4059A" w:rsidRDefault="000A120D" w:rsidP="007076F9">
      <w:pPr>
        <w:pStyle w:val="Tabletitle"/>
      </w:pPr>
      <w:r w:rsidRPr="000A120D">
        <w:t>Table 9.12:</w:t>
      </w:r>
      <w:r w:rsidRPr="000A120D">
        <w:tab/>
        <w:t xml:space="preserve"> BH employment and labour–output ratios, by sector</w:t>
      </w:r>
    </w:p>
    <w:tbl>
      <w:tblPr>
        <w:tblW w:w="7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652"/>
        <w:gridCol w:w="1809"/>
        <w:gridCol w:w="1809"/>
      </w:tblGrid>
      <w:tr w:rsidR="007076F9" w:rsidRPr="008A36EB" w:rsidTr="00644B17">
        <w:trPr>
          <w:trHeight w:val="255"/>
        </w:trPr>
        <w:tc>
          <w:tcPr>
            <w:tcW w:w="3652" w:type="dxa"/>
            <w:noWrap/>
            <w:vAlign w:val="bottom"/>
          </w:tcPr>
          <w:p w:rsidR="007076F9" w:rsidRPr="00513FD3" w:rsidRDefault="007076F9" w:rsidP="00644B17">
            <w:pPr>
              <w:spacing w:after="60" w:line="240" w:lineRule="auto"/>
              <w:ind w:firstLine="0"/>
              <w:jc w:val="left"/>
              <w:rPr>
                <w:rFonts w:eastAsia="Arial Unicode MS"/>
                <w:b/>
              </w:rPr>
            </w:pPr>
            <w:r w:rsidRPr="00513FD3">
              <w:rPr>
                <w:b/>
              </w:rPr>
              <w:t>Product</w:t>
            </w:r>
          </w:p>
        </w:tc>
        <w:tc>
          <w:tcPr>
            <w:tcW w:w="1809" w:type="dxa"/>
            <w:vAlign w:val="bottom"/>
          </w:tcPr>
          <w:p w:rsidR="007076F9" w:rsidRPr="00513FD3" w:rsidRDefault="007076F9" w:rsidP="00644B17">
            <w:pPr>
              <w:pStyle w:val="Heading3"/>
              <w:spacing w:line="240" w:lineRule="auto"/>
              <w:jc w:val="left"/>
              <w:rPr>
                <w:rFonts w:eastAsia="Arial Unicode MS"/>
              </w:rPr>
            </w:pPr>
            <w:r w:rsidRPr="00513FD3">
              <w:rPr>
                <w:rFonts w:eastAsia="Arial Unicode MS"/>
              </w:rPr>
              <w:t>Employment</w:t>
            </w:r>
          </w:p>
        </w:tc>
        <w:tc>
          <w:tcPr>
            <w:tcW w:w="1809" w:type="dxa"/>
            <w:vAlign w:val="bottom"/>
          </w:tcPr>
          <w:p w:rsidR="007076F9" w:rsidRPr="00513FD3" w:rsidRDefault="007076F9" w:rsidP="00644B17">
            <w:pPr>
              <w:pStyle w:val="Heading3"/>
              <w:spacing w:line="240" w:lineRule="auto"/>
              <w:jc w:val="left"/>
              <w:rPr>
                <w:rFonts w:eastAsia="Arial Unicode MS"/>
              </w:rPr>
            </w:pPr>
            <w:r w:rsidRPr="00513FD3">
              <w:rPr>
                <w:rFonts w:eastAsia="Arial Unicode MS"/>
              </w:rPr>
              <w:t>Labour–output ratio</w:t>
            </w:r>
          </w:p>
        </w:tc>
      </w:tr>
      <w:tr w:rsidR="007076F9" w:rsidRPr="008A36EB" w:rsidTr="00644B17">
        <w:trPr>
          <w:trHeight w:val="255"/>
        </w:trPr>
        <w:tc>
          <w:tcPr>
            <w:tcW w:w="3652" w:type="dxa"/>
            <w:noWrap/>
          </w:tcPr>
          <w:p w:rsidR="007076F9" w:rsidRPr="001E69D4" w:rsidRDefault="007076F9" w:rsidP="00644B17">
            <w:pPr>
              <w:spacing w:after="0" w:line="240" w:lineRule="auto"/>
              <w:ind w:firstLine="0"/>
              <w:rPr>
                <w:rStyle w:val="Style11pt"/>
                <w:rFonts w:ascii="Calibri" w:eastAsia="Arial Unicode MS" w:hAnsi="Calibri" w:cs="Calibri"/>
              </w:rPr>
            </w:pPr>
            <w:r w:rsidRPr="001E69D4">
              <w:rPr>
                <w:rStyle w:val="Style11pt"/>
                <w:rFonts w:ascii="Calibri" w:hAnsi="Calibri" w:cs="Calibri"/>
              </w:rPr>
              <w:t>Beef</w:t>
            </w:r>
          </w:p>
        </w:tc>
        <w:tc>
          <w:tcPr>
            <w:tcW w:w="1809" w:type="dxa"/>
          </w:tcPr>
          <w:p w:rsidR="007076F9" w:rsidRPr="008A36EB" w:rsidRDefault="007076F9" w:rsidP="00644B17">
            <w:pPr>
              <w:pStyle w:val="FootnoteText"/>
              <w:spacing w:after="0" w:line="240" w:lineRule="auto"/>
              <w:ind w:firstLine="0"/>
              <w:rPr>
                <w:rFonts w:eastAsia="Arial Unicode MS"/>
                <w:lang w:val="en-GB"/>
              </w:rPr>
            </w:pPr>
            <w:r w:rsidRPr="008A36EB">
              <w:rPr>
                <w:sz w:val="22"/>
                <w:szCs w:val="22"/>
                <w:lang w:val="en-GB"/>
              </w:rPr>
              <w:t>10</w:t>
            </w:r>
            <w:r>
              <w:rPr>
                <w:sz w:val="22"/>
                <w:szCs w:val="22"/>
                <w:lang w:val="en-GB"/>
              </w:rPr>
              <w:t> </w:t>
            </w:r>
            <w:r w:rsidRPr="008A36EB">
              <w:rPr>
                <w:sz w:val="22"/>
                <w:szCs w:val="22"/>
                <w:lang w:val="en-GB"/>
              </w:rPr>
              <w:t>226</w:t>
            </w:r>
          </w:p>
        </w:tc>
        <w:tc>
          <w:tcPr>
            <w:tcW w:w="1809" w:type="dxa"/>
          </w:tcPr>
          <w:p w:rsidR="007076F9" w:rsidRPr="008A36EB" w:rsidRDefault="007076F9" w:rsidP="00644B17">
            <w:pPr>
              <w:pStyle w:val="FootnoteText"/>
              <w:spacing w:after="0" w:line="240" w:lineRule="auto"/>
              <w:ind w:firstLine="0"/>
              <w:rPr>
                <w:sz w:val="22"/>
                <w:szCs w:val="22"/>
                <w:lang w:val="en-GB"/>
              </w:rPr>
            </w:pPr>
            <w:r w:rsidRPr="008A36EB">
              <w:rPr>
                <w:sz w:val="22"/>
                <w:szCs w:val="22"/>
                <w:lang w:val="en-GB"/>
              </w:rPr>
              <w:t>0.15</w:t>
            </w:r>
          </w:p>
        </w:tc>
      </w:tr>
      <w:tr w:rsidR="007076F9" w:rsidRPr="008A36EB" w:rsidTr="00644B17">
        <w:trPr>
          <w:trHeight w:val="255"/>
        </w:trPr>
        <w:tc>
          <w:tcPr>
            <w:tcW w:w="3652" w:type="dxa"/>
            <w:noWrap/>
          </w:tcPr>
          <w:p w:rsidR="007076F9" w:rsidRPr="001E69D4" w:rsidRDefault="007076F9" w:rsidP="00644B17">
            <w:pPr>
              <w:spacing w:after="0" w:line="240" w:lineRule="auto"/>
              <w:ind w:firstLine="0"/>
              <w:rPr>
                <w:rStyle w:val="Style11pt"/>
                <w:rFonts w:ascii="Calibri" w:eastAsia="Arial Unicode MS" w:hAnsi="Calibri" w:cs="Calibri"/>
              </w:rPr>
            </w:pPr>
            <w:r w:rsidRPr="001E69D4">
              <w:rPr>
                <w:rStyle w:val="Style11pt"/>
                <w:rFonts w:ascii="Calibri" w:hAnsi="Calibri" w:cs="Calibri"/>
              </w:rPr>
              <w:t>Pork</w:t>
            </w:r>
          </w:p>
        </w:tc>
        <w:tc>
          <w:tcPr>
            <w:tcW w:w="1809" w:type="dxa"/>
          </w:tcPr>
          <w:p w:rsidR="007076F9" w:rsidRPr="001E69D4" w:rsidRDefault="007076F9" w:rsidP="00644B17">
            <w:pPr>
              <w:spacing w:after="0" w:line="240" w:lineRule="auto"/>
              <w:ind w:firstLine="0"/>
              <w:rPr>
                <w:rStyle w:val="Style11pt"/>
                <w:rFonts w:ascii="Calibri" w:eastAsia="Arial Unicode MS" w:hAnsi="Calibri" w:cs="Calibri"/>
              </w:rPr>
            </w:pPr>
            <w:r w:rsidRPr="008A36EB">
              <w:t>5</w:t>
            </w:r>
            <w:r>
              <w:t> </w:t>
            </w:r>
            <w:r w:rsidRPr="008A36EB">
              <w:t>202</w:t>
            </w:r>
          </w:p>
        </w:tc>
        <w:tc>
          <w:tcPr>
            <w:tcW w:w="1809" w:type="dxa"/>
          </w:tcPr>
          <w:p w:rsidR="007076F9" w:rsidRPr="008A36EB" w:rsidRDefault="007076F9" w:rsidP="00644B17">
            <w:pPr>
              <w:spacing w:after="0" w:line="240" w:lineRule="auto"/>
              <w:ind w:firstLine="0"/>
            </w:pPr>
            <w:r w:rsidRPr="008A36EB">
              <w:t>0.33</w:t>
            </w:r>
          </w:p>
        </w:tc>
      </w:tr>
      <w:tr w:rsidR="007076F9" w:rsidRPr="008A36EB" w:rsidTr="00644B17">
        <w:trPr>
          <w:trHeight w:val="255"/>
        </w:trPr>
        <w:tc>
          <w:tcPr>
            <w:tcW w:w="3652" w:type="dxa"/>
            <w:noWrap/>
          </w:tcPr>
          <w:p w:rsidR="007076F9" w:rsidRPr="001E69D4" w:rsidRDefault="007076F9" w:rsidP="00644B17">
            <w:pPr>
              <w:spacing w:after="0" w:line="240" w:lineRule="auto"/>
              <w:ind w:firstLine="0"/>
              <w:rPr>
                <w:rStyle w:val="Style11pt"/>
                <w:rFonts w:ascii="Calibri" w:eastAsia="Arial Unicode MS" w:hAnsi="Calibri" w:cs="Calibri"/>
              </w:rPr>
            </w:pPr>
            <w:r w:rsidRPr="001E69D4">
              <w:rPr>
                <w:rStyle w:val="Style11pt"/>
                <w:rFonts w:ascii="Calibri" w:hAnsi="Calibri" w:cs="Calibri"/>
              </w:rPr>
              <w:t>Poultry meat</w:t>
            </w:r>
          </w:p>
        </w:tc>
        <w:tc>
          <w:tcPr>
            <w:tcW w:w="1809" w:type="dxa"/>
          </w:tcPr>
          <w:p w:rsidR="007076F9" w:rsidRPr="001E69D4" w:rsidRDefault="007076F9" w:rsidP="00644B17">
            <w:pPr>
              <w:spacing w:after="0" w:line="240" w:lineRule="auto"/>
              <w:ind w:firstLine="0"/>
              <w:rPr>
                <w:rStyle w:val="Style11pt"/>
                <w:rFonts w:ascii="Calibri" w:eastAsia="Arial Unicode MS" w:hAnsi="Calibri" w:cs="Calibri"/>
              </w:rPr>
            </w:pPr>
            <w:r w:rsidRPr="008A36EB">
              <w:t>17</w:t>
            </w:r>
            <w:r>
              <w:t> </w:t>
            </w:r>
            <w:r w:rsidRPr="008A36EB">
              <w:t>947</w:t>
            </w:r>
          </w:p>
        </w:tc>
        <w:tc>
          <w:tcPr>
            <w:tcW w:w="1809" w:type="dxa"/>
          </w:tcPr>
          <w:p w:rsidR="007076F9" w:rsidRPr="008A36EB" w:rsidRDefault="007076F9" w:rsidP="00644B17">
            <w:pPr>
              <w:spacing w:after="0" w:line="240" w:lineRule="auto"/>
              <w:ind w:firstLine="0"/>
            </w:pPr>
            <w:r w:rsidRPr="008A36EB">
              <w:t>0.33</w:t>
            </w:r>
          </w:p>
        </w:tc>
      </w:tr>
      <w:tr w:rsidR="007076F9" w:rsidRPr="008A36EB" w:rsidTr="00644B17">
        <w:trPr>
          <w:trHeight w:val="255"/>
        </w:trPr>
        <w:tc>
          <w:tcPr>
            <w:tcW w:w="3652" w:type="dxa"/>
            <w:noWrap/>
          </w:tcPr>
          <w:p w:rsidR="007076F9" w:rsidRPr="001E69D4" w:rsidRDefault="007076F9" w:rsidP="00644B17">
            <w:pPr>
              <w:spacing w:after="0" w:line="240" w:lineRule="auto"/>
              <w:ind w:firstLine="0"/>
              <w:rPr>
                <w:rStyle w:val="Style11pt"/>
                <w:rFonts w:ascii="Calibri" w:eastAsia="Arial Unicode MS" w:hAnsi="Calibri" w:cs="Calibri"/>
              </w:rPr>
            </w:pPr>
            <w:r w:rsidRPr="001E69D4">
              <w:rPr>
                <w:rStyle w:val="Style11pt"/>
                <w:rFonts w:ascii="Calibri" w:hAnsi="Calibri" w:cs="Calibri"/>
              </w:rPr>
              <w:t>Dairy products</w:t>
            </w:r>
          </w:p>
        </w:tc>
        <w:tc>
          <w:tcPr>
            <w:tcW w:w="1809" w:type="dxa"/>
          </w:tcPr>
          <w:p w:rsidR="007076F9" w:rsidRPr="001E69D4" w:rsidRDefault="007076F9" w:rsidP="00644B17">
            <w:pPr>
              <w:spacing w:after="0" w:line="240" w:lineRule="auto"/>
              <w:ind w:firstLine="0"/>
              <w:rPr>
                <w:rStyle w:val="Style11pt"/>
                <w:rFonts w:ascii="Calibri" w:eastAsia="Arial Unicode MS" w:hAnsi="Calibri" w:cs="Calibri"/>
              </w:rPr>
            </w:pPr>
            <w:r w:rsidRPr="008A36EB">
              <w:t>38</w:t>
            </w:r>
            <w:r>
              <w:t> </w:t>
            </w:r>
            <w:r w:rsidRPr="008A36EB">
              <w:t>545</w:t>
            </w:r>
          </w:p>
        </w:tc>
        <w:tc>
          <w:tcPr>
            <w:tcW w:w="1809" w:type="dxa"/>
          </w:tcPr>
          <w:p w:rsidR="007076F9" w:rsidRPr="008A36EB" w:rsidRDefault="007076F9" w:rsidP="00644B17">
            <w:pPr>
              <w:spacing w:after="0" w:line="240" w:lineRule="auto"/>
              <w:ind w:firstLine="0"/>
            </w:pPr>
            <w:r w:rsidRPr="008A36EB">
              <w:t>0.13</w:t>
            </w:r>
          </w:p>
        </w:tc>
      </w:tr>
      <w:tr w:rsidR="007076F9" w:rsidRPr="008A36EB" w:rsidTr="00644B17">
        <w:trPr>
          <w:trHeight w:val="255"/>
        </w:trPr>
        <w:tc>
          <w:tcPr>
            <w:tcW w:w="3652" w:type="dxa"/>
            <w:noWrap/>
          </w:tcPr>
          <w:p w:rsidR="007076F9" w:rsidRPr="001E69D4" w:rsidRDefault="007076F9" w:rsidP="00644B17">
            <w:pPr>
              <w:spacing w:after="0" w:line="240" w:lineRule="auto"/>
              <w:ind w:firstLine="0"/>
              <w:rPr>
                <w:rStyle w:val="Style11pt"/>
                <w:rFonts w:ascii="Calibri" w:eastAsia="Arial Unicode MS" w:hAnsi="Calibri" w:cs="Calibri"/>
              </w:rPr>
            </w:pPr>
            <w:r w:rsidRPr="001E69D4">
              <w:rPr>
                <w:rStyle w:val="Style11pt"/>
                <w:rFonts w:ascii="Calibri" w:hAnsi="Calibri" w:cs="Calibri"/>
              </w:rPr>
              <w:t>Processed meat</w:t>
            </w:r>
          </w:p>
        </w:tc>
        <w:tc>
          <w:tcPr>
            <w:tcW w:w="1809" w:type="dxa"/>
          </w:tcPr>
          <w:p w:rsidR="007076F9" w:rsidRPr="001E69D4" w:rsidRDefault="007076F9" w:rsidP="00644B17">
            <w:pPr>
              <w:spacing w:after="0" w:line="240" w:lineRule="auto"/>
              <w:ind w:firstLine="0"/>
              <w:rPr>
                <w:rStyle w:val="Style11pt"/>
                <w:rFonts w:ascii="Calibri" w:eastAsia="Arial Unicode MS" w:hAnsi="Calibri" w:cs="Calibri"/>
              </w:rPr>
            </w:pPr>
            <w:r w:rsidRPr="008A36EB">
              <w:t>50</w:t>
            </w:r>
            <w:r>
              <w:t> </w:t>
            </w:r>
            <w:r w:rsidRPr="008A36EB">
              <w:t>782</w:t>
            </w:r>
          </w:p>
        </w:tc>
        <w:tc>
          <w:tcPr>
            <w:tcW w:w="1809" w:type="dxa"/>
          </w:tcPr>
          <w:p w:rsidR="007076F9" w:rsidRPr="008A36EB" w:rsidRDefault="007076F9" w:rsidP="00644B17">
            <w:pPr>
              <w:spacing w:after="0" w:line="240" w:lineRule="auto"/>
              <w:ind w:firstLine="0"/>
            </w:pPr>
            <w:r w:rsidRPr="008A36EB">
              <w:t>0.12</w:t>
            </w:r>
          </w:p>
        </w:tc>
      </w:tr>
      <w:tr w:rsidR="007076F9" w:rsidRPr="008A36EB" w:rsidTr="00644B17">
        <w:trPr>
          <w:trHeight w:val="255"/>
        </w:trPr>
        <w:tc>
          <w:tcPr>
            <w:tcW w:w="3652" w:type="dxa"/>
            <w:noWrap/>
          </w:tcPr>
          <w:p w:rsidR="007076F9" w:rsidRPr="001E69D4" w:rsidRDefault="007076F9" w:rsidP="00644B17">
            <w:pPr>
              <w:spacing w:after="0" w:line="240" w:lineRule="auto"/>
              <w:ind w:firstLine="0"/>
              <w:rPr>
                <w:rStyle w:val="Style11pt"/>
                <w:rFonts w:ascii="Calibri" w:eastAsia="Arial Unicode MS" w:hAnsi="Calibri" w:cs="Calibri"/>
              </w:rPr>
            </w:pPr>
            <w:r w:rsidRPr="001E69D4">
              <w:rPr>
                <w:rStyle w:val="Style11pt"/>
                <w:rFonts w:ascii="Calibri" w:hAnsi="Calibri" w:cs="Calibri"/>
              </w:rPr>
              <w:t>Processed cereals</w:t>
            </w:r>
          </w:p>
        </w:tc>
        <w:tc>
          <w:tcPr>
            <w:tcW w:w="1809" w:type="dxa"/>
          </w:tcPr>
          <w:p w:rsidR="007076F9" w:rsidRPr="001E69D4" w:rsidRDefault="007076F9" w:rsidP="00644B17">
            <w:pPr>
              <w:spacing w:after="0" w:line="240" w:lineRule="auto"/>
              <w:ind w:firstLine="0"/>
              <w:rPr>
                <w:rStyle w:val="Style11pt"/>
                <w:rFonts w:ascii="Calibri" w:eastAsia="Arial Unicode MS" w:hAnsi="Calibri" w:cs="Calibri"/>
              </w:rPr>
            </w:pPr>
            <w:r w:rsidRPr="008A36EB">
              <w:t>28</w:t>
            </w:r>
            <w:r>
              <w:t> </w:t>
            </w:r>
            <w:r w:rsidRPr="008A36EB">
              <w:t>328</w:t>
            </w:r>
          </w:p>
        </w:tc>
        <w:tc>
          <w:tcPr>
            <w:tcW w:w="1809" w:type="dxa"/>
          </w:tcPr>
          <w:p w:rsidR="007076F9" w:rsidRPr="008A36EB" w:rsidRDefault="007076F9" w:rsidP="00644B17">
            <w:pPr>
              <w:spacing w:after="0" w:line="240" w:lineRule="auto"/>
              <w:ind w:firstLine="0"/>
            </w:pPr>
            <w:r w:rsidRPr="008A36EB">
              <w:t>0.07</w:t>
            </w:r>
          </w:p>
        </w:tc>
      </w:tr>
      <w:tr w:rsidR="007076F9" w:rsidRPr="008A36EB" w:rsidTr="00644B17">
        <w:trPr>
          <w:trHeight w:val="255"/>
        </w:trPr>
        <w:tc>
          <w:tcPr>
            <w:tcW w:w="3652" w:type="dxa"/>
            <w:noWrap/>
          </w:tcPr>
          <w:p w:rsidR="007076F9" w:rsidRPr="001E69D4" w:rsidRDefault="007076F9" w:rsidP="00644B17">
            <w:pPr>
              <w:spacing w:after="0" w:line="240" w:lineRule="auto"/>
              <w:ind w:firstLine="0"/>
              <w:rPr>
                <w:rStyle w:val="Style11pt"/>
                <w:rFonts w:ascii="Calibri" w:eastAsia="Arial Unicode MS" w:hAnsi="Calibri" w:cs="Calibri"/>
              </w:rPr>
            </w:pPr>
            <w:r w:rsidRPr="001E69D4">
              <w:rPr>
                <w:rStyle w:val="Style11pt"/>
                <w:rFonts w:ascii="Calibri" w:hAnsi="Calibri" w:cs="Calibri"/>
              </w:rPr>
              <w:t>Processed fruit and vegetables</w:t>
            </w:r>
          </w:p>
        </w:tc>
        <w:tc>
          <w:tcPr>
            <w:tcW w:w="1809" w:type="dxa"/>
          </w:tcPr>
          <w:p w:rsidR="007076F9" w:rsidRPr="001E69D4" w:rsidRDefault="007076F9" w:rsidP="00644B17">
            <w:pPr>
              <w:spacing w:after="0" w:line="240" w:lineRule="auto"/>
              <w:ind w:firstLine="0"/>
              <w:rPr>
                <w:rStyle w:val="Style11pt"/>
                <w:rFonts w:ascii="Calibri" w:eastAsia="Arial Unicode MS" w:hAnsi="Calibri" w:cs="Calibri"/>
              </w:rPr>
            </w:pPr>
            <w:r w:rsidRPr="008A36EB">
              <w:t>47</w:t>
            </w:r>
            <w:r>
              <w:t> </w:t>
            </w:r>
            <w:r w:rsidRPr="008A36EB">
              <w:t>089</w:t>
            </w:r>
          </w:p>
        </w:tc>
        <w:tc>
          <w:tcPr>
            <w:tcW w:w="1809" w:type="dxa"/>
          </w:tcPr>
          <w:p w:rsidR="007076F9" w:rsidRPr="008A36EB" w:rsidRDefault="007076F9" w:rsidP="00644B17">
            <w:pPr>
              <w:spacing w:after="0" w:line="240" w:lineRule="auto"/>
              <w:ind w:firstLine="0"/>
            </w:pPr>
            <w:r w:rsidRPr="008A36EB">
              <w:t>0.19</w:t>
            </w:r>
          </w:p>
        </w:tc>
      </w:tr>
      <w:tr w:rsidR="007076F9" w:rsidRPr="008A36EB" w:rsidTr="00644B17">
        <w:trPr>
          <w:trHeight w:val="255"/>
        </w:trPr>
        <w:tc>
          <w:tcPr>
            <w:tcW w:w="3652" w:type="dxa"/>
            <w:noWrap/>
          </w:tcPr>
          <w:p w:rsidR="007076F9" w:rsidRPr="001E69D4" w:rsidRDefault="007076F9" w:rsidP="00644B17">
            <w:pPr>
              <w:spacing w:after="0" w:line="240" w:lineRule="auto"/>
              <w:ind w:firstLine="0"/>
              <w:rPr>
                <w:rStyle w:val="Style11pt"/>
                <w:rFonts w:ascii="Calibri" w:eastAsia="Arial Unicode MS" w:hAnsi="Calibri" w:cs="Calibri"/>
              </w:rPr>
            </w:pPr>
            <w:r w:rsidRPr="001E69D4">
              <w:rPr>
                <w:rStyle w:val="Style11pt"/>
                <w:rFonts w:ascii="Calibri" w:hAnsi="Calibri" w:cs="Calibri"/>
              </w:rPr>
              <w:t>Wine</w:t>
            </w:r>
          </w:p>
        </w:tc>
        <w:tc>
          <w:tcPr>
            <w:tcW w:w="1809" w:type="dxa"/>
          </w:tcPr>
          <w:p w:rsidR="007076F9" w:rsidRPr="001E69D4" w:rsidRDefault="007076F9" w:rsidP="00644B17">
            <w:pPr>
              <w:spacing w:after="0" w:line="240" w:lineRule="auto"/>
              <w:ind w:firstLine="0"/>
              <w:rPr>
                <w:rStyle w:val="Style11pt"/>
                <w:rFonts w:ascii="Calibri" w:eastAsia="Arial Unicode MS" w:hAnsi="Calibri" w:cs="Calibri"/>
              </w:rPr>
            </w:pPr>
            <w:r w:rsidRPr="008A36EB">
              <w:t>6</w:t>
            </w:r>
            <w:r>
              <w:t> </w:t>
            </w:r>
            <w:r w:rsidRPr="008A36EB">
              <w:t>719</w:t>
            </w:r>
          </w:p>
        </w:tc>
        <w:tc>
          <w:tcPr>
            <w:tcW w:w="1809" w:type="dxa"/>
          </w:tcPr>
          <w:p w:rsidR="007076F9" w:rsidRPr="008A36EB" w:rsidRDefault="007076F9" w:rsidP="00644B17">
            <w:pPr>
              <w:spacing w:after="0" w:line="240" w:lineRule="auto"/>
              <w:ind w:firstLine="0"/>
            </w:pPr>
            <w:r w:rsidRPr="008A36EB">
              <w:t>0.30</w:t>
            </w:r>
          </w:p>
        </w:tc>
      </w:tr>
    </w:tbl>
    <w:p w:rsidR="007076F9" w:rsidRPr="001E69D4" w:rsidRDefault="007076F9" w:rsidP="007076F9">
      <w:pPr>
        <w:pStyle w:val="Footnotes"/>
      </w:pPr>
      <w:r w:rsidRPr="001E69D4">
        <w:t xml:space="preserve">Source: Authors’ estimates </w:t>
      </w:r>
      <w:r>
        <w:t>derived from</w:t>
      </w:r>
      <w:r w:rsidRPr="001E69D4">
        <w:t xml:space="preserve"> FAOSTAT and GTAP.</w:t>
      </w:r>
    </w:p>
    <w:p w:rsidR="00162CD2" w:rsidRPr="001E69D4" w:rsidRDefault="00CE0B87" w:rsidP="002E324B">
      <w:pPr>
        <w:pStyle w:val="Heading3"/>
      </w:pPr>
      <w:r>
        <w:t>9</w:t>
      </w:r>
      <w:r w:rsidR="00162CD2">
        <w:t>.</w:t>
      </w:r>
      <w:r w:rsidR="006E5332">
        <w:t>4</w:t>
      </w:r>
      <w:r w:rsidR="00162CD2">
        <w:t>.3.4</w:t>
      </w:r>
      <w:r w:rsidR="00162CD2">
        <w:tab/>
      </w:r>
      <w:r w:rsidR="00162CD2" w:rsidRPr="001E69D4">
        <w:t>Government revenues</w:t>
      </w:r>
    </w:p>
    <w:p w:rsidR="00162CD2" w:rsidRPr="001E69D4" w:rsidRDefault="00162CD2">
      <w:pPr>
        <w:pStyle w:val="BodyText"/>
        <w:spacing w:line="276" w:lineRule="auto"/>
        <w:rPr>
          <w:lang w:val="en-GB"/>
        </w:rPr>
      </w:pPr>
      <w:r>
        <w:rPr>
          <w:lang w:val="en-GB"/>
        </w:rPr>
        <w:t>C</w:t>
      </w:r>
      <w:r w:rsidRPr="001E69D4">
        <w:rPr>
          <w:lang w:val="en-GB"/>
        </w:rPr>
        <w:t>ustom tariff</w:t>
      </w:r>
      <w:r>
        <w:rPr>
          <w:lang w:val="en-GB"/>
        </w:rPr>
        <w:t>s</w:t>
      </w:r>
      <w:r w:rsidRPr="001E69D4">
        <w:rPr>
          <w:lang w:val="en-GB"/>
        </w:rPr>
        <w:t xml:space="preserve"> </w:t>
      </w:r>
      <w:r>
        <w:rPr>
          <w:lang w:val="en-GB"/>
        </w:rPr>
        <w:t>contribute</w:t>
      </w:r>
      <w:r w:rsidR="00E02731">
        <w:rPr>
          <w:lang w:val="en-GB"/>
        </w:rPr>
        <w:t>d</w:t>
      </w:r>
      <w:r>
        <w:rPr>
          <w:lang w:val="en-GB"/>
        </w:rPr>
        <w:t xml:space="preserve"> </w:t>
      </w:r>
      <w:r w:rsidRPr="001E69D4">
        <w:rPr>
          <w:lang w:val="en-GB"/>
        </w:rPr>
        <w:t xml:space="preserve">about 13 per cent to </w:t>
      </w:r>
      <w:r>
        <w:rPr>
          <w:lang w:val="en-GB"/>
        </w:rPr>
        <w:t xml:space="preserve">BH </w:t>
      </w:r>
      <w:r w:rsidRPr="001E69D4">
        <w:rPr>
          <w:lang w:val="en-GB"/>
        </w:rPr>
        <w:t>government revenue in 2006. Th</w:t>
      </w:r>
      <w:r>
        <w:rPr>
          <w:lang w:val="en-GB"/>
        </w:rPr>
        <w:t>is</w:t>
      </w:r>
      <w:r w:rsidRPr="001E69D4">
        <w:rPr>
          <w:lang w:val="en-GB"/>
        </w:rPr>
        <w:t xml:space="preserve"> share has increased in recent years with the increase in imports. Under the WTO scenario</w:t>
      </w:r>
      <w:r w:rsidR="00E02731">
        <w:rPr>
          <w:lang w:val="en-GB"/>
        </w:rPr>
        <w:t>,</w:t>
      </w:r>
      <w:r w:rsidRPr="001E69D4">
        <w:rPr>
          <w:lang w:val="en-GB"/>
        </w:rPr>
        <w:t xml:space="preserve"> government revenues from agricultural tariffs for the listed products </w:t>
      </w:r>
      <w:r>
        <w:rPr>
          <w:lang w:val="en-GB"/>
        </w:rPr>
        <w:t>would</w:t>
      </w:r>
      <w:r w:rsidRPr="001E69D4">
        <w:rPr>
          <w:lang w:val="en-GB"/>
        </w:rPr>
        <w:t xml:space="preserve"> fall by US$14 million from an initial value</w:t>
      </w:r>
      <w:r>
        <w:rPr>
          <w:lang w:val="en-GB"/>
        </w:rPr>
        <w:t xml:space="preserve"> (in 2007)</w:t>
      </w:r>
      <w:r w:rsidRPr="001E69D4">
        <w:rPr>
          <w:lang w:val="en-GB"/>
        </w:rPr>
        <w:t xml:space="preserve"> of $25 million. Under the EU accession scenario</w:t>
      </w:r>
      <w:r w:rsidR="00E02731">
        <w:rPr>
          <w:lang w:val="en-GB"/>
        </w:rPr>
        <w:t>,</w:t>
      </w:r>
      <w:r w:rsidRPr="001E69D4">
        <w:rPr>
          <w:lang w:val="en-GB"/>
        </w:rPr>
        <w:t xml:space="preserve"> tariff revenues</w:t>
      </w:r>
      <w:r>
        <w:rPr>
          <w:lang w:val="en-GB"/>
        </w:rPr>
        <w:t xml:space="preserve"> would fall by</w:t>
      </w:r>
      <w:r w:rsidRPr="001E69D4">
        <w:rPr>
          <w:lang w:val="en-GB"/>
        </w:rPr>
        <w:t xml:space="preserve"> $20 million. The major difference between the scenarios is </w:t>
      </w:r>
      <w:r>
        <w:rPr>
          <w:lang w:val="en-GB"/>
        </w:rPr>
        <w:t xml:space="preserve">that in the dairy sector revenue would be lost </w:t>
      </w:r>
      <w:r w:rsidRPr="001E69D4">
        <w:rPr>
          <w:lang w:val="en-GB"/>
        </w:rPr>
        <w:t xml:space="preserve">under the EU scenario </w:t>
      </w:r>
      <w:r>
        <w:rPr>
          <w:lang w:val="en-GB"/>
        </w:rPr>
        <w:t>but there would be</w:t>
      </w:r>
      <w:r w:rsidRPr="001E69D4">
        <w:rPr>
          <w:lang w:val="en-GB"/>
        </w:rPr>
        <w:t xml:space="preserve"> little change under the WTO scenario. </w:t>
      </w:r>
      <w:r>
        <w:rPr>
          <w:lang w:val="en-GB"/>
        </w:rPr>
        <w:t>Overall, b</w:t>
      </w:r>
      <w:r w:rsidRPr="001E69D4">
        <w:rPr>
          <w:lang w:val="en-GB"/>
        </w:rPr>
        <w:t xml:space="preserve">oth scenarios will have </w:t>
      </w:r>
      <w:r>
        <w:rPr>
          <w:lang w:val="en-GB"/>
        </w:rPr>
        <w:t>an adverse</w:t>
      </w:r>
      <w:r w:rsidRPr="001E69D4">
        <w:rPr>
          <w:lang w:val="en-GB"/>
        </w:rPr>
        <w:t xml:space="preserve"> impact on government revenues</w:t>
      </w:r>
      <w:r>
        <w:rPr>
          <w:lang w:val="en-GB"/>
        </w:rPr>
        <w:t>,</w:t>
      </w:r>
      <w:r w:rsidRPr="001E69D4">
        <w:rPr>
          <w:lang w:val="en-GB"/>
        </w:rPr>
        <w:t xml:space="preserve"> which </w:t>
      </w:r>
      <w:r>
        <w:rPr>
          <w:lang w:val="en-GB"/>
        </w:rPr>
        <w:t xml:space="preserve">would </w:t>
      </w:r>
      <w:r w:rsidRPr="001E69D4">
        <w:rPr>
          <w:lang w:val="en-GB"/>
        </w:rPr>
        <w:t xml:space="preserve">have to be offset by other tax policies. </w:t>
      </w:r>
      <w:r>
        <w:rPr>
          <w:lang w:val="en-GB"/>
        </w:rPr>
        <w:t>Since</w:t>
      </w:r>
      <w:r w:rsidR="00646F34">
        <w:rPr>
          <w:lang w:val="en-GB"/>
        </w:rPr>
        <w:t xml:space="preserve"> a relatively small share of</w:t>
      </w:r>
      <w:r w:rsidRPr="001E69D4">
        <w:rPr>
          <w:lang w:val="en-GB"/>
        </w:rPr>
        <w:t xml:space="preserve"> government revenue </w:t>
      </w:r>
      <w:r>
        <w:rPr>
          <w:lang w:val="en-GB"/>
        </w:rPr>
        <w:t>comes</w:t>
      </w:r>
      <w:r w:rsidRPr="001E69D4">
        <w:rPr>
          <w:lang w:val="en-GB"/>
        </w:rPr>
        <w:t xml:space="preserve"> from total tariff revenue</w:t>
      </w:r>
      <w:r>
        <w:rPr>
          <w:lang w:val="en-GB"/>
        </w:rPr>
        <w:t>,</w:t>
      </w:r>
      <w:r w:rsidRPr="001E69D4">
        <w:rPr>
          <w:lang w:val="en-GB"/>
        </w:rPr>
        <w:t xml:space="preserve"> and in general the major share </w:t>
      </w:r>
      <w:r>
        <w:rPr>
          <w:lang w:val="en-GB"/>
        </w:rPr>
        <w:t>of that</w:t>
      </w:r>
      <w:r w:rsidRPr="001E69D4">
        <w:rPr>
          <w:lang w:val="en-GB"/>
        </w:rPr>
        <w:t xml:space="preserve"> revenue comes from non-agricultural products, this contraction will not have </w:t>
      </w:r>
      <w:r>
        <w:rPr>
          <w:lang w:val="en-GB"/>
        </w:rPr>
        <w:t xml:space="preserve">a </w:t>
      </w:r>
      <w:r w:rsidRPr="001E69D4">
        <w:rPr>
          <w:lang w:val="en-GB"/>
        </w:rPr>
        <w:t>dramatic impact on fiscal stability. At the same time</w:t>
      </w:r>
      <w:r>
        <w:rPr>
          <w:lang w:val="en-GB"/>
        </w:rPr>
        <w:t>,</w:t>
      </w:r>
      <w:r w:rsidRPr="001E69D4">
        <w:rPr>
          <w:lang w:val="en-GB"/>
        </w:rPr>
        <w:t xml:space="preserve"> under both scenarios modest increase</w:t>
      </w:r>
      <w:r>
        <w:rPr>
          <w:lang w:val="en-GB"/>
        </w:rPr>
        <w:t>s</w:t>
      </w:r>
      <w:r w:rsidRPr="001E69D4">
        <w:rPr>
          <w:lang w:val="en-GB"/>
        </w:rPr>
        <w:t xml:space="preserve"> of exports and consumption </w:t>
      </w:r>
      <w:r>
        <w:rPr>
          <w:lang w:val="en-GB"/>
        </w:rPr>
        <w:t>are</w:t>
      </w:r>
      <w:r w:rsidRPr="001E69D4">
        <w:rPr>
          <w:lang w:val="en-GB"/>
        </w:rPr>
        <w:t xml:space="preserve"> likely, which w</w:t>
      </w:r>
      <w:r>
        <w:rPr>
          <w:lang w:val="en-GB"/>
        </w:rPr>
        <w:t>ould</w:t>
      </w:r>
      <w:r w:rsidRPr="001E69D4">
        <w:rPr>
          <w:lang w:val="en-GB"/>
        </w:rPr>
        <w:t xml:space="preserve"> boost business activities within the sector and </w:t>
      </w:r>
      <w:r>
        <w:rPr>
          <w:lang w:val="en-GB"/>
        </w:rPr>
        <w:t xml:space="preserve">thus </w:t>
      </w:r>
      <w:r w:rsidRPr="001E69D4">
        <w:rPr>
          <w:lang w:val="en-GB"/>
        </w:rPr>
        <w:t>revenues from other tax sources.</w:t>
      </w:r>
    </w:p>
    <w:p w:rsidR="00162CD2" w:rsidRPr="001E69D4" w:rsidRDefault="00CE0B87" w:rsidP="00694EF7">
      <w:pPr>
        <w:pStyle w:val="Heading3"/>
      </w:pPr>
      <w:r>
        <w:t>9</w:t>
      </w:r>
      <w:r w:rsidR="00162CD2">
        <w:t>.</w:t>
      </w:r>
      <w:r w:rsidR="006E5332">
        <w:t>4</w:t>
      </w:r>
      <w:r w:rsidR="00162CD2">
        <w:t>.3.5</w:t>
      </w:r>
      <w:r w:rsidR="00162CD2">
        <w:tab/>
      </w:r>
      <w:r w:rsidR="00162CD2" w:rsidRPr="001E69D4">
        <w:t>Producer surplus</w:t>
      </w:r>
    </w:p>
    <w:p w:rsidR="00162CD2" w:rsidRPr="001E69D4" w:rsidRDefault="00162CD2">
      <w:pPr>
        <w:pStyle w:val="BodyText"/>
        <w:spacing w:line="276" w:lineRule="auto"/>
        <w:rPr>
          <w:lang w:val="en-GB"/>
        </w:rPr>
      </w:pPr>
      <w:r w:rsidRPr="001E69D4">
        <w:rPr>
          <w:lang w:val="en-GB"/>
        </w:rPr>
        <w:t xml:space="preserve">As outlined earlier, the agricultural sector </w:t>
      </w:r>
      <w:r>
        <w:rPr>
          <w:lang w:val="en-GB"/>
        </w:rPr>
        <w:t xml:space="preserve">can </w:t>
      </w:r>
      <w:r w:rsidRPr="001E69D4">
        <w:rPr>
          <w:lang w:val="en-GB"/>
        </w:rPr>
        <w:t xml:space="preserve">play an important role in </w:t>
      </w:r>
      <w:r>
        <w:rPr>
          <w:lang w:val="en-GB"/>
        </w:rPr>
        <w:t xml:space="preserve">providing the vulnerable rural population of BH with opportunities to generate </w:t>
      </w:r>
      <w:r w:rsidRPr="001E69D4">
        <w:rPr>
          <w:lang w:val="en-GB"/>
        </w:rPr>
        <w:t>income. Th</w:t>
      </w:r>
      <w:r>
        <w:rPr>
          <w:lang w:val="en-GB"/>
        </w:rPr>
        <w:t>is</w:t>
      </w:r>
      <w:r w:rsidRPr="001E69D4">
        <w:rPr>
          <w:lang w:val="en-GB"/>
        </w:rPr>
        <w:t xml:space="preserve"> is why it is important to assess the impact of policy changes on agricultural producers. While the change in output give</w:t>
      </w:r>
      <w:r>
        <w:rPr>
          <w:lang w:val="en-GB"/>
        </w:rPr>
        <w:t>s</w:t>
      </w:r>
      <w:r w:rsidRPr="001E69D4">
        <w:rPr>
          <w:lang w:val="en-GB"/>
        </w:rPr>
        <w:t xml:space="preserve"> some indication of the likely change in employment, it says little about changes in wages. Assuming </w:t>
      </w:r>
      <w:r w:rsidR="00541B37">
        <w:rPr>
          <w:lang w:val="en-GB"/>
        </w:rPr>
        <w:t>that supply is</w:t>
      </w:r>
      <w:r w:rsidRPr="001E69D4">
        <w:rPr>
          <w:lang w:val="en-GB"/>
        </w:rPr>
        <w:t xml:space="preserve"> inelastic (less than one), the change in output in response to a price change will be less than the change in returns to producers. To add the price (wage) change to the quantity (employment) change, it is helpful to look at producer surplus, which is a measure of the profits in the industry, that is, returns minus costs of production. For self-employed farmers the producer surplus is a measure </w:t>
      </w:r>
      <w:r>
        <w:rPr>
          <w:lang w:val="en-GB"/>
        </w:rPr>
        <w:t>o</w:t>
      </w:r>
      <w:r w:rsidRPr="001E69D4">
        <w:rPr>
          <w:lang w:val="en-GB"/>
        </w:rPr>
        <w:t xml:space="preserve">f their income. </w:t>
      </w:r>
      <w:r>
        <w:rPr>
          <w:lang w:val="en-GB"/>
        </w:rPr>
        <w:t>I</w:t>
      </w:r>
      <w:r w:rsidRPr="001E69D4">
        <w:rPr>
          <w:lang w:val="en-GB"/>
        </w:rPr>
        <w:t>t can be assumed that wages are positively correlated with producer surplus. Reducing tariffs tends to reduce domestic prices and returns to producers</w:t>
      </w:r>
      <w:r>
        <w:rPr>
          <w:lang w:val="en-GB"/>
        </w:rPr>
        <w:t>. This</w:t>
      </w:r>
      <w:r w:rsidRPr="001E69D4">
        <w:rPr>
          <w:lang w:val="en-GB"/>
        </w:rPr>
        <w:t xml:space="preserve"> happens across all sectors under both scenarios, as shown in </w:t>
      </w:r>
      <w:r w:rsidR="00F93001">
        <w:rPr>
          <w:lang w:val="en-GB"/>
        </w:rPr>
        <w:t xml:space="preserve">figure </w:t>
      </w:r>
      <w:r w:rsidR="00CE0B87">
        <w:rPr>
          <w:lang w:val="en-GB"/>
        </w:rPr>
        <w:t>9</w:t>
      </w:r>
      <w:r>
        <w:rPr>
          <w:lang w:val="en-GB"/>
        </w:rPr>
        <w:t>.5</w:t>
      </w:r>
      <w:r w:rsidRPr="001E69D4">
        <w:rPr>
          <w:lang w:val="en-GB"/>
        </w:rPr>
        <w:t>. The greatest losses are in processed meats, where tariffs averaging 64 per cent are removed (EU) or reduced (</w:t>
      </w:r>
      <w:proofErr w:type="spellStart"/>
      <w:r w:rsidRPr="001E69D4">
        <w:rPr>
          <w:lang w:val="en-GB"/>
        </w:rPr>
        <w:t>RoW</w:t>
      </w:r>
      <w:proofErr w:type="spellEnd"/>
      <w:r w:rsidRPr="001E69D4">
        <w:rPr>
          <w:lang w:val="en-GB"/>
        </w:rPr>
        <w:t xml:space="preserve">). Losses amount to </w:t>
      </w:r>
      <w:r w:rsidR="00494010">
        <w:rPr>
          <w:lang w:val="en-GB"/>
        </w:rPr>
        <w:t>US</w:t>
      </w:r>
      <w:r w:rsidRPr="001E69D4">
        <w:rPr>
          <w:lang w:val="en-GB"/>
        </w:rPr>
        <w:t xml:space="preserve">$18 million </w:t>
      </w:r>
      <w:r>
        <w:rPr>
          <w:lang w:val="en-GB"/>
        </w:rPr>
        <w:t xml:space="preserve">under the EU scenario </w:t>
      </w:r>
      <w:r w:rsidRPr="001E69D4">
        <w:rPr>
          <w:lang w:val="en-GB"/>
        </w:rPr>
        <w:t>and $12 million under the WTO scenarios</w:t>
      </w:r>
      <w:r>
        <w:rPr>
          <w:lang w:val="en-GB"/>
        </w:rPr>
        <w:t>.</w:t>
      </w:r>
      <w:r w:rsidRPr="001E69D4">
        <w:rPr>
          <w:lang w:val="en-GB"/>
        </w:rPr>
        <w:t xml:space="preserve"> Th</w:t>
      </w:r>
      <w:r>
        <w:rPr>
          <w:lang w:val="en-GB"/>
        </w:rPr>
        <w:t xml:space="preserve">ese losses </w:t>
      </w:r>
      <w:r w:rsidRPr="001E69D4">
        <w:rPr>
          <w:lang w:val="en-GB"/>
        </w:rPr>
        <w:t xml:space="preserve">reflect a fall in producer prices of 12 per cent. Losses to beef and pork producers </w:t>
      </w:r>
      <w:r>
        <w:rPr>
          <w:lang w:val="en-GB"/>
        </w:rPr>
        <w:t>would be less</w:t>
      </w:r>
      <w:r w:rsidRPr="001E69D4">
        <w:rPr>
          <w:lang w:val="en-GB"/>
        </w:rPr>
        <w:t xml:space="preserve">, but in fact the price changes are greater, 17 per cent </w:t>
      </w:r>
      <w:r>
        <w:rPr>
          <w:lang w:val="en-GB"/>
        </w:rPr>
        <w:t xml:space="preserve">for beef </w:t>
      </w:r>
      <w:r w:rsidRPr="001E69D4">
        <w:rPr>
          <w:lang w:val="en-GB"/>
        </w:rPr>
        <w:t>and 28 per cent</w:t>
      </w:r>
      <w:r>
        <w:rPr>
          <w:lang w:val="en-GB"/>
        </w:rPr>
        <w:t xml:space="preserve"> for pork</w:t>
      </w:r>
      <w:r w:rsidRPr="001E69D4">
        <w:rPr>
          <w:lang w:val="en-GB"/>
        </w:rPr>
        <w:t>.</w:t>
      </w:r>
    </w:p>
    <w:p w:rsidR="00162CD2" w:rsidRDefault="000A120D" w:rsidP="00AA3C84">
      <w:pPr>
        <w:pStyle w:val="Tabletitle"/>
      </w:pPr>
      <w:r w:rsidRPr="005C513F">
        <w:t>Figure 9.5:</w:t>
      </w:r>
      <w:r w:rsidRPr="005C513F">
        <w:tab/>
        <w:t>Change in BH producer surplus</w:t>
      </w:r>
    </w:p>
    <w:p w:rsidR="00C44E33" w:rsidRPr="00C44E33" w:rsidRDefault="00C44E33" w:rsidP="00C44E33">
      <w:pPr>
        <w:rPr>
          <w:lang w:eastAsia="en-US"/>
        </w:rPr>
      </w:pPr>
      <w:r w:rsidRPr="00C44E33">
        <w:rPr>
          <w:noProof/>
        </w:rPr>
        <w:drawing>
          <wp:inline distT="0" distB="0" distL="0" distR="0">
            <wp:extent cx="4572000" cy="2743200"/>
            <wp:effectExtent l="19050" t="0" r="1905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62CD2" w:rsidRPr="001E69D4" w:rsidRDefault="00162CD2">
      <w:r>
        <w:t>While the</w:t>
      </w:r>
      <w:r w:rsidRPr="001E69D4">
        <w:t xml:space="preserve"> effects on producers </w:t>
      </w:r>
      <w:r>
        <w:t xml:space="preserve">are negative, they </w:t>
      </w:r>
      <w:r w:rsidRPr="001E69D4">
        <w:t xml:space="preserve">lead to lower prices for consumers. Indeed, consumers benefit </w:t>
      </w:r>
      <w:r w:rsidR="005C513F">
        <w:t>despite</w:t>
      </w:r>
      <w:r w:rsidRPr="001E69D4">
        <w:t xml:space="preserve"> </w:t>
      </w:r>
      <w:r>
        <w:t xml:space="preserve">losses in </w:t>
      </w:r>
      <w:r w:rsidRPr="001E69D4">
        <w:t xml:space="preserve">producer </w:t>
      </w:r>
      <w:r>
        <w:t>surplus</w:t>
      </w:r>
      <w:r w:rsidRPr="001E69D4">
        <w:t xml:space="preserve"> and also </w:t>
      </w:r>
      <w:r>
        <w:t xml:space="preserve">in </w:t>
      </w:r>
      <w:r w:rsidRPr="001E69D4">
        <w:t xml:space="preserve">government revenue. Often, consumers are also producers, however. In this case </w:t>
      </w:r>
      <w:r>
        <w:t xml:space="preserve">the impact on them </w:t>
      </w:r>
      <w:r w:rsidRPr="001E69D4">
        <w:t>depends on whether they are net</w:t>
      </w:r>
      <w:r w:rsidR="00494010">
        <w:t xml:space="preserve"> </w:t>
      </w:r>
      <w:r w:rsidRPr="001E69D4">
        <w:t>buyers or sellers. The distribution of gains and losses is an important issue for policy</w:t>
      </w:r>
      <w:r w:rsidR="00494010">
        <w:t>-</w:t>
      </w:r>
      <w:r w:rsidRPr="001E69D4">
        <w:t>makers to consider. In order to judge overall effects of implemented policies and benefits to the economy as a whole</w:t>
      </w:r>
      <w:r>
        <w:t>,</w:t>
      </w:r>
      <w:r w:rsidRPr="001E69D4">
        <w:t xml:space="preserve"> it is important to aggregate those various effects</w:t>
      </w:r>
      <w:r w:rsidR="00494010">
        <w:t>;</w:t>
      </w:r>
      <w:r w:rsidRPr="001E69D4">
        <w:t xml:space="preserve"> </w:t>
      </w:r>
      <w:r w:rsidR="00494010">
        <w:t xml:space="preserve">this </w:t>
      </w:r>
      <w:r w:rsidRPr="001E69D4">
        <w:t>is done in the next section.</w:t>
      </w:r>
    </w:p>
    <w:p w:rsidR="00162CD2" w:rsidRPr="001E69D4" w:rsidRDefault="00CE0B87" w:rsidP="00B924C1">
      <w:pPr>
        <w:pStyle w:val="Heading3"/>
      </w:pPr>
      <w:r>
        <w:t>9</w:t>
      </w:r>
      <w:r w:rsidR="00162CD2">
        <w:t>.</w:t>
      </w:r>
      <w:r w:rsidR="006E5332">
        <w:t>4</w:t>
      </w:r>
      <w:r w:rsidR="00162CD2">
        <w:t>.3.6</w:t>
      </w:r>
      <w:r w:rsidR="00162CD2">
        <w:tab/>
      </w:r>
      <w:r w:rsidR="00162CD2" w:rsidRPr="001E69D4">
        <w:t>Welfare</w:t>
      </w:r>
    </w:p>
    <w:p w:rsidR="00162CD2" w:rsidRPr="005C513F" w:rsidRDefault="00162CD2">
      <w:pPr>
        <w:rPr>
          <w:rStyle w:val="Style11pt"/>
          <w:rFonts w:ascii="Calibri" w:hAnsi="Calibri" w:cs="Calibri"/>
        </w:rPr>
      </w:pPr>
      <w:r w:rsidRPr="001E69D4">
        <w:t xml:space="preserve">Any policy change generates winner and losers. The major effects of a tariff reduction are transfers from tax collectors and producers to consumers. Welfare measures the net effects in each sector. </w:t>
      </w:r>
      <w:r w:rsidRPr="001E69D4">
        <w:rPr>
          <w:rStyle w:val="Style11pt"/>
          <w:rFonts w:ascii="Calibri" w:hAnsi="Calibri" w:cs="Calibri"/>
        </w:rPr>
        <w:t xml:space="preserve">Most of </w:t>
      </w:r>
      <w:r w:rsidR="00494010">
        <w:rPr>
          <w:rStyle w:val="Style11pt"/>
          <w:rFonts w:ascii="Calibri" w:hAnsi="Calibri" w:cs="Calibri"/>
        </w:rPr>
        <w:t xml:space="preserve">the </w:t>
      </w:r>
      <w:r w:rsidRPr="001E69D4">
        <w:rPr>
          <w:rStyle w:val="Style11pt"/>
          <w:rFonts w:ascii="Calibri" w:hAnsi="Calibri" w:cs="Calibri"/>
        </w:rPr>
        <w:t xml:space="preserve">gains from removing deadweight losses are the results of increased efficiency of resource utilization. There may also be the terms of trade effects, such as the relative rise in prices of wheat that come from policy reform elsewhere. These effects may be positive or negative depending on whether the country is an importer or exporter of the product. BH is </w:t>
      </w:r>
      <w:r w:rsidR="00494010">
        <w:rPr>
          <w:rStyle w:val="Style11pt"/>
          <w:rFonts w:ascii="Calibri" w:hAnsi="Calibri" w:cs="Calibri"/>
        </w:rPr>
        <w:t xml:space="preserve">a </w:t>
      </w:r>
      <w:r w:rsidRPr="001E69D4">
        <w:rPr>
          <w:rStyle w:val="Style11pt"/>
          <w:rFonts w:ascii="Calibri" w:hAnsi="Calibri" w:cs="Calibri"/>
        </w:rPr>
        <w:t>net importer of almost all food products. The effects of WTO and EU accession scenario</w:t>
      </w:r>
      <w:r w:rsidR="00494010">
        <w:rPr>
          <w:rStyle w:val="Style11pt"/>
          <w:rFonts w:ascii="Calibri" w:hAnsi="Calibri" w:cs="Calibri"/>
        </w:rPr>
        <w:t>s o</w:t>
      </w:r>
      <w:r w:rsidRPr="001E69D4">
        <w:rPr>
          <w:rStyle w:val="Style11pt"/>
          <w:rFonts w:ascii="Calibri" w:hAnsi="Calibri" w:cs="Calibri"/>
        </w:rPr>
        <w:t xml:space="preserve">n BH welfare are presented </w:t>
      </w:r>
      <w:r w:rsidR="00494010">
        <w:rPr>
          <w:rStyle w:val="Style11pt"/>
          <w:rFonts w:ascii="Calibri" w:hAnsi="Calibri" w:cs="Calibri"/>
        </w:rPr>
        <w:t>in</w:t>
      </w:r>
      <w:r w:rsidRPr="001E69D4">
        <w:rPr>
          <w:rStyle w:val="Style11pt"/>
          <w:rFonts w:ascii="Calibri" w:hAnsi="Calibri" w:cs="Calibri"/>
        </w:rPr>
        <w:t xml:space="preserve"> </w:t>
      </w:r>
      <w:r w:rsidR="00494010">
        <w:rPr>
          <w:rStyle w:val="Style11pt"/>
          <w:rFonts w:ascii="Calibri" w:hAnsi="Calibri" w:cs="Calibri"/>
        </w:rPr>
        <w:t>figure 9</w:t>
      </w:r>
      <w:r w:rsidR="001B3C35">
        <w:rPr>
          <w:rStyle w:val="Style11pt"/>
          <w:rFonts w:ascii="Calibri" w:hAnsi="Calibri" w:cs="Calibri"/>
        </w:rPr>
        <w:t>.</w:t>
      </w:r>
      <w:r w:rsidR="00494010">
        <w:rPr>
          <w:rStyle w:val="Style11pt"/>
          <w:rFonts w:ascii="Calibri" w:hAnsi="Calibri" w:cs="Calibri"/>
        </w:rPr>
        <w:t>6</w:t>
      </w:r>
      <w:r w:rsidRPr="001E69D4">
        <w:rPr>
          <w:rStyle w:val="Style11pt"/>
          <w:rFonts w:ascii="Calibri" w:hAnsi="Calibri" w:cs="Calibri"/>
        </w:rPr>
        <w:t>. There are gains to the beef, pork</w:t>
      </w:r>
      <w:r w:rsidR="00494010">
        <w:rPr>
          <w:rStyle w:val="Style11pt"/>
          <w:rFonts w:ascii="Calibri" w:hAnsi="Calibri" w:cs="Calibri"/>
        </w:rPr>
        <w:t>,</w:t>
      </w:r>
      <w:r w:rsidRPr="001E69D4">
        <w:rPr>
          <w:rStyle w:val="Style11pt"/>
          <w:rFonts w:ascii="Calibri" w:hAnsi="Calibri" w:cs="Calibri"/>
        </w:rPr>
        <w:t xml:space="preserve"> and processed meat sectors from EU accession, but losses when these sectors are open to competition from </w:t>
      </w:r>
      <w:r w:rsidRPr="005C513F">
        <w:rPr>
          <w:rStyle w:val="Style11pt"/>
          <w:rFonts w:ascii="Calibri" w:hAnsi="Calibri" w:cs="Calibri"/>
        </w:rPr>
        <w:t>th</w:t>
      </w:r>
      <w:r w:rsidR="000A120D" w:rsidRPr="005C513F">
        <w:rPr>
          <w:rStyle w:val="Style11pt"/>
          <w:rFonts w:ascii="Calibri" w:hAnsi="Calibri" w:cs="Calibri"/>
        </w:rPr>
        <w:t>e rest of the world.</w:t>
      </w:r>
    </w:p>
    <w:p w:rsidR="0073758D" w:rsidRPr="001E69D4" w:rsidRDefault="0073758D" w:rsidP="0073758D">
      <w:r w:rsidRPr="001E69D4">
        <w:t xml:space="preserve">The welfare gains estimated here highlight the observation that policies </w:t>
      </w:r>
      <w:r>
        <w:t>with</w:t>
      </w:r>
      <w:r w:rsidRPr="001E69D4">
        <w:t xml:space="preserve"> a negative </w:t>
      </w:r>
      <w:r>
        <w:t>impact on</w:t>
      </w:r>
      <w:r w:rsidRPr="001E69D4">
        <w:t xml:space="preserve"> some producers and </w:t>
      </w:r>
      <w:r>
        <w:t xml:space="preserve">on </w:t>
      </w:r>
      <w:r w:rsidRPr="001E69D4">
        <w:t xml:space="preserve">employment could have a positive impact on </w:t>
      </w:r>
      <w:r>
        <w:t xml:space="preserve">the </w:t>
      </w:r>
      <w:r w:rsidRPr="001E69D4">
        <w:t>overall well-being</w:t>
      </w:r>
      <w:r>
        <w:t xml:space="preserve"> of society</w:t>
      </w:r>
      <w:r w:rsidRPr="001E69D4">
        <w:t>. The assumption underlying this calculation of benefits and losses is that producers, consumers</w:t>
      </w:r>
      <w:r>
        <w:t>,</w:t>
      </w:r>
      <w:r w:rsidRPr="001E69D4">
        <w:t xml:space="preserve"> and taxpayers are equally </w:t>
      </w:r>
      <w:r>
        <w:t>important</w:t>
      </w:r>
      <w:r w:rsidRPr="001E69D4">
        <w:t>. In reality, policy</w:t>
      </w:r>
      <w:r>
        <w:t>-</w:t>
      </w:r>
      <w:r w:rsidRPr="001E69D4">
        <w:t>makers may wish to take into account other considerations, such as downstream effects, the scope for employment elsewhere in a given industry or region or a range of equity, social</w:t>
      </w:r>
      <w:r>
        <w:t>,</w:t>
      </w:r>
      <w:r w:rsidRPr="001E69D4">
        <w:t xml:space="preserve"> and environmental considerations. </w:t>
      </w:r>
    </w:p>
    <w:p w:rsidR="00162CD2" w:rsidRDefault="000A120D">
      <w:pPr>
        <w:pStyle w:val="StyleJustifiedLinespacing15lines"/>
        <w:spacing w:line="276" w:lineRule="auto"/>
        <w:ind w:firstLine="0"/>
        <w:rPr>
          <w:b/>
          <w:lang w:val="en-GB"/>
        </w:rPr>
      </w:pPr>
      <w:r w:rsidRPr="00E37DDB">
        <w:rPr>
          <w:b/>
          <w:lang w:val="en-GB"/>
        </w:rPr>
        <w:t>Figure 9.6:</w:t>
      </w:r>
      <w:r w:rsidRPr="00E37DDB">
        <w:rPr>
          <w:b/>
          <w:lang w:val="en-GB"/>
        </w:rPr>
        <w:tab/>
        <w:t>BH change in welfare</w:t>
      </w:r>
    </w:p>
    <w:p w:rsidR="00C44E33" w:rsidRPr="00E4059A" w:rsidRDefault="00C44E33">
      <w:pPr>
        <w:pStyle w:val="StyleJustifiedLinespacing15lines"/>
        <w:spacing w:line="276" w:lineRule="auto"/>
        <w:ind w:firstLine="0"/>
        <w:rPr>
          <w:b/>
          <w:lang w:val="en-GB"/>
        </w:rPr>
      </w:pPr>
      <w:r w:rsidRPr="00C44E33">
        <w:rPr>
          <w:b/>
          <w:noProof/>
          <w:lang w:val="en-GB" w:eastAsia="en-GB"/>
        </w:rPr>
        <w:drawing>
          <wp:inline distT="0" distB="0" distL="0" distR="0">
            <wp:extent cx="4572000" cy="2743200"/>
            <wp:effectExtent l="19050" t="0" r="1905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62CD2" w:rsidRPr="001E69D4" w:rsidRDefault="00CE0B87" w:rsidP="00B924C1">
      <w:pPr>
        <w:pStyle w:val="Heading1"/>
      </w:pPr>
      <w:r>
        <w:t>9</w:t>
      </w:r>
      <w:r w:rsidR="00162CD2">
        <w:t>.</w:t>
      </w:r>
      <w:r w:rsidR="006E5332">
        <w:t>5</w:t>
      </w:r>
      <w:r w:rsidR="00162CD2">
        <w:tab/>
      </w:r>
      <w:r w:rsidR="00162CD2" w:rsidRPr="001E69D4">
        <w:t>Implications and conclusions</w:t>
      </w:r>
    </w:p>
    <w:p w:rsidR="00162CD2" w:rsidRPr="001E69D4" w:rsidRDefault="00162CD2">
      <w:r w:rsidRPr="001E69D4">
        <w:t xml:space="preserve">In spite of its agricultural base, BH is a net importer of food. In recent years it has reformed much of its trade through various free trade agreements with neighbouring countries and a bilateral agreement with the European Union. Consequently, almost all of its trade is covered by preferential agreements. </w:t>
      </w:r>
      <w:r>
        <w:t>On</w:t>
      </w:r>
      <w:r w:rsidRPr="001E69D4">
        <w:t xml:space="preserve"> join</w:t>
      </w:r>
      <w:r>
        <w:t>ing</w:t>
      </w:r>
      <w:r w:rsidRPr="001E69D4">
        <w:t xml:space="preserve"> the WTO</w:t>
      </w:r>
      <w:r>
        <w:t>,</w:t>
      </w:r>
      <w:r w:rsidRPr="001E69D4">
        <w:t xml:space="preserve"> </w:t>
      </w:r>
      <w:r>
        <w:t>BH</w:t>
      </w:r>
      <w:r w:rsidRPr="001E69D4">
        <w:t xml:space="preserve"> </w:t>
      </w:r>
      <w:r>
        <w:t>may be required</w:t>
      </w:r>
      <w:r w:rsidRPr="001E69D4">
        <w:t xml:space="preserve"> to reduce its tariffs to </w:t>
      </w:r>
      <w:r>
        <w:t>an average of about</w:t>
      </w:r>
      <w:r w:rsidRPr="001E69D4">
        <w:t xml:space="preserve"> 5 or 10 per cent, as other new entrants have done. While there are relatively high tariffs on imports o</w:t>
      </w:r>
      <w:r>
        <w:t>f</w:t>
      </w:r>
      <w:r w:rsidRPr="001E69D4">
        <w:t xml:space="preserve"> certain products from WTO members not covered by these preferential agreements, liberali</w:t>
      </w:r>
      <w:r>
        <w:t>z</w:t>
      </w:r>
      <w:r w:rsidRPr="001E69D4">
        <w:t xml:space="preserve">ation following WTO accession is unlikely to generate significant trade flows. Furthermore, since WTO members </w:t>
      </w:r>
      <w:r w:rsidR="005C513F">
        <w:t>already</w:t>
      </w:r>
      <w:r w:rsidRPr="001E69D4">
        <w:t xml:space="preserve"> apply </w:t>
      </w:r>
      <w:r>
        <w:t>MFN</w:t>
      </w:r>
      <w:r w:rsidRPr="001E69D4">
        <w:t xml:space="preserve"> rates on imports from BH, it is unlikely that access to other countries</w:t>
      </w:r>
      <w:r>
        <w:t>’</w:t>
      </w:r>
      <w:r w:rsidRPr="001E69D4">
        <w:t xml:space="preserve"> markets will improve. BH has also applied to join the European Union and has already agreed to phase out tariffs on trade with EU members. If BH becomes an EU member, it will be required to set its tariffs at EU levels so that all EU members share a common tariff. This will require that some tariffs rise from their current levels. Agriculture is a sensitive sector, employing half </w:t>
      </w:r>
      <w:r w:rsidR="005E1B87">
        <w:t xml:space="preserve">of </w:t>
      </w:r>
      <w:r w:rsidRPr="001E69D4">
        <w:t xml:space="preserve">the </w:t>
      </w:r>
      <w:r>
        <w:t xml:space="preserve">BH </w:t>
      </w:r>
      <w:r w:rsidRPr="001E69D4">
        <w:t xml:space="preserve">workforce, </w:t>
      </w:r>
      <w:r>
        <w:t xml:space="preserve">and </w:t>
      </w:r>
      <w:r w:rsidRPr="001E69D4">
        <w:t>so the potential impacts of these two accession scenarios on the sector are worth analysi</w:t>
      </w:r>
      <w:r>
        <w:t>ng</w:t>
      </w:r>
      <w:r w:rsidRPr="001E69D4">
        <w:t xml:space="preserve">. </w:t>
      </w:r>
    </w:p>
    <w:p w:rsidR="00162CD2" w:rsidRPr="001E69D4" w:rsidRDefault="00162CD2">
      <w:r w:rsidRPr="001E69D4">
        <w:t xml:space="preserve">BH is disadvantaged by </w:t>
      </w:r>
      <w:r>
        <w:t>the inadequacy of</w:t>
      </w:r>
      <w:r w:rsidRPr="001E69D4">
        <w:t xml:space="preserve"> institutional and managerial capacities to ensure </w:t>
      </w:r>
      <w:r>
        <w:t xml:space="preserve">the </w:t>
      </w:r>
      <w:r w:rsidRPr="001E69D4">
        <w:t>application of food safety and quality measures, rules of origin</w:t>
      </w:r>
      <w:r>
        <w:t>,</w:t>
      </w:r>
      <w:r w:rsidRPr="001E69D4">
        <w:t xml:space="preserve"> and other administrative measures. WTO accession will draw attention to these inadequacies and </w:t>
      </w:r>
      <w:r>
        <w:t xml:space="preserve">should </w:t>
      </w:r>
      <w:r w:rsidRPr="001E69D4">
        <w:t>facilitate faster development and improvement.</w:t>
      </w:r>
    </w:p>
    <w:p w:rsidR="00162CD2" w:rsidRPr="001E69D4" w:rsidRDefault="00162CD2">
      <w:r>
        <w:t>Q</w:t>
      </w:r>
      <w:r w:rsidRPr="001E69D4">
        <w:t xml:space="preserve">uantitative analysis of sensitive agricultural sectors suggests </w:t>
      </w:r>
      <w:r>
        <w:t xml:space="preserve">that </w:t>
      </w:r>
      <w:r w:rsidRPr="001E69D4">
        <w:t>the major impact of a fall in bilateral tariffs with non-</w:t>
      </w:r>
      <w:r>
        <w:t>SEE</w:t>
      </w:r>
      <w:r w:rsidRPr="001E69D4">
        <w:t xml:space="preserve"> countries will be a switch in the source of imports. Overall, imports are estimated to increase, driven by the livestock products sector. Exports are </w:t>
      </w:r>
      <w:r>
        <w:t xml:space="preserve">affected </w:t>
      </w:r>
      <w:r w:rsidRPr="001E69D4">
        <w:t xml:space="preserve">only </w:t>
      </w:r>
      <w:r>
        <w:t>slightly.</w:t>
      </w:r>
      <w:r w:rsidRPr="001E69D4">
        <w:t xml:space="preserve"> </w:t>
      </w:r>
      <w:r>
        <w:t>O</w:t>
      </w:r>
      <w:r w:rsidRPr="001E69D4">
        <w:t>verall customs revenue is expected</w:t>
      </w:r>
      <w:r>
        <w:t xml:space="preserve"> to drop</w:t>
      </w:r>
      <w:r w:rsidRPr="001E69D4">
        <w:t xml:space="preserve">. This drop is significant in individual sectors but not significant for overall government revenue. The modelling undertaken here suggests that a </w:t>
      </w:r>
      <w:r>
        <w:t>rapid expansion</w:t>
      </w:r>
      <w:r w:rsidRPr="001E69D4">
        <w:t xml:space="preserve"> in the current account deficit is not </w:t>
      </w:r>
      <w:r>
        <w:t>likely</w:t>
      </w:r>
      <w:r w:rsidRPr="001E69D4">
        <w:t xml:space="preserve">, but this depends on the changes in protection in individual sectors and the response of producers and consumers to these changes. </w:t>
      </w:r>
    </w:p>
    <w:p w:rsidR="00162CD2" w:rsidRPr="001E69D4" w:rsidRDefault="00162CD2">
      <w:r>
        <w:t>T</w:t>
      </w:r>
      <w:r w:rsidRPr="001E69D4">
        <w:t xml:space="preserve">he modelling has its limitations. Apart from the usual caveats concerning data quality, especially where employment is concerned, the main drawback is the absence of </w:t>
      </w:r>
      <w:proofErr w:type="spellStart"/>
      <w:r w:rsidRPr="001E69D4">
        <w:t>intersectoral</w:t>
      </w:r>
      <w:proofErr w:type="spellEnd"/>
      <w:r w:rsidRPr="001E69D4">
        <w:t xml:space="preserve"> effects. For example, an increase in agricultural production will require an increase in fuel consumption. These additional costs are not taken into account here. Such analysis requires a general equilibrium model, with underlying input</w:t>
      </w:r>
      <w:r>
        <w:t>–</w:t>
      </w:r>
      <w:r w:rsidRPr="001E69D4">
        <w:t xml:space="preserve">output tables. The modelling here has focused on a limited number of sensitive sectors. An advantage of the chosen model is that the products and the level of aggregation can be selected to assess implications in </w:t>
      </w:r>
      <w:r>
        <w:t>specific</w:t>
      </w:r>
      <w:r w:rsidRPr="001E69D4">
        <w:t xml:space="preserve"> sectors. </w:t>
      </w:r>
    </w:p>
    <w:p w:rsidR="00162CD2" w:rsidRPr="001E69D4" w:rsidRDefault="00162CD2">
      <w:r w:rsidRPr="001E69D4">
        <w:t xml:space="preserve">Bosnia and Herzegovina is expected to experience a small reduction in agricultural sector welfare following accession to the EU </w:t>
      </w:r>
      <w:r>
        <w:t>and</w:t>
      </w:r>
      <w:r w:rsidRPr="001E69D4">
        <w:t xml:space="preserve"> the WTO. The implications for poverty are likely to be negative, especially for meat producers. Many poor farmers depend on livestock production</w:t>
      </w:r>
      <w:r>
        <w:t>,</w:t>
      </w:r>
      <w:r w:rsidRPr="001E69D4">
        <w:t xml:space="preserve"> and a drop in prices will make their situation more </w:t>
      </w:r>
      <w:r>
        <w:t>difficult</w:t>
      </w:r>
      <w:r w:rsidRPr="001E69D4">
        <w:t xml:space="preserve">. </w:t>
      </w:r>
      <w:r>
        <w:t>At</w:t>
      </w:r>
      <w:r w:rsidRPr="001E69D4">
        <w:t xml:space="preserve"> the same time</w:t>
      </w:r>
      <w:r>
        <w:t>,</w:t>
      </w:r>
      <w:r w:rsidRPr="001E69D4">
        <w:t xml:space="preserve"> further integration will have little or no impact on producer surplus in vegetable and fruit, wine</w:t>
      </w:r>
      <w:r>
        <w:t>,</w:t>
      </w:r>
      <w:r w:rsidRPr="001E69D4">
        <w:t xml:space="preserve"> and cereals production, while poultry and processed cereal producers could expect small surplus</w:t>
      </w:r>
      <w:r>
        <w:t>es</w:t>
      </w:r>
      <w:r w:rsidRPr="001E69D4">
        <w:t xml:space="preserve">. Employment effects </w:t>
      </w:r>
      <w:r>
        <w:t>should</w:t>
      </w:r>
      <w:r w:rsidRPr="001E69D4">
        <w:t xml:space="preserve"> be small, with </w:t>
      </w:r>
      <w:r>
        <w:t xml:space="preserve">about </w:t>
      </w:r>
      <w:r w:rsidRPr="001E69D4">
        <w:t>2</w:t>
      </w:r>
      <w:r>
        <w:t>,</w:t>
      </w:r>
      <w:r w:rsidRPr="001E69D4">
        <w:t xml:space="preserve">000 jobs lost. Most of these are in the meat processing sector, which is not particularly labour-intensive compared with other agricultural industries. However, there will be flow-on effects up and down the supply chain, and a fall in output would most likely </w:t>
      </w:r>
      <w:r>
        <w:t>generate</w:t>
      </w:r>
      <w:r w:rsidRPr="001E69D4">
        <w:t xml:space="preserve"> downward pressure on wages. This is a concern for policy</w:t>
      </w:r>
      <w:r>
        <w:t>-</w:t>
      </w:r>
      <w:r w:rsidRPr="001E69D4">
        <w:t xml:space="preserve">makers because many poor people work in the agricultural sector. Because of </w:t>
      </w:r>
      <w:r>
        <w:t>their tie</w:t>
      </w:r>
      <w:r w:rsidR="000D2E26">
        <w:t>s</w:t>
      </w:r>
      <w:r>
        <w:t xml:space="preserve"> to land</w:t>
      </w:r>
      <w:r w:rsidRPr="001E69D4">
        <w:t>, agricultural workers have limited scope for finding work in other sectors.</w:t>
      </w:r>
    </w:p>
    <w:p w:rsidR="00162CD2" w:rsidRPr="001E69D4" w:rsidRDefault="00162CD2">
      <w:r>
        <w:t>T</w:t>
      </w:r>
      <w:r w:rsidRPr="001E69D4">
        <w:t xml:space="preserve">he main beneficiaries </w:t>
      </w:r>
      <w:r>
        <w:t xml:space="preserve">of trade liberalization </w:t>
      </w:r>
      <w:r w:rsidRPr="001E69D4">
        <w:t>will be consumers. This presumes that lower border prices are passed through to domestic consumers. Some recent research (</w:t>
      </w:r>
      <w:proofErr w:type="spellStart"/>
      <w:r w:rsidRPr="001E69D4">
        <w:t>Lubura</w:t>
      </w:r>
      <w:proofErr w:type="spellEnd"/>
      <w:r w:rsidRPr="001E69D4">
        <w:t xml:space="preserve"> and </w:t>
      </w:r>
      <w:proofErr w:type="spellStart"/>
      <w:r w:rsidRPr="001E69D4">
        <w:t>Apotekar</w:t>
      </w:r>
      <w:proofErr w:type="spellEnd"/>
      <w:r w:rsidRPr="001E69D4">
        <w:t>, 2006) shows that</w:t>
      </w:r>
      <w:r>
        <w:t>, in fact,</w:t>
      </w:r>
      <w:r w:rsidRPr="001E69D4">
        <w:t xml:space="preserve"> </w:t>
      </w:r>
      <w:r>
        <w:t>recent</w:t>
      </w:r>
      <w:r w:rsidRPr="001E69D4">
        <w:t xml:space="preserve"> reductions in tariffs </w:t>
      </w:r>
      <w:r w:rsidR="005E1B87">
        <w:t>in BH</w:t>
      </w:r>
      <w:r w:rsidR="005E1B87" w:rsidRPr="001E69D4">
        <w:t xml:space="preserve"> </w:t>
      </w:r>
      <w:r w:rsidRPr="001E69D4">
        <w:t xml:space="preserve">were not passed on to consumers because of a weak trading sector that lacks competition. Consequently, improvement of trade sector performance and </w:t>
      </w:r>
      <w:r>
        <w:t xml:space="preserve">a </w:t>
      </w:r>
      <w:r w:rsidRPr="001E69D4">
        <w:t>decrease of transport costs are preconditions to a positive impact on consumers</w:t>
      </w:r>
      <w:r>
        <w:t xml:space="preserve"> from tariff reductions</w:t>
      </w:r>
      <w:r w:rsidRPr="001E69D4">
        <w:t xml:space="preserve">. </w:t>
      </w:r>
    </w:p>
    <w:p w:rsidR="00162CD2" w:rsidRPr="001E69D4" w:rsidRDefault="00162CD2">
      <w:pPr>
        <w:rPr>
          <w:lang w:eastAsia="en-US"/>
        </w:rPr>
      </w:pPr>
      <w:r w:rsidRPr="001E69D4">
        <w:t xml:space="preserve">Following substantial reforms, agricultural trade policies in BH are </w:t>
      </w:r>
      <w:r>
        <w:t xml:space="preserve">already </w:t>
      </w:r>
      <w:r w:rsidRPr="001E69D4">
        <w:t xml:space="preserve">quite liberal in comparison with </w:t>
      </w:r>
      <w:r>
        <w:t xml:space="preserve">those of </w:t>
      </w:r>
      <w:r w:rsidRPr="001E69D4">
        <w:t>its trading partners</w:t>
      </w:r>
      <w:r>
        <w:t>. Thus, j</w:t>
      </w:r>
      <w:r w:rsidRPr="001E69D4">
        <w:t xml:space="preserve">oining the WTO will probably have little direct impact. However, there is much </w:t>
      </w:r>
      <w:r>
        <w:t xml:space="preserve">that </w:t>
      </w:r>
      <w:r w:rsidRPr="001E69D4">
        <w:t>the government can do to promote employment. The scale of unemploy</w:t>
      </w:r>
      <w:r>
        <w:t>ment</w:t>
      </w:r>
      <w:r w:rsidRPr="001E69D4">
        <w:t xml:space="preserve"> </w:t>
      </w:r>
      <w:r>
        <w:t>and</w:t>
      </w:r>
      <w:r w:rsidRPr="001E69D4">
        <w:t xml:space="preserve"> underemploy</w:t>
      </w:r>
      <w:r>
        <w:t>ment</w:t>
      </w:r>
      <w:r w:rsidRPr="001E69D4">
        <w:t xml:space="preserve"> points to the need to reform the labour market and to create more jobs. </w:t>
      </w:r>
      <w:r w:rsidRPr="001E69D4">
        <w:rPr>
          <w:lang w:eastAsia="en-US"/>
        </w:rPr>
        <w:t>Among the main constraints holding back the development of the BH’s labo</w:t>
      </w:r>
      <w:r>
        <w:rPr>
          <w:lang w:eastAsia="en-US"/>
        </w:rPr>
        <w:t>u</w:t>
      </w:r>
      <w:r w:rsidRPr="001E69D4">
        <w:rPr>
          <w:lang w:eastAsia="en-US"/>
        </w:rPr>
        <w:t>r market are sizable skill gaps, the large</w:t>
      </w:r>
      <w:r>
        <w:rPr>
          <w:lang w:eastAsia="en-US"/>
        </w:rPr>
        <w:t xml:space="preserve"> size of the</w:t>
      </w:r>
      <w:r w:rsidRPr="001E69D4">
        <w:rPr>
          <w:lang w:eastAsia="en-US"/>
        </w:rPr>
        <w:t xml:space="preserve"> informal sector</w:t>
      </w:r>
      <w:r>
        <w:rPr>
          <w:lang w:eastAsia="en-US"/>
        </w:rPr>
        <w:t>,</w:t>
      </w:r>
      <w:r w:rsidRPr="001E69D4">
        <w:rPr>
          <w:lang w:eastAsia="en-US"/>
        </w:rPr>
        <w:t xml:space="preserve"> which distorts the labour market, and the ineffectiveness of </w:t>
      </w:r>
      <w:r>
        <w:rPr>
          <w:lang w:eastAsia="en-US"/>
        </w:rPr>
        <w:t xml:space="preserve">public services for </w:t>
      </w:r>
      <w:r w:rsidRPr="001E69D4">
        <w:rPr>
          <w:lang w:eastAsia="en-US"/>
        </w:rPr>
        <w:t xml:space="preserve">labour mediation. </w:t>
      </w:r>
      <w:r>
        <w:rPr>
          <w:lang w:eastAsia="en-US"/>
        </w:rPr>
        <w:t>One result is a</w:t>
      </w:r>
      <w:r w:rsidRPr="001E69D4">
        <w:rPr>
          <w:lang w:eastAsia="en-US"/>
        </w:rPr>
        <w:t xml:space="preserve"> low labour force participation rate,</w:t>
      </w:r>
      <w:r>
        <w:rPr>
          <w:lang w:eastAsia="en-US"/>
        </w:rPr>
        <w:t xml:space="preserve"> with workers discouraged from entering the labour force. </w:t>
      </w:r>
      <w:r w:rsidRPr="001E69D4">
        <w:rPr>
          <w:lang w:eastAsia="en-US"/>
        </w:rPr>
        <w:t xml:space="preserve">The </w:t>
      </w:r>
      <w:r>
        <w:rPr>
          <w:lang w:eastAsia="en-US"/>
        </w:rPr>
        <w:t>l</w:t>
      </w:r>
      <w:r w:rsidRPr="001E69D4">
        <w:rPr>
          <w:lang w:eastAsia="en-US"/>
        </w:rPr>
        <w:t>abour</w:t>
      </w:r>
      <w:r>
        <w:rPr>
          <w:lang w:eastAsia="en-US"/>
        </w:rPr>
        <w:t xml:space="preserve"> l</w:t>
      </w:r>
      <w:r w:rsidRPr="001E69D4">
        <w:rPr>
          <w:lang w:eastAsia="en-US"/>
        </w:rPr>
        <w:t xml:space="preserve">aws </w:t>
      </w:r>
      <w:r>
        <w:rPr>
          <w:lang w:eastAsia="en-US"/>
        </w:rPr>
        <w:t xml:space="preserve">in the </w:t>
      </w:r>
      <w:r w:rsidR="000D2E26">
        <w:rPr>
          <w:lang w:eastAsia="en-US"/>
        </w:rPr>
        <w:t>e</w:t>
      </w:r>
      <w:r>
        <w:rPr>
          <w:lang w:eastAsia="en-US"/>
        </w:rPr>
        <w:t xml:space="preserve">ntities </w:t>
      </w:r>
      <w:r w:rsidRPr="001E69D4">
        <w:rPr>
          <w:lang w:eastAsia="en-US"/>
        </w:rPr>
        <w:t>(</w:t>
      </w:r>
      <w:proofErr w:type="spellStart"/>
      <w:r w:rsidR="00D043AB">
        <w:t>Republika</w:t>
      </w:r>
      <w:proofErr w:type="spellEnd"/>
      <w:r w:rsidR="00D043AB">
        <w:t xml:space="preserve"> </w:t>
      </w:r>
      <w:proofErr w:type="spellStart"/>
      <w:r w:rsidR="00D043AB">
        <w:t>Srpska</w:t>
      </w:r>
      <w:proofErr w:type="spellEnd"/>
      <w:r w:rsidR="00D043AB">
        <w:t xml:space="preserve"> (</w:t>
      </w:r>
      <w:r w:rsidRPr="001E69D4">
        <w:rPr>
          <w:lang w:eastAsia="en-US"/>
        </w:rPr>
        <w:t>RS</w:t>
      </w:r>
      <w:r w:rsidR="00D043AB">
        <w:rPr>
          <w:lang w:eastAsia="en-US"/>
        </w:rPr>
        <w:t>)</w:t>
      </w:r>
      <w:r w:rsidRPr="001E69D4">
        <w:rPr>
          <w:lang w:eastAsia="en-US"/>
        </w:rPr>
        <w:t xml:space="preserve"> </w:t>
      </w:r>
      <w:r w:rsidR="005E1B87">
        <w:rPr>
          <w:lang w:eastAsia="en-US"/>
        </w:rPr>
        <w:t>and</w:t>
      </w:r>
      <w:r>
        <w:rPr>
          <w:lang w:eastAsia="en-US"/>
        </w:rPr>
        <w:t xml:space="preserve"> </w:t>
      </w:r>
      <w:r w:rsidR="00E801DF">
        <w:t xml:space="preserve">the Federation of Bosnia and </w:t>
      </w:r>
      <w:r w:rsidR="00D043AB">
        <w:t>Herzegovina</w:t>
      </w:r>
      <w:r w:rsidR="00D043AB">
        <w:rPr>
          <w:lang w:eastAsia="en-US"/>
        </w:rPr>
        <w:t xml:space="preserve"> (</w:t>
      </w:r>
      <w:proofErr w:type="spellStart"/>
      <w:r w:rsidRPr="001E69D4">
        <w:rPr>
          <w:lang w:eastAsia="en-US"/>
        </w:rPr>
        <w:t>FBiH</w:t>
      </w:r>
      <w:proofErr w:type="spellEnd"/>
      <w:r w:rsidRPr="001E69D4">
        <w:rPr>
          <w:lang w:eastAsia="en-US"/>
        </w:rPr>
        <w:t>)</w:t>
      </w:r>
      <w:r w:rsidR="00D043AB">
        <w:rPr>
          <w:lang w:eastAsia="en-US"/>
        </w:rPr>
        <w:t>)</w:t>
      </w:r>
      <w:r>
        <w:rPr>
          <w:lang w:eastAsia="en-US"/>
        </w:rPr>
        <w:t xml:space="preserve"> provide the </w:t>
      </w:r>
      <w:r w:rsidRPr="001E69D4">
        <w:rPr>
          <w:lang w:eastAsia="en-US"/>
        </w:rPr>
        <w:t xml:space="preserve">broad regulatory framework </w:t>
      </w:r>
      <w:r>
        <w:rPr>
          <w:lang w:eastAsia="en-US"/>
        </w:rPr>
        <w:t>for</w:t>
      </w:r>
      <w:r w:rsidRPr="001E69D4">
        <w:rPr>
          <w:lang w:eastAsia="en-US"/>
        </w:rPr>
        <w:t xml:space="preserve"> employment</w:t>
      </w:r>
      <w:r>
        <w:rPr>
          <w:lang w:eastAsia="en-US"/>
        </w:rPr>
        <w:t>.</w:t>
      </w:r>
      <w:r w:rsidRPr="001E69D4">
        <w:rPr>
          <w:lang w:eastAsia="en-US"/>
        </w:rPr>
        <w:t xml:space="preserve"> Both </w:t>
      </w:r>
      <w:r>
        <w:rPr>
          <w:lang w:eastAsia="en-US"/>
        </w:rPr>
        <w:t>sets of laws are</w:t>
      </w:r>
      <w:r w:rsidRPr="001E69D4">
        <w:rPr>
          <w:lang w:eastAsia="en-US"/>
        </w:rPr>
        <w:t xml:space="preserve"> fairly modern and flexible (</w:t>
      </w:r>
      <w:r w:rsidR="005938B4">
        <w:rPr>
          <w:lang w:eastAsia="en-US"/>
        </w:rPr>
        <w:t>IMF</w:t>
      </w:r>
      <w:r w:rsidRPr="001E69D4">
        <w:rPr>
          <w:lang w:eastAsia="en-US"/>
        </w:rPr>
        <w:t xml:space="preserve"> 20</w:t>
      </w:r>
      <w:r w:rsidR="005938B4">
        <w:rPr>
          <w:lang w:eastAsia="en-US"/>
        </w:rPr>
        <w:t>10, p.18</w:t>
      </w:r>
      <w:r w:rsidRPr="001E69D4">
        <w:rPr>
          <w:lang w:eastAsia="en-US"/>
        </w:rPr>
        <w:t>). The flexibility and efficiency of legislation has been hampered</w:t>
      </w:r>
      <w:r>
        <w:rPr>
          <w:lang w:eastAsia="en-US"/>
        </w:rPr>
        <w:t>, however,</w:t>
      </w:r>
      <w:r w:rsidRPr="001E69D4">
        <w:rPr>
          <w:lang w:eastAsia="en-US"/>
        </w:rPr>
        <w:t xml:space="preserve"> by an extensive and generally rigid set of rules in collective bargaining agreements, many aspects of which are carried over from the old market socialism mode of labour relations. </w:t>
      </w:r>
      <w:r>
        <w:rPr>
          <w:lang w:eastAsia="en-US"/>
        </w:rPr>
        <w:t>Furthermore,</w:t>
      </w:r>
      <w:r w:rsidRPr="001E69D4">
        <w:rPr>
          <w:lang w:eastAsia="en-US"/>
        </w:rPr>
        <w:t xml:space="preserve"> wage</w:t>
      </w:r>
      <w:r>
        <w:rPr>
          <w:lang w:eastAsia="en-US"/>
        </w:rPr>
        <w:t>-</w:t>
      </w:r>
      <w:r w:rsidRPr="001E69D4">
        <w:rPr>
          <w:lang w:eastAsia="en-US"/>
        </w:rPr>
        <w:t>setting relies on a system of coefficients</w:t>
      </w:r>
      <w:r>
        <w:rPr>
          <w:lang w:eastAsia="en-US"/>
        </w:rPr>
        <w:t xml:space="preserve"> – </w:t>
      </w:r>
      <w:r w:rsidRPr="001E69D4">
        <w:rPr>
          <w:lang w:eastAsia="en-US"/>
        </w:rPr>
        <w:t xml:space="preserve">reflecting the complexity of the </w:t>
      </w:r>
      <w:r>
        <w:rPr>
          <w:lang w:eastAsia="en-US"/>
        </w:rPr>
        <w:t xml:space="preserve">work </w:t>
      </w:r>
      <w:r w:rsidRPr="001E69D4">
        <w:rPr>
          <w:lang w:eastAsia="en-US"/>
        </w:rPr>
        <w:t>performed and the worker’s education</w:t>
      </w:r>
      <w:r>
        <w:rPr>
          <w:lang w:eastAsia="en-US"/>
        </w:rPr>
        <w:t xml:space="preserve"> –</w:t>
      </w:r>
      <w:r w:rsidRPr="001E69D4">
        <w:rPr>
          <w:lang w:eastAsia="en-US"/>
        </w:rPr>
        <w:t xml:space="preserve"> that is not compatible with the principles of a market economy (IMF, 2010). According to</w:t>
      </w:r>
      <w:r>
        <w:rPr>
          <w:lang w:eastAsia="en-US"/>
        </w:rPr>
        <w:t xml:space="preserve"> the International Monetary Fund</w:t>
      </w:r>
      <w:r w:rsidRPr="001E69D4">
        <w:rPr>
          <w:lang w:eastAsia="en-US"/>
        </w:rPr>
        <w:t xml:space="preserve"> (2010)</w:t>
      </w:r>
      <w:r>
        <w:rPr>
          <w:lang w:eastAsia="en-US"/>
        </w:rPr>
        <w:t>,</w:t>
      </w:r>
      <w:r w:rsidRPr="001E69D4">
        <w:rPr>
          <w:lang w:eastAsia="en-US"/>
        </w:rPr>
        <w:t xml:space="preserve"> the minimum net wages in BH (KM 308 in </w:t>
      </w:r>
      <w:proofErr w:type="spellStart"/>
      <w:r w:rsidR="00E801DF">
        <w:rPr>
          <w:lang w:eastAsia="en-US"/>
        </w:rPr>
        <w:t>FBiH</w:t>
      </w:r>
      <w:proofErr w:type="spellEnd"/>
      <w:r w:rsidRPr="001E69D4">
        <w:rPr>
          <w:lang w:eastAsia="en-US"/>
        </w:rPr>
        <w:t xml:space="preserve"> and KM 370 in</w:t>
      </w:r>
      <w:r>
        <w:rPr>
          <w:color w:val="FF0000"/>
          <w:lang w:eastAsia="en-US"/>
        </w:rPr>
        <w:t xml:space="preserve"> </w:t>
      </w:r>
      <w:r w:rsidR="00AD0CE7" w:rsidRPr="005A3F2A">
        <w:rPr>
          <w:lang w:eastAsia="en-US"/>
        </w:rPr>
        <w:t>RS</w:t>
      </w:r>
      <w:r w:rsidRPr="005A3F2A">
        <w:rPr>
          <w:lang w:eastAsia="en-US"/>
        </w:rPr>
        <w:t>)</w:t>
      </w:r>
      <w:r w:rsidRPr="001E69D4">
        <w:rPr>
          <w:lang w:eastAsia="en-US"/>
        </w:rPr>
        <w:t xml:space="preserve"> are among the highest in Eastern Europe when expressed as a share of the average wage (W</w:t>
      </w:r>
      <w:r>
        <w:rPr>
          <w:lang w:eastAsia="en-US"/>
        </w:rPr>
        <w:t xml:space="preserve">orld </w:t>
      </w:r>
      <w:r w:rsidRPr="001E69D4">
        <w:rPr>
          <w:lang w:eastAsia="en-US"/>
        </w:rPr>
        <w:t>B</w:t>
      </w:r>
      <w:r>
        <w:rPr>
          <w:lang w:eastAsia="en-US"/>
        </w:rPr>
        <w:t>ank</w:t>
      </w:r>
      <w:r w:rsidRPr="001E69D4">
        <w:rPr>
          <w:lang w:eastAsia="en-US"/>
        </w:rPr>
        <w:t>, 2005).</w:t>
      </w:r>
      <w:r w:rsidR="00E801DF">
        <w:rPr>
          <w:lang w:eastAsia="en-US"/>
        </w:rPr>
        <w:t xml:space="preserve"> </w:t>
      </w:r>
      <w:r w:rsidRPr="001E69D4">
        <w:rPr>
          <w:lang w:eastAsia="en-US"/>
        </w:rPr>
        <w:t xml:space="preserve">The effect of such provisions on labour relations is largely offset by widespread non-compliance, particularly in the private sector. However, the current </w:t>
      </w:r>
      <w:r w:rsidRPr="00C91897">
        <w:rPr>
          <w:iCs/>
          <w:lang w:eastAsia="en-US"/>
        </w:rPr>
        <w:t>status quo</w:t>
      </w:r>
      <w:r w:rsidRPr="001E69D4">
        <w:rPr>
          <w:i/>
          <w:iCs/>
          <w:lang w:eastAsia="en-US"/>
        </w:rPr>
        <w:t xml:space="preserve"> </w:t>
      </w:r>
      <w:r w:rsidRPr="001E69D4">
        <w:rPr>
          <w:lang w:eastAsia="en-US"/>
        </w:rPr>
        <w:t>is sub-optimal, because “[n]on-enforcement of rigid regulations leads to informality, which creates rents for officials and uncertainty among employers and new investors, and leaves workers without protection (such as social insurance coverage)” (W</w:t>
      </w:r>
      <w:r>
        <w:rPr>
          <w:lang w:eastAsia="en-US"/>
        </w:rPr>
        <w:t xml:space="preserve">orld </w:t>
      </w:r>
      <w:r w:rsidRPr="001E69D4">
        <w:rPr>
          <w:lang w:eastAsia="en-US"/>
        </w:rPr>
        <w:t>B</w:t>
      </w:r>
      <w:r>
        <w:rPr>
          <w:lang w:eastAsia="en-US"/>
        </w:rPr>
        <w:t>ank</w:t>
      </w:r>
      <w:r w:rsidRPr="001E69D4">
        <w:rPr>
          <w:lang w:eastAsia="en-US"/>
        </w:rPr>
        <w:t xml:space="preserve">, 2005). </w:t>
      </w:r>
      <w:r>
        <w:rPr>
          <w:lang w:eastAsia="en-US"/>
        </w:rPr>
        <w:t>O</w:t>
      </w:r>
      <w:r w:rsidRPr="001E69D4">
        <w:rPr>
          <w:lang w:eastAsia="en-US"/>
        </w:rPr>
        <w:t>verall social security contribution rates</w:t>
      </w:r>
      <w:r>
        <w:rPr>
          <w:lang w:eastAsia="en-US"/>
        </w:rPr>
        <w:t>, at</w:t>
      </w:r>
      <w:r w:rsidRPr="001E69D4">
        <w:rPr>
          <w:lang w:eastAsia="en-US"/>
        </w:rPr>
        <w:t xml:space="preserve"> 34 per</w:t>
      </w:r>
      <w:r>
        <w:rPr>
          <w:lang w:eastAsia="en-US"/>
        </w:rPr>
        <w:t xml:space="preserve"> </w:t>
      </w:r>
      <w:r w:rsidRPr="001E69D4">
        <w:rPr>
          <w:lang w:eastAsia="en-US"/>
        </w:rPr>
        <w:t>cent</w:t>
      </w:r>
      <w:r>
        <w:rPr>
          <w:lang w:eastAsia="en-US"/>
        </w:rPr>
        <w:t>,</w:t>
      </w:r>
      <w:r w:rsidRPr="001E69D4">
        <w:rPr>
          <w:lang w:eastAsia="en-US"/>
        </w:rPr>
        <w:t xml:space="preserve"> are higher than the OECD average of 29.5 per</w:t>
      </w:r>
      <w:r>
        <w:rPr>
          <w:lang w:eastAsia="en-US"/>
        </w:rPr>
        <w:t xml:space="preserve"> </w:t>
      </w:r>
      <w:r w:rsidRPr="001E69D4">
        <w:rPr>
          <w:lang w:eastAsia="en-US"/>
        </w:rPr>
        <w:t xml:space="preserve">cent, but they are not excessive in </w:t>
      </w:r>
      <w:r>
        <w:rPr>
          <w:lang w:eastAsia="en-US"/>
        </w:rPr>
        <w:t xml:space="preserve">the </w:t>
      </w:r>
      <w:r w:rsidRPr="001E69D4">
        <w:rPr>
          <w:lang w:eastAsia="en-US"/>
        </w:rPr>
        <w:t>regional context (W</w:t>
      </w:r>
      <w:r>
        <w:rPr>
          <w:lang w:eastAsia="en-US"/>
        </w:rPr>
        <w:t xml:space="preserve">orld </w:t>
      </w:r>
      <w:r w:rsidRPr="001E69D4">
        <w:rPr>
          <w:lang w:eastAsia="en-US"/>
        </w:rPr>
        <w:t>B</w:t>
      </w:r>
      <w:r>
        <w:rPr>
          <w:lang w:eastAsia="en-US"/>
        </w:rPr>
        <w:t>ank</w:t>
      </w:r>
      <w:r w:rsidRPr="001E69D4">
        <w:rPr>
          <w:lang w:eastAsia="en-US"/>
        </w:rPr>
        <w:t>, 2005). However, when combined with the high level of wages in BH relative to its Balkan peers, the magnitude of the labour tax wedge undermines the competitiveness of the country and makes informal employment more attractive to businesses</w:t>
      </w:r>
      <w:r w:rsidR="000D2E26">
        <w:rPr>
          <w:lang w:eastAsia="en-US"/>
        </w:rPr>
        <w:t>.</w:t>
      </w:r>
      <w:r w:rsidRPr="001E69D4">
        <w:rPr>
          <w:lang w:eastAsia="en-US"/>
        </w:rPr>
        <w:t xml:space="preserve"> Furthermore, due to lack of active job placement policies, sizable skill gaps </w:t>
      </w:r>
      <w:r>
        <w:rPr>
          <w:lang w:eastAsia="en-US"/>
        </w:rPr>
        <w:t xml:space="preserve">have arisen, </w:t>
      </w:r>
      <w:r w:rsidRPr="001E69D4">
        <w:rPr>
          <w:lang w:eastAsia="en-US"/>
        </w:rPr>
        <w:t xml:space="preserve">particularly among staff </w:t>
      </w:r>
      <w:r>
        <w:rPr>
          <w:lang w:eastAsia="en-US"/>
        </w:rPr>
        <w:t xml:space="preserve">members </w:t>
      </w:r>
      <w:r w:rsidRPr="001E69D4">
        <w:rPr>
          <w:lang w:eastAsia="en-US"/>
        </w:rPr>
        <w:t>with long tenure</w:t>
      </w:r>
      <w:r>
        <w:rPr>
          <w:lang w:eastAsia="en-US"/>
        </w:rPr>
        <w:t>.</w:t>
      </w:r>
      <w:r w:rsidRPr="001E69D4">
        <w:rPr>
          <w:lang w:eastAsia="en-US"/>
        </w:rPr>
        <w:t xml:space="preserve"> </w:t>
      </w:r>
      <w:r w:rsidRPr="001E69D4">
        <w:rPr>
          <w:bCs/>
          <w:lang w:eastAsia="en-US"/>
        </w:rPr>
        <w:t xml:space="preserve">The public employment mediation agencies in both </w:t>
      </w:r>
      <w:r w:rsidR="00E801DF">
        <w:rPr>
          <w:bCs/>
          <w:lang w:eastAsia="en-US"/>
        </w:rPr>
        <w:t>e</w:t>
      </w:r>
      <w:r w:rsidRPr="001E69D4">
        <w:rPr>
          <w:bCs/>
          <w:lang w:eastAsia="en-US"/>
        </w:rPr>
        <w:t xml:space="preserve">ntities are not able to face this issue </w:t>
      </w:r>
      <w:r w:rsidR="00E801DF">
        <w:rPr>
          <w:bCs/>
          <w:lang w:eastAsia="en-US"/>
        </w:rPr>
        <w:t>because</w:t>
      </w:r>
      <w:r w:rsidRPr="001E69D4">
        <w:rPr>
          <w:bCs/>
          <w:lang w:eastAsia="en-US"/>
        </w:rPr>
        <w:t xml:space="preserve"> they are </w:t>
      </w:r>
      <w:r w:rsidRPr="001E69D4">
        <w:rPr>
          <w:lang w:eastAsia="en-US"/>
        </w:rPr>
        <w:t>impeded</w:t>
      </w:r>
      <w:r w:rsidRPr="001E69D4">
        <w:rPr>
          <w:bCs/>
          <w:lang w:eastAsia="en-US"/>
        </w:rPr>
        <w:t xml:space="preserve"> by administrative mandates</w:t>
      </w:r>
      <w:r w:rsidR="00936F70">
        <w:rPr>
          <w:bCs/>
          <w:lang w:eastAsia="en-US"/>
        </w:rPr>
        <w:t>,</w:t>
      </w:r>
      <w:r w:rsidR="00E801DF">
        <w:rPr>
          <w:bCs/>
          <w:lang w:eastAsia="en-US"/>
        </w:rPr>
        <w:t xml:space="preserve"> and</w:t>
      </w:r>
      <w:r w:rsidRPr="001E69D4">
        <w:rPr>
          <w:bCs/>
          <w:lang w:eastAsia="en-US"/>
        </w:rPr>
        <w:t xml:space="preserve"> insufficient resources </w:t>
      </w:r>
      <w:r w:rsidR="00E801DF">
        <w:rPr>
          <w:bCs/>
          <w:lang w:eastAsia="en-US"/>
        </w:rPr>
        <w:t xml:space="preserve">are </w:t>
      </w:r>
      <w:r w:rsidRPr="001E69D4">
        <w:rPr>
          <w:bCs/>
          <w:lang w:eastAsia="en-US"/>
        </w:rPr>
        <w:t>allocated for active job placement policies.</w:t>
      </w:r>
    </w:p>
    <w:p w:rsidR="00162CD2" w:rsidRPr="001E69D4" w:rsidRDefault="00162CD2" w:rsidP="00746AED">
      <w:pPr>
        <w:spacing w:after="0"/>
      </w:pPr>
      <w:r w:rsidRPr="001E69D4">
        <w:t xml:space="preserve">In addition to </w:t>
      </w:r>
      <w:r>
        <w:t xml:space="preserve">revised </w:t>
      </w:r>
      <w:r w:rsidRPr="001E69D4">
        <w:t xml:space="preserve">labour market </w:t>
      </w:r>
      <w:r>
        <w:t xml:space="preserve">policies, </w:t>
      </w:r>
      <w:r w:rsidRPr="001E69D4">
        <w:t xml:space="preserve">other public policies and institutions </w:t>
      </w:r>
      <w:r>
        <w:t>need</w:t>
      </w:r>
      <w:r w:rsidRPr="001E69D4">
        <w:t xml:space="preserve"> </w:t>
      </w:r>
      <w:r>
        <w:t xml:space="preserve">immediate </w:t>
      </w:r>
      <w:r w:rsidRPr="001E69D4">
        <w:t>strengthen</w:t>
      </w:r>
      <w:r>
        <w:t xml:space="preserve">ing through the </w:t>
      </w:r>
      <w:r w:rsidRPr="001E69D4">
        <w:t xml:space="preserve">following measures:  </w:t>
      </w:r>
    </w:p>
    <w:p w:rsidR="00162CD2" w:rsidRPr="001E69D4" w:rsidRDefault="00162CD2">
      <w:pPr>
        <w:pStyle w:val="ListParagraph"/>
        <w:numPr>
          <w:ilvl w:val="0"/>
          <w:numId w:val="32"/>
        </w:numPr>
        <w:rPr>
          <w:lang w:val="en-GB"/>
        </w:rPr>
      </w:pPr>
      <w:r w:rsidRPr="001E69D4">
        <w:rPr>
          <w:lang w:val="en-GB"/>
        </w:rPr>
        <w:t xml:space="preserve">strengthening of institutional and management capacities of the government in order to be able to implement food safety and quality standards, rules of origin, and other systems necessary to ensure </w:t>
      </w:r>
      <w:r w:rsidR="00E801DF">
        <w:rPr>
          <w:lang w:val="en-GB"/>
        </w:rPr>
        <w:t xml:space="preserve">a </w:t>
      </w:r>
      <w:r w:rsidRPr="001E69D4">
        <w:rPr>
          <w:lang w:val="en-GB"/>
        </w:rPr>
        <w:t xml:space="preserve">fair position for all market actors and </w:t>
      </w:r>
      <w:r>
        <w:rPr>
          <w:lang w:val="en-GB"/>
        </w:rPr>
        <w:t xml:space="preserve">to </w:t>
      </w:r>
      <w:r w:rsidRPr="001E69D4">
        <w:rPr>
          <w:lang w:val="en-GB"/>
        </w:rPr>
        <w:t>protect consumers’ rights;</w:t>
      </w:r>
    </w:p>
    <w:p w:rsidR="00162CD2" w:rsidRPr="001E69D4" w:rsidRDefault="00162CD2" w:rsidP="00B7195F">
      <w:pPr>
        <w:pStyle w:val="ListParagraph"/>
        <w:numPr>
          <w:ilvl w:val="0"/>
          <w:numId w:val="32"/>
        </w:numPr>
        <w:rPr>
          <w:lang w:val="en-GB"/>
        </w:rPr>
      </w:pPr>
      <w:r w:rsidRPr="001E69D4">
        <w:rPr>
          <w:lang w:val="en-GB"/>
        </w:rPr>
        <w:t xml:space="preserve">proceeding with macroeconomic reforms in order to ensure, first of all, a single economic space in BH; </w:t>
      </w:r>
    </w:p>
    <w:p w:rsidR="00162CD2" w:rsidRPr="001E69D4" w:rsidRDefault="00162CD2" w:rsidP="00046185">
      <w:pPr>
        <w:pStyle w:val="ListParagraph"/>
        <w:numPr>
          <w:ilvl w:val="0"/>
          <w:numId w:val="32"/>
        </w:numPr>
        <w:rPr>
          <w:lang w:val="en-GB"/>
        </w:rPr>
      </w:pPr>
      <w:r>
        <w:rPr>
          <w:lang w:val="en-GB"/>
        </w:rPr>
        <w:t>increasing the growth of</w:t>
      </w:r>
      <w:r w:rsidRPr="001E69D4">
        <w:rPr>
          <w:lang w:val="en-GB"/>
        </w:rPr>
        <w:t xml:space="preserve"> productivity in all sectors;</w:t>
      </w:r>
    </w:p>
    <w:p w:rsidR="00162CD2" w:rsidRPr="001E69D4" w:rsidRDefault="00162CD2" w:rsidP="00046185">
      <w:pPr>
        <w:pStyle w:val="ListParagraph"/>
        <w:numPr>
          <w:ilvl w:val="0"/>
          <w:numId w:val="32"/>
        </w:numPr>
        <w:rPr>
          <w:lang w:val="en-GB"/>
        </w:rPr>
      </w:pPr>
      <w:r w:rsidRPr="001E69D4">
        <w:rPr>
          <w:lang w:val="en-GB"/>
        </w:rPr>
        <w:t xml:space="preserve">developing sound policies to generate jobs outside the agricultural sector in order to </w:t>
      </w:r>
      <w:r>
        <w:rPr>
          <w:lang w:val="en-GB"/>
        </w:rPr>
        <w:t>absorb poor rural workers who may be displaced by</w:t>
      </w:r>
      <w:r w:rsidRPr="001E69D4">
        <w:rPr>
          <w:lang w:val="en-GB"/>
        </w:rPr>
        <w:t xml:space="preserve"> trade liberalization;</w:t>
      </w:r>
    </w:p>
    <w:p w:rsidR="00162CD2" w:rsidRPr="001E69D4" w:rsidRDefault="00162CD2" w:rsidP="00577127">
      <w:pPr>
        <w:pStyle w:val="ListParagraph"/>
        <w:numPr>
          <w:ilvl w:val="0"/>
          <w:numId w:val="32"/>
        </w:numPr>
        <w:rPr>
          <w:lang w:val="en-GB"/>
        </w:rPr>
      </w:pPr>
      <w:proofErr w:type="gramStart"/>
      <w:r w:rsidRPr="001E69D4">
        <w:rPr>
          <w:lang w:val="en-GB"/>
        </w:rPr>
        <w:t>decreasing</w:t>
      </w:r>
      <w:proofErr w:type="gramEnd"/>
      <w:r w:rsidRPr="001E69D4">
        <w:rPr>
          <w:lang w:val="en-GB"/>
        </w:rPr>
        <w:t xml:space="preserve"> transaction costs – especially costs of transport, distribution</w:t>
      </w:r>
      <w:r>
        <w:rPr>
          <w:lang w:val="en-GB"/>
        </w:rPr>
        <w:t>,</w:t>
      </w:r>
      <w:r w:rsidRPr="001E69D4">
        <w:rPr>
          <w:lang w:val="en-GB"/>
        </w:rPr>
        <w:t xml:space="preserve"> and compliance with standards. Competition policy needs to be developed and implemented to ensure </w:t>
      </w:r>
      <w:r>
        <w:rPr>
          <w:lang w:val="en-GB"/>
        </w:rPr>
        <w:t xml:space="preserve">that </w:t>
      </w:r>
      <w:r w:rsidRPr="001E69D4">
        <w:rPr>
          <w:lang w:val="en-GB"/>
        </w:rPr>
        <w:t xml:space="preserve">markets work efficiently. </w:t>
      </w:r>
    </w:p>
    <w:p w:rsidR="00162CD2" w:rsidRPr="001E69D4" w:rsidRDefault="00162CD2" w:rsidP="00E801DF">
      <w:pPr>
        <w:ind w:firstLine="0"/>
      </w:pPr>
      <w:r w:rsidRPr="001E69D4">
        <w:t>Th</w:t>
      </w:r>
      <w:r>
        <w:t>ese changes</w:t>
      </w:r>
      <w:r w:rsidRPr="001E69D4">
        <w:t xml:space="preserve"> ha</w:t>
      </w:r>
      <w:r>
        <w:t>ve</w:t>
      </w:r>
      <w:r w:rsidRPr="001E69D4">
        <w:t xml:space="preserve"> to be planned carefully</w:t>
      </w:r>
      <w:r>
        <w:t>,</w:t>
      </w:r>
      <w:r w:rsidRPr="001E69D4">
        <w:t xml:space="preserve"> because proper timing and sequencing </w:t>
      </w:r>
      <w:r>
        <w:t>are</w:t>
      </w:r>
      <w:r w:rsidRPr="001E69D4">
        <w:t xml:space="preserve"> crucial to </w:t>
      </w:r>
      <w:r>
        <w:t>realizing the benefits</w:t>
      </w:r>
      <w:r w:rsidRPr="001E69D4">
        <w:t xml:space="preserve"> of integration into the EU and accession to the WTO. </w:t>
      </w:r>
    </w:p>
    <w:p w:rsidR="00162CD2" w:rsidRDefault="00162CD2">
      <w:pPr>
        <w:spacing w:after="0" w:line="240" w:lineRule="auto"/>
        <w:ind w:firstLine="0"/>
        <w:jc w:val="left"/>
        <w:rPr>
          <w:lang w:eastAsia="en-US"/>
        </w:rPr>
      </w:pPr>
      <w:r>
        <w:br w:type="page"/>
      </w:r>
    </w:p>
    <w:p w:rsidR="00646F34" w:rsidRDefault="00162CD2">
      <w:pPr>
        <w:pStyle w:val="Heading1"/>
      </w:pPr>
      <w:r w:rsidRPr="001A079F">
        <w:t>References</w:t>
      </w:r>
    </w:p>
    <w:p w:rsidR="001A079F" w:rsidRDefault="001A079F" w:rsidP="001A079F">
      <w:pPr>
        <w:widowControl w:val="0"/>
        <w:autoSpaceDE w:val="0"/>
        <w:autoSpaceDN w:val="0"/>
        <w:adjustRightInd w:val="0"/>
        <w:ind w:right="-386" w:firstLine="0"/>
      </w:pPr>
      <w:proofErr w:type="gramStart"/>
      <w:r>
        <w:t xml:space="preserve">Adams, F.G.; </w:t>
      </w:r>
      <w:proofErr w:type="spellStart"/>
      <w:r>
        <w:t>Gangnes</w:t>
      </w:r>
      <w:proofErr w:type="spellEnd"/>
      <w:r>
        <w:t xml:space="preserve">, B.; </w:t>
      </w:r>
      <w:proofErr w:type="spellStart"/>
      <w:r>
        <w:t>Shachmurove</w:t>
      </w:r>
      <w:proofErr w:type="spellEnd"/>
      <w:r>
        <w:t>, Y. 2004.</w:t>
      </w:r>
      <w:proofErr w:type="gramEnd"/>
      <w:r>
        <w:t xml:space="preserve"> </w:t>
      </w:r>
      <w:r w:rsidR="000A120D" w:rsidRPr="000A120D">
        <w:rPr>
          <w:i/>
        </w:rPr>
        <w:t xml:space="preserve">Why is China so competitive? </w:t>
      </w:r>
      <w:proofErr w:type="gramStart"/>
      <w:r w:rsidR="000A120D" w:rsidRPr="000A120D">
        <w:rPr>
          <w:i/>
        </w:rPr>
        <w:t>Measuring and explaining China’s competitiveness</w:t>
      </w:r>
      <w:r>
        <w:t xml:space="preserve">, </w:t>
      </w:r>
      <w:r w:rsidR="000A120D" w:rsidRPr="000A120D">
        <w:t>Working Paper,</w:t>
      </w:r>
      <w:r>
        <w:t xml:space="preserve"> No. 07–2004 (Singapore, Singapore Management University).</w:t>
      </w:r>
      <w:proofErr w:type="gramEnd"/>
    </w:p>
    <w:p w:rsidR="001A079F" w:rsidRDefault="001A079F" w:rsidP="001A079F">
      <w:pPr>
        <w:widowControl w:val="0"/>
        <w:autoSpaceDE w:val="0"/>
        <w:autoSpaceDN w:val="0"/>
        <w:adjustRightInd w:val="0"/>
        <w:ind w:right="-386" w:firstLine="0"/>
      </w:pPr>
      <w:proofErr w:type="spellStart"/>
      <w:r w:rsidRPr="001025B3">
        <w:rPr>
          <w:lang w:val="es-MX"/>
        </w:rPr>
        <w:t>Afonso</w:t>
      </w:r>
      <w:proofErr w:type="spellEnd"/>
      <w:r w:rsidRPr="001025B3">
        <w:rPr>
          <w:lang w:val="es-MX"/>
        </w:rPr>
        <w:t xml:space="preserve">, O.; Henrique Alves, R. 2008. </w:t>
      </w:r>
      <w:r>
        <w:t xml:space="preserve">“Can the North–South </w:t>
      </w:r>
      <w:r w:rsidR="007C5FD6">
        <w:t>t</w:t>
      </w:r>
      <w:r>
        <w:t>rade regime explain intra</w:t>
      </w:r>
      <w:r w:rsidR="00E86140">
        <w:t>-</w:t>
      </w:r>
      <w:r>
        <w:t xml:space="preserve"> and inter-country productivity differences?”, in </w:t>
      </w:r>
      <w:r w:rsidRPr="0075613C">
        <w:rPr>
          <w:i/>
        </w:rPr>
        <w:t>The Journal of International Trade &amp; Economic Development</w:t>
      </w:r>
      <w:r>
        <w:t>, Vol. 17, No. 4, pp. 561–595.</w:t>
      </w:r>
    </w:p>
    <w:p w:rsidR="001A079F" w:rsidRDefault="001A079F" w:rsidP="001A079F">
      <w:pPr>
        <w:widowControl w:val="0"/>
        <w:autoSpaceDE w:val="0"/>
        <w:autoSpaceDN w:val="0"/>
        <w:adjustRightInd w:val="0"/>
        <w:ind w:right="-386" w:firstLine="0"/>
      </w:pPr>
      <w:proofErr w:type="spellStart"/>
      <w:proofErr w:type="gramStart"/>
      <w:r>
        <w:t>AgriPolicy</w:t>
      </w:r>
      <w:proofErr w:type="spellEnd"/>
      <w:r>
        <w:t>.</w:t>
      </w:r>
      <w:proofErr w:type="gramEnd"/>
      <w:r>
        <w:t xml:space="preserve"> 2007. “Rural employment in the context of rural development in Bosnia and Herzegovina”, </w:t>
      </w:r>
      <w:r w:rsidRPr="0075613C">
        <w:rPr>
          <w:i/>
        </w:rPr>
        <w:t>Third 6−</w:t>
      </w:r>
      <w:r>
        <w:rPr>
          <w:i/>
        </w:rPr>
        <w:t>monthly report of a</w:t>
      </w:r>
      <w:r w:rsidRPr="0075613C">
        <w:rPr>
          <w:i/>
        </w:rPr>
        <w:t>gro economic policy analysis of the new member states, the candidate states and the countries of the western Balkan</w:t>
      </w:r>
      <w:r>
        <w:t xml:space="preserve"> (Paris). </w:t>
      </w:r>
    </w:p>
    <w:p w:rsidR="008C5A6F" w:rsidRPr="00A8108B" w:rsidRDefault="008C5A6F" w:rsidP="008C5A6F">
      <w:pPr>
        <w:widowControl w:val="0"/>
        <w:autoSpaceDE w:val="0"/>
        <w:autoSpaceDN w:val="0"/>
        <w:adjustRightInd w:val="0"/>
        <w:ind w:right="-386" w:firstLine="0"/>
      </w:pPr>
      <w:proofErr w:type="spellStart"/>
      <w:proofErr w:type="gramStart"/>
      <w:r w:rsidRPr="00A8108B">
        <w:t>Bajramović</w:t>
      </w:r>
      <w:proofErr w:type="spellEnd"/>
      <w:r w:rsidRPr="00A8108B">
        <w:t xml:space="preserve">, S.; </w:t>
      </w:r>
      <w:proofErr w:type="spellStart"/>
      <w:r w:rsidRPr="00A8108B">
        <w:t>Butković</w:t>
      </w:r>
      <w:proofErr w:type="spellEnd"/>
      <w:r w:rsidRPr="00A8108B">
        <w:t xml:space="preserve">, J.; </w:t>
      </w:r>
      <w:proofErr w:type="spellStart"/>
      <w:r w:rsidRPr="00A8108B">
        <w:t>Ognjenović</w:t>
      </w:r>
      <w:proofErr w:type="spellEnd"/>
      <w:r w:rsidRPr="00A8108B">
        <w:t xml:space="preserve"> D.; </w:t>
      </w:r>
      <w:proofErr w:type="spellStart"/>
      <w:r w:rsidRPr="00A8108B">
        <w:t>Nikolić</w:t>
      </w:r>
      <w:proofErr w:type="spellEnd"/>
      <w:r w:rsidRPr="00A8108B">
        <w:t>, A. 2010.</w:t>
      </w:r>
      <w:proofErr w:type="gramEnd"/>
      <w:r w:rsidRPr="00A8108B">
        <w:t xml:space="preserve"> </w:t>
      </w:r>
      <w:r w:rsidRPr="00A8108B">
        <w:rPr>
          <w:i/>
        </w:rPr>
        <w:t>The budgetary support to agricultural producers in B&amp;H and achieved level of adjustment with EU common agricultural policy</w:t>
      </w:r>
      <w:r w:rsidRPr="00A8108B">
        <w:t xml:space="preserve">, paper presented at </w:t>
      </w:r>
      <w:proofErr w:type="spellStart"/>
      <w:r w:rsidRPr="00A8108B">
        <w:t>XXIst</w:t>
      </w:r>
      <w:proofErr w:type="spellEnd"/>
      <w:r w:rsidRPr="00A8108B">
        <w:t xml:space="preserve"> Scientific–Professional Conference of Agriculture and Food Sciences, </w:t>
      </w:r>
      <w:proofErr w:type="spellStart"/>
      <w:r w:rsidRPr="00A8108B">
        <w:t>Neum</w:t>
      </w:r>
      <w:proofErr w:type="spellEnd"/>
      <w:r w:rsidRPr="00A8108B">
        <w:t>, Bosnia and Herzegovina.</w:t>
      </w:r>
    </w:p>
    <w:p w:rsidR="001A079F" w:rsidRDefault="001A079F" w:rsidP="001A079F">
      <w:pPr>
        <w:widowControl w:val="0"/>
        <w:autoSpaceDE w:val="0"/>
        <w:autoSpaceDN w:val="0"/>
        <w:adjustRightInd w:val="0"/>
        <w:ind w:right="-386" w:firstLine="0"/>
      </w:pPr>
      <w:proofErr w:type="spellStart"/>
      <w:proofErr w:type="gramStart"/>
      <w:r>
        <w:t>Bajramovic</w:t>
      </w:r>
      <w:proofErr w:type="spellEnd"/>
      <w:r>
        <w:t xml:space="preserve">, S.; </w:t>
      </w:r>
      <w:proofErr w:type="spellStart"/>
      <w:r>
        <w:t>Rabinowicz</w:t>
      </w:r>
      <w:proofErr w:type="spellEnd"/>
      <w:r>
        <w:t xml:space="preserve">, E.; </w:t>
      </w:r>
      <w:proofErr w:type="spellStart"/>
      <w:r>
        <w:t>Petterssen</w:t>
      </w:r>
      <w:proofErr w:type="spellEnd"/>
      <w:r>
        <w:t>, M. 2004.</w:t>
      </w:r>
      <w:proofErr w:type="gramEnd"/>
      <w:r>
        <w:t xml:space="preserve"> </w:t>
      </w:r>
      <w:r w:rsidRPr="0075613C">
        <w:rPr>
          <w:i/>
        </w:rPr>
        <w:t xml:space="preserve">Competitiveness in the agricultural sector of Bosnia and Herzegovina </w:t>
      </w:r>
      <w:r>
        <w:rPr>
          <w:i/>
        </w:rPr>
        <w:t>–</w:t>
      </w:r>
      <w:r w:rsidRPr="0075613C">
        <w:rPr>
          <w:i/>
        </w:rPr>
        <w:t xml:space="preserve"> Part</w:t>
      </w:r>
      <w:r w:rsidR="00E86140">
        <w:rPr>
          <w:i/>
        </w:rPr>
        <w:t xml:space="preserve"> </w:t>
      </w:r>
      <w:r w:rsidRPr="0075613C">
        <w:rPr>
          <w:i/>
        </w:rPr>
        <w:t>1</w:t>
      </w:r>
      <w:r>
        <w:t xml:space="preserve"> (Lund, Sweden, </w:t>
      </w:r>
      <w:proofErr w:type="spellStart"/>
      <w:r>
        <w:t>Livsmedelsekonomiska</w:t>
      </w:r>
      <w:proofErr w:type="spellEnd"/>
      <w:r>
        <w:t xml:space="preserve"> Institute).</w:t>
      </w:r>
    </w:p>
    <w:p w:rsidR="00B231E1" w:rsidRDefault="00B231E1" w:rsidP="00B231E1">
      <w:pPr>
        <w:widowControl w:val="0"/>
        <w:autoSpaceDE w:val="0"/>
        <w:autoSpaceDN w:val="0"/>
        <w:adjustRightInd w:val="0"/>
        <w:ind w:right="-386" w:firstLine="0"/>
      </w:pPr>
      <w:proofErr w:type="gramStart"/>
      <w:r>
        <w:t xml:space="preserve">Bosnia and Herzegovina </w:t>
      </w:r>
      <w:r w:rsidR="008C5A6F" w:rsidRPr="001E69D4">
        <w:rPr>
          <w:color w:val="000000"/>
        </w:rPr>
        <w:t>Directorate for Economic Planning</w:t>
      </w:r>
      <w:r>
        <w:t>, Ministry Council.</w:t>
      </w:r>
      <w:proofErr w:type="gramEnd"/>
      <w:r>
        <w:t xml:space="preserve"> 2009. </w:t>
      </w:r>
      <w:r w:rsidRPr="0075613C">
        <w:rPr>
          <w:i/>
        </w:rPr>
        <w:t xml:space="preserve">Bosnia Herzegovina </w:t>
      </w:r>
      <w:r>
        <w:rPr>
          <w:i/>
        </w:rPr>
        <w:t>e</w:t>
      </w:r>
      <w:r w:rsidRPr="0075613C">
        <w:rPr>
          <w:i/>
        </w:rPr>
        <w:t xml:space="preserve">conomic </w:t>
      </w:r>
      <w:r>
        <w:rPr>
          <w:i/>
        </w:rPr>
        <w:t>t</w:t>
      </w:r>
      <w:r w:rsidRPr="0075613C">
        <w:rPr>
          <w:i/>
        </w:rPr>
        <w:t xml:space="preserve">rends, </w:t>
      </w:r>
      <w:r>
        <w:rPr>
          <w:i/>
        </w:rPr>
        <w:t>a</w:t>
      </w:r>
      <w:r w:rsidRPr="0075613C">
        <w:rPr>
          <w:i/>
        </w:rPr>
        <w:t>nnual report for 2008</w:t>
      </w:r>
      <w:r>
        <w:rPr>
          <w:i/>
        </w:rPr>
        <w:t xml:space="preserve"> </w:t>
      </w:r>
      <w:r w:rsidR="00D40A78">
        <w:t xml:space="preserve">(Sarajevo). </w:t>
      </w:r>
    </w:p>
    <w:p w:rsidR="00DC388F" w:rsidRDefault="00DC388F" w:rsidP="00DC388F">
      <w:pPr>
        <w:widowControl w:val="0"/>
        <w:autoSpaceDE w:val="0"/>
        <w:autoSpaceDN w:val="0"/>
        <w:adjustRightInd w:val="0"/>
        <w:ind w:right="-386" w:firstLine="0"/>
      </w:pPr>
      <w:proofErr w:type="gramStart"/>
      <w:r>
        <w:t>Bosnia and Herzegovina Indirect Taxing Authority.</w:t>
      </w:r>
      <w:proofErr w:type="gramEnd"/>
      <w:r>
        <w:t xml:space="preserve"> 2007. </w:t>
      </w:r>
      <w:r w:rsidR="000A120D" w:rsidRPr="000A120D">
        <w:t>OMA Bulletin No 18</w:t>
      </w:r>
      <w:r w:rsidRPr="00DC388F">
        <w:t xml:space="preserve">. </w:t>
      </w:r>
      <w:r>
        <w:t>(Sarajevo, Macroeconomic Unit of the Governing Board of the Indirect Tax Authority, Bosnia and Herzegovina).</w:t>
      </w:r>
    </w:p>
    <w:p w:rsidR="00DC388F" w:rsidRDefault="00DC388F" w:rsidP="00DC388F">
      <w:pPr>
        <w:widowControl w:val="0"/>
        <w:autoSpaceDE w:val="0"/>
        <w:autoSpaceDN w:val="0"/>
        <w:adjustRightInd w:val="0"/>
        <w:ind w:right="-386" w:firstLine="0"/>
      </w:pPr>
      <w:r>
        <w:t xml:space="preserve">—. 2012. </w:t>
      </w:r>
      <w:r w:rsidRPr="0075613C">
        <w:rPr>
          <w:i/>
        </w:rPr>
        <w:t xml:space="preserve">Monthly </w:t>
      </w:r>
      <w:r>
        <w:rPr>
          <w:i/>
        </w:rPr>
        <w:t>c</w:t>
      </w:r>
      <w:r w:rsidRPr="0075613C">
        <w:rPr>
          <w:i/>
        </w:rPr>
        <w:t xml:space="preserve">onsolidated </w:t>
      </w:r>
      <w:r>
        <w:rPr>
          <w:i/>
        </w:rPr>
        <w:t>r</w:t>
      </w:r>
      <w:r w:rsidRPr="0075613C">
        <w:rPr>
          <w:i/>
        </w:rPr>
        <w:t>eport 2012</w:t>
      </w:r>
      <w:r>
        <w:t xml:space="preserve"> (Sarajevo, Macroeconomic Unit of the Governing Board of the Indirect Tax Authority). </w:t>
      </w:r>
      <w:proofErr w:type="gramStart"/>
      <w:r>
        <w:t xml:space="preserve">Available at </w:t>
      </w:r>
      <w:hyperlink r:id="rId16" w:history="1">
        <w:r w:rsidRPr="0023546C">
          <w:rPr>
            <w:rStyle w:val="Hyperlink"/>
            <w:rFonts w:cs="Calibri"/>
          </w:rPr>
          <w:t>http://www.oma.uino.gov.ba/04_izvjestaji.asp?l=e</w:t>
        </w:r>
      </w:hyperlink>
      <w:r>
        <w:t xml:space="preserve"> [27 Sept. 2012].</w:t>
      </w:r>
      <w:proofErr w:type="gramEnd"/>
    </w:p>
    <w:p w:rsidR="001A079F" w:rsidRDefault="001A079F" w:rsidP="001A079F">
      <w:pPr>
        <w:widowControl w:val="0"/>
        <w:autoSpaceDE w:val="0"/>
        <w:autoSpaceDN w:val="0"/>
        <w:adjustRightInd w:val="0"/>
        <w:ind w:right="-386" w:firstLine="0"/>
      </w:pPr>
      <w:proofErr w:type="spellStart"/>
      <w:proofErr w:type="gramStart"/>
      <w:r>
        <w:t>Ca’Zorzi</w:t>
      </w:r>
      <w:proofErr w:type="spellEnd"/>
      <w:r>
        <w:t xml:space="preserve">, M.; </w:t>
      </w:r>
      <w:proofErr w:type="spellStart"/>
      <w:r>
        <w:t>Schnatz</w:t>
      </w:r>
      <w:proofErr w:type="spellEnd"/>
      <w:r>
        <w:t>, B. 2007.</w:t>
      </w:r>
      <w:proofErr w:type="gramEnd"/>
      <w:r>
        <w:t xml:space="preserve"> </w:t>
      </w:r>
      <w:r w:rsidR="000A120D" w:rsidRPr="000A120D">
        <w:rPr>
          <w:i/>
        </w:rPr>
        <w:t>Explaining and forecasting EURO area exports – Which competitiveness indicator perform best</w:t>
      </w:r>
      <w:proofErr w:type="gramStart"/>
      <w:r w:rsidR="000A120D" w:rsidRPr="000A120D">
        <w:rPr>
          <w:i/>
        </w:rPr>
        <w:t>?,</w:t>
      </w:r>
      <w:proofErr w:type="gramEnd"/>
      <w:r>
        <w:t xml:space="preserve"> </w:t>
      </w:r>
      <w:r w:rsidR="000A120D" w:rsidRPr="000A120D">
        <w:t>Working Paper Series,</w:t>
      </w:r>
      <w:r>
        <w:t xml:space="preserve"> No 833 (Frankfurt, European Central Bank).</w:t>
      </w:r>
    </w:p>
    <w:p w:rsidR="001A079F" w:rsidRDefault="001A079F" w:rsidP="001A079F">
      <w:pPr>
        <w:widowControl w:val="0"/>
        <w:autoSpaceDE w:val="0"/>
        <w:autoSpaceDN w:val="0"/>
        <w:adjustRightInd w:val="0"/>
        <w:ind w:right="-386" w:firstLine="0"/>
      </w:pPr>
      <w:proofErr w:type="gramStart"/>
      <w:r>
        <w:t xml:space="preserve">Chena, M.X.; </w:t>
      </w:r>
      <w:proofErr w:type="spellStart"/>
      <w:r>
        <w:t>Wilsonb</w:t>
      </w:r>
      <w:proofErr w:type="spellEnd"/>
      <w:r>
        <w:t xml:space="preserve">, J.S.; </w:t>
      </w:r>
      <w:proofErr w:type="spellStart"/>
      <w:r>
        <w:t>Otsuki</w:t>
      </w:r>
      <w:proofErr w:type="spellEnd"/>
      <w:r>
        <w:t>, T. 2008.</w:t>
      </w:r>
      <w:proofErr w:type="gramEnd"/>
      <w:r>
        <w:t xml:space="preserve"> “Standards and export decisions: Firm</w:t>
      </w:r>
      <w:r w:rsidR="00E86140">
        <w:t>-</w:t>
      </w:r>
      <w:r>
        <w:t xml:space="preserve">level evidence from developing countries”, in </w:t>
      </w:r>
      <w:r w:rsidRPr="00867DE5">
        <w:rPr>
          <w:i/>
        </w:rPr>
        <w:t>The Journal of International Trade &amp; Economic Development</w:t>
      </w:r>
      <w:r>
        <w:t>, Vol. 17, No. 4, pp. 501–523.</w:t>
      </w:r>
    </w:p>
    <w:p w:rsidR="001A079F" w:rsidRPr="00A8108B" w:rsidRDefault="001A079F" w:rsidP="001A079F">
      <w:pPr>
        <w:widowControl w:val="0"/>
        <w:autoSpaceDE w:val="0"/>
        <w:autoSpaceDN w:val="0"/>
        <w:adjustRightInd w:val="0"/>
        <w:ind w:right="-386" w:firstLine="0"/>
      </w:pPr>
      <w:proofErr w:type="spellStart"/>
      <w:proofErr w:type="gramStart"/>
      <w:r w:rsidRPr="00A8108B">
        <w:t>Č</w:t>
      </w:r>
      <w:r w:rsidR="00831BF9">
        <w:t>a</w:t>
      </w:r>
      <w:r w:rsidRPr="00A8108B">
        <w:t>ušević</w:t>
      </w:r>
      <w:proofErr w:type="spellEnd"/>
      <w:r w:rsidRPr="00A8108B">
        <w:t>, F. 2006.</w:t>
      </w:r>
      <w:proofErr w:type="gramEnd"/>
      <w:r w:rsidRPr="00A8108B">
        <w:t xml:space="preserve"> </w:t>
      </w:r>
      <w:r w:rsidRPr="00A8108B">
        <w:rPr>
          <w:i/>
        </w:rPr>
        <w:t>Foreign trade and trade balance of B&amp;H</w:t>
      </w:r>
      <w:r w:rsidRPr="00A8108B">
        <w:t xml:space="preserve"> (Sarajevo, </w:t>
      </w:r>
      <w:proofErr w:type="spellStart"/>
      <w:r w:rsidRPr="00A8108B">
        <w:t>Ekonomski</w:t>
      </w:r>
      <w:proofErr w:type="spellEnd"/>
      <w:r w:rsidRPr="00A8108B">
        <w:t xml:space="preserve"> </w:t>
      </w:r>
      <w:proofErr w:type="spellStart"/>
      <w:r w:rsidRPr="00A8108B">
        <w:t>Institut</w:t>
      </w:r>
      <w:proofErr w:type="spellEnd"/>
      <w:r w:rsidRPr="00A8108B">
        <w:t xml:space="preserve">). </w:t>
      </w:r>
    </w:p>
    <w:p w:rsidR="001A079F" w:rsidRPr="00A8108B" w:rsidRDefault="001A079F" w:rsidP="001A079F">
      <w:pPr>
        <w:widowControl w:val="0"/>
        <w:autoSpaceDE w:val="0"/>
        <w:autoSpaceDN w:val="0"/>
        <w:adjustRightInd w:val="0"/>
        <w:ind w:right="-386" w:firstLine="0"/>
      </w:pPr>
      <w:proofErr w:type="spellStart"/>
      <w:proofErr w:type="gramStart"/>
      <w:r w:rsidRPr="00A8108B">
        <w:t>Efendić</w:t>
      </w:r>
      <w:proofErr w:type="spellEnd"/>
      <w:r w:rsidRPr="00A8108B">
        <w:t>, A. 2004.</w:t>
      </w:r>
      <w:proofErr w:type="gramEnd"/>
      <w:r w:rsidRPr="00A8108B">
        <w:t xml:space="preserve"> </w:t>
      </w:r>
      <w:proofErr w:type="gramStart"/>
      <w:r w:rsidRPr="00A8108B">
        <w:rPr>
          <w:i/>
        </w:rPr>
        <w:t>Protective structures in Bosnia and Herzegovina</w:t>
      </w:r>
      <w:r w:rsidRPr="00A8108B">
        <w:t xml:space="preserve"> (Vienna, The Vienna Institute for International Economic Studies).</w:t>
      </w:r>
      <w:proofErr w:type="gramEnd"/>
      <w:r w:rsidRPr="00A8108B">
        <w:t xml:space="preserve"> </w:t>
      </w:r>
    </w:p>
    <w:p w:rsidR="001A079F" w:rsidRDefault="001A079F" w:rsidP="001A079F">
      <w:pPr>
        <w:widowControl w:val="0"/>
        <w:autoSpaceDE w:val="0"/>
        <w:autoSpaceDN w:val="0"/>
        <w:adjustRightInd w:val="0"/>
        <w:ind w:right="-386" w:firstLine="0"/>
      </w:pPr>
      <w:proofErr w:type="spellStart"/>
      <w:r w:rsidRPr="001025B3">
        <w:rPr>
          <w:lang w:val="es-MX"/>
        </w:rPr>
        <w:t>Esterhiuizen</w:t>
      </w:r>
      <w:proofErr w:type="spellEnd"/>
      <w:r w:rsidRPr="001025B3">
        <w:rPr>
          <w:lang w:val="es-MX"/>
        </w:rPr>
        <w:t xml:space="preserve">, D.; van </w:t>
      </w:r>
      <w:proofErr w:type="spellStart"/>
      <w:r w:rsidRPr="001025B3">
        <w:rPr>
          <w:lang w:val="es-MX"/>
        </w:rPr>
        <w:t>Rooyen</w:t>
      </w:r>
      <w:proofErr w:type="spellEnd"/>
      <w:r w:rsidRPr="001025B3">
        <w:rPr>
          <w:lang w:val="es-MX"/>
        </w:rPr>
        <w:t xml:space="preserve">, C.J. 2006. </w:t>
      </w:r>
      <w:proofErr w:type="gramStart"/>
      <w:r>
        <w:t xml:space="preserve">“An inquiry into factors impacting on the competitiveness of the South African wine industry”, in </w:t>
      </w:r>
      <w:proofErr w:type="spellStart"/>
      <w:r w:rsidRPr="0075613C">
        <w:rPr>
          <w:i/>
        </w:rPr>
        <w:t>Agrecon</w:t>
      </w:r>
      <w:proofErr w:type="spellEnd"/>
      <w:r>
        <w:t>, Vol. 45, No. 4, 467−484.</w:t>
      </w:r>
      <w:proofErr w:type="gramEnd"/>
    </w:p>
    <w:p w:rsidR="001A079F" w:rsidRDefault="001A079F" w:rsidP="001A079F">
      <w:pPr>
        <w:widowControl w:val="0"/>
        <w:autoSpaceDE w:val="0"/>
        <w:autoSpaceDN w:val="0"/>
        <w:adjustRightInd w:val="0"/>
        <w:ind w:right="-386" w:firstLine="0"/>
      </w:pPr>
      <w:proofErr w:type="spellStart"/>
      <w:proofErr w:type="gramStart"/>
      <w:r>
        <w:t>Hadziomeragic</w:t>
      </w:r>
      <w:proofErr w:type="spellEnd"/>
      <w:r>
        <w:t xml:space="preserve">, A.; </w:t>
      </w:r>
      <w:proofErr w:type="spellStart"/>
      <w:r>
        <w:t>Jakubiak</w:t>
      </w:r>
      <w:proofErr w:type="spellEnd"/>
      <w:r>
        <w:t xml:space="preserve">, M.; </w:t>
      </w:r>
      <w:proofErr w:type="spellStart"/>
      <w:r>
        <w:t>Oruc</w:t>
      </w:r>
      <w:proofErr w:type="spellEnd"/>
      <w:r>
        <w:t xml:space="preserve">, N.; </w:t>
      </w:r>
      <w:proofErr w:type="spellStart"/>
      <w:r>
        <w:t>Paczynski</w:t>
      </w:r>
      <w:proofErr w:type="spellEnd"/>
      <w:r>
        <w:t>, W. 2007.</w:t>
      </w:r>
      <w:proofErr w:type="gramEnd"/>
      <w:r>
        <w:t xml:space="preserve"> </w:t>
      </w:r>
      <w:proofErr w:type="gramStart"/>
      <w:r>
        <w:t xml:space="preserve">“BH in SEE trade arrangements, analysis and policy recommendations”, in </w:t>
      </w:r>
      <w:r w:rsidRPr="0075613C">
        <w:rPr>
          <w:i/>
        </w:rPr>
        <w:t xml:space="preserve">BH </w:t>
      </w:r>
      <w:r>
        <w:rPr>
          <w:i/>
        </w:rPr>
        <w:t>E</w:t>
      </w:r>
      <w:r w:rsidRPr="0075613C">
        <w:rPr>
          <w:i/>
        </w:rPr>
        <w:t xml:space="preserve">conomic </w:t>
      </w:r>
      <w:r>
        <w:rPr>
          <w:i/>
        </w:rPr>
        <w:t>S</w:t>
      </w:r>
      <w:r w:rsidRPr="0075613C">
        <w:rPr>
          <w:i/>
        </w:rPr>
        <w:t>tudies</w:t>
      </w:r>
      <w:r>
        <w:rPr>
          <w:i/>
        </w:rPr>
        <w:t>,</w:t>
      </w:r>
      <w:r>
        <w:t xml:space="preserve"> No.</w:t>
      </w:r>
      <w:r w:rsidR="00E86140">
        <w:t xml:space="preserve"> </w:t>
      </w:r>
      <w:r>
        <w:t>1.</w:t>
      </w:r>
      <w:proofErr w:type="gramEnd"/>
    </w:p>
    <w:p w:rsidR="001A079F" w:rsidRDefault="001A079F" w:rsidP="001A079F">
      <w:pPr>
        <w:widowControl w:val="0"/>
        <w:autoSpaceDE w:val="0"/>
        <w:autoSpaceDN w:val="0"/>
        <w:adjustRightInd w:val="0"/>
        <w:ind w:right="-386" w:firstLine="0"/>
      </w:pPr>
      <w:proofErr w:type="spellStart"/>
      <w:r>
        <w:t>Hallat</w:t>
      </w:r>
      <w:proofErr w:type="spellEnd"/>
      <w:r>
        <w:t xml:space="preserve">, J. 2005. </w:t>
      </w:r>
      <w:r w:rsidRPr="0075613C">
        <w:rPr>
          <w:i/>
        </w:rPr>
        <w:t>Relative competitiveness of the South African oilseed industry</w:t>
      </w:r>
      <w:r>
        <w:t xml:space="preserve"> (</w:t>
      </w:r>
      <w:proofErr w:type="spellStart"/>
      <w:r>
        <w:t>Bloemfonten</w:t>
      </w:r>
      <w:proofErr w:type="spellEnd"/>
      <w:r>
        <w:t xml:space="preserve">, Department of Agriculture, Economics, Faculty of Natural Sciences, University Free State </w:t>
      </w:r>
      <w:proofErr w:type="spellStart"/>
      <w:r>
        <w:t>Bloemfonten</w:t>
      </w:r>
      <w:proofErr w:type="spellEnd"/>
      <w:r>
        <w:t>).</w:t>
      </w:r>
    </w:p>
    <w:p w:rsidR="001A079F" w:rsidRDefault="001A079F" w:rsidP="001A079F">
      <w:pPr>
        <w:widowControl w:val="0"/>
        <w:autoSpaceDE w:val="0"/>
        <w:autoSpaceDN w:val="0"/>
        <w:adjustRightInd w:val="0"/>
        <w:ind w:right="-386" w:firstLine="0"/>
      </w:pPr>
      <w:proofErr w:type="gramStart"/>
      <w:r>
        <w:t>International Monetary Fund (IMF</w:t>
      </w:r>
      <w:r w:rsidR="005938B4">
        <w:t>)</w:t>
      </w:r>
      <w:r>
        <w:t>.</w:t>
      </w:r>
      <w:proofErr w:type="gramEnd"/>
      <w:r>
        <w:t xml:space="preserve"> 2010. </w:t>
      </w:r>
      <w:r w:rsidR="000A120D" w:rsidRPr="000A120D">
        <w:rPr>
          <w:i/>
        </w:rPr>
        <w:t>Bosnia and Herzegovina: Selected issues</w:t>
      </w:r>
      <w:r>
        <w:t xml:space="preserve">, </w:t>
      </w:r>
      <w:r w:rsidR="000A120D" w:rsidRPr="000A120D">
        <w:t>IMF Country Report,</w:t>
      </w:r>
      <w:r>
        <w:t xml:space="preserve"> No. 10/347</w:t>
      </w:r>
      <w:r w:rsidR="006E5332">
        <w:t xml:space="preserve"> </w:t>
      </w:r>
      <w:r w:rsidR="00257239">
        <w:t>(Washington, DC</w:t>
      </w:r>
      <w:r w:rsidR="006E5332" w:rsidRPr="006E5332">
        <w:t>)</w:t>
      </w:r>
      <w:r w:rsidR="00257239">
        <w:t>.</w:t>
      </w:r>
      <w:r>
        <w:t xml:space="preserve"> </w:t>
      </w:r>
      <w:proofErr w:type="gramStart"/>
      <w:r>
        <w:t>Available at http://www.imf.org/external/pubs/ft/scr/2010/cr10347.pdf [27 Sept. 2012]</w:t>
      </w:r>
      <w:r w:rsidR="00E86140">
        <w:t>.</w:t>
      </w:r>
      <w:proofErr w:type="gramEnd"/>
    </w:p>
    <w:p w:rsidR="001A079F" w:rsidRPr="001A079F" w:rsidRDefault="001A079F" w:rsidP="001A079F">
      <w:pPr>
        <w:widowControl w:val="0"/>
        <w:autoSpaceDE w:val="0"/>
        <w:autoSpaceDN w:val="0"/>
        <w:adjustRightInd w:val="0"/>
        <w:ind w:right="-386" w:firstLine="0"/>
      </w:pPr>
      <w:proofErr w:type="gramStart"/>
      <w:r>
        <w:t>Jansen, M.; Lee, E. 2007.</w:t>
      </w:r>
      <w:proofErr w:type="gramEnd"/>
      <w:r>
        <w:t xml:space="preserve"> </w:t>
      </w:r>
      <w:r w:rsidRPr="0075613C">
        <w:rPr>
          <w:i/>
        </w:rPr>
        <w:t xml:space="preserve">Trade </w:t>
      </w:r>
      <w:r>
        <w:rPr>
          <w:i/>
        </w:rPr>
        <w:t>a</w:t>
      </w:r>
      <w:r w:rsidRPr="0075613C">
        <w:rPr>
          <w:i/>
        </w:rPr>
        <w:t xml:space="preserve">nd </w:t>
      </w:r>
      <w:r>
        <w:rPr>
          <w:i/>
        </w:rPr>
        <w:t>e</w:t>
      </w:r>
      <w:r w:rsidRPr="00A528F4">
        <w:rPr>
          <w:i/>
        </w:rPr>
        <w:t xml:space="preserve">mployment </w:t>
      </w:r>
      <w:r>
        <w:rPr>
          <w:i/>
        </w:rPr>
        <w:t>c</w:t>
      </w:r>
      <w:r w:rsidRPr="00A528F4">
        <w:rPr>
          <w:i/>
        </w:rPr>
        <w:t xml:space="preserve">hallenges </w:t>
      </w:r>
      <w:r>
        <w:rPr>
          <w:i/>
        </w:rPr>
        <w:t>f</w:t>
      </w:r>
      <w:r w:rsidRPr="00A528F4">
        <w:rPr>
          <w:i/>
        </w:rPr>
        <w:t xml:space="preserve">or </w:t>
      </w:r>
      <w:r>
        <w:rPr>
          <w:i/>
        </w:rPr>
        <w:t>p</w:t>
      </w:r>
      <w:r w:rsidRPr="0075613C">
        <w:rPr>
          <w:i/>
        </w:rPr>
        <w:t xml:space="preserve">olicy </w:t>
      </w:r>
      <w:r>
        <w:rPr>
          <w:i/>
        </w:rPr>
        <w:t>r</w:t>
      </w:r>
      <w:r w:rsidRPr="0075613C">
        <w:rPr>
          <w:i/>
        </w:rPr>
        <w:t>esearch</w:t>
      </w:r>
      <w:r>
        <w:t xml:space="preserve"> (Geneva, </w:t>
      </w:r>
      <w:r w:rsidRPr="001A079F">
        <w:t xml:space="preserve">International Labour Office and World Trade Organization). </w:t>
      </w:r>
    </w:p>
    <w:p w:rsidR="001A079F" w:rsidRPr="00A8108B" w:rsidRDefault="001A079F" w:rsidP="001A079F">
      <w:pPr>
        <w:widowControl w:val="0"/>
        <w:autoSpaceDE w:val="0"/>
        <w:autoSpaceDN w:val="0"/>
        <w:adjustRightInd w:val="0"/>
        <w:ind w:right="-386" w:firstLine="0"/>
      </w:pPr>
      <w:proofErr w:type="spellStart"/>
      <w:proofErr w:type="gramStart"/>
      <w:r w:rsidRPr="00A8108B">
        <w:t>Kovačić</w:t>
      </w:r>
      <w:proofErr w:type="spellEnd"/>
      <w:r w:rsidRPr="00A8108B">
        <w:t>, A. 2007.</w:t>
      </w:r>
      <w:proofErr w:type="gramEnd"/>
      <w:r w:rsidRPr="00A8108B">
        <w:t xml:space="preserve"> “Benchmarking the Slovenian competitiveness by system of indicators”, in </w:t>
      </w:r>
      <w:r w:rsidRPr="00A8108B">
        <w:rPr>
          <w:i/>
        </w:rPr>
        <w:t xml:space="preserve">Benchmarking: </w:t>
      </w:r>
      <w:proofErr w:type="gramStart"/>
      <w:r w:rsidRPr="00A8108B">
        <w:rPr>
          <w:i/>
        </w:rPr>
        <w:t>An</w:t>
      </w:r>
      <w:proofErr w:type="gramEnd"/>
      <w:r w:rsidRPr="00A8108B">
        <w:rPr>
          <w:i/>
        </w:rPr>
        <w:t xml:space="preserve"> International Journal</w:t>
      </w:r>
      <w:r w:rsidRPr="00A8108B">
        <w:t>, Vol. 14</w:t>
      </w:r>
      <w:r w:rsidR="00E86140" w:rsidRPr="00A8108B">
        <w:t>,</w:t>
      </w:r>
      <w:r w:rsidRPr="00A8108B">
        <w:t xml:space="preserve"> No. 5, pp. 553−574.</w:t>
      </w:r>
    </w:p>
    <w:p w:rsidR="001A079F" w:rsidRDefault="001A079F" w:rsidP="001A079F">
      <w:pPr>
        <w:widowControl w:val="0"/>
        <w:autoSpaceDE w:val="0"/>
        <w:autoSpaceDN w:val="0"/>
        <w:adjustRightInd w:val="0"/>
        <w:ind w:right="-386" w:firstLine="0"/>
      </w:pPr>
      <w:proofErr w:type="spellStart"/>
      <w:proofErr w:type="gramStart"/>
      <w:r>
        <w:t>Krom</w:t>
      </w:r>
      <w:proofErr w:type="spellEnd"/>
      <w:r>
        <w:t xml:space="preserve">, E.; </w:t>
      </w:r>
      <w:proofErr w:type="spellStart"/>
      <w:r>
        <w:t>Sagi</w:t>
      </w:r>
      <w:proofErr w:type="spellEnd"/>
      <w:r>
        <w:t>, J. 2005.</w:t>
      </w:r>
      <w:proofErr w:type="gramEnd"/>
      <w:r>
        <w:t xml:space="preserve"> </w:t>
      </w:r>
      <w:proofErr w:type="gramStart"/>
      <w:r>
        <w:t xml:space="preserve">“Measures of competitiveness in agriculture”, in </w:t>
      </w:r>
      <w:r w:rsidRPr="0075613C">
        <w:rPr>
          <w:i/>
        </w:rPr>
        <w:t>Journal of Central European Agriculture</w:t>
      </w:r>
      <w:r>
        <w:t>, Vol. 6, No. 3, pp. 375−380.</w:t>
      </w:r>
      <w:proofErr w:type="gramEnd"/>
    </w:p>
    <w:p w:rsidR="001A079F" w:rsidRDefault="001A079F" w:rsidP="001A079F">
      <w:pPr>
        <w:widowControl w:val="0"/>
        <w:autoSpaceDE w:val="0"/>
        <w:autoSpaceDN w:val="0"/>
        <w:adjustRightInd w:val="0"/>
        <w:ind w:right="-386" w:firstLine="0"/>
      </w:pPr>
      <w:proofErr w:type="spellStart"/>
      <w:proofErr w:type="gramStart"/>
      <w:r>
        <w:t>Kucera</w:t>
      </w:r>
      <w:proofErr w:type="spellEnd"/>
      <w:r>
        <w:t xml:space="preserve">, D.; </w:t>
      </w:r>
      <w:proofErr w:type="spellStart"/>
      <w:r>
        <w:t>Sarna</w:t>
      </w:r>
      <w:proofErr w:type="spellEnd"/>
      <w:r>
        <w:t>, R. 2006.</w:t>
      </w:r>
      <w:proofErr w:type="gramEnd"/>
      <w:r>
        <w:t xml:space="preserve"> “Trade </w:t>
      </w:r>
      <w:r w:rsidR="002B5761">
        <w:t>u</w:t>
      </w:r>
      <w:r>
        <w:t xml:space="preserve">nion rights, democracy, and exports: A gravity model approach”, in </w:t>
      </w:r>
      <w:r w:rsidRPr="0075613C">
        <w:rPr>
          <w:i/>
        </w:rPr>
        <w:t>Review of International Economics</w:t>
      </w:r>
      <w:r>
        <w:rPr>
          <w:i/>
        </w:rPr>
        <w:t>,</w:t>
      </w:r>
      <w:r>
        <w:t xml:space="preserve"> Vol. 14, No. 5, pp. 859–882.</w:t>
      </w:r>
    </w:p>
    <w:p w:rsidR="008C5A6F" w:rsidRPr="00A8108B" w:rsidRDefault="008C5A6F" w:rsidP="008C5A6F">
      <w:pPr>
        <w:widowControl w:val="0"/>
        <w:autoSpaceDE w:val="0"/>
        <w:autoSpaceDN w:val="0"/>
        <w:adjustRightInd w:val="0"/>
        <w:ind w:right="-386" w:firstLine="0"/>
      </w:pPr>
      <w:proofErr w:type="spellStart"/>
      <w:proofErr w:type="gramStart"/>
      <w:r w:rsidRPr="00A8108B">
        <w:t>Lalić</w:t>
      </w:r>
      <w:proofErr w:type="spellEnd"/>
      <w:r w:rsidRPr="00A8108B">
        <w:t xml:space="preserve">, D.; </w:t>
      </w:r>
      <w:proofErr w:type="spellStart"/>
      <w:r w:rsidRPr="00A8108B">
        <w:t>Nikolić</w:t>
      </w:r>
      <w:proofErr w:type="spellEnd"/>
      <w:r w:rsidRPr="00A8108B">
        <w:t xml:space="preserve">, A.; </w:t>
      </w:r>
      <w:proofErr w:type="spellStart"/>
      <w:r w:rsidRPr="00A8108B">
        <w:t>Uzunović</w:t>
      </w:r>
      <w:proofErr w:type="spellEnd"/>
      <w:r w:rsidRPr="00A8108B">
        <w:t xml:space="preserve">, M.; </w:t>
      </w:r>
      <w:proofErr w:type="spellStart"/>
      <w:r w:rsidRPr="00A8108B">
        <w:t>Samardžić</w:t>
      </w:r>
      <w:proofErr w:type="spellEnd"/>
      <w:r w:rsidRPr="00A8108B">
        <w:t>, T. 2010.</w:t>
      </w:r>
      <w:proofErr w:type="gramEnd"/>
      <w:r w:rsidRPr="00A8108B">
        <w:t xml:space="preserve"> </w:t>
      </w:r>
      <w:r w:rsidRPr="00A8108B">
        <w:rPr>
          <w:i/>
        </w:rPr>
        <w:t>Effects of signed EFTA contract to development of BH agriculture and food sector</w:t>
      </w:r>
      <w:r w:rsidRPr="00A8108B">
        <w:t xml:space="preserve">, presented at </w:t>
      </w:r>
      <w:proofErr w:type="spellStart"/>
      <w:r w:rsidRPr="00A8108B">
        <w:t>XXIst</w:t>
      </w:r>
      <w:proofErr w:type="spellEnd"/>
      <w:r w:rsidRPr="00A8108B">
        <w:t xml:space="preserve"> Scientific−Professional Conference of Agriculture and Food Sciences, </w:t>
      </w:r>
      <w:proofErr w:type="spellStart"/>
      <w:r w:rsidRPr="00A8108B">
        <w:t>Neum</w:t>
      </w:r>
      <w:proofErr w:type="spellEnd"/>
      <w:r w:rsidRPr="00A8108B">
        <w:t>, Bosnia and Herzegovina.</w:t>
      </w:r>
    </w:p>
    <w:p w:rsidR="001A079F" w:rsidRDefault="001A079F" w:rsidP="001A079F">
      <w:pPr>
        <w:widowControl w:val="0"/>
        <w:autoSpaceDE w:val="0"/>
        <w:autoSpaceDN w:val="0"/>
        <w:adjustRightInd w:val="0"/>
        <w:ind w:right="-386" w:firstLine="0"/>
      </w:pPr>
      <w:proofErr w:type="spellStart"/>
      <w:proofErr w:type="gramStart"/>
      <w:r>
        <w:t>Lubura</w:t>
      </w:r>
      <w:proofErr w:type="spellEnd"/>
      <w:r>
        <w:t>, T</w:t>
      </w:r>
      <w:r w:rsidR="00B21C1F">
        <w:t>.</w:t>
      </w:r>
      <w:r>
        <w:t xml:space="preserve">; </w:t>
      </w:r>
      <w:proofErr w:type="spellStart"/>
      <w:r>
        <w:t>Apoteker</w:t>
      </w:r>
      <w:proofErr w:type="spellEnd"/>
      <w:r>
        <w:t>, T. 2007.</w:t>
      </w:r>
      <w:proofErr w:type="gramEnd"/>
      <w:r>
        <w:t xml:space="preserve"> </w:t>
      </w:r>
      <w:proofErr w:type="spellStart"/>
      <w:proofErr w:type="gramStart"/>
      <w:r>
        <w:t>Trgovinska</w:t>
      </w:r>
      <w:proofErr w:type="spellEnd"/>
      <w:r>
        <w:t xml:space="preserve"> </w:t>
      </w:r>
      <w:proofErr w:type="spellStart"/>
      <w:r>
        <w:t>politika</w:t>
      </w:r>
      <w:proofErr w:type="spellEnd"/>
      <w:r>
        <w:t xml:space="preserve"> u </w:t>
      </w:r>
      <w:proofErr w:type="spellStart"/>
      <w:r>
        <w:t>kontekstu</w:t>
      </w:r>
      <w:proofErr w:type="spellEnd"/>
      <w:r>
        <w:t xml:space="preserve"> </w:t>
      </w:r>
      <w:proofErr w:type="spellStart"/>
      <w:r>
        <w:t>smanjenja</w:t>
      </w:r>
      <w:proofErr w:type="spellEnd"/>
      <w:r>
        <w:t xml:space="preserve"> </w:t>
      </w:r>
      <w:proofErr w:type="spellStart"/>
      <w:r>
        <w:t>siromaštva</w:t>
      </w:r>
      <w:proofErr w:type="spellEnd"/>
      <w:r>
        <w:t xml:space="preserve"> u BH</w:t>
      </w:r>
      <w:r w:rsidR="00865EBB">
        <w:t xml:space="preserve"> [</w:t>
      </w:r>
      <w:r w:rsidR="00865EBB" w:rsidRPr="00865EBB">
        <w:t>Trade policy in the context of poverty reduction in BH</w:t>
      </w:r>
      <w:r w:rsidR="00865EBB">
        <w:t>]</w:t>
      </w:r>
      <w:r>
        <w:t>, EPPU/DEP Research Network conference about economic monitoring, foreign trade, DFI and competitiveness, Sarajevo, BH.</w:t>
      </w:r>
      <w:proofErr w:type="gramEnd"/>
    </w:p>
    <w:p w:rsidR="001A079F" w:rsidRDefault="00C078F7" w:rsidP="001A079F">
      <w:pPr>
        <w:widowControl w:val="0"/>
        <w:autoSpaceDE w:val="0"/>
        <w:autoSpaceDN w:val="0"/>
        <w:adjustRightInd w:val="0"/>
        <w:ind w:right="-386" w:firstLine="0"/>
      </w:pPr>
      <w:r w:rsidRPr="00646F34">
        <w:rPr>
          <w:lang w:val="es-ES"/>
        </w:rPr>
        <w:t xml:space="preserve">Mitra, D.; Ural, B.P. 2008. </w:t>
      </w:r>
      <w:proofErr w:type="gramStart"/>
      <w:r w:rsidR="001A079F">
        <w:t xml:space="preserve">“Indian manufacturing: A slow sector in a rapidly growing </w:t>
      </w:r>
      <w:r w:rsidR="002B5761">
        <w:t>e</w:t>
      </w:r>
      <w:r w:rsidR="001A079F">
        <w:t xml:space="preserve">conomy”, in </w:t>
      </w:r>
      <w:r w:rsidR="001A079F" w:rsidRPr="0075613C">
        <w:rPr>
          <w:i/>
        </w:rPr>
        <w:t>The Journal of International Trade &amp; Economic Development</w:t>
      </w:r>
      <w:r w:rsidR="001A079F">
        <w:t>, Vol. 17, No. 4.</w:t>
      </w:r>
      <w:proofErr w:type="gramEnd"/>
      <w:r w:rsidR="001A079F">
        <w:t xml:space="preserve"> pp. 525–559.</w:t>
      </w:r>
    </w:p>
    <w:p w:rsidR="00D514C8" w:rsidRPr="001A079F" w:rsidRDefault="001A079F" w:rsidP="00D514C8">
      <w:pPr>
        <w:widowControl w:val="0"/>
        <w:autoSpaceDE w:val="0"/>
        <w:autoSpaceDN w:val="0"/>
        <w:adjustRightInd w:val="0"/>
        <w:ind w:right="-386" w:firstLine="0"/>
      </w:pPr>
      <w:proofErr w:type="spellStart"/>
      <w:proofErr w:type="gramStart"/>
      <w:r w:rsidRPr="00A8108B">
        <w:t>Nikolić</w:t>
      </w:r>
      <w:proofErr w:type="spellEnd"/>
      <w:r w:rsidRPr="00A8108B">
        <w:t>, A. 200</w:t>
      </w:r>
      <w:r w:rsidR="00D514C8">
        <w:t>7</w:t>
      </w:r>
      <w:r w:rsidRPr="00A8108B">
        <w:t>.</w:t>
      </w:r>
      <w:proofErr w:type="gramEnd"/>
      <w:r w:rsidRPr="00A8108B">
        <w:t xml:space="preserve"> </w:t>
      </w:r>
      <w:r w:rsidR="000A120D" w:rsidRPr="000A120D">
        <w:rPr>
          <w:i/>
        </w:rPr>
        <w:t>Policy impacts on agribusiness performance: Case study B&amp;H milk sector</w:t>
      </w:r>
      <w:r w:rsidRPr="00A8108B">
        <w:t xml:space="preserve">, </w:t>
      </w:r>
      <w:r w:rsidR="000A120D" w:rsidRPr="000A120D">
        <w:t>Working Paper</w:t>
      </w:r>
      <w:r w:rsidRPr="00A8108B">
        <w:t xml:space="preserve"> (</w:t>
      </w:r>
      <w:r w:rsidR="00F05E7D" w:rsidRPr="00A8108B">
        <w:t>Sarajevo</w:t>
      </w:r>
      <w:r w:rsidR="00D514C8">
        <w:t xml:space="preserve">, </w:t>
      </w:r>
      <w:r w:rsidR="00D514C8" w:rsidRPr="001A079F">
        <w:t>EPPU).</w:t>
      </w:r>
    </w:p>
    <w:p w:rsidR="001A079F" w:rsidRPr="00A8108B" w:rsidRDefault="001A079F" w:rsidP="001A079F">
      <w:pPr>
        <w:widowControl w:val="0"/>
        <w:autoSpaceDE w:val="0"/>
        <w:autoSpaceDN w:val="0"/>
        <w:adjustRightInd w:val="0"/>
        <w:ind w:right="-386" w:firstLine="0"/>
      </w:pPr>
      <w:proofErr w:type="spellStart"/>
      <w:proofErr w:type="gramStart"/>
      <w:r w:rsidRPr="00A8108B">
        <w:t>Nikolić</w:t>
      </w:r>
      <w:proofErr w:type="spellEnd"/>
      <w:r w:rsidRPr="00A8108B">
        <w:t>, A. 2008.</w:t>
      </w:r>
      <w:proofErr w:type="gramEnd"/>
      <w:r w:rsidRPr="00A8108B">
        <w:t xml:space="preserve"> </w:t>
      </w:r>
      <w:proofErr w:type="gramStart"/>
      <w:r w:rsidRPr="00A8108B">
        <w:t xml:space="preserve">“Competitive capability of milk industry in Bosnia and Herzegovina”, </w:t>
      </w:r>
      <w:r w:rsidRPr="00A8108B">
        <w:rPr>
          <w:i/>
        </w:rPr>
        <w:t>PhD thesis,</w:t>
      </w:r>
      <w:r w:rsidRPr="00A8108B">
        <w:t xml:space="preserve"> Faculty of Agricultural and Food Sciences, University of Sarajevo.</w:t>
      </w:r>
      <w:proofErr w:type="gramEnd"/>
    </w:p>
    <w:p w:rsidR="001A079F" w:rsidRPr="00A8108B" w:rsidRDefault="001A079F" w:rsidP="001A079F">
      <w:pPr>
        <w:widowControl w:val="0"/>
        <w:autoSpaceDE w:val="0"/>
        <w:autoSpaceDN w:val="0"/>
        <w:adjustRightInd w:val="0"/>
        <w:ind w:right="-386" w:firstLine="0"/>
      </w:pPr>
      <w:proofErr w:type="spellStart"/>
      <w:proofErr w:type="gramStart"/>
      <w:r w:rsidRPr="00A8108B">
        <w:t>Nikolić</w:t>
      </w:r>
      <w:proofErr w:type="spellEnd"/>
      <w:r w:rsidRPr="00A8108B">
        <w:t xml:space="preserve">, A.; </w:t>
      </w:r>
      <w:proofErr w:type="spellStart"/>
      <w:r w:rsidRPr="00A8108B">
        <w:t>Ognjenović</w:t>
      </w:r>
      <w:proofErr w:type="spellEnd"/>
      <w:r w:rsidRPr="00A8108B">
        <w:t xml:space="preserve">, D.; </w:t>
      </w:r>
      <w:proofErr w:type="spellStart"/>
      <w:r w:rsidRPr="00A8108B">
        <w:t>Bajramović</w:t>
      </w:r>
      <w:proofErr w:type="spellEnd"/>
      <w:r w:rsidRPr="00A8108B">
        <w:t>, S. 2009.</w:t>
      </w:r>
      <w:proofErr w:type="gramEnd"/>
      <w:r w:rsidRPr="00A8108B">
        <w:t xml:space="preserve"> </w:t>
      </w:r>
      <w:proofErr w:type="gramStart"/>
      <w:r w:rsidRPr="00A8108B">
        <w:rPr>
          <w:i/>
        </w:rPr>
        <w:t>An assessment of the competitiveness of the dairy food chain in Bosnia and Herzegovina</w:t>
      </w:r>
      <w:r w:rsidRPr="00A8108B">
        <w:t xml:space="preserve"> (Enlargement Network for </w:t>
      </w:r>
      <w:proofErr w:type="spellStart"/>
      <w:r w:rsidRPr="00A8108B">
        <w:t>AgriPolicy</w:t>
      </w:r>
      <w:proofErr w:type="spellEnd"/>
      <w:r w:rsidRPr="00A8108B">
        <w:t xml:space="preserve"> Analysis).</w:t>
      </w:r>
      <w:proofErr w:type="gramEnd"/>
    </w:p>
    <w:p w:rsidR="001A079F" w:rsidRPr="00A8108B" w:rsidRDefault="001A079F" w:rsidP="001A079F">
      <w:pPr>
        <w:widowControl w:val="0"/>
        <w:autoSpaceDE w:val="0"/>
        <w:autoSpaceDN w:val="0"/>
        <w:adjustRightInd w:val="0"/>
        <w:ind w:right="-386" w:firstLine="0"/>
      </w:pPr>
      <w:proofErr w:type="spellStart"/>
      <w:proofErr w:type="gramStart"/>
      <w:r w:rsidRPr="00A8108B">
        <w:t>Nikolić</w:t>
      </w:r>
      <w:proofErr w:type="spellEnd"/>
      <w:r w:rsidRPr="00A8108B">
        <w:t xml:space="preserve">, A.; </w:t>
      </w:r>
      <w:proofErr w:type="spellStart"/>
      <w:r w:rsidRPr="00A8108B">
        <w:t>Bajramović</w:t>
      </w:r>
      <w:proofErr w:type="spellEnd"/>
      <w:r w:rsidRPr="00A8108B">
        <w:t xml:space="preserve">, S.; </w:t>
      </w:r>
      <w:proofErr w:type="spellStart"/>
      <w:r w:rsidRPr="00A8108B">
        <w:t>Ognjenović</w:t>
      </w:r>
      <w:proofErr w:type="spellEnd"/>
      <w:r w:rsidRPr="00A8108B">
        <w:t xml:space="preserve">, D.; </w:t>
      </w:r>
      <w:proofErr w:type="spellStart"/>
      <w:r w:rsidRPr="00A8108B">
        <w:t>Lalić</w:t>
      </w:r>
      <w:proofErr w:type="spellEnd"/>
      <w:r w:rsidRPr="00A8108B">
        <w:t xml:space="preserve">, D.; </w:t>
      </w:r>
      <w:proofErr w:type="spellStart"/>
      <w:r w:rsidRPr="00A8108B">
        <w:t>Uzunović</w:t>
      </w:r>
      <w:proofErr w:type="spellEnd"/>
      <w:r w:rsidRPr="00A8108B">
        <w:t>, M. 2011.</w:t>
      </w:r>
      <w:proofErr w:type="gramEnd"/>
      <w:r w:rsidRPr="00A8108B">
        <w:t xml:space="preserve"> “SEE trade liberalisation – New opportunity for B&amp;H </w:t>
      </w:r>
      <w:proofErr w:type="spellStart"/>
      <w:r w:rsidRPr="00A8108B">
        <w:t>agrobusiness</w:t>
      </w:r>
      <w:proofErr w:type="spellEnd"/>
      <w:r w:rsidRPr="00A8108B">
        <w:t>?</w:t>
      </w:r>
      <w:proofErr w:type="gramStart"/>
      <w:r w:rsidRPr="00A8108B">
        <w:t>”,</w:t>
      </w:r>
      <w:proofErr w:type="gramEnd"/>
      <w:r w:rsidRPr="00A8108B">
        <w:t xml:space="preserve"> in </w:t>
      </w:r>
      <w:r w:rsidRPr="00A8108B">
        <w:rPr>
          <w:i/>
        </w:rPr>
        <w:t>British Food Journal</w:t>
      </w:r>
      <w:r w:rsidRPr="00A8108B">
        <w:t>, Vol. 113, No. 1, pp. 78—95</w:t>
      </w:r>
      <w:r w:rsidR="002B5761" w:rsidRPr="00A8108B">
        <w:t>.</w:t>
      </w:r>
    </w:p>
    <w:p w:rsidR="001A079F" w:rsidRDefault="001A079F" w:rsidP="001A079F">
      <w:pPr>
        <w:widowControl w:val="0"/>
        <w:autoSpaceDE w:val="0"/>
        <w:autoSpaceDN w:val="0"/>
        <w:adjustRightInd w:val="0"/>
        <w:ind w:right="-386" w:firstLine="0"/>
      </w:pPr>
      <w:r>
        <w:t xml:space="preserve">Romano, D. 2006. </w:t>
      </w:r>
      <w:proofErr w:type="gramStart"/>
      <w:r w:rsidRPr="0075613C">
        <w:rPr>
          <w:i/>
        </w:rPr>
        <w:t xml:space="preserve">Agriculture in the age of </w:t>
      </w:r>
      <w:r>
        <w:rPr>
          <w:i/>
        </w:rPr>
        <w:t>globalization</w:t>
      </w:r>
      <w:r>
        <w:t xml:space="preserve"> (Australia, International Association of Agricultural Economists Conference).</w:t>
      </w:r>
      <w:proofErr w:type="gramEnd"/>
    </w:p>
    <w:p w:rsidR="001A079F" w:rsidRPr="00A8108B" w:rsidRDefault="001A079F" w:rsidP="001A079F">
      <w:pPr>
        <w:widowControl w:val="0"/>
        <w:autoSpaceDE w:val="0"/>
        <w:autoSpaceDN w:val="0"/>
        <w:adjustRightInd w:val="0"/>
        <w:ind w:right="-386" w:firstLine="0"/>
      </w:pPr>
      <w:proofErr w:type="spellStart"/>
      <w:r w:rsidRPr="00A8108B">
        <w:t>Silajdžić</w:t>
      </w:r>
      <w:proofErr w:type="spellEnd"/>
      <w:r w:rsidRPr="00A8108B">
        <w:t xml:space="preserve">, S. 2007. </w:t>
      </w:r>
      <w:proofErr w:type="gramStart"/>
      <w:r w:rsidRPr="00A8108B">
        <w:t xml:space="preserve">“Patterns of reconstructing and competitiveness of B&amp;H manufacturing industry and role of technological capabilities”, in </w:t>
      </w:r>
      <w:r w:rsidRPr="00A8108B">
        <w:rPr>
          <w:i/>
        </w:rPr>
        <w:t>B&amp;H Economic Studies</w:t>
      </w:r>
      <w:r w:rsidRPr="00A8108B">
        <w:t>, No. 1, pp. 45−63.</w:t>
      </w:r>
      <w:proofErr w:type="gramEnd"/>
    </w:p>
    <w:p w:rsidR="008C5A6F" w:rsidRDefault="008C5A6F" w:rsidP="00D979AB">
      <w:pPr>
        <w:widowControl w:val="0"/>
        <w:autoSpaceDE w:val="0"/>
        <w:autoSpaceDN w:val="0"/>
        <w:adjustRightInd w:val="0"/>
        <w:ind w:right="-386" w:firstLine="0"/>
        <w:jc w:val="left"/>
      </w:pPr>
      <w:proofErr w:type="gramStart"/>
      <w:r>
        <w:t>United States Agency for International Development (USAID).</w:t>
      </w:r>
      <w:proofErr w:type="gramEnd"/>
      <w:r>
        <w:t xml:space="preserve"> 2009. </w:t>
      </w:r>
      <w:r w:rsidRPr="0075613C">
        <w:rPr>
          <w:i/>
        </w:rPr>
        <w:t xml:space="preserve">Employment and </w:t>
      </w:r>
      <w:r>
        <w:rPr>
          <w:i/>
        </w:rPr>
        <w:t>l</w:t>
      </w:r>
      <w:r w:rsidRPr="0075613C">
        <w:rPr>
          <w:i/>
        </w:rPr>
        <w:t>abour market</w:t>
      </w:r>
      <w:r>
        <w:rPr>
          <w:i/>
        </w:rPr>
        <w:t xml:space="preserve"> </w:t>
      </w:r>
      <w:r>
        <w:t>(Washington, DC).</w:t>
      </w:r>
      <w:r w:rsidR="00D40A78">
        <w:t xml:space="preserve"> </w:t>
      </w:r>
      <w:proofErr w:type="gramStart"/>
      <w:r w:rsidR="00D40A78">
        <w:t>Available at</w:t>
      </w:r>
      <w:r>
        <w:t xml:space="preserve"> </w:t>
      </w:r>
      <w:hyperlink r:id="rId17" w:history="1">
        <w:r w:rsidRPr="00140ABA">
          <w:rPr>
            <w:rStyle w:val="Hyperlink"/>
            <w:rFonts w:cs="Calibri"/>
          </w:rPr>
          <w:t>https://communities.usaidallnet.gov/st/sites/st/file/BOSNIA%20&amp;%20HERZEGOVINA%20Labor%20Market%20Profile_0.pdf</w:t>
        </w:r>
      </w:hyperlink>
      <w:r w:rsidR="00D40A78">
        <w:t xml:space="preserve"> [</w:t>
      </w:r>
      <w:r>
        <w:t>27 Sept. 2012].</w:t>
      </w:r>
      <w:proofErr w:type="gramEnd"/>
    </w:p>
    <w:p w:rsidR="001A079F" w:rsidRDefault="001A079F" w:rsidP="001A079F">
      <w:pPr>
        <w:widowControl w:val="0"/>
        <w:autoSpaceDE w:val="0"/>
        <w:autoSpaceDN w:val="0"/>
        <w:adjustRightInd w:val="0"/>
        <w:ind w:right="-386" w:firstLine="0"/>
      </w:pPr>
      <w:proofErr w:type="spellStart"/>
      <w:r>
        <w:t>Woehrel</w:t>
      </w:r>
      <w:proofErr w:type="spellEnd"/>
      <w:r>
        <w:t xml:space="preserve">, S. 2012. </w:t>
      </w:r>
      <w:r w:rsidRPr="0075613C">
        <w:rPr>
          <w:i/>
        </w:rPr>
        <w:t xml:space="preserve">Bosnia: Current </w:t>
      </w:r>
      <w:r>
        <w:rPr>
          <w:i/>
        </w:rPr>
        <w:t>i</w:t>
      </w:r>
      <w:r w:rsidRPr="0075613C">
        <w:rPr>
          <w:i/>
        </w:rPr>
        <w:t xml:space="preserve">ssues and U.S. </w:t>
      </w:r>
      <w:r>
        <w:rPr>
          <w:i/>
        </w:rPr>
        <w:t>p</w:t>
      </w:r>
      <w:r w:rsidRPr="0075613C">
        <w:rPr>
          <w:i/>
        </w:rPr>
        <w:t>olicy</w:t>
      </w:r>
      <w:r>
        <w:t xml:space="preserve"> (Wa</w:t>
      </w:r>
      <w:r w:rsidRPr="00725961">
        <w:t>s</w:t>
      </w:r>
      <w:r w:rsidRPr="0075613C">
        <w:t xml:space="preserve">hington, DC, </w:t>
      </w:r>
      <w:r>
        <w:t>Congressional Research Service).</w:t>
      </w:r>
    </w:p>
    <w:p w:rsidR="001A079F" w:rsidRDefault="001A079F" w:rsidP="00D979AB">
      <w:pPr>
        <w:widowControl w:val="0"/>
        <w:autoSpaceDE w:val="0"/>
        <w:autoSpaceDN w:val="0"/>
        <w:adjustRightInd w:val="0"/>
        <w:ind w:right="-386" w:firstLine="0"/>
        <w:jc w:val="left"/>
      </w:pPr>
      <w:proofErr w:type="gramStart"/>
      <w:r>
        <w:t>World Bank.</w:t>
      </w:r>
      <w:proofErr w:type="gramEnd"/>
      <w:r>
        <w:t xml:space="preserve"> 2005. </w:t>
      </w:r>
      <w:r w:rsidRPr="0075613C">
        <w:rPr>
          <w:i/>
        </w:rPr>
        <w:t>Country economic memorandum on Bosnia and Herzegovina</w:t>
      </w:r>
      <w:r>
        <w:t xml:space="preserve"> (Washington, DC). </w:t>
      </w:r>
      <w:proofErr w:type="gramStart"/>
      <w:r w:rsidR="00D40A78">
        <w:t xml:space="preserve">Available at </w:t>
      </w:r>
      <w:hyperlink r:id="rId18" w:history="1">
        <w:r w:rsidR="00D979AB" w:rsidRPr="004B784E">
          <w:rPr>
            <w:rStyle w:val="Hyperlink"/>
            <w:rFonts w:cs="Calibri"/>
          </w:rPr>
          <w:t>http://web.worldbank.org/WBSITE/EXTERNAL/COUNTRIES/ECAEXT/BOSNIAHERZEXTN/0,,contentMDK:20788032~pagePK:141137~piPK:141127~theSitePK:362026,00.html</w:t>
        </w:r>
      </w:hyperlink>
      <w:r>
        <w:t>.</w:t>
      </w:r>
      <w:proofErr w:type="gramEnd"/>
    </w:p>
    <w:p w:rsidR="001A079F" w:rsidRDefault="001A079F" w:rsidP="001A079F">
      <w:pPr>
        <w:widowControl w:val="0"/>
        <w:autoSpaceDE w:val="0"/>
        <w:autoSpaceDN w:val="0"/>
        <w:adjustRightInd w:val="0"/>
        <w:ind w:right="-386" w:firstLine="0"/>
      </w:pPr>
      <w:r>
        <w:t xml:space="preserve">—. 2012. </w:t>
      </w:r>
      <w:r w:rsidRPr="0075613C">
        <w:rPr>
          <w:i/>
        </w:rPr>
        <w:t>World Bank Development Indicators, 2012</w:t>
      </w:r>
      <w:r>
        <w:t xml:space="preserve"> (Washington, DC).  </w:t>
      </w:r>
    </w:p>
    <w:p w:rsidR="003138D1" w:rsidRDefault="001A079F" w:rsidP="003138D1">
      <w:pPr>
        <w:widowControl w:val="0"/>
        <w:autoSpaceDE w:val="0"/>
        <w:autoSpaceDN w:val="0"/>
        <w:adjustRightInd w:val="0"/>
        <w:ind w:right="-386" w:firstLine="0"/>
      </w:pPr>
      <w:proofErr w:type="gramStart"/>
      <w:r>
        <w:t>World Trade Organization (WTO).</w:t>
      </w:r>
      <w:proofErr w:type="gramEnd"/>
      <w:r>
        <w:t xml:space="preserve"> </w:t>
      </w:r>
      <w:r w:rsidR="00162CD2">
        <w:t>2011</w:t>
      </w:r>
      <w:r w:rsidR="003138D1">
        <w:t>.</w:t>
      </w:r>
      <w:r w:rsidR="00162CD2" w:rsidRPr="001E69D4">
        <w:t xml:space="preserve"> </w:t>
      </w:r>
      <w:r w:rsidR="00162CD2">
        <w:t xml:space="preserve">Tariff </w:t>
      </w:r>
      <w:r w:rsidR="003138D1">
        <w:t>p</w:t>
      </w:r>
      <w:r w:rsidR="00162CD2">
        <w:t xml:space="preserve">rofiles 2011. </w:t>
      </w:r>
      <w:r w:rsidR="003138D1">
        <w:t>(Geneva).</w:t>
      </w:r>
      <w:r w:rsidR="00D40A78">
        <w:t xml:space="preserve"> </w:t>
      </w:r>
      <w:proofErr w:type="gramStart"/>
      <w:r w:rsidR="00D40A78">
        <w:t>Available at</w:t>
      </w:r>
      <w:r w:rsidR="00734865">
        <w:t xml:space="preserve"> </w:t>
      </w:r>
      <w:hyperlink r:id="rId19" w:history="1">
        <w:r w:rsidR="00734865" w:rsidRPr="0038186A">
          <w:rPr>
            <w:rStyle w:val="Hyperlink"/>
            <w:rFonts w:cs="Calibri"/>
          </w:rPr>
          <w:t>http://www.wto.org/english/res_e/booksp_e/anrep_e/trade_profiles11_e.pdf</w:t>
        </w:r>
      </w:hyperlink>
      <w:r w:rsidR="00734865">
        <w:t xml:space="preserve"> [29 Sept. 2012].</w:t>
      </w:r>
      <w:proofErr w:type="gramEnd"/>
    </w:p>
    <w:p w:rsidR="00162CD2" w:rsidRPr="001E69D4" w:rsidRDefault="003138D1" w:rsidP="003138D1">
      <w:pPr>
        <w:widowControl w:val="0"/>
        <w:autoSpaceDE w:val="0"/>
        <w:autoSpaceDN w:val="0"/>
        <w:adjustRightInd w:val="0"/>
        <w:ind w:right="-386" w:firstLine="0"/>
      </w:pPr>
      <w:r>
        <w:br w:type="page"/>
      </w:r>
    </w:p>
    <w:p w:rsidR="00162CD2" w:rsidRPr="001E69D4" w:rsidRDefault="00E4059A" w:rsidP="005D3D3B">
      <w:pPr>
        <w:pStyle w:val="Heading3"/>
      </w:pPr>
      <w:r>
        <w:t>Annex</w:t>
      </w:r>
      <w:r w:rsidRPr="001E69D4">
        <w:t xml:space="preserve"> </w:t>
      </w:r>
      <w:r w:rsidR="006E5332">
        <w:t>9.</w:t>
      </w:r>
      <w:r w:rsidR="00162CD2" w:rsidRPr="001E69D4">
        <w:t>1</w:t>
      </w:r>
      <w:r w:rsidR="00162CD2">
        <w:t>:</w:t>
      </w:r>
      <w:r w:rsidR="00162CD2">
        <w:tab/>
      </w:r>
      <w:r w:rsidR="00162CD2" w:rsidRPr="001E69D4">
        <w:t xml:space="preserve">The GSIM </w:t>
      </w:r>
      <w:r w:rsidR="00162CD2">
        <w:t>m</w:t>
      </w:r>
      <w:r w:rsidR="00162CD2" w:rsidRPr="001E69D4">
        <w:t>odel</w:t>
      </w:r>
    </w:p>
    <w:p w:rsidR="00162CD2" w:rsidRPr="001E69D4" w:rsidRDefault="00162CD2">
      <w:r w:rsidRPr="001E69D4">
        <w:t>GSIM is static, deterministic, single</w:t>
      </w:r>
      <w:r>
        <w:t>-</w:t>
      </w:r>
      <w:r w:rsidRPr="001E69D4">
        <w:t>commodity bilateral trade model driven by export supply and bilateral import demand equations</w:t>
      </w:r>
      <w:r>
        <w:t>.</w:t>
      </w:r>
      <w:r>
        <w:rPr>
          <w:rStyle w:val="FootnoteReference"/>
        </w:rPr>
        <w:footnoteReference w:id="12"/>
      </w:r>
      <w:r w:rsidRPr="001E69D4">
        <w:t xml:space="preserve"> Exports and imports are a function of the world price plus or minus the relevant bilateral trade tax or subsidy. Because tariffs are bilateral and possibly different from country to country, change</w:t>
      </w:r>
      <w:r>
        <w:t>s</w:t>
      </w:r>
      <w:r w:rsidRPr="001E69D4">
        <w:t xml:space="preserve"> in tariffs lead to change</w:t>
      </w:r>
      <w:r>
        <w:t>s</w:t>
      </w:r>
      <w:r w:rsidRPr="001E69D4">
        <w:t xml:space="preserve"> in relative prices that drive differential changes in imports from various sources. This </w:t>
      </w:r>
      <w:r>
        <w:t xml:space="preserve">feature of the model </w:t>
      </w:r>
      <w:r w:rsidRPr="001E69D4">
        <w:t>is essential where preferential trade agreements exist. An elasticity of substitution determines the extent to which changes in relative prices lead to a switch in the so</w:t>
      </w:r>
      <w:bookmarkStart w:id="0" w:name="_GoBack"/>
      <w:bookmarkEnd w:id="0"/>
      <w:r w:rsidRPr="001E69D4">
        <w:t>urce of imports. The model solves numerically to a specified tolerance using Excel's Solver to find a market clearing price such that global imports equal global exports.</w:t>
      </w:r>
    </w:p>
    <w:p w:rsidR="00162CD2" w:rsidRPr="000F4A5F" w:rsidRDefault="00162CD2">
      <w:pPr>
        <w:rPr>
          <w:rStyle w:val="Style11pt"/>
          <w:rFonts w:ascii="Calibri" w:hAnsi="Calibri"/>
          <w:lang w:eastAsia="en-US"/>
        </w:rPr>
      </w:pPr>
      <w:r w:rsidRPr="000F4A5F">
        <w:rPr>
          <w:rStyle w:val="Style11pt"/>
          <w:rFonts w:ascii="Calibri" w:hAnsi="Calibri"/>
        </w:rPr>
        <w:t xml:space="preserve">The crux of the model is the import demand equations. Import demand in country </w:t>
      </w:r>
      <w:r w:rsidRPr="000F4A5F">
        <w:rPr>
          <w:i/>
        </w:rPr>
        <w:t>v</w:t>
      </w:r>
      <w:r w:rsidRPr="000F4A5F">
        <w:rPr>
          <w:rStyle w:val="Style11pt"/>
          <w:rFonts w:ascii="Calibri" w:hAnsi="Calibri"/>
        </w:rPr>
        <w:t xml:space="preserve"> for commodity </w:t>
      </w:r>
      <w:proofErr w:type="spellStart"/>
      <w:r w:rsidRPr="000F4A5F">
        <w:rPr>
          <w:i/>
        </w:rPr>
        <w:t>i</w:t>
      </w:r>
      <w:proofErr w:type="spellEnd"/>
      <w:r w:rsidRPr="000F4A5F">
        <w:rPr>
          <w:rStyle w:val="Style11pt"/>
          <w:rFonts w:ascii="Calibri" w:hAnsi="Calibri"/>
        </w:rPr>
        <w:t xml:space="preserve"> from country </w:t>
      </w:r>
      <w:r w:rsidRPr="000F4A5F">
        <w:rPr>
          <w:i/>
        </w:rPr>
        <w:t>r</w:t>
      </w:r>
      <w:r w:rsidRPr="000F4A5F">
        <w:rPr>
          <w:rStyle w:val="Style11pt"/>
          <w:rFonts w:ascii="Calibri" w:hAnsi="Calibri"/>
        </w:rPr>
        <w:t xml:space="preserve"> is a function of prices and total expenditure on the commodity:</w:t>
      </w:r>
    </w:p>
    <w:p w:rsidR="00646F34" w:rsidRDefault="00C078F7">
      <w:pPr>
        <w:jc w:val="center"/>
      </w:pPr>
      <w:r w:rsidRPr="00C078F7">
        <w:rPr>
          <w:i/>
        </w:rPr>
        <w:t>M</w:t>
      </w:r>
      <w:r w:rsidRPr="00C078F7">
        <w:rPr>
          <w:i/>
          <w:vertAlign w:val="subscript"/>
        </w:rPr>
        <w:t>(</w:t>
      </w:r>
      <w:proofErr w:type="spellStart"/>
      <w:r w:rsidRPr="00C078F7">
        <w:rPr>
          <w:i/>
          <w:vertAlign w:val="subscript"/>
        </w:rPr>
        <w:t>i,v</w:t>
      </w:r>
      <w:proofErr w:type="spellEnd"/>
      <w:r w:rsidRPr="00C078F7">
        <w:rPr>
          <w:i/>
          <w:vertAlign w:val="subscript"/>
        </w:rPr>
        <w:t>),r</w:t>
      </w:r>
      <w:r w:rsidRPr="00C078F7">
        <w:rPr>
          <w:i/>
        </w:rPr>
        <w:t xml:space="preserve"> = f(P</w:t>
      </w:r>
      <w:r w:rsidRPr="00C078F7">
        <w:rPr>
          <w:i/>
          <w:vertAlign w:val="subscript"/>
        </w:rPr>
        <w:t>(</w:t>
      </w:r>
      <w:proofErr w:type="spellStart"/>
      <w:r w:rsidRPr="00C078F7">
        <w:rPr>
          <w:i/>
          <w:vertAlign w:val="subscript"/>
        </w:rPr>
        <w:t>i,v</w:t>
      </w:r>
      <w:proofErr w:type="spellEnd"/>
      <w:r w:rsidRPr="00C078F7">
        <w:rPr>
          <w:i/>
          <w:vertAlign w:val="subscript"/>
        </w:rPr>
        <w:t xml:space="preserve">),r </w:t>
      </w:r>
      <w:r w:rsidRPr="00C078F7">
        <w:rPr>
          <w:i/>
        </w:rPr>
        <w:t>, P</w:t>
      </w:r>
      <w:r w:rsidRPr="00C078F7">
        <w:rPr>
          <w:i/>
          <w:vertAlign w:val="subscript"/>
        </w:rPr>
        <w:t>(</w:t>
      </w:r>
      <w:proofErr w:type="spellStart"/>
      <w:r w:rsidRPr="00C078F7">
        <w:rPr>
          <w:i/>
          <w:vertAlign w:val="subscript"/>
        </w:rPr>
        <w:t>i,v</w:t>
      </w:r>
      <w:proofErr w:type="spellEnd"/>
      <w:r w:rsidRPr="00C078F7">
        <w:rPr>
          <w:i/>
          <w:vertAlign w:val="subscript"/>
        </w:rPr>
        <w:t xml:space="preserve">),s r </w:t>
      </w:r>
      <w:r w:rsidRPr="00C078F7">
        <w:rPr>
          <w:i/>
        </w:rPr>
        <w:t>, Y</w:t>
      </w:r>
      <w:r w:rsidRPr="00C078F7">
        <w:rPr>
          <w:i/>
          <w:vertAlign w:val="subscript"/>
        </w:rPr>
        <w:t>(</w:t>
      </w:r>
      <w:proofErr w:type="spellStart"/>
      <w:r w:rsidRPr="00C078F7">
        <w:rPr>
          <w:i/>
          <w:vertAlign w:val="subscript"/>
        </w:rPr>
        <w:t>i,v</w:t>
      </w:r>
      <w:proofErr w:type="spellEnd"/>
      <w:r w:rsidRPr="00C078F7">
        <w:rPr>
          <w:i/>
          <w:vertAlign w:val="subscript"/>
        </w:rPr>
        <w:t>)</w:t>
      </w:r>
      <w:r w:rsidRPr="00C078F7">
        <w:rPr>
          <w:i/>
        </w:rPr>
        <w:t xml:space="preserve"> )</w:t>
      </w:r>
      <w:r w:rsidR="004158AB">
        <w:rPr>
          <w:i/>
        </w:rPr>
        <w:tab/>
      </w:r>
      <w:r w:rsidR="004158AB">
        <w:rPr>
          <w:i/>
        </w:rPr>
        <w:tab/>
      </w:r>
      <w:r w:rsidR="004158AB">
        <w:rPr>
          <w:i/>
        </w:rPr>
        <w:tab/>
      </w:r>
      <w:r w:rsidRPr="00C078F7">
        <w:t>(1)</w:t>
      </w:r>
    </w:p>
    <w:p w:rsidR="00162CD2" w:rsidRPr="000F4A5F" w:rsidRDefault="00162CD2">
      <w:pPr>
        <w:pStyle w:val="StyleJustifiedLinespacing15lines"/>
        <w:rPr>
          <w:rStyle w:val="Style11pt"/>
          <w:rFonts w:ascii="Calibri" w:hAnsi="Calibri"/>
          <w:lang w:val="en-GB"/>
        </w:rPr>
      </w:pPr>
      <w:r w:rsidRPr="000F4A5F">
        <w:rPr>
          <w:rStyle w:val="Style11pt"/>
          <w:rFonts w:ascii="Calibri" w:hAnsi="Calibri"/>
          <w:lang w:val="en-GB"/>
        </w:rPr>
        <w:t xml:space="preserve">where </w:t>
      </w:r>
      <w:r w:rsidR="00C078F7" w:rsidRPr="00C078F7">
        <w:rPr>
          <w:rStyle w:val="Style11pt"/>
          <w:rFonts w:ascii="Calibri" w:hAnsi="Calibri"/>
          <w:i/>
          <w:lang w:val="en-GB"/>
        </w:rPr>
        <w:t>M(</w:t>
      </w:r>
      <w:proofErr w:type="spellStart"/>
      <w:r w:rsidR="00C078F7" w:rsidRPr="00C078F7">
        <w:rPr>
          <w:rStyle w:val="Style11pt"/>
          <w:rFonts w:ascii="Calibri" w:hAnsi="Calibri"/>
          <w:i/>
          <w:lang w:val="en-GB"/>
        </w:rPr>
        <w:t>i,v</w:t>
      </w:r>
      <w:proofErr w:type="spellEnd"/>
      <w:r w:rsidR="00C078F7" w:rsidRPr="00C078F7">
        <w:rPr>
          <w:rStyle w:val="Style11pt"/>
          <w:rFonts w:ascii="Calibri" w:hAnsi="Calibri"/>
          <w:i/>
          <w:lang w:val="en-GB"/>
        </w:rPr>
        <w:t>),r</w:t>
      </w:r>
      <w:r w:rsidRPr="000F4A5F">
        <w:rPr>
          <w:rStyle w:val="Style11pt"/>
          <w:rFonts w:ascii="Calibri" w:hAnsi="Calibri"/>
          <w:lang w:val="en-GB"/>
        </w:rPr>
        <w:t xml:space="preserve"> is imports, </w:t>
      </w:r>
      <w:r w:rsidR="00C078F7" w:rsidRPr="00C078F7">
        <w:rPr>
          <w:rStyle w:val="Style11pt"/>
          <w:rFonts w:ascii="Calibri" w:hAnsi="Calibri"/>
          <w:i/>
          <w:lang w:val="en-GB"/>
        </w:rPr>
        <w:t>P(</w:t>
      </w:r>
      <w:proofErr w:type="spellStart"/>
      <w:r w:rsidR="00C078F7" w:rsidRPr="00C078F7">
        <w:rPr>
          <w:rStyle w:val="Style11pt"/>
          <w:rFonts w:ascii="Calibri" w:hAnsi="Calibri"/>
          <w:i/>
          <w:lang w:val="en-GB"/>
        </w:rPr>
        <w:t>i,v</w:t>
      </w:r>
      <w:proofErr w:type="spellEnd"/>
      <w:r w:rsidR="00C078F7" w:rsidRPr="00C078F7">
        <w:rPr>
          <w:rStyle w:val="Style11pt"/>
          <w:rFonts w:ascii="Calibri" w:hAnsi="Calibri"/>
          <w:i/>
          <w:lang w:val="en-GB"/>
        </w:rPr>
        <w:t>),r</w:t>
      </w:r>
      <w:r w:rsidRPr="000F4A5F">
        <w:rPr>
          <w:rStyle w:val="Style11pt"/>
          <w:rFonts w:ascii="Calibri" w:hAnsi="Calibri"/>
          <w:lang w:val="en-GB"/>
        </w:rPr>
        <w:t xml:space="preserve"> </w:t>
      </w:r>
      <w:r>
        <w:rPr>
          <w:rStyle w:val="Style11pt"/>
          <w:rFonts w:ascii="Calibri" w:hAnsi="Calibri"/>
          <w:lang w:val="en-GB"/>
        </w:rPr>
        <w:t xml:space="preserve">is </w:t>
      </w:r>
      <w:r w:rsidRPr="000F4A5F">
        <w:rPr>
          <w:rStyle w:val="Style11pt"/>
          <w:rFonts w:ascii="Calibri" w:hAnsi="Calibri"/>
          <w:lang w:val="en-GB"/>
        </w:rPr>
        <w:t xml:space="preserve">internal prices, </w:t>
      </w:r>
      <w:r w:rsidR="00C078F7" w:rsidRPr="00C078F7">
        <w:rPr>
          <w:rStyle w:val="Style11pt"/>
          <w:rFonts w:ascii="Calibri" w:hAnsi="Calibri"/>
          <w:i/>
          <w:lang w:val="en-GB"/>
        </w:rPr>
        <w:t>P(</w:t>
      </w:r>
      <w:proofErr w:type="spellStart"/>
      <w:r w:rsidR="00C078F7" w:rsidRPr="00C078F7">
        <w:rPr>
          <w:rStyle w:val="Style11pt"/>
          <w:rFonts w:ascii="Calibri" w:hAnsi="Calibri"/>
          <w:i/>
          <w:lang w:val="en-GB"/>
        </w:rPr>
        <w:t>i,v</w:t>
      </w:r>
      <w:proofErr w:type="spellEnd"/>
      <w:r w:rsidR="00C078F7" w:rsidRPr="00C078F7">
        <w:rPr>
          <w:rStyle w:val="Style11pt"/>
          <w:rFonts w:ascii="Calibri" w:hAnsi="Calibri"/>
          <w:i/>
          <w:lang w:val="en-GB"/>
        </w:rPr>
        <w:t>),s r</w:t>
      </w:r>
      <w:r w:rsidRPr="000F4A5F">
        <w:rPr>
          <w:rStyle w:val="Style11pt"/>
          <w:rFonts w:ascii="Calibri" w:hAnsi="Calibri"/>
          <w:lang w:val="en-GB"/>
        </w:rPr>
        <w:t xml:space="preserve"> </w:t>
      </w:r>
      <w:r>
        <w:rPr>
          <w:rStyle w:val="Style11pt"/>
          <w:rFonts w:ascii="Calibri" w:hAnsi="Calibri"/>
          <w:lang w:val="en-GB"/>
        </w:rPr>
        <w:t xml:space="preserve">is </w:t>
      </w:r>
      <w:r w:rsidRPr="000F4A5F">
        <w:rPr>
          <w:rStyle w:val="Style11pt"/>
          <w:rFonts w:ascii="Calibri" w:hAnsi="Calibri"/>
          <w:lang w:val="en-GB"/>
        </w:rPr>
        <w:t>external prices</w:t>
      </w:r>
      <w:r>
        <w:rPr>
          <w:rStyle w:val="Style11pt"/>
          <w:rFonts w:ascii="Calibri" w:hAnsi="Calibri"/>
          <w:lang w:val="en-GB"/>
        </w:rPr>
        <w:t>,</w:t>
      </w:r>
      <w:r w:rsidRPr="000F4A5F">
        <w:rPr>
          <w:rStyle w:val="Style11pt"/>
          <w:rFonts w:ascii="Calibri" w:hAnsi="Calibri"/>
          <w:lang w:val="en-GB"/>
        </w:rPr>
        <w:t xml:space="preserve"> and </w:t>
      </w:r>
      <w:r w:rsidR="00C078F7" w:rsidRPr="00C078F7">
        <w:rPr>
          <w:rStyle w:val="Style11pt"/>
          <w:rFonts w:ascii="Calibri" w:hAnsi="Calibri"/>
          <w:i/>
          <w:lang w:val="en-GB"/>
        </w:rPr>
        <w:t>Y(</w:t>
      </w:r>
      <w:proofErr w:type="spellStart"/>
      <w:r w:rsidR="00C078F7" w:rsidRPr="00C078F7">
        <w:rPr>
          <w:rStyle w:val="Style11pt"/>
          <w:rFonts w:ascii="Calibri" w:hAnsi="Calibri"/>
          <w:i/>
          <w:lang w:val="en-GB"/>
        </w:rPr>
        <w:t>i,v</w:t>
      </w:r>
      <w:proofErr w:type="spellEnd"/>
      <w:r w:rsidR="00C078F7" w:rsidRPr="00C078F7">
        <w:rPr>
          <w:rStyle w:val="Style11pt"/>
          <w:rFonts w:ascii="Calibri" w:hAnsi="Calibri"/>
          <w:i/>
          <w:lang w:val="en-GB"/>
        </w:rPr>
        <w:t>)</w:t>
      </w:r>
      <w:r w:rsidRPr="000F4A5F">
        <w:rPr>
          <w:rStyle w:val="Style11pt"/>
          <w:rFonts w:ascii="Calibri" w:hAnsi="Calibri"/>
          <w:lang w:val="en-GB"/>
        </w:rPr>
        <w:t xml:space="preserve"> </w:t>
      </w:r>
      <w:r>
        <w:rPr>
          <w:rStyle w:val="Style11pt"/>
          <w:rFonts w:ascii="Calibri" w:hAnsi="Calibri"/>
          <w:lang w:val="en-GB"/>
        </w:rPr>
        <w:t xml:space="preserve">is </w:t>
      </w:r>
      <w:r w:rsidRPr="000F4A5F">
        <w:rPr>
          <w:rStyle w:val="Style11pt"/>
          <w:rFonts w:ascii="Calibri" w:hAnsi="Calibri"/>
          <w:lang w:val="en-GB"/>
        </w:rPr>
        <w:t xml:space="preserve">expenditure on imports </w:t>
      </w:r>
      <w:proofErr w:type="spellStart"/>
      <w:r w:rsidRPr="000F4A5F">
        <w:rPr>
          <w:i/>
          <w:lang w:val="en-GB"/>
        </w:rPr>
        <w:t>i</w:t>
      </w:r>
      <w:proofErr w:type="spellEnd"/>
      <w:r w:rsidRPr="000F4A5F">
        <w:rPr>
          <w:rStyle w:val="Style11pt"/>
          <w:rFonts w:ascii="Calibri" w:hAnsi="Calibri"/>
          <w:lang w:val="en-GB"/>
        </w:rPr>
        <w:t xml:space="preserve"> in country </w:t>
      </w:r>
      <w:r w:rsidRPr="000F4A5F">
        <w:rPr>
          <w:i/>
          <w:lang w:val="en-GB"/>
        </w:rPr>
        <w:t>v</w:t>
      </w:r>
      <w:r w:rsidRPr="000F4A5F">
        <w:rPr>
          <w:rStyle w:val="Style11pt"/>
          <w:rFonts w:ascii="Calibri" w:hAnsi="Calibri"/>
          <w:lang w:val="en-GB"/>
        </w:rPr>
        <w:t>.</w:t>
      </w:r>
    </w:p>
    <w:p w:rsidR="00162CD2" w:rsidRPr="001E69D4" w:rsidRDefault="00162CD2">
      <w:r w:rsidRPr="001E69D4">
        <w:t>The response of imports to changes in relative prices depends on an expenditure share</w:t>
      </w:r>
      <w:r>
        <w:t>-</w:t>
      </w:r>
      <w:r w:rsidRPr="001E69D4">
        <w:t xml:space="preserve">weighted sum of the composite demand elasticity, </w:t>
      </w:r>
      <w:proofErr w:type="spellStart"/>
      <w:r w:rsidR="00C078F7" w:rsidRPr="00C078F7">
        <w:rPr>
          <w:i/>
        </w:rPr>
        <w:t>E</w:t>
      </w:r>
      <w:r w:rsidR="00C078F7" w:rsidRPr="00C078F7">
        <w:rPr>
          <w:i/>
          <w:vertAlign w:val="subscript"/>
        </w:rPr>
        <w:t>m</w:t>
      </w:r>
      <w:proofErr w:type="spellEnd"/>
      <w:r w:rsidRPr="001E69D4">
        <w:rPr>
          <w:vertAlign w:val="subscript"/>
        </w:rPr>
        <w:t>,</w:t>
      </w:r>
      <w:r w:rsidRPr="001E69D4">
        <w:t xml:space="preserve"> and the supply elasticity, </w:t>
      </w:r>
      <w:r w:rsidR="00C078F7" w:rsidRPr="00C078F7">
        <w:rPr>
          <w:i/>
        </w:rPr>
        <w:t>E</w:t>
      </w:r>
      <w:r w:rsidR="00C078F7" w:rsidRPr="00C078F7">
        <w:rPr>
          <w:i/>
          <w:vertAlign w:val="subscript"/>
        </w:rPr>
        <w:t>s</w:t>
      </w:r>
      <w:r w:rsidRPr="001E69D4">
        <w:t>:</w:t>
      </w:r>
    </w:p>
    <w:p w:rsidR="00646F34" w:rsidRDefault="00C078F7">
      <w:pPr>
        <w:jc w:val="center"/>
        <w:rPr>
          <w:vertAlign w:val="subscript"/>
          <w:lang w:val="pt-BR"/>
        </w:rPr>
      </w:pPr>
      <w:r w:rsidRPr="00C078F7">
        <w:rPr>
          <w:i/>
          <w:lang w:val="pt-BR"/>
        </w:rPr>
        <w:t>N</w:t>
      </w:r>
      <w:r w:rsidRPr="00C078F7">
        <w:rPr>
          <w:i/>
          <w:vertAlign w:val="subscript"/>
          <w:lang w:val="pt-BR"/>
        </w:rPr>
        <w:t xml:space="preserve">(i,v),r,s </w:t>
      </w:r>
      <w:r w:rsidRPr="00C078F7">
        <w:rPr>
          <w:i/>
          <w:lang w:val="pt-BR"/>
        </w:rPr>
        <w:t>=</w:t>
      </w:r>
      <w:r w:rsidRPr="00C078F7">
        <w:rPr>
          <w:i/>
          <w:vertAlign w:val="subscript"/>
          <w:lang w:val="pt-BR"/>
        </w:rPr>
        <w:t xml:space="preserve"> </w:t>
      </w:r>
      <w:r w:rsidRPr="00C078F7">
        <w:rPr>
          <w:i/>
        </w:rPr>
        <w:t>θ</w:t>
      </w:r>
      <w:r w:rsidRPr="00C078F7">
        <w:rPr>
          <w:i/>
          <w:vertAlign w:val="subscript"/>
          <w:lang w:val="pt-BR"/>
        </w:rPr>
        <w:t>(i,v),s</w:t>
      </w:r>
      <w:r w:rsidRPr="00C078F7">
        <w:rPr>
          <w:i/>
          <w:lang w:val="pt-BR"/>
        </w:rPr>
        <w:t xml:space="preserve"> (E</w:t>
      </w:r>
      <w:r w:rsidRPr="00C078F7">
        <w:rPr>
          <w:i/>
          <w:vertAlign w:val="subscript"/>
          <w:lang w:val="pt-BR"/>
        </w:rPr>
        <w:t>m</w:t>
      </w:r>
      <w:r w:rsidRPr="00C078F7">
        <w:rPr>
          <w:i/>
          <w:lang w:val="pt-BR"/>
        </w:rPr>
        <w:t xml:space="preserve"> + E</w:t>
      </w:r>
      <w:r w:rsidRPr="00C078F7">
        <w:rPr>
          <w:i/>
          <w:vertAlign w:val="subscript"/>
          <w:lang w:val="pt-BR"/>
        </w:rPr>
        <w:t>s</w:t>
      </w:r>
      <w:r w:rsidRPr="00C078F7">
        <w:rPr>
          <w:i/>
          <w:lang w:val="pt-BR"/>
        </w:rPr>
        <w:t>)</w:t>
      </w:r>
      <w:r w:rsidR="004158AB">
        <w:rPr>
          <w:lang w:val="pt-BR"/>
        </w:rPr>
        <w:tab/>
      </w:r>
      <w:r w:rsidR="004158AB">
        <w:rPr>
          <w:lang w:val="pt-BR"/>
        </w:rPr>
        <w:tab/>
      </w:r>
      <w:r w:rsidR="004158AB">
        <w:rPr>
          <w:lang w:val="pt-BR"/>
        </w:rPr>
        <w:tab/>
      </w:r>
      <w:r w:rsidR="004158AB">
        <w:rPr>
          <w:lang w:val="pt-BR"/>
        </w:rPr>
        <w:tab/>
        <w:t>(2)</w:t>
      </w:r>
      <w:r w:rsidR="00AD0CE7" w:rsidRPr="00AD0CE7">
        <w:rPr>
          <w:lang w:val="pt-BR"/>
        </w:rPr>
        <w:t xml:space="preserve"> </w:t>
      </w:r>
      <w:r w:rsidR="004158AB">
        <w:rPr>
          <w:lang w:val="pt-BR"/>
        </w:rPr>
        <w:br/>
      </w:r>
      <w:r w:rsidR="00AD0CE7" w:rsidRPr="00AD0CE7">
        <w:rPr>
          <w:lang w:val="pt-BR"/>
        </w:rPr>
        <w:t>and</w:t>
      </w:r>
      <w:r w:rsidR="004158AB">
        <w:rPr>
          <w:lang w:val="pt-BR"/>
        </w:rPr>
        <w:br/>
      </w:r>
      <w:r w:rsidRPr="00C078F7">
        <w:rPr>
          <w:i/>
          <w:lang w:val="pt-BR"/>
        </w:rPr>
        <w:t>N</w:t>
      </w:r>
      <w:r w:rsidRPr="00C078F7">
        <w:rPr>
          <w:i/>
          <w:vertAlign w:val="subscript"/>
          <w:lang w:val="pt-BR"/>
        </w:rPr>
        <w:t xml:space="preserve">(i,v),r,r </w:t>
      </w:r>
      <w:r w:rsidRPr="00C078F7">
        <w:rPr>
          <w:i/>
          <w:lang w:val="pt-BR"/>
        </w:rPr>
        <w:t>=</w:t>
      </w:r>
      <w:r w:rsidRPr="00C078F7">
        <w:rPr>
          <w:i/>
          <w:vertAlign w:val="subscript"/>
          <w:lang w:val="pt-BR"/>
        </w:rPr>
        <w:t xml:space="preserve"> </w:t>
      </w:r>
      <w:r w:rsidRPr="00C078F7">
        <w:rPr>
          <w:i/>
        </w:rPr>
        <w:t>θ</w:t>
      </w:r>
      <w:r w:rsidRPr="00C078F7">
        <w:rPr>
          <w:i/>
          <w:vertAlign w:val="subscript"/>
          <w:lang w:val="pt-BR"/>
        </w:rPr>
        <w:t>(i,v),r</w:t>
      </w:r>
      <w:r w:rsidRPr="00C078F7">
        <w:rPr>
          <w:i/>
          <w:lang w:val="pt-BR"/>
        </w:rPr>
        <w:t xml:space="preserve"> E</w:t>
      </w:r>
      <w:r w:rsidRPr="00C078F7">
        <w:rPr>
          <w:i/>
          <w:vertAlign w:val="subscript"/>
          <w:lang w:val="pt-BR"/>
        </w:rPr>
        <w:t>m</w:t>
      </w:r>
      <w:r w:rsidRPr="00C078F7">
        <w:rPr>
          <w:i/>
          <w:lang w:val="pt-BR"/>
        </w:rPr>
        <w:t xml:space="preserve"> - </w:t>
      </w:r>
      <w:r w:rsidRPr="00C078F7">
        <w:rPr>
          <w:i/>
        </w:rPr>
        <w:t>Σ</w:t>
      </w:r>
      <w:r w:rsidRPr="00C078F7">
        <w:rPr>
          <w:i/>
          <w:vertAlign w:val="subscript"/>
          <w:lang w:val="pt-BR"/>
        </w:rPr>
        <w:t xml:space="preserve"> sr</w:t>
      </w:r>
      <w:r w:rsidRPr="00C078F7">
        <w:rPr>
          <w:i/>
          <w:lang w:val="pt-BR"/>
        </w:rPr>
        <w:t xml:space="preserve"> </w:t>
      </w:r>
      <w:r w:rsidRPr="00C078F7">
        <w:rPr>
          <w:i/>
        </w:rPr>
        <w:t>θ</w:t>
      </w:r>
      <w:r w:rsidRPr="00C078F7">
        <w:rPr>
          <w:i/>
          <w:vertAlign w:val="subscript"/>
          <w:lang w:val="pt-BR"/>
        </w:rPr>
        <w:t>(i,v),s</w:t>
      </w:r>
      <w:r w:rsidRPr="00C078F7">
        <w:rPr>
          <w:i/>
          <w:lang w:val="pt-BR"/>
        </w:rPr>
        <w:t>E</w:t>
      </w:r>
      <w:r w:rsidRPr="00C078F7">
        <w:rPr>
          <w:i/>
          <w:vertAlign w:val="subscript"/>
          <w:lang w:val="pt-BR"/>
        </w:rPr>
        <w:t>s</w:t>
      </w:r>
      <w:r w:rsidRPr="00C078F7">
        <w:rPr>
          <w:i/>
          <w:lang w:val="pt-BR"/>
        </w:rPr>
        <w:t xml:space="preserve"> =</w:t>
      </w:r>
      <w:r w:rsidRPr="00C078F7">
        <w:rPr>
          <w:i/>
          <w:vertAlign w:val="subscript"/>
          <w:lang w:val="pt-BR"/>
        </w:rPr>
        <w:t xml:space="preserve"> </w:t>
      </w:r>
      <w:r w:rsidRPr="00C078F7">
        <w:rPr>
          <w:i/>
        </w:rPr>
        <w:t>θ</w:t>
      </w:r>
      <w:r w:rsidRPr="00C078F7">
        <w:rPr>
          <w:i/>
          <w:vertAlign w:val="subscript"/>
          <w:lang w:val="pt-BR"/>
        </w:rPr>
        <w:t>(i,v),r</w:t>
      </w:r>
      <w:r w:rsidRPr="00C078F7">
        <w:rPr>
          <w:i/>
          <w:lang w:val="pt-BR"/>
        </w:rPr>
        <w:t xml:space="preserve"> E</w:t>
      </w:r>
      <w:r w:rsidRPr="00C078F7">
        <w:rPr>
          <w:i/>
          <w:vertAlign w:val="subscript"/>
          <w:lang w:val="pt-BR"/>
        </w:rPr>
        <w:t xml:space="preserve">m </w:t>
      </w:r>
      <w:r w:rsidRPr="00C078F7">
        <w:rPr>
          <w:i/>
          <w:lang w:val="pt-BR"/>
        </w:rPr>
        <w:t>–</w:t>
      </w:r>
      <w:r w:rsidRPr="00C078F7">
        <w:rPr>
          <w:i/>
          <w:vertAlign w:val="subscript"/>
          <w:lang w:val="pt-BR"/>
        </w:rPr>
        <w:t xml:space="preserve"> </w:t>
      </w:r>
      <w:r w:rsidRPr="00C078F7">
        <w:rPr>
          <w:i/>
          <w:lang w:val="pt-BR"/>
        </w:rPr>
        <w:t>(1−</w:t>
      </w:r>
      <w:r w:rsidRPr="00C078F7">
        <w:rPr>
          <w:i/>
        </w:rPr>
        <w:t>θ</w:t>
      </w:r>
      <w:r w:rsidRPr="00C078F7">
        <w:rPr>
          <w:i/>
          <w:vertAlign w:val="subscript"/>
          <w:lang w:val="pt-BR"/>
        </w:rPr>
        <w:t>(i,v),r</w:t>
      </w:r>
      <w:r w:rsidRPr="00C078F7">
        <w:rPr>
          <w:i/>
          <w:lang w:val="pt-BR"/>
        </w:rPr>
        <w:t xml:space="preserve"> E</w:t>
      </w:r>
      <w:r w:rsidRPr="00C078F7">
        <w:rPr>
          <w:i/>
          <w:vertAlign w:val="subscript"/>
          <w:lang w:val="pt-BR"/>
        </w:rPr>
        <w:t>s</w:t>
      </w:r>
      <w:r w:rsidRPr="00C078F7">
        <w:rPr>
          <w:i/>
          <w:lang w:val="pt-BR"/>
        </w:rPr>
        <w:t xml:space="preserve">) </w:t>
      </w:r>
      <w:r w:rsidR="004158AB">
        <w:rPr>
          <w:i/>
          <w:lang w:val="pt-BR"/>
        </w:rPr>
        <w:tab/>
      </w:r>
      <w:r w:rsidR="004158AB">
        <w:rPr>
          <w:lang w:val="pt-BR"/>
        </w:rPr>
        <w:t>(3)</w:t>
      </w:r>
    </w:p>
    <w:p w:rsidR="00162CD2" w:rsidRPr="001E69D4" w:rsidRDefault="00162CD2">
      <w:r w:rsidRPr="001E69D4">
        <w:t>The price linkage equations relate internal prices to exports prices:</w:t>
      </w:r>
    </w:p>
    <w:p w:rsidR="00646F34" w:rsidRDefault="00C078F7">
      <w:pPr>
        <w:pStyle w:val="StyleJustifiedLinespacing15lines"/>
        <w:jc w:val="center"/>
        <w:rPr>
          <w:rStyle w:val="Style11pt"/>
          <w:rFonts w:ascii="Calibri" w:hAnsi="Calibri"/>
          <w:lang w:val="it-IT" w:eastAsia="en-GB"/>
        </w:rPr>
      </w:pPr>
      <w:r w:rsidRPr="00C078F7">
        <w:rPr>
          <w:rStyle w:val="Style11pt"/>
          <w:rFonts w:ascii="Calibri" w:hAnsi="Calibri"/>
          <w:i/>
          <w:lang w:val="it-IT"/>
        </w:rPr>
        <w:t>P</w:t>
      </w:r>
      <w:r w:rsidRPr="00C078F7">
        <w:rPr>
          <w:rStyle w:val="Style11pt"/>
          <w:rFonts w:ascii="Calibri" w:hAnsi="Calibri"/>
          <w:i/>
          <w:vertAlign w:val="subscript"/>
          <w:lang w:val="it-IT"/>
        </w:rPr>
        <w:t>(i,v),r</w:t>
      </w:r>
      <w:r w:rsidRPr="00C078F7">
        <w:rPr>
          <w:rStyle w:val="Style11pt"/>
          <w:rFonts w:ascii="Calibri" w:hAnsi="Calibri"/>
          <w:i/>
          <w:lang w:val="it-IT"/>
        </w:rPr>
        <w:t xml:space="preserve"> =(1</w:t>
      </w:r>
      <w:r w:rsidRPr="00C078F7">
        <w:rPr>
          <w:rStyle w:val="Style11pt"/>
          <w:rFonts w:ascii="Calibri" w:hAnsi="Calibri" w:cs="Calibri"/>
          <w:i/>
          <w:lang w:val="it-IT"/>
        </w:rPr>
        <w:t>−</w:t>
      </w:r>
      <w:r w:rsidRPr="00C078F7">
        <w:rPr>
          <w:i/>
          <w:lang w:val="it-IT"/>
        </w:rPr>
        <w:t>t</w:t>
      </w:r>
      <w:r w:rsidRPr="00C078F7">
        <w:rPr>
          <w:rStyle w:val="Style11pt"/>
          <w:rFonts w:ascii="Calibri" w:hAnsi="Calibri"/>
          <w:i/>
          <w:vertAlign w:val="subscript"/>
          <w:lang w:val="it-IT"/>
        </w:rPr>
        <w:t>(i,v),r</w:t>
      </w:r>
      <w:r w:rsidRPr="00C078F7">
        <w:rPr>
          <w:rStyle w:val="Style11pt"/>
          <w:rFonts w:ascii="Calibri" w:hAnsi="Calibri"/>
          <w:i/>
          <w:lang w:val="it-IT"/>
        </w:rPr>
        <w:t>)P</w:t>
      </w:r>
      <w:r w:rsidRPr="00C078F7">
        <w:rPr>
          <w:rStyle w:val="Style11pt"/>
          <w:rFonts w:ascii="Calibri" w:hAnsi="Calibri"/>
          <w:i/>
          <w:vertAlign w:val="superscript"/>
          <w:lang w:val="it-IT"/>
        </w:rPr>
        <w:t>*</w:t>
      </w:r>
      <w:r w:rsidRPr="00C078F7">
        <w:rPr>
          <w:rStyle w:val="Style11pt"/>
          <w:rFonts w:ascii="Calibri" w:hAnsi="Calibri"/>
          <w:i/>
          <w:vertAlign w:val="subscript"/>
          <w:lang w:val="it-IT"/>
        </w:rPr>
        <w:t>i,r</w:t>
      </w:r>
      <w:r w:rsidRPr="00C078F7">
        <w:rPr>
          <w:rStyle w:val="Style11pt"/>
          <w:rFonts w:ascii="Calibri" w:hAnsi="Calibri"/>
          <w:i/>
          <w:lang w:val="it-IT"/>
        </w:rPr>
        <w:t xml:space="preserve"> = T</w:t>
      </w:r>
      <w:r w:rsidRPr="00C078F7">
        <w:rPr>
          <w:rStyle w:val="Style11pt"/>
          <w:rFonts w:ascii="Calibri" w:hAnsi="Calibri"/>
          <w:i/>
          <w:vertAlign w:val="subscript"/>
          <w:lang w:val="it-IT"/>
        </w:rPr>
        <w:t>(i,v),rP*i,r</w:t>
      </w:r>
      <w:r w:rsidRPr="00C078F7">
        <w:rPr>
          <w:rStyle w:val="Style11pt"/>
          <w:rFonts w:ascii="Calibri" w:hAnsi="Calibri"/>
          <w:vertAlign w:val="subscript"/>
          <w:lang w:val="it-IT"/>
        </w:rPr>
        <w:tab/>
      </w:r>
      <w:r w:rsidRPr="00C078F7">
        <w:rPr>
          <w:rStyle w:val="Style11pt"/>
          <w:rFonts w:ascii="Calibri" w:hAnsi="Calibri"/>
          <w:vertAlign w:val="subscript"/>
          <w:lang w:val="it-IT"/>
        </w:rPr>
        <w:tab/>
      </w:r>
      <w:r w:rsidRPr="00C078F7">
        <w:rPr>
          <w:rStyle w:val="Style11pt"/>
          <w:rFonts w:ascii="Calibri" w:hAnsi="Calibri"/>
          <w:vertAlign w:val="subscript"/>
          <w:lang w:val="it-IT"/>
        </w:rPr>
        <w:tab/>
      </w:r>
      <w:r w:rsidRPr="00C078F7">
        <w:rPr>
          <w:rStyle w:val="Style11pt"/>
          <w:rFonts w:ascii="Calibri" w:hAnsi="Calibri"/>
          <w:lang w:val="it-IT"/>
        </w:rPr>
        <w:t>(4)</w:t>
      </w:r>
    </w:p>
    <w:p w:rsidR="00162CD2" w:rsidRPr="000F4A5F" w:rsidRDefault="00162CD2">
      <w:pPr>
        <w:pStyle w:val="StyleJustifiedLinespacing15lines"/>
        <w:rPr>
          <w:rStyle w:val="Style11pt"/>
          <w:rFonts w:ascii="Calibri" w:hAnsi="Calibri"/>
          <w:lang w:val="en-GB"/>
        </w:rPr>
      </w:pPr>
      <w:proofErr w:type="gramStart"/>
      <w:r w:rsidRPr="000F4A5F">
        <w:rPr>
          <w:rStyle w:val="Style11pt"/>
          <w:rFonts w:ascii="Calibri" w:hAnsi="Calibri"/>
          <w:lang w:val="en-GB"/>
        </w:rPr>
        <w:t>where</w:t>
      </w:r>
      <w:proofErr w:type="gramEnd"/>
      <w:r w:rsidRPr="000F4A5F">
        <w:rPr>
          <w:rStyle w:val="Style11pt"/>
          <w:rFonts w:ascii="Calibri" w:hAnsi="Calibri"/>
          <w:lang w:val="en-GB"/>
        </w:rPr>
        <w:t xml:space="preserve"> </w:t>
      </w:r>
      <w:r w:rsidR="00C078F7" w:rsidRPr="00C078F7">
        <w:rPr>
          <w:rStyle w:val="Style11pt"/>
          <w:rFonts w:ascii="Calibri" w:hAnsi="Calibri"/>
          <w:i/>
          <w:lang w:val="en-GB"/>
        </w:rPr>
        <w:t>T</w:t>
      </w:r>
      <w:r w:rsidRPr="000F4A5F">
        <w:rPr>
          <w:rStyle w:val="Style11pt"/>
          <w:rFonts w:ascii="Calibri" w:hAnsi="Calibri"/>
          <w:lang w:val="en-GB"/>
        </w:rPr>
        <w:t xml:space="preserve"> = </w:t>
      </w:r>
      <w:r w:rsidR="00C078F7" w:rsidRPr="00C078F7">
        <w:rPr>
          <w:rStyle w:val="Style11pt"/>
          <w:rFonts w:ascii="Calibri" w:hAnsi="Calibri"/>
          <w:i/>
          <w:lang w:val="en-GB"/>
        </w:rPr>
        <w:t>(1+</w:t>
      </w:r>
      <w:r w:rsidRPr="0055138D">
        <w:rPr>
          <w:i/>
          <w:lang w:val="en-GB"/>
        </w:rPr>
        <w:t>t</w:t>
      </w:r>
      <w:r w:rsidR="00C078F7" w:rsidRPr="00C078F7">
        <w:rPr>
          <w:rStyle w:val="Style11pt"/>
          <w:rFonts w:ascii="Calibri" w:hAnsi="Calibri"/>
          <w:i/>
          <w:lang w:val="en-GB"/>
        </w:rPr>
        <w:t>)</w:t>
      </w:r>
      <w:r w:rsidRPr="000F4A5F">
        <w:rPr>
          <w:rStyle w:val="Style11pt"/>
          <w:rFonts w:ascii="Calibri" w:hAnsi="Calibri"/>
          <w:lang w:val="en-GB"/>
        </w:rPr>
        <w:t>, the power of the tariff. Quotas or outright bans can be expressed as a tariff equivalent. On the export side, exports are a function of world prices:</w:t>
      </w:r>
    </w:p>
    <w:p w:rsidR="00646F34" w:rsidRDefault="00162CD2">
      <w:pPr>
        <w:jc w:val="center"/>
      </w:pPr>
      <w:proofErr w:type="gramStart"/>
      <w:r w:rsidRPr="001E69D4">
        <w:t>X</w:t>
      </w:r>
      <w:r w:rsidRPr="001E69D4">
        <w:rPr>
          <w:vertAlign w:val="subscript"/>
        </w:rPr>
        <w:t>(</w:t>
      </w:r>
      <w:proofErr w:type="spellStart"/>
      <w:proofErr w:type="gramEnd"/>
      <w:r w:rsidRPr="001E69D4">
        <w:rPr>
          <w:vertAlign w:val="subscript"/>
        </w:rPr>
        <w:t>i,v</w:t>
      </w:r>
      <w:proofErr w:type="spellEnd"/>
      <w:r w:rsidRPr="001E69D4">
        <w:rPr>
          <w:vertAlign w:val="subscript"/>
        </w:rPr>
        <w:t>),r</w:t>
      </w:r>
      <w:r w:rsidRPr="001E69D4">
        <w:t xml:space="preserve"> = f(</w:t>
      </w:r>
      <w:proofErr w:type="spellStart"/>
      <w:r w:rsidRPr="001E69D4">
        <w:rPr>
          <w:vertAlign w:val="subscript"/>
        </w:rPr>
        <w:t>r</w:t>
      </w:r>
      <w:r w:rsidRPr="001E69D4">
        <w:t>P</w:t>
      </w:r>
      <w:proofErr w:type="spellEnd"/>
      <w:r w:rsidRPr="001E69D4">
        <w:rPr>
          <w:vertAlign w:val="superscript"/>
        </w:rPr>
        <w:t>*</w:t>
      </w:r>
      <w:proofErr w:type="spellStart"/>
      <w:r w:rsidRPr="001E69D4">
        <w:rPr>
          <w:vertAlign w:val="subscript"/>
        </w:rPr>
        <w:t>i,r</w:t>
      </w:r>
      <w:proofErr w:type="spellEnd"/>
      <w:r w:rsidRPr="001E69D4">
        <w:t>)</w:t>
      </w:r>
      <w:r w:rsidR="0055138D">
        <w:tab/>
      </w:r>
      <w:r w:rsidR="0055138D">
        <w:tab/>
      </w:r>
      <w:r w:rsidR="0055138D">
        <w:tab/>
      </w:r>
      <w:r w:rsidR="0055138D">
        <w:tab/>
      </w:r>
      <w:r w:rsidR="0055138D">
        <w:tab/>
        <w:t>(5)</w:t>
      </w:r>
    </w:p>
    <w:p w:rsidR="00162CD2" w:rsidRPr="001E69D4" w:rsidRDefault="00162CD2">
      <w:r w:rsidRPr="001E69D4">
        <w:t>These equations are in levels. By differentiating the import, export</w:t>
      </w:r>
      <w:r>
        <w:t>,</w:t>
      </w:r>
      <w:r w:rsidRPr="001E69D4">
        <w:t xml:space="preserve"> and price equations, it is possible to obtain expressions for the change in imports and exports according to changes in tariffs and world prices:</w:t>
      </w:r>
    </w:p>
    <w:p w:rsidR="00646F34" w:rsidRDefault="00C078F7">
      <w:pPr>
        <w:jc w:val="center"/>
        <w:rPr>
          <w:i/>
          <w:lang w:val="pt-BR"/>
        </w:rPr>
      </w:pPr>
      <w:r w:rsidRPr="00C078F7">
        <w:rPr>
          <w:i/>
          <w:lang w:val="pt-BR"/>
        </w:rPr>
        <w:t>M´</w:t>
      </w:r>
      <w:r w:rsidRPr="00C078F7">
        <w:rPr>
          <w:i/>
          <w:vertAlign w:val="subscript"/>
          <w:lang w:val="pt-BR"/>
        </w:rPr>
        <w:t>i,r</w:t>
      </w:r>
      <w:r w:rsidRPr="00C078F7">
        <w:rPr>
          <w:i/>
          <w:lang w:val="pt-BR"/>
        </w:rPr>
        <w:t xml:space="preserve"> </w:t>
      </w:r>
      <w:r w:rsidRPr="00C078F7">
        <w:rPr>
          <w:i/>
          <w:lang w:val="pt-BR"/>
        </w:rPr>
        <w:tab/>
        <w:t xml:space="preserve">= </w:t>
      </w:r>
      <w:r w:rsidRPr="00C078F7">
        <w:rPr>
          <w:i/>
        </w:rPr>
        <w:t>Σ</w:t>
      </w:r>
      <w:r w:rsidRPr="00C078F7">
        <w:rPr>
          <w:i/>
          <w:vertAlign w:val="subscript"/>
          <w:lang w:val="pt-BR"/>
        </w:rPr>
        <w:t xml:space="preserve"> v</w:t>
      </w:r>
      <w:r w:rsidRPr="00C078F7">
        <w:rPr>
          <w:i/>
          <w:lang w:val="pt-BR"/>
        </w:rPr>
        <w:t xml:space="preserve"> M´</w:t>
      </w:r>
      <w:r w:rsidRPr="00C078F7">
        <w:rPr>
          <w:i/>
          <w:vertAlign w:val="subscript"/>
          <w:lang w:val="pt-BR"/>
        </w:rPr>
        <w:t xml:space="preserve"> (i,v),r</w:t>
      </w:r>
      <w:r w:rsidRPr="00C078F7">
        <w:rPr>
          <w:i/>
          <w:lang w:val="pt-BR"/>
        </w:rPr>
        <w:t xml:space="preserve"> = </w:t>
      </w:r>
      <w:r w:rsidRPr="00C078F7">
        <w:rPr>
          <w:i/>
        </w:rPr>
        <w:t>Σ</w:t>
      </w:r>
      <w:r w:rsidRPr="00C078F7">
        <w:rPr>
          <w:i/>
          <w:vertAlign w:val="subscript"/>
          <w:lang w:val="pt-BR"/>
        </w:rPr>
        <w:t xml:space="preserve"> v</w:t>
      </w:r>
      <w:r w:rsidRPr="00C078F7">
        <w:rPr>
          <w:i/>
          <w:lang w:val="pt-BR"/>
        </w:rPr>
        <w:t xml:space="preserve"> N</w:t>
      </w:r>
      <w:r w:rsidRPr="00C078F7">
        <w:rPr>
          <w:i/>
          <w:vertAlign w:val="subscript"/>
          <w:lang w:val="pt-BR"/>
        </w:rPr>
        <w:t xml:space="preserve">(i,v),r,r </w:t>
      </w:r>
      <w:r w:rsidRPr="00C078F7">
        <w:rPr>
          <w:i/>
          <w:lang w:val="pt-BR"/>
        </w:rPr>
        <w:t>P´</w:t>
      </w:r>
      <w:r w:rsidRPr="00C078F7">
        <w:rPr>
          <w:i/>
          <w:vertAlign w:val="subscript"/>
          <w:lang w:val="pt-BR"/>
        </w:rPr>
        <w:t xml:space="preserve"> (i,v),r</w:t>
      </w:r>
      <w:r w:rsidRPr="00C078F7">
        <w:rPr>
          <w:i/>
          <w:lang w:val="pt-BR"/>
        </w:rPr>
        <w:t xml:space="preserve">+ </w:t>
      </w:r>
      <w:r w:rsidRPr="00C078F7">
        <w:rPr>
          <w:i/>
        </w:rPr>
        <w:t>Σ</w:t>
      </w:r>
      <w:r w:rsidRPr="00C078F7">
        <w:rPr>
          <w:i/>
          <w:vertAlign w:val="subscript"/>
          <w:lang w:val="pt-BR"/>
        </w:rPr>
        <w:t xml:space="preserve"> v</w:t>
      </w:r>
      <w:r w:rsidRPr="00C078F7">
        <w:rPr>
          <w:i/>
          <w:lang w:val="pt-BR"/>
        </w:rPr>
        <w:t xml:space="preserve"> </w:t>
      </w:r>
      <w:r w:rsidRPr="00C078F7">
        <w:rPr>
          <w:i/>
        </w:rPr>
        <w:t>Σ</w:t>
      </w:r>
      <w:r w:rsidRPr="00C078F7">
        <w:rPr>
          <w:i/>
          <w:vertAlign w:val="subscript"/>
          <w:lang w:val="pt-BR"/>
        </w:rPr>
        <w:t xml:space="preserve"> sr</w:t>
      </w:r>
      <w:r w:rsidRPr="00C078F7">
        <w:rPr>
          <w:i/>
          <w:lang w:val="pt-BR"/>
        </w:rPr>
        <w:t xml:space="preserve"> N</w:t>
      </w:r>
      <w:r w:rsidRPr="00C078F7">
        <w:rPr>
          <w:i/>
          <w:vertAlign w:val="subscript"/>
          <w:lang w:val="pt-BR"/>
        </w:rPr>
        <w:t xml:space="preserve">(i,v),r,s </w:t>
      </w:r>
      <w:r w:rsidRPr="00C078F7">
        <w:rPr>
          <w:i/>
          <w:lang w:val="pt-BR"/>
        </w:rPr>
        <w:t>P´</w:t>
      </w:r>
      <w:r w:rsidRPr="00C078F7">
        <w:rPr>
          <w:i/>
          <w:vertAlign w:val="subscript"/>
          <w:lang w:val="pt-BR"/>
        </w:rPr>
        <w:t xml:space="preserve"> (i,v),s</w:t>
      </w:r>
      <w:r w:rsidRPr="00C078F7">
        <w:rPr>
          <w:i/>
          <w:vertAlign w:val="subscript"/>
          <w:lang w:val="pt-BR"/>
        </w:rPr>
        <w:tab/>
      </w:r>
      <w:r w:rsidRPr="00C078F7">
        <w:rPr>
          <w:i/>
          <w:vertAlign w:val="subscript"/>
          <w:lang w:val="pt-BR"/>
        </w:rPr>
        <w:tab/>
      </w:r>
      <w:r w:rsidRPr="00C078F7">
        <w:rPr>
          <w:lang w:val="pt-BR"/>
        </w:rPr>
        <w:t>(6)</w:t>
      </w:r>
    </w:p>
    <w:p w:rsidR="00646F34" w:rsidRDefault="00C078F7">
      <w:pPr>
        <w:jc w:val="center"/>
        <w:rPr>
          <w:i/>
          <w:lang w:val="pt-BR"/>
        </w:rPr>
      </w:pPr>
      <w:r w:rsidRPr="00C078F7">
        <w:rPr>
          <w:i/>
          <w:lang w:val="pt-BR"/>
        </w:rPr>
        <w:t xml:space="preserve">= </w:t>
      </w:r>
      <w:r w:rsidRPr="00C078F7">
        <w:rPr>
          <w:i/>
        </w:rPr>
        <w:t>Σ</w:t>
      </w:r>
      <w:r w:rsidRPr="00C078F7">
        <w:rPr>
          <w:i/>
          <w:vertAlign w:val="subscript"/>
          <w:lang w:val="pt-BR"/>
        </w:rPr>
        <w:t xml:space="preserve"> v</w:t>
      </w:r>
      <w:r w:rsidRPr="00C078F7">
        <w:rPr>
          <w:i/>
          <w:lang w:val="pt-BR"/>
        </w:rPr>
        <w:t xml:space="preserve"> N</w:t>
      </w:r>
      <w:r w:rsidRPr="00C078F7">
        <w:rPr>
          <w:i/>
          <w:vertAlign w:val="subscript"/>
          <w:lang w:val="pt-BR"/>
        </w:rPr>
        <w:t xml:space="preserve">(i,v),r,r </w:t>
      </w:r>
      <w:r w:rsidRPr="00C078F7">
        <w:rPr>
          <w:i/>
          <w:lang w:val="pt-BR"/>
        </w:rPr>
        <w:t>[P</w:t>
      </w:r>
      <w:r w:rsidRPr="00C078F7">
        <w:rPr>
          <w:i/>
          <w:vertAlign w:val="superscript"/>
          <w:lang w:val="pt-BR"/>
        </w:rPr>
        <w:t>*</w:t>
      </w:r>
      <w:r w:rsidRPr="00C078F7">
        <w:rPr>
          <w:i/>
          <w:vertAlign w:val="subscript"/>
          <w:lang w:val="pt-BR"/>
        </w:rPr>
        <w:t>r</w:t>
      </w:r>
      <w:r w:rsidRPr="00C078F7">
        <w:rPr>
          <w:i/>
          <w:lang w:val="pt-BR"/>
        </w:rPr>
        <w:t>+T´</w:t>
      </w:r>
      <w:r w:rsidRPr="00C078F7">
        <w:rPr>
          <w:i/>
          <w:vertAlign w:val="subscript"/>
          <w:lang w:val="pt-BR"/>
        </w:rPr>
        <w:t xml:space="preserve"> (i,v),r</w:t>
      </w:r>
      <w:r w:rsidRPr="00C078F7">
        <w:rPr>
          <w:i/>
          <w:lang w:val="pt-BR"/>
        </w:rPr>
        <w:t xml:space="preserve">] + </w:t>
      </w:r>
      <w:r w:rsidRPr="00C078F7">
        <w:rPr>
          <w:i/>
        </w:rPr>
        <w:t>Σ</w:t>
      </w:r>
      <w:r w:rsidRPr="00C078F7">
        <w:rPr>
          <w:i/>
          <w:vertAlign w:val="subscript"/>
          <w:lang w:val="pt-BR"/>
        </w:rPr>
        <w:t xml:space="preserve"> v</w:t>
      </w:r>
      <w:r w:rsidRPr="00C078F7">
        <w:rPr>
          <w:i/>
          <w:lang w:val="pt-BR"/>
        </w:rPr>
        <w:t xml:space="preserve"> </w:t>
      </w:r>
      <w:r w:rsidRPr="00C078F7">
        <w:rPr>
          <w:i/>
        </w:rPr>
        <w:t>Σ</w:t>
      </w:r>
      <w:r w:rsidRPr="00C078F7">
        <w:rPr>
          <w:i/>
          <w:vertAlign w:val="subscript"/>
          <w:lang w:val="pt-BR"/>
        </w:rPr>
        <w:t xml:space="preserve"> sr</w:t>
      </w:r>
      <w:r w:rsidRPr="00C078F7">
        <w:rPr>
          <w:i/>
          <w:lang w:val="pt-BR"/>
        </w:rPr>
        <w:t xml:space="preserve"> N</w:t>
      </w:r>
      <w:r w:rsidRPr="00C078F7">
        <w:rPr>
          <w:i/>
          <w:vertAlign w:val="subscript"/>
          <w:lang w:val="pt-BR"/>
        </w:rPr>
        <w:t xml:space="preserve">(i,v),r,s </w:t>
      </w:r>
      <w:r w:rsidRPr="00C078F7">
        <w:rPr>
          <w:i/>
          <w:lang w:val="pt-BR"/>
        </w:rPr>
        <w:t>[P</w:t>
      </w:r>
      <w:r w:rsidRPr="00C078F7">
        <w:rPr>
          <w:i/>
          <w:vertAlign w:val="superscript"/>
          <w:lang w:val="pt-BR"/>
        </w:rPr>
        <w:t>*</w:t>
      </w:r>
      <w:r w:rsidRPr="00C078F7">
        <w:rPr>
          <w:i/>
          <w:lang w:val="pt-BR"/>
        </w:rPr>
        <w:t>´</w:t>
      </w:r>
      <w:r w:rsidRPr="00C078F7">
        <w:rPr>
          <w:i/>
          <w:vertAlign w:val="subscript"/>
          <w:lang w:val="pt-BR"/>
        </w:rPr>
        <w:t>s</w:t>
      </w:r>
      <w:r w:rsidRPr="00C078F7">
        <w:rPr>
          <w:i/>
          <w:lang w:val="pt-BR"/>
        </w:rPr>
        <w:t>+T´</w:t>
      </w:r>
      <w:r w:rsidRPr="00C078F7">
        <w:rPr>
          <w:i/>
          <w:vertAlign w:val="subscript"/>
          <w:lang w:val="pt-BR"/>
        </w:rPr>
        <w:t xml:space="preserve"> (i,v),s</w:t>
      </w:r>
      <w:r w:rsidRPr="00C078F7">
        <w:rPr>
          <w:i/>
          <w:lang w:val="pt-BR"/>
        </w:rPr>
        <w:t>]</w:t>
      </w:r>
    </w:p>
    <w:p w:rsidR="00162CD2" w:rsidRPr="001E69D4" w:rsidRDefault="00162CD2">
      <w:r w:rsidRPr="001E69D4">
        <w:t>The model is solved numerically by finding a set of prices such that the change in global imports (equation 6) equals the change in global exports (the derivative of equation 5).</w:t>
      </w:r>
    </w:p>
    <w:p w:rsidR="00162CD2" w:rsidRPr="001E69D4" w:rsidRDefault="00162CD2">
      <w:r w:rsidRPr="001E69D4">
        <w:t>Once we have solved for world prices, it is possible to work backwards to solve for export quantities and import quantities. Changes in government revenues are simply determined by the trade flows times the tariff rates. Producer and consumer surplus effects can then be determined from changes in prices and quantities:</w:t>
      </w:r>
    </w:p>
    <w:p w:rsidR="00646F34" w:rsidRDefault="00C078F7">
      <w:pPr>
        <w:jc w:val="center"/>
        <w:rPr>
          <w:lang w:val="it-IT"/>
        </w:rPr>
      </w:pPr>
      <w:r w:rsidRPr="00C078F7">
        <w:rPr>
          <w:i/>
          <w:lang w:val="it-IT"/>
        </w:rPr>
        <w:t>∆PS</w:t>
      </w:r>
      <w:r w:rsidRPr="00C078F7">
        <w:rPr>
          <w:i/>
          <w:vertAlign w:val="subscript"/>
          <w:lang w:val="it-IT"/>
        </w:rPr>
        <w:t xml:space="preserve">i,r </w:t>
      </w:r>
      <w:r w:rsidRPr="00C078F7">
        <w:rPr>
          <w:i/>
          <w:lang w:val="it-IT"/>
        </w:rPr>
        <w:t>= R</w:t>
      </w:r>
      <w:r w:rsidRPr="00C078F7">
        <w:rPr>
          <w:i/>
          <w:vertAlign w:val="superscript"/>
          <w:lang w:val="it-IT"/>
        </w:rPr>
        <w:t>0</w:t>
      </w:r>
      <w:r w:rsidRPr="00C078F7">
        <w:rPr>
          <w:i/>
          <w:vertAlign w:val="subscript"/>
          <w:lang w:val="it-IT"/>
        </w:rPr>
        <w:t>i,r</w:t>
      </w:r>
      <w:r w:rsidRPr="00C078F7">
        <w:rPr>
          <w:i/>
          <w:lang w:val="it-IT"/>
        </w:rPr>
        <w:t xml:space="preserve"> P´</w:t>
      </w:r>
      <w:r w:rsidRPr="00C078F7">
        <w:rPr>
          <w:i/>
          <w:vertAlign w:val="subscript"/>
          <w:lang w:val="it-IT"/>
        </w:rPr>
        <w:t xml:space="preserve"> i,r </w:t>
      </w:r>
      <w:r w:rsidRPr="00C078F7">
        <w:rPr>
          <w:i/>
          <w:lang w:val="it-IT"/>
        </w:rPr>
        <w:t>+0.5 R</w:t>
      </w:r>
      <w:r w:rsidRPr="00C078F7">
        <w:rPr>
          <w:i/>
          <w:vertAlign w:val="superscript"/>
          <w:lang w:val="it-IT"/>
        </w:rPr>
        <w:t>0</w:t>
      </w:r>
      <w:r w:rsidRPr="00C078F7">
        <w:rPr>
          <w:i/>
          <w:vertAlign w:val="subscript"/>
          <w:lang w:val="it-IT"/>
        </w:rPr>
        <w:t>i,r</w:t>
      </w:r>
      <w:r w:rsidRPr="00C078F7">
        <w:rPr>
          <w:i/>
          <w:lang w:val="it-IT"/>
        </w:rPr>
        <w:t xml:space="preserve"> P´</w:t>
      </w:r>
      <w:r w:rsidRPr="00C078F7">
        <w:rPr>
          <w:i/>
          <w:vertAlign w:val="subscript"/>
          <w:lang w:val="it-IT"/>
        </w:rPr>
        <w:t xml:space="preserve"> i,r</w:t>
      </w:r>
      <w:r w:rsidRPr="00C078F7">
        <w:rPr>
          <w:i/>
          <w:lang w:val="it-IT"/>
        </w:rPr>
        <w:t xml:space="preserve"> X</w:t>
      </w:r>
      <w:r w:rsidRPr="00C078F7">
        <w:rPr>
          <w:i/>
          <w:vertAlign w:val="subscript"/>
          <w:lang w:val="it-IT"/>
        </w:rPr>
        <w:t>i,r</w:t>
      </w:r>
      <w:r w:rsidRPr="00C078F7">
        <w:rPr>
          <w:i/>
          <w:vertAlign w:val="subscript"/>
          <w:lang w:val="it-IT"/>
        </w:rPr>
        <w:tab/>
      </w:r>
      <w:r w:rsidRPr="00C078F7">
        <w:rPr>
          <w:i/>
          <w:vertAlign w:val="subscript"/>
          <w:lang w:val="it-IT"/>
        </w:rPr>
        <w:tab/>
      </w:r>
      <w:r w:rsidRPr="00C078F7">
        <w:rPr>
          <w:vertAlign w:val="subscript"/>
          <w:lang w:val="it-IT"/>
        </w:rPr>
        <w:tab/>
      </w:r>
      <w:r w:rsidRPr="00C078F7">
        <w:rPr>
          <w:vertAlign w:val="subscript"/>
          <w:lang w:val="it-IT"/>
        </w:rPr>
        <w:tab/>
      </w:r>
      <w:r w:rsidRPr="00C078F7">
        <w:rPr>
          <w:vertAlign w:val="subscript"/>
          <w:lang w:val="it-IT"/>
        </w:rPr>
        <w:tab/>
      </w:r>
      <w:r w:rsidRPr="00C078F7">
        <w:rPr>
          <w:lang w:val="it-IT"/>
        </w:rPr>
        <w:t>(7)</w:t>
      </w:r>
    </w:p>
    <w:p w:rsidR="00162CD2" w:rsidRPr="001E69D4" w:rsidRDefault="00162CD2">
      <w:proofErr w:type="gramStart"/>
      <w:r w:rsidRPr="001E69D4">
        <w:t>where</w:t>
      </w:r>
      <w:proofErr w:type="gramEnd"/>
      <w:r w:rsidRPr="001E69D4">
        <w:t xml:space="preserve"> R</w:t>
      </w:r>
      <w:r w:rsidRPr="001E69D4">
        <w:rPr>
          <w:vertAlign w:val="superscript"/>
        </w:rPr>
        <w:t>0</w:t>
      </w:r>
      <w:r w:rsidRPr="001E69D4">
        <w:rPr>
          <w:vertAlign w:val="subscript"/>
        </w:rPr>
        <w:t xml:space="preserve">i,r </w:t>
      </w:r>
      <w:r w:rsidRPr="001E69D4">
        <w:t xml:space="preserve">is the initial export revenue. </w:t>
      </w:r>
    </w:p>
    <w:p w:rsidR="00162CD2" w:rsidRPr="001E69D4" w:rsidRDefault="00162CD2">
      <w:r w:rsidRPr="001E69D4">
        <w:t>Consumer surplus is more complex because consumption is a composite of imports from different sources.</w:t>
      </w:r>
    </w:p>
    <w:p w:rsidR="00646F34" w:rsidRDefault="00C078F7">
      <w:pPr>
        <w:jc w:val="center"/>
        <w:rPr>
          <w:lang w:val="pt-BR"/>
        </w:rPr>
      </w:pPr>
      <w:r w:rsidRPr="00C078F7">
        <w:rPr>
          <w:i/>
          <w:lang w:val="pt-BR"/>
        </w:rPr>
        <w:t>∆CS</w:t>
      </w:r>
      <w:r w:rsidRPr="00C078F7">
        <w:rPr>
          <w:i/>
          <w:vertAlign w:val="subscript"/>
          <w:lang w:val="pt-BR"/>
        </w:rPr>
        <w:t xml:space="preserve">i,r </w:t>
      </w:r>
      <w:r w:rsidRPr="00C078F7">
        <w:rPr>
          <w:i/>
          <w:lang w:val="pt-BR"/>
        </w:rPr>
        <w:t>= (</w:t>
      </w:r>
      <w:r w:rsidRPr="00C078F7">
        <w:rPr>
          <w:i/>
        </w:rPr>
        <w:t>Σ</w:t>
      </w:r>
      <w:r w:rsidRPr="00C078F7">
        <w:rPr>
          <w:i/>
          <w:vertAlign w:val="subscript"/>
          <w:lang w:val="pt-BR"/>
        </w:rPr>
        <w:t xml:space="preserve"> v</w:t>
      </w:r>
      <w:r w:rsidRPr="00C078F7">
        <w:rPr>
          <w:i/>
          <w:lang w:val="pt-BR"/>
        </w:rPr>
        <w:t xml:space="preserve"> R</w:t>
      </w:r>
      <w:r w:rsidRPr="00C078F7">
        <w:rPr>
          <w:i/>
          <w:vertAlign w:val="superscript"/>
          <w:lang w:val="pt-BR"/>
        </w:rPr>
        <w:t>0</w:t>
      </w:r>
      <w:r w:rsidRPr="00C078F7">
        <w:rPr>
          <w:i/>
          <w:vertAlign w:val="subscript"/>
          <w:lang w:val="pt-BR"/>
        </w:rPr>
        <w:t>(i,v),r</w:t>
      </w:r>
      <w:r w:rsidRPr="00C078F7">
        <w:rPr>
          <w:i/>
          <w:lang w:val="pt-BR"/>
        </w:rPr>
        <w:t xml:space="preserve"> T</w:t>
      </w:r>
      <w:r w:rsidRPr="00C078F7">
        <w:rPr>
          <w:i/>
          <w:vertAlign w:val="superscript"/>
          <w:lang w:val="pt-BR"/>
        </w:rPr>
        <w:t>0</w:t>
      </w:r>
      <w:r w:rsidRPr="00C078F7">
        <w:rPr>
          <w:i/>
          <w:vertAlign w:val="subscript"/>
          <w:lang w:val="pt-BR"/>
        </w:rPr>
        <w:t xml:space="preserve"> (i,v),r </w:t>
      </w:r>
      <w:r w:rsidRPr="00C078F7">
        <w:rPr>
          <w:i/>
          <w:lang w:val="pt-BR"/>
        </w:rPr>
        <w:t>) * (0.5 E</w:t>
      </w:r>
      <w:r w:rsidRPr="00C078F7">
        <w:rPr>
          <w:i/>
          <w:vertAlign w:val="subscript"/>
          <w:lang w:val="pt-BR"/>
        </w:rPr>
        <w:t>m(i,v)</w:t>
      </w:r>
      <w:r w:rsidRPr="00C078F7">
        <w:rPr>
          <w:i/>
          <w:lang w:val="pt-BR"/>
        </w:rPr>
        <w:t xml:space="preserve"> P´</w:t>
      </w:r>
      <w:r w:rsidRPr="00C078F7">
        <w:rPr>
          <w:i/>
          <w:vertAlign w:val="subscript"/>
          <w:lang w:val="pt-BR"/>
        </w:rPr>
        <w:t xml:space="preserve"> i,v</w:t>
      </w:r>
      <w:r w:rsidRPr="00C078F7">
        <w:rPr>
          <w:i/>
          <w:vertAlign w:val="superscript"/>
          <w:lang w:val="pt-BR"/>
        </w:rPr>
        <w:t>2</w:t>
      </w:r>
      <w:r w:rsidRPr="00C078F7">
        <w:rPr>
          <w:i/>
          <w:lang w:val="pt-BR"/>
        </w:rPr>
        <w:t xml:space="preserve"> * sign (P´</w:t>
      </w:r>
      <w:r w:rsidRPr="00C078F7">
        <w:rPr>
          <w:i/>
          <w:vertAlign w:val="subscript"/>
          <w:lang w:val="pt-BR"/>
        </w:rPr>
        <w:t xml:space="preserve"> i,v</w:t>
      </w:r>
      <w:r w:rsidRPr="00C078F7">
        <w:rPr>
          <w:i/>
          <w:lang w:val="pt-BR"/>
        </w:rPr>
        <w:t>) - P´</w:t>
      </w:r>
      <w:r w:rsidRPr="00C078F7">
        <w:rPr>
          <w:i/>
          <w:vertAlign w:val="subscript"/>
          <w:lang w:val="pt-BR"/>
        </w:rPr>
        <w:t xml:space="preserve"> i,v</w:t>
      </w:r>
      <w:r w:rsidRPr="00C078F7">
        <w:rPr>
          <w:i/>
          <w:lang w:val="pt-BR"/>
        </w:rPr>
        <w:t>)</w:t>
      </w:r>
      <w:r w:rsidR="0055138D">
        <w:rPr>
          <w:lang w:val="pt-BR"/>
        </w:rPr>
        <w:tab/>
        <w:t>(7)</w:t>
      </w:r>
    </w:p>
    <w:p w:rsidR="00162CD2" w:rsidRPr="001E69D4" w:rsidRDefault="00925DE5">
      <w:r>
        <w:t>w</w:t>
      </w:r>
      <w:r w:rsidR="00162CD2" w:rsidRPr="001E69D4">
        <w:t xml:space="preserve">here </w:t>
      </w:r>
      <w:r w:rsidR="00C078F7" w:rsidRPr="00C078F7">
        <w:rPr>
          <w:i/>
        </w:rPr>
        <w:t>P´</w:t>
      </w:r>
      <w:r w:rsidR="00C078F7" w:rsidRPr="00C078F7">
        <w:rPr>
          <w:i/>
          <w:vertAlign w:val="subscript"/>
        </w:rPr>
        <w:t xml:space="preserve"> </w:t>
      </w:r>
      <w:proofErr w:type="spellStart"/>
      <w:r w:rsidR="00C078F7" w:rsidRPr="00C078F7">
        <w:rPr>
          <w:i/>
          <w:vertAlign w:val="subscript"/>
        </w:rPr>
        <w:t>i,v</w:t>
      </w:r>
      <w:proofErr w:type="spellEnd"/>
      <w:r w:rsidR="00C078F7" w:rsidRPr="00C078F7">
        <w:rPr>
          <w:i/>
          <w:vertAlign w:val="subscript"/>
        </w:rPr>
        <w:t xml:space="preserve"> </w:t>
      </w:r>
      <w:r w:rsidR="00C078F7" w:rsidRPr="00C078F7">
        <w:rPr>
          <w:i/>
        </w:rPr>
        <w:t>= Σ</w:t>
      </w:r>
      <w:r w:rsidR="00C078F7" w:rsidRPr="00C078F7">
        <w:rPr>
          <w:i/>
          <w:vertAlign w:val="subscript"/>
        </w:rPr>
        <w:t xml:space="preserve"> r</w:t>
      </w:r>
      <w:r w:rsidR="00C078F7" w:rsidRPr="00C078F7">
        <w:rPr>
          <w:i/>
        </w:rPr>
        <w:t xml:space="preserve"> θ</w:t>
      </w:r>
      <w:r w:rsidR="00C078F7" w:rsidRPr="00C078F7">
        <w:rPr>
          <w:i/>
          <w:vertAlign w:val="subscript"/>
        </w:rPr>
        <w:t>(</w:t>
      </w:r>
      <w:proofErr w:type="spellStart"/>
      <w:r w:rsidR="00C078F7" w:rsidRPr="00C078F7">
        <w:rPr>
          <w:i/>
          <w:vertAlign w:val="subscript"/>
        </w:rPr>
        <w:t>i,v</w:t>
      </w:r>
      <w:proofErr w:type="spellEnd"/>
      <w:r w:rsidR="00C078F7" w:rsidRPr="00C078F7">
        <w:rPr>
          <w:i/>
          <w:vertAlign w:val="subscript"/>
        </w:rPr>
        <w:t>),r</w:t>
      </w:r>
      <w:r w:rsidR="00C078F7" w:rsidRPr="00C078F7">
        <w:rPr>
          <w:i/>
        </w:rPr>
        <w:t xml:space="preserve"> P</w:t>
      </w:r>
      <w:r w:rsidR="00C078F7" w:rsidRPr="00C078F7">
        <w:rPr>
          <w:i/>
          <w:vertAlign w:val="superscript"/>
        </w:rPr>
        <w:t>*</w:t>
      </w:r>
      <w:r w:rsidR="00C078F7" w:rsidRPr="00C078F7">
        <w:rPr>
          <w:i/>
        </w:rPr>
        <w:t>´</w:t>
      </w:r>
      <w:r w:rsidR="00C078F7" w:rsidRPr="00C078F7">
        <w:rPr>
          <w:i/>
          <w:vertAlign w:val="subscript"/>
        </w:rPr>
        <w:t>r</w:t>
      </w:r>
      <w:r w:rsidR="00C078F7" w:rsidRPr="00C078F7">
        <w:rPr>
          <w:i/>
        </w:rPr>
        <w:t xml:space="preserve"> + T´</w:t>
      </w:r>
      <w:r w:rsidR="00C078F7" w:rsidRPr="00C078F7">
        <w:rPr>
          <w:i/>
          <w:vertAlign w:val="subscript"/>
        </w:rPr>
        <w:t xml:space="preserve"> (</w:t>
      </w:r>
      <w:proofErr w:type="spellStart"/>
      <w:r w:rsidR="00C078F7" w:rsidRPr="00C078F7">
        <w:rPr>
          <w:i/>
          <w:vertAlign w:val="subscript"/>
        </w:rPr>
        <w:t>i,v</w:t>
      </w:r>
      <w:proofErr w:type="spellEnd"/>
      <w:r w:rsidR="00C078F7" w:rsidRPr="00C078F7">
        <w:rPr>
          <w:i/>
          <w:vertAlign w:val="subscript"/>
        </w:rPr>
        <w:t>),r</w:t>
      </w:r>
      <w:r w:rsidR="00C078F7" w:rsidRPr="00C078F7">
        <w:rPr>
          <w:i/>
        </w:rPr>
        <w:t>.</w:t>
      </w:r>
    </w:p>
    <w:p w:rsidR="00162CD2" w:rsidRPr="001E69D4" w:rsidRDefault="00C078F7">
      <w:r w:rsidRPr="00C078F7">
        <w:rPr>
          <w:i/>
        </w:rPr>
        <w:t>P´</w:t>
      </w:r>
      <w:r w:rsidRPr="00C078F7">
        <w:rPr>
          <w:i/>
          <w:vertAlign w:val="subscript"/>
        </w:rPr>
        <w:t xml:space="preserve"> </w:t>
      </w:r>
      <w:proofErr w:type="spellStart"/>
      <w:r w:rsidRPr="00C078F7">
        <w:rPr>
          <w:i/>
          <w:vertAlign w:val="subscript"/>
        </w:rPr>
        <w:t>i</w:t>
      </w:r>
      <w:proofErr w:type="gramStart"/>
      <w:r w:rsidRPr="00C078F7">
        <w:rPr>
          <w:i/>
          <w:vertAlign w:val="subscript"/>
        </w:rPr>
        <w:t>,v</w:t>
      </w:r>
      <w:proofErr w:type="spellEnd"/>
      <w:proofErr w:type="gramEnd"/>
      <w:r w:rsidR="00162CD2" w:rsidRPr="001E69D4">
        <w:t xml:space="preserve"> represents the price for composite imports, and </w:t>
      </w:r>
      <w:r w:rsidRPr="00C078F7">
        <w:rPr>
          <w:i/>
        </w:rPr>
        <w:t>R</w:t>
      </w:r>
      <w:r w:rsidRPr="00C078F7">
        <w:rPr>
          <w:i/>
          <w:vertAlign w:val="superscript"/>
        </w:rPr>
        <w:t>0</w:t>
      </w:r>
      <w:r w:rsidRPr="00C078F7">
        <w:rPr>
          <w:i/>
        </w:rPr>
        <w:t xml:space="preserve"> T</w:t>
      </w:r>
      <w:r w:rsidRPr="00C078F7">
        <w:rPr>
          <w:i/>
          <w:vertAlign w:val="superscript"/>
        </w:rPr>
        <w:t>0</w:t>
      </w:r>
      <w:r w:rsidR="00162CD2" w:rsidRPr="001E69D4">
        <w:t xml:space="preserve"> </w:t>
      </w:r>
      <w:r w:rsidR="00162CD2">
        <w:t xml:space="preserve">is </w:t>
      </w:r>
      <w:r w:rsidR="00162CD2" w:rsidRPr="001E69D4">
        <w:t xml:space="preserve">the initial expenditure. </w:t>
      </w:r>
    </w:p>
    <w:p w:rsidR="00162CD2" w:rsidRPr="001E69D4" w:rsidRDefault="00162CD2">
      <w:r w:rsidRPr="001E69D4">
        <w:t>T</w:t>
      </w:r>
      <w:r>
        <w:t>he change in t</w:t>
      </w:r>
      <w:r w:rsidRPr="001E69D4">
        <w:t xml:space="preserve">otal welfare is the sum of </w:t>
      </w:r>
      <w:r>
        <w:t xml:space="preserve">changes in </w:t>
      </w:r>
      <w:r w:rsidRPr="001E69D4">
        <w:t>producer and consumer surplus</w:t>
      </w:r>
      <w:r>
        <w:t>es</w:t>
      </w:r>
      <w:r w:rsidRPr="001E69D4">
        <w:t xml:space="preserve"> and government revenue.</w:t>
      </w:r>
    </w:p>
    <w:p w:rsidR="00162CD2" w:rsidRPr="001E69D4" w:rsidRDefault="00162CD2">
      <w:r w:rsidRPr="001E69D4">
        <w:t xml:space="preserve">Data required for the model are bilateral trade flows (in values), bilateral trade taxes, and </w:t>
      </w:r>
      <w:proofErr w:type="spellStart"/>
      <w:r w:rsidRPr="001E69D4">
        <w:t>elasticities</w:t>
      </w:r>
      <w:proofErr w:type="spellEnd"/>
      <w:r w:rsidRPr="001E69D4">
        <w:t xml:space="preserve"> of supply, demand</w:t>
      </w:r>
      <w:r>
        <w:t>,</w:t>
      </w:r>
      <w:r w:rsidRPr="001E69D4">
        <w:t xml:space="preserve"> and substitution between imports (the so-called </w:t>
      </w:r>
      <w:proofErr w:type="spellStart"/>
      <w:r w:rsidRPr="001E69D4">
        <w:t>Armington</w:t>
      </w:r>
      <w:proofErr w:type="spellEnd"/>
      <w:r w:rsidRPr="001E69D4">
        <w:t xml:space="preserve"> </w:t>
      </w:r>
      <w:proofErr w:type="spellStart"/>
      <w:r w:rsidRPr="001E69D4">
        <w:t>elasticities</w:t>
      </w:r>
      <w:proofErr w:type="spellEnd"/>
      <w:r w:rsidRPr="001E69D4">
        <w:t xml:space="preserve">). </w:t>
      </w:r>
    </w:p>
    <w:p w:rsidR="00162CD2" w:rsidRPr="001E69D4" w:rsidRDefault="00162CD2" w:rsidP="00790FF4">
      <w:r w:rsidRPr="001E69D4">
        <w:t>Limitations of the model include the (log) linear demand and supply relationship. Linearity implies that large shocks to the model may induce some errors in the size of the quantity changes. For example, it is reasonable to expect that</w:t>
      </w:r>
      <w:r w:rsidR="00925DE5">
        <w:t>,</w:t>
      </w:r>
      <w:r w:rsidRPr="001E69D4">
        <w:t xml:space="preserve"> as prices rise</w:t>
      </w:r>
      <w:r w:rsidR="00925DE5">
        <w:t>,</w:t>
      </w:r>
      <w:r w:rsidRPr="001E69D4">
        <w:t xml:space="preserve"> consumers become less responsive. A second limitation is the lack of substitution between products on the demand side, such as beef and sheep meat. Empirically, </w:t>
      </w:r>
      <w:r>
        <w:t xml:space="preserve">however, </w:t>
      </w:r>
      <w:r w:rsidRPr="001E69D4">
        <w:t>the cross</w:t>
      </w:r>
      <w:r>
        <w:t>-</w:t>
      </w:r>
      <w:r w:rsidRPr="001E69D4">
        <w:t>effects tend to be rather small, depending on how the commodities are defined. A further consideration is the absence of upstream and downstream linkages, between beef and processed meats</w:t>
      </w:r>
      <w:r>
        <w:t>,</w:t>
      </w:r>
      <w:r w:rsidRPr="001E69D4">
        <w:t xml:space="preserve"> for example</w:t>
      </w:r>
      <w:r>
        <w:t>.</w:t>
      </w:r>
      <w:r w:rsidRPr="001E69D4">
        <w:t xml:space="preserve"> (</w:t>
      </w:r>
      <w:r>
        <w:t>T</w:t>
      </w:r>
      <w:r w:rsidRPr="001E69D4">
        <w:t>his reflects an absence of data rather than limitations in the modelling framework</w:t>
      </w:r>
      <w:r>
        <w:t>.</w:t>
      </w:r>
      <w:r w:rsidRPr="001E69D4">
        <w:t>) There is no storage in the model nor time</w:t>
      </w:r>
      <w:r>
        <w:t>-</w:t>
      </w:r>
      <w:r w:rsidRPr="001E69D4">
        <w:t>related effects or uncertainty. These limitations need to be kept in mind when interpreting the results.</w:t>
      </w:r>
    </w:p>
    <w:sectPr w:rsidR="00162CD2" w:rsidRPr="001E69D4" w:rsidSect="00A746E2">
      <w:headerReference w:type="even" r:id="rId20"/>
      <w:headerReference w:type="default" r:id="rId21"/>
      <w:footerReference w:type="even" r:id="rId22"/>
      <w:footerReference w:type="default" r:id="rId23"/>
      <w:headerReference w:type="first" r:id="rId24"/>
      <w:footerReference w:type="first" r:id="rId25"/>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758D" w:rsidRDefault="0073758D" w:rsidP="002A3EA4">
      <w:r>
        <w:separator/>
      </w:r>
    </w:p>
  </w:endnote>
  <w:endnote w:type="continuationSeparator" w:id="0">
    <w:p w:rsidR="0073758D" w:rsidRDefault="0073758D" w:rsidP="002A3E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Frutiger 45 Ligh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58D" w:rsidRDefault="00CF37AA" w:rsidP="002A3EA4">
    <w:pPr>
      <w:pStyle w:val="Footer"/>
      <w:rPr>
        <w:rStyle w:val="PageNumber"/>
      </w:rPr>
    </w:pPr>
    <w:r>
      <w:rPr>
        <w:rStyle w:val="PageNumber"/>
      </w:rPr>
      <w:fldChar w:fldCharType="begin"/>
    </w:r>
    <w:r w:rsidR="0073758D">
      <w:rPr>
        <w:rStyle w:val="PageNumber"/>
      </w:rPr>
      <w:instrText xml:space="preserve">PAGE  </w:instrText>
    </w:r>
    <w:r>
      <w:rPr>
        <w:rStyle w:val="PageNumber"/>
      </w:rPr>
      <w:fldChar w:fldCharType="end"/>
    </w:r>
  </w:p>
  <w:p w:rsidR="0073758D" w:rsidRDefault="0073758D" w:rsidP="002A3EA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58D" w:rsidRDefault="00CF37AA">
    <w:pPr>
      <w:pStyle w:val="Footer"/>
      <w:jc w:val="center"/>
    </w:pPr>
    <w:fldSimple w:instr=" PAGE   \* MERGEFORMAT ">
      <w:r w:rsidR="00DC6B47">
        <w:rPr>
          <w:noProof/>
        </w:rPr>
        <w:t>1</w:t>
      </w:r>
    </w:fldSimple>
  </w:p>
  <w:p w:rsidR="0073758D" w:rsidRDefault="0073758D" w:rsidP="002A3EA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B47" w:rsidRDefault="00DC6B4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758D" w:rsidRDefault="0073758D" w:rsidP="002A3EA4">
      <w:r>
        <w:separator/>
      </w:r>
    </w:p>
  </w:footnote>
  <w:footnote w:type="continuationSeparator" w:id="0">
    <w:p w:rsidR="0073758D" w:rsidRDefault="0073758D" w:rsidP="002A3EA4">
      <w:r>
        <w:continuationSeparator/>
      </w:r>
    </w:p>
  </w:footnote>
  <w:footnote w:id="1">
    <w:p w:rsidR="0073758D" w:rsidRDefault="0073758D">
      <w:pPr>
        <w:pStyle w:val="Footnotes"/>
      </w:pPr>
      <w:r>
        <w:rPr>
          <w:rStyle w:val="FootnoteReference"/>
        </w:rPr>
        <w:footnoteRef/>
      </w:r>
      <w:r>
        <w:t xml:space="preserve"> The authors gratefully acknowledge f</w:t>
      </w:r>
      <w:r w:rsidRPr="004261F8">
        <w:t xml:space="preserve">inancial </w:t>
      </w:r>
      <w:r>
        <w:t>s</w:t>
      </w:r>
      <w:r w:rsidRPr="004261F8">
        <w:t xml:space="preserve">upport from the German Federal Ministry for Economic Cooperation and Development </w:t>
      </w:r>
      <w:r w:rsidRPr="00B7195F">
        <w:t>under the UNCTAD Trust Fund Project for WTO Accession</w:t>
      </w:r>
      <w:r>
        <w:t>.</w:t>
      </w:r>
      <w:r w:rsidRPr="00B7195F">
        <w:t xml:space="preserve"> </w:t>
      </w:r>
    </w:p>
  </w:footnote>
  <w:footnote w:id="2">
    <w:p w:rsidR="0073758D" w:rsidRPr="0073758D" w:rsidRDefault="0073758D" w:rsidP="00E9747A">
      <w:pPr>
        <w:pStyle w:val="FootnoteText"/>
        <w:ind w:firstLine="0"/>
      </w:pPr>
      <w:r w:rsidRPr="00A8108B">
        <w:rPr>
          <w:rStyle w:val="FootnoteReference"/>
          <w:rFonts w:cs="Calibri"/>
        </w:rPr>
        <w:footnoteRef/>
      </w:r>
      <w:r w:rsidRPr="00A8108B">
        <w:t xml:space="preserve"> According </w:t>
      </w:r>
      <w:r w:rsidRPr="0073758D">
        <w:t xml:space="preserve">to </w:t>
      </w:r>
      <w:r w:rsidRPr="0073758D">
        <w:rPr>
          <w:shd w:val="clear" w:color="auto" w:fill="FFFFFF"/>
        </w:rPr>
        <w:t>the</w:t>
      </w:r>
      <w:r w:rsidRPr="0073758D">
        <w:rPr>
          <w:rStyle w:val="apple-converted-space"/>
          <w:rFonts w:cs="Calibri"/>
          <w:shd w:val="clear" w:color="auto" w:fill="FFFFFF"/>
        </w:rPr>
        <w:t xml:space="preserve"> </w:t>
      </w:r>
      <w:hyperlink r:id="rId1" w:tooltip="Regional Co-operation Council" w:history="1">
        <w:r w:rsidRPr="0073758D">
          <w:rPr>
            <w:rStyle w:val="Hyperlink"/>
            <w:rFonts w:cs="Calibri"/>
            <w:color w:val="auto"/>
            <w:u w:val="none"/>
            <w:shd w:val="clear" w:color="auto" w:fill="FFFFFF"/>
          </w:rPr>
          <w:t>Regional Co-operation Council</w:t>
        </w:r>
      </w:hyperlink>
      <w:r w:rsidRPr="0073758D">
        <w:rPr>
          <w:rStyle w:val="apple-converted-space"/>
          <w:rFonts w:cs="Calibri"/>
          <w:shd w:val="clear" w:color="auto" w:fill="FFFFFF"/>
        </w:rPr>
        <w:t xml:space="preserve"> </w:t>
      </w:r>
      <w:r w:rsidRPr="0073758D">
        <w:rPr>
          <w:shd w:val="clear" w:color="auto" w:fill="FFFFFF"/>
        </w:rPr>
        <w:t>(established in February 2008), the countries included in the SEE region are Albania, Bosnia and Herzegovina, Bulgaria, Croatia, Macedonia,</w:t>
      </w:r>
      <w:r w:rsidRPr="0073758D">
        <w:rPr>
          <w:rStyle w:val="apple-converted-space"/>
          <w:rFonts w:cs="Calibri"/>
          <w:shd w:val="clear" w:color="auto" w:fill="FFFFFF"/>
        </w:rPr>
        <w:t xml:space="preserve"> </w:t>
      </w:r>
      <w:hyperlink r:id="rId2" w:tooltip="Moldova" w:history="1">
        <w:r w:rsidRPr="0073758D">
          <w:rPr>
            <w:rStyle w:val="Hyperlink"/>
            <w:rFonts w:cs="Calibri"/>
            <w:color w:val="auto"/>
            <w:u w:val="none"/>
            <w:shd w:val="clear" w:color="auto" w:fill="FFFFFF"/>
          </w:rPr>
          <w:t>Moldova</w:t>
        </w:r>
      </w:hyperlink>
      <w:r w:rsidRPr="0073758D">
        <w:rPr>
          <w:shd w:val="clear" w:color="auto" w:fill="FFFFFF"/>
        </w:rPr>
        <w:t xml:space="preserve">, Montenegro, Romania, and Serbia. </w:t>
      </w:r>
    </w:p>
  </w:footnote>
  <w:footnote w:id="3">
    <w:p w:rsidR="0073758D" w:rsidRDefault="0073758D">
      <w:pPr>
        <w:pStyle w:val="Footnotes"/>
      </w:pPr>
      <w:r>
        <w:rPr>
          <w:rStyle w:val="FootnoteReference"/>
        </w:rPr>
        <w:footnoteRef/>
      </w:r>
      <w:r>
        <w:t xml:space="preserve"> </w:t>
      </w:r>
      <w:proofErr w:type="gramStart"/>
      <w:r>
        <w:t>Data from Central Bank of Bosnia and Herzegovina.</w:t>
      </w:r>
      <w:proofErr w:type="gramEnd"/>
    </w:p>
  </w:footnote>
  <w:footnote w:id="4">
    <w:p w:rsidR="0073758D" w:rsidRDefault="0073758D">
      <w:pPr>
        <w:pStyle w:val="FootnoteText"/>
        <w:ind w:firstLine="0"/>
      </w:pPr>
      <w:r>
        <w:rPr>
          <w:rStyle w:val="FootnoteReference"/>
        </w:rPr>
        <w:footnoteRef/>
      </w:r>
      <w:r>
        <w:t xml:space="preserve"> These are all the members of the EU in 2007. Trade with the 26</w:t>
      </w:r>
      <w:r w:rsidRPr="009D74CE">
        <w:t xml:space="preserve">th </w:t>
      </w:r>
      <w:r>
        <w:t>and 27</w:t>
      </w:r>
      <w:r w:rsidRPr="009D74CE">
        <w:t>th</w:t>
      </w:r>
      <w:r>
        <w:t xml:space="preserve"> EU members, Bulgaria and Romania, is less than 1 per cent.  </w:t>
      </w:r>
    </w:p>
  </w:footnote>
  <w:footnote w:id="5">
    <w:p w:rsidR="0073758D" w:rsidRDefault="0073758D">
      <w:pPr>
        <w:pStyle w:val="Footnotes"/>
      </w:pPr>
      <w:r>
        <w:rPr>
          <w:rStyle w:val="FootnoteReference"/>
        </w:rPr>
        <w:footnoteRef/>
      </w:r>
      <w:r>
        <w:t xml:space="preserve"> As defined in United Nations Security Council Resolution No. 1244 of 1999.</w:t>
      </w:r>
    </w:p>
  </w:footnote>
  <w:footnote w:id="6">
    <w:p w:rsidR="0073758D" w:rsidRDefault="0073758D" w:rsidP="00153DB4">
      <w:pPr>
        <w:pStyle w:val="Footnotes"/>
      </w:pPr>
      <w:r>
        <w:rPr>
          <w:rStyle w:val="FootnoteReference"/>
        </w:rPr>
        <w:footnoteRef/>
      </w:r>
      <w:r>
        <w:t xml:space="preserve"> I</w:t>
      </w:r>
      <w:r w:rsidRPr="009A147C">
        <w:t xml:space="preserve">n 2006 </w:t>
      </w:r>
      <w:r>
        <w:t>only 10</w:t>
      </w:r>
      <w:r w:rsidRPr="009A147C">
        <w:t xml:space="preserve"> of 53 BH dairies </w:t>
      </w:r>
      <w:r>
        <w:t>h</w:t>
      </w:r>
      <w:r w:rsidRPr="009A147C">
        <w:t xml:space="preserve">ad a </w:t>
      </w:r>
      <w:r>
        <w:t>h</w:t>
      </w:r>
      <w:r w:rsidRPr="006128BC">
        <w:t>azard analysis and critical control points</w:t>
      </w:r>
      <w:r w:rsidRPr="009A147C">
        <w:t xml:space="preserve"> system</w:t>
      </w:r>
      <w:r>
        <w:t>. A</w:t>
      </w:r>
      <w:r w:rsidRPr="009A147C">
        <w:t xml:space="preserve">n additional seven </w:t>
      </w:r>
      <w:r>
        <w:t>we</w:t>
      </w:r>
      <w:r w:rsidRPr="009A147C">
        <w:t>re introducing it</w:t>
      </w:r>
      <w:r>
        <w:t>. E</w:t>
      </w:r>
      <w:r w:rsidRPr="009A147C">
        <w:t xml:space="preserve">ight dairies </w:t>
      </w:r>
      <w:r>
        <w:t>we</w:t>
      </w:r>
      <w:r w:rsidRPr="009A147C">
        <w:t>re certified by ISO 9001:2000</w:t>
      </w:r>
      <w:r>
        <w:t>;</w:t>
      </w:r>
      <w:r w:rsidRPr="009A147C">
        <w:t xml:space="preserve"> one</w:t>
      </w:r>
      <w:r>
        <w:t>,</w:t>
      </w:r>
      <w:r w:rsidRPr="009A147C">
        <w:t xml:space="preserve"> by ISO 22000</w:t>
      </w:r>
      <w:r>
        <w:t>;</w:t>
      </w:r>
      <w:r w:rsidRPr="009A147C">
        <w:t xml:space="preserve"> and 11 possess</w:t>
      </w:r>
      <w:r>
        <w:t>ed</w:t>
      </w:r>
      <w:r w:rsidRPr="009A147C">
        <w:t xml:space="preserve"> export license</w:t>
      </w:r>
      <w:r>
        <w:t>s</w:t>
      </w:r>
      <w:r>
        <w:rPr>
          <w:vertAlign w:val="superscript"/>
        </w:rPr>
        <w:t xml:space="preserve"> </w:t>
      </w:r>
      <w:r>
        <w:t>(</w:t>
      </w:r>
      <w:proofErr w:type="spellStart"/>
      <w:r w:rsidRPr="009A147C">
        <w:t>Nikolić</w:t>
      </w:r>
      <w:proofErr w:type="spellEnd"/>
      <w:r>
        <w:t xml:space="preserve"> et al., 2009).</w:t>
      </w:r>
    </w:p>
  </w:footnote>
  <w:footnote w:id="7">
    <w:p w:rsidR="0073758D" w:rsidRDefault="0073758D" w:rsidP="00153DB4">
      <w:pPr>
        <w:pStyle w:val="Footnotes"/>
      </w:pPr>
      <w:r>
        <w:rPr>
          <w:rStyle w:val="FootnoteReference"/>
        </w:rPr>
        <w:footnoteRef/>
      </w:r>
      <w:r>
        <w:t xml:space="preserve"> Source: </w:t>
      </w:r>
      <w:r w:rsidRPr="00D13AA6">
        <w:t>World Bank Development Indicators, 2012</w:t>
      </w:r>
      <w:r>
        <w:t xml:space="preserve"> and </w:t>
      </w:r>
      <w:proofErr w:type="spellStart"/>
      <w:r w:rsidRPr="00D13AA6">
        <w:t>Woehrel</w:t>
      </w:r>
      <w:proofErr w:type="spellEnd"/>
      <w:r>
        <w:t xml:space="preserve"> (2012), respectively</w:t>
      </w:r>
      <w:r w:rsidRPr="00D13AA6">
        <w:t>.</w:t>
      </w:r>
      <w:r>
        <w:t xml:space="preserve"> Figures may differ because of inclusion of informal-sector work.</w:t>
      </w:r>
    </w:p>
  </w:footnote>
  <w:footnote w:id="8">
    <w:p w:rsidR="0073758D" w:rsidRDefault="0073758D">
      <w:pPr>
        <w:pStyle w:val="FootnoteText"/>
        <w:spacing w:line="240" w:lineRule="auto"/>
        <w:ind w:firstLine="0"/>
        <w:rPr>
          <w:lang w:val="fr-FR"/>
        </w:rPr>
      </w:pPr>
      <w:r w:rsidRPr="00A8108B">
        <w:rPr>
          <w:rStyle w:val="FootnoteReference"/>
          <w:rFonts w:cs="Calibri"/>
        </w:rPr>
        <w:footnoteRef/>
      </w:r>
      <w:r w:rsidRPr="00A8108B">
        <w:rPr>
          <w:lang w:val="fr-FR"/>
        </w:rPr>
        <w:t xml:space="preserve"> </w:t>
      </w:r>
      <w:r w:rsidRPr="00A8108B">
        <w:rPr>
          <w:color w:val="000000"/>
          <w:shd w:val="clear" w:color="auto" w:fill="FFFFFF"/>
          <w:lang w:val="fr-FR"/>
        </w:rPr>
        <w:t>Conférence Européenne des Ministres des Transports/</w:t>
      </w:r>
      <w:proofErr w:type="spellStart"/>
      <w:r w:rsidRPr="00A8108B">
        <w:rPr>
          <w:lang w:val="fr-FR"/>
        </w:rPr>
        <w:t>European</w:t>
      </w:r>
      <w:proofErr w:type="spellEnd"/>
      <w:r w:rsidRPr="00A8108B">
        <w:rPr>
          <w:lang w:val="fr-FR"/>
        </w:rPr>
        <w:t xml:space="preserve"> </w:t>
      </w:r>
      <w:proofErr w:type="spellStart"/>
      <w:r w:rsidRPr="00A8108B">
        <w:rPr>
          <w:lang w:val="fr-FR"/>
        </w:rPr>
        <w:t>Conference</w:t>
      </w:r>
      <w:proofErr w:type="spellEnd"/>
      <w:r w:rsidRPr="00A8108B">
        <w:rPr>
          <w:lang w:val="fr-FR"/>
        </w:rPr>
        <w:t xml:space="preserve"> of </w:t>
      </w:r>
      <w:proofErr w:type="spellStart"/>
      <w:r w:rsidRPr="00A8108B">
        <w:rPr>
          <w:lang w:val="fr-FR"/>
        </w:rPr>
        <w:t>Ministers</w:t>
      </w:r>
      <w:proofErr w:type="spellEnd"/>
      <w:r w:rsidRPr="00A8108B">
        <w:rPr>
          <w:lang w:val="fr-FR"/>
        </w:rPr>
        <w:t xml:space="preserve"> of Transport.</w:t>
      </w:r>
    </w:p>
  </w:footnote>
  <w:footnote w:id="9">
    <w:p w:rsidR="0073758D" w:rsidRDefault="0073758D">
      <w:pPr>
        <w:pStyle w:val="FootnoteText"/>
        <w:spacing w:line="240" w:lineRule="auto"/>
        <w:ind w:firstLine="0"/>
      </w:pPr>
      <w:r w:rsidRPr="00A8108B">
        <w:rPr>
          <w:rStyle w:val="FootnoteReference"/>
          <w:rFonts w:cs="Calibri"/>
        </w:rPr>
        <w:footnoteRef/>
      </w:r>
      <w:r w:rsidRPr="00A8108B">
        <w:t xml:space="preserve"> </w:t>
      </w:r>
      <w:r w:rsidRPr="00A8108B">
        <w:rPr>
          <w:color w:val="333333"/>
          <w:shd w:val="clear" w:color="auto" w:fill="FFFFFF"/>
        </w:rPr>
        <w:t>Transport International (de Merchandises) par Route:</w:t>
      </w:r>
      <w:r w:rsidRPr="00A8108B">
        <w:rPr>
          <w:lang w:val="en-GB"/>
        </w:rPr>
        <w:t xml:space="preserve"> c</w:t>
      </w:r>
      <w:proofErr w:type="spellStart"/>
      <w:r w:rsidRPr="00A8108B">
        <w:rPr>
          <w:color w:val="333333"/>
          <w:shd w:val="clear" w:color="auto" w:fill="FFFFFF"/>
        </w:rPr>
        <w:t>ustoms</w:t>
      </w:r>
      <w:proofErr w:type="spellEnd"/>
      <w:r w:rsidRPr="00A8108B">
        <w:rPr>
          <w:color w:val="333333"/>
          <w:shd w:val="clear" w:color="auto" w:fill="FFFFFF"/>
        </w:rPr>
        <w:t xml:space="preserve"> transit document used for an international transit of goods.</w:t>
      </w:r>
    </w:p>
  </w:footnote>
  <w:footnote w:id="10">
    <w:p w:rsidR="0073758D" w:rsidRDefault="0073758D">
      <w:pPr>
        <w:pStyle w:val="FootnoteText"/>
        <w:spacing w:line="240" w:lineRule="auto"/>
        <w:ind w:firstLine="0"/>
      </w:pPr>
      <w:r w:rsidRPr="000A120D">
        <w:rPr>
          <w:rStyle w:val="FootnoteReference"/>
        </w:rPr>
        <w:footnoteRef/>
      </w:r>
      <w:r w:rsidRPr="000A120D">
        <w:t xml:space="preserve"> </w:t>
      </w:r>
      <w:r w:rsidRPr="000A120D">
        <w:rPr>
          <w:lang w:val="en-GB"/>
        </w:rPr>
        <w:t xml:space="preserve">Although BH is a lower middle income country, it is likely to be treated as a developed country following accession. This implies that a de </w:t>
      </w:r>
      <w:proofErr w:type="spellStart"/>
      <w:r w:rsidRPr="000A120D">
        <w:rPr>
          <w:lang w:val="en-GB"/>
        </w:rPr>
        <w:t>minimis</w:t>
      </w:r>
      <w:proofErr w:type="spellEnd"/>
      <w:r w:rsidRPr="000A120D">
        <w:rPr>
          <w:i/>
          <w:lang w:val="en-GB"/>
        </w:rPr>
        <w:t xml:space="preserve"> </w:t>
      </w:r>
      <w:r w:rsidRPr="000A120D">
        <w:rPr>
          <w:lang w:val="en-GB"/>
        </w:rPr>
        <w:t>of 5 rather than 10 per cent would apply (see chapter 2 of this book).</w:t>
      </w:r>
    </w:p>
  </w:footnote>
  <w:footnote w:id="11">
    <w:p w:rsidR="0073758D" w:rsidRDefault="0073758D" w:rsidP="0073758D">
      <w:pPr>
        <w:pStyle w:val="FootnoteText"/>
        <w:ind w:firstLine="0"/>
      </w:pPr>
      <w:r>
        <w:rPr>
          <w:rStyle w:val="FootnoteReference"/>
        </w:rPr>
        <w:footnoteRef/>
      </w:r>
      <w:r>
        <w:t xml:space="preserve"> </w:t>
      </w:r>
      <w:proofErr w:type="gramStart"/>
      <w:r>
        <w:t>Data from the Central Bank of Bosnia and Herzegovina.</w:t>
      </w:r>
      <w:proofErr w:type="gramEnd"/>
    </w:p>
  </w:footnote>
  <w:footnote w:id="12">
    <w:p w:rsidR="0073758D" w:rsidRDefault="0073758D" w:rsidP="0055138D">
      <w:pPr>
        <w:pStyle w:val="FootnoteText"/>
        <w:spacing w:line="240" w:lineRule="auto"/>
        <w:ind w:firstLine="0"/>
      </w:pPr>
      <w:r>
        <w:rPr>
          <w:rStyle w:val="FootnoteReference"/>
        </w:rPr>
        <w:footnoteRef/>
      </w:r>
      <w:r>
        <w:t xml:space="preserve"> </w:t>
      </w:r>
      <w:r w:rsidRPr="001E69D4">
        <w:rPr>
          <w:rFonts w:eastAsia="PMingLiU"/>
          <w:sz w:val="22"/>
          <w:szCs w:val="22"/>
          <w:lang w:val="en-GB"/>
        </w:rPr>
        <w:t xml:space="preserve">GSIM was developed by Joseph Francois of the Tinbergen Institute and H. Keith Hall of the U.S. International Trade Commission. The model is more fully documented in a memo by these authors entitled </w:t>
      </w:r>
      <w:r>
        <w:rPr>
          <w:rFonts w:eastAsia="PMingLiU"/>
          <w:sz w:val="22"/>
          <w:szCs w:val="22"/>
          <w:lang w:val="en-GB"/>
        </w:rPr>
        <w:t>“</w:t>
      </w:r>
      <w:r w:rsidRPr="001E69D4">
        <w:rPr>
          <w:rFonts w:eastAsia="PMingLiU"/>
          <w:sz w:val="22"/>
          <w:szCs w:val="22"/>
          <w:lang w:val="en-GB"/>
        </w:rPr>
        <w:t>Global simulation analysis of industry-level trade policy</w:t>
      </w:r>
      <w:r>
        <w:rPr>
          <w:rFonts w:eastAsia="PMingLiU"/>
          <w:sz w:val="22"/>
          <w:szCs w:val="22"/>
          <w:lang w:val="en-GB"/>
        </w:rPr>
        <w:t>”</w:t>
      </w:r>
      <w:r w:rsidRPr="001E69D4">
        <w:rPr>
          <w:rFonts w:eastAsia="PMingLiU"/>
          <w:sz w:val="22"/>
          <w:szCs w:val="22"/>
          <w:lang w:val="en-GB"/>
        </w:rPr>
        <w:t>, October 2002. See also Francois, J.F.</w:t>
      </w:r>
      <w:r>
        <w:rPr>
          <w:rFonts w:eastAsia="PMingLiU"/>
          <w:sz w:val="22"/>
          <w:szCs w:val="22"/>
          <w:lang w:val="en-GB"/>
        </w:rPr>
        <w:t xml:space="preserve">; </w:t>
      </w:r>
      <w:r w:rsidRPr="001E69D4">
        <w:rPr>
          <w:rFonts w:eastAsia="PMingLiU"/>
          <w:sz w:val="22"/>
          <w:szCs w:val="22"/>
          <w:lang w:val="en-GB"/>
        </w:rPr>
        <w:t xml:space="preserve">Hall, </w:t>
      </w:r>
      <w:r>
        <w:rPr>
          <w:rFonts w:eastAsia="PMingLiU"/>
          <w:sz w:val="22"/>
          <w:szCs w:val="22"/>
          <w:lang w:val="en-GB"/>
        </w:rPr>
        <w:t xml:space="preserve">H.K. 1997. </w:t>
      </w:r>
      <w:r w:rsidRPr="001E69D4">
        <w:rPr>
          <w:rFonts w:eastAsia="PMingLiU"/>
          <w:sz w:val="22"/>
          <w:szCs w:val="22"/>
          <w:lang w:val="en-GB"/>
        </w:rPr>
        <w:t xml:space="preserve">“Partial </w:t>
      </w:r>
      <w:r>
        <w:rPr>
          <w:rFonts w:eastAsia="PMingLiU"/>
          <w:sz w:val="22"/>
          <w:szCs w:val="22"/>
          <w:lang w:val="en-GB"/>
        </w:rPr>
        <w:t>e</w:t>
      </w:r>
      <w:r w:rsidRPr="001E69D4">
        <w:rPr>
          <w:rFonts w:eastAsia="PMingLiU"/>
          <w:sz w:val="22"/>
          <w:szCs w:val="22"/>
          <w:lang w:val="en-GB"/>
        </w:rPr>
        <w:t xml:space="preserve">quilibrium </w:t>
      </w:r>
      <w:proofErr w:type="spellStart"/>
      <w:r>
        <w:rPr>
          <w:rFonts w:eastAsia="PMingLiU"/>
          <w:sz w:val="22"/>
          <w:szCs w:val="22"/>
          <w:lang w:val="en-GB"/>
        </w:rPr>
        <w:t>m</w:t>
      </w:r>
      <w:r w:rsidRPr="001E69D4">
        <w:rPr>
          <w:rFonts w:eastAsia="PMingLiU"/>
          <w:sz w:val="22"/>
          <w:szCs w:val="22"/>
          <w:lang w:val="en-GB"/>
        </w:rPr>
        <w:t>odeling</w:t>
      </w:r>
      <w:proofErr w:type="spellEnd"/>
      <w:r w:rsidRPr="001E69D4">
        <w:rPr>
          <w:rFonts w:eastAsia="PMingLiU"/>
          <w:sz w:val="22"/>
          <w:szCs w:val="22"/>
          <w:lang w:val="en-GB"/>
        </w:rPr>
        <w:t>”</w:t>
      </w:r>
      <w:r>
        <w:rPr>
          <w:rFonts w:eastAsia="PMingLiU"/>
          <w:sz w:val="22"/>
          <w:szCs w:val="22"/>
          <w:lang w:val="en-GB"/>
        </w:rPr>
        <w:t>,</w:t>
      </w:r>
      <w:r w:rsidRPr="001E69D4">
        <w:rPr>
          <w:rFonts w:eastAsia="PMingLiU"/>
          <w:sz w:val="22"/>
          <w:szCs w:val="22"/>
          <w:lang w:val="en-GB"/>
        </w:rPr>
        <w:t xml:space="preserve"> in J.F. Francois</w:t>
      </w:r>
      <w:r>
        <w:rPr>
          <w:rFonts w:eastAsia="PMingLiU"/>
          <w:sz w:val="22"/>
          <w:szCs w:val="22"/>
          <w:lang w:val="en-GB"/>
        </w:rPr>
        <w:t xml:space="preserve"> and</w:t>
      </w:r>
      <w:r w:rsidRPr="001E69D4">
        <w:rPr>
          <w:rFonts w:eastAsia="PMingLiU"/>
          <w:sz w:val="22"/>
          <w:szCs w:val="22"/>
          <w:lang w:val="en-GB"/>
        </w:rPr>
        <w:t xml:space="preserve"> K. </w:t>
      </w:r>
      <w:proofErr w:type="spellStart"/>
      <w:r w:rsidRPr="001E69D4">
        <w:rPr>
          <w:rFonts w:eastAsia="PMingLiU"/>
          <w:sz w:val="22"/>
          <w:szCs w:val="22"/>
          <w:lang w:val="en-GB"/>
        </w:rPr>
        <w:t>Reinert</w:t>
      </w:r>
      <w:proofErr w:type="spellEnd"/>
      <w:r w:rsidRPr="001E69D4">
        <w:rPr>
          <w:rFonts w:eastAsia="PMingLiU"/>
          <w:sz w:val="22"/>
          <w:szCs w:val="22"/>
          <w:lang w:val="en-GB"/>
        </w:rPr>
        <w:t xml:space="preserve"> </w:t>
      </w:r>
      <w:r>
        <w:rPr>
          <w:rFonts w:eastAsia="PMingLiU"/>
          <w:sz w:val="22"/>
          <w:szCs w:val="22"/>
          <w:lang w:val="en-GB"/>
        </w:rPr>
        <w:t>(</w:t>
      </w:r>
      <w:r w:rsidRPr="001E69D4">
        <w:rPr>
          <w:rFonts w:eastAsia="PMingLiU"/>
          <w:sz w:val="22"/>
          <w:szCs w:val="22"/>
          <w:lang w:val="en-GB"/>
        </w:rPr>
        <w:t>eds.</w:t>
      </w:r>
      <w:r>
        <w:rPr>
          <w:rFonts w:eastAsia="PMingLiU"/>
          <w:sz w:val="22"/>
          <w:szCs w:val="22"/>
          <w:lang w:val="en-GB"/>
        </w:rPr>
        <w:t>)</w:t>
      </w:r>
      <w:r w:rsidRPr="001E69D4">
        <w:rPr>
          <w:rFonts w:eastAsia="PMingLiU"/>
          <w:sz w:val="22"/>
          <w:szCs w:val="22"/>
          <w:lang w:val="en-GB"/>
        </w:rPr>
        <w:t xml:space="preserve">, </w:t>
      </w:r>
      <w:proofErr w:type="gramStart"/>
      <w:r>
        <w:rPr>
          <w:rFonts w:eastAsia="PMingLiU"/>
          <w:i/>
          <w:iCs/>
          <w:sz w:val="22"/>
          <w:szCs w:val="22"/>
          <w:lang w:val="en-GB"/>
        </w:rPr>
        <w:t>A</w:t>
      </w:r>
      <w:r w:rsidRPr="00657728">
        <w:rPr>
          <w:rFonts w:eastAsia="PMingLiU"/>
          <w:i/>
          <w:iCs/>
          <w:sz w:val="22"/>
          <w:szCs w:val="22"/>
          <w:lang w:val="en-GB"/>
        </w:rPr>
        <w:t>pplied</w:t>
      </w:r>
      <w:proofErr w:type="gramEnd"/>
      <w:r w:rsidRPr="00657728">
        <w:rPr>
          <w:rFonts w:eastAsia="PMingLiU"/>
          <w:i/>
          <w:iCs/>
          <w:sz w:val="22"/>
          <w:szCs w:val="22"/>
          <w:lang w:val="en-GB"/>
        </w:rPr>
        <w:t xml:space="preserve"> methods for trade policy analysis</w:t>
      </w:r>
      <w:r w:rsidRPr="00657728">
        <w:rPr>
          <w:rFonts w:eastAsia="PMingLiU"/>
          <w:i/>
          <w:sz w:val="22"/>
          <w:szCs w:val="22"/>
          <w:lang w:val="en-GB"/>
        </w:rPr>
        <w:t>: a handbook</w:t>
      </w:r>
      <w:r w:rsidRPr="001E69D4">
        <w:rPr>
          <w:rFonts w:eastAsia="PMingLiU"/>
          <w:sz w:val="22"/>
          <w:szCs w:val="22"/>
          <w:lang w:val="en-GB"/>
        </w:rPr>
        <w:t xml:space="preserve"> </w:t>
      </w:r>
      <w:r>
        <w:rPr>
          <w:rFonts w:eastAsia="PMingLiU"/>
          <w:sz w:val="22"/>
          <w:szCs w:val="22"/>
          <w:lang w:val="en-GB"/>
        </w:rPr>
        <w:t>(</w:t>
      </w:r>
      <w:r w:rsidRPr="001E69D4">
        <w:rPr>
          <w:rFonts w:eastAsia="PMingLiU"/>
          <w:sz w:val="22"/>
          <w:szCs w:val="22"/>
          <w:lang w:val="en-GB"/>
        </w:rPr>
        <w:t>Cambridge</w:t>
      </w:r>
      <w:r>
        <w:rPr>
          <w:rFonts w:eastAsia="PMingLiU"/>
          <w:sz w:val="22"/>
          <w:szCs w:val="22"/>
          <w:lang w:val="en-GB"/>
        </w:rPr>
        <w:t>, Cambridge</w:t>
      </w:r>
      <w:r w:rsidRPr="001E69D4">
        <w:rPr>
          <w:rFonts w:eastAsia="PMingLiU"/>
          <w:sz w:val="22"/>
          <w:szCs w:val="22"/>
          <w:lang w:val="en-GB"/>
        </w:rPr>
        <w:t xml:space="preserve"> University Press</w:t>
      </w:r>
      <w:r>
        <w:rPr>
          <w:rFonts w:eastAsia="PMingLiU"/>
          <w:sz w:val="22"/>
          <w:szCs w:val="22"/>
          <w:lang w:val="en-GB"/>
        </w:rPr>
        <w:t>)</w:t>
      </w:r>
      <w:r w:rsidRPr="001E69D4">
        <w:rPr>
          <w:rFonts w:eastAsia="PMingLiU"/>
          <w:sz w:val="22"/>
          <w:szCs w:val="22"/>
          <w:lang w:val="en-GB"/>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B47" w:rsidRDefault="00DC6B4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B47" w:rsidRDefault="00DC6B4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B47" w:rsidRDefault="00DC6B4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B568DFA"/>
    <w:multiLevelType w:val="hybridMultilevel"/>
    <w:tmpl w:val="66C989D2"/>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FFFFFF7C"/>
    <w:multiLevelType w:val="singleLevel"/>
    <w:tmpl w:val="813426F8"/>
    <w:lvl w:ilvl="0">
      <w:start w:val="1"/>
      <w:numFmt w:val="decimal"/>
      <w:lvlText w:val="%1."/>
      <w:lvlJc w:val="left"/>
      <w:pPr>
        <w:tabs>
          <w:tab w:val="num" w:pos="1492"/>
        </w:tabs>
        <w:ind w:left="1492" w:hanging="360"/>
      </w:pPr>
      <w:rPr>
        <w:rFonts w:cs="Times New Roman"/>
      </w:rPr>
    </w:lvl>
  </w:abstractNum>
  <w:abstractNum w:abstractNumId="2">
    <w:nsid w:val="FFFFFF7D"/>
    <w:multiLevelType w:val="singleLevel"/>
    <w:tmpl w:val="E9F062A2"/>
    <w:lvl w:ilvl="0">
      <w:start w:val="1"/>
      <w:numFmt w:val="decimal"/>
      <w:lvlText w:val="%1."/>
      <w:lvlJc w:val="left"/>
      <w:pPr>
        <w:tabs>
          <w:tab w:val="num" w:pos="1209"/>
        </w:tabs>
        <w:ind w:left="1209" w:hanging="360"/>
      </w:pPr>
      <w:rPr>
        <w:rFonts w:cs="Times New Roman"/>
      </w:rPr>
    </w:lvl>
  </w:abstractNum>
  <w:abstractNum w:abstractNumId="3">
    <w:nsid w:val="FFFFFF7E"/>
    <w:multiLevelType w:val="singleLevel"/>
    <w:tmpl w:val="0A9AF410"/>
    <w:lvl w:ilvl="0">
      <w:start w:val="1"/>
      <w:numFmt w:val="decimal"/>
      <w:lvlText w:val="%1."/>
      <w:lvlJc w:val="left"/>
      <w:pPr>
        <w:tabs>
          <w:tab w:val="num" w:pos="926"/>
        </w:tabs>
        <w:ind w:left="926" w:hanging="360"/>
      </w:pPr>
      <w:rPr>
        <w:rFonts w:cs="Times New Roman"/>
      </w:rPr>
    </w:lvl>
  </w:abstractNum>
  <w:abstractNum w:abstractNumId="4">
    <w:nsid w:val="FFFFFF7F"/>
    <w:multiLevelType w:val="singleLevel"/>
    <w:tmpl w:val="27B48586"/>
    <w:lvl w:ilvl="0">
      <w:start w:val="1"/>
      <w:numFmt w:val="decimal"/>
      <w:lvlText w:val="%1."/>
      <w:lvlJc w:val="left"/>
      <w:pPr>
        <w:tabs>
          <w:tab w:val="num" w:pos="643"/>
        </w:tabs>
        <w:ind w:left="643" w:hanging="360"/>
      </w:pPr>
      <w:rPr>
        <w:rFonts w:cs="Times New Roman"/>
      </w:rPr>
    </w:lvl>
  </w:abstractNum>
  <w:abstractNum w:abstractNumId="5">
    <w:nsid w:val="FFFFFF80"/>
    <w:multiLevelType w:val="singleLevel"/>
    <w:tmpl w:val="2B9A12A2"/>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1FF2FF9C"/>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CCD486F6"/>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049AFB6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A2EB0FC"/>
    <w:lvl w:ilvl="0">
      <w:start w:val="1"/>
      <w:numFmt w:val="decimal"/>
      <w:lvlText w:val="%1."/>
      <w:lvlJc w:val="left"/>
      <w:pPr>
        <w:tabs>
          <w:tab w:val="num" w:pos="360"/>
        </w:tabs>
        <w:ind w:left="360" w:hanging="360"/>
      </w:pPr>
      <w:rPr>
        <w:rFonts w:cs="Times New Roman"/>
      </w:rPr>
    </w:lvl>
  </w:abstractNum>
  <w:abstractNum w:abstractNumId="10">
    <w:nsid w:val="FFFFFF89"/>
    <w:multiLevelType w:val="singleLevel"/>
    <w:tmpl w:val="FFA87E0A"/>
    <w:lvl w:ilvl="0">
      <w:start w:val="1"/>
      <w:numFmt w:val="bullet"/>
      <w:lvlText w:val=""/>
      <w:lvlJc w:val="left"/>
      <w:pPr>
        <w:tabs>
          <w:tab w:val="num" w:pos="360"/>
        </w:tabs>
        <w:ind w:left="360" w:hanging="360"/>
      </w:pPr>
      <w:rPr>
        <w:rFonts w:ascii="Symbol" w:hAnsi="Symbol" w:hint="default"/>
      </w:rPr>
    </w:lvl>
  </w:abstractNum>
  <w:abstractNum w:abstractNumId="11">
    <w:nsid w:val="048C1E5D"/>
    <w:multiLevelType w:val="hybridMultilevel"/>
    <w:tmpl w:val="A606AF1A"/>
    <w:lvl w:ilvl="0" w:tplc="D8B09B84">
      <w:start w:val="1"/>
      <w:numFmt w:val="lowerRoman"/>
      <w:lvlText w:val="(%1)"/>
      <w:lvlJc w:val="left"/>
      <w:pPr>
        <w:tabs>
          <w:tab w:val="num" w:pos="1080"/>
        </w:tabs>
        <w:ind w:left="1080" w:hanging="72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4D216FD"/>
    <w:multiLevelType w:val="hybridMultilevel"/>
    <w:tmpl w:val="A606AF1A"/>
    <w:lvl w:ilvl="0" w:tplc="0409000F">
      <w:start w:val="1"/>
      <w:numFmt w:val="decimal"/>
      <w:lvlText w:val="%1."/>
      <w:lvlJc w:val="left"/>
      <w:pPr>
        <w:tabs>
          <w:tab w:val="num" w:pos="720"/>
        </w:tabs>
        <w:ind w:left="720" w:hanging="360"/>
      </w:pPr>
      <w:rPr>
        <w:rFonts w:cs="Times New Roman"/>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953683E"/>
    <w:multiLevelType w:val="hybridMultilevel"/>
    <w:tmpl w:val="AC1ADBF0"/>
    <w:lvl w:ilvl="0" w:tplc="1750C66A">
      <w:start w:val="1"/>
      <w:numFmt w:val="bullet"/>
      <w:lvlText w:val=""/>
      <w:lvlJc w:val="left"/>
      <w:pPr>
        <w:tabs>
          <w:tab w:val="num" w:pos="927"/>
        </w:tabs>
        <w:ind w:left="922" w:hanging="355"/>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196556F"/>
    <w:multiLevelType w:val="hybridMultilevel"/>
    <w:tmpl w:val="DD9E8EFC"/>
    <w:lvl w:ilvl="0" w:tplc="8ED60D3A">
      <w:start w:val="1"/>
      <w:numFmt w:val="lowerRoman"/>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
    <w:nsid w:val="163475FF"/>
    <w:multiLevelType w:val="hybridMultilevel"/>
    <w:tmpl w:val="EEE4564A"/>
    <w:lvl w:ilvl="0" w:tplc="F4C4CDF6">
      <w:numFmt w:val="bullet"/>
      <w:lvlText w:val="-"/>
      <w:lvlJc w:val="left"/>
      <w:pPr>
        <w:tabs>
          <w:tab w:val="num" w:pos="720"/>
        </w:tabs>
        <w:ind w:left="720" w:hanging="360"/>
      </w:pPr>
      <w:rPr>
        <w:rFonts w:ascii="Times New Roman" w:eastAsia="Times New Roman" w:hAnsi="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6">
    <w:nsid w:val="16DE74B7"/>
    <w:multiLevelType w:val="hybridMultilevel"/>
    <w:tmpl w:val="A606AF1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7E8289F"/>
    <w:multiLevelType w:val="hybridMultilevel"/>
    <w:tmpl w:val="E976D66C"/>
    <w:lvl w:ilvl="0" w:tplc="0CDA7214">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nsid w:val="2C0C06D7"/>
    <w:multiLevelType w:val="hybridMultilevel"/>
    <w:tmpl w:val="498E1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C5D0C07"/>
    <w:multiLevelType w:val="hybridMultilevel"/>
    <w:tmpl w:val="537073FC"/>
    <w:lvl w:ilvl="0" w:tplc="D032C692">
      <w:start w:val="1"/>
      <w:numFmt w:val="decimal"/>
      <w:pStyle w:val="Numberedlists"/>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nsid w:val="4C912EA9"/>
    <w:multiLevelType w:val="hybridMultilevel"/>
    <w:tmpl w:val="7F7C427A"/>
    <w:lvl w:ilvl="0" w:tplc="D8B09B84">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53B57FEA"/>
    <w:multiLevelType w:val="hybridMultilevel"/>
    <w:tmpl w:val="EAFA4198"/>
    <w:lvl w:ilvl="0" w:tplc="0C09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2">
    <w:nsid w:val="5838135E"/>
    <w:multiLevelType w:val="hybridMultilevel"/>
    <w:tmpl w:val="68EEE1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59544043"/>
    <w:multiLevelType w:val="hybridMultilevel"/>
    <w:tmpl w:val="0214190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5BC71EC0"/>
    <w:multiLevelType w:val="hybridMultilevel"/>
    <w:tmpl w:val="C85615B8"/>
    <w:lvl w:ilvl="0" w:tplc="5EC051AE">
      <w:numFmt w:val="bullet"/>
      <w:lvlText w:val="→"/>
      <w:lvlJc w:val="left"/>
      <w:pPr>
        <w:tabs>
          <w:tab w:val="num" w:pos="737"/>
        </w:tabs>
        <w:ind w:left="737" w:hanging="377"/>
      </w:pPr>
      <w:rPr>
        <w:rFonts w:ascii="Arial Narrow" w:eastAsia="Times New Roman" w:hAnsi="Arial Narrow"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5">
    <w:nsid w:val="5BD96BF8"/>
    <w:multiLevelType w:val="hybridMultilevel"/>
    <w:tmpl w:val="B7CA4C02"/>
    <w:lvl w:ilvl="0" w:tplc="F5D45DE6">
      <w:start w:val="1"/>
      <w:numFmt w:val="bullet"/>
      <w:pStyle w:val="Bulletedlis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F5911AC"/>
    <w:multiLevelType w:val="hybridMultilevel"/>
    <w:tmpl w:val="7F7C427A"/>
    <w:lvl w:ilvl="0" w:tplc="04090005">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63422FA7"/>
    <w:multiLevelType w:val="hybridMultilevel"/>
    <w:tmpl w:val="C0EEEE2C"/>
    <w:lvl w:ilvl="0" w:tplc="0C090001">
      <w:start w:val="1"/>
      <w:numFmt w:val="bullet"/>
      <w:lvlText w:val=""/>
      <w:lvlJc w:val="left"/>
      <w:pPr>
        <w:tabs>
          <w:tab w:val="num" w:pos="737"/>
        </w:tabs>
        <w:ind w:left="737" w:hanging="377"/>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8">
    <w:nsid w:val="66372AAD"/>
    <w:multiLevelType w:val="hybridMultilevel"/>
    <w:tmpl w:val="CF8CE09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67045600"/>
    <w:multiLevelType w:val="hybridMultilevel"/>
    <w:tmpl w:val="A606AF1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8183641"/>
    <w:multiLevelType w:val="hybridMultilevel"/>
    <w:tmpl w:val="014C3EBC"/>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70C169D5"/>
    <w:multiLevelType w:val="hybridMultilevel"/>
    <w:tmpl w:val="D1E254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11639E"/>
    <w:multiLevelType w:val="hybridMultilevel"/>
    <w:tmpl w:val="B0E03024"/>
    <w:lvl w:ilvl="0" w:tplc="555AF92E">
      <w:start w:val="3"/>
      <w:numFmt w:val="decimal"/>
      <w:pStyle w:val="TOC1"/>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7"/>
  </w:num>
  <w:num w:numId="2">
    <w:abstractNumId w:val="22"/>
  </w:num>
  <w:num w:numId="3">
    <w:abstractNumId w:val="1"/>
  </w:num>
  <w:num w:numId="4">
    <w:abstractNumId w:val="2"/>
  </w:num>
  <w:num w:numId="5">
    <w:abstractNumId w:val="3"/>
  </w:num>
  <w:num w:numId="6">
    <w:abstractNumId w:val="4"/>
  </w:num>
  <w:num w:numId="7">
    <w:abstractNumId w:val="9"/>
  </w:num>
  <w:num w:numId="8">
    <w:abstractNumId w:val="5"/>
  </w:num>
  <w:num w:numId="9">
    <w:abstractNumId w:val="7"/>
  </w:num>
  <w:num w:numId="10">
    <w:abstractNumId w:val="6"/>
  </w:num>
  <w:num w:numId="11">
    <w:abstractNumId w:val="10"/>
  </w:num>
  <w:num w:numId="12">
    <w:abstractNumId w:val="8"/>
  </w:num>
  <w:num w:numId="13">
    <w:abstractNumId w:val="19"/>
  </w:num>
  <w:num w:numId="14">
    <w:abstractNumId w:val="25"/>
  </w:num>
  <w:num w:numId="15">
    <w:abstractNumId w:val="31"/>
  </w:num>
  <w:num w:numId="16">
    <w:abstractNumId w:val="18"/>
  </w:num>
  <w:num w:numId="17">
    <w:abstractNumId w:val="13"/>
  </w:num>
  <w:num w:numId="18">
    <w:abstractNumId w:val="20"/>
  </w:num>
  <w:num w:numId="19">
    <w:abstractNumId w:val="26"/>
  </w:num>
  <w:num w:numId="20">
    <w:abstractNumId w:val="16"/>
  </w:num>
  <w:num w:numId="21">
    <w:abstractNumId w:val="11"/>
  </w:num>
  <w:num w:numId="22">
    <w:abstractNumId w:val="29"/>
  </w:num>
  <w:num w:numId="23">
    <w:abstractNumId w:val="12"/>
  </w:num>
  <w:num w:numId="24">
    <w:abstractNumId w:val="14"/>
  </w:num>
  <w:num w:numId="25">
    <w:abstractNumId w:val="32"/>
    <w:lvlOverride w:ilvl="0">
      <w:startOverride w:val="3"/>
    </w:lvlOverride>
  </w:num>
  <w:num w:numId="26">
    <w:abstractNumId w:val="0"/>
  </w:num>
  <w:num w:numId="27">
    <w:abstractNumId w:val="15"/>
  </w:num>
  <w:num w:numId="28">
    <w:abstractNumId w:val="28"/>
  </w:num>
  <w:num w:numId="29">
    <w:abstractNumId w:val="30"/>
  </w:num>
  <w:num w:numId="30">
    <w:abstractNumId w:val="24"/>
  </w:num>
  <w:num w:numId="31">
    <w:abstractNumId w:val="27"/>
  </w:num>
  <w:num w:numId="32">
    <w:abstractNumId w:val="21"/>
  </w:num>
  <w:num w:numId="33">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F08"/>
  <w:defaultTabStop w:val="720"/>
  <w:hyphenationZone w:val="425"/>
  <w:characterSpacingControl w:val="doNotCompress"/>
  <w:hdrShapeDefaults>
    <o:shapedefaults v:ext="edit" spidmax="2049">
      <o:colormenu v:ext="edit" strokecolor="none"/>
    </o:shapedefaults>
  </w:hdrShapeDefaults>
  <w:footnotePr>
    <w:footnote w:id="-1"/>
    <w:footnote w:id="0"/>
  </w:footnotePr>
  <w:endnotePr>
    <w:endnote w:id="-1"/>
    <w:endnote w:id="0"/>
  </w:endnotePr>
  <w:compat/>
  <w:rsids>
    <w:rsidRoot w:val="0025548B"/>
    <w:rsid w:val="00000BB9"/>
    <w:rsid w:val="00001B56"/>
    <w:rsid w:val="000036C7"/>
    <w:rsid w:val="00004DC1"/>
    <w:rsid w:val="000115DC"/>
    <w:rsid w:val="00011705"/>
    <w:rsid w:val="00013097"/>
    <w:rsid w:val="000201AE"/>
    <w:rsid w:val="000202E2"/>
    <w:rsid w:val="000233BC"/>
    <w:rsid w:val="000300D5"/>
    <w:rsid w:val="0003494F"/>
    <w:rsid w:val="000360F5"/>
    <w:rsid w:val="00036A0C"/>
    <w:rsid w:val="00043AF7"/>
    <w:rsid w:val="00046185"/>
    <w:rsid w:val="00046E35"/>
    <w:rsid w:val="000509B9"/>
    <w:rsid w:val="00051805"/>
    <w:rsid w:val="00052207"/>
    <w:rsid w:val="000529E7"/>
    <w:rsid w:val="0005663B"/>
    <w:rsid w:val="000567C0"/>
    <w:rsid w:val="00057F9D"/>
    <w:rsid w:val="0006238C"/>
    <w:rsid w:val="00064E78"/>
    <w:rsid w:val="00065CA5"/>
    <w:rsid w:val="00066254"/>
    <w:rsid w:val="0006633F"/>
    <w:rsid w:val="00086836"/>
    <w:rsid w:val="0008780B"/>
    <w:rsid w:val="000918CE"/>
    <w:rsid w:val="000933AC"/>
    <w:rsid w:val="000953B4"/>
    <w:rsid w:val="0009628A"/>
    <w:rsid w:val="000A120D"/>
    <w:rsid w:val="000A3C72"/>
    <w:rsid w:val="000A7C24"/>
    <w:rsid w:val="000B18A6"/>
    <w:rsid w:val="000B18C5"/>
    <w:rsid w:val="000B38DE"/>
    <w:rsid w:val="000B4603"/>
    <w:rsid w:val="000B7B8B"/>
    <w:rsid w:val="000C351A"/>
    <w:rsid w:val="000D07D3"/>
    <w:rsid w:val="000D0931"/>
    <w:rsid w:val="000D2E26"/>
    <w:rsid w:val="000D4271"/>
    <w:rsid w:val="000D5126"/>
    <w:rsid w:val="000D5F02"/>
    <w:rsid w:val="000E376C"/>
    <w:rsid w:val="000E647E"/>
    <w:rsid w:val="000F4A5F"/>
    <w:rsid w:val="00112C9F"/>
    <w:rsid w:val="00113919"/>
    <w:rsid w:val="0011670D"/>
    <w:rsid w:val="00121237"/>
    <w:rsid w:val="001228DD"/>
    <w:rsid w:val="001312E1"/>
    <w:rsid w:val="00132842"/>
    <w:rsid w:val="00135192"/>
    <w:rsid w:val="0014479D"/>
    <w:rsid w:val="00147B80"/>
    <w:rsid w:val="001514CD"/>
    <w:rsid w:val="00152EDF"/>
    <w:rsid w:val="00153DB4"/>
    <w:rsid w:val="00155708"/>
    <w:rsid w:val="001565A3"/>
    <w:rsid w:val="00160888"/>
    <w:rsid w:val="00162CD2"/>
    <w:rsid w:val="00164A13"/>
    <w:rsid w:val="001661DC"/>
    <w:rsid w:val="00166DD7"/>
    <w:rsid w:val="00173CF2"/>
    <w:rsid w:val="00175B3F"/>
    <w:rsid w:val="0017714B"/>
    <w:rsid w:val="00177943"/>
    <w:rsid w:val="00177A26"/>
    <w:rsid w:val="001808BA"/>
    <w:rsid w:val="001850EC"/>
    <w:rsid w:val="00186E3B"/>
    <w:rsid w:val="00187217"/>
    <w:rsid w:val="00187C52"/>
    <w:rsid w:val="00187CFD"/>
    <w:rsid w:val="00192F11"/>
    <w:rsid w:val="00194E7A"/>
    <w:rsid w:val="001963A8"/>
    <w:rsid w:val="001972D5"/>
    <w:rsid w:val="001A079F"/>
    <w:rsid w:val="001A0E36"/>
    <w:rsid w:val="001B1800"/>
    <w:rsid w:val="001B3C35"/>
    <w:rsid w:val="001B615B"/>
    <w:rsid w:val="001C3F9C"/>
    <w:rsid w:val="001C4032"/>
    <w:rsid w:val="001C6F74"/>
    <w:rsid w:val="001D546F"/>
    <w:rsid w:val="001D5BB4"/>
    <w:rsid w:val="001D6C5D"/>
    <w:rsid w:val="001E0572"/>
    <w:rsid w:val="001E2158"/>
    <w:rsid w:val="001E3FFF"/>
    <w:rsid w:val="001E69D4"/>
    <w:rsid w:val="001F4069"/>
    <w:rsid w:val="001F7834"/>
    <w:rsid w:val="001F79A1"/>
    <w:rsid w:val="00202260"/>
    <w:rsid w:val="00207AE7"/>
    <w:rsid w:val="00213A14"/>
    <w:rsid w:val="00220244"/>
    <w:rsid w:val="002262EC"/>
    <w:rsid w:val="00232094"/>
    <w:rsid w:val="00237E98"/>
    <w:rsid w:val="002414CF"/>
    <w:rsid w:val="00242DE5"/>
    <w:rsid w:val="00247639"/>
    <w:rsid w:val="00250E91"/>
    <w:rsid w:val="00253308"/>
    <w:rsid w:val="0025548B"/>
    <w:rsid w:val="00257239"/>
    <w:rsid w:val="002613C3"/>
    <w:rsid w:val="00261E63"/>
    <w:rsid w:val="002645E8"/>
    <w:rsid w:val="00265707"/>
    <w:rsid w:val="00265B2C"/>
    <w:rsid w:val="00265C7D"/>
    <w:rsid w:val="00267A18"/>
    <w:rsid w:val="00267DEF"/>
    <w:rsid w:val="00271060"/>
    <w:rsid w:val="002735F8"/>
    <w:rsid w:val="00273ACF"/>
    <w:rsid w:val="002755F3"/>
    <w:rsid w:val="00280599"/>
    <w:rsid w:val="00282453"/>
    <w:rsid w:val="00283C8B"/>
    <w:rsid w:val="00286F7A"/>
    <w:rsid w:val="002873CB"/>
    <w:rsid w:val="002878F8"/>
    <w:rsid w:val="002917F2"/>
    <w:rsid w:val="00294609"/>
    <w:rsid w:val="002A1652"/>
    <w:rsid w:val="002A18AF"/>
    <w:rsid w:val="002A371E"/>
    <w:rsid w:val="002A3EA4"/>
    <w:rsid w:val="002A5A20"/>
    <w:rsid w:val="002B1B24"/>
    <w:rsid w:val="002B3880"/>
    <w:rsid w:val="002B5761"/>
    <w:rsid w:val="002B648E"/>
    <w:rsid w:val="002C25DD"/>
    <w:rsid w:val="002C5BEE"/>
    <w:rsid w:val="002D1B48"/>
    <w:rsid w:val="002D2054"/>
    <w:rsid w:val="002D6547"/>
    <w:rsid w:val="002D6DE2"/>
    <w:rsid w:val="002D6F44"/>
    <w:rsid w:val="002E0BC1"/>
    <w:rsid w:val="002E1015"/>
    <w:rsid w:val="002E296E"/>
    <w:rsid w:val="002E324B"/>
    <w:rsid w:val="002E4D82"/>
    <w:rsid w:val="002E57EA"/>
    <w:rsid w:val="002E5D46"/>
    <w:rsid w:val="002E6B4E"/>
    <w:rsid w:val="002F0AD9"/>
    <w:rsid w:val="002F44AD"/>
    <w:rsid w:val="002F7A3E"/>
    <w:rsid w:val="00301A2A"/>
    <w:rsid w:val="0030555D"/>
    <w:rsid w:val="00305C7B"/>
    <w:rsid w:val="003064C0"/>
    <w:rsid w:val="00312A4A"/>
    <w:rsid w:val="003138D1"/>
    <w:rsid w:val="00316057"/>
    <w:rsid w:val="00316215"/>
    <w:rsid w:val="00320E13"/>
    <w:rsid w:val="00325926"/>
    <w:rsid w:val="00337E4D"/>
    <w:rsid w:val="00345E89"/>
    <w:rsid w:val="00353555"/>
    <w:rsid w:val="003607FB"/>
    <w:rsid w:val="00360C36"/>
    <w:rsid w:val="00363C76"/>
    <w:rsid w:val="0036527F"/>
    <w:rsid w:val="00365502"/>
    <w:rsid w:val="003669DA"/>
    <w:rsid w:val="00371DF9"/>
    <w:rsid w:val="0037334A"/>
    <w:rsid w:val="0038000D"/>
    <w:rsid w:val="00385CF0"/>
    <w:rsid w:val="00386039"/>
    <w:rsid w:val="003862E7"/>
    <w:rsid w:val="0039012B"/>
    <w:rsid w:val="003949D1"/>
    <w:rsid w:val="00397FDD"/>
    <w:rsid w:val="003A0530"/>
    <w:rsid w:val="003A09D6"/>
    <w:rsid w:val="003A21E2"/>
    <w:rsid w:val="003A2A45"/>
    <w:rsid w:val="003A7D8C"/>
    <w:rsid w:val="003B1358"/>
    <w:rsid w:val="003B1A3A"/>
    <w:rsid w:val="003B5E43"/>
    <w:rsid w:val="003B5EA0"/>
    <w:rsid w:val="003C1CAD"/>
    <w:rsid w:val="003C2D68"/>
    <w:rsid w:val="003C2F5F"/>
    <w:rsid w:val="003C32B8"/>
    <w:rsid w:val="003C424E"/>
    <w:rsid w:val="003C44AC"/>
    <w:rsid w:val="003D0929"/>
    <w:rsid w:val="003D52AD"/>
    <w:rsid w:val="003E16EC"/>
    <w:rsid w:val="003E298F"/>
    <w:rsid w:val="003F23FB"/>
    <w:rsid w:val="003F4433"/>
    <w:rsid w:val="003F5521"/>
    <w:rsid w:val="003F55D2"/>
    <w:rsid w:val="003F7F9B"/>
    <w:rsid w:val="004011B9"/>
    <w:rsid w:val="00404ABD"/>
    <w:rsid w:val="00405B03"/>
    <w:rsid w:val="004073FC"/>
    <w:rsid w:val="004158AB"/>
    <w:rsid w:val="004171D9"/>
    <w:rsid w:val="0042221D"/>
    <w:rsid w:val="00424A04"/>
    <w:rsid w:val="00425514"/>
    <w:rsid w:val="0042578F"/>
    <w:rsid w:val="004261F8"/>
    <w:rsid w:val="004269C5"/>
    <w:rsid w:val="004304BA"/>
    <w:rsid w:val="00430A7D"/>
    <w:rsid w:val="00434270"/>
    <w:rsid w:val="004354E5"/>
    <w:rsid w:val="004412AD"/>
    <w:rsid w:val="004450A2"/>
    <w:rsid w:val="00451F55"/>
    <w:rsid w:val="00457C84"/>
    <w:rsid w:val="00467903"/>
    <w:rsid w:val="0047025C"/>
    <w:rsid w:val="00470E10"/>
    <w:rsid w:val="00473DED"/>
    <w:rsid w:val="00481B28"/>
    <w:rsid w:val="00481D1E"/>
    <w:rsid w:val="00482C91"/>
    <w:rsid w:val="00485301"/>
    <w:rsid w:val="00485E75"/>
    <w:rsid w:val="004872CA"/>
    <w:rsid w:val="00487633"/>
    <w:rsid w:val="00490C3C"/>
    <w:rsid w:val="00493CA0"/>
    <w:rsid w:val="00494010"/>
    <w:rsid w:val="0049455D"/>
    <w:rsid w:val="004945C3"/>
    <w:rsid w:val="00494EC2"/>
    <w:rsid w:val="004953ED"/>
    <w:rsid w:val="004A213C"/>
    <w:rsid w:val="004B4567"/>
    <w:rsid w:val="004C0CAE"/>
    <w:rsid w:val="004C2D9F"/>
    <w:rsid w:val="004C3E30"/>
    <w:rsid w:val="004C54F4"/>
    <w:rsid w:val="004C6120"/>
    <w:rsid w:val="004D070E"/>
    <w:rsid w:val="004D09ED"/>
    <w:rsid w:val="004D3EBE"/>
    <w:rsid w:val="004D5514"/>
    <w:rsid w:val="004D62B5"/>
    <w:rsid w:val="004D7372"/>
    <w:rsid w:val="004E07AC"/>
    <w:rsid w:val="004E1212"/>
    <w:rsid w:val="004E51D4"/>
    <w:rsid w:val="004F13A4"/>
    <w:rsid w:val="004F1A09"/>
    <w:rsid w:val="004F1EAC"/>
    <w:rsid w:val="004F2CB0"/>
    <w:rsid w:val="004F4E46"/>
    <w:rsid w:val="004F7C6A"/>
    <w:rsid w:val="00500A75"/>
    <w:rsid w:val="00500BC6"/>
    <w:rsid w:val="00500CE2"/>
    <w:rsid w:val="00501309"/>
    <w:rsid w:val="00503F5A"/>
    <w:rsid w:val="00504FDC"/>
    <w:rsid w:val="00513FD3"/>
    <w:rsid w:val="00514B4A"/>
    <w:rsid w:val="00514EA1"/>
    <w:rsid w:val="00515754"/>
    <w:rsid w:val="00516DA8"/>
    <w:rsid w:val="00517BA6"/>
    <w:rsid w:val="00520C3A"/>
    <w:rsid w:val="00520D42"/>
    <w:rsid w:val="005216F7"/>
    <w:rsid w:val="00525431"/>
    <w:rsid w:val="00526052"/>
    <w:rsid w:val="00526454"/>
    <w:rsid w:val="00526875"/>
    <w:rsid w:val="00530972"/>
    <w:rsid w:val="00533B45"/>
    <w:rsid w:val="00540241"/>
    <w:rsid w:val="005407AA"/>
    <w:rsid w:val="00541B37"/>
    <w:rsid w:val="00543B88"/>
    <w:rsid w:val="00544047"/>
    <w:rsid w:val="00544146"/>
    <w:rsid w:val="0055138D"/>
    <w:rsid w:val="00551434"/>
    <w:rsid w:val="00551C16"/>
    <w:rsid w:val="005526C1"/>
    <w:rsid w:val="00556894"/>
    <w:rsid w:val="00562DEF"/>
    <w:rsid w:val="00566596"/>
    <w:rsid w:val="00566EC2"/>
    <w:rsid w:val="00573767"/>
    <w:rsid w:val="005748CF"/>
    <w:rsid w:val="00577127"/>
    <w:rsid w:val="00577A9D"/>
    <w:rsid w:val="00584B82"/>
    <w:rsid w:val="00587802"/>
    <w:rsid w:val="005923E7"/>
    <w:rsid w:val="005938B4"/>
    <w:rsid w:val="00597646"/>
    <w:rsid w:val="005A0F3D"/>
    <w:rsid w:val="005A1C91"/>
    <w:rsid w:val="005A2213"/>
    <w:rsid w:val="005A3F2A"/>
    <w:rsid w:val="005B7BBF"/>
    <w:rsid w:val="005C513F"/>
    <w:rsid w:val="005C64DE"/>
    <w:rsid w:val="005C75BB"/>
    <w:rsid w:val="005D03E8"/>
    <w:rsid w:val="005D396C"/>
    <w:rsid w:val="005D3D3B"/>
    <w:rsid w:val="005D4799"/>
    <w:rsid w:val="005D64EC"/>
    <w:rsid w:val="005E0069"/>
    <w:rsid w:val="005E018F"/>
    <w:rsid w:val="005E1B87"/>
    <w:rsid w:val="005E1E97"/>
    <w:rsid w:val="005E5398"/>
    <w:rsid w:val="005F0867"/>
    <w:rsid w:val="005F0E88"/>
    <w:rsid w:val="005F2A0E"/>
    <w:rsid w:val="005F39D2"/>
    <w:rsid w:val="005F519E"/>
    <w:rsid w:val="005F53A2"/>
    <w:rsid w:val="005F72A3"/>
    <w:rsid w:val="00600A1C"/>
    <w:rsid w:val="00601184"/>
    <w:rsid w:val="006048A6"/>
    <w:rsid w:val="00606C54"/>
    <w:rsid w:val="006076A4"/>
    <w:rsid w:val="00610348"/>
    <w:rsid w:val="00612426"/>
    <w:rsid w:val="006128BC"/>
    <w:rsid w:val="0062011B"/>
    <w:rsid w:val="006227F6"/>
    <w:rsid w:val="00631F8E"/>
    <w:rsid w:val="0063632A"/>
    <w:rsid w:val="00637654"/>
    <w:rsid w:val="00644896"/>
    <w:rsid w:val="00644B17"/>
    <w:rsid w:val="00646F34"/>
    <w:rsid w:val="00652D50"/>
    <w:rsid w:val="00654021"/>
    <w:rsid w:val="00657728"/>
    <w:rsid w:val="006649AA"/>
    <w:rsid w:val="006660F0"/>
    <w:rsid w:val="00670C4E"/>
    <w:rsid w:val="00673228"/>
    <w:rsid w:val="0067435B"/>
    <w:rsid w:val="00674FC2"/>
    <w:rsid w:val="0068031A"/>
    <w:rsid w:val="0068354B"/>
    <w:rsid w:val="006840B0"/>
    <w:rsid w:val="00694EF7"/>
    <w:rsid w:val="0069640B"/>
    <w:rsid w:val="006A3AFA"/>
    <w:rsid w:val="006A492D"/>
    <w:rsid w:val="006A4F3D"/>
    <w:rsid w:val="006A79FB"/>
    <w:rsid w:val="006C1C4A"/>
    <w:rsid w:val="006C2F80"/>
    <w:rsid w:val="006C660C"/>
    <w:rsid w:val="006C6B1F"/>
    <w:rsid w:val="006C7CA7"/>
    <w:rsid w:val="006D02FC"/>
    <w:rsid w:val="006D0B40"/>
    <w:rsid w:val="006D0D7B"/>
    <w:rsid w:val="006D37E3"/>
    <w:rsid w:val="006D4177"/>
    <w:rsid w:val="006D4B2B"/>
    <w:rsid w:val="006E5332"/>
    <w:rsid w:val="006E686B"/>
    <w:rsid w:val="006E6C02"/>
    <w:rsid w:val="006E77CC"/>
    <w:rsid w:val="006F1C76"/>
    <w:rsid w:val="006F3205"/>
    <w:rsid w:val="006F44A7"/>
    <w:rsid w:val="00702242"/>
    <w:rsid w:val="00704252"/>
    <w:rsid w:val="00704D25"/>
    <w:rsid w:val="00705262"/>
    <w:rsid w:val="007076F9"/>
    <w:rsid w:val="007117F0"/>
    <w:rsid w:val="00712221"/>
    <w:rsid w:val="0071334B"/>
    <w:rsid w:val="0071470C"/>
    <w:rsid w:val="007156D9"/>
    <w:rsid w:val="00720C5E"/>
    <w:rsid w:val="00721B58"/>
    <w:rsid w:val="007231A2"/>
    <w:rsid w:val="00724467"/>
    <w:rsid w:val="00734865"/>
    <w:rsid w:val="00735F8B"/>
    <w:rsid w:val="00736674"/>
    <w:rsid w:val="00736A7A"/>
    <w:rsid w:val="0073758D"/>
    <w:rsid w:val="00740F29"/>
    <w:rsid w:val="0074677A"/>
    <w:rsid w:val="00746AED"/>
    <w:rsid w:val="0075325A"/>
    <w:rsid w:val="00754DD7"/>
    <w:rsid w:val="0075677D"/>
    <w:rsid w:val="00757E02"/>
    <w:rsid w:val="00761CB5"/>
    <w:rsid w:val="00762EBC"/>
    <w:rsid w:val="007640C0"/>
    <w:rsid w:val="007643DA"/>
    <w:rsid w:val="00770D75"/>
    <w:rsid w:val="00773457"/>
    <w:rsid w:val="0077349E"/>
    <w:rsid w:val="00774C8E"/>
    <w:rsid w:val="00775E9D"/>
    <w:rsid w:val="00776B99"/>
    <w:rsid w:val="00776D88"/>
    <w:rsid w:val="00781553"/>
    <w:rsid w:val="00782EE2"/>
    <w:rsid w:val="00784AC8"/>
    <w:rsid w:val="00786790"/>
    <w:rsid w:val="0078701D"/>
    <w:rsid w:val="00790FF4"/>
    <w:rsid w:val="0079220D"/>
    <w:rsid w:val="007A1EE8"/>
    <w:rsid w:val="007A2F2D"/>
    <w:rsid w:val="007C2B6E"/>
    <w:rsid w:val="007C5FD6"/>
    <w:rsid w:val="007D52F8"/>
    <w:rsid w:val="007E198F"/>
    <w:rsid w:val="007E3BEC"/>
    <w:rsid w:val="007F0B7A"/>
    <w:rsid w:val="007F21EC"/>
    <w:rsid w:val="007F35B9"/>
    <w:rsid w:val="007F6839"/>
    <w:rsid w:val="007F7D17"/>
    <w:rsid w:val="008021C2"/>
    <w:rsid w:val="00802CE2"/>
    <w:rsid w:val="008051D2"/>
    <w:rsid w:val="0081234C"/>
    <w:rsid w:val="00813EDA"/>
    <w:rsid w:val="008144A6"/>
    <w:rsid w:val="00815365"/>
    <w:rsid w:val="00817B72"/>
    <w:rsid w:val="00822EB7"/>
    <w:rsid w:val="008244D5"/>
    <w:rsid w:val="00825472"/>
    <w:rsid w:val="00831BF9"/>
    <w:rsid w:val="008324D2"/>
    <w:rsid w:val="00832599"/>
    <w:rsid w:val="00844049"/>
    <w:rsid w:val="00845A0A"/>
    <w:rsid w:val="0084645B"/>
    <w:rsid w:val="00854242"/>
    <w:rsid w:val="00856A2B"/>
    <w:rsid w:val="008632C6"/>
    <w:rsid w:val="00865EBB"/>
    <w:rsid w:val="00871DB1"/>
    <w:rsid w:val="00873108"/>
    <w:rsid w:val="00875A82"/>
    <w:rsid w:val="00875D2D"/>
    <w:rsid w:val="008765AA"/>
    <w:rsid w:val="008778EE"/>
    <w:rsid w:val="00877906"/>
    <w:rsid w:val="00881833"/>
    <w:rsid w:val="00881E0D"/>
    <w:rsid w:val="0088514B"/>
    <w:rsid w:val="00890AE1"/>
    <w:rsid w:val="00890D4E"/>
    <w:rsid w:val="00891A92"/>
    <w:rsid w:val="00892FAF"/>
    <w:rsid w:val="00896560"/>
    <w:rsid w:val="0089717E"/>
    <w:rsid w:val="00897209"/>
    <w:rsid w:val="008A00DC"/>
    <w:rsid w:val="008A2090"/>
    <w:rsid w:val="008A36EB"/>
    <w:rsid w:val="008A48B9"/>
    <w:rsid w:val="008A6AF5"/>
    <w:rsid w:val="008B118A"/>
    <w:rsid w:val="008B23D1"/>
    <w:rsid w:val="008B345D"/>
    <w:rsid w:val="008B4422"/>
    <w:rsid w:val="008C4CA8"/>
    <w:rsid w:val="008C5A6F"/>
    <w:rsid w:val="008C7709"/>
    <w:rsid w:val="008D26FA"/>
    <w:rsid w:val="008D2EF1"/>
    <w:rsid w:val="008D4AC7"/>
    <w:rsid w:val="008E00B3"/>
    <w:rsid w:val="008E070E"/>
    <w:rsid w:val="008E387B"/>
    <w:rsid w:val="008E6087"/>
    <w:rsid w:val="008E6903"/>
    <w:rsid w:val="008F0906"/>
    <w:rsid w:val="008F27DA"/>
    <w:rsid w:val="008F3307"/>
    <w:rsid w:val="008F6451"/>
    <w:rsid w:val="0090197D"/>
    <w:rsid w:val="009042E1"/>
    <w:rsid w:val="00904C80"/>
    <w:rsid w:val="0091146C"/>
    <w:rsid w:val="00912DB8"/>
    <w:rsid w:val="00922B8A"/>
    <w:rsid w:val="00925DE5"/>
    <w:rsid w:val="00930E26"/>
    <w:rsid w:val="00931284"/>
    <w:rsid w:val="00936B04"/>
    <w:rsid w:val="00936F70"/>
    <w:rsid w:val="00952B4A"/>
    <w:rsid w:val="00960AA9"/>
    <w:rsid w:val="00962E02"/>
    <w:rsid w:val="009700DE"/>
    <w:rsid w:val="0097058E"/>
    <w:rsid w:val="00977218"/>
    <w:rsid w:val="00980661"/>
    <w:rsid w:val="009846C6"/>
    <w:rsid w:val="0098562D"/>
    <w:rsid w:val="009907AE"/>
    <w:rsid w:val="0099530F"/>
    <w:rsid w:val="00997B0F"/>
    <w:rsid w:val="009A0DD0"/>
    <w:rsid w:val="009A140A"/>
    <w:rsid w:val="009A147C"/>
    <w:rsid w:val="009A1486"/>
    <w:rsid w:val="009A1E73"/>
    <w:rsid w:val="009A1F6D"/>
    <w:rsid w:val="009A21CD"/>
    <w:rsid w:val="009A3E6B"/>
    <w:rsid w:val="009B1B09"/>
    <w:rsid w:val="009B7EE9"/>
    <w:rsid w:val="009C068E"/>
    <w:rsid w:val="009C303D"/>
    <w:rsid w:val="009C3909"/>
    <w:rsid w:val="009C3C99"/>
    <w:rsid w:val="009C4729"/>
    <w:rsid w:val="009C4986"/>
    <w:rsid w:val="009C4E4F"/>
    <w:rsid w:val="009C63B5"/>
    <w:rsid w:val="009C6935"/>
    <w:rsid w:val="009D1CF4"/>
    <w:rsid w:val="009D20E8"/>
    <w:rsid w:val="009D5238"/>
    <w:rsid w:val="009D6AA9"/>
    <w:rsid w:val="009D74CE"/>
    <w:rsid w:val="009E3A25"/>
    <w:rsid w:val="009E3B07"/>
    <w:rsid w:val="009E578E"/>
    <w:rsid w:val="009E741A"/>
    <w:rsid w:val="009F35E1"/>
    <w:rsid w:val="009F439C"/>
    <w:rsid w:val="009F7526"/>
    <w:rsid w:val="00A00244"/>
    <w:rsid w:val="00A0427A"/>
    <w:rsid w:val="00A044B6"/>
    <w:rsid w:val="00A17410"/>
    <w:rsid w:val="00A20654"/>
    <w:rsid w:val="00A21C5A"/>
    <w:rsid w:val="00A24D32"/>
    <w:rsid w:val="00A26143"/>
    <w:rsid w:val="00A26FF9"/>
    <w:rsid w:val="00A27B26"/>
    <w:rsid w:val="00A30C43"/>
    <w:rsid w:val="00A32BAD"/>
    <w:rsid w:val="00A33C12"/>
    <w:rsid w:val="00A3509B"/>
    <w:rsid w:val="00A3511F"/>
    <w:rsid w:val="00A378FA"/>
    <w:rsid w:val="00A4088C"/>
    <w:rsid w:val="00A4456B"/>
    <w:rsid w:val="00A501AE"/>
    <w:rsid w:val="00A54FBE"/>
    <w:rsid w:val="00A613CC"/>
    <w:rsid w:val="00A62FD6"/>
    <w:rsid w:val="00A64AE3"/>
    <w:rsid w:val="00A71A0D"/>
    <w:rsid w:val="00A73BA8"/>
    <w:rsid w:val="00A73E62"/>
    <w:rsid w:val="00A746E2"/>
    <w:rsid w:val="00A8108B"/>
    <w:rsid w:val="00A832D6"/>
    <w:rsid w:val="00A83904"/>
    <w:rsid w:val="00A8487A"/>
    <w:rsid w:val="00A94748"/>
    <w:rsid w:val="00A94F3C"/>
    <w:rsid w:val="00AA0997"/>
    <w:rsid w:val="00AA3537"/>
    <w:rsid w:val="00AA3C84"/>
    <w:rsid w:val="00AA4DA2"/>
    <w:rsid w:val="00AA500E"/>
    <w:rsid w:val="00AA7B84"/>
    <w:rsid w:val="00AB0776"/>
    <w:rsid w:val="00AB15A6"/>
    <w:rsid w:val="00AB2BC6"/>
    <w:rsid w:val="00AB527A"/>
    <w:rsid w:val="00AB5B7C"/>
    <w:rsid w:val="00AB6F05"/>
    <w:rsid w:val="00AC0338"/>
    <w:rsid w:val="00AC289C"/>
    <w:rsid w:val="00AC416C"/>
    <w:rsid w:val="00AC60C7"/>
    <w:rsid w:val="00AC704F"/>
    <w:rsid w:val="00AC740D"/>
    <w:rsid w:val="00AD06E1"/>
    <w:rsid w:val="00AD0CE7"/>
    <w:rsid w:val="00AD13DC"/>
    <w:rsid w:val="00AD262D"/>
    <w:rsid w:val="00AE368B"/>
    <w:rsid w:val="00AE4429"/>
    <w:rsid w:val="00AF03B9"/>
    <w:rsid w:val="00AF4D46"/>
    <w:rsid w:val="00AF519F"/>
    <w:rsid w:val="00AF55F5"/>
    <w:rsid w:val="00AF76C6"/>
    <w:rsid w:val="00AF78B6"/>
    <w:rsid w:val="00B00885"/>
    <w:rsid w:val="00B0427F"/>
    <w:rsid w:val="00B04F9A"/>
    <w:rsid w:val="00B0617F"/>
    <w:rsid w:val="00B10480"/>
    <w:rsid w:val="00B173DC"/>
    <w:rsid w:val="00B21259"/>
    <w:rsid w:val="00B21C1F"/>
    <w:rsid w:val="00B22774"/>
    <w:rsid w:val="00B231E1"/>
    <w:rsid w:val="00B234BF"/>
    <w:rsid w:val="00B23DA9"/>
    <w:rsid w:val="00B34914"/>
    <w:rsid w:val="00B3793A"/>
    <w:rsid w:val="00B40D1A"/>
    <w:rsid w:val="00B40EF9"/>
    <w:rsid w:val="00B426B4"/>
    <w:rsid w:val="00B5232C"/>
    <w:rsid w:val="00B538D0"/>
    <w:rsid w:val="00B56091"/>
    <w:rsid w:val="00B60722"/>
    <w:rsid w:val="00B613E1"/>
    <w:rsid w:val="00B661DC"/>
    <w:rsid w:val="00B7195F"/>
    <w:rsid w:val="00B73B80"/>
    <w:rsid w:val="00B74EE2"/>
    <w:rsid w:val="00B825F2"/>
    <w:rsid w:val="00B82D03"/>
    <w:rsid w:val="00B84915"/>
    <w:rsid w:val="00B924C1"/>
    <w:rsid w:val="00B9295C"/>
    <w:rsid w:val="00B96D34"/>
    <w:rsid w:val="00BA0DCE"/>
    <w:rsid w:val="00BA5B0F"/>
    <w:rsid w:val="00BB2D3A"/>
    <w:rsid w:val="00BB5DEE"/>
    <w:rsid w:val="00BC042D"/>
    <w:rsid w:val="00BC2E6E"/>
    <w:rsid w:val="00BC4F18"/>
    <w:rsid w:val="00BC7EA0"/>
    <w:rsid w:val="00BC7FFC"/>
    <w:rsid w:val="00BD7696"/>
    <w:rsid w:val="00BE05C1"/>
    <w:rsid w:val="00BE13B9"/>
    <w:rsid w:val="00BF1228"/>
    <w:rsid w:val="00BF3C43"/>
    <w:rsid w:val="00C021A4"/>
    <w:rsid w:val="00C04DBD"/>
    <w:rsid w:val="00C078F7"/>
    <w:rsid w:val="00C11A50"/>
    <w:rsid w:val="00C140A3"/>
    <w:rsid w:val="00C1445C"/>
    <w:rsid w:val="00C16560"/>
    <w:rsid w:val="00C1747E"/>
    <w:rsid w:val="00C21566"/>
    <w:rsid w:val="00C223BE"/>
    <w:rsid w:val="00C30F36"/>
    <w:rsid w:val="00C34F1D"/>
    <w:rsid w:val="00C4155D"/>
    <w:rsid w:val="00C4368B"/>
    <w:rsid w:val="00C44E33"/>
    <w:rsid w:val="00C45598"/>
    <w:rsid w:val="00C5161E"/>
    <w:rsid w:val="00C52A01"/>
    <w:rsid w:val="00C535C3"/>
    <w:rsid w:val="00C55D2A"/>
    <w:rsid w:val="00C63A48"/>
    <w:rsid w:val="00C670AC"/>
    <w:rsid w:val="00C7203D"/>
    <w:rsid w:val="00C7306F"/>
    <w:rsid w:val="00C7361C"/>
    <w:rsid w:val="00C74076"/>
    <w:rsid w:val="00C772A8"/>
    <w:rsid w:val="00C825B4"/>
    <w:rsid w:val="00C87FDC"/>
    <w:rsid w:val="00C91897"/>
    <w:rsid w:val="00CA02BC"/>
    <w:rsid w:val="00CA1614"/>
    <w:rsid w:val="00CB0D7F"/>
    <w:rsid w:val="00CB2CD8"/>
    <w:rsid w:val="00CB31C7"/>
    <w:rsid w:val="00CB32D8"/>
    <w:rsid w:val="00CB5284"/>
    <w:rsid w:val="00CB557C"/>
    <w:rsid w:val="00CB581A"/>
    <w:rsid w:val="00CB5AB8"/>
    <w:rsid w:val="00CB622F"/>
    <w:rsid w:val="00CC455B"/>
    <w:rsid w:val="00CC5865"/>
    <w:rsid w:val="00CC6129"/>
    <w:rsid w:val="00CC664C"/>
    <w:rsid w:val="00CC78E0"/>
    <w:rsid w:val="00CD6DEE"/>
    <w:rsid w:val="00CD6E54"/>
    <w:rsid w:val="00CE0455"/>
    <w:rsid w:val="00CE0B87"/>
    <w:rsid w:val="00CE2222"/>
    <w:rsid w:val="00CE5861"/>
    <w:rsid w:val="00CF37AA"/>
    <w:rsid w:val="00CF6A7B"/>
    <w:rsid w:val="00CF70B1"/>
    <w:rsid w:val="00CF7DD1"/>
    <w:rsid w:val="00D00DEE"/>
    <w:rsid w:val="00D00FA6"/>
    <w:rsid w:val="00D043AB"/>
    <w:rsid w:val="00D07394"/>
    <w:rsid w:val="00D10EBF"/>
    <w:rsid w:val="00D128C5"/>
    <w:rsid w:val="00D13AA6"/>
    <w:rsid w:val="00D13D41"/>
    <w:rsid w:val="00D31A5F"/>
    <w:rsid w:val="00D32133"/>
    <w:rsid w:val="00D33521"/>
    <w:rsid w:val="00D35C30"/>
    <w:rsid w:val="00D40A78"/>
    <w:rsid w:val="00D4453C"/>
    <w:rsid w:val="00D46CFE"/>
    <w:rsid w:val="00D4741D"/>
    <w:rsid w:val="00D4790D"/>
    <w:rsid w:val="00D5042F"/>
    <w:rsid w:val="00D514C8"/>
    <w:rsid w:val="00D57E04"/>
    <w:rsid w:val="00D65E73"/>
    <w:rsid w:val="00D6672C"/>
    <w:rsid w:val="00D66DC1"/>
    <w:rsid w:val="00D67104"/>
    <w:rsid w:val="00D676EF"/>
    <w:rsid w:val="00D80479"/>
    <w:rsid w:val="00D83CD2"/>
    <w:rsid w:val="00D846B1"/>
    <w:rsid w:val="00D84AF2"/>
    <w:rsid w:val="00D8541B"/>
    <w:rsid w:val="00D86765"/>
    <w:rsid w:val="00D87B3A"/>
    <w:rsid w:val="00D90B27"/>
    <w:rsid w:val="00D979AB"/>
    <w:rsid w:val="00DA3DD7"/>
    <w:rsid w:val="00DA443C"/>
    <w:rsid w:val="00DA5FE5"/>
    <w:rsid w:val="00DA67B9"/>
    <w:rsid w:val="00DC12E2"/>
    <w:rsid w:val="00DC28EE"/>
    <w:rsid w:val="00DC3481"/>
    <w:rsid w:val="00DC388F"/>
    <w:rsid w:val="00DC3E2B"/>
    <w:rsid w:val="00DC6B47"/>
    <w:rsid w:val="00DD1329"/>
    <w:rsid w:val="00DD613C"/>
    <w:rsid w:val="00DD6C47"/>
    <w:rsid w:val="00DE2FF8"/>
    <w:rsid w:val="00DE5A23"/>
    <w:rsid w:val="00DE6519"/>
    <w:rsid w:val="00DF2F35"/>
    <w:rsid w:val="00DF4862"/>
    <w:rsid w:val="00DF586F"/>
    <w:rsid w:val="00E02731"/>
    <w:rsid w:val="00E0282A"/>
    <w:rsid w:val="00E10406"/>
    <w:rsid w:val="00E13919"/>
    <w:rsid w:val="00E207CE"/>
    <w:rsid w:val="00E22B95"/>
    <w:rsid w:val="00E24EC0"/>
    <w:rsid w:val="00E368D3"/>
    <w:rsid w:val="00E37DDB"/>
    <w:rsid w:val="00E4059A"/>
    <w:rsid w:val="00E40A82"/>
    <w:rsid w:val="00E41503"/>
    <w:rsid w:val="00E44A94"/>
    <w:rsid w:val="00E47DFE"/>
    <w:rsid w:val="00E47E43"/>
    <w:rsid w:val="00E51CE7"/>
    <w:rsid w:val="00E55328"/>
    <w:rsid w:val="00E604A3"/>
    <w:rsid w:val="00E607C2"/>
    <w:rsid w:val="00E60DE0"/>
    <w:rsid w:val="00E619C5"/>
    <w:rsid w:val="00E6267E"/>
    <w:rsid w:val="00E63F03"/>
    <w:rsid w:val="00E65743"/>
    <w:rsid w:val="00E66C53"/>
    <w:rsid w:val="00E700C7"/>
    <w:rsid w:val="00E707DC"/>
    <w:rsid w:val="00E724AC"/>
    <w:rsid w:val="00E745DB"/>
    <w:rsid w:val="00E74D72"/>
    <w:rsid w:val="00E76422"/>
    <w:rsid w:val="00E801DF"/>
    <w:rsid w:val="00E806D1"/>
    <w:rsid w:val="00E81FFC"/>
    <w:rsid w:val="00E822F0"/>
    <w:rsid w:val="00E838C0"/>
    <w:rsid w:val="00E8468F"/>
    <w:rsid w:val="00E852A9"/>
    <w:rsid w:val="00E85718"/>
    <w:rsid w:val="00E86140"/>
    <w:rsid w:val="00E9111C"/>
    <w:rsid w:val="00E92F91"/>
    <w:rsid w:val="00E9639B"/>
    <w:rsid w:val="00E9747A"/>
    <w:rsid w:val="00EA11B7"/>
    <w:rsid w:val="00EA6B32"/>
    <w:rsid w:val="00EA79F1"/>
    <w:rsid w:val="00EB0E36"/>
    <w:rsid w:val="00EB0E50"/>
    <w:rsid w:val="00EB2738"/>
    <w:rsid w:val="00EB5C10"/>
    <w:rsid w:val="00EC2E69"/>
    <w:rsid w:val="00EC3E44"/>
    <w:rsid w:val="00EC6123"/>
    <w:rsid w:val="00ED6022"/>
    <w:rsid w:val="00ED7581"/>
    <w:rsid w:val="00EE0539"/>
    <w:rsid w:val="00EF3DFF"/>
    <w:rsid w:val="00F05E7D"/>
    <w:rsid w:val="00F1059D"/>
    <w:rsid w:val="00F126B9"/>
    <w:rsid w:val="00F13484"/>
    <w:rsid w:val="00F13514"/>
    <w:rsid w:val="00F13871"/>
    <w:rsid w:val="00F17C52"/>
    <w:rsid w:val="00F2045D"/>
    <w:rsid w:val="00F20FF3"/>
    <w:rsid w:val="00F23559"/>
    <w:rsid w:val="00F34B3B"/>
    <w:rsid w:val="00F356BF"/>
    <w:rsid w:val="00F46CE3"/>
    <w:rsid w:val="00F47A08"/>
    <w:rsid w:val="00F50BDF"/>
    <w:rsid w:val="00F51835"/>
    <w:rsid w:val="00F51C57"/>
    <w:rsid w:val="00F52255"/>
    <w:rsid w:val="00F61532"/>
    <w:rsid w:val="00F64953"/>
    <w:rsid w:val="00F64C35"/>
    <w:rsid w:val="00F65DD4"/>
    <w:rsid w:val="00F67F95"/>
    <w:rsid w:val="00F707F4"/>
    <w:rsid w:val="00F71D9B"/>
    <w:rsid w:val="00F7262A"/>
    <w:rsid w:val="00F7627A"/>
    <w:rsid w:val="00F775BA"/>
    <w:rsid w:val="00F83148"/>
    <w:rsid w:val="00F832F8"/>
    <w:rsid w:val="00F86C9C"/>
    <w:rsid w:val="00F8704B"/>
    <w:rsid w:val="00F93001"/>
    <w:rsid w:val="00F9506B"/>
    <w:rsid w:val="00F95D12"/>
    <w:rsid w:val="00FA6521"/>
    <w:rsid w:val="00FB1213"/>
    <w:rsid w:val="00FB20EF"/>
    <w:rsid w:val="00FB503B"/>
    <w:rsid w:val="00FC632E"/>
    <w:rsid w:val="00FE7961"/>
    <w:rsid w:val="00FF0BBA"/>
    <w:rsid w:val="00FF1F44"/>
    <w:rsid w:val="00FF2EAE"/>
    <w:rsid w:val="00FF71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49">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EA4"/>
    <w:pPr>
      <w:spacing w:after="200" w:line="276" w:lineRule="auto"/>
      <w:ind w:firstLine="720"/>
      <w:jc w:val="both"/>
    </w:pPr>
    <w:rPr>
      <w:rFonts w:ascii="Calibri" w:hAnsi="Calibri" w:cs="Calibri"/>
      <w:sz w:val="22"/>
      <w:szCs w:val="22"/>
      <w:lang w:val="en-GB" w:eastAsia="en-GB"/>
    </w:rPr>
  </w:style>
  <w:style w:type="paragraph" w:styleId="Heading1">
    <w:name w:val="heading 1"/>
    <w:basedOn w:val="Normal"/>
    <w:next w:val="Normal"/>
    <w:link w:val="Heading1Char"/>
    <w:uiPriority w:val="99"/>
    <w:qFormat/>
    <w:rsid w:val="00520D42"/>
    <w:pPr>
      <w:keepNext/>
      <w:spacing w:before="240" w:after="60"/>
      <w:ind w:firstLine="0"/>
      <w:outlineLvl w:val="0"/>
    </w:pPr>
    <w:rPr>
      <w:rFonts w:cs="Arial"/>
      <w:bCs/>
      <w:caps/>
      <w:kern w:val="32"/>
      <w:sz w:val="28"/>
      <w:szCs w:val="28"/>
      <w:lang w:eastAsia="en-US"/>
    </w:rPr>
  </w:style>
  <w:style w:type="paragraph" w:styleId="Heading2">
    <w:name w:val="heading 2"/>
    <w:basedOn w:val="Normal"/>
    <w:next w:val="Normal"/>
    <w:link w:val="Heading2Char"/>
    <w:uiPriority w:val="99"/>
    <w:qFormat/>
    <w:rsid w:val="00E92F91"/>
    <w:pPr>
      <w:keepNext/>
      <w:spacing w:before="240" w:after="60"/>
      <w:ind w:firstLine="0"/>
      <w:outlineLvl w:val="1"/>
    </w:pPr>
    <w:rPr>
      <w:rFonts w:cs="Arial"/>
      <w:b/>
      <w:bCs/>
      <w:i/>
      <w:iCs/>
      <w:sz w:val="24"/>
      <w:szCs w:val="24"/>
    </w:rPr>
  </w:style>
  <w:style w:type="paragraph" w:styleId="Heading3">
    <w:name w:val="heading 3"/>
    <w:basedOn w:val="Normal"/>
    <w:next w:val="Normal"/>
    <w:link w:val="Heading3Char"/>
    <w:uiPriority w:val="99"/>
    <w:qFormat/>
    <w:rsid w:val="00845A0A"/>
    <w:pPr>
      <w:keepNext/>
      <w:spacing w:before="240" w:after="60"/>
      <w:ind w:firstLine="0"/>
      <w:outlineLvl w:val="2"/>
    </w:pPr>
    <w:rPr>
      <w:rFonts w:cs="Arial"/>
      <w:b/>
      <w:bCs/>
      <w:szCs w:val="26"/>
    </w:rPr>
  </w:style>
  <w:style w:type="paragraph" w:styleId="Heading4">
    <w:name w:val="heading 4"/>
    <w:basedOn w:val="Normal"/>
    <w:next w:val="Normal"/>
    <w:link w:val="Heading4Char"/>
    <w:uiPriority w:val="99"/>
    <w:qFormat/>
    <w:rsid w:val="00AF55F5"/>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20D42"/>
    <w:rPr>
      <w:rFonts w:ascii="Calibri" w:hAnsi="Calibri" w:cs="Arial"/>
      <w:bCs/>
      <w:caps/>
      <w:kern w:val="32"/>
      <w:sz w:val="28"/>
      <w:szCs w:val="28"/>
      <w:lang w:val="en-GB" w:eastAsia="en-US"/>
    </w:rPr>
  </w:style>
  <w:style w:type="character" w:customStyle="1" w:styleId="Heading2Char">
    <w:name w:val="Heading 2 Char"/>
    <w:link w:val="Heading2"/>
    <w:uiPriority w:val="99"/>
    <w:locked/>
    <w:rsid w:val="00E92F91"/>
    <w:rPr>
      <w:rFonts w:ascii="Calibri" w:hAnsi="Calibri" w:cs="Arial"/>
      <w:b/>
      <w:bCs/>
      <w:i/>
      <w:iCs/>
      <w:sz w:val="24"/>
      <w:szCs w:val="24"/>
    </w:rPr>
  </w:style>
  <w:style w:type="character" w:customStyle="1" w:styleId="Heading3Char">
    <w:name w:val="Heading 3 Char"/>
    <w:link w:val="Heading3"/>
    <w:uiPriority w:val="99"/>
    <w:locked/>
    <w:rsid w:val="00845A0A"/>
    <w:rPr>
      <w:rFonts w:ascii="Calibri" w:hAnsi="Calibri" w:cs="Arial"/>
      <w:b/>
      <w:bCs/>
      <w:sz w:val="26"/>
      <w:szCs w:val="26"/>
      <w:lang w:val="en-GB" w:eastAsia="en-GB"/>
    </w:rPr>
  </w:style>
  <w:style w:type="character" w:customStyle="1" w:styleId="Heading4Char">
    <w:name w:val="Heading 4 Char"/>
    <w:link w:val="Heading4"/>
    <w:uiPriority w:val="99"/>
    <w:semiHidden/>
    <w:locked/>
    <w:rsid w:val="006840B0"/>
    <w:rPr>
      <w:rFonts w:ascii="Calibri" w:hAnsi="Calibri" w:cs="Times New Roman"/>
      <w:b/>
      <w:bCs/>
      <w:sz w:val="28"/>
      <w:szCs w:val="28"/>
      <w:lang w:val="en-GB" w:eastAsia="en-GB"/>
    </w:rPr>
  </w:style>
  <w:style w:type="paragraph" w:styleId="BalloonText">
    <w:name w:val="Balloon Text"/>
    <w:basedOn w:val="Normal"/>
    <w:link w:val="BalloonTextChar"/>
    <w:uiPriority w:val="99"/>
    <w:rsid w:val="002A5A20"/>
    <w:rPr>
      <w:rFonts w:ascii="Tahoma" w:hAnsi="Tahoma" w:cs="Tahoma"/>
      <w:sz w:val="16"/>
      <w:szCs w:val="16"/>
    </w:rPr>
  </w:style>
  <w:style w:type="character" w:customStyle="1" w:styleId="BalloonTextChar">
    <w:name w:val="Balloon Text Char"/>
    <w:link w:val="BalloonText"/>
    <w:uiPriority w:val="99"/>
    <w:locked/>
    <w:rsid w:val="002A5A20"/>
    <w:rPr>
      <w:rFonts w:ascii="Tahoma" w:hAnsi="Tahoma" w:cs="Tahoma"/>
      <w:sz w:val="16"/>
      <w:szCs w:val="16"/>
    </w:rPr>
  </w:style>
  <w:style w:type="paragraph" w:customStyle="1" w:styleId="Articletitle">
    <w:name w:val="Article title"/>
    <w:basedOn w:val="Normal"/>
    <w:next w:val="Normal"/>
    <w:uiPriority w:val="99"/>
    <w:rsid w:val="00980661"/>
    <w:rPr>
      <w:b/>
      <w:sz w:val="28"/>
    </w:rPr>
  </w:style>
  <w:style w:type="paragraph" w:customStyle="1" w:styleId="Authornames">
    <w:name w:val="Author names"/>
    <w:basedOn w:val="Normal"/>
    <w:next w:val="Normal"/>
    <w:uiPriority w:val="99"/>
    <w:rsid w:val="00980661"/>
    <w:rPr>
      <w:sz w:val="28"/>
    </w:rPr>
  </w:style>
  <w:style w:type="paragraph" w:customStyle="1" w:styleId="Affiliation">
    <w:name w:val="Affiliation"/>
    <w:basedOn w:val="Normal"/>
    <w:next w:val="Normal"/>
    <w:uiPriority w:val="99"/>
    <w:rsid w:val="00980661"/>
    <w:rPr>
      <w:i/>
    </w:rPr>
  </w:style>
  <w:style w:type="paragraph" w:customStyle="1" w:styleId="Receiveddates">
    <w:name w:val="Received dates"/>
    <w:basedOn w:val="Normal"/>
    <w:next w:val="Normal"/>
    <w:uiPriority w:val="99"/>
    <w:rsid w:val="00980661"/>
    <w:rPr>
      <w:i/>
    </w:rPr>
  </w:style>
  <w:style w:type="paragraph" w:customStyle="1" w:styleId="Abstract">
    <w:name w:val="Abstract"/>
    <w:basedOn w:val="Normal"/>
    <w:next w:val="Normal"/>
    <w:uiPriority w:val="99"/>
    <w:rsid w:val="00980661"/>
    <w:pPr>
      <w:ind w:left="567" w:right="567"/>
    </w:pPr>
    <w:rPr>
      <w:sz w:val="20"/>
    </w:rPr>
  </w:style>
  <w:style w:type="paragraph" w:customStyle="1" w:styleId="Keywords">
    <w:name w:val="Keywords"/>
    <w:basedOn w:val="Normal"/>
    <w:next w:val="Normal"/>
    <w:uiPriority w:val="99"/>
    <w:rsid w:val="00980661"/>
    <w:pPr>
      <w:ind w:left="567"/>
    </w:pPr>
    <w:rPr>
      <w:sz w:val="20"/>
    </w:rPr>
  </w:style>
  <w:style w:type="paragraph" w:customStyle="1" w:styleId="Correspondencedetails">
    <w:name w:val="Correspondence details"/>
    <w:basedOn w:val="Normal"/>
    <w:next w:val="Normal"/>
    <w:uiPriority w:val="99"/>
    <w:rsid w:val="00980661"/>
  </w:style>
  <w:style w:type="paragraph" w:customStyle="1" w:styleId="Displayedquotations">
    <w:name w:val="Displayed quotations"/>
    <w:basedOn w:val="Normal"/>
    <w:next w:val="Normal"/>
    <w:uiPriority w:val="99"/>
    <w:rsid w:val="00AF55F5"/>
    <w:pPr>
      <w:ind w:left="567" w:right="567"/>
    </w:pPr>
    <w:rPr>
      <w:sz w:val="20"/>
    </w:rPr>
  </w:style>
  <w:style w:type="paragraph" w:customStyle="1" w:styleId="Numberedlists">
    <w:name w:val="Numbered lists"/>
    <w:basedOn w:val="Normal"/>
    <w:next w:val="Normal"/>
    <w:uiPriority w:val="99"/>
    <w:rsid w:val="003D0929"/>
    <w:pPr>
      <w:numPr>
        <w:numId w:val="13"/>
      </w:numPr>
    </w:pPr>
  </w:style>
  <w:style w:type="paragraph" w:customStyle="1" w:styleId="Bulletedlists">
    <w:name w:val="Bulleted lists"/>
    <w:basedOn w:val="Normal"/>
    <w:next w:val="Normal"/>
    <w:uiPriority w:val="99"/>
    <w:rsid w:val="003D0929"/>
    <w:pPr>
      <w:numPr>
        <w:numId w:val="14"/>
      </w:numPr>
    </w:pPr>
  </w:style>
  <w:style w:type="paragraph" w:customStyle="1" w:styleId="Equations">
    <w:name w:val="Equations"/>
    <w:basedOn w:val="Normal"/>
    <w:next w:val="Normal"/>
    <w:uiPriority w:val="99"/>
    <w:rsid w:val="008E387B"/>
    <w:pPr>
      <w:jc w:val="center"/>
    </w:pPr>
  </w:style>
  <w:style w:type="paragraph" w:customStyle="1" w:styleId="Acknowledgements">
    <w:name w:val="Acknowledgements"/>
    <w:basedOn w:val="Normal"/>
    <w:next w:val="Normal"/>
    <w:uiPriority w:val="99"/>
    <w:rsid w:val="008E387B"/>
    <w:rPr>
      <w:sz w:val="20"/>
    </w:rPr>
  </w:style>
  <w:style w:type="paragraph" w:customStyle="1" w:styleId="Tabletitle">
    <w:name w:val="Table title"/>
    <w:basedOn w:val="Normal"/>
    <w:next w:val="Normal"/>
    <w:uiPriority w:val="99"/>
    <w:rsid w:val="00CA1614"/>
    <w:pPr>
      <w:keepNext/>
      <w:spacing w:after="120"/>
      <w:ind w:left="720" w:hanging="720"/>
    </w:pPr>
    <w:rPr>
      <w:b/>
      <w:lang w:eastAsia="en-US"/>
    </w:rPr>
  </w:style>
  <w:style w:type="paragraph" w:customStyle="1" w:styleId="Figurelegend">
    <w:name w:val="Figure legend"/>
    <w:basedOn w:val="Normal"/>
    <w:next w:val="Normal"/>
    <w:uiPriority w:val="99"/>
    <w:rsid w:val="008E387B"/>
  </w:style>
  <w:style w:type="paragraph" w:customStyle="1" w:styleId="Footnotes">
    <w:name w:val="Footnotes"/>
    <w:basedOn w:val="FootnoteText"/>
    <w:next w:val="Normal"/>
    <w:uiPriority w:val="99"/>
    <w:rsid w:val="004261F8"/>
    <w:pPr>
      <w:ind w:firstLine="0"/>
    </w:pPr>
    <w:rPr>
      <w:rFonts w:cs="Times New Roman"/>
      <w:lang w:val="en-GB"/>
    </w:rPr>
  </w:style>
  <w:style w:type="paragraph" w:customStyle="1" w:styleId="Notesoncontributors">
    <w:name w:val="Notes on contributors"/>
    <w:basedOn w:val="Normal"/>
    <w:next w:val="Normal"/>
    <w:uiPriority w:val="99"/>
    <w:rsid w:val="008E387B"/>
    <w:rPr>
      <w:sz w:val="20"/>
    </w:rPr>
  </w:style>
  <w:style w:type="paragraph" w:customStyle="1" w:styleId="Normalparagraphstyle">
    <w:name w:val="Normal paragraph style"/>
    <w:basedOn w:val="Normal"/>
    <w:next w:val="Normal"/>
    <w:uiPriority w:val="99"/>
    <w:rsid w:val="00562DEF"/>
    <w:pPr>
      <w:spacing w:line="480" w:lineRule="auto"/>
    </w:pPr>
  </w:style>
  <w:style w:type="paragraph" w:customStyle="1" w:styleId="Firstparagraphstyle">
    <w:name w:val="First paragraph style"/>
    <w:basedOn w:val="Normal"/>
    <w:next w:val="Normal"/>
    <w:uiPriority w:val="99"/>
    <w:rsid w:val="00E22B95"/>
    <w:pPr>
      <w:spacing w:line="480" w:lineRule="auto"/>
    </w:pPr>
  </w:style>
  <w:style w:type="paragraph" w:customStyle="1" w:styleId="Follow-onparagraphstyle">
    <w:name w:val="Follow-on paragraph style"/>
    <w:basedOn w:val="Normal"/>
    <w:next w:val="Normal"/>
    <w:uiPriority w:val="99"/>
    <w:rsid w:val="00E22B95"/>
    <w:pPr>
      <w:spacing w:line="480" w:lineRule="auto"/>
    </w:pPr>
  </w:style>
  <w:style w:type="paragraph" w:styleId="NormalIndent">
    <w:name w:val="Normal Indent"/>
    <w:basedOn w:val="Normal"/>
    <w:uiPriority w:val="99"/>
    <w:rsid w:val="00526454"/>
    <w:pPr>
      <w:ind w:left="720"/>
    </w:pPr>
  </w:style>
  <w:style w:type="paragraph" w:customStyle="1" w:styleId="References">
    <w:name w:val="References"/>
    <w:basedOn w:val="Normal"/>
    <w:next w:val="Normal"/>
    <w:uiPriority w:val="99"/>
    <w:rsid w:val="00267A18"/>
    <w:pPr>
      <w:ind w:left="720" w:hanging="720"/>
    </w:pPr>
  </w:style>
  <w:style w:type="paragraph" w:customStyle="1" w:styleId="Brdtext">
    <w:name w:val="Brödtext"/>
    <w:basedOn w:val="Normal"/>
    <w:next w:val="Normal"/>
    <w:uiPriority w:val="99"/>
    <w:rsid w:val="0088514B"/>
    <w:pPr>
      <w:autoSpaceDE w:val="0"/>
      <w:autoSpaceDN w:val="0"/>
      <w:adjustRightInd w:val="0"/>
    </w:pPr>
  </w:style>
  <w:style w:type="character" w:styleId="Hyperlink">
    <w:name w:val="Hyperlink"/>
    <w:uiPriority w:val="99"/>
    <w:rsid w:val="0088514B"/>
    <w:rPr>
      <w:rFonts w:cs="Times New Roman"/>
      <w:color w:val="0000FF"/>
      <w:u w:val="single"/>
    </w:rPr>
  </w:style>
  <w:style w:type="paragraph" w:styleId="FootnoteText">
    <w:name w:val="footnote text"/>
    <w:aliases w:val="fn"/>
    <w:basedOn w:val="Normal"/>
    <w:link w:val="FootnoteTextChar"/>
    <w:uiPriority w:val="99"/>
    <w:rsid w:val="0088514B"/>
    <w:rPr>
      <w:sz w:val="20"/>
      <w:szCs w:val="20"/>
      <w:lang w:val="en-AU" w:eastAsia="en-US"/>
    </w:rPr>
  </w:style>
  <w:style w:type="character" w:customStyle="1" w:styleId="FootnoteTextChar">
    <w:name w:val="Footnote Text Char"/>
    <w:aliases w:val="fn Char"/>
    <w:link w:val="FootnoteText"/>
    <w:uiPriority w:val="99"/>
    <w:locked/>
    <w:rsid w:val="0088514B"/>
    <w:rPr>
      <w:rFonts w:cs="Times New Roman"/>
      <w:lang w:val="en-AU" w:eastAsia="en-US"/>
    </w:rPr>
  </w:style>
  <w:style w:type="character" w:styleId="FootnoteReference">
    <w:name w:val="footnote reference"/>
    <w:uiPriority w:val="99"/>
    <w:rsid w:val="0088514B"/>
    <w:rPr>
      <w:rFonts w:cs="Times New Roman"/>
      <w:vertAlign w:val="superscript"/>
    </w:rPr>
  </w:style>
  <w:style w:type="character" w:customStyle="1" w:styleId="Style11pt">
    <w:name w:val="Style 11 pt"/>
    <w:uiPriority w:val="99"/>
    <w:rsid w:val="001B1800"/>
    <w:rPr>
      <w:rFonts w:ascii="Times New Roman" w:hAnsi="Times New Roman" w:cs="Times New Roman"/>
      <w:sz w:val="22"/>
      <w:szCs w:val="22"/>
    </w:rPr>
  </w:style>
  <w:style w:type="paragraph" w:customStyle="1" w:styleId="Tabellklla">
    <w:name w:val="Tabellkälla"/>
    <w:basedOn w:val="Normal"/>
    <w:next w:val="Normal"/>
    <w:uiPriority w:val="99"/>
    <w:rsid w:val="000D4271"/>
    <w:pPr>
      <w:spacing w:after="280" w:line="220" w:lineRule="exact"/>
    </w:pPr>
    <w:rPr>
      <w:rFonts w:ascii="Frutiger 45 Light" w:hAnsi="Frutiger 45 Light"/>
      <w:i/>
      <w:color w:val="000000"/>
      <w:sz w:val="16"/>
      <w:szCs w:val="20"/>
      <w:lang w:val="de-DE" w:eastAsia="sv-SE"/>
    </w:rPr>
  </w:style>
  <w:style w:type="character" w:styleId="CommentReference">
    <w:name w:val="annotation reference"/>
    <w:uiPriority w:val="99"/>
    <w:rsid w:val="002A5A20"/>
    <w:rPr>
      <w:rFonts w:cs="Times New Roman"/>
      <w:sz w:val="16"/>
      <w:szCs w:val="16"/>
    </w:rPr>
  </w:style>
  <w:style w:type="paragraph" w:styleId="CommentText">
    <w:name w:val="annotation text"/>
    <w:basedOn w:val="Normal"/>
    <w:link w:val="CommentTextChar"/>
    <w:uiPriority w:val="99"/>
    <w:rsid w:val="002E296E"/>
    <w:rPr>
      <w:rFonts w:ascii="Arial Narrow" w:hAnsi="Arial Narrow"/>
      <w:sz w:val="20"/>
      <w:szCs w:val="20"/>
      <w:lang w:val="en-AU" w:eastAsia="en-US"/>
    </w:rPr>
  </w:style>
  <w:style w:type="character" w:customStyle="1" w:styleId="CommentTextChar">
    <w:name w:val="Comment Text Char"/>
    <w:link w:val="CommentText"/>
    <w:uiPriority w:val="99"/>
    <w:locked/>
    <w:rsid w:val="002E296E"/>
    <w:rPr>
      <w:rFonts w:ascii="Arial Narrow" w:hAnsi="Arial Narrow" w:cs="Calibri"/>
      <w:sz w:val="20"/>
      <w:szCs w:val="20"/>
      <w:lang w:val="en-AU" w:eastAsia="en-US"/>
    </w:rPr>
  </w:style>
  <w:style w:type="paragraph" w:customStyle="1" w:styleId="StyleJustifiedLinespacing15lines">
    <w:name w:val="Style Justified Line spacing:  1.5 lines"/>
    <w:basedOn w:val="Normal"/>
    <w:uiPriority w:val="99"/>
    <w:rsid w:val="002A5A20"/>
    <w:pPr>
      <w:spacing w:line="360" w:lineRule="auto"/>
    </w:pPr>
    <w:rPr>
      <w:lang w:val="en-AU" w:eastAsia="en-US"/>
    </w:rPr>
  </w:style>
  <w:style w:type="table" w:styleId="TableGrid">
    <w:name w:val="Table Grid"/>
    <w:basedOn w:val="TableNormal"/>
    <w:uiPriority w:val="99"/>
    <w:rsid w:val="00875D2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2E57EA"/>
    <w:pPr>
      <w:ind w:left="720" w:firstLine="2977"/>
      <w:contextualSpacing/>
    </w:pPr>
    <w:rPr>
      <w:lang w:val="hr-HR" w:eastAsia="en-US"/>
    </w:rPr>
  </w:style>
  <w:style w:type="paragraph" w:customStyle="1" w:styleId="StyleJustifiedAfter10ptLinespacing15lines">
    <w:name w:val="Style Justified After:  10 pt Line spacing:  1.5 lines"/>
    <w:basedOn w:val="Normal"/>
    <w:uiPriority w:val="99"/>
    <w:rsid w:val="00A044B6"/>
    <w:pPr>
      <w:spacing w:line="360" w:lineRule="auto"/>
    </w:pPr>
    <w:rPr>
      <w:lang w:val="en-AU" w:eastAsia="en-US"/>
    </w:rPr>
  </w:style>
  <w:style w:type="character" w:customStyle="1" w:styleId="StyleBold">
    <w:name w:val="Style Bold"/>
    <w:uiPriority w:val="99"/>
    <w:rsid w:val="00A044B6"/>
    <w:rPr>
      <w:rFonts w:ascii="Times New Roman" w:hAnsi="Times New Roman" w:cs="Times New Roman"/>
      <w:b/>
      <w:bCs/>
      <w:sz w:val="22"/>
    </w:rPr>
  </w:style>
  <w:style w:type="paragraph" w:styleId="CommentSubject">
    <w:name w:val="annotation subject"/>
    <w:basedOn w:val="CommentText"/>
    <w:next w:val="CommentText"/>
    <w:link w:val="CommentSubjectChar"/>
    <w:uiPriority w:val="99"/>
    <w:rsid w:val="00A044B6"/>
    <w:rPr>
      <w:b/>
      <w:bCs/>
      <w:lang w:val="en-GB" w:eastAsia="en-GB"/>
    </w:rPr>
  </w:style>
  <w:style w:type="character" w:customStyle="1" w:styleId="CommentSubjectChar">
    <w:name w:val="Comment Subject Char"/>
    <w:link w:val="CommentSubject"/>
    <w:uiPriority w:val="99"/>
    <w:locked/>
    <w:rsid w:val="00A044B6"/>
    <w:rPr>
      <w:rFonts w:ascii="Arial Narrow" w:hAnsi="Arial Narrow" w:cs="Times New Roman"/>
      <w:b/>
      <w:bCs/>
      <w:sz w:val="20"/>
      <w:szCs w:val="20"/>
      <w:lang w:val="en-AU" w:eastAsia="en-US"/>
    </w:rPr>
  </w:style>
  <w:style w:type="paragraph" w:styleId="BodyText">
    <w:name w:val="Body Text"/>
    <w:basedOn w:val="Normal"/>
    <w:link w:val="BodyTextChar"/>
    <w:uiPriority w:val="99"/>
    <w:rsid w:val="00897209"/>
    <w:pPr>
      <w:spacing w:line="360" w:lineRule="auto"/>
    </w:pPr>
    <w:rPr>
      <w:lang w:val="en-AU" w:eastAsia="en-US"/>
    </w:rPr>
  </w:style>
  <w:style w:type="character" w:customStyle="1" w:styleId="BodyTextChar">
    <w:name w:val="Body Text Char"/>
    <w:link w:val="BodyText"/>
    <w:uiPriority w:val="99"/>
    <w:locked/>
    <w:rsid w:val="00897209"/>
    <w:rPr>
      <w:rFonts w:cs="Times New Roman"/>
      <w:sz w:val="24"/>
      <w:szCs w:val="24"/>
      <w:lang w:val="en-AU" w:eastAsia="en-US"/>
    </w:rPr>
  </w:style>
  <w:style w:type="paragraph" w:customStyle="1" w:styleId="Tabellkropp">
    <w:name w:val="Tabellkropp"/>
    <w:uiPriority w:val="99"/>
    <w:rsid w:val="00897209"/>
    <w:pPr>
      <w:spacing w:line="220" w:lineRule="exact"/>
    </w:pPr>
    <w:rPr>
      <w:rFonts w:ascii="Frutiger 45 Light" w:hAnsi="Frutiger 45 Light"/>
      <w:color w:val="000000"/>
      <w:sz w:val="16"/>
      <w:lang w:val="de-DE" w:eastAsia="sv-SE"/>
    </w:rPr>
  </w:style>
  <w:style w:type="paragraph" w:customStyle="1" w:styleId="StyleBodyTextAfter10pt">
    <w:name w:val="Style Body Text + After:  10 pt"/>
    <w:basedOn w:val="BodyText"/>
    <w:uiPriority w:val="99"/>
    <w:rsid w:val="00897209"/>
  </w:style>
  <w:style w:type="paragraph" w:styleId="BodyTextIndent">
    <w:name w:val="Body Text Indent"/>
    <w:basedOn w:val="Normal"/>
    <w:link w:val="BodyTextIndentChar"/>
    <w:uiPriority w:val="99"/>
    <w:rsid w:val="0079220D"/>
    <w:pPr>
      <w:tabs>
        <w:tab w:val="left" w:pos="8280"/>
        <w:tab w:val="left" w:pos="8505"/>
      </w:tabs>
      <w:spacing w:line="480" w:lineRule="auto"/>
      <w:ind w:right="386" w:firstLine="567"/>
    </w:pPr>
    <w:rPr>
      <w:iCs/>
      <w:lang w:val="en-AU" w:eastAsia="en-US"/>
    </w:rPr>
  </w:style>
  <w:style w:type="character" w:customStyle="1" w:styleId="BodyTextIndentChar">
    <w:name w:val="Body Text Indent Char"/>
    <w:link w:val="BodyTextIndent"/>
    <w:uiPriority w:val="99"/>
    <w:locked/>
    <w:rsid w:val="0079220D"/>
    <w:rPr>
      <w:rFonts w:cs="Times New Roman"/>
      <w:iCs/>
      <w:sz w:val="24"/>
      <w:szCs w:val="24"/>
      <w:lang w:val="en-AU" w:eastAsia="en-US"/>
    </w:rPr>
  </w:style>
  <w:style w:type="paragraph" w:styleId="BodyText2">
    <w:name w:val="Body Text 2"/>
    <w:basedOn w:val="Normal"/>
    <w:link w:val="BodyText2Char"/>
    <w:uiPriority w:val="99"/>
    <w:rsid w:val="0079220D"/>
    <w:pPr>
      <w:spacing w:line="360" w:lineRule="auto"/>
    </w:pPr>
    <w:rPr>
      <w:lang w:val="en-AU" w:eastAsia="en-US"/>
    </w:rPr>
  </w:style>
  <w:style w:type="character" w:customStyle="1" w:styleId="BodyText2Char">
    <w:name w:val="Body Text 2 Char"/>
    <w:link w:val="BodyText2"/>
    <w:uiPriority w:val="99"/>
    <w:locked/>
    <w:rsid w:val="0079220D"/>
    <w:rPr>
      <w:rFonts w:cs="Times New Roman"/>
      <w:sz w:val="24"/>
      <w:szCs w:val="24"/>
      <w:lang w:val="en-AU" w:eastAsia="en-US"/>
    </w:rPr>
  </w:style>
  <w:style w:type="character" w:styleId="FollowedHyperlink">
    <w:name w:val="FollowedHyperlink"/>
    <w:uiPriority w:val="99"/>
    <w:rsid w:val="0079220D"/>
    <w:rPr>
      <w:rFonts w:cs="Times New Roman"/>
      <w:color w:val="800080"/>
      <w:u w:val="single"/>
    </w:rPr>
  </w:style>
  <w:style w:type="paragraph" w:customStyle="1" w:styleId="Default">
    <w:name w:val="Default"/>
    <w:uiPriority w:val="99"/>
    <w:rsid w:val="0079220D"/>
    <w:pPr>
      <w:autoSpaceDE w:val="0"/>
      <w:autoSpaceDN w:val="0"/>
      <w:adjustRightInd w:val="0"/>
    </w:pPr>
    <w:rPr>
      <w:color w:val="000000"/>
      <w:sz w:val="24"/>
      <w:szCs w:val="24"/>
      <w:lang w:val="en-GB" w:eastAsia="en-GB"/>
    </w:rPr>
  </w:style>
  <w:style w:type="paragraph" w:styleId="TOC1">
    <w:name w:val="toc 1"/>
    <w:basedOn w:val="Normal"/>
    <w:next w:val="Normal"/>
    <w:autoRedefine/>
    <w:uiPriority w:val="99"/>
    <w:rsid w:val="0079220D"/>
    <w:pPr>
      <w:numPr>
        <w:numId w:val="25"/>
      </w:numPr>
      <w:tabs>
        <w:tab w:val="left" w:pos="8100"/>
        <w:tab w:val="right" w:leader="dot" w:pos="8720"/>
      </w:tabs>
      <w:spacing w:line="360" w:lineRule="auto"/>
      <w:ind w:right="26" w:hanging="720"/>
    </w:pPr>
    <w:rPr>
      <w:b/>
      <w:bCs/>
      <w:lang w:val="en-AU" w:eastAsia="en-US"/>
    </w:rPr>
  </w:style>
  <w:style w:type="paragraph" w:customStyle="1" w:styleId="xl40">
    <w:name w:val="xl40"/>
    <w:basedOn w:val="Normal"/>
    <w:uiPriority w:val="99"/>
    <w:rsid w:val="0079220D"/>
    <w:pPr>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lang w:eastAsia="en-US"/>
    </w:rPr>
  </w:style>
  <w:style w:type="paragraph" w:customStyle="1" w:styleId="Tabellhuvud">
    <w:name w:val="Tabellhuvud"/>
    <w:basedOn w:val="Tabellkropp"/>
    <w:autoRedefine/>
    <w:uiPriority w:val="99"/>
    <w:rsid w:val="0079220D"/>
    <w:pPr>
      <w:jc w:val="both"/>
    </w:pPr>
    <w:rPr>
      <w:rFonts w:ascii="Times New Roman" w:hAnsi="Times New Roman"/>
      <w:b/>
      <w:bCs/>
      <w:sz w:val="22"/>
      <w:szCs w:val="22"/>
      <w:lang w:val="en-GB"/>
    </w:rPr>
  </w:style>
  <w:style w:type="character" w:customStyle="1" w:styleId="TabellkllaChar">
    <w:name w:val="Tabellkälla Char"/>
    <w:uiPriority w:val="99"/>
    <w:rsid w:val="0079220D"/>
    <w:rPr>
      <w:rFonts w:ascii="Frutiger 45 Light" w:hAnsi="Frutiger 45 Light" w:cs="Times New Roman"/>
      <w:i/>
      <w:color w:val="000000"/>
      <w:sz w:val="16"/>
      <w:lang w:val="de-DE" w:eastAsia="sv-SE" w:bidi="ar-SA"/>
    </w:rPr>
  </w:style>
  <w:style w:type="character" w:customStyle="1" w:styleId="TabellkroppChar">
    <w:name w:val="Tabellkropp Char"/>
    <w:uiPriority w:val="99"/>
    <w:rsid w:val="0079220D"/>
    <w:rPr>
      <w:rFonts w:ascii="Frutiger 45 Light" w:hAnsi="Frutiger 45 Light" w:cs="Times New Roman"/>
      <w:color w:val="000000"/>
      <w:sz w:val="16"/>
      <w:lang w:val="de-DE" w:eastAsia="sv-SE" w:bidi="ar-SA"/>
    </w:rPr>
  </w:style>
  <w:style w:type="character" w:customStyle="1" w:styleId="TabellhuvudChar">
    <w:name w:val="Tabellhuvud Char"/>
    <w:uiPriority w:val="99"/>
    <w:rsid w:val="0079220D"/>
    <w:rPr>
      <w:rFonts w:ascii="Frutiger 45 Light" w:hAnsi="Frutiger 45 Light" w:cs="Times New Roman"/>
      <w:bCs/>
      <w:color w:val="000000"/>
      <w:sz w:val="16"/>
      <w:lang w:val="en-GB" w:eastAsia="sv-SE" w:bidi="ar-SA"/>
    </w:rPr>
  </w:style>
  <w:style w:type="paragraph" w:customStyle="1" w:styleId="xl25">
    <w:name w:val="xl25"/>
    <w:basedOn w:val="Normal"/>
    <w:uiPriority w:val="99"/>
    <w:rsid w:val="0079220D"/>
    <w:pPr>
      <w:pBdr>
        <w:bottom w:val="single" w:sz="4" w:space="0" w:color="auto"/>
      </w:pBdr>
      <w:spacing w:before="100" w:beforeAutospacing="1" w:after="100" w:afterAutospacing="1"/>
    </w:pPr>
    <w:rPr>
      <w:rFonts w:eastAsia="Arial Unicode MS"/>
      <w:lang w:eastAsia="en-US"/>
    </w:rPr>
  </w:style>
  <w:style w:type="paragraph" w:styleId="BodyText3">
    <w:name w:val="Body Text 3"/>
    <w:basedOn w:val="Normal"/>
    <w:link w:val="BodyText3Char"/>
    <w:uiPriority w:val="99"/>
    <w:rsid w:val="0079220D"/>
    <w:pPr>
      <w:spacing w:after="120"/>
    </w:pPr>
    <w:rPr>
      <w:sz w:val="16"/>
      <w:szCs w:val="16"/>
      <w:lang w:eastAsia="hr-HR"/>
    </w:rPr>
  </w:style>
  <w:style w:type="character" w:customStyle="1" w:styleId="BodyText3Char">
    <w:name w:val="Body Text 3 Char"/>
    <w:link w:val="BodyText3"/>
    <w:uiPriority w:val="99"/>
    <w:locked/>
    <w:rsid w:val="0079220D"/>
    <w:rPr>
      <w:rFonts w:cs="Times New Roman"/>
      <w:sz w:val="16"/>
      <w:szCs w:val="16"/>
      <w:lang w:val="en-US" w:eastAsia="hr-HR"/>
    </w:rPr>
  </w:style>
  <w:style w:type="paragraph" w:styleId="Footer">
    <w:name w:val="footer"/>
    <w:basedOn w:val="Normal"/>
    <w:link w:val="FooterChar"/>
    <w:uiPriority w:val="99"/>
    <w:rsid w:val="0079220D"/>
    <w:pPr>
      <w:tabs>
        <w:tab w:val="center" w:pos="4320"/>
        <w:tab w:val="right" w:pos="8640"/>
      </w:tabs>
    </w:pPr>
    <w:rPr>
      <w:lang w:val="en-AU" w:eastAsia="en-US"/>
    </w:rPr>
  </w:style>
  <w:style w:type="character" w:customStyle="1" w:styleId="FooterChar">
    <w:name w:val="Footer Char"/>
    <w:link w:val="Footer"/>
    <w:uiPriority w:val="99"/>
    <w:locked/>
    <w:rsid w:val="0079220D"/>
    <w:rPr>
      <w:rFonts w:cs="Times New Roman"/>
      <w:sz w:val="24"/>
      <w:szCs w:val="24"/>
      <w:lang w:val="en-AU" w:eastAsia="en-US"/>
    </w:rPr>
  </w:style>
  <w:style w:type="character" w:styleId="PageNumber">
    <w:name w:val="page number"/>
    <w:uiPriority w:val="99"/>
    <w:rsid w:val="0079220D"/>
    <w:rPr>
      <w:rFonts w:cs="Times New Roman"/>
    </w:rPr>
  </w:style>
  <w:style w:type="paragraph" w:customStyle="1" w:styleId="StyleBrdtextJustifiedLinespacing15lines">
    <w:name w:val="Style Brödtext + Justified Line spacing:  1.5 lines"/>
    <w:basedOn w:val="Brdtext"/>
    <w:uiPriority w:val="99"/>
    <w:rsid w:val="0079220D"/>
    <w:pPr>
      <w:spacing w:line="360" w:lineRule="auto"/>
    </w:pPr>
  </w:style>
  <w:style w:type="paragraph" w:styleId="Header">
    <w:name w:val="header"/>
    <w:basedOn w:val="Normal"/>
    <w:link w:val="HeaderChar"/>
    <w:uiPriority w:val="99"/>
    <w:rsid w:val="0079220D"/>
    <w:pPr>
      <w:tabs>
        <w:tab w:val="center" w:pos="4153"/>
        <w:tab w:val="right" w:pos="8306"/>
      </w:tabs>
    </w:pPr>
    <w:rPr>
      <w:lang w:val="en-AU" w:eastAsia="en-US"/>
    </w:rPr>
  </w:style>
  <w:style w:type="character" w:customStyle="1" w:styleId="HeaderChar">
    <w:name w:val="Header Char"/>
    <w:link w:val="Header"/>
    <w:uiPriority w:val="99"/>
    <w:locked/>
    <w:rsid w:val="0079220D"/>
    <w:rPr>
      <w:rFonts w:cs="Times New Roman"/>
      <w:sz w:val="24"/>
      <w:szCs w:val="24"/>
      <w:lang w:val="en-AU" w:eastAsia="en-US"/>
    </w:rPr>
  </w:style>
  <w:style w:type="paragraph" w:customStyle="1" w:styleId="StyleBodyText3Latin12ptComplex10ptJustifiedLine">
    <w:name w:val="Style Body Text 3 + (Latin) 12 pt (Complex) 10 pt Justified Line..."/>
    <w:basedOn w:val="BodyText3"/>
    <w:uiPriority w:val="99"/>
    <w:rsid w:val="0079220D"/>
    <w:pPr>
      <w:spacing w:line="360" w:lineRule="auto"/>
    </w:pPr>
    <w:rPr>
      <w:sz w:val="22"/>
      <w:szCs w:val="20"/>
    </w:rPr>
  </w:style>
  <w:style w:type="paragraph" w:styleId="EndnoteText">
    <w:name w:val="endnote text"/>
    <w:basedOn w:val="Normal"/>
    <w:link w:val="EndnoteTextChar"/>
    <w:uiPriority w:val="99"/>
    <w:rsid w:val="00F51C57"/>
    <w:rPr>
      <w:sz w:val="20"/>
      <w:szCs w:val="20"/>
    </w:rPr>
  </w:style>
  <w:style w:type="character" w:customStyle="1" w:styleId="EndnoteTextChar">
    <w:name w:val="Endnote Text Char"/>
    <w:link w:val="EndnoteText"/>
    <w:uiPriority w:val="99"/>
    <w:locked/>
    <w:rsid w:val="00F51C57"/>
    <w:rPr>
      <w:rFonts w:cs="Times New Roman"/>
      <w:lang w:val="en-GB" w:eastAsia="en-GB"/>
    </w:rPr>
  </w:style>
  <w:style w:type="character" w:styleId="EndnoteReference">
    <w:name w:val="endnote reference"/>
    <w:uiPriority w:val="99"/>
    <w:rsid w:val="00F51C57"/>
    <w:rPr>
      <w:rFonts w:cs="Times New Roman"/>
      <w:vertAlign w:val="superscript"/>
    </w:rPr>
  </w:style>
  <w:style w:type="table" w:styleId="TableClassic1">
    <w:name w:val="Table Classic 1"/>
    <w:basedOn w:val="TableNormal"/>
    <w:uiPriority w:val="99"/>
    <w:rsid w:val="00F64953"/>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customStyle="1" w:styleId="hps">
    <w:name w:val="hps"/>
    <w:rsid w:val="00CB32D8"/>
    <w:rPr>
      <w:rFonts w:cs="Times New Roman"/>
    </w:rPr>
  </w:style>
  <w:style w:type="character" w:customStyle="1" w:styleId="shorttext">
    <w:name w:val="short_text"/>
    <w:uiPriority w:val="99"/>
    <w:rsid w:val="00CC78E0"/>
    <w:rPr>
      <w:rFonts w:cs="Times New Roman"/>
    </w:rPr>
  </w:style>
  <w:style w:type="character" w:customStyle="1" w:styleId="style7">
    <w:name w:val="style7"/>
    <w:uiPriority w:val="99"/>
    <w:rsid w:val="00C1747E"/>
    <w:rPr>
      <w:rFonts w:cs="Times New Roman"/>
    </w:rPr>
  </w:style>
  <w:style w:type="character" w:customStyle="1" w:styleId="tabele">
    <w:name w:val="tabele"/>
    <w:uiPriority w:val="99"/>
    <w:rsid w:val="00C1747E"/>
    <w:rPr>
      <w:rFonts w:cs="Times New Roman"/>
    </w:rPr>
  </w:style>
  <w:style w:type="paragraph" w:styleId="Revision">
    <w:name w:val="Revision"/>
    <w:hidden/>
    <w:uiPriority w:val="99"/>
    <w:semiHidden/>
    <w:rsid w:val="00A21C5A"/>
    <w:rPr>
      <w:rFonts w:ascii="Calibri" w:hAnsi="Calibri" w:cs="Calibri"/>
      <w:sz w:val="22"/>
      <w:szCs w:val="22"/>
      <w:lang w:eastAsia="en-GB"/>
    </w:rPr>
  </w:style>
  <w:style w:type="character" w:customStyle="1" w:styleId="st">
    <w:name w:val="st"/>
    <w:uiPriority w:val="99"/>
    <w:rsid w:val="00DA443C"/>
    <w:rPr>
      <w:rFonts w:cs="Times New Roman"/>
    </w:rPr>
  </w:style>
  <w:style w:type="character" w:customStyle="1" w:styleId="apple-converted-space">
    <w:name w:val="apple-converted-space"/>
    <w:rsid w:val="00515754"/>
    <w:rPr>
      <w:rFonts w:cs="Times New Roman"/>
    </w:rPr>
  </w:style>
</w:styles>
</file>

<file path=word/webSettings.xml><?xml version="1.0" encoding="utf-8"?>
<w:webSettings xmlns:r="http://schemas.openxmlformats.org/officeDocument/2006/relationships" xmlns:w="http://schemas.openxmlformats.org/wordprocessingml/2006/main">
  <w:divs>
    <w:div w:id="1263299465">
      <w:bodyDiv w:val="1"/>
      <w:marLeft w:val="0"/>
      <w:marRight w:val="0"/>
      <w:marTop w:val="0"/>
      <w:marBottom w:val="0"/>
      <w:divBdr>
        <w:top w:val="none" w:sz="0" w:space="0" w:color="auto"/>
        <w:left w:val="none" w:sz="0" w:space="0" w:color="auto"/>
        <w:bottom w:val="none" w:sz="0" w:space="0" w:color="auto"/>
        <w:right w:val="none" w:sz="0" w:space="0" w:color="auto"/>
      </w:divBdr>
    </w:div>
    <w:div w:id="2008745112">
      <w:marLeft w:val="0"/>
      <w:marRight w:val="0"/>
      <w:marTop w:val="0"/>
      <w:marBottom w:val="0"/>
      <w:divBdr>
        <w:top w:val="none" w:sz="0" w:space="0" w:color="auto"/>
        <w:left w:val="none" w:sz="0" w:space="0" w:color="auto"/>
        <w:bottom w:val="none" w:sz="0" w:space="0" w:color="auto"/>
        <w:right w:val="none" w:sz="0" w:space="0" w:color="auto"/>
      </w:divBdr>
    </w:div>
    <w:div w:id="2008745113">
      <w:marLeft w:val="0"/>
      <w:marRight w:val="0"/>
      <w:marTop w:val="0"/>
      <w:marBottom w:val="0"/>
      <w:divBdr>
        <w:top w:val="none" w:sz="0" w:space="0" w:color="auto"/>
        <w:left w:val="none" w:sz="0" w:space="0" w:color="auto"/>
        <w:bottom w:val="none" w:sz="0" w:space="0" w:color="auto"/>
        <w:right w:val="none" w:sz="0" w:space="0" w:color="auto"/>
      </w:divBdr>
    </w:div>
    <w:div w:id="2008745114">
      <w:marLeft w:val="0"/>
      <w:marRight w:val="0"/>
      <w:marTop w:val="0"/>
      <w:marBottom w:val="0"/>
      <w:divBdr>
        <w:top w:val="none" w:sz="0" w:space="0" w:color="auto"/>
        <w:left w:val="none" w:sz="0" w:space="0" w:color="auto"/>
        <w:bottom w:val="none" w:sz="0" w:space="0" w:color="auto"/>
        <w:right w:val="none" w:sz="0" w:space="0" w:color="auto"/>
      </w:divBdr>
    </w:div>
    <w:div w:id="20087451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hart" Target="charts/chart2.xml"/><Relationship Id="rId18" Type="http://schemas.openxmlformats.org/officeDocument/2006/relationships/hyperlink" Target="http://web.worldbank.org/WBSITE/EXTERNAL/COUNTRIES/ECAEXT/BOSNIAHERZEXTN/0,,contentMDK:20788032~pagePK:141137~piPK:141127~theSitePK:362026,00.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package" Target="embeddings/Microsoft_Office_Excel_Worksheet2.xlsx"/><Relationship Id="rId17" Type="http://schemas.openxmlformats.org/officeDocument/2006/relationships/hyperlink" Target="https://communities.usaidallnet.gov/st/sites/st/file/BOSNIA%20&amp;%20HERZEGOVINA%20Labor%20Market%20Profile_0.pdf"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oma.uino.gov.ba/04_izvjestaji.asp?l=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footer" Target="footer2.xml"/><Relationship Id="rId10" Type="http://schemas.openxmlformats.org/officeDocument/2006/relationships/chart" Target="charts/chart1.xml"/><Relationship Id="rId19" Type="http://schemas.openxmlformats.org/officeDocument/2006/relationships/hyperlink" Target="http://www.wto.org/english/res_e/booksp_e/anrep_e/trade_profiles11_e.pdf" TargetMode="External"/><Relationship Id="rId4" Type="http://schemas.openxmlformats.org/officeDocument/2006/relationships/settings" Target="settings.xml"/><Relationship Id="rId9" Type="http://schemas.openxmlformats.org/officeDocument/2006/relationships/package" Target="embeddings/Microsoft_Office_Excel_Worksheet1.xlsx"/><Relationship Id="rId14" Type="http://schemas.openxmlformats.org/officeDocument/2006/relationships/chart" Target="charts/chart3.xml"/><Relationship Id="rId22" Type="http://schemas.openxmlformats.org/officeDocument/2006/relationships/footer" Target="foot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en.wikipedia.org/wiki/Moldova" TargetMode="External"/><Relationship Id="rId1" Type="http://schemas.openxmlformats.org/officeDocument/2006/relationships/hyperlink" Target="http://en.wikipedia.org/wiki/Regional_Co-operation_Counc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User\LOCALS~1\Temp\TF_Template_Word_XP_2007.dotx"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ilo\gva\EMP\EDEMP\V-EDEMP\EMP_MSU\ETE_PROJECT\Publications\Trade%20Employment%20in%20Agriculture\Chapter%209%20Bosnia%20Vanzetti%20and%20Nikolic\BH%20report%20figures%20Jan%2015.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ilo\gva\EMP\EDEMP\V-EDEMP\EMP_MSU\ETE_PROJECT\Publications\Trade%20Employment%20in%20Agriculture\Chapter%209%20Bosnia%20Vanzetti%20and%20Nikolic\BH%20report%20figures%20Jan%2015.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ilo\gva\EMP\EDEMP\V-EDEMP\EMP_MSU\ETE_PROJECT\Publications\Trade%20Employment%20in%20Agriculture\Chapter%209%20Bosnia%20Vanzetti%20and%20Nikolic\BH%20report%20figures%20Jan%2015.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ilo\gva\EMP\EDEMP\V-EDEMP\EMP_MSU\ETE_PROJECT\Publications\Trade%20Employment%20in%20Agriculture\Chapter%209%20Bosnia%20Vanzetti%20and%20Nikolic\BH%20report%20figures%20Jan%201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GB"/>
  <c:chart>
    <c:view3D>
      <c:rAngAx val="1"/>
    </c:view3D>
    <c:plotArea>
      <c:layout/>
      <c:bar3DChart>
        <c:barDir val="col"/>
        <c:grouping val="stacked"/>
        <c:ser>
          <c:idx val="0"/>
          <c:order val="0"/>
          <c:tx>
            <c:strRef>
              <c:f>'[BH report figures.xlsx]Figure 3 Export structure'!$A$5</c:f>
              <c:strCache>
                <c:ptCount val="1"/>
                <c:pt idx="0">
                  <c:v>01 Live animals</c:v>
                </c:pt>
              </c:strCache>
            </c:strRef>
          </c:tx>
          <c:cat>
            <c:numRef>
              <c:f>'[BH report figures.xlsx]Figure 3 Export structure'!$B$4:$F$4</c:f>
              <c:numCache>
                <c:formatCode>General</c:formatCode>
                <c:ptCount val="5"/>
                <c:pt idx="0">
                  <c:v>2006</c:v>
                </c:pt>
                <c:pt idx="1">
                  <c:v>2007</c:v>
                </c:pt>
                <c:pt idx="2">
                  <c:v>2008</c:v>
                </c:pt>
                <c:pt idx="3">
                  <c:v>2009</c:v>
                </c:pt>
                <c:pt idx="4">
                  <c:v>2010</c:v>
                </c:pt>
              </c:numCache>
            </c:numRef>
          </c:cat>
          <c:val>
            <c:numRef>
              <c:f>'[BH report figures.xlsx]Figure 3 Export structure'!$B$5:$F$5</c:f>
              <c:numCache>
                <c:formatCode>General</c:formatCode>
                <c:ptCount val="5"/>
                <c:pt idx="0">
                  <c:v>0.4</c:v>
                </c:pt>
                <c:pt idx="1">
                  <c:v>1</c:v>
                </c:pt>
                <c:pt idx="2">
                  <c:v>2.5</c:v>
                </c:pt>
                <c:pt idx="3">
                  <c:v>2</c:v>
                </c:pt>
                <c:pt idx="4">
                  <c:v>7.6</c:v>
                </c:pt>
              </c:numCache>
            </c:numRef>
          </c:val>
        </c:ser>
        <c:ser>
          <c:idx val="1"/>
          <c:order val="1"/>
          <c:tx>
            <c:strRef>
              <c:f>'[BH report figures.xlsx]Figure 3 Export structure'!$A$6</c:f>
              <c:strCache>
                <c:ptCount val="1"/>
                <c:pt idx="0">
                  <c:v>02 Meat</c:v>
                </c:pt>
              </c:strCache>
            </c:strRef>
          </c:tx>
          <c:cat>
            <c:numRef>
              <c:f>'[BH report figures.xlsx]Figure 3 Export structure'!$B$4:$F$4</c:f>
              <c:numCache>
                <c:formatCode>General</c:formatCode>
                <c:ptCount val="5"/>
                <c:pt idx="0">
                  <c:v>2006</c:v>
                </c:pt>
                <c:pt idx="1">
                  <c:v>2007</c:v>
                </c:pt>
                <c:pt idx="2">
                  <c:v>2008</c:v>
                </c:pt>
                <c:pt idx="3">
                  <c:v>2009</c:v>
                </c:pt>
                <c:pt idx="4">
                  <c:v>2010</c:v>
                </c:pt>
              </c:numCache>
            </c:numRef>
          </c:cat>
          <c:val>
            <c:numRef>
              <c:f>'[BH report figures.xlsx]Figure 3 Export structure'!$B$6:$F$6</c:f>
              <c:numCache>
                <c:formatCode>General</c:formatCode>
                <c:ptCount val="5"/>
                <c:pt idx="0">
                  <c:v>2</c:v>
                </c:pt>
                <c:pt idx="1">
                  <c:v>2.7</c:v>
                </c:pt>
                <c:pt idx="2">
                  <c:v>4.5</c:v>
                </c:pt>
                <c:pt idx="3">
                  <c:v>8.6</c:v>
                </c:pt>
                <c:pt idx="4">
                  <c:v>13.3</c:v>
                </c:pt>
              </c:numCache>
            </c:numRef>
          </c:val>
        </c:ser>
        <c:ser>
          <c:idx val="2"/>
          <c:order val="2"/>
          <c:tx>
            <c:strRef>
              <c:f>'[BH report figures.xlsx]Figure 3 Export structure'!$A$7</c:f>
              <c:strCache>
                <c:ptCount val="1"/>
                <c:pt idx="0">
                  <c:v>03 Fish</c:v>
                </c:pt>
              </c:strCache>
            </c:strRef>
          </c:tx>
          <c:cat>
            <c:numRef>
              <c:f>'[BH report figures.xlsx]Figure 3 Export structure'!$B$4:$F$4</c:f>
              <c:numCache>
                <c:formatCode>General</c:formatCode>
                <c:ptCount val="5"/>
                <c:pt idx="0">
                  <c:v>2006</c:v>
                </c:pt>
                <c:pt idx="1">
                  <c:v>2007</c:v>
                </c:pt>
                <c:pt idx="2">
                  <c:v>2008</c:v>
                </c:pt>
                <c:pt idx="3">
                  <c:v>2009</c:v>
                </c:pt>
                <c:pt idx="4">
                  <c:v>2010</c:v>
                </c:pt>
              </c:numCache>
            </c:numRef>
          </c:cat>
          <c:val>
            <c:numRef>
              <c:f>'[BH report figures.xlsx]Figure 3 Export structure'!$B$7:$F$7</c:f>
              <c:numCache>
                <c:formatCode>General</c:formatCode>
                <c:ptCount val="5"/>
                <c:pt idx="0">
                  <c:v>15.1</c:v>
                </c:pt>
                <c:pt idx="1">
                  <c:v>17.2</c:v>
                </c:pt>
                <c:pt idx="2">
                  <c:v>19.899999999999999</c:v>
                </c:pt>
                <c:pt idx="3">
                  <c:v>19.600000000000001</c:v>
                </c:pt>
                <c:pt idx="4">
                  <c:v>15.9</c:v>
                </c:pt>
              </c:numCache>
            </c:numRef>
          </c:val>
        </c:ser>
        <c:ser>
          <c:idx val="3"/>
          <c:order val="3"/>
          <c:tx>
            <c:strRef>
              <c:f>'[BH report figures.xlsx]Figure 3 Export structure'!$A$8</c:f>
              <c:strCache>
                <c:ptCount val="1"/>
                <c:pt idx="0">
                  <c:v>04 Milk and dairy products</c:v>
                </c:pt>
              </c:strCache>
            </c:strRef>
          </c:tx>
          <c:spPr>
            <a:solidFill>
              <a:srgbClr val="FF0000"/>
            </a:solidFill>
          </c:spPr>
          <c:cat>
            <c:numRef>
              <c:f>'[BH report figures.xlsx]Figure 3 Export structure'!$B$4:$F$4</c:f>
              <c:numCache>
                <c:formatCode>General</c:formatCode>
                <c:ptCount val="5"/>
                <c:pt idx="0">
                  <c:v>2006</c:v>
                </c:pt>
                <c:pt idx="1">
                  <c:v>2007</c:v>
                </c:pt>
                <c:pt idx="2">
                  <c:v>2008</c:v>
                </c:pt>
                <c:pt idx="3">
                  <c:v>2009</c:v>
                </c:pt>
                <c:pt idx="4">
                  <c:v>2010</c:v>
                </c:pt>
              </c:numCache>
            </c:numRef>
          </c:cat>
          <c:val>
            <c:numRef>
              <c:f>'[BH report figures.xlsx]Figure 3 Export structure'!$B$8:$F$8</c:f>
              <c:numCache>
                <c:formatCode>General</c:formatCode>
                <c:ptCount val="5"/>
                <c:pt idx="0">
                  <c:v>30.1</c:v>
                </c:pt>
                <c:pt idx="1">
                  <c:v>42.2</c:v>
                </c:pt>
                <c:pt idx="2">
                  <c:v>56.9</c:v>
                </c:pt>
                <c:pt idx="3">
                  <c:v>65.2</c:v>
                </c:pt>
                <c:pt idx="4">
                  <c:v>83.6</c:v>
                </c:pt>
              </c:numCache>
            </c:numRef>
          </c:val>
        </c:ser>
        <c:ser>
          <c:idx val="4"/>
          <c:order val="4"/>
          <c:tx>
            <c:strRef>
              <c:f>'[BH report figures.xlsx]Figure 3 Export structure'!$A$9</c:f>
              <c:strCache>
                <c:ptCount val="1"/>
                <c:pt idx="0">
                  <c:v>05 Processed meat</c:v>
                </c:pt>
              </c:strCache>
            </c:strRef>
          </c:tx>
          <c:cat>
            <c:numRef>
              <c:f>'[BH report figures.xlsx]Figure 3 Export structure'!$B$4:$F$4</c:f>
              <c:numCache>
                <c:formatCode>General</c:formatCode>
                <c:ptCount val="5"/>
                <c:pt idx="0">
                  <c:v>2006</c:v>
                </c:pt>
                <c:pt idx="1">
                  <c:v>2007</c:v>
                </c:pt>
                <c:pt idx="2">
                  <c:v>2008</c:v>
                </c:pt>
                <c:pt idx="3">
                  <c:v>2009</c:v>
                </c:pt>
                <c:pt idx="4">
                  <c:v>2010</c:v>
                </c:pt>
              </c:numCache>
            </c:numRef>
          </c:cat>
          <c:val>
            <c:numRef>
              <c:f>'[BH report figures.xlsx]Figure 3 Export structure'!$B$9:$F$9</c:f>
              <c:numCache>
                <c:formatCode>General</c:formatCode>
                <c:ptCount val="5"/>
                <c:pt idx="0">
                  <c:v>0.8</c:v>
                </c:pt>
                <c:pt idx="1">
                  <c:v>0.6000000000000002</c:v>
                </c:pt>
                <c:pt idx="2">
                  <c:v>0.8</c:v>
                </c:pt>
                <c:pt idx="3">
                  <c:v>0.6000000000000002</c:v>
                </c:pt>
                <c:pt idx="4">
                  <c:v>0.1</c:v>
                </c:pt>
              </c:numCache>
            </c:numRef>
          </c:val>
        </c:ser>
        <c:ser>
          <c:idx val="5"/>
          <c:order val="5"/>
          <c:tx>
            <c:strRef>
              <c:f>'[BH report figures.xlsx]Figure 3 Export structure'!$A$10</c:f>
              <c:strCache>
                <c:ptCount val="1"/>
                <c:pt idx="0">
                  <c:v>06 Live trees and plants</c:v>
                </c:pt>
              </c:strCache>
            </c:strRef>
          </c:tx>
          <c:cat>
            <c:numRef>
              <c:f>'[BH report figures.xlsx]Figure 3 Export structure'!$B$4:$F$4</c:f>
              <c:numCache>
                <c:formatCode>General</c:formatCode>
                <c:ptCount val="5"/>
                <c:pt idx="0">
                  <c:v>2006</c:v>
                </c:pt>
                <c:pt idx="1">
                  <c:v>2007</c:v>
                </c:pt>
                <c:pt idx="2">
                  <c:v>2008</c:v>
                </c:pt>
                <c:pt idx="3">
                  <c:v>2009</c:v>
                </c:pt>
                <c:pt idx="4">
                  <c:v>2010</c:v>
                </c:pt>
              </c:numCache>
            </c:numRef>
          </c:cat>
          <c:val>
            <c:numRef>
              <c:f>'[BH report figures.xlsx]Figure 3 Export structure'!$B$10:$F$10</c:f>
              <c:numCache>
                <c:formatCode>General</c:formatCode>
                <c:ptCount val="5"/>
                <c:pt idx="0">
                  <c:v>0.6000000000000002</c:v>
                </c:pt>
                <c:pt idx="1">
                  <c:v>0.6000000000000002</c:v>
                </c:pt>
                <c:pt idx="2">
                  <c:v>0.8</c:v>
                </c:pt>
                <c:pt idx="3">
                  <c:v>0.9</c:v>
                </c:pt>
                <c:pt idx="4">
                  <c:v>1.5</c:v>
                </c:pt>
              </c:numCache>
            </c:numRef>
          </c:val>
        </c:ser>
        <c:ser>
          <c:idx val="6"/>
          <c:order val="6"/>
          <c:tx>
            <c:strRef>
              <c:f>'[BH report figures.xlsx]Figure 3 Export structure'!$A$11</c:f>
              <c:strCache>
                <c:ptCount val="1"/>
                <c:pt idx="0">
                  <c:v>07 Vegetables</c:v>
                </c:pt>
              </c:strCache>
            </c:strRef>
          </c:tx>
          <c:cat>
            <c:numRef>
              <c:f>'[BH report figures.xlsx]Figure 3 Export structure'!$B$4:$F$4</c:f>
              <c:numCache>
                <c:formatCode>General</c:formatCode>
                <c:ptCount val="5"/>
                <c:pt idx="0">
                  <c:v>2006</c:v>
                </c:pt>
                <c:pt idx="1">
                  <c:v>2007</c:v>
                </c:pt>
                <c:pt idx="2">
                  <c:v>2008</c:v>
                </c:pt>
                <c:pt idx="3">
                  <c:v>2009</c:v>
                </c:pt>
                <c:pt idx="4">
                  <c:v>2010</c:v>
                </c:pt>
              </c:numCache>
            </c:numRef>
          </c:cat>
          <c:val>
            <c:numRef>
              <c:f>'[BH report figures.xlsx]Figure 3 Export structure'!$B$11:$F$11</c:f>
              <c:numCache>
                <c:formatCode>General</c:formatCode>
                <c:ptCount val="5"/>
                <c:pt idx="0">
                  <c:v>15.8</c:v>
                </c:pt>
                <c:pt idx="1">
                  <c:v>18.8</c:v>
                </c:pt>
                <c:pt idx="2">
                  <c:v>15.4</c:v>
                </c:pt>
                <c:pt idx="3">
                  <c:v>20.3</c:v>
                </c:pt>
                <c:pt idx="4">
                  <c:v>30.6</c:v>
                </c:pt>
              </c:numCache>
            </c:numRef>
          </c:val>
        </c:ser>
        <c:ser>
          <c:idx val="7"/>
          <c:order val="7"/>
          <c:tx>
            <c:strRef>
              <c:f>'[BH report figures.xlsx]Figure 3 Export structure'!$A$12</c:f>
              <c:strCache>
                <c:ptCount val="1"/>
                <c:pt idx="0">
                  <c:v>08 Fresh fruits</c:v>
                </c:pt>
              </c:strCache>
            </c:strRef>
          </c:tx>
          <c:cat>
            <c:numRef>
              <c:f>'[BH report figures.xlsx]Figure 3 Export structure'!$B$4:$F$4</c:f>
              <c:numCache>
                <c:formatCode>General</c:formatCode>
                <c:ptCount val="5"/>
                <c:pt idx="0">
                  <c:v>2006</c:v>
                </c:pt>
                <c:pt idx="1">
                  <c:v>2007</c:v>
                </c:pt>
                <c:pt idx="2">
                  <c:v>2008</c:v>
                </c:pt>
                <c:pt idx="3">
                  <c:v>2009</c:v>
                </c:pt>
                <c:pt idx="4">
                  <c:v>2010</c:v>
                </c:pt>
              </c:numCache>
            </c:numRef>
          </c:cat>
          <c:val>
            <c:numRef>
              <c:f>'[BH report figures.xlsx]Figure 3 Export structure'!$B$12:$F$12</c:f>
              <c:numCache>
                <c:formatCode>General</c:formatCode>
                <c:ptCount val="5"/>
                <c:pt idx="0">
                  <c:v>22.7</c:v>
                </c:pt>
                <c:pt idx="1">
                  <c:v>24.4</c:v>
                </c:pt>
                <c:pt idx="2">
                  <c:v>27.7</c:v>
                </c:pt>
                <c:pt idx="3">
                  <c:v>41.9</c:v>
                </c:pt>
                <c:pt idx="4">
                  <c:v>45.2</c:v>
                </c:pt>
              </c:numCache>
            </c:numRef>
          </c:val>
        </c:ser>
        <c:ser>
          <c:idx val="8"/>
          <c:order val="8"/>
          <c:tx>
            <c:strRef>
              <c:f>'[BH report figures.xlsx]Figure 3 Export structure'!$A$13</c:f>
              <c:strCache>
                <c:ptCount val="1"/>
                <c:pt idx="0">
                  <c:v>09 Coffee and tea</c:v>
                </c:pt>
              </c:strCache>
            </c:strRef>
          </c:tx>
          <c:cat>
            <c:numRef>
              <c:f>'[BH report figures.xlsx]Figure 3 Export structure'!$B$4:$F$4</c:f>
              <c:numCache>
                <c:formatCode>General</c:formatCode>
                <c:ptCount val="5"/>
                <c:pt idx="0">
                  <c:v>2006</c:v>
                </c:pt>
                <c:pt idx="1">
                  <c:v>2007</c:v>
                </c:pt>
                <c:pt idx="2">
                  <c:v>2008</c:v>
                </c:pt>
                <c:pt idx="3">
                  <c:v>2009</c:v>
                </c:pt>
                <c:pt idx="4">
                  <c:v>2010</c:v>
                </c:pt>
              </c:numCache>
            </c:numRef>
          </c:cat>
          <c:val>
            <c:numRef>
              <c:f>'[BH report figures.xlsx]Figure 3 Export structure'!$B$13:$F$13</c:f>
              <c:numCache>
                <c:formatCode>General</c:formatCode>
                <c:ptCount val="5"/>
                <c:pt idx="0">
                  <c:v>4.0999999999999996</c:v>
                </c:pt>
                <c:pt idx="1">
                  <c:v>4.5</c:v>
                </c:pt>
                <c:pt idx="2">
                  <c:v>6.1</c:v>
                </c:pt>
                <c:pt idx="3">
                  <c:v>6.7</c:v>
                </c:pt>
                <c:pt idx="4">
                  <c:v>8</c:v>
                </c:pt>
              </c:numCache>
            </c:numRef>
          </c:val>
        </c:ser>
        <c:ser>
          <c:idx val="9"/>
          <c:order val="9"/>
          <c:tx>
            <c:strRef>
              <c:f>'[BH report figures.xlsx]Figure 3 Export structure'!$A$14</c:f>
              <c:strCache>
                <c:ptCount val="1"/>
                <c:pt idx="0">
                  <c:v>10 Grain</c:v>
                </c:pt>
              </c:strCache>
            </c:strRef>
          </c:tx>
          <c:cat>
            <c:numRef>
              <c:f>'[BH report figures.xlsx]Figure 3 Export structure'!$B$4:$F$4</c:f>
              <c:numCache>
                <c:formatCode>General</c:formatCode>
                <c:ptCount val="5"/>
                <c:pt idx="0">
                  <c:v>2006</c:v>
                </c:pt>
                <c:pt idx="1">
                  <c:v>2007</c:v>
                </c:pt>
                <c:pt idx="2">
                  <c:v>2008</c:v>
                </c:pt>
                <c:pt idx="3">
                  <c:v>2009</c:v>
                </c:pt>
                <c:pt idx="4">
                  <c:v>2010</c:v>
                </c:pt>
              </c:numCache>
            </c:numRef>
          </c:cat>
          <c:val>
            <c:numRef>
              <c:f>'[BH report figures.xlsx]Figure 3 Export structure'!$B$14:$F$14</c:f>
              <c:numCache>
                <c:formatCode>General</c:formatCode>
                <c:ptCount val="5"/>
                <c:pt idx="0">
                  <c:v>0.8</c:v>
                </c:pt>
                <c:pt idx="1">
                  <c:v>1.8</c:v>
                </c:pt>
                <c:pt idx="2">
                  <c:v>2</c:v>
                </c:pt>
                <c:pt idx="3">
                  <c:v>9.5</c:v>
                </c:pt>
                <c:pt idx="4">
                  <c:v>28.3</c:v>
                </c:pt>
              </c:numCache>
            </c:numRef>
          </c:val>
        </c:ser>
        <c:ser>
          <c:idx val="10"/>
          <c:order val="10"/>
          <c:tx>
            <c:strRef>
              <c:f>'[BH report figures.xlsx]Figure 3 Export structure'!$A$15</c:f>
              <c:strCache>
                <c:ptCount val="1"/>
                <c:pt idx="0">
                  <c:v>11 Bakery products</c:v>
                </c:pt>
              </c:strCache>
            </c:strRef>
          </c:tx>
          <c:cat>
            <c:numRef>
              <c:f>'[BH report figures.xlsx]Figure 3 Export structure'!$B$4:$F$4</c:f>
              <c:numCache>
                <c:formatCode>General</c:formatCode>
                <c:ptCount val="5"/>
                <c:pt idx="0">
                  <c:v>2006</c:v>
                </c:pt>
                <c:pt idx="1">
                  <c:v>2007</c:v>
                </c:pt>
                <c:pt idx="2">
                  <c:v>2008</c:v>
                </c:pt>
                <c:pt idx="3">
                  <c:v>2009</c:v>
                </c:pt>
                <c:pt idx="4">
                  <c:v>2010</c:v>
                </c:pt>
              </c:numCache>
            </c:numRef>
          </c:cat>
          <c:val>
            <c:numRef>
              <c:f>'[BH report figures.xlsx]Figure 3 Export structure'!$B$15:$F$15</c:f>
              <c:numCache>
                <c:formatCode>General</c:formatCode>
                <c:ptCount val="5"/>
                <c:pt idx="0">
                  <c:v>2.7</c:v>
                </c:pt>
                <c:pt idx="1">
                  <c:v>2.2999999999999998</c:v>
                </c:pt>
                <c:pt idx="2">
                  <c:v>3.4</c:v>
                </c:pt>
                <c:pt idx="3">
                  <c:v>1.7000000000000002</c:v>
                </c:pt>
                <c:pt idx="4">
                  <c:v>2.4</c:v>
                </c:pt>
              </c:numCache>
            </c:numRef>
          </c:val>
        </c:ser>
        <c:ser>
          <c:idx val="11"/>
          <c:order val="11"/>
          <c:tx>
            <c:strRef>
              <c:f>'[BH report figures.xlsx]Figure 3 Export structure'!$A$16</c:f>
              <c:strCache>
                <c:ptCount val="1"/>
                <c:pt idx="0">
                  <c:v>12 Oil plants</c:v>
                </c:pt>
              </c:strCache>
            </c:strRef>
          </c:tx>
          <c:cat>
            <c:numRef>
              <c:f>'[BH report figures.xlsx]Figure 3 Export structure'!$B$4:$F$4</c:f>
              <c:numCache>
                <c:formatCode>General</c:formatCode>
                <c:ptCount val="5"/>
                <c:pt idx="0">
                  <c:v>2006</c:v>
                </c:pt>
                <c:pt idx="1">
                  <c:v>2007</c:v>
                </c:pt>
                <c:pt idx="2">
                  <c:v>2008</c:v>
                </c:pt>
                <c:pt idx="3">
                  <c:v>2009</c:v>
                </c:pt>
                <c:pt idx="4">
                  <c:v>2010</c:v>
                </c:pt>
              </c:numCache>
            </c:numRef>
          </c:cat>
          <c:val>
            <c:numRef>
              <c:f>'[BH report figures.xlsx]Figure 3 Export structure'!$B$16:$F$16</c:f>
              <c:numCache>
                <c:formatCode>General</c:formatCode>
                <c:ptCount val="5"/>
                <c:pt idx="0">
                  <c:v>3.5</c:v>
                </c:pt>
                <c:pt idx="1">
                  <c:v>4.3</c:v>
                </c:pt>
                <c:pt idx="2">
                  <c:v>6.2</c:v>
                </c:pt>
                <c:pt idx="3">
                  <c:v>5</c:v>
                </c:pt>
                <c:pt idx="4">
                  <c:v>5.6</c:v>
                </c:pt>
              </c:numCache>
            </c:numRef>
          </c:val>
        </c:ser>
        <c:ser>
          <c:idx val="12"/>
          <c:order val="12"/>
          <c:tx>
            <c:strRef>
              <c:f>'[BH report figures.xlsx]Figure 3 Export structure'!$A$17</c:f>
              <c:strCache>
                <c:ptCount val="1"/>
                <c:pt idx="0">
                  <c:v>13 Plant gums, resins and saps</c:v>
                </c:pt>
              </c:strCache>
            </c:strRef>
          </c:tx>
          <c:cat>
            <c:numRef>
              <c:f>'[BH report figures.xlsx]Figure 3 Export structure'!$B$4:$F$4</c:f>
              <c:numCache>
                <c:formatCode>General</c:formatCode>
                <c:ptCount val="5"/>
                <c:pt idx="0">
                  <c:v>2006</c:v>
                </c:pt>
                <c:pt idx="1">
                  <c:v>2007</c:v>
                </c:pt>
                <c:pt idx="2">
                  <c:v>2008</c:v>
                </c:pt>
                <c:pt idx="3">
                  <c:v>2009</c:v>
                </c:pt>
                <c:pt idx="4">
                  <c:v>2010</c:v>
                </c:pt>
              </c:numCache>
            </c:numRef>
          </c:cat>
          <c:val>
            <c:numRef>
              <c:f>'[BH report figures.xlsx]Figure 3 Export structure'!$B$17:$F$17</c:f>
              <c:numCache>
                <c:formatCode>General</c:formatCode>
                <c:ptCount val="5"/>
                <c:pt idx="0">
                  <c:v>0</c:v>
                </c:pt>
                <c:pt idx="1">
                  <c:v>0.6000000000000002</c:v>
                </c:pt>
                <c:pt idx="2">
                  <c:v>3.2</c:v>
                </c:pt>
                <c:pt idx="3">
                  <c:v>0</c:v>
                </c:pt>
                <c:pt idx="4">
                  <c:v>0</c:v>
                </c:pt>
              </c:numCache>
            </c:numRef>
          </c:val>
        </c:ser>
        <c:ser>
          <c:idx val="13"/>
          <c:order val="13"/>
          <c:tx>
            <c:strRef>
              <c:f>'[BH report figures.xlsx]Figure 3 Export structure'!$A$18</c:f>
              <c:strCache>
                <c:ptCount val="1"/>
                <c:pt idx="0">
                  <c:v>14 Plant mat for baskets etc</c:v>
                </c:pt>
              </c:strCache>
            </c:strRef>
          </c:tx>
          <c:cat>
            <c:numRef>
              <c:f>'[BH report figures.xlsx]Figure 3 Export structure'!$B$4:$F$4</c:f>
              <c:numCache>
                <c:formatCode>General</c:formatCode>
                <c:ptCount val="5"/>
                <c:pt idx="0">
                  <c:v>2006</c:v>
                </c:pt>
                <c:pt idx="1">
                  <c:v>2007</c:v>
                </c:pt>
                <c:pt idx="2">
                  <c:v>2008</c:v>
                </c:pt>
                <c:pt idx="3">
                  <c:v>2009</c:v>
                </c:pt>
                <c:pt idx="4">
                  <c:v>2010</c:v>
                </c:pt>
              </c:numCache>
            </c:numRef>
          </c:cat>
          <c:val>
            <c:numRef>
              <c:f>'[BH report figures.xlsx]Figure 3 Export structure'!$B$18:$F$18</c:f>
              <c:numCache>
                <c:formatCode>General</c:formatCode>
                <c:ptCount val="5"/>
                <c:pt idx="0">
                  <c:v>0.2</c:v>
                </c:pt>
                <c:pt idx="1">
                  <c:v>0.2</c:v>
                </c:pt>
                <c:pt idx="2">
                  <c:v>0.2</c:v>
                </c:pt>
                <c:pt idx="3">
                  <c:v>0.1</c:v>
                </c:pt>
                <c:pt idx="4">
                  <c:v>0.1</c:v>
                </c:pt>
              </c:numCache>
            </c:numRef>
          </c:val>
        </c:ser>
        <c:ser>
          <c:idx val="14"/>
          <c:order val="14"/>
          <c:tx>
            <c:strRef>
              <c:f>'[BH report figures.xlsx]Figure 3 Export structure'!$A$19</c:f>
              <c:strCache>
                <c:ptCount val="1"/>
                <c:pt idx="0">
                  <c:v>15 Plant and animal oils </c:v>
                </c:pt>
              </c:strCache>
            </c:strRef>
          </c:tx>
          <c:cat>
            <c:numRef>
              <c:f>'[BH report figures.xlsx]Figure 3 Export structure'!$B$4:$F$4</c:f>
              <c:numCache>
                <c:formatCode>General</c:formatCode>
                <c:ptCount val="5"/>
                <c:pt idx="0">
                  <c:v>2006</c:v>
                </c:pt>
                <c:pt idx="1">
                  <c:v>2007</c:v>
                </c:pt>
                <c:pt idx="2">
                  <c:v>2008</c:v>
                </c:pt>
                <c:pt idx="3">
                  <c:v>2009</c:v>
                </c:pt>
                <c:pt idx="4">
                  <c:v>2010</c:v>
                </c:pt>
              </c:numCache>
            </c:numRef>
          </c:cat>
          <c:val>
            <c:numRef>
              <c:f>'[BH report figures.xlsx]Figure 3 Export structure'!$B$19:$F$19</c:f>
              <c:numCache>
                <c:formatCode>General</c:formatCode>
                <c:ptCount val="5"/>
                <c:pt idx="0">
                  <c:v>22.7</c:v>
                </c:pt>
                <c:pt idx="1">
                  <c:v>37.200000000000003</c:v>
                </c:pt>
                <c:pt idx="2">
                  <c:v>47.5</c:v>
                </c:pt>
                <c:pt idx="3">
                  <c:v>44.3</c:v>
                </c:pt>
                <c:pt idx="4">
                  <c:v>55.4</c:v>
                </c:pt>
              </c:numCache>
            </c:numRef>
          </c:val>
        </c:ser>
        <c:ser>
          <c:idx val="15"/>
          <c:order val="15"/>
          <c:tx>
            <c:strRef>
              <c:f>'[BH report figures.xlsx]Figure 3 Export structure'!$A$20</c:f>
              <c:strCache>
                <c:ptCount val="1"/>
                <c:pt idx="0">
                  <c:v>16 Processed Meat and fish </c:v>
                </c:pt>
              </c:strCache>
            </c:strRef>
          </c:tx>
          <c:cat>
            <c:numRef>
              <c:f>'[BH report figures.xlsx]Figure 3 Export structure'!$B$4:$F$4</c:f>
              <c:numCache>
                <c:formatCode>General</c:formatCode>
                <c:ptCount val="5"/>
                <c:pt idx="0">
                  <c:v>2006</c:v>
                </c:pt>
                <c:pt idx="1">
                  <c:v>2007</c:v>
                </c:pt>
                <c:pt idx="2">
                  <c:v>2008</c:v>
                </c:pt>
                <c:pt idx="3">
                  <c:v>2009</c:v>
                </c:pt>
                <c:pt idx="4">
                  <c:v>2010</c:v>
                </c:pt>
              </c:numCache>
            </c:numRef>
          </c:cat>
          <c:val>
            <c:numRef>
              <c:f>'[BH report figures.xlsx]Figure 3 Export structure'!$B$20:$F$20</c:f>
              <c:numCache>
                <c:formatCode>General</c:formatCode>
                <c:ptCount val="5"/>
                <c:pt idx="0">
                  <c:v>15.8</c:v>
                </c:pt>
                <c:pt idx="1">
                  <c:v>21.9</c:v>
                </c:pt>
                <c:pt idx="2">
                  <c:v>38.300000000000004</c:v>
                </c:pt>
                <c:pt idx="3">
                  <c:v>45.5</c:v>
                </c:pt>
                <c:pt idx="4">
                  <c:v>43.5</c:v>
                </c:pt>
              </c:numCache>
            </c:numRef>
          </c:val>
        </c:ser>
        <c:ser>
          <c:idx val="16"/>
          <c:order val="16"/>
          <c:tx>
            <c:strRef>
              <c:f>'[BH report figures.xlsx]Figure 3 Export structure'!$A$21</c:f>
              <c:strCache>
                <c:ptCount val="1"/>
                <c:pt idx="0">
                  <c:v>17 Sugar and sugar products</c:v>
                </c:pt>
              </c:strCache>
            </c:strRef>
          </c:tx>
          <c:cat>
            <c:numRef>
              <c:f>'[BH report figures.xlsx]Figure 3 Export structure'!$B$4:$F$4</c:f>
              <c:numCache>
                <c:formatCode>General</c:formatCode>
                <c:ptCount val="5"/>
                <c:pt idx="0">
                  <c:v>2006</c:v>
                </c:pt>
                <c:pt idx="1">
                  <c:v>2007</c:v>
                </c:pt>
                <c:pt idx="2">
                  <c:v>2008</c:v>
                </c:pt>
                <c:pt idx="3">
                  <c:v>2009</c:v>
                </c:pt>
                <c:pt idx="4">
                  <c:v>2010</c:v>
                </c:pt>
              </c:numCache>
            </c:numRef>
          </c:cat>
          <c:val>
            <c:numRef>
              <c:f>'[BH report figures.xlsx]Figure 3 Export structure'!$B$21:$F$21</c:f>
              <c:numCache>
                <c:formatCode>General</c:formatCode>
                <c:ptCount val="5"/>
                <c:pt idx="0">
                  <c:v>25.8</c:v>
                </c:pt>
                <c:pt idx="1">
                  <c:v>33.6</c:v>
                </c:pt>
                <c:pt idx="2">
                  <c:v>35.4</c:v>
                </c:pt>
                <c:pt idx="3">
                  <c:v>33.200000000000003</c:v>
                </c:pt>
                <c:pt idx="4">
                  <c:v>54.7</c:v>
                </c:pt>
              </c:numCache>
            </c:numRef>
          </c:val>
        </c:ser>
        <c:ser>
          <c:idx val="17"/>
          <c:order val="17"/>
          <c:tx>
            <c:strRef>
              <c:f>'[BH report figures.xlsx]Figure 3 Export structure'!$A$22</c:f>
              <c:strCache>
                <c:ptCount val="1"/>
                <c:pt idx="0">
                  <c:v>18 Cocoa and products based on cocoa</c:v>
                </c:pt>
              </c:strCache>
            </c:strRef>
          </c:tx>
          <c:cat>
            <c:numRef>
              <c:f>'[BH report figures.xlsx]Figure 3 Export structure'!$B$4:$F$4</c:f>
              <c:numCache>
                <c:formatCode>General</c:formatCode>
                <c:ptCount val="5"/>
                <c:pt idx="0">
                  <c:v>2006</c:v>
                </c:pt>
                <c:pt idx="1">
                  <c:v>2007</c:v>
                </c:pt>
                <c:pt idx="2">
                  <c:v>2008</c:v>
                </c:pt>
                <c:pt idx="3">
                  <c:v>2009</c:v>
                </c:pt>
                <c:pt idx="4">
                  <c:v>2010</c:v>
                </c:pt>
              </c:numCache>
            </c:numRef>
          </c:cat>
          <c:val>
            <c:numRef>
              <c:f>'[BH report figures.xlsx]Figure 3 Export structure'!$B$22:$F$22</c:f>
              <c:numCache>
                <c:formatCode>General</c:formatCode>
                <c:ptCount val="5"/>
                <c:pt idx="0">
                  <c:v>11.5</c:v>
                </c:pt>
                <c:pt idx="1">
                  <c:v>11.3</c:v>
                </c:pt>
                <c:pt idx="2">
                  <c:v>11.1</c:v>
                </c:pt>
                <c:pt idx="3">
                  <c:v>13.3</c:v>
                </c:pt>
                <c:pt idx="4">
                  <c:v>16.899999999999999</c:v>
                </c:pt>
              </c:numCache>
            </c:numRef>
          </c:val>
        </c:ser>
        <c:ser>
          <c:idx val="18"/>
          <c:order val="18"/>
          <c:tx>
            <c:strRef>
              <c:f>'[BH report figures.xlsx]Figure 3 Export structure'!$A$23</c:f>
              <c:strCache>
                <c:ptCount val="1"/>
                <c:pt idx="0">
                  <c:v>19 Products based on flour, grain etc</c:v>
                </c:pt>
              </c:strCache>
            </c:strRef>
          </c:tx>
          <c:cat>
            <c:numRef>
              <c:f>'[BH report figures.xlsx]Figure 3 Export structure'!$B$4:$F$4</c:f>
              <c:numCache>
                <c:formatCode>General</c:formatCode>
                <c:ptCount val="5"/>
                <c:pt idx="0">
                  <c:v>2006</c:v>
                </c:pt>
                <c:pt idx="1">
                  <c:v>2007</c:v>
                </c:pt>
                <c:pt idx="2">
                  <c:v>2008</c:v>
                </c:pt>
                <c:pt idx="3">
                  <c:v>2009</c:v>
                </c:pt>
                <c:pt idx="4">
                  <c:v>2010</c:v>
                </c:pt>
              </c:numCache>
            </c:numRef>
          </c:cat>
          <c:val>
            <c:numRef>
              <c:f>'[BH report figures.xlsx]Figure 3 Export structure'!$B$23:$F$23</c:f>
              <c:numCache>
                <c:formatCode>General</c:formatCode>
                <c:ptCount val="5"/>
                <c:pt idx="0">
                  <c:v>25.4</c:v>
                </c:pt>
                <c:pt idx="1">
                  <c:v>30.5</c:v>
                </c:pt>
                <c:pt idx="2">
                  <c:v>38.4</c:v>
                </c:pt>
                <c:pt idx="3">
                  <c:v>39.4</c:v>
                </c:pt>
                <c:pt idx="4">
                  <c:v>37.9</c:v>
                </c:pt>
              </c:numCache>
            </c:numRef>
          </c:val>
        </c:ser>
        <c:ser>
          <c:idx val="19"/>
          <c:order val="19"/>
          <c:tx>
            <c:strRef>
              <c:f>'[BH report figures.xlsx]Figure 3 Export structure'!$A$24</c:f>
              <c:strCache>
                <c:ptCount val="1"/>
                <c:pt idx="0">
                  <c:v>20 Processed fruit and vegetables</c:v>
                </c:pt>
              </c:strCache>
            </c:strRef>
          </c:tx>
          <c:cat>
            <c:numRef>
              <c:f>'[BH report figures.xlsx]Figure 3 Export structure'!$B$4:$F$4</c:f>
              <c:numCache>
                <c:formatCode>General</c:formatCode>
                <c:ptCount val="5"/>
                <c:pt idx="0">
                  <c:v>2006</c:v>
                </c:pt>
                <c:pt idx="1">
                  <c:v>2007</c:v>
                </c:pt>
                <c:pt idx="2">
                  <c:v>2008</c:v>
                </c:pt>
                <c:pt idx="3">
                  <c:v>2009</c:v>
                </c:pt>
                <c:pt idx="4">
                  <c:v>2010</c:v>
                </c:pt>
              </c:numCache>
            </c:numRef>
          </c:cat>
          <c:val>
            <c:numRef>
              <c:f>'[BH report figures.xlsx]Figure 3 Export structure'!$B$24:$F$24</c:f>
              <c:numCache>
                <c:formatCode>General</c:formatCode>
                <c:ptCount val="5"/>
                <c:pt idx="0">
                  <c:v>21.9</c:v>
                </c:pt>
                <c:pt idx="1">
                  <c:v>23.9</c:v>
                </c:pt>
                <c:pt idx="2">
                  <c:v>25.3</c:v>
                </c:pt>
                <c:pt idx="3">
                  <c:v>23.9</c:v>
                </c:pt>
                <c:pt idx="4">
                  <c:v>19.600000000000001</c:v>
                </c:pt>
              </c:numCache>
            </c:numRef>
          </c:val>
        </c:ser>
        <c:ser>
          <c:idx val="20"/>
          <c:order val="20"/>
          <c:tx>
            <c:strRef>
              <c:f>'[BH report figures.xlsx]Figure 3 Export structure'!$A$25</c:f>
              <c:strCache>
                <c:ptCount val="1"/>
                <c:pt idx="0">
                  <c:v>21 Different food products</c:v>
                </c:pt>
              </c:strCache>
            </c:strRef>
          </c:tx>
          <c:cat>
            <c:numRef>
              <c:f>'[BH report figures.xlsx]Figure 3 Export structure'!$B$4:$F$4</c:f>
              <c:numCache>
                <c:formatCode>General</c:formatCode>
                <c:ptCount val="5"/>
                <c:pt idx="0">
                  <c:v>2006</c:v>
                </c:pt>
                <c:pt idx="1">
                  <c:v>2007</c:v>
                </c:pt>
                <c:pt idx="2">
                  <c:v>2008</c:v>
                </c:pt>
                <c:pt idx="3">
                  <c:v>2009</c:v>
                </c:pt>
                <c:pt idx="4">
                  <c:v>2010</c:v>
                </c:pt>
              </c:numCache>
            </c:numRef>
          </c:cat>
          <c:val>
            <c:numRef>
              <c:f>'[BH report figures.xlsx]Figure 3 Export structure'!$B$25:$F$25</c:f>
              <c:numCache>
                <c:formatCode>General</c:formatCode>
                <c:ptCount val="5"/>
                <c:pt idx="0">
                  <c:v>10</c:v>
                </c:pt>
                <c:pt idx="1">
                  <c:v>15.5</c:v>
                </c:pt>
                <c:pt idx="2">
                  <c:v>21</c:v>
                </c:pt>
                <c:pt idx="3">
                  <c:v>16</c:v>
                </c:pt>
                <c:pt idx="4">
                  <c:v>18.100000000000001</c:v>
                </c:pt>
              </c:numCache>
            </c:numRef>
          </c:val>
        </c:ser>
        <c:ser>
          <c:idx val="21"/>
          <c:order val="21"/>
          <c:tx>
            <c:strRef>
              <c:f>'[BH report figures.xlsx]Figure 3 Export structure'!$A$26</c:f>
              <c:strCache>
                <c:ptCount val="1"/>
                <c:pt idx="0">
                  <c:v>22 Drinks, alcohol and vinegar</c:v>
                </c:pt>
              </c:strCache>
            </c:strRef>
          </c:tx>
          <c:cat>
            <c:numRef>
              <c:f>'[BH report figures.xlsx]Figure 3 Export structure'!$B$4:$F$4</c:f>
              <c:numCache>
                <c:formatCode>General</c:formatCode>
                <c:ptCount val="5"/>
                <c:pt idx="0">
                  <c:v>2006</c:v>
                </c:pt>
                <c:pt idx="1">
                  <c:v>2007</c:v>
                </c:pt>
                <c:pt idx="2">
                  <c:v>2008</c:v>
                </c:pt>
                <c:pt idx="3">
                  <c:v>2009</c:v>
                </c:pt>
                <c:pt idx="4">
                  <c:v>2010</c:v>
                </c:pt>
              </c:numCache>
            </c:numRef>
          </c:cat>
          <c:val>
            <c:numRef>
              <c:f>'[BH report figures.xlsx]Figure 3 Export structure'!$B$26:$F$26</c:f>
              <c:numCache>
                <c:formatCode>General</c:formatCode>
                <c:ptCount val="5"/>
                <c:pt idx="0">
                  <c:v>18.8</c:v>
                </c:pt>
                <c:pt idx="1">
                  <c:v>21.1</c:v>
                </c:pt>
                <c:pt idx="2">
                  <c:v>25.6</c:v>
                </c:pt>
                <c:pt idx="3">
                  <c:v>31.7</c:v>
                </c:pt>
                <c:pt idx="4">
                  <c:v>34.4</c:v>
                </c:pt>
              </c:numCache>
            </c:numRef>
          </c:val>
        </c:ser>
        <c:ser>
          <c:idx val="22"/>
          <c:order val="22"/>
          <c:tx>
            <c:strRef>
              <c:f>'[BH report figures.xlsx]Figure 3 Export structure'!$A$27</c:f>
              <c:strCache>
                <c:ptCount val="1"/>
                <c:pt idx="0">
                  <c:v>23 Waste from food in.</c:v>
                </c:pt>
              </c:strCache>
            </c:strRef>
          </c:tx>
          <c:cat>
            <c:numRef>
              <c:f>'[BH report figures.xlsx]Figure 3 Export structure'!$B$4:$F$4</c:f>
              <c:numCache>
                <c:formatCode>General</c:formatCode>
                <c:ptCount val="5"/>
                <c:pt idx="0">
                  <c:v>2006</c:v>
                </c:pt>
                <c:pt idx="1">
                  <c:v>2007</c:v>
                </c:pt>
                <c:pt idx="2">
                  <c:v>2008</c:v>
                </c:pt>
                <c:pt idx="3">
                  <c:v>2009</c:v>
                </c:pt>
                <c:pt idx="4">
                  <c:v>2010</c:v>
                </c:pt>
              </c:numCache>
            </c:numRef>
          </c:cat>
          <c:val>
            <c:numRef>
              <c:f>'[BH report figures.xlsx]Figure 3 Export structure'!$B$27:$F$27</c:f>
              <c:numCache>
                <c:formatCode>General</c:formatCode>
                <c:ptCount val="5"/>
                <c:pt idx="0">
                  <c:v>8</c:v>
                </c:pt>
                <c:pt idx="1">
                  <c:v>10.200000000000001</c:v>
                </c:pt>
                <c:pt idx="2">
                  <c:v>19.399999999999999</c:v>
                </c:pt>
                <c:pt idx="3">
                  <c:v>14.6</c:v>
                </c:pt>
                <c:pt idx="4">
                  <c:v>20.5</c:v>
                </c:pt>
              </c:numCache>
            </c:numRef>
          </c:val>
        </c:ser>
        <c:ser>
          <c:idx val="23"/>
          <c:order val="23"/>
          <c:tx>
            <c:strRef>
              <c:f>'[BH report figures.xlsx]Figure 3 Export structure'!$A$28</c:f>
              <c:strCache>
                <c:ptCount val="1"/>
                <c:pt idx="0">
                  <c:v>24 Tobacco</c:v>
                </c:pt>
              </c:strCache>
            </c:strRef>
          </c:tx>
          <c:cat>
            <c:numRef>
              <c:f>'[BH report figures.xlsx]Figure 3 Export structure'!$B$4:$F$4</c:f>
              <c:numCache>
                <c:formatCode>General</c:formatCode>
                <c:ptCount val="5"/>
                <c:pt idx="0">
                  <c:v>2006</c:v>
                </c:pt>
                <c:pt idx="1">
                  <c:v>2007</c:v>
                </c:pt>
                <c:pt idx="2">
                  <c:v>2008</c:v>
                </c:pt>
                <c:pt idx="3">
                  <c:v>2009</c:v>
                </c:pt>
                <c:pt idx="4">
                  <c:v>2010</c:v>
                </c:pt>
              </c:numCache>
            </c:numRef>
          </c:cat>
          <c:val>
            <c:numRef>
              <c:f>'[BH report figures.xlsx]Figure 3 Export structure'!$B$28:$F$28</c:f>
              <c:numCache>
                <c:formatCode>General</c:formatCode>
                <c:ptCount val="5"/>
                <c:pt idx="0">
                  <c:v>11.3</c:v>
                </c:pt>
                <c:pt idx="1">
                  <c:v>9.8000000000000007</c:v>
                </c:pt>
                <c:pt idx="2">
                  <c:v>12.8</c:v>
                </c:pt>
                <c:pt idx="3">
                  <c:v>22.2</c:v>
                </c:pt>
                <c:pt idx="4">
                  <c:v>20.9</c:v>
                </c:pt>
              </c:numCache>
            </c:numRef>
          </c:val>
        </c:ser>
        <c:shape val="box"/>
        <c:axId val="80249984"/>
        <c:axId val="80251520"/>
        <c:axId val="0"/>
      </c:bar3DChart>
      <c:catAx>
        <c:axId val="80249984"/>
        <c:scaling>
          <c:orientation val="minMax"/>
        </c:scaling>
        <c:axPos val="b"/>
        <c:numFmt formatCode="General" sourceLinked="1"/>
        <c:tickLblPos val="nextTo"/>
        <c:crossAx val="80251520"/>
        <c:crosses val="autoZero"/>
        <c:auto val="1"/>
        <c:lblAlgn val="ctr"/>
        <c:lblOffset val="100"/>
      </c:catAx>
      <c:valAx>
        <c:axId val="80251520"/>
        <c:scaling>
          <c:orientation val="minMax"/>
        </c:scaling>
        <c:axPos val="l"/>
        <c:majorGridlines/>
        <c:title>
          <c:tx>
            <c:rich>
              <a:bodyPr rot="-5400000" vert="horz"/>
              <a:lstStyle/>
              <a:p>
                <a:pPr>
                  <a:defRPr/>
                </a:pPr>
                <a:r>
                  <a:rPr lang="en-US"/>
                  <a:t>million of BAM (1€ = 1,9558 BAM)</a:t>
                </a:r>
              </a:p>
            </c:rich>
          </c:tx>
          <c:layout/>
        </c:title>
        <c:numFmt formatCode="General" sourceLinked="1"/>
        <c:tickLblPos val="nextTo"/>
        <c:crossAx val="80249984"/>
        <c:crosses val="autoZero"/>
        <c:crossBetween val="between"/>
      </c:valAx>
    </c:plotArea>
    <c:legend>
      <c:legendPos val="r"/>
      <c:layout>
        <c:manualLayout>
          <c:xMode val="edge"/>
          <c:yMode val="edge"/>
          <c:x val="0.71924608561860803"/>
          <c:y val="4.6812867399839496E-2"/>
          <c:w val="0.27117537032008932"/>
          <c:h val="0.94218672046159524"/>
        </c:manualLayout>
      </c:layout>
      <c:txPr>
        <a:bodyPr/>
        <a:lstStyle/>
        <a:p>
          <a:pPr>
            <a:defRPr sz="800"/>
          </a:pPr>
          <a:endParaRPr lang="en-US"/>
        </a:p>
      </c:txPr>
    </c:legend>
    <c:plotVisOnly val="1"/>
  </c:chart>
  <c:externalData r:id="rId1"/>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GB"/>
  <c:chart>
    <c:view3D>
      <c:rAngAx val="1"/>
    </c:view3D>
    <c:plotArea>
      <c:layout/>
      <c:bar3DChart>
        <c:barDir val="bar"/>
        <c:grouping val="clustered"/>
        <c:ser>
          <c:idx val="0"/>
          <c:order val="0"/>
          <c:tx>
            <c:strRef>
              <c:f>[2]Sheet1!$B$24</c:f>
              <c:strCache>
                <c:ptCount val="1"/>
                <c:pt idx="0">
                  <c:v>amber</c:v>
                </c:pt>
              </c:strCache>
            </c:strRef>
          </c:tx>
          <c:cat>
            <c:numRef>
              <c:f>[2]Sheet1!$A$25:$A$28</c:f>
              <c:numCache>
                <c:formatCode>General</c:formatCode>
                <c:ptCount val="4"/>
                <c:pt idx="0">
                  <c:v>2004</c:v>
                </c:pt>
                <c:pt idx="1">
                  <c:v>2005</c:v>
                </c:pt>
                <c:pt idx="2">
                  <c:v>2006</c:v>
                </c:pt>
                <c:pt idx="3">
                  <c:v>2007</c:v>
                </c:pt>
              </c:numCache>
            </c:numRef>
          </c:cat>
          <c:val>
            <c:numRef>
              <c:f>[2]Sheet1!$B$25:$B$28</c:f>
              <c:numCache>
                <c:formatCode>General</c:formatCode>
                <c:ptCount val="4"/>
                <c:pt idx="0">
                  <c:v>63.912465487268591</c:v>
                </c:pt>
                <c:pt idx="1">
                  <c:v>40.903977911851932</c:v>
                </c:pt>
                <c:pt idx="2">
                  <c:v>30.677983433888958</c:v>
                </c:pt>
                <c:pt idx="3">
                  <c:v>12.782493097453727</c:v>
                </c:pt>
              </c:numCache>
            </c:numRef>
          </c:val>
        </c:ser>
        <c:ser>
          <c:idx val="1"/>
          <c:order val="1"/>
          <c:tx>
            <c:strRef>
              <c:f>[2]Sheet1!$C$24</c:f>
              <c:strCache>
                <c:ptCount val="1"/>
                <c:pt idx="0">
                  <c:v>green</c:v>
                </c:pt>
              </c:strCache>
            </c:strRef>
          </c:tx>
          <c:cat>
            <c:numRef>
              <c:f>[2]Sheet1!$A$25:$A$28</c:f>
              <c:numCache>
                <c:formatCode>General</c:formatCode>
                <c:ptCount val="4"/>
                <c:pt idx="0">
                  <c:v>2004</c:v>
                </c:pt>
                <c:pt idx="1">
                  <c:v>2005</c:v>
                </c:pt>
                <c:pt idx="2">
                  <c:v>2006</c:v>
                </c:pt>
                <c:pt idx="3">
                  <c:v>2007</c:v>
                </c:pt>
              </c:numCache>
            </c:numRef>
          </c:cat>
          <c:val>
            <c:numRef>
              <c:f>[2]Sheet1!$C$25:$C$28</c:f>
              <c:numCache>
                <c:formatCode>General</c:formatCode>
                <c:ptCount val="4"/>
                <c:pt idx="0">
                  <c:v>38.347479292361164</c:v>
                </c:pt>
                <c:pt idx="1">
                  <c:v>26.076285918805613</c:v>
                </c:pt>
                <c:pt idx="2">
                  <c:v>17.895490336435209</c:v>
                </c:pt>
                <c:pt idx="3">
                  <c:v>12.271193373555569</c:v>
                </c:pt>
              </c:numCache>
            </c:numRef>
          </c:val>
        </c:ser>
        <c:shape val="cylinder"/>
        <c:axId val="64091648"/>
        <c:axId val="64093184"/>
        <c:axId val="0"/>
      </c:bar3DChart>
      <c:catAx>
        <c:axId val="64091648"/>
        <c:scaling>
          <c:orientation val="minMax"/>
        </c:scaling>
        <c:axPos val="l"/>
        <c:numFmt formatCode="General" sourceLinked="1"/>
        <c:tickLblPos val="nextTo"/>
        <c:crossAx val="64093184"/>
        <c:crosses val="autoZero"/>
        <c:auto val="1"/>
        <c:lblAlgn val="ctr"/>
        <c:lblOffset val="100"/>
      </c:catAx>
      <c:valAx>
        <c:axId val="64093184"/>
        <c:scaling>
          <c:orientation val="minMax"/>
        </c:scaling>
        <c:axPos val="b"/>
        <c:majorGridlines/>
        <c:numFmt formatCode="General" sourceLinked="1"/>
        <c:tickLblPos val="nextTo"/>
        <c:crossAx val="64091648"/>
        <c:crosses val="autoZero"/>
        <c:crossBetween val="between"/>
      </c:valAx>
    </c:plotArea>
    <c:legend>
      <c:legendPos val="r"/>
    </c:legend>
    <c:plotVisOnly val="1"/>
  </c:chart>
  <c:txPr>
    <a:bodyPr/>
    <a:lstStyle/>
    <a:p>
      <a:pPr algn="r">
        <a:defRPr sz="1200" b="1">
          <a:latin typeface="+mn-lt"/>
          <a:cs typeface="Times New Roman" pitchFamily="18" charset="0"/>
        </a:defRPr>
      </a:pPr>
      <a:endParaRPr lang="en-US"/>
    </a:p>
  </c:txPr>
  <c:externalData r:id="rId1"/>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GB"/>
  <c:chart>
    <c:view3D>
      <c:rAngAx val="1"/>
    </c:view3D>
    <c:plotArea>
      <c:layout/>
      <c:bar3DChart>
        <c:barDir val="bar"/>
        <c:grouping val="clustered"/>
        <c:ser>
          <c:idx val="0"/>
          <c:order val="0"/>
          <c:tx>
            <c:strRef>
              <c:f>[2]Sheet1!$B$24</c:f>
              <c:strCache>
                <c:ptCount val="1"/>
                <c:pt idx="0">
                  <c:v>amber</c:v>
                </c:pt>
              </c:strCache>
            </c:strRef>
          </c:tx>
          <c:cat>
            <c:numRef>
              <c:f>[2]Sheet1!$A$25:$A$28</c:f>
              <c:numCache>
                <c:formatCode>General</c:formatCode>
                <c:ptCount val="4"/>
                <c:pt idx="0">
                  <c:v>2004</c:v>
                </c:pt>
                <c:pt idx="1">
                  <c:v>2005</c:v>
                </c:pt>
                <c:pt idx="2">
                  <c:v>2006</c:v>
                </c:pt>
                <c:pt idx="3">
                  <c:v>2007</c:v>
                </c:pt>
              </c:numCache>
            </c:numRef>
          </c:cat>
          <c:val>
            <c:numRef>
              <c:f>[2]Sheet1!$B$25:$B$28</c:f>
              <c:numCache>
                <c:formatCode>General</c:formatCode>
                <c:ptCount val="4"/>
                <c:pt idx="0">
                  <c:v>63.912465487268591</c:v>
                </c:pt>
                <c:pt idx="1">
                  <c:v>40.903977911851932</c:v>
                </c:pt>
                <c:pt idx="2">
                  <c:v>30.677983433888958</c:v>
                </c:pt>
                <c:pt idx="3">
                  <c:v>12.782493097453727</c:v>
                </c:pt>
              </c:numCache>
            </c:numRef>
          </c:val>
        </c:ser>
        <c:ser>
          <c:idx val="1"/>
          <c:order val="1"/>
          <c:tx>
            <c:strRef>
              <c:f>[2]Sheet1!$C$24</c:f>
              <c:strCache>
                <c:ptCount val="1"/>
                <c:pt idx="0">
                  <c:v>green</c:v>
                </c:pt>
              </c:strCache>
            </c:strRef>
          </c:tx>
          <c:cat>
            <c:numRef>
              <c:f>[2]Sheet1!$A$25:$A$28</c:f>
              <c:numCache>
                <c:formatCode>General</c:formatCode>
                <c:ptCount val="4"/>
                <c:pt idx="0">
                  <c:v>2004</c:v>
                </c:pt>
                <c:pt idx="1">
                  <c:v>2005</c:v>
                </c:pt>
                <c:pt idx="2">
                  <c:v>2006</c:v>
                </c:pt>
                <c:pt idx="3">
                  <c:v>2007</c:v>
                </c:pt>
              </c:numCache>
            </c:numRef>
          </c:cat>
          <c:val>
            <c:numRef>
              <c:f>[2]Sheet1!$C$25:$C$28</c:f>
              <c:numCache>
                <c:formatCode>General</c:formatCode>
                <c:ptCount val="4"/>
                <c:pt idx="0">
                  <c:v>38.347479292361164</c:v>
                </c:pt>
                <c:pt idx="1">
                  <c:v>26.076285918805613</c:v>
                </c:pt>
                <c:pt idx="2">
                  <c:v>17.895490336435209</c:v>
                </c:pt>
                <c:pt idx="3">
                  <c:v>12.271193373555569</c:v>
                </c:pt>
              </c:numCache>
            </c:numRef>
          </c:val>
        </c:ser>
        <c:shape val="cylinder"/>
        <c:axId val="156585984"/>
        <c:axId val="156587520"/>
        <c:axId val="0"/>
      </c:bar3DChart>
      <c:catAx>
        <c:axId val="156585984"/>
        <c:scaling>
          <c:orientation val="minMax"/>
        </c:scaling>
        <c:axPos val="l"/>
        <c:numFmt formatCode="General" sourceLinked="1"/>
        <c:tickLblPos val="nextTo"/>
        <c:crossAx val="156587520"/>
        <c:crosses val="autoZero"/>
        <c:auto val="1"/>
        <c:lblAlgn val="ctr"/>
        <c:lblOffset val="100"/>
      </c:catAx>
      <c:valAx>
        <c:axId val="156587520"/>
        <c:scaling>
          <c:orientation val="minMax"/>
        </c:scaling>
        <c:axPos val="b"/>
        <c:majorGridlines/>
        <c:numFmt formatCode="General" sourceLinked="1"/>
        <c:tickLblPos val="nextTo"/>
        <c:crossAx val="156585984"/>
        <c:crosses val="autoZero"/>
        <c:crossBetween val="between"/>
      </c:valAx>
    </c:plotArea>
    <c:legend>
      <c:legendPos val="r"/>
    </c:legend>
    <c:plotVisOnly val="1"/>
  </c:chart>
  <c:txPr>
    <a:bodyPr/>
    <a:lstStyle/>
    <a:p>
      <a:pPr algn="r">
        <a:defRPr sz="1200" b="1">
          <a:latin typeface="+mn-lt"/>
          <a:cs typeface="Times New Roman" pitchFamily="18" charset="0"/>
        </a:defRPr>
      </a:pPr>
      <a:endParaRPr lang="en-US"/>
    </a:p>
  </c:txPr>
  <c:externalData r:id="rId1"/>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GB"/>
  <c:chart>
    <c:autoTitleDeleted val="1"/>
    <c:plotArea>
      <c:layout/>
      <c:barChart>
        <c:barDir val="col"/>
        <c:grouping val="clustered"/>
        <c:ser>
          <c:idx val="0"/>
          <c:order val="0"/>
          <c:tx>
            <c:strRef>
              <c:f>'Figure 9.6'!$B$3:$B$4</c:f>
              <c:strCache>
                <c:ptCount val="1"/>
                <c:pt idx="0">
                  <c:v>WELFARE EU</c:v>
                </c:pt>
              </c:strCache>
            </c:strRef>
          </c:tx>
          <c:cat>
            <c:strRef>
              <c:f>'Figure 9.6'!$A$5:$A$13</c:f>
              <c:strCache>
                <c:ptCount val="9"/>
                <c:pt idx="0">
                  <c:v> Beef</c:v>
                </c:pt>
                <c:pt idx="1">
                  <c:v> Pork</c:v>
                </c:pt>
                <c:pt idx="2">
                  <c:v> Poultry</c:v>
                </c:pt>
                <c:pt idx="3">
                  <c:v> Meats</c:v>
                </c:pt>
                <c:pt idx="4">
                  <c:v> Dairy</c:v>
                </c:pt>
                <c:pt idx="5">
                  <c:v> CER</c:v>
                </c:pt>
                <c:pt idx="6">
                  <c:v> VFN</c:v>
                </c:pt>
                <c:pt idx="7">
                  <c:v> Wine</c:v>
                </c:pt>
                <c:pt idx="8">
                  <c:v>Total</c:v>
                </c:pt>
              </c:strCache>
            </c:strRef>
          </c:cat>
          <c:val>
            <c:numRef>
              <c:f>'Figure 9.6'!$B$5:$B$13</c:f>
              <c:numCache>
                <c:formatCode>General</c:formatCode>
                <c:ptCount val="9"/>
                <c:pt idx="0">
                  <c:v>473</c:v>
                </c:pt>
                <c:pt idx="1">
                  <c:v>260</c:v>
                </c:pt>
                <c:pt idx="2">
                  <c:v>-135</c:v>
                </c:pt>
                <c:pt idx="3">
                  <c:v>2541</c:v>
                </c:pt>
                <c:pt idx="4">
                  <c:v>-2455</c:v>
                </c:pt>
                <c:pt idx="5">
                  <c:v>-1338</c:v>
                </c:pt>
                <c:pt idx="6">
                  <c:v>-404</c:v>
                </c:pt>
                <c:pt idx="7">
                  <c:v>-124</c:v>
                </c:pt>
                <c:pt idx="8">
                  <c:v>-1182</c:v>
                </c:pt>
              </c:numCache>
            </c:numRef>
          </c:val>
        </c:ser>
        <c:ser>
          <c:idx val="1"/>
          <c:order val="1"/>
          <c:tx>
            <c:strRef>
              <c:f>'Figure 9.6'!$C$3:$C$4</c:f>
              <c:strCache>
                <c:ptCount val="1"/>
                <c:pt idx="0">
                  <c:v>WELFARE WTO</c:v>
                </c:pt>
              </c:strCache>
            </c:strRef>
          </c:tx>
          <c:cat>
            <c:strRef>
              <c:f>'Figure 9.6'!$A$5:$A$13</c:f>
              <c:strCache>
                <c:ptCount val="9"/>
                <c:pt idx="0">
                  <c:v> Beef</c:v>
                </c:pt>
                <c:pt idx="1">
                  <c:v> Pork</c:v>
                </c:pt>
                <c:pt idx="2">
                  <c:v> Poultry</c:v>
                </c:pt>
                <c:pt idx="3">
                  <c:v> Meats</c:v>
                </c:pt>
                <c:pt idx="4">
                  <c:v> Dairy</c:v>
                </c:pt>
                <c:pt idx="5">
                  <c:v> CER</c:v>
                </c:pt>
                <c:pt idx="6">
                  <c:v> VFN</c:v>
                </c:pt>
                <c:pt idx="7">
                  <c:v> Wine</c:v>
                </c:pt>
                <c:pt idx="8">
                  <c:v>Total</c:v>
                </c:pt>
              </c:strCache>
            </c:strRef>
          </c:cat>
          <c:val>
            <c:numRef>
              <c:f>'Figure 9.6'!$C$5:$C$13</c:f>
              <c:numCache>
                <c:formatCode>General</c:formatCode>
                <c:ptCount val="9"/>
                <c:pt idx="0">
                  <c:v>-255</c:v>
                </c:pt>
                <c:pt idx="1">
                  <c:v>-1748</c:v>
                </c:pt>
                <c:pt idx="2">
                  <c:v>-9</c:v>
                </c:pt>
                <c:pt idx="3">
                  <c:v>-996</c:v>
                </c:pt>
                <c:pt idx="4">
                  <c:v>1</c:v>
                </c:pt>
                <c:pt idx="5">
                  <c:v>2</c:v>
                </c:pt>
                <c:pt idx="6">
                  <c:v>-18</c:v>
                </c:pt>
                <c:pt idx="7">
                  <c:v>9</c:v>
                </c:pt>
                <c:pt idx="8">
                  <c:v>-3014</c:v>
                </c:pt>
              </c:numCache>
            </c:numRef>
          </c:val>
        </c:ser>
        <c:gapWidth val="75"/>
        <c:overlap val="-25"/>
        <c:axId val="158077312"/>
        <c:axId val="158078848"/>
      </c:barChart>
      <c:catAx>
        <c:axId val="158077312"/>
        <c:scaling>
          <c:orientation val="minMax"/>
        </c:scaling>
        <c:axPos val="b"/>
        <c:majorTickMark val="none"/>
        <c:tickLblPos val="low"/>
        <c:crossAx val="158078848"/>
        <c:crosses val="autoZero"/>
        <c:auto val="1"/>
        <c:lblAlgn val="ctr"/>
        <c:lblOffset val="100"/>
      </c:catAx>
      <c:valAx>
        <c:axId val="158078848"/>
        <c:scaling>
          <c:orientation val="minMax"/>
        </c:scaling>
        <c:axPos val="l"/>
        <c:majorGridlines/>
        <c:title>
          <c:tx>
            <c:rich>
              <a:bodyPr rot="-5400000" vert="horz"/>
              <a:lstStyle/>
              <a:p>
                <a:pPr>
                  <a:defRPr/>
                </a:pPr>
                <a:r>
                  <a:rPr lang="en-US"/>
                  <a:t>US$ 000</a:t>
                </a:r>
              </a:p>
            </c:rich>
          </c:tx>
        </c:title>
        <c:numFmt formatCode="General" sourceLinked="1"/>
        <c:majorTickMark val="none"/>
        <c:tickLblPos val="nextTo"/>
        <c:spPr>
          <a:ln w="9525">
            <a:noFill/>
          </a:ln>
        </c:spPr>
        <c:crossAx val="158077312"/>
        <c:crosses val="autoZero"/>
        <c:crossBetween val="between"/>
      </c:valAx>
    </c:plotArea>
    <c:legend>
      <c:legendPos val="b"/>
    </c:legend>
    <c:plotVisOnly val="1"/>
  </c:chart>
  <c:externalData r:id="rId1"/>
</c:chartSpace>
</file>

<file path=word/drawings/drawing1.xml><?xml version="1.0" encoding="utf-8"?>
<c:userShapes xmlns:c="http://schemas.openxmlformats.org/drawingml/2006/chart">
  <cdr:relSizeAnchor xmlns:cdr="http://schemas.openxmlformats.org/drawingml/2006/chartDrawing">
    <cdr:from>
      <cdr:x>0.24856</cdr:x>
      <cdr:y>0.31612</cdr:y>
    </cdr:from>
    <cdr:to>
      <cdr:x>0.32759</cdr:x>
      <cdr:y>0.41736</cdr:y>
    </cdr:to>
    <cdr:sp macro="" textlink="">
      <cdr:nvSpPr>
        <cdr:cNvPr id="2" name="Oval 1"/>
        <cdr:cNvSpPr/>
      </cdr:nvSpPr>
      <cdr:spPr>
        <a:xfrm xmlns:a="http://schemas.openxmlformats.org/drawingml/2006/main">
          <a:off x="1647825" y="1457325"/>
          <a:ext cx="523875" cy="466725"/>
        </a:xfrm>
        <a:prstGeom xmlns:a="http://schemas.openxmlformats.org/drawingml/2006/main" prst="ellipse">
          <a:avLst/>
        </a:prstGeom>
        <a:gradFill xmlns:a="http://schemas.openxmlformats.org/drawingml/2006/main" rotWithShape="1">
          <a:gsLst>
            <a:gs pos="0">
              <a:srgbClr val="C0504D">
                <a:shade val="51000"/>
                <a:satMod val="130000"/>
              </a:srgbClr>
            </a:gs>
            <a:gs pos="80000">
              <a:srgbClr val="C0504D">
                <a:shade val="93000"/>
                <a:satMod val="130000"/>
              </a:srgbClr>
            </a:gs>
            <a:gs pos="100000">
              <a:srgbClr val="C0504D">
                <a:shade val="94000"/>
                <a:satMod val="135000"/>
              </a:srgbClr>
            </a:gs>
          </a:gsLst>
          <a:lin ang="16200000" scaled="0"/>
        </a:gradFill>
        <a:ln xmlns:a="http://schemas.openxmlformats.org/drawingml/2006/main">
          <a:noFill/>
        </a:ln>
        <a:effectLst xmlns:a="http://schemas.openxmlformats.org/drawingml/2006/main">
          <a:outerShdw blurRad="40000" dist="23000" dir="5400000" rotWithShape="0">
            <a:srgbClr val="000000">
              <a:alpha val="35000"/>
            </a:srgbClr>
          </a:outerShdw>
        </a:effectLst>
        <a:scene3d xmlns:a="http://schemas.openxmlformats.org/drawingml/2006/main">
          <a:camera prst="orthographicFront">
            <a:rot lat="0" lon="0" rev="0"/>
          </a:camera>
          <a:lightRig rig="threePt" dir="t">
            <a:rot lat="0" lon="0" rev="1200000"/>
          </a:lightRig>
        </a:scene3d>
        <a:sp3d xmlns:a="http://schemas.openxmlformats.org/drawingml/2006/main">
          <a:bevelT w="63500" h="25400"/>
        </a:sp3d>
      </cdr:spPr>
      <cdr:style>
        <a:lnRef xmlns:a="http://schemas.openxmlformats.org/drawingml/2006/main" idx="0">
          <a:schemeClr val="accent2"/>
        </a:lnRef>
        <a:fillRef xmlns:a="http://schemas.openxmlformats.org/drawingml/2006/main" idx="3">
          <a:schemeClr val="accent2"/>
        </a:fillRef>
        <a:effectRef xmlns:a="http://schemas.openxmlformats.org/drawingml/2006/main" idx="3">
          <a:schemeClr val="accent2"/>
        </a:effectRef>
        <a:fontRef xmlns:a="http://schemas.openxmlformats.org/drawingml/2006/main" idx="minor">
          <a:schemeClr val="lt1"/>
        </a:fontRef>
      </cdr:style>
      <cdr:txBody>
        <a:bodyPr xmlns:a="http://schemas.openxmlformats.org/drawingml/2006/main" rtlCol="0" anchor="ctr"/>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pPr algn="ctr"/>
          <a:r>
            <a:rPr lang="hr-HR" sz="800" b="1"/>
            <a:t>24%</a:t>
          </a:r>
        </a:p>
      </cdr:txBody>
    </cdr:sp>
  </cdr:relSizeAnchor>
  <cdr:relSizeAnchor xmlns:cdr="http://schemas.openxmlformats.org/drawingml/2006/chartDrawing">
    <cdr:from>
      <cdr:x>0.3592</cdr:x>
      <cdr:y>0.20248</cdr:y>
    </cdr:from>
    <cdr:to>
      <cdr:x>0.43822</cdr:x>
      <cdr:y>0.30372</cdr:y>
    </cdr:to>
    <cdr:sp macro="" textlink="">
      <cdr:nvSpPr>
        <cdr:cNvPr id="3" name="Oval 2"/>
        <cdr:cNvSpPr/>
      </cdr:nvSpPr>
      <cdr:spPr>
        <a:xfrm xmlns:a="http://schemas.openxmlformats.org/drawingml/2006/main">
          <a:off x="2381250" y="933450"/>
          <a:ext cx="523875" cy="466725"/>
        </a:xfrm>
        <a:prstGeom xmlns:a="http://schemas.openxmlformats.org/drawingml/2006/main" prst="ellipse">
          <a:avLst/>
        </a:prstGeom>
      </cdr:spPr>
      <cdr:style>
        <a:lnRef xmlns:a="http://schemas.openxmlformats.org/drawingml/2006/main" idx="0">
          <a:schemeClr val="accent2"/>
        </a:lnRef>
        <a:fillRef xmlns:a="http://schemas.openxmlformats.org/drawingml/2006/main" idx="3">
          <a:schemeClr val="accent2"/>
        </a:fillRef>
        <a:effectRef xmlns:a="http://schemas.openxmlformats.org/drawingml/2006/main" idx="3">
          <a:schemeClr val="accent2"/>
        </a:effectRef>
        <a:fontRef xmlns:a="http://schemas.openxmlformats.org/drawingml/2006/main" idx="minor">
          <a:schemeClr val="lt1"/>
        </a:fontRef>
      </cdr:style>
      <cdr:txBody>
        <a:bodyPr xmlns:a="http://schemas.openxmlformats.org/drawingml/2006/main" rtlCol="0" anchor="ct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hr-HR" sz="800" b="1"/>
            <a:t>26%</a:t>
          </a:r>
        </a:p>
      </cdr:txBody>
    </cdr:sp>
  </cdr:relSizeAnchor>
  <cdr:relSizeAnchor xmlns:cdr="http://schemas.openxmlformats.org/drawingml/2006/chartDrawing">
    <cdr:from>
      <cdr:x>0.46983</cdr:x>
      <cdr:y>0.13843</cdr:y>
    </cdr:from>
    <cdr:to>
      <cdr:x>0.54885</cdr:x>
      <cdr:y>0.23967</cdr:y>
    </cdr:to>
    <cdr:sp macro="" textlink="">
      <cdr:nvSpPr>
        <cdr:cNvPr id="4" name="Oval 3"/>
        <cdr:cNvSpPr/>
      </cdr:nvSpPr>
      <cdr:spPr>
        <a:xfrm xmlns:a="http://schemas.openxmlformats.org/drawingml/2006/main">
          <a:off x="3114675" y="638175"/>
          <a:ext cx="523875" cy="466725"/>
        </a:xfrm>
        <a:prstGeom xmlns:a="http://schemas.openxmlformats.org/drawingml/2006/main" prst="ellipse">
          <a:avLst/>
        </a:prstGeom>
      </cdr:spPr>
      <cdr:style>
        <a:lnRef xmlns:a="http://schemas.openxmlformats.org/drawingml/2006/main" idx="0">
          <a:schemeClr val="accent2"/>
        </a:lnRef>
        <a:fillRef xmlns:a="http://schemas.openxmlformats.org/drawingml/2006/main" idx="3">
          <a:schemeClr val="accent2"/>
        </a:fillRef>
        <a:effectRef xmlns:a="http://schemas.openxmlformats.org/drawingml/2006/main" idx="3">
          <a:schemeClr val="accent2"/>
        </a:effectRef>
        <a:fontRef xmlns:a="http://schemas.openxmlformats.org/drawingml/2006/main" idx="minor">
          <a:schemeClr val="lt1"/>
        </a:fontRef>
      </cdr:style>
      <cdr:txBody>
        <a:bodyPr xmlns:a="http://schemas.openxmlformats.org/drawingml/2006/main" rtlCol="0" anchor="ct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hr-HR" sz="800" b="1"/>
            <a:t>10%</a:t>
          </a:r>
        </a:p>
      </cdr:txBody>
    </cdr:sp>
  </cdr:relSizeAnchor>
  <cdr:relSizeAnchor xmlns:cdr="http://schemas.openxmlformats.org/drawingml/2006/chartDrawing">
    <cdr:from>
      <cdr:x>0.5819</cdr:x>
      <cdr:y>0.00413</cdr:y>
    </cdr:from>
    <cdr:to>
      <cdr:x>0.66092</cdr:x>
      <cdr:y>0.10537</cdr:y>
    </cdr:to>
    <cdr:sp macro="" textlink="">
      <cdr:nvSpPr>
        <cdr:cNvPr id="5" name="Oval 4"/>
        <cdr:cNvSpPr/>
      </cdr:nvSpPr>
      <cdr:spPr>
        <a:xfrm xmlns:a="http://schemas.openxmlformats.org/drawingml/2006/main">
          <a:off x="3857625" y="19050"/>
          <a:ext cx="523875" cy="466725"/>
        </a:xfrm>
        <a:prstGeom xmlns:a="http://schemas.openxmlformats.org/drawingml/2006/main" prst="ellipse">
          <a:avLst/>
        </a:prstGeom>
        <a:gradFill xmlns:a="http://schemas.openxmlformats.org/drawingml/2006/main" rotWithShape="1">
          <a:gsLst>
            <a:gs pos="0">
              <a:srgbClr val="C0504D">
                <a:shade val="51000"/>
                <a:satMod val="130000"/>
              </a:srgbClr>
            </a:gs>
            <a:gs pos="80000">
              <a:srgbClr val="C0504D">
                <a:shade val="93000"/>
                <a:satMod val="130000"/>
              </a:srgbClr>
            </a:gs>
            <a:gs pos="100000">
              <a:srgbClr val="C0504D">
                <a:shade val="94000"/>
                <a:satMod val="135000"/>
              </a:srgbClr>
            </a:gs>
          </a:gsLst>
          <a:lin ang="16200000" scaled="0"/>
        </a:gradFill>
        <a:ln xmlns:a="http://schemas.openxmlformats.org/drawingml/2006/main">
          <a:noFill/>
        </a:ln>
        <a:effectLst xmlns:a="http://schemas.openxmlformats.org/drawingml/2006/main">
          <a:outerShdw blurRad="40000" dist="23000" dir="5400000" rotWithShape="0">
            <a:srgbClr val="000000">
              <a:alpha val="35000"/>
            </a:srgbClr>
          </a:outerShdw>
        </a:effectLst>
        <a:scene3d xmlns:a="http://schemas.openxmlformats.org/drawingml/2006/main">
          <a:camera prst="orthographicFront">
            <a:rot lat="0" lon="0" rev="0"/>
          </a:camera>
          <a:lightRig rig="threePt" dir="t">
            <a:rot lat="0" lon="0" rev="1200000"/>
          </a:lightRig>
        </a:scene3d>
        <a:sp3d xmlns:a="http://schemas.openxmlformats.org/drawingml/2006/main">
          <a:bevelT w="63500" h="25400"/>
        </a:sp3d>
      </cdr:spPr>
      <cdr:style>
        <a:lnRef xmlns:a="http://schemas.openxmlformats.org/drawingml/2006/main" idx="0">
          <a:schemeClr val="accent2"/>
        </a:lnRef>
        <a:fillRef xmlns:a="http://schemas.openxmlformats.org/drawingml/2006/main" idx="3">
          <a:schemeClr val="accent2"/>
        </a:fillRef>
        <a:effectRef xmlns:a="http://schemas.openxmlformats.org/drawingml/2006/main" idx="3">
          <a:schemeClr val="accent2"/>
        </a:effectRef>
        <a:fontRef xmlns:a="http://schemas.openxmlformats.org/drawingml/2006/main" idx="minor">
          <a:schemeClr val="lt1"/>
        </a:fontRef>
      </cdr:style>
      <cdr:txBody>
        <a:bodyPr xmlns:a="http://schemas.openxmlformats.org/drawingml/2006/main" rtlCol="0" anchor="ctr"/>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pPr algn="ctr"/>
          <a:r>
            <a:rPr lang="hr-HR" sz="800" b="1"/>
            <a:t>21%</a:t>
          </a:r>
        </a:p>
      </cdr:txBody>
    </cdr:sp>
  </cdr:relSizeAnchor>
  <cdr:relSizeAnchor xmlns:cdr="http://schemas.openxmlformats.org/drawingml/2006/chartDrawing">
    <cdr:from>
      <cdr:x>0.90517</cdr:x>
      <cdr:y>0.91322</cdr:y>
    </cdr:from>
    <cdr:to>
      <cdr:x>0.92672</cdr:x>
      <cdr:y>0.94008</cdr:y>
    </cdr:to>
    <cdr:sp macro="" textlink="">
      <cdr:nvSpPr>
        <cdr:cNvPr id="6" name="Oval 5"/>
        <cdr:cNvSpPr/>
      </cdr:nvSpPr>
      <cdr:spPr>
        <a:xfrm xmlns:a="http://schemas.openxmlformats.org/drawingml/2006/main">
          <a:off x="6000750" y="4210050"/>
          <a:ext cx="142875" cy="123825"/>
        </a:xfrm>
        <a:prstGeom xmlns:a="http://schemas.openxmlformats.org/drawingml/2006/main" prst="ellipse">
          <a:avLst/>
        </a:prstGeom>
        <a:gradFill xmlns:a="http://schemas.openxmlformats.org/drawingml/2006/main" rotWithShape="1">
          <a:gsLst>
            <a:gs pos="0">
              <a:srgbClr val="C0504D">
                <a:shade val="51000"/>
                <a:satMod val="130000"/>
              </a:srgbClr>
            </a:gs>
            <a:gs pos="80000">
              <a:srgbClr val="C0504D">
                <a:shade val="93000"/>
                <a:satMod val="130000"/>
              </a:srgbClr>
            </a:gs>
            <a:gs pos="100000">
              <a:srgbClr val="C0504D">
                <a:shade val="94000"/>
                <a:satMod val="135000"/>
              </a:srgbClr>
            </a:gs>
          </a:gsLst>
          <a:lin ang="16200000" scaled="0"/>
        </a:gradFill>
        <a:ln xmlns:a="http://schemas.openxmlformats.org/drawingml/2006/main">
          <a:noFill/>
        </a:ln>
        <a:effectLst xmlns:a="http://schemas.openxmlformats.org/drawingml/2006/main">
          <a:outerShdw blurRad="40000" dist="23000" dir="5400000" rotWithShape="0">
            <a:srgbClr val="000000">
              <a:alpha val="35000"/>
            </a:srgbClr>
          </a:outerShdw>
        </a:effectLst>
        <a:scene3d xmlns:a="http://schemas.openxmlformats.org/drawingml/2006/main">
          <a:camera prst="orthographicFront">
            <a:rot lat="0" lon="0" rev="0"/>
          </a:camera>
          <a:lightRig rig="threePt" dir="t">
            <a:rot lat="0" lon="0" rev="1200000"/>
          </a:lightRig>
        </a:scene3d>
        <a:sp3d xmlns:a="http://schemas.openxmlformats.org/drawingml/2006/main">
          <a:bevelT w="63500" h="25400"/>
        </a:sp3d>
      </cdr:spPr>
      <cdr:style>
        <a:lnRef xmlns:a="http://schemas.openxmlformats.org/drawingml/2006/main" idx="0">
          <a:schemeClr val="accent2"/>
        </a:lnRef>
        <a:fillRef xmlns:a="http://schemas.openxmlformats.org/drawingml/2006/main" idx="3">
          <a:schemeClr val="accent2"/>
        </a:fillRef>
        <a:effectRef xmlns:a="http://schemas.openxmlformats.org/drawingml/2006/main" idx="3">
          <a:schemeClr val="accent2"/>
        </a:effectRef>
        <a:fontRef xmlns:a="http://schemas.openxmlformats.org/drawingml/2006/main" idx="minor">
          <a:schemeClr val="lt1"/>
        </a:fontRef>
      </cdr:style>
      <cdr:txBody>
        <a:bodyPr xmlns:a="http://schemas.openxmlformats.org/drawingml/2006/main" rtlCol="0" anchor="ctr"/>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pPr algn="ctr"/>
          <a:endParaRPr lang="hr-HR" sz="800" b="1"/>
        </a:p>
      </cdr:txBody>
    </cdr:sp>
  </cdr:relSizeAnchor>
</c:userShapes>
</file>

<file path=word/drawings/drawing2.xml><?xml version="1.0" encoding="utf-8"?>
<c:userShapes xmlns:c="http://schemas.openxmlformats.org/drawingml/2006/chart">
  <cdr:relSizeAnchor xmlns:cdr="http://schemas.openxmlformats.org/drawingml/2006/chartDrawing">
    <cdr:from>
      <cdr:x>0.77765</cdr:x>
      <cdr:y>0.85764</cdr:y>
    </cdr:from>
    <cdr:to>
      <cdr:x>0.99167</cdr:x>
      <cdr:y>0.97569</cdr:y>
    </cdr:to>
    <cdr:sp macro="" textlink="">
      <cdr:nvSpPr>
        <cdr:cNvPr id="3" name="TextBox 2"/>
        <cdr:cNvSpPr txBox="1"/>
      </cdr:nvSpPr>
      <cdr:spPr>
        <a:xfrm xmlns:a="http://schemas.openxmlformats.org/drawingml/2006/main">
          <a:off x="3555423" y="2352678"/>
          <a:ext cx="978492" cy="32383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pPr algn="r"/>
          <a:r>
            <a:rPr lang="hr-HR" sz="1200" b="1">
              <a:latin typeface="Times New Roman" pitchFamily="18" charset="0"/>
              <a:cs typeface="Times New Roman" pitchFamily="18" charset="0"/>
            </a:rPr>
            <a:t>mill</a:t>
          </a:r>
          <a:r>
            <a:rPr lang="en-GB" sz="1200" b="1">
              <a:latin typeface="Times New Roman" pitchFamily="18" charset="0"/>
              <a:cs typeface="Times New Roman" pitchFamily="18" charset="0"/>
            </a:rPr>
            <a:t>ion</a:t>
          </a:r>
          <a:r>
            <a:rPr lang="hr-HR" sz="1200" b="1">
              <a:latin typeface="Times New Roman" pitchFamily="18" charset="0"/>
              <a:cs typeface="Times New Roman" pitchFamily="18" charset="0"/>
            </a:rPr>
            <a:t> €</a:t>
          </a:r>
        </a:p>
      </cdr:txBody>
    </cdr:sp>
  </cdr:relSizeAnchor>
</c:userShapes>
</file>

<file path=word/drawings/drawing3.xml><?xml version="1.0" encoding="utf-8"?>
<c:userShapes xmlns:c="http://schemas.openxmlformats.org/drawingml/2006/chart">
  <cdr:relSizeAnchor xmlns:cdr="http://schemas.openxmlformats.org/drawingml/2006/chartDrawing">
    <cdr:from>
      <cdr:x>0.83125</cdr:x>
      <cdr:y>0.85764</cdr:y>
    </cdr:from>
    <cdr:to>
      <cdr:x>0.99167</cdr:x>
      <cdr:y>0.97569</cdr:y>
    </cdr:to>
    <cdr:sp macro="" textlink="">
      <cdr:nvSpPr>
        <cdr:cNvPr id="3" name="TextBox 2"/>
        <cdr:cNvSpPr txBox="1"/>
      </cdr:nvSpPr>
      <cdr:spPr>
        <a:xfrm xmlns:a="http://schemas.openxmlformats.org/drawingml/2006/main">
          <a:off x="3800475" y="2352675"/>
          <a:ext cx="733425" cy="32385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pPr algn="r"/>
          <a:r>
            <a:rPr lang="hr-HR" sz="1200" b="1">
              <a:latin typeface="Times New Roman" pitchFamily="18" charset="0"/>
              <a:cs typeface="Times New Roman" pitchFamily="18" charset="0"/>
            </a:rPr>
            <a:t>mill €</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446F78-B6C0-4D66-801A-C58D7808D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TF_Template_Word_XP_2007.dotx</Template>
  <TotalTime>2</TotalTime>
  <Pages>32</Pages>
  <Words>11729</Words>
  <Characters>62574</Characters>
  <Application>Microsoft Office Word</Application>
  <DocSecurity>0</DocSecurity>
  <Lines>521</Lines>
  <Paragraphs>148</Paragraphs>
  <ScaleCrop>false</ScaleCrop>
  <HeadingPairs>
    <vt:vector size="2" baseType="variant">
      <vt:variant>
        <vt:lpstr>Title</vt:lpstr>
      </vt:variant>
      <vt:variant>
        <vt:i4>1</vt:i4>
      </vt:variant>
    </vt:vector>
  </HeadingPairs>
  <TitlesOfParts>
    <vt:vector size="1" baseType="lpstr">
      <vt:lpstr>New</vt:lpstr>
    </vt:vector>
  </TitlesOfParts>
  <Company>Informa Plc</Company>
  <LinksUpToDate>false</LinksUpToDate>
  <CharactersWithSpaces>74155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dc:title>
  <dc:creator>User</dc:creator>
  <cp:lastModifiedBy>cheong</cp:lastModifiedBy>
  <cp:revision>3</cp:revision>
  <cp:lastPrinted>2012-06-07T10:13:00Z</cp:lastPrinted>
  <dcterms:created xsi:type="dcterms:W3CDTF">2013-01-21T13:00:00Z</dcterms:created>
  <dcterms:modified xsi:type="dcterms:W3CDTF">2013-01-21T16:49:00Z</dcterms:modified>
</cp:coreProperties>
</file>