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drawings/drawing6.xml" ContentType="application/vnd.openxmlformats-officedocument.drawingml.chartshap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4.xml" ContentType="application/vnd.openxmlformats-officedocument.drawingml.chartshapes+xml"/>
  <Override PartName="/word/drawings/drawing5.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A8" w:rsidRDefault="00E63177">
      <w:pPr>
        <w:pStyle w:val="BodyText"/>
      </w:pPr>
      <w:bookmarkStart w:id="0" w:name="_GoBack"/>
      <w:bookmarkEnd w:id="0"/>
      <w:r>
        <w:rPr>
          <w:noProof/>
          <w:lang w:val="fr-FR" w:eastAsia="fr-FR"/>
        </w:rPr>
        <w:drawing>
          <wp:anchor distT="0" distB="0" distL="114300" distR="114300" simplePos="0" relativeHeight="251656704" behindDoc="1" locked="0" layoutInCell="1" allowOverlap="1">
            <wp:simplePos x="0" y="0"/>
            <wp:positionH relativeFrom="column">
              <wp:posOffset>-1006475</wp:posOffset>
            </wp:positionH>
            <wp:positionV relativeFrom="paragraph">
              <wp:posOffset>-1939290</wp:posOffset>
            </wp:positionV>
            <wp:extent cx="7839075" cy="11087100"/>
            <wp:effectExtent l="19050" t="0" r="9525" b="0"/>
            <wp:wrapNone/>
            <wp:docPr id="8" name="Picture 8" descr="blue_doc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doc_background"/>
                    <pic:cNvPicPr>
                      <a:picLocks noChangeAspect="1" noChangeArrowheads="1"/>
                    </pic:cNvPicPr>
                  </pic:nvPicPr>
                  <pic:blipFill>
                    <a:blip r:embed="rId8" cstate="print"/>
                    <a:srcRect/>
                    <a:stretch>
                      <a:fillRect/>
                    </a:stretch>
                  </pic:blipFill>
                  <pic:spPr bwMode="auto">
                    <a:xfrm>
                      <a:off x="0" y="0"/>
                      <a:ext cx="7839075" cy="11087100"/>
                    </a:xfrm>
                    <a:prstGeom prst="rect">
                      <a:avLst/>
                    </a:prstGeom>
                    <a:noFill/>
                    <a:ln w="9525">
                      <a:noFill/>
                      <a:miter lim="800000"/>
                      <a:headEnd/>
                      <a:tailEnd/>
                    </a:ln>
                  </pic:spPr>
                </pic:pic>
              </a:graphicData>
            </a:graphic>
          </wp:anchor>
        </w:drawing>
      </w: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036864">
      <w:pPr>
        <w:pStyle w:val="BodyText"/>
      </w:pPr>
      <w:r w:rsidRPr="00036864">
        <w:rPr>
          <w:noProof/>
          <w:lang w:eastAsia="en-GB"/>
        </w:rPr>
        <w:pict>
          <v:shapetype id="_x0000_t202" coordsize="21600,21600" o:spt="202" path="m,l,21600r21600,l21600,xe">
            <v:stroke joinstyle="miter"/>
            <v:path gradientshapeok="t" o:connecttype="rect"/>
          </v:shapetype>
          <v:shape id="Text Box 6" o:spid="_x0000_s1026" type="#_x0000_t202" style="position:absolute;margin-left:-13.95pt;margin-top:5.45pt;width:345pt;height:206.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eO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" filled="f" stroked="f">
            <v:textbox>
              <w:txbxContent>
                <w:p w:rsidR="00956B35" w:rsidRPr="0059239E" w:rsidRDefault="00956B35">
                  <w:pPr>
                    <w:pStyle w:val="Coverpagetitle"/>
                    <w:rPr>
                      <w:rFonts w:asciiTheme="minorHAnsi" w:hAnsiTheme="minorHAnsi"/>
                      <w:sz w:val="36"/>
                    </w:rPr>
                  </w:pPr>
                  <w:r>
                    <w:rPr>
                      <w:rFonts w:asciiTheme="minorHAnsi" w:hAnsiTheme="minorHAnsi"/>
                      <w:sz w:val="36"/>
                    </w:rPr>
                    <w:t>Mapping Investment Flows into African Agriculture:  the Role of CAADP</w:t>
                  </w:r>
                </w:p>
                <w:p w:rsidR="00956B35" w:rsidRPr="0059239E" w:rsidRDefault="00956B35">
                  <w:pPr>
                    <w:pStyle w:val="Coverpagetitle"/>
                    <w:rPr>
                      <w:rFonts w:asciiTheme="minorHAnsi" w:hAnsiTheme="minorHAnsi"/>
                      <w:b w:val="0"/>
                      <w:sz w:val="36"/>
                    </w:rPr>
                  </w:pPr>
                  <w:r w:rsidRPr="0059239E">
                    <w:rPr>
                      <w:rFonts w:asciiTheme="minorHAnsi" w:hAnsiTheme="minorHAnsi"/>
                      <w:b w:val="0"/>
                      <w:sz w:val="36"/>
                    </w:rPr>
                    <w:t>DRAFT</w:t>
                  </w:r>
                </w:p>
                <w:p w:rsidR="00956B35" w:rsidRPr="0059239E" w:rsidRDefault="00956B35">
                  <w:pPr>
                    <w:pStyle w:val="Coverpageclientname"/>
                    <w:rPr>
                      <w:rFonts w:asciiTheme="minorHAnsi" w:hAnsiTheme="minorHAnsi"/>
                    </w:rPr>
                  </w:pPr>
                </w:p>
                <w:p w:rsidR="00956B35" w:rsidRDefault="00956B35">
                  <w:pPr>
                    <w:pStyle w:val="Coverpageclientname"/>
                    <w:rPr>
                      <w:rFonts w:asciiTheme="minorHAnsi" w:hAnsiTheme="minorHAnsi"/>
                    </w:rPr>
                  </w:pPr>
                  <w:r>
                    <w:rPr>
                      <w:rFonts w:asciiTheme="minorHAnsi" w:hAnsiTheme="minorHAnsi"/>
                    </w:rPr>
                    <w:t>For the CAADP Multi Donor Trust Fund</w:t>
                  </w:r>
                </w:p>
                <w:p w:rsidR="00956B35" w:rsidRDefault="00956B35">
                  <w:pPr>
                    <w:pStyle w:val="Coverpageclientname"/>
                    <w:rPr>
                      <w:rFonts w:asciiTheme="minorHAnsi" w:hAnsiTheme="minorHAnsi"/>
                    </w:rPr>
                  </w:pPr>
                  <w:r w:rsidRPr="0059239E">
                    <w:rPr>
                      <w:rFonts w:asciiTheme="minorHAnsi" w:hAnsiTheme="minorHAnsi"/>
                    </w:rPr>
                    <w:t>World Bank</w:t>
                  </w:r>
                </w:p>
                <w:p w:rsidR="00956B35" w:rsidRDefault="00956B35">
                  <w:pPr>
                    <w:pStyle w:val="Coverpageclientname"/>
                    <w:rPr>
                      <w:rFonts w:asciiTheme="minorHAnsi" w:hAnsiTheme="minorHAnsi"/>
                    </w:rPr>
                  </w:pPr>
                </w:p>
                <w:p w:rsidR="00956B35" w:rsidRDefault="00956B35">
                  <w:pPr>
                    <w:pStyle w:val="Coverpageclientname"/>
                    <w:rPr>
                      <w:rFonts w:asciiTheme="minorHAnsi" w:hAnsiTheme="minorHAnsi"/>
                    </w:rPr>
                  </w:pPr>
                  <w:r>
                    <w:rPr>
                      <w:rFonts w:asciiTheme="minorHAnsi" w:hAnsiTheme="minorHAnsi"/>
                    </w:rPr>
                    <w:t xml:space="preserve">By Dr. Erika Fraser </w:t>
                  </w:r>
                </w:p>
                <w:p w:rsidR="00956B35" w:rsidRPr="0059239E" w:rsidRDefault="00956B35">
                  <w:pPr>
                    <w:pStyle w:val="Coverpageclientname"/>
                    <w:rPr>
                      <w:rFonts w:asciiTheme="minorHAnsi" w:hAnsiTheme="minorHAnsi"/>
                    </w:rPr>
                  </w:pPr>
                  <w:r w:rsidRPr="00AD3245">
                    <w:rPr>
                      <w:rFonts w:asciiTheme="minorHAnsi" w:hAnsiTheme="minorHAnsi"/>
                      <w:sz w:val="24"/>
                      <w:szCs w:val="24"/>
                    </w:rPr>
                    <w:t xml:space="preserve">with Dr. Allyson </w:t>
                  </w:r>
                  <w:proofErr w:type="spellStart"/>
                  <w:r w:rsidRPr="00AD3245">
                    <w:rPr>
                      <w:rFonts w:asciiTheme="minorHAnsi" w:hAnsiTheme="minorHAnsi"/>
                      <w:sz w:val="24"/>
                      <w:szCs w:val="24"/>
                    </w:rPr>
                    <w:t>Thirkell</w:t>
                  </w:r>
                  <w:proofErr w:type="spellEnd"/>
                </w:p>
                <w:p w:rsidR="00956B35" w:rsidRPr="0059239E" w:rsidRDefault="00956B35">
                  <w:pPr>
                    <w:pStyle w:val="Coverpageclientname"/>
                    <w:rPr>
                      <w:rFonts w:asciiTheme="minorHAnsi" w:hAnsiTheme="minorHAnsi"/>
                    </w:rPr>
                  </w:pPr>
                </w:p>
                <w:p w:rsidR="00956B35" w:rsidRPr="0059239E" w:rsidRDefault="00956B35">
                  <w:pPr>
                    <w:pStyle w:val="Coverpagedate"/>
                    <w:rPr>
                      <w:rFonts w:asciiTheme="minorHAnsi" w:hAnsiTheme="minorHAnsi"/>
                    </w:rPr>
                  </w:pPr>
                  <w:r>
                    <w:rPr>
                      <w:rFonts w:asciiTheme="minorHAnsi" w:hAnsiTheme="minorHAnsi"/>
                    </w:rPr>
                    <w:t>13th February 2013</w:t>
                  </w:r>
                </w:p>
                <w:p w:rsidR="00956B35" w:rsidRPr="0059239E" w:rsidRDefault="00956B35">
                  <w:pPr>
                    <w:pStyle w:val="Coverpagedate"/>
                    <w:rPr>
                      <w:rFonts w:asciiTheme="minorHAnsi" w:hAnsiTheme="minorHAnsi"/>
                    </w:rPr>
                  </w:pPr>
                </w:p>
                <w:p w:rsidR="00956B35" w:rsidRDefault="00956B35">
                  <w:pPr>
                    <w:pStyle w:val="Coverpagedate"/>
                  </w:pPr>
                </w:p>
                <w:p w:rsidR="00956B35" w:rsidRDefault="00956B35">
                  <w:pPr>
                    <w:pStyle w:val="Coverpagetitle"/>
                    <w:rPr>
                      <w:color w:val="B3DC1F"/>
                    </w:rPr>
                  </w:pPr>
                </w:p>
                <w:p w:rsidR="00956B35" w:rsidRDefault="00956B35">
                  <w:pPr>
                    <w:pStyle w:val="Header"/>
                    <w:tabs>
                      <w:tab w:val="clear" w:pos="4320"/>
                      <w:tab w:val="clear" w:pos="8640"/>
                    </w:tabs>
                    <w:rPr>
                      <w:lang w:val="en-US"/>
                    </w:rPr>
                  </w:pPr>
                </w:p>
                <w:p w:rsidR="00956B35" w:rsidRDefault="00956B35">
                  <w:pPr>
                    <w:pStyle w:val="Header"/>
                    <w:rPr>
                      <w:rFonts w:ascii="Arial" w:hAnsi="Arial"/>
                      <w:b/>
                      <w:color w:val="FFFFFF"/>
                      <w:sz w:val="28"/>
                      <w:lang w:val="en-US"/>
                    </w:rPr>
                  </w:pPr>
                </w:p>
                <w:p w:rsidR="00956B35" w:rsidRDefault="00956B35">
                  <w:pPr>
                    <w:widowControl w:val="0"/>
                    <w:autoSpaceDE w:val="0"/>
                    <w:autoSpaceDN w:val="0"/>
                    <w:adjustRightInd w:val="0"/>
                    <w:rPr>
                      <w:rFonts w:ascii="Arial" w:hAnsi="Arial"/>
                      <w:color w:val="FFFFFF"/>
                      <w:sz w:val="36"/>
                    </w:rPr>
                  </w:pPr>
                  <w:r>
                    <w:rPr>
                      <w:rFonts w:ascii="Arial" w:hAnsi="Arial"/>
                      <w:color w:val="FFFFFF"/>
                      <w:sz w:val="36"/>
                      <w:lang w:val="en-US"/>
                    </w:rPr>
                    <w:br/>
                  </w:r>
                </w:p>
                <w:p w:rsidR="00956B35" w:rsidRDefault="00956B35"/>
              </w:txbxContent>
            </v:textbox>
          </v:shape>
        </w:pict>
      </w: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BodyText"/>
      </w:pPr>
    </w:p>
    <w:p w:rsidR="00C249A8" w:rsidRDefault="00C249A8">
      <w:pPr>
        <w:pStyle w:val="Heading1"/>
        <w:rPr>
          <w:b w:val="0"/>
          <w:color w:val="000000"/>
          <w:kern w:val="0"/>
          <w:sz w:val="20"/>
        </w:rPr>
      </w:pPr>
    </w:p>
    <w:p w:rsidR="00C249A8" w:rsidRDefault="00C249A8"/>
    <w:p w:rsidR="00C249A8" w:rsidRDefault="00C249A8"/>
    <w:p w:rsidR="00C249A8" w:rsidRDefault="00036864">
      <w:r w:rsidRPr="00036864">
        <w:rPr>
          <w:noProof/>
          <w:lang w:eastAsia="en-GB"/>
        </w:rPr>
        <w:pict>
          <v:rect id="Rectangle 4" o:spid="_x0000_s1046" style="position:absolute;margin-left:-109.95pt;margin-top:84.65pt;width:9in;height:1in;z-index:25165772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" fillcolor="#b3dc1f" stroked="f" strokecolor="#083045"/>
        </w:pict>
      </w:r>
    </w:p>
    <w:p w:rsidR="003F6C09" w:rsidRDefault="003F6C09" w:rsidP="003F6C09">
      <w:pPr>
        <w:jc w:val="center"/>
        <w:rPr>
          <w:b/>
        </w:rPr>
      </w:pPr>
    </w:p>
    <w:p w:rsidR="003F6C09" w:rsidRDefault="003F6C09" w:rsidP="003F6C09">
      <w:pPr>
        <w:jc w:val="center"/>
        <w:rPr>
          <w:b/>
        </w:rPr>
      </w:pPr>
    </w:p>
    <w:p w:rsidR="003F6C09" w:rsidRDefault="003F6C09" w:rsidP="003F6C09">
      <w:pPr>
        <w:jc w:val="center"/>
        <w:rPr>
          <w:b/>
        </w:rPr>
      </w:pPr>
    </w:p>
    <w:p w:rsidR="003F6C09" w:rsidRDefault="003F6C09" w:rsidP="003F6C09">
      <w:pPr>
        <w:jc w:val="center"/>
        <w:rPr>
          <w:b/>
        </w:rPr>
      </w:pPr>
    </w:p>
    <w:p w:rsidR="003F6C09" w:rsidRDefault="003F6C09" w:rsidP="003F6C09">
      <w:pPr>
        <w:jc w:val="center"/>
        <w:rPr>
          <w:b/>
        </w:rPr>
      </w:pPr>
    </w:p>
    <w:p w:rsidR="003F6C09" w:rsidRDefault="003F6C09" w:rsidP="003F6C09">
      <w:pPr>
        <w:jc w:val="center"/>
        <w:rPr>
          <w:b/>
        </w:rPr>
      </w:pPr>
    </w:p>
    <w:p w:rsidR="003F6C09" w:rsidRPr="003F6C09" w:rsidRDefault="003F6C09" w:rsidP="003F6C09">
      <w:pPr>
        <w:autoSpaceDE w:val="0"/>
        <w:autoSpaceDN w:val="0"/>
        <w:adjustRightInd w:val="0"/>
        <w:jc w:val="center"/>
        <w:rPr>
          <w:rFonts w:asciiTheme="minorHAnsi" w:hAnsiTheme="minorHAnsi" w:cs="Arial"/>
          <w:b/>
          <w:color w:val="1F497D" w:themeColor="text2"/>
          <w:sz w:val="28"/>
          <w:szCs w:val="28"/>
        </w:rPr>
      </w:pPr>
      <w:r w:rsidRPr="003F6C09">
        <w:rPr>
          <w:rFonts w:asciiTheme="minorHAnsi" w:hAnsiTheme="minorHAnsi" w:cs="Arial"/>
          <w:b/>
          <w:color w:val="1F497D" w:themeColor="text2"/>
          <w:sz w:val="28"/>
          <w:szCs w:val="28"/>
        </w:rPr>
        <w:lastRenderedPageBreak/>
        <w:t>TABLE OF CONTENTS</w:t>
      </w:r>
    </w:p>
    <w:p w:rsidR="003F6C09" w:rsidRPr="003F6C09" w:rsidRDefault="003F6C09" w:rsidP="003F6C09">
      <w:pPr>
        <w:jc w:val="right"/>
        <w:rPr>
          <w:rFonts w:asciiTheme="minorHAnsi" w:hAnsiTheme="minorHAnsi" w:cs="Arial"/>
          <w:b/>
        </w:rPr>
      </w:pPr>
    </w:p>
    <w:p w:rsidR="003F6C09" w:rsidRPr="003F6C09" w:rsidRDefault="003F6C09" w:rsidP="003F6C09">
      <w:pPr>
        <w:jc w:val="right"/>
        <w:rPr>
          <w:rFonts w:asciiTheme="minorHAnsi" w:hAnsiTheme="minorHAnsi" w:cs="Arial"/>
          <w:b/>
          <w:sz w:val="22"/>
          <w:szCs w:val="22"/>
        </w:rPr>
      </w:pPr>
      <w:r w:rsidRPr="003F6C09">
        <w:rPr>
          <w:rFonts w:asciiTheme="minorHAnsi" w:hAnsiTheme="minorHAnsi" w:cs="Arial"/>
          <w:b/>
          <w:sz w:val="22"/>
          <w:szCs w:val="22"/>
        </w:rPr>
        <w:t>Page Number</w:t>
      </w:r>
    </w:p>
    <w:p w:rsidR="003F6C09" w:rsidRPr="00491280" w:rsidRDefault="003F6C09" w:rsidP="003F6C09">
      <w:pPr>
        <w:rPr>
          <w:rFonts w:asciiTheme="minorHAnsi" w:hAnsiTheme="minorHAnsi" w:cs="Arial"/>
          <w:b/>
          <w:szCs w:val="24"/>
        </w:rPr>
      </w:pPr>
    </w:p>
    <w:p w:rsidR="003F6C09" w:rsidRPr="003F6C09" w:rsidRDefault="003F6C09" w:rsidP="003F6C09">
      <w:pPr>
        <w:rPr>
          <w:rFonts w:asciiTheme="minorHAnsi" w:hAnsiTheme="minorHAnsi" w:cs="Arial"/>
          <w:sz w:val="22"/>
          <w:szCs w:val="22"/>
        </w:rPr>
      </w:pPr>
      <w:r w:rsidRPr="00491280">
        <w:rPr>
          <w:rFonts w:asciiTheme="minorHAnsi" w:hAnsiTheme="minorHAnsi" w:cs="Arial"/>
          <w:szCs w:val="24"/>
        </w:rPr>
        <w:t>Acronyms</w:t>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002226A2">
        <w:rPr>
          <w:rFonts w:asciiTheme="minorHAnsi" w:hAnsiTheme="minorHAnsi" w:cs="Arial"/>
          <w:szCs w:val="24"/>
        </w:rPr>
        <w:t>4</w:t>
      </w:r>
    </w:p>
    <w:p w:rsidR="003F6C09" w:rsidRPr="003F6C09" w:rsidRDefault="003F6C09" w:rsidP="003F6C09">
      <w:pPr>
        <w:rPr>
          <w:rFonts w:asciiTheme="minorHAnsi" w:hAnsiTheme="minorHAnsi" w:cs="Arial"/>
          <w:b/>
          <w:sz w:val="22"/>
          <w:szCs w:val="22"/>
        </w:rPr>
      </w:pPr>
    </w:p>
    <w:p w:rsidR="008044A6" w:rsidRDefault="003F6C09" w:rsidP="003F6C09">
      <w:pPr>
        <w:rPr>
          <w:rFonts w:asciiTheme="minorHAnsi" w:hAnsiTheme="minorHAnsi" w:cs="Arial"/>
          <w:sz w:val="22"/>
          <w:szCs w:val="22"/>
        </w:rPr>
      </w:pPr>
      <w:r w:rsidRPr="008044A6">
        <w:rPr>
          <w:rFonts w:asciiTheme="minorHAnsi" w:hAnsiTheme="minorHAnsi" w:cs="Arial"/>
          <w:b/>
          <w:szCs w:val="24"/>
        </w:rPr>
        <w:t>EXECUTIVE SUMMARY</w:t>
      </w:r>
      <w:r w:rsidRPr="008044A6">
        <w:rPr>
          <w:rFonts w:asciiTheme="minorHAnsi" w:hAnsiTheme="minorHAnsi" w:cs="Arial"/>
          <w:b/>
          <w:szCs w:val="24"/>
        </w:rPr>
        <w:tab/>
      </w:r>
      <w:r w:rsidRPr="003F6C09">
        <w:rPr>
          <w:rFonts w:asciiTheme="minorHAnsi" w:hAnsiTheme="minorHAnsi" w:cs="Arial"/>
          <w:b/>
          <w:sz w:val="22"/>
          <w:szCs w:val="22"/>
        </w:rPr>
        <w:tab/>
      </w:r>
      <w:r w:rsidRPr="003F6C09">
        <w:rPr>
          <w:rFonts w:asciiTheme="minorHAnsi" w:hAnsiTheme="minorHAnsi" w:cs="Arial"/>
          <w:b/>
          <w:sz w:val="22"/>
          <w:szCs w:val="22"/>
        </w:rPr>
        <w:tab/>
      </w:r>
      <w:r w:rsidRPr="003F6C09">
        <w:rPr>
          <w:rFonts w:asciiTheme="minorHAnsi" w:hAnsiTheme="minorHAnsi" w:cs="Arial"/>
          <w:b/>
          <w:sz w:val="22"/>
          <w:szCs w:val="22"/>
        </w:rPr>
        <w:tab/>
      </w:r>
      <w:r w:rsidRPr="003F6C09">
        <w:rPr>
          <w:rFonts w:asciiTheme="minorHAnsi" w:hAnsiTheme="minorHAnsi" w:cs="Arial"/>
          <w:b/>
          <w:sz w:val="22"/>
          <w:szCs w:val="22"/>
        </w:rPr>
        <w:tab/>
      </w:r>
      <w:r w:rsidRPr="003F6C09">
        <w:rPr>
          <w:rFonts w:asciiTheme="minorHAnsi" w:hAnsiTheme="minorHAnsi" w:cs="Arial"/>
          <w:b/>
          <w:sz w:val="22"/>
          <w:szCs w:val="22"/>
        </w:rPr>
        <w:tab/>
      </w:r>
      <w:r w:rsidRPr="003F6C09">
        <w:rPr>
          <w:rFonts w:asciiTheme="minorHAnsi" w:hAnsiTheme="minorHAnsi" w:cs="Arial"/>
          <w:b/>
          <w:sz w:val="22"/>
          <w:szCs w:val="22"/>
        </w:rPr>
        <w:tab/>
      </w:r>
      <w:r>
        <w:rPr>
          <w:rFonts w:asciiTheme="minorHAnsi" w:hAnsiTheme="minorHAnsi" w:cs="Arial"/>
          <w:b/>
          <w:sz w:val="22"/>
          <w:szCs w:val="22"/>
        </w:rPr>
        <w:tab/>
      </w:r>
      <w:r w:rsidR="002226A2">
        <w:rPr>
          <w:rFonts w:asciiTheme="minorHAnsi" w:hAnsiTheme="minorHAnsi" w:cs="Arial"/>
          <w:szCs w:val="24"/>
        </w:rPr>
        <w:t>6</w:t>
      </w:r>
    </w:p>
    <w:p w:rsidR="003F6C09" w:rsidRPr="003F6C09" w:rsidRDefault="003F6C09" w:rsidP="003F6C09">
      <w:pPr>
        <w:rPr>
          <w:rFonts w:asciiTheme="minorHAnsi" w:hAnsiTheme="minorHAnsi" w:cs="Arial"/>
          <w:sz w:val="22"/>
          <w:szCs w:val="22"/>
        </w:rPr>
      </w:pPr>
      <w:r w:rsidRPr="003F6C09">
        <w:rPr>
          <w:rFonts w:asciiTheme="minorHAnsi" w:hAnsiTheme="minorHAnsi" w:cs="Arial"/>
          <w:b/>
          <w:sz w:val="22"/>
          <w:szCs w:val="22"/>
        </w:rPr>
        <w:tab/>
      </w:r>
    </w:p>
    <w:p w:rsidR="00E8060D" w:rsidRDefault="003F6C09" w:rsidP="00E8060D">
      <w:pPr>
        <w:rPr>
          <w:rFonts w:asciiTheme="minorHAnsi" w:hAnsiTheme="minorHAnsi" w:cs="Arial"/>
          <w:szCs w:val="24"/>
        </w:rPr>
      </w:pPr>
      <w:r w:rsidRPr="008044A6">
        <w:rPr>
          <w:rFonts w:asciiTheme="minorHAnsi" w:hAnsiTheme="minorHAnsi" w:cs="Arial"/>
          <w:b/>
          <w:szCs w:val="24"/>
        </w:rPr>
        <w:t>SECTION 1:</w:t>
      </w:r>
      <w:r w:rsidRPr="008044A6">
        <w:rPr>
          <w:rFonts w:asciiTheme="minorHAnsi" w:hAnsiTheme="minorHAnsi" w:cs="Arial"/>
          <w:b/>
          <w:szCs w:val="24"/>
        </w:rPr>
        <w:tab/>
        <w:t xml:space="preserve"> INTRODUCTION</w:t>
      </w:r>
      <w:r w:rsidRPr="003F6C09">
        <w:rPr>
          <w:rFonts w:asciiTheme="minorHAnsi" w:hAnsiTheme="minorHAnsi" w:cs="Arial"/>
          <w:b/>
        </w:rPr>
        <w:tab/>
      </w:r>
      <w:r w:rsidRPr="003F6C09">
        <w:rPr>
          <w:rFonts w:asciiTheme="minorHAnsi" w:hAnsiTheme="minorHAnsi" w:cs="Arial"/>
          <w:b/>
        </w:rPr>
        <w:tab/>
      </w:r>
      <w:r w:rsidRPr="003F6C09">
        <w:rPr>
          <w:rFonts w:asciiTheme="minorHAnsi" w:hAnsiTheme="minorHAnsi" w:cs="Arial"/>
          <w:b/>
        </w:rPr>
        <w:tab/>
      </w:r>
      <w:r>
        <w:rPr>
          <w:rFonts w:asciiTheme="minorHAnsi" w:hAnsiTheme="minorHAnsi" w:cs="Arial"/>
          <w:b/>
        </w:rPr>
        <w:tab/>
      </w:r>
    </w:p>
    <w:p w:rsidR="00E8060D" w:rsidRPr="003F6C09" w:rsidRDefault="00E8060D" w:rsidP="00E8060D">
      <w:pPr>
        <w:rPr>
          <w:rFonts w:asciiTheme="minorHAnsi" w:hAnsiTheme="minorHAnsi" w:cs="Arial"/>
        </w:rPr>
      </w:pPr>
      <w:r w:rsidRPr="003F6C09">
        <w:rPr>
          <w:rFonts w:asciiTheme="minorHAnsi" w:hAnsiTheme="minorHAnsi" w:cs="Arial"/>
          <w:sz w:val="22"/>
          <w:szCs w:val="22"/>
        </w:rPr>
        <w:tab/>
      </w:r>
      <w:r>
        <w:rPr>
          <w:rFonts w:asciiTheme="minorHAnsi" w:hAnsiTheme="minorHAnsi" w:cs="Arial"/>
        </w:rPr>
        <w:t>1</w:t>
      </w:r>
      <w:r w:rsidRPr="003F6C09">
        <w:rPr>
          <w:rFonts w:asciiTheme="minorHAnsi" w:hAnsiTheme="minorHAnsi" w:cs="Arial"/>
        </w:rPr>
        <w:t>.1</w:t>
      </w:r>
      <w:r w:rsidRPr="003F6C09">
        <w:rPr>
          <w:rFonts w:asciiTheme="minorHAnsi" w:hAnsiTheme="minorHAnsi" w:cs="Arial"/>
        </w:rPr>
        <w:tab/>
      </w:r>
      <w:r>
        <w:rPr>
          <w:rFonts w:asciiTheme="minorHAnsi" w:hAnsiTheme="minorHAnsi" w:cs="Arial"/>
        </w:rPr>
        <w:t>Background</w:t>
      </w:r>
      <w:r>
        <w:rPr>
          <w:rFonts w:asciiTheme="minorHAnsi" w:hAnsiTheme="minorHAnsi" w:cs="Arial"/>
        </w:rPr>
        <w:tab/>
      </w:r>
      <w:r>
        <w:rPr>
          <w:rFonts w:asciiTheme="minorHAnsi" w:hAnsiTheme="minorHAnsi" w:cs="Arial"/>
        </w:rPr>
        <w:tab/>
      </w:r>
      <w:r w:rsidRPr="003F6C09">
        <w:rPr>
          <w:rFonts w:asciiTheme="minorHAnsi" w:hAnsiTheme="minorHAnsi" w:cs="Arial"/>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002226A2">
        <w:rPr>
          <w:rFonts w:asciiTheme="minorHAnsi" w:hAnsiTheme="minorHAnsi" w:cs="Arial"/>
          <w:szCs w:val="24"/>
        </w:rPr>
        <w:t>9</w:t>
      </w:r>
    </w:p>
    <w:p w:rsidR="00E8060D" w:rsidRPr="003F6C09" w:rsidRDefault="00E8060D" w:rsidP="00E8060D">
      <w:pPr>
        <w:rPr>
          <w:rFonts w:asciiTheme="minorHAnsi" w:hAnsiTheme="minorHAnsi" w:cs="Arial"/>
        </w:rPr>
      </w:pPr>
      <w:r w:rsidRPr="003F6C09">
        <w:rPr>
          <w:rFonts w:asciiTheme="minorHAnsi" w:hAnsiTheme="minorHAnsi" w:cs="Arial"/>
        </w:rPr>
        <w:tab/>
      </w:r>
      <w:r>
        <w:rPr>
          <w:rFonts w:asciiTheme="minorHAnsi" w:hAnsiTheme="minorHAnsi" w:cs="Arial"/>
        </w:rPr>
        <w:t>1</w:t>
      </w:r>
      <w:r w:rsidRPr="003F6C09">
        <w:rPr>
          <w:rFonts w:asciiTheme="minorHAnsi" w:hAnsiTheme="minorHAnsi" w:cs="Arial"/>
        </w:rPr>
        <w:t>.2</w:t>
      </w:r>
      <w:r w:rsidRPr="003F6C09">
        <w:rPr>
          <w:rFonts w:asciiTheme="minorHAnsi" w:hAnsiTheme="minorHAnsi" w:cs="Arial"/>
        </w:rPr>
        <w:tab/>
      </w:r>
      <w:r>
        <w:rPr>
          <w:rFonts w:asciiTheme="minorHAnsi" w:hAnsiTheme="minorHAnsi" w:cs="Arial"/>
        </w:rPr>
        <w:t>Aims of the study</w:t>
      </w:r>
      <w:r>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t>1</w:t>
      </w:r>
      <w:r w:rsidR="002226A2">
        <w:rPr>
          <w:rFonts w:asciiTheme="minorHAnsi" w:hAnsiTheme="minorHAnsi" w:cs="Arial"/>
        </w:rPr>
        <w:t>0</w:t>
      </w:r>
    </w:p>
    <w:p w:rsidR="00E8060D" w:rsidRPr="003F6C09" w:rsidRDefault="00E8060D" w:rsidP="00E8060D">
      <w:pPr>
        <w:rPr>
          <w:rFonts w:asciiTheme="minorHAnsi" w:hAnsiTheme="minorHAnsi" w:cs="Arial"/>
        </w:rPr>
      </w:pPr>
      <w:r w:rsidRPr="003F6C09">
        <w:rPr>
          <w:rFonts w:asciiTheme="minorHAnsi" w:hAnsiTheme="minorHAnsi" w:cs="Arial"/>
        </w:rPr>
        <w:tab/>
      </w:r>
      <w:r>
        <w:rPr>
          <w:rFonts w:asciiTheme="minorHAnsi" w:hAnsiTheme="minorHAnsi" w:cs="Arial"/>
        </w:rPr>
        <w:t>1</w:t>
      </w:r>
      <w:r w:rsidRPr="003F6C09">
        <w:rPr>
          <w:rFonts w:asciiTheme="minorHAnsi" w:hAnsiTheme="minorHAnsi" w:cs="Arial"/>
        </w:rPr>
        <w:t>.3</w:t>
      </w:r>
      <w:r w:rsidRPr="003F6C09">
        <w:rPr>
          <w:rFonts w:asciiTheme="minorHAnsi" w:hAnsiTheme="minorHAnsi" w:cs="Arial"/>
        </w:rPr>
        <w:tab/>
      </w:r>
      <w:r>
        <w:rPr>
          <w:rFonts w:asciiTheme="minorHAnsi" w:hAnsiTheme="minorHAnsi" w:cs="Arial"/>
        </w:rPr>
        <w:t>Methodology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t>1</w:t>
      </w:r>
      <w:r w:rsidR="002226A2">
        <w:rPr>
          <w:rFonts w:asciiTheme="minorHAnsi" w:hAnsiTheme="minorHAnsi" w:cs="Arial"/>
        </w:rPr>
        <w:t>0</w:t>
      </w:r>
    </w:p>
    <w:p w:rsidR="00E8060D" w:rsidRPr="003F6C09" w:rsidRDefault="00E8060D" w:rsidP="00E8060D">
      <w:pPr>
        <w:rPr>
          <w:rFonts w:asciiTheme="minorHAnsi" w:hAnsiTheme="minorHAnsi" w:cs="Arial"/>
        </w:rPr>
      </w:pPr>
      <w:r w:rsidRPr="003F6C09">
        <w:rPr>
          <w:rFonts w:asciiTheme="minorHAnsi" w:hAnsiTheme="minorHAnsi" w:cs="Arial"/>
        </w:rPr>
        <w:tab/>
      </w:r>
      <w:r>
        <w:rPr>
          <w:rFonts w:asciiTheme="minorHAnsi" w:hAnsiTheme="minorHAnsi" w:cs="Arial"/>
        </w:rPr>
        <w:t>1</w:t>
      </w:r>
      <w:r w:rsidRPr="003F6C09">
        <w:rPr>
          <w:rFonts w:asciiTheme="minorHAnsi" w:hAnsiTheme="minorHAnsi" w:cs="Arial"/>
        </w:rPr>
        <w:t>.4</w:t>
      </w:r>
      <w:r w:rsidRPr="003F6C09">
        <w:rPr>
          <w:rFonts w:asciiTheme="minorHAnsi" w:hAnsiTheme="minorHAnsi" w:cs="Arial"/>
        </w:rPr>
        <w:tab/>
      </w:r>
      <w:r>
        <w:rPr>
          <w:rFonts w:asciiTheme="minorHAnsi" w:hAnsiTheme="minorHAnsi" w:cs="Arial"/>
        </w:rPr>
        <w:t>Structure</w:t>
      </w:r>
      <w:r>
        <w:rPr>
          <w:rFonts w:asciiTheme="minorHAnsi" w:hAnsiTheme="minorHAnsi" w:cs="Arial"/>
        </w:rPr>
        <w:tab/>
      </w:r>
      <w:r>
        <w:rPr>
          <w:rFonts w:asciiTheme="minorHAnsi" w:hAnsiTheme="minorHAnsi" w:cs="Arial"/>
        </w:rPr>
        <w:tab/>
      </w:r>
      <w:r>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t>11</w:t>
      </w:r>
    </w:p>
    <w:p w:rsidR="003F6C09" w:rsidRPr="003F6C09" w:rsidRDefault="003F6C09" w:rsidP="003F6C09">
      <w:pPr>
        <w:rPr>
          <w:rFonts w:asciiTheme="minorHAnsi" w:hAnsiTheme="minorHAnsi" w:cs="Arial"/>
          <w:sz w:val="22"/>
          <w:szCs w:val="22"/>
        </w:rPr>
      </w:pPr>
    </w:p>
    <w:p w:rsidR="003F6C09" w:rsidRPr="003F6C09" w:rsidRDefault="003F6C09" w:rsidP="003F6C09">
      <w:pPr>
        <w:rPr>
          <w:rFonts w:asciiTheme="minorHAnsi" w:hAnsiTheme="minorHAnsi" w:cs="Arial"/>
          <w:sz w:val="22"/>
          <w:szCs w:val="22"/>
        </w:rPr>
      </w:pPr>
      <w:r w:rsidRPr="003F6C09">
        <w:rPr>
          <w:rFonts w:asciiTheme="minorHAnsi" w:hAnsiTheme="minorHAnsi" w:cs="Arial"/>
          <w:b/>
          <w:bCs/>
        </w:rPr>
        <w:t xml:space="preserve">SECTION 2: </w:t>
      </w:r>
      <w:r w:rsidRPr="003F6C09">
        <w:rPr>
          <w:rFonts w:asciiTheme="minorHAnsi" w:hAnsiTheme="minorHAnsi" w:cs="Arial"/>
          <w:b/>
          <w:bCs/>
        </w:rPr>
        <w:tab/>
        <w:t>INVESTMENT FLOWS TO AFRICAN AGRICULTURE</w:t>
      </w:r>
      <w:r w:rsidRPr="003F6C09">
        <w:rPr>
          <w:rFonts w:asciiTheme="minorHAnsi" w:hAnsiTheme="minorHAnsi" w:cs="Arial"/>
          <w:b/>
          <w:bCs/>
          <w:sz w:val="22"/>
          <w:szCs w:val="22"/>
        </w:rPr>
        <w:tab/>
      </w:r>
      <w:r w:rsidRPr="003F6C09">
        <w:rPr>
          <w:rFonts w:asciiTheme="minorHAnsi" w:hAnsiTheme="minorHAnsi" w:cs="Arial"/>
          <w:b/>
          <w:bCs/>
          <w:sz w:val="22"/>
          <w:szCs w:val="22"/>
        </w:rPr>
        <w:tab/>
      </w:r>
      <w:r w:rsidRPr="003F6C09">
        <w:rPr>
          <w:rFonts w:asciiTheme="minorHAnsi" w:hAnsiTheme="minorHAnsi" w:cs="Arial"/>
          <w:b/>
          <w:bCs/>
          <w:sz w:val="22"/>
          <w:szCs w:val="22"/>
        </w:rPr>
        <w:tab/>
      </w:r>
    </w:p>
    <w:p w:rsidR="00330FDC" w:rsidRDefault="003F6C09" w:rsidP="003F6C09">
      <w:pPr>
        <w:rPr>
          <w:rFonts w:asciiTheme="minorHAnsi" w:hAnsiTheme="minorHAnsi" w:cs="Arial"/>
        </w:rPr>
      </w:pPr>
      <w:r w:rsidRPr="003F6C09">
        <w:rPr>
          <w:rFonts w:asciiTheme="minorHAnsi" w:hAnsiTheme="minorHAnsi" w:cs="Arial"/>
          <w:sz w:val="22"/>
          <w:szCs w:val="22"/>
        </w:rPr>
        <w:t> </w:t>
      </w:r>
      <w:r w:rsidRPr="003F6C09">
        <w:rPr>
          <w:rFonts w:asciiTheme="minorHAnsi" w:hAnsiTheme="minorHAnsi" w:cs="Arial"/>
          <w:sz w:val="22"/>
          <w:szCs w:val="22"/>
        </w:rPr>
        <w:tab/>
      </w:r>
      <w:r w:rsidRPr="003F6C09">
        <w:rPr>
          <w:rFonts w:asciiTheme="minorHAnsi" w:hAnsiTheme="minorHAnsi" w:cs="Arial"/>
        </w:rPr>
        <w:t>2.1</w:t>
      </w:r>
      <w:r w:rsidRPr="003F6C09">
        <w:rPr>
          <w:rFonts w:asciiTheme="minorHAnsi" w:hAnsiTheme="minorHAnsi" w:cs="Arial"/>
        </w:rPr>
        <w:tab/>
      </w:r>
      <w:r w:rsidR="00330FDC">
        <w:rPr>
          <w:rFonts w:asciiTheme="minorHAnsi" w:hAnsiTheme="minorHAnsi" w:cs="Arial"/>
        </w:rPr>
        <w:t>Agricultural financing: trends in ODA</w:t>
      </w:r>
      <w:r w:rsidR="00330FDC">
        <w:rPr>
          <w:rFonts w:asciiTheme="minorHAnsi" w:hAnsiTheme="minorHAnsi" w:cs="Arial"/>
        </w:rPr>
        <w:tab/>
      </w:r>
      <w:r w:rsidR="00330FDC">
        <w:rPr>
          <w:rFonts w:asciiTheme="minorHAnsi" w:hAnsiTheme="minorHAnsi" w:cs="Arial"/>
        </w:rPr>
        <w:tab/>
      </w:r>
      <w:r w:rsidR="00330FDC">
        <w:rPr>
          <w:rFonts w:asciiTheme="minorHAnsi" w:hAnsiTheme="minorHAnsi" w:cs="Arial"/>
        </w:rPr>
        <w:tab/>
      </w:r>
      <w:r w:rsidR="00330FDC">
        <w:rPr>
          <w:rFonts w:asciiTheme="minorHAnsi" w:hAnsiTheme="minorHAnsi" w:cs="Arial"/>
        </w:rPr>
        <w:tab/>
      </w:r>
      <w:r w:rsidR="00330FDC">
        <w:rPr>
          <w:rFonts w:asciiTheme="minorHAnsi" w:hAnsiTheme="minorHAnsi" w:cs="Arial"/>
        </w:rPr>
        <w:tab/>
        <w:t>1</w:t>
      </w:r>
      <w:r w:rsidR="002226A2">
        <w:rPr>
          <w:rFonts w:asciiTheme="minorHAnsi" w:hAnsiTheme="minorHAnsi" w:cs="Arial"/>
        </w:rPr>
        <w:t>2</w:t>
      </w:r>
    </w:p>
    <w:p w:rsidR="003F6C09" w:rsidRPr="003F6C09" w:rsidRDefault="00330FDC" w:rsidP="00330FDC">
      <w:pPr>
        <w:ind w:firstLine="720"/>
        <w:rPr>
          <w:rFonts w:asciiTheme="minorHAnsi" w:hAnsiTheme="minorHAnsi" w:cs="Arial"/>
        </w:rPr>
      </w:pPr>
      <w:r>
        <w:rPr>
          <w:rFonts w:asciiTheme="minorHAnsi" w:hAnsiTheme="minorHAnsi" w:cs="Arial"/>
        </w:rPr>
        <w:t>2.2</w:t>
      </w:r>
      <w:r>
        <w:rPr>
          <w:rFonts w:asciiTheme="minorHAnsi" w:hAnsiTheme="minorHAnsi" w:cs="Arial"/>
        </w:rPr>
        <w:tab/>
      </w:r>
      <w:r w:rsidR="003F6C09" w:rsidRPr="003F6C09">
        <w:rPr>
          <w:rFonts w:asciiTheme="minorHAnsi" w:hAnsiTheme="minorHAnsi" w:cs="Arial"/>
        </w:rPr>
        <w:t>Bilateral donors</w:t>
      </w:r>
      <w:r w:rsidR="003F6C09" w:rsidRPr="003F6C09">
        <w:rPr>
          <w:rFonts w:asciiTheme="minorHAnsi" w:hAnsiTheme="minorHAnsi" w:cs="Arial"/>
        </w:rPr>
        <w:tab/>
      </w:r>
      <w:r w:rsidR="003F6C09" w:rsidRPr="003F6C09">
        <w:rPr>
          <w:rFonts w:asciiTheme="minorHAnsi" w:hAnsiTheme="minorHAnsi" w:cs="Arial"/>
        </w:rPr>
        <w:tab/>
      </w:r>
      <w:r w:rsidR="003F6C09" w:rsidRPr="003F6C09">
        <w:rPr>
          <w:rFonts w:asciiTheme="minorHAnsi" w:hAnsiTheme="minorHAnsi" w:cs="Arial"/>
          <w:sz w:val="22"/>
          <w:szCs w:val="22"/>
        </w:rPr>
        <w:tab/>
      </w:r>
      <w:r w:rsidR="003F6C09" w:rsidRPr="003F6C09">
        <w:rPr>
          <w:rFonts w:asciiTheme="minorHAnsi" w:hAnsiTheme="minorHAnsi" w:cs="Arial"/>
          <w:sz w:val="22"/>
          <w:szCs w:val="22"/>
        </w:rPr>
        <w:tab/>
      </w:r>
      <w:r w:rsidR="003F6C09" w:rsidRPr="003F6C09">
        <w:rPr>
          <w:rFonts w:asciiTheme="minorHAnsi" w:hAnsiTheme="minorHAnsi" w:cs="Arial"/>
          <w:sz w:val="22"/>
          <w:szCs w:val="22"/>
        </w:rPr>
        <w:tab/>
      </w:r>
      <w:r w:rsidR="003F6C09" w:rsidRPr="003F6C09">
        <w:rPr>
          <w:rFonts w:asciiTheme="minorHAnsi" w:hAnsiTheme="minorHAnsi" w:cs="Arial"/>
          <w:sz w:val="22"/>
          <w:szCs w:val="22"/>
        </w:rPr>
        <w:tab/>
      </w:r>
      <w:r w:rsidR="003F6C09" w:rsidRPr="003F6C09">
        <w:rPr>
          <w:rFonts w:asciiTheme="minorHAnsi" w:hAnsiTheme="minorHAnsi" w:cs="Arial"/>
          <w:sz w:val="22"/>
          <w:szCs w:val="22"/>
        </w:rPr>
        <w:tab/>
      </w:r>
      <w:r w:rsidR="003F6C09" w:rsidRPr="00491280">
        <w:rPr>
          <w:rFonts w:asciiTheme="minorHAnsi" w:hAnsiTheme="minorHAnsi" w:cs="Arial"/>
          <w:szCs w:val="24"/>
        </w:rPr>
        <w:t>1</w:t>
      </w:r>
      <w:r w:rsidR="002226A2">
        <w:rPr>
          <w:rFonts w:asciiTheme="minorHAnsi" w:hAnsiTheme="minorHAnsi" w:cs="Arial"/>
          <w:szCs w:val="24"/>
        </w:rPr>
        <w:t>6</w:t>
      </w:r>
    </w:p>
    <w:p w:rsidR="003F6C09" w:rsidRPr="003F6C09" w:rsidRDefault="003F6C09" w:rsidP="003F6C09">
      <w:pPr>
        <w:rPr>
          <w:rFonts w:asciiTheme="minorHAnsi" w:hAnsiTheme="minorHAnsi" w:cs="Arial"/>
        </w:rPr>
      </w:pPr>
      <w:r w:rsidRPr="003F6C09">
        <w:rPr>
          <w:rFonts w:asciiTheme="minorHAnsi" w:hAnsiTheme="minorHAnsi" w:cs="Arial"/>
        </w:rPr>
        <w:tab/>
        <w:t>2.2</w:t>
      </w:r>
      <w:r w:rsidRPr="003F6C09">
        <w:rPr>
          <w:rFonts w:asciiTheme="minorHAnsi" w:hAnsiTheme="minorHAnsi" w:cs="Arial"/>
        </w:rPr>
        <w:tab/>
        <w:t>South-South cooperation</w:t>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t>1</w:t>
      </w:r>
      <w:r w:rsidR="002226A2">
        <w:rPr>
          <w:rFonts w:asciiTheme="minorHAnsi" w:hAnsiTheme="minorHAnsi" w:cs="Arial"/>
        </w:rPr>
        <w:t>9</w:t>
      </w:r>
    </w:p>
    <w:p w:rsidR="003F6C09" w:rsidRPr="003F6C09" w:rsidRDefault="003F6C09" w:rsidP="003F6C09">
      <w:pPr>
        <w:rPr>
          <w:rFonts w:asciiTheme="minorHAnsi" w:hAnsiTheme="minorHAnsi" w:cs="Arial"/>
        </w:rPr>
      </w:pPr>
      <w:r w:rsidRPr="003F6C09">
        <w:rPr>
          <w:rFonts w:asciiTheme="minorHAnsi" w:hAnsiTheme="minorHAnsi" w:cs="Arial"/>
        </w:rPr>
        <w:tab/>
        <w:t>2.3</w:t>
      </w:r>
      <w:r w:rsidRPr="003F6C09">
        <w:rPr>
          <w:rFonts w:asciiTheme="minorHAnsi" w:hAnsiTheme="minorHAnsi" w:cs="Arial"/>
        </w:rPr>
        <w:tab/>
        <w:t>Multilateral funding mechanisms</w:t>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002226A2">
        <w:rPr>
          <w:rFonts w:asciiTheme="minorHAnsi" w:hAnsiTheme="minorHAnsi" w:cs="Arial"/>
        </w:rPr>
        <w:t>23</w:t>
      </w:r>
    </w:p>
    <w:p w:rsidR="003F6C09" w:rsidRPr="003F6C09" w:rsidRDefault="003F6C09" w:rsidP="003F6C09">
      <w:pPr>
        <w:rPr>
          <w:rFonts w:asciiTheme="minorHAnsi" w:hAnsiTheme="minorHAnsi" w:cs="Arial"/>
        </w:rPr>
      </w:pPr>
      <w:r w:rsidRPr="003F6C09">
        <w:rPr>
          <w:rFonts w:asciiTheme="minorHAnsi" w:hAnsiTheme="minorHAnsi" w:cs="Arial"/>
        </w:rPr>
        <w:tab/>
        <w:t>2.4</w:t>
      </w:r>
      <w:r w:rsidRPr="003F6C09">
        <w:rPr>
          <w:rFonts w:asciiTheme="minorHAnsi" w:hAnsiTheme="minorHAnsi" w:cs="Arial"/>
        </w:rPr>
        <w:tab/>
        <w:t>Private sector investment</w:t>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Pr="003F6C09">
        <w:rPr>
          <w:rFonts w:asciiTheme="minorHAnsi" w:hAnsiTheme="minorHAnsi" w:cs="Arial"/>
        </w:rPr>
        <w:tab/>
      </w:r>
      <w:r w:rsidR="002226A2">
        <w:rPr>
          <w:rFonts w:asciiTheme="minorHAnsi" w:hAnsiTheme="minorHAnsi" w:cs="Arial"/>
        </w:rPr>
        <w:t>28</w:t>
      </w:r>
    </w:p>
    <w:p w:rsidR="003F6C09" w:rsidRPr="003F6C09" w:rsidRDefault="003F6C09" w:rsidP="003F6C09">
      <w:pPr>
        <w:rPr>
          <w:rFonts w:asciiTheme="minorHAnsi" w:hAnsiTheme="minorHAnsi" w:cs="Arial"/>
          <w:sz w:val="22"/>
          <w:szCs w:val="22"/>
        </w:rPr>
      </w:pPr>
    </w:p>
    <w:p w:rsidR="003F6C09" w:rsidRDefault="003F6C09" w:rsidP="003F6C09">
      <w:pPr>
        <w:rPr>
          <w:rFonts w:asciiTheme="minorHAnsi" w:hAnsiTheme="minorHAnsi" w:cs="Arial"/>
          <w:b/>
          <w:bCs/>
        </w:rPr>
      </w:pPr>
      <w:r w:rsidRPr="003F6C09">
        <w:rPr>
          <w:rFonts w:asciiTheme="minorHAnsi" w:hAnsiTheme="minorHAnsi" w:cs="Arial"/>
          <w:b/>
          <w:bCs/>
        </w:rPr>
        <w:t>SECTION 3:</w:t>
      </w:r>
      <w:r w:rsidRPr="003F6C09">
        <w:rPr>
          <w:rFonts w:asciiTheme="minorHAnsi" w:hAnsiTheme="minorHAnsi" w:cs="Arial"/>
          <w:b/>
          <w:bCs/>
        </w:rPr>
        <w:tab/>
        <w:t>MAPPING OF SUPPORT TO INSTITUTIONS DELIVERING CAADP</w:t>
      </w:r>
      <w:r w:rsidRPr="003F6C09">
        <w:rPr>
          <w:rFonts w:asciiTheme="minorHAnsi" w:hAnsiTheme="minorHAnsi" w:cs="Arial"/>
          <w:b/>
          <w:bCs/>
        </w:rPr>
        <w:tab/>
      </w:r>
      <w:r w:rsidRPr="003F6C09">
        <w:rPr>
          <w:rFonts w:asciiTheme="minorHAnsi" w:hAnsiTheme="minorHAnsi" w:cs="Arial"/>
          <w:b/>
          <w:bCs/>
        </w:rPr>
        <w:tab/>
      </w:r>
    </w:p>
    <w:p w:rsidR="003F6C09" w:rsidRPr="00E11123" w:rsidRDefault="003F6C09" w:rsidP="003F6C09">
      <w:pPr>
        <w:ind w:firstLine="720"/>
        <w:rPr>
          <w:rFonts w:asciiTheme="minorHAnsi" w:hAnsiTheme="minorHAnsi" w:cs="Arial"/>
          <w:szCs w:val="24"/>
        </w:rPr>
      </w:pPr>
      <w:r w:rsidRPr="003F6C09">
        <w:rPr>
          <w:rFonts w:asciiTheme="minorHAnsi" w:hAnsiTheme="minorHAnsi" w:cs="Arial"/>
        </w:rPr>
        <w:t>3.1</w:t>
      </w:r>
      <w:r w:rsidRPr="003F6C09">
        <w:rPr>
          <w:rFonts w:asciiTheme="minorHAnsi" w:hAnsiTheme="minorHAnsi" w:cs="Arial"/>
        </w:rPr>
        <w:tab/>
        <w:t>Donor engagement with CAAADP</w:t>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002226A2">
        <w:rPr>
          <w:rFonts w:asciiTheme="minorHAnsi" w:hAnsiTheme="minorHAnsi" w:cs="Arial"/>
          <w:szCs w:val="24"/>
        </w:rPr>
        <w:t>32</w:t>
      </w:r>
    </w:p>
    <w:p w:rsidR="003F6C09" w:rsidRPr="00E11123" w:rsidRDefault="003F6C09" w:rsidP="003F6C09">
      <w:pPr>
        <w:rPr>
          <w:rFonts w:asciiTheme="minorHAnsi" w:hAnsiTheme="minorHAnsi" w:cs="Arial"/>
          <w:szCs w:val="24"/>
        </w:rPr>
      </w:pPr>
      <w:r w:rsidRPr="00E11123">
        <w:rPr>
          <w:rFonts w:asciiTheme="minorHAnsi" w:hAnsiTheme="minorHAnsi" w:cs="Arial"/>
          <w:szCs w:val="24"/>
        </w:rPr>
        <w:tab/>
        <w:t>3.2</w:t>
      </w:r>
      <w:r w:rsidRPr="00E11123">
        <w:rPr>
          <w:rFonts w:asciiTheme="minorHAnsi" w:hAnsiTheme="minorHAnsi" w:cs="Arial"/>
          <w:szCs w:val="24"/>
        </w:rPr>
        <w:tab/>
        <w:t>Donor financial support to CAADP: the MDTF</w:t>
      </w:r>
      <w:r w:rsidRPr="00E11123">
        <w:rPr>
          <w:rFonts w:asciiTheme="minorHAnsi" w:hAnsiTheme="minorHAnsi" w:cs="Arial"/>
          <w:szCs w:val="24"/>
        </w:rPr>
        <w:tab/>
      </w:r>
      <w:r w:rsidRPr="00E11123">
        <w:rPr>
          <w:rFonts w:asciiTheme="minorHAnsi" w:hAnsiTheme="minorHAnsi" w:cs="Arial"/>
          <w:szCs w:val="24"/>
        </w:rPr>
        <w:tab/>
      </w:r>
      <w:r w:rsidRPr="00E11123">
        <w:rPr>
          <w:rFonts w:asciiTheme="minorHAnsi" w:hAnsiTheme="minorHAnsi" w:cs="Arial"/>
          <w:szCs w:val="24"/>
        </w:rPr>
        <w:tab/>
      </w:r>
      <w:r w:rsidR="002226A2">
        <w:rPr>
          <w:rFonts w:asciiTheme="minorHAnsi" w:hAnsiTheme="minorHAnsi" w:cs="Arial"/>
          <w:szCs w:val="24"/>
        </w:rPr>
        <w:t>33</w:t>
      </w:r>
    </w:p>
    <w:p w:rsidR="003F6C09" w:rsidRPr="00E11123" w:rsidRDefault="003F6C09" w:rsidP="003F6C09">
      <w:pPr>
        <w:rPr>
          <w:rFonts w:asciiTheme="minorHAnsi" w:hAnsiTheme="minorHAnsi" w:cs="Arial"/>
          <w:szCs w:val="24"/>
        </w:rPr>
      </w:pPr>
      <w:r w:rsidRPr="00E11123">
        <w:rPr>
          <w:rFonts w:asciiTheme="minorHAnsi" w:hAnsiTheme="minorHAnsi" w:cs="Arial"/>
          <w:szCs w:val="24"/>
        </w:rPr>
        <w:tab/>
        <w:t>3.3</w:t>
      </w:r>
      <w:r w:rsidRPr="00E11123">
        <w:rPr>
          <w:rFonts w:asciiTheme="minorHAnsi" w:hAnsiTheme="minorHAnsi" w:cs="Arial"/>
          <w:szCs w:val="24"/>
        </w:rPr>
        <w:tab/>
        <w:t>Which donors are funding the institutions delivering CAADP?</w:t>
      </w:r>
      <w:r w:rsidRPr="00E11123">
        <w:rPr>
          <w:rFonts w:asciiTheme="minorHAnsi" w:hAnsiTheme="minorHAnsi" w:cs="Arial"/>
          <w:szCs w:val="24"/>
        </w:rPr>
        <w:tab/>
      </w:r>
      <w:r w:rsidR="002226A2">
        <w:rPr>
          <w:rFonts w:asciiTheme="minorHAnsi" w:hAnsiTheme="minorHAnsi" w:cs="Arial"/>
          <w:szCs w:val="24"/>
        </w:rPr>
        <w:t>34</w:t>
      </w:r>
    </w:p>
    <w:p w:rsidR="003F6C09" w:rsidRPr="003F6C09" w:rsidRDefault="003F6C09" w:rsidP="003F6C09">
      <w:pPr>
        <w:rPr>
          <w:rFonts w:asciiTheme="minorHAnsi" w:hAnsiTheme="minorHAnsi" w:cs="Arial"/>
          <w:b/>
          <w:color w:val="1F497D" w:themeColor="text2"/>
          <w:szCs w:val="24"/>
        </w:rPr>
      </w:pPr>
      <w:r w:rsidRPr="003F6C09">
        <w:rPr>
          <w:rFonts w:asciiTheme="minorHAnsi" w:hAnsiTheme="minorHAnsi" w:cs="Arial"/>
        </w:rPr>
        <w:tab/>
      </w:r>
    </w:p>
    <w:p w:rsidR="003F6C09" w:rsidRPr="003F6C09" w:rsidRDefault="003F6C09" w:rsidP="003F6C09">
      <w:pPr>
        <w:rPr>
          <w:rFonts w:asciiTheme="minorHAnsi" w:hAnsiTheme="minorHAnsi" w:cs="Arial"/>
          <w:b/>
          <w:bCs/>
        </w:rPr>
      </w:pPr>
      <w:r w:rsidRPr="003F6C09">
        <w:rPr>
          <w:rFonts w:asciiTheme="minorHAnsi" w:hAnsiTheme="minorHAnsi" w:cs="Arial"/>
          <w:b/>
          <w:bCs/>
        </w:rPr>
        <w:t>SECTION 4:</w:t>
      </w:r>
      <w:r w:rsidRPr="003F6C09">
        <w:rPr>
          <w:rFonts w:asciiTheme="minorHAnsi" w:hAnsiTheme="minorHAnsi" w:cs="Arial"/>
          <w:b/>
          <w:bCs/>
        </w:rPr>
        <w:tab/>
        <w:t>EFFECTIVENESS OF CAADP IN ‘UNLOCKING’ INVESTMENT</w:t>
      </w:r>
    </w:p>
    <w:p w:rsidR="003F6C09" w:rsidRPr="00E11123" w:rsidRDefault="003F6C09" w:rsidP="003F6C09">
      <w:pPr>
        <w:rPr>
          <w:rFonts w:asciiTheme="minorHAnsi" w:hAnsiTheme="minorHAnsi" w:cs="Arial"/>
          <w:szCs w:val="24"/>
        </w:rPr>
      </w:pPr>
      <w:r w:rsidRPr="003F6C09">
        <w:rPr>
          <w:rFonts w:asciiTheme="minorHAnsi" w:hAnsiTheme="minorHAnsi" w:cs="Arial"/>
          <w:b/>
          <w:bCs/>
        </w:rPr>
        <w:tab/>
      </w:r>
      <w:r w:rsidRPr="003F6C09">
        <w:rPr>
          <w:rFonts w:asciiTheme="minorHAnsi" w:hAnsiTheme="minorHAnsi" w:cs="Arial"/>
        </w:rPr>
        <w:t>4.1</w:t>
      </w:r>
      <w:r w:rsidRPr="003F6C09">
        <w:rPr>
          <w:rFonts w:asciiTheme="minorHAnsi" w:hAnsiTheme="minorHAnsi" w:cs="Arial"/>
        </w:rPr>
        <w:tab/>
      </w:r>
      <w:r w:rsidR="00B81878">
        <w:rPr>
          <w:rFonts w:asciiTheme="minorHAnsi" w:hAnsiTheme="minorHAnsi" w:cs="Arial"/>
        </w:rPr>
        <w:t>CAADP Pillars unlocking investment at the regional level</w:t>
      </w:r>
      <w:r w:rsidRPr="003F6C09">
        <w:rPr>
          <w:rFonts w:asciiTheme="minorHAnsi" w:hAnsiTheme="minorHAnsi" w:cs="Arial"/>
          <w:sz w:val="22"/>
          <w:szCs w:val="22"/>
        </w:rPr>
        <w:tab/>
      </w:r>
      <w:r w:rsidRPr="003F6C09">
        <w:rPr>
          <w:rFonts w:asciiTheme="minorHAnsi" w:hAnsiTheme="minorHAnsi" w:cs="Arial"/>
          <w:sz w:val="22"/>
          <w:szCs w:val="22"/>
        </w:rPr>
        <w:tab/>
      </w:r>
      <w:r w:rsidR="002226A2">
        <w:rPr>
          <w:rFonts w:asciiTheme="minorHAnsi" w:hAnsiTheme="minorHAnsi" w:cs="Arial"/>
          <w:szCs w:val="24"/>
        </w:rPr>
        <w:t>42</w:t>
      </w:r>
    </w:p>
    <w:p w:rsidR="003F6C09" w:rsidRPr="00E11123" w:rsidRDefault="003F6C09" w:rsidP="003F6C09">
      <w:pPr>
        <w:rPr>
          <w:rFonts w:asciiTheme="minorHAnsi" w:hAnsiTheme="minorHAnsi" w:cs="Arial"/>
          <w:szCs w:val="24"/>
        </w:rPr>
      </w:pPr>
      <w:r w:rsidRPr="00E11123">
        <w:rPr>
          <w:rFonts w:asciiTheme="minorHAnsi" w:hAnsiTheme="minorHAnsi" w:cs="Arial"/>
          <w:szCs w:val="24"/>
        </w:rPr>
        <w:tab/>
        <w:t>4.2</w:t>
      </w:r>
      <w:r w:rsidRPr="00E11123">
        <w:rPr>
          <w:rFonts w:asciiTheme="minorHAnsi" w:hAnsiTheme="minorHAnsi" w:cs="Arial"/>
          <w:szCs w:val="24"/>
        </w:rPr>
        <w:tab/>
        <w:t xml:space="preserve">What is the evidence that countries that have been </w:t>
      </w:r>
      <w:r w:rsidRPr="00E11123">
        <w:rPr>
          <w:rFonts w:asciiTheme="minorHAnsi" w:hAnsiTheme="minorHAnsi" w:cs="Arial"/>
          <w:szCs w:val="24"/>
        </w:rPr>
        <w:tab/>
      </w:r>
      <w:r w:rsidRPr="00E11123">
        <w:rPr>
          <w:rFonts w:asciiTheme="minorHAnsi" w:hAnsiTheme="minorHAnsi" w:cs="Arial"/>
          <w:szCs w:val="24"/>
        </w:rPr>
        <w:tab/>
      </w:r>
      <w:r w:rsidR="002226A2">
        <w:rPr>
          <w:rFonts w:asciiTheme="minorHAnsi" w:hAnsiTheme="minorHAnsi" w:cs="Arial"/>
          <w:szCs w:val="24"/>
        </w:rPr>
        <w:t>42</w:t>
      </w:r>
    </w:p>
    <w:p w:rsidR="003F6C09" w:rsidRPr="00E11123" w:rsidRDefault="003F6C09" w:rsidP="003F6C09">
      <w:pPr>
        <w:rPr>
          <w:rFonts w:asciiTheme="minorHAnsi" w:hAnsiTheme="minorHAnsi" w:cs="Arial"/>
          <w:szCs w:val="24"/>
        </w:rPr>
      </w:pPr>
      <w:r w:rsidRPr="00E11123">
        <w:rPr>
          <w:rFonts w:asciiTheme="minorHAnsi" w:hAnsiTheme="minorHAnsi" w:cs="Arial"/>
          <w:szCs w:val="24"/>
        </w:rPr>
        <w:tab/>
      </w:r>
      <w:r w:rsidRPr="00E11123">
        <w:rPr>
          <w:rFonts w:asciiTheme="minorHAnsi" w:hAnsiTheme="minorHAnsi" w:cs="Arial"/>
          <w:szCs w:val="24"/>
        </w:rPr>
        <w:tab/>
        <w:t>through the CAADP process are unlocking investments?</w:t>
      </w:r>
    </w:p>
    <w:p w:rsidR="00C52B34" w:rsidRDefault="00C52B34" w:rsidP="003F6C09">
      <w:pPr>
        <w:rPr>
          <w:rFonts w:asciiTheme="minorHAnsi" w:hAnsiTheme="minorHAnsi" w:cs="Arial"/>
          <w:szCs w:val="24"/>
        </w:rPr>
      </w:pPr>
      <w:r>
        <w:rPr>
          <w:rFonts w:asciiTheme="minorHAnsi" w:hAnsiTheme="minorHAnsi" w:cs="Arial"/>
          <w:szCs w:val="24"/>
        </w:rPr>
        <w:tab/>
        <w:t>4.3</w:t>
      </w:r>
      <w:r>
        <w:rPr>
          <w:rFonts w:asciiTheme="minorHAnsi" w:hAnsiTheme="minorHAnsi" w:cs="Arial"/>
          <w:szCs w:val="24"/>
        </w:rPr>
        <w:tab/>
        <w:t>Case stud</w:t>
      </w:r>
      <w:r w:rsidR="00330FDC">
        <w:rPr>
          <w:rFonts w:asciiTheme="minorHAnsi" w:hAnsiTheme="minorHAnsi" w:cs="Arial"/>
          <w:szCs w:val="24"/>
        </w:rPr>
        <w:t>ies</w:t>
      </w:r>
      <w:r>
        <w:rPr>
          <w:rFonts w:asciiTheme="minorHAnsi" w:hAnsiTheme="minorHAnsi" w:cs="Arial"/>
          <w:szCs w:val="24"/>
        </w:rPr>
        <w:t xml:space="preserve"> of Ghana</w:t>
      </w:r>
      <w:r w:rsidR="00330FDC">
        <w:rPr>
          <w:rFonts w:asciiTheme="minorHAnsi" w:hAnsiTheme="minorHAnsi" w:cs="Arial"/>
          <w:szCs w:val="24"/>
        </w:rPr>
        <w:t>, Burkina Faso and Togo</w:t>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sidR="002226A2">
        <w:rPr>
          <w:rFonts w:asciiTheme="minorHAnsi" w:hAnsiTheme="minorHAnsi" w:cs="Arial"/>
          <w:szCs w:val="24"/>
        </w:rPr>
        <w:t>46</w:t>
      </w:r>
    </w:p>
    <w:p w:rsidR="00C52B34" w:rsidRPr="00DB6429" w:rsidRDefault="00C52B34" w:rsidP="00C52B34">
      <w:pPr>
        <w:rPr>
          <w:rFonts w:asciiTheme="minorHAnsi" w:hAnsiTheme="minorHAnsi" w:cs="Arial"/>
          <w:b/>
          <w:color w:val="31849B" w:themeColor="accent5" w:themeShade="BF"/>
          <w:shd w:val="clear" w:color="auto" w:fill="FFFFFF"/>
        </w:rPr>
      </w:pPr>
      <w:r>
        <w:rPr>
          <w:rFonts w:asciiTheme="minorHAnsi" w:hAnsiTheme="minorHAnsi" w:cs="Arial"/>
          <w:szCs w:val="24"/>
        </w:rPr>
        <w:tab/>
      </w:r>
      <w:r>
        <w:rPr>
          <w:rFonts w:asciiTheme="minorHAnsi" w:hAnsiTheme="minorHAnsi" w:cs="Arial"/>
          <w:szCs w:val="24"/>
        </w:rPr>
        <w:tab/>
      </w:r>
      <w:r w:rsidR="003F6C09" w:rsidRPr="00E11123">
        <w:rPr>
          <w:rFonts w:asciiTheme="minorHAnsi" w:hAnsiTheme="minorHAnsi" w:cs="Arial"/>
          <w:szCs w:val="24"/>
        </w:rPr>
        <w:tab/>
      </w:r>
      <w:r w:rsidR="003F6C09" w:rsidRPr="00E11123">
        <w:rPr>
          <w:rFonts w:asciiTheme="minorHAnsi" w:hAnsiTheme="minorHAnsi" w:cs="Arial"/>
          <w:szCs w:val="24"/>
        </w:rPr>
        <w:tab/>
      </w:r>
    </w:p>
    <w:p w:rsidR="00C52B34" w:rsidRPr="00DB6429" w:rsidRDefault="002226A2" w:rsidP="00C52B34">
      <w:pPr>
        <w:pStyle w:val="Default"/>
        <w:rPr>
          <w:rFonts w:asciiTheme="minorHAnsi" w:hAnsiTheme="minorHAnsi" w:cs="Arial"/>
          <w:b/>
          <w:color w:val="31849B" w:themeColor="accent5" w:themeShade="BF"/>
          <w:shd w:val="clear" w:color="auto" w:fill="FFFFFF"/>
        </w:rPr>
      </w:pPr>
      <w:r w:rsidRPr="003F6C09">
        <w:rPr>
          <w:rFonts w:asciiTheme="minorHAnsi" w:hAnsiTheme="minorHAnsi" w:cs="Arial"/>
          <w:b/>
          <w:bCs/>
        </w:rPr>
        <w:t xml:space="preserve">SECTION </w:t>
      </w:r>
      <w:r>
        <w:rPr>
          <w:rFonts w:asciiTheme="minorHAnsi" w:hAnsiTheme="minorHAnsi" w:cs="Arial"/>
          <w:b/>
          <w:bCs/>
        </w:rPr>
        <w:t>5</w:t>
      </w:r>
      <w:r w:rsidRPr="003F6C09">
        <w:rPr>
          <w:rFonts w:asciiTheme="minorHAnsi" w:hAnsiTheme="minorHAnsi" w:cs="Arial"/>
          <w:b/>
          <w:bCs/>
        </w:rPr>
        <w:t>:</w:t>
      </w:r>
      <w:r w:rsidRPr="003F6C09">
        <w:rPr>
          <w:rFonts w:asciiTheme="minorHAnsi" w:hAnsiTheme="minorHAnsi" w:cs="Arial"/>
          <w:b/>
          <w:bCs/>
        </w:rPr>
        <w:tab/>
      </w:r>
      <w:r>
        <w:rPr>
          <w:rFonts w:asciiTheme="minorHAnsi" w:hAnsiTheme="minorHAnsi" w:cs="Arial"/>
          <w:b/>
          <w:bCs/>
        </w:rPr>
        <w:t>CONCLUSION</w:t>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2226A2">
        <w:rPr>
          <w:rFonts w:asciiTheme="minorHAnsi" w:hAnsiTheme="minorHAnsi" w:cs="Arial"/>
          <w:bCs/>
        </w:rPr>
        <w:t>52</w:t>
      </w:r>
    </w:p>
    <w:p w:rsidR="002226A2" w:rsidRDefault="002226A2" w:rsidP="003F6C09">
      <w:pPr>
        <w:rPr>
          <w:rFonts w:asciiTheme="minorHAnsi" w:hAnsiTheme="minorHAnsi" w:cs="Arial"/>
          <w:b/>
        </w:rPr>
      </w:pPr>
    </w:p>
    <w:p w:rsidR="003F6C09" w:rsidRPr="003F6C09" w:rsidRDefault="003F6C09" w:rsidP="003F6C09">
      <w:pPr>
        <w:rPr>
          <w:rFonts w:asciiTheme="minorHAnsi" w:hAnsiTheme="minorHAnsi" w:cs="Arial"/>
          <w:b/>
        </w:rPr>
      </w:pPr>
      <w:r w:rsidRPr="003F6C09">
        <w:rPr>
          <w:rFonts w:asciiTheme="minorHAnsi" w:hAnsiTheme="minorHAnsi" w:cs="Arial"/>
          <w:b/>
        </w:rPr>
        <w:t>BIBLIOGRAPHY</w:t>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Pr>
          <w:rFonts w:asciiTheme="minorHAnsi" w:hAnsiTheme="minorHAnsi" w:cs="Arial"/>
          <w:b/>
        </w:rPr>
        <w:tab/>
      </w:r>
      <w:r w:rsidR="002226A2" w:rsidRPr="002226A2">
        <w:rPr>
          <w:rFonts w:asciiTheme="minorHAnsi" w:hAnsiTheme="minorHAnsi" w:cs="Arial"/>
        </w:rPr>
        <w:t>54</w:t>
      </w:r>
    </w:p>
    <w:p w:rsidR="003F6C09" w:rsidRPr="003F6C09" w:rsidRDefault="003F6C09" w:rsidP="003F6C09">
      <w:pPr>
        <w:rPr>
          <w:rFonts w:asciiTheme="minorHAnsi" w:hAnsiTheme="minorHAnsi" w:cs="Arial"/>
          <w:b/>
        </w:rPr>
      </w:pPr>
    </w:p>
    <w:p w:rsidR="003F6C09" w:rsidRPr="003F6C09" w:rsidRDefault="003F6C09" w:rsidP="003F6C09">
      <w:pPr>
        <w:rPr>
          <w:rFonts w:asciiTheme="minorHAnsi" w:hAnsiTheme="minorHAnsi" w:cs="Arial"/>
          <w:b/>
          <w:szCs w:val="24"/>
        </w:rPr>
      </w:pPr>
      <w:r w:rsidRPr="003F6C09">
        <w:rPr>
          <w:rFonts w:asciiTheme="minorHAnsi" w:hAnsiTheme="minorHAnsi" w:cs="Arial"/>
          <w:b/>
          <w:szCs w:val="24"/>
        </w:rPr>
        <w:t>ANNEXES</w:t>
      </w:r>
    </w:p>
    <w:p w:rsidR="00080E83" w:rsidRDefault="003F6C09" w:rsidP="00CD5861">
      <w:pPr>
        <w:rPr>
          <w:rFonts w:asciiTheme="minorHAnsi" w:hAnsiTheme="minorHAnsi" w:cs="Arial"/>
          <w:szCs w:val="24"/>
        </w:rPr>
      </w:pPr>
      <w:r w:rsidRPr="00E11123">
        <w:rPr>
          <w:rFonts w:asciiTheme="minorHAnsi" w:hAnsiTheme="minorHAnsi" w:cs="Arial"/>
          <w:szCs w:val="24"/>
        </w:rPr>
        <w:t xml:space="preserve">Annex 1: </w:t>
      </w:r>
      <w:r w:rsidRPr="00E11123">
        <w:rPr>
          <w:rFonts w:asciiTheme="minorHAnsi" w:hAnsiTheme="minorHAnsi" w:cs="Arial"/>
          <w:szCs w:val="24"/>
        </w:rPr>
        <w:tab/>
      </w:r>
      <w:proofErr w:type="spellStart"/>
      <w:r w:rsidR="00080E83">
        <w:rPr>
          <w:rFonts w:asciiTheme="minorHAnsi" w:hAnsiTheme="minorHAnsi" w:cs="Arial"/>
          <w:szCs w:val="24"/>
        </w:rPr>
        <w:t>Embrapa</w:t>
      </w:r>
      <w:proofErr w:type="spellEnd"/>
      <w:r w:rsidR="00080E83">
        <w:rPr>
          <w:rFonts w:asciiTheme="minorHAnsi" w:hAnsiTheme="minorHAnsi" w:cs="Arial"/>
          <w:szCs w:val="24"/>
        </w:rPr>
        <w:t xml:space="preserve"> Africa Program: Brazilian Agricultural Projects</w:t>
      </w:r>
      <w:r w:rsidR="00080E83">
        <w:rPr>
          <w:rFonts w:asciiTheme="minorHAnsi" w:hAnsiTheme="minorHAnsi" w:cs="Arial"/>
          <w:szCs w:val="24"/>
        </w:rPr>
        <w:tab/>
      </w:r>
      <w:r w:rsidR="00CD5861">
        <w:rPr>
          <w:rFonts w:asciiTheme="minorHAnsi" w:hAnsiTheme="minorHAnsi" w:cs="Arial"/>
          <w:szCs w:val="24"/>
        </w:rPr>
        <w:tab/>
      </w:r>
      <w:r w:rsidR="002226A2">
        <w:rPr>
          <w:rFonts w:asciiTheme="minorHAnsi" w:hAnsiTheme="minorHAnsi" w:cs="Arial"/>
          <w:szCs w:val="24"/>
        </w:rPr>
        <w:t>58</w:t>
      </w:r>
    </w:p>
    <w:p w:rsidR="00080E83" w:rsidRDefault="00080E83" w:rsidP="003F6C09">
      <w:pPr>
        <w:ind w:left="720"/>
        <w:rPr>
          <w:rFonts w:asciiTheme="minorHAnsi" w:hAnsiTheme="minorHAnsi" w:cs="Arial"/>
          <w:szCs w:val="24"/>
        </w:rPr>
      </w:pPr>
      <w:r>
        <w:rPr>
          <w:rFonts w:asciiTheme="minorHAnsi" w:hAnsiTheme="minorHAnsi" w:cs="Arial"/>
          <w:szCs w:val="24"/>
        </w:rPr>
        <w:tab/>
      </w:r>
      <w:r w:rsidR="00CD5861">
        <w:rPr>
          <w:rFonts w:asciiTheme="minorHAnsi" w:hAnsiTheme="minorHAnsi" w:cs="Arial"/>
          <w:szCs w:val="24"/>
        </w:rPr>
        <w:t>i</w:t>
      </w:r>
      <w:r>
        <w:rPr>
          <w:rFonts w:asciiTheme="minorHAnsi" w:hAnsiTheme="minorHAnsi" w:cs="Arial"/>
          <w:szCs w:val="24"/>
        </w:rPr>
        <w:t>n Africa</w:t>
      </w:r>
      <w:r w:rsidR="003F6C09" w:rsidRPr="00E11123">
        <w:rPr>
          <w:rFonts w:asciiTheme="minorHAnsi" w:hAnsiTheme="minorHAnsi" w:cs="Arial"/>
          <w:szCs w:val="24"/>
        </w:rPr>
        <w:tab/>
      </w:r>
    </w:p>
    <w:p w:rsidR="00281E5F" w:rsidRPr="00281E5F" w:rsidRDefault="003F6C09" w:rsidP="00CD5861">
      <w:pPr>
        <w:rPr>
          <w:rFonts w:asciiTheme="minorHAnsi" w:hAnsiTheme="minorHAnsi" w:cs="Arial"/>
        </w:rPr>
      </w:pPr>
      <w:r w:rsidRPr="00E11123">
        <w:rPr>
          <w:rFonts w:asciiTheme="minorHAnsi" w:hAnsiTheme="minorHAnsi" w:cs="Arial"/>
          <w:szCs w:val="24"/>
        </w:rPr>
        <w:t xml:space="preserve">Annex 2: </w:t>
      </w:r>
      <w:r w:rsidRPr="00E11123">
        <w:rPr>
          <w:rFonts w:asciiTheme="minorHAnsi" w:hAnsiTheme="minorHAnsi" w:cs="Arial"/>
          <w:szCs w:val="24"/>
        </w:rPr>
        <w:tab/>
      </w:r>
      <w:r w:rsidR="00281E5F" w:rsidRPr="00281E5F">
        <w:rPr>
          <w:rFonts w:asciiTheme="minorHAnsi" w:hAnsiTheme="minorHAnsi" w:cs="Arial"/>
        </w:rPr>
        <w:t>Project Funding to Agriculture, Forestry and Fishing in</w:t>
      </w:r>
      <w:r w:rsidR="00CD5861" w:rsidRPr="00CD5861">
        <w:rPr>
          <w:rFonts w:asciiTheme="minorHAnsi" w:hAnsiTheme="minorHAnsi" w:cs="Arial"/>
        </w:rPr>
        <w:t xml:space="preserve"> </w:t>
      </w:r>
      <w:r w:rsidR="00CD5861" w:rsidRPr="00281E5F">
        <w:rPr>
          <w:rFonts w:asciiTheme="minorHAnsi" w:hAnsiTheme="minorHAnsi" w:cs="Arial"/>
        </w:rPr>
        <w:t>Africa by</w:t>
      </w:r>
      <w:r w:rsidR="00281E5F">
        <w:rPr>
          <w:rFonts w:asciiTheme="minorHAnsi" w:hAnsiTheme="minorHAnsi" w:cs="Arial"/>
        </w:rPr>
        <w:tab/>
      </w:r>
      <w:r w:rsidR="002226A2">
        <w:rPr>
          <w:rFonts w:asciiTheme="minorHAnsi" w:hAnsiTheme="minorHAnsi" w:cs="Arial"/>
        </w:rPr>
        <w:t>59</w:t>
      </w:r>
      <w:r w:rsidR="00281E5F" w:rsidRPr="00281E5F">
        <w:rPr>
          <w:rFonts w:asciiTheme="minorHAnsi" w:hAnsiTheme="minorHAnsi" w:cs="Arial"/>
        </w:rPr>
        <w:t xml:space="preserve"> </w:t>
      </w:r>
    </w:p>
    <w:p w:rsidR="00281E5F" w:rsidRDefault="00281E5F" w:rsidP="00CD5861">
      <w:pPr>
        <w:ind w:left="720" w:firstLine="720"/>
        <w:rPr>
          <w:rFonts w:asciiTheme="minorHAnsi" w:hAnsiTheme="minorHAnsi" w:cs="Arial"/>
          <w:szCs w:val="24"/>
        </w:rPr>
      </w:pPr>
      <w:r w:rsidRPr="00281E5F">
        <w:rPr>
          <w:rFonts w:asciiTheme="minorHAnsi" w:hAnsiTheme="minorHAnsi" w:cs="Arial"/>
        </w:rPr>
        <w:t>Multilateral Agencies – 2010</w:t>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p>
    <w:p w:rsidR="003F6C09" w:rsidRPr="00E11123" w:rsidRDefault="003F6C09" w:rsidP="00CD5861">
      <w:pPr>
        <w:rPr>
          <w:rFonts w:asciiTheme="minorHAnsi" w:hAnsiTheme="minorHAnsi" w:cs="Arial"/>
          <w:szCs w:val="24"/>
        </w:rPr>
      </w:pPr>
      <w:r w:rsidRPr="00E11123">
        <w:rPr>
          <w:rFonts w:asciiTheme="minorHAnsi" w:hAnsiTheme="minorHAnsi" w:cs="Arial"/>
          <w:szCs w:val="24"/>
        </w:rPr>
        <w:t xml:space="preserve">Annex 3: </w:t>
      </w:r>
      <w:r w:rsidRPr="00E11123">
        <w:rPr>
          <w:rFonts w:asciiTheme="minorHAnsi" w:hAnsiTheme="minorHAnsi" w:cs="Arial"/>
          <w:szCs w:val="24"/>
        </w:rPr>
        <w:tab/>
      </w:r>
      <w:r w:rsidR="002A356F">
        <w:rPr>
          <w:rFonts w:asciiTheme="minorHAnsi" w:hAnsiTheme="minorHAnsi" w:cs="Arial"/>
          <w:szCs w:val="24"/>
        </w:rPr>
        <w:t>Selected African Agricultural Finance Funds, 2010</w:t>
      </w:r>
      <w:r w:rsidR="002A356F">
        <w:rPr>
          <w:rFonts w:asciiTheme="minorHAnsi" w:hAnsiTheme="minorHAnsi" w:cs="Arial"/>
          <w:szCs w:val="24"/>
        </w:rPr>
        <w:tab/>
      </w:r>
      <w:r w:rsidR="002A356F">
        <w:rPr>
          <w:rFonts w:asciiTheme="minorHAnsi" w:hAnsiTheme="minorHAnsi" w:cs="Arial"/>
          <w:szCs w:val="24"/>
        </w:rPr>
        <w:tab/>
      </w:r>
      <w:r w:rsidR="002A356F">
        <w:rPr>
          <w:rFonts w:asciiTheme="minorHAnsi" w:hAnsiTheme="minorHAnsi" w:cs="Arial"/>
          <w:szCs w:val="24"/>
        </w:rPr>
        <w:tab/>
      </w:r>
      <w:r w:rsidR="002226A2">
        <w:rPr>
          <w:rFonts w:asciiTheme="minorHAnsi" w:hAnsiTheme="minorHAnsi" w:cs="Arial"/>
          <w:szCs w:val="24"/>
        </w:rPr>
        <w:t>61</w:t>
      </w:r>
    </w:p>
    <w:p w:rsidR="00A709E8" w:rsidRPr="00E11123" w:rsidRDefault="00A709E8" w:rsidP="00CD5861">
      <w:pPr>
        <w:widowControl w:val="0"/>
        <w:autoSpaceDE w:val="0"/>
        <w:autoSpaceDN w:val="0"/>
        <w:adjustRightInd w:val="0"/>
        <w:jc w:val="both"/>
        <w:rPr>
          <w:rFonts w:asciiTheme="minorHAnsi" w:hAnsiTheme="minorHAnsi" w:cs="Arial"/>
          <w:szCs w:val="24"/>
        </w:rPr>
      </w:pPr>
      <w:r w:rsidRPr="00E11123">
        <w:rPr>
          <w:rFonts w:asciiTheme="minorHAnsi" w:hAnsiTheme="minorHAnsi" w:cs="Arial"/>
          <w:szCs w:val="24"/>
        </w:rPr>
        <w:t xml:space="preserve">Annex </w:t>
      </w:r>
      <w:r>
        <w:rPr>
          <w:rFonts w:asciiTheme="minorHAnsi" w:hAnsiTheme="minorHAnsi" w:cs="Arial"/>
          <w:szCs w:val="24"/>
        </w:rPr>
        <w:t>4</w:t>
      </w:r>
      <w:r w:rsidRPr="00E11123">
        <w:rPr>
          <w:rFonts w:asciiTheme="minorHAnsi" w:hAnsiTheme="minorHAnsi" w:cs="Arial"/>
          <w:szCs w:val="24"/>
        </w:rPr>
        <w:t xml:space="preserve">: </w:t>
      </w:r>
      <w:r w:rsidRPr="00E11123">
        <w:rPr>
          <w:rFonts w:asciiTheme="minorHAnsi" w:hAnsiTheme="minorHAnsi" w:cs="Arial"/>
          <w:szCs w:val="24"/>
        </w:rPr>
        <w:tab/>
      </w:r>
      <w:r w:rsidR="00415F09">
        <w:rPr>
          <w:rFonts w:asciiTheme="minorHAnsi" w:hAnsiTheme="minorHAnsi" w:cs="Arial"/>
          <w:szCs w:val="24"/>
        </w:rPr>
        <w:t>Analysis of Country Investment Plans</w:t>
      </w:r>
      <w:r w:rsidRPr="00E11123">
        <w:rPr>
          <w:rFonts w:asciiTheme="minorHAnsi" w:hAnsiTheme="minorHAnsi" w:cs="Arial"/>
          <w:szCs w:val="24"/>
        </w:rPr>
        <w:tab/>
      </w:r>
      <w:r w:rsidRPr="00E11123">
        <w:rPr>
          <w:rFonts w:asciiTheme="minorHAnsi" w:hAnsiTheme="minorHAnsi" w:cs="Arial"/>
          <w:szCs w:val="24"/>
        </w:rPr>
        <w:tab/>
        <w:t xml:space="preserve">  </w:t>
      </w:r>
      <w:r w:rsidRPr="00E11123">
        <w:rPr>
          <w:rFonts w:asciiTheme="minorHAnsi" w:hAnsiTheme="minorHAnsi" w:cs="Arial"/>
          <w:szCs w:val="24"/>
        </w:rPr>
        <w:tab/>
      </w:r>
      <w:r w:rsidRPr="00E11123">
        <w:rPr>
          <w:rFonts w:asciiTheme="minorHAnsi" w:hAnsiTheme="minorHAnsi" w:cs="Arial"/>
          <w:szCs w:val="24"/>
        </w:rPr>
        <w:tab/>
      </w:r>
      <w:r w:rsidR="002226A2">
        <w:rPr>
          <w:rFonts w:asciiTheme="minorHAnsi" w:hAnsiTheme="minorHAnsi" w:cs="Arial"/>
          <w:szCs w:val="24"/>
        </w:rPr>
        <w:t>63</w:t>
      </w:r>
    </w:p>
    <w:p w:rsidR="00A709E8" w:rsidRDefault="00A709E8" w:rsidP="00E95251">
      <w:pPr>
        <w:rPr>
          <w:rFonts w:asciiTheme="minorHAnsi" w:hAnsiTheme="minorHAnsi" w:cs="Arial"/>
          <w:szCs w:val="24"/>
        </w:rPr>
      </w:pPr>
      <w:r w:rsidRPr="00E11123">
        <w:rPr>
          <w:rFonts w:asciiTheme="minorHAnsi" w:hAnsiTheme="minorHAnsi" w:cs="Arial"/>
          <w:szCs w:val="24"/>
        </w:rPr>
        <w:t xml:space="preserve">Annex </w:t>
      </w:r>
      <w:r>
        <w:rPr>
          <w:rFonts w:asciiTheme="minorHAnsi" w:hAnsiTheme="minorHAnsi" w:cs="Arial"/>
          <w:szCs w:val="24"/>
        </w:rPr>
        <w:t>5</w:t>
      </w:r>
      <w:r w:rsidRPr="00E11123">
        <w:rPr>
          <w:rFonts w:asciiTheme="minorHAnsi" w:hAnsiTheme="minorHAnsi" w:cs="Arial"/>
          <w:szCs w:val="24"/>
        </w:rPr>
        <w:t xml:space="preserve">: </w:t>
      </w:r>
      <w:r w:rsidRPr="00E11123">
        <w:rPr>
          <w:rFonts w:asciiTheme="minorHAnsi" w:hAnsiTheme="minorHAnsi" w:cs="Arial"/>
          <w:szCs w:val="24"/>
        </w:rPr>
        <w:tab/>
      </w:r>
      <w:r w:rsidR="00E95251">
        <w:rPr>
          <w:rFonts w:asciiTheme="minorHAnsi" w:hAnsiTheme="minorHAnsi" w:cs="Arial"/>
          <w:szCs w:val="24"/>
        </w:rPr>
        <w:t xml:space="preserve">Funding for Countries with Compacts/Investment Plans </w:t>
      </w:r>
      <w:r w:rsidRPr="00E11123">
        <w:rPr>
          <w:rFonts w:asciiTheme="minorHAnsi" w:hAnsiTheme="minorHAnsi" w:cs="Arial"/>
          <w:szCs w:val="24"/>
        </w:rPr>
        <w:t xml:space="preserve">  </w:t>
      </w:r>
      <w:r w:rsidRPr="00E11123">
        <w:rPr>
          <w:rFonts w:asciiTheme="minorHAnsi" w:hAnsiTheme="minorHAnsi" w:cs="Arial"/>
          <w:szCs w:val="24"/>
        </w:rPr>
        <w:tab/>
      </w:r>
      <w:r w:rsidRPr="00E11123">
        <w:rPr>
          <w:rFonts w:asciiTheme="minorHAnsi" w:hAnsiTheme="minorHAnsi" w:cs="Arial"/>
          <w:szCs w:val="24"/>
        </w:rPr>
        <w:tab/>
      </w:r>
      <w:r w:rsidR="002226A2">
        <w:rPr>
          <w:rFonts w:asciiTheme="minorHAnsi" w:hAnsiTheme="minorHAnsi" w:cs="Arial"/>
          <w:szCs w:val="24"/>
        </w:rPr>
        <w:t>67</w:t>
      </w:r>
    </w:p>
    <w:p w:rsidR="00BA7454" w:rsidRPr="00956B35" w:rsidRDefault="00BA7454" w:rsidP="00BA7454">
      <w:pPr>
        <w:rPr>
          <w:rFonts w:asciiTheme="minorHAnsi" w:hAnsiTheme="minorHAnsi" w:cs="Arial"/>
          <w:szCs w:val="24"/>
          <w:lang w:val="en-US"/>
        </w:rPr>
      </w:pPr>
      <w:r w:rsidRPr="00956B35">
        <w:rPr>
          <w:rFonts w:asciiTheme="minorHAnsi" w:hAnsiTheme="minorHAnsi" w:cs="Arial"/>
          <w:szCs w:val="24"/>
          <w:lang w:val="en-US"/>
        </w:rPr>
        <w:t xml:space="preserve">Annex 6: </w:t>
      </w:r>
      <w:r w:rsidRPr="00956B35">
        <w:rPr>
          <w:rFonts w:asciiTheme="minorHAnsi" w:hAnsiTheme="minorHAnsi" w:cs="Arial"/>
          <w:szCs w:val="24"/>
          <w:lang w:val="en-US"/>
        </w:rPr>
        <w:tab/>
        <w:t>Correlation Analysis</w:t>
      </w:r>
      <w:r w:rsidR="005E70D6" w:rsidRPr="00956B35">
        <w:rPr>
          <w:rFonts w:asciiTheme="minorHAnsi" w:hAnsiTheme="minorHAnsi" w:cs="Arial"/>
          <w:szCs w:val="24"/>
          <w:lang w:val="en-US"/>
        </w:rPr>
        <w:t xml:space="preserve"> Outputs</w:t>
      </w:r>
      <w:r w:rsidRPr="00956B35">
        <w:rPr>
          <w:rFonts w:asciiTheme="minorHAnsi" w:hAnsiTheme="minorHAnsi" w:cs="Arial"/>
          <w:szCs w:val="24"/>
          <w:lang w:val="en-US"/>
        </w:rPr>
        <w:tab/>
      </w:r>
      <w:r w:rsidRPr="00956B35">
        <w:rPr>
          <w:rFonts w:asciiTheme="minorHAnsi" w:hAnsiTheme="minorHAnsi" w:cs="Arial"/>
          <w:szCs w:val="24"/>
          <w:lang w:val="en-US"/>
        </w:rPr>
        <w:tab/>
      </w:r>
      <w:r w:rsidRPr="00956B35">
        <w:rPr>
          <w:rFonts w:asciiTheme="minorHAnsi" w:hAnsiTheme="minorHAnsi" w:cs="Arial"/>
          <w:szCs w:val="24"/>
          <w:lang w:val="en-US"/>
        </w:rPr>
        <w:tab/>
      </w:r>
      <w:r w:rsidRPr="00956B35">
        <w:rPr>
          <w:rFonts w:asciiTheme="minorHAnsi" w:hAnsiTheme="minorHAnsi" w:cs="Arial"/>
          <w:szCs w:val="24"/>
          <w:lang w:val="en-US"/>
        </w:rPr>
        <w:tab/>
        <w:t xml:space="preserve">   </w:t>
      </w:r>
      <w:r w:rsidRPr="00956B35">
        <w:rPr>
          <w:rFonts w:asciiTheme="minorHAnsi" w:hAnsiTheme="minorHAnsi" w:cs="Arial"/>
          <w:szCs w:val="24"/>
          <w:lang w:val="en-US"/>
        </w:rPr>
        <w:tab/>
      </w:r>
      <w:r w:rsidRPr="00956B35">
        <w:rPr>
          <w:rFonts w:asciiTheme="minorHAnsi" w:hAnsiTheme="minorHAnsi" w:cs="Arial"/>
          <w:szCs w:val="24"/>
          <w:lang w:val="en-US"/>
        </w:rPr>
        <w:tab/>
      </w:r>
      <w:r w:rsidR="002226A2" w:rsidRPr="00956B35">
        <w:rPr>
          <w:rFonts w:asciiTheme="minorHAnsi" w:hAnsiTheme="minorHAnsi" w:cs="Arial"/>
          <w:szCs w:val="24"/>
          <w:lang w:val="en-US"/>
        </w:rPr>
        <w:t>69</w:t>
      </w:r>
    </w:p>
    <w:p w:rsidR="00BA7454" w:rsidRPr="00956B35" w:rsidRDefault="00BA7454" w:rsidP="00E95251">
      <w:pPr>
        <w:rPr>
          <w:rFonts w:asciiTheme="minorHAnsi" w:hAnsiTheme="minorHAnsi" w:cs="Arial"/>
          <w:szCs w:val="24"/>
          <w:lang w:val="en-US"/>
        </w:rPr>
      </w:pPr>
    </w:p>
    <w:p w:rsidR="003F6C09" w:rsidRPr="00956B35" w:rsidRDefault="003F6C09" w:rsidP="003F6C09">
      <w:pPr>
        <w:jc w:val="center"/>
        <w:rPr>
          <w:b/>
          <w:lang w:val="en-US"/>
        </w:rPr>
      </w:pPr>
    </w:p>
    <w:p w:rsidR="003F6C09" w:rsidRPr="00956B35" w:rsidRDefault="003F6C09" w:rsidP="003F6C09">
      <w:pPr>
        <w:rPr>
          <w:rFonts w:ascii="Arial" w:hAnsi="Arial" w:cs="Arial"/>
          <w:b/>
          <w:color w:val="1F497D" w:themeColor="text2"/>
          <w:sz w:val="20"/>
          <w:lang w:val="en-US"/>
        </w:rPr>
      </w:pPr>
      <w:r w:rsidRPr="00956B35">
        <w:rPr>
          <w:rFonts w:ascii="Arial" w:hAnsi="Arial" w:cs="Arial"/>
          <w:b/>
          <w:color w:val="1F497D" w:themeColor="text2"/>
          <w:sz w:val="20"/>
          <w:lang w:val="en-US"/>
        </w:rPr>
        <w:br w:type="page"/>
      </w:r>
    </w:p>
    <w:p w:rsidR="00E87EF6" w:rsidRPr="00956B35" w:rsidRDefault="00E87EF6" w:rsidP="00E87EF6">
      <w:pPr>
        <w:autoSpaceDE w:val="0"/>
        <w:autoSpaceDN w:val="0"/>
        <w:adjustRightInd w:val="0"/>
        <w:rPr>
          <w:rFonts w:asciiTheme="minorHAnsi" w:hAnsiTheme="minorHAnsi" w:cs="Arial"/>
          <w:b/>
          <w:color w:val="1F497D" w:themeColor="text2"/>
          <w:sz w:val="28"/>
          <w:szCs w:val="28"/>
          <w:lang w:val="en-US"/>
        </w:rPr>
      </w:pPr>
      <w:r w:rsidRPr="00956B35">
        <w:rPr>
          <w:rFonts w:asciiTheme="minorHAnsi" w:hAnsiTheme="minorHAnsi" w:cs="Arial"/>
          <w:b/>
          <w:color w:val="1F497D" w:themeColor="text2"/>
          <w:sz w:val="28"/>
          <w:szCs w:val="28"/>
          <w:lang w:val="en-US"/>
        </w:rPr>
        <w:lastRenderedPageBreak/>
        <w:t>TABLES</w:t>
      </w:r>
    </w:p>
    <w:p w:rsidR="00AF54E4" w:rsidRPr="00AF54E4" w:rsidRDefault="00AF54E4" w:rsidP="00AF54E4">
      <w:pPr>
        <w:rPr>
          <w:rFonts w:asciiTheme="minorHAnsi" w:hAnsiTheme="minorHAnsi" w:cs="Arial"/>
          <w:sz w:val="22"/>
          <w:szCs w:val="22"/>
        </w:rPr>
      </w:pPr>
      <w:r w:rsidRPr="00956B35">
        <w:rPr>
          <w:rFonts w:asciiTheme="minorHAnsi" w:hAnsiTheme="minorHAnsi" w:cs="Arial"/>
          <w:sz w:val="22"/>
          <w:szCs w:val="22"/>
          <w:lang w:val="en-US"/>
        </w:rPr>
        <w:t xml:space="preserve">Table 1. </w:t>
      </w:r>
      <w:r w:rsidRPr="00956B35">
        <w:rPr>
          <w:rFonts w:asciiTheme="minorHAnsi" w:hAnsiTheme="minorHAnsi" w:cs="Arial"/>
          <w:sz w:val="22"/>
          <w:szCs w:val="22"/>
          <w:lang w:val="en-US"/>
        </w:rPr>
        <w:tab/>
      </w:r>
      <w:r w:rsidRPr="00AF54E4">
        <w:rPr>
          <w:rFonts w:asciiTheme="minorHAnsi" w:hAnsiTheme="minorHAnsi" w:cs="Arial"/>
          <w:sz w:val="22"/>
          <w:szCs w:val="22"/>
        </w:rPr>
        <w:t xml:space="preserve">Main </w:t>
      </w:r>
      <w:r w:rsidR="00B64CD5">
        <w:rPr>
          <w:rFonts w:asciiTheme="minorHAnsi" w:hAnsiTheme="minorHAnsi" w:cs="Arial"/>
          <w:sz w:val="22"/>
          <w:szCs w:val="22"/>
        </w:rPr>
        <w:t>R</w:t>
      </w:r>
      <w:r w:rsidRPr="00AF54E4">
        <w:rPr>
          <w:rFonts w:asciiTheme="minorHAnsi" w:hAnsiTheme="minorHAnsi" w:cs="Arial"/>
          <w:sz w:val="22"/>
          <w:szCs w:val="22"/>
        </w:rPr>
        <w:t xml:space="preserve">ecipients of DAC </w:t>
      </w:r>
      <w:r w:rsidR="00B64CD5">
        <w:rPr>
          <w:rFonts w:asciiTheme="minorHAnsi" w:hAnsiTheme="minorHAnsi" w:cs="Arial"/>
          <w:sz w:val="22"/>
          <w:szCs w:val="22"/>
        </w:rPr>
        <w:t>M</w:t>
      </w:r>
      <w:r w:rsidRPr="00AF54E4">
        <w:rPr>
          <w:rFonts w:asciiTheme="minorHAnsi" w:hAnsiTheme="minorHAnsi" w:cs="Arial"/>
          <w:sz w:val="22"/>
          <w:szCs w:val="22"/>
        </w:rPr>
        <w:t xml:space="preserve">embers’ </w:t>
      </w:r>
      <w:r w:rsidR="00B64CD5">
        <w:rPr>
          <w:rFonts w:asciiTheme="minorHAnsi" w:hAnsiTheme="minorHAnsi" w:cs="Arial"/>
          <w:sz w:val="22"/>
          <w:szCs w:val="22"/>
        </w:rPr>
        <w:t>B</w:t>
      </w:r>
      <w:r w:rsidRPr="00AF54E4">
        <w:rPr>
          <w:rFonts w:asciiTheme="minorHAnsi" w:hAnsiTheme="minorHAnsi" w:cs="Arial"/>
          <w:sz w:val="22"/>
          <w:szCs w:val="22"/>
        </w:rPr>
        <w:t xml:space="preserve">ilateral ODA to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17</w:t>
      </w:r>
    </w:p>
    <w:p w:rsidR="00AF54E4" w:rsidRPr="00AF54E4" w:rsidRDefault="00AF54E4" w:rsidP="00AF54E4">
      <w:pPr>
        <w:autoSpaceDE w:val="0"/>
        <w:autoSpaceDN w:val="0"/>
        <w:adjustRightInd w:val="0"/>
        <w:ind w:left="720" w:firstLine="720"/>
        <w:rPr>
          <w:rFonts w:asciiTheme="minorHAnsi" w:hAnsiTheme="minorHAnsi" w:cs="Arial"/>
          <w:color w:val="000000"/>
          <w:sz w:val="22"/>
          <w:szCs w:val="22"/>
          <w:shd w:val="clear" w:color="auto" w:fill="FFFFFF"/>
        </w:rPr>
      </w:pPr>
      <w:r w:rsidRPr="00AF54E4">
        <w:rPr>
          <w:rFonts w:asciiTheme="minorHAnsi" w:hAnsiTheme="minorHAnsi" w:cs="Arial"/>
          <w:sz w:val="22"/>
          <w:szCs w:val="22"/>
        </w:rPr>
        <w:t>Agriculture, Forestry and Fishing sector in Africa</w:t>
      </w:r>
      <w:r w:rsidRPr="00AF54E4">
        <w:rPr>
          <w:rFonts w:asciiTheme="minorHAnsi" w:hAnsiTheme="minorHAnsi" w:cs="Arial"/>
          <w:color w:val="000000"/>
          <w:sz w:val="22"/>
          <w:szCs w:val="22"/>
          <w:shd w:val="clear" w:color="auto" w:fill="FFFFFF"/>
        </w:rPr>
        <w:t xml:space="preserve"> </w:t>
      </w:r>
    </w:p>
    <w:p w:rsidR="00ED52EA" w:rsidRPr="00ED52EA" w:rsidRDefault="00ED52EA" w:rsidP="00AF54E4">
      <w:pPr>
        <w:autoSpaceDE w:val="0"/>
        <w:autoSpaceDN w:val="0"/>
        <w:adjustRightInd w:val="0"/>
        <w:rPr>
          <w:rFonts w:asciiTheme="minorHAnsi" w:hAnsiTheme="minorHAnsi" w:cs="Arial"/>
          <w:sz w:val="22"/>
          <w:szCs w:val="22"/>
        </w:rPr>
      </w:pPr>
      <w:r w:rsidRPr="00ED52EA">
        <w:rPr>
          <w:rFonts w:asciiTheme="minorHAnsi" w:hAnsiTheme="minorHAnsi" w:cs="Arial"/>
          <w:sz w:val="22"/>
          <w:szCs w:val="22"/>
        </w:rPr>
        <w:t>Table 2</w:t>
      </w:r>
      <w:r w:rsidR="00173E28">
        <w:rPr>
          <w:rFonts w:asciiTheme="minorHAnsi" w:hAnsiTheme="minorHAnsi" w:cs="Arial"/>
          <w:sz w:val="22"/>
          <w:szCs w:val="22"/>
        </w:rPr>
        <w:t>.</w:t>
      </w:r>
      <w:r w:rsidRPr="00ED52EA">
        <w:rPr>
          <w:rFonts w:asciiTheme="minorHAnsi" w:hAnsiTheme="minorHAnsi" w:cs="Arial"/>
          <w:sz w:val="22"/>
          <w:szCs w:val="22"/>
        </w:rPr>
        <w:t xml:space="preserve"> </w:t>
      </w:r>
      <w:r w:rsidRPr="00ED52EA">
        <w:rPr>
          <w:rFonts w:asciiTheme="minorHAnsi" w:hAnsiTheme="minorHAnsi" w:cs="Arial"/>
          <w:sz w:val="22"/>
          <w:szCs w:val="22"/>
        </w:rPr>
        <w:tab/>
        <w:t>A Snapshot of G8 Progress against Key Commitments (2012)</w:t>
      </w:r>
      <w:r>
        <w:rPr>
          <w:rFonts w:asciiTheme="minorHAnsi" w:hAnsiTheme="minorHAnsi" w:cs="Arial"/>
          <w:sz w:val="22"/>
          <w:szCs w:val="22"/>
        </w:rPr>
        <w:tab/>
      </w:r>
      <w:r>
        <w:rPr>
          <w:rFonts w:asciiTheme="minorHAnsi" w:hAnsiTheme="minorHAnsi" w:cs="Arial"/>
          <w:sz w:val="22"/>
          <w:szCs w:val="22"/>
        </w:rPr>
        <w:tab/>
        <w:t>2</w:t>
      </w:r>
      <w:r w:rsidR="00167598">
        <w:rPr>
          <w:rFonts w:asciiTheme="minorHAnsi" w:hAnsiTheme="minorHAnsi" w:cs="Arial"/>
          <w:sz w:val="22"/>
          <w:szCs w:val="22"/>
        </w:rPr>
        <w:t>4</w:t>
      </w:r>
    </w:p>
    <w:p w:rsidR="00341865" w:rsidRPr="00341865" w:rsidRDefault="00341865" w:rsidP="00AF54E4">
      <w:pPr>
        <w:autoSpaceDE w:val="0"/>
        <w:autoSpaceDN w:val="0"/>
        <w:adjustRightInd w:val="0"/>
        <w:rPr>
          <w:rFonts w:asciiTheme="minorHAnsi" w:hAnsiTheme="minorHAnsi" w:cs="Arial"/>
          <w:color w:val="000000"/>
          <w:sz w:val="22"/>
          <w:szCs w:val="22"/>
          <w:shd w:val="clear" w:color="auto" w:fill="FFFFFF"/>
        </w:rPr>
      </w:pPr>
      <w:r w:rsidRPr="00341865">
        <w:rPr>
          <w:rFonts w:asciiTheme="minorHAnsi" w:hAnsiTheme="minorHAnsi" w:cs="Arial"/>
          <w:color w:val="000000"/>
          <w:sz w:val="22"/>
          <w:szCs w:val="22"/>
          <w:shd w:val="clear" w:color="auto" w:fill="FFFFFF"/>
        </w:rPr>
        <w:t>Table 3.</w:t>
      </w:r>
      <w:r w:rsidRPr="00341865">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r>
      <w:r w:rsidRPr="00341865">
        <w:rPr>
          <w:rFonts w:asciiTheme="minorHAnsi" w:hAnsiTheme="minorHAnsi" w:cs="Arial"/>
          <w:color w:val="000000"/>
          <w:sz w:val="22"/>
          <w:szCs w:val="22"/>
          <w:shd w:val="clear" w:color="auto" w:fill="FFFFFF"/>
        </w:rPr>
        <w:t>Country Investment Plan Financing Summary – Africa</w:t>
      </w:r>
      <w:r w:rsidRPr="00341865">
        <w:rPr>
          <w:rFonts w:asciiTheme="minorHAnsi" w:hAnsiTheme="minorHAnsi" w:cs="Arial"/>
          <w:color w:val="000000"/>
          <w:sz w:val="22"/>
          <w:szCs w:val="22"/>
          <w:shd w:val="clear" w:color="auto" w:fill="FFFFFF"/>
        </w:rPr>
        <w:tab/>
      </w:r>
      <w:r w:rsidRPr="00341865">
        <w:rPr>
          <w:rFonts w:asciiTheme="minorHAnsi" w:hAnsiTheme="minorHAnsi" w:cs="Arial"/>
          <w:color w:val="000000"/>
          <w:sz w:val="22"/>
          <w:szCs w:val="22"/>
          <w:shd w:val="clear" w:color="auto" w:fill="FFFFFF"/>
        </w:rPr>
        <w:tab/>
      </w:r>
      <w:r w:rsidRPr="00341865">
        <w:rPr>
          <w:rFonts w:asciiTheme="minorHAnsi" w:hAnsiTheme="minorHAnsi" w:cs="Arial"/>
          <w:color w:val="000000"/>
          <w:sz w:val="22"/>
          <w:szCs w:val="22"/>
          <w:shd w:val="clear" w:color="auto" w:fill="FFFFFF"/>
        </w:rPr>
        <w:tab/>
        <w:t>2</w:t>
      </w:r>
      <w:r w:rsidR="00167598">
        <w:rPr>
          <w:rFonts w:asciiTheme="minorHAnsi" w:hAnsiTheme="minorHAnsi" w:cs="Arial"/>
          <w:color w:val="000000"/>
          <w:sz w:val="22"/>
          <w:szCs w:val="22"/>
          <w:shd w:val="clear" w:color="auto" w:fill="FFFFFF"/>
        </w:rPr>
        <w:t>5</w:t>
      </w:r>
    </w:p>
    <w:p w:rsidR="00341865" w:rsidRDefault="00341865" w:rsidP="00AF54E4">
      <w:pPr>
        <w:autoSpaceDE w:val="0"/>
        <w:autoSpaceDN w:val="0"/>
        <w:adjustRightInd w:val="0"/>
        <w:rPr>
          <w:rFonts w:asciiTheme="minorHAnsi" w:hAnsiTheme="minorHAnsi" w:cs="Arial"/>
          <w:color w:val="000000"/>
          <w:sz w:val="22"/>
          <w:szCs w:val="22"/>
          <w:shd w:val="clear" w:color="auto" w:fill="FFFFFF"/>
        </w:rPr>
      </w:pPr>
      <w:r w:rsidRPr="00341865">
        <w:rPr>
          <w:rFonts w:asciiTheme="minorHAnsi" w:hAnsiTheme="minorHAnsi" w:cs="Arial"/>
          <w:sz w:val="22"/>
          <w:szCs w:val="22"/>
        </w:rPr>
        <w:t xml:space="preserve">Table 4. </w:t>
      </w:r>
      <w:r w:rsidRPr="00341865">
        <w:rPr>
          <w:rFonts w:asciiTheme="minorHAnsi" w:hAnsiTheme="minorHAnsi" w:cs="Arial"/>
          <w:sz w:val="22"/>
          <w:szCs w:val="22"/>
        </w:rPr>
        <w:tab/>
        <w:t>GAFSP: African Recipient Countries</w:t>
      </w:r>
      <w:r w:rsidRPr="00341865">
        <w:rPr>
          <w:rFonts w:asciiTheme="minorHAnsi" w:hAnsiTheme="minorHAnsi" w:cs="Arial"/>
          <w:color w:val="000000"/>
          <w:sz w:val="22"/>
          <w:szCs w:val="22"/>
          <w:shd w:val="clear" w:color="auto" w:fill="FFFFFF"/>
        </w:rPr>
        <w:t xml:space="preserve"> </w:t>
      </w:r>
      <w:r w:rsidRPr="00341865">
        <w:rPr>
          <w:rFonts w:asciiTheme="minorHAnsi" w:hAnsiTheme="minorHAnsi" w:cs="Arial"/>
          <w:color w:val="000000"/>
          <w:sz w:val="22"/>
          <w:szCs w:val="22"/>
          <w:shd w:val="clear" w:color="auto" w:fill="FFFFFF"/>
        </w:rPr>
        <w:tab/>
      </w:r>
      <w:r w:rsidRPr="00341865">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t>2</w:t>
      </w:r>
      <w:r w:rsidR="00167598">
        <w:rPr>
          <w:rFonts w:asciiTheme="minorHAnsi" w:hAnsiTheme="minorHAnsi" w:cs="Arial"/>
          <w:color w:val="000000"/>
          <w:sz w:val="22"/>
          <w:szCs w:val="22"/>
          <w:shd w:val="clear" w:color="auto" w:fill="FFFFFF"/>
        </w:rPr>
        <w:t>7</w:t>
      </w:r>
    </w:p>
    <w:p w:rsidR="00E87EF6" w:rsidRPr="002677F8" w:rsidRDefault="002677F8" w:rsidP="00AF54E4">
      <w:pPr>
        <w:autoSpaceDE w:val="0"/>
        <w:autoSpaceDN w:val="0"/>
        <w:adjustRightInd w:val="0"/>
        <w:rPr>
          <w:rFonts w:asciiTheme="minorHAnsi" w:hAnsiTheme="minorHAnsi" w:cs="Arial"/>
          <w:color w:val="000000"/>
          <w:sz w:val="22"/>
          <w:szCs w:val="22"/>
          <w:shd w:val="clear" w:color="auto" w:fill="FFFFFF"/>
        </w:rPr>
      </w:pPr>
      <w:r w:rsidRPr="002677F8">
        <w:rPr>
          <w:rFonts w:asciiTheme="minorHAnsi" w:hAnsiTheme="minorHAnsi" w:cs="Arial"/>
          <w:color w:val="000000"/>
          <w:sz w:val="22"/>
          <w:szCs w:val="22"/>
          <w:shd w:val="clear" w:color="auto" w:fill="FFFFFF"/>
        </w:rPr>
        <w:t>Table 5</w:t>
      </w:r>
      <w:r w:rsidR="00EC60FF">
        <w:rPr>
          <w:rFonts w:asciiTheme="minorHAnsi" w:hAnsiTheme="minorHAnsi" w:cs="Arial"/>
          <w:color w:val="000000"/>
          <w:sz w:val="22"/>
          <w:szCs w:val="22"/>
          <w:shd w:val="clear" w:color="auto" w:fill="FFFFFF"/>
        </w:rPr>
        <w:t>.</w:t>
      </w:r>
      <w:r w:rsidRPr="002677F8">
        <w:rPr>
          <w:rFonts w:asciiTheme="minorHAnsi" w:hAnsiTheme="minorHAnsi" w:cs="Arial"/>
          <w:color w:val="000000"/>
          <w:sz w:val="22"/>
          <w:szCs w:val="22"/>
          <w:shd w:val="clear" w:color="auto" w:fill="FFFFFF"/>
        </w:rPr>
        <w:t xml:space="preserve"> </w:t>
      </w:r>
      <w:r>
        <w:rPr>
          <w:rFonts w:asciiTheme="minorHAnsi" w:hAnsiTheme="minorHAnsi" w:cs="Arial"/>
          <w:color w:val="000000"/>
          <w:sz w:val="22"/>
          <w:szCs w:val="22"/>
          <w:shd w:val="clear" w:color="auto" w:fill="FFFFFF"/>
        </w:rPr>
        <w:tab/>
      </w:r>
      <w:r w:rsidRPr="002677F8">
        <w:rPr>
          <w:rFonts w:asciiTheme="minorHAnsi" w:hAnsiTheme="minorHAnsi" w:cs="Arial"/>
          <w:color w:val="000000"/>
          <w:sz w:val="22"/>
          <w:szCs w:val="22"/>
          <w:shd w:val="clear" w:color="auto" w:fill="FFFFFF"/>
        </w:rPr>
        <w:t>New Alliance - Examples of Private Sector Commitments</w:t>
      </w:r>
      <w:r>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r>
      <w:r>
        <w:rPr>
          <w:rFonts w:asciiTheme="minorHAnsi" w:hAnsiTheme="minorHAnsi" w:cs="Arial"/>
          <w:color w:val="000000"/>
          <w:sz w:val="22"/>
          <w:szCs w:val="22"/>
          <w:shd w:val="clear" w:color="auto" w:fill="FFFFFF"/>
        </w:rPr>
        <w:tab/>
        <w:t>2</w:t>
      </w:r>
      <w:r w:rsidR="00167598">
        <w:rPr>
          <w:rFonts w:asciiTheme="minorHAnsi" w:hAnsiTheme="minorHAnsi" w:cs="Arial"/>
          <w:color w:val="000000"/>
          <w:sz w:val="22"/>
          <w:szCs w:val="22"/>
          <w:shd w:val="clear" w:color="auto" w:fill="FFFFFF"/>
        </w:rPr>
        <w:t>8</w:t>
      </w:r>
    </w:p>
    <w:p w:rsidR="005359D0" w:rsidRDefault="005359D0" w:rsidP="00EC60FF">
      <w:pPr>
        <w:autoSpaceDE w:val="0"/>
        <w:autoSpaceDN w:val="0"/>
        <w:adjustRightInd w:val="0"/>
        <w:rPr>
          <w:rFonts w:asciiTheme="minorHAnsi" w:hAnsiTheme="minorHAnsi" w:cs="Helvetica Neue LT Pro"/>
          <w:color w:val="000000"/>
          <w:sz w:val="22"/>
          <w:szCs w:val="22"/>
        </w:rPr>
      </w:pPr>
      <w:r w:rsidRPr="005359D0">
        <w:rPr>
          <w:rFonts w:asciiTheme="minorHAnsi" w:hAnsiTheme="minorHAnsi" w:cs="Arial"/>
          <w:sz w:val="22"/>
          <w:szCs w:val="22"/>
        </w:rPr>
        <w:t>Table 6.</w:t>
      </w:r>
      <w:r w:rsidRPr="005359D0">
        <w:rPr>
          <w:rFonts w:asciiTheme="minorHAnsi" w:hAnsiTheme="minorHAnsi" w:cs="Arial"/>
          <w:sz w:val="22"/>
          <w:szCs w:val="22"/>
        </w:rPr>
        <w:tab/>
      </w:r>
      <w:r>
        <w:rPr>
          <w:rFonts w:asciiTheme="minorHAnsi" w:hAnsiTheme="minorHAnsi" w:cs="Arial"/>
          <w:sz w:val="22"/>
          <w:szCs w:val="22"/>
        </w:rPr>
        <w:tab/>
      </w:r>
      <w:r w:rsidRPr="005359D0">
        <w:rPr>
          <w:rFonts w:asciiTheme="minorHAnsi" w:hAnsiTheme="minorHAnsi" w:cs="Arial"/>
          <w:sz w:val="22"/>
          <w:szCs w:val="22"/>
        </w:rPr>
        <w:t>The New Alliance Cooperation Frameworks</w:t>
      </w:r>
      <w:r w:rsidRPr="005359D0">
        <w:rPr>
          <w:rFonts w:asciiTheme="minorHAnsi" w:hAnsiTheme="minorHAnsi" w:cs="Helvetica Neue LT Pro"/>
          <w:color w:val="000000"/>
          <w:sz w:val="22"/>
          <w:szCs w:val="22"/>
        </w:rPr>
        <w:t xml:space="preserve"> </w:t>
      </w:r>
      <w:r w:rsidRPr="005359D0">
        <w:rPr>
          <w:rFonts w:asciiTheme="minorHAnsi" w:hAnsiTheme="minorHAnsi" w:cs="Helvetica Neue LT Pro"/>
          <w:color w:val="000000"/>
          <w:sz w:val="22"/>
          <w:szCs w:val="22"/>
        </w:rPr>
        <w:tab/>
      </w:r>
      <w:r w:rsidRPr="005359D0">
        <w:rPr>
          <w:rFonts w:asciiTheme="minorHAnsi" w:hAnsiTheme="minorHAnsi" w:cs="Helvetica Neue LT Pro"/>
          <w:color w:val="000000"/>
          <w:sz w:val="22"/>
          <w:szCs w:val="22"/>
        </w:rPr>
        <w:tab/>
      </w:r>
      <w:r w:rsidRPr="005359D0">
        <w:rPr>
          <w:rFonts w:asciiTheme="minorHAnsi" w:hAnsiTheme="minorHAnsi" w:cs="Helvetica Neue LT Pro"/>
          <w:color w:val="000000"/>
          <w:sz w:val="22"/>
          <w:szCs w:val="22"/>
        </w:rPr>
        <w:tab/>
      </w:r>
      <w:r>
        <w:rPr>
          <w:rFonts w:asciiTheme="minorHAnsi" w:hAnsiTheme="minorHAnsi" w:cs="Helvetica Neue LT Pro"/>
          <w:color w:val="000000"/>
          <w:sz w:val="22"/>
          <w:szCs w:val="22"/>
        </w:rPr>
        <w:tab/>
        <w:t>2</w:t>
      </w:r>
      <w:r w:rsidR="00167598">
        <w:rPr>
          <w:rFonts w:asciiTheme="minorHAnsi" w:hAnsiTheme="minorHAnsi" w:cs="Helvetica Neue LT Pro"/>
          <w:color w:val="000000"/>
          <w:sz w:val="22"/>
          <w:szCs w:val="22"/>
        </w:rPr>
        <w:t>8</w:t>
      </w:r>
    </w:p>
    <w:p w:rsidR="00EC60FF" w:rsidRDefault="00EC60FF" w:rsidP="00EC60FF">
      <w:pPr>
        <w:autoSpaceDE w:val="0"/>
        <w:autoSpaceDN w:val="0"/>
        <w:adjustRightInd w:val="0"/>
        <w:rPr>
          <w:rFonts w:asciiTheme="minorHAnsi" w:hAnsiTheme="minorHAnsi" w:cs="Helvetica Neue LT Pro"/>
          <w:color w:val="000000"/>
          <w:sz w:val="22"/>
          <w:szCs w:val="22"/>
        </w:rPr>
      </w:pPr>
      <w:r w:rsidRPr="00EC60FF">
        <w:rPr>
          <w:rFonts w:asciiTheme="minorHAnsi" w:hAnsiTheme="minorHAnsi" w:cs="Helvetica Neue LT Pro"/>
          <w:color w:val="000000"/>
          <w:sz w:val="22"/>
          <w:szCs w:val="22"/>
        </w:rPr>
        <w:t>Table 7</w:t>
      </w:r>
      <w:r>
        <w:rPr>
          <w:rFonts w:asciiTheme="minorHAnsi" w:hAnsiTheme="minorHAnsi" w:cs="Helvetica Neue LT Pro"/>
          <w:color w:val="000000"/>
          <w:sz w:val="22"/>
          <w:szCs w:val="22"/>
        </w:rPr>
        <w:t>.</w:t>
      </w:r>
      <w:r>
        <w:rPr>
          <w:rFonts w:asciiTheme="minorHAnsi" w:hAnsiTheme="minorHAnsi" w:cs="Helvetica Neue LT Pro"/>
          <w:color w:val="000000"/>
          <w:sz w:val="22"/>
          <w:szCs w:val="22"/>
        </w:rPr>
        <w:tab/>
      </w:r>
      <w:r>
        <w:rPr>
          <w:rFonts w:asciiTheme="minorHAnsi" w:hAnsiTheme="minorHAnsi" w:cs="Helvetica Neue LT Pro"/>
          <w:color w:val="000000"/>
          <w:sz w:val="22"/>
          <w:szCs w:val="22"/>
        </w:rPr>
        <w:tab/>
      </w:r>
      <w:r w:rsidRPr="00EC60FF">
        <w:rPr>
          <w:rFonts w:asciiTheme="minorHAnsi" w:hAnsiTheme="minorHAnsi" w:cs="Helvetica Neue LT Pro"/>
          <w:color w:val="000000"/>
          <w:sz w:val="22"/>
          <w:szCs w:val="22"/>
        </w:rPr>
        <w:t>Bill &amp; Melinda Gates Foundation’s</w:t>
      </w:r>
      <w:r>
        <w:rPr>
          <w:rFonts w:asciiTheme="minorHAnsi" w:hAnsiTheme="minorHAnsi" w:cs="Helvetica Neue LT Pro"/>
          <w:color w:val="000000"/>
          <w:sz w:val="22"/>
          <w:szCs w:val="22"/>
        </w:rPr>
        <w:t xml:space="preserve"> </w:t>
      </w:r>
      <w:r w:rsidR="00206D71">
        <w:rPr>
          <w:rFonts w:asciiTheme="minorHAnsi" w:hAnsiTheme="minorHAnsi" w:cs="Helvetica Neue LT Pro"/>
          <w:color w:val="000000"/>
          <w:sz w:val="22"/>
          <w:szCs w:val="22"/>
        </w:rPr>
        <w:t>L</w:t>
      </w:r>
      <w:r>
        <w:rPr>
          <w:rFonts w:asciiTheme="minorHAnsi" w:hAnsiTheme="minorHAnsi" w:cs="Helvetica Neue LT Pro"/>
          <w:color w:val="000000"/>
          <w:sz w:val="22"/>
          <w:szCs w:val="22"/>
        </w:rPr>
        <w:t xml:space="preserve">argest </w:t>
      </w:r>
      <w:r w:rsidR="00206D71">
        <w:rPr>
          <w:rFonts w:asciiTheme="minorHAnsi" w:hAnsiTheme="minorHAnsi" w:cs="Helvetica Neue LT Pro"/>
          <w:color w:val="000000"/>
          <w:sz w:val="22"/>
          <w:szCs w:val="22"/>
        </w:rPr>
        <w:t>G</w:t>
      </w:r>
      <w:r>
        <w:rPr>
          <w:rFonts w:asciiTheme="minorHAnsi" w:hAnsiTheme="minorHAnsi" w:cs="Helvetica Neue LT Pro"/>
          <w:color w:val="000000"/>
          <w:sz w:val="22"/>
          <w:szCs w:val="22"/>
        </w:rPr>
        <w:t xml:space="preserve">rants to </w:t>
      </w:r>
      <w:r w:rsidR="00206D71">
        <w:rPr>
          <w:rFonts w:asciiTheme="minorHAnsi" w:hAnsiTheme="minorHAnsi" w:cs="Helvetica Neue LT Pro"/>
          <w:color w:val="000000"/>
          <w:sz w:val="22"/>
          <w:szCs w:val="22"/>
        </w:rPr>
        <w:t>A</w:t>
      </w:r>
      <w:r>
        <w:rPr>
          <w:rFonts w:asciiTheme="minorHAnsi" w:hAnsiTheme="minorHAnsi" w:cs="Helvetica Neue LT Pro"/>
          <w:color w:val="000000"/>
          <w:sz w:val="22"/>
          <w:szCs w:val="22"/>
        </w:rPr>
        <w:t xml:space="preserve">griculture </w:t>
      </w:r>
      <w:r w:rsidR="006D0E2F">
        <w:rPr>
          <w:rFonts w:asciiTheme="minorHAnsi" w:hAnsiTheme="minorHAnsi" w:cs="Helvetica Neue LT Pro"/>
          <w:color w:val="000000"/>
          <w:sz w:val="22"/>
          <w:szCs w:val="22"/>
        </w:rPr>
        <w:tab/>
      </w:r>
      <w:r w:rsidR="006D0E2F">
        <w:rPr>
          <w:rFonts w:asciiTheme="minorHAnsi" w:hAnsiTheme="minorHAnsi" w:cs="Helvetica Neue LT Pro"/>
          <w:color w:val="000000"/>
          <w:sz w:val="22"/>
          <w:szCs w:val="22"/>
        </w:rPr>
        <w:tab/>
      </w:r>
      <w:r w:rsidR="00167598">
        <w:rPr>
          <w:rFonts w:asciiTheme="minorHAnsi" w:hAnsiTheme="minorHAnsi" w:cs="Helvetica Neue LT Pro"/>
          <w:color w:val="000000"/>
          <w:sz w:val="22"/>
          <w:szCs w:val="22"/>
        </w:rPr>
        <w:t>30</w:t>
      </w:r>
    </w:p>
    <w:p w:rsidR="005D53B5" w:rsidRDefault="00206D71" w:rsidP="005D53B5">
      <w:pPr>
        <w:autoSpaceDE w:val="0"/>
        <w:autoSpaceDN w:val="0"/>
        <w:adjustRightInd w:val="0"/>
        <w:ind w:left="720" w:firstLine="720"/>
        <w:rPr>
          <w:rFonts w:asciiTheme="minorHAnsi" w:hAnsiTheme="minorHAnsi" w:cs="Helvetica Neue LT Pro"/>
          <w:color w:val="000000"/>
          <w:sz w:val="22"/>
          <w:szCs w:val="22"/>
        </w:rPr>
      </w:pPr>
      <w:r>
        <w:rPr>
          <w:rFonts w:asciiTheme="minorHAnsi" w:hAnsiTheme="minorHAnsi" w:cs="Helvetica Neue LT Pro"/>
          <w:color w:val="000000"/>
          <w:sz w:val="22"/>
          <w:szCs w:val="22"/>
        </w:rPr>
        <w:t>D</w:t>
      </w:r>
      <w:r w:rsidR="00EC60FF" w:rsidRPr="00EC60FF">
        <w:rPr>
          <w:rFonts w:asciiTheme="minorHAnsi" w:hAnsiTheme="minorHAnsi" w:cs="Helvetica Neue LT Pro"/>
          <w:color w:val="000000"/>
          <w:sz w:val="22"/>
          <w:szCs w:val="22"/>
        </w:rPr>
        <w:t xml:space="preserve">evelopment </w:t>
      </w:r>
      <w:r>
        <w:rPr>
          <w:rFonts w:asciiTheme="minorHAnsi" w:hAnsiTheme="minorHAnsi" w:cs="Helvetica Neue LT Pro"/>
          <w:color w:val="000000"/>
          <w:sz w:val="22"/>
          <w:szCs w:val="22"/>
        </w:rPr>
        <w:t>E</w:t>
      </w:r>
      <w:r w:rsidR="00EC60FF" w:rsidRPr="00EC60FF">
        <w:rPr>
          <w:rFonts w:asciiTheme="minorHAnsi" w:hAnsiTheme="minorHAnsi" w:cs="Helvetica Neue LT Pro"/>
          <w:color w:val="000000"/>
          <w:sz w:val="22"/>
          <w:szCs w:val="22"/>
        </w:rPr>
        <w:t>fforts (June 2011)</w:t>
      </w:r>
    </w:p>
    <w:p w:rsidR="005D53B5" w:rsidRPr="005D53B5" w:rsidRDefault="005D53B5" w:rsidP="005D53B5">
      <w:pPr>
        <w:autoSpaceDE w:val="0"/>
        <w:autoSpaceDN w:val="0"/>
        <w:adjustRightInd w:val="0"/>
        <w:rPr>
          <w:rFonts w:asciiTheme="minorHAnsi" w:hAnsiTheme="minorHAnsi"/>
          <w:sz w:val="22"/>
          <w:szCs w:val="22"/>
        </w:rPr>
      </w:pPr>
      <w:r w:rsidRPr="005D53B5">
        <w:rPr>
          <w:rFonts w:asciiTheme="minorHAnsi" w:hAnsiTheme="minorHAnsi"/>
          <w:sz w:val="22"/>
          <w:szCs w:val="22"/>
        </w:rPr>
        <w:t>Table 8.</w:t>
      </w:r>
      <w:r w:rsidRPr="005D53B5">
        <w:rPr>
          <w:rFonts w:asciiTheme="minorHAnsi" w:hAnsiTheme="minorHAnsi"/>
          <w:sz w:val="22"/>
          <w:szCs w:val="22"/>
        </w:rPr>
        <w:tab/>
      </w:r>
      <w:r>
        <w:rPr>
          <w:rFonts w:asciiTheme="minorHAnsi" w:hAnsiTheme="minorHAnsi"/>
          <w:sz w:val="22"/>
          <w:szCs w:val="22"/>
        </w:rPr>
        <w:tab/>
      </w:r>
      <w:r w:rsidRPr="005D53B5">
        <w:rPr>
          <w:rFonts w:asciiTheme="minorHAnsi" w:hAnsiTheme="minorHAnsi"/>
          <w:sz w:val="22"/>
          <w:szCs w:val="22"/>
        </w:rPr>
        <w:t>Donor Commitments to CAADP MDTF (April 2012)</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7598">
        <w:rPr>
          <w:rFonts w:asciiTheme="minorHAnsi" w:hAnsiTheme="minorHAnsi"/>
          <w:sz w:val="22"/>
          <w:szCs w:val="22"/>
        </w:rPr>
        <w:t>34</w:t>
      </w:r>
    </w:p>
    <w:p w:rsidR="00EC60FF" w:rsidRPr="005D53B5" w:rsidRDefault="005D53B5" w:rsidP="005D53B5">
      <w:pPr>
        <w:autoSpaceDE w:val="0"/>
        <w:autoSpaceDN w:val="0"/>
        <w:adjustRightInd w:val="0"/>
        <w:rPr>
          <w:rFonts w:asciiTheme="minorHAnsi" w:hAnsiTheme="minorHAnsi"/>
          <w:sz w:val="22"/>
          <w:szCs w:val="22"/>
        </w:rPr>
      </w:pPr>
      <w:r w:rsidRPr="005D53B5">
        <w:rPr>
          <w:rFonts w:asciiTheme="minorHAnsi" w:hAnsiTheme="minorHAnsi"/>
          <w:sz w:val="22"/>
          <w:szCs w:val="22"/>
        </w:rPr>
        <w:t>Table 9.</w:t>
      </w:r>
      <w:r w:rsidRPr="005D53B5">
        <w:rPr>
          <w:rFonts w:asciiTheme="minorHAnsi" w:hAnsiTheme="minorHAnsi"/>
          <w:sz w:val="22"/>
          <w:szCs w:val="22"/>
        </w:rPr>
        <w:tab/>
      </w:r>
      <w:r>
        <w:rPr>
          <w:rFonts w:asciiTheme="minorHAnsi" w:hAnsiTheme="minorHAnsi"/>
          <w:sz w:val="22"/>
          <w:szCs w:val="22"/>
        </w:rPr>
        <w:tab/>
      </w:r>
      <w:r w:rsidRPr="005D53B5">
        <w:rPr>
          <w:rFonts w:asciiTheme="minorHAnsi" w:hAnsiTheme="minorHAnsi"/>
          <w:sz w:val="22"/>
          <w:szCs w:val="22"/>
        </w:rPr>
        <w:t>CTF Grants and Disbursements (April 2012</w:t>
      </w: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7598">
        <w:rPr>
          <w:rFonts w:asciiTheme="minorHAnsi" w:hAnsiTheme="minorHAnsi"/>
          <w:sz w:val="22"/>
          <w:szCs w:val="22"/>
        </w:rPr>
        <w:t>34</w:t>
      </w:r>
      <w:r>
        <w:rPr>
          <w:rFonts w:asciiTheme="minorHAnsi" w:hAnsiTheme="minorHAnsi"/>
          <w:sz w:val="22"/>
          <w:szCs w:val="22"/>
        </w:rPr>
        <w:tab/>
      </w:r>
    </w:p>
    <w:p w:rsidR="00477210" w:rsidRPr="00477210" w:rsidRDefault="00477210" w:rsidP="005D53B5">
      <w:pPr>
        <w:autoSpaceDE w:val="0"/>
        <w:autoSpaceDN w:val="0"/>
        <w:adjustRightInd w:val="0"/>
        <w:rPr>
          <w:rFonts w:asciiTheme="minorHAnsi" w:hAnsiTheme="minorHAnsi" w:cs="Arial"/>
          <w:sz w:val="22"/>
          <w:szCs w:val="22"/>
        </w:rPr>
      </w:pPr>
      <w:r w:rsidRPr="00477210">
        <w:rPr>
          <w:rFonts w:asciiTheme="minorHAnsi" w:hAnsiTheme="minorHAnsi"/>
          <w:sz w:val="22"/>
          <w:szCs w:val="22"/>
        </w:rPr>
        <w:t>Table 10.</w:t>
      </w:r>
      <w:r w:rsidRPr="00477210">
        <w:rPr>
          <w:rFonts w:asciiTheme="minorHAnsi" w:hAnsiTheme="minorHAnsi"/>
          <w:sz w:val="22"/>
          <w:szCs w:val="22"/>
        </w:rPr>
        <w:tab/>
        <w:t xml:space="preserve">External </w:t>
      </w:r>
      <w:r w:rsidR="00B64CD5">
        <w:rPr>
          <w:rFonts w:asciiTheme="minorHAnsi" w:hAnsiTheme="minorHAnsi"/>
          <w:sz w:val="22"/>
          <w:szCs w:val="22"/>
        </w:rPr>
        <w:t>S</w:t>
      </w:r>
      <w:r w:rsidRPr="00477210">
        <w:rPr>
          <w:rFonts w:asciiTheme="minorHAnsi" w:hAnsiTheme="minorHAnsi"/>
          <w:sz w:val="22"/>
          <w:szCs w:val="22"/>
        </w:rPr>
        <w:t xml:space="preserve">ources of </w:t>
      </w:r>
      <w:r w:rsidR="00B64CD5">
        <w:rPr>
          <w:rFonts w:asciiTheme="minorHAnsi" w:hAnsiTheme="minorHAnsi"/>
          <w:sz w:val="22"/>
          <w:szCs w:val="22"/>
        </w:rPr>
        <w:t>F</w:t>
      </w:r>
      <w:r w:rsidRPr="00477210">
        <w:rPr>
          <w:rFonts w:asciiTheme="minorHAnsi" w:hAnsiTheme="minorHAnsi"/>
          <w:sz w:val="22"/>
          <w:szCs w:val="22"/>
        </w:rPr>
        <w:t>unding for AUC-DREA</w:t>
      </w:r>
      <w:r w:rsidRPr="00477210">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35</w:t>
      </w:r>
    </w:p>
    <w:p w:rsidR="00C40E70" w:rsidRPr="00C40E70" w:rsidRDefault="00C40E70" w:rsidP="005D53B5">
      <w:pPr>
        <w:autoSpaceDE w:val="0"/>
        <w:autoSpaceDN w:val="0"/>
        <w:adjustRightInd w:val="0"/>
        <w:rPr>
          <w:rFonts w:asciiTheme="minorHAnsi" w:hAnsiTheme="minorHAnsi" w:cs="Arial"/>
          <w:sz w:val="22"/>
          <w:szCs w:val="22"/>
        </w:rPr>
      </w:pPr>
      <w:r w:rsidRPr="00C40E70">
        <w:rPr>
          <w:rFonts w:asciiTheme="minorHAnsi" w:hAnsiTheme="minorHAnsi"/>
          <w:sz w:val="22"/>
          <w:szCs w:val="22"/>
        </w:rPr>
        <w:t>Table 11.</w:t>
      </w:r>
      <w:r w:rsidRPr="00C40E70">
        <w:rPr>
          <w:rFonts w:asciiTheme="minorHAnsi" w:hAnsiTheme="minorHAnsi"/>
          <w:sz w:val="22"/>
          <w:szCs w:val="22"/>
        </w:rPr>
        <w:tab/>
        <w:t xml:space="preserve">External </w:t>
      </w:r>
      <w:r w:rsidR="00B64CD5">
        <w:rPr>
          <w:rFonts w:asciiTheme="minorHAnsi" w:hAnsiTheme="minorHAnsi"/>
          <w:sz w:val="22"/>
          <w:szCs w:val="22"/>
        </w:rPr>
        <w:t>S</w:t>
      </w:r>
      <w:r w:rsidRPr="00C40E70">
        <w:rPr>
          <w:rFonts w:asciiTheme="minorHAnsi" w:hAnsiTheme="minorHAnsi"/>
          <w:sz w:val="22"/>
          <w:szCs w:val="22"/>
        </w:rPr>
        <w:t xml:space="preserve">ources of </w:t>
      </w:r>
      <w:r w:rsidR="00B64CD5">
        <w:rPr>
          <w:rFonts w:asciiTheme="minorHAnsi" w:hAnsiTheme="minorHAnsi"/>
          <w:sz w:val="22"/>
          <w:szCs w:val="22"/>
        </w:rPr>
        <w:t>F</w:t>
      </w:r>
      <w:r w:rsidRPr="00C40E70">
        <w:rPr>
          <w:rFonts w:asciiTheme="minorHAnsi" w:hAnsiTheme="minorHAnsi"/>
          <w:sz w:val="22"/>
          <w:szCs w:val="22"/>
        </w:rPr>
        <w:t>unding for COMESA</w:t>
      </w:r>
      <w:r w:rsidRPr="00C40E70">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37</w:t>
      </w:r>
    </w:p>
    <w:p w:rsidR="00C40E70" w:rsidRDefault="00C40E70" w:rsidP="005D53B5">
      <w:pPr>
        <w:autoSpaceDE w:val="0"/>
        <w:autoSpaceDN w:val="0"/>
        <w:adjustRightInd w:val="0"/>
        <w:rPr>
          <w:rFonts w:asciiTheme="minorHAnsi" w:hAnsiTheme="minorHAnsi" w:cs="Arial"/>
          <w:sz w:val="22"/>
          <w:szCs w:val="22"/>
        </w:rPr>
      </w:pPr>
      <w:r w:rsidRPr="00C40E70">
        <w:rPr>
          <w:rFonts w:asciiTheme="minorHAnsi" w:hAnsiTheme="minorHAnsi" w:cs="Arial"/>
          <w:sz w:val="22"/>
          <w:szCs w:val="22"/>
        </w:rPr>
        <w:t xml:space="preserve">Table 12. </w:t>
      </w:r>
      <w:r w:rsidRPr="00C40E70">
        <w:rPr>
          <w:rFonts w:asciiTheme="minorHAnsi" w:hAnsiTheme="minorHAnsi" w:cs="Arial"/>
          <w:sz w:val="22"/>
          <w:szCs w:val="22"/>
        </w:rPr>
        <w:tab/>
        <w:t xml:space="preserve">Principal </w:t>
      </w:r>
      <w:r w:rsidR="00B64CD5">
        <w:rPr>
          <w:rFonts w:asciiTheme="minorHAnsi" w:hAnsiTheme="minorHAnsi" w:cs="Arial"/>
          <w:sz w:val="22"/>
          <w:szCs w:val="22"/>
        </w:rPr>
        <w:t>D</w:t>
      </w:r>
      <w:r w:rsidRPr="00C40E70">
        <w:rPr>
          <w:rFonts w:asciiTheme="minorHAnsi" w:hAnsiTheme="minorHAnsi" w:cs="Arial"/>
          <w:sz w:val="22"/>
          <w:szCs w:val="22"/>
        </w:rPr>
        <w:t xml:space="preserve">onors of the FARA and the </w:t>
      </w:r>
      <w:proofErr w:type="spellStart"/>
      <w:r w:rsidR="00B64CD5">
        <w:rPr>
          <w:rFonts w:asciiTheme="minorHAnsi" w:hAnsiTheme="minorHAnsi" w:cs="Arial"/>
          <w:sz w:val="22"/>
          <w:szCs w:val="22"/>
        </w:rPr>
        <w:t>S</w:t>
      </w:r>
      <w:r w:rsidRPr="00C40E70">
        <w:rPr>
          <w:rFonts w:asciiTheme="minorHAnsi" w:hAnsiTheme="minorHAnsi" w:cs="Arial"/>
          <w:sz w:val="22"/>
          <w:szCs w:val="22"/>
        </w:rPr>
        <w:t>ubregional</w:t>
      </w:r>
      <w:proofErr w:type="spellEnd"/>
      <w:r w:rsidRPr="00C40E70">
        <w:rPr>
          <w:rFonts w:asciiTheme="minorHAnsi" w:hAnsiTheme="minorHAnsi" w:cs="Arial"/>
          <w:sz w:val="22"/>
          <w:szCs w:val="22"/>
        </w:rPr>
        <w:t xml:space="preserve"> </w:t>
      </w:r>
      <w:r w:rsidR="00B64CD5">
        <w:rPr>
          <w:rFonts w:asciiTheme="minorHAnsi" w:hAnsiTheme="minorHAnsi" w:cs="Arial"/>
          <w:sz w:val="22"/>
          <w:szCs w:val="22"/>
        </w:rPr>
        <w:t>O</w:t>
      </w:r>
      <w:r w:rsidRPr="00C40E70">
        <w:rPr>
          <w:rFonts w:asciiTheme="minorHAnsi" w:hAnsiTheme="minorHAnsi" w:cs="Arial"/>
          <w:sz w:val="22"/>
          <w:szCs w:val="22"/>
        </w:rPr>
        <w:t xml:space="preserve">rganisations </w:t>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40</w:t>
      </w:r>
    </w:p>
    <w:p w:rsidR="00C900DF" w:rsidRPr="00C900DF" w:rsidRDefault="00C900DF" w:rsidP="005D53B5">
      <w:pPr>
        <w:autoSpaceDE w:val="0"/>
        <w:autoSpaceDN w:val="0"/>
        <w:adjustRightInd w:val="0"/>
        <w:rPr>
          <w:rFonts w:asciiTheme="minorHAnsi" w:hAnsiTheme="minorHAnsi" w:cs="Arial"/>
          <w:sz w:val="22"/>
          <w:szCs w:val="22"/>
        </w:rPr>
      </w:pPr>
      <w:r w:rsidRPr="00C900DF">
        <w:rPr>
          <w:rFonts w:asciiTheme="minorHAnsi" w:hAnsiTheme="minorHAnsi" w:cs="Arial"/>
          <w:sz w:val="22"/>
          <w:szCs w:val="22"/>
        </w:rPr>
        <w:t xml:space="preserve">Table 13. </w:t>
      </w:r>
      <w:r w:rsidRPr="00C900DF">
        <w:rPr>
          <w:rFonts w:asciiTheme="minorHAnsi" w:hAnsiTheme="minorHAnsi" w:cs="Arial"/>
          <w:sz w:val="22"/>
          <w:szCs w:val="22"/>
        </w:rPr>
        <w:tab/>
        <w:t xml:space="preserve">Changes in Investment Levels for Subsequent Years after </w:t>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46</w:t>
      </w:r>
    </w:p>
    <w:p w:rsidR="005D53B5" w:rsidRDefault="00C900DF" w:rsidP="00C900DF">
      <w:pPr>
        <w:autoSpaceDE w:val="0"/>
        <w:autoSpaceDN w:val="0"/>
        <w:adjustRightInd w:val="0"/>
        <w:ind w:left="720" w:firstLine="720"/>
        <w:rPr>
          <w:rFonts w:asciiTheme="minorHAnsi" w:hAnsiTheme="minorHAnsi" w:cs="Arial"/>
          <w:sz w:val="22"/>
          <w:szCs w:val="22"/>
        </w:rPr>
      </w:pPr>
      <w:r w:rsidRPr="00C900DF">
        <w:rPr>
          <w:rFonts w:asciiTheme="minorHAnsi" w:hAnsiTheme="minorHAnsi" w:cs="Arial"/>
          <w:sz w:val="22"/>
          <w:szCs w:val="22"/>
        </w:rPr>
        <w:t>Signing CAADP Compact</w:t>
      </w:r>
    </w:p>
    <w:p w:rsidR="003E6631" w:rsidRDefault="003E6631" w:rsidP="003E6631">
      <w:pPr>
        <w:autoSpaceDE w:val="0"/>
        <w:autoSpaceDN w:val="0"/>
        <w:adjustRightInd w:val="0"/>
        <w:rPr>
          <w:rFonts w:asciiTheme="minorHAnsi" w:hAnsiTheme="minorHAnsi" w:cs="Arial"/>
          <w:sz w:val="22"/>
          <w:szCs w:val="22"/>
          <w:shd w:val="clear" w:color="auto" w:fill="FFFFFF"/>
        </w:rPr>
      </w:pPr>
      <w:r w:rsidRPr="003E6631">
        <w:rPr>
          <w:rFonts w:asciiTheme="minorHAnsi" w:hAnsiTheme="minorHAnsi" w:cs="Arial"/>
          <w:sz w:val="22"/>
          <w:szCs w:val="22"/>
          <w:shd w:val="clear" w:color="auto" w:fill="FFFFFF"/>
        </w:rPr>
        <w:t xml:space="preserve">Table 14. </w:t>
      </w:r>
      <w:r w:rsidRPr="003E6631">
        <w:rPr>
          <w:rFonts w:asciiTheme="minorHAnsi" w:hAnsiTheme="minorHAnsi" w:cs="Arial"/>
          <w:sz w:val="22"/>
          <w:szCs w:val="22"/>
          <w:shd w:val="clear" w:color="auto" w:fill="FFFFFF"/>
        </w:rPr>
        <w:tab/>
        <w:t xml:space="preserve">Source of Funds for </w:t>
      </w:r>
      <w:proofErr w:type="spellStart"/>
      <w:r w:rsidRPr="003E6631">
        <w:rPr>
          <w:rFonts w:asciiTheme="minorHAnsi" w:hAnsiTheme="minorHAnsi" w:cs="Arial"/>
          <w:sz w:val="22"/>
          <w:szCs w:val="22"/>
          <w:shd w:val="clear" w:color="auto" w:fill="FFFFFF"/>
        </w:rPr>
        <w:t>MoFA’s</w:t>
      </w:r>
      <w:proofErr w:type="spellEnd"/>
      <w:r w:rsidRPr="003E6631">
        <w:rPr>
          <w:rFonts w:asciiTheme="minorHAnsi" w:hAnsiTheme="minorHAnsi" w:cs="Arial"/>
          <w:sz w:val="22"/>
          <w:szCs w:val="22"/>
          <w:shd w:val="clear" w:color="auto" w:fill="FFFFFF"/>
        </w:rPr>
        <w:t xml:space="preserve"> Approved Budget (2011)</w:t>
      </w:r>
      <w:r w:rsidRPr="003E6631">
        <w:rPr>
          <w:rFonts w:asciiTheme="minorHAnsi" w:hAnsiTheme="minorHAnsi" w:cs="Arial"/>
          <w:sz w:val="22"/>
          <w:szCs w:val="22"/>
          <w:shd w:val="clear" w:color="auto" w:fill="FFFFFF"/>
        </w:rPr>
        <w:tab/>
      </w:r>
      <w:r w:rsidRPr="003E6631">
        <w:rPr>
          <w:rFonts w:asciiTheme="minorHAnsi" w:hAnsiTheme="minorHAnsi" w:cs="Arial"/>
          <w:sz w:val="22"/>
          <w:szCs w:val="22"/>
          <w:shd w:val="clear" w:color="auto" w:fill="FFFFFF"/>
        </w:rPr>
        <w:tab/>
      </w:r>
      <w:r w:rsidRPr="003E6631">
        <w:rPr>
          <w:rFonts w:asciiTheme="minorHAnsi" w:hAnsiTheme="minorHAnsi" w:cs="Arial"/>
          <w:sz w:val="22"/>
          <w:szCs w:val="22"/>
          <w:shd w:val="clear" w:color="auto" w:fill="FFFFFF"/>
        </w:rPr>
        <w:tab/>
      </w:r>
      <w:r w:rsidR="00167598">
        <w:rPr>
          <w:rFonts w:asciiTheme="minorHAnsi" w:hAnsiTheme="minorHAnsi" w:cs="Arial"/>
          <w:sz w:val="22"/>
          <w:szCs w:val="22"/>
          <w:shd w:val="clear" w:color="auto" w:fill="FFFFFF"/>
        </w:rPr>
        <w:t>47</w:t>
      </w:r>
    </w:p>
    <w:p w:rsidR="00D1383F" w:rsidRPr="00D1383F" w:rsidRDefault="00D1383F" w:rsidP="003E6631">
      <w:pPr>
        <w:autoSpaceDE w:val="0"/>
        <w:autoSpaceDN w:val="0"/>
        <w:adjustRightInd w:val="0"/>
        <w:rPr>
          <w:rFonts w:asciiTheme="minorHAnsi" w:hAnsiTheme="minorHAnsi" w:cs="Arial"/>
          <w:sz w:val="22"/>
          <w:szCs w:val="22"/>
        </w:rPr>
      </w:pPr>
      <w:r w:rsidRPr="00D1383F">
        <w:rPr>
          <w:rFonts w:asciiTheme="minorHAnsi" w:hAnsiTheme="minorHAnsi" w:cs="Arial"/>
          <w:sz w:val="22"/>
          <w:szCs w:val="22"/>
          <w:shd w:val="clear" w:color="auto" w:fill="FFFFFF"/>
        </w:rPr>
        <w:t xml:space="preserve">Table 15. </w:t>
      </w:r>
      <w:r w:rsidRPr="00D1383F">
        <w:rPr>
          <w:rFonts w:asciiTheme="minorHAnsi" w:hAnsiTheme="minorHAnsi" w:cs="Arial"/>
          <w:sz w:val="22"/>
          <w:szCs w:val="22"/>
          <w:shd w:val="clear" w:color="auto" w:fill="FFFFFF"/>
        </w:rPr>
        <w:tab/>
      </w:r>
      <w:r w:rsidRPr="00D1383F">
        <w:rPr>
          <w:rFonts w:asciiTheme="minorHAnsi" w:hAnsiTheme="minorHAnsi"/>
          <w:sz w:val="22"/>
          <w:szCs w:val="22"/>
          <w:lang w:eastAsia="en-GB"/>
        </w:rPr>
        <w:t>G8 Members’ and Others’ Funding Intentions to Ghana</w:t>
      </w:r>
      <w:r>
        <w:rPr>
          <w:rFonts w:asciiTheme="minorHAnsi" w:hAnsiTheme="minorHAnsi"/>
          <w:sz w:val="22"/>
          <w:szCs w:val="22"/>
          <w:lang w:eastAsia="en-GB"/>
        </w:rPr>
        <w:tab/>
      </w:r>
      <w:r>
        <w:rPr>
          <w:rFonts w:asciiTheme="minorHAnsi" w:hAnsiTheme="minorHAnsi"/>
          <w:sz w:val="22"/>
          <w:szCs w:val="22"/>
          <w:lang w:eastAsia="en-GB"/>
        </w:rPr>
        <w:tab/>
      </w:r>
      <w:r>
        <w:rPr>
          <w:rFonts w:asciiTheme="minorHAnsi" w:hAnsiTheme="minorHAnsi"/>
          <w:sz w:val="22"/>
          <w:szCs w:val="22"/>
          <w:lang w:eastAsia="en-GB"/>
        </w:rPr>
        <w:tab/>
      </w:r>
      <w:r w:rsidR="00167598">
        <w:rPr>
          <w:rFonts w:asciiTheme="minorHAnsi" w:hAnsiTheme="minorHAnsi"/>
          <w:sz w:val="22"/>
          <w:szCs w:val="22"/>
          <w:lang w:eastAsia="en-GB"/>
        </w:rPr>
        <w:t>48</w:t>
      </w:r>
    </w:p>
    <w:p w:rsidR="00C900DF" w:rsidRDefault="00C900DF" w:rsidP="005D53B5">
      <w:pPr>
        <w:autoSpaceDE w:val="0"/>
        <w:autoSpaceDN w:val="0"/>
        <w:adjustRightInd w:val="0"/>
        <w:rPr>
          <w:rFonts w:asciiTheme="minorHAnsi" w:hAnsiTheme="minorHAnsi" w:cs="Arial"/>
          <w:b/>
          <w:color w:val="1F497D" w:themeColor="text2"/>
          <w:sz w:val="28"/>
          <w:szCs w:val="28"/>
        </w:rPr>
      </w:pPr>
    </w:p>
    <w:p w:rsidR="00E87EF6" w:rsidRPr="003F6C09" w:rsidRDefault="00E87EF6" w:rsidP="00E87EF6">
      <w:pPr>
        <w:rPr>
          <w:rFonts w:asciiTheme="minorHAnsi" w:hAnsiTheme="minorHAnsi" w:cs="Arial"/>
          <w:sz w:val="22"/>
          <w:szCs w:val="22"/>
        </w:rPr>
      </w:pPr>
      <w:r>
        <w:rPr>
          <w:rFonts w:asciiTheme="minorHAnsi" w:hAnsiTheme="minorHAnsi" w:cs="Arial"/>
          <w:b/>
          <w:color w:val="1F497D" w:themeColor="text2"/>
          <w:sz w:val="28"/>
          <w:szCs w:val="28"/>
        </w:rPr>
        <w:t>FIGURES</w:t>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r w:rsidRPr="003F6C09">
        <w:rPr>
          <w:rFonts w:asciiTheme="minorHAnsi" w:hAnsiTheme="minorHAnsi" w:cs="Arial"/>
          <w:sz w:val="22"/>
          <w:szCs w:val="22"/>
        </w:rPr>
        <w:tab/>
      </w:r>
    </w:p>
    <w:p w:rsidR="0088171C" w:rsidRDefault="00257C20" w:rsidP="00257C20">
      <w:pPr>
        <w:autoSpaceDE w:val="0"/>
        <w:autoSpaceDN w:val="0"/>
        <w:adjustRightInd w:val="0"/>
        <w:rPr>
          <w:rFonts w:asciiTheme="minorHAnsi" w:hAnsiTheme="minorHAnsi" w:cs="Arial"/>
          <w:szCs w:val="24"/>
        </w:rPr>
      </w:pPr>
      <w:r w:rsidRPr="00257C20">
        <w:rPr>
          <w:rFonts w:asciiTheme="minorHAnsi" w:hAnsiTheme="minorHAnsi" w:cs="Arial"/>
          <w:sz w:val="22"/>
          <w:szCs w:val="22"/>
        </w:rPr>
        <w:t>Figure 1</w:t>
      </w:r>
      <w:r>
        <w:rPr>
          <w:rFonts w:asciiTheme="minorHAnsi" w:hAnsiTheme="minorHAnsi" w:cs="Arial"/>
          <w:sz w:val="22"/>
          <w:szCs w:val="22"/>
        </w:rPr>
        <w:t>.</w:t>
      </w:r>
      <w:r w:rsidRPr="00257C20">
        <w:rPr>
          <w:rFonts w:asciiTheme="minorHAnsi" w:hAnsiTheme="minorHAnsi" w:cs="Arial"/>
          <w:sz w:val="22"/>
          <w:szCs w:val="22"/>
        </w:rPr>
        <w:t xml:space="preserve"> </w:t>
      </w:r>
      <w:r>
        <w:rPr>
          <w:rFonts w:asciiTheme="minorHAnsi" w:hAnsiTheme="minorHAnsi" w:cs="Arial"/>
          <w:sz w:val="22"/>
          <w:szCs w:val="22"/>
        </w:rPr>
        <w:tab/>
      </w:r>
      <w:r w:rsidRPr="00257C20">
        <w:rPr>
          <w:rFonts w:asciiTheme="minorHAnsi" w:hAnsiTheme="minorHAnsi" w:cs="Arial"/>
          <w:sz w:val="22"/>
          <w:szCs w:val="22"/>
        </w:rPr>
        <w:t>Aid to Agriculture (Total and Percentage of ODA)</w:t>
      </w:r>
      <w:r w:rsidRPr="00257C20">
        <w:rPr>
          <w:rFonts w:asciiTheme="minorHAnsi" w:hAnsiTheme="minorHAnsi" w:cs="Arial"/>
          <w:szCs w:val="24"/>
        </w:rPr>
        <w:t xml:space="preserve"> </w:t>
      </w:r>
      <w:r w:rsidRPr="00257C20">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sidR="00167598" w:rsidRPr="00167598">
        <w:rPr>
          <w:rFonts w:asciiTheme="minorHAnsi" w:hAnsiTheme="minorHAnsi" w:cs="Arial"/>
          <w:sz w:val="22"/>
          <w:szCs w:val="22"/>
        </w:rPr>
        <w:t>9</w:t>
      </w:r>
    </w:p>
    <w:p w:rsidR="0088171C" w:rsidRPr="0088171C" w:rsidRDefault="0088171C" w:rsidP="0088171C">
      <w:pPr>
        <w:autoSpaceDE w:val="0"/>
        <w:autoSpaceDN w:val="0"/>
        <w:adjustRightInd w:val="0"/>
        <w:rPr>
          <w:rFonts w:asciiTheme="minorHAnsi" w:hAnsiTheme="minorHAnsi" w:cs="Arial"/>
          <w:bCs/>
          <w:sz w:val="22"/>
          <w:szCs w:val="22"/>
          <w:lang w:eastAsia="en-GB"/>
        </w:rPr>
      </w:pPr>
      <w:r w:rsidRPr="0088171C">
        <w:rPr>
          <w:rFonts w:asciiTheme="minorHAnsi" w:hAnsiTheme="minorHAnsi" w:cs="Arial"/>
          <w:sz w:val="22"/>
          <w:szCs w:val="22"/>
        </w:rPr>
        <w:t>Figure 2.</w:t>
      </w:r>
      <w:r w:rsidRPr="0088171C">
        <w:rPr>
          <w:rFonts w:asciiTheme="minorHAnsi" w:hAnsiTheme="minorHAnsi" w:cs="Arial"/>
          <w:bCs/>
          <w:sz w:val="22"/>
          <w:szCs w:val="22"/>
          <w:lang w:eastAsia="en-GB"/>
        </w:rPr>
        <w:t xml:space="preserve"> </w:t>
      </w:r>
      <w:r>
        <w:rPr>
          <w:rFonts w:asciiTheme="minorHAnsi" w:hAnsiTheme="minorHAnsi" w:cs="Arial"/>
          <w:bCs/>
          <w:sz w:val="22"/>
          <w:szCs w:val="22"/>
          <w:lang w:eastAsia="en-GB"/>
        </w:rPr>
        <w:tab/>
      </w:r>
      <w:r w:rsidRPr="0088171C">
        <w:rPr>
          <w:rFonts w:asciiTheme="minorHAnsi" w:hAnsiTheme="minorHAnsi" w:cs="Arial"/>
          <w:bCs/>
          <w:sz w:val="22"/>
          <w:szCs w:val="22"/>
          <w:lang w:eastAsia="en-GB"/>
        </w:rPr>
        <w:t>Annual ODA Commitments in Sub-Saharan Africa:</w:t>
      </w:r>
      <w:r>
        <w:rPr>
          <w:rFonts w:asciiTheme="minorHAnsi" w:hAnsiTheme="minorHAnsi" w:cs="Arial"/>
          <w:bCs/>
          <w:sz w:val="22"/>
          <w:szCs w:val="22"/>
          <w:lang w:eastAsia="en-GB"/>
        </w:rPr>
        <w:tab/>
      </w:r>
      <w:r>
        <w:rPr>
          <w:rFonts w:asciiTheme="minorHAnsi" w:hAnsiTheme="minorHAnsi" w:cs="Arial"/>
          <w:bCs/>
          <w:sz w:val="22"/>
          <w:szCs w:val="22"/>
          <w:lang w:eastAsia="en-GB"/>
        </w:rPr>
        <w:tab/>
      </w:r>
      <w:r>
        <w:rPr>
          <w:rFonts w:asciiTheme="minorHAnsi" w:hAnsiTheme="minorHAnsi" w:cs="Arial"/>
          <w:bCs/>
          <w:sz w:val="22"/>
          <w:szCs w:val="22"/>
          <w:lang w:eastAsia="en-GB"/>
        </w:rPr>
        <w:tab/>
      </w:r>
      <w:r w:rsidR="00167598">
        <w:rPr>
          <w:rFonts w:asciiTheme="minorHAnsi" w:hAnsiTheme="minorHAnsi" w:cs="Arial"/>
          <w:bCs/>
          <w:sz w:val="22"/>
          <w:szCs w:val="22"/>
          <w:lang w:eastAsia="en-GB"/>
        </w:rPr>
        <w:t>12</w:t>
      </w:r>
    </w:p>
    <w:p w:rsidR="0088171C" w:rsidRDefault="0088171C" w:rsidP="0088171C">
      <w:pPr>
        <w:autoSpaceDE w:val="0"/>
        <w:autoSpaceDN w:val="0"/>
        <w:adjustRightInd w:val="0"/>
        <w:ind w:left="720" w:firstLine="720"/>
        <w:rPr>
          <w:rFonts w:asciiTheme="minorHAnsi" w:hAnsiTheme="minorHAnsi" w:cs="Arial"/>
          <w:bCs/>
          <w:sz w:val="22"/>
          <w:szCs w:val="22"/>
          <w:lang w:eastAsia="en-GB"/>
        </w:rPr>
      </w:pPr>
      <w:r w:rsidRPr="0088171C">
        <w:rPr>
          <w:rFonts w:asciiTheme="minorHAnsi" w:hAnsiTheme="minorHAnsi" w:cs="Arial"/>
          <w:bCs/>
          <w:sz w:val="22"/>
          <w:szCs w:val="22"/>
          <w:lang w:eastAsia="en-GB"/>
        </w:rPr>
        <w:t>Overall Trends and Share Allocated to Agriculture</w:t>
      </w:r>
    </w:p>
    <w:p w:rsidR="00257C20" w:rsidRPr="00257C20" w:rsidRDefault="00257C20" w:rsidP="00257C20">
      <w:pPr>
        <w:autoSpaceDE w:val="0"/>
        <w:autoSpaceDN w:val="0"/>
        <w:adjustRightInd w:val="0"/>
        <w:rPr>
          <w:rFonts w:asciiTheme="minorHAnsi" w:hAnsiTheme="minorHAnsi" w:cs="Arial"/>
          <w:color w:val="1F497D" w:themeColor="text2"/>
          <w:sz w:val="28"/>
          <w:szCs w:val="28"/>
        </w:rPr>
      </w:pPr>
      <w:r w:rsidRPr="00257C20">
        <w:rPr>
          <w:rFonts w:asciiTheme="minorHAnsi" w:hAnsiTheme="minorHAnsi" w:cs="Arial"/>
          <w:sz w:val="22"/>
          <w:szCs w:val="22"/>
        </w:rPr>
        <w:t xml:space="preserve">Figure 3. </w:t>
      </w:r>
      <w:r>
        <w:rPr>
          <w:rFonts w:asciiTheme="minorHAnsi" w:hAnsiTheme="minorHAnsi" w:cs="Arial"/>
          <w:sz w:val="22"/>
          <w:szCs w:val="22"/>
        </w:rPr>
        <w:tab/>
      </w:r>
      <w:r w:rsidRPr="00257C20">
        <w:rPr>
          <w:rFonts w:asciiTheme="minorHAnsi" w:hAnsiTheme="minorHAnsi" w:cs="Arial"/>
          <w:sz w:val="22"/>
          <w:szCs w:val="22"/>
        </w:rPr>
        <w:t xml:space="preserve">Annual ODA Commitments (both bilateral and multilateral) in Africa: </w:t>
      </w:r>
      <w:r w:rsidR="0088171C">
        <w:rPr>
          <w:rFonts w:asciiTheme="minorHAnsi" w:hAnsiTheme="minorHAnsi" w:cs="Arial"/>
          <w:sz w:val="22"/>
          <w:szCs w:val="22"/>
        </w:rPr>
        <w:tab/>
      </w:r>
      <w:r w:rsidR="00167598">
        <w:rPr>
          <w:rFonts w:asciiTheme="minorHAnsi" w:hAnsiTheme="minorHAnsi" w:cs="Arial"/>
          <w:sz w:val="22"/>
          <w:szCs w:val="22"/>
        </w:rPr>
        <w:t>13</w:t>
      </w:r>
    </w:p>
    <w:p w:rsidR="00257C20" w:rsidRPr="00257C20" w:rsidRDefault="00257C20" w:rsidP="00257C20">
      <w:pPr>
        <w:autoSpaceDE w:val="0"/>
        <w:autoSpaceDN w:val="0"/>
        <w:adjustRightInd w:val="0"/>
        <w:ind w:left="720" w:firstLine="720"/>
        <w:rPr>
          <w:rFonts w:asciiTheme="minorHAnsi" w:hAnsiTheme="minorHAnsi" w:cs="Arial"/>
          <w:color w:val="1F497D" w:themeColor="text2"/>
          <w:sz w:val="28"/>
          <w:szCs w:val="28"/>
        </w:rPr>
      </w:pPr>
      <w:r w:rsidRPr="00257C20">
        <w:rPr>
          <w:rFonts w:asciiTheme="minorHAnsi" w:hAnsiTheme="minorHAnsi" w:cs="Arial"/>
          <w:sz w:val="22"/>
          <w:szCs w:val="22"/>
        </w:rPr>
        <w:t>Overall Trends and Share Allocated to Agriculture, Forestry &amp; Fishing</w:t>
      </w:r>
    </w:p>
    <w:p w:rsidR="009D13F9" w:rsidRPr="009D13F9" w:rsidRDefault="009D13F9" w:rsidP="009D13F9">
      <w:pPr>
        <w:rPr>
          <w:rFonts w:asciiTheme="minorHAnsi" w:hAnsiTheme="minorHAnsi" w:cs="Arial"/>
          <w:sz w:val="22"/>
          <w:szCs w:val="22"/>
        </w:rPr>
      </w:pPr>
      <w:r w:rsidRPr="009D13F9">
        <w:rPr>
          <w:rFonts w:asciiTheme="minorHAnsi" w:hAnsiTheme="minorHAnsi" w:cs="Arial"/>
          <w:sz w:val="22"/>
          <w:szCs w:val="22"/>
        </w:rPr>
        <w:t xml:space="preserve">Figure 4. </w:t>
      </w:r>
      <w:r>
        <w:rPr>
          <w:rFonts w:asciiTheme="minorHAnsi" w:hAnsiTheme="minorHAnsi" w:cs="Arial"/>
          <w:sz w:val="22"/>
          <w:szCs w:val="22"/>
        </w:rPr>
        <w:tab/>
      </w:r>
      <w:r w:rsidRPr="009D13F9">
        <w:rPr>
          <w:rFonts w:asciiTheme="minorHAnsi" w:hAnsiTheme="minorHAnsi" w:cs="Arial"/>
          <w:sz w:val="22"/>
          <w:szCs w:val="22"/>
        </w:rPr>
        <w:t>Annual ODA Commitments to Agriculture, Forestry &amp; Fishing in Africa:</w:t>
      </w:r>
      <w:r>
        <w:rPr>
          <w:rFonts w:asciiTheme="minorHAnsi" w:hAnsiTheme="minorHAnsi" w:cs="Arial"/>
          <w:sz w:val="22"/>
          <w:szCs w:val="22"/>
        </w:rPr>
        <w:t xml:space="preserve"> </w:t>
      </w:r>
      <w:r>
        <w:rPr>
          <w:rFonts w:asciiTheme="minorHAnsi" w:hAnsiTheme="minorHAnsi" w:cs="Arial"/>
          <w:sz w:val="22"/>
          <w:szCs w:val="22"/>
        </w:rPr>
        <w:tab/>
      </w:r>
      <w:r w:rsidR="00167598">
        <w:rPr>
          <w:rFonts w:asciiTheme="minorHAnsi" w:hAnsiTheme="minorHAnsi" w:cs="Arial"/>
          <w:sz w:val="22"/>
          <w:szCs w:val="22"/>
        </w:rPr>
        <w:t>14</w:t>
      </w:r>
    </w:p>
    <w:p w:rsidR="009D13F9" w:rsidRPr="009D13F9" w:rsidRDefault="009D13F9" w:rsidP="009D13F9">
      <w:pPr>
        <w:autoSpaceDE w:val="0"/>
        <w:autoSpaceDN w:val="0"/>
        <w:adjustRightInd w:val="0"/>
        <w:ind w:left="720" w:firstLine="720"/>
        <w:rPr>
          <w:rFonts w:asciiTheme="minorHAnsi" w:hAnsiTheme="minorHAnsi" w:cs="Arial"/>
          <w:bCs/>
          <w:sz w:val="22"/>
          <w:szCs w:val="22"/>
          <w:lang w:eastAsia="en-GB"/>
        </w:rPr>
      </w:pPr>
      <w:r w:rsidRPr="009D13F9">
        <w:rPr>
          <w:rFonts w:asciiTheme="minorHAnsi" w:hAnsiTheme="minorHAnsi" w:cs="Arial"/>
          <w:sz w:val="22"/>
          <w:szCs w:val="22"/>
        </w:rPr>
        <w:t>Breakdown by Sources of Financing</w:t>
      </w:r>
    </w:p>
    <w:p w:rsidR="00C530F4" w:rsidRPr="00C530F4" w:rsidRDefault="00C530F4" w:rsidP="00C530F4">
      <w:pPr>
        <w:rPr>
          <w:rFonts w:asciiTheme="minorHAnsi" w:hAnsiTheme="minorHAnsi" w:cs="Arial"/>
          <w:sz w:val="22"/>
          <w:szCs w:val="22"/>
        </w:rPr>
      </w:pPr>
      <w:r w:rsidRPr="00C530F4">
        <w:rPr>
          <w:rFonts w:asciiTheme="minorHAnsi" w:hAnsiTheme="minorHAnsi" w:cs="Arial"/>
          <w:sz w:val="22"/>
          <w:szCs w:val="22"/>
        </w:rPr>
        <w:t xml:space="preserve">Figure 5. </w:t>
      </w:r>
      <w:r w:rsidRPr="00C530F4">
        <w:rPr>
          <w:rFonts w:asciiTheme="minorHAnsi" w:hAnsiTheme="minorHAnsi" w:cs="Arial"/>
          <w:sz w:val="22"/>
          <w:szCs w:val="22"/>
        </w:rPr>
        <w:tab/>
        <w:t>Trends in Agriculture ODA Sub-Sector Allocations in Africa</w:t>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15</w:t>
      </w:r>
    </w:p>
    <w:p w:rsidR="005226D8" w:rsidRPr="005226D8" w:rsidRDefault="005226D8" w:rsidP="005226D8">
      <w:pPr>
        <w:autoSpaceDE w:val="0"/>
        <w:autoSpaceDN w:val="0"/>
        <w:adjustRightInd w:val="0"/>
        <w:rPr>
          <w:rFonts w:asciiTheme="minorHAnsi" w:hAnsiTheme="minorHAnsi" w:cs="Arial"/>
          <w:sz w:val="22"/>
          <w:szCs w:val="22"/>
        </w:rPr>
      </w:pPr>
      <w:r w:rsidRPr="005226D8">
        <w:rPr>
          <w:rFonts w:asciiTheme="minorHAnsi" w:hAnsiTheme="minorHAnsi" w:cs="Arial"/>
          <w:sz w:val="22"/>
          <w:szCs w:val="22"/>
        </w:rPr>
        <w:t xml:space="preserve">Figure </w:t>
      </w:r>
      <w:r w:rsidR="00C530F4">
        <w:rPr>
          <w:rFonts w:asciiTheme="minorHAnsi" w:hAnsiTheme="minorHAnsi" w:cs="Arial"/>
          <w:sz w:val="22"/>
          <w:szCs w:val="22"/>
        </w:rPr>
        <w:t>5</w:t>
      </w:r>
      <w:r w:rsidRPr="005226D8">
        <w:rPr>
          <w:rFonts w:asciiTheme="minorHAnsi" w:hAnsiTheme="minorHAnsi" w:cs="Arial"/>
          <w:sz w:val="22"/>
          <w:szCs w:val="22"/>
        </w:rPr>
        <w:t>.</w:t>
      </w:r>
      <w:r w:rsidRPr="005226D8">
        <w:rPr>
          <w:rFonts w:asciiTheme="minorHAnsi" w:hAnsiTheme="minorHAnsi" w:cs="Arial"/>
          <w:sz w:val="22"/>
          <w:szCs w:val="22"/>
        </w:rPr>
        <w:tab/>
        <w:t xml:space="preserve">Official Development Assistance (ODA) from DAC Countries </w:t>
      </w:r>
      <w:r>
        <w:rPr>
          <w:rFonts w:asciiTheme="minorHAnsi" w:hAnsiTheme="minorHAnsi" w:cs="Arial"/>
          <w:sz w:val="22"/>
          <w:szCs w:val="22"/>
        </w:rPr>
        <w:tab/>
      </w:r>
      <w:r>
        <w:rPr>
          <w:rFonts w:asciiTheme="minorHAnsi" w:hAnsiTheme="minorHAnsi" w:cs="Arial"/>
          <w:sz w:val="22"/>
          <w:szCs w:val="22"/>
        </w:rPr>
        <w:tab/>
      </w:r>
      <w:r w:rsidR="00167598">
        <w:rPr>
          <w:rFonts w:asciiTheme="minorHAnsi" w:hAnsiTheme="minorHAnsi" w:cs="Arial"/>
          <w:sz w:val="22"/>
          <w:szCs w:val="22"/>
        </w:rPr>
        <w:t>16</w:t>
      </w:r>
    </w:p>
    <w:p w:rsidR="00257C20" w:rsidRDefault="005226D8" w:rsidP="005226D8">
      <w:pPr>
        <w:autoSpaceDE w:val="0"/>
        <w:autoSpaceDN w:val="0"/>
        <w:adjustRightInd w:val="0"/>
        <w:ind w:left="720" w:firstLine="720"/>
        <w:rPr>
          <w:rFonts w:asciiTheme="minorHAnsi" w:hAnsiTheme="minorHAnsi" w:cs="Arial"/>
          <w:sz w:val="22"/>
          <w:szCs w:val="22"/>
        </w:rPr>
      </w:pPr>
      <w:r w:rsidRPr="005226D8">
        <w:rPr>
          <w:rFonts w:asciiTheme="minorHAnsi" w:hAnsiTheme="minorHAnsi" w:cs="Arial"/>
          <w:sz w:val="22"/>
          <w:szCs w:val="22"/>
        </w:rPr>
        <w:t>to African Agriculture, Forestry and Fishing (AFF), 2011 in USD millions</w:t>
      </w:r>
    </w:p>
    <w:p w:rsidR="00B60E0C" w:rsidRPr="00B60E0C" w:rsidRDefault="00B60E0C" w:rsidP="00B60E0C">
      <w:pPr>
        <w:rPr>
          <w:rFonts w:asciiTheme="minorHAnsi" w:hAnsiTheme="minorHAnsi" w:cs="Arial"/>
          <w:sz w:val="22"/>
          <w:szCs w:val="22"/>
        </w:rPr>
      </w:pPr>
      <w:r w:rsidRPr="00B60E0C">
        <w:rPr>
          <w:rFonts w:asciiTheme="minorHAnsi" w:hAnsiTheme="minorHAnsi" w:cs="Arial"/>
          <w:sz w:val="22"/>
          <w:szCs w:val="22"/>
        </w:rPr>
        <w:t xml:space="preserve">Figure </w:t>
      </w:r>
      <w:r w:rsidR="00C530F4">
        <w:rPr>
          <w:rFonts w:asciiTheme="minorHAnsi" w:hAnsiTheme="minorHAnsi" w:cs="Arial"/>
          <w:sz w:val="22"/>
          <w:szCs w:val="22"/>
        </w:rPr>
        <w:t>6</w:t>
      </w:r>
      <w:r w:rsidRPr="00B60E0C">
        <w:rPr>
          <w:rFonts w:asciiTheme="minorHAnsi" w:hAnsiTheme="minorHAnsi" w:cs="Arial"/>
          <w:sz w:val="22"/>
          <w:szCs w:val="22"/>
        </w:rPr>
        <w:t xml:space="preserve">. </w:t>
      </w:r>
      <w:r w:rsidRPr="00B60E0C">
        <w:rPr>
          <w:rFonts w:asciiTheme="minorHAnsi" w:hAnsiTheme="minorHAnsi" w:cs="Arial"/>
          <w:sz w:val="22"/>
          <w:szCs w:val="22"/>
        </w:rPr>
        <w:tab/>
        <w:t xml:space="preserve">Non-DAC donors of bilateral ODA to the Agriculture, Forestry </w:t>
      </w:r>
      <w:r>
        <w:rPr>
          <w:rFonts w:asciiTheme="minorHAnsi" w:hAnsiTheme="minorHAnsi" w:cs="Arial"/>
          <w:sz w:val="22"/>
          <w:szCs w:val="22"/>
        </w:rPr>
        <w:tab/>
      </w:r>
      <w:r>
        <w:rPr>
          <w:rFonts w:asciiTheme="minorHAnsi" w:hAnsiTheme="minorHAnsi" w:cs="Arial"/>
          <w:sz w:val="22"/>
          <w:szCs w:val="22"/>
        </w:rPr>
        <w:tab/>
        <w:t>2</w:t>
      </w:r>
      <w:r w:rsidR="00167598">
        <w:rPr>
          <w:rFonts w:asciiTheme="minorHAnsi" w:hAnsiTheme="minorHAnsi" w:cs="Arial"/>
          <w:sz w:val="22"/>
          <w:szCs w:val="22"/>
        </w:rPr>
        <w:t>0</w:t>
      </w:r>
    </w:p>
    <w:p w:rsidR="00B60E0C" w:rsidRPr="00B60E0C" w:rsidRDefault="00B60E0C" w:rsidP="00B60E0C">
      <w:pPr>
        <w:autoSpaceDE w:val="0"/>
        <w:autoSpaceDN w:val="0"/>
        <w:adjustRightInd w:val="0"/>
        <w:ind w:left="720" w:firstLine="720"/>
        <w:rPr>
          <w:rFonts w:asciiTheme="minorHAnsi" w:hAnsiTheme="minorHAnsi" w:cs="Arial"/>
          <w:color w:val="1F497D" w:themeColor="text2"/>
          <w:sz w:val="28"/>
          <w:szCs w:val="28"/>
        </w:rPr>
      </w:pPr>
      <w:r w:rsidRPr="00B60E0C">
        <w:rPr>
          <w:rFonts w:asciiTheme="minorHAnsi" w:hAnsiTheme="minorHAnsi" w:cs="Arial"/>
          <w:sz w:val="22"/>
          <w:szCs w:val="22"/>
        </w:rPr>
        <w:t>and Fishing sector in Africa</w:t>
      </w:r>
    </w:p>
    <w:p w:rsidR="00EC60FF" w:rsidRPr="00EC60FF" w:rsidRDefault="00EC60FF" w:rsidP="00EC60FF">
      <w:pPr>
        <w:rPr>
          <w:rFonts w:asciiTheme="minorHAnsi" w:hAnsiTheme="minorHAnsi" w:cs="Arial"/>
          <w:sz w:val="22"/>
          <w:szCs w:val="22"/>
        </w:rPr>
      </w:pPr>
      <w:r w:rsidRPr="00EC60FF">
        <w:rPr>
          <w:rFonts w:asciiTheme="minorHAnsi" w:hAnsiTheme="minorHAnsi" w:cs="Arial"/>
          <w:sz w:val="22"/>
          <w:szCs w:val="22"/>
        </w:rPr>
        <w:t xml:space="preserve">Figure </w:t>
      </w:r>
      <w:r w:rsidR="00C530F4">
        <w:rPr>
          <w:rFonts w:asciiTheme="minorHAnsi" w:hAnsiTheme="minorHAnsi" w:cs="Arial"/>
          <w:sz w:val="22"/>
          <w:szCs w:val="22"/>
        </w:rPr>
        <w:t>8.</w:t>
      </w:r>
      <w:r w:rsidRPr="00EC60FF">
        <w:rPr>
          <w:rFonts w:asciiTheme="minorHAnsi" w:hAnsiTheme="minorHAnsi" w:cs="Arial"/>
          <w:sz w:val="22"/>
          <w:szCs w:val="22"/>
        </w:rPr>
        <w:t xml:space="preserve"> </w:t>
      </w:r>
      <w:r w:rsidRPr="00EC60FF">
        <w:rPr>
          <w:rFonts w:asciiTheme="minorHAnsi" w:hAnsiTheme="minorHAnsi" w:cs="Arial"/>
          <w:sz w:val="22"/>
          <w:szCs w:val="22"/>
        </w:rPr>
        <w:tab/>
        <w:t xml:space="preserve">Brazilian </w:t>
      </w:r>
      <w:r w:rsidR="00206D71">
        <w:rPr>
          <w:rFonts w:asciiTheme="minorHAnsi" w:hAnsiTheme="minorHAnsi" w:cs="Arial"/>
          <w:sz w:val="22"/>
          <w:szCs w:val="22"/>
        </w:rPr>
        <w:t>B</w:t>
      </w:r>
      <w:r w:rsidRPr="00EC60FF">
        <w:rPr>
          <w:rFonts w:asciiTheme="minorHAnsi" w:hAnsiTheme="minorHAnsi" w:cs="Arial"/>
          <w:sz w:val="22"/>
          <w:szCs w:val="22"/>
        </w:rPr>
        <w:t xml:space="preserve">ilateral ODA </w:t>
      </w:r>
      <w:r w:rsidR="00206D71">
        <w:rPr>
          <w:rFonts w:asciiTheme="minorHAnsi" w:hAnsiTheme="minorHAnsi" w:cs="Arial"/>
          <w:sz w:val="22"/>
          <w:szCs w:val="22"/>
        </w:rPr>
        <w:t>C</w:t>
      </w:r>
      <w:r w:rsidRPr="00EC60FF">
        <w:rPr>
          <w:rFonts w:asciiTheme="minorHAnsi" w:hAnsiTheme="minorHAnsi" w:cs="Arial"/>
          <w:sz w:val="22"/>
          <w:szCs w:val="22"/>
        </w:rPr>
        <w:t xml:space="preserve">ommitments to Agriculture, Forestry and </w:t>
      </w:r>
      <w:r>
        <w:rPr>
          <w:rFonts w:asciiTheme="minorHAnsi" w:hAnsiTheme="minorHAnsi" w:cs="Arial"/>
          <w:sz w:val="22"/>
          <w:szCs w:val="22"/>
        </w:rPr>
        <w:tab/>
        <w:t>2</w:t>
      </w:r>
      <w:r w:rsidR="00167598">
        <w:rPr>
          <w:rFonts w:asciiTheme="minorHAnsi" w:hAnsiTheme="minorHAnsi" w:cs="Arial"/>
          <w:sz w:val="22"/>
          <w:szCs w:val="22"/>
        </w:rPr>
        <w:t>1</w:t>
      </w:r>
    </w:p>
    <w:p w:rsidR="00EC60FF" w:rsidRPr="00EC60FF" w:rsidRDefault="00EC60FF" w:rsidP="00EC60FF">
      <w:pPr>
        <w:autoSpaceDE w:val="0"/>
        <w:autoSpaceDN w:val="0"/>
        <w:adjustRightInd w:val="0"/>
        <w:ind w:left="720" w:firstLine="720"/>
        <w:rPr>
          <w:rFonts w:asciiTheme="minorHAnsi" w:hAnsiTheme="minorHAnsi" w:cs="Arial"/>
          <w:sz w:val="22"/>
          <w:szCs w:val="22"/>
        </w:rPr>
      </w:pPr>
      <w:r w:rsidRPr="00EC60FF">
        <w:rPr>
          <w:rFonts w:asciiTheme="minorHAnsi" w:hAnsiTheme="minorHAnsi" w:cs="Arial"/>
          <w:sz w:val="22"/>
          <w:szCs w:val="22"/>
        </w:rPr>
        <w:t xml:space="preserve">Fishing in African countries (2010, in USD) </w:t>
      </w:r>
    </w:p>
    <w:p w:rsidR="0088171C" w:rsidRDefault="0088171C" w:rsidP="00E87EF6">
      <w:pPr>
        <w:autoSpaceDE w:val="0"/>
        <w:autoSpaceDN w:val="0"/>
        <w:adjustRightInd w:val="0"/>
        <w:rPr>
          <w:rFonts w:asciiTheme="minorHAnsi" w:hAnsiTheme="minorHAnsi" w:cs="Arial"/>
          <w:sz w:val="22"/>
          <w:szCs w:val="22"/>
        </w:rPr>
      </w:pPr>
      <w:r w:rsidRPr="0088171C">
        <w:rPr>
          <w:rFonts w:asciiTheme="minorHAnsi" w:hAnsiTheme="minorHAnsi" w:cs="Arial"/>
          <w:sz w:val="22"/>
          <w:szCs w:val="22"/>
        </w:rPr>
        <w:t xml:space="preserve">Figure </w:t>
      </w:r>
      <w:r w:rsidR="00C530F4">
        <w:rPr>
          <w:rFonts w:asciiTheme="minorHAnsi" w:hAnsiTheme="minorHAnsi" w:cs="Arial"/>
          <w:sz w:val="22"/>
          <w:szCs w:val="22"/>
        </w:rPr>
        <w:t>9</w:t>
      </w:r>
      <w:r w:rsidRPr="0088171C">
        <w:rPr>
          <w:rFonts w:asciiTheme="minorHAnsi" w:hAnsiTheme="minorHAnsi" w:cs="Arial"/>
          <w:sz w:val="22"/>
          <w:szCs w:val="22"/>
        </w:rPr>
        <w:t xml:space="preserve">. </w:t>
      </w:r>
      <w:r>
        <w:rPr>
          <w:rFonts w:asciiTheme="minorHAnsi" w:hAnsiTheme="minorHAnsi" w:cs="Arial"/>
          <w:sz w:val="22"/>
          <w:szCs w:val="22"/>
        </w:rPr>
        <w:tab/>
      </w:r>
      <w:r w:rsidRPr="0088171C">
        <w:rPr>
          <w:rFonts w:asciiTheme="minorHAnsi" w:hAnsiTheme="minorHAnsi" w:cs="Arial"/>
          <w:sz w:val="22"/>
          <w:szCs w:val="22"/>
        </w:rPr>
        <w:t xml:space="preserve">Multilateral Commitments to African Agriculture, Forestry &amp; Fishing </w:t>
      </w:r>
      <w:r>
        <w:rPr>
          <w:rFonts w:asciiTheme="minorHAnsi" w:hAnsiTheme="minorHAnsi" w:cs="Arial"/>
          <w:sz w:val="22"/>
          <w:szCs w:val="22"/>
        </w:rPr>
        <w:tab/>
        <w:t>2</w:t>
      </w:r>
      <w:r w:rsidR="00167598">
        <w:rPr>
          <w:rFonts w:asciiTheme="minorHAnsi" w:hAnsiTheme="minorHAnsi" w:cs="Arial"/>
          <w:sz w:val="22"/>
          <w:szCs w:val="22"/>
        </w:rPr>
        <w:t>3</w:t>
      </w:r>
    </w:p>
    <w:p w:rsidR="0088171C" w:rsidRDefault="00292B8E" w:rsidP="00E87EF6">
      <w:pPr>
        <w:autoSpaceDE w:val="0"/>
        <w:autoSpaceDN w:val="0"/>
        <w:adjustRightInd w:val="0"/>
        <w:rPr>
          <w:rFonts w:asciiTheme="minorHAnsi" w:hAnsiTheme="minorHAnsi" w:cs="Arial"/>
          <w:sz w:val="22"/>
          <w:szCs w:val="22"/>
        </w:rPr>
      </w:pPr>
      <w:r w:rsidRPr="00292B8E">
        <w:rPr>
          <w:rFonts w:asciiTheme="minorHAnsi" w:hAnsiTheme="minorHAnsi" w:cs="Arial"/>
          <w:sz w:val="22"/>
          <w:szCs w:val="22"/>
        </w:rPr>
        <w:t xml:space="preserve">Figure </w:t>
      </w:r>
      <w:r w:rsidR="00C530F4">
        <w:rPr>
          <w:rFonts w:asciiTheme="minorHAnsi" w:hAnsiTheme="minorHAnsi" w:cs="Arial"/>
          <w:sz w:val="22"/>
          <w:szCs w:val="22"/>
        </w:rPr>
        <w:t>10</w:t>
      </w:r>
      <w:r w:rsidRPr="00292B8E">
        <w:rPr>
          <w:rFonts w:asciiTheme="minorHAnsi" w:hAnsiTheme="minorHAnsi" w:cs="Arial"/>
          <w:sz w:val="22"/>
          <w:szCs w:val="22"/>
        </w:rPr>
        <w:t xml:space="preserve">. </w:t>
      </w:r>
      <w:r w:rsidRPr="00292B8E">
        <w:rPr>
          <w:rFonts w:asciiTheme="minorHAnsi" w:hAnsiTheme="minorHAnsi" w:cs="Arial"/>
          <w:sz w:val="22"/>
          <w:szCs w:val="22"/>
        </w:rPr>
        <w:tab/>
        <w:t xml:space="preserve">GAFSP – Amount pledged vs. amount received per contributor </w:t>
      </w:r>
      <w:r w:rsidRPr="00292B8E">
        <w:rPr>
          <w:rFonts w:asciiTheme="minorHAnsi" w:hAnsiTheme="minorHAnsi" w:cs="Arial"/>
          <w:sz w:val="22"/>
          <w:szCs w:val="22"/>
        </w:rPr>
        <w:tab/>
      </w:r>
      <w:r w:rsidRPr="00292B8E">
        <w:rPr>
          <w:rFonts w:asciiTheme="minorHAnsi" w:hAnsiTheme="minorHAnsi" w:cs="Arial"/>
          <w:sz w:val="22"/>
          <w:szCs w:val="22"/>
        </w:rPr>
        <w:tab/>
        <w:t>2</w:t>
      </w:r>
      <w:r w:rsidR="00167598">
        <w:rPr>
          <w:rFonts w:asciiTheme="minorHAnsi" w:hAnsiTheme="minorHAnsi" w:cs="Arial"/>
          <w:sz w:val="22"/>
          <w:szCs w:val="22"/>
        </w:rPr>
        <w:t>6</w:t>
      </w:r>
    </w:p>
    <w:p w:rsidR="00BE2063" w:rsidRPr="00BE2063" w:rsidRDefault="00BE2063" w:rsidP="00BE2063">
      <w:pPr>
        <w:autoSpaceDE w:val="0"/>
        <w:autoSpaceDN w:val="0"/>
        <w:adjustRightInd w:val="0"/>
        <w:spacing w:line="276" w:lineRule="auto"/>
        <w:rPr>
          <w:rFonts w:asciiTheme="minorHAnsi" w:hAnsiTheme="minorHAnsi"/>
          <w:sz w:val="22"/>
          <w:szCs w:val="22"/>
        </w:rPr>
      </w:pPr>
      <w:r w:rsidRPr="00BE2063">
        <w:rPr>
          <w:rFonts w:asciiTheme="minorHAnsi" w:hAnsiTheme="minorHAnsi"/>
          <w:bCs/>
          <w:sz w:val="22"/>
          <w:szCs w:val="22"/>
        </w:rPr>
        <w:t>Figure 1</w:t>
      </w:r>
      <w:r w:rsidR="00C530F4">
        <w:rPr>
          <w:rFonts w:asciiTheme="minorHAnsi" w:hAnsiTheme="minorHAnsi"/>
          <w:bCs/>
          <w:sz w:val="22"/>
          <w:szCs w:val="22"/>
        </w:rPr>
        <w:t>1</w:t>
      </w:r>
      <w:r w:rsidRPr="00BE2063">
        <w:rPr>
          <w:rFonts w:asciiTheme="minorHAnsi" w:hAnsiTheme="minorHAnsi"/>
          <w:bCs/>
          <w:sz w:val="22"/>
          <w:szCs w:val="22"/>
        </w:rPr>
        <w:t xml:space="preserve">. </w:t>
      </w:r>
      <w:r w:rsidRPr="00BE2063">
        <w:rPr>
          <w:rFonts w:asciiTheme="minorHAnsi" w:hAnsiTheme="minorHAnsi"/>
          <w:bCs/>
          <w:sz w:val="22"/>
          <w:szCs w:val="22"/>
        </w:rPr>
        <w:tab/>
        <w:t>Investment in CAADP Pillars: What progress has been made?</w:t>
      </w:r>
      <w:r>
        <w:rPr>
          <w:rFonts w:asciiTheme="minorHAnsi" w:hAnsiTheme="minorHAnsi"/>
          <w:bCs/>
          <w:sz w:val="22"/>
          <w:szCs w:val="22"/>
        </w:rPr>
        <w:tab/>
      </w:r>
      <w:r>
        <w:rPr>
          <w:rFonts w:asciiTheme="minorHAnsi" w:hAnsiTheme="minorHAnsi"/>
          <w:bCs/>
          <w:sz w:val="22"/>
          <w:szCs w:val="22"/>
        </w:rPr>
        <w:tab/>
      </w:r>
      <w:r w:rsidR="00167598">
        <w:rPr>
          <w:rFonts w:asciiTheme="minorHAnsi" w:hAnsiTheme="minorHAnsi"/>
          <w:bCs/>
          <w:sz w:val="22"/>
          <w:szCs w:val="22"/>
        </w:rPr>
        <w:t>4</w:t>
      </w:r>
      <w:r>
        <w:rPr>
          <w:rFonts w:asciiTheme="minorHAnsi" w:hAnsiTheme="minorHAnsi"/>
          <w:bCs/>
          <w:sz w:val="22"/>
          <w:szCs w:val="22"/>
        </w:rPr>
        <w:t>2</w:t>
      </w:r>
    </w:p>
    <w:p w:rsidR="00BE2063" w:rsidRDefault="00BE2063" w:rsidP="004B2A93">
      <w:pPr>
        <w:rPr>
          <w:rFonts w:asciiTheme="minorHAnsi" w:hAnsiTheme="minorHAnsi" w:cs="Arial"/>
          <w:sz w:val="22"/>
          <w:szCs w:val="22"/>
        </w:rPr>
      </w:pPr>
      <w:r w:rsidRPr="00BE2063">
        <w:rPr>
          <w:rFonts w:asciiTheme="minorHAnsi" w:hAnsiTheme="minorHAnsi" w:cs="Arial"/>
          <w:sz w:val="22"/>
          <w:szCs w:val="22"/>
        </w:rPr>
        <w:t>Figure 1</w:t>
      </w:r>
      <w:r w:rsidR="00C530F4">
        <w:rPr>
          <w:rFonts w:asciiTheme="minorHAnsi" w:hAnsiTheme="minorHAnsi" w:cs="Arial"/>
          <w:sz w:val="22"/>
          <w:szCs w:val="22"/>
        </w:rPr>
        <w:t>2</w:t>
      </w:r>
      <w:r w:rsidRPr="00BE2063">
        <w:rPr>
          <w:rFonts w:asciiTheme="minorHAnsi" w:hAnsiTheme="minorHAnsi" w:cs="Arial"/>
          <w:sz w:val="22"/>
          <w:szCs w:val="22"/>
        </w:rPr>
        <w:t xml:space="preserve">. </w:t>
      </w:r>
      <w:r w:rsidRPr="00BE2063">
        <w:rPr>
          <w:rFonts w:asciiTheme="minorHAnsi" w:hAnsiTheme="minorHAnsi" w:cs="Arial"/>
          <w:sz w:val="22"/>
          <w:szCs w:val="22"/>
        </w:rPr>
        <w:tab/>
        <w:t>Analysis of Funding Gaps in a Selection of Country Investment Plans</w:t>
      </w:r>
      <w:r>
        <w:rPr>
          <w:rFonts w:asciiTheme="minorHAnsi" w:hAnsiTheme="minorHAnsi" w:cs="Arial"/>
          <w:sz w:val="22"/>
          <w:szCs w:val="22"/>
        </w:rPr>
        <w:tab/>
      </w:r>
      <w:r w:rsidR="00167598">
        <w:rPr>
          <w:rFonts w:asciiTheme="minorHAnsi" w:hAnsiTheme="minorHAnsi" w:cs="Arial"/>
          <w:sz w:val="22"/>
          <w:szCs w:val="22"/>
        </w:rPr>
        <w:t>43</w:t>
      </w:r>
    </w:p>
    <w:p w:rsidR="004B2A93" w:rsidRDefault="004B2A93" w:rsidP="004B2A93">
      <w:pPr>
        <w:rPr>
          <w:rFonts w:ascii="Calibri" w:hAnsi="Calibri"/>
          <w:sz w:val="22"/>
          <w:szCs w:val="22"/>
        </w:rPr>
      </w:pPr>
      <w:r w:rsidRPr="004B2A93">
        <w:rPr>
          <w:rFonts w:ascii="Calibri" w:hAnsi="Calibri"/>
          <w:sz w:val="22"/>
          <w:szCs w:val="22"/>
        </w:rPr>
        <w:t>Figure 1</w:t>
      </w:r>
      <w:r w:rsidR="00C530F4">
        <w:rPr>
          <w:rFonts w:ascii="Calibri" w:hAnsi="Calibri"/>
          <w:sz w:val="22"/>
          <w:szCs w:val="22"/>
        </w:rPr>
        <w:t>3</w:t>
      </w:r>
      <w:r w:rsidRPr="004B2A93">
        <w:rPr>
          <w:rFonts w:ascii="Calibri" w:hAnsi="Calibri"/>
          <w:sz w:val="22"/>
          <w:szCs w:val="22"/>
        </w:rPr>
        <w:t xml:space="preserve">. </w:t>
      </w:r>
      <w:r w:rsidRPr="004B2A93">
        <w:rPr>
          <w:rFonts w:ascii="Calibri" w:hAnsi="Calibri"/>
          <w:sz w:val="22"/>
          <w:szCs w:val="22"/>
        </w:rPr>
        <w:tab/>
        <w:t xml:space="preserve">Average ODA Commitments to the Agriculture, Forestry and Fishing </w:t>
      </w:r>
      <w:r>
        <w:rPr>
          <w:rFonts w:ascii="Calibri" w:hAnsi="Calibri"/>
          <w:sz w:val="22"/>
          <w:szCs w:val="22"/>
        </w:rPr>
        <w:tab/>
      </w:r>
      <w:r w:rsidR="00167598">
        <w:rPr>
          <w:rFonts w:ascii="Calibri" w:hAnsi="Calibri"/>
          <w:sz w:val="22"/>
          <w:szCs w:val="22"/>
        </w:rPr>
        <w:t>44</w:t>
      </w:r>
    </w:p>
    <w:p w:rsidR="004B2A93" w:rsidRDefault="004B2A93" w:rsidP="004B2A93">
      <w:pPr>
        <w:ind w:left="720" w:firstLine="720"/>
        <w:rPr>
          <w:rFonts w:ascii="Calibri" w:hAnsi="Calibri"/>
          <w:sz w:val="22"/>
          <w:szCs w:val="22"/>
        </w:rPr>
      </w:pPr>
      <w:r w:rsidRPr="004B2A93">
        <w:rPr>
          <w:rFonts w:ascii="Calibri" w:hAnsi="Calibri"/>
          <w:sz w:val="22"/>
          <w:szCs w:val="22"/>
        </w:rPr>
        <w:t xml:space="preserve">Sector in African Countries with and without a CAADP Compact in 2011 </w:t>
      </w:r>
    </w:p>
    <w:p w:rsidR="004B2A93" w:rsidRPr="004B2A93" w:rsidRDefault="004B2A93" w:rsidP="004B2A93">
      <w:pPr>
        <w:rPr>
          <w:rFonts w:asciiTheme="minorHAnsi" w:hAnsiTheme="minorHAnsi"/>
          <w:sz w:val="22"/>
          <w:szCs w:val="22"/>
        </w:rPr>
      </w:pPr>
      <w:r w:rsidRPr="004B2A93">
        <w:rPr>
          <w:rFonts w:asciiTheme="minorHAnsi" w:hAnsiTheme="minorHAnsi"/>
          <w:sz w:val="22"/>
          <w:szCs w:val="22"/>
        </w:rPr>
        <w:t>Figure 1</w:t>
      </w:r>
      <w:r w:rsidR="00C530F4">
        <w:rPr>
          <w:rFonts w:asciiTheme="minorHAnsi" w:hAnsiTheme="minorHAnsi"/>
          <w:sz w:val="22"/>
          <w:szCs w:val="22"/>
        </w:rPr>
        <w:t>4</w:t>
      </w:r>
      <w:r w:rsidRPr="004B2A93">
        <w:rPr>
          <w:rFonts w:asciiTheme="minorHAnsi" w:hAnsiTheme="minorHAnsi"/>
          <w:sz w:val="22"/>
          <w:szCs w:val="22"/>
        </w:rPr>
        <w:t xml:space="preserve">. </w:t>
      </w:r>
      <w:r w:rsidRPr="004B2A93">
        <w:rPr>
          <w:rFonts w:asciiTheme="minorHAnsi" w:hAnsiTheme="minorHAnsi"/>
          <w:sz w:val="22"/>
          <w:szCs w:val="22"/>
        </w:rPr>
        <w:tab/>
        <w:t xml:space="preserve">Ghana: Total ODA </w:t>
      </w:r>
      <w:r w:rsidR="009C1B47">
        <w:rPr>
          <w:rFonts w:asciiTheme="minorHAnsi" w:hAnsiTheme="minorHAnsi"/>
          <w:sz w:val="22"/>
          <w:szCs w:val="22"/>
        </w:rPr>
        <w:t>C</w:t>
      </w:r>
      <w:r w:rsidRPr="004B2A93">
        <w:rPr>
          <w:rFonts w:asciiTheme="minorHAnsi" w:hAnsiTheme="minorHAnsi"/>
          <w:sz w:val="22"/>
          <w:szCs w:val="22"/>
        </w:rPr>
        <w:t xml:space="preserve">ommitments (bilateral and multilateral) </w:t>
      </w:r>
      <w:r>
        <w:rPr>
          <w:rFonts w:asciiTheme="minorHAnsi" w:hAnsiTheme="minorHAnsi"/>
          <w:sz w:val="22"/>
          <w:szCs w:val="22"/>
        </w:rPr>
        <w:tab/>
      </w:r>
      <w:r>
        <w:rPr>
          <w:rFonts w:asciiTheme="minorHAnsi" w:hAnsiTheme="minorHAnsi"/>
          <w:sz w:val="22"/>
          <w:szCs w:val="22"/>
        </w:rPr>
        <w:tab/>
      </w:r>
      <w:r w:rsidR="00167598">
        <w:rPr>
          <w:rFonts w:asciiTheme="minorHAnsi" w:hAnsiTheme="minorHAnsi"/>
          <w:sz w:val="22"/>
          <w:szCs w:val="22"/>
        </w:rPr>
        <w:t>47</w:t>
      </w:r>
    </w:p>
    <w:p w:rsidR="004B2A93" w:rsidRPr="004B2A93" w:rsidRDefault="004B2A93" w:rsidP="004B2A93">
      <w:pPr>
        <w:ind w:left="720" w:firstLine="720"/>
        <w:rPr>
          <w:rFonts w:asciiTheme="minorHAnsi" w:hAnsiTheme="minorHAnsi" w:cs="Arial"/>
          <w:sz w:val="22"/>
          <w:szCs w:val="22"/>
        </w:rPr>
      </w:pPr>
      <w:r w:rsidRPr="004B2A93">
        <w:rPr>
          <w:rFonts w:asciiTheme="minorHAnsi" w:hAnsiTheme="minorHAnsi"/>
          <w:sz w:val="22"/>
          <w:szCs w:val="22"/>
        </w:rPr>
        <w:t xml:space="preserve">to the </w:t>
      </w:r>
      <w:r w:rsidR="009C1B47">
        <w:rPr>
          <w:rFonts w:asciiTheme="minorHAnsi" w:hAnsiTheme="minorHAnsi"/>
          <w:sz w:val="22"/>
          <w:szCs w:val="22"/>
        </w:rPr>
        <w:t>A</w:t>
      </w:r>
      <w:r w:rsidRPr="004B2A93">
        <w:rPr>
          <w:rFonts w:asciiTheme="minorHAnsi" w:hAnsiTheme="minorHAnsi"/>
          <w:sz w:val="22"/>
          <w:szCs w:val="22"/>
        </w:rPr>
        <w:t xml:space="preserve">griculture, </w:t>
      </w:r>
      <w:r w:rsidR="009C1B47">
        <w:rPr>
          <w:rFonts w:asciiTheme="minorHAnsi" w:hAnsiTheme="minorHAnsi"/>
          <w:sz w:val="22"/>
          <w:szCs w:val="22"/>
        </w:rPr>
        <w:t>F</w:t>
      </w:r>
      <w:r w:rsidRPr="004B2A93">
        <w:rPr>
          <w:rFonts w:asciiTheme="minorHAnsi" w:hAnsiTheme="minorHAnsi"/>
          <w:sz w:val="22"/>
          <w:szCs w:val="22"/>
        </w:rPr>
        <w:t xml:space="preserve">orestry and </w:t>
      </w:r>
      <w:r w:rsidR="009C1B47">
        <w:rPr>
          <w:rFonts w:asciiTheme="minorHAnsi" w:hAnsiTheme="minorHAnsi"/>
          <w:sz w:val="22"/>
          <w:szCs w:val="22"/>
        </w:rPr>
        <w:t>F</w:t>
      </w:r>
      <w:r w:rsidRPr="004B2A93">
        <w:rPr>
          <w:rFonts w:asciiTheme="minorHAnsi" w:hAnsiTheme="minorHAnsi"/>
          <w:sz w:val="22"/>
          <w:szCs w:val="22"/>
        </w:rPr>
        <w:t xml:space="preserve">ishing </w:t>
      </w:r>
      <w:r w:rsidR="009C1B47">
        <w:rPr>
          <w:rFonts w:asciiTheme="minorHAnsi" w:hAnsiTheme="minorHAnsi"/>
          <w:sz w:val="22"/>
          <w:szCs w:val="22"/>
        </w:rPr>
        <w:t>S</w:t>
      </w:r>
      <w:r w:rsidRPr="004B2A93">
        <w:rPr>
          <w:rFonts w:asciiTheme="minorHAnsi" w:hAnsiTheme="minorHAnsi"/>
          <w:sz w:val="22"/>
          <w:szCs w:val="22"/>
        </w:rPr>
        <w:t>ector, 1995-2011</w:t>
      </w:r>
    </w:p>
    <w:p w:rsidR="00390B7B" w:rsidRPr="004B2A93" w:rsidRDefault="00390B7B" w:rsidP="00390B7B">
      <w:pPr>
        <w:rPr>
          <w:rFonts w:asciiTheme="minorHAnsi" w:hAnsiTheme="minorHAnsi"/>
          <w:sz w:val="22"/>
          <w:szCs w:val="22"/>
        </w:rPr>
      </w:pPr>
      <w:r w:rsidRPr="00390B7B">
        <w:rPr>
          <w:rFonts w:asciiTheme="minorHAnsi" w:hAnsiTheme="minorHAnsi"/>
          <w:sz w:val="22"/>
          <w:szCs w:val="22"/>
        </w:rPr>
        <w:t>Figure 1</w:t>
      </w:r>
      <w:r w:rsidR="00C530F4">
        <w:rPr>
          <w:rFonts w:asciiTheme="minorHAnsi" w:hAnsiTheme="minorHAnsi"/>
          <w:sz w:val="22"/>
          <w:szCs w:val="22"/>
        </w:rPr>
        <w:t>5</w:t>
      </w:r>
      <w:r w:rsidRPr="00390B7B">
        <w:rPr>
          <w:rFonts w:asciiTheme="minorHAnsi" w:hAnsiTheme="minorHAnsi"/>
          <w:sz w:val="22"/>
          <w:szCs w:val="22"/>
        </w:rPr>
        <w:t xml:space="preserve">. </w:t>
      </w:r>
      <w:r w:rsidRPr="00390B7B">
        <w:rPr>
          <w:rFonts w:asciiTheme="minorHAnsi" w:hAnsiTheme="minorHAnsi"/>
          <w:sz w:val="22"/>
          <w:szCs w:val="22"/>
        </w:rPr>
        <w:tab/>
        <w:t>Burkina Faso:</w:t>
      </w:r>
      <w:r w:rsidRPr="00FB3944">
        <w:rPr>
          <w:rFonts w:asciiTheme="minorHAnsi" w:hAnsiTheme="minorHAnsi"/>
          <w:b/>
          <w:sz w:val="22"/>
          <w:szCs w:val="22"/>
        </w:rPr>
        <w:t xml:space="preserve"> </w:t>
      </w:r>
      <w:r w:rsidRPr="004B2A93">
        <w:rPr>
          <w:rFonts w:asciiTheme="minorHAnsi" w:hAnsiTheme="minorHAnsi"/>
          <w:sz w:val="22"/>
          <w:szCs w:val="22"/>
        </w:rPr>
        <w:t xml:space="preserve">Total ODA </w:t>
      </w:r>
      <w:r>
        <w:rPr>
          <w:rFonts w:asciiTheme="minorHAnsi" w:hAnsiTheme="minorHAnsi"/>
          <w:sz w:val="22"/>
          <w:szCs w:val="22"/>
        </w:rPr>
        <w:t>C</w:t>
      </w:r>
      <w:r w:rsidRPr="004B2A93">
        <w:rPr>
          <w:rFonts w:asciiTheme="minorHAnsi" w:hAnsiTheme="minorHAnsi"/>
          <w:sz w:val="22"/>
          <w:szCs w:val="22"/>
        </w:rPr>
        <w:t xml:space="preserve">ommitments (bilateral and multilateral) </w:t>
      </w:r>
      <w:r>
        <w:rPr>
          <w:rFonts w:asciiTheme="minorHAnsi" w:hAnsiTheme="minorHAnsi"/>
          <w:sz w:val="22"/>
          <w:szCs w:val="22"/>
        </w:rPr>
        <w:tab/>
      </w:r>
      <w:r w:rsidR="00167598">
        <w:rPr>
          <w:rFonts w:asciiTheme="minorHAnsi" w:hAnsiTheme="minorHAnsi"/>
          <w:sz w:val="22"/>
          <w:szCs w:val="22"/>
        </w:rPr>
        <w:t>50</w:t>
      </w:r>
    </w:p>
    <w:p w:rsidR="00390B7B" w:rsidRPr="004B2A93" w:rsidRDefault="00390B7B" w:rsidP="00390B7B">
      <w:pPr>
        <w:ind w:left="720" w:firstLine="720"/>
        <w:rPr>
          <w:rFonts w:asciiTheme="minorHAnsi" w:hAnsiTheme="minorHAnsi" w:cs="Arial"/>
          <w:sz w:val="22"/>
          <w:szCs w:val="22"/>
        </w:rPr>
      </w:pPr>
      <w:r w:rsidRPr="004B2A93">
        <w:rPr>
          <w:rFonts w:asciiTheme="minorHAnsi" w:hAnsiTheme="minorHAnsi"/>
          <w:sz w:val="22"/>
          <w:szCs w:val="22"/>
        </w:rPr>
        <w:t xml:space="preserve">to the </w:t>
      </w:r>
      <w:r>
        <w:rPr>
          <w:rFonts w:asciiTheme="minorHAnsi" w:hAnsiTheme="minorHAnsi"/>
          <w:sz w:val="22"/>
          <w:szCs w:val="22"/>
        </w:rPr>
        <w:t>A</w:t>
      </w:r>
      <w:r w:rsidRPr="004B2A93">
        <w:rPr>
          <w:rFonts w:asciiTheme="minorHAnsi" w:hAnsiTheme="minorHAnsi"/>
          <w:sz w:val="22"/>
          <w:szCs w:val="22"/>
        </w:rPr>
        <w:t xml:space="preserve">griculture, </w:t>
      </w:r>
      <w:r>
        <w:rPr>
          <w:rFonts w:asciiTheme="minorHAnsi" w:hAnsiTheme="minorHAnsi"/>
          <w:sz w:val="22"/>
          <w:szCs w:val="22"/>
        </w:rPr>
        <w:t>F</w:t>
      </w:r>
      <w:r w:rsidRPr="004B2A93">
        <w:rPr>
          <w:rFonts w:asciiTheme="minorHAnsi" w:hAnsiTheme="minorHAnsi"/>
          <w:sz w:val="22"/>
          <w:szCs w:val="22"/>
        </w:rPr>
        <w:t xml:space="preserve">orestry and </w:t>
      </w:r>
      <w:r>
        <w:rPr>
          <w:rFonts w:asciiTheme="minorHAnsi" w:hAnsiTheme="minorHAnsi"/>
          <w:sz w:val="22"/>
          <w:szCs w:val="22"/>
        </w:rPr>
        <w:t>F</w:t>
      </w:r>
      <w:r w:rsidRPr="004B2A93">
        <w:rPr>
          <w:rFonts w:asciiTheme="minorHAnsi" w:hAnsiTheme="minorHAnsi"/>
          <w:sz w:val="22"/>
          <w:szCs w:val="22"/>
        </w:rPr>
        <w:t xml:space="preserve">ishing </w:t>
      </w:r>
      <w:r>
        <w:rPr>
          <w:rFonts w:asciiTheme="minorHAnsi" w:hAnsiTheme="minorHAnsi"/>
          <w:sz w:val="22"/>
          <w:szCs w:val="22"/>
        </w:rPr>
        <w:t>S</w:t>
      </w:r>
      <w:r w:rsidRPr="004B2A93">
        <w:rPr>
          <w:rFonts w:asciiTheme="minorHAnsi" w:hAnsiTheme="minorHAnsi"/>
          <w:sz w:val="22"/>
          <w:szCs w:val="22"/>
        </w:rPr>
        <w:t>ector, 1995-2011</w:t>
      </w:r>
    </w:p>
    <w:p w:rsidR="007869C3" w:rsidRPr="007869C3" w:rsidRDefault="007869C3" w:rsidP="007869C3">
      <w:pPr>
        <w:rPr>
          <w:rFonts w:asciiTheme="minorHAnsi" w:hAnsiTheme="minorHAnsi"/>
          <w:sz w:val="22"/>
          <w:szCs w:val="22"/>
        </w:rPr>
      </w:pPr>
      <w:r w:rsidRPr="007869C3">
        <w:rPr>
          <w:rFonts w:asciiTheme="minorHAnsi" w:hAnsiTheme="minorHAnsi"/>
          <w:sz w:val="22"/>
          <w:szCs w:val="22"/>
        </w:rPr>
        <w:t>Figure 1</w:t>
      </w:r>
      <w:r w:rsidR="00C530F4">
        <w:rPr>
          <w:rFonts w:asciiTheme="minorHAnsi" w:hAnsiTheme="minorHAnsi"/>
          <w:sz w:val="22"/>
          <w:szCs w:val="22"/>
        </w:rPr>
        <w:t>6</w:t>
      </w:r>
      <w:r w:rsidRPr="007869C3">
        <w:rPr>
          <w:rFonts w:asciiTheme="minorHAnsi" w:hAnsiTheme="minorHAnsi"/>
          <w:sz w:val="22"/>
          <w:szCs w:val="22"/>
        </w:rPr>
        <w:t xml:space="preserve">. </w:t>
      </w:r>
      <w:r>
        <w:rPr>
          <w:rFonts w:asciiTheme="minorHAnsi" w:hAnsiTheme="minorHAnsi"/>
          <w:sz w:val="22"/>
          <w:szCs w:val="22"/>
        </w:rPr>
        <w:tab/>
      </w:r>
      <w:r w:rsidRPr="007869C3">
        <w:rPr>
          <w:rFonts w:asciiTheme="minorHAnsi" w:hAnsiTheme="minorHAnsi"/>
          <w:sz w:val="22"/>
          <w:szCs w:val="22"/>
        </w:rPr>
        <w:t xml:space="preserve">Togo: Total ODA </w:t>
      </w:r>
      <w:r>
        <w:rPr>
          <w:rFonts w:asciiTheme="minorHAnsi" w:hAnsiTheme="minorHAnsi"/>
          <w:sz w:val="22"/>
          <w:szCs w:val="22"/>
        </w:rPr>
        <w:t>C</w:t>
      </w:r>
      <w:r w:rsidRPr="007869C3">
        <w:rPr>
          <w:rFonts w:asciiTheme="minorHAnsi" w:hAnsiTheme="minorHAnsi"/>
          <w:sz w:val="22"/>
          <w:szCs w:val="22"/>
        </w:rPr>
        <w:t xml:space="preserve">ommitments (bilateral and multilateral) </w:t>
      </w:r>
      <w:r>
        <w:rPr>
          <w:rFonts w:asciiTheme="minorHAnsi" w:hAnsiTheme="minorHAnsi"/>
          <w:sz w:val="22"/>
          <w:szCs w:val="22"/>
        </w:rPr>
        <w:tab/>
      </w:r>
      <w:r>
        <w:rPr>
          <w:rFonts w:asciiTheme="minorHAnsi" w:hAnsiTheme="minorHAnsi"/>
          <w:sz w:val="22"/>
          <w:szCs w:val="22"/>
        </w:rPr>
        <w:tab/>
      </w:r>
      <w:r w:rsidR="00167598">
        <w:rPr>
          <w:rFonts w:asciiTheme="minorHAnsi" w:hAnsiTheme="minorHAnsi"/>
          <w:sz w:val="22"/>
          <w:szCs w:val="22"/>
        </w:rPr>
        <w:t>51</w:t>
      </w:r>
    </w:p>
    <w:p w:rsidR="007869C3" w:rsidRPr="007869C3" w:rsidRDefault="007869C3" w:rsidP="007869C3">
      <w:pPr>
        <w:ind w:left="720" w:firstLine="720"/>
        <w:rPr>
          <w:rFonts w:asciiTheme="minorHAnsi" w:hAnsiTheme="minorHAnsi"/>
          <w:sz w:val="22"/>
          <w:szCs w:val="22"/>
        </w:rPr>
      </w:pPr>
      <w:r w:rsidRPr="007869C3">
        <w:rPr>
          <w:rFonts w:asciiTheme="minorHAnsi" w:hAnsiTheme="minorHAnsi"/>
          <w:sz w:val="22"/>
          <w:szCs w:val="22"/>
        </w:rPr>
        <w:t xml:space="preserve">to the </w:t>
      </w:r>
      <w:r>
        <w:rPr>
          <w:rFonts w:asciiTheme="minorHAnsi" w:hAnsiTheme="minorHAnsi"/>
          <w:sz w:val="22"/>
          <w:szCs w:val="22"/>
        </w:rPr>
        <w:t>A</w:t>
      </w:r>
      <w:r w:rsidRPr="007869C3">
        <w:rPr>
          <w:rFonts w:asciiTheme="minorHAnsi" w:hAnsiTheme="minorHAnsi"/>
          <w:sz w:val="22"/>
          <w:szCs w:val="22"/>
        </w:rPr>
        <w:t xml:space="preserve">griculture, </w:t>
      </w:r>
      <w:r>
        <w:rPr>
          <w:rFonts w:asciiTheme="minorHAnsi" w:hAnsiTheme="minorHAnsi"/>
          <w:sz w:val="22"/>
          <w:szCs w:val="22"/>
        </w:rPr>
        <w:t>F</w:t>
      </w:r>
      <w:r w:rsidRPr="007869C3">
        <w:rPr>
          <w:rFonts w:asciiTheme="minorHAnsi" w:hAnsiTheme="minorHAnsi"/>
          <w:sz w:val="22"/>
          <w:szCs w:val="22"/>
        </w:rPr>
        <w:t xml:space="preserve">orestry and </w:t>
      </w:r>
      <w:r>
        <w:rPr>
          <w:rFonts w:asciiTheme="minorHAnsi" w:hAnsiTheme="minorHAnsi"/>
          <w:sz w:val="22"/>
          <w:szCs w:val="22"/>
        </w:rPr>
        <w:t>F</w:t>
      </w:r>
      <w:r w:rsidRPr="007869C3">
        <w:rPr>
          <w:rFonts w:asciiTheme="minorHAnsi" w:hAnsiTheme="minorHAnsi"/>
          <w:sz w:val="22"/>
          <w:szCs w:val="22"/>
        </w:rPr>
        <w:t xml:space="preserve">ishing </w:t>
      </w:r>
      <w:r>
        <w:rPr>
          <w:rFonts w:asciiTheme="minorHAnsi" w:hAnsiTheme="minorHAnsi"/>
          <w:sz w:val="22"/>
          <w:szCs w:val="22"/>
        </w:rPr>
        <w:t>S</w:t>
      </w:r>
      <w:r w:rsidRPr="007869C3">
        <w:rPr>
          <w:rFonts w:asciiTheme="minorHAnsi" w:hAnsiTheme="minorHAnsi"/>
          <w:sz w:val="22"/>
          <w:szCs w:val="22"/>
        </w:rPr>
        <w:t>ector, 1995-2011</w:t>
      </w:r>
    </w:p>
    <w:p w:rsidR="007869C3" w:rsidRPr="007869C3" w:rsidRDefault="007869C3" w:rsidP="007869C3">
      <w:pPr>
        <w:rPr>
          <w:rFonts w:asciiTheme="minorHAnsi" w:hAnsiTheme="minorHAnsi"/>
          <w:sz w:val="22"/>
          <w:szCs w:val="22"/>
        </w:rPr>
      </w:pPr>
      <w:r w:rsidRPr="007869C3">
        <w:rPr>
          <w:rFonts w:asciiTheme="minorHAnsi" w:hAnsiTheme="minorHAnsi"/>
          <w:sz w:val="22"/>
          <w:szCs w:val="22"/>
        </w:rPr>
        <w:t>Figure 1</w:t>
      </w:r>
      <w:r w:rsidR="00C530F4">
        <w:rPr>
          <w:rFonts w:asciiTheme="minorHAnsi" w:hAnsiTheme="minorHAnsi"/>
          <w:sz w:val="22"/>
          <w:szCs w:val="22"/>
        </w:rPr>
        <w:t>7</w:t>
      </w:r>
      <w:r w:rsidRPr="007869C3">
        <w:rPr>
          <w:rFonts w:asciiTheme="minorHAnsi" w:hAnsiTheme="minorHAnsi"/>
          <w:sz w:val="22"/>
          <w:szCs w:val="22"/>
        </w:rPr>
        <w:t xml:space="preserve">. </w:t>
      </w:r>
      <w:r>
        <w:rPr>
          <w:rFonts w:asciiTheme="minorHAnsi" w:hAnsiTheme="minorHAnsi"/>
          <w:sz w:val="22"/>
          <w:szCs w:val="22"/>
        </w:rPr>
        <w:tab/>
      </w:r>
      <w:r w:rsidRPr="007869C3">
        <w:rPr>
          <w:rFonts w:asciiTheme="minorHAnsi" w:hAnsiTheme="minorHAnsi"/>
          <w:sz w:val="22"/>
          <w:szCs w:val="22"/>
        </w:rPr>
        <w:t xml:space="preserve">Togo: ODA </w:t>
      </w:r>
      <w:r>
        <w:rPr>
          <w:rFonts w:asciiTheme="minorHAnsi" w:hAnsiTheme="minorHAnsi"/>
          <w:sz w:val="22"/>
          <w:szCs w:val="22"/>
        </w:rPr>
        <w:t>C</w:t>
      </w:r>
      <w:r w:rsidRPr="007869C3">
        <w:rPr>
          <w:rFonts w:asciiTheme="minorHAnsi" w:hAnsiTheme="minorHAnsi"/>
          <w:sz w:val="22"/>
          <w:szCs w:val="22"/>
        </w:rPr>
        <w:t xml:space="preserve">ommitments to the agriculture, </w:t>
      </w:r>
      <w:r>
        <w:rPr>
          <w:rFonts w:asciiTheme="minorHAnsi" w:hAnsiTheme="minorHAnsi"/>
          <w:sz w:val="22"/>
          <w:szCs w:val="22"/>
        </w:rPr>
        <w:t>F</w:t>
      </w:r>
      <w:r w:rsidRPr="007869C3">
        <w:rPr>
          <w:rFonts w:asciiTheme="minorHAnsi" w:hAnsiTheme="minorHAnsi"/>
          <w:sz w:val="22"/>
          <w:szCs w:val="22"/>
        </w:rPr>
        <w:t xml:space="preserve">orestry and </w:t>
      </w:r>
      <w:r>
        <w:rPr>
          <w:rFonts w:asciiTheme="minorHAnsi" w:hAnsiTheme="minorHAnsi"/>
          <w:sz w:val="22"/>
          <w:szCs w:val="22"/>
        </w:rPr>
        <w:t>F</w:t>
      </w:r>
      <w:r w:rsidRPr="007869C3">
        <w:rPr>
          <w:rFonts w:asciiTheme="minorHAnsi" w:hAnsiTheme="minorHAnsi"/>
          <w:sz w:val="22"/>
          <w:szCs w:val="22"/>
        </w:rPr>
        <w:t xml:space="preserve">ishing </w:t>
      </w:r>
      <w:r>
        <w:rPr>
          <w:rFonts w:asciiTheme="minorHAnsi" w:hAnsiTheme="minorHAnsi"/>
          <w:sz w:val="22"/>
          <w:szCs w:val="22"/>
        </w:rPr>
        <w:t xml:space="preserve">  </w:t>
      </w:r>
      <w:r>
        <w:rPr>
          <w:rFonts w:asciiTheme="minorHAnsi" w:hAnsiTheme="minorHAnsi"/>
          <w:sz w:val="22"/>
          <w:szCs w:val="22"/>
        </w:rPr>
        <w:tab/>
      </w:r>
      <w:r w:rsidR="00167598">
        <w:rPr>
          <w:rFonts w:asciiTheme="minorHAnsi" w:hAnsiTheme="minorHAnsi"/>
          <w:sz w:val="22"/>
          <w:szCs w:val="22"/>
        </w:rPr>
        <w:t>51</w:t>
      </w:r>
    </w:p>
    <w:p w:rsidR="00292B8E" w:rsidRPr="007869C3" w:rsidRDefault="007869C3" w:rsidP="007869C3">
      <w:pPr>
        <w:ind w:left="720" w:firstLine="720"/>
        <w:rPr>
          <w:rFonts w:asciiTheme="minorHAnsi" w:hAnsiTheme="minorHAnsi"/>
          <w:sz w:val="22"/>
          <w:szCs w:val="22"/>
        </w:rPr>
      </w:pPr>
      <w:r>
        <w:rPr>
          <w:rFonts w:asciiTheme="minorHAnsi" w:hAnsiTheme="minorHAnsi"/>
          <w:sz w:val="22"/>
          <w:szCs w:val="22"/>
        </w:rPr>
        <w:t>S</w:t>
      </w:r>
      <w:r w:rsidRPr="007869C3">
        <w:rPr>
          <w:rFonts w:asciiTheme="minorHAnsi" w:hAnsiTheme="minorHAnsi"/>
          <w:sz w:val="22"/>
          <w:szCs w:val="22"/>
        </w:rPr>
        <w:t>ector,</w:t>
      </w:r>
      <w:r>
        <w:rPr>
          <w:rFonts w:asciiTheme="minorHAnsi" w:hAnsiTheme="minorHAnsi"/>
          <w:sz w:val="22"/>
          <w:szCs w:val="22"/>
        </w:rPr>
        <w:t xml:space="preserve"> </w:t>
      </w:r>
      <w:r w:rsidRPr="007869C3">
        <w:rPr>
          <w:rFonts w:asciiTheme="minorHAnsi" w:hAnsiTheme="minorHAnsi"/>
          <w:sz w:val="22"/>
          <w:szCs w:val="22"/>
        </w:rPr>
        <w:t>2010 and 2011</w:t>
      </w:r>
    </w:p>
    <w:p w:rsidR="007869C3" w:rsidRDefault="007869C3" w:rsidP="007869C3">
      <w:pPr>
        <w:rPr>
          <w:rFonts w:asciiTheme="minorHAnsi" w:hAnsiTheme="minorHAnsi" w:cs="Arial"/>
          <w:b/>
          <w:color w:val="1F497D" w:themeColor="text2"/>
          <w:sz w:val="28"/>
          <w:szCs w:val="28"/>
        </w:rPr>
      </w:pPr>
    </w:p>
    <w:p w:rsidR="00E87EF6" w:rsidRPr="003F6C09" w:rsidRDefault="00E87EF6" w:rsidP="00E87EF6">
      <w:pPr>
        <w:autoSpaceDE w:val="0"/>
        <w:autoSpaceDN w:val="0"/>
        <w:adjustRightInd w:val="0"/>
        <w:rPr>
          <w:rFonts w:asciiTheme="minorHAnsi" w:hAnsiTheme="minorHAnsi" w:cs="Arial"/>
          <w:b/>
          <w:color w:val="1F497D" w:themeColor="text2"/>
          <w:sz w:val="28"/>
          <w:szCs w:val="28"/>
        </w:rPr>
      </w:pPr>
      <w:r>
        <w:rPr>
          <w:rFonts w:asciiTheme="minorHAnsi" w:hAnsiTheme="minorHAnsi" w:cs="Arial"/>
          <w:b/>
          <w:color w:val="1F497D" w:themeColor="text2"/>
          <w:sz w:val="28"/>
          <w:szCs w:val="28"/>
        </w:rPr>
        <w:t>BOXES</w:t>
      </w:r>
    </w:p>
    <w:p w:rsidR="00E87EF6" w:rsidRPr="003F6C09" w:rsidRDefault="00FE4467" w:rsidP="0088171C">
      <w:pPr>
        <w:spacing w:after="120"/>
        <w:rPr>
          <w:rFonts w:asciiTheme="minorHAnsi" w:hAnsiTheme="minorHAnsi" w:cs="Arial"/>
          <w:sz w:val="22"/>
          <w:szCs w:val="22"/>
        </w:rPr>
      </w:pPr>
      <w:r>
        <w:rPr>
          <w:rFonts w:asciiTheme="minorHAnsi" w:hAnsiTheme="minorHAnsi"/>
          <w:sz w:val="22"/>
          <w:szCs w:val="22"/>
        </w:rPr>
        <w:t>Box 1.</w:t>
      </w:r>
      <w:r>
        <w:rPr>
          <w:rFonts w:asciiTheme="minorHAnsi" w:hAnsiTheme="minorHAnsi"/>
          <w:sz w:val="22"/>
          <w:szCs w:val="22"/>
        </w:rPr>
        <w:tab/>
      </w:r>
      <w:r>
        <w:rPr>
          <w:rFonts w:asciiTheme="minorHAnsi" w:hAnsiTheme="minorHAnsi"/>
          <w:sz w:val="22"/>
          <w:szCs w:val="22"/>
        </w:rPr>
        <w:tab/>
      </w:r>
      <w:r w:rsidR="0088171C" w:rsidRPr="0088171C">
        <w:rPr>
          <w:rFonts w:asciiTheme="minorHAnsi" w:hAnsiTheme="minorHAnsi"/>
          <w:sz w:val="22"/>
          <w:szCs w:val="22"/>
        </w:rPr>
        <w:t>Key actors and stakeholders of China’s investment in Africa</w:t>
      </w:r>
      <w:r w:rsidR="00E87EF6" w:rsidRPr="003F6C09">
        <w:rPr>
          <w:rFonts w:asciiTheme="minorHAnsi" w:hAnsiTheme="minorHAnsi" w:cs="Arial"/>
          <w:sz w:val="22"/>
          <w:szCs w:val="22"/>
        </w:rPr>
        <w:tab/>
      </w:r>
      <w:r w:rsidR="00E87EF6" w:rsidRPr="003F6C09">
        <w:rPr>
          <w:rFonts w:asciiTheme="minorHAnsi" w:hAnsiTheme="minorHAnsi" w:cs="Arial"/>
          <w:sz w:val="22"/>
          <w:szCs w:val="22"/>
        </w:rPr>
        <w:tab/>
      </w:r>
      <w:r w:rsidR="00E87EF6" w:rsidRPr="000672BA">
        <w:rPr>
          <w:rFonts w:asciiTheme="minorHAnsi" w:hAnsiTheme="minorHAnsi" w:cs="Arial"/>
          <w:sz w:val="22"/>
          <w:szCs w:val="22"/>
        </w:rPr>
        <w:t>2</w:t>
      </w:r>
      <w:r w:rsidR="00167598" w:rsidRPr="000672BA">
        <w:rPr>
          <w:rFonts w:asciiTheme="minorHAnsi" w:hAnsiTheme="minorHAnsi" w:cs="Arial"/>
          <w:sz w:val="22"/>
          <w:szCs w:val="22"/>
        </w:rPr>
        <w:t>0</w:t>
      </w:r>
    </w:p>
    <w:p w:rsidR="00E87EF6" w:rsidRDefault="00E87EF6">
      <w:pPr>
        <w:rPr>
          <w:rFonts w:asciiTheme="minorHAnsi" w:hAnsiTheme="minorHAnsi" w:cs="Arial"/>
          <w:b/>
          <w:color w:val="1F497D" w:themeColor="text2"/>
          <w:sz w:val="28"/>
          <w:szCs w:val="28"/>
        </w:rPr>
      </w:pPr>
    </w:p>
    <w:p w:rsidR="003F6C09" w:rsidRPr="003F6C09" w:rsidRDefault="003F6C09" w:rsidP="003F6C09">
      <w:pPr>
        <w:autoSpaceDE w:val="0"/>
        <w:autoSpaceDN w:val="0"/>
        <w:adjustRightInd w:val="0"/>
        <w:jc w:val="center"/>
        <w:rPr>
          <w:rFonts w:asciiTheme="minorHAnsi" w:hAnsiTheme="minorHAnsi" w:cs="Arial"/>
          <w:b/>
          <w:color w:val="1F497D" w:themeColor="text2"/>
          <w:sz w:val="28"/>
          <w:szCs w:val="28"/>
        </w:rPr>
      </w:pPr>
      <w:r w:rsidRPr="003F6C09">
        <w:rPr>
          <w:rFonts w:asciiTheme="minorHAnsi" w:hAnsiTheme="minorHAnsi" w:cs="Arial"/>
          <w:b/>
          <w:color w:val="1F497D" w:themeColor="text2"/>
          <w:sz w:val="28"/>
          <w:szCs w:val="28"/>
        </w:rPr>
        <w:t>ACRONYMS</w:t>
      </w:r>
    </w:p>
    <w:p w:rsidR="003F6C09" w:rsidRPr="003F6C09" w:rsidRDefault="003F6C09" w:rsidP="003F6C09">
      <w:pPr>
        <w:jc w:val="right"/>
        <w:rPr>
          <w:rFonts w:asciiTheme="minorHAnsi" w:hAnsiTheme="minorHAnsi" w:cs="Arial"/>
          <w:b/>
        </w:rPr>
      </w:pPr>
    </w:p>
    <w:p w:rsidR="00A77E21" w:rsidRPr="00313878" w:rsidRDefault="00A77E21" w:rsidP="003F6C09">
      <w:pPr>
        <w:pStyle w:val="Heading2"/>
        <w:spacing w:before="0" w:after="0"/>
        <w:rPr>
          <w:rFonts w:asciiTheme="minorHAnsi" w:hAnsiTheme="minorHAnsi" w:cs="Arial"/>
          <w:b w:val="0"/>
          <w:color w:val="auto"/>
          <w:szCs w:val="22"/>
        </w:rPr>
      </w:pPr>
      <w:r w:rsidRPr="00313878">
        <w:rPr>
          <w:rFonts w:asciiTheme="minorHAnsi" w:hAnsiTheme="minorHAnsi" w:cs="Arial"/>
          <w:b w:val="0"/>
          <w:color w:val="auto"/>
          <w:szCs w:val="22"/>
        </w:rPr>
        <w:t>AAF</w:t>
      </w:r>
      <w:r w:rsidRPr="00313878">
        <w:rPr>
          <w:rFonts w:asciiTheme="minorHAnsi" w:hAnsiTheme="minorHAnsi" w:cs="Arial"/>
          <w:b w:val="0"/>
          <w:color w:val="auto"/>
          <w:szCs w:val="22"/>
        </w:rPr>
        <w:tab/>
      </w:r>
      <w:r w:rsidRPr="00313878">
        <w:rPr>
          <w:rFonts w:asciiTheme="minorHAnsi" w:hAnsiTheme="minorHAnsi" w:cs="Arial"/>
          <w:b w:val="0"/>
          <w:color w:val="auto"/>
          <w:szCs w:val="22"/>
        </w:rPr>
        <w:tab/>
        <w:t>African Agricultural Fund</w:t>
      </w:r>
    </w:p>
    <w:p w:rsidR="00313878" w:rsidRPr="00313878" w:rsidRDefault="00313878" w:rsidP="00313878">
      <w:pPr>
        <w:rPr>
          <w:rFonts w:asciiTheme="minorHAnsi" w:hAnsiTheme="minorHAnsi"/>
          <w:sz w:val="22"/>
          <w:szCs w:val="22"/>
        </w:rPr>
      </w:pPr>
      <w:r w:rsidRPr="00313878">
        <w:rPr>
          <w:rFonts w:asciiTheme="minorHAnsi" w:hAnsiTheme="minorHAnsi"/>
          <w:sz w:val="22"/>
          <w:szCs w:val="22"/>
        </w:rPr>
        <w:t>AAPF</w:t>
      </w:r>
      <w:r w:rsidRPr="00313878">
        <w:rPr>
          <w:rFonts w:asciiTheme="minorHAnsi" w:hAnsiTheme="minorHAnsi"/>
          <w:sz w:val="22"/>
          <w:szCs w:val="22"/>
        </w:rPr>
        <w:tab/>
      </w:r>
      <w:r w:rsidRPr="00313878">
        <w:rPr>
          <w:rFonts w:asciiTheme="minorHAnsi" w:hAnsiTheme="minorHAnsi"/>
          <w:sz w:val="22"/>
          <w:szCs w:val="22"/>
        </w:rPr>
        <w:tab/>
        <w:t>African Agriculture Finance Project</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ADWG</w:t>
      </w:r>
      <w:r w:rsidRPr="00313878">
        <w:rPr>
          <w:rFonts w:asciiTheme="minorHAnsi" w:hAnsiTheme="minorHAnsi"/>
          <w:sz w:val="22"/>
          <w:szCs w:val="22"/>
        </w:rPr>
        <w:tab/>
      </w:r>
      <w:r>
        <w:rPr>
          <w:rFonts w:asciiTheme="minorHAnsi" w:hAnsiTheme="minorHAnsi"/>
          <w:sz w:val="22"/>
          <w:szCs w:val="22"/>
        </w:rPr>
        <w:tab/>
      </w:r>
      <w:r w:rsidRPr="00313878">
        <w:rPr>
          <w:rFonts w:asciiTheme="minorHAnsi" w:hAnsiTheme="minorHAnsi"/>
          <w:sz w:val="22"/>
          <w:szCs w:val="22"/>
        </w:rPr>
        <w:t>Agriculture Donor Working Group</w:t>
      </w:r>
    </w:p>
    <w:p w:rsidR="00A77E21" w:rsidRPr="00313878" w:rsidRDefault="00A77E21" w:rsidP="00A77E21">
      <w:pPr>
        <w:rPr>
          <w:rFonts w:asciiTheme="minorHAnsi" w:hAnsiTheme="minorHAnsi"/>
          <w:sz w:val="22"/>
          <w:szCs w:val="22"/>
        </w:rPr>
      </w:pPr>
      <w:proofErr w:type="spellStart"/>
      <w:r w:rsidRPr="00313878">
        <w:rPr>
          <w:rFonts w:asciiTheme="minorHAnsi" w:hAnsiTheme="minorHAnsi"/>
          <w:sz w:val="22"/>
          <w:szCs w:val="22"/>
        </w:rPr>
        <w:t>AfDB</w:t>
      </w:r>
      <w:proofErr w:type="spellEnd"/>
      <w:r w:rsidRPr="00313878">
        <w:rPr>
          <w:rFonts w:asciiTheme="minorHAnsi" w:hAnsiTheme="minorHAnsi"/>
          <w:sz w:val="22"/>
          <w:szCs w:val="22"/>
        </w:rPr>
        <w:tab/>
      </w:r>
      <w:r w:rsidRPr="00313878">
        <w:rPr>
          <w:rFonts w:asciiTheme="minorHAnsi" w:hAnsiTheme="minorHAnsi"/>
          <w:sz w:val="22"/>
          <w:szCs w:val="22"/>
        </w:rPr>
        <w:tab/>
        <w:t>African Development Bank</w:t>
      </w:r>
    </w:p>
    <w:p w:rsidR="007453EB" w:rsidRPr="00313878" w:rsidRDefault="007453EB" w:rsidP="00A77E21">
      <w:pPr>
        <w:rPr>
          <w:rFonts w:asciiTheme="minorHAnsi" w:hAnsiTheme="minorHAnsi"/>
          <w:sz w:val="22"/>
          <w:szCs w:val="22"/>
        </w:rPr>
      </w:pPr>
      <w:r w:rsidRPr="00313878">
        <w:rPr>
          <w:rFonts w:asciiTheme="minorHAnsi" w:hAnsiTheme="minorHAnsi"/>
          <w:sz w:val="22"/>
          <w:szCs w:val="22"/>
        </w:rPr>
        <w:t>AFDF</w:t>
      </w:r>
      <w:r w:rsidRPr="00313878">
        <w:rPr>
          <w:rFonts w:asciiTheme="minorHAnsi" w:hAnsiTheme="minorHAnsi"/>
          <w:sz w:val="22"/>
          <w:szCs w:val="22"/>
        </w:rPr>
        <w:tab/>
      </w:r>
      <w:r w:rsidRPr="00313878">
        <w:rPr>
          <w:rFonts w:asciiTheme="minorHAnsi" w:hAnsiTheme="minorHAnsi"/>
          <w:sz w:val="22"/>
          <w:szCs w:val="22"/>
        </w:rPr>
        <w:tab/>
        <w:t>African Development Fund</w:t>
      </w:r>
    </w:p>
    <w:p w:rsidR="00A77E21" w:rsidRPr="00313878" w:rsidRDefault="00A77E21" w:rsidP="003F6C09">
      <w:pPr>
        <w:pStyle w:val="Heading2"/>
        <w:spacing w:before="0" w:after="0"/>
        <w:rPr>
          <w:rFonts w:asciiTheme="minorHAnsi" w:hAnsiTheme="minorHAnsi" w:cs="Arial"/>
          <w:b w:val="0"/>
          <w:color w:val="auto"/>
          <w:szCs w:val="22"/>
        </w:rPr>
      </w:pPr>
      <w:r w:rsidRPr="00313878">
        <w:rPr>
          <w:rFonts w:asciiTheme="minorHAnsi" w:hAnsiTheme="minorHAnsi" w:cs="Arial"/>
          <w:b w:val="0"/>
          <w:color w:val="auto"/>
          <w:szCs w:val="22"/>
        </w:rPr>
        <w:t>AFF</w:t>
      </w:r>
      <w:r w:rsidRPr="00313878">
        <w:rPr>
          <w:rFonts w:asciiTheme="minorHAnsi" w:hAnsiTheme="minorHAnsi" w:cs="Arial"/>
          <w:b w:val="0"/>
          <w:color w:val="auto"/>
          <w:szCs w:val="22"/>
        </w:rPr>
        <w:tab/>
      </w:r>
      <w:r w:rsidRPr="00313878">
        <w:rPr>
          <w:rFonts w:asciiTheme="minorHAnsi" w:hAnsiTheme="minorHAnsi" w:cs="Arial"/>
          <w:b w:val="0"/>
          <w:color w:val="auto"/>
          <w:szCs w:val="22"/>
        </w:rPr>
        <w:tab/>
        <w:t>Agriculture, Forestry and Fishing</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AFSRDC</w:t>
      </w:r>
      <w:r w:rsidRPr="00313878">
        <w:rPr>
          <w:rFonts w:asciiTheme="minorHAnsi" w:hAnsiTheme="minorHAnsi"/>
          <w:sz w:val="22"/>
          <w:szCs w:val="22"/>
        </w:rPr>
        <w:tab/>
      </w:r>
      <w:r w:rsidRPr="00313878">
        <w:rPr>
          <w:rFonts w:asciiTheme="minorHAnsi" w:hAnsiTheme="minorHAnsi"/>
          <w:sz w:val="22"/>
          <w:szCs w:val="22"/>
        </w:rPr>
        <w:tab/>
        <w:t>Agriculture, Food Security and Rural Development Cluster</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AFSI</w:t>
      </w:r>
      <w:r w:rsidR="007453EB" w:rsidRPr="00313878">
        <w:rPr>
          <w:rFonts w:asciiTheme="minorHAnsi" w:hAnsiTheme="minorHAnsi"/>
          <w:sz w:val="22"/>
          <w:szCs w:val="22"/>
        </w:rPr>
        <w:tab/>
      </w:r>
      <w:r w:rsidR="007453EB" w:rsidRPr="00313878">
        <w:rPr>
          <w:rFonts w:asciiTheme="minorHAnsi" w:hAnsiTheme="minorHAnsi"/>
          <w:sz w:val="22"/>
          <w:szCs w:val="22"/>
        </w:rPr>
        <w:tab/>
        <w:t>L’Aquila Food Security Initiative</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AGRA</w:t>
      </w:r>
      <w:r w:rsidRPr="00313878">
        <w:rPr>
          <w:rFonts w:asciiTheme="minorHAnsi" w:hAnsiTheme="minorHAnsi"/>
          <w:sz w:val="22"/>
          <w:szCs w:val="22"/>
        </w:rPr>
        <w:tab/>
      </w:r>
      <w:r w:rsidRPr="00313878">
        <w:rPr>
          <w:rFonts w:asciiTheme="minorHAnsi" w:hAnsiTheme="minorHAnsi"/>
          <w:sz w:val="22"/>
          <w:szCs w:val="22"/>
        </w:rPr>
        <w:tab/>
        <w:t>Alliance for a Green Revolution in Africa</w:t>
      </w:r>
    </w:p>
    <w:p w:rsidR="00CB6135" w:rsidRDefault="00CB6135" w:rsidP="00A77E21">
      <w:pPr>
        <w:rPr>
          <w:rFonts w:asciiTheme="minorHAnsi" w:hAnsiTheme="minorHAnsi"/>
          <w:sz w:val="22"/>
          <w:szCs w:val="22"/>
        </w:rPr>
      </w:pPr>
      <w:r>
        <w:rPr>
          <w:rFonts w:asciiTheme="minorHAnsi" w:hAnsiTheme="minorHAnsi"/>
          <w:sz w:val="22"/>
          <w:szCs w:val="22"/>
        </w:rPr>
        <w:t>AMCOW</w:t>
      </w:r>
      <w:r>
        <w:rPr>
          <w:rFonts w:asciiTheme="minorHAnsi" w:hAnsiTheme="minorHAnsi"/>
          <w:sz w:val="22"/>
          <w:szCs w:val="22"/>
        </w:rPr>
        <w:tab/>
        <w:t>African Ministers’ Council on Water</w:t>
      </w:r>
    </w:p>
    <w:p w:rsidR="00CB6135" w:rsidRDefault="00CB6135" w:rsidP="00A77E21">
      <w:pPr>
        <w:rPr>
          <w:rFonts w:asciiTheme="minorHAnsi" w:hAnsiTheme="minorHAnsi"/>
          <w:sz w:val="22"/>
          <w:szCs w:val="22"/>
        </w:rPr>
      </w:pPr>
      <w:r>
        <w:rPr>
          <w:rFonts w:asciiTheme="minorHAnsi" w:hAnsiTheme="minorHAnsi"/>
          <w:sz w:val="22"/>
          <w:szCs w:val="22"/>
        </w:rPr>
        <w:t>ASARECA</w:t>
      </w:r>
      <w:r>
        <w:rPr>
          <w:rFonts w:asciiTheme="minorHAnsi" w:hAnsiTheme="minorHAnsi"/>
          <w:sz w:val="22"/>
          <w:szCs w:val="22"/>
        </w:rPr>
        <w:tab/>
        <w:t xml:space="preserve">Association for Strengthening Agricultural Research in Eastern and Central Africa </w:t>
      </w:r>
    </w:p>
    <w:p w:rsidR="00F221C3" w:rsidRDefault="00F221C3" w:rsidP="00A77E21">
      <w:pPr>
        <w:rPr>
          <w:rFonts w:asciiTheme="minorHAnsi" w:hAnsiTheme="minorHAnsi"/>
          <w:sz w:val="22"/>
          <w:szCs w:val="22"/>
        </w:rPr>
      </w:pPr>
      <w:r>
        <w:rPr>
          <w:rFonts w:asciiTheme="minorHAnsi" w:hAnsiTheme="minorHAnsi"/>
          <w:sz w:val="22"/>
          <w:szCs w:val="22"/>
        </w:rPr>
        <w:t>ASWG</w:t>
      </w:r>
      <w:r>
        <w:rPr>
          <w:rFonts w:asciiTheme="minorHAnsi" w:hAnsiTheme="minorHAnsi"/>
          <w:sz w:val="22"/>
          <w:szCs w:val="22"/>
        </w:rPr>
        <w:tab/>
      </w:r>
      <w:r>
        <w:rPr>
          <w:rFonts w:asciiTheme="minorHAnsi" w:hAnsiTheme="minorHAnsi"/>
          <w:sz w:val="22"/>
          <w:szCs w:val="22"/>
        </w:rPr>
        <w:tab/>
        <w:t>Agriculture Sector Working Group</w:t>
      </w:r>
    </w:p>
    <w:p w:rsidR="00CB6135" w:rsidRDefault="00CB6135" w:rsidP="00A77E21">
      <w:pPr>
        <w:rPr>
          <w:rFonts w:asciiTheme="minorHAnsi" w:hAnsiTheme="minorHAnsi"/>
          <w:sz w:val="22"/>
          <w:szCs w:val="22"/>
        </w:rPr>
      </w:pPr>
      <w:r>
        <w:rPr>
          <w:rFonts w:asciiTheme="minorHAnsi" w:hAnsiTheme="minorHAnsi"/>
          <w:sz w:val="22"/>
          <w:szCs w:val="22"/>
        </w:rPr>
        <w:t>ARD</w:t>
      </w:r>
      <w:r>
        <w:rPr>
          <w:rFonts w:asciiTheme="minorHAnsi" w:hAnsiTheme="minorHAnsi"/>
          <w:sz w:val="22"/>
          <w:szCs w:val="22"/>
        </w:rPr>
        <w:tab/>
      </w:r>
      <w:r>
        <w:rPr>
          <w:rFonts w:asciiTheme="minorHAnsi" w:hAnsiTheme="minorHAnsi"/>
          <w:sz w:val="22"/>
          <w:szCs w:val="22"/>
        </w:rPr>
        <w:tab/>
        <w:t>Agricultural Research for Development</w:t>
      </w:r>
    </w:p>
    <w:p w:rsidR="00CB6135" w:rsidRDefault="00CB6135" w:rsidP="00A77E21">
      <w:pPr>
        <w:rPr>
          <w:rFonts w:asciiTheme="minorHAnsi" w:hAnsiTheme="minorHAnsi"/>
          <w:sz w:val="22"/>
          <w:szCs w:val="22"/>
        </w:rPr>
      </w:pPr>
      <w:r>
        <w:rPr>
          <w:rFonts w:asciiTheme="minorHAnsi" w:hAnsiTheme="minorHAnsi"/>
          <w:sz w:val="22"/>
          <w:szCs w:val="22"/>
        </w:rPr>
        <w:t>AUC</w:t>
      </w:r>
      <w:r>
        <w:rPr>
          <w:rFonts w:asciiTheme="minorHAnsi" w:hAnsiTheme="minorHAnsi"/>
          <w:sz w:val="22"/>
          <w:szCs w:val="22"/>
        </w:rPr>
        <w:tab/>
      </w:r>
      <w:r>
        <w:rPr>
          <w:rFonts w:asciiTheme="minorHAnsi" w:hAnsiTheme="minorHAnsi"/>
          <w:sz w:val="22"/>
          <w:szCs w:val="22"/>
        </w:rPr>
        <w:tab/>
        <w:t xml:space="preserve">African Union Commission </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AUC-DREA</w:t>
      </w:r>
      <w:r w:rsidRPr="00313878">
        <w:rPr>
          <w:rFonts w:asciiTheme="minorHAnsi" w:hAnsiTheme="minorHAnsi"/>
          <w:sz w:val="22"/>
          <w:szCs w:val="22"/>
        </w:rPr>
        <w:tab/>
        <w:t xml:space="preserve">African Union’s Department of Rural Economy and Agriculture </w:t>
      </w:r>
    </w:p>
    <w:p w:rsidR="00313878" w:rsidRDefault="00313878" w:rsidP="00A77E21">
      <w:pPr>
        <w:rPr>
          <w:rFonts w:asciiTheme="minorHAnsi" w:hAnsiTheme="minorHAnsi"/>
          <w:sz w:val="22"/>
          <w:szCs w:val="22"/>
        </w:rPr>
      </w:pPr>
      <w:r>
        <w:rPr>
          <w:rFonts w:asciiTheme="minorHAnsi" w:hAnsiTheme="minorHAnsi"/>
          <w:sz w:val="22"/>
          <w:szCs w:val="22"/>
        </w:rPr>
        <w:t>AU-IBAR</w:t>
      </w:r>
      <w:r>
        <w:rPr>
          <w:rFonts w:asciiTheme="minorHAnsi" w:hAnsiTheme="minorHAnsi"/>
          <w:sz w:val="22"/>
          <w:szCs w:val="22"/>
        </w:rPr>
        <w:tab/>
        <w:t>African Union – Inter-African Bureau for Animal Resources</w:t>
      </w:r>
    </w:p>
    <w:p w:rsidR="007453EB" w:rsidRPr="00313878" w:rsidRDefault="007453EB" w:rsidP="00A77E21">
      <w:pPr>
        <w:rPr>
          <w:rFonts w:asciiTheme="minorHAnsi" w:hAnsiTheme="minorHAnsi"/>
          <w:sz w:val="22"/>
          <w:szCs w:val="22"/>
        </w:rPr>
      </w:pPr>
      <w:r w:rsidRPr="00313878">
        <w:rPr>
          <w:rFonts w:asciiTheme="minorHAnsi" w:hAnsiTheme="minorHAnsi"/>
          <w:sz w:val="22"/>
          <w:szCs w:val="22"/>
        </w:rPr>
        <w:t>BADEA</w:t>
      </w:r>
      <w:r w:rsidRPr="00313878">
        <w:rPr>
          <w:rFonts w:asciiTheme="minorHAnsi" w:hAnsiTheme="minorHAnsi"/>
          <w:sz w:val="22"/>
          <w:szCs w:val="22"/>
        </w:rPr>
        <w:tab/>
      </w:r>
      <w:r w:rsidRPr="00313878">
        <w:rPr>
          <w:rFonts w:asciiTheme="minorHAnsi" w:hAnsiTheme="minorHAnsi"/>
          <w:sz w:val="22"/>
          <w:szCs w:val="22"/>
        </w:rPr>
        <w:tab/>
        <w:t>Arab Bank for Economic Development in Africa</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BIAWE</w:t>
      </w:r>
      <w:r>
        <w:rPr>
          <w:rFonts w:asciiTheme="minorHAnsi" w:hAnsiTheme="minorHAnsi" w:cs="Arial"/>
          <w:b w:val="0"/>
          <w:color w:val="auto"/>
          <w:szCs w:val="22"/>
        </w:rPr>
        <w:tab/>
      </w:r>
      <w:r>
        <w:rPr>
          <w:rFonts w:asciiTheme="minorHAnsi" w:hAnsiTheme="minorHAnsi" w:cs="Arial"/>
          <w:b w:val="0"/>
          <w:color w:val="auto"/>
          <w:szCs w:val="22"/>
        </w:rPr>
        <w:tab/>
        <w:t>Business Incubator for African Women Entrepreneurs</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BMZ</w:t>
      </w:r>
      <w:r>
        <w:rPr>
          <w:rFonts w:asciiTheme="minorHAnsi" w:hAnsiTheme="minorHAnsi" w:cs="Arial"/>
          <w:b w:val="0"/>
          <w:color w:val="auto"/>
          <w:szCs w:val="22"/>
        </w:rPr>
        <w:tab/>
      </w:r>
      <w:r>
        <w:rPr>
          <w:rFonts w:asciiTheme="minorHAnsi" w:hAnsiTheme="minorHAnsi" w:cs="Arial"/>
          <w:b w:val="0"/>
          <w:color w:val="auto"/>
          <w:szCs w:val="22"/>
        </w:rPr>
        <w:tab/>
        <w:t>German Federal Ministry for Economic Cooperation and Development</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BRIC</w:t>
      </w:r>
      <w:r>
        <w:rPr>
          <w:rFonts w:asciiTheme="minorHAnsi" w:hAnsiTheme="minorHAnsi" w:cs="Arial"/>
          <w:b w:val="0"/>
          <w:color w:val="auto"/>
          <w:szCs w:val="22"/>
        </w:rPr>
        <w:tab/>
      </w:r>
      <w:r>
        <w:rPr>
          <w:rFonts w:asciiTheme="minorHAnsi" w:hAnsiTheme="minorHAnsi" w:cs="Arial"/>
          <w:b w:val="0"/>
          <w:color w:val="auto"/>
          <w:szCs w:val="22"/>
        </w:rPr>
        <w:tab/>
        <w:t>Brazil, Russia, India and China</w:t>
      </w:r>
    </w:p>
    <w:p w:rsidR="003F6C09" w:rsidRPr="00313878" w:rsidRDefault="003F6C09" w:rsidP="003F6C09">
      <w:pPr>
        <w:pStyle w:val="Heading2"/>
        <w:spacing w:before="0" w:after="0"/>
        <w:rPr>
          <w:rFonts w:asciiTheme="minorHAnsi" w:hAnsiTheme="minorHAnsi" w:cs="Arial"/>
          <w:b w:val="0"/>
          <w:color w:val="auto"/>
          <w:szCs w:val="22"/>
        </w:rPr>
      </w:pPr>
      <w:r w:rsidRPr="00313878">
        <w:rPr>
          <w:rFonts w:asciiTheme="minorHAnsi" w:hAnsiTheme="minorHAnsi" w:cs="Arial"/>
          <w:b w:val="0"/>
          <w:color w:val="auto"/>
          <w:szCs w:val="22"/>
        </w:rPr>
        <w:t>CAADP</w:t>
      </w:r>
      <w:r w:rsidRPr="00313878">
        <w:rPr>
          <w:rFonts w:asciiTheme="minorHAnsi" w:hAnsiTheme="minorHAnsi" w:cs="Arial"/>
          <w:b w:val="0"/>
          <w:color w:val="auto"/>
          <w:szCs w:val="22"/>
        </w:rPr>
        <w:tab/>
      </w:r>
      <w:r w:rsidRPr="00313878">
        <w:rPr>
          <w:rFonts w:asciiTheme="minorHAnsi" w:hAnsiTheme="minorHAnsi" w:cs="Arial"/>
          <w:b w:val="0"/>
          <w:color w:val="auto"/>
          <w:szCs w:val="22"/>
        </w:rPr>
        <w:tab/>
        <w:t>Comprehensive Africa Agriculture Development Programme</w:t>
      </w:r>
    </w:p>
    <w:p w:rsidR="00313878" w:rsidRPr="00313878" w:rsidRDefault="00313878" w:rsidP="00313878">
      <w:pPr>
        <w:rPr>
          <w:rFonts w:asciiTheme="minorHAnsi" w:hAnsiTheme="minorHAnsi"/>
          <w:sz w:val="22"/>
          <w:szCs w:val="22"/>
        </w:rPr>
      </w:pPr>
      <w:r w:rsidRPr="00313878">
        <w:rPr>
          <w:rFonts w:asciiTheme="minorHAnsi" w:hAnsiTheme="minorHAnsi"/>
          <w:sz w:val="22"/>
          <w:szCs w:val="22"/>
        </w:rPr>
        <w:t>CAADP PP</w:t>
      </w:r>
      <w:r w:rsidRPr="00313878">
        <w:rPr>
          <w:rFonts w:asciiTheme="minorHAnsi" w:hAnsiTheme="minorHAnsi"/>
          <w:sz w:val="22"/>
          <w:szCs w:val="22"/>
        </w:rPr>
        <w:tab/>
        <w:t>CAADP Partnership Platform</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CATERAR</w:t>
      </w:r>
      <w:r w:rsidRPr="00313878">
        <w:rPr>
          <w:rFonts w:asciiTheme="minorHAnsi" w:hAnsiTheme="minorHAnsi"/>
          <w:sz w:val="22"/>
          <w:szCs w:val="22"/>
        </w:rPr>
        <w:tab/>
        <w:t>China-Africa Trade and Economic Relationship</w:t>
      </w:r>
    </w:p>
    <w:p w:rsidR="00CB6135" w:rsidRDefault="00CB6135" w:rsidP="00A77E21">
      <w:pPr>
        <w:rPr>
          <w:rFonts w:asciiTheme="minorHAnsi" w:hAnsiTheme="minorHAnsi"/>
          <w:sz w:val="22"/>
          <w:szCs w:val="22"/>
        </w:rPr>
      </w:pPr>
      <w:r>
        <w:rPr>
          <w:rFonts w:asciiTheme="minorHAnsi" w:hAnsiTheme="minorHAnsi"/>
          <w:sz w:val="22"/>
          <w:szCs w:val="22"/>
        </w:rPr>
        <w:t>CEC</w:t>
      </w:r>
      <w:r>
        <w:rPr>
          <w:rFonts w:asciiTheme="minorHAnsi" w:hAnsiTheme="minorHAnsi"/>
          <w:sz w:val="22"/>
          <w:szCs w:val="22"/>
        </w:rPr>
        <w:tab/>
      </w:r>
      <w:r>
        <w:rPr>
          <w:rFonts w:asciiTheme="minorHAnsi" w:hAnsiTheme="minorHAnsi"/>
          <w:sz w:val="22"/>
          <w:szCs w:val="22"/>
        </w:rPr>
        <w:tab/>
        <w:t>Commission of the European Communities</w:t>
      </w:r>
    </w:p>
    <w:p w:rsidR="00CB6135" w:rsidRDefault="00CB6135" w:rsidP="00A77E21">
      <w:pPr>
        <w:rPr>
          <w:rFonts w:asciiTheme="minorHAnsi" w:hAnsiTheme="minorHAnsi"/>
          <w:sz w:val="22"/>
          <w:szCs w:val="22"/>
        </w:rPr>
      </w:pPr>
      <w:r>
        <w:rPr>
          <w:rFonts w:asciiTheme="minorHAnsi" w:hAnsiTheme="minorHAnsi"/>
          <w:sz w:val="22"/>
          <w:szCs w:val="22"/>
        </w:rPr>
        <w:t>CGIAR</w:t>
      </w:r>
      <w:r>
        <w:rPr>
          <w:rFonts w:asciiTheme="minorHAnsi" w:hAnsiTheme="minorHAnsi"/>
          <w:sz w:val="22"/>
          <w:szCs w:val="22"/>
        </w:rPr>
        <w:tab/>
      </w:r>
      <w:r>
        <w:rPr>
          <w:rFonts w:asciiTheme="minorHAnsi" w:hAnsiTheme="minorHAnsi"/>
          <w:sz w:val="22"/>
          <w:szCs w:val="22"/>
        </w:rPr>
        <w:tab/>
        <w:t>Consultative Group on International Agricultural Research</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CIDA</w:t>
      </w:r>
      <w:r w:rsidRPr="00313878">
        <w:rPr>
          <w:rFonts w:asciiTheme="minorHAnsi" w:hAnsiTheme="minorHAnsi"/>
          <w:sz w:val="22"/>
          <w:szCs w:val="22"/>
        </w:rPr>
        <w:tab/>
      </w:r>
      <w:r w:rsidRPr="00313878">
        <w:rPr>
          <w:rFonts w:asciiTheme="minorHAnsi" w:hAnsiTheme="minorHAnsi"/>
          <w:sz w:val="22"/>
          <w:szCs w:val="22"/>
        </w:rPr>
        <w:tab/>
      </w:r>
      <w:r w:rsidR="00313878" w:rsidRPr="00313878">
        <w:rPr>
          <w:rFonts w:asciiTheme="minorHAnsi" w:hAnsiTheme="minorHAnsi"/>
          <w:sz w:val="22"/>
          <w:szCs w:val="22"/>
        </w:rPr>
        <w:t>Canadian International Development Association</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CILSS</w:t>
      </w:r>
      <w:r w:rsidRPr="00313878">
        <w:rPr>
          <w:rFonts w:asciiTheme="minorHAnsi" w:hAnsiTheme="minorHAnsi"/>
          <w:sz w:val="22"/>
          <w:szCs w:val="22"/>
        </w:rPr>
        <w:tab/>
      </w:r>
      <w:r w:rsidRPr="00313878">
        <w:rPr>
          <w:rFonts w:asciiTheme="minorHAnsi" w:hAnsiTheme="minorHAnsi"/>
          <w:sz w:val="22"/>
          <w:szCs w:val="22"/>
        </w:rPr>
        <w:tab/>
        <w:t>Permanent Interstate Committee for Drought Control in the Sahel</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CMA/WCA</w:t>
      </w:r>
      <w:r w:rsidRPr="00313878">
        <w:rPr>
          <w:rFonts w:asciiTheme="minorHAnsi" w:hAnsiTheme="minorHAnsi"/>
          <w:sz w:val="22"/>
          <w:szCs w:val="22"/>
        </w:rPr>
        <w:tab/>
        <w:t>Conference of Ministers of Agriculture of West and Central Africa</w:t>
      </w:r>
    </w:p>
    <w:p w:rsidR="00313878" w:rsidRPr="00F221C3" w:rsidRDefault="00313878" w:rsidP="00A77E21">
      <w:pPr>
        <w:rPr>
          <w:rFonts w:asciiTheme="minorHAnsi" w:hAnsiTheme="minorHAnsi"/>
          <w:sz w:val="22"/>
          <w:szCs w:val="22"/>
        </w:rPr>
      </w:pPr>
      <w:r w:rsidRPr="00F221C3">
        <w:rPr>
          <w:rFonts w:asciiTheme="minorHAnsi" w:hAnsiTheme="minorHAnsi"/>
          <w:sz w:val="22"/>
          <w:szCs w:val="22"/>
        </w:rPr>
        <w:t>COMESA</w:t>
      </w:r>
      <w:r w:rsidR="00CB6135" w:rsidRPr="00F221C3">
        <w:rPr>
          <w:rFonts w:asciiTheme="minorHAnsi" w:hAnsiTheme="minorHAnsi"/>
          <w:sz w:val="22"/>
          <w:szCs w:val="22"/>
        </w:rPr>
        <w:tab/>
        <w:t xml:space="preserve">Common Market for Eastern and Southern Africa </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CTF</w:t>
      </w:r>
      <w:r w:rsidRPr="00313878">
        <w:rPr>
          <w:rFonts w:asciiTheme="minorHAnsi" w:hAnsiTheme="minorHAnsi"/>
          <w:sz w:val="22"/>
          <w:szCs w:val="22"/>
        </w:rPr>
        <w:tab/>
      </w:r>
      <w:r w:rsidRPr="00313878">
        <w:rPr>
          <w:rFonts w:asciiTheme="minorHAnsi" w:hAnsiTheme="minorHAnsi"/>
          <w:sz w:val="22"/>
          <w:szCs w:val="22"/>
        </w:rPr>
        <w:tab/>
        <w:t>Child Trust Funds</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CRS</w:t>
      </w:r>
      <w:r w:rsidRPr="00313878">
        <w:rPr>
          <w:rFonts w:asciiTheme="minorHAnsi" w:hAnsiTheme="minorHAnsi"/>
          <w:sz w:val="22"/>
          <w:szCs w:val="22"/>
        </w:rPr>
        <w:tab/>
      </w:r>
      <w:r w:rsidRPr="00313878">
        <w:rPr>
          <w:rFonts w:asciiTheme="minorHAnsi" w:hAnsiTheme="minorHAnsi"/>
          <w:sz w:val="22"/>
          <w:szCs w:val="22"/>
        </w:rPr>
        <w:tab/>
        <w:t>Creditor Reporting System</w:t>
      </w:r>
    </w:p>
    <w:p w:rsidR="0059239E" w:rsidRPr="00313878" w:rsidRDefault="0059239E" w:rsidP="0059239E">
      <w:pPr>
        <w:rPr>
          <w:rFonts w:asciiTheme="minorHAnsi" w:hAnsiTheme="minorHAnsi"/>
          <w:sz w:val="22"/>
          <w:szCs w:val="22"/>
        </w:rPr>
      </w:pPr>
      <w:r w:rsidRPr="00313878">
        <w:rPr>
          <w:rFonts w:asciiTheme="minorHAnsi" w:hAnsiTheme="minorHAnsi"/>
          <w:sz w:val="22"/>
          <w:szCs w:val="22"/>
        </w:rPr>
        <w:t>DAC</w:t>
      </w:r>
      <w:r w:rsidRPr="00313878">
        <w:rPr>
          <w:rFonts w:asciiTheme="minorHAnsi" w:hAnsiTheme="minorHAnsi"/>
          <w:sz w:val="22"/>
          <w:szCs w:val="22"/>
        </w:rPr>
        <w:tab/>
      </w:r>
      <w:r w:rsidRPr="00313878">
        <w:rPr>
          <w:rFonts w:asciiTheme="minorHAnsi" w:hAnsiTheme="minorHAnsi"/>
          <w:sz w:val="22"/>
          <w:szCs w:val="22"/>
        </w:rPr>
        <w:tab/>
        <w:t xml:space="preserve">Development Assistance Committee </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DANIDA</w:t>
      </w:r>
      <w:r w:rsidR="00EB0A8D">
        <w:rPr>
          <w:rFonts w:asciiTheme="minorHAnsi" w:hAnsiTheme="minorHAnsi"/>
          <w:sz w:val="22"/>
          <w:szCs w:val="22"/>
        </w:rPr>
        <w:tab/>
        <w:t>Danish International Development Agency</w:t>
      </w:r>
    </w:p>
    <w:p w:rsidR="00A77E21" w:rsidRPr="00313878" w:rsidRDefault="00A77E21" w:rsidP="0059239E">
      <w:pPr>
        <w:rPr>
          <w:rFonts w:asciiTheme="minorHAnsi" w:hAnsiTheme="minorHAnsi"/>
          <w:sz w:val="22"/>
          <w:szCs w:val="22"/>
        </w:rPr>
      </w:pPr>
      <w:r w:rsidRPr="00313878">
        <w:rPr>
          <w:rFonts w:asciiTheme="minorHAnsi" w:hAnsiTheme="minorHAnsi"/>
          <w:sz w:val="22"/>
          <w:szCs w:val="22"/>
        </w:rPr>
        <w:t>DFID</w:t>
      </w:r>
      <w:r w:rsidRPr="00313878">
        <w:rPr>
          <w:rFonts w:asciiTheme="minorHAnsi" w:hAnsiTheme="minorHAnsi"/>
          <w:sz w:val="22"/>
          <w:szCs w:val="22"/>
        </w:rPr>
        <w:tab/>
      </w:r>
      <w:r w:rsidRPr="00313878">
        <w:rPr>
          <w:rFonts w:asciiTheme="minorHAnsi" w:hAnsiTheme="minorHAnsi"/>
          <w:sz w:val="22"/>
          <w:szCs w:val="22"/>
        </w:rPr>
        <w:tab/>
        <w:t>Department for International Development</w:t>
      </w:r>
    </w:p>
    <w:p w:rsidR="00CB6135" w:rsidRDefault="00CB6135" w:rsidP="0059239E">
      <w:pPr>
        <w:rPr>
          <w:rFonts w:asciiTheme="minorHAnsi" w:hAnsiTheme="minorHAnsi"/>
          <w:sz w:val="22"/>
          <w:szCs w:val="22"/>
        </w:rPr>
      </w:pPr>
      <w:r>
        <w:rPr>
          <w:rFonts w:asciiTheme="minorHAnsi" w:hAnsiTheme="minorHAnsi"/>
          <w:sz w:val="22"/>
          <w:szCs w:val="22"/>
        </w:rPr>
        <w:t>DP</w:t>
      </w:r>
      <w:r>
        <w:rPr>
          <w:rFonts w:asciiTheme="minorHAnsi" w:hAnsiTheme="minorHAnsi"/>
          <w:sz w:val="22"/>
          <w:szCs w:val="22"/>
        </w:rPr>
        <w:tab/>
      </w:r>
      <w:r>
        <w:rPr>
          <w:rFonts w:asciiTheme="minorHAnsi" w:hAnsiTheme="minorHAnsi"/>
          <w:sz w:val="22"/>
          <w:szCs w:val="22"/>
        </w:rPr>
        <w:tab/>
        <w:t>Development Partner</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EAC</w:t>
      </w:r>
      <w:r w:rsidRPr="00313878">
        <w:rPr>
          <w:rFonts w:asciiTheme="minorHAnsi" w:hAnsiTheme="minorHAnsi"/>
          <w:sz w:val="22"/>
          <w:szCs w:val="22"/>
        </w:rPr>
        <w:tab/>
      </w:r>
      <w:r w:rsidRPr="00313878">
        <w:rPr>
          <w:rFonts w:asciiTheme="minorHAnsi" w:hAnsiTheme="minorHAnsi"/>
          <w:sz w:val="22"/>
          <w:szCs w:val="22"/>
        </w:rPr>
        <w:tab/>
        <w:t>Economic Community for Eastern Africa</w:t>
      </w:r>
    </w:p>
    <w:p w:rsidR="00CB6135" w:rsidRDefault="00CB6135" w:rsidP="0059239E">
      <w:pPr>
        <w:rPr>
          <w:rFonts w:asciiTheme="minorHAnsi" w:hAnsiTheme="minorHAnsi"/>
          <w:sz w:val="22"/>
          <w:szCs w:val="22"/>
        </w:rPr>
      </w:pPr>
      <w:r>
        <w:rPr>
          <w:rFonts w:asciiTheme="minorHAnsi" w:hAnsiTheme="minorHAnsi"/>
          <w:sz w:val="22"/>
          <w:szCs w:val="22"/>
        </w:rPr>
        <w:t>EAPP</w:t>
      </w:r>
      <w:r>
        <w:rPr>
          <w:rFonts w:asciiTheme="minorHAnsi" w:hAnsiTheme="minorHAnsi"/>
          <w:sz w:val="22"/>
          <w:szCs w:val="22"/>
        </w:rPr>
        <w:tab/>
      </w:r>
      <w:r>
        <w:rPr>
          <w:rFonts w:asciiTheme="minorHAnsi" w:hAnsiTheme="minorHAnsi"/>
          <w:sz w:val="22"/>
          <w:szCs w:val="22"/>
        </w:rPr>
        <w:tab/>
        <w:t>Eastern African Agriculture Productivity Program</w:t>
      </w:r>
    </w:p>
    <w:p w:rsidR="00CB6135" w:rsidRDefault="00CB6135" w:rsidP="0059239E">
      <w:pPr>
        <w:rPr>
          <w:rFonts w:asciiTheme="minorHAnsi" w:hAnsiTheme="minorHAnsi"/>
          <w:sz w:val="22"/>
          <w:szCs w:val="22"/>
        </w:rPr>
      </w:pPr>
      <w:r>
        <w:rPr>
          <w:rFonts w:asciiTheme="minorHAnsi" w:hAnsiTheme="minorHAnsi"/>
          <w:sz w:val="22"/>
          <w:szCs w:val="22"/>
        </w:rPr>
        <w:t>EBID</w:t>
      </w:r>
      <w:r>
        <w:rPr>
          <w:rFonts w:asciiTheme="minorHAnsi" w:hAnsiTheme="minorHAnsi"/>
          <w:sz w:val="22"/>
          <w:szCs w:val="22"/>
        </w:rPr>
        <w:tab/>
      </w:r>
      <w:r>
        <w:rPr>
          <w:rFonts w:asciiTheme="minorHAnsi" w:hAnsiTheme="minorHAnsi"/>
          <w:sz w:val="22"/>
          <w:szCs w:val="22"/>
        </w:rPr>
        <w:tab/>
        <w:t>ECOWAS Bank for Investment and Development</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ECCAS</w:t>
      </w:r>
      <w:r w:rsidR="008553E5">
        <w:rPr>
          <w:rFonts w:asciiTheme="minorHAnsi" w:hAnsiTheme="minorHAnsi"/>
          <w:sz w:val="22"/>
          <w:szCs w:val="22"/>
        </w:rPr>
        <w:tab/>
      </w:r>
      <w:r w:rsidR="008553E5">
        <w:rPr>
          <w:rFonts w:asciiTheme="minorHAnsi" w:hAnsiTheme="minorHAnsi"/>
          <w:sz w:val="22"/>
          <w:szCs w:val="22"/>
        </w:rPr>
        <w:tab/>
        <w:t>Economic Community of Central African States</w:t>
      </w:r>
    </w:p>
    <w:p w:rsidR="00CB6135" w:rsidRDefault="00CB6135" w:rsidP="0059239E">
      <w:pPr>
        <w:rPr>
          <w:rFonts w:asciiTheme="minorHAnsi" w:hAnsiTheme="minorHAnsi"/>
          <w:sz w:val="22"/>
          <w:szCs w:val="22"/>
        </w:rPr>
      </w:pPr>
      <w:r>
        <w:rPr>
          <w:rFonts w:asciiTheme="minorHAnsi" w:hAnsiTheme="minorHAnsi"/>
          <w:sz w:val="22"/>
          <w:szCs w:val="22"/>
        </w:rPr>
        <w:t>ECOWADF</w:t>
      </w:r>
      <w:r>
        <w:rPr>
          <w:rFonts w:asciiTheme="minorHAnsi" w:hAnsiTheme="minorHAnsi"/>
          <w:sz w:val="22"/>
          <w:szCs w:val="22"/>
        </w:rPr>
        <w:tab/>
        <w:t xml:space="preserve">Regional Fund for Agriculture and Food </w:t>
      </w:r>
    </w:p>
    <w:p w:rsidR="00CB6135" w:rsidRDefault="00CB6135" w:rsidP="0059239E">
      <w:pPr>
        <w:rPr>
          <w:rFonts w:asciiTheme="minorHAnsi" w:hAnsiTheme="minorHAnsi"/>
          <w:sz w:val="22"/>
          <w:szCs w:val="22"/>
        </w:rPr>
      </w:pPr>
      <w:r>
        <w:rPr>
          <w:rFonts w:asciiTheme="minorHAnsi" w:hAnsiTheme="minorHAnsi"/>
          <w:sz w:val="22"/>
          <w:szCs w:val="22"/>
        </w:rPr>
        <w:t>ECOWAP</w:t>
      </w:r>
      <w:r w:rsidR="008553E5">
        <w:rPr>
          <w:rFonts w:asciiTheme="minorHAnsi" w:hAnsiTheme="minorHAnsi"/>
          <w:sz w:val="22"/>
          <w:szCs w:val="22"/>
        </w:rPr>
        <w:tab/>
        <w:t>ECOWAS Agricultural Policy</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ECOWAS</w:t>
      </w:r>
      <w:r w:rsidR="008553E5">
        <w:rPr>
          <w:rFonts w:asciiTheme="minorHAnsi" w:hAnsiTheme="minorHAnsi"/>
          <w:sz w:val="22"/>
          <w:szCs w:val="22"/>
        </w:rPr>
        <w:tab/>
        <w:t>Economic Community of West African States</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FAO</w:t>
      </w:r>
      <w:r w:rsidRPr="00313878">
        <w:rPr>
          <w:rFonts w:asciiTheme="minorHAnsi" w:hAnsiTheme="minorHAnsi"/>
          <w:sz w:val="22"/>
          <w:szCs w:val="22"/>
        </w:rPr>
        <w:tab/>
      </w:r>
      <w:r w:rsidRPr="00313878">
        <w:rPr>
          <w:rFonts w:asciiTheme="minorHAnsi" w:hAnsiTheme="minorHAnsi"/>
          <w:sz w:val="22"/>
          <w:szCs w:val="22"/>
        </w:rPr>
        <w:tab/>
        <w:t>Food and Agricultural Organisation</w:t>
      </w:r>
    </w:p>
    <w:p w:rsidR="00313878" w:rsidRDefault="00313878" w:rsidP="0059239E">
      <w:pPr>
        <w:rPr>
          <w:rFonts w:asciiTheme="minorHAnsi" w:hAnsiTheme="minorHAnsi"/>
          <w:sz w:val="22"/>
          <w:szCs w:val="22"/>
        </w:rPr>
      </w:pPr>
      <w:r>
        <w:rPr>
          <w:rFonts w:asciiTheme="minorHAnsi" w:hAnsiTheme="minorHAnsi"/>
          <w:sz w:val="22"/>
          <w:szCs w:val="22"/>
        </w:rPr>
        <w:t>FARA</w:t>
      </w:r>
      <w:r>
        <w:rPr>
          <w:rFonts w:asciiTheme="minorHAnsi" w:hAnsiTheme="minorHAnsi"/>
          <w:sz w:val="22"/>
          <w:szCs w:val="22"/>
        </w:rPr>
        <w:tab/>
      </w:r>
      <w:r>
        <w:rPr>
          <w:rFonts w:asciiTheme="minorHAnsi" w:hAnsiTheme="minorHAnsi"/>
          <w:sz w:val="22"/>
          <w:szCs w:val="22"/>
        </w:rPr>
        <w:tab/>
        <w:t>Forum for Agriculture Research in Africa</w:t>
      </w:r>
    </w:p>
    <w:p w:rsidR="00A77E21" w:rsidRPr="00313878" w:rsidRDefault="00A77E21" w:rsidP="0059239E">
      <w:pPr>
        <w:rPr>
          <w:rFonts w:asciiTheme="minorHAnsi" w:hAnsiTheme="minorHAnsi"/>
          <w:sz w:val="22"/>
          <w:szCs w:val="22"/>
        </w:rPr>
      </w:pPr>
      <w:r w:rsidRPr="00313878">
        <w:rPr>
          <w:rFonts w:asciiTheme="minorHAnsi" w:hAnsiTheme="minorHAnsi"/>
          <w:sz w:val="22"/>
          <w:szCs w:val="22"/>
        </w:rPr>
        <w:t>FDI</w:t>
      </w:r>
      <w:r w:rsidRPr="00313878">
        <w:rPr>
          <w:rFonts w:asciiTheme="minorHAnsi" w:hAnsiTheme="minorHAnsi"/>
          <w:sz w:val="22"/>
          <w:szCs w:val="22"/>
        </w:rPr>
        <w:tab/>
      </w:r>
      <w:r w:rsidRPr="00313878">
        <w:rPr>
          <w:rFonts w:asciiTheme="minorHAnsi" w:hAnsiTheme="minorHAnsi"/>
          <w:sz w:val="22"/>
          <w:szCs w:val="22"/>
        </w:rPr>
        <w:tab/>
        <w:t>Foreign Direct Investment</w:t>
      </w:r>
    </w:p>
    <w:p w:rsidR="00A77E21" w:rsidRPr="00313878" w:rsidRDefault="00A77E21" w:rsidP="0059239E">
      <w:pPr>
        <w:rPr>
          <w:rFonts w:asciiTheme="minorHAnsi" w:hAnsiTheme="minorHAnsi"/>
          <w:sz w:val="22"/>
          <w:szCs w:val="22"/>
        </w:rPr>
      </w:pPr>
      <w:r w:rsidRPr="00313878">
        <w:rPr>
          <w:rFonts w:asciiTheme="minorHAnsi" w:hAnsiTheme="minorHAnsi"/>
          <w:sz w:val="22"/>
          <w:szCs w:val="22"/>
        </w:rPr>
        <w:t>GAFSP</w:t>
      </w:r>
      <w:r w:rsidRPr="00313878">
        <w:rPr>
          <w:rFonts w:asciiTheme="minorHAnsi" w:hAnsiTheme="minorHAnsi"/>
          <w:sz w:val="22"/>
          <w:szCs w:val="22"/>
        </w:rPr>
        <w:tab/>
      </w:r>
      <w:r w:rsidR="007453EB" w:rsidRPr="00313878">
        <w:rPr>
          <w:rFonts w:asciiTheme="minorHAnsi" w:hAnsiTheme="minorHAnsi"/>
          <w:sz w:val="22"/>
          <w:szCs w:val="22"/>
        </w:rPr>
        <w:tab/>
        <w:t>Global Agriculture and Food Security Program</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GCAP</w:t>
      </w:r>
      <w:r w:rsidRPr="00313878">
        <w:rPr>
          <w:rFonts w:asciiTheme="minorHAnsi" w:hAnsiTheme="minorHAnsi"/>
          <w:sz w:val="22"/>
          <w:szCs w:val="22"/>
        </w:rPr>
        <w:tab/>
      </w:r>
      <w:r w:rsidRPr="00313878">
        <w:rPr>
          <w:rFonts w:asciiTheme="minorHAnsi" w:hAnsiTheme="minorHAnsi"/>
          <w:sz w:val="22"/>
          <w:szCs w:val="22"/>
        </w:rPr>
        <w:tab/>
        <w:t>Ghana Commercial Agriculture Program</w:t>
      </w:r>
    </w:p>
    <w:p w:rsidR="007453EB" w:rsidRPr="00313878" w:rsidRDefault="007453EB" w:rsidP="0059239E">
      <w:pPr>
        <w:rPr>
          <w:rFonts w:asciiTheme="minorHAnsi" w:hAnsiTheme="minorHAnsi"/>
          <w:sz w:val="22"/>
          <w:szCs w:val="22"/>
        </w:rPr>
      </w:pPr>
      <w:r w:rsidRPr="00313878">
        <w:rPr>
          <w:rFonts w:asciiTheme="minorHAnsi" w:hAnsiTheme="minorHAnsi"/>
          <w:sz w:val="22"/>
          <w:szCs w:val="22"/>
        </w:rPr>
        <w:t>GEF</w:t>
      </w:r>
      <w:r w:rsidRPr="00313878">
        <w:rPr>
          <w:rFonts w:asciiTheme="minorHAnsi" w:hAnsiTheme="minorHAnsi"/>
          <w:sz w:val="22"/>
          <w:szCs w:val="22"/>
        </w:rPr>
        <w:tab/>
      </w:r>
      <w:r w:rsidRPr="00313878">
        <w:rPr>
          <w:rFonts w:asciiTheme="minorHAnsi" w:hAnsiTheme="minorHAnsi"/>
          <w:sz w:val="22"/>
          <w:szCs w:val="22"/>
        </w:rPr>
        <w:tab/>
        <w:t>Global Environment Facility</w:t>
      </w:r>
    </w:p>
    <w:p w:rsidR="00A77E21" w:rsidRPr="00313878" w:rsidRDefault="00A77E21" w:rsidP="0059239E">
      <w:pPr>
        <w:rPr>
          <w:rFonts w:asciiTheme="minorHAnsi" w:hAnsiTheme="minorHAnsi"/>
          <w:sz w:val="22"/>
          <w:szCs w:val="22"/>
        </w:rPr>
      </w:pPr>
      <w:r w:rsidRPr="00313878">
        <w:rPr>
          <w:rFonts w:asciiTheme="minorHAnsi" w:hAnsiTheme="minorHAnsi"/>
          <w:sz w:val="22"/>
          <w:szCs w:val="22"/>
        </w:rPr>
        <w:t>IBRD</w:t>
      </w:r>
      <w:r w:rsidRPr="00313878">
        <w:rPr>
          <w:rFonts w:asciiTheme="minorHAnsi" w:hAnsiTheme="minorHAnsi"/>
          <w:sz w:val="22"/>
          <w:szCs w:val="22"/>
        </w:rPr>
        <w:tab/>
      </w:r>
      <w:r w:rsidRPr="00313878">
        <w:rPr>
          <w:rFonts w:asciiTheme="minorHAnsi" w:hAnsiTheme="minorHAnsi"/>
          <w:sz w:val="22"/>
          <w:szCs w:val="22"/>
        </w:rPr>
        <w:tab/>
        <w:t xml:space="preserve">International Bank for Reconstruction and Development </w:t>
      </w:r>
    </w:p>
    <w:p w:rsidR="00A77E21" w:rsidRPr="00313878" w:rsidRDefault="00A77E21" w:rsidP="0059239E">
      <w:pPr>
        <w:rPr>
          <w:rFonts w:asciiTheme="minorHAnsi" w:hAnsiTheme="minorHAnsi"/>
          <w:sz w:val="22"/>
          <w:szCs w:val="22"/>
        </w:rPr>
      </w:pPr>
      <w:r w:rsidRPr="00313878">
        <w:rPr>
          <w:rFonts w:asciiTheme="minorHAnsi" w:hAnsiTheme="minorHAnsi"/>
          <w:sz w:val="22"/>
          <w:szCs w:val="22"/>
        </w:rPr>
        <w:t>IDB</w:t>
      </w:r>
      <w:r w:rsidRPr="00313878">
        <w:rPr>
          <w:rFonts w:asciiTheme="minorHAnsi" w:hAnsiTheme="minorHAnsi"/>
          <w:sz w:val="22"/>
          <w:szCs w:val="22"/>
        </w:rPr>
        <w:tab/>
      </w:r>
      <w:r w:rsidRPr="00313878">
        <w:rPr>
          <w:rFonts w:asciiTheme="minorHAnsi" w:hAnsiTheme="minorHAnsi"/>
          <w:sz w:val="22"/>
          <w:szCs w:val="22"/>
        </w:rPr>
        <w:tab/>
        <w:t xml:space="preserve">International Development </w:t>
      </w:r>
      <w:r w:rsidR="007453EB" w:rsidRPr="00313878">
        <w:rPr>
          <w:rFonts w:asciiTheme="minorHAnsi" w:hAnsiTheme="minorHAnsi"/>
          <w:sz w:val="22"/>
          <w:szCs w:val="22"/>
        </w:rPr>
        <w:t>Association</w:t>
      </w:r>
    </w:p>
    <w:p w:rsidR="00A77E21" w:rsidRPr="00313878" w:rsidRDefault="007453EB" w:rsidP="0059239E">
      <w:pPr>
        <w:rPr>
          <w:rFonts w:asciiTheme="minorHAnsi" w:hAnsiTheme="minorHAnsi"/>
          <w:sz w:val="22"/>
          <w:szCs w:val="22"/>
        </w:rPr>
      </w:pPr>
      <w:r w:rsidRPr="00313878">
        <w:rPr>
          <w:rFonts w:asciiTheme="minorHAnsi" w:hAnsiTheme="minorHAnsi"/>
          <w:sz w:val="22"/>
          <w:szCs w:val="22"/>
        </w:rPr>
        <w:lastRenderedPageBreak/>
        <w:t>IFAD</w:t>
      </w:r>
      <w:r w:rsidRPr="00313878">
        <w:rPr>
          <w:rFonts w:asciiTheme="minorHAnsi" w:hAnsiTheme="minorHAnsi"/>
          <w:sz w:val="22"/>
          <w:szCs w:val="22"/>
        </w:rPr>
        <w:tab/>
      </w:r>
      <w:r w:rsidRPr="00313878">
        <w:rPr>
          <w:rFonts w:asciiTheme="minorHAnsi" w:hAnsiTheme="minorHAnsi"/>
          <w:sz w:val="22"/>
          <w:szCs w:val="22"/>
        </w:rPr>
        <w:tab/>
        <w:t>International Fund for Agricultural Development</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IFC</w:t>
      </w:r>
      <w:r w:rsidRPr="00313878">
        <w:rPr>
          <w:rFonts w:asciiTheme="minorHAnsi" w:hAnsiTheme="minorHAnsi"/>
          <w:sz w:val="22"/>
          <w:szCs w:val="22"/>
        </w:rPr>
        <w:tab/>
      </w:r>
      <w:r w:rsidRPr="00313878">
        <w:rPr>
          <w:rFonts w:asciiTheme="minorHAnsi" w:hAnsiTheme="minorHAnsi"/>
          <w:sz w:val="22"/>
          <w:szCs w:val="22"/>
        </w:rPr>
        <w:tab/>
        <w:t>International Finance Corporation</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IFPRI</w:t>
      </w:r>
      <w:r>
        <w:rPr>
          <w:rFonts w:asciiTheme="minorHAnsi" w:hAnsiTheme="minorHAnsi" w:cs="Arial"/>
          <w:b w:val="0"/>
          <w:color w:val="auto"/>
          <w:szCs w:val="22"/>
        </w:rPr>
        <w:tab/>
      </w:r>
      <w:r>
        <w:rPr>
          <w:rFonts w:asciiTheme="minorHAnsi" w:hAnsiTheme="minorHAnsi" w:cs="Arial"/>
          <w:b w:val="0"/>
          <w:color w:val="auto"/>
          <w:szCs w:val="22"/>
        </w:rPr>
        <w:tab/>
        <w:t xml:space="preserve">International Food Policy Research Institute </w:t>
      </w:r>
    </w:p>
    <w:p w:rsidR="00313878" w:rsidRPr="00313878" w:rsidRDefault="00313878" w:rsidP="003F6C09">
      <w:pPr>
        <w:pStyle w:val="Heading2"/>
        <w:spacing w:before="0" w:after="0"/>
        <w:rPr>
          <w:rFonts w:asciiTheme="minorHAnsi" w:hAnsiTheme="minorHAnsi" w:cs="Arial"/>
          <w:b w:val="0"/>
          <w:color w:val="auto"/>
          <w:szCs w:val="22"/>
        </w:rPr>
      </w:pPr>
      <w:r w:rsidRPr="00313878">
        <w:rPr>
          <w:rFonts w:asciiTheme="minorHAnsi" w:hAnsiTheme="minorHAnsi" w:cs="Arial"/>
          <w:b w:val="0"/>
          <w:color w:val="auto"/>
          <w:szCs w:val="22"/>
        </w:rPr>
        <w:t>IGAD</w:t>
      </w:r>
      <w:r w:rsidR="000939FB">
        <w:rPr>
          <w:rFonts w:asciiTheme="minorHAnsi" w:hAnsiTheme="minorHAnsi" w:cs="Arial"/>
          <w:b w:val="0"/>
          <w:color w:val="auto"/>
          <w:szCs w:val="22"/>
        </w:rPr>
        <w:tab/>
      </w:r>
      <w:r w:rsidR="000939FB">
        <w:rPr>
          <w:rFonts w:asciiTheme="minorHAnsi" w:hAnsiTheme="minorHAnsi" w:cs="Arial"/>
          <w:b w:val="0"/>
          <w:color w:val="auto"/>
          <w:szCs w:val="22"/>
        </w:rPr>
        <w:tab/>
        <w:t>Intergovernmental Authority on Development</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IITA</w:t>
      </w:r>
      <w:r w:rsidR="000939FB">
        <w:rPr>
          <w:rFonts w:asciiTheme="minorHAnsi" w:hAnsiTheme="minorHAnsi" w:cs="Arial"/>
          <w:b w:val="0"/>
          <w:color w:val="auto"/>
          <w:szCs w:val="22"/>
        </w:rPr>
        <w:tab/>
      </w:r>
      <w:r w:rsidR="000939FB">
        <w:rPr>
          <w:rFonts w:asciiTheme="minorHAnsi" w:hAnsiTheme="minorHAnsi" w:cs="Arial"/>
          <w:b w:val="0"/>
          <w:color w:val="auto"/>
          <w:szCs w:val="22"/>
        </w:rPr>
        <w:tab/>
        <w:t>International Institute of Tropical Agriculture</w:t>
      </w:r>
    </w:p>
    <w:p w:rsidR="00155CEB" w:rsidRPr="00155CEB" w:rsidRDefault="00155CEB" w:rsidP="00155CEB">
      <w:pPr>
        <w:rPr>
          <w:rFonts w:asciiTheme="minorHAnsi" w:hAnsiTheme="minorHAnsi" w:cs="Arial"/>
          <w:sz w:val="22"/>
          <w:szCs w:val="22"/>
        </w:rPr>
      </w:pPr>
      <w:r w:rsidRPr="00155CEB">
        <w:rPr>
          <w:rFonts w:asciiTheme="minorHAnsi" w:hAnsiTheme="minorHAnsi"/>
          <w:sz w:val="22"/>
          <w:szCs w:val="22"/>
        </w:rPr>
        <w:t>JICA</w:t>
      </w:r>
      <w:r w:rsidRPr="00155CEB">
        <w:rPr>
          <w:rFonts w:asciiTheme="minorHAnsi" w:hAnsiTheme="minorHAnsi"/>
          <w:sz w:val="22"/>
          <w:szCs w:val="22"/>
        </w:rPr>
        <w:tab/>
      </w:r>
      <w:r w:rsidRPr="00155CEB">
        <w:rPr>
          <w:rFonts w:asciiTheme="minorHAnsi" w:hAnsiTheme="minorHAnsi"/>
          <w:sz w:val="22"/>
          <w:szCs w:val="22"/>
        </w:rPr>
        <w:tab/>
      </w:r>
      <w:r w:rsidRPr="00155CEB">
        <w:rPr>
          <w:rFonts w:asciiTheme="minorHAnsi" w:hAnsiTheme="minorHAnsi" w:cs="Arial"/>
          <w:sz w:val="22"/>
          <w:szCs w:val="22"/>
        </w:rPr>
        <w:t>Japan International Cooperation Agency</w:t>
      </w:r>
    </w:p>
    <w:p w:rsidR="00CB6135" w:rsidRDefault="00CB6135" w:rsidP="003F6C09">
      <w:pPr>
        <w:pStyle w:val="Heading2"/>
        <w:spacing w:before="0" w:after="0"/>
        <w:rPr>
          <w:rFonts w:asciiTheme="minorHAnsi" w:hAnsiTheme="minorHAnsi" w:cs="Arial"/>
          <w:b w:val="0"/>
          <w:color w:val="auto"/>
          <w:szCs w:val="22"/>
        </w:rPr>
      </w:pPr>
      <w:r>
        <w:rPr>
          <w:rFonts w:asciiTheme="minorHAnsi" w:hAnsiTheme="minorHAnsi" w:cs="Arial"/>
          <w:b w:val="0"/>
          <w:color w:val="auto"/>
          <w:szCs w:val="22"/>
        </w:rPr>
        <w:t>MAPP</w:t>
      </w:r>
      <w:r>
        <w:rPr>
          <w:rFonts w:asciiTheme="minorHAnsi" w:hAnsiTheme="minorHAnsi" w:cs="Arial"/>
          <w:b w:val="0"/>
          <w:color w:val="auto"/>
          <w:szCs w:val="22"/>
        </w:rPr>
        <w:tab/>
      </w:r>
      <w:r>
        <w:rPr>
          <w:rFonts w:asciiTheme="minorHAnsi" w:hAnsiTheme="minorHAnsi" w:cs="Arial"/>
          <w:b w:val="0"/>
          <w:color w:val="auto"/>
          <w:szCs w:val="22"/>
        </w:rPr>
        <w:tab/>
        <w:t>Multi-country Agricultural Productivity Programme</w:t>
      </w:r>
    </w:p>
    <w:p w:rsidR="003F6C09" w:rsidRPr="00313878" w:rsidRDefault="003F6C09" w:rsidP="003F6C09">
      <w:pPr>
        <w:pStyle w:val="Heading2"/>
        <w:spacing w:before="0" w:after="0"/>
        <w:rPr>
          <w:rFonts w:asciiTheme="minorHAnsi" w:hAnsiTheme="minorHAnsi" w:cs="Arial"/>
          <w:b w:val="0"/>
          <w:color w:val="auto"/>
          <w:szCs w:val="22"/>
        </w:rPr>
      </w:pPr>
      <w:r w:rsidRPr="00313878">
        <w:rPr>
          <w:rFonts w:asciiTheme="minorHAnsi" w:hAnsiTheme="minorHAnsi" w:cs="Arial"/>
          <w:b w:val="0"/>
          <w:color w:val="auto"/>
          <w:szCs w:val="22"/>
        </w:rPr>
        <w:t>MDTF</w:t>
      </w:r>
      <w:r w:rsidRPr="00313878">
        <w:rPr>
          <w:rFonts w:asciiTheme="minorHAnsi" w:hAnsiTheme="minorHAnsi" w:cs="Arial"/>
          <w:b w:val="0"/>
          <w:color w:val="auto"/>
          <w:szCs w:val="22"/>
        </w:rPr>
        <w:tab/>
      </w:r>
      <w:r w:rsidRPr="00313878">
        <w:rPr>
          <w:rFonts w:asciiTheme="minorHAnsi" w:hAnsiTheme="minorHAnsi" w:cs="Arial"/>
          <w:b w:val="0"/>
          <w:color w:val="auto"/>
          <w:szCs w:val="22"/>
        </w:rPr>
        <w:tab/>
        <w:t>Multi-Donor Trust Fund</w:t>
      </w:r>
    </w:p>
    <w:p w:rsidR="00CB6135" w:rsidRDefault="00CB6135" w:rsidP="00A77E21">
      <w:pPr>
        <w:rPr>
          <w:rFonts w:asciiTheme="minorHAnsi" w:hAnsiTheme="minorHAnsi"/>
          <w:sz w:val="22"/>
          <w:szCs w:val="22"/>
        </w:rPr>
      </w:pPr>
      <w:r>
        <w:rPr>
          <w:rFonts w:asciiTheme="minorHAnsi" w:hAnsiTheme="minorHAnsi"/>
          <w:sz w:val="22"/>
          <w:szCs w:val="22"/>
        </w:rPr>
        <w:t>MEA</w:t>
      </w:r>
      <w:r>
        <w:rPr>
          <w:rFonts w:asciiTheme="minorHAnsi" w:hAnsiTheme="minorHAnsi"/>
          <w:sz w:val="22"/>
          <w:szCs w:val="22"/>
        </w:rPr>
        <w:tab/>
      </w:r>
      <w:r>
        <w:rPr>
          <w:rFonts w:asciiTheme="minorHAnsi" w:hAnsiTheme="minorHAnsi"/>
          <w:sz w:val="22"/>
          <w:szCs w:val="22"/>
        </w:rPr>
        <w:tab/>
        <w:t>Multilateral Environment Agreement</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METASIP</w:t>
      </w:r>
      <w:r w:rsidRPr="00313878">
        <w:rPr>
          <w:rFonts w:asciiTheme="minorHAnsi" w:hAnsiTheme="minorHAnsi"/>
          <w:sz w:val="22"/>
          <w:szCs w:val="22"/>
        </w:rPr>
        <w:tab/>
        <w:t>Medium Term Agriculture Sector Investment Plan</w:t>
      </w:r>
    </w:p>
    <w:p w:rsidR="00F221C3" w:rsidRDefault="00F221C3" w:rsidP="00A77E21">
      <w:pPr>
        <w:rPr>
          <w:rFonts w:asciiTheme="minorHAnsi" w:hAnsiTheme="minorHAnsi"/>
          <w:sz w:val="22"/>
          <w:szCs w:val="22"/>
        </w:rPr>
      </w:pPr>
      <w:proofErr w:type="spellStart"/>
      <w:r>
        <w:rPr>
          <w:rFonts w:asciiTheme="minorHAnsi" w:hAnsiTheme="minorHAnsi"/>
          <w:sz w:val="22"/>
          <w:szCs w:val="22"/>
        </w:rPr>
        <w:t>MoFA</w:t>
      </w:r>
      <w:proofErr w:type="spellEnd"/>
      <w:r>
        <w:rPr>
          <w:rFonts w:asciiTheme="minorHAnsi" w:hAnsiTheme="minorHAnsi"/>
          <w:sz w:val="22"/>
          <w:szCs w:val="22"/>
        </w:rPr>
        <w:tab/>
      </w:r>
      <w:r>
        <w:rPr>
          <w:rFonts w:asciiTheme="minorHAnsi" w:hAnsiTheme="minorHAnsi"/>
          <w:sz w:val="22"/>
          <w:szCs w:val="22"/>
        </w:rPr>
        <w:tab/>
        <w:t>Ministry of Food and Agriculture</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 xml:space="preserve">MTCCBP </w:t>
      </w:r>
      <w:r w:rsidRPr="00313878">
        <w:rPr>
          <w:rFonts w:asciiTheme="minorHAnsi" w:hAnsiTheme="minorHAnsi"/>
          <w:sz w:val="22"/>
          <w:szCs w:val="22"/>
        </w:rPr>
        <w:tab/>
        <w:t>Medium Term Comprehensive Capacity Building Programme</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NEPAD</w:t>
      </w:r>
      <w:r w:rsidR="008E0CE1">
        <w:rPr>
          <w:rFonts w:asciiTheme="minorHAnsi" w:hAnsiTheme="minorHAnsi"/>
          <w:sz w:val="22"/>
          <w:szCs w:val="22"/>
        </w:rPr>
        <w:tab/>
      </w:r>
      <w:r w:rsidR="008E0CE1">
        <w:rPr>
          <w:rFonts w:asciiTheme="minorHAnsi" w:hAnsiTheme="minorHAnsi"/>
          <w:sz w:val="22"/>
          <w:szCs w:val="22"/>
        </w:rPr>
        <w:tab/>
        <w:t>New Partnership for Africa’s Development</w:t>
      </w:r>
    </w:p>
    <w:p w:rsidR="00313878" w:rsidRPr="00313878" w:rsidRDefault="00313878" w:rsidP="00A77E21">
      <w:pPr>
        <w:rPr>
          <w:rFonts w:asciiTheme="minorHAnsi" w:hAnsiTheme="minorHAnsi"/>
          <w:sz w:val="22"/>
          <w:szCs w:val="22"/>
        </w:rPr>
      </w:pPr>
      <w:r w:rsidRPr="00313878">
        <w:rPr>
          <w:rFonts w:asciiTheme="minorHAnsi" w:hAnsiTheme="minorHAnsi"/>
          <w:sz w:val="22"/>
          <w:szCs w:val="22"/>
        </w:rPr>
        <w:t>NPCA</w:t>
      </w:r>
      <w:r w:rsidRPr="00313878">
        <w:rPr>
          <w:rFonts w:asciiTheme="minorHAnsi" w:hAnsiTheme="minorHAnsi"/>
          <w:sz w:val="22"/>
          <w:szCs w:val="22"/>
        </w:rPr>
        <w:tab/>
      </w:r>
      <w:r w:rsidRPr="00313878">
        <w:rPr>
          <w:rFonts w:asciiTheme="minorHAnsi" w:hAnsiTheme="minorHAnsi"/>
          <w:sz w:val="22"/>
          <w:szCs w:val="22"/>
        </w:rPr>
        <w:tab/>
        <w:t>NEPAD Planning and Coordinating Agency</w:t>
      </w:r>
    </w:p>
    <w:p w:rsidR="00A77E21" w:rsidRPr="00313878" w:rsidRDefault="00A77E21" w:rsidP="00A77E21">
      <w:pPr>
        <w:rPr>
          <w:rFonts w:asciiTheme="minorHAnsi" w:hAnsiTheme="minorHAnsi"/>
          <w:sz w:val="22"/>
          <w:szCs w:val="22"/>
        </w:rPr>
      </w:pPr>
      <w:r w:rsidRPr="00313878">
        <w:rPr>
          <w:rFonts w:asciiTheme="minorHAnsi" w:hAnsiTheme="minorHAnsi"/>
          <w:sz w:val="22"/>
          <w:szCs w:val="22"/>
        </w:rPr>
        <w:t>ODA</w:t>
      </w:r>
      <w:r w:rsidRPr="00313878">
        <w:rPr>
          <w:rFonts w:asciiTheme="minorHAnsi" w:hAnsiTheme="minorHAnsi"/>
          <w:sz w:val="22"/>
          <w:szCs w:val="22"/>
        </w:rPr>
        <w:tab/>
      </w:r>
      <w:r w:rsidRPr="00313878">
        <w:rPr>
          <w:rFonts w:asciiTheme="minorHAnsi" w:hAnsiTheme="minorHAnsi"/>
          <w:sz w:val="22"/>
          <w:szCs w:val="22"/>
        </w:rPr>
        <w:tab/>
        <w:t>Overseas Development Assistance</w:t>
      </w:r>
    </w:p>
    <w:p w:rsidR="0059239E" w:rsidRPr="00313878" w:rsidRDefault="0059239E" w:rsidP="0059239E">
      <w:pPr>
        <w:rPr>
          <w:rFonts w:asciiTheme="minorHAnsi" w:hAnsiTheme="minorHAnsi"/>
          <w:sz w:val="22"/>
          <w:szCs w:val="22"/>
        </w:rPr>
      </w:pPr>
      <w:r w:rsidRPr="00313878">
        <w:rPr>
          <w:rFonts w:asciiTheme="minorHAnsi" w:hAnsiTheme="minorHAnsi"/>
          <w:sz w:val="22"/>
          <w:szCs w:val="22"/>
        </w:rPr>
        <w:t>OECD</w:t>
      </w:r>
      <w:r w:rsidRPr="00313878">
        <w:rPr>
          <w:rFonts w:asciiTheme="minorHAnsi" w:hAnsiTheme="minorHAnsi"/>
          <w:sz w:val="22"/>
          <w:szCs w:val="22"/>
        </w:rPr>
        <w:tab/>
      </w:r>
      <w:r w:rsidRPr="00313878">
        <w:rPr>
          <w:rFonts w:asciiTheme="minorHAnsi" w:hAnsiTheme="minorHAnsi"/>
          <w:sz w:val="22"/>
          <w:szCs w:val="22"/>
        </w:rPr>
        <w:tab/>
        <w:t>Organisation of Economic Cooperation and Development</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PAD</w:t>
      </w:r>
      <w:r w:rsidR="005F2098">
        <w:rPr>
          <w:rFonts w:asciiTheme="minorHAnsi" w:hAnsiTheme="minorHAnsi"/>
          <w:sz w:val="22"/>
          <w:szCs w:val="22"/>
        </w:rPr>
        <w:tab/>
      </w:r>
      <w:r w:rsidR="005F2098">
        <w:rPr>
          <w:rFonts w:asciiTheme="minorHAnsi" w:hAnsiTheme="minorHAnsi"/>
          <w:sz w:val="22"/>
          <w:szCs w:val="22"/>
        </w:rPr>
        <w:tab/>
        <w:t>Project Appraisal Document</w:t>
      </w:r>
    </w:p>
    <w:p w:rsidR="00CB6135" w:rsidRDefault="00CB6135" w:rsidP="0059239E">
      <w:pPr>
        <w:rPr>
          <w:rFonts w:asciiTheme="minorHAnsi" w:hAnsiTheme="minorHAnsi"/>
          <w:sz w:val="22"/>
          <w:szCs w:val="22"/>
        </w:rPr>
      </w:pPr>
      <w:r>
        <w:rPr>
          <w:rFonts w:asciiTheme="minorHAnsi" w:hAnsiTheme="minorHAnsi"/>
          <w:sz w:val="22"/>
          <w:szCs w:val="22"/>
        </w:rPr>
        <w:t>PATTEC</w:t>
      </w:r>
      <w:r>
        <w:rPr>
          <w:rFonts w:asciiTheme="minorHAnsi" w:hAnsiTheme="minorHAnsi"/>
          <w:sz w:val="22"/>
          <w:szCs w:val="22"/>
        </w:rPr>
        <w:tab/>
      </w:r>
      <w:r>
        <w:rPr>
          <w:rFonts w:asciiTheme="minorHAnsi" w:hAnsiTheme="minorHAnsi"/>
          <w:sz w:val="22"/>
          <w:szCs w:val="22"/>
        </w:rPr>
        <w:tab/>
        <w:t xml:space="preserve">Pan African Tsetse and </w:t>
      </w:r>
      <w:proofErr w:type="spellStart"/>
      <w:r>
        <w:rPr>
          <w:rFonts w:asciiTheme="minorHAnsi" w:hAnsiTheme="minorHAnsi"/>
          <w:sz w:val="22"/>
          <w:szCs w:val="22"/>
        </w:rPr>
        <w:t>Trypanosomiasis</w:t>
      </w:r>
      <w:proofErr w:type="spellEnd"/>
      <w:r>
        <w:rPr>
          <w:rFonts w:asciiTheme="minorHAnsi" w:hAnsiTheme="minorHAnsi"/>
          <w:sz w:val="22"/>
          <w:szCs w:val="22"/>
        </w:rPr>
        <w:t xml:space="preserve"> Control and Eradication</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PIF</w:t>
      </w:r>
      <w:r w:rsidRPr="00313878">
        <w:rPr>
          <w:rFonts w:asciiTheme="minorHAnsi" w:hAnsiTheme="minorHAnsi"/>
          <w:sz w:val="22"/>
          <w:szCs w:val="22"/>
        </w:rPr>
        <w:tab/>
      </w:r>
      <w:r w:rsidRPr="00313878">
        <w:rPr>
          <w:rFonts w:asciiTheme="minorHAnsi" w:hAnsiTheme="minorHAnsi"/>
          <w:sz w:val="22"/>
          <w:szCs w:val="22"/>
        </w:rPr>
        <w:tab/>
        <w:t>Policy and Investment Framework</w:t>
      </w:r>
    </w:p>
    <w:p w:rsidR="00CB6135" w:rsidRDefault="00CB6135" w:rsidP="0059239E">
      <w:pPr>
        <w:rPr>
          <w:rFonts w:asciiTheme="minorHAnsi" w:hAnsiTheme="minorHAnsi"/>
          <w:sz w:val="22"/>
          <w:szCs w:val="22"/>
        </w:rPr>
      </w:pPr>
      <w:r>
        <w:rPr>
          <w:rFonts w:asciiTheme="minorHAnsi" w:hAnsiTheme="minorHAnsi"/>
          <w:sz w:val="22"/>
          <w:szCs w:val="22"/>
        </w:rPr>
        <w:t>RAIP</w:t>
      </w:r>
      <w:r>
        <w:rPr>
          <w:rFonts w:asciiTheme="minorHAnsi" w:hAnsiTheme="minorHAnsi"/>
          <w:sz w:val="22"/>
          <w:szCs w:val="22"/>
        </w:rPr>
        <w:tab/>
      </w:r>
      <w:r>
        <w:rPr>
          <w:rFonts w:asciiTheme="minorHAnsi" w:hAnsiTheme="minorHAnsi"/>
          <w:sz w:val="22"/>
          <w:szCs w:val="22"/>
        </w:rPr>
        <w:tab/>
        <w:t>Regional Investment Plan</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REC</w:t>
      </w:r>
      <w:r w:rsidRPr="00313878">
        <w:rPr>
          <w:rFonts w:asciiTheme="minorHAnsi" w:hAnsiTheme="minorHAnsi"/>
          <w:sz w:val="22"/>
          <w:szCs w:val="22"/>
        </w:rPr>
        <w:tab/>
      </w:r>
      <w:r w:rsidRPr="00313878">
        <w:rPr>
          <w:rFonts w:asciiTheme="minorHAnsi" w:hAnsiTheme="minorHAnsi"/>
          <w:sz w:val="22"/>
          <w:szCs w:val="22"/>
        </w:rPr>
        <w:tab/>
        <w:t>Regional Economic Communities</w:t>
      </w:r>
    </w:p>
    <w:p w:rsidR="00CB6135" w:rsidRDefault="00CB6135" w:rsidP="0059239E">
      <w:pPr>
        <w:rPr>
          <w:rFonts w:asciiTheme="minorHAnsi" w:hAnsiTheme="minorHAnsi"/>
          <w:sz w:val="22"/>
          <w:szCs w:val="22"/>
        </w:rPr>
      </w:pPr>
      <w:proofErr w:type="spellStart"/>
      <w:r>
        <w:rPr>
          <w:rFonts w:asciiTheme="minorHAnsi" w:hAnsiTheme="minorHAnsi"/>
          <w:sz w:val="22"/>
          <w:szCs w:val="22"/>
        </w:rPr>
        <w:t>ReSAAKS</w:t>
      </w:r>
      <w:proofErr w:type="spellEnd"/>
      <w:r w:rsidR="005F2098">
        <w:rPr>
          <w:rFonts w:asciiTheme="minorHAnsi" w:hAnsiTheme="minorHAnsi"/>
          <w:sz w:val="22"/>
          <w:szCs w:val="22"/>
        </w:rPr>
        <w:tab/>
        <w:t>Regional Strategy Analysis and Knowledge Support System</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SADC</w:t>
      </w:r>
      <w:r w:rsidR="005F2098">
        <w:rPr>
          <w:rFonts w:asciiTheme="minorHAnsi" w:hAnsiTheme="minorHAnsi"/>
          <w:sz w:val="22"/>
          <w:szCs w:val="22"/>
        </w:rPr>
        <w:tab/>
      </w:r>
      <w:r w:rsidR="005F2098">
        <w:rPr>
          <w:rFonts w:asciiTheme="minorHAnsi" w:hAnsiTheme="minorHAnsi"/>
          <w:sz w:val="22"/>
          <w:szCs w:val="22"/>
        </w:rPr>
        <w:tab/>
        <w:t xml:space="preserve">Southern African Development Community </w:t>
      </w:r>
    </w:p>
    <w:p w:rsidR="00313878" w:rsidRPr="00313878" w:rsidRDefault="00313878" w:rsidP="0059239E">
      <w:pPr>
        <w:rPr>
          <w:rFonts w:asciiTheme="minorHAnsi" w:hAnsiTheme="minorHAnsi"/>
          <w:sz w:val="22"/>
          <w:szCs w:val="22"/>
        </w:rPr>
      </w:pPr>
      <w:r w:rsidRPr="00313878">
        <w:rPr>
          <w:rFonts w:asciiTheme="minorHAnsi" w:hAnsiTheme="minorHAnsi"/>
          <w:sz w:val="22"/>
          <w:szCs w:val="22"/>
        </w:rPr>
        <w:t>SAGCOT</w:t>
      </w:r>
      <w:r w:rsidRPr="00313878">
        <w:rPr>
          <w:rFonts w:asciiTheme="minorHAnsi" w:hAnsiTheme="minorHAnsi"/>
          <w:sz w:val="22"/>
          <w:szCs w:val="22"/>
        </w:rPr>
        <w:tab/>
        <w:t>Southern Agricultural Growth Corridor of Tanzania</w:t>
      </w:r>
    </w:p>
    <w:p w:rsidR="00CB6135" w:rsidRDefault="00CB6135" w:rsidP="0059239E">
      <w:pPr>
        <w:rPr>
          <w:rFonts w:asciiTheme="minorHAnsi" w:hAnsiTheme="minorHAnsi"/>
          <w:sz w:val="22"/>
          <w:szCs w:val="22"/>
        </w:rPr>
      </w:pPr>
      <w:r>
        <w:rPr>
          <w:rFonts w:asciiTheme="minorHAnsi" w:hAnsiTheme="minorHAnsi"/>
          <w:sz w:val="22"/>
          <w:szCs w:val="22"/>
        </w:rPr>
        <w:t>SIDA</w:t>
      </w:r>
      <w:r w:rsidR="005F2098">
        <w:rPr>
          <w:rFonts w:asciiTheme="minorHAnsi" w:hAnsiTheme="minorHAnsi"/>
          <w:sz w:val="22"/>
          <w:szCs w:val="22"/>
        </w:rPr>
        <w:tab/>
      </w:r>
      <w:r w:rsidR="005F2098">
        <w:rPr>
          <w:rFonts w:asciiTheme="minorHAnsi" w:hAnsiTheme="minorHAnsi"/>
          <w:sz w:val="22"/>
          <w:szCs w:val="22"/>
        </w:rPr>
        <w:tab/>
        <w:t>Swedish International Development Cooperation Agency</w:t>
      </w:r>
    </w:p>
    <w:p w:rsidR="00313878" w:rsidRDefault="00313878" w:rsidP="0059239E">
      <w:pPr>
        <w:rPr>
          <w:rFonts w:asciiTheme="minorHAnsi" w:hAnsiTheme="minorHAnsi"/>
          <w:sz w:val="22"/>
          <w:szCs w:val="22"/>
        </w:rPr>
      </w:pPr>
      <w:r w:rsidRPr="00313878">
        <w:rPr>
          <w:rFonts w:asciiTheme="minorHAnsi" w:hAnsiTheme="minorHAnsi"/>
          <w:sz w:val="22"/>
          <w:szCs w:val="22"/>
        </w:rPr>
        <w:t>TAFSIP</w:t>
      </w:r>
      <w:r w:rsidRPr="00313878">
        <w:rPr>
          <w:rFonts w:asciiTheme="minorHAnsi" w:hAnsiTheme="minorHAnsi"/>
          <w:sz w:val="22"/>
          <w:szCs w:val="22"/>
        </w:rPr>
        <w:tab/>
      </w:r>
      <w:r w:rsidRPr="00313878">
        <w:rPr>
          <w:rFonts w:asciiTheme="minorHAnsi" w:hAnsiTheme="minorHAnsi"/>
          <w:sz w:val="22"/>
          <w:szCs w:val="22"/>
        </w:rPr>
        <w:tab/>
        <w:t>Tanzania Agriculture and Food Security Investment Plan</w:t>
      </w:r>
    </w:p>
    <w:p w:rsidR="00F221C3" w:rsidRDefault="00F221C3" w:rsidP="0059239E">
      <w:pPr>
        <w:rPr>
          <w:rFonts w:asciiTheme="minorHAnsi" w:hAnsiTheme="minorHAnsi"/>
          <w:sz w:val="22"/>
          <w:szCs w:val="22"/>
        </w:rPr>
      </w:pPr>
      <w:r>
        <w:rPr>
          <w:rFonts w:asciiTheme="minorHAnsi" w:hAnsiTheme="minorHAnsi"/>
          <w:sz w:val="22"/>
          <w:szCs w:val="22"/>
        </w:rPr>
        <w:t>TFP</w:t>
      </w:r>
      <w:r>
        <w:rPr>
          <w:rFonts w:asciiTheme="minorHAnsi" w:hAnsiTheme="minorHAnsi"/>
          <w:sz w:val="22"/>
          <w:szCs w:val="22"/>
        </w:rPr>
        <w:tab/>
      </w:r>
      <w:r>
        <w:rPr>
          <w:rFonts w:asciiTheme="minorHAnsi" w:hAnsiTheme="minorHAnsi"/>
          <w:sz w:val="22"/>
          <w:szCs w:val="22"/>
        </w:rPr>
        <w:tab/>
        <w:t>Technical and Financial Partners</w:t>
      </w:r>
    </w:p>
    <w:p w:rsidR="00CB6135" w:rsidRDefault="00CB6135" w:rsidP="0059239E">
      <w:pPr>
        <w:rPr>
          <w:rFonts w:asciiTheme="minorHAnsi" w:hAnsiTheme="minorHAnsi"/>
          <w:sz w:val="22"/>
          <w:szCs w:val="22"/>
        </w:rPr>
      </w:pPr>
      <w:r>
        <w:rPr>
          <w:rFonts w:asciiTheme="minorHAnsi" w:hAnsiTheme="minorHAnsi"/>
          <w:sz w:val="22"/>
          <w:szCs w:val="22"/>
        </w:rPr>
        <w:t>UKZN</w:t>
      </w:r>
      <w:r>
        <w:rPr>
          <w:rFonts w:asciiTheme="minorHAnsi" w:hAnsiTheme="minorHAnsi"/>
          <w:sz w:val="22"/>
          <w:szCs w:val="22"/>
        </w:rPr>
        <w:tab/>
      </w:r>
      <w:r>
        <w:rPr>
          <w:rFonts w:asciiTheme="minorHAnsi" w:hAnsiTheme="minorHAnsi"/>
          <w:sz w:val="22"/>
          <w:szCs w:val="22"/>
        </w:rPr>
        <w:tab/>
        <w:t xml:space="preserve">University of </w:t>
      </w:r>
      <w:proofErr w:type="spellStart"/>
      <w:r>
        <w:rPr>
          <w:rFonts w:asciiTheme="minorHAnsi" w:hAnsiTheme="minorHAnsi"/>
          <w:sz w:val="22"/>
          <w:szCs w:val="22"/>
        </w:rPr>
        <w:t>KwaZulu</w:t>
      </w:r>
      <w:proofErr w:type="spellEnd"/>
      <w:r>
        <w:rPr>
          <w:rFonts w:asciiTheme="minorHAnsi" w:hAnsiTheme="minorHAnsi"/>
          <w:sz w:val="22"/>
          <w:szCs w:val="22"/>
        </w:rPr>
        <w:t xml:space="preserve"> Natal</w:t>
      </w:r>
    </w:p>
    <w:p w:rsidR="00CB6135" w:rsidRPr="00313878" w:rsidRDefault="00CB6135" w:rsidP="0059239E">
      <w:pPr>
        <w:rPr>
          <w:rFonts w:asciiTheme="minorHAnsi" w:hAnsiTheme="minorHAnsi"/>
          <w:sz w:val="22"/>
          <w:szCs w:val="22"/>
        </w:rPr>
      </w:pPr>
      <w:r>
        <w:rPr>
          <w:rFonts w:asciiTheme="minorHAnsi" w:hAnsiTheme="minorHAnsi"/>
          <w:sz w:val="22"/>
          <w:szCs w:val="22"/>
        </w:rPr>
        <w:t>WAAPP</w:t>
      </w:r>
      <w:r>
        <w:rPr>
          <w:rFonts w:asciiTheme="minorHAnsi" w:hAnsiTheme="minorHAnsi"/>
          <w:sz w:val="22"/>
          <w:szCs w:val="22"/>
        </w:rPr>
        <w:tab/>
      </w:r>
      <w:r>
        <w:rPr>
          <w:rFonts w:asciiTheme="minorHAnsi" w:hAnsiTheme="minorHAnsi"/>
          <w:sz w:val="22"/>
          <w:szCs w:val="22"/>
        </w:rPr>
        <w:tab/>
        <w:t>West Africa Agricultural Productivity Program</w:t>
      </w:r>
    </w:p>
    <w:p w:rsidR="00F221C3" w:rsidRPr="00F221C3" w:rsidRDefault="00F221C3" w:rsidP="00F221C3">
      <w:pPr>
        <w:rPr>
          <w:rFonts w:asciiTheme="minorHAnsi" w:hAnsiTheme="minorHAnsi" w:cs="Arial"/>
          <w:sz w:val="22"/>
          <w:szCs w:val="22"/>
        </w:rPr>
      </w:pPr>
      <w:r w:rsidRPr="00F221C3">
        <w:rPr>
          <w:rFonts w:asciiTheme="minorHAnsi" w:hAnsiTheme="minorHAnsi" w:cs="Arial"/>
          <w:sz w:val="22"/>
          <w:szCs w:val="22"/>
        </w:rPr>
        <w:t xml:space="preserve">WECARD </w:t>
      </w:r>
      <w:r>
        <w:rPr>
          <w:rFonts w:asciiTheme="minorHAnsi" w:hAnsiTheme="minorHAnsi" w:cs="Arial"/>
          <w:sz w:val="22"/>
          <w:szCs w:val="22"/>
        </w:rPr>
        <w:tab/>
      </w:r>
      <w:r w:rsidRPr="00F221C3">
        <w:rPr>
          <w:rFonts w:asciiTheme="minorHAnsi" w:hAnsiTheme="minorHAnsi" w:cs="Arial"/>
          <w:sz w:val="22"/>
          <w:szCs w:val="22"/>
          <w:shd w:val="clear" w:color="auto" w:fill="FFFFFF"/>
        </w:rPr>
        <w:t>West and Central African Council for Research and Development</w:t>
      </w:r>
      <w:r w:rsidRPr="00F221C3">
        <w:rPr>
          <w:rStyle w:val="apple-converted-space"/>
          <w:rFonts w:ascii="Arial" w:hAnsi="Arial" w:cs="Arial"/>
          <w:shd w:val="clear" w:color="auto" w:fill="FFFFFF"/>
        </w:rPr>
        <w:t> </w:t>
      </w:r>
    </w:p>
    <w:p w:rsidR="003F6C09" w:rsidRPr="00313878" w:rsidRDefault="003F6C09" w:rsidP="003F6C09">
      <w:pPr>
        <w:rPr>
          <w:rFonts w:asciiTheme="minorHAnsi" w:hAnsiTheme="minorHAnsi" w:cs="Arial"/>
          <w:b/>
          <w:sz w:val="22"/>
          <w:szCs w:val="22"/>
        </w:rPr>
      </w:pPr>
    </w:p>
    <w:p w:rsidR="003F6C09" w:rsidRPr="00313878" w:rsidRDefault="003F6C09" w:rsidP="003F6C09">
      <w:pPr>
        <w:autoSpaceDE w:val="0"/>
        <w:autoSpaceDN w:val="0"/>
        <w:adjustRightInd w:val="0"/>
        <w:jc w:val="center"/>
        <w:rPr>
          <w:rFonts w:asciiTheme="minorHAnsi" w:hAnsiTheme="minorHAnsi" w:cs="Arial"/>
          <w:sz w:val="22"/>
          <w:szCs w:val="22"/>
        </w:rPr>
      </w:pPr>
      <w:r w:rsidRPr="00313878">
        <w:rPr>
          <w:rFonts w:asciiTheme="minorHAnsi" w:hAnsiTheme="minorHAnsi" w:cs="Arial"/>
          <w:sz w:val="22"/>
          <w:szCs w:val="22"/>
        </w:rPr>
        <w:tab/>
      </w:r>
      <w:r w:rsidRPr="00313878">
        <w:rPr>
          <w:rFonts w:asciiTheme="minorHAnsi" w:hAnsiTheme="minorHAnsi" w:cs="Arial"/>
          <w:sz w:val="22"/>
          <w:szCs w:val="22"/>
        </w:rPr>
        <w:tab/>
      </w:r>
      <w:r w:rsidRPr="00313878">
        <w:rPr>
          <w:rFonts w:asciiTheme="minorHAnsi" w:hAnsiTheme="minorHAnsi" w:cs="Arial"/>
          <w:sz w:val="22"/>
          <w:szCs w:val="22"/>
        </w:rPr>
        <w:tab/>
      </w:r>
      <w:r w:rsidRPr="00313878">
        <w:rPr>
          <w:rFonts w:asciiTheme="minorHAnsi" w:hAnsiTheme="minorHAnsi" w:cs="Arial"/>
          <w:sz w:val="22"/>
          <w:szCs w:val="22"/>
        </w:rPr>
        <w:tab/>
      </w:r>
      <w:r w:rsidRPr="00313878">
        <w:rPr>
          <w:rFonts w:asciiTheme="minorHAnsi" w:hAnsiTheme="minorHAnsi" w:cs="Arial"/>
          <w:sz w:val="22"/>
          <w:szCs w:val="22"/>
        </w:rPr>
        <w:tab/>
      </w:r>
      <w:r w:rsidRPr="00313878">
        <w:rPr>
          <w:rFonts w:asciiTheme="minorHAnsi" w:hAnsiTheme="minorHAnsi" w:cs="Arial"/>
          <w:sz w:val="22"/>
          <w:szCs w:val="22"/>
        </w:rPr>
        <w:tab/>
      </w:r>
      <w:r w:rsidRPr="00313878">
        <w:rPr>
          <w:rFonts w:asciiTheme="minorHAnsi" w:hAnsiTheme="minorHAnsi" w:cs="Arial"/>
          <w:sz w:val="22"/>
          <w:szCs w:val="22"/>
        </w:rPr>
        <w:tab/>
      </w:r>
    </w:p>
    <w:p w:rsidR="003F6C09" w:rsidRPr="00313878" w:rsidRDefault="003F6C09" w:rsidP="003F6C09">
      <w:pPr>
        <w:autoSpaceDE w:val="0"/>
        <w:autoSpaceDN w:val="0"/>
        <w:adjustRightInd w:val="0"/>
        <w:jc w:val="center"/>
        <w:rPr>
          <w:rFonts w:asciiTheme="minorHAnsi" w:hAnsiTheme="minorHAnsi" w:cs="Arial"/>
          <w:sz w:val="22"/>
          <w:szCs w:val="22"/>
        </w:rPr>
      </w:pPr>
    </w:p>
    <w:p w:rsidR="003F6C09" w:rsidRDefault="003F6C09" w:rsidP="003F6C09">
      <w:pPr>
        <w:rPr>
          <w:rFonts w:ascii="Arial" w:hAnsi="Arial" w:cs="Arial"/>
        </w:rPr>
      </w:pPr>
      <w:r>
        <w:rPr>
          <w:rFonts w:ascii="Arial" w:hAnsi="Arial" w:cs="Arial"/>
        </w:rPr>
        <w:br w:type="page"/>
      </w:r>
    </w:p>
    <w:p w:rsidR="003F6C09" w:rsidRPr="008744CB" w:rsidRDefault="003F6C09" w:rsidP="003F6C09">
      <w:pPr>
        <w:autoSpaceDE w:val="0"/>
        <w:autoSpaceDN w:val="0"/>
        <w:adjustRightInd w:val="0"/>
        <w:jc w:val="center"/>
        <w:rPr>
          <w:rFonts w:asciiTheme="minorHAnsi" w:hAnsiTheme="minorHAnsi" w:cs="Arial"/>
          <w:b/>
          <w:color w:val="1F497D" w:themeColor="text2"/>
          <w:sz w:val="28"/>
          <w:szCs w:val="28"/>
        </w:rPr>
      </w:pPr>
      <w:r w:rsidRPr="008744CB">
        <w:rPr>
          <w:rFonts w:asciiTheme="minorHAnsi" w:hAnsiTheme="minorHAnsi" w:cs="Arial"/>
          <w:b/>
          <w:color w:val="1F497D" w:themeColor="text2"/>
          <w:sz w:val="28"/>
          <w:szCs w:val="28"/>
        </w:rPr>
        <w:lastRenderedPageBreak/>
        <w:t>EXECUTIVE SUMMARY</w:t>
      </w:r>
    </w:p>
    <w:p w:rsidR="003F6C09" w:rsidRPr="008744CB" w:rsidRDefault="003F6C09" w:rsidP="003F6C09">
      <w:pPr>
        <w:rPr>
          <w:rFonts w:asciiTheme="minorHAnsi" w:hAnsiTheme="minorHAnsi"/>
        </w:rPr>
      </w:pPr>
    </w:p>
    <w:p w:rsidR="00283307" w:rsidRDefault="00283307" w:rsidP="00D15F8E">
      <w:pPr>
        <w:spacing w:after="240" w:line="276" w:lineRule="auto"/>
        <w:jc w:val="both"/>
        <w:rPr>
          <w:rFonts w:asciiTheme="minorHAnsi" w:hAnsiTheme="minorHAnsi"/>
        </w:rPr>
      </w:pPr>
      <w:r w:rsidRPr="008F76C0">
        <w:rPr>
          <w:rFonts w:asciiTheme="minorHAnsi" w:hAnsiTheme="minorHAnsi"/>
          <w:iCs/>
          <w:sz w:val="22"/>
          <w:szCs w:val="22"/>
        </w:rPr>
        <w:t>This s</w:t>
      </w:r>
      <w:r>
        <w:rPr>
          <w:rFonts w:asciiTheme="minorHAnsi" w:hAnsiTheme="minorHAnsi"/>
          <w:iCs/>
          <w:sz w:val="22"/>
          <w:szCs w:val="22"/>
        </w:rPr>
        <w:t>tudy has been commissioned by the World Bank’s Multi-Donor Trust Fund (MDTF) with the aim of mapping the key investment streams flowing into African agriculture, as well as looking more closely at the funding of institutions delivering CAADP</w:t>
      </w:r>
      <w:r w:rsidR="00407D7B">
        <w:rPr>
          <w:rFonts w:asciiTheme="minorHAnsi" w:hAnsiTheme="minorHAnsi"/>
          <w:iCs/>
          <w:sz w:val="22"/>
          <w:szCs w:val="22"/>
        </w:rPr>
        <w:t xml:space="preserve"> and the extent to which CAADP countries have been successful at unlocking investment</w:t>
      </w:r>
      <w:r w:rsidR="00555EBC">
        <w:rPr>
          <w:rFonts w:asciiTheme="minorHAnsi" w:hAnsiTheme="minorHAnsi"/>
          <w:iCs/>
          <w:sz w:val="22"/>
          <w:szCs w:val="22"/>
        </w:rPr>
        <w:t xml:space="preserve"> into the agriculture sector</w:t>
      </w:r>
      <w:r>
        <w:rPr>
          <w:rFonts w:asciiTheme="minorHAnsi" w:hAnsiTheme="minorHAnsi"/>
          <w:iCs/>
          <w:sz w:val="22"/>
          <w:szCs w:val="22"/>
        </w:rPr>
        <w:t xml:space="preserve">.  </w:t>
      </w:r>
      <w:r w:rsidR="000D7819">
        <w:rPr>
          <w:rFonts w:asciiTheme="minorHAnsi" w:hAnsiTheme="minorHAnsi"/>
          <w:iCs/>
          <w:sz w:val="22"/>
          <w:szCs w:val="22"/>
        </w:rPr>
        <w:t>This report forms just one initiative in order to understand and to measure the impact of CAADP and more specifically, the CAADP MDTF. For this report k</w:t>
      </w:r>
      <w:r>
        <w:rPr>
          <w:rFonts w:asciiTheme="minorHAnsi" w:hAnsiTheme="minorHAnsi"/>
          <w:iCs/>
          <w:sz w:val="22"/>
          <w:szCs w:val="22"/>
        </w:rPr>
        <w:t xml:space="preserve">ey sources of information include global aid databases (OECD Stat and </w:t>
      </w:r>
      <w:proofErr w:type="spellStart"/>
      <w:r>
        <w:rPr>
          <w:rFonts w:asciiTheme="minorHAnsi" w:hAnsiTheme="minorHAnsi"/>
          <w:iCs/>
          <w:sz w:val="22"/>
          <w:szCs w:val="22"/>
        </w:rPr>
        <w:t>AidData</w:t>
      </w:r>
      <w:proofErr w:type="spellEnd"/>
      <w:r>
        <w:rPr>
          <w:rFonts w:asciiTheme="minorHAnsi" w:hAnsiTheme="minorHAnsi"/>
          <w:iCs/>
          <w:sz w:val="22"/>
          <w:szCs w:val="22"/>
        </w:rPr>
        <w:t>), individual systems and website of development partners and recipient governments, and a desk review of relevant literature.</w:t>
      </w:r>
    </w:p>
    <w:p w:rsidR="00283307" w:rsidRPr="003F6C09" w:rsidRDefault="00283307" w:rsidP="00283307">
      <w:pPr>
        <w:spacing w:line="276" w:lineRule="auto"/>
        <w:jc w:val="both"/>
        <w:rPr>
          <w:rFonts w:asciiTheme="minorHAnsi" w:hAnsiTheme="minorHAnsi" w:cs="Arial"/>
          <w:sz w:val="22"/>
          <w:szCs w:val="22"/>
        </w:rPr>
      </w:pPr>
      <w:r w:rsidRPr="00283307">
        <w:rPr>
          <w:rFonts w:asciiTheme="minorHAnsi" w:hAnsiTheme="minorHAnsi" w:cs="Arial"/>
          <w:b/>
          <w:bCs/>
          <w:color w:val="1F497D" w:themeColor="text2"/>
        </w:rPr>
        <w:t>INVESTMENT FLOWS TO AFRICAN AGRICULTURE</w:t>
      </w:r>
      <w:r w:rsidRPr="00283307">
        <w:rPr>
          <w:rFonts w:asciiTheme="minorHAnsi" w:hAnsiTheme="minorHAnsi" w:cs="Arial"/>
          <w:b/>
          <w:bCs/>
          <w:color w:val="4F81BD" w:themeColor="accent1"/>
          <w:sz w:val="22"/>
          <w:szCs w:val="22"/>
        </w:rPr>
        <w:tab/>
      </w:r>
      <w:r w:rsidRPr="003F6C09">
        <w:rPr>
          <w:rFonts w:asciiTheme="minorHAnsi" w:hAnsiTheme="minorHAnsi" w:cs="Arial"/>
          <w:b/>
          <w:bCs/>
          <w:sz w:val="22"/>
          <w:szCs w:val="22"/>
        </w:rPr>
        <w:tab/>
      </w:r>
    </w:p>
    <w:p w:rsidR="004E641C" w:rsidRDefault="004E641C" w:rsidP="004E641C">
      <w:pPr>
        <w:spacing w:after="120" w:line="276" w:lineRule="auto"/>
        <w:jc w:val="both"/>
        <w:rPr>
          <w:rFonts w:ascii="Calibri" w:hAnsi="Calibri"/>
          <w:sz w:val="22"/>
          <w:szCs w:val="22"/>
        </w:rPr>
      </w:pPr>
      <w:r w:rsidRPr="004E641C">
        <w:rPr>
          <w:rFonts w:ascii="Calibri" w:hAnsi="Calibri"/>
          <w:b/>
          <w:bCs/>
          <w:sz w:val="22"/>
          <w:szCs w:val="22"/>
        </w:rPr>
        <w:t>USD 4 billion</w:t>
      </w:r>
      <w:r w:rsidRPr="004E641C">
        <w:rPr>
          <w:rFonts w:ascii="Calibri" w:hAnsi="Calibri"/>
          <w:sz w:val="22"/>
          <w:szCs w:val="22"/>
        </w:rPr>
        <w:t xml:space="preserve"> of investment flowed into the agriculture, forestry and fishing sector in Africa in both 2010 and 2011 - a record high for the last two decades.  African agriculture in 2011 was almost</w:t>
      </w:r>
      <w:r w:rsidRPr="004E641C">
        <w:rPr>
          <w:rFonts w:ascii="Calibri" w:hAnsi="Calibri"/>
          <w:b/>
          <w:bCs/>
          <w:sz w:val="22"/>
          <w:szCs w:val="22"/>
        </w:rPr>
        <w:t xml:space="preserve"> </w:t>
      </w:r>
      <w:r w:rsidRPr="00AA6694">
        <w:rPr>
          <w:rFonts w:ascii="Calibri" w:hAnsi="Calibri"/>
          <w:b/>
          <w:sz w:val="22"/>
          <w:szCs w:val="22"/>
        </w:rPr>
        <w:t>evenly financed by bilateral DAC donors (USD 2.04 billion) and multilateral donors (USD 1.98 billion).</w:t>
      </w:r>
      <w:r w:rsidRPr="004E641C">
        <w:rPr>
          <w:rFonts w:ascii="Calibri" w:hAnsi="Calibri"/>
          <w:sz w:val="22"/>
          <w:szCs w:val="22"/>
        </w:rPr>
        <w:t xml:space="preserve">   </w:t>
      </w:r>
    </w:p>
    <w:p w:rsidR="001657CF" w:rsidRPr="008744CB" w:rsidRDefault="004E641C" w:rsidP="001657CF">
      <w:pPr>
        <w:spacing w:after="120" w:line="276" w:lineRule="auto"/>
        <w:jc w:val="both"/>
        <w:rPr>
          <w:rFonts w:asciiTheme="minorHAnsi" w:hAnsiTheme="minorHAnsi" w:cs="Arial"/>
          <w:b/>
          <w:color w:val="1F497D" w:themeColor="text2"/>
          <w:sz w:val="20"/>
        </w:rPr>
      </w:pPr>
      <w:r>
        <w:rPr>
          <w:rFonts w:ascii="Calibri" w:hAnsi="Calibri"/>
          <w:sz w:val="22"/>
          <w:szCs w:val="22"/>
        </w:rPr>
        <w:t xml:space="preserve">The principal bilateral donors who committed money to African agriculture during 2011 (the most recent data) were the United States (USD 509 million), Germany (USD 296 million), Belgium (USD 162 million), and Canada (USD 158 million).  </w:t>
      </w:r>
      <w:r w:rsidR="000B1EDB" w:rsidRPr="008744CB">
        <w:rPr>
          <w:rFonts w:asciiTheme="minorHAnsi" w:hAnsiTheme="minorHAnsi"/>
          <w:sz w:val="22"/>
          <w:szCs w:val="22"/>
        </w:rPr>
        <w:t xml:space="preserve">However, </w:t>
      </w:r>
      <w:r w:rsidR="000B1EDB">
        <w:rPr>
          <w:rFonts w:asciiTheme="minorHAnsi" w:hAnsiTheme="minorHAnsi"/>
          <w:sz w:val="22"/>
          <w:szCs w:val="22"/>
        </w:rPr>
        <w:t xml:space="preserve">as a </w:t>
      </w:r>
      <w:r w:rsidR="000B1EDB" w:rsidRPr="000B1EDB">
        <w:rPr>
          <w:rFonts w:asciiTheme="minorHAnsi" w:hAnsiTheme="minorHAnsi"/>
          <w:i/>
          <w:sz w:val="22"/>
          <w:szCs w:val="22"/>
        </w:rPr>
        <w:t>proportion</w:t>
      </w:r>
      <w:r w:rsidR="000B1EDB">
        <w:rPr>
          <w:rFonts w:asciiTheme="minorHAnsi" w:hAnsiTheme="minorHAnsi"/>
          <w:sz w:val="22"/>
          <w:szCs w:val="22"/>
        </w:rPr>
        <w:t xml:space="preserve"> of their total ODA, </w:t>
      </w:r>
      <w:r w:rsidR="001657CF">
        <w:rPr>
          <w:rFonts w:asciiTheme="minorHAnsi" w:hAnsiTheme="minorHAnsi"/>
          <w:sz w:val="22"/>
          <w:szCs w:val="22"/>
        </w:rPr>
        <w:t xml:space="preserve">the most generous donors are Finland, who committed almost a quarter (23 per cent) of their total ODA in 2011 to African agriculture, followed by Korea (21 per cent) and Belgium (17 per cent). </w:t>
      </w:r>
    </w:p>
    <w:p w:rsidR="008B38F8" w:rsidRDefault="00751031" w:rsidP="008B38F8">
      <w:pPr>
        <w:spacing w:after="120" w:line="276" w:lineRule="auto"/>
        <w:jc w:val="both"/>
        <w:rPr>
          <w:rFonts w:asciiTheme="minorHAnsi" w:hAnsiTheme="minorHAnsi" w:cs="Arial"/>
          <w:sz w:val="22"/>
          <w:szCs w:val="22"/>
          <w:lang w:eastAsia="en-GB"/>
        </w:rPr>
      </w:pPr>
      <w:r w:rsidRPr="00A22D47">
        <w:rPr>
          <w:rFonts w:asciiTheme="minorHAnsi" w:hAnsiTheme="minorHAnsi" w:cs="Arial"/>
          <w:sz w:val="22"/>
          <w:szCs w:val="22"/>
          <w:lang w:eastAsia="en-GB"/>
        </w:rPr>
        <w:t xml:space="preserve">It is difficult to assess the exact magnitude and nature of </w:t>
      </w:r>
      <w:r w:rsidRPr="00751031">
        <w:rPr>
          <w:rFonts w:asciiTheme="minorHAnsi" w:hAnsiTheme="minorHAnsi" w:cs="Arial"/>
          <w:b/>
          <w:sz w:val="22"/>
          <w:szCs w:val="22"/>
          <w:lang w:eastAsia="en-GB"/>
        </w:rPr>
        <w:t>South-South cooperation</w:t>
      </w:r>
      <w:r w:rsidRPr="00A22D47">
        <w:rPr>
          <w:rFonts w:asciiTheme="minorHAnsi" w:hAnsiTheme="minorHAnsi" w:cs="Arial"/>
          <w:sz w:val="22"/>
          <w:szCs w:val="22"/>
          <w:lang w:eastAsia="en-GB"/>
        </w:rPr>
        <w:t xml:space="preserve">, with different agencies participating from a range of countries and a lack of publicly available data.  Nevertheless, the latest project information </w:t>
      </w:r>
      <w:r>
        <w:rPr>
          <w:rFonts w:asciiTheme="minorHAnsi" w:hAnsiTheme="minorHAnsi" w:cs="Arial"/>
          <w:sz w:val="22"/>
          <w:szCs w:val="22"/>
          <w:lang w:eastAsia="en-GB"/>
        </w:rPr>
        <w:t>from</w:t>
      </w:r>
      <w:r w:rsidRPr="00A22D47">
        <w:rPr>
          <w:rFonts w:asciiTheme="minorHAnsi" w:hAnsiTheme="minorHAnsi" w:cs="Arial"/>
          <w:sz w:val="22"/>
          <w:szCs w:val="22"/>
          <w:lang w:eastAsia="en-GB"/>
        </w:rPr>
        <w:t xml:space="preserve"> </w:t>
      </w:r>
      <w:proofErr w:type="spellStart"/>
      <w:r w:rsidRPr="00A22D47">
        <w:rPr>
          <w:rFonts w:asciiTheme="minorHAnsi" w:hAnsiTheme="minorHAnsi" w:cs="Arial"/>
          <w:sz w:val="22"/>
          <w:szCs w:val="22"/>
          <w:lang w:eastAsia="en-GB"/>
        </w:rPr>
        <w:t>AidData</w:t>
      </w:r>
      <w:proofErr w:type="spellEnd"/>
      <w:r>
        <w:rPr>
          <w:rFonts w:asciiTheme="minorHAnsi" w:hAnsiTheme="minorHAnsi" w:cs="Arial"/>
          <w:sz w:val="22"/>
          <w:szCs w:val="22"/>
          <w:lang w:eastAsia="en-GB"/>
        </w:rPr>
        <w:t xml:space="preserve"> (which does not include data</w:t>
      </w:r>
      <w:r w:rsidRPr="00751031">
        <w:rPr>
          <w:rFonts w:asciiTheme="minorHAnsi" w:hAnsiTheme="minorHAnsi" w:cs="Arial"/>
          <w:sz w:val="22"/>
          <w:szCs w:val="22"/>
          <w:lang w:eastAsia="en-GB"/>
        </w:rPr>
        <w:t xml:space="preserve"> </w:t>
      </w:r>
      <w:r w:rsidR="00E47849">
        <w:rPr>
          <w:rFonts w:asciiTheme="minorHAnsi" w:hAnsiTheme="minorHAnsi" w:cs="Arial"/>
          <w:sz w:val="22"/>
          <w:szCs w:val="22"/>
          <w:lang w:eastAsia="en-GB"/>
        </w:rPr>
        <w:t>for many Southern donors</w:t>
      </w:r>
      <w:r>
        <w:rPr>
          <w:rFonts w:asciiTheme="minorHAnsi" w:hAnsiTheme="minorHAnsi" w:cs="Arial"/>
          <w:sz w:val="22"/>
          <w:szCs w:val="22"/>
          <w:lang w:eastAsia="en-GB"/>
        </w:rPr>
        <w:t>)</w:t>
      </w:r>
      <w:r w:rsidRPr="00A22D47">
        <w:rPr>
          <w:rFonts w:asciiTheme="minorHAnsi" w:hAnsiTheme="minorHAnsi" w:cs="Arial"/>
          <w:sz w:val="22"/>
          <w:szCs w:val="22"/>
          <w:lang w:eastAsia="en-GB"/>
        </w:rPr>
        <w:t xml:space="preserve"> shows that </w:t>
      </w:r>
      <w:r w:rsidRPr="00751031">
        <w:rPr>
          <w:rFonts w:asciiTheme="minorHAnsi" w:hAnsiTheme="minorHAnsi" w:cs="Arial"/>
          <w:sz w:val="22"/>
          <w:szCs w:val="22"/>
          <w:lang w:eastAsia="en-GB"/>
        </w:rPr>
        <w:t xml:space="preserve">at USD 14.9 million, Kuwait was the largest </w:t>
      </w:r>
      <w:r w:rsidR="00407D7B">
        <w:rPr>
          <w:rFonts w:asciiTheme="minorHAnsi" w:hAnsiTheme="minorHAnsi" w:cs="Arial"/>
          <w:sz w:val="22"/>
          <w:szCs w:val="22"/>
          <w:lang w:eastAsia="en-GB"/>
        </w:rPr>
        <w:t xml:space="preserve">non-DAC donor to African </w:t>
      </w:r>
      <w:r w:rsidR="00E47849">
        <w:rPr>
          <w:rFonts w:asciiTheme="minorHAnsi" w:hAnsiTheme="minorHAnsi" w:cs="Arial"/>
          <w:sz w:val="22"/>
          <w:szCs w:val="22"/>
          <w:lang w:eastAsia="en-GB"/>
        </w:rPr>
        <w:t>agriculture</w:t>
      </w:r>
      <w:r w:rsidRPr="00751031">
        <w:rPr>
          <w:rFonts w:asciiTheme="minorHAnsi" w:hAnsiTheme="minorHAnsi" w:cs="Arial"/>
          <w:sz w:val="22"/>
          <w:szCs w:val="22"/>
          <w:lang w:eastAsia="en-GB"/>
        </w:rPr>
        <w:t xml:space="preserve"> in 2010, followed by Brazil (USD 6.5 million) and Taiwan (USD 3.4 million).  </w:t>
      </w:r>
      <w:r w:rsidRPr="00A22D47">
        <w:rPr>
          <w:rFonts w:asciiTheme="minorHAnsi" w:hAnsiTheme="minorHAnsi" w:cs="Arial"/>
          <w:sz w:val="22"/>
          <w:szCs w:val="22"/>
          <w:lang w:eastAsia="en-GB"/>
        </w:rPr>
        <w:t>However, it is important to note that Kuwait’s investment relates to only one project, albeit a costly irrigation development programme located in Mali, whereas Brazil funded 43 smaller projects across Africa, typically capacity building, training and technology transfers, and study tours to Brazil.</w:t>
      </w:r>
      <w:r w:rsidR="008B38F8">
        <w:rPr>
          <w:rFonts w:asciiTheme="minorHAnsi" w:hAnsiTheme="minorHAnsi" w:cs="Arial"/>
          <w:sz w:val="22"/>
          <w:szCs w:val="22"/>
          <w:lang w:eastAsia="en-GB"/>
        </w:rPr>
        <w:t xml:space="preserve"> Although A</w:t>
      </w:r>
      <w:r w:rsidRPr="00A22D47">
        <w:rPr>
          <w:rFonts w:asciiTheme="minorHAnsi" w:hAnsiTheme="minorHAnsi" w:cs="Arial"/>
          <w:sz w:val="22"/>
          <w:szCs w:val="22"/>
          <w:lang w:eastAsia="en-GB"/>
        </w:rPr>
        <w:t>frican agriculture remains a relatively small proportion of</w:t>
      </w:r>
      <w:r w:rsidR="008B38F8">
        <w:rPr>
          <w:rFonts w:asciiTheme="minorHAnsi" w:hAnsiTheme="minorHAnsi" w:cs="Arial"/>
          <w:sz w:val="22"/>
          <w:szCs w:val="22"/>
          <w:lang w:eastAsia="en-GB"/>
        </w:rPr>
        <w:t xml:space="preserve"> China’s</w:t>
      </w:r>
      <w:r w:rsidRPr="00A22D47">
        <w:rPr>
          <w:rFonts w:asciiTheme="minorHAnsi" w:hAnsiTheme="minorHAnsi" w:cs="Arial"/>
          <w:sz w:val="22"/>
          <w:szCs w:val="22"/>
          <w:lang w:eastAsia="en-GB"/>
        </w:rPr>
        <w:t xml:space="preserve"> total investment in Africa</w:t>
      </w:r>
      <w:r>
        <w:rPr>
          <w:rFonts w:asciiTheme="minorHAnsi" w:hAnsiTheme="minorHAnsi" w:cs="Arial"/>
          <w:sz w:val="22"/>
          <w:szCs w:val="22"/>
          <w:lang w:eastAsia="en-GB"/>
        </w:rPr>
        <w:t xml:space="preserve"> - </w:t>
      </w:r>
      <w:r w:rsidRPr="00751031">
        <w:rPr>
          <w:rFonts w:asciiTheme="minorHAnsi" w:hAnsiTheme="minorHAnsi" w:cs="Arial"/>
          <w:sz w:val="22"/>
          <w:szCs w:val="22"/>
          <w:lang w:eastAsia="en-GB"/>
        </w:rPr>
        <w:t xml:space="preserve">USD 30 million in 2009 </w:t>
      </w:r>
      <w:r w:rsidR="008B38F8">
        <w:rPr>
          <w:rFonts w:asciiTheme="minorHAnsi" w:hAnsiTheme="minorHAnsi" w:cs="Arial"/>
          <w:sz w:val="22"/>
          <w:szCs w:val="22"/>
          <w:lang w:eastAsia="en-GB"/>
        </w:rPr>
        <w:t>(</w:t>
      </w:r>
      <w:r w:rsidRPr="00751031">
        <w:rPr>
          <w:rFonts w:asciiTheme="minorHAnsi" w:hAnsiTheme="minorHAnsi" w:cs="Arial"/>
          <w:sz w:val="22"/>
          <w:szCs w:val="22"/>
          <w:lang w:eastAsia="en-GB"/>
        </w:rPr>
        <w:t>2% of its total FDI of USD 1.44 billion</w:t>
      </w:r>
      <w:r w:rsidR="008B38F8">
        <w:rPr>
          <w:rFonts w:asciiTheme="minorHAnsi" w:hAnsiTheme="minorHAnsi" w:cs="Arial"/>
          <w:sz w:val="22"/>
          <w:szCs w:val="22"/>
          <w:lang w:eastAsia="en-GB"/>
        </w:rPr>
        <w:t xml:space="preserve">), </w:t>
      </w:r>
      <w:r w:rsidRPr="00A22D47">
        <w:rPr>
          <w:rFonts w:asciiTheme="minorHAnsi" w:hAnsiTheme="minorHAnsi" w:cs="Arial"/>
          <w:sz w:val="22"/>
          <w:szCs w:val="22"/>
          <w:lang w:eastAsia="en-GB"/>
        </w:rPr>
        <w:t>there is evidence that the African agriculture sector is becoming increasingly important</w:t>
      </w:r>
      <w:r w:rsidR="008B38F8">
        <w:rPr>
          <w:rFonts w:asciiTheme="minorHAnsi" w:hAnsiTheme="minorHAnsi" w:cs="Arial"/>
          <w:sz w:val="22"/>
          <w:szCs w:val="22"/>
          <w:lang w:eastAsia="en-GB"/>
        </w:rPr>
        <w:t>, with China having</w:t>
      </w:r>
      <w:r w:rsidRPr="00A22D47">
        <w:rPr>
          <w:rFonts w:asciiTheme="minorHAnsi" w:hAnsiTheme="minorHAnsi" w:cs="Arial"/>
          <w:sz w:val="22"/>
          <w:szCs w:val="22"/>
          <w:lang w:eastAsia="en-GB"/>
        </w:rPr>
        <w:t xml:space="preserve"> pledged to provide up to 3,000 experts for technical assistance and training, as well as training 2,000 African agricultural technicians, and setting up 14 major agricultural technology centres.</w:t>
      </w:r>
      <w:r w:rsidR="008B38F8" w:rsidRPr="00A22D47">
        <w:rPr>
          <w:rFonts w:asciiTheme="minorHAnsi" w:hAnsiTheme="minorHAnsi" w:cs="Arial"/>
          <w:sz w:val="22"/>
          <w:szCs w:val="22"/>
          <w:lang w:eastAsia="en-GB"/>
        </w:rPr>
        <w:t xml:space="preserve"> </w:t>
      </w:r>
    </w:p>
    <w:p w:rsidR="00D21DF9" w:rsidRDefault="008B38F8" w:rsidP="008B38F8">
      <w:pPr>
        <w:spacing w:after="120" w:line="276" w:lineRule="auto"/>
        <w:jc w:val="both"/>
        <w:rPr>
          <w:rFonts w:cs="Arial"/>
        </w:rPr>
      </w:pPr>
      <w:r w:rsidRPr="001904C4">
        <w:rPr>
          <w:rFonts w:asciiTheme="minorHAnsi" w:hAnsiTheme="minorHAnsi" w:cs="Arial"/>
          <w:sz w:val="22"/>
          <w:szCs w:val="22"/>
        </w:rPr>
        <w:t xml:space="preserve">There are also a number of </w:t>
      </w:r>
      <w:r w:rsidRPr="00407D7B">
        <w:rPr>
          <w:rFonts w:asciiTheme="minorHAnsi" w:hAnsiTheme="minorHAnsi" w:cs="Arial"/>
          <w:b/>
          <w:sz w:val="22"/>
          <w:szCs w:val="22"/>
        </w:rPr>
        <w:t>multilateral financing mechanisms</w:t>
      </w:r>
      <w:r w:rsidRPr="001904C4">
        <w:rPr>
          <w:rFonts w:asciiTheme="minorHAnsi" w:hAnsiTheme="minorHAnsi" w:cs="Arial"/>
          <w:sz w:val="22"/>
          <w:szCs w:val="22"/>
        </w:rPr>
        <w:t xml:space="preserve">, both international and pan-African multilateral funding, which are active in providing investments to the agriculture sector.   </w:t>
      </w:r>
      <w:r w:rsidR="00E47849">
        <w:rPr>
          <w:rFonts w:asciiTheme="minorHAnsi" w:hAnsiTheme="minorHAnsi" w:cs="Arial"/>
          <w:sz w:val="22"/>
          <w:szCs w:val="22"/>
        </w:rPr>
        <w:t>In</w:t>
      </w:r>
      <w:r w:rsidRPr="001904C4">
        <w:rPr>
          <w:rFonts w:asciiTheme="minorHAnsi" w:hAnsiTheme="minorHAnsi" w:cs="Arial"/>
          <w:sz w:val="22"/>
          <w:szCs w:val="22"/>
        </w:rPr>
        <w:t xml:space="preserve"> 201</w:t>
      </w:r>
      <w:r w:rsidR="00AA6694">
        <w:rPr>
          <w:rFonts w:asciiTheme="minorHAnsi" w:hAnsiTheme="minorHAnsi" w:cs="Arial"/>
          <w:sz w:val="22"/>
          <w:szCs w:val="22"/>
        </w:rPr>
        <w:t>1</w:t>
      </w:r>
      <w:r w:rsidRPr="001904C4">
        <w:rPr>
          <w:rFonts w:asciiTheme="minorHAnsi" w:hAnsiTheme="minorHAnsi" w:cs="Arial"/>
          <w:sz w:val="22"/>
          <w:szCs w:val="22"/>
        </w:rPr>
        <w:t xml:space="preserve"> </w:t>
      </w:r>
      <w:r w:rsidR="00AA6694">
        <w:rPr>
          <w:rFonts w:ascii="Calibri" w:hAnsi="Calibri"/>
          <w:sz w:val="22"/>
          <w:szCs w:val="22"/>
        </w:rPr>
        <w:t xml:space="preserve">the key multilateral donors were the World Bank (USD 721 million), EU Institutions (USD 430 million), the International Fund for Agricultural Development (USD 319 million), and the African Development Bank (USD 210 million).  </w:t>
      </w:r>
    </w:p>
    <w:p w:rsidR="00D21DF9" w:rsidRDefault="00E47849" w:rsidP="00077D0C">
      <w:pPr>
        <w:spacing w:after="120" w:line="276" w:lineRule="auto"/>
        <w:jc w:val="both"/>
        <w:rPr>
          <w:rFonts w:asciiTheme="minorHAnsi" w:hAnsiTheme="minorHAnsi" w:cs="Arial"/>
          <w:sz w:val="22"/>
          <w:szCs w:val="22"/>
        </w:rPr>
      </w:pPr>
      <w:r>
        <w:rPr>
          <w:rFonts w:asciiTheme="minorHAnsi" w:hAnsiTheme="minorHAnsi" w:cs="Arial"/>
          <w:sz w:val="22"/>
          <w:szCs w:val="22"/>
        </w:rPr>
        <w:t>The last few years have seen a number of new initiatives directed at African agriculture and food security.  For example,</w:t>
      </w:r>
      <w:r w:rsidR="00D21DF9">
        <w:rPr>
          <w:rFonts w:asciiTheme="minorHAnsi" w:hAnsiTheme="minorHAnsi" w:cs="Arial"/>
          <w:sz w:val="22"/>
          <w:szCs w:val="22"/>
        </w:rPr>
        <w:t xml:space="preserve"> the </w:t>
      </w:r>
      <w:r w:rsidR="00D21DF9" w:rsidRPr="00407D7B">
        <w:rPr>
          <w:rFonts w:asciiTheme="minorHAnsi" w:hAnsiTheme="minorHAnsi" w:cs="Arial"/>
          <w:b/>
          <w:sz w:val="22"/>
          <w:szCs w:val="22"/>
        </w:rPr>
        <w:t>G8’s L’Aquila Food Security Initiative (AFSI)</w:t>
      </w:r>
      <w:r w:rsidR="00077D0C">
        <w:rPr>
          <w:rFonts w:asciiTheme="minorHAnsi" w:hAnsiTheme="minorHAnsi" w:cs="Arial"/>
          <w:sz w:val="22"/>
          <w:szCs w:val="22"/>
        </w:rPr>
        <w:t xml:space="preserve">, </w:t>
      </w:r>
      <w:r>
        <w:rPr>
          <w:rFonts w:asciiTheme="minorHAnsi" w:hAnsiTheme="minorHAnsi" w:cs="Arial"/>
          <w:sz w:val="22"/>
          <w:szCs w:val="22"/>
        </w:rPr>
        <w:t xml:space="preserve">launched in 2009, is </w:t>
      </w:r>
      <w:r w:rsidR="00077D0C">
        <w:rPr>
          <w:rFonts w:asciiTheme="minorHAnsi" w:hAnsiTheme="minorHAnsi" w:cs="Arial"/>
          <w:sz w:val="22"/>
          <w:szCs w:val="22"/>
        </w:rPr>
        <w:t xml:space="preserve">worth over </w:t>
      </w:r>
      <w:r w:rsidR="00077D0C">
        <w:rPr>
          <w:rFonts w:asciiTheme="minorHAnsi" w:hAnsiTheme="minorHAnsi" w:cs="Arial"/>
          <w:b/>
          <w:sz w:val="22"/>
          <w:szCs w:val="22"/>
        </w:rPr>
        <w:t>USD 22 billion, of which USD 6.8 billion is</w:t>
      </w:r>
      <w:r w:rsidR="00D21DF9" w:rsidRPr="001904C4">
        <w:rPr>
          <w:rFonts w:asciiTheme="minorHAnsi" w:hAnsiTheme="minorHAnsi" w:cs="Arial"/>
          <w:b/>
          <w:sz w:val="22"/>
          <w:szCs w:val="22"/>
        </w:rPr>
        <w:t xml:space="preserve"> ‘new’ money</w:t>
      </w:r>
      <w:r w:rsidR="00077D0C">
        <w:rPr>
          <w:rFonts w:asciiTheme="minorHAnsi" w:hAnsiTheme="minorHAnsi" w:cs="Arial"/>
          <w:b/>
          <w:sz w:val="22"/>
          <w:szCs w:val="22"/>
        </w:rPr>
        <w:t>.</w:t>
      </w:r>
      <w:r w:rsidR="00077D0C">
        <w:rPr>
          <w:rStyle w:val="FootnoteReference"/>
          <w:rFonts w:asciiTheme="minorHAnsi" w:hAnsiTheme="minorHAnsi" w:cs="Arial"/>
          <w:sz w:val="22"/>
          <w:szCs w:val="22"/>
        </w:rPr>
        <w:t>.</w:t>
      </w:r>
      <w:r w:rsidR="00D21DF9" w:rsidRPr="001904C4">
        <w:rPr>
          <w:rFonts w:asciiTheme="minorHAnsi" w:hAnsiTheme="minorHAnsi" w:cs="Arial"/>
          <w:sz w:val="22"/>
          <w:szCs w:val="22"/>
        </w:rPr>
        <w:t xml:space="preserve"> The L’Aquila commitments also led to the development of the </w:t>
      </w:r>
      <w:r w:rsidR="00D21DF9" w:rsidRPr="00407D7B">
        <w:rPr>
          <w:rFonts w:asciiTheme="minorHAnsi" w:hAnsiTheme="minorHAnsi" w:cs="Arial"/>
          <w:b/>
          <w:sz w:val="22"/>
          <w:szCs w:val="22"/>
        </w:rPr>
        <w:t>Global Agriculture and Food Security Programme (</w:t>
      </w:r>
      <w:r w:rsidR="00077D0C" w:rsidRPr="00407D7B">
        <w:rPr>
          <w:rFonts w:asciiTheme="minorHAnsi" w:hAnsiTheme="minorHAnsi" w:cs="Arial"/>
          <w:b/>
          <w:sz w:val="22"/>
          <w:szCs w:val="22"/>
        </w:rPr>
        <w:t>GAFSP</w:t>
      </w:r>
      <w:r w:rsidR="00D21DF9" w:rsidRPr="00407D7B">
        <w:rPr>
          <w:rFonts w:asciiTheme="minorHAnsi" w:hAnsiTheme="minorHAnsi" w:cs="Arial"/>
          <w:b/>
          <w:sz w:val="22"/>
          <w:szCs w:val="22"/>
        </w:rPr>
        <w:t>)</w:t>
      </w:r>
      <w:r w:rsidR="00D21DF9" w:rsidRPr="001904C4">
        <w:rPr>
          <w:rFonts w:asciiTheme="minorHAnsi" w:hAnsiTheme="minorHAnsi" w:cs="Arial"/>
          <w:sz w:val="22"/>
          <w:szCs w:val="22"/>
        </w:rPr>
        <w:t xml:space="preserve"> – a World Bank-managed Financial Intermediary Fund, established under the auspices of the AFSI to address potential underfunding of national and regional agriculture investment plans and programmes.   As </w:t>
      </w:r>
      <w:r w:rsidR="00D21DF9" w:rsidRPr="001904C4">
        <w:rPr>
          <w:rFonts w:asciiTheme="minorHAnsi" w:hAnsiTheme="minorHAnsi" w:cs="Arial"/>
          <w:sz w:val="22"/>
          <w:szCs w:val="22"/>
        </w:rPr>
        <w:lastRenderedPageBreak/>
        <w:t xml:space="preserve">of 2 November 2012, ten donors have pledged a </w:t>
      </w:r>
      <w:r w:rsidR="00D21DF9" w:rsidRPr="001904C4">
        <w:rPr>
          <w:rFonts w:asciiTheme="minorHAnsi" w:hAnsiTheme="minorHAnsi" w:cs="Arial"/>
          <w:b/>
          <w:sz w:val="22"/>
          <w:szCs w:val="22"/>
        </w:rPr>
        <w:t>total of USD 1.3 billion</w:t>
      </w:r>
      <w:r w:rsidR="00D21DF9" w:rsidRPr="001904C4">
        <w:rPr>
          <w:rFonts w:asciiTheme="minorHAnsi" w:hAnsiTheme="minorHAnsi" w:cs="Arial"/>
          <w:sz w:val="22"/>
          <w:szCs w:val="22"/>
        </w:rPr>
        <w:t>, of which USD 880.5 million (66.8%) has been received by the fund.   Of this total, USD 1 billion has been pledged through the public sector financing window and USD 309 million through the private sector financing window.</w:t>
      </w:r>
    </w:p>
    <w:p w:rsidR="00033E1A" w:rsidRDefault="00033E1A" w:rsidP="00033E1A">
      <w:pPr>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rPr>
        <w:t>Over the last couple o</w:t>
      </w:r>
      <w:r w:rsidR="00095449">
        <w:rPr>
          <w:rFonts w:asciiTheme="minorHAnsi" w:hAnsiTheme="minorHAnsi" w:cs="Arial"/>
          <w:sz w:val="22"/>
          <w:szCs w:val="22"/>
        </w:rPr>
        <w:t xml:space="preserve">f years, there has also been an </w:t>
      </w:r>
      <w:r>
        <w:rPr>
          <w:rFonts w:asciiTheme="minorHAnsi" w:hAnsiTheme="minorHAnsi" w:cs="Arial"/>
          <w:sz w:val="22"/>
          <w:szCs w:val="22"/>
        </w:rPr>
        <w:t xml:space="preserve">acceleration in private sector investment in African agriculture.  As part of the </w:t>
      </w:r>
      <w:r w:rsidRPr="00033E1A">
        <w:rPr>
          <w:rFonts w:asciiTheme="minorHAnsi" w:hAnsiTheme="minorHAnsi" w:cs="Arial"/>
          <w:b/>
          <w:sz w:val="22"/>
          <w:szCs w:val="22"/>
        </w:rPr>
        <w:t>G8’s New Alliance for Food Security and Nutrition</w:t>
      </w:r>
      <w:r>
        <w:rPr>
          <w:rFonts w:asciiTheme="minorHAnsi" w:hAnsiTheme="minorHAnsi" w:cs="Arial"/>
          <w:sz w:val="22"/>
          <w:szCs w:val="22"/>
        </w:rPr>
        <w:t xml:space="preserve"> in collaboration with </w:t>
      </w:r>
      <w:r>
        <w:rPr>
          <w:rFonts w:asciiTheme="minorHAnsi" w:hAnsiTheme="minorHAnsi" w:cs="Arial"/>
          <w:b/>
          <w:sz w:val="22"/>
          <w:szCs w:val="22"/>
        </w:rPr>
        <w:t>Grow Africa</w:t>
      </w:r>
      <w:r>
        <w:rPr>
          <w:rFonts w:asciiTheme="minorHAnsi" w:hAnsiTheme="minorHAnsi" w:cs="Arial"/>
          <w:sz w:val="22"/>
          <w:szCs w:val="22"/>
        </w:rPr>
        <w:t>,</w:t>
      </w:r>
      <w:r w:rsidRPr="001904C4">
        <w:rPr>
          <w:rFonts w:asciiTheme="minorHAnsi" w:hAnsiTheme="minorHAnsi" w:cs="Arial"/>
          <w:sz w:val="22"/>
          <w:szCs w:val="22"/>
        </w:rPr>
        <w:t xml:space="preserve"> </w:t>
      </w:r>
      <w:r w:rsidRPr="00033E1A">
        <w:rPr>
          <w:rFonts w:asciiTheme="minorHAnsi" w:hAnsiTheme="minorHAnsi" w:cs="Arial"/>
          <w:sz w:val="22"/>
          <w:szCs w:val="22"/>
        </w:rPr>
        <w:t xml:space="preserve">African and multinational companies committed more than </w:t>
      </w:r>
      <w:r w:rsidRPr="001904C4">
        <w:rPr>
          <w:rFonts w:asciiTheme="minorHAnsi" w:hAnsiTheme="minorHAnsi" w:cs="Arial"/>
          <w:b/>
          <w:sz w:val="22"/>
          <w:szCs w:val="22"/>
        </w:rPr>
        <w:t xml:space="preserve">USD 3.5 billion of investment </w:t>
      </w:r>
      <w:r w:rsidRPr="00033E1A">
        <w:rPr>
          <w:rFonts w:asciiTheme="minorHAnsi" w:hAnsiTheme="minorHAnsi" w:cs="Arial"/>
          <w:sz w:val="22"/>
          <w:szCs w:val="22"/>
        </w:rPr>
        <w:t>in three</w:t>
      </w:r>
      <w:r>
        <w:rPr>
          <w:rFonts w:asciiTheme="minorHAnsi" w:hAnsiTheme="minorHAnsi" w:cs="Arial"/>
          <w:b/>
          <w:sz w:val="22"/>
          <w:szCs w:val="22"/>
        </w:rPr>
        <w:t xml:space="preserve"> </w:t>
      </w:r>
      <w:r w:rsidRPr="001904C4">
        <w:rPr>
          <w:rFonts w:asciiTheme="minorHAnsi" w:hAnsiTheme="minorHAnsi" w:cs="Arial"/>
          <w:sz w:val="22"/>
          <w:szCs w:val="22"/>
          <w:shd w:val="clear" w:color="auto" w:fill="FFFFFF"/>
        </w:rPr>
        <w:t>initial countries (Ethiopia, Ghana and Tanzania)</w:t>
      </w:r>
      <w:r>
        <w:rPr>
          <w:rFonts w:asciiTheme="minorHAnsi" w:hAnsiTheme="minorHAnsi" w:cs="Arial"/>
          <w:sz w:val="22"/>
          <w:szCs w:val="22"/>
          <w:shd w:val="clear" w:color="auto" w:fill="FFFFFF"/>
        </w:rPr>
        <w:t xml:space="preserve">, which was expanded to include Burkina Faso, Cote d’Ivoire and Mozambique in September 2012.  </w:t>
      </w:r>
      <w:r w:rsidRPr="001904C4">
        <w:rPr>
          <w:rFonts w:asciiTheme="minorHAnsi" w:hAnsiTheme="minorHAnsi" w:cs="Arial"/>
          <w:color w:val="000000"/>
          <w:sz w:val="22"/>
          <w:szCs w:val="22"/>
          <w:shd w:val="clear" w:color="auto" w:fill="FFFFFF"/>
        </w:rPr>
        <w:t>Additionally, more than 60 companies have signed the “Private Sector Declaration of Support for African Agricultural Development” outlining their commitment to support African agriculture through responsible public-private partnerships.</w:t>
      </w:r>
    </w:p>
    <w:p w:rsidR="00033E1A" w:rsidRPr="004C40D3" w:rsidRDefault="00033E1A" w:rsidP="00033E1A">
      <w:pPr>
        <w:autoSpaceDE w:val="0"/>
        <w:autoSpaceDN w:val="0"/>
        <w:adjustRightInd w:val="0"/>
        <w:spacing w:after="120" w:line="276" w:lineRule="auto"/>
        <w:jc w:val="both"/>
        <w:rPr>
          <w:rFonts w:asciiTheme="minorHAnsi" w:hAnsiTheme="minorHAnsi" w:cs="Arial"/>
          <w:sz w:val="22"/>
          <w:szCs w:val="22"/>
        </w:rPr>
      </w:pPr>
      <w:r>
        <w:rPr>
          <w:rFonts w:asciiTheme="minorHAnsi" w:hAnsiTheme="minorHAnsi" w:cs="Arial"/>
          <w:sz w:val="22"/>
          <w:szCs w:val="22"/>
        </w:rPr>
        <w:t>Private foundations have also been generous donors to African agriculture, particularly t</w:t>
      </w:r>
      <w:r w:rsidRPr="004C40D3">
        <w:rPr>
          <w:rFonts w:asciiTheme="minorHAnsi" w:hAnsiTheme="minorHAnsi" w:cs="Helvetica Neue LT Pro"/>
          <w:color w:val="000000"/>
          <w:sz w:val="22"/>
          <w:szCs w:val="22"/>
        </w:rPr>
        <w:t xml:space="preserve">he </w:t>
      </w:r>
      <w:r w:rsidRPr="00033E1A">
        <w:rPr>
          <w:rFonts w:asciiTheme="minorHAnsi" w:hAnsiTheme="minorHAnsi" w:cs="Helvetica Neue LT Pro"/>
          <w:b/>
          <w:color w:val="000000"/>
          <w:sz w:val="22"/>
          <w:szCs w:val="22"/>
        </w:rPr>
        <w:t>Bill and Melinda Gates Foundation which had</w:t>
      </w:r>
      <w:r w:rsidRPr="004C40D3">
        <w:rPr>
          <w:rFonts w:asciiTheme="minorHAnsi" w:hAnsiTheme="minorHAnsi" w:cs="Helvetica Neue LT Pro"/>
          <w:b/>
          <w:color w:val="000000"/>
          <w:sz w:val="22"/>
          <w:szCs w:val="22"/>
        </w:rPr>
        <w:t xml:space="preserve"> committed more than USD 1.8 billion </w:t>
      </w:r>
      <w:r w:rsidRPr="00033E1A">
        <w:rPr>
          <w:rFonts w:asciiTheme="minorHAnsi" w:hAnsiTheme="minorHAnsi" w:cs="Helvetica Neue LT Pro"/>
          <w:color w:val="000000"/>
          <w:sz w:val="22"/>
          <w:szCs w:val="22"/>
        </w:rPr>
        <w:t>(as of June 2011)</w:t>
      </w:r>
      <w:r>
        <w:rPr>
          <w:rFonts w:asciiTheme="minorHAnsi" w:hAnsiTheme="minorHAnsi" w:cs="Helvetica Neue LT Pro"/>
          <w:b/>
          <w:color w:val="000000"/>
          <w:sz w:val="22"/>
          <w:szCs w:val="22"/>
        </w:rPr>
        <w:t xml:space="preserve"> </w:t>
      </w:r>
      <w:r w:rsidRPr="004C40D3">
        <w:rPr>
          <w:rFonts w:asciiTheme="minorHAnsi" w:hAnsiTheme="minorHAnsi" w:cs="Helvetica Neue LT Pro"/>
          <w:color w:val="000000"/>
          <w:sz w:val="22"/>
          <w:szCs w:val="22"/>
        </w:rPr>
        <w:t xml:space="preserve">to agricultural development efforts – most of this being invested in sub-Saharan Africa.   </w:t>
      </w:r>
    </w:p>
    <w:p w:rsidR="00283307" w:rsidRPr="003F6C09" w:rsidRDefault="00033E1A" w:rsidP="00D15F8E">
      <w:pPr>
        <w:autoSpaceDE w:val="0"/>
        <w:autoSpaceDN w:val="0"/>
        <w:adjustRightInd w:val="0"/>
        <w:spacing w:after="240" w:line="276" w:lineRule="auto"/>
        <w:jc w:val="both"/>
        <w:rPr>
          <w:rFonts w:asciiTheme="minorHAnsi" w:hAnsiTheme="minorHAnsi" w:cs="Arial"/>
        </w:rPr>
      </w:pPr>
      <w:r w:rsidRPr="004C40D3">
        <w:rPr>
          <w:rFonts w:asciiTheme="minorHAnsi" w:hAnsiTheme="minorHAnsi"/>
          <w:sz w:val="22"/>
          <w:szCs w:val="22"/>
        </w:rPr>
        <w:t>In the last few years, African smal</w:t>
      </w:r>
      <w:r w:rsidR="00D15F8E">
        <w:rPr>
          <w:rFonts w:asciiTheme="minorHAnsi" w:hAnsiTheme="minorHAnsi"/>
          <w:sz w:val="22"/>
          <w:szCs w:val="22"/>
        </w:rPr>
        <w:t>l and medium-sized enterprises</w:t>
      </w:r>
      <w:r w:rsidRPr="004C40D3">
        <w:rPr>
          <w:rFonts w:asciiTheme="minorHAnsi" w:hAnsiTheme="minorHAnsi"/>
          <w:sz w:val="22"/>
          <w:szCs w:val="22"/>
        </w:rPr>
        <w:t>, as well as the private sector more broadly, are benefiting from an increasing number of investors targeting the agricultural sector in Afr</w:t>
      </w:r>
      <w:r>
        <w:rPr>
          <w:rFonts w:asciiTheme="minorHAnsi" w:hAnsiTheme="minorHAnsi"/>
          <w:sz w:val="22"/>
          <w:szCs w:val="22"/>
        </w:rPr>
        <w:t>i</w:t>
      </w:r>
      <w:r w:rsidRPr="004C40D3">
        <w:rPr>
          <w:rFonts w:asciiTheme="minorHAnsi" w:hAnsiTheme="minorHAnsi"/>
          <w:sz w:val="22"/>
          <w:szCs w:val="22"/>
        </w:rPr>
        <w:t xml:space="preserve">ca, partly for profit as well as social motives.  A 2010 Reuters investigation into African agricultural finance found that although the volume of cash being channelled into third-party Africa </w:t>
      </w:r>
      <w:r w:rsidRPr="00033E1A">
        <w:rPr>
          <w:rFonts w:asciiTheme="minorHAnsi" w:hAnsiTheme="minorHAnsi"/>
          <w:b/>
          <w:sz w:val="22"/>
          <w:szCs w:val="22"/>
        </w:rPr>
        <w:t>private equity funds</w:t>
      </w:r>
      <w:r w:rsidRPr="004C40D3">
        <w:rPr>
          <w:rFonts w:asciiTheme="minorHAnsi" w:hAnsiTheme="minorHAnsi"/>
          <w:sz w:val="22"/>
          <w:szCs w:val="22"/>
        </w:rPr>
        <w:t xml:space="preserve"> is impressive</w:t>
      </w:r>
      <w:r>
        <w:rPr>
          <w:rFonts w:asciiTheme="minorHAnsi" w:hAnsiTheme="minorHAnsi"/>
          <w:sz w:val="22"/>
          <w:szCs w:val="22"/>
        </w:rPr>
        <w:t xml:space="preserve"> (with </w:t>
      </w:r>
      <w:r w:rsidRPr="00033E1A">
        <w:rPr>
          <w:rFonts w:asciiTheme="minorHAnsi" w:hAnsiTheme="minorHAnsi"/>
          <w:b/>
          <w:sz w:val="22"/>
          <w:szCs w:val="22"/>
        </w:rPr>
        <w:t xml:space="preserve">target amounts totalling </w:t>
      </w:r>
      <w:r w:rsidRPr="00033E1A">
        <w:rPr>
          <w:rFonts w:asciiTheme="minorHAnsi" w:hAnsiTheme="minorHAnsi" w:cs="Arial"/>
          <w:b/>
          <w:sz w:val="22"/>
          <w:szCs w:val="22"/>
        </w:rPr>
        <w:t>USD 6.7 billion)</w:t>
      </w:r>
      <w:r w:rsidRPr="00033E1A">
        <w:rPr>
          <w:rFonts w:asciiTheme="minorHAnsi" w:hAnsiTheme="minorHAnsi"/>
          <w:b/>
          <w:sz w:val="22"/>
          <w:szCs w:val="22"/>
        </w:rPr>
        <w:t>,</w:t>
      </w:r>
      <w:r w:rsidRPr="004C40D3">
        <w:rPr>
          <w:rFonts w:asciiTheme="minorHAnsi" w:hAnsiTheme="minorHAnsi"/>
          <w:sz w:val="22"/>
          <w:szCs w:val="22"/>
        </w:rPr>
        <w:t xml:space="preserve"> there are concerns about the underlying motives</w:t>
      </w:r>
      <w:r>
        <w:rPr>
          <w:rFonts w:asciiTheme="minorHAnsi" w:hAnsiTheme="minorHAnsi"/>
          <w:sz w:val="22"/>
          <w:szCs w:val="22"/>
        </w:rPr>
        <w:t>.</w:t>
      </w:r>
    </w:p>
    <w:p w:rsidR="00283307" w:rsidRDefault="00283307" w:rsidP="00283307">
      <w:pPr>
        <w:spacing w:line="276" w:lineRule="auto"/>
        <w:jc w:val="both"/>
        <w:rPr>
          <w:rFonts w:asciiTheme="minorHAnsi" w:hAnsiTheme="minorHAnsi" w:cs="Arial"/>
          <w:b/>
          <w:bCs/>
        </w:rPr>
      </w:pPr>
      <w:r w:rsidRPr="00283307">
        <w:rPr>
          <w:rFonts w:asciiTheme="minorHAnsi" w:hAnsiTheme="minorHAnsi" w:cs="Arial"/>
          <w:b/>
          <w:bCs/>
          <w:color w:val="1F497D" w:themeColor="text2"/>
        </w:rPr>
        <w:t>MAPPING OF SUPPORT TO INSTITUTIONS DELIVERING CAADP</w:t>
      </w:r>
      <w:r w:rsidRPr="003F6C09">
        <w:rPr>
          <w:rFonts w:asciiTheme="minorHAnsi" w:hAnsiTheme="minorHAnsi" w:cs="Arial"/>
          <w:b/>
          <w:bCs/>
        </w:rPr>
        <w:tab/>
      </w:r>
      <w:r w:rsidRPr="003F6C09">
        <w:rPr>
          <w:rFonts w:asciiTheme="minorHAnsi" w:hAnsiTheme="minorHAnsi" w:cs="Arial"/>
          <w:b/>
          <w:bCs/>
        </w:rPr>
        <w:tab/>
      </w:r>
    </w:p>
    <w:p w:rsidR="00D15F8E" w:rsidRPr="00C25D32" w:rsidRDefault="00D15F8E" w:rsidP="00C25D32">
      <w:pPr>
        <w:pStyle w:val="Default"/>
        <w:spacing w:after="120" w:line="276" w:lineRule="auto"/>
        <w:jc w:val="both"/>
        <w:rPr>
          <w:rFonts w:ascii="Arial" w:eastAsia="Times New Roman" w:hAnsi="Arial" w:cs="Arial"/>
          <w:lang w:eastAsia="en-GB"/>
        </w:rPr>
      </w:pPr>
      <w:r w:rsidRPr="004C40D3">
        <w:rPr>
          <w:rFonts w:asciiTheme="minorHAnsi" w:hAnsiTheme="minorHAnsi"/>
          <w:sz w:val="22"/>
          <w:szCs w:val="22"/>
        </w:rPr>
        <w:t xml:space="preserve">The CAADP </w:t>
      </w:r>
      <w:r w:rsidR="00407D7B">
        <w:rPr>
          <w:rFonts w:asciiTheme="minorHAnsi" w:hAnsiTheme="minorHAnsi"/>
          <w:sz w:val="22"/>
          <w:szCs w:val="22"/>
        </w:rPr>
        <w:t>MDTF</w:t>
      </w:r>
      <w:r w:rsidRPr="004C40D3">
        <w:rPr>
          <w:rFonts w:asciiTheme="minorHAnsi" w:hAnsiTheme="minorHAnsi"/>
          <w:sz w:val="22"/>
          <w:szCs w:val="22"/>
        </w:rPr>
        <w:t xml:space="preserve"> was established in 2008 to </w:t>
      </w:r>
      <w:r w:rsidR="00C25D32">
        <w:rPr>
          <w:rFonts w:asciiTheme="minorHAnsi" w:hAnsiTheme="minorHAnsi"/>
          <w:sz w:val="22"/>
          <w:szCs w:val="22"/>
        </w:rPr>
        <w:t xml:space="preserve">provide technical support and capacity building to CAADP institutions and to </w:t>
      </w:r>
      <w:r w:rsidRPr="004C40D3">
        <w:rPr>
          <w:rFonts w:asciiTheme="minorHAnsi" w:hAnsiTheme="minorHAnsi"/>
          <w:sz w:val="22"/>
          <w:szCs w:val="22"/>
        </w:rPr>
        <w:t xml:space="preserve">harmonise donor support.  </w:t>
      </w:r>
      <w:r w:rsidRPr="004C40D3">
        <w:rPr>
          <w:rFonts w:asciiTheme="minorHAnsi" w:hAnsiTheme="minorHAnsi" w:cs="Arial"/>
          <w:sz w:val="22"/>
          <w:szCs w:val="22"/>
        </w:rPr>
        <w:t xml:space="preserve">As of April 2012, </w:t>
      </w:r>
      <w:r w:rsidRPr="004C40D3">
        <w:rPr>
          <w:rFonts w:asciiTheme="minorHAnsi" w:hAnsiTheme="minorHAnsi" w:cs="Arial"/>
          <w:b/>
          <w:sz w:val="22"/>
          <w:szCs w:val="22"/>
        </w:rPr>
        <w:t>over USD 50 million of donor investment had been committed to the CAADP MDTF</w:t>
      </w:r>
      <w:r w:rsidRPr="004C40D3">
        <w:rPr>
          <w:rFonts w:asciiTheme="minorHAnsi" w:hAnsiTheme="minorHAnsi" w:cs="Arial"/>
          <w:sz w:val="22"/>
          <w:szCs w:val="22"/>
        </w:rPr>
        <w:t>, of which USD 34.5 million had been paid.  The key donors to the CAADP MDTF are USAID (USD 17 million), the UK Department for International Development (15.6 million), the EC (USD 6.7 million) and the Dutch (USD 6.5 million).</w:t>
      </w:r>
      <w:r>
        <w:rPr>
          <w:rFonts w:asciiTheme="minorHAnsi" w:hAnsiTheme="minorHAnsi" w:cs="Arial"/>
          <w:sz w:val="22"/>
          <w:szCs w:val="22"/>
        </w:rPr>
        <w:t xml:space="preserve">  </w:t>
      </w:r>
    </w:p>
    <w:p w:rsidR="006E6F5F" w:rsidRPr="00A06B93" w:rsidRDefault="00D15F8E" w:rsidP="006E6F5F">
      <w:pPr>
        <w:spacing w:after="120" w:line="276" w:lineRule="auto"/>
        <w:jc w:val="both"/>
        <w:rPr>
          <w:rFonts w:asciiTheme="minorHAnsi" w:hAnsiTheme="minorHAnsi"/>
          <w:sz w:val="22"/>
          <w:szCs w:val="22"/>
        </w:rPr>
      </w:pPr>
      <w:r w:rsidRPr="00A06B93">
        <w:rPr>
          <w:rFonts w:asciiTheme="minorHAnsi" w:hAnsiTheme="minorHAnsi"/>
          <w:sz w:val="22"/>
          <w:szCs w:val="22"/>
        </w:rPr>
        <w:t xml:space="preserve">Of </w:t>
      </w:r>
      <w:r>
        <w:rPr>
          <w:rFonts w:asciiTheme="minorHAnsi" w:hAnsiTheme="minorHAnsi"/>
          <w:sz w:val="22"/>
          <w:szCs w:val="22"/>
        </w:rPr>
        <w:t>the USD50 million of donor funds committed to the MDTF</w:t>
      </w:r>
      <w:r w:rsidRPr="00A06B93">
        <w:rPr>
          <w:rFonts w:asciiTheme="minorHAnsi" w:hAnsiTheme="minorHAnsi"/>
          <w:sz w:val="22"/>
          <w:szCs w:val="22"/>
        </w:rPr>
        <w:t xml:space="preserve">, </w:t>
      </w:r>
      <w:r w:rsidRPr="00A06B93">
        <w:rPr>
          <w:rFonts w:asciiTheme="minorHAnsi" w:hAnsiTheme="minorHAnsi"/>
          <w:b/>
          <w:sz w:val="22"/>
          <w:szCs w:val="22"/>
        </w:rPr>
        <w:t>USD 17 million has been allocated in grants to the Child Trust Funds (CTFs)</w:t>
      </w:r>
      <w:r>
        <w:rPr>
          <w:rFonts w:asciiTheme="minorHAnsi" w:hAnsiTheme="minorHAnsi"/>
          <w:sz w:val="22"/>
          <w:szCs w:val="22"/>
        </w:rPr>
        <w:t xml:space="preserve"> – AUC, CMA/WCA, COMESA, ECCAS and NPCA</w:t>
      </w:r>
      <w:r w:rsidRPr="00A06B93">
        <w:rPr>
          <w:rFonts w:asciiTheme="minorHAnsi" w:hAnsiTheme="minorHAnsi"/>
          <w:b/>
          <w:sz w:val="22"/>
          <w:szCs w:val="22"/>
        </w:rPr>
        <w:t>.</w:t>
      </w:r>
      <w:r w:rsidRPr="00A06B93">
        <w:rPr>
          <w:rFonts w:asciiTheme="minorHAnsi" w:hAnsiTheme="minorHAnsi"/>
          <w:sz w:val="22"/>
          <w:szCs w:val="22"/>
        </w:rPr>
        <w:t xml:space="preserve">  As of April 2012, </w:t>
      </w:r>
      <w:r w:rsidRPr="00A06B93">
        <w:rPr>
          <w:rFonts w:asciiTheme="minorHAnsi" w:hAnsiTheme="minorHAnsi"/>
          <w:b/>
          <w:sz w:val="22"/>
          <w:szCs w:val="22"/>
        </w:rPr>
        <w:t>approximately a third of this grant amount (USD 5.5 million) had been disbursed to recipients</w:t>
      </w:r>
      <w:r>
        <w:rPr>
          <w:rFonts w:asciiTheme="minorHAnsi" w:hAnsiTheme="minorHAnsi"/>
          <w:sz w:val="22"/>
          <w:szCs w:val="22"/>
        </w:rPr>
        <w:t>.  Although t</w:t>
      </w:r>
      <w:r w:rsidRPr="00A06B93">
        <w:rPr>
          <w:rFonts w:asciiTheme="minorHAnsi" w:hAnsiTheme="minorHAnsi"/>
          <w:sz w:val="22"/>
          <w:szCs w:val="22"/>
        </w:rPr>
        <w:t xml:space="preserve">he CAADP MDTF is the key donor vehicle that aims to strengthen the institutional capacities of the African drivers of CAADP, there </w:t>
      </w:r>
      <w:r w:rsidR="00E47849">
        <w:rPr>
          <w:rFonts w:asciiTheme="minorHAnsi" w:hAnsiTheme="minorHAnsi"/>
          <w:sz w:val="22"/>
          <w:szCs w:val="22"/>
        </w:rPr>
        <w:t xml:space="preserve">is a </w:t>
      </w:r>
      <w:r w:rsidR="00E47849" w:rsidRPr="00E47849">
        <w:rPr>
          <w:rFonts w:asciiTheme="minorHAnsi" w:hAnsiTheme="minorHAnsi"/>
          <w:b/>
          <w:sz w:val="22"/>
          <w:szCs w:val="22"/>
        </w:rPr>
        <w:t xml:space="preserve">wide </w:t>
      </w:r>
      <w:r w:rsidRPr="00E47849">
        <w:rPr>
          <w:rFonts w:asciiTheme="minorHAnsi" w:hAnsiTheme="minorHAnsi"/>
          <w:b/>
          <w:sz w:val="22"/>
          <w:szCs w:val="22"/>
        </w:rPr>
        <w:t xml:space="preserve">variety of funding arrangements </w:t>
      </w:r>
      <w:r w:rsidR="00D6229D" w:rsidRPr="00E47849">
        <w:rPr>
          <w:rFonts w:asciiTheme="minorHAnsi" w:hAnsiTheme="minorHAnsi"/>
          <w:b/>
          <w:sz w:val="22"/>
          <w:szCs w:val="22"/>
        </w:rPr>
        <w:t xml:space="preserve">outside of the MDTF </w:t>
      </w:r>
      <w:r w:rsidRPr="00E47849">
        <w:rPr>
          <w:rFonts w:asciiTheme="minorHAnsi" w:hAnsiTheme="minorHAnsi"/>
          <w:b/>
          <w:sz w:val="22"/>
          <w:szCs w:val="22"/>
        </w:rPr>
        <w:t xml:space="preserve">to the core institutions </w:t>
      </w:r>
      <w:r w:rsidR="00D6229D" w:rsidRPr="00E47849">
        <w:rPr>
          <w:rFonts w:asciiTheme="minorHAnsi" w:hAnsiTheme="minorHAnsi"/>
          <w:b/>
          <w:sz w:val="22"/>
          <w:szCs w:val="22"/>
        </w:rPr>
        <w:t>delivering CAADP</w:t>
      </w:r>
      <w:r w:rsidR="00E47849">
        <w:rPr>
          <w:rFonts w:asciiTheme="minorHAnsi" w:hAnsiTheme="minorHAnsi"/>
          <w:b/>
          <w:sz w:val="22"/>
          <w:szCs w:val="22"/>
        </w:rPr>
        <w:t xml:space="preserve">, </w:t>
      </w:r>
      <w:r w:rsidR="00E47849" w:rsidRPr="00E47849">
        <w:rPr>
          <w:rFonts w:asciiTheme="minorHAnsi" w:hAnsiTheme="minorHAnsi"/>
          <w:sz w:val="22"/>
          <w:szCs w:val="22"/>
        </w:rPr>
        <w:t xml:space="preserve">although the complexity </w:t>
      </w:r>
      <w:r w:rsidR="00E47849">
        <w:rPr>
          <w:rFonts w:asciiTheme="minorHAnsi" w:hAnsiTheme="minorHAnsi"/>
          <w:sz w:val="22"/>
          <w:szCs w:val="22"/>
        </w:rPr>
        <w:t>of reporting arrangements makes it difficult to assess the proportion of money coming from the MDTF vis-à-vis other sources</w:t>
      </w:r>
      <w:r w:rsidRPr="00E47849">
        <w:rPr>
          <w:rFonts w:asciiTheme="minorHAnsi" w:hAnsiTheme="minorHAnsi"/>
          <w:sz w:val="22"/>
          <w:szCs w:val="22"/>
        </w:rPr>
        <w:t>.</w:t>
      </w:r>
      <w:r w:rsidRPr="00E47849">
        <w:rPr>
          <w:rFonts w:cs="Arial"/>
        </w:rPr>
        <w:t xml:space="preserve">  </w:t>
      </w:r>
      <w:r w:rsidR="00DA08C2" w:rsidRPr="00E47849">
        <w:rPr>
          <w:rFonts w:cs="Arial"/>
        </w:rPr>
        <w:t xml:space="preserve"> </w:t>
      </w:r>
      <w:r w:rsidR="006E6F5F" w:rsidRPr="00A06B93">
        <w:rPr>
          <w:rFonts w:asciiTheme="minorHAnsi" w:hAnsiTheme="minorHAnsi"/>
          <w:sz w:val="22"/>
          <w:szCs w:val="22"/>
        </w:rPr>
        <w:t>Previous attempts at mapping donor funding flows have noted the lack of information</w:t>
      </w:r>
      <w:r w:rsidR="006E6F5F">
        <w:rPr>
          <w:rFonts w:asciiTheme="minorHAnsi" w:hAnsiTheme="minorHAnsi"/>
          <w:sz w:val="22"/>
          <w:szCs w:val="22"/>
        </w:rPr>
        <w:t>, particularly on Regional Economic Communities’</w:t>
      </w:r>
      <w:r w:rsidR="006E6F5F" w:rsidRPr="00A06B93">
        <w:rPr>
          <w:rFonts w:asciiTheme="minorHAnsi" w:hAnsiTheme="minorHAnsi"/>
          <w:sz w:val="22"/>
          <w:szCs w:val="22"/>
        </w:rPr>
        <w:t xml:space="preserve"> portfolio</w:t>
      </w:r>
      <w:r w:rsidR="006E6F5F">
        <w:rPr>
          <w:rFonts w:asciiTheme="minorHAnsi" w:hAnsiTheme="minorHAnsi"/>
          <w:sz w:val="22"/>
          <w:szCs w:val="22"/>
        </w:rPr>
        <w:t>s</w:t>
      </w:r>
      <w:r w:rsidR="006E6F5F" w:rsidRPr="00A06B93">
        <w:rPr>
          <w:rFonts w:asciiTheme="minorHAnsi" w:hAnsiTheme="minorHAnsi"/>
          <w:sz w:val="22"/>
          <w:szCs w:val="22"/>
        </w:rPr>
        <w:t xml:space="preserve"> and the potential for double, or even treble counting.  A recent article by </w:t>
      </w:r>
      <w:proofErr w:type="spellStart"/>
      <w:r w:rsidR="006E6F5F" w:rsidRPr="00A06B93">
        <w:rPr>
          <w:rFonts w:asciiTheme="minorHAnsi" w:hAnsiTheme="minorHAnsi"/>
          <w:sz w:val="22"/>
          <w:szCs w:val="22"/>
        </w:rPr>
        <w:t>Calon</w:t>
      </w:r>
      <w:proofErr w:type="spellEnd"/>
      <w:r w:rsidR="006E6F5F" w:rsidRPr="00A06B93">
        <w:rPr>
          <w:rFonts w:asciiTheme="minorHAnsi" w:hAnsiTheme="minorHAnsi"/>
          <w:sz w:val="22"/>
          <w:szCs w:val="22"/>
        </w:rPr>
        <w:t xml:space="preserve"> and </w:t>
      </w:r>
      <w:proofErr w:type="spellStart"/>
      <w:r w:rsidR="006E6F5F" w:rsidRPr="00A06B93">
        <w:rPr>
          <w:rFonts w:asciiTheme="minorHAnsi" w:hAnsiTheme="minorHAnsi"/>
          <w:sz w:val="22"/>
          <w:szCs w:val="22"/>
        </w:rPr>
        <w:t>Blom</w:t>
      </w:r>
      <w:proofErr w:type="spellEnd"/>
      <w:r w:rsidR="006E6F5F" w:rsidRPr="00A06B93">
        <w:rPr>
          <w:rFonts w:asciiTheme="minorHAnsi" w:hAnsiTheme="minorHAnsi"/>
          <w:sz w:val="22"/>
          <w:szCs w:val="22"/>
        </w:rPr>
        <w:t xml:space="preserve"> (2012), both Senior Policy Advisors at the Netherlands Ministry of Foreign Affairs, highlighted the </w:t>
      </w:r>
      <w:r w:rsidR="006E6F5F" w:rsidRPr="002B7557">
        <w:rPr>
          <w:rFonts w:asciiTheme="minorHAnsi" w:hAnsiTheme="minorHAnsi"/>
          <w:b/>
          <w:sz w:val="22"/>
          <w:szCs w:val="22"/>
        </w:rPr>
        <w:t xml:space="preserve">need for a database of donor-supported programs and shared lesson-learning within each REC and between </w:t>
      </w:r>
      <w:proofErr w:type="spellStart"/>
      <w:r w:rsidR="006E6F5F" w:rsidRPr="002B7557">
        <w:rPr>
          <w:rFonts w:asciiTheme="minorHAnsi" w:hAnsiTheme="minorHAnsi"/>
          <w:b/>
          <w:sz w:val="22"/>
          <w:szCs w:val="22"/>
        </w:rPr>
        <w:t>RECs</w:t>
      </w:r>
      <w:r w:rsidR="006E6F5F" w:rsidRPr="00A06B93">
        <w:rPr>
          <w:rFonts w:asciiTheme="minorHAnsi" w:hAnsiTheme="minorHAnsi" w:cs="Arial"/>
          <w:color w:val="000000"/>
          <w:sz w:val="22"/>
          <w:szCs w:val="22"/>
          <w:shd w:val="clear" w:color="auto" w:fill="FFFFFF"/>
        </w:rPr>
        <w:t>.</w:t>
      </w:r>
      <w:proofErr w:type="spellEnd"/>
      <w:r w:rsidR="006E6F5F" w:rsidRPr="00A06B93">
        <w:rPr>
          <w:rFonts w:asciiTheme="minorHAnsi" w:hAnsiTheme="minorHAnsi" w:cs="Arial"/>
          <w:color w:val="000000"/>
          <w:sz w:val="22"/>
          <w:szCs w:val="22"/>
          <w:shd w:val="clear" w:color="auto" w:fill="FFFFFF"/>
        </w:rPr>
        <w:t xml:space="preserve">  </w:t>
      </w:r>
    </w:p>
    <w:p w:rsidR="006E4E80" w:rsidRDefault="006E4E80" w:rsidP="00283307">
      <w:pPr>
        <w:spacing w:line="276" w:lineRule="auto"/>
        <w:jc w:val="both"/>
        <w:rPr>
          <w:rFonts w:asciiTheme="minorHAnsi" w:hAnsiTheme="minorHAnsi" w:cs="Arial"/>
          <w:b/>
          <w:bCs/>
          <w:color w:val="1F497D" w:themeColor="text2"/>
        </w:rPr>
      </w:pPr>
    </w:p>
    <w:p w:rsidR="00283307" w:rsidRPr="00283307" w:rsidRDefault="00283307" w:rsidP="00283307">
      <w:pPr>
        <w:spacing w:line="276" w:lineRule="auto"/>
        <w:jc w:val="both"/>
        <w:rPr>
          <w:rFonts w:asciiTheme="minorHAnsi" w:hAnsiTheme="minorHAnsi" w:cs="Arial"/>
          <w:b/>
          <w:bCs/>
          <w:color w:val="1F497D" w:themeColor="text2"/>
        </w:rPr>
      </w:pPr>
      <w:r w:rsidRPr="00283307">
        <w:rPr>
          <w:rFonts w:asciiTheme="minorHAnsi" w:hAnsiTheme="minorHAnsi" w:cs="Arial"/>
          <w:b/>
          <w:bCs/>
          <w:color w:val="1F497D" w:themeColor="text2"/>
        </w:rPr>
        <w:t>EFFECTIVENESS OF CAADP IN ‘UNLOCKING’ INVESTMENT</w:t>
      </w:r>
    </w:p>
    <w:p w:rsidR="00E66448" w:rsidRPr="0078091D" w:rsidRDefault="00E66448" w:rsidP="00E66448">
      <w:pPr>
        <w:spacing w:after="120" w:line="276" w:lineRule="auto"/>
        <w:jc w:val="both"/>
        <w:rPr>
          <w:rFonts w:asciiTheme="minorHAnsi" w:hAnsiTheme="minorHAnsi" w:cs="Arial"/>
          <w:sz w:val="22"/>
          <w:szCs w:val="22"/>
        </w:rPr>
      </w:pPr>
      <w:r>
        <w:rPr>
          <w:rFonts w:asciiTheme="minorHAnsi" w:hAnsiTheme="minorHAnsi" w:cs="Arial"/>
          <w:sz w:val="22"/>
          <w:szCs w:val="22"/>
        </w:rPr>
        <w:t xml:space="preserve">Of the </w:t>
      </w:r>
      <w:r w:rsidRPr="00743CC6">
        <w:rPr>
          <w:rFonts w:ascii="Calibri" w:hAnsi="Calibri"/>
          <w:bCs/>
          <w:sz w:val="22"/>
          <w:szCs w:val="22"/>
        </w:rPr>
        <w:t>USD 3.6 billion</w:t>
      </w:r>
      <w:r>
        <w:rPr>
          <w:rFonts w:ascii="Calibri" w:hAnsi="Calibri"/>
          <w:sz w:val="22"/>
          <w:szCs w:val="22"/>
        </w:rPr>
        <w:t xml:space="preserve"> of agricultural investment flowing into African countries in 2011</w:t>
      </w:r>
      <w:r w:rsidR="006E6F5F">
        <w:rPr>
          <w:rFonts w:ascii="Calibri" w:hAnsi="Calibri"/>
          <w:sz w:val="22"/>
          <w:szCs w:val="22"/>
        </w:rPr>
        <w:t xml:space="preserve"> (not including regional and pan-African investments)</w:t>
      </w:r>
      <w:r w:rsidRPr="00743CC6">
        <w:rPr>
          <w:rFonts w:ascii="Calibri" w:hAnsi="Calibri"/>
          <w:sz w:val="22"/>
          <w:szCs w:val="22"/>
        </w:rPr>
        <w:t>, USD 2.6 billion (72.2 per cent) went to the 29 countries who had signed a CAADP Compact –</w:t>
      </w:r>
      <w:r>
        <w:rPr>
          <w:rFonts w:ascii="Calibri" w:hAnsi="Calibri"/>
          <w:b/>
          <w:sz w:val="22"/>
          <w:szCs w:val="22"/>
        </w:rPr>
        <w:t xml:space="preserve"> an average of USD 89.7 million per country</w:t>
      </w:r>
      <w:r w:rsidRPr="0039246C">
        <w:rPr>
          <w:rFonts w:ascii="Calibri" w:hAnsi="Calibri"/>
          <w:sz w:val="22"/>
          <w:szCs w:val="22"/>
        </w:rPr>
        <w:t>.   </w:t>
      </w:r>
      <w:r>
        <w:rPr>
          <w:rFonts w:ascii="Calibri" w:hAnsi="Calibri"/>
          <w:sz w:val="22"/>
          <w:szCs w:val="22"/>
        </w:rPr>
        <w:t xml:space="preserve">The remaining </w:t>
      </w:r>
      <w:r w:rsidRPr="0039246C">
        <w:rPr>
          <w:rFonts w:ascii="Calibri" w:hAnsi="Calibri"/>
          <w:sz w:val="22"/>
          <w:szCs w:val="22"/>
        </w:rPr>
        <w:t xml:space="preserve">USD </w:t>
      </w:r>
      <w:r w:rsidRPr="0039246C">
        <w:rPr>
          <w:rFonts w:ascii="Calibri" w:hAnsi="Calibri"/>
          <w:sz w:val="22"/>
          <w:szCs w:val="22"/>
        </w:rPr>
        <w:lastRenderedPageBreak/>
        <w:t xml:space="preserve">0.98 billion went to </w:t>
      </w:r>
      <w:r>
        <w:rPr>
          <w:rFonts w:ascii="Calibri" w:hAnsi="Calibri"/>
          <w:sz w:val="22"/>
          <w:szCs w:val="22"/>
        </w:rPr>
        <w:t xml:space="preserve">the 25 </w:t>
      </w:r>
      <w:r w:rsidRPr="0039246C">
        <w:rPr>
          <w:rFonts w:ascii="Calibri" w:hAnsi="Calibri"/>
          <w:sz w:val="22"/>
          <w:szCs w:val="22"/>
        </w:rPr>
        <w:t>non-CAADP countries</w:t>
      </w:r>
      <w:r>
        <w:rPr>
          <w:rFonts w:ascii="Calibri" w:hAnsi="Calibri"/>
          <w:sz w:val="22"/>
          <w:szCs w:val="22"/>
        </w:rPr>
        <w:t xml:space="preserve"> – an average of 39 million per country.  </w:t>
      </w:r>
      <w:r>
        <w:rPr>
          <w:rFonts w:asciiTheme="minorHAnsi" w:hAnsiTheme="minorHAnsi" w:cs="Arial"/>
          <w:sz w:val="22"/>
          <w:szCs w:val="22"/>
        </w:rPr>
        <w:t>Using data from the OECD</w:t>
      </w:r>
      <w:r w:rsidR="006E6F5F">
        <w:rPr>
          <w:rFonts w:asciiTheme="minorHAnsi" w:hAnsiTheme="minorHAnsi" w:cs="Arial"/>
          <w:sz w:val="22"/>
          <w:szCs w:val="22"/>
        </w:rPr>
        <w:t>’s Creditor Reporting System</w:t>
      </w:r>
      <w:r>
        <w:rPr>
          <w:rFonts w:asciiTheme="minorHAnsi" w:hAnsiTheme="minorHAnsi" w:cs="Arial"/>
          <w:sz w:val="22"/>
          <w:szCs w:val="22"/>
        </w:rPr>
        <w:t>, we ran a series of correlation analyses in SPSS to explore the impact of having a CAADP Compact</w:t>
      </w:r>
      <w:r w:rsidR="0029623B">
        <w:rPr>
          <w:rFonts w:asciiTheme="minorHAnsi" w:hAnsiTheme="minorHAnsi" w:cs="Arial"/>
          <w:sz w:val="22"/>
          <w:szCs w:val="22"/>
        </w:rPr>
        <w:t xml:space="preserve"> on bilateral and multilateral investment levels</w:t>
      </w:r>
      <w:r>
        <w:rPr>
          <w:rFonts w:asciiTheme="minorHAnsi" w:hAnsiTheme="minorHAnsi" w:cs="Arial"/>
          <w:sz w:val="22"/>
          <w:szCs w:val="22"/>
        </w:rPr>
        <w:t xml:space="preserve">.  </w:t>
      </w:r>
      <w:r w:rsidRPr="0078091D">
        <w:rPr>
          <w:rFonts w:asciiTheme="minorHAnsi" w:hAnsiTheme="minorHAnsi" w:cs="Arial"/>
          <w:sz w:val="22"/>
          <w:szCs w:val="22"/>
        </w:rPr>
        <w:t xml:space="preserve">The correlation analysis found there is </w:t>
      </w:r>
      <w:r w:rsidRPr="00743CC6">
        <w:rPr>
          <w:rFonts w:asciiTheme="minorHAnsi" w:hAnsiTheme="minorHAnsi" w:cs="Arial"/>
          <w:sz w:val="22"/>
          <w:szCs w:val="22"/>
        </w:rPr>
        <w:t>a</w:t>
      </w:r>
      <w:r w:rsidRPr="0078091D">
        <w:rPr>
          <w:rFonts w:asciiTheme="minorHAnsi" w:hAnsiTheme="minorHAnsi" w:cs="Arial"/>
          <w:b/>
          <w:sz w:val="22"/>
          <w:szCs w:val="22"/>
        </w:rPr>
        <w:t xml:space="preserve"> </w:t>
      </w:r>
      <w:r w:rsidRPr="00B81F0F">
        <w:rPr>
          <w:rFonts w:asciiTheme="minorHAnsi" w:hAnsiTheme="minorHAnsi" w:cs="Arial"/>
          <w:sz w:val="22"/>
          <w:szCs w:val="22"/>
        </w:rPr>
        <w:t>statistically significant positive relationship between having a Compact and the level of investment in 2010 and 2011</w:t>
      </w:r>
      <w:r>
        <w:rPr>
          <w:rFonts w:asciiTheme="minorHAnsi" w:hAnsiTheme="minorHAnsi" w:cs="Arial"/>
          <w:b/>
          <w:sz w:val="22"/>
          <w:szCs w:val="22"/>
        </w:rPr>
        <w:t xml:space="preserve"> - countries with a Compact have higher investment levels in 2010 and 2011 than countries without a Compact</w:t>
      </w:r>
      <w:r w:rsidRPr="0078091D">
        <w:rPr>
          <w:rFonts w:asciiTheme="minorHAnsi" w:hAnsiTheme="minorHAnsi" w:cs="Arial"/>
          <w:b/>
          <w:sz w:val="22"/>
          <w:szCs w:val="22"/>
        </w:rPr>
        <w:t xml:space="preserve">. </w:t>
      </w:r>
      <w:r w:rsidRPr="0078091D">
        <w:rPr>
          <w:rFonts w:asciiTheme="minorHAnsi" w:hAnsiTheme="minorHAnsi"/>
          <w:sz w:val="22"/>
          <w:szCs w:val="22"/>
        </w:rPr>
        <w:t xml:space="preserve"> Indeed, </w:t>
      </w:r>
      <w:r w:rsidRPr="00A026A9">
        <w:rPr>
          <w:rFonts w:asciiTheme="minorHAnsi" w:hAnsiTheme="minorHAnsi"/>
          <w:b/>
          <w:sz w:val="22"/>
          <w:szCs w:val="22"/>
        </w:rPr>
        <w:t>o</w:t>
      </w:r>
      <w:r>
        <w:rPr>
          <w:rFonts w:ascii="Calibri" w:hAnsi="Calibri"/>
          <w:b/>
          <w:bCs/>
          <w:sz w:val="22"/>
          <w:szCs w:val="22"/>
        </w:rPr>
        <w:t>f the</w:t>
      </w:r>
      <w:r>
        <w:rPr>
          <w:rFonts w:ascii="Calibri" w:hAnsi="Calibri"/>
          <w:sz w:val="22"/>
          <w:szCs w:val="22"/>
        </w:rPr>
        <w:t xml:space="preserve"> </w:t>
      </w:r>
      <w:r>
        <w:rPr>
          <w:rFonts w:ascii="Calibri" w:hAnsi="Calibri"/>
          <w:b/>
          <w:bCs/>
          <w:sz w:val="22"/>
          <w:szCs w:val="22"/>
        </w:rPr>
        <w:t xml:space="preserve">top 10 recipients of bilateral agricultural ODA </w:t>
      </w:r>
      <w:r>
        <w:rPr>
          <w:rFonts w:ascii="Calibri" w:hAnsi="Calibri"/>
          <w:sz w:val="22"/>
          <w:szCs w:val="22"/>
        </w:rPr>
        <w:t xml:space="preserve">in 2011, </w:t>
      </w:r>
      <w:r>
        <w:rPr>
          <w:rFonts w:ascii="Calibri" w:hAnsi="Calibri"/>
          <w:b/>
          <w:bCs/>
          <w:sz w:val="22"/>
          <w:szCs w:val="22"/>
        </w:rPr>
        <w:t>8 had signed a CAADP compact</w:t>
      </w:r>
      <w:r>
        <w:rPr>
          <w:rFonts w:ascii="Calibri" w:hAnsi="Calibri"/>
          <w:sz w:val="22"/>
          <w:szCs w:val="22"/>
        </w:rPr>
        <w:t>.   These countries include: Tanzania, Mali, Ethiopia, Zambia, Kenya, Mozambique, Ghana, and Senegal (the two countries who had not yet signed a Compact were Morocco and Cameroon).</w:t>
      </w:r>
      <w:r>
        <w:rPr>
          <w:rFonts w:asciiTheme="minorHAnsi" w:hAnsiTheme="minorHAnsi" w:cs="Arial"/>
          <w:sz w:val="22"/>
          <w:szCs w:val="22"/>
        </w:rPr>
        <w:t xml:space="preserve">  </w:t>
      </w:r>
      <w:r w:rsidRPr="0078091D">
        <w:rPr>
          <w:rFonts w:asciiTheme="minorHAnsi" w:hAnsiTheme="minorHAnsi" w:cs="Arial"/>
          <w:sz w:val="22"/>
          <w:szCs w:val="22"/>
        </w:rPr>
        <w:t xml:space="preserve"> </w:t>
      </w:r>
    </w:p>
    <w:p w:rsidR="00E66448" w:rsidRDefault="00E66448" w:rsidP="00E66448">
      <w:pPr>
        <w:spacing w:after="120" w:line="276" w:lineRule="auto"/>
        <w:jc w:val="both"/>
        <w:rPr>
          <w:rFonts w:asciiTheme="minorHAnsi" w:hAnsiTheme="minorHAnsi"/>
          <w:sz w:val="22"/>
          <w:szCs w:val="22"/>
        </w:rPr>
      </w:pPr>
      <w:r w:rsidRPr="00545118">
        <w:rPr>
          <w:rFonts w:asciiTheme="minorHAnsi" w:hAnsiTheme="minorHAnsi" w:cs="Arial"/>
          <w:sz w:val="22"/>
          <w:szCs w:val="22"/>
        </w:rPr>
        <w:t>There is also a</w:t>
      </w:r>
      <w:r>
        <w:rPr>
          <w:rFonts w:asciiTheme="minorHAnsi" w:hAnsiTheme="minorHAnsi" w:cs="Arial"/>
          <w:b/>
          <w:sz w:val="22"/>
          <w:szCs w:val="22"/>
        </w:rPr>
        <w:t xml:space="preserve"> significant positive relationship between having a Compact and the average level of investment for 2007-2011.  </w:t>
      </w:r>
      <w:r>
        <w:rPr>
          <w:rFonts w:asciiTheme="minorHAnsi" w:hAnsiTheme="minorHAnsi"/>
          <w:sz w:val="22"/>
          <w:szCs w:val="22"/>
        </w:rPr>
        <w:t xml:space="preserve">Those countries that signed a Compact by 2010 were more likely to have higher average levels of investment over this period. This relationship also follows for those signing the Compact by 2011.  </w:t>
      </w:r>
    </w:p>
    <w:p w:rsidR="00EA5323" w:rsidRDefault="00EA5323" w:rsidP="00EA5323">
      <w:pPr>
        <w:spacing w:after="120" w:line="276" w:lineRule="auto"/>
        <w:jc w:val="both"/>
        <w:rPr>
          <w:rFonts w:asciiTheme="minorHAnsi" w:hAnsiTheme="minorHAnsi" w:cs="Arial"/>
          <w:sz w:val="22"/>
          <w:szCs w:val="22"/>
        </w:rPr>
      </w:pPr>
      <w:r>
        <w:rPr>
          <w:rFonts w:asciiTheme="minorHAnsi" w:hAnsiTheme="minorHAnsi" w:cs="Arial"/>
          <w:sz w:val="22"/>
          <w:szCs w:val="22"/>
        </w:rPr>
        <w:t xml:space="preserve">We also </w:t>
      </w:r>
      <w:r w:rsidR="00864B87">
        <w:rPr>
          <w:rFonts w:asciiTheme="minorHAnsi" w:hAnsiTheme="minorHAnsi" w:cs="Arial"/>
          <w:sz w:val="22"/>
          <w:szCs w:val="22"/>
        </w:rPr>
        <w:t>examined</w:t>
      </w:r>
      <w:r>
        <w:rPr>
          <w:rFonts w:asciiTheme="minorHAnsi" w:hAnsiTheme="minorHAnsi" w:cs="Arial"/>
          <w:sz w:val="22"/>
          <w:szCs w:val="22"/>
        </w:rPr>
        <w:t xml:space="preserve"> whether countries more heavily dependent on agriculture (as measured by the total agricultural labour force and percentage of labour force in agriculture) were more likely to have a Compact. There is a statistically significant positive relationship between having a Compact and the percentage of the labour force in agriculture. </w:t>
      </w:r>
      <w:r w:rsidR="00864B87">
        <w:rPr>
          <w:rFonts w:asciiTheme="minorHAnsi" w:hAnsiTheme="minorHAnsi" w:cs="Arial"/>
          <w:sz w:val="22"/>
          <w:szCs w:val="22"/>
        </w:rPr>
        <w:t xml:space="preserve">In other words </w:t>
      </w:r>
      <w:r>
        <w:rPr>
          <w:rFonts w:asciiTheme="minorHAnsi" w:hAnsiTheme="minorHAnsi" w:cs="Arial"/>
          <w:b/>
          <w:sz w:val="22"/>
          <w:szCs w:val="22"/>
        </w:rPr>
        <w:t>countries with a larger agricultural labour force (both in absolute numbers and as a percentage of their labour force) were more likely to have signed a Compact than those with a smaller agricultural labour force</w:t>
      </w:r>
      <w:r>
        <w:rPr>
          <w:rFonts w:asciiTheme="minorHAnsi" w:hAnsiTheme="minorHAnsi" w:cs="Arial"/>
          <w:sz w:val="22"/>
          <w:szCs w:val="22"/>
        </w:rPr>
        <w:t xml:space="preserve">.  </w:t>
      </w:r>
    </w:p>
    <w:p w:rsidR="00EA5323" w:rsidRDefault="00EA5323" w:rsidP="00EA5323">
      <w:pPr>
        <w:spacing w:after="120" w:line="276" w:lineRule="auto"/>
        <w:jc w:val="both"/>
        <w:rPr>
          <w:rFonts w:asciiTheme="minorHAnsi" w:hAnsiTheme="minorHAnsi" w:cs="Arial"/>
          <w:sz w:val="22"/>
          <w:szCs w:val="22"/>
        </w:rPr>
      </w:pPr>
      <w:r>
        <w:rPr>
          <w:rFonts w:asciiTheme="minorHAnsi" w:hAnsiTheme="minorHAnsi" w:cs="Arial"/>
          <w:sz w:val="22"/>
          <w:szCs w:val="22"/>
        </w:rPr>
        <w:t xml:space="preserve">However, </w:t>
      </w:r>
      <w:r w:rsidRPr="00EA5323">
        <w:rPr>
          <w:rFonts w:asciiTheme="minorHAnsi" w:hAnsiTheme="minorHAnsi" w:cs="Arial"/>
          <w:b/>
          <w:sz w:val="22"/>
          <w:szCs w:val="22"/>
        </w:rPr>
        <w:t xml:space="preserve">levels of agricultural investment do not appear to be proportional to the agricultural labour force, with </w:t>
      </w:r>
      <w:r w:rsidR="00864B87">
        <w:rPr>
          <w:rFonts w:asciiTheme="minorHAnsi" w:hAnsiTheme="minorHAnsi" w:cs="Arial"/>
          <w:b/>
          <w:sz w:val="22"/>
          <w:szCs w:val="22"/>
        </w:rPr>
        <w:t xml:space="preserve">albeit higher levels of </w:t>
      </w:r>
      <w:r w:rsidRPr="00EA5323">
        <w:rPr>
          <w:rFonts w:asciiTheme="minorHAnsi" w:hAnsiTheme="minorHAnsi" w:cs="Arial"/>
          <w:b/>
          <w:sz w:val="22"/>
          <w:szCs w:val="22"/>
        </w:rPr>
        <w:t>investment</w:t>
      </w:r>
      <w:r w:rsidR="00864B87">
        <w:rPr>
          <w:rFonts w:asciiTheme="minorHAnsi" w:hAnsiTheme="minorHAnsi" w:cs="Arial"/>
          <w:b/>
          <w:sz w:val="22"/>
          <w:szCs w:val="22"/>
        </w:rPr>
        <w:t>,</w:t>
      </w:r>
      <w:r w:rsidRPr="00EA5323">
        <w:rPr>
          <w:rFonts w:asciiTheme="minorHAnsi" w:hAnsiTheme="minorHAnsi" w:cs="Arial"/>
          <w:b/>
          <w:sz w:val="22"/>
          <w:szCs w:val="22"/>
        </w:rPr>
        <w:t xml:space="preserve"> spread more thinly in countries heavily dependent on agriculture</w:t>
      </w:r>
      <w:r>
        <w:rPr>
          <w:rFonts w:asciiTheme="minorHAnsi" w:hAnsiTheme="minorHAnsi" w:cs="Arial"/>
          <w:sz w:val="22"/>
          <w:szCs w:val="22"/>
        </w:rPr>
        <w:t xml:space="preserve">.  For example, </w:t>
      </w:r>
      <w:r w:rsidRPr="00B30265">
        <w:rPr>
          <w:rFonts w:asciiTheme="minorHAnsi" w:hAnsiTheme="minorHAnsi" w:cs="Arial"/>
          <w:sz w:val="22"/>
          <w:szCs w:val="22"/>
        </w:rPr>
        <w:t>Ethiopia received USD 170.8 million in 2011, but at just USD 5.30 per agricultural worker this was proportionally less than South Africa, receiving USD 21.2 million</w:t>
      </w:r>
      <w:r w:rsidR="00864B87">
        <w:rPr>
          <w:rFonts w:asciiTheme="minorHAnsi" w:hAnsiTheme="minorHAnsi" w:cs="Arial"/>
          <w:sz w:val="22"/>
          <w:szCs w:val="22"/>
        </w:rPr>
        <w:t>,</w:t>
      </w:r>
      <w:r w:rsidRPr="00B30265">
        <w:rPr>
          <w:rFonts w:asciiTheme="minorHAnsi" w:hAnsiTheme="minorHAnsi" w:cs="Arial"/>
          <w:sz w:val="22"/>
          <w:szCs w:val="22"/>
        </w:rPr>
        <w:t xml:space="preserve"> but the equivalent of USD 13.40 per agricultural worker.  </w:t>
      </w:r>
    </w:p>
    <w:p w:rsidR="00EA5323" w:rsidRPr="007E69F8" w:rsidRDefault="00EA5323" w:rsidP="00EA5323">
      <w:pPr>
        <w:spacing w:after="120" w:line="276" w:lineRule="auto"/>
        <w:jc w:val="both"/>
        <w:rPr>
          <w:rFonts w:asciiTheme="minorHAnsi" w:hAnsiTheme="minorHAnsi" w:cs="Arial"/>
          <w:sz w:val="22"/>
          <w:szCs w:val="22"/>
        </w:rPr>
      </w:pPr>
      <w:r w:rsidRPr="00EA5323">
        <w:rPr>
          <w:rFonts w:asciiTheme="minorHAnsi" w:hAnsiTheme="minorHAnsi" w:cs="Arial"/>
          <w:sz w:val="22"/>
          <w:szCs w:val="22"/>
        </w:rPr>
        <w:t>Nevertheless,</w:t>
      </w:r>
      <w:r>
        <w:rPr>
          <w:rFonts w:asciiTheme="minorHAnsi" w:hAnsiTheme="minorHAnsi" w:cs="Arial"/>
          <w:b/>
          <w:sz w:val="22"/>
          <w:szCs w:val="22"/>
        </w:rPr>
        <w:t xml:space="preserve"> </w:t>
      </w:r>
      <w:r w:rsidRPr="00EA5323">
        <w:rPr>
          <w:rFonts w:asciiTheme="minorHAnsi" w:hAnsiTheme="minorHAnsi" w:cs="Arial"/>
          <w:sz w:val="22"/>
          <w:szCs w:val="22"/>
        </w:rPr>
        <w:t>total per capita investment is significantly higher in countries with Compacts</w:t>
      </w:r>
      <w:r>
        <w:rPr>
          <w:rFonts w:asciiTheme="minorHAnsi" w:hAnsiTheme="minorHAnsi" w:cs="Arial"/>
          <w:sz w:val="22"/>
          <w:szCs w:val="22"/>
        </w:rPr>
        <w:t xml:space="preserve">.  </w:t>
      </w:r>
      <w:r w:rsidRPr="00B30265">
        <w:rPr>
          <w:rFonts w:ascii="Calibri" w:hAnsi="Calibri"/>
          <w:sz w:val="22"/>
          <w:szCs w:val="22"/>
        </w:rPr>
        <w:t xml:space="preserve">In 2011, </w:t>
      </w:r>
      <w:r w:rsidRPr="00EA5323">
        <w:rPr>
          <w:rFonts w:ascii="Calibri" w:hAnsi="Calibri"/>
          <w:b/>
          <w:sz w:val="22"/>
          <w:szCs w:val="22"/>
        </w:rPr>
        <w:t>average agricultural investment per capita in CAADP countries was $4.00 per person as opposed to $2.50 in non-CAADP countries</w:t>
      </w:r>
      <w:r w:rsidRPr="00B30265">
        <w:rPr>
          <w:rFonts w:ascii="Calibri" w:hAnsi="Calibri"/>
          <w:sz w:val="22"/>
          <w:szCs w:val="22"/>
        </w:rPr>
        <w:t>.</w:t>
      </w:r>
      <w:r w:rsidRPr="007E69F8">
        <w:rPr>
          <w:rFonts w:asciiTheme="minorHAnsi" w:hAnsiTheme="minorHAnsi" w:cs="Arial"/>
          <w:sz w:val="22"/>
          <w:szCs w:val="22"/>
        </w:rPr>
        <w:t xml:space="preserve"> </w:t>
      </w:r>
      <w:r>
        <w:rPr>
          <w:rFonts w:asciiTheme="minorHAnsi" w:hAnsiTheme="minorHAnsi" w:cs="Arial"/>
          <w:sz w:val="22"/>
          <w:szCs w:val="22"/>
        </w:rPr>
        <w:t>The correlation analyses found there is</w:t>
      </w:r>
      <w:r w:rsidRPr="007E69F8">
        <w:rPr>
          <w:rFonts w:asciiTheme="minorHAnsi" w:hAnsiTheme="minorHAnsi" w:cs="Arial"/>
          <w:sz w:val="22"/>
          <w:szCs w:val="22"/>
        </w:rPr>
        <w:t xml:space="preserve"> </w:t>
      </w:r>
      <w:r w:rsidRPr="00EA5323">
        <w:rPr>
          <w:rFonts w:asciiTheme="minorHAnsi" w:hAnsiTheme="minorHAnsi" w:cs="Arial"/>
          <w:sz w:val="22"/>
          <w:szCs w:val="22"/>
        </w:rPr>
        <w:t>a positive correlation</w:t>
      </w:r>
      <w:r w:rsidRPr="007E69F8">
        <w:rPr>
          <w:rFonts w:asciiTheme="minorHAnsi" w:hAnsiTheme="minorHAnsi" w:cs="Arial"/>
          <w:b/>
          <w:sz w:val="22"/>
          <w:szCs w:val="22"/>
        </w:rPr>
        <w:t xml:space="preserve"> </w:t>
      </w:r>
      <w:r w:rsidR="00864B87">
        <w:rPr>
          <w:rFonts w:asciiTheme="minorHAnsi" w:hAnsiTheme="minorHAnsi" w:cs="Arial"/>
          <w:sz w:val="22"/>
          <w:szCs w:val="22"/>
        </w:rPr>
        <w:t>between</w:t>
      </w:r>
      <w:r w:rsidRPr="007E69F8">
        <w:rPr>
          <w:rFonts w:asciiTheme="minorHAnsi" w:hAnsiTheme="minorHAnsi" w:cs="Arial"/>
          <w:sz w:val="22"/>
          <w:szCs w:val="22"/>
        </w:rPr>
        <w:t xml:space="preserve"> </w:t>
      </w:r>
      <w:r w:rsidR="00864B87">
        <w:rPr>
          <w:rFonts w:asciiTheme="minorHAnsi" w:hAnsiTheme="minorHAnsi" w:cs="Arial"/>
          <w:sz w:val="22"/>
          <w:szCs w:val="22"/>
        </w:rPr>
        <w:t xml:space="preserve">per </w:t>
      </w:r>
      <w:r w:rsidRPr="007E69F8">
        <w:rPr>
          <w:rFonts w:asciiTheme="minorHAnsi" w:hAnsiTheme="minorHAnsi" w:cs="Arial"/>
          <w:sz w:val="22"/>
          <w:szCs w:val="22"/>
        </w:rPr>
        <w:t xml:space="preserve">total </w:t>
      </w:r>
      <w:proofErr w:type="spellStart"/>
      <w:r w:rsidRPr="007E69F8">
        <w:rPr>
          <w:rFonts w:asciiTheme="minorHAnsi" w:hAnsiTheme="minorHAnsi" w:cs="Arial"/>
          <w:sz w:val="22"/>
          <w:szCs w:val="22"/>
        </w:rPr>
        <w:t>capita</w:t>
      </w:r>
      <w:proofErr w:type="spellEnd"/>
      <w:r w:rsidRPr="007E69F8">
        <w:rPr>
          <w:rFonts w:asciiTheme="minorHAnsi" w:hAnsiTheme="minorHAnsi" w:cs="Arial"/>
          <w:sz w:val="22"/>
          <w:szCs w:val="22"/>
        </w:rPr>
        <w:t xml:space="preserve"> investment in 2009 and 2010 and having a Compact by 2010</w:t>
      </w:r>
      <w:r>
        <w:rPr>
          <w:rFonts w:asciiTheme="minorHAnsi" w:hAnsiTheme="minorHAnsi" w:cs="Arial"/>
          <w:sz w:val="22"/>
          <w:szCs w:val="22"/>
        </w:rPr>
        <w:t>,</w:t>
      </w:r>
      <w:r w:rsidRPr="007E69F8">
        <w:rPr>
          <w:rFonts w:asciiTheme="minorHAnsi" w:hAnsiTheme="minorHAnsi" w:cs="Arial"/>
          <w:sz w:val="22"/>
          <w:szCs w:val="22"/>
        </w:rPr>
        <w:t xml:space="preserve"> and per total </w:t>
      </w:r>
      <w:proofErr w:type="spellStart"/>
      <w:r w:rsidRPr="007E69F8">
        <w:rPr>
          <w:rFonts w:asciiTheme="minorHAnsi" w:hAnsiTheme="minorHAnsi" w:cs="Arial"/>
          <w:sz w:val="22"/>
          <w:szCs w:val="22"/>
        </w:rPr>
        <w:t>capita</w:t>
      </w:r>
      <w:proofErr w:type="spellEnd"/>
      <w:r w:rsidRPr="007E69F8">
        <w:rPr>
          <w:rFonts w:asciiTheme="minorHAnsi" w:hAnsiTheme="minorHAnsi" w:cs="Arial"/>
          <w:sz w:val="22"/>
          <w:szCs w:val="22"/>
        </w:rPr>
        <w:t xml:space="preserve"> investment in 2010 and 2011 and having a Compact by 2011.</w:t>
      </w:r>
    </w:p>
    <w:p w:rsidR="00056022" w:rsidRDefault="00EA5323" w:rsidP="00E66448">
      <w:pPr>
        <w:spacing w:after="120" w:line="276" w:lineRule="auto"/>
        <w:jc w:val="both"/>
        <w:rPr>
          <w:rFonts w:asciiTheme="minorHAnsi" w:hAnsiTheme="minorHAnsi" w:cs="Arial"/>
          <w:sz w:val="22"/>
          <w:szCs w:val="22"/>
        </w:rPr>
      </w:pPr>
      <w:r w:rsidRPr="00CE55EE">
        <w:rPr>
          <w:rFonts w:asciiTheme="minorHAnsi" w:hAnsiTheme="minorHAnsi" w:cs="Arial"/>
          <w:sz w:val="22"/>
          <w:szCs w:val="22"/>
        </w:rPr>
        <w:t xml:space="preserve">The relationship between Compact signing and changes in investment levels is complex and there is not enough data yet to test </w:t>
      </w:r>
      <w:r>
        <w:rPr>
          <w:rFonts w:asciiTheme="minorHAnsi" w:hAnsiTheme="minorHAnsi" w:cs="Arial"/>
          <w:sz w:val="22"/>
          <w:szCs w:val="22"/>
        </w:rPr>
        <w:t>for</w:t>
      </w:r>
      <w:r w:rsidRPr="00CE55EE">
        <w:rPr>
          <w:rFonts w:asciiTheme="minorHAnsi" w:hAnsiTheme="minorHAnsi" w:cs="Arial"/>
          <w:sz w:val="22"/>
          <w:szCs w:val="22"/>
        </w:rPr>
        <w:t xml:space="preserve"> statistical significan</w:t>
      </w:r>
      <w:r>
        <w:rPr>
          <w:rFonts w:asciiTheme="minorHAnsi" w:hAnsiTheme="minorHAnsi" w:cs="Arial"/>
          <w:sz w:val="22"/>
          <w:szCs w:val="22"/>
        </w:rPr>
        <w:t>ce</w:t>
      </w:r>
      <w:r w:rsidRPr="00CE55EE">
        <w:rPr>
          <w:rFonts w:asciiTheme="minorHAnsi" w:hAnsiTheme="minorHAnsi" w:cs="Arial"/>
          <w:sz w:val="22"/>
          <w:szCs w:val="22"/>
        </w:rPr>
        <w:t xml:space="preserve">.  </w:t>
      </w:r>
      <w:r>
        <w:rPr>
          <w:rFonts w:asciiTheme="minorHAnsi" w:hAnsiTheme="minorHAnsi" w:cs="Arial"/>
          <w:sz w:val="22"/>
          <w:szCs w:val="22"/>
        </w:rPr>
        <w:t xml:space="preserve">For those countries with over three years since signing their Compact, it seems that after a </w:t>
      </w:r>
      <w:r w:rsidRPr="00056022">
        <w:rPr>
          <w:rFonts w:asciiTheme="minorHAnsi" w:hAnsiTheme="minorHAnsi" w:cs="Arial"/>
          <w:b/>
          <w:sz w:val="22"/>
          <w:szCs w:val="22"/>
        </w:rPr>
        <w:t>‘honeymoon’ period post-Compact</w:t>
      </w:r>
      <w:r>
        <w:rPr>
          <w:rFonts w:asciiTheme="minorHAnsi" w:hAnsiTheme="minorHAnsi" w:cs="Arial"/>
          <w:sz w:val="22"/>
          <w:szCs w:val="22"/>
        </w:rPr>
        <w:t xml:space="preserve"> with substantial inflows of investment in Y1 and/or Y2, the levels of ODA commitments decline in Y3 from the initial peak of investment.   </w:t>
      </w:r>
      <w:r w:rsidR="00CB5F30">
        <w:rPr>
          <w:rFonts w:asciiTheme="minorHAnsi" w:hAnsiTheme="minorHAnsi" w:cs="Arial"/>
          <w:sz w:val="22"/>
          <w:szCs w:val="22"/>
        </w:rPr>
        <w:t xml:space="preserve"> </w:t>
      </w:r>
      <w:r>
        <w:rPr>
          <w:rFonts w:asciiTheme="minorHAnsi" w:hAnsiTheme="minorHAnsi" w:cs="Arial"/>
          <w:sz w:val="22"/>
          <w:szCs w:val="22"/>
        </w:rPr>
        <w:t xml:space="preserve">However, it </w:t>
      </w:r>
      <w:r w:rsidRPr="008B0681">
        <w:rPr>
          <w:rFonts w:asciiTheme="minorHAnsi" w:hAnsiTheme="minorHAnsi" w:cs="Arial"/>
          <w:sz w:val="22"/>
          <w:szCs w:val="22"/>
        </w:rPr>
        <w:t xml:space="preserve">should be noted that the </w:t>
      </w:r>
      <w:r>
        <w:rPr>
          <w:rFonts w:asciiTheme="minorHAnsi" w:hAnsiTheme="minorHAnsi" w:cs="Arial"/>
          <w:sz w:val="22"/>
          <w:szCs w:val="22"/>
        </w:rPr>
        <w:t xml:space="preserve">data from the OECD’s Creditor Reporting System </w:t>
      </w:r>
      <w:r w:rsidRPr="008B0681">
        <w:rPr>
          <w:rFonts w:asciiTheme="minorHAnsi" w:hAnsiTheme="minorHAnsi" w:cs="Arial"/>
          <w:sz w:val="22"/>
          <w:szCs w:val="22"/>
        </w:rPr>
        <w:t xml:space="preserve">provides a ‘snapshot’ of ODA commitments over a limited period of time.  The </w:t>
      </w:r>
      <w:r w:rsidRPr="004373B5">
        <w:rPr>
          <w:rFonts w:asciiTheme="minorHAnsi" w:hAnsiTheme="minorHAnsi" w:cs="Arial"/>
          <w:b/>
          <w:sz w:val="22"/>
          <w:szCs w:val="22"/>
        </w:rPr>
        <w:t>long-term effect of signing a CAADP compact is yet to be determined</w:t>
      </w:r>
      <w:r>
        <w:rPr>
          <w:rFonts w:asciiTheme="minorHAnsi" w:hAnsiTheme="minorHAnsi" w:cs="Arial"/>
          <w:sz w:val="22"/>
          <w:szCs w:val="22"/>
        </w:rPr>
        <w:t>, but will hopefully become clearer</w:t>
      </w:r>
      <w:r w:rsidRPr="008B0681">
        <w:rPr>
          <w:rFonts w:asciiTheme="minorHAnsi" w:hAnsiTheme="minorHAnsi" w:cs="Arial"/>
          <w:sz w:val="22"/>
          <w:szCs w:val="22"/>
        </w:rPr>
        <w:t xml:space="preserve"> as more countries come on board</w:t>
      </w:r>
      <w:r>
        <w:rPr>
          <w:rFonts w:asciiTheme="minorHAnsi" w:hAnsiTheme="minorHAnsi" w:cs="Arial"/>
          <w:sz w:val="22"/>
          <w:szCs w:val="22"/>
        </w:rPr>
        <w:t xml:space="preserve"> and more data is available.  </w:t>
      </w:r>
      <w:r w:rsidR="00622FFA">
        <w:rPr>
          <w:rFonts w:asciiTheme="minorHAnsi" w:hAnsiTheme="minorHAnsi" w:cs="Arial"/>
          <w:sz w:val="22"/>
          <w:szCs w:val="22"/>
        </w:rPr>
        <w:t xml:space="preserve">Case studies from Ghana, Burkina Faso and Togo provide a brief exploration of how patterns and flows of agricultural aid changed </w:t>
      </w:r>
      <w:r w:rsidR="008D74E2">
        <w:rPr>
          <w:rFonts w:asciiTheme="minorHAnsi" w:hAnsiTheme="minorHAnsi" w:cs="Arial"/>
          <w:sz w:val="22"/>
          <w:szCs w:val="22"/>
        </w:rPr>
        <w:t>in three CAADP countries</w:t>
      </w:r>
      <w:r w:rsidR="00622FFA">
        <w:rPr>
          <w:rFonts w:asciiTheme="minorHAnsi" w:hAnsiTheme="minorHAnsi" w:cs="Arial"/>
          <w:sz w:val="22"/>
          <w:szCs w:val="22"/>
        </w:rPr>
        <w:t xml:space="preserve"> after signing of the Compact.   </w:t>
      </w:r>
    </w:p>
    <w:p w:rsidR="00283307" w:rsidRDefault="00622FFA" w:rsidP="00283307">
      <w:pPr>
        <w:spacing w:after="120" w:line="276" w:lineRule="auto"/>
        <w:jc w:val="both"/>
        <w:rPr>
          <w:rFonts w:ascii="Arial" w:hAnsi="Arial" w:cs="Arial"/>
          <w:sz w:val="22"/>
          <w:szCs w:val="22"/>
        </w:rPr>
      </w:pPr>
      <w:r>
        <w:rPr>
          <w:rFonts w:asciiTheme="minorHAnsi" w:hAnsiTheme="minorHAnsi" w:cs="Arial"/>
          <w:sz w:val="22"/>
          <w:szCs w:val="22"/>
        </w:rPr>
        <w:t xml:space="preserve">Although there are indications that the quality of the process is important, </w:t>
      </w:r>
      <w:r w:rsidRPr="004373B5">
        <w:rPr>
          <w:rFonts w:asciiTheme="minorHAnsi" w:hAnsiTheme="minorHAnsi" w:cs="Arial"/>
          <w:b/>
          <w:sz w:val="22"/>
          <w:szCs w:val="22"/>
        </w:rPr>
        <w:t>f</w:t>
      </w:r>
      <w:r w:rsidR="00E66448" w:rsidRPr="004373B5">
        <w:rPr>
          <w:rFonts w:asciiTheme="minorHAnsi" w:hAnsiTheme="minorHAnsi" w:cs="Arial"/>
          <w:b/>
          <w:sz w:val="22"/>
          <w:szCs w:val="22"/>
        </w:rPr>
        <w:t>urther research</w:t>
      </w:r>
      <w:r w:rsidR="008D74E2" w:rsidRPr="004373B5">
        <w:rPr>
          <w:rFonts w:asciiTheme="minorHAnsi" w:hAnsiTheme="minorHAnsi" w:cs="Arial"/>
          <w:b/>
          <w:sz w:val="22"/>
          <w:szCs w:val="22"/>
        </w:rPr>
        <w:t xml:space="preserve"> at the country-level</w:t>
      </w:r>
      <w:r w:rsidR="00E66448" w:rsidRPr="004373B5">
        <w:rPr>
          <w:rFonts w:asciiTheme="minorHAnsi" w:hAnsiTheme="minorHAnsi" w:cs="Arial"/>
          <w:b/>
          <w:sz w:val="22"/>
          <w:szCs w:val="22"/>
        </w:rPr>
        <w:t xml:space="preserve"> is recommended</w:t>
      </w:r>
      <w:r w:rsidR="00E66448">
        <w:rPr>
          <w:rFonts w:asciiTheme="minorHAnsi" w:hAnsiTheme="minorHAnsi" w:cs="Arial"/>
          <w:sz w:val="22"/>
          <w:szCs w:val="22"/>
        </w:rPr>
        <w:t xml:space="preserve"> </w:t>
      </w:r>
      <w:r>
        <w:rPr>
          <w:rFonts w:asciiTheme="minorHAnsi" w:hAnsiTheme="minorHAnsi" w:cs="Arial"/>
          <w:sz w:val="22"/>
          <w:szCs w:val="22"/>
        </w:rPr>
        <w:t xml:space="preserve">to explore in greater detail the process by which </w:t>
      </w:r>
      <w:r w:rsidR="00E7596D">
        <w:rPr>
          <w:rFonts w:asciiTheme="minorHAnsi" w:hAnsiTheme="minorHAnsi" w:cs="Arial"/>
          <w:sz w:val="22"/>
          <w:szCs w:val="22"/>
        </w:rPr>
        <w:t>CAADP implementation unlocks investment in spending,</w:t>
      </w:r>
      <w:r>
        <w:rPr>
          <w:rFonts w:asciiTheme="minorHAnsi" w:hAnsiTheme="minorHAnsi" w:cs="Arial"/>
          <w:sz w:val="22"/>
          <w:szCs w:val="22"/>
        </w:rPr>
        <w:t xml:space="preserve"> and the extent to which this can be attributed to the CAADP </w:t>
      </w:r>
      <w:r w:rsidR="00864B87">
        <w:rPr>
          <w:rFonts w:asciiTheme="minorHAnsi" w:hAnsiTheme="minorHAnsi" w:cs="Arial"/>
          <w:sz w:val="22"/>
          <w:szCs w:val="22"/>
        </w:rPr>
        <w:t xml:space="preserve">and the </w:t>
      </w:r>
      <w:r>
        <w:rPr>
          <w:rFonts w:asciiTheme="minorHAnsi" w:hAnsiTheme="minorHAnsi" w:cs="Arial"/>
          <w:sz w:val="22"/>
          <w:szCs w:val="22"/>
        </w:rPr>
        <w:t>Multi-Donor Trust Fund</w:t>
      </w:r>
      <w:r w:rsidR="00864B87">
        <w:rPr>
          <w:rFonts w:asciiTheme="minorHAnsi" w:hAnsiTheme="minorHAnsi" w:cs="Arial"/>
          <w:sz w:val="22"/>
          <w:szCs w:val="22"/>
        </w:rPr>
        <w:t>,</w:t>
      </w:r>
      <w:r w:rsidR="00251951">
        <w:rPr>
          <w:rFonts w:asciiTheme="minorHAnsi" w:hAnsiTheme="minorHAnsi" w:cs="Arial"/>
          <w:sz w:val="22"/>
          <w:szCs w:val="22"/>
        </w:rPr>
        <w:t xml:space="preserve"> rather than broader changes in the investment climate</w:t>
      </w:r>
      <w:r>
        <w:rPr>
          <w:rFonts w:asciiTheme="minorHAnsi" w:hAnsiTheme="minorHAnsi" w:cs="Arial"/>
          <w:sz w:val="22"/>
          <w:szCs w:val="22"/>
        </w:rPr>
        <w:t xml:space="preserve">.  </w:t>
      </w:r>
      <w:r w:rsidR="00283307">
        <w:rPr>
          <w:rFonts w:ascii="Arial" w:hAnsi="Arial" w:cs="Arial"/>
          <w:sz w:val="22"/>
          <w:szCs w:val="22"/>
        </w:rPr>
        <w:br w:type="page"/>
      </w:r>
    </w:p>
    <w:p w:rsidR="003F6C09" w:rsidRPr="008744CB" w:rsidRDefault="003F6C09" w:rsidP="003F6C09">
      <w:pPr>
        <w:autoSpaceDE w:val="0"/>
        <w:autoSpaceDN w:val="0"/>
        <w:adjustRightInd w:val="0"/>
        <w:jc w:val="center"/>
        <w:rPr>
          <w:rFonts w:asciiTheme="minorHAnsi" w:hAnsiTheme="minorHAnsi" w:cs="Arial"/>
          <w:b/>
          <w:color w:val="1F497D" w:themeColor="text2"/>
          <w:sz w:val="28"/>
          <w:szCs w:val="28"/>
        </w:rPr>
      </w:pPr>
      <w:r w:rsidRPr="008744CB">
        <w:rPr>
          <w:rFonts w:asciiTheme="minorHAnsi" w:hAnsiTheme="minorHAnsi" w:cs="Arial"/>
          <w:b/>
          <w:color w:val="1F497D" w:themeColor="text2"/>
          <w:sz w:val="28"/>
          <w:szCs w:val="28"/>
        </w:rPr>
        <w:lastRenderedPageBreak/>
        <w:t>SECTION 1: INTRODUCTION &amp; BACKGROUND</w:t>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 xml:space="preserve">1.1 </w:t>
      </w:r>
      <w:r w:rsidRPr="008744CB">
        <w:rPr>
          <w:rFonts w:asciiTheme="minorHAnsi" w:hAnsiTheme="minorHAnsi" w:cs="Arial"/>
          <w:b/>
          <w:color w:val="1F497D" w:themeColor="text2"/>
          <w:szCs w:val="24"/>
        </w:rPr>
        <w:tab/>
      </w:r>
      <w:r w:rsidR="00E8060D">
        <w:rPr>
          <w:rFonts w:asciiTheme="minorHAnsi" w:hAnsiTheme="minorHAnsi" w:cs="Arial"/>
          <w:b/>
          <w:color w:val="1F497D" w:themeColor="text2"/>
          <w:szCs w:val="24"/>
        </w:rPr>
        <w:t>BACKGROUND</w:t>
      </w:r>
    </w:p>
    <w:p w:rsidR="00F03BF5" w:rsidRDefault="00F03BF5" w:rsidP="00D83945">
      <w:pPr>
        <w:spacing w:after="120" w:line="276" w:lineRule="auto"/>
        <w:jc w:val="both"/>
        <w:rPr>
          <w:rFonts w:asciiTheme="minorHAnsi" w:hAnsiTheme="minorHAnsi" w:cs="Arial"/>
          <w:sz w:val="22"/>
          <w:szCs w:val="22"/>
          <w:shd w:val="clear" w:color="auto" w:fill="FFFFFF"/>
        </w:rPr>
      </w:pPr>
      <w:r>
        <w:rPr>
          <w:rFonts w:asciiTheme="minorHAnsi" w:hAnsiTheme="minorHAnsi"/>
          <w:iCs/>
          <w:sz w:val="22"/>
          <w:szCs w:val="22"/>
        </w:rPr>
        <w:t xml:space="preserve">The Comprehensive Africa Agriculture Development Programme (CAADP) is the Africa-owned and Africa-led initiative working to boost agricultural productivity in Africa.   Launched in 2003, it is a framework that reflects African leaders’ collective recognition that agriculture can offer pathways out of poverty.  </w:t>
      </w:r>
      <w:r>
        <w:rPr>
          <w:rFonts w:asciiTheme="minorHAnsi" w:hAnsiTheme="minorHAnsi" w:cs="Arial"/>
          <w:sz w:val="22"/>
          <w:szCs w:val="22"/>
          <w:shd w:val="clear" w:color="auto" w:fill="FFFFFF"/>
        </w:rPr>
        <w:t xml:space="preserve">  CAADP’s</w:t>
      </w:r>
      <w:r w:rsidRPr="00F03BF5">
        <w:rPr>
          <w:rFonts w:asciiTheme="minorHAnsi" w:hAnsiTheme="minorHAnsi" w:cs="Arial"/>
          <w:sz w:val="22"/>
          <w:szCs w:val="22"/>
          <w:shd w:val="clear" w:color="auto" w:fill="FFFFFF"/>
        </w:rPr>
        <w:t xml:space="preserve"> ambitious and comprehensive vision for agricultural reform in Africa aims </w:t>
      </w:r>
      <w:r>
        <w:rPr>
          <w:rFonts w:asciiTheme="minorHAnsi" w:hAnsiTheme="minorHAnsi" w:cs="Arial"/>
          <w:sz w:val="22"/>
          <w:szCs w:val="22"/>
          <w:shd w:val="clear" w:color="auto" w:fill="FFFFFF"/>
        </w:rPr>
        <w:t>to achieve at least 6% annu</w:t>
      </w:r>
      <w:r w:rsidRPr="00F03BF5">
        <w:rPr>
          <w:rFonts w:asciiTheme="minorHAnsi" w:hAnsiTheme="minorHAnsi" w:cs="Arial"/>
          <w:sz w:val="22"/>
          <w:szCs w:val="22"/>
          <w:shd w:val="clear" w:color="auto" w:fill="FFFFFF"/>
        </w:rPr>
        <w:t xml:space="preserve">al </w:t>
      </w:r>
      <w:r>
        <w:rPr>
          <w:rFonts w:asciiTheme="minorHAnsi" w:hAnsiTheme="minorHAnsi" w:cs="Arial"/>
          <w:sz w:val="22"/>
          <w:szCs w:val="22"/>
          <w:shd w:val="clear" w:color="auto" w:fill="FFFFFF"/>
        </w:rPr>
        <w:t xml:space="preserve">rate of </w:t>
      </w:r>
      <w:r w:rsidRPr="00F03BF5">
        <w:rPr>
          <w:rFonts w:asciiTheme="minorHAnsi" w:hAnsiTheme="minorHAnsi" w:cs="Arial"/>
          <w:sz w:val="22"/>
          <w:szCs w:val="22"/>
          <w:shd w:val="clear" w:color="auto" w:fill="FFFFFF"/>
        </w:rPr>
        <w:t>growth rate in agriculture by 2015</w:t>
      </w:r>
      <w:r>
        <w:rPr>
          <w:rFonts w:asciiTheme="minorHAnsi" w:hAnsiTheme="minorHAnsi" w:cs="Arial"/>
          <w:sz w:val="22"/>
          <w:szCs w:val="22"/>
          <w:shd w:val="clear" w:color="auto" w:fill="FFFFFF"/>
        </w:rPr>
        <w:t xml:space="preserve"> by addressing policy and capacity issues and improving effectiveness of development assistance</w:t>
      </w:r>
      <w:r w:rsidRPr="00F03BF5">
        <w:rPr>
          <w:rFonts w:asciiTheme="minorHAnsi" w:hAnsiTheme="minorHAnsi" w:cs="Arial"/>
          <w:sz w:val="22"/>
          <w:szCs w:val="22"/>
          <w:shd w:val="clear" w:color="auto" w:fill="FFFFFF"/>
        </w:rPr>
        <w:t>.</w:t>
      </w:r>
      <w:r>
        <w:rPr>
          <w:rStyle w:val="FootnoteReference"/>
          <w:rFonts w:asciiTheme="minorHAnsi" w:hAnsiTheme="minorHAnsi" w:cs="Arial"/>
          <w:sz w:val="22"/>
          <w:szCs w:val="22"/>
          <w:shd w:val="clear" w:color="auto" w:fill="FFFFFF"/>
        </w:rPr>
        <w:footnoteReference w:id="1"/>
      </w:r>
    </w:p>
    <w:p w:rsidR="00DD2C4A" w:rsidRDefault="00DD2C4A" w:rsidP="00D83945">
      <w:pPr>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The 2008 World Development Report</w:t>
      </w:r>
      <w:r w:rsidR="009E63DB">
        <w:rPr>
          <w:rStyle w:val="FootnoteReference"/>
          <w:rFonts w:asciiTheme="minorHAnsi" w:hAnsiTheme="minorHAnsi" w:cs="Arial"/>
          <w:sz w:val="22"/>
          <w:szCs w:val="22"/>
          <w:shd w:val="clear" w:color="auto" w:fill="FFFFFF"/>
        </w:rPr>
        <w:footnoteReference w:id="2"/>
      </w:r>
      <w:r>
        <w:rPr>
          <w:rFonts w:asciiTheme="minorHAnsi" w:hAnsiTheme="minorHAnsi" w:cs="Arial"/>
          <w:sz w:val="22"/>
          <w:szCs w:val="22"/>
          <w:shd w:val="clear" w:color="auto" w:fill="FFFFFF"/>
        </w:rPr>
        <w:t xml:space="preserve"> noted the years of neglect and underinvestment that have </w:t>
      </w:r>
      <w:r w:rsidR="009E63DB">
        <w:rPr>
          <w:rFonts w:asciiTheme="minorHAnsi" w:hAnsiTheme="minorHAnsi" w:cs="Arial"/>
          <w:sz w:val="22"/>
          <w:szCs w:val="22"/>
          <w:shd w:val="clear" w:color="auto" w:fill="FFFFFF"/>
        </w:rPr>
        <w:t>beset</w:t>
      </w:r>
      <w:r>
        <w:rPr>
          <w:rFonts w:asciiTheme="minorHAnsi" w:hAnsiTheme="minorHAnsi" w:cs="Arial"/>
          <w:sz w:val="22"/>
          <w:szCs w:val="22"/>
          <w:shd w:val="clear" w:color="auto" w:fill="FFFFFF"/>
        </w:rPr>
        <w:t xml:space="preserve"> the agriculture and rural sectors</w:t>
      </w:r>
      <w:r w:rsidR="009E63DB">
        <w:rPr>
          <w:rFonts w:asciiTheme="minorHAnsi" w:hAnsiTheme="minorHAnsi" w:cs="Arial"/>
          <w:sz w:val="22"/>
          <w:szCs w:val="22"/>
          <w:shd w:val="clear" w:color="auto" w:fill="FFFFFF"/>
        </w:rPr>
        <w:t xml:space="preserve"> and advocated a new ‘Agriculture for Development</w:t>
      </w:r>
      <w:r w:rsidR="007F249A">
        <w:rPr>
          <w:rFonts w:asciiTheme="minorHAnsi" w:hAnsiTheme="minorHAnsi" w:cs="Arial"/>
          <w:sz w:val="22"/>
          <w:szCs w:val="22"/>
          <w:shd w:val="clear" w:color="auto" w:fill="FFFFFF"/>
        </w:rPr>
        <w:t>’</w:t>
      </w:r>
      <w:r w:rsidR="009E63DB">
        <w:rPr>
          <w:rFonts w:asciiTheme="minorHAnsi" w:hAnsiTheme="minorHAnsi" w:cs="Arial"/>
          <w:sz w:val="22"/>
          <w:szCs w:val="22"/>
          <w:shd w:val="clear" w:color="auto" w:fill="FFFFFF"/>
        </w:rPr>
        <w:t xml:space="preserve"> agenda</w:t>
      </w:r>
      <w:r>
        <w:rPr>
          <w:rFonts w:asciiTheme="minorHAnsi" w:hAnsiTheme="minorHAnsi" w:cs="Arial"/>
          <w:sz w:val="22"/>
          <w:szCs w:val="22"/>
          <w:shd w:val="clear" w:color="auto" w:fill="FFFFFF"/>
        </w:rPr>
        <w:t xml:space="preserve">.    As Figure </w:t>
      </w:r>
      <w:r w:rsidR="007F249A">
        <w:rPr>
          <w:rFonts w:asciiTheme="minorHAnsi" w:hAnsiTheme="minorHAnsi" w:cs="Arial"/>
          <w:sz w:val="22"/>
          <w:szCs w:val="22"/>
          <w:shd w:val="clear" w:color="auto" w:fill="FFFFFF"/>
        </w:rPr>
        <w:t>1</w:t>
      </w:r>
      <w:r>
        <w:rPr>
          <w:rFonts w:asciiTheme="minorHAnsi" w:hAnsiTheme="minorHAnsi" w:cs="Arial"/>
          <w:sz w:val="22"/>
          <w:szCs w:val="22"/>
          <w:shd w:val="clear" w:color="auto" w:fill="FFFFFF"/>
        </w:rPr>
        <w:t xml:space="preserve"> shows, agriculture, forestry and fishing (AFF) as a share of Overseas Development Assistance (ODA) steadily declined over a period of two decades from a peak in the late 1970s.</w:t>
      </w:r>
    </w:p>
    <w:p w:rsidR="00DD2C4A" w:rsidRPr="00A33C63" w:rsidRDefault="00A33C63" w:rsidP="00A33C63">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 xml:space="preserve">Figure </w:t>
      </w:r>
      <w:r w:rsidR="007F249A">
        <w:rPr>
          <w:rFonts w:asciiTheme="minorHAnsi" w:hAnsiTheme="minorHAnsi" w:cs="Arial"/>
          <w:b/>
          <w:sz w:val="22"/>
          <w:szCs w:val="22"/>
        </w:rPr>
        <w:t>1</w:t>
      </w:r>
      <w:r>
        <w:rPr>
          <w:rFonts w:asciiTheme="minorHAnsi" w:hAnsiTheme="minorHAnsi" w:cs="Arial"/>
          <w:b/>
          <w:sz w:val="22"/>
          <w:szCs w:val="22"/>
        </w:rPr>
        <w:t>: Aid to Agriculture</w:t>
      </w:r>
      <w:r w:rsidR="0041559F">
        <w:rPr>
          <w:rFonts w:asciiTheme="minorHAnsi" w:hAnsiTheme="minorHAnsi" w:cs="Arial"/>
          <w:b/>
          <w:sz w:val="22"/>
          <w:szCs w:val="22"/>
        </w:rPr>
        <w:t xml:space="preserve"> (Total and Percentage of ODA)</w:t>
      </w:r>
      <w:r w:rsidR="0041559F">
        <w:rPr>
          <w:rStyle w:val="FootnoteReference"/>
          <w:rFonts w:asciiTheme="minorHAnsi" w:hAnsiTheme="minorHAnsi" w:cs="Arial"/>
          <w:b/>
          <w:sz w:val="22"/>
          <w:szCs w:val="22"/>
        </w:rPr>
        <w:footnoteReference w:id="3"/>
      </w:r>
    </w:p>
    <w:p w:rsidR="00DD2C4A" w:rsidRPr="008744CB" w:rsidRDefault="00DD2C4A" w:rsidP="00DD2C4A">
      <w:pPr>
        <w:autoSpaceDE w:val="0"/>
        <w:autoSpaceDN w:val="0"/>
        <w:adjustRightInd w:val="0"/>
        <w:rPr>
          <w:rFonts w:asciiTheme="minorHAnsi" w:hAnsiTheme="minorHAnsi" w:cs="Arial"/>
          <w:b/>
          <w:color w:val="1F497D" w:themeColor="text2"/>
        </w:rPr>
      </w:pPr>
      <w:r>
        <w:rPr>
          <w:noProof/>
          <w:lang w:val="fr-FR" w:eastAsia="fr-FR"/>
        </w:rPr>
        <w:drawing>
          <wp:inline distT="0" distB="0" distL="0" distR="0">
            <wp:extent cx="5731510" cy="2261987"/>
            <wp:effectExtent l="0" t="0" r="254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261987"/>
                    </a:xfrm>
                    <a:prstGeom prst="rect">
                      <a:avLst/>
                    </a:prstGeom>
                  </pic:spPr>
                </pic:pic>
              </a:graphicData>
            </a:graphic>
          </wp:inline>
        </w:drawing>
      </w:r>
    </w:p>
    <w:p w:rsidR="00DD2C4A" w:rsidRDefault="00DD2C4A" w:rsidP="00D83945">
      <w:pPr>
        <w:spacing w:after="120" w:line="276" w:lineRule="auto"/>
        <w:jc w:val="both"/>
        <w:rPr>
          <w:rFonts w:asciiTheme="minorHAnsi" w:hAnsiTheme="minorHAnsi" w:cs="Arial"/>
          <w:sz w:val="22"/>
          <w:szCs w:val="22"/>
          <w:shd w:val="clear" w:color="auto" w:fill="FFFFFF"/>
        </w:rPr>
      </w:pPr>
    </w:p>
    <w:p w:rsidR="00DD2C4A" w:rsidRDefault="00DD2C4A" w:rsidP="00D83945">
      <w:pPr>
        <w:spacing w:after="120" w:line="276" w:lineRule="auto"/>
        <w:jc w:val="both"/>
        <w:rPr>
          <w:rFonts w:asciiTheme="minorHAnsi" w:hAnsiTheme="minorHAnsi"/>
          <w:sz w:val="22"/>
          <w:szCs w:val="22"/>
        </w:rPr>
      </w:pPr>
      <w:r>
        <w:rPr>
          <w:rFonts w:asciiTheme="minorHAnsi" w:hAnsiTheme="minorHAnsi" w:cs="Arial"/>
          <w:sz w:val="22"/>
          <w:szCs w:val="22"/>
          <w:shd w:val="clear" w:color="auto" w:fill="FFFFFF"/>
        </w:rPr>
        <w:t xml:space="preserve">The 2007/08 food price crisis highlighted the need for donors to put agriculture back at the centre of </w:t>
      </w:r>
      <w:r w:rsidRPr="00213A4F">
        <w:rPr>
          <w:rFonts w:asciiTheme="minorHAnsi" w:hAnsiTheme="minorHAnsi" w:cs="Arial"/>
          <w:sz w:val="22"/>
          <w:szCs w:val="22"/>
          <w:shd w:val="clear" w:color="auto" w:fill="FFFFFF"/>
        </w:rPr>
        <w:t>development at both national and international levels.</w:t>
      </w:r>
      <w:r w:rsidRPr="00213A4F">
        <w:rPr>
          <w:rStyle w:val="FootnoteReference"/>
          <w:rFonts w:asciiTheme="minorHAnsi" w:hAnsiTheme="minorHAnsi" w:cs="Arial"/>
          <w:sz w:val="22"/>
          <w:szCs w:val="22"/>
          <w:shd w:val="clear" w:color="auto" w:fill="FFFFFF"/>
        </w:rPr>
        <w:footnoteReference w:id="4"/>
      </w:r>
      <w:r w:rsidRPr="00213A4F">
        <w:rPr>
          <w:rFonts w:asciiTheme="minorHAnsi" w:hAnsiTheme="minorHAnsi" w:cs="Arial"/>
          <w:sz w:val="22"/>
          <w:szCs w:val="22"/>
          <w:shd w:val="clear" w:color="auto" w:fill="FFFFFF"/>
        </w:rPr>
        <w:t xml:space="preserve">  </w:t>
      </w:r>
      <w:r w:rsidR="00A33C63" w:rsidRPr="00213A4F">
        <w:rPr>
          <w:rFonts w:asciiTheme="minorHAnsi" w:hAnsiTheme="minorHAnsi" w:cs="Arial"/>
          <w:sz w:val="22"/>
          <w:szCs w:val="22"/>
          <w:shd w:val="clear" w:color="auto" w:fill="FFFFFF"/>
        </w:rPr>
        <w:t>At the G8 summit in L’Aquila in 2009, the donor countries collectively pledged USD 22 billion to support agriculture and food security.  Although</w:t>
      </w:r>
      <w:r w:rsidR="007F249A" w:rsidRPr="00213A4F">
        <w:rPr>
          <w:rFonts w:asciiTheme="minorHAnsi" w:hAnsiTheme="minorHAnsi" w:cs="Arial"/>
          <w:sz w:val="22"/>
          <w:szCs w:val="22"/>
          <w:shd w:val="clear" w:color="auto" w:fill="FFFFFF"/>
        </w:rPr>
        <w:t xml:space="preserve"> only</w:t>
      </w:r>
      <w:r w:rsidR="00A33C63" w:rsidRPr="00213A4F">
        <w:rPr>
          <w:rFonts w:asciiTheme="minorHAnsi" w:hAnsiTheme="minorHAnsi" w:cs="Arial"/>
          <w:sz w:val="22"/>
          <w:szCs w:val="22"/>
          <w:shd w:val="clear" w:color="auto" w:fill="FFFFFF"/>
        </w:rPr>
        <w:t xml:space="preserve"> part of this money was additional, </w:t>
      </w:r>
      <w:r w:rsidR="00213A4F" w:rsidRPr="00213A4F">
        <w:rPr>
          <w:rFonts w:asciiTheme="minorHAnsi" w:hAnsiTheme="minorHAnsi"/>
          <w:sz w:val="22"/>
          <w:szCs w:val="22"/>
        </w:rPr>
        <w:t>the financial and human resources now available to African agricultural development and productivity are many and come from a variety of sources</w:t>
      </w:r>
      <w:r w:rsidR="00213A4F">
        <w:rPr>
          <w:rFonts w:asciiTheme="minorHAnsi" w:hAnsiTheme="minorHAnsi"/>
          <w:sz w:val="22"/>
          <w:szCs w:val="22"/>
        </w:rPr>
        <w:t>.</w:t>
      </w:r>
    </w:p>
    <w:p w:rsidR="00BF39D7" w:rsidRDefault="00467500" w:rsidP="00467500">
      <w:pPr>
        <w:spacing w:after="120" w:line="276" w:lineRule="auto"/>
        <w:jc w:val="both"/>
        <w:rPr>
          <w:rFonts w:asciiTheme="minorHAnsi" w:hAnsiTheme="minorHAnsi" w:cs="Arial"/>
          <w:color w:val="000000"/>
          <w:sz w:val="22"/>
          <w:szCs w:val="22"/>
        </w:rPr>
      </w:pPr>
      <w:r w:rsidRPr="004C40D3">
        <w:rPr>
          <w:rFonts w:asciiTheme="minorHAnsi" w:hAnsiTheme="minorHAnsi"/>
          <w:sz w:val="22"/>
          <w:szCs w:val="22"/>
        </w:rPr>
        <w:t xml:space="preserve">The CAADP Multi-donor Trust Fund (MDTF) was established in 2008 to harmonise donor support for CAADP institutions and processes.  </w:t>
      </w:r>
      <w:r w:rsidRPr="004C40D3">
        <w:rPr>
          <w:rFonts w:asciiTheme="minorHAnsi" w:hAnsiTheme="minorHAnsi" w:cs="Arial"/>
          <w:color w:val="000000"/>
          <w:sz w:val="22"/>
          <w:szCs w:val="22"/>
        </w:rPr>
        <w:t>Although support was available, it tended to be “relatively fragmented in both source and focus”</w:t>
      </w:r>
      <w:r w:rsidRPr="004C40D3">
        <w:rPr>
          <w:rStyle w:val="FootnoteReference"/>
          <w:rFonts w:asciiTheme="minorHAnsi" w:hAnsiTheme="minorHAnsi" w:cs="Arial"/>
          <w:color w:val="000000"/>
          <w:sz w:val="22"/>
          <w:szCs w:val="22"/>
        </w:rPr>
        <w:footnoteReference w:id="5"/>
      </w:r>
      <w:r w:rsidRPr="004C40D3">
        <w:rPr>
          <w:rFonts w:asciiTheme="minorHAnsi" w:hAnsiTheme="minorHAnsi" w:cs="Arial"/>
          <w:color w:val="000000"/>
          <w:sz w:val="22"/>
          <w:szCs w:val="22"/>
        </w:rPr>
        <w:t xml:space="preserve">.  </w:t>
      </w:r>
      <w:r>
        <w:rPr>
          <w:rFonts w:asciiTheme="minorHAnsi" w:hAnsiTheme="minorHAnsi" w:cs="Arial"/>
          <w:color w:val="000000"/>
          <w:sz w:val="22"/>
          <w:szCs w:val="22"/>
        </w:rPr>
        <w:t xml:space="preserve"> </w:t>
      </w:r>
      <w:r w:rsidR="00EF1139">
        <w:rPr>
          <w:rFonts w:asciiTheme="minorHAnsi" w:hAnsiTheme="minorHAnsi" w:cs="Arial"/>
          <w:color w:val="000000"/>
          <w:sz w:val="22"/>
          <w:szCs w:val="22"/>
        </w:rPr>
        <w:t>Hosted at</w:t>
      </w:r>
      <w:r>
        <w:rPr>
          <w:rFonts w:asciiTheme="minorHAnsi" w:hAnsiTheme="minorHAnsi" w:cs="Arial"/>
          <w:color w:val="000000"/>
          <w:sz w:val="22"/>
          <w:szCs w:val="22"/>
        </w:rPr>
        <w:t xml:space="preserve"> the World Bank, t</w:t>
      </w:r>
      <w:r w:rsidRPr="004C40D3">
        <w:rPr>
          <w:rFonts w:asciiTheme="minorHAnsi" w:hAnsiTheme="minorHAnsi" w:cs="Arial"/>
          <w:color w:val="000000"/>
          <w:sz w:val="22"/>
          <w:szCs w:val="22"/>
        </w:rPr>
        <w:t xml:space="preserve">he MDTF was designed to be a focused and comprehensive funding mechanism to provide flexible </w:t>
      </w:r>
      <w:r>
        <w:rPr>
          <w:rFonts w:asciiTheme="minorHAnsi" w:hAnsiTheme="minorHAnsi" w:cs="Arial"/>
          <w:color w:val="000000"/>
          <w:sz w:val="22"/>
          <w:szCs w:val="22"/>
        </w:rPr>
        <w:t xml:space="preserve">donor </w:t>
      </w:r>
      <w:r w:rsidRPr="004C40D3">
        <w:rPr>
          <w:rFonts w:asciiTheme="minorHAnsi" w:hAnsiTheme="minorHAnsi" w:cs="Arial"/>
          <w:color w:val="000000"/>
          <w:sz w:val="22"/>
          <w:szCs w:val="22"/>
        </w:rPr>
        <w:t>funding to African institutions</w:t>
      </w:r>
      <w:r>
        <w:rPr>
          <w:rFonts w:asciiTheme="minorHAnsi" w:hAnsiTheme="minorHAnsi" w:cs="Arial"/>
          <w:color w:val="000000"/>
          <w:sz w:val="22"/>
          <w:szCs w:val="22"/>
        </w:rPr>
        <w:t xml:space="preserve"> via Child Trust Funds (CTFs) active at national, regional and Pan-African levels</w:t>
      </w:r>
      <w:r w:rsidRPr="004C40D3">
        <w:rPr>
          <w:rFonts w:asciiTheme="minorHAnsi" w:hAnsiTheme="minorHAnsi" w:cs="Arial"/>
          <w:color w:val="000000"/>
          <w:sz w:val="22"/>
          <w:szCs w:val="22"/>
        </w:rPr>
        <w:t xml:space="preserve">.   </w:t>
      </w:r>
    </w:p>
    <w:p w:rsidR="00BF39D7" w:rsidRPr="00BF39D7" w:rsidRDefault="00BF39D7" w:rsidP="00BF39D7">
      <w:pPr>
        <w:autoSpaceDE w:val="0"/>
        <w:autoSpaceDN w:val="0"/>
        <w:adjustRightInd w:val="0"/>
        <w:rPr>
          <w:rFonts w:ascii="Meta Normal" w:hAnsi="Meta Normal" w:cs="Meta Normal"/>
          <w:color w:val="000000"/>
          <w:szCs w:val="24"/>
          <w:lang w:eastAsia="en-GB"/>
        </w:rPr>
      </w:pPr>
    </w:p>
    <w:p w:rsidR="00BF39D7" w:rsidRPr="00BF39D7" w:rsidRDefault="00BF39D7" w:rsidP="00BF39D7">
      <w:pPr>
        <w:autoSpaceDE w:val="0"/>
        <w:autoSpaceDN w:val="0"/>
        <w:adjustRightInd w:val="0"/>
        <w:rPr>
          <w:rFonts w:ascii="Meta Normal" w:hAnsi="Meta Normal" w:cs="Meta Normal"/>
          <w:color w:val="000000"/>
          <w:szCs w:val="24"/>
          <w:lang w:eastAsia="en-GB"/>
        </w:rPr>
      </w:pPr>
    </w:p>
    <w:p w:rsidR="00E8060D" w:rsidRPr="008744CB" w:rsidRDefault="00E8060D" w:rsidP="00E8060D">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lastRenderedPageBreak/>
        <w:t>1.</w:t>
      </w:r>
      <w:r>
        <w:rPr>
          <w:rFonts w:asciiTheme="minorHAnsi" w:hAnsiTheme="minorHAnsi" w:cs="Arial"/>
          <w:b/>
          <w:color w:val="1F497D" w:themeColor="text2"/>
          <w:szCs w:val="24"/>
        </w:rPr>
        <w:t>2</w:t>
      </w:r>
      <w:r w:rsidRPr="008744CB">
        <w:rPr>
          <w:rFonts w:asciiTheme="minorHAnsi" w:hAnsiTheme="minorHAnsi" w:cs="Arial"/>
          <w:b/>
          <w:color w:val="1F497D" w:themeColor="text2"/>
          <w:szCs w:val="24"/>
        </w:rPr>
        <w:t xml:space="preserve"> </w:t>
      </w:r>
      <w:r w:rsidRPr="008744CB">
        <w:rPr>
          <w:rFonts w:asciiTheme="minorHAnsi" w:hAnsiTheme="minorHAnsi" w:cs="Arial"/>
          <w:b/>
          <w:color w:val="1F497D" w:themeColor="text2"/>
          <w:szCs w:val="24"/>
        </w:rPr>
        <w:tab/>
      </w:r>
      <w:r>
        <w:rPr>
          <w:rFonts w:asciiTheme="minorHAnsi" w:hAnsiTheme="minorHAnsi" w:cs="Arial"/>
          <w:b/>
          <w:color w:val="1F497D" w:themeColor="text2"/>
          <w:szCs w:val="24"/>
        </w:rPr>
        <w:t>AIMS OF THE STUDY</w:t>
      </w:r>
    </w:p>
    <w:p w:rsidR="003F6C09" w:rsidRPr="00053E66" w:rsidRDefault="00E934F1" w:rsidP="00D83945">
      <w:pPr>
        <w:spacing w:after="120" w:line="276" w:lineRule="auto"/>
        <w:jc w:val="both"/>
        <w:rPr>
          <w:rFonts w:asciiTheme="minorHAnsi" w:hAnsiTheme="minorHAnsi"/>
          <w:iCs/>
          <w:sz w:val="22"/>
          <w:szCs w:val="22"/>
        </w:rPr>
      </w:pPr>
      <w:r w:rsidRPr="008F76C0">
        <w:rPr>
          <w:rFonts w:asciiTheme="minorHAnsi" w:hAnsiTheme="minorHAnsi"/>
          <w:iCs/>
          <w:sz w:val="22"/>
          <w:szCs w:val="22"/>
        </w:rPr>
        <w:t>This s</w:t>
      </w:r>
      <w:r>
        <w:rPr>
          <w:rFonts w:asciiTheme="minorHAnsi" w:hAnsiTheme="minorHAnsi"/>
          <w:iCs/>
          <w:sz w:val="22"/>
          <w:szCs w:val="22"/>
        </w:rPr>
        <w:t xml:space="preserve">tudy has been commissioned by the World Bank’s </w:t>
      </w:r>
      <w:r w:rsidR="00F4133D">
        <w:rPr>
          <w:rFonts w:asciiTheme="minorHAnsi" w:hAnsiTheme="minorHAnsi"/>
          <w:iCs/>
          <w:sz w:val="22"/>
          <w:szCs w:val="22"/>
        </w:rPr>
        <w:t xml:space="preserve">CAADP </w:t>
      </w:r>
      <w:r>
        <w:rPr>
          <w:rFonts w:asciiTheme="minorHAnsi" w:hAnsiTheme="minorHAnsi"/>
          <w:iCs/>
          <w:sz w:val="22"/>
          <w:szCs w:val="22"/>
        </w:rPr>
        <w:t>MDTF</w:t>
      </w:r>
      <w:r w:rsidR="00F4133D">
        <w:rPr>
          <w:rFonts w:asciiTheme="minorHAnsi" w:hAnsiTheme="minorHAnsi"/>
          <w:iCs/>
          <w:sz w:val="22"/>
          <w:szCs w:val="22"/>
        </w:rPr>
        <w:t xml:space="preserve"> team</w:t>
      </w:r>
      <w:r>
        <w:rPr>
          <w:rFonts w:asciiTheme="minorHAnsi" w:hAnsiTheme="minorHAnsi"/>
          <w:iCs/>
          <w:sz w:val="22"/>
          <w:szCs w:val="22"/>
        </w:rPr>
        <w:t xml:space="preserve"> with the aim of mapping </w:t>
      </w:r>
      <w:r w:rsidR="003F6C09" w:rsidRPr="00053E66">
        <w:rPr>
          <w:rFonts w:asciiTheme="minorHAnsi" w:hAnsiTheme="minorHAnsi"/>
          <w:iCs/>
          <w:sz w:val="22"/>
          <w:szCs w:val="22"/>
        </w:rPr>
        <w:t xml:space="preserve">investment in African agriculture – the extent of CAADP funding and breadth of interventions external to the MDTF.  Key questions include: </w:t>
      </w:r>
    </w:p>
    <w:p w:rsidR="003F6C09" w:rsidRPr="00053E66" w:rsidRDefault="003F6C09" w:rsidP="00D83945">
      <w:pPr>
        <w:pStyle w:val="ListParagraph"/>
        <w:numPr>
          <w:ilvl w:val="0"/>
          <w:numId w:val="13"/>
        </w:numPr>
        <w:spacing w:after="120"/>
        <w:contextualSpacing w:val="0"/>
        <w:jc w:val="both"/>
        <w:rPr>
          <w:iCs/>
        </w:rPr>
      </w:pPr>
      <w:r w:rsidRPr="00053E66">
        <w:rPr>
          <w:iCs/>
        </w:rPr>
        <w:t xml:space="preserve">What is the latest data on bilateral ODA, multilateral funding mechanisms, private sector investment, and south-south cooperation in African agriculture? i.e. </w:t>
      </w:r>
      <w:r w:rsidRPr="004E3992">
        <w:rPr>
          <w:i/>
          <w:iCs/>
        </w:rPr>
        <w:t>Who</w:t>
      </w:r>
      <w:r w:rsidRPr="00053E66">
        <w:rPr>
          <w:iCs/>
        </w:rPr>
        <w:t xml:space="preserve"> is funding </w:t>
      </w:r>
      <w:r w:rsidR="004E3992" w:rsidRPr="004E3992">
        <w:rPr>
          <w:i/>
          <w:iCs/>
        </w:rPr>
        <w:t>w</w:t>
      </w:r>
      <w:r w:rsidRPr="004E3992">
        <w:rPr>
          <w:i/>
          <w:iCs/>
        </w:rPr>
        <w:t>hat</w:t>
      </w:r>
      <w:r w:rsidRPr="00053E66">
        <w:rPr>
          <w:iCs/>
        </w:rPr>
        <w:t xml:space="preserve"> and </w:t>
      </w:r>
      <w:r w:rsidR="004E3992" w:rsidRPr="004E3992">
        <w:rPr>
          <w:i/>
          <w:iCs/>
        </w:rPr>
        <w:t>w</w:t>
      </w:r>
      <w:r w:rsidRPr="004E3992">
        <w:rPr>
          <w:i/>
          <w:iCs/>
        </w:rPr>
        <w:t>here</w:t>
      </w:r>
      <w:r w:rsidRPr="00053E66">
        <w:rPr>
          <w:iCs/>
        </w:rPr>
        <w:t xml:space="preserve"> in Africa?  And </w:t>
      </w:r>
      <w:r w:rsidR="00053E66" w:rsidRPr="004E3992">
        <w:rPr>
          <w:i/>
          <w:iCs/>
        </w:rPr>
        <w:t>h</w:t>
      </w:r>
      <w:r w:rsidRPr="004E3992">
        <w:rPr>
          <w:i/>
          <w:iCs/>
        </w:rPr>
        <w:t>ow</w:t>
      </w:r>
      <w:r w:rsidRPr="00053E66">
        <w:rPr>
          <w:iCs/>
        </w:rPr>
        <w:t xml:space="preserve"> are they doing this?  </w:t>
      </w:r>
    </w:p>
    <w:p w:rsidR="003F6C09" w:rsidRPr="00053E66" w:rsidRDefault="003F6C09" w:rsidP="00D83945">
      <w:pPr>
        <w:pStyle w:val="ListParagraph"/>
        <w:numPr>
          <w:ilvl w:val="0"/>
          <w:numId w:val="13"/>
        </w:numPr>
        <w:spacing w:after="120"/>
        <w:contextualSpacing w:val="0"/>
        <w:jc w:val="both"/>
        <w:rPr>
          <w:iCs/>
        </w:rPr>
      </w:pPr>
      <w:r w:rsidRPr="00053E66">
        <w:rPr>
          <w:iCs/>
        </w:rPr>
        <w:t xml:space="preserve">What are the investment streams going into CAADP?  How have donors engaged with CAADP financially </w:t>
      </w:r>
      <w:r w:rsidR="00E934F1">
        <w:rPr>
          <w:iCs/>
        </w:rPr>
        <w:t>through</w:t>
      </w:r>
      <w:r w:rsidRPr="00053E66">
        <w:rPr>
          <w:iCs/>
        </w:rPr>
        <w:t xml:space="preserve"> the MDTF and </w:t>
      </w:r>
      <w:r w:rsidR="00E934F1">
        <w:rPr>
          <w:iCs/>
        </w:rPr>
        <w:t xml:space="preserve">by supporting </w:t>
      </w:r>
      <w:r w:rsidRPr="00053E66">
        <w:rPr>
          <w:iCs/>
        </w:rPr>
        <w:t>the institutions delivering CAADP?   </w:t>
      </w:r>
    </w:p>
    <w:p w:rsidR="008F76C0" w:rsidRDefault="003F6C09" w:rsidP="00D83945">
      <w:pPr>
        <w:pStyle w:val="ListParagraph"/>
        <w:numPr>
          <w:ilvl w:val="0"/>
          <w:numId w:val="13"/>
        </w:numPr>
        <w:spacing w:after="120"/>
        <w:contextualSpacing w:val="0"/>
        <w:jc w:val="both"/>
        <w:rPr>
          <w:iCs/>
        </w:rPr>
      </w:pPr>
      <w:r w:rsidRPr="00053E66">
        <w:rPr>
          <w:iCs/>
        </w:rPr>
        <w:t>How effective is the process of CAADP implementation in unlocking investment in spending?  Is there any evidence of the attribution of impact to CAADP MDTF and CAADP more broadly?</w:t>
      </w:r>
    </w:p>
    <w:p w:rsidR="003F6C09" w:rsidRPr="008744CB" w:rsidRDefault="003F6C09" w:rsidP="003F6C09">
      <w:pPr>
        <w:rPr>
          <w:rFonts w:asciiTheme="minorHAnsi" w:hAnsiTheme="minorHAnsi"/>
          <w:i/>
          <w:iCs/>
          <w:color w:val="1F497D"/>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1.</w:t>
      </w:r>
      <w:r w:rsidR="00E8060D">
        <w:rPr>
          <w:rFonts w:asciiTheme="minorHAnsi" w:hAnsiTheme="minorHAnsi" w:cs="Arial"/>
          <w:b/>
          <w:color w:val="1F497D" w:themeColor="text2"/>
          <w:szCs w:val="24"/>
        </w:rPr>
        <w:t>3</w:t>
      </w:r>
      <w:r w:rsidRPr="008744CB">
        <w:rPr>
          <w:rFonts w:asciiTheme="minorHAnsi" w:hAnsiTheme="minorHAnsi" w:cs="Arial"/>
          <w:b/>
          <w:color w:val="1F497D" w:themeColor="text2"/>
          <w:szCs w:val="24"/>
        </w:rPr>
        <w:t xml:space="preserve"> </w:t>
      </w:r>
      <w:r w:rsidRPr="008744CB">
        <w:rPr>
          <w:rFonts w:asciiTheme="minorHAnsi" w:hAnsiTheme="minorHAnsi" w:cs="Arial"/>
          <w:b/>
          <w:color w:val="1F497D" w:themeColor="text2"/>
          <w:szCs w:val="24"/>
        </w:rPr>
        <w:tab/>
        <w:t>METHODOLOGY</w:t>
      </w:r>
    </w:p>
    <w:p w:rsidR="0059239E" w:rsidRDefault="0059239E" w:rsidP="0059239E">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 xml:space="preserve">This report is based on a </w:t>
      </w:r>
      <w:r w:rsidRPr="0059239E">
        <w:rPr>
          <w:rFonts w:asciiTheme="minorHAnsi" w:hAnsiTheme="minorHAnsi"/>
          <w:sz w:val="22"/>
          <w:szCs w:val="22"/>
        </w:rPr>
        <w:t>short mapping exercise of the key investment streams</w:t>
      </w:r>
      <w:r>
        <w:rPr>
          <w:rFonts w:asciiTheme="minorHAnsi" w:hAnsiTheme="minorHAnsi"/>
          <w:sz w:val="22"/>
          <w:szCs w:val="22"/>
        </w:rPr>
        <w:t xml:space="preserve"> flowing into agriculture more broadly, as well as looking more closely at the funding of institutions delivering CAADP.  Key sources of information include:</w:t>
      </w:r>
    </w:p>
    <w:p w:rsidR="0042125F" w:rsidRPr="0042125F" w:rsidRDefault="0059239E" w:rsidP="0059239E">
      <w:pPr>
        <w:pStyle w:val="ListParagraph"/>
        <w:numPr>
          <w:ilvl w:val="0"/>
          <w:numId w:val="20"/>
        </w:numPr>
        <w:autoSpaceDE w:val="0"/>
        <w:autoSpaceDN w:val="0"/>
        <w:adjustRightInd w:val="0"/>
        <w:jc w:val="both"/>
      </w:pPr>
      <w:r w:rsidRPr="0042125F">
        <w:rPr>
          <w:b/>
        </w:rPr>
        <w:t xml:space="preserve">Global aid databases: </w:t>
      </w:r>
    </w:p>
    <w:p w:rsidR="0059239E" w:rsidRDefault="0059239E" w:rsidP="0042125F">
      <w:pPr>
        <w:pStyle w:val="ListParagraph"/>
        <w:numPr>
          <w:ilvl w:val="1"/>
          <w:numId w:val="20"/>
        </w:numPr>
        <w:autoSpaceDE w:val="0"/>
        <w:autoSpaceDN w:val="0"/>
        <w:adjustRightInd w:val="0"/>
        <w:jc w:val="both"/>
      </w:pPr>
      <w:r w:rsidRPr="0042125F">
        <w:rPr>
          <w:b/>
        </w:rPr>
        <w:t>OECD Stat</w:t>
      </w:r>
      <w:r w:rsidR="0042125F">
        <w:rPr>
          <w:rStyle w:val="FootnoteReference"/>
          <w:b/>
        </w:rPr>
        <w:footnoteReference w:id="6"/>
      </w:r>
      <w:r>
        <w:t xml:space="preserve"> </w:t>
      </w:r>
      <w:r w:rsidR="0042125F">
        <w:t xml:space="preserve">– </w:t>
      </w:r>
      <w:r w:rsidR="00CE4177">
        <w:t xml:space="preserve">the Organisation for Economic Co-operation and Development (OECD)’s </w:t>
      </w:r>
      <w:r w:rsidR="00F81D66">
        <w:t xml:space="preserve">Creditor Reporting System </w:t>
      </w:r>
      <w:r w:rsidR="00CD4BAD">
        <w:t xml:space="preserve">(CRS) </w:t>
      </w:r>
      <w:r w:rsidR="00CE4177">
        <w:t xml:space="preserve">database - </w:t>
      </w:r>
      <w:r w:rsidR="0042125F">
        <w:t>one of the most widely recognised and used sources of information</w:t>
      </w:r>
      <w:r w:rsidR="0042125F">
        <w:rPr>
          <w:rStyle w:val="FootnoteReference"/>
        </w:rPr>
        <w:footnoteReference w:id="7"/>
      </w:r>
      <w:r w:rsidR="005F0EA4">
        <w:t xml:space="preserve"> on ODA commitments from OECD Development Assistance Committee (DAC) members</w:t>
      </w:r>
      <w:r w:rsidR="005F0EA4">
        <w:rPr>
          <w:rStyle w:val="FootnoteReference"/>
        </w:rPr>
        <w:footnoteReference w:id="8"/>
      </w:r>
      <w:r w:rsidR="005F0EA4">
        <w:t xml:space="preserve"> and major multilateral agencies</w:t>
      </w:r>
      <w:r w:rsidR="00F81D66">
        <w:t xml:space="preserve"> through 2011, currently the latest data available</w:t>
      </w:r>
      <w:r>
        <w:t xml:space="preserve">. </w:t>
      </w:r>
    </w:p>
    <w:p w:rsidR="0042125F" w:rsidRDefault="00283307" w:rsidP="0042125F">
      <w:pPr>
        <w:pStyle w:val="ListParagraph"/>
        <w:numPr>
          <w:ilvl w:val="1"/>
          <w:numId w:val="20"/>
        </w:numPr>
        <w:autoSpaceDE w:val="0"/>
        <w:autoSpaceDN w:val="0"/>
        <w:adjustRightInd w:val="0"/>
        <w:jc w:val="both"/>
      </w:pPr>
      <w:proofErr w:type="spellStart"/>
      <w:r>
        <w:rPr>
          <w:b/>
        </w:rPr>
        <w:t>Aid</w:t>
      </w:r>
      <w:r w:rsidR="0042125F">
        <w:rPr>
          <w:b/>
        </w:rPr>
        <w:t>Data</w:t>
      </w:r>
      <w:proofErr w:type="spellEnd"/>
      <w:r w:rsidR="0042125F">
        <w:rPr>
          <w:rStyle w:val="FootnoteReference"/>
          <w:b/>
        </w:rPr>
        <w:footnoteReference w:id="9"/>
      </w:r>
      <w:r w:rsidR="0042125F">
        <w:rPr>
          <w:b/>
        </w:rPr>
        <w:t xml:space="preserve"> </w:t>
      </w:r>
      <w:r w:rsidR="0042125F">
        <w:t xml:space="preserve">- a searchable database of nearly one million past and present aid activities around the word. </w:t>
      </w:r>
    </w:p>
    <w:p w:rsidR="0059239E" w:rsidRDefault="0042125F" w:rsidP="0059239E">
      <w:pPr>
        <w:pStyle w:val="ListParagraph"/>
        <w:numPr>
          <w:ilvl w:val="0"/>
          <w:numId w:val="20"/>
        </w:numPr>
        <w:autoSpaceDE w:val="0"/>
        <w:autoSpaceDN w:val="0"/>
        <w:adjustRightInd w:val="0"/>
        <w:jc w:val="both"/>
      </w:pPr>
      <w:r>
        <w:rPr>
          <w:rStyle w:val="Emphasis"/>
          <w:rFonts w:cs="Arial"/>
          <w:b/>
          <w:bCs/>
          <w:i w:val="0"/>
          <w:iCs w:val="0"/>
          <w:color w:val="000000"/>
          <w:shd w:val="clear" w:color="auto" w:fill="FFFFFF"/>
        </w:rPr>
        <w:t>Individual systems and websites of donor agencies, development partners and recipient governments</w:t>
      </w:r>
      <w:r w:rsidR="0059239E">
        <w:rPr>
          <w:rFonts w:ascii="Arial" w:hAnsi="Arial" w:cs="Arial"/>
          <w:color w:val="222222"/>
          <w:shd w:val="clear" w:color="auto" w:fill="FFFFFF"/>
        </w:rPr>
        <w:t>.</w:t>
      </w:r>
    </w:p>
    <w:p w:rsidR="003F6C09" w:rsidRDefault="0059239E" w:rsidP="0059239E">
      <w:pPr>
        <w:pStyle w:val="ListParagraph"/>
        <w:numPr>
          <w:ilvl w:val="0"/>
          <w:numId w:val="20"/>
        </w:numPr>
        <w:autoSpaceDE w:val="0"/>
        <w:autoSpaceDN w:val="0"/>
        <w:adjustRightInd w:val="0"/>
        <w:jc w:val="both"/>
      </w:pPr>
      <w:r w:rsidRPr="0042125F">
        <w:rPr>
          <w:b/>
        </w:rPr>
        <w:t>Review of the literature</w:t>
      </w:r>
      <w:r w:rsidRPr="0059239E">
        <w:t xml:space="preserve"> on aid flows to agriculture in Africa</w:t>
      </w:r>
      <w:r w:rsidR="00DA7BA4">
        <w:t>, CAADP and the institutions delivering CAADP</w:t>
      </w:r>
      <w:r w:rsidRPr="0059239E">
        <w:t>.</w:t>
      </w:r>
    </w:p>
    <w:p w:rsidR="00F81D66" w:rsidRDefault="00DB10AA" w:rsidP="00F81D66">
      <w:pPr>
        <w:autoSpaceDE w:val="0"/>
        <w:autoSpaceDN w:val="0"/>
        <w:adjustRightInd w:val="0"/>
        <w:spacing w:after="120" w:line="276" w:lineRule="auto"/>
        <w:jc w:val="both"/>
        <w:rPr>
          <w:rFonts w:asciiTheme="minorHAnsi" w:hAnsiTheme="minorHAnsi" w:cs="Meta Normal"/>
          <w:color w:val="000000"/>
          <w:sz w:val="22"/>
          <w:szCs w:val="22"/>
        </w:rPr>
      </w:pPr>
      <w:r>
        <w:rPr>
          <w:rFonts w:asciiTheme="minorHAnsi" w:hAnsiTheme="minorHAnsi"/>
          <w:sz w:val="22"/>
          <w:szCs w:val="22"/>
        </w:rPr>
        <w:t>This study acknowledges that there are limitations in the existing statistical measur</w:t>
      </w:r>
      <w:r w:rsidR="00842FB0">
        <w:rPr>
          <w:rFonts w:asciiTheme="minorHAnsi" w:hAnsiTheme="minorHAnsi"/>
          <w:sz w:val="22"/>
          <w:szCs w:val="22"/>
        </w:rPr>
        <w:t xml:space="preserve">es of aid to agriculture.  </w:t>
      </w:r>
      <w:r w:rsidR="003A1496">
        <w:rPr>
          <w:rFonts w:asciiTheme="minorHAnsi" w:hAnsiTheme="minorHAnsi"/>
          <w:sz w:val="22"/>
          <w:szCs w:val="22"/>
        </w:rPr>
        <w:t>D</w:t>
      </w:r>
      <w:r w:rsidR="00C71906">
        <w:rPr>
          <w:rFonts w:asciiTheme="minorHAnsi" w:hAnsiTheme="minorHAnsi"/>
          <w:sz w:val="22"/>
          <w:szCs w:val="22"/>
        </w:rPr>
        <w:t>onors</w:t>
      </w:r>
      <w:r w:rsidR="003A1496" w:rsidRPr="00842FB0">
        <w:rPr>
          <w:rFonts w:asciiTheme="minorHAnsi" w:hAnsiTheme="minorHAnsi"/>
          <w:sz w:val="22"/>
          <w:szCs w:val="22"/>
        </w:rPr>
        <w:t xml:space="preserve"> use different accounting systems to measure what constitutes agriculture.   As a recent ODI study</w:t>
      </w:r>
      <w:r w:rsidR="003A1496">
        <w:rPr>
          <w:rStyle w:val="FootnoteReference"/>
          <w:rFonts w:asciiTheme="minorHAnsi" w:hAnsiTheme="minorHAnsi"/>
          <w:sz w:val="22"/>
          <w:szCs w:val="22"/>
        </w:rPr>
        <w:footnoteReference w:id="10"/>
      </w:r>
      <w:r w:rsidR="003A1496" w:rsidRPr="00842FB0">
        <w:rPr>
          <w:rFonts w:asciiTheme="minorHAnsi" w:hAnsiTheme="minorHAnsi"/>
          <w:sz w:val="22"/>
          <w:szCs w:val="22"/>
        </w:rPr>
        <w:t xml:space="preserve"> found, “</w:t>
      </w:r>
      <w:r w:rsidR="003A1496" w:rsidRPr="00842FB0">
        <w:rPr>
          <w:rFonts w:asciiTheme="minorHAnsi" w:hAnsiTheme="minorHAnsi" w:cs="Meta Normal"/>
          <w:color w:val="000000"/>
          <w:sz w:val="22"/>
          <w:szCs w:val="22"/>
        </w:rPr>
        <w:t>Reconciling the various systems with those of the DAC is not straightforward and much is left to the interpretation of those responsible for reporting to the CRS, implying that some information may get lost in translation from the individual donors’ sys</w:t>
      </w:r>
      <w:r w:rsidR="003A1496" w:rsidRPr="00842FB0">
        <w:rPr>
          <w:rFonts w:asciiTheme="minorHAnsi" w:hAnsiTheme="minorHAnsi" w:cs="Meta Normal"/>
          <w:color w:val="000000"/>
          <w:sz w:val="22"/>
          <w:szCs w:val="22"/>
        </w:rPr>
        <w:softHyphen/>
        <w:t>tems to the DAC’s CRS.”</w:t>
      </w:r>
      <w:r w:rsidR="003A1496">
        <w:rPr>
          <w:rFonts w:asciiTheme="minorHAnsi" w:hAnsiTheme="minorHAnsi" w:cs="Meta Normal"/>
          <w:color w:val="000000"/>
          <w:sz w:val="22"/>
          <w:szCs w:val="22"/>
        </w:rPr>
        <w:t xml:space="preserve"> </w:t>
      </w:r>
    </w:p>
    <w:p w:rsidR="00F81D66" w:rsidRDefault="00C34DF5" w:rsidP="00F81D66">
      <w:pPr>
        <w:autoSpaceDE w:val="0"/>
        <w:autoSpaceDN w:val="0"/>
        <w:adjustRightInd w:val="0"/>
        <w:spacing w:after="120" w:line="276" w:lineRule="auto"/>
        <w:jc w:val="both"/>
        <w:rPr>
          <w:rFonts w:asciiTheme="minorHAnsi" w:hAnsiTheme="minorHAnsi"/>
          <w:sz w:val="22"/>
          <w:szCs w:val="22"/>
        </w:rPr>
      </w:pPr>
      <w:r>
        <w:rPr>
          <w:rFonts w:asciiTheme="minorHAnsi" w:hAnsiTheme="minorHAnsi"/>
          <w:sz w:val="22"/>
          <w:szCs w:val="22"/>
        </w:rPr>
        <w:t xml:space="preserve">In </w:t>
      </w:r>
      <w:r w:rsidR="00DB10AA">
        <w:rPr>
          <w:rFonts w:asciiTheme="minorHAnsi" w:hAnsiTheme="minorHAnsi"/>
          <w:sz w:val="22"/>
          <w:szCs w:val="22"/>
        </w:rPr>
        <w:t xml:space="preserve">this </w:t>
      </w:r>
      <w:r w:rsidR="00842FB0">
        <w:rPr>
          <w:rFonts w:asciiTheme="minorHAnsi" w:hAnsiTheme="minorHAnsi"/>
          <w:sz w:val="22"/>
          <w:szCs w:val="22"/>
        </w:rPr>
        <w:t>CAADP mapping study</w:t>
      </w:r>
      <w:r>
        <w:rPr>
          <w:rFonts w:asciiTheme="minorHAnsi" w:hAnsiTheme="minorHAnsi"/>
          <w:sz w:val="22"/>
          <w:szCs w:val="22"/>
        </w:rPr>
        <w:t>, we have used</w:t>
      </w:r>
      <w:r w:rsidR="00DB10AA">
        <w:rPr>
          <w:rFonts w:asciiTheme="minorHAnsi" w:hAnsiTheme="minorHAnsi"/>
          <w:sz w:val="22"/>
          <w:szCs w:val="22"/>
        </w:rPr>
        <w:t xml:space="preserve"> the </w:t>
      </w:r>
      <w:r w:rsidR="00842FB0">
        <w:rPr>
          <w:rFonts w:asciiTheme="minorHAnsi" w:hAnsiTheme="minorHAnsi"/>
          <w:sz w:val="22"/>
          <w:szCs w:val="22"/>
        </w:rPr>
        <w:t xml:space="preserve">OECD DAC </w:t>
      </w:r>
      <w:r w:rsidR="00DB10AA">
        <w:rPr>
          <w:rFonts w:asciiTheme="minorHAnsi" w:hAnsiTheme="minorHAnsi"/>
          <w:sz w:val="22"/>
          <w:szCs w:val="22"/>
        </w:rPr>
        <w:t>agriculture, forestry and fishing (AFF) purpose code measure to track flows of aid to agriculture</w:t>
      </w:r>
      <w:r>
        <w:rPr>
          <w:rFonts w:asciiTheme="minorHAnsi" w:hAnsiTheme="minorHAnsi"/>
          <w:sz w:val="22"/>
          <w:szCs w:val="22"/>
        </w:rPr>
        <w:t xml:space="preserve">, while acknowledging that donors use </w:t>
      </w:r>
      <w:r>
        <w:rPr>
          <w:rFonts w:asciiTheme="minorHAnsi" w:hAnsiTheme="minorHAnsi"/>
          <w:sz w:val="22"/>
          <w:szCs w:val="22"/>
        </w:rPr>
        <w:lastRenderedPageBreak/>
        <w:t>ambiguous coding systems and there may be areas of indirect agriculture support that are not covered in the existing coding system.</w:t>
      </w:r>
      <w:r w:rsidR="00842FB0" w:rsidRPr="00842FB0">
        <w:rPr>
          <w:rStyle w:val="FootnoteReference"/>
          <w:rFonts w:asciiTheme="minorHAnsi" w:hAnsiTheme="minorHAnsi"/>
          <w:sz w:val="22"/>
          <w:szCs w:val="22"/>
        </w:rPr>
        <w:footnoteReference w:id="11"/>
      </w:r>
      <w:r w:rsidR="00842FB0" w:rsidRPr="00842FB0">
        <w:rPr>
          <w:rFonts w:asciiTheme="minorHAnsi" w:hAnsiTheme="minorHAnsi"/>
          <w:sz w:val="22"/>
          <w:szCs w:val="22"/>
        </w:rPr>
        <w:t xml:space="preserve">  </w:t>
      </w:r>
      <w:r w:rsidR="00F81D66">
        <w:rPr>
          <w:rFonts w:asciiTheme="minorHAnsi" w:hAnsiTheme="minorHAnsi"/>
          <w:sz w:val="22"/>
          <w:szCs w:val="22"/>
        </w:rPr>
        <w:t>Data are expressed in US dollars (USD) and unless otherwise stated, in constant 2011 USD.</w:t>
      </w:r>
    </w:p>
    <w:p w:rsidR="00467500" w:rsidRDefault="00467500">
      <w:pPr>
        <w:rPr>
          <w:rFonts w:asciiTheme="minorHAnsi" w:hAnsiTheme="minorHAnsi" w:cs="Arial"/>
          <w:b/>
          <w:color w:val="1F497D" w:themeColor="text2"/>
          <w:szCs w:val="24"/>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1.</w:t>
      </w:r>
      <w:r w:rsidR="00E8060D">
        <w:rPr>
          <w:rFonts w:asciiTheme="minorHAnsi" w:hAnsiTheme="minorHAnsi" w:cs="Arial"/>
          <w:b/>
          <w:color w:val="1F497D" w:themeColor="text2"/>
          <w:szCs w:val="24"/>
        </w:rPr>
        <w:t>4</w:t>
      </w:r>
      <w:r w:rsidRPr="008744CB">
        <w:rPr>
          <w:rFonts w:asciiTheme="minorHAnsi" w:hAnsiTheme="minorHAnsi" w:cs="Arial"/>
          <w:b/>
          <w:color w:val="1F497D" w:themeColor="text2"/>
          <w:szCs w:val="24"/>
        </w:rPr>
        <w:t xml:space="preserve"> </w:t>
      </w:r>
      <w:r w:rsidRPr="008744CB">
        <w:rPr>
          <w:rFonts w:asciiTheme="minorHAnsi" w:hAnsiTheme="minorHAnsi" w:cs="Arial"/>
          <w:b/>
          <w:color w:val="1F497D" w:themeColor="text2"/>
          <w:szCs w:val="24"/>
        </w:rPr>
        <w:tab/>
        <w:t>STRUCTURE</w:t>
      </w:r>
    </w:p>
    <w:p w:rsidR="003F6C09" w:rsidRPr="00742054" w:rsidRDefault="003F6C09" w:rsidP="00742054">
      <w:pPr>
        <w:autoSpaceDE w:val="0"/>
        <w:autoSpaceDN w:val="0"/>
        <w:adjustRightInd w:val="0"/>
        <w:spacing w:after="120" w:line="276" w:lineRule="auto"/>
        <w:rPr>
          <w:rFonts w:asciiTheme="minorHAnsi" w:hAnsiTheme="minorHAnsi" w:cs="Arial"/>
          <w:b/>
          <w:color w:val="1F497D" w:themeColor="text2"/>
          <w:sz w:val="22"/>
          <w:szCs w:val="22"/>
        </w:rPr>
      </w:pPr>
      <w:r w:rsidRPr="00742054">
        <w:rPr>
          <w:rFonts w:asciiTheme="minorHAnsi" w:hAnsiTheme="minorHAnsi"/>
          <w:sz w:val="22"/>
          <w:szCs w:val="22"/>
        </w:rPr>
        <w:t xml:space="preserve">This report contains </w:t>
      </w:r>
      <w:r w:rsidR="0059239E">
        <w:rPr>
          <w:rFonts w:asciiTheme="minorHAnsi" w:hAnsiTheme="minorHAnsi"/>
          <w:sz w:val="22"/>
          <w:szCs w:val="22"/>
        </w:rPr>
        <w:t>four</w:t>
      </w:r>
      <w:r w:rsidRPr="00742054">
        <w:rPr>
          <w:rFonts w:asciiTheme="minorHAnsi" w:hAnsiTheme="minorHAnsi"/>
          <w:sz w:val="22"/>
          <w:szCs w:val="22"/>
        </w:rPr>
        <w:t xml:space="preserve"> sections:</w:t>
      </w:r>
    </w:p>
    <w:p w:rsidR="003F6C09" w:rsidRPr="00742054" w:rsidRDefault="003F6C09" w:rsidP="00DA7BA4">
      <w:pPr>
        <w:spacing w:after="120" w:line="276" w:lineRule="auto"/>
        <w:ind w:left="426"/>
        <w:rPr>
          <w:rFonts w:asciiTheme="minorHAnsi" w:hAnsiTheme="minorHAnsi"/>
          <w:sz w:val="22"/>
          <w:szCs w:val="22"/>
        </w:rPr>
      </w:pPr>
      <w:r w:rsidRPr="00742054">
        <w:rPr>
          <w:rFonts w:asciiTheme="minorHAnsi" w:hAnsiTheme="minorHAnsi"/>
          <w:b/>
          <w:sz w:val="22"/>
          <w:szCs w:val="22"/>
        </w:rPr>
        <w:t>Section 1</w:t>
      </w:r>
      <w:r w:rsidRPr="00742054">
        <w:rPr>
          <w:rFonts w:asciiTheme="minorHAnsi" w:hAnsiTheme="minorHAnsi"/>
          <w:sz w:val="22"/>
          <w:szCs w:val="22"/>
        </w:rPr>
        <w:t xml:space="preserve"> [this Section] provides the background to the work</w:t>
      </w:r>
      <w:r w:rsidR="00C71906">
        <w:rPr>
          <w:rFonts w:asciiTheme="minorHAnsi" w:hAnsiTheme="minorHAnsi"/>
          <w:sz w:val="22"/>
          <w:szCs w:val="22"/>
        </w:rPr>
        <w:t xml:space="preserve"> and outlines the methodology</w:t>
      </w:r>
      <w:r w:rsidRPr="00742054">
        <w:rPr>
          <w:rFonts w:asciiTheme="minorHAnsi" w:hAnsiTheme="minorHAnsi"/>
          <w:sz w:val="22"/>
          <w:szCs w:val="22"/>
        </w:rPr>
        <w:t>.</w:t>
      </w:r>
    </w:p>
    <w:p w:rsidR="003F6C09" w:rsidRPr="00742054" w:rsidRDefault="003F6C09" w:rsidP="00DA7BA4">
      <w:pPr>
        <w:spacing w:after="120" w:line="276" w:lineRule="auto"/>
        <w:ind w:left="426"/>
        <w:rPr>
          <w:rFonts w:asciiTheme="minorHAnsi" w:hAnsiTheme="minorHAnsi"/>
          <w:sz w:val="22"/>
          <w:szCs w:val="22"/>
        </w:rPr>
      </w:pPr>
      <w:r w:rsidRPr="00742054">
        <w:rPr>
          <w:rFonts w:asciiTheme="minorHAnsi" w:hAnsiTheme="minorHAnsi"/>
          <w:b/>
          <w:sz w:val="22"/>
          <w:szCs w:val="22"/>
        </w:rPr>
        <w:t>Section 2</w:t>
      </w:r>
      <w:r w:rsidRPr="00742054">
        <w:rPr>
          <w:rFonts w:asciiTheme="minorHAnsi" w:hAnsiTheme="minorHAnsi"/>
          <w:sz w:val="22"/>
          <w:szCs w:val="22"/>
        </w:rPr>
        <w:t xml:space="preserve"> analyses investment flows to African agriculture, including who the key bilateral donors and recipients of bilateral ODA are, South-South cooperation, multilateral funding mechanisms and private sector investments.  </w:t>
      </w:r>
    </w:p>
    <w:p w:rsidR="003F6C09" w:rsidRPr="00742054" w:rsidRDefault="003F6C09" w:rsidP="00DA7BA4">
      <w:pPr>
        <w:spacing w:after="120" w:line="276" w:lineRule="auto"/>
        <w:ind w:left="426"/>
        <w:rPr>
          <w:rFonts w:asciiTheme="minorHAnsi" w:hAnsiTheme="minorHAnsi"/>
          <w:sz w:val="22"/>
          <w:szCs w:val="22"/>
        </w:rPr>
      </w:pPr>
      <w:r w:rsidRPr="00742054">
        <w:rPr>
          <w:rFonts w:asciiTheme="minorHAnsi" w:hAnsiTheme="minorHAnsi"/>
          <w:b/>
          <w:sz w:val="22"/>
          <w:szCs w:val="22"/>
        </w:rPr>
        <w:t xml:space="preserve">Section 3 </w:t>
      </w:r>
      <w:r w:rsidRPr="00742054">
        <w:rPr>
          <w:rFonts w:asciiTheme="minorHAnsi" w:hAnsiTheme="minorHAnsi"/>
          <w:sz w:val="22"/>
          <w:szCs w:val="22"/>
        </w:rPr>
        <w:t xml:space="preserve">maps donor support to the institutions delivering CAADP, including those streams of investment that are channelled through the MDTF, but also funding that is outside the MDTF to get a sense of the proportionality of MDTF support. </w:t>
      </w:r>
    </w:p>
    <w:p w:rsidR="003F6C09" w:rsidRPr="00742054" w:rsidRDefault="003F6C09" w:rsidP="00DA7BA4">
      <w:pPr>
        <w:spacing w:after="120" w:line="276" w:lineRule="auto"/>
        <w:ind w:left="426"/>
        <w:rPr>
          <w:rFonts w:asciiTheme="minorHAnsi" w:hAnsiTheme="minorHAnsi"/>
          <w:sz w:val="22"/>
          <w:szCs w:val="22"/>
        </w:rPr>
      </w:pPr>
      <w:r w:rsidRPr="00742054">
        <w:rPr>
          <w:rFonts w:asciiTheme="minorHAnsi" w:hAnsiTheme="minorHAnsi"/>
          <w:b/>
          <w:sz w:val="22"/>
          <w:szCs w:val="22"/>
        </w:rPr>
        <w:t>Section 4</w:t>
      </w:r>
      <w:r w:rsidRPr="00742054">
        <w:rPr>
          <w:rFonts w:asciiTheme="minorHAnsi" w:hAnsiTheme="minorHAnsi"/>
          <w:sz w:val="22"/>
          <w:szCs w:val="22"/>
        </w:rPr>
        <w:t xml:space="preserve"> looks at the effectiveness of CAADP in ‘unlocking’ investment.  It asks whether countries with CAADP investment plans are better at securing funding.  Using case studies from </w:t>
      </w:r>
      <w:r w:rsidR="0059239E">
        <w:rPr>
          <w:rFonts w:asciiTheme="minorHAnsi" w:hAnsiTheme="minorHAnsi"/>
          <w:sz w:val="22"/>
          <w:szCs w:val="22"/>
        </w:rPr>
        <w:t>Ghana</w:t>
      </w:r>
      <w:r w:rsidR="00B2024A">
        <w:rPr>
          <w:rFonts w:asciiTheme="minorHAnsi" w:hAnsiTheme="minorHAnsi"/>
          <w:sz w:val="22"/>
          <w:szCs w:val="22"/>
        </w:rPr>
        <w:t xml:space="preserve">, Burkina Faso and </w:t>
      </w:r>
      <w:r w:rsidR="006F3F53">
        <w:rPr>
          <w:rFonts w:asciiTheme="minorHAnsi" w:hAnsiTheme="minorHAnsi"/>
          <w:sz w:val="22"/>
          <w:szCs w:val="22"/>
        </w:rPr>
        <w:t>Togo</w:t>
      </w:r>
      <w:r w:rsidRPr="00742054">
        <w:rPr>
          <w:rFonts w:asciiTheme="minorHAnsi" w:hAnsiTheme="minorHAnsi"/>
          <w:sz w:val="22"/>
          <w:szCs w:val="22"/>
        </w:rPr>
        <w:t xml:space="preserve">, Section 4 examines </w:t>
      </w:r>
      <w:r w:rsidR="004F3EA8">
        <w:rPr>
          <w:rFonts w:asciiTheme="minorHAnsi" w:hAnsiTheme="minorHAnsi"/>
          <w:sz w:val="22"/>
          <w:szCs w:val="22"/>
        </w:rPr>
        <w:t>changes in</w:t>
      </w:r>
      <w:r w:rsidRPr="00742054">
        <w:rPr>
          <w:rFonts w:asciiTheme="minorHAnsi" w:hAnsiTheme="minorHAnsi"/>
          <w:sz w:val="22"/>
          <w:szCs w:val="22"/>
        </w:rPr>
        <w:t xml:space="preserve"> investment flows </w:t>
      </w:r>
      <w:r w:rsidR="004F3EA8">
        <w:rPr>
          <w:rFonts w:asciiTheme="minorHAnsi" w:hAnsiTheme="minorHAnsi"/>
          <w:sz w:val="22"/>
          <w:szCs w:val="22"/>
        </w:rPr>
        <w:t>at the country level following CAADP implementation.</w:t>
      </w:r>
    </w:p>
    <w:p w:rsidR="00213A4F" w:rsidRDefault="00213A4F" w:rsidP="00213A4F">
      <w:pPr>
        <w:autoSpaceDE w:val="0"/>
        <w:autoSpaceDN w:val="0"/>
        <w:adjustRightInd w:val="0"/>
        <w:rPr>
          <w:rFonts w:asciiTheme="minorHAnsi" w:hAnsiTheme="minorHAnsi" w:cs="Arial"/>
          <w:b/>
          <w:color w:val="1F497D" w:themeColor="text2"/>
        </w:rPr>
      </w:pPr>
    </w:p>
    <w:p w:rsidR="00213A4F" w:rsidRDefault="00213A4F" w:rsidP="00213A4F">
      <w:pPr>
        <w:autoSpaceDE w:val="0"/>
        <w:autoSpaceDN w:val="0"/>
        <w:adjustRightInd w:val="0"/>
        <w:rPr>
          <w:rFonts w:asciiTheme="minorHAnsi" w:hAnsiTheme="minorHAnsi" w:cs="Arial"/>
          <w:b/>
          <w:color w:val="1F497D" w:themeColor="text2"/>
        </w:rPr>
      </w:pPr>
    </w:p>
    <w:p w:rsidR="00BF3BD0" w:rsidRDefault="00BF3BD0">
      <w:pPr>
        <w:rPr>
          <w:rFonts w:asciiTheme="minorHAnsi" w:hAnsiTheme="minorHAnsi" w:cs="Arial"/>
          <w:b/>
          <w:color w:val="1F497D" w:themeColor="text2"/>
          <w:sz w:val="20"/>
        </w:rPr>
      </w:pPr>
      <w:r>
        <w:rPr>
          <w:rFonts w:asciiTheme="minorHAnsi" w:hAnsiTheme="minorHAnsi" w:cs="Arial"/>
          <w:b/>
          <w:color w:val="1F497D" w:themeColor="text2"/>
          <w:sz w:val="20"/>
        </w:rPr>
        <w:br w:type="page"/>
      </w:r>
    </w:p>
    <w:p w:rsidR="003F6C09" w:rsidRPr="008744CB" w:rsidRDefault="003F6C09" w:rsidP="003F6C09">
      <w:pPr>
        <w:autoSpaceDE w:val="0"/>
        <w:autoSpaceDN w:val="0"/>
        <w:adjustRightInd w:val="0"/>
        <w:jc w:val="center"/>
        <w:rPr>
          <w:rFonts w:asciiTheme="minorHAnsi" w:hAnsiTheme="minorHAnsi" w:cs="Arial"/>
          <w:b/>
          <w:color w:val="1F497D" w:themeColor="text2"/>
          <w:sz w:val="28"/>
          <w:szCs w:val="28"/>
        </w:rPr>
      </w:pPr>
      <w:r w:rsidRPr="008744CB">
        <w:rPr>
          <w:rFonts w:asciiTheme="minorHAnsi" w:hAnsiTheme="minorHAnsi" w:cs="Arial"/>
          <w:b/>
          <w:color w:val="1F497D" w:themeColor="text2"/>
          <w:sz w:val="28"/>
          <w:szCs w:val="28"/>
        </w:rPr>
        <w:lastRenderedPageBreak/>
        <w:t>SECTION 2: INVESTMENT FLOWS TO AFRICAN AGRICULTURE</w:t>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9F46C6" w:rsidRPr="008744CB" w:rsidRDefault="009F46C6" w:rsidP="009F46C6">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 xml:space="preserve">2.1 </w:t>
      </w:r>
      <w:r w:rsidRPr="008744CB">
        <w:rPr>
          <w:rFonts w:asciiTheme="minorHAnsi" w:hAnsiTheme="minorHAnsi" w:cs="Arial"/>
          <w:b/>
          <w:color w:val="1F497D" w:themeColor="text2"/>
          <w:szCs w:val="24"/>
        </w:rPr>
        <w:tab/>
      </w:r>
      <w:r>
        <w:rPr>
          <w:rFonts w:asciiTheme="minorHAnsi" w:hAnsiTheme="minorHAnsi" w:cs="Arial"/>
          <w:b/>
          <w:color w:val="1F497D" w:themeColor="text2"/>
          <w:szCs w:val="24"/>
        </w:rPr>
        <w:t>AGRICULTURAL FINANCING: TRENDS IN ODA</w:t>
      </w:r>
    </w:p>
    <w:p w:rsidR="009F46C6" w:rsidRDefault="00FB6683" w:rsidP="002314D8">
      <w:pPr>
        <w:autoSpaceDE w:val="0"/>
        <w:autoSpaceDN w:val="0"/>
        <w:adjustRightInd w:val="0"/>
        <w:spacing w:after="120" w:line="276" w:lineRule="auto"/>
        <w:jc w:val="both"/>
        <w:rPr>
          <w:rFonts w:asciiTheme="minorHAnsi" w:hAnsiTheme="minorHAnsi" w:cs="Arial"/>
          <w:sz w:val="22"/>
          <w:szCs w:val="22"/>
        </w:rPr>
      </w:pPr>
      <w:r>
        <w:rPr>
          <w:rFonts w:asciiTheme="minorHAnsi" w:hAnsiTheme="minorHAnsi" w:cs="Arial"/>
          <w:sz w:val="22"/>
          <w:szCs w:val="22"/>
        </w:rPr>
        <w:t xml:space="preserve">Flows of agricultural aid to Africa </w:t>
      </w:r>
      <w:r w:rsidR="00D04B49">
        <w:rPr>
          <w:rFonts w:asciiTheme="minorHAnsi" w:hAnsiTheme="minorHAnsi" w:cs="Arial"/>
          <w:sz w:val="22"/>
          <w:szCs w:val="22"/>
        </w:rPr>
        <w:t>are currently at around</w:t>
      </w:r>
      <w:r>
        <w:rPr>
          <w:rFonts w:asciiTheme="minorHAnsi" w:hAnsiTheme="minorHAnsi" w:cs="Arial"/>
          <w:sz w:val="22"/>
          <w:szCs w:val="22"/>
        </w:rPr>
        <w:t xml:space="preserve"> </w:t>
      </w:r>
      <w:r w:rsidRPr="00D04B49">
        <w:rPr>
          <w:rFonts w:asciiTheme="minorHAnsi" w:hAnsiTheme="minorHAnsi" w:cs="Arial"/>
          <w:b/>
          <w:sz w:val="22"/>
          <w:szCs w:val="22"/>
        </w:rPr>
        <w:t>USD 4 billion</w:t>
      </w:r>
      <w:r w:rsidR="00D04B49" w:rsidRPr="00D04B49">
        <w:rPr>
          <w:rFonts w:asciiTheme="minorHAnsi" w:hAnsiTheme="minorHAnsi" w:cs="Arial"/>
          <w:b/>
          <w:sz w:val="22"/>
          <w:szCs w:val="22"/>
        </w:rPr>
        <w:t xml:space="preserve"> per year</w:t>
      </w:r>
      <w:r>
        <w:rPr>
          <w:rFonts w:asciiTheme="minorHAnsi" w:hAnsiTheme="minorHAnsi" w:cs="Arial"/>
          <w:sz w:val="22"/>
          <w:szCs w:val="22"/>
        </w:rPr>
        <w:t xml:space="preserve"> (2010 and 2011</w:t>
      </w:r>
      <w:r w:rsidR="00D04B49">
        <w:rPr>
          <w:rFonts w:asciiTheme="minorHAnsi" w:hAnsiTheme="minorHAnsi" w:cs="Arial"/>
          <w:sz w:val="22"/>
          <w:szCs w:val="22"/>
        </w:rPr>
        <w:t xml:space="preserve"> data</w:t>
      </w:r>
      <w:r>
        <w:rPr>
          <w:rFonts w:asciiTheme="minorHAnsi" w:hAnsiTheme="minorHAnsi" w:cs="Arial"/>
          <w:sz w:val="22"/>
          <w:szCs w:val="22"/>
        </w:rPr>
        <w:t xml:space="preserve">), a record high for the last two decades.  This section examines trends in ODA financing for both bilateral and multilateral donors and is based on multi-year commitments (total amounts </w:t>
      </w:r>
      <w:r w:rsidRPr="00FB6683">
        <w:rPr>
          <w:rFonts w:asciiTheme="minorHAnsi" w:hAnsiTheme="minorHAnsi" w:cs="Arial"/>
          <w:i/>
          <w:sz w:val="22"/>
          <w:szCs w:val="22"/>
        </w:rPr>
        <w:t>allocated</w:t>
      </w:r>
      <w:r>
        <w:rPr>
          <w:rFonts w:asciiTheme="minorHAnsi" w:hAnsiTheme="minorHAnsi" w:cs="Arial"/>
          <w:sz w:val="22"/>
          <w:szCs w:val="22"/>
        </w:rPr>
        <w:t xml:space="preserve"> to aid activities), rather than on subsequent gross disbursements (amounts actually </w:t>
      </w:r>
      <w:r w:rsidRPr="00FB6683">
        <w:rPr>
          <w:rFonts w:asciiTheme="minorHAnsi" w:hAnsiTheme="minorHAnsi" w:cs="Arial"/>
          <w:i/>
          <w:sz w:val="22"/>
          <w:szCs w:val="22"/>
        </w:rPr>
        <w:t>paid</w:t>
      </w:r>
      <w:r>
        <w:rPr>
          <w:rFonts w:asciiTheme="minorHAnsi" w:hAnsiTheme="minorHAnsi" w:cs="Arial"/>
          <w:sz w:val="22"/>
          <w:szCs w:val="22"/>
        </w:rPr>
        <w:t xml:space="preserve"> over several years)</w:t>
      </w:r>
      <w:r w:rsidR="00CD4BAD">
        <w:rPr>
          <w:rFonts w:asciiTheme="minorHAnsi" w:hAnsiTheme="minorHAnsi" w:cs="Arial"/>
          <w:sz w:val="22"/>
          <w:szCs w:val="22"/>
        </w:rPr>
        <w:t>.</w:t>
      </w:r>
    </w:p>
    <w:p w:rsidR="00332D5A" w:rsidRDefault="00332D5A" w:rsidP="002314D8">
      <w:pPr>
        <w:autoSpaceDE w:val="0"/>
        <w:autoSpaceDN w:val="0"/>
        <w:adjustRightInd w:val="0"/>
        <w:spacing w:after="120" w:line="276" w:lineRule="auto"/>
        <w:jc w:val="both"/>
        <w:rPr>
          <w:rFonts w:asciiTheme="minorHAnsi" w:hAnsiTheme="minorHAnsi" w:cs="Arial"/>
          <w:sz w:val="22"/>
          <w:szCs w:val="22"/>
        </w:rPr>
      </w:pPr>
      <w:r w:rsidRPr="00332D5A">
        <w:rPr>
          <w:rFonts w:asciiTheme="minorHAnsi" w:hAnsiTheme="minorHAnsi" w:cs="Arial"/>
          <w:sz w:val="22"/>
          <w:szCs w:val="22"/>
        </w:rPr>
        <w:t xml:space="preserve">As can be seen from Figure </w:t>
      </w:r>
      <w:r w:rsidR="004E1E25">
        <w:rPr>
          <w:rFonts w:asciiTheme="minorHAnsi" w:hAnsiTheme="minorHAnsi" w:cs="Arial"/>
          <w:sz w:val="22"/>
          <w:szCs w:val="22"/>
        </w:rPr>
        <w:t>2</w:t>
      </w:r>
      <w:r w:rsidRPr="00332D5A">
        <w:rPr>
          <w:rFonts w:asciiTheme="minorHAnsi" w:hAnsiTheme="minorHAnsi" w:cs="Arial"/>
          <w:sz w:val="22"/>
          <w:szCs w:val="22"/>
        </w:rPr>
        <w:t xml:space="preserve">, the pattern and flow of </w:t>
      </w:r>
      <w:r>
        <w:rPr>
          <w:rFonts w:asciiTheme="minorHAnsi" w:hAnsiTheme="minorHAnsi" w:cs="Arial"/>
          <w:sz w:val="22"/>
          <w:szCs w:val="22"/>
        </w:rPr>
        <w:t xml:space="preserve">agricultural </w:t>
      </w:r>
      <w:r w:rsidRPr="00332D5A">
        <w:rPr>
          <w:rFonts w:asciiTheme="minorHAnsi" w:hAnsiTheme="minorHAnsi" w:cs="Arial"/>
          <w:sz w:val="22"/>
          <w:szCs w:val="22"/>
        </w:rPr>
        <w:t>aid</w:t>
      </w:r>
      <w:r>
        <w:rPr>
          <w:rFonts w:asciiTheme="minorHAnsi" w:hAnsiTheme="minorHAnsi" w:cs="Arial"/>
          <w:sz w:val="22"/>
          <w:szCs w:val="22"/>
        </w:rPr>
        <w:t xml:space="preserve"> to Sub-Saharan Africa</w:t>
      </w:r>
      <w:r w:rsidRPr="00332D5A">
        <w:rPr>
          <w:rFonts w:asciiTheme="minorHAnsi" w:hAnsiTheme="minorHAnsi" w:cs="Arial"/>
          <w:sz w:val="22"/>
          <w:szCs w:val="22"/>
        </w:rPr>
        <w:t xml:space="preserve"> has changed significantly over the last three decades, with aid to agriculture </w:t>
      </w:r>
      <w:r>
        <w:rPr>
          <w:rFonts w:asciiTheme="minorHAnsi" w:hAnsiTheme="minorHAnsi" w:cs="Arial"/>
          <w:sz w:val="22"/>
          <w:szCs w:val="22"/>
        </w:rPr>
        <w:t xml:space="preserve">being considerably higher in the 1980s, both relatively (20-20 per cent of overall ODA during the 1980s) and absolutely (reaching a peak of USD6 billion in the late 1980s).   However, the percentage of ODA allocated to agriculture in Sub-Saharan Africa declined – quite rapidly in the early 1990s and then a steady decline thereafter – from a high of 25 per cent in 1988 to </w:t>
      </w:r>
      <w:r w:rsidR="00D04B49">
        <w:rPr>
          <w:rFonts w:asciiTheme="minorHAnsi" w:hAnsiTheme="minorHAnsi" w:cs="Arial"/>
          <w:sz w:val="22"/>
          <w:szCs w:val="22"/>
        </w:rPr>
        <w:t>fewer than</w:t>
      </w:r>
      <w:r>
        <w:rPr>
          <w:rFonts w:asciiTheme="minorHAnsi" w:hAnsiTheme="minorHAnsi" w:cs="Arial"/>
          <w:sz w:val="22"/>
          <w:szCs w:val="22"/>
        </w:rPr>
        <w:t xml:space="preserve"> 5 per cent in 2006.  </w:t>
      </w:r>
    </w:p>
    <w:p w:rsidR="005A07CE" w:rsidRDefault="005A07CE" w:rsidP="00FB6683">
      <w:pPr>
        <w:autoSpaceDE w:val="0"/>
        <w:autoSpaceDN w:val="0"/>
        <w:adjustRightInd w:val="0"/>
        <w:jc w:val="both"/>
        <w:rPr>
          <w:rFonts w:asciiTheme="minorHAnsi" w:hAnsiTheme="minorHAnsi" w:cs="Arial"/>
          <w:sz w:val="22"/>
          <w:szCs w:val="22"/>
        </w:rPr>
      </w:pPr>
    </w:p>
    <w:p w:rsidR="005A07CE" w:rsidRPr="005A07CE" w:rsidRDefault="005A07CE" w:rsidP="005A07CE">
      <w:pPr>
        <w:autoSpaceDE w:val="0"/>
        <w:autoSpaceDN w:val="0"/>
        <w:adjustRightInd w:val="0"/>
        <w:jc w:val="center"/>
        <w:rPr>
          <w:rFonts w:asciiTheme="minorHAnsi" w:hAnsiTheme="minorHAnsi" w:cs="Arial"/>
          <w:b/>
          <w:bCs/>
          <w:sz w:val="22"/>
          <w:szCs w:val="22"/>
          <w:lang w:eastAsia="en-GB"/>
        </w:rPr>
      </w:pPr>
      <w:r w:rsidRPr="005A07CE">
        <w:rPr>
          <w:rFonts w:asciiTheme="minorHAnsi" w:hAnsiTheme="minorHAnsi" w:cs="Arial"/>
          <w:b/>
          <w:sz w:val="22"/>
          <w:szCs w:val="22"/>
        </w:rPr>
        <w:t xml:space="preserve">Figure </w:t>
      </w:r>
      <w:r w:rsidR="004E1E25">
        <w:rPr>
          <w:rFonts w:asciiTheme="minorHAnsi" w:hAnsiTheme="minorHAnsi" w:cs="Arial"/>
          <w:b/>
          <w:sz w:val="22"/>
          <w:szCs w:val="22"/>
        </w:rPr>
        <w:t>2</w:t>
      </w:r>
      <w:r w:rsidRPr="005A07CE">
        <w:rPr>
          <w:rFonts w:asciiTheme="minorHAnsi" w:hAnsiTheme="minorHAnsi" w:cs="Arial"/>
          <w:b/>
          <w:sz w:val="22"/>
          <w:szCs w:val="22"/>
        </w:rPr>
        <w:t>.</w:t>
      </w:r>
      <w:r w:rsidRPr="005A07CE">
        <w:rPr>
          <w:rFonts w:asciiTheme="minorHAnsi" w:hAnsiTheme="minorHAnsi" w:cs="Arial"/>
          <w:b/>
          <w:bCs/>
          <w:sz w:val="22"/>
          <w:szCs w:val="22"/>
          <w:lang w:eastAsia="en-GB"/>
        </w:rPr>
        <w:t xml:space="preserve"> Annual ODA Commitments in Sub-Saharan Africa:</w:t>
      </w:r>
    </w:p>
    <w:p w:rsidR="00FB6683" w:rsidRDefault="005A07CE" w:rsidP="005A07CE">
      <w:pPr>
        <w:autoSpaceDE w:val="0"/>
        <w:autoSpaceDN w:val="0"/>
        <w:adjustRightInd w:val="0"/>
        <w:jc w:val="center"/>
        <w:rPr>
          <w:rFonts w:asciiTheme="minorHAnsi" w:hAnsiTheme="minorHAnsi" w:cs="Arial"/>
          <w:sz w:val="22"/>
          <w:szCs w:val="22"/>
        </w:rPr>
      </w:pPr>
      <w:r w:rsidRPr="005A07CE">
        <w:rPr>
          <w:rFonts w:asciiTheme="minorHAnsi" w:hAnsiTheme="minorHAnsi" w:cs="Arial"/>
          <w:b/>
          <w:bCs/>
          <w:sz w:val="22"/>
          <w:szCs w:val="22"/>
          <w:lang w:eastAsia="en-GB"/>
        </w:rPr>
        <w:t>Overall Trends and Share Allocated to Agriculture</w:t>
      </w:r>
      <w:r>
        <w:rPr>
          <w:rStyle w:val="FootnoteReference"/>
          <w:rFonts w:asciiTheme="minorHAnsi" w:hAnsiTheme="minorHAnsi" w:cs="Arial"/>
          <w:b/>
          <w:bCs/>
          <w:sz w:val="22"/>
          <w:szCs w:val="22"/>
          <w:lang w:eastAsia="en-GB"/>
        </w:rPr>
        <w:footnoteReference w:id="12"/>
      </w:r>
    </w:p>
    <w:p w:rsidR="00FB6683" w:rsidRDefault="005A07CE" w:rsidP="009F46C6">
      <w:pPr>
        <w:autoSpaceDE w:val="0"/>
        <w:autoSpaceDN w:val="0"/>
        <w:adjustRightInd w:val="0"/>
        <w:rPr>
          <w:rFonts w:asciiTheme="minorHAnsi" w:hAnsiTheme="minorHAnsi" w:cs="Arial"/>
          <w:sz w:val="22"/>
          <w:szCs w:val="22"/>
        </w:rPr>
      </w:pPr>
      <w:r>
        <w:rPr>
          <w:noProof/>
          <w:lang w:val="fr-FR" w:eastAsia="fr-FR"/>
        </w:rPr>
        <w:drawing>
          <wp:inline distT="0" distB="0" distL="0" distR="0">
            <wp:extent cx="5731510" cy="3041497"/>
            <wp:effectExtent l="0" t="0" r="254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041497"/>
                    </a:xfrm>
                    <a:prstGeom prst="rect">
                      <a:avLst/>
                    </a:prstGeom>
                  </pic:spPr>
                </pic:pic>
              </a:graphicData>
            </a:graphic>
          </wp:inline>
        </w:drawing>
      </w:r>
    </w:p>
    <w:p w:rsidR="00FB6683" w:rsidRDefault="00FB6683" w:rsidP="009F46C6">
      <w:pPr>
        <w:autoSpaceDE w:val="0"/>
        <w:autoSpaceDN w:val="0"/>
        <w:adjustRightInd w:val="0"/>
        <w:rPr>
          <w:rFonts w:asciiTheme="minorHAnsi" w:hAnsiTheme="minorHAnsi" w:cs="Arial"/>
          <w:sz w:val="22"/>
          <w:szCs w:val="22"/>
        </w:rPr>
      </w:pPr>
    </w:p>
    <w:p w:rsidR="00BB2A9C" w:rsidRDefault="00BB2A9C" w:rsidP="009F46C6">
      <w:pPr>
        <w:autoSpaceDE w:val="0"/>
        <w:autoSpaceDN w:val="0"/>
        <w:adjustRightInd w:val="0"/>
        <w:rPr>
          <w:rFonts w:asciiTheme="minorHAnsi" w:hAnsiTheme="minorHAnsi" w:cs="Arial"/>
          <w:sz w:val="22"/>
          <w:szCs w:val="22"/>
        </w:rPr>
      </w:pPr>
    </w:p>
    <w:p w:rsidR="00FB6683" w:rsidRDefault="002D0FF3" w:rsidP="002314D8">
      <w:pPr>
        <w:autoSpaceDE w:val="0"/>
        <w:autoSpaceDN w:val="0"/>
        <w:adjustRightInd w:val="0"/>
        <w:spacing w:after="120" w:line="276" w:lineRule="auto"/>
        <w:rPr>
          <w:rFonts w:asciiTheme="minorHAnsi" w:hAnsiTheme="minorHAnsi" w:cs="Arial"/>
          <w:sz w:val="22"/>
          <w:szCs w:val="22"/>
        </w:rPr>
      </w:pPr>
      <w:r>
        <w:rPr>
          <w:rFonts w:asciiTheme="minorHAnsi" w:hAnsiTheme="minorHAnsi" w:cs="Arial"/>
          <w:sz w:val="22"/>
          <w:szCs w:val="22"/>
        </w:rPr>
        <w:t>In this study, we looked at ODA data from all donors (bilateral and multilateral) to Africa from 1995 to 2011</w:t>
      </w:r>
      <w:r w:rsidR="00CD4BAD">
        <w:rPr>
          <w:rFonts w:asciiTheme="minorHAnsi" w:hAnsiTheme="minorHAnsi" w:cs="Arial"/>
          <w:sz w:val="22"/>
          <w:szCs w:val="22"/>
        </w:rPr>
        <w:t xml:space="preserve"> (the years when data is available on the Creditor Reporting System)</w:t>
      </w:r>
      <w:r>
        <w:rPr>
          <w:rFonts w:asciiTheme="minorHAnsi" w:hAnsiTheme="minorHAnsi" w:cs="Arial"/>
          <w:sz w:val="22"/>
          <w:szCs w:val="22"/>
        </w:rPr>
        <w:t xml:space="preserve">.  </w:t>
      </w:r>
      <w:r w:rsidR="0069657B">
        <w:rPr>
          <w:rFonts w:asciiTheme="minorHAnsi" w:hAnsiTheme="minorHAnsi" w:cs="Arial"/>
          <w:sz w:val="22"/>
          <w:szCs w:val="22"/>
        </w:rPr>
        <w:t xml:space="preserve"> Figure </w:t>
      </w:r>
      <w:r w:rsidR="004E1E25">
        <w:rPr>
          <w:rFonts w:asciiTheme="minorHAnsi" w:hAnsiTheme="minorHAnsi" w:cs="Arial"/>
          <w:sz w:val="22"/>
          <w:szCs w:val="22"/>
        </w:rPr>
        <w:t>3</w:t>
      </w:r>
      <w:r w:rsidR="0069657B">
        <w:rPr>
          <w:rFonts w:asciiTheme="minorHAnsi" w:hAnsiTheme="minorHAnsi" w:cs="Arial"/>
          <w:sz w:val="22"/>
          <w:szCs w:val="22"/>
        </w:rPr>
        <w:t xml:space="preserve"> shows the </w:t>
      </w:r>
      <w:r w:rsidR="00840F9A" w:rsidRPr="00840F9A">
        <w:rPr>
          <w:rFonts w:asciiTheme="minorHAnsi" w:hAnsiTheme="minorHAnsi" w:cs="Arial"/>
          <w:b/>
          <w:sz w:val="22"/>
          <w:szCs w:val="22"/>
        </w:rPr>
        <w:t>steady</w:t>
      </w:r>
      <w:r w:rsidR="00840F9A">
        <w:rPr>
          <w:rFonts w:asciiTheme="minorHAnsi" w:hAnsiTheme="minorHAnsi" w:cs="Arial"/>
          <w:sz w:val="22"/>
          <w:szCs w:val="22"/>
        </w:rPr>
        <w:t xml:space="preserve"> </w:t>
      </w:r>
      <w:r w:rsidR="00840F9A">
        <w:rPr>
          <w:rFonts w:asciiTheme="minorHAnsi" w:hAnsiTheme="minorHAnsi" w:cs="Arial"/>
          <w:b/>
          <w:sz w:val="22"/>
          <w:szCs w:val="22"/>
        </w:rPr>
        <w:t>growth in donor</w:t>
      </w:r>
      <w:r w:rsidR="00667FAB" w:rsidRPr="0069657B">
        <w:rPr>
          <w:rFonts w:asciiTheme="minorHAnsi" w:hAnsiTheme="minorHAnsi" w:cs="Arial"/>
          <w:b/>
          <w:sz w:val="22"/>
          <w:szCs w:val="22"/>
        </w:rPr>
        <w:t xml:space="preserve"> commitment to the </w:t>
      </w:r>
      <w:r w:rsidR="0069657B" w:rsidRPr="0069657B">
        <w:rPr>
          <w:rFonts w:asciiTheme="minorHAnsi" w:hAnsiTheme="minorHAnsi" w:cs="Arial"/>
          <w:b/>
          <w:sz w:val="22"/>
          <w:szCs w:val="22"/>
        </w:rPr>
        <w:t xml:space="preserve">agricultural </w:t>
      </w:r>
      <w:r w:rsidR="00667FAB" w:rsidRPr="0069657B">
        <w:rPr>
          <w:rFonts w:asciiTheme="minorHAnsi" w:hAnsiTheme="minorHAnsi" w:cs="Arial"/>
          <w:b/>
          <w:sz w:val="22"/>
          <w:szCs w:val="22"/>
        </w:rPr>
        <w:t xml:space="preserve">sector in </w:t>
      </w:r>
      <w:r w:rsidR="0069657B" w:rsidRPr="0069657B">
        <w:rPr>
          <w:rFonts w:asciiTheme="minorHAnsi" w:hAnsiTheme="minorHAnsi" w:cs="Arial"/>
          <w:b/>
          <w:sz w:val="22"/>
          <w:szCs w:val="22"/>
        </w:rPr>
        <w:t xml:space="preserve">Africa in </w:t>
      </w:r>
      <w:r w:rsidR="00667FAB" w:rsidRPr="0069657B">
        <w:rPr>
          <w:rFonts w:asciiTheme="minorHAnsi" w:hAnsiTheme="minorHAnsi" w:cs="Arial"/>
          <w:b/>
          <w:sz w:val="22"/>
          <w:szCs w:val="22"/>
        </w:rPr>
        <w:t>the past five years</w:t>
      </w:r>
      <w:r w:rsidR="0069657B" w:rsidRPr="0069657B">
        <w:rPr>
          <w:rFonts w:asciiTheme="minorHAnsi" w:hAnsiTheme="minorHAnsi" w:cs="Arial"/>
          <w:b/>
          <w:sz w:val="22"/>
          <w:szCs w:val="22"/>
        </w:rPr>
        <w:t>, both absolutely and relatively</w:t>
      </w:r>
      <w:r w:rsidR="0069657B">
        <w:rPr>
          <w:rFonts w:asciiTheme="minorHAnsi" w:hAnsiTheme="minorHAnsi" w:cs="Arial"/>
          <w:sz w:val="22"/>
          <w:szCs w:val="22"/>
        </w:rPr>
        <w:t xml:space="preserve">.   ODA commitments to agriculture, forestry and fishing reached </w:t>
      </w:r>
      <w:r w:rsidR="001E4F19">
        <w:rPr>
          <w:rFonts w:asciiTheme="minorHAnsi" w:hAnsiTheme="minorHAnsi" w:cs="Arial"/>
          <w:sz w:val="22"/>
          <w:szCs w:val="22"/>
        </w:rPr>
        <w:t xml:space="preserve">a twenty-year high of </w:t>
      </w:r>
      <w:r w:rsidR="0069657B">
        <w:rPr>
          <w:rFonts w:asciiTheme="minorHAnsi" w:hAnsiTheme="minorHAnsi" w:cs="Arial"/>
          <w:sz w:val="22"/>
          <w:szCs w:val="22"/>
        </w:rPr>
        <w:t>USD 4.052 billion in 20</w:t>
      </w:r>
      <w:r w:rsidR="00CD4BAD">
        <w:rPr>
          <w:rFonts w:asciiTheme="minorHAnsi" w:hAnsiTheme="minorHAnsi" w:cs="Arial"/>
          <w:sz w:val="22"/>
          <w:szCs w:val="22"/>
        </w:rPr>
        <w:t>10</w:t>
      </w:r>
      <w:r w:rsidR="00E72EBA">
        <w:rPr>
          <w:rFonts w:asciiTheme="minorHAnsi" w:hAnsiTheme="minorHAnsi" w:cs="Arial"/>
          <w:sz w:val="22"/>
          <w:szCs w:val="22"/>
        </w:rPr>
        <w:t xml:space="preserve"> -</w:t>
      </w:r>
      <w:r w:rsidR="0069657B">
        <w:rPr>
          <w:rFonts w:asciiTheme="minorHAnsi" w:hAnsiTheme="minorHAnsi" w:cs="Arial"/>
          <w:sz w:val="22"/>
          <w:szCs w:val="22"/>
        </w:rPr>
        <w:t xml:space="preserve"> 7.3 per cent of</w:t>
      </w:r>
      <w:r w:rsidR="00E72EBA">
        <w:rPr>
          <w:rFonts w:asciiTheme="minorHAnsi" w:hAnsiTheme="minorHAnsi" w:cs="Arial"/>
          <w:sz w:val="22"/>
          <w:szCs w:val="22"/>
        </w:rPr>
        <w:t xml:space="preserve"> all</w:t>
      </w:r>
      <w:r w:rsidR="0069657B">
        <w:rPr>
          <w:rFonts w:asciiTheme="minorHAnsi" w:hAnsiTheme="minorHAnsi" w:cs="Arial"/>
          <w:sz w:val="22"/>
          <w:szCs w:val="22"/>
        </w:rPr>
        <w:t xml:space="preserve"> ODA commitments to Africa.  The total amount of agricultural ODA commitments dropped to </w:t>
      </w:r>
      <w:r w:rsidR="0069657B" w:rsidRPr="0069657B">
        <w:rPr>
          <w:rFonts w:asciiTheme="minorHAnsi" w:hAnsiTheme="minorHAnsi" w:cs="Arial"/>
          <w:b/>
          <w:sz w:val="22"/>
          <w:szCs w:val="22"/>
        </w:rPr>
        <w:t>USD 4.025 billion in 2011</w:t>
      </w:r>
      <w:r w:rsidR="0069657B">
        <w:rPr>
          <w:rFonts w:asciiTheme="minorHAnsi" w:hAnsiTheme="minorHAnsi" w:cs="Arial"/>
          <w:sz w:val="22"/>
          <w:szCs w:val="22"/>
        </w:rPr>
        <w:t xml:space="preserve">, although agriculture as a proportion of overall ODA increased slightly to </w:t>
      </w:r>
      <w:r w:rsidR="0069657B" w:rsidRPr="0069657B">
        <w:rPr>
          <w:rFonts w:asciiTheme="minorHAnsi" w:hAnsiTheme="minorHAnsi" w:cs="Arial"/>
          <w:b/>
          <w:sz w:val="22"/>
          <w:szCs w:val="22"/>
        </w:rPr>
        <w:t>7.4 per cent</w:t>
      </w:r>
      <w:r w:rsidR="0069657B">
        <w:rPr>
          <w:rFonts w:asciiTheme="minorHAnsi" w:hAnsiTheme="minorHAnsi" w:cs="Arial"/>
          <w:sz w:val="22"/>
          <w:szCs w:val="22"/>
        </w:rPr>
        <w:t xml:space="preserve">.  </w:t>
      </w:r>
    </w:p>
    <w:p w:rsidR="00FB6683" w:rsidRDefault="00FB6683" w:rsidP="002314D8">
      <w:pPr>
        <w:autoSpaceDE w:val="0"/>
        <w:autoSpaceDN w:val="0"/>
        <w:adjustRightInd w:val="0"/>
        <w:spacing w:after="120" w:line="276" w:lineRule="auto"/>
        <w:rPr>
          <w:rFonts w:asciiTheme="minorHAnsi" w:hAnsiTheme="minorHAnsi" w:cs="Arial"/>
          <w:sz w:val="22"/>
          <w:szCs w:val="22"/>
        </w:rPr>
      </w:pPr>
    </w:p>
    <w:p w:rsidR="009F46C6" w:rsidRDefault="009F46C6" w:rsidP="009F46C6">
      <w:pPr>
        <w:autoSpaceDE w:val="0"/>
        <w:autoSpaceDN w:val="0"/>
        <w:adjustRightInd w:val="0"/>
        <w:rPr>
          <w:rFonts w:asciiTheme="minorHAnsi" w:hAnsiTheme="minorHAnsi" w:cs="Arial"/>
          <w:b/>
          <w:color w:val="1F497D" w:themeColor="text2"/>
          <w:szCs w:val="24"/>
        </w:rPr>
      </w:pPr>
    </w:p>
    <w:p w:rsidR="00E81AE9" w:rsidRDefault="00E81AE9" w:rsidP="00E81AE9">
      <w:pPr>
        <w:autoSpaceDE w:val="0"/>
        <w:autoSpaceDN w:val="0"/>
        <w:adjustRightInd w:val="0"/>
        <w:jc w:val="center"/>
        <w:rPr>
          <w:rFonts w:asciiTheme="minorHAnsi" w:hAnsiTheme="minorHAnsi" w:cs="Arial"/>
          <w:b/>
          <w:sz w:val="22"/>
          <w:szCs w:val="22"/>
        </w:rPr>
      </w:pPr>
      <w:r w:rsidRPr="00E81AE9">
        <w:rPr>
          <w:rFonts w:asciiTheme="minorHAnsi" w:hAnsiTheme="minorHAnsi" w:cs="Arial"/>
          <w:b/>
          <w:sz w:val="22"/>
          <w:szCs w:val="22"/>
        </w:rPr>
        <w:lastRenderedPageBreak/>
        <w:t xml:space="preserve">Figure </w:t>
      </w:r>
      <w:r w:rsidR="004E1E25">
        <w:rPr>
          <w:rFonts w:asciiTheme="minorHAnsi" w:hAnsiTheme="minorHAnsi" w:cs="Arial"/>
          <w:b/>
          <w:sz w:val="22"/>
          <w:szCs w:val="22"/>
        </w:rPr>
        <w:t>3</w:t>
      </w:r>
      <w:r w:rsidRPr="00E81AE9">
        <w:rPr>
          <w:rFonts w:asciiTheme="minorHAnsi" w:hAnsiTheme="minorHAnsi" w:cs="Arial"/>
          <w:b/>
          <w:sz w:val="22"/>
          <w:szCs w:val="22"/>
        </w:rPr>
        <w:t xml:space="preserve">. Annual ODA Commitments (both bilateral and multilateral) in Africa: </w:t>
      </w:r>
    </w:p>
    <w:p w:rsidR="00E81AE9" w:rsidRPr="00E81AE9" w:rsidRDefault="00E81AE9" w:rsidP="00E81AE9">
      <w:pPr>
        <w:autoSpaceDE w:val="0"/>
        <w:autoSpaceDN w:val="0"/>
        <w:adjustRightInd w:val="0"/>
        <w:jc w:val="center"/>
        <w:rPr>
          <w:rFonts w:asciiTheme="minorHAnsi" w:hAnsiTheme="minorHAnsi" w:cs="Arial"/>
          <w:b/>
          <w:sz w:val="22"/>
          <w:szCs w:val="22"/>
        </w:rPr>
      </w:pPr>
      <w:r w:rsidRPr="00E81AE9">
        <w:rPr>
          <w:rFonts w:asciiTheme="minorHAnsi" w:hAnsiTheme="minorHAnsi" w:cs="Arial"/>
          <w:b/>
          <w:sz w:val="22"/>
          <w:szCs w:val="22"/>
        </w:rPr>
        <w:t>Overall Trends and Share Allocated to Agriculture</w:t>
      </w:r>
      <w:r w:rsidR="0069657B">
        <w:rPr>
          <w:rFonts w:asciiTheme="minorHAnsi" w:hAnsiTheme="minorHAnsi" w:cs="Arial"/>
          <w:b/>
          <w:sz w:val="22"/>
          <w:szCs w:val="22"/>
        </w:rPr>
        <w:t>, Forestry &amp; Fishing</w:t>
      </w:r>
      <w:r>
        <w:rPr>
          <w:rStyle w:val="FootnoteReference"/>
          <w:rFonts w:asciiTheme="minorHAnsi" w:hAnsiTheme="minorHAnsi" w:cs="Arial"/>
          <w:b/>
          <w:sz w:val="22"/>
          <w:szCs w:val="22"/>
        </w:rPr>
        <w:footnoteReference w:id="13"/>
      </w:r>
    </w:p>
    <w:p w:rsidR="009F46C6" w:rsidRDefault="009F46C6" w:rsidP="009F46C6">
      <w:pPr>
        <w:autoSpaceDE w:val="0"/>
        <w:autoSpaceDN w:val="0"/>
        <w:adjustRightInd w:val="0"/>
        <w:rPr>
          <w:rFonts w:asciiTheme="minorHAnsi" w:hAnsiTheme="minorHAnsi" w:cs="Arial"/>
          <w:b/>
          <w:color w:val="1F497D" w:themeColor="text2"/>
          <w:szCs w:val="24"/>
        </w:rPr>
      </w:pPr>
      <w:r>
        <w:rPr>
          <w:noProof/>
          <w:lang w:val="fr-FR" w:eastAsia="fr-FR"/>
        </w:rPr>
        <w:drawing>
          <wp:inline distT="0" distB="0" distL="0" distR="0">
            <wp:extent cx="5734050" cy="38100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46C6" w:rsidRDefault="009F46C6" w:rsidP="003F6C09">
      <w:pPr>
        <w:autoSpaceDE w:val="0"/>
        <w:autoSpaceDN w:val="0"/>
        <w:adjustRightInd w:val="0"/>
        <w:rPr>
          <w:rFonts w:asciiTheme="minorHAnsi" w:hAnsiTheme="minorHAnsi" w:cs="Arial"/>
          <w:b/>
          <w:color w:val="1F497D" w:themeColor="text2"/>
          <w:szCs w:val="24"/>
        </w:rPr>
      </w:pPr>
    </w:p>
    <w:p w:rsidR="00840F9A" w:rsidRDefault="00840F9A" w:rsidP="00AD2FF1">
      <w:pPr>
        <w:jc w:val="both"/>
        <w:rPr>
          <w:rFonts w:asciiTheme="minorHAnsi" w:hAnsiTheme="minorHAnsi" w:cs="Arial"/>
          <w:sz w:val="22"/>
          <w:szCs w:val="22"/>
        </w:rPr>
      </w:pPr>
    </w:p>
    <w:p w:rsidR="00F93322" w:rsidRDefault="00AD2FF1" w:rsidP="002314D8">
      <w:pPr>
        <w:spacing w:after="120" w:line="276" w:lineRule="auto"/>
        <w:jc w:val="both"/>
        <w:rPr>
          <w:rFonts w:asciiTheme="minorHAnsi" w:hAnsiTheme="minorHAnsi" w:cs="Arial"/>
          <w:sz w:val="22"/>
          <w:szCs w:val="22"/>
        </w:rPr>
      </w:pPr>
      <w:r w:rsidRPr="008D0E85">
        <w:rPr>
          <w:rFonts w:asciiTheme="minorHAnsi" w:hAnsiTheme="minorHAnsi" w:cs="Arial"/>
          <w:sz w:val="22"/>
          <w:szCs w:val="22"/>
        </w:rPr>
        <w:t>African agriculture in 2011 was almost</w:t>
      </w:r>
      <w:r w:rsidRPr="00014317">
        <w:rPr>
          <w:rFonts w:asciiTheme="minorHAnsi" w:hAnsiTheme="minorHAnsi" w:cs="Arial"/>
          <w:b/>
          <w:sz w:val="22"/>
          <w:szCs w:val="22"/>
        </w:rPr>
        <w:t xml:space="preserve"> evenly financed by bilateral DAC donors (USD 2.04 billion) and multilateral donors (USD 1.98 billion).   </w:t>
      </w:r>
      <w:r w:rsidRPr="008D0E85">
        <w:rPr>
          <w:rFonts w:asciiTheme="minorHAnsi" w:hAnsiTheme="minorHAnsi" w:cs="Arial"/>
          <w:sz w:val="22"/>
          <w:szCs w:val="22"/>
        </w:rPr>
        <w:t>The key multilateral donors in 2011 were the</w:t>
      </w:r>
      <w:r w:rsidRPr="00014317">
        <w:rPr>
          <w:rFonts w:asciiTheme="minorHAnsi" w:hAnsiTheme="minorHAnsi" w:cs="Arial"/>
          <w:b/>
          <w:sz w:val="22"/>
          <w:szCs w:val="22"/>
        </w:rPr>
        <w:t xml:space="preserve"> World Bank (USD 721 million)</w:t>
      </w:r>
      <w:r w:rsidRPr="00014317">
        <w:rPr>
          <w:rStyle w:val="FootnoteReference"/>
          <w:rFonts w:asciiTheme="minorHAnsi" w:hAnsiTheme="minorHAnsi" w:cs="Arial"/>
          <w:b/>
          <w:sz w:val="22"/>
          <w:szCs w:val="22"/>
        </w:rPr>
        <w:footnoteReference w:id="14"/>
      </w:r>
      <w:r w:rsidRPr="00014317">
        <w:rPr>
          <w:rFonts w:asciiTheme="minorHAnsi" w:hAnsiTheme="minorHAnsi" w:cs="Arial"/>
          <w:b/>
          <w:sz w:val="22"/>
          <w:szCs w:val="22"/>
        </w:rPr>
        <w:t>, EU Institutions (USD 430 million), the International Fund for Agricultural Development (IFAD) (USD 319 million), and the African Development Bank (</w:t>
      </w:r>
      <w:proofErr w:type="spellStart"/>
      <w:r w:rsidRPr="00014317">
        <w:rPr>
          <w:rFonts w:asciiTheme="minorHAnsi" w:hAnsiTheme="minorHAnsi" w:cs="Arial"/>
          <w:b/>
          <w:sz w:val="22"/>
          <w:szCs w:val="22"/>
        </w:rPr>
        <w:t>AfDF</w:t>
      </w:r>
      <w:proofErr w:type="spellEnd"/>
      <w:r w:rsidRPr="00014317">
        <w:rPr>
          <w:rFonts w:asciiTheme="minorHAnsi" w:hAnsiTheme="minorHAnsi" w:cs="Arial"/>
          <w:b/>
          <w:sz w:val="22"/>
          <w:szCs w:val="22"/>
        </w:rPr>
        <w:t>) (USD 210 million).</w:t>
      </w:r>
      <w:r>
        <w:rPr>
          <w:rFonts w:asciiTheme="minorHAnsi" w:hAnsiTheme="minorHAnsi" w:cs="Arial"/>
          <w:sz w:val="22"/>
          <w:szCs w:val="22"/>
        </w:rPr>
        <w:t xml:space="preserve">  </w:t>
      </w:r>
    </w:p>
    <w:p w:rsidR="00E81AE9" w:rsidRDefault="00840F9A" w:rsidP="002314D8">
      <w:pPr>
        <w:spacing w:after="120" w:line="276" w:lineRule="auto"/>
        <w:jc w:val="both"/>
        <w:rPr>
          <w:rFonts w:asciiTheme="minorHAnsi" w:hAnsiTheme="minorHAnsi" w:cs="Arial"/>
          <w:sz w:val="22"/>
          <w:szCs w:val="22"/>
        </w:rPr>
      </w:pPr>
      <w:r>
        <w:rPr>
          <w:rFonts w:asciiTheme="minorHAnsi" w:hAnsiTheme="minorHAnsi" w:cs="Arial"/>
          <w:sz w:val="22"/>
          <w:szCs w:val="22"/>
        </w:rPr>
        <w:t xml:space="preserve">Over the last fifteen years, bilateral aid to agriculture has typically exceeded multilateral aid, with the exception of 1995, 2006 and 2011 when aid to agriculture was supported nearly equally by bilateral and multilateral institutions.    Figure </w:t>
      </w:r>
      <w:r w:rsidR="004E1E25">
        <w:rPr>
          <w:rFonts w:asciiTheme="minorHAnsi" w:hAnsiTheme="minorHAnsi" w:cs="Arial"/>
          <w:sz w:val="22"/>
          <w:szCs w:val="22"/>
        </w:rPr>
        <w:t>4</w:t>
      </w:r>
      <w:r>
        <w:rPr>
          <w:rFonts w:asciiTheme="minorHAnsi" w:hAnsiTheme="minorHAnsi" w:cs="Arial"/>
          <w:sz w:val="22"/>
          <w:szCs w:val="22"/>
        </w:rPr>
        <w:t xml:space="preserve"> highlights the </w:t>
      </w:r>
      <w:r w:rsidRPr="00940C7C">
        <w:rPr>
          <w:rFonts w:asciiTheme="minorHAnsi" w:hAnsiTheme="minorHAnsi" w:cs="Arial"/>
          <w:b/>
          <w:sz w:val="22"/>
          <w:szCs w:val="22"/>
        </w:rPr>
        <w:t>renewed commitment of both bilateral and multilateral institutions to African agriculture since 2005</w:t>
      </w:r>
      <w:r>
        <w:rPr>
          <w:rFonts w:asciiTheme="minorHAnsi" w:hAnsiTheme="minorHAnsi" w:cs="Arial"/>
          <w:sz w:val="22"/>
          <w:szCs w:val="22"/>
        </w:rPr>
        <w:t xml:space="preserve">.    It also shows the changes in sources of financing and </w:t>
      </w:r>
      <w:r w:rsidRPr="00940C7C">
        <w:rPr>
          <w:rFonts w:asciiTheme="minorHAnsi" w:hAnsiTheme="minorHAnsi" w:cs="Arial"/>
          <w:b/>
          <w:sz w:val="22"/>
          <w:szCs w:val="22"/>
        </w:rPr>
        <w:t>the growing role of other multilateral players</w:t>
      </w:r>
      <w:r w:rsidR="00940C7C">
        <w:rPr>
          <w:rFonts w:asciiTheme="minorHAnsi" w:hAnsiTheme="minorHAnsi" w:cs="Arial"/>
          <w:sz w:val="22"/>
          <w:szCs w:val="22"/>
        </w:rPr>
        <w:t xml:space="preserve"> in African agriculture</w:t>
      </w:r>
      <w:r>
        <w:rPr>
          <w:rFonts w:asciiTheme="minorHAnsi" w:hAnsiTheme="minorHAnsi" w:cs="Arial"/>
          <w:sz w:val="22"/>
          <w:szCs w:val="22"/>
        </w:rPr>
        <w:t xml:space="preserve">, most notably the Arab Fund, </w:t>
      </w:r>
      <w:r w:rsidR="00EC0AA0">
        <w:rPr>
          <w:rFonts w:asciiTheme="minorHAnsi" w:hAnsiTheme="minorHAnsi" w:cs="Arial"/>
          <w:sz w:val="22"/>
          <w:szCs w:val="22"/>
        </w:rPr>
        <w:t>the Arab Bank for Economic Development in Africa (</w:t>
      </w:r>
      <w:r>
        <w:rPr>
          <w:rFonts w:asciiTheme="minorHAnsi" w:hAnsiTheme="minorHAnsi" w:cs="Arial"/>
          <w:sz w:val="22"/>
          <w:szCs w:val="22"/>
        </w:rPr>
        <w:t>BADEA</w:t>
      </w:r>
      <w:r w:rsidR="00EC0AA0">
        <w:rPr>
          <w:rFonts w:asciiTheme="minorHAnsi" w:hAnsiTheme="minorHAnsi" w:cs="Arial"/>
          <w:sz w:val="22"/>
          <w:szCs w:val="22"/>
        </w:rPr>
        <w:t>)</w:t>
      </w:r>
      <w:r>
        <w:rPr>
          <w:rFonts w:asciiTheme="minorHAnsi" w:hAnsiTheme="minorHAnsi" w:cs="Arial"/>
          <w:sz w:val="22"/>
          <w:szCs w:val="22"/>
        </w:rPr>
        <w:t xml:space="preserve">, </w:t>
      </w:r>
      <w:r w:rsidR="00EC0AA0">
        <w:rPr>
          <w:rFonts w:asciiTheme="minorHAnsi" w:hAnsiTheme="minorHAnsi" w:cs="Arial"/>
          <w:sz w:val="22"/>
          <w:szCs w:val="22"/>
        </w:rPr>
        <w:t>the Global Environment Facility Trust Fund (</w:t>
      </w:r>
      <w:r>
        <w:rPr>
          <w:rFonts w:asciiTheme="minorHAnsi" w:hAnsiTheme="minorHAnsi" w:cs="Arial"/>
          <w:sz w:val="22"/>
          <w:szCs w:val="22"/>
        </w:rPr>
        <w:t>GEF</w:t>
      </w:r>
      <w:r w:rsidR="00EC0AA0">
        <w:rPr>
          <w:rFonts w:asciiTheme="minorHAnsi" w:hAnsiTheme="minorHAnsi" w:cs="Arial"/>
          <w:sz w:val="22"/>
          <w:szCs w:val="22"/>
        </w:rPr>
        <w:t>)</w:t>
      </w:r>
      <w:r>
        <w:rPr>
          <w:rFonts w:asciiTheme="minorHAnsi" w:hAnsiTheme="minorHAnsi" w:cs="Arial"/>
          <w:sz w:val="22"/>
          <w:szCs w:val="22"/>
        </w:rPr>
        <w:t xml:space="preserve">, Islamic Development Bank, Nordic Development Fund, </w:t>
      </w:r>
      <w:r w:rsidR="00EC0AA0">
        <w:rPr>
          <w:rFonts w:asciiTheme="minorHAnsi" w:hAnsiTheme="minorHAnsi" w:cs="Arial"/>
          <w:sz w:val="22"/>
          <w:szCs w:val="22"/>
        </w:rPr>
        <w:t>the OPEC Fund for International Development (</w:t>
      </w:r>
      <w:r>
        <w:rPr>
          <w:rFonts w:asciiTheme="minorHAnsi" w:hAnsiTheme="minorHAnsi" w:cs="Arial"/>
          <w:sz w:val="22"/>
          <w:szCs w:val="22"/>
        </w:rPr>
        <w:t>OFID</w:t>
      </w:r>
      <w:r w:rsidR="00EC0AA0">
        <w:rPr>
          <w:rFonts w:asciiTheme="minorHAnsi" w:hAnsiTheme="minorHAnsi" w:cs="Arial"/>
          <w:sz w:val="22"/>
          <w:szCs w:val="22"/>
        </w:rPr>
        <w:t>)</w:t>
      </w:r>
      <w:r>
        <w:rPr>
          <w:rFonts w:asciiTheme="minorHAnsi" w:hAnsiTheme="minorHAnsi" w:cs="Arial"/>
          <w:sz w:val="22"/>
          <w:szCs w:val="22"/>
        </w:rPr>
        <w:t xml:space="preserve">, and UNDP.  </w:t>
      </w:r>
      <w:r w:rsidR="00CD4BAD">
        <w:rPr>
          <w:rFonts w:asciiTheme="minorHAnsi" w:hAnsiTheme="minorHAnsi" w:cs="Arial"/>
          <w:sz w:val="22"/>
          <w:szCs w:val="22"/>
        </w:rPr>
        <w:t>This diversification of support to African agriculture will also</w:t>
      </w:r>
      <w:r w:rsidR="009D5A3E">
        <w:rPr>
          <w:rFonts w:asciiTheme="minorHAnsi" w:hAnsiTheme="minorHAnsi" w:cs="Arial"/>
          <w:sz w:val="22"/>
          <w:szCs w:val="22"/>
        </w:rPr>
        <w:t xml:space="preserve"> be explored later in Section 2</w:t>
      </w:r>
      <w:r w:rsidR="00CD4BAD">
        <w:rPr>
          <w:rFonts w:asciiTheme="minorHAnsi" w:hAnsiTheme="minorHAnsi" w:cs="Arial"/>
          <w:sz w:val="22"/>
          <w:szCs w:val="22"/>
        </w:rPr>
        <w:t>, looking at the role of new Southern donors and private sector actors.</w:t>
      </w:r>
    </w:p>
    <w:p w:rsidR="00AD2FF1" w:rsidRDefault="00AD2FF1" w:rsidP="00AD2FF1">
      <w:pPr>
        <w:rPr>
          <w:szCs w:val="24"/>
          <w:lang w:eastAsia="en-GB"/>
        </w:rPr>
      </w:pPr>
    </w:p>
    <w:p w:rsidR="00840F9A" w:rsidRDefault="00840F9A">
      <w:pPr>
        <w:rPr>
          <w:szCs w:val="24"/>
          <w:lang w:eastAsia="en-GB"/>
        </w:rPr>
      </w:pPr>
      <w:r>
        <w:rPr>
          <w:szCs w:val="24"/>
          <w:lang w:eastAsia="en-GB"/>
        </w:rPr>
        <w:br w:type="page"/>
      </w:r>
    </w:p>
    <w:p w:rsidR="00840F9A" w:rsidRDefault="00840F9A" w:rsidP="00AD2FF1">
      <w:pPr>
        <w:rPr>
          <w:rFonts w:asciiTheme="minorHAnsi" w:hAnsiTheme="minorHAnsi" w:cs="Arial"/>
          <w:b/>
          <w:sz w:val="22"/>
          <w:szCs w:val="22"/>
        </w:rPr>
      </w:pPr>
    </w:p>
    <w:p w:rsidR="00BF1A84" w:rsidRPr="00BF1A84" w:rsidRDefault="00BF1A84" w:rsidP="00840F9A">
      <w:pPr>
        <w:jc w:val="center"/>
        <w:rPr>
          <w:rFonts w:asciiTheme="minorHAnsi" w:hAnsiTheme="minorHAnsi" w:cs="Arial"/>
          <w:b/>
          <w:sz w:val="22"/>
          <w:szCs w:val="22"/>
        </w:rPr>
      </w:pPr>
      <w:r w:rsidRPr="00BF1A84">
        <w:rPr>
          <w:rFonts w:asciiTheme="minorHAnsi" w:hAnsiTheme="minorHAnsi" w:cs="Arial"/>
          <w:b/>
          <w:sz w:val="22"/>
          <w:szCs w:val="22"/>
        </w:rPr>
        <w:t xml:space="preserve">Figure </w:t>
      </w:r>
      <w:r w:rsidR="004E1E25">
        <w:rPr>
          <w:rFonts w:asciiTheme="minorHAnsi" w:hAnsiTheme="minorHAnsi" w:cs="Arial"/>
          <w:b/>
          <w:sz w:val="22"/>
          <w:szCs w:val="22"/>
        </w:rPr>
        <w:t>4</w:t>
      </w:r>
      <w:r w:rsidRPr="00BF1A84">
        <w:rPr>
          <w:rFonts w:asciiTheme="minorHAnsi" w:hAnsiTheme="minorHAnsi" w:cs="Arial"/>
          <w:b/>
          <w:sz w:val="22"/>
          <w:szCs w:val="22"/>
        </w:rPr>
        <w:t>. Annual ODA Commitments to Agriculture, Forestry &amp; Fishing in Africa:</w:t>
      </w:r>
    </w:p>
    <w:p w:rsidR="002212B3" w:rsidRDefault="00BF1A84" w:rsidP="00BF1A84">
      <w:pPr>
        <w:jc w:val="center"/>
        <w:rPr>
          <w:rFonts w:asciiTheme="minorHAnsi" w:hAnsiTheme="minorHAnsi" w:cs="Arial"/>
          <w:b/>
          <w:color w:val="1F497D" w:themeColor="text2"/>
          <w:szCs w:val="24"/>
        </w:rPr>
      </w:pPr>
      <w:r w:rsidRPr="00BF1A84">
        <w:rPr>
          <w:rFonts w:asciiTheme="minorHAnsi" w:hAnsiTheme="minorHAnsi" w:cs="Arial"/>
          <w:b/>
          <w:sz w:val="22"/>
          <w:szCs w:val="22"/>
        </w:rPr>
        <w:t>Breakdown by Sources of Financing</w:t>
      </w:r>
      <w:r w:rsidR="00AD2FF1" w:rsidRPr="00AD2FF1">
        <w:rPr>
          <w:noProof/>
          <w:lang w:eastAsia="en-GB"/>
        </w:rPr>
        <w:t xml:space="preserve"> </w:t>
      </w:r>
      <w:r w:rsidR="00AD2FF1">
        <w:rPr>
          <w:noProof/>
          <w:lang w:val="fr-FR" w:eastAsia="fr-FR"/>
        </w:rPr>
        <w:drawing>
          <wp:inline distT="0" distB="0" distL="0" distR="0">
            <wp:extent cx="5734050" cy="410527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1A84" w:rsidRDefault="00BF1A84" w:rsidP="003F6C09">
      <w:pPr>
        <w:autoSpaceDE w:val="0"/>
        <w:autoSpaceDN w:val="0"/>
        <w:adjustRightInd w:val="0"/>
        <w:rPr>
          <w:rFonts w:asciiTheme="minorHAnsi" w:hAnsiTheme="minorHAnsi" w:cs="Arial"/>
          <w:b/>
          <w:color w:val="1F497D" w:themeColor="text2"/>
          <w:szCs w:val="24"/>
        </w:rPr>
      </w:pPr>
    </w:p>
    <w:p w:rsidR="00610949" w:rsidRDefault="00610949" w:rsidP="009309DB">
      <w:pPr>
        <w:autoSpaceDE w:val="0"/>
        <w:autoSpaceDN w:val="0"/>
        <w:adjustRightInd w:val="0"/>
        <w:spacing w:line="276" w:lineRule="auto"/>
        <w:jc w:val="both"/>
        <w:rPr>
          <w:rFonts w:asciiTheme="minorHAnsi" w:hAnsiTheme="minorHAnsi" w:cs="Arial"/>
          <w:sz w:val="22"/>
          <w:szCs w:val="22"/>
        </w:rPr>
      </w:pPr>
    </w:p>
    <w:p w:rsidR="00372DCD" w:rsidRDefault="00231B9B" w:rsidP="009309DB">
      <w:pPr>
        <w:autoSpaceDE w:val="0"/>
        <w:autoSpaceDN w:val="0"/>
        <w:adjustRightInd w:val="0"/>
        <w:spacing w:line="276" w:lineRule="auto"/>
        <w:jc w:val="both"/>
        <w:rPr>
          <w:szCs w:val="24"/>
          <w:lang w:eastAsia="en-GB"/>
        </w:rPr>
      </w:pPr>
      <w:r>
        <w:rPr>
          <w:rFonts w:asciiTheme="minorHAnsi" w:hAnsiTheme="minorHAnsi" w:cs="Arial"/>
          <w:sz w:val="22"/>
          <w:szCs w:val="22"/>
        </w:rPr>
        <w:t xml:space="preserve">Figure </w:t>
      </w:r>
      <w:r w:rsidR="00610949">
        <w:rPr>
          <w:rFonts w:asciiTheme="minorHAnsi" w:hAnsiTheme="minorHAnsi" w:cs="Arial"/>
          <w:sz w:val="22"/>
          <w:szCs w:val="22"/>
        </w:rPr>
        <w:t>5 below</w:t>
      </w:r>
      <w:r>
        <w:rPr>
          <w:rFonts w:asciiTheme="minorHAnsi" w:hAnsiTheme="minorHAnsi" w:cs="Arial"/>
          <w:sz w:val="22"/>
          <w:szCs w:val="22"/>
        </w:rPr>
        <w:t xml:space="preserve"> shows the breakdown of ODA commitments using the OECD sub-sector classifications for the agriculture, forestry and fishing sector</w:t>
      </w:r>
      <w:r w:rsidR="009309DB">
        <w:rPr>
          <w:rFonts w:asciiTheme="minorHAnsi" w:hAnsiTheme="minorHAnsi" w:cs="Arial"/>
          <w:sz w:val="22"/>
          <w:szCs w:val="22"/>
        </w:rPr>
        <w:t xml:space="preserve"> for 2007-2011</w:t>
      </w:r>
      <w:r>
        <w:rPr>
          <w:rFonts w:asciiTheme="minorHAnsi" w:hAnsiTheme="minorHAnsi" w:cs="Arial"/>
          <w:sz w:val="22"/>
          <w:szCs w:val="22"/>
        </w:rPr>
        <w:t xml:space="preserve">.   Analysis of </w:t>
      </w:r>
      <w:r w:rsidR="009309DB">
        <w:rPr>
          <w:rFonts w:asciiTheme="minorHAnsi" w:hAnsiTheme="minorHAnsi" w:cs="Arial"/>
          <w:sz w:val="22"/>
          <w:szCs w:val="22"/>
        </w:rPr>
        <w:t xml:space="preserve">these </w:t>
      </w:r>
      <w:r>
        <w:rPr>
          <w:rFonts w:asciiTheme="minorHAnsi" w:hAnsiTheme="minorHAnsi" w:cs="Arial"/>
          <w:sz w:val="22"/>
          <w:szCs w:val="22"/>
        </w:rPr>
        <w:t>sub-</w:t>
      </w:r>
      <w:proofErr w:type="spellStart"/>
      <w:r>
        <w:rPr>
          <w:rFonts w:asciiTheme="minorHAnsi" w:hAnsiTheme="minorHAnsi" w:cs="Arial"/>
          <w:sz w:val="22"/>
          <w:szCs w:val="22"/>
        </w:rPr>
        <w:t>sectoral</w:t>
      </w:r>
      <w:proofErr w:type="spellEnd"/>
      <w:r>
        <w:rPr>
          <w:rFonts w:asciiTheme="minorHAnsi" w:hAnsiTheme="minorHAnsi" w:cs="Arial"/>
          <w:sz w:val="22"/>
          <w:szCs w:val="22"/>
        </w:rPr>
        <w:t xml:space="preserve"> allocations shows</w:t>
      </w:r>
      <w:r w:rsidR="00372DCD">
        <w:rPr>
          <w:rFonts w:asciiTheme="minorHAnsi" w:hAnsiTheme="minorHAnsi" w:cs="Arial"/>
          <w:sz w:val="22"/>
          <w:szCs w:val="22"/>
        </w:rPr>
        <w:t xml:space="preserve"> </w:t>
      </w:r>
      <w:r w:rsidRPr="00E827ED">
        <w:rPr>
          <w:rFonts w:asciiTheme="minorHAnsi" w:hAnsiTheme="minorHAnsi" w:cs="Arial"/>
          <w:b/>
          <w:sz w:val="22"/>
          <w:szCs w:val="22"/>
        </w:rPr>
        <w:t>small fluctuations within agricultural sub-sectors,</w:t>
      </w:r>
      <w:r>
        <w:rPr>
          <w:rFonts w:asciiTheme="minorHAnsi" w:hAnsiTheme="minorHAnsi" w:cs="Arial"/>
          <w:sz w:val="22"/>
          <w:szCs w:val="22"/>
        </w:rPr>
        <w:t xml:space="preserve"> but no major shifts.  It should be noted that differences in reporting among donors means that the data should be interpreted with care.  Nevertheless, it is clear that the </w:t>
      </w:r>
      <w:r w:rsidRPr="00E827ED">
        <w:rPr>
          <w:rFonts w:asciiTheme="minorHAnsi" w:hAnsiTheme="minorHAnsi" w:cs="Arial"/>
          <w:b/>
          <w:sz w:val="22"/>
          <w:szCs w:val="22"/>
        </w:rPr>
        <w:t>largest allocation of ODA is allocated to agricultural development (</w:t>
      </w:r>
      <w:r w:rsidR="009468D2">
        <w:rPr>
          <w:rFonts w:asciiTheme="minorHAnsi" w:hAnsiTheme="minorHAnsi" w:cs="Arial"/>
          <w:b/>
          <w:sz w:val="22"/>
          <w:szCs w:val="22"/>
        </w:rPr>
        <w:t>25.3</w:t>
      </w:r>
      <w:r w:rsidRPr="00E827ED">
        <w:rPr>
          <w:rFonts w:asciiTheme="minorHAnsi" w:hAnsiTheme="minorHAnsi" w:cs="Arial"/>
          <w:b/>
          <w:sz w:val="22"/>
          <w:szCs w:val="22"/>
        </w:rPr>
        <w:t xml:space="preserve"> per cent in 2011), agricultural policy, management and administration activities (</w:t>
      </w:r>
      <w:r w:rsidR="009468D2">
        <w:rPr>
          <w:rFonts w:asciiTheme="minorHAnsi" w:hAnsiTheme="minorHAnsi" w:cs="Arial"/>
          <w:b/>
          <w:sz w:val="22"/>
          <w:szCs w:val="22"/>
        </w:rPr>
        <w:t>19.9</w:t>
      </w:r>
      <w:r w:rsidRPr="00E827ED">
        <w:rPr>
          <w:rFonts w:asciiTheme="minorHAnsi" w:hAnsiTheme="minorHAnsi" w:cs="Arial"/>
          <w:b/>
          <w:sz w:val="22"/>
          <w:szCs w:val="22"/>
        </w:rPr>
        <w:t xml:space="preserve"> per cent), and water resources (</w:t>
      </w:r>
      <w:r w:rsidR="009468D2">
        <w:rPr>
          <w:rFonts w:asciiTheme="minorHAnsi" w:hAnsiTheme="minorHAnsi" w:cs="Arial"/>
          <w:b/>
          <w:sz w:val="22"/>
          <w:szCs w:val="22"/>
        </w:rPr>
        <w:t>16.7</w:t>
      </w:r>
      <w:r w:rsidRPr="00E827ED">
        <w:rPr>
          <w:rFonts w:asciiTheme="minorHAnsi" w:hAnsiTheme="minorHAnsi" w:cs="Arial"/>
          <w:b/>
          <w:sz w:val="22"/>
          <w:szCs w:val="22"/>
        </w:rPr>
        <w:t xml:space="preserve"> per cent).</w:t>
      </w:r>
      <w:r>
        <w:rPr>
          <w:rFonts w:asciiTheme="minorHAnsi" w:hAnsiTheme="minorHAnsi" w:cs="Arial"/>
          <w:sz w:val="22"/>
          <w:szCs w:val="22"/>
        </w:rPr>
        <w:t xml:space="preserve">  Fisheries, forestry, food crop production and industrial crops / export crops receive the next greatest amount of funding.   A similar exercise conducted by the FAO in 2009 </w:t>
      </w:r>
      <w:r w:rsidR="009309DB">
        <w:rPr>
          <w:rFonts w:asciiTheme="minorHAnsi" w:hAnsiTheme="minorHAnsi" w:cs="Arial"/>
          <w:sz w:val="22"/>
          <w:szCs w:val="22"/>
        </w:rPr>
        <w:t>also found that “sub-</w:t>
      </w:r>
      <w:proofErr w:type="spellStart"/>
      <w:r w:rsidR="009309DB">
        <w:rPr>
          <w:rFonts w:asciiTheme="minorHAnsi" w:hAnsiTheme="minorHAnsi" w:cs="Arial"/>
          <w:sz w:val="22"/>
          <w:szCs w:val="22"/>
        </w:rPr>
        <w:t>sectoral</w:t>
      </w:r>
      <w:proofErr w:type="spellEnd"/>
      <w:r w:rsidR="009309DB">
        <w:rPr>
          <w:rFonts w:asciiTheme="minorHAnsi" w:hAnsiTheme="minorHAnsi" w:cs="Arial"/>
          <w:sz w:val="22"/>
          <w:szCs w:val="22"/>
        </w:rPr>
        <w:t xml:space="preserve"> allocations within the agricultural sector appear to have remained relatively constant over time, with crop-related activities receiving more funding than non-crop activities”.</w:t>
      </w:r>
      <w:r w:rsidR="009309DB">
        <w:rPr>
          <w:rStyle w:val="FootnoteReference"/>
          <w:rFonts w:asciiTheme="minorHAnsi" w:hAnsiTheme="minorHAnsi" w:cs="Arial"/>
          <w:sz w:val="22"/>
          <w:szCs w:val="22"/>
        </w:rPr>
        <w:footnoteReference w:id="15"/>
      </w:r>
    </w:p>
    <w:p w:rsidR="00617B23" w:rsidRDefault="00617B23">
      <w:pPr>
        <w:rPr>
          <w:rFonts w:asciiTheme="minorHAnsi" w:hAnsiTheme="minorHAnsi" w:cs="Arial"/>
          <w:b/>
          <w:color w:val="1F497D" w:themeColor="text2"/>
          <w:szCs w:val="24"/>
        </w:rPr>
      </w:pPr>
    </w:p>
    <w:p w:rsidR="00785642" w:rsidRDefault="00785642" w:rsidP="00231B9B">
      <w:pPr>
        <w:jc w:val="center"/>
        <w:rPr>
          <w:rFonts w:asciiTheme="minorHAnsi" w:hAnsiTheme="minorHAnsi" w:cs="Arial"/>
          <w:b/>
          <w:sz w:val="22"/>
          <w:szCs w:val="22"/>
        </w:rPr>
      </w:pPr>
      <w:r>
        <w:rPr>
          <w:rFonts w:asciiTheme="minorHAnsi" w:hAnsiTheme="minorHAnsi" w:cs="Arial"/>
          <w:b/>
          <w:color w:val="1F497D" w:themeColor="text2"/>
          <w:szCs w:val="24"/>
        </w:rPr>
        <w:br w:type="page"/>
      </w:r>
      <w:r w:rsidRPr="00785642">
        <w:rPr>
          <w:rFonts w:asciiTheme="minorHAnsi" w:hAnsiTheme="minorHAnsi" w:cs="Arial"/>
          <w:b/>
          <w:sz w:val="22"/>
          <w:szCs w:val="22"/>
        </w:rPr>
        <w:lastRenderedPageBreak/>
        <w:t>Figure</w:t>
      </w:r>
      <w:r w:rsidR="00CD0E5E">
        <w:rPr>
          <w:rFonts w:asciiTheme="minorHAnsi" w:hAnsiTheme="minorHAnsi" w:cs="Arial"/>
          <w:b/>
          <w:sz w:val="22"/>
          <w:szCs w:val="22"/>
        </w:rPr>
        <w:t xml:space="preserve"> 5. Trends in Agriculture ODA Sub-Sector Allocations in Africa</w:t>
      </w:r>
      <w:r w:rsidR="00CD0E5E">
        <w:rPr>
          <w:rStyle w:val="FootnoteReference"/>
          <w:rFonts w:asciiTheme="minorHAnsi" w:hAnsiTheme="minorHAnsi" w:cs="Arial"/>
          <w:b/>
          <w:sz w:val="22"/>
          <w:szCs w:val="22"/>
        </w:rPr>
        <w:footnoteReference w:id="16"/>
      </w:r>
    </w:p>
    <w:p w:rsidR="00CD0E5E" w:rsidRPr="00785642" w:rsidRDefault="00CD0E5E" w:rsidP="00CD0E5E">
      <w:pPr>
        <w:jc w:val="center"/>
        <w:rPr>
          <w:rFonts w:asciiTheme="minorHAnsi" w:hAnsiTheme="minorHAnsi" w:cs="Arial"/>
          <w:b/>
          <w:sz w:val="22"/>
          <w:szCs w:val="22"/>
        </w:rPr>
      </w:pPr>
      <w:r>
        <w:rPr>
          <w:rFonts w:asciiTheme="minorHAnsi" w:hAnsiTheme="minorHAnsi" w:cs="Arial"/>
          <w:b/>
          <w:sz w:val="22"/>
          <w:szCs w:val="22"/>
        </w:rPr>
        <w:t>(USD millions, 2007-2011)</w:t>
      </w:r>
    </w:p>
    <w:p w:rsidR="00785642" w:rsidRDefault="00036864">
      <w:pPr>
        <w:rPr>
          <w:rFonts w:asciiTheme="minorHAnsi" w:hAnsiTheme="minorHAnsi" w:cs="Arial"/>
          <w:b/>
          <w:color w:val="1F497D" w:themeColor="text2"/>
          <w:szCs w:val="24"/>
        </w:rPr>
      </w:pPr>
      <w:r w:rsidRPr="00036864">
        <w:rPr>
          <w:noProof/>
          <w:lang w:eastAsia="en-GB"/>
        </w:rPr>
        <w:pict>
          <v:shape id="Text Box 261" o:spid="_x0000_s1027" type="#_x0000_t202" style="position:absolute;margin-left:-87.75pt;margin-top:232.85pt;width:141pt;height:21pt;rotation:-90;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" filled="f" stroked="f" strokeweight=".5pt">
            <v:path arrowok="t"/>
            <v:textbox>
              <w:txbxContent>
                <w:p w:rsidR="00956B35" w:rsidRPr="00CD0E5E" w:rsidRDefault="00956B35" w:rsidP="00CD0E5E">
                  <w:pPr>
                    <w:jc w:val="center"/>
                    <w:rPr>
                      <w:rFonts w:asciiTheme="minorHAnsi" w:hAnsiTheme="minorHAnsi"/>
                      <w:b/>
                      <w:sz w:val="20"/>
                    </w:rPr>
                  </w:pPr>
                  <w:r w:rsidRPr="00CD0E5E">
                    <w:rPr>
                      <w:rFonts w:asciiTheme="minorHAnsi" w:hAnsiTheme="minorHAnsi"/>
                      <w:b/>
                      <w:sz w:val="20"/>
                    </w:rPr>
                    <w:t>USD millions</w:t>
                  </w:r>
                </w:p>
              </w:txbxContent>
            </v:textbox>
          </v:shape>
        </w:pict>
      </w:r>
      <w:r w:rsidRPr="00036864">
        <w:rPr>
          <w:noProof/>
          <w:lang w:eastAsia="en-GB"/>
        </w:rPr>
        <w:pict>
          <v:line id="Straight Connector 259" o:spid="_x0000_s1045" style="position:absolute;flip:x;z-index:251688448;visibility:visible;mso-wrap-distance-top:-3e-5mm;mso-wrap-distance-bottom:-3e-5mm;mso-width-relative:margin;mso-height-relative:margin" from="366pt,115.1pt" to="394.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" strokecolor="#4579b8 [3044]">
            <o:lock v:ext="edit" shapetype="f"/>
          </v:line>
        </w:pict>
      </w:r>
      <w:r w:rsidRPr="00036864">
        <w:rPr>
          <w:noProof/>
          <w:lang w:eastAsia="en-GB"/>
        </w:rPr>
        <w:pict>
          <v:line id="Straight Connector 260" o:spid="_x0000_s1044" style="position:absolute;flip:x;z-index:251689472;visibility:visible" from="366pt,219.35pt" to="396.75pt,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" strokecolor="#4579b8 [3044]">
            <o:lock v:ext="edit" shapetype="f"/>
          </v:line>
        </w:pict>
      </w:r>
      <w:r w:rsidRPr="00036864">
        <w:rPr>
          <w:noProof/>
          <w:lang w:eastAsia="en-GB"/>
        </w:rPr>
        <w:pict>
          <v:line id="Straight Connector 258" o:spid="_x0000_s1043" style="position:absolute;flip:x;z-index:251687424;visibility:visible" from="366pt,81.35pt" to="399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" strokecolor="#4579b8 [3044]">
            <o:lock v:ext="edit" shapetype="f"/>
          </v:line>
        </w:pict>
      </w:r>
      <w:r w:rsidRPr="00036864">
        <w:rPr>
          <w:noProof/>
          <w:lang w:eastAsia="en-GB"/>
        </w:rPr>
        <w:pict>
          <v:line id="Straight Connector 257" o:spid="_x0000_s1042" style="position:absolute;flip:x;z-index:251686400;visibility:visible" from="366pt,70.1pt" to="399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" strokecolor="#4579b8 [3044]">
            <o:lock v:ext="edit" shapetype="f"/>
          </v:line>
        </w:pict>
      </w:r>
      <w:r w:rsidRPr="00036864">
        <w:rPr>
          <w:noProof/>
          <w:lang w:eastAsia="en-GB"/>
        </w:rPr>
        <w:pict>
          <v:line id="Straight Connector 256" o:spid="_x0000_s1041" style="position:absolute;flip:x;z-index:251685376;visibility:visible;mso-width-relative:margin" from="366pt,57.35pt" to="399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" strokecolor="#4579b8 [3044]">
            <o:lock v:ext="edit" shapetype="f"/>
          </v:line>
        </w:pict>
      </w:r>
      <w:r w:rsidRPr="00036864">
        <w:rPr>
          <w:noProof/>
          <w:lang w:eastAsia="en-GB"/>
        </w:rPr>
        <w:pict>
          <v:line id="Straight Connector 127" o:spid="_x0000_s1040" style="position:absolute;flip:x;z-index:251684352;visibility:visible;mso-wrap-distance-top:-3e-5mm;mso-wrap-distance-bottom:-3e-5mm" from="366pt,46.85pt" to="399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" strokecolor="#4579b8 [3044]">
            <o:lock v:ext="edit" shapetype="f"/>
          </v:line>
        </w:pict>
      </w:r>
      <w:r w:rsidRPr="00036864">
        <w:rPr>
          <w:noProof/>
          <w:lang w:eastAsia="en-GB"/>
        </w:rPr>
        <w:pict>
          <v:shape id="Text Box 126" o:spid="_x0000_s1028" type="#_x0000_t202" style="position:absolute;margin-left:393pt;margin-top:37.1pt;width:128.25pt;height:73.5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" fillcolor="white [3201]" stroked="f" strokeweight=".5pt">
            <v:path arrowok="t"/>
            <v:textbox>
              <w:txbxContent>
                <w:p w:rsidR="00956B35" w:rsidRDefault="00956B35" w:rsidP="007E41FB">
                  <w:pPr>
                    <w:rPr>
                      <w:rFonts w:asciiTheme="minorHAnsi" w:hAnsiTheme="minorHAnsi"/>
                      <w:sz w:val="18"/>
                      <w:szCs w:val="18"/>
                    </w:rPr>
                  </w:pPr>
                  <w:r>
                    <w:rPr>
                      <w:rFonts w:asciiTheme="minorHAnsi" w:hAnsiTheme="minorHAnsi"/>
                      <w:sz w:val="18"/>
                      <w:szCs w:val="18"/>
                    </w:rPr>
                    <w:t>All other</w:t>
                  </w:r>
                </w:p>
                <w:p w:rsidR="00956B35" w:rsidRDefault="00956B35" w:rsidP="007E41FB">
                  <w:pPr>
                    <w:rPr>
                      <w:rFonts w:asciiTheme="minorHAnsi" w:hAnsiTheme="minorHAnsi"/>
                      <w:sz w:val="18"/>
                      <w:szCs w:val="18"/>
                    </w:rPr>
                  </w:pPr>
                  <w:r>
                    <w:rPr>
                      <w:rFonts w:asciiTheme="minorHAnsi" w:hAnsiTheme="minorHAnsi"/>
                      <w:sz w:val="18"/>
                      <w:szCs w:val="18"/>
                    </w:rPr>
                    <w:t>Agricultural financial services</w:t>
                  </w:r>
                </w:p>
                <w:p w:rsidR="00956B35" w:rsidRDefault="00956B35" w:rsidP="007E41FB">
                  <w:pPr>
                    <w:rPr>
                      <w:rFonts w:asciiTheme="minorHAnsi" w:hAnsiTheme="minorHAnsi"/>
                      <w:sz w:val="18"/>
                      <w:szCs w:val="18"/>
                    </w:rPr>
                  </w:pPr>
                  <w:r>
                    <w:rPr>
                      <w:rFonts w:asciiTheme="minorHAnsi" w:hAnsiTheme="minorHAnsi"/>
                      <w:sz w:val="18"/>
                      <w:szCs w:val="18"/>
                    </w:rPr>
                    <w:t>Agricultural services</w:t>
                  </w:r>
                </w:p>
                <w:p w:rsidR="00956B35" w:rsidRDefault="00956B35" w:rsidP="007E41FB">
                  <w:pPr>
                    <w:rPr>
                      <w:rFonts w:asciiTheme="minorHAnsi" w:hAnsiTheme="minorHAnsi"/>
                      <w:sz w:val="18"/>
                      <w:szCs w:val="18"/>
                    </w:rPr>
                  </w:pPr>
                  <w:r>
                    <w:rPr>
                      <w:rFonts w:asciiTheme="minorHAnsi" w:hAnsiTheme="minorHAnsi"/>
                      <w:sz w:val="18"/>
                      <w:szCs w:val="18"/>
                    </w:rPr>
                    <w:t>Agricultural research</w:t>
                  </w:r>
                </w:p>
                <w:p w:rsidR="00956B35" w:rsidRDefault="00956B35" w:rsidP="007E41FB">
                  <w:pPr>
                    <w:rPr>
                      <w:rFonts w:asciiTheme="minorHAnsi" w:hAnsiTheme="minorHAnsi"/>
                      <w:sz w:val="18"/>
                      <w:szCs w:val="18"/>
                    </w:rPr>
                  </w:pPr>
                  <w:r>
                    <w:rPr>
                      <w:rFonts w:asciiTheme="minorHAnsi" w:hAnsiTheme="minorHAnsi"/>
                      <w:sz w:val="18"/>
                      <w:szCs w:val="18"/>
                    </w:rPr>
                    <w:t>Agricultural education/training</w:t>
                  </w:r>
                </w:p>
                <w:p w:rsidR="00956B35" w:rsidRPr="007E41FB" w:rsidRDefault="00956B35" w:rsidP="007E41FB">
                  <w:pPr>
                    <w:rPr>
                      <w:rFonts w:asciiTheme="minorHAnsi" w:hAnsiTheme="minorHAnsi"/>
                      <w:sz w:val="18"/>
                      <w:szCs w:val="18"/>
                    </w:rPr>
                  </w:pPr>
                  <w:r>
                    <w:rPr>
                      <w:rFonts w:asciiTheme="minorHAnsi" w:hAnsiTheme="minorHAnsi"/>
                      <w:sz w:val="18"/>
                      <w:szCs w:val="18"/>
                    </w:rPr>
                    <w:t>Agricultural extension</w:t>
                  </w:r>
                </w:p>
              </w:txbxContent>
            </v:textbox>
          </v:shape>
        </w:pict>
      </w:r>
      <w:r w:rsidRPr="00036864">
        <w:rPr>
          <w:noProof/>
          <w:lang w:eastAsia="en-GB"/>
        </w:rPr>
        <w:pict>
          <v:shape id="Text Box 120" o:spid="_x0000_s1029" type="#_x0000_t202" style="position:absolute;margin-left:393pt;margin-top:104.6pt;width:128.25pt;height:21pt;z-index:25168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Livestock</w:t>
                  </w:r>
                </w:p>
              </w:txbxContent>
            </v:textbox>
          </v:shape>
        </w:pict>
      </w:r>
      <w:r w:rsidRPr="00036864">
        <w:rPr>
          <w:noProof/>
          <w:lang w:eastAsia="en-GB"/>
        </w:rPr>
        <w:pict>
          <v:shape id="Text Box 95" o:spid="_x0000_s1030" type="#_x0000_t202" style="position:absolute;margin-left:392.95pt;margin-top:120.35pt;width:128.25pt;height:21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Industrial crops / export crops</w:t>
                  </w:r>
                </w:p>
              </w:txbxContent>
            </v:textbox>
          </v:shape>
        </w:pict>
      </w:r>
      <w:r w:rsidRPr="00036864">
        <w:rPr>
          <w:noProof/>
          <w:lang w:eastAsia="en-GB"/>
        </w:rPr>
        <w:pict>
          <v:shape id="Text Box 94" o:spid="_x0000_s1031" type="#_x0000_t202" style="position:absolute;margin-left:393.75pt;margin-top:135.35pt;width:94.5pt;height:21pt;z-index:2516771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Food crop production</w:t>
                  </w:r>
                </w:p>
              </w:txbxContent>
            </v:textbox>
          </v:shape>
        </w:pict>
      </w:r>
      <w:r w:rsidRPr="00036864">
        <w:rPr>
          <w:noProof/>
          <w:lang w:eastAsia="en-GB"/>
        </w:rPr>
        <w:pict>
          <v:shape id="Text Box 93" o:spid="_x0000_s1032" type="#_x0000_t202" style="position:absolute;margin-left:393pt;margin-top:162.35pt;width:94.5pt;height:21pt;z-index:251675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Agricultural inputs</w:t>
                  </w:r>
                </w:p>
              </w:txbxContent>
            </v:textbox>
          </v:shape>
        </w:pict>
      </w:r>
      <w:r w:rsidRPr="00036864">
        <w:rPr>
          <w:noProof/>
          <w:lang w:eastAsia="en-GB"/>
        </w:rPr>
        <w:pict>
          <v:shape id="Text Box 92" o:spid="_x0000_s1033" type="#_x0000_t202" style="position:absolute;margin-left:394.5pt;margin-top:203.6pt;width:94.5pt;height:33pt;z-index:2516730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Agricultural water resources</w:t>
                  </w:r>
                </w:p>
              </w:txbxContent>
            </v:textbox>
          </v:shape>
        </w:pict>
      </w:r>
      <w:r w:rsidRPr="00036864">
        <w:rPr>
          <w:noProof/>
          <w:lang w:eastAsia="en-GB"/>
        </w:rPr>
        <w:pict>
          <v:shape id="Text Box 91" o:spid="_x0000_s1034" type="#_x0000_t202" style="position:absolute;margin-left:394.5pt;margin-top:260.6pt;width:94.5pt;height:33pt;z-index:2516710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Agricultural land resources</w:t>
                  </w:r>
                </w:p>
              </w:txbxContent>
            </v:textbox>
          </v:shape>
        </w:pict>
      </w:r>
      <w:r w:rsidRPr="00036864">
        <w:rPr>
          <w:noProof/>
          <w:lang w:eastAsia="en-GB"/>
        </w:rPr>
        <w:pict>
          <v:shape id="Text Box 83" o:spid="_x0000_s1035" type="#_x0000_t202" style="position:absolute;margin-left:394.5pt;margin-top:333.35pt;width:94.5pt;height:36.75pt;z-index:251668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Agricultural development</w:t>
                  </w:r>
                </w:p>
              </w:txbxContent>
            </v:textbox>
          </v:shape>
        </w:pict>
      </w:r>
      <w:r w:rsidRPr="00036864">
        <w:rPr>
          <w:noProof/>
          <w:lang w:eastAsia="en-GB"/>
        </w:rPr>
        <w:pict>
          <v:shape id="Text Box 45" o:spid="_x0000_s1036" type="#_x0000_t202" style="position:absolute;margin-left:393pt;margin-top:462.35pt;width:94.5pt;height:42.75pt;z-index:2516669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Agricultural, policy and admin management</w:t>
                  </w:r>
                </w:p>
              </w:txbxContent>
            </v:textbox>
          </v:shape>
        </w:pict>
      </w:r>
      <w:r w:rsidRPr="00036864">
        <w:rPr>
          <w:noProof/>
          <w:lang w:eastAsia="en-GB"/>
        </w:rPr>
        <w:pict>
          <v:shape id="Text Box 44" o:spid="_x0000_s1037" type="#_x0000_t202" style="position:absolute;margin-left:393pt;margin-top:541.1pt;width:94.5pt;height:20.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" fillcolor="white [3201]" stroked="f" strokeweight=".5pt">
            <v:path arrowok="t"/>
            <v:textbox>
              <w:txbxContent>
                <w:p w:rsidR="00956B35" w:rsidRPr="007E41FB" w:rsidRDefault="00956B35" w:rsidP="007E41FB">
                  <w:pPr>
                    <w:rPr>
                      <w:rFonts w:asciiTheme="minorHAnsi" w:hAnsiTheme="minorHAnsi"/>
                      <w:sz w:val="18"/>
                      <w:szCs w:val="18"/>
                    </w:rPr>
                  </w:pPr>
                  <w:r>
                    <w:rPr>
                      <w:rFonts w:asciiTheme="minorHAnsi" w:hAnsiTheme="minorHAnsi"/>
                      <w:sz w:val="18"/>
                      <w:szCs w:val="18"/>
                    </w:rPr>
                    <w:t>Fishing</w:t>
                  </w:r>
                </w:p>
              </w:txbxContent>
            </v:textbox>
          </v:shape>
        </w:pict>
      </w:r>
      <w:r w:rsidRPr="00036864">
        <w:rPr>
          <w:noProof/>
          <w:lang w:eastAsia="en-GB"/>
        </w:rPr>
        <w:pict>
          <v:shape id="Text Box 43" o:spid="_x0000_s1038" type="#_x0000_t202" style="position:absolute;margin-left:393pt;margin-top:572.6pt;width:94.5pt;height:20.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" fillcolor="white [3201]" stroked="f" strokeweight=".5pt">
            <v:path arrowok="t"/>
            <v:textbox>
              <w:txbxContent>
                <w:p w:rsidR="00956B35" w:rsidRPr="007E41FB" w:rsidRDefault="00956B35">
                  <w:pPr>
                    <w:rPr>
                      <w:rFonts w:asciiTheme="minorHAnsi" w:hAnsiTheme="minorHAnsi"/>
                      <w:sz w:val="18"/>
                      <w:szCs w:val="18"/>
                    </w:rPr>
                  </w:pPr>
                  <w:r w:rsidRPr="007E41FB">
                    <w:rPr>
                      <w:rFonts w:asciiTheme="minorHAnsi" w:hAnsiTheme="minorHAnsi"/>
                      <w:sz w:val="18"/>
                      <w:szCs w:val="18"/>
                    </w:rPr>
                    <w:t>Forestry</w:t>
                  </w:r>
                </w:p>
              </w:txbxContent>
            </v:textbox>
          </v:shape>
        </w:pict>
      </w:r>
      <w:r w:rsidR="00785642">
        <w:rPr>
          <w:noProof/>
          <w:lang w:val="fr-FR" w:eastAsia="fr-FR"/>
        </w:rPr>
        <w:drawing>
          <wp:inline distT="0" distB="0" distL="0" distR="0">
            <wp:extent cx="5067300" cy="7867650"/>
            <wp:effectExtent l="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85642" w:rsidRDefault="00785642">
      <w:pPr>
        <w:rPr>
          <w:rFonts w:asciiTheme="minorHAnsi" w:hAnsiTheme="minorHAnsi" w:cs="Arial"/>
          <w:b/>
          <w:color w:val="1F497D" w:themeColor="text2"/>
          <w:szCs w:val="24"/>
        </w:rPr>
      </w:pPr>
    </w:p>
    <w:p w:rsidR="00785642" w:rsidRDefault="00785642">
      <w:pPr>
        <w:rPr>
          <w:rFonts w:asciiTheme="minorHAnsi" w:hAnsiTheme="minorHAnsi" w:cs="Arial"/>
          <w:b/>
          <w:color w:val="1F497D" w:themeColor="text2"/>
          <w:szCs w:val="24"/>
        </w:rPr>
      </w:pPr>
      <w:r>
        <w:rPr>
          <w:rFonts w:asciiTheme="minorHAnsi" w:hAnsiTheme="minorHAnsi" w:cs="Arial"/>
          <w:b/>
          <w:color w:val="1F497D" w:themeColor="text2"/>
          <w:szCs w:val="24"/>
        </w:rPr>
        <w:br w:type="page"/>
      </w:r>
    </w:p>
    <w:p w:rsidR="003F6C09" w:rsidRPr="008744CB" w:rsidRDefault="003F6C09" w:rsidP="003C43B9">
      <w:pPr>
        <w:rPr>
          <w:rFonts w:asciiTheme="minorHAnsi" w:hAnsiTheme="minorHAnsi" w:cs="Arial"/>
          <w:b/>
          <w:color w:val="1F497D" w:themeColor="text2"/>
          <w:szCs w:val="24"/>
        </w:rPr>
      </w:pPr>
      <w:r w:rsidRPr="008744CB">
        <w:rPr>
          <w:rFonts w:asciiTheme="minorHAnsi" w:hAnsiTheme="minorHAnsi" w:cs="Arial"/>
          <w:b/>
          <w:color w:val="1F497D" w:themeColor="text2"/>
          <w:szCs w:val="24"/>
        </w:rPr>
        <w:lastRenderedPageBreak/>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 xml:space="preserve"> </w:t>
      </w:r>
      <w:r w:rsidRPr="008744CB">
        <w:rPr>
          <w:rFonts w:asciiTheme="minorHAnsi" w:hAnsiTheme="minorHAnsi" w:cs="Arial"/>
          <w:b/>
          <w:color w:val="1F497D" w:themeColor="text2"/>
          <w:szCs w:val="24"/>
        </w:rPr>
        <w:tab/>
        <w:t>BILATERAL DONORS</w:t>
      </w:r>
    </w:p>
    <w:p w:rsidR="003F6C09" w:rsidRPr="00A22D47" w:rsidRDefault="003F6C09" w:rsidP="003F6C09">
      <w:pPr>
        <w:autoSpaceDE w:val="0"/>
        <w:autoSpaceDN w:val="0"/>
        <w:adjustRightInd w:val="0"/>
        <w:rPr>
          <w:rFonts w:asciiTheme="minorHAnsi" w:hAnsiTheme="minorHAnsi" w:cs="Arial"/>
          <w:b/>
          <w:color w:val="1F497D" w:themeColor="text2"/>
          <w:szCs w:val="24"/>
        </w:rPr>
      </w:pPr>
      <w:r w:rsidRPr="00A22D47">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A22D47">
        <w:rPr>
          <w:rFonts w:asciiTheme="minorHAnsi" w:hAnsiTheme="minorHAnsi" w:cs="Arial"/>
          <w:b/>
          <w:color w:val="1F497D" w:themeColor="text2"/>
          <w:szCs w:val="24"/>
        </w:rPr>
        <w:t>.1</w:t>
      </w:r>
      <w:r w:rsidRPr="00A22D47">
        <w:rPr>
          <w:rFonts w:asciiTheme="minorHAnsi" w:hAnsiTheme="minorHAnsi" w:cs="Arial"/>
          <w:b/>
          <w:color w:val="1F497D" w:themeColor="text2"/>
          <w:szCs w:val="24"/>
        </w:rPr>
        <w:tab/>
        <w:t>Key bilateral donors to African agriculture</w:t>
      </w:r>
      <w:r w:rsidR="00F4133D">
        <w:rPr>
          <w:rFonts w:asciiTheme="minorHAnsi" w:hAnsiTheme="minorHAnsi" w:cs="Arial"/>
          <w:b/>
          <w:color w:val="1F497D" w:themeColor="text2"/>
          <w:szCs w:val="24"/>
        </w:rPr>
        <w:t xml:space="preserve"> </w:t>
      </w:r>
    </w:p>
    <w:p w:rsidR="00F93322" w:rsidRDefault="00574F97" w:rsidP="002314D8">
      <w:pPr>
        <w:autoSpaceDE w:val="0"/>
        <w:autoSpaceDN w:val="0"/>
        <w:adjustRightInd w:val="0"/>
        <w:spacing w:after="120" w:line="276" w:lineRule="auto"/>
        <w:jc w:val="both"/>
        <w:rPr>
          <w:rFonts w:asciiTheme="minorHAnsi" w:hAnsiTheme="minorHAnsi"/>
          <w:sz w:val="22"/>
          <w:szCs w:val="22"/>
        </w:rPr>
      </w:pPr>
      <w:r w:rsidRPr="00F93322">
        <w:rPr>
          <w:rFonts w:asciiTheme="minorHAnsi" w:hAnsiTheme="minorHAnsi"/>
          <w:sz w:val="22"/>
          <w:szCs w:val="22"/>
        </w:rPr>
        <w:t>In 201</w:t>
      </w:r>
      <w:r w:rsidR="00F93322" w:rsidRPr="00F93322">
        <w:rPr>
          <w:rFonts w:asciiTheme="minorHAnsi" w:hAnsiTheme="minorHAnsi"/>
          <w:sz w:val="22"/>
          <w:szCs w:val="22"/>
        </w:rPr>
        <w:t>1</w:t>
      </w:r>
      <w:r w:rsidRPr="00F93322">
        <w:rPr>
          <w:rFonts w:asciiTheme="minorHAnsi" w:hAnsiTheme="minorHAnsi"/>
          <w:sz w:val="22"/>
          <w:szCs w:val="22"/>
        </w:rPr>
        <w:t xml:space="preserve"> the total ODA to agriculture, forestry and fishing (AFF) in Africa from the DAC members was just over</w:t>
      </w:r>
      <w:r w:rsidRPr="00F93322">
        <w:rPr>
          <w:rFonts w:asciiTheme="minorHAnsi" w:hAnsiTheme="minorHAnsi"/>
          <w:b/>
          <w:sz w:val="22"/>
          <w:szCs w:val="22"/>
        </w:rPr>
        <w:t xml:space="preserve"> USD 2 </w:t>
      </w:r>
      <w:r w:rsidRPr="00533127">
        <w:rPr>
          <w:rFonts w:asciiTheme="minorHAnsi" w:hAnsiTheme="minorHAnsi"/>
          <w:b/>
          <w:sz w:val="22"/>
          <w:szCs w:val="22"/>
        </w:rPr>
        <w:t>billion</w:t>
      </w:r>
      <w:r w:rsidRPr="00533127">
        <w:rPr>
          <w:rFonts w:asciiTheme="minorHAnsi" w:hAnsiTheme="minorHAnsi"/>
          <w:sz w:val="22"/>
          <w:szCs w:val="22"/>
        </w:rPr>
        <w:t xml:space="preserve"> – over a third (</w:t>
      </w:r>
      <w:r w:rsidR="00533127" w:rsidRPr="00533127">
        <w:rPr>
          <w:rFonts w:asciiTheme="minorHAnsi" w:hAnsiTheme="minorHAnsi"/>
          <w:sz w:val="22"/>
          <w:szCs w:val="22"/>
        </w:rPr>
        <w:t>37</w:t>
      </w:r>
      <w:r w:rsidRPr="00533127">
        <w:rPr>
          <w:rFonts w:asciiTheme="minorHAnsi" w:hAnsiTheme="minorHAnsi"/>
          <w:sz w:val="22"/>
          <w:szCs w:val="22"/>
        </w:rPr>
        <w:t xml:space="preserve">%) of the total ODA of USD </w:t>
      </w:r>
      <w:r w:rsidR="00533127" w:rsidRPr="00533127">
        <w:rPr>
          <w:rFonts w:asciiTheme="minorHAnsi" w:hAnsiTheme="minorHAnsi"/>
          <w:sz w:val="22"/>
          <w:szCs w:val="22"/>
        </w:rPr>
        <w:t>5.4</w:t>
      </w:r>
      <w:r w:rsidRPr="00533127">
        <w:rPr>
          <w:rFonts w:asciiTheme="minorHAnsi" w:hAnsiTheme="minorHAnsi"/>
          <w:sz w:val="22"/>
          <w:szCs w:val="22"/>
        </w:rPr>
        <w:t xml:space="preserve"> billion </w:t>
      </w:r>
      <w:r w:rsidRPr="001A6CA0">
        <w:rPr>
          <w:rFonts w:asciiTheme="minorHAnsi" w:hAnsiTheme="minorHAnsi"/>
          <w:sz w:val="22"/>
          <w:szCs w:val="22"/>
        </w:rPr>
        <w:t xml:space="preserve">that DAC members spent on AFF worldwide and </w:t>
      </w:r>
      <w:r w:rsidR="001A6CA0" w:rsidRPr="001A6CA0">
        <w:rPr>
          <w:rFonts w:asciiTheme="minorHAnsi" w:hAnsiTheme="minorHAnsi"/>
          <w:sz w:val="22"/>
          <w:szCs w:val="22"/>
        </w:rPr>
        <w:t>1.9</w:t>
      </w:r>
      <w:r w:rsidRPr="001A6CA0">
        <w:rPr>
          <w:rFonts w:asciiTheme="minorHAnsi" w:hAnsiTheme="minorHAnsi"/>
          <w:sz w:val="22"/>
          <w:szCs w:val="22"/>
        </w:rPr>
        <w:t xml:space="preserve">% of the total DAC members’ ODA of USD </w:t>
      </w:r>
      <w:r w:rsidR="001A6CA0" w:rsidRPr="001A6CA0">
        <w:rPr>
          <w:rFonts w:asciiTheme="minorHAnsi" w:hAnsiTheme="minorHAnsi"/>
          <w:sz w:val="22"/>
          <w:szCs w:val="22"/>
        </w:rPr>
        <w:t>106</w:t>
      </w:r>
      <w:r w:rsidRPr="001A6CA0">
        <w:rPr>
          <w:rFonts w:asciiTheme="minorHAnsi" w:hAnsiTheme="minorHAnsi"/>
          <w:sz w:val="22"/>
          <w:szCs w:val="22"/>
        </w:rPr>
        <w:t xml:space="preserve"> billion in 201</w:t>
      </w:r>
      <w:r w:rsidR="001A6CA0" w:rsidRPr="001A6CA0">
        <w:rPr>
          <w:rFonts w:asciiTheme="minorHAnsi" w:hAnsiTheme="minorHAnsi"/>
          <w:sz w:val="22"/>
          <w:szCs w:val="22"/>
        </w:rPr>
        <w:t>1</w:t>
      </w:r>
      <w:r w:rsidRPr="001A6CA0">
        <w:rPr>
          <w:rFonts w:asciiTheme="minorHAnsi" w:hAnsiTheme="minorHAnsi"/>
          <w:sz w:val="22"/>
          <w:szCs w:val="22"/>
        </w:rPr>
        <w:t>.</w:t>
      </w:r>
      <w:r w:rsidRPr="008744CB">
        <w:rPr>
          <w:rFonts w:asciiTheme="minorHAnsi" w:hAnsiTheme="minorHAnsi"/>
          <w:sz w:val="22"/>
          <w:szCs w:val="22"/>
        </w:rPr>
        <w:t xml:space="preserve">  </w:t>
      </w:r>
    </w:p>
    <w:p w:rsidR="003F6C09" w:rsidRDefault="003F6C09" w:rsidP="002314D8">
      <w:pPr>
        <w:autoSpaceDE w:val="0"/>
        <w:autoSpaceDN w:val="0"/>
        <w:adjustRightInd w:val="0"/>
        <w:spacing w:after="120" w:line="276" w:lineRule="auto"/>
        <w:jc w:val="both"/>
        <w:rPr>
          <w:rFonts w:asciiTheme="minorHAnsi" w:hAnsiTheme="minorHAnsi" w:cs="Arial"/>
          <w:sz w:val="22"/>
          <w:szCs w:val="22"/>
        </w:rPr>
      </w:pPr>
      <w:r w:rsidRPr="008744CB">
        <w:rPr>
          <w:rFonts w:asciiTheme="minorHAnsi" w:hAnsiTheme="minorHAnsi" w:cs="Arial"/>
          <w:sz w:val="22"/>
          <w:szCs w:val="22"/>
        </w:rPr>
        <w:t xml:space="preserve">The principal bilateral donors who committed money to African agriculture during </w:t>
      </w:r>
      <w:r w:rsidR="00F4133D">
        <w:rPr>
          <w:rFonts w:asciiTheme="minorHAnsi" w:hAnsiTheme="minorHAnsi" w:cs="Arial"/>
          <w:sz w:val="22"/>
          <w:szCs w:val="22"/>
        </w:rPr>
        <w:t>201</w:t>
      </w:r>
      <w:r w:rsidR="003A633C">
        <w:rPr>
          <w:rFonts w:asciiTheme="minorHAnsi" w:hAnsiTheme="minorHAnsi" w:cs="Arial"/>
          <w:sz w:val="22"/>
          <w:szCs w:val="22"/>
        </w:rPr>
        <w:t>1</w:t>
      </w:r>
      <w:r w:rsidR="00F4133D">
        <w:rPr>
          <w:rFonts w:asciiTheme="minorHAnsi" w:hAnsiTheme="minorHAnsi" w:cs="Arial"/>
          <w:sz w:val="22"/>
          <w:szCs w:val="22"/>
        </w:rPr>
        <w:t xml:space="preserve"> (the most recent data) were</w:t>
      </w:r>
      <w:r w:rsidRPr="008744CB">
        <w:rPr>
          <w:rFonts w:asciiTheme="minorHAnsi" w:hAnsiTheme="minorHAnsi" w:cs="Arial"/>
          <w:sz w:val="22"/>
          <w:szCs w:val="22"/>
        </w:rPr>
        <w:t>:</w:t>
      </w:r>
      <w:r w:rsidR="00F4133D">
        <w:rPr>
          <w:rFonts w:asciiTheme="minorHAnsi" w:hAnsiTheme="minorHAnsi" w:cs="Arial"/>
          <w:sz w:val="22"/>
          <w:szCs w:val="22"/>
        </w:rPr>
        <w:t xml:space="preserve"> the</w:t>
      </w:r>
      <w:r w:rsidRPr="008744CB">
        <w:rPr>
          <w:rFonts w:asciiTheme="minorHAnsi" w:hAnsiTheme="minorHAnsi" w:cs="Arial"/>
          <w:sz w:val="22"/>
          <w:szCs w:val="22"/>
        </w:rPr>
        <w:t xml:space="preserve"> United States (USD</w:t>
      </w:r>
      <w:r w:rsidR="003A633C">
        <w:rPr>
          <w:rFonts w:asciiTheme="minorHAnsi" w:hAnsiTheme="minorHAnsi" w:cs="Arial"/>
          <w:sz w:val="22"/>
          <w:szCs w:val="22"/>
        </w:rPr>
        <w:t xml:space="preserve"> 509</w:t>
      </w:r>
      <w:r w:rsidRPr="008744CB">
        <w:rPr>
          <w:rFonts w:asciiTheme="minorHAnsi" w:hAnsiTheme="minorHAnsi" w:cs="Arial"/>
          <w:sz w:val="22"/>
          <w:szCs w:val="22"/>
        </w:rPr>
        <w:t xml:space="preserve"> million), Germany (USD 2</w:t>
      </w:r>
      <w:r w:rsidR="003A633C">
        <w:rPr>
          <w:rFonts w:asciiTheme="minorHAnsi" w:hAnsiTheme="minorHAnsi" w:cs="Arial"/>
          <w:sz w:val="22"/>
          <w:szCs w:val="22"/>
        </w:rPr>
        <w:t>96</w:t>
      </w:r>
      <w:r w:rsidRPr="008744CB">
        <w:rPr>
          <w:rFonts w:asciiTheme="minorHAnsi" w:hAnsiTheme="minorHAnsi" w:cs="Arial"/>
          <w:sz w:val="22"/>
          <w:szCs w:val="22"/>
        </w:rPr>
        <w:t xml:space="preserve"> million), </w:t>
      </w:r>
      <w:r w:rsidR="003A633C" w:rsidRPr="008744CB">
        <w:rPr>
          <w:rFonts w:asciiTheme="minorHAnsi" w:hAnsiTheme="minorHAnsi" w:cs="Arial"/>
          <w:sz w:val="22"/>
          <w:szCs w:val="22"/>
        </w:rPr>
        <w:t>Belgium (USD</w:t>
      </w:r>
      <w:r w:rsidR="003A633C">
        <w:rPr>
          <w:rFonts w:asciiTheme="minorHAnsi" w:hAnsiTheme="minorHAnsi" w:cs="Arial"/>
          <w:sz w:val="22"/>
          <w:szCs w:val="22"/>
        </w:rPr>
        <w:t xml:space="preserve"> 162</w:t>
      </w:r>
      <w:r w:rsidR="003A633C" w:rsidRPr="008744CB">
        <w:rPr>
          <w:rFonts w:asciiTheme="minorHAnsi" w:hAnsiTheme="minorHAnsi" w:cs="Arial"/>
          <w:sz w:val="22"/>
          <w:szCs w:val="22"/>
        </w:rPr>
        <w:t xml:space="preserve"> million)</w:t>
      </w:r>
      <w:r w:rsidR="003A633C">
        <w:rPr>
          <w:rFonts w:asciiTheme="minorHAnsi" w:hAnsiTheme="minorHAnsi" w:cs="Arial"/>
          <w:sz w:val="22"/>
          <w:szCs w:val="22"/>
        </w:rPr>
        <w:t xml:space="preserve">, and </w:t>
      </w:r>
      <w:r w:rsidR="003A633C" w:rsidRPr="008744CB">
        <w:rPr>
          <w:rFonts w:asciiTheme="minorHAnsi" w:hAnsiTheme="minorHAnsi" w:cs="Arial"/>
          <w:sz w:val="22"/>
          <w:szCs w:val="22"/>
        </w:rPr>
        <w:t xml:space="preserve">Canada (USD </w:t>
      </w:r>
      <w:r w:rsidR="003A633C">
        <w:rPr>
          <w:rFonts w:asciiTheme="minorHAnsi" w:hAnsiTheme="minorHAnsi" w:cs="Arial"/>
          <w:sz w:val="22"/>
          <w:szCs w:val="22"/>
        </w:rPr>
        <w:t>158</w:t>
      </w:r>
      <w:r w:rsidR="003A633C" w:rsidRPr="008744CB">
        <w:rPr>
          <w:rFonts w:asciiTheme="minorHAnsi" w:hAnsiTheme="minorHAnsi" w:cs="Arial"/>
          <w:sz w:val="22"/>
          <w:szCs w:val="22"/>
        </w:rPr>
        <w:t xml:space="preserve"> million)</w:t>
      </w:r>
      <w:r w:rsidR="00574F97">
        <w:rPr>
          <w:rFonts w:asciiTheme="minorHAnsi" w:hAnsiTheme="minorHAnsi" w:cs="Arial"/>
          <w:sz w:val="22"/>
          <w:szCs w:val="22"/>
        </w:rPr>
        <w:t xml:space="preserve">, as shown in Figure </w:t>
      </w:r>
      <w:r w:rsidR="0045510A">
        <w:rPr>
          <w:rFonts w:asciiTheme="minorHAnsi" w:hAnsiTheme="minorHAnsi" w:cs="Arial"/>
          <w:sz w:val="22"/>
          <w:szCs w:val="22"/>
        </w:rPr>
        <w:t>6</w:t>
      </w:r>
      <w:r w:rsidR="00574F97">
        <w:rPr>
          <w:rFonts w:asciiTheme="minorHAnsi" w:hAnsiTheme="minorHAnsi" w:cs="Arial"/>
          <w:sz w:val="22"/>
          <w:szCs w:val="22"/>
        </w:rPr>
        <w:t xml:space="preserve"> below</w:t>
      </w:r>
      <w:r w:rsidR="003A633C">
        <w:rPr>
          <w:rFonts w:asciiTheme="minorHAnsi" w:hAnsiTheme="minorHAnsi" w:cs="Arial"/>
          <w:sz w:val="22"/>
          <w:szCs w:val="22"/>
        </w:rPr>
        <w:t>.</w:t>
      </w:r>
    </w:p>
    <w:p w:rsidR="00617B23" w:rsidRDefault="00617B23" w:rsidP="0045510A">
      <w:pPr>
        <w:spacing w:after="120" w:line="276" w:lineRule="auto"/>
        <w:jc w:val="both"/>
        <w:rPr>
          <w:rFonts w:asciiTheme="minorHAnsi" w:hAnsiTheme="minorHAnsi" w:cs="Arial"/>
          <w:b/>
          <w:sz w:val="22"/>
          <w:szCs w:val="22"/>
        </w:rPr>
      </w:pPr>
      <w:r w:rsidRPr="008744CB">
        <w:rPr>
          <w:rFonts w:asciiTheme="minorHAnsi" w:hAnsiTheme="minorHAnsi"/>
          <w:sz w:val="22"/>
          <w:szCs w:val="22"/>
        </w:rPr>
        <w:t xml:space="preserve">However, </w:t>
      </w:r>
      <w:r>
        <w:rPr>
          <w:rFonts w:asciiTheme="minorHAnsi" w:hAnsiTheme="minorHAnsi"/>
          <w:sz w:val="22"/>
          <w:szCs w:val="22"/>
        </w:rPr>
        <w:t xml:space="preserve">in 2011, </w:t>
      </w:r>
      <w:r w:rsidRPr="008744CB">
        <w:rPr>
          <w:rFonts w:asciiTheme="minorHAnsi" w:hAnsiTheme="minorHAnsi"/>
          <w:sz w:val="22"/>
          <w:szCs w:val="22"/>
        </w:rPr>
        <w:t>the most generous donors to agriculture, forestry and fishing</w:t>
      </w:r>
      <w:r>
        <w:rPr>
          <w:rFonts w:asciiTheme="minorHAnsi" w:hAnsiTheme="minorHAnsi"/>
          <w:sz w:val="22"/>
          <w:szCs w:val="22"/>
        </w:rPr>
        <w:t xml:space="preserve"> (AFF)</w:t>
      </w:r>
      <w:r w:rsidRPr="008744CB">
        <w:rPr>
          <w:rFonts w:asciiTheme="minorHAnsi" w:hAnsiTheme="minorHAnsi"/>
          <w:sz w:val="22"/>
          <w:szCs w:val="22"/>
        </w:rPr>
        <w:t xml:space="preserve"> in Africa </w:t>
      </w:r>
      <w:r>
        <w:rPr>
          <w:rFonts w:asciiTheme="minorHAnsi" w:hAnsiTheme="minorHAnsi"/>
          <w:sz w:val="22"/>
          <w:szCs w:val="22"/>
        </w:rPr>
        <w:t xml:space="preserve">as a </w:t>
      </w:r>
      <w:r w:rsidRPr="009D5A3E">
        <w:rPr>
          <w:rFonts w:asciiTheme="minorHAnsi" w:hAnsiTheme="minorHAnsi"/>
          <w:i/>
          <w:sz w:val="22"/>
          <w:szCs w:val="22"/>
        </w:rPr>
        <w:t>proportion</w:t>
      </w:r>
      <w:r>
        <w:rPr>
          <w:rFonts w:asciiTheme="minorHAnsi" w:hAnsiTheme="minorHAnsi"/>
          <w:sz w:val="22"/>
          <w:szCs w:val="22"/>
        </w:rPr>
        <w:t xml:space="preserve"> of their total ODA are:  Finland, who committed almost a quarter (23 per cent) of their total ODA in 2011 to African agriculture, forestry and fishing, followed by Korea (21 per cent) and Belgium (17 per cent). </w:t>
      </w:r>
    </w:p>
    <w:p w:rsidR="00EC1CAD" w:rsidRDefault="003F6C09" w:rsidP="003F6C09">
      <w:pPr>
        <w:autoSpaceDE w:val="0"/>
        <w:autoSpaceDN w:val="0"/>
        <w:adjustRightInd w:val="0"/>
        <w:jc w:val="center"/>
        <w:rPr>
          <w:rFonts w:asciiTheme="minorHAnsi" w:hAnsiTheme="minorHAnsi" w:cs="Arial"/>
          <w:b/>
          <w:sz w:val="22"/>
          <w:szCs w:val="22"/>
        </w:rPr>
      </w:pPr>
      <w:r w:rsidRPr="008744CB">
        <w:rPr>
          <w:rFonts w:asciiTheme="minorHAnsi" w:hAnsiTheme="minorHAnsi" w:cs="Arial"/>
          <w:b/>
          <w:sz w:val="22"/>
          <w:szCs w:val="22"/>
        </w:rPr>
        <w:t xml:space="preserve">Figure </w:t>
      </w:r>
      <w:r w:rsidR="0045510A">
        <w:rPr>
          <w:rFonts w:asciiTheme="minorHAnsi" w:hAnsiTheme="minorHAnsi" w:cs="Arial"/>
          <w:b/>
          <w:sz w:val="22"/>
          <w:szCs w:val="22"/>
        </w:rPr>
        <w:t>6</w:t>
      </w:r>
      <w:r w:rsidRPr="008744CB">
        <w:rPr>
          <w:rFonts w:asciiTheme="minorHAnsi" w:hAnsiTheme="minorHAnsi" w:cs="Arial"/>
          <w:b/>
          <w:sz w:val="22"/>
          <w:szCs w:val="22"/>
        </w:rPr>
        <w:t>: Official Development Assistance</w:t>
      </w:r>
      <w:r w:rsidR="00574F97">
        <w:rPr>
          <w:rFonts w:asciiTheme="minorHAnsi" w:hAnsiTheme="minorHAnsi" w:cs="Arial"/>
          <w:b/>
          <w:sz w:val="22"/>
          <w:szCs w:val="22"/>
        </w:rPr>
        <w:t xml:space="preserve"> (ODA)</w:t>
      </w:r>
      <w:r w:rsidRPr="008744CB">
        <w:rPr>
          <w:rFonts w:asciiTheme="minorHAnsi" w:hAnsiTheme="minorHAnsi" w:cs="Arial"/>
          <w:b/>
          <w:sz w:val="22"/>
          <w:szCs w:val="22"/>
        </w:rPr>
        <w:t xml:space="preserve"> </w:t>
      </w:r>
      <w:r w:rsidR="00EC1CAD" w:rsidRPr="008744CB">
        <w:rPr>
          <w:rFonts w:asciiTheme="minorHAnsi" w:hAnsiTheme="minorHAnsi" w:cs="Arial"/>
          <w:b/>
          <w:sz w:val="22"/>
          <w:szCs w:val="22"/>
        </w:rPr>
        <w:t xml:space="preserve">from DAC Countries </w:t>
      </w:r>
    </w:p>
    <w:p w:rsidR="003F6C09" w:rsidRDefault="003F6C09" w:rsidP="003F6C09">
      <w:pPr>
        <w:autoSpaceDE w:val="0"/>
        <w:autoSpaceDN w:val="0"/>
        <w:adjustRightInd w:val="0"/>
        <w:jc w:val="center"/>
        <w:rPr>
          <w:rFonts w:asciiTheme="minorHAnsi" w:hAnsiTheme="minorHAnsi" w:cs="Arial"/>
          <w:b/>
          <w:sz w:val="22"/>
          <w:szCs w:val="22"/>
        </w:rPr>
      </w:pPr>
      <w:r w:rsidRPr="008744CB">
        <w:rPr>
          <w:rFonts w:asciiTheme="minorHAnsi" w:hAnsiTheme="minorHAnsi" w:cs="Arial"/>
          <w:b/>
          <w:sz w:val="22"/>
          <w:szCs w:val="22"/>
        </w:rPr>
        <w:t>to African Agriculture</w:t>
      </w:r>
      <w:r w:rsidR="00EC1CAD">
        <w:rPr>
          <w:rFonts w:asciiTheme="minorHAnsi" w:hAnsiTheme="minorHAnsi" w:cs="Arial"/>
          <w:b/>
          <w:sz w:val="22"/>
          <w:szCs w:val="22"/>
        </w:rPr>
        <w:t>, Forestry and Fishing (AFF)</w:t>
      </w:r>
      <w:r w:rsidRPr="008744CB">
        <w:rPr>
          <w:rFonts w:asciiTheme="minorHAnsi" w:hAnsiTheme="minorHAnsi" w:cs="Arial"/>
          <w:b/>
          <w:sz w:val="22"/>
          <w:szCs w:val="22"/>
        </w:rPr>
        <w:t>, 201</w:t>
      </w:r>
      <w:r w:rsidR="003A633C">
        <w:rPr>
          <w:rFonts w:asciiTheme="minorHAnsi" w:hAnsiTheme="minorHAnsi" w:cs="Arial"/>
          <w:b/>
          <w:sz w:val="22"/>
          <w:szCs w:val="22"/>
        </w:rPr>
        <w:t>1</w:t>
      </w:r>
      <w:r w:rsidRPr="008744CB">
        <w:rPr>
          <w:rFonts w:asciiTheme="minorHAnsi" w:hAnsiTheme="minorHAnsi" w:cs="Arial"/>
          <w:b/>
          <w:sz w:val="22"/>
          <w:szCs w:val="22"/>
        </w:rPr>
        <w:t xml:space="preserve"> in USD millions</w:t>
      </w:r>
      <w:r w:rsidRPr="008744CB">
        <w:rPr>
          <w:rStyle w:val="FootnoteReference"/>
          <w:rFonts w:asciiTheme="minorHAnsi" w:hAnsiTheme="minorHAnsi" w:cs="Arial"/>
          <w:b/>
          <w:sz w:val="22"/>
          <w:szCs w:val="22"/>
        </w:rPr>
        <w:footnoteReference w:id="17"/>
      </w:r>
    </w:p>
    <w:p w:rsidR="00EC1CAD" w:rsidRDefault="00EC1CAD" w:rsidP="003F6C09">
      <w:pPr>
        <w:autoSpaceDE w:val="0"/>
        <w:autoSpaceDN w:val="0"/>
        <w:adjustRightInd w:val="0"/>
        <w:jc w:val="center"/>
        <w:rPr>
          <w:rFonts w:asciiTheme="minorHAnsi" w:hAnsiTheme="minorHAnsi" w:cs="Arial"/>
          <w:b/>
          <w:sz w:val="22"/>
          <w:szCs w:val="22"/>
        </w:rPr>
      </w:pPr>
      <w:r>
        <w:rPr>
          <w:noProof/>
          <w:lang w:val="fr-FR" w:eastAsia="fr-FR"/>
        </w:rPr>
        <w:drawing>
          <wp:inline distT="0" distB="0" distL="0" distR="0">
            <wp:extent cx="5734050" cy="39052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4F97" w:rsidRDefault="00574F97" w:rsidP="003F6C09">
      <w:pPr>
        <w:autoSpaceDE w:val="0"/>
        <w:autoSpaceDN w:val="0"/>
        <w:adjustRightInd w:val="0"/>
        <w:jc w:val="center"/>
        <w:rPr>
          <w:rFonts w:asciiTheme="minorHAnsi" w:hAnsiTheme="minorHAnsi" w:cs="Arial"/>
          <w:b/>
          <w:sz w:val="22"/>
          <w:szCs w:val="22"/>
        </w:rPr>
      </w:pPr>
    </w:p>
    <w:p w:rsidR="00423C3B" w:rsidRDefault="00423C3B" w:rsidP="003F6C09">
      <w:pPr>
        <w:autoSpaceDE w:val="0"/>
        <w:autoSpaceDN w:val="0"/>
        <w:adjustRightInd w:val="0"/>
        <w:rPr>
          <w:rFonts w:asciiTheme="minorHAnsi" w:hAnsiTheme="minorHAnsi" w:cs="Arial"/>
          <w:b/>
          <w:color w:val="1F497D" w:themeColor="text2"/>
        </w:rPr>
      </w:pPr>
    </w:p>
    <w:p w:rsidR="003F6C09" w:rsidRPr="008744CB" w:rsidRDefault="003F6C09" w:rsidP="003F6C09">
      <w:pPr>
        <w:autoSpaceDE w:val="0"/>
        <w:autoSpaceDN w:val="0"/>
        <w:adjustRightInd w:val="0"/>
        <w:rPr>
          <w:rFonts w:asciiTheme="minorHAnsi" w:hAnsiTheme="minorHAnsi" w:cs="Arial"/>
          <w:b/>
          <w:color w:val="1F497D" w:themeColor="text2"/>
        </w:rPr>
      </w:pPr>
      <w:r w:rsidRPr="008744CB">
        <w:rPr>
          <w:rFonts w:asciiTheme="minorHAnsi" w:hAnsiTheme="minorHAnsi" w:cs="Arial"/>
          <w:b/>
          <w:color w:val="1F497D" w:themeColor="text2"/>
        </w:rPr>
        <w:t>2.</w:t>
      </w:r>
      <w:r w:rsidR="004940A8">
        <w:rPr>
          <w:rFonts w:asciiTheme="minorHAnsi" w:hAnsiTheme="minorHAnsi" w:cs="Arial"/>
          <w:b/>
          <w:color w:val="1F497D" w:themeColor="text2"/>
        </w:rPr>
        <w:t>2</w:t>
      </w:r>
      <w:r w:rsidRPr="008744CB">
        <w:rPr>
          <w:rFonts w:asciiTheme="minorHAnsi" w:hAnsiTheme="minorHAnsi" w:cs="Arial"/>
          <w:b/>
          <w:color w:val="1F497D" w:themeColor="text2"/>
        </w:rPr>
        <w:t xml:space="preserve">.2 </w:t>
      </w:r>
      <w:r w:rsidRPr="008744CB">
        <w:rPr>
          <w:rFonts w:asciiTheme="minorHAnsi" w:hAnsiTheme="minorHAnsi" w:cs="Arial"/>
          <w:b/>
          <w:color w:val="1F497D" w:themeColor="text2"/>
        </w:rPr>
        <w:tab/>
        <w:t>Key African recipients of bilateral ODA</w:t>
      </w:r>
    </w:p>
    <w:p w:rsidR="00D91438" w:rsidRPr="008744CB" w:rsidRDefault="00D91438" w:rsidP="00D91438">
      <w:pPr>
        <w:autoSpaceDE w:val="0"/>
        <w:autoSpaceDN w:val="0"/>
        <w:adjustRightInd w:val="0"/>
        <w:spacing w:after="120" w:line="276" w:lineRule="auto"/>
        <w:contextualSpacing/>
        <w:jc w:val="both"/>
        <w:rPr>
          <w:rFonts w:asciiTheme="minorHAnsi" w:hAnsiTheme="minorHAnsi" w:cs="Arial"/>
          <w:sz w:val="22"/>
          <w:szCs w:val="22"/>
        </w:rPr>
      </w:pPr>
      <w:r w:rsidRPr="008744CB">
        <w:rPr>
          <w:rFonts w:asciiTheme="minorHAnsi" w:hAnsiTheme="minorHAnsi" w:cs="Arial"/>
          <w:sz w:val="22"/>
          <w:szCs w:val="22"/>
        </w:rPr>
        <w:t>In 201</w:t>
      </w:r>
      <w:r>
        <w:rPr>
          <w:rFonts w:asciiTheme="minorHAnsi" w:hAnsiTheme="minorHAnsi" w:cs="Arial"/>
          <w:sz w:val="22"/>
          <w:szCs w:val="22"/>
        </w:rPr>
        <w:t>1</w:t>
      </w:r>
      <w:r w:rsidRPr="008744CB">
        <w:rPr>
          <w:rFonts w:asciiTheme="minorHAnsi" w:hAnsiTheme="minorHAnsi" w:cs="Arial"/>
          <w:sz w:val="22"/>
          <w:szCs w:val="22"/>
        </w:rPr>
        <w:t xml:space="preserve">, the top ten recipients of this bilateral ODA to agriculture, forestry and fishing in Africa are shown in Table </w:t>
      </w:r>
      <w:r w:rsidR="00176D93">
        <w:rPr>
          <w:rFonts w:asciiTheme="minorHAnsi" w:hAnsiTheme="minorHAnsi" w:cs="Arial"/>
          <w:sz w:val="22"/>
          <w:szCs w:val="22"/>
        </w:rPr>
        <w:t>1</w:t>
      </w:r>
      <w:r w:rsidRPr="008744CB">
        <w:rPr>
          <w:rFonts w:asciiTheme="minorHAnsi" w:hAnsiTheme="minorHAnsi" w:cs="Arial"/>
          <w:sz w:val="22"/>
          <w:szCs w:val="22"/>
        </w:rPr>
        <w:t xml:space="preserve"> and include:</w:t>
      </w:r>
    </w:p>
    <w:p w:rsidR="00D91438" w:rsidRPr="008744CB" w:rsidRDefault="00D91438" w:rsidP="00D91438">
      <w:pPr>
        <w:pStyle w:val="ListParagraph"/>
        <w:numPr>
          <w:ilvl w:val="0"/>
          <w:numId w:val="8"/>
        </w:numPr>
        <w:autoSpaceDE w:val="0"/>
        <w:autoSpaceDN w:val="0"/>
        <w:adjustRightInd w:val="0"/>
        <w:spacing w:after="120"/>
        <w:jc w:val="both"/>
        <w:rPr>
          <w:rFonts w:eastAsia="Times New Roman" w:cs="Arial"/>
          <w:b/>
          <w:bCs/>
          <w:color w:val="1F497D" w:themeColor="text2"/>
          <w:lang w:eastAsia="en-GB"/>
        </w:rPr>
      </w:pPr>
      <w:r w:rsidRPr="00CC7839">
        <w:rPr>
          <w:rFonts w:cs="Arial"/>
          <w:b/>
        </w:rPr>
        <w:t>Tanzania</w:t>
      </w:r>
      <w:r w:rsidRPr="008744CB">
        <w:rPr>
          <w:rFonts w:cs="Arial"/>
        </w:rPr>
        <w:t xml:space="preserve">: USD </w:t>
      </w:r>
      <w:r>
        <w:rPr>
          <w:rFonts w:cs="Arial"/>
        </w:rPr>
        <w:t>172</w:t>
      </w:r>
      <w:r w:rsidRPr="008744CB">
        <w:rPr>
          <w:rFonts w:cs="Arial"/>
        </w:rPr>
        <w:t xml:space="preserve"> million, of </w:t>
      </w:r>
      <w:r w:rsidRPr="00CC7839">
        <w:rPr>
          <w:rFonts w:cs="Arial"/>
        </w:rPr>
        <w:t xml:space="preserve">which USD </w:t>
      </w:r>
      <w:r w:rsidR="00CC7839" w:rsidRPr="00CC7839">
        <w:rPr>
          <w:rFonts w:cs="Arial"/>
        </w:rPr>
        <w:t>50.3</w:t>
      </w:r>
      <w:r w:rsidRPr="00CC7839">
        <w:rPr>
          <w:rFonts w:cs="Arial"/>
        </w:rPr>
        <w:t xml:space="preserve"> million (</w:t>
      </w:r>
      <w:r w:rsidR="00CC7839" w:rsidRPr="00CC7839">
        <w:rPr>
          <w:rFonts w:cs="Arial"/>
        </w:rPr>
        <w:t>29</w:t>
      </w:r>
      <w:r w:rsidRPr="00CC7839">
        <w:rPr>
          <w:rFonts w:cs="Arial"/>
        </w:rPr>
        <w:t xml:space="preserve">%) came from </w:t>
      </w:r>
      <w:r w:rsidR="00CC7839" w:rsidRPr="00CC7839">
        <w:rPr>
          <w:rFonts w:cs="Arial"/>
        </w:rPr>
        <w:t>South Korea</w:t>
      </w:r>
      <w:r w:rsidRPr="00CC7839">
        <w:rPr>
          <w:rFonts w:cs="Arial"/>
        </w:rPr>
        <w:t>;</w:t>
      </w:r>
      <w:r w:rsidRPr="008744CB">
        <w:rPr>
          <w:rFonts w:cs="Arial"/>
        </w:rPr>
        <w:t xml:space="preserve"> </w:t>
      </w:r>
    </w:p>
    <w:p w:rsidR="00D91438" w:rsidRPr="008744CB" w:rsidRDefault="00D91438" w:rsidP="00D91438">
      <w:pPr>
        <w:pStyle w:val="ListParagraph"/>
        <w:numPr>
          <w:ilvl w:val="0"/>
          <w:numId w:val="8"/>
        </w:numPr>
        <w:autoSpaceDE w:val="0"/>
        <w:autoSpaceDN w:val="0"/>
        <w:adjustRightInd w:val="0"/>
        <w:spacing w:after="120"/>
        <w:jc w:val="both"/>
        <w:rPr>
          <w:rFonts w:eastAsia="Times New Roman" w:cs="Arial"/>
          <w:b/>
          <w:bCs/>
          <w:color w:val="1F497D" w:themeColor="text2"/>
          <w:lang w:eastAsia="en-GB"/>
        </w:rPr>
      </w:pPr>
      <w:r w:rsidRPr="00CC7839">
        <w:rPr>
          <w:rFonts w:cs="Arial"/>
          <w:b/>
        </w:rPr>
        <w:t>Mali</w:t>
      </w:r>
      <w:r>
        <w:rPr>
          <w:rFonts w:cs="Arial"/>
        </w:rPr>
        <w:t>:</w:t>
      </w:r>
      <w:r w:rsidRPr="008744CB">
        <w:rPr>
          <w:rFonts w:cs="Arial"/>
        </w:rPr>
        <w:t xml:space="preserve"> USD </w:t>
      </w:r>
      <w:r>
        <w:rPr>
          <w:rFonts w:cs="Arial"/>
        </w:rPr>
        <w:t>133.3</w:t>
      </w:r>
      <w:r w:rsidRPr="008744CB">
        <w:rPr>
          <w:rFonts w:cs="Arial"/>
        </w:rPr>
        <w:t xml:space="preserve"> million, of </w:t>
      </w:r>
      <w:r w:rsidRPr="00CC7839">
        <w:rPr>
          <w:rFonts w:cs="Arial"/>
        </w:rPr>
        <w:t xml:space="preserve">which USD </w:t>
      </w:r>
      <w:r w:rsidR="00CC7839" w:rsidRPr="00CC7839">
        <w:rPr>
          <w:rFonts w:cs="Arial"/>
        </w:rPr>
        <w:t>39.9</w:t>
      </w:r>
      <w:r w:rsidRPr="00CC7839">
        <w:rPr>
          <w:rFonts w:cs="Arial"/>
        </w:rPr>
        <w:t xml:space="preserve"> million (</w:t>
      </w:r>
      <w:r w:rsidR="00CC7839" w:rsidRPr="00CC7839">
        <w:rPr>
          <w:rFonts w:cs="Arial"/>
        </w:rPr>
        <w:t>30%) came from the United States</w:t>
      </w:r>
      <w:r w:rsidRPr="00CC7839">
        <w:rPr>
          <w:rFonts w:cs="Arial"/>
        </w:rPr>
        <w:t>; and</w:t>
      </w:r>
    </w:p>
    <w:p w:rsidR="00D91438" w:rsidRPr="008744CB" w:rsidRDefault="00D91438" w:rsidP="00D91438">
      <w:pPr>
        <w:pStyle w:val="ListParagraph"/>
        <w:numPr>
          <w:ilvl w:val="0"/>
          <w:numId w:val="8"/>
        </w:numPr>
        <w:autoSpaceDE w:val="0"/>
        <w:autoSpaceDN w:val="0"/>
        <w:adjustRightInd w:val="0"/>
        <w:spacing w:after="120"/>
        <w:jc w:val="both"/>
        <w:rPr>
          <w:rFonts w:eastAsia="Times New Roman" w:cs="Arial"/>
          <w:b/>
          <w:bCs/>
          <w:color w:val="1F497D" w:themeColor="text2"/>
          <w:lang w:eastAsia="en-GB"/>
        </w:rPr>
      </w:pPr>
      <w:r w:rsidRPr="00CC7839">
        <w:rPr>
          <w:rFonts w:cs="Arial"/>
          <w:b/>
        </w:rPr>
        <w:t>Ethiopia</w:t>
      </w:r>
      <w:r w:rsidRPr="008744CB">
        <w:rPr>
          <w:rFonts w:cs="Arial"/>
        </w:rPr>
        <w:t xml:space="preserve">: USD </w:t>
      </w:r>
      <w:r>
        <w:rPr>
          <w:rFonts w:cs="Arial"/>
        </w:rPr>
        <w:t>108.1</w:t>
      </w:r>
      <w:r w:rsidRPr="008744CB">
        <w:rPr>
          <w:rFonts w:cs="Arial"/>
        </w:rPr>
        <w:t xml:space="preserve"> million, of </w:t>
      </w:r>
      <w:r w:rsidRPr="00CC7839">
        <w:rPr>
          <w:rFonts w:cs="Arial"/>
        </w:rPr>
        <w:t xml:space="preserve">which USD </w:t>
      </w:r>
      <w:r w:rsidR="00CC7839" w:rsidRPr="00CC7839">
        <w:rPr>
          <w:rFonts w:cs="Arial"/>
        </w:rPr>
        <w:t>25.</w:t>
      </w:r>
      <w:r w:rsidR="007E1D51">
        <w:rPr>
          <w:rFonts w:cs="Arial"/>
        </w:rPr>
        <w:t>5</w:t>
      </w:r>
      <w:r w:rsidRPr="00CC7839">
        <w:rPr>
          <w:rFonts w:cs="Arial"/>
        </w:rPr>
        <w:t xml:space="preserve"> million (</w:t>
      </w:r>
      <w:r w:rsidR="00CC7839" w:rsidRPr="00CC7839">
        <w:rPr>
          <w:rFonts w:cs="Arial"/>
        </w:rPr>
        <w:t>24</w:t>
      </w:r>
      <w:r w:rsidRPr="00CC7839">
        <w:rPr>
          <w:rFonts w:cs="Arial"/>
        </w:rPr>
        <w:t xml:space="preserve">%) came from </w:t>
      </w:r>
      <w:r w:rsidR="00CC7839" w:rsidRPr="00CC7839">
        <w:rPr>
          <w:rFonts w:cs="Arial"/>
        </w:rPr>
        <w:t>Germany</w:t>
      </w:r>
      <w:r w:rsidRPr="00CC7839">
        <w:rPr>
          <w:rFonts w:cs="Arial"/>
        </w:rPr>
        <w:t xml:space="preserve">, but with significant amounts from </w:t>
      </w:r>
      <w:r w:rsidR="00CC7839" w:rsidRPr="00CC7839">
        <w:rPr>
          <w:rFonts w:cs="Arial"/>
        </w:rPr>
        <w:t>Canada</w:t>
      </w:r>
      <w:r w:rsidRPr="00CC7839">
        <w:rPr>
          <w:rFonts w:cs="Arial"/>
        </w:rPr>
        <w:t xml:space="preserve"> (USD </w:t>
      </w:r>
      <w:r w:rsidR="00CC7839" w:rsidRPr="00CC7839">
        <w:rPr>
          <w:rFonts w:cs="Arial"/>
        </w:rPr>
        <w:t xml:space="preserve">25.2 million) and the Netherlands (23.8m). </w:t>
      </w:r>
    </w:p>
    <w:p w:rsidR="003F6C09" w:rsidRPr="00CC7839" w:rsidRDefault="00D91438" w:rsidP="00CC7839">
      <w:pPr>
        <w:autoSpaceDE w:val="0"/>
        <w:autoSpaceDN w:val="0"/>
        <w:adjustRightInd w:val="0"/>
        <w:spacing w:after="120" w:line="276" w:lineRule="auto"/>
        <w:contextualSpacing/>
        <w:jc w:val="both"/>
        <w:rPr>
          <w:rFonts w:asciiTheme="minorHAnsi" w:hAnsiTheme="minorHAnsi" w:cs="Arial"/>
          <w:b/>
          <w:bCs/>
          <w:color w:val="1F497D" w:themeColor="text2"/>
          <w:sz w:val="22"/>
          <w:szCs w:val="22"/>
          <w:lang w:eastAsia="en-GB"/>
        </w:rPr>
      </w:pPr>
      <w:r w:rsidRPr="00CC7839">
        <w:rPr>
          <w:rFonts w:asciiTheme="minorHAnsi" w:hAnsiTheme="minorHAnsi" w:cs="Arial"/>
          <w:sz w:val="22"/>
          <w:szCs w:val="22"/>
        </w:rPr>
        <w:lastRenderedPageBreak/>
        <w:t>Previously, i</w:t>
      </w:r>
      <w:r w:rsidR="003F6C09" w:rsidRPr="00CC7839">
        <w:rPr>
          <w:rFonts w:asciiTheme="minorHAnsi" w:hAnsiTheme="minorHAnsi" w:cs="Arial"/>
          <w:sz w:val="22"/>
          <w:szCs w:val="22"/>
        </w:rPr>
        <w:t>n 201</w:t>
      </w:r>
      <w:r w:rsidRPr="00CC7839">
        <w:rPr>
          <w:rFonts w:asciiTheme="minorHAnsi" w:hAnsiTheme="minorHAnsi" w:cs="Arial"/>
          <w:sz w:val="22"/>
          <w:szCs w:val="22"/>
        </w:rPr>
        <w:t>0</w:t>
      </w:r>
      <w:r w:rsidR="003F6C09" w:rsidRPr="00CC7839">
        <w:rPr>
          <w:rFonts w:asciiTheme="minorHAnsi" w:hAnsiTheme="minorHAnsi" w:cs="Arial"/>
          <w:sz w:val="22"/>
          <w:szCs w:val="22"/>
        </w:rPr>
        <w:t xml:space="preserve">, the top ten recipients of this bilateral ODA to agriculture, forestry and fishing in Africa </w:t>
      </w:r>
      <w:r w:rsidR="00CC7839" w:rsidRPr="00CC7839">
        <w:rPr>
          <w:rFonts w:asciiTheme="minorHAnsi" w:hAnsiTheme="minorHAnsi" w:cs="Arial"/>
          <w:sz w:val="22"/>
          <w:szCs w:val="22"/>
        </w:rPr>
        <w:t>were Senegal (</w:t>
      </w:r>
      <w:r w:rsidR="003F6C09" w:rsidRPr="00CC7839">
        <w:rPr>
          <w:rFonts w:asciiTheme="minorHAnsi" w:hAnsiTheme="minorHAnsi" w:cs="Arial"/>
          <w:sz w:val="22"/>
          <w:szCs w:val="22"/>
        </w:rPr>
        <w:t>USD 270.6 million, of which USD 199.9 million (74%) came from the United States</w:t>
      </w:r>
      <w:r w:rsidR="00CC7839" w:rsidRPr="00CC7839">
        <w:rPr>
          <w:rFonts w:asciiTheme="minorHAnsi" w:hAnsiTheme="minorHAnsi" w:cs="Arial"/>
          <w:sz w:val="22"/>
          <w:szCs w:val="22"/>
        </w:rPr>
        <w:t>)</w:t>
      </w:r>
      <w:r w:rsidR="003F6C09" w:rsidRPr="00CC7839">
        <w:rPr>
          <w:rFonts w:asciiTheme="minorHAnsi" w:hAnsiTheme="minorHAnsi" w:cs="Arial"/>
          <w:sz w:val="22"/>
          <w:szCs w:val="22"/>
        </w:rPr>
        <w:t xml:space="preserve">; </w:t>
      </w:r>
      <w:r w:rsidR="00CC7839" w:rsidRPr="00CC7839">
        <w:rPr>
          <w:rFonts w:asciiTheme="minorHAnsi" w:hAnsiTheme="minorHAnsi" w:cs="Arial"/>
          <w:sz w:val="22"/>
          <w:szCs w:val="22"/>
        </w:rPr>
        <w:t>Kenya (</w:t>
      </w:r>
      <w:r w:rsidR="003F6C09" w:rsidRPr="00CC7839">
        <w:rPr>
          <w:rFonts w:asciiTheme="minorHAnsi" w:hAnsiTheme="minorHAnsi" w:cs="Arial"/>
          <w:sz w:val="22"/>
          <w:szCs w:val="22"/>
        </w:rPr>
        <w:t>USD 262.8 million, of which USD 168.4 million (64%) came from Japan</w:t>
      </w:r>
      <w:r w:rsidR="00CC7839" w:rsidRPr="00CC7839">
        <w:rPr>
          <w:rFonts w:asciiTheme="minorHAnsi" w:hAnsiTheme="minorHAnsi" w:cs="Arial"/>
          <w:sz w:val="22"/>
          <w:szCs w:val="22"/>
        </w:rPr>
        <w:t>)</w:t>
      </w:r>
      <w:r w:rsidR="003F6C09" w:rsidRPr="00CC7839">
        <w:rPr>
          <w:rFonts w:asciiTheme="minorHAnsi" w:hAnsiTheme="minorHAnsi" w:cs="Arial"/>
          <w:sz w:val="22"/>
          <w:szCs w:val="22"/>
        </w:rPr>
        <w:t>; and</w:t>
      </w:r>
      <w:r w:rsidR="00CC7839" w:rsidRPr="00CC7839">
        <w:rPr>
          <w:rFonts w:asciiTheme="minorHAnsi" w:hAnsiTheme="minorHAnsi" w:cs="Arial"/>
          <w:sz w:val="22"/>
          <w:szCs w:val="22"/>
        </w:rPr>
        <w:t xml:space="preserve"> </w:t>
      </w:r>
      <w:r w:rsidR="003F6C09" w:rsidRPr="00CC7839">
        <w:rPr>
          <w:rFonts w:asciiTheme="minorHAnsi" w:hAnsiTheme="minorHAnsi" w:cs="Arial"/>
          <w:sz w:val="22"/>
          <w:szCs w:val="22"/>
        </w:rPr>
        <w:t>Ethiopia</w:t>
      </w:r>
      <w:r w:rsidR="00CC7839" w:rsidRPr="00CC7839">
        <w:rPr>
          <w:rFonts w:asciiTheme="minorHAnsi" w:hAnsiTheme="minorHAnsi" w:cs="Arial"/>
          <w:sz w:val="22"/>
          <w:szCs w:val="22"/>
        </w:rPr>
        <w:t xml:space="preserve"> (</w:t>
      </w:r>
      <w:r w:rsidR="003F6C09" w:rsidRPr="00CC7839">
        <w:rPr>
          <w:rFonts w:asciiTheme="minorHAnsi" w:hAnsiTheme="minorHAnsi" w:cs="Arial"/>
          <w:sz w:val="22"/>
          <w:szCs w:val="22"/>
        </w:rPr>
        <w:t>USD 177.6 million, of which USD 61.5 million (35%) came from Canada, but with significant amounts from the United States (USD 29.1 million), Japan (USD 26.7 million) and Germany (24.2 million)</w:t>
      </w:r>
      <w:r w:rsidR="00CC7839" w:rsidRPr="00CC7839">
        <w:rPr>
          <w:rFonts w:asciiTheme="minorHAnsi" w:hAnsiTheme="minorHAnsi" w:cs="Arial"/>
          <w:sz w:val="22"/>
          <w:szCs w:val="22"/>
        </w:rPr>
        <w:t>)</w:t>
      </w:r>
      <w:r w:rsidR="003F6C09" w:rsidRPr="00CC7839">
        <w:rPr>
          <w:rFonts w:asciiTheme="minorHAnsi" w:hAnsiTheme="minorHAnsi" w:cs="Arial"/>
          <w:sz w:val="22"/>
          <w:szCs w:val="22"/>
        </w:rPr>
        <w:t xml:space="preserve">. </w:t>
      </w:r>
    </w:p>
    <w:p w:rsidR="00423C3B" w:rsidRDefault="00423C3B">
      <w:pPr>
        <w:rPr>
          <w:rFonts w:asciiTheme="minorHAnsi" w:hAnsiTheme="minorHAnsi" w:cs="Arial"/>
          <w:b/>
        </w:rPr>
      </w:pPr>
    </w:p>
    <w:p w:rsidR="00D91438" w:rsidRPr="00CC7839" w:rsidRDefault="00D91438" w:rsidP="0045510A">
      <w:pPr>
        <w:jc w:val="center"/>
        <w:rPr>
          <w:rFonts w:asciiTheme="minorHAnsi" w:hAnsiTheme="minorHAnsi" w:cs="Arial"/>
          <w:b/>
          <w:sz w:val="22"/>
          <w:szCs w:val="22"/>
        </w:rPr>
      </w:pPr>
      <w:r w:rsidRPr="00CC7839">
        <w:rPr>
          <w:rFonts w:asciiTheme="minorHAnsi" w:hAnsiTheme="minorHAnsi" w:cs="Arial"/>
          <w:b/>
          <w:sz w:val="22"/>
          <w:szCs w:val="22"/>
        </w:rPr>
        <w:t xml:space="preserve">Table </w:t>
      </w:r>
      <w:r w:rsidR="00176D93">
        <w:rPr>
          <w:rFonts w:asciiTheme="minorHAnsi" w:hAnsiTheme="minorHAnsi" w:cs="Arial"/>
          <w:b/>
          <w:sz w:val="22"/>
          <w:szCs w:val="22"/>
        </w:rPr>
        <w:t>1</w:t>
      </w:r>
      <w:r w:rsidRPr="00CC7839">
        <w:rPr>
          <w:rFonts w:asciiTheme="minorHAnsi" w:hAnsiTheme="minorHAnsi" w:cs="Arial"/>
          <w:b/>
          <w:sz w:val="22"/>
          <w:szCs w:val="22"/>
        </w:rPr>
        <w:t>. Main recipients of DAC members’ bilateral ODA to</w:t>
      </w:r>
    </w:p>
    <w:p w:rsidR="00D91438" w:rsidRPr="00CC7839" w:rsidRDefault="00D91438" w:rsidP="00D91438">
      <w:pPr>
        <w:jc w:val="center"/>
        <w:rPr>
          <w:rFonts w:asciiTheme="minorHAnsi" w:hAnsiTheme="minorHAnsi" w:cs="Arial"/>
          <w:sz w:val="22"/>
          <w:szCs w:val="22"/>
        </w:rPr>
      </w:pPr>
      <w:r w:rsidRPr="00CC7839">
        <w:rPr>
          <w:rFonts w:asciiTheme="minorHAnsi" w:hAnsiTheme="minorHAnsi" w:cs="Arial"/>
          <w:b/>
          <w:sz w:val="22"/>
          <w:szCs w:val="22"/>
        </w:rPr>
        <w:t>Agriculture, Forestry and Fishing sector in Africa</w:t>
      </w:r>
      <w:r w:rsidRPr="00CC7839">
        <w:rPr>
          <w:rStyle w:val="FootnoteReference"/>
          <w:rFonts w:asciiTheme="minorHAnsi" w:hAnsiTheme="minorHAnsi" w:cs="Arial"/>
          <w:sz w:val="22"/>
          <w:szCs w:val="22"/>
        </w:rPr>
        <w:footnoteReference w:id="18"/>
      </w:r>
    </w:p>
    <w:p w:rsidR="00D91438" w:rsidRPr="00CC7839" w:rsidRDefault="00D91438" w:rsidP="00D91438">
      <w:pPr>
        <w:jc w:val="center"/>
        <w:rPr>
          <w:rFonts w:asciiTheme="minorHAnsi" w:hAnsiTheme="minorHAnsi" w:cs="Arial"/>
          <w:sz w:val="22"/>
          <w:szCs w:val="22"/>
        </w:rPr>
      </w:pPr>
      <w:r w:rsidRPr="00CC7839">
        <w:rPr>
          <w:rFonts w:asciiTheme="minorHAnsi" w:hAnsiTheme="minorHAnsi" w:cs="Arial"/>
          <w:sz w:val="22"/>
          <w:szCs w:val="22"/>
        </w:rPr>
        <w:t>(2011 commitments in millions of USD)</w:t>
      </w:r>
    </w:p>
    <w:tbl>
      <w:tblPr>
        <w:tblStyle w:val="LightShading-Accent1"/>
        <w:tblW w:w="0" w:type="auto"/>
        <w:tblLook w:val="04A0"/>
      </w:tblPr>
      <w:tblGrid>
        <w:gridCol w:w="1848"/>
        <w:gridCol w:w="1662"/>
        <w:gridCol w:w="1843"/>
        <w:gridCol w:w="1843"/>
        <w:gridCol w:w="2046"/>
      </w:tblGrid>
      <w:tr w:rsidR="008C0D90" w:rsidTr="00CC7839">
        <w:trPr>
          <w:cnfStyle w:val="100000000000"/>
        </w:trPr>
        <w:tc>
          <w:tcPr>
            <w:cnfStyle w:val="001000000000"/>
            <w:tcW w:w="1848" w:type="dxa"/>
          </w:tcPr>
          <w:p w:rsidR="008C0D90" w:rsidRPr="008C0D90" w:rsidRDefault="008C0D90" w:rsidP="00D91438">
            <w:pPr>
              <w:jc w:val="center"/>
              <w:rPr>
                <w:rFonts w:asciiTheme="minorHAnsi" w:hAnsiTheme="minorHAnsi" w:cs="Arial"/>
                <w:sz w:val="20"/>
              </w:rPr>
            </w:pPr>
            <w:r w:rsidRPr="008C0D90">
              <w:rPr>
                <w:rFonts w:asciiTheme="minorHAnsi" w:hAnsiTheme="minorHAnsi" w:cs="Arial"/>
                <w:sz w:val="20"/>
              </w:rPr>
              <w:t>Country</w:t>
            </w:r>
          </w:p>
        </w:tc>
        <w:tc>
          <w:tcPr>
            <w:tcW w:w="1662" w:type="dxa"/>
          </w:tcPr>
          <w:p w:rsidR="008C0D90" w:rsidRDefault="008C0D90" w:rsidP="00D91438">
            <w:pPr>
              <w:jc w:val="center"/>
              <w:cnfStyle w:val="100000000000"/>
              <w:rPr>
                <w:rFonts w:asciiTheme="minorHAnsi" w:hAnsiTheme="minorHAnsi" w:cs="Arial"/>
                <w:sz w:val="20"/>
              </w:rPr>
            </w:pPr>
            <w:r w:rsidRPr="008C0D90">
              <w:rPr>
                <w:rFonts w:asciiTheme="minorHAnsi" w:hAnsiTheme="minorHAnsi" w:cs="Arial"/>
                <w:sz w:val="20"/>
              </w:rPr>
              <w:t>Total ODA AFF commitments</w:t>
            </w:r>
          </w:p>
          <w:p w:rsidR="008C0D90" w:rsidRPr="008C0D90" w:rsidRDefault="008C0D90" w:rsidP="00D91438">
            <w:pPr>
              <w:jc w:val="center"/>
              <w:cnfStyle w:val="100000000000"/>
              <w:rPr>
                <w:rFonts w:asciiTheme="minorHAnsi" w:hAnsiTheme="minorHAnsi" w:cs="Arial"/>
                <w:sz w:val="20"/>
              </w:rPr>
            </w:pPr>
            <w:r>
              <w:rPr>
                <w:rFonts w:asciiTheme="minorHAnsi" w:hAnsiTheme="minorHAnsi" w:cs="Arial"/>
                <w:sz w:val="20"/>
              </w:rPr>
              <w:t>(USD millions)</w:t>
            </w:r>
          </w:p>
        </w:tc>
        <w:tc>
          <w:tcPr>
            <w:tcW w:w="1843" w:type="dxa"/>
          </w:tcPr>
          <w:p w:rsidR="008C0D90" w:rsidRPr="008C0D90" w:rsidRDefault="008C0D90" w:rsidP="00D91438">
            <w:pPr>
              <w:jc w:val="center"/>
              <w:cnfStyle w:val="100000000000"/>
              <w:rPr>
                <w:rFonts w:asciiTheme="minorHAnsi" w:hAnsiTheme="minorHAnsi" w:cs="Arial"/>
                <w:sz w:val="20"/>
              </w:rPr>
            </w:pPr>
            <w:r w:rsidRPr="008C0D90">
              <w:rPr>
                <w:rFonts w:asciiTheme="minorHAnsi" w:hAnsiTheme="minorHAnsi" w:cs="Arial"/>
                <w:sz w:val="20"/>
              </w:rPr>
              <w:t>1</w:t>
            </w:r>
            <w:r w:rsidRPr="008C0D90">
              <w:rPr>
                <w:rFonts w:asciiTheme="minorHAnsi" w:hAnsiTheme="minorHAnsi" w:cs="Arial"/>
                <w:sz w:val="20"/>
                <w:vertAlign w:val="superscript"/>
              </w:rPr>
              <w:t>st</w:t>
            </w:r>
            <w:r w:rsidRPr="008C0D90">
              <w:rPr>
                <w:rFonts w:asciiTheme="minorHAnsi" w:hAnsiTheme="minorHAnsi" w:cs="Arial"/>
                <w:sz w:val="20"/>
              </w:rPr>
              <w:t xml:space="preserve"> largest commitment</w:t>
            </w:r>
          </w:p>
        </w:tc>
        <w:tc>
          <w:tcPr>
            <w:tcW w:w="1843" w:type="dxa"/>
          </w:tcPr>
          <w:p w:rsidR="008C0D90" w:rsidRPr="008C0D90" w:rsidRDefault="008C0D90" w:rsidP="00D91438">
            <w:pPr>
              <w:jc w:val="center"/>
              <w:cnfStyle w:val="100000000000"/>
              <w:rPr>
                <w:rFonts w:asciiTheme="minorHAnsi" w:hAnsiTheme="minorHAnsi" w:cs="Arial"/>
                <w:sz w:val="20"/>
              </w:rPr>
            </w:pPr>
            <w:r w:rsidRPr="008C0D90">
              <w:rPr>
                <w:rFonts w:asciiTheme="minorHAnsi" w:hAnsiTheme="minorHAnsi" w:cs="Arial"/>
                <w:sz w:val="20"/>
              </w:rPr>
              <w:t>2</w:t>
            </w:r>
            <w:r w:rsidRPr="008C0D90">
              <w:rPr>
                <w:rFonts w:asciiTheme="minorHAnsi" w:hAnsiTheme="minorHAnsi" w:cs="Arial"/>
                <w:sz w:val="20"/>
                <w:vertAlign w:val="superscript"/>
              </w:rPr>
              <w:t>nd</w:t>
            </w:r>
            <w:r w:rsidRPr="008C0D90">
              <w:rPr>
                <w:rFonts w:asciiTheme="minorHAnsi" w:hAnsiTheme="minorHAnsi" w:cs="Arial"/>
                <w:sz w:val="20"/>
              </w:rPr>
              <w:t xml:space="preserve"> largest commitment</w:t>
            </w:r>
          </w:p>
        </w:tc>
        <w:tc>
          <w:tcPr>
            <w:tcW w:w="2046" w:type="dxa"/>
          </w:tcPr>
          <w:p w:rsidR="008C0D90" w:rsidRPr="008C0D90" w:rsidRDefault="008C0D90" w:rsidP="00D91438">
            <w:pPr>
              <w:jc w:val="center"/>
              <w:cnfStyle w:val="100000000000"/>
              <w:rPr>
                <w:rFonts w:asciiTheme="minorHAnsi" w:hAnsiTheme="minorHAnsi" w:cs="Arial"/>
                <w:sz w:val="20"/>
              </w:rPr>
            </w:pPr>
            <w:r w:rsidRPr="008C0D90">
              <w:rPr>
                <w:rFonts w:asciiTheme="minorHAnsi" w:hAnsiTheme="minorHAnsi" w:cs="Arial"/>
                <w:sz w:val="20"/>
              </w:rPr>
              <w:t>3</w:t>
            </w:r>
            <w:r w:rsidRPr="008C0D90">
              <w:rPr>
                <w:rFonts w:asciiTheme="minorHAnsi" w:hAnsiTheme="minorHAnsi" w:cs="Arial"/>
                <w:sz w:val="20"/>
                <w:vertAlign w:val="superscript"/>
              </w:rPr>
              <w:t>rd</w:t>
            </w:r>
            <w:r w:rsidRPr="008C0D90">
              <w:rPr>
                <w:rFonts w:asciiTheme="minorHAnsi" w:hAnsiTheme="minorHAnsi" w:cs="Arial"/>
                <w:sz w:val="20"/>
              </w:rPr>
              <w:t xml:space="preserve"> largest commitment</w:t>
            </w:r>
          </w:p>
        </w:tc>
      </w:tr>
      <w:tr w:rsidR="008C0D90" w:rsidTr="00CC7839">
        <w:trPr>
          <w:cnfStyle w:val="000000100000"/>
        </w:trPr>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Tanzania</w:t>
            </w:r>
          </w:p>
        </w:tc>
        <w:tc>
          <w:tcPr>
            <w:tcW w:w="1662" w:type="dxa"/>
          </w:tcPr>
          <w:p w:rsidR="008C0D90" w:rsidRPr="008C0D90" w:rsidRDefault="008C0D90" w:rsidP="00D91438">
            <w:pPr>
              <w:jc w:val="center"/>
              <w:cnfStyle w:val="000000100000"/>
              <w:rPr>
                <w:rFonts w:asciiTheme="minorHAnsi" w:hAnsiTheme="minorHAnsi" w:cs="Arial"/>
                <w:sz w:val="20"/>
              </w:rPr>
            </w:pPr>
            <w:r w:rsidRPr="008C0D90">
              <w:rPr>
                <w:rFonts w:asciiTheme="minorHAnsi" w:hAnsiTheme="minorHAnsi" w:cs="Arial"/>
                <w:sz w:val="20"/>
              </w:rPr>
              <w:t>172.0</w:t>
            </w:r>
          </w:p>
        </w:tc>
        <w:tc>
          <w:tcPr>
            <w:tcW w:w="1843" w:type="dxa"/>
          </w:tcPr>
          <w:p w:rsidR="008C0D90" w:rsidRPr="008C0D90" w:rsidRDefault="008C0D90" w:rsidP="00D91438">
            <w:pPr>
              <w:jc w:val="center"/>
              <w:cnfStyle w:val="000000100000"/>
              <w:rPr>
                <w:rFonts w:asciiTheme="minorHAnsi" w:hAnsiTheme="minorHAnsi" w:cs="Arial"/>
                <w:b/>
                <w:sz w:val="20"/>
              </w:rPr>
            </w:pPr>
            <w:r>
              <w:rPr>
                <w:rFonts w:asciiTheme="minorHAnsi" w:hAnsiTheme="minorHAnsi" w:cs="Arial"/>
                <w:b/>
                <w:sz w:val="20"/>
              </w:rPr>
              <w:t>Korea – 50.3m</w:t>
            </w:r>
          </w:p>
        </w:tc>
        <w:tc>
          <w:tcPr>
            <w:tcW w:w="1843" w:type="dxa"/>
          </w:tcPr>
          <w:p w:rsidR="008C0D90" w:rsidRPr="008C0D90" w:rsidRDefault="008C0D90" w:rsidP="00D91438">
            <w:pPr>
              <w:jc w:val="center"/>
              <w:cnfStyle w:val="000000100000"/>
              <w:rPr>
                <w:rFonts w:asciiTheme="minorHAnsi" w:hAnsiTheme="minorHAnsi" w:cs="Arial"/>
                <w:b/>
                <w:sz w:val="20"/>
              </w:rPr>
            </w:pPr>
            <w:r>
              <w:rPr>
                <w:rFonts w:asciiTheme="minorHAnsi" w:hAnsiTheme="minorHAnsi" w:cs="Arial"/>
                <w:b/>
                <w:sz w:val="20"/>
              </w:rPr>
              <w:t>US – 48.4m</w:t>
            </w:r>
          </w:p>
        </w:tc>
        <w:tc>
          <w:tcPr>
            <w:tcW w:w="2046" w:type="dxa"/>
          </w:tcPr>
          <w:p w:rsidR="008C0D90" w:rsidRPr="008C0D90" w:rsidRDefault="008C0D90" w:rsidP="00D91438">
            <w:pPr>
              <w:jc w:val="center"/>
              <w:cnfStyle w:val="000000100000"/>
              <w:rPr>
                <w:rFonts w:asciiTheme="minorHAnsi" w:hAnsiTheme="minorHAnsi" w:cs="Arial"/>
                <w:b/>
                <w:sz w:val="20"/>
              </w:rPr>
            </w:pPr>
            <w:r>
              <w:rPr>
                <w:rFonts w:asciiTheme="minorHAnsi" w:hAnsiTheme="minorHAnsi" w:cs="Arial"/>
                <w:b/>
                <w:sz w:val="20"/>
              </w:rPr>
              <w:t xml:space="preserve">Finland </w:t>
            </w:r>
            <w:r w:rsidR="006411A1">
              <w:rPr>
                <w:rFonts w:asciiTheme="minorHAnsi" w:hAnsiTheme="minorHAnsi" w:cs="Arial"/>
                <w:b/>
                <w:sz w:val="20"/>
              </w:rPr>
              <w:t>-</w:t>
            </w:r>
            <w:r>
              <w:rPr>
                <w:rFonts w:asciiTheme="minorHAnsi" w:hAnsiTheme="minorHAnsi" w:cs="Arial"/>
                <w:b/>
                <w:sz w:val="20"/>
              </w:rPr>
              <w:t xml:space="preserve"> 37.7m</w:t>
            </w:r>
          </w:p>
        </w:tc>
      </w:tr>
      <w:tr w:rsidR="008C0D90" w:rsidTr="00CC7839">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Mali</w:t>
            </w:r>
          </w:p>
        </w:tc>
        <w:tc>
          <w:tcPr>
            <w:tcW w:w="1662" w:type="dxa"/>
          </w:tcPr>
          <w:p w:rsidR="008C0D90" w:rsidRPr="008C0D90" w:rsidRDefault="008C0D90" w:rsidP="00D91438">
            <w:pPr>
              <w:jc w:val="center"/>
              <w:cnfStyle w:val="000000000000"/>
              <w:rPr>
                <w:rFonts w:asciiTheme="minorHAnsi" w:hAnsiTheme="minorHAnsi" w:cs="Arial"/>
                <w:sz w:val="20"/>
              </w:rPr>
            </w:pPr>
            <w:r w:rsidRPr="008C0D90">
              <w:rPr>
                <w:rFonts w:asciiTheme="minorHAnsi" w:hAnsiTheme="minorHAnsi" w:cs="Arial"/>
                <w:sz w:val="20"/>
              </w:rPr>
              <w:t>133.3</w:t>
            </w:r>
          </w:p>
        </w:tc>
        <w:tc>
          <w:tcPr>
            <w:tcW w:w="1843" w:type="dxa"/>
          </w:tcPr>
          <w:p w:rsidR="008C0D90" w:rsidRPr="008C0D90" w:rsidRDefault="008C0D90" w:rsidP="00D91438">
            <w:pPr>
              <w:jc w:val="center"/>
              <w:cnfStyle w:val="000000000000"/>
              <w:rPr>
                <w:rFonts w:asciiTheme="minorHAnsi" w:hAnsiTheme="minorHAnsi" w:cs="Arial"/>
                <w:b/>
                <w:sz w:val="20"/>
              </w:rPr>
            </w:pPr>
            <w:r>
              <w:rPr>
                <w:rFonts w:asciiTheme="minorHAnsi" w:hAnsiTheme="minorHAnsi" w:cs="Arial"/>
                <w:b/>
                <w:sz w:val="20"/>
              </w:rPr>
              <w:t>US – 39.9m</w:t>
            </w:r>
          </w:p>
        </w:tc>
        <w:tc>
          <w:tcPr>
            <w:tcW w:w="1843" w:type="dxa"/>
          </w:tcPr>
          <w:p w:rsidR="008C0D90" w:rsidRPr="008C0D90" w:rsidRDefault="008C0D90" w:rsidP="00D91438">
            <w:pPr>
              <w:jc w:val="center"/>
              <w:cnfStyle w:val="000000000000"/>
              <w:rPr>
                <w:rFonts w:asciiTheme="minorHAnsi" w:hAnsiTheme="minorHAnsi" w:cs="Arial"/>
                <w:b/>
                <w:sz w:val="20"/>
              </w:rPr>
            </w:pPr>
            <w:r>
              <w:rPr>
                <w:rFonts w:asciiTheme="minorHAnsi" w:hAnsiTheme="minorHAnsi" w:cs="Arial"/>
                <w:b/>
                <w:sz w:val="20"/>
              </w:rPr>
              <w:t>Korea – 25m</w:t>
            </w:r>
          </w:p>
        </w:tc>
        <w:tc>
          <w:tcPr>
            <w:tcW w:w="2046" w:type="dxa"/>
          </w:tcPr>
          <w:p w:rsidR="008C0D90" w:rsidRPr="008C0D90" w:rsidRDefault="008C0D90" w:rsidP="00D91438">
            <w:pPr>
              <w:jc w:val="center"/>
              <w:cnfStyle w:val="000000000000"/>
              <w:rPr>
                <w:rFonts w:asciiTheme="minorHAnsi" w:hAnsiTheme="minorHAnsi" w:cs="Arial"/>
                <w:b/>
                <w:sz w:val="20"/>
              </w:rPr>
            </w:pPr>
            <w:r>
              <w:rPr>
                <w:rFonts w:asciiTheme="minorHAnsi" w:hAnsiTheme="minorHAnsi" w:cs="Arial"/>
                <w:b/>
                <w:sz w:val="20"/>
              </w:rPr>
              <w:t>France - 23.4m</w:t>
            </w:r>
          </w:p>
        </w:tc>
      </w:tr>
      <w:tr w:rsidR="008C0D90" w:rsidTr="00CC7839">
        <w:trPr>
          <w:cnfStyle w:val="000000100000"/>
        </w:trPr>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Ethiopia</w:t>
            </w:r>
          </w:p>
        </w:tc>
        <w:tc>
          <w:tcPr>
            <w:tcW w:w="1662" w:type="dxa"/>
          </w:tcPr>
          <w:p w:rsidR="008C0D90" w:rsidRPr="008C0D90" w:rsidRDefault="008C0D90" w:rsidP="00D91438">
            <w:pPr>
              <w:jc w:val="center"/>
              <w:cnfStyle w:val="000000100000"/>
              <w:rPr>
                <w:rFonts w:asciiTheme="minorHAnsi" w:hAnsiTheme="minorHAnsi" w:cs="Arial"/>
                <w:sz w:val="20"/>
              </w:rPr>
            </w:pPr>
            <w:r w:rsidRPr="008C0D90">
              <w:rPr>
                <w:rFonts w:asciiTheme="minorHAnsi" w:hAnsiTheme="minorHAnsi" w:cs="Arial"/>
                <w:sz w:val="20"/>
              </w:rPr>
              <w:t>108.1</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Germany – 25.5m</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Canada – 25.2m</w:t>
            </w:r>
          </w:p>
        </w:tc>
        <w:tc>
          <w:tcPr>
            <w:tcW w:w="2046"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Netherlands – 23.8m</w:t>
            </w:r>
          </w:p>
        </w:tc>
      </w:tr>
      <w:tr w:rsidR="008C0D90" w:rsidTr="00CC7839">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Zambia</w:t>
            </w:r>
          </w:p>
        </w:tc>
        <w:tc>
          <w:tcPr>
            <w:tcW w:w="1662" w:type="dxa"/>
          </w:tcPr>
          <w:p w:rsidR="008C0D90" w:rsidRPr="008C0D90" w:rsidRDefault="008C0D90" w:rsidP="00D91438">
            <w:pPr>
              <w:jc w:val="center"/>
              <w:cnfStyle w:val="000000000000"/>
              <w:rPr>
                <w:rFonts w:asciiTheme="minorHAnsi" w:hAnsiTheme="minorHAnsi" w:cs="Arial"/>
                <w:sz w:val="20"/>
              </w:rPr>
            </w:pPr>
            <w:r w:rsidRPr="008C0D90">
              <w:rPr>
                <w:rFonts w:asciiTheme="minorHAnsi" w:hAnsiTheme="minorHAnsi" w:cs="Arial"/>
                <w:sz w:val="20"/>
              </w:rPr>
              <w:t>97.6</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Norway – 34m</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US – 24.7m</w:t>
            </w:r>
          </w:p>
        </w:tc>
        <w:tc>
          <w:tcPr>
            <w:tcW w:w="2046"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Sweden – 20.1m</w:t>
            </w:r>
          </w:p>
        </w:tc>
      </w:tr>
      <w:tr w:rsidR="008C0D90" w:rsidTr="00CC7839">
        <w:trPr>
          <w:cnfStyle w:val="000000100000"/>
        </w:trPr>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Morocco</w:t>
            </w:r>
          </w:p>
        </w:tc>
        <w:tc>
          <w:tcPr>
            <w:tcW w:w="1662" w:type="dxa"/>
          </w:tcPr>
          <w:p w:rsidR="008C0D90" w:rsidRPr="008C0D90" w:rsidRDefault="008C0D90" w:rsidP="00D91438">
            <w:pPr>
              <w:jc w:val="center"/>
              <w:cnfStyle w:val="000000100000"/>
              <w:rPr>
                <w:rFonts w:asciiTheme="minorHAnsi" w:hAnsiTheme="minorHAnsi" w:cs="Arial"/>
                <w:sz w:val="20"/>
              </w:rPr>
            </w:pPr>
            <w:r w:rsidRPr="008C0D90">
              <w:rPr>
                <w:rFonts w:asciiTheme="minorHAnsi" w:hAnsiTheme="minorHAnsi" w:cs="Arial"/>
                <w:sz w:val="20"/>
              </w:rPr>
              <w:t>83.4</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US – 59m</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Belgium – 11.9m</w:t>
            </w:r>
          </w:p>
        </w:tc>
        <w:tc>
          <w:tcPr>
            <w:tcW w:w="2046"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Spain – 7.2m</w:t>
            </w:r>
          </w:p>
        </w:tc>
      </w:tr>
      <w:tr w:rsidR="008C0D90" w:rsidTr="00CC7839">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Kenya</w:t>
            </w:r>
          </w:p>
        </w:tc>
        <w:tc>
          <w:tcPr>
            <w:tcW w:w="1662" w:type="dxa"/>
          </w:tcPr>
          <w:p w:rsidR="008C0D90" w:rsidRPr="008C0D90" w:rsidRDefault="008C0D90" w:rsidP="00D91438">
            <w:pPr>
              <w:jc w:val="center"/>
              <w:cnfStyle w:val="000000000000"/>
              <w:rPr>
                <w:rFonts w:asciiTheme="minorHAnsi" w:hAnsiTheme="minorHAnsi" w:cs="Arial"/>
                <w:sz w:val="20"/>
              </w:rPr>
            </w:pPr>
            <w:r w:rsidRPr="008C0D90">
              <w:rPr>
                <w:rFonts w:asciiTheme="minorHAnsi" w:hAnsiTheme="minorHAnsi" w:cs="Arial"/>
                <w:sz w:val="20"/>
              </w:rPr>
              <w:t>81.6</w:t>
            </w:r>
          </w:p>
        </w:tc>
        <w:tc>
          <w:tcPr>
            <w:tcW w:w="1843" w:type="dxa"/>
          </w:tcPr>
          <w:p w:rsidR="008C0D90" w:rsidRPr="008C0D90" w:rsidRDefault="00CC7839" w:rsidP="00CC7839">
            <w:pPr>
              <w:jc w:val="center"/>
              <w:cnfStyle w:val="000000000000"/>
              <w:rPr>
                <w:rFonts w:asciiTheme="minorHAnsi" w:hAnsiTheme="minorHAnsi" w:cs="Arial"/>
                <w:b/>
                <w:sz w:val="20"/>
              </w:rPr>
            </w:pPr>
            <w:r>
              <w:rPr>
                <w:rFonts w:asciiTheme="minorHAnsi" w:hAnsiTheme="minorHAnsi" w:cs="Arial"/>
                <w:b/>
                <w:sz w:val="20"/>
              </w:rPr>
              <w:t>US – 36.6m</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Germany – 17.5m</w:t>
            </w:r>
          </w:p>
        </w:tc>
        <w:tc>
          <w:tcPr>
            <w:tcW w:w="2046"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Japan – 4.6m</w:t>
            </w:r>
          </w:p>
        </w:tc>
      </w:tr>
      <w:tr w:rsidR="008C0D90" w:rsidTr="00CC7839">
        <w:trPr>
          <w:cnfStyle w:val="000000100000"/>
        </w:trPr>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Mozambique</w:t>
            </w:r>
          </w:p>
        </w:tc>
        <w:tc>
          <w:tcPr>
            <w:tcW w:w="1662" w:type="dxa"/>
          </w:tcPr>
          <w:p w:rsidR="008C0D90" w:rsidRPr="008C0D90" w:rsidRDefault="008C0D90" w:rsidP="00D91438">
            <w:pPr>
              <w:jc w:val="center"/>
              <w:cnfStyle w:val="000000100000"/>
              <w:rPr>
                <w:rFonts w:asciiTheme="minorHAnsi" w:hAnsiTheme="minorHAnsi" w:cs="Arial"/>
                <w:sz w:val="20"/>
              </w:rPr>
            </w:pPr>
            <w:r w:rsidRPr="008C0D90">
              <w:rPr>
                <w:rFonts w:asciiTheme="minorHAnsi" w:hAnsiTheme="minorHAnsi" w:cs="Arial"/>
                <w:sz w:val="20"/>
              </w:rPr>
              <w:t>80.1</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US – 24m</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Canada – 11.9m</w:t>
            </w:r>
          </w:p>
        </w:tc>
        <w:tc>
          <w:tcPr>
            <w:tcW w:w="2046"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Netherlands – 10.8m</w:t>
            </w:r>
          </w:p>
        </w:tc>
      </w:tr>
      <w:tr w:rsidR="008C0D90" w:rsidTr="00CC7839">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Ghana</w:t>
            </w:r>
          </w:p>
        </w:tc>
        <w:tc>
          <w:tcPr>
            <w:tcW w:w="1662" w:type="dxa"/>
          </w:tcPr>
          <w:p w:rsidR="008C0D90" w:rsidRPr="008C0D90" w:rsidRDefault="008C0D90" w:rsidP="00D91438">
            <w:pPr>
              <w:jc w:val="center"/>
              <w:cnfStyle w:val="000000000000"/>
              <w:rPr>
                <w:rFonts w:asciiTheme="minorHAnsi" w:hAnsiTheme="minorHAnsi" w:cs="Arial"/>
                <w:sz w:val="20"/>
              </w:rPr>
            </w:pPr>
            <w:r w:rsidRPr="008C0D90">
              <w:rPr>
                <w:rFonts w:asciiTheme="minorHAnsi" w:hAnsiTheme="minorHAnsi" w:cs="Arial"/>
                <w:sz w:val="20"/>
              </w:rPr>
              <w:t>72.8</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US – 48.7m</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Germany – 7.1m</w:t>
            </w:r>
          </w:p>
        </w:tc>
        <w:tc>
          <w:tcPr>
            <w:tcW w:w="2046"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Canada – 5m</w:t>
            </w:r>
          </w:p>
        </w:tc>
      </w:tr>
      <w:tr w:rsidR="008C0D90" w:rsidTr="00CC7839">
        <w:trPr>
          <w:cnfStyle w:val="000000100000"/>
        </w:trPr>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Cameroon</w:t>
            </w:r>
          </w:p>
        </w:tc>
        <w:tc>
          <w:tcPr>
            <w:tcW w:w="1662" w:type="dxa"/>
          </w:tcPr>
          <w:p w:rsidR="008C0D90" w:rsidRPr="008C0D90" w:rsidRDefault="008C0D90" w:rsidP="00D91438">
            <w:pPr>
              <w:jc w:val="center"/>
              <w:cnfStyle w:val="000000100000"/>
              <w:rPr>
                <w:rFonts w:asciiTheme="minorHAnsi" w:hAnsiTheme="minorHAnsi" w:cs="Arial"/>
                <w:sz w:val="20"/>
              </w:rPr>
            </w:pPr>
            <w:r w:rsidRPr="008C0D90">
              <w:rPr>
                <w:rFonts w:asciiTheme="minorHAnsi" w:hAnsiTheme="minorHAnsi" w:cs="Arial"/>
                <w:sz w:val="20"/>
              </w:rPr>
              <w:t>61.2</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Germany – 51.3m</w:t>
            </w:r>
          </w:p>
        </w:tc>
        <w:tc>
          <w:tcPr>
            <w:tcW w:w="1843"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France – 2.7m</w:t>
            </w:r>
          </w:p>
        </w:tc>
        <w:tc>
          <w:tcPr>
            <w:tcW w:w="2046" w:type="dxa"/>
          </w:tcPr>
          <w:p w:rsidR="008C0D90" w:rsidRPr="008C0D90" w:rsidRDefault="00CC7839" w:rsidP="00D91438">
            <w:pPr>
              <w:jc w:val="center"/>
              <w:cnfStyle w:val="000000100000"/>
              <w:rPr>
                <w:rFonts w:asciiTheme="minorHAnsi" w:hAnsiTheme="minorHAnsi" w:cs="Arial"/>
                <w:b/>
                <w:sz w:val="20"/>
              </w:rPr>
            </w:pPr>
            <w:r>
              <w:rPr>
                <w:rFonts w:asciiTheme="minorHAnsi" w:hAnsiTheme="minorHAnsi" w:cs="Arial"/>
                <w:b/>
                <w:sz w:val="20"/>
              </w:rPr>
              <w:t>Canada - 2.1m</w:t>
            </w:r>
          </w:p>
        </w:tc>
      </w:tr>
      <w:tr w:rsidR="008C0D90" w:rsidTr="00CC7839">
        <w:tc>
          <w:tcPr>
            <w:cnfStyle w:val="001000000000"/>
            <w:tcW w:w="1848" w:type="dxa"/>
          </w:tcPr>
          <w:p w:rsidR="008C0D90" w:rsidRPr="008C0D90" w:rsidRDefault="008C0D90" w:rsidP="00D91438">
            <w:pPr>
              <w:jc w:val="center"/>
              <w:rPr>
                <w:rFonts w:asciiTheme="minorHAnsi" w:hAnsiTheme="minorHAnsi" w:cs="Arial"/>
                <w:b w:val="0"/>
                <w:sz w:val="20"/>
              </w:rPr>
            </w:pPr>
            <w:r w:rsidRPr="008C0D90">
              <w:rPr>
                <w:rFonts w:asciiTheme="minorHAnsi" w:hAnsiTheme="minorHAnsi" w:cs="Arial"/>
                <w:b w:val="0"/>
                <w:sz w:val="20"/>
              </w:rPr>
              <w:t>Senegal</w:t>
            </w:r>
          </w:p>
        </w:tc>
        <w:tc>
          <w:tcPr>
            <w:tcW w:w="1662" w:type="dxa"/>
          </w:tcPr>
          <w:p w:rsidR="008C0D90" w:rsidRPr="008C0D90" w:rsidRDefault="008C0D90" w:rsidP="00D91438">
            <w:pPr>
              <w:jc w:val="center"/>
              <w:cnfStyle w:val="000000000000"/>
              <w:rPr>
                <w:rFonts w:asciiTheme="minorHAnsi" w:hAnsiTheme="minorHAnsi" w:cs="Arial"/>
                <w:sz w:val="20"/>
              </w:rPr>
            </w:pPr>
            <w:r w:rsidRPr="008C0D90">
              <w:rPr>
                <w:rFonts w:asciiTheme="minorHAnsi" w:hAnsiTheme="minorHAnsi" w:cs="Arial"/>
                <w:sz w:val="20"/>
              </w:rPr>
              <w:t>59.2</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US – 21.3m</w:t>
            </w:r>
          </w:p>
        </w:tc>
        <w:tc>
          <w:tcPr>
            <w:tcW w:w="1843"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Canada – 12.3m</w:t>
            </w:r>
          </w:p>
        </w:tc>
        <w:tc>
          <w:tcPr>
            <w:tcW w:w="2046" w:type="dxa"/>
          </w:tcPr>
          <w:p w:rsidR="008C0D90" w:rsidRPr="008C0D90" w:rsidRDefault="00CC7839" w:rsidP="00D91438">
            <w:pPr>
              <w:jc w:val="center"/>
              <w:cnfStyle w:val="000000000000"/>
              <w:rPr>
                <w:rFonts w:asciiTheme="minorHAnsi" w:hAnsiTheme="minorHAnsi" w:cs="Arial"/>
                <w:b/>
                <w:sz w:val="20"/>
              </w:rPr>
            </w:pPr>
            <w:r>
              <w:rPr>
                <w:rFonts w:asciiTheme="minorHAnsi" w:hAnsiTheme="minorHAnsi" w:cs="Arial"/>
                <w:b/>
                <w:sz w:val="20"/>
              </w:rPr>
              <w:t>Japan – 8.4m</w:t>
            </w:r>
          </w:p>
        </w:tc>
      </w:tr>
    </w:tbl>
    <w:p w:rsidR="008C0D90" w:rsidRDefault="008C0D90" w:rsidP="00D91438">
      <w:pPr>
        <w:jc w:val="center"/>
        <w:rPr>
          <w:rFonts w:asciiTheme="minorHAnsi" w:hAnsiTheme="minorHAnsi" w:cs="Arial"/>
          <w:b/>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.3</w:t>
      </w:r>
      <w:r w:rsidRPr="008744CB">
        <w:rPr>
          <w:rFonts w:asciiTheme="minorHAnsi" w:hAnsiTheme="minorHAnsi" w:cs="Arial"/>
          <w:b/>
          <w:color w:val="1F497D" w:themeColor="text2"/>
          <w:szCs w:val="24"/>
        </w:rPr>
        <w:tab/>
        <w:t>United States &amp; the Feed the Future Initiative</w:t>
      </w:r>
    </w:p>
    <w:p w:rsidR="003F6C09" w:rsidRPr="008744CB" w:rsidRDefault="003F6C09" w:rsidP="008744CB">
      <w:pPr>
        <w:spacing w:after="120" w:line="276" w:lineRule="auto"/>
        <w:jc w:val="both"/>
        <w:rPr>
          <w:rFonts w:asciiTheme="minorHAnsi" w:hAnsiTheme="minorHAnsi" w:cs="Calibri"/>
          <w:color w:val="000000"/>
          <w:sz w:val="22"/>
          <w:szCs w:val="22"/>
        </w:rPr>
      </w:pPr>
      <w:r w:rsidRPr="008744CB">
        <w:rPr>
          <w:rFonts w:asciiTheme="minorHAnsi" w:hAnsiTheme="minorHAnsi" w:cs="Arial"/>
          <w:sz w:val="22"/>
          <w:szCs w:val="22"/>
        </w:rPr>
        <w:t>The United States is the largest country donor to African agriculture, providing USD</w:t>
      </w:r>
      <w:r w:rsidR="003A633C">
        <w:rPr>
          <w:rFonts w:asciiTheme="minorHAnsi" w:hAnsiTheme="minorHAnsi" w:cs="Arial"/>
          <w:sz w:val="22"/>
          <w:szCs w:val="22"/>
        </w:rPr>
        <w:t xml:space="preserve"> 509</w:t>
      </w:r>
      <w:r w:rsidRPr="008744CB">
        <w:rPr>
          <w:rFonts w:asciiTheme="minorHAnsi" w:hAnsiTheme="minorHAnsi" w:cs="Arial"/>
          <w:sz w:val="22"/>
          <w:szCs w:val="22"/>
        </w:rPr>
        <w:t xml:space="preserve"> million in </w:t>
      </w:r>
      <w:r w:rsidR="005F7E43">
        <w:rPr>
          <w:rFonts w:asciiTheme="minorHAnsi" w:hAnsiTheme="minorHAnsi" w:cs="Arial"/>
          <w:sz w:val="22"/>
          <w:szCs w:val="22"/>
        </w:rPr>
        <w:t>ODA</w:t>
      </w:r>
      <w:r w:rsidRPr="008744CB">
        <w:rPr>
          <w:rFonts w:asciiTheme="minorHAnsi" w:hAnsiTheme="minorHAnsi" w:cs="Arial"/>
          <w:sz w:val="22"/>
          <w:szCs w:val="22"/>
        </w:rPr>
        <w:t xml:space="preserve"> in 201</w:t>
      </w:r>
      <w:r w:rsidR="003A633C">
        <w:rPr>
          <w:rFonts w:asciiTheme="minorHAnsi" w:hAnsiTheme="minorHAnsi" w:cs="Arial"/>
          <w:sz w:val="22"/>
          <w:szCs w:val="22"/>
        </w:rPr>
        <w:t>1</w:t>
      </w:r>
      <w:r w:rsidRPr="008744CB">
        <w:rPr>
          <w:rFonts w:asciiTheme="minorHAnsi" w:hAnsiTheme="minorHAnsi" w:cs="Arial"/>
          <w:sz w:val="22"/>
          <w:szCs w:val="22"/>
        </w:rPr>
        <w:t xml:space="preserve">.  In 2009, the Obama Administration launched </w:t>
      </w:r>
      <w:r w:rsidRPr="008744CB">
        <w:rPr>
          <w:rFonts w:asciiTheme="minorHAnsi" w:hAnsiTheme="minorHAnsi" w:cs="Arial"/>
          <w:b/>
          <w:sz w:val="22"/>
          <w:szCs w:val="22"/>
        </w:rPr>
        <w:t>Feed the Future</w:t>
      </w:r>
      <w:r w:rsidRPr="008744CB">
        <w:rPr>
          <w:rFonts w:asciiTheme="minorHAnsi" w:hAnsiTheme="minorHAnsi" w:cs="Arial"/>
          <w:sz w:val="22"/>
          <w:szCs w:val="22"/>
        </w:rPr>
        <w:t xml:space="preserve">, the global hunger and food security initiative, with a pledge of </w:t>
      </w:r>
      <w:r w:rsidRPr="008744CB">
        <w:rPr>
          <w:rFonts w:asciiTheme="minorHAnsi" w:hAnsiTheme="minorHAnsi" w:cs="Arial"/>
          <w:b/>
          <w:sz w:val="22"/>
          <w:szCs w:val="22"/>
        </w:rPr>
        <w:t>USD 3.5 billion</w:t>
      </w:r>
      <w:r w:rsidRPr="008744CB">
        <w:rPr>
          <w:rFonts w:asciiTheme="minorHAnsi" w:hAnsiTheme="minorHAnsi" w:cs="Arial"/>
          <w:sz w:val="22"/>
          <w:szCs w:val="22"/>
        </w:rPr>
        <w:t>.  The initiative is a whole-of-government effort bringing together resources and expertise from different US government departments and agencies with rigorous systems to track performance.</w:t>
      </w:r>
      <w:r w:rsidRPr="008744CB">
        <w:rPr>
          <w:rStyle w:val="FootnoteReference"/>
          <w:rFonts w:asciiTheme="minorHAnsi" w:hAnsiTheme="minorHAnsi" w:cs="Arial"/>
          <w:sz w:val="22"/>
          <w:szCs w:val="22"/>
        </w:rPr>
        <w:footnoteReference w:id="19"/>
      </w:r>
      <w:r w:rsidRPr="008744CB">
        <w:rPr>
          <w:rFonts w:asciiTheme="minorHAnsi" w:hAnsiTheme="minorHAnsi" w:cs="Arial"/>
          <w:sz w:val="22"/>
          <w:szCs w:val="22"/>
        </w:rPr>
        <w:t xml:space="preserve">  </w:t>
      </w:r>
      <w:r w:rsidRPr="008744CB">
        <w:rPr>
          <w:rFonts w:asciiTheme="minorHAnsi" w:hAnsiTheme="minorHAnsi" w:cs="Calibri"/>
          <w:color w:val="000000"/>
          <w:sz w:val="22"/>
          <w:szCs w:val="22"/>
        </w:rPr>
        <w:t>Twenty countries were selected as “focus” countries, including 12 in Africa (Ethiopia, Ghana, Kenya, Liberia, Mali, Malawi, Mozambique, Rwanda, Senegal, Tanzania, Uganda, and Zambia).</w:t>
      </w:r>
    </w:p>
    <w:p w:rsidR="003F6C09" w:rsidRPr="008744CB" w:rsidRDefault="003F6C09" w:rsidP="008744CB">
      <w:pPr>
        <w:autoSpaceDE w:val="0"/>
        <w:autoSpaceDN w:val="0"/>
        <w:adjustRightInd w:val="0"/>
        <w:spacing w:after="120" w:line="276" w:lineRule="auto"/>
        <w:jc w:val="both"/>
        <w:rPr>
          <w:rFonts w:asciiTheme="minorHAnsi" w:hAnsiTheme="minorHAnsi" w:cs="Arial"/>
          <w:sz w:val="22"/>
          <w:szCs w:val="22"/>
        </w:rPr>
      </w:pPr>
      <w:r w:rsidRPr="008744CB">
        <w:rPr>
          <w:rFonts w:asciiTheme="minorHAnsi" w:hAnsiTheme="minorHAnsi" w:cs="Arial"/>
          <w:sz w:val="22"/>
          <w:szCs w:val="22"/>
        </w:rPr>
        <w:t>Feed the Future aims to bring better alignment of donor and multi-lateral coordination.  The 2012 Feed the Future Progress Report</w:t>
      </w:r>
      <w:r w:rsidRPr="008744CB">
        <w:rPr>
          <w:rStyle w:val="FootnoteReference"/>
          <w:rFonts w:asciiTheme="minorHAnsi" w:hAnsiTheme="minorHAnsi" w:cs="Arial"/>
          <w:sz w:val="22"/>
          <w:szCs w:val="22"/>
        </w:rPr>
        <w:footnoteReference w:id="20"/>
      </w:r>
      <w:r w:rsidRPr="008744CB">
        <w:rPr>
          <w:rFonts w:asciiTheme="minorHAnsi" w:hAnsiTheme="minorHAnsi" w:cs="Arial"/>
          <w:sz w:val="22"/>
          <w:szCs w:val="22"/>
        </w:rPr>
        <w:t xml:space="preserve"> highlights the following ways that the United States has “reinvigorated donor commitment” on agriculture and food security:</w:t>
      </w:r>
    </w:p>
    <w:p w:rsidR="003F6C09" w:rsidRPr="008744CB" w:rsidRDefault="003F6C09" w:rsidP="007770A6">
      <w:pPr>
        <w:pStyle w:val="ListParagraph"/>
        <w:numPr>
          <w:ilvl w:val="0"/>
          <w:numId w:val="6"/>
        </w:numPr>
        <w:autoSpaceDE w:val="0"/>
        <w:autoSpaceDN w:val="0"/>
        <w:adjustRightInd w:val="0"/>
        <w:spacing w:after="120"/>
        <w:contextualSpacing w:val="0"/>
        <w:jc w:val="both"/>
        <w:rPr>
          <w:rFonts w:cs="Arial"/>
        </w:rPr>
      </w:pPr>
      <w:r w:rsidRPr="008744CB">
        <w:rPr>
          <w:rFonts w:cs="Arial"/>
        </w:rPr>
        <w:t xml:space="preserve">Helped with design and development of </w:t>
      </w:r>
      <w:r w:rsidR="005F7E43">
        <w:rPr>
          <w:rFonts w:cs="Arial"/>
        </w:rPr>
        <w:t>the Global Agriculture Food Security Program (</w:t>
      </w:r>
      <w:r w:rsidRPr="008744CB">
        <w:rPr>
          <w:rFonts w:cs="Arial"/>
        </w:rPr>
        <w:t>GAFSP</w:t>
      </w:r>
      <w:r w:rsidR="005F7E43">
        <w:rPr>
          <w:rFonts w:cs="Arial"/>
        </w:rPr>
        <w:t>)</w:t>
      </w:r>
      <w:r w:rsidRPr="008744CB">
        <w:rPr>
          <w:rFonts w:cs="Arial"/>
        </w:rPr>
        <w:t xml:space="preserve">, the multilateral fund (see Section </w:t>
      </w:r>
      <w:r w:rsidR="005F7E43">
        <w:rPr>
          <w:rFonts w:cs="Arial"/>
        </w:rPr>
        <w:t>2.</w:t>
      </w:r>
      <w:r w:rsidR="007E1D51">
        <w:rPr>
          <w:rFonts w:cs="Arial"/>
        </w:rPr>
        <w:t>4</w:t>
      </w:r>
      <w:r w:rsidR="005F7E43">
        <w:rPr>
          <w:rFonts w:cs="Arial"/>
        </w:rPr>
        <w:t>.3</w:t>
      </w:r>
      <w:r w:rsidRPr="008744CB">
        <w:rPr>
          <w:rFonts w:cs="Arial"/>
        </w:rPr>
        <w:t xml:space="preserve">).  The </w:t>
      </w:r>
      <w:r w:rsidRPr="008744CB">
        <w:rPr>
          <w:rFonts w:cs="Arial"/>
          <w:b/>
        </w:rPr>
        <w:t>US Government has contributed USD 326 million to GAFSP and helped leverage nearly USD 900 million in total pledges to GAFSP</w:t>
      </w:r>
      <w:r w:rsidRPr="008744CB">
        <w:rPr>
          <w:rFonts w:cs="Arial"/>
        </w:rPr>
        <w:t xml:space="preserve">.   </w:t>
      </w:r>
    </w:p>
    <w:p w:rsidR="003F6C09" w:rsidRPr="008744CB" w:rsidRDefault="003F6C09" w:rsidP="007770A6">
      <w:pPr>
        <w:pStyle w:val="ListParagraph"/>
        <w:numPr>
          <w:ilvl w:val="0"/>
          <w:numId w:val="6"/>
        </w:numPr>
        <w:autoSpaceDE w:val="0"/>
        <w:autoSpaceDN w:val="0"/>
        <w:adjustRightInd w:val="0"/>
        <w:spacing w:after="120"/>
        <w:contextualSpacing w:val="0"/>
        <w:jc w:val="both"/>
        <w:rPr>
          <w:rFonts w:cs="Arial"/>
        </w:rPr>
      </w:pPr>
      <w:r w:rsidRPr="008744CB">
        <w:rPr>
          <w:rFonts w:cs="Arial"/>
        </w:rPr>
        <w:t>Chairing the HQ CAADP Donor Working Group, which unites over 30 donor agencies working on African agriculture.  The report notes that the United States has helped to mobilise other donors’ contributions for and coordination on the country-led plans supported through the CAADP process.</w:t>
      </w:r>
    </w:p>
    <w:p w:rsidR="003F6C09" w:rsidRPr="008744CB" w:rsidRDefault="003F6C09" w:rsidP="007770A6">
      <w:pPr>
        <w:pStyle w:val="ListParagraph"/>
        <w:numPr>
          <w:ilvl w:val="0"/>
          <w:numId w:val="6"/>
        </w:numPr>
        <w:autoSpaceDE w:val="0"/>
        <w:autoSpaceDN w:val="0"/>
        <w:adjustRightInd w:val="0"/>
        <w:spacing w:after="0"/>
        <w:contextualSpacing w:val="0"/>
        <w:jc w:val="both"/>
        <w:rPr>
          <w:rFonts w:cs="Arial"/>
        </w:rPr>
      </w:pPr>
      <w:r w:rsidRPr="008744CB">
        <w:rPr>
          <w:rFonts w:cs="Arial"/>
        </w:rPr>
        <w:lastRenderedPageBreak/>
        <w:t xml:space="preserve">As Chair of </w:t>
      </w:r>
      <w:r w:rsidRPr="00155CEB">
        <w:rPr>
          <w:rFonts w:cs="Arial"/>
        </w:rPr>
        <w:t xml:space="preserve">the </w:t>
      </w:r>
      <w:r w:rsidR="00155CEB" w:rsidRPr="00155CEB">
        <w:rPr>
          <w:rFonts w:cs="Arial"/>
          <w:color w:val="222222"/>
          <w:shd w:val="clear" w:color="auto" w:fill="FFFFFF"/>
        </w:rPr>
        <w:t>L'</w:t>
      </w:r>
      <w:r w:rsidR="00155CEB" w:rsidRPr="00155CEB">
        <w:rPr>
          <w:rStyle w:val="Emphasis"/>
          <w:rFonts w:cs="Arial"/>
          <w:bCs/>
          <w:i w:val="0"/>
          <w:iCs w:val="0"/>
          <w:color w:val="000000"/>
          <w:shd w:val="clear" w:color="auto" w:fill="FFFFFF"/>
        </w:rPr>
        <w:t>Aquila Food Security Initiative</w:t>
      </w:r>
      <w:r w:rsidR="00155CEB" w:rsidRPr="008744CB">
        <w:rPr>
          <w:rFonts w:cs="Arial"/>
        </w:rPr>
        <w:t xml:space="preserve"> </w:t>
      </w:r>
      <w:r w:rsidR="00155CEB">
        <w:rPr>
          <w:rFonts w:cs="Arial"/>
        </w:rPr>
        <w:t>(</w:t>
      </w:r>
      <w:r w:rsidRPr="008744CB">
        <w:rPr>
          <w:rFonts w:cs="Arial"/>
        </w:rPr>
        <w:t>AFSI</w:t>
      </w:r>
      <w:r w:rsidR="00155CEB">
        <w:rPr>
          <w:rFonts w:cs="Arial"/>
        </w:rPr>
        <w:t>)</w:t>
      </w:r>
      <w:r w:rsidRPr="008744CB">
        <w:rPr>
          <w:rFonts w:cs="Arial"/>
        </w:rPr>
        <w:t xml:space="preserve"> group in 2012, the US leadership has advanced public disclosure of information about country-level funding, indicators, progress to date, and alignment of activities with AFSI non-financial commitments.</w:t>
      </w:r>
    </w:p>
    <w:p w:rsidR="003F6C09" w:rsidRPr="008744CB" w:rsidRDefault="003F6C09" w:rsidP="007770A6">
      <w:pPr>
        <w:pStyle w:val="ListParagraph"/>
        <w:numPr>
          <w:ilvl w:val="0"/>
          <w:numId w:val="6"/>
        </w:numPr>
        <w:autoSpaceDE w:val="0"/>
        <w:autoSpaceDN w:val="0"/>
        <w:adjustRightInd w:val="0"/>
        <w:spacing w:after="0"/>
        <w:contextualSpacing w:val="0"/>
        <w:jc w:val="both"/>
        <w:rPr>
          <w:rFonts w:cs="Arial"/>
        </w:rPr>
      </w:pPr>
      <w:r w:rsidRPr="008744CB">
        <w:rPr>
          <w:rFonts w:eastAsia="Times New Roman" w:cs="Arial"/>
          <w:lang w:eastAsia="en-GB"/>
        </w:rPr>
        <w:t>U.S. government research investments in global food security more than doubled from USD 50 million in 2008 to U</w:t>
      </w:r>
      <w:r w:rsidR="00155CEB">
        <w:rPr>
          <w:rFonts w:eastAsia="Times New Roman" w:cs="Arial"/>
          <w:lang w:eastAsia="en-GB"/>
        </w:rPr>
        <w:t>S</w:t>
      </w:r>
      <w:r w:rsidRPr="008744CB">
        <w:rPr>
          <w:rFonts w:eastAsia="Times New Roman" w:cs="Arial"/>
          <w:lang w:eastAsia="en-GB"/>
        </w:rPr>
        <w:t>D 120 million in 2011</w:t>
      </w:r>
    </w:p>
    <w:p w:rsidR="003F6C09" w:rsidRPr="008744CB" w:rsidRDefault="003F6C09" w:rsidP="003F6C09">
      <w:pPr>
        <w:autoSpaceDE w:val="0"/>
        <w:autoSpaceDN w:val="0"/>
        <w:adjustRightInd w:val="0"/>
        <w:rPr>
          <w:rFonts w:asciiTheme="minorHAnsi" w:hAnsiTheme="minorHAnsi" w:cs="Arial"/>
          <w:sz w:val="22"/>
          <w:szCs w:val="22"/>
        </w:rPr>
      </w:pPr>
    </w:p>
    <w:p w:rsidR="003A633C" w:rsidRPr="008744CB" w:rsidRDefault="003A633C" w:rsidP="003A633C">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w:t>
      </w:r>
      <w:r>
        <w:rPr>
          <w:rFonts w:asciiTheme="minorHAnsi" w:hAnsiTheme="minorHAnsi" w:cs="Arial"/>
          <w:b/>
          <w:color w:val="1F497D" w:themeColor="text2"/>
          <w:szCs w:val="24"/>
        </w:rPr>
        <w:t>4</w:t>
      </w:r>
      <w:r w:rsidRPr="008744CB">
        <w:rPr>
          <w:rFonts w:asciiTheme="minorHAnsi" w:hAnsiTheme="minorHAnsi" w:cs="Arial"/>
          <w:b/>
          <w:color w:val="1F497D" w:themeColor="text2"/>
          <w:szCs w:val="24"/>
        </w:rPr>
        <w:tab/>
        <w:t>Germany</w:t>
      </w:r>
    </w:p>
    <w:p w:rsidR="003A633C" w:rsidRPr="008744CB" w:rsidRDefault="003A633C" w:rsidP="003A633C">
      <w:pPr>
        <w:spacing w:after="120" w:line="276" w:lineRule="auto"/>
        <w:jc w:val="both"/>
        <w:rPr>
          <w:rFonts w:asciiTheme="minorHAnsi" w:hAnsiTheme="minorHAnsi" w:cs="Arial"/>
          <w:sz w:val="22"/>
          <w:szCs w:val="22"/>
        </w:rPr>
      </w:pPr>
      <w:r w:rsidRPr="008744CB">
        <w:rPr>
          <w:rFonts w:asciiTheme="minorHAnsi" w:hAnsiTheme="minorHAnsi" w:cs="Arial"/>
          <w:sz w:val="22"/>
          <w:szCs w:val="22"/>
        </w:rPr>
        <w:t>Germany has consistently been one of the most generous donors to African agriculture, with USD 2</w:t>
      </w:r>
      <w:r>
        <w:rPr>
          <w:rFonts w:asciiTheme="minorHAnsi" w:hAnsiTheme="minorHAnsi" w:cs="Arial"/>
          <w:sz w:val="22"/>
          <w:szCs w:val="22"/>
        </w:rPr>
        <w:t>96</w:t>
      </w:r>
      <w:r w:rsidRPr="008744CB">
        <w:rPr>
          <w:rFonts w:asciiTheme="minorHAnsi" w:hAnsiTheme="minorHAnsi" w:cs="Arial"/>
          <w:sz w:val="22"/>
          <w:szCs w:val="22"/>
        </w:rPr>
        <w:t xml:space="preserve"> million of ODA in 201</w:t>
      </w:r>
      <w:r>
        <w:rPr>
          <w:rFonts w:asciiTheme="minorHAnsi" w:hAnsiTheme="minorHAnsi" w:cs="Arial"/>
          <w:sz w:val="22"/>
          <w:szCs w:val="22"/>
        </w:rPr>
        <w:t>1</w:t>
      </w:r>
      <w:r w:rsidRPr="008744CB">
        <w:rPr>
          <w:rFonts w:asciiTheme="minorHAnsi" w:hAnsiTheme="minorHAnsi" w:cs="Arial"/>
          <w:sz w:val="22"/>
          <w:szCs w:val="22"/>
        </w:rPr>
        <w:t xml:space="preserve">.  The principal recipients of German bilateral African agricultural aid in the agriculture, forestry and fishing </w:t>
      </w:r>
      <w:r w:rsidRPr="00B2180B">
        <w:rPr>
          <w:rFonts w:asciiTheme="minorHAnsi" w:hAnsiTheme="minorHAnsi" w:cs="Arial"/>
          <w:sz w:val="22"/>
          <w:szCs w:val="22"/>
        </w:rPr>
        <w:t>sector in 201</w:t>
      </w:r>
      <w:r w:rsidR="00B2180B" w:rsidRPr="00B2180B">
        <w:rPr>
          <w:rFonts w:asciiTheme="minorHAnsi" w:hAnsiTheme="minorHAnsi" w:cs="Arial"/>
          <w:sz w:val="22"/>
          <w:szCs w:val="22"/>
        </w:rPr>
        <w:t>1</w:t>
      </w:r>
      <w:r w:rsidRPr="00B2180B">
        <w:rPr>
          <w:rFonts w:asciiTheme="minorHAnsi" w:hAnsiTheme="minorHAnsi" w:cs="Arial"/>
          <w:sz w:val="22"/>
          <w:szCs w:val="22"/>
        </w:rPr>
        <w:t xml:space="preserve"> were </w:t>
      </w:r>
      <w:r w:rsidR="00B2180B" w:rsidRPr="00B2180B">
        <w:rPr>
          <w:rFonts w:asciiTheme="minorHAnsi" w:hAnsiTheme="minorHAnsi" w:cs="Arial"/>
          <w:sz w:val="22"/>
          <w:szCs w:val="22"/>
        </w:rPr>
        <w:t>Tunisia</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51.4</w:t>
      </w:r>
      <w:r w:rsidRPr="00B2180B">
        <w:rPr>
          <w:rFonts w:asciiTheme="minorHAnsi" w:hAnsiTheme="minorHAnsi" w:cs="Arial"/>
          <w:sz w:val="22"/>
          <w:szCs w:val="22"/>
        </w:rPr>
        <w:t xml:space="preserve"> million), </w:t>
      </w:r>
      <w:r w:rsidR="00B2180B" w:rsidRPr="00B2180B">
        <w:rPr>
          <w:rFonts w:asciiTheme="minorHAnsi" w:hAnsiTheme="minorHAnsi" w:cs="Arial"/>
          <w:sz w:val="22"/>
          <w:szCs w:val="22"/>
        </w:rPr>
        <w:t>Cameroon</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51.3</w:t>
      </w:r>
      <w:r w:rsidRPr="00B2180B">
        <w:rPr>
          <w:rFonts w:asciiTheme="minorHAnsi" w:hAnsiTheme="minorHAnsi" w:cs="Arial"/>
          <w:sz w:val="22"/>
          <w:szCs w:val="22"/>
        </w:rPr>
        <w:t xml:space="preserve">m), </w:t>
      </w:r>
      <w:r w:rsidR="00B2180B" w:rsidRPr="00B2180B">
        <w:rPr>
          <w:rFonts w:asciiTheme="minorHAnsi" w:hAnsiTheme="minorHAnsi" w:cs="Arial"/>
          <w:sz w:val="22"/>
          <w:szCs w:val="22"/>
        </w:rPr>
        <w:t>Egypt</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34.8</w:t>
      </w:r>
      <w:r w:rsidRPr="00B2180B">
        <w:rPr>
          <w:rFonts w:asciiTheme="minorHAnsi" w:hAnsiTheme="minorHAnsi" w:cs="Arial"/>
          <w:sz w:val="22"/>
          <w:szCs w:val="22"/>
        </w:rPr>
        <w:t xml:space="preserve">m), </w:t>
      </w:r>
      <w:r w:rsidR="00B2180B" w:rsidRPr="00B2180B">
        <w:rPr>
          <w:rFonts w:asciiTheme="minorHAnsi" w:hAnsiTheme="minorHAnsi" w:cs="Arial"/>
          <w:sz w:val="22"/>
          <w:szCs w:val="22"/>
        </w:rPr>
        <w:t>and Ethiopia</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25.5</w:t>
      </w:r>
      <w:r w:rsidRPr="00B2180B">
        <w:rPr>
          <w:rFonts w:asciiTheme="minorHAnsi" w:hAnsiTheme="minorHAnsi" w:cs="Arial"/>
          <w:sz w:val="22"/>
          <w:szCs w:val="22"/>
        </w:rPr>
        <w:t>m).</w:t>
      </w:r>
      <w:r w:rsidRPr="008744CB">
        <w:rPr>
          <w:rFonts w:asciiTheme="minorHAnsi" w:hAnsiTheme="minorHAnsi" w:cs="Arial"/>
          <w:sz w:val="22"/>
          <w:szCs w:val="22"/>
        </w:rPr>
        <w:t xml:space="preserve">  </w:t>
      </w:r>
    </w:p>
    <w:p w:rsidR="003A633C" w:rsidRPr="008744CB" w:rsidRDefault="003A633C" w:rsidP="003A633C">
      <w:pPr>
        <w:spacing w:after="120" w:line="276" w:lineRule="auto"/>
        <w:jc w:val="both"/>
        <w:rPr>
          <w:rFonts w:asciiTheme="minorHAnsi" w:hAnsiTheme="minorHAnsi" w:cs="Arial"/>
          <w:sz w:val="22"/>
          <w:szCs w:val="22"/>
        </w:rPr>
      </w:pPr>
      <w:r w:rsidRPr="008744CB">
        <w:rPr>
          <w:rFonts w:asciiTheme="minorHAnsi" w:hAnsiTheme="minorHAnsi" w:cs="Arial"/>
          <w:sz w:val="22"/>
          <w:szCs w:val="22"/>
        </w:rPr>
        <w:t xml:space="preserve">Germany has also supported the </w:t>
      </w:r>
      <w:r>
        <w:rPr>
          <w:rFonts w:asciiTheme="minorHAnsi" w:hAnsiTheme="minorHAnsi"/>
          <w:sz w:val="22"/>
          <w:szCs w:val="22"/>
        </w:rPr>
        <w:t>New Partnership for Africa’s Development</w:t>
      </w:r>
      <w:r w:rsidRPr="008744CB">
        <w:rPr>
          <w:rFonts w:asciiTheme="minorHAnsi" w:hAnsiTheme="minorHAnsi" w:cs="Arial"/>
          <w:sz w:val="22"/>
          <w:szCs w:val="22"/>
        </w:rPr>
        <w:t xml:space="preserve"> </w:t>
      </w:r>
      <w:r>
        <w:rPr>
          <w:rFonts w:asciiTheme="minorHAnsi" w:hAnsiTheme="minorHAnsi" w:cs="Arial"/>
          <w:sz w:val="22"/>
          <w:szCs w:val="22"/>
        </w:rPr>
        <w:t>(</w:t>
      </w:r>
      <w:r w:rsidRPr="008744CB">
        <w:rPr>
          <w:rFonts w:asciiTheme="minorHAnsi" w:hAnsiTheme="minorHAnsi" w:cs="Arial"/>
          <w:sz w:val="22"/>
          <w:szCs w:val="22"/>
        </w:rPr>
        <w:t>NEPAD</w:t>
      </w:r>
      <w:r>
        <w:rPr>
          <w:rFonts w:asciiTheme="minorHAnsi" w:hAnsiTheme="minorHAnsi" w:cs="Arial"/>
          <w:sz w:val="22"/>
          <w:szCs w:val="22"/>
        </w:rPr>
        <w:t>)</w:t>
      </w:r>
      <w:r w:rsidRPr="008744CB">
        <w:rPr>
          <w:rFonts w:asciiTheme="minorHAnsi" w:hAnsiTheme="minorHAnsi" w:cs="Arial"/>
          <w:sz w:val="22"/>
          <w:szCs w:val="22"/>
        </w:rPr>
        <w:t xml:space="preserve"> Agency since 2002 and the CAADP process since 2007.  From August 2007-December 2012, </w:t>
      </w:r>
      <w:r w:rsidR="00EE085D">
        <w:rPr>
          <w:rFonts w:asciiTheme="minorHAnsi" w:hAnsiTheme="minorHAnsi" w:cs="Arial"/>
          <w:sz w:val="22"/>
          <w:szCs w:val="22"/>
        </w:rPr>
        <w:t xml:space="preserve">the German agency for international development – Deutsche </w:t>
      </w:r>
      <w:proofErr w:type="spellStart"/>
      <w:r w:rsidR="00EE085D">
        <w:rPr>
          <w:rFonts w:asciiTheme="minorHAnsi" w:hAnsiTheme="minorHAnsi" w:cs="Arial"/>
          <w:sz w:val="22"/>
          <w:szCs w:val="22"/>
        </w:rPr>
        <w:t>Gesellschaft</w:t>
      </w:r>
      <w:proofErr w:type="spellEnd"/>
      <w:r w:rsidR="00EE085D">
        <w:rPr>
          <w:rFonts w:asciiTheme="minorHAnsi" w:hAnsiTheme="minorHAnsi" w:cs="Arial"/>
          <w:sz w:val="22"/>
          <w:szCs w:val="22"/>
        </w:rPr>
        <w:t xml:space="preserve"> </w:t>
      </w:r>
      <w:proofErr w:type="spellStart"/>
      <w:r w:rsidR="00EE085D">
        <w:rPr>
          <w:rFonts w:asciiTheme="minorHAnsi" w:hAnsiTheme="minorHAnsi" w:cs="Arial"/>
          <w:sz w:val="22"/>
          <w:szCs w:val="22"/>
        </w:rPr>
        <w:t>f</w:t>
      </w:r>
      <w:r w:rsidR="00EE085D" w:rsidRPr="00EE085D">
        <w:rPr>
          <w:rFonts w:asciiTheme="minorHAnsi" w:hAnsiTheme="minorHAnsi" w:cs="Arial"/>
          <w:color w:val="333333"/>
          <w:sz w:val="22"/>
          <w:szCs w:val="22"/>
          <w:shd w:val="clear" w:color="auto" w:fill="FFFFFF"/>
        </w:rPr>
        <w:t>ü</w:t>
      </w:r>
      <w:r w:rsidR="00EE085D">
        <w:rPr>
          <w:rFonts w:asciiTheme="minorHAnsi" w:hAnsiTheme="minorHAnsi" w:cs="Arial"/>
          <w:sz w:val="22"/>
          <w:szCs w:val="22"/>
        </w:rPr>
        <w:t>r</w:t>
      </w:r>
      <w:proofErr w:type="spellEnd"/>
      <w:r w:rsidR="00EE085D">
        <w:rPr>
          <w:rFonts w:asciiTheme="minorHAnsi" w:hAnsiTheme="minorHAnsi" w:cs="Arial"/>
          <w:sz w:val="22"/>
          <w:szCs w:val="22"/>
        </w:rPr>
        <w:t xml:space="preserve"> </w:t>
      </w:r>
      <w:proofErr w:type="spellStart"/>
      <w:r w:rsidR="00EE085D">
        <w:rPr>
          <w:rFonts w:asciiTheme="minorHAnsi" w:hAnsiTheme="minorHAnsi" w:cs="Arial"/>
          <w:sz w:val="22"/>
          <w:szCs w:val="22"/>
        </w:rPr>
        <w:t>Internationale</w:t>
      </w:r>
      <w:proofErr w:type="spellEnd"/>
      <w:r w:rsidR="00EE085D">
        <w:rPr>
          <w:rFonts w:asciiTheme="minorHAnsi" w:hAnsiTheme="minorHAnsi" w:cs="Arial"/>
          <w:sz w:val="22"/>
          <w:szCs w:val="22"/>
        </w:rPr>
        <w:t xml:space="preserve"> </w:t>
      </w:r>
      <w:proofErr w:type="spellStart"/>
      <w:r w:rsidR="00EE085D">
        <w:rPr>
          <w:rFonts w:asciiTheme="minorHAnsi" w:hAnsiTheme="minorHAnsi" w:cs="Arial"/>
          <w:sz w:val="22"/>
          <w:szCs w:val="22"/>
        </w:rPr>
        <w:t>Zusammenarbet</w:t>
      </w:r>
      <w:proofErr w:type="spellEnd"/>
      <w:r w:rsidR="00EE085D">
        <w:rPr>
          <w:rFonts w:asciiTheme="minorHAnsi" w:hAnsiTheme="minorHAnsi" w:cs="Arial"/>
          <w:sz w:val="22"/>
          <w:szCs w:val="22"/>
        </w:rPr>
        <w:t xml:space="preserve"> (GIZ) - </w:t>
      </w:r>
      <w:r w:rsidRPr="008744CB">
        <w:rPr>
          <w:rFonts w:asciiTheme="minorHAnsi" w:hAnsiTheme="minorHAnsi" w:cs="Arial"/>
          <w:sz w:val="22"/>
          <w:szCs w:val="22"/>
        </w:rPr>
        <w:t xml:space="preserve">has provided </w:t>
      </w:r>
      <w:r w:rsidRPr="008744CB">
        <w:rPr>
          <w:rFonts w:asciiTheme="minorHAnsi" w:hAnsiTheme="minorHAnsi" w:cs="Arial"/>
          <w:b/>
          <w:sz w:val="22"/>
          <w:szCs w:val="22"/>
        </w:rPr>
        <w:t>Euro 10.5 million of German support to CAADP</w:t>
      </w:r>
      <w:r w:rsidRPr="008744CB">
        <w:rPr>
          <w:rFonts w:asciiTheme="minorHAnsi" w:hAnsiTheme="minorHAnsi" w:cs="Arial"/>
          <w:sz w:val="22"/>
          <w:szCs w:val="22"/>
        </w:rPr>
        <w:t xml:space="preserve"> in the fields of institutional development, training, technical advisory services and other forms of capacity development.  Project support is at a multi-level approach: to the NEPAD Agency’s CAADP team, to the Department of Rural Economy and Agriculture (DREA) at the AU Commission, as well as to other important stakeholders such as RECs and technical institutions.</w:t>
      </w:r>
      <w:r w:rsidRPr="008744CB">
        <w:rPr>
          <w:rStyle w:val="FootnoteReference"/>
          <w:rFonts w:asciiTheme="minorHAnsi" w:hAnsiTheme="minorHAnsi" w:cs="Arial"/>
          <w:sz w:val="22"/>
          <w:szCs w:val="22"/>
        </w:rPr>
        <w:footnoteReference w:id="21"/>
      </w:r>
    </w:p>
    <w:p w:rsidR="003A633C" w:rsidRPr="008744CB" w:rsidRDefault="003A633C" w:rsidP="003A633C">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w:t>
      </w:r>
      <w:r>
        <w:rPr>
          <w:rFonts w:asciiTheme="minorHAnsi" w:hAnsiTheme="minorHAnsi" w:cs="Arial"/>
          <w:b/>
          <w:color w:val="1F497D" w:themeColor="text2"/>
          <w:szCs w:val="24"/>
        </w:rPr>
        <w:t>5</w:t>
      </w:r>
      <w:r w:rsidRPr="008744CB">
        <w:rPr>
          <w:rFonts w:asciiTheme="minorHAnsi" w:hAnsiTheme="minorHAnsi" w:cs="Arial"/>
          <w:b/>
          <w:color w:val="1F497D" w:themeColor="text2"/>
          <w:szCs w:val="24"/>
        </w:rPr>
        <w:tab/>
        <w:t>Belgium</w:t>
      </w:r>
    </w:p>
    <w:p w:rsidR="003A633C" w:rsidRDefault="003A633C" w:rsidP="003A633C">
      <w:pPr>
        <w:spacing w:line="276" w:lineRule="auto"/>
        <w:jc w:val="both"/>
        <w:rPr>
          <w:rFonts w:asciiTheme="minorHAnsi" w:hAnsiTheme="minorHAnsi" w:cs="Arial"/>
          <w:sz w:val="22"/>
          <w:szCs w:val="22"/>
        </w:rPr>
      </w:pPr>
      <w:r w:rsidRPr="008744CB">
        <w:rPr>
          <w:rFonts w:asciiTheme="minorHAnsi" w:hAnsiTheme="minorHAnsi" w:cs="Arial"/>
          <w:sz w:val="22"/>
          <w:szCs w:val="22"/>
        </w:rPr>
        <w:t xml:space="preserve">Belgium has </w:t>
      </w:r>
      <w:r>
        <w:rPr>
          <w:rFonts w:asciiTheme="minorHAnsi" w:hAnsiTheme="minorHAnsi" w:cs="Arial"/>
          <w:sz w:val="22"/>
          <w:szCs w:val="22"/>
        </w:rPr>
        <w:t>also</w:t>
      </w:r>
      <w:r w:rsidRPr="008744CB">
        <w:rPr>
          <w:rFonts w:asciiTheme="minorHAnsi" w:hAnsiTheme="minorHAnsi" w:cs="Arial"/>
          <w:sz w:val="22"/>
          <w:szCs w:val="22"/>
        </w:rPr>
        <w:t xml:space="preserve"> been one </w:t>
      </w:r>
      <w:r w:rsidRPr="00B2180B">
        <w:rPr>
          <w:rFonts w:asciiTheme="minorHAnsi" w:hAnsiTheme="minorHAnsi" w:cs="Arial"/>
          <w:sz w:val="22"/>
          <w:szCs w:val="22"/>
        </w:rPr>
        <w:t>of the most generous donors to African agriculture, with USD 162 million of ODA in 2011.  Traditionally, the principal recipients of Belgian bilateral African aid have been French speaking and/or have post-colonial ties.  In 201</w:t>
      </w:r>
      <w:r w:rsidR="00B2180B" w:rsidRPr="00B2180B">
        <w:rPr>
          <w:rFonts w:asciiTheme="minorHAnsi" w:hAnsiTheme="minorHAnsi" w:cs="Arial"/>
          <w:sz w:val="22"/>
          <w:szCs w:val="22"/>
        </w:rPr>
        <w:t>1</w:t>
      </w:r>
      <w:r w:rsidRPr="00B2180B">
        <w:rPr>
          <w:rFonts w:asciiTheme="minorHAnsi" w:hAnsiTheme="minorHAnsi" w:cs="Arial"/>
          <w:sz w:val="22"/>
          <w:szCs w:val="22"/>
        </w:rPr>
        <w:t xml:space="preserve">, Belgian bilateral ODA in the agriculture, forestry and fishing sector was primarily concentrated in </w:t>
      </w:r>
      <w:r w:rsidR="00B2180B" w:rsidRPr="00B2180B">
        <w:rPr>
          <w:rFonts w:asciiTheme="minorHAnsi" w:hAnsiTheme="minorHAnsi" w:cs="Arial"/>
          <w:sz w:val="22"/>
          <w:szCs w:val="22"/>
        </w:rPr>
        <w:t>Burundi</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37.2</w:t>
      </w:r>
      <w:r w:rsidRPr="00B2180B">
        <w:rPr>
          <w:rFonts w:asciiTheme="minorHAnsi" w:hAnsiTheme="minorHAnsi" w:cs="Arial"/>
          <w:sz w:val="22"/>
          <w:szCs w:val="22"/>
        </w:rPr>
        <w:t xml:space="preserve"> million),</w:t>
      </w:r>
      <w:r w:rsidR="00B2180B" w:rsidRPr="00B2180B">
        <w:rPr>
          <w:rFonts w:asciiTheme="minorHAnsi" w:hAnsiTheme="minorHAnsi" w:cs="Arial"/>
          <w:sz w:val="22"/>
          <w:szCs w:val="22"/>
        </w:rPr>
        <w:t xml:space="preserve"> Rwanda</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29.9</w:t>
      </w:r>
      <w:r w:rsidRPr="00B2180B">
        <w:rPr>
          <w:rFonts w:asciiTheme="minorHAnsi" w:hAnsiTheme="minorHAnsi" w:cs="Arial"/>
          <w:sz w:val="22"/>
          <w:szCs w:val="22"/>
        </w:rPr>
        <w:t xml:space="preserve">), and </w:t>
      </w:r>
      <w:r w:rsidR="00FE3438">
        <w:rPr>
          <w:rFonts w:asciiTheme="minorHAnsi" w:hAnsiTheme="minorHAnsi" w:cs="Arial"/>
          <w:sz w:val="22"/>
          <w:szCs w:val="22"/>
        </w:rPr>
        <w:t>the Democratic Republic of Congo</w:t>
      </w:r>
      <w:r w:rsidRPr="00B2180B">
        <w:rPr>
          <w:rFonts w:asciiTheme="minorHAnsi" w:hAnsiTheme="minorHAnsi" w:cs="Arial"/>
          <w:sz w:val="22"/>
          <w:szCs w:val="22"/>
        </w:rPr>
        <w:t xml:space="preserve"> (USD </w:t>
      </w:r>
      <w:r w:rsidR="00B2180B" w:rsidRPr="00B2180B">
        <w:rPr>
          <w:rFonts w:asciiTheme="minorHAnsi" w:hAnsiTheme="minorHAnsi" w:cs="Arial"/>
          <w:sz w:val="22"/>
          <w:szCs w:val="22"/>
        </w:rPr>
        <w:t>22.6</w:t>
      </w:r>
      <w:r w:rsidRPr="00B2180B">
        <w:rPr>
          <w:rFonts w:asciiTheme="minorHAnsi" w:hAnsiTheme="minorHAnsi" w:cs="Arial"/>
          <w:sz w:val="22"/>
          <w:szCs w:val="22"/>
        </w:rPr>
        <w:t>m).</w:t>
      </w:r>
      <w:r w:rsidRPr="008744CB">
        <w:rPr>
          <w:rFonts w:asciiTheme="minorHAnsi" w:hAnsiTheme="minorHAnsi" w:cs="Arial"/>
          <w:sz w:val="22"/>
          <w:szCs w:val="22"/>
        </w:rPr>
        <w:t xml:space="preserve">  </w:t>
      </w:r>
    </w:p>
    <w:p w:rsidR="003F6C09" w:rsidRPr="008744CB" w:rsidRDefault="003F6C09" w:rsidP="003F6C09">
      <w:pPr>
        <w:autoSpaceDE w:val="0"/>
        <w:autoSpaceDN w:val="0"/>
        <w:adjustRightInd w:val="0"/>
        <w:rPr>
          <w:rFonts w:asciiTheme="minorHAnsi" w:hAnsiTheme="minorHAnsi" w:cs="VistaSansBold"/>
          <w:b/>
          <w:bCs/>
          <w:color w:val="358AB6"/>
          <w:sz w:val="22"/>
          <w:szCs w:val="22"/>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w:t>
      </w:r>
      <w:r w:rsidR="003A633C">
        <w:rPr>
          <w:rFonts w:asciiTheme="minorHAnsi" w:hAnsiTheme="minorHAnsi" w:cs="Arial"/>
          <w:b/>
          <w:color w:val="1F497D" w:themeColor="text2"/>
          <w:szCs w:val="24"/>
        </w:rPr>
        <w:t>6</w:t>
      </w:r>
      <w:r w:rsidRPr="008744CB">
        <w:rPr>
          <w:rFonts w:asciiTheme="minorHAnsi" w:hAnsiTheme="minorHAnsi" w:cs="Arial"/>
          <w:b/>
          <w:color w:val="1F497D" w:themeColor="text2"/>
          <w:szCs w:val="24"/>
        </w:rPr>
        <w:tab/>
        <w:t>Canada</w:t>
      </w:r>
    </w:p>
    <w:p w:rsidR="003F6C09" w:rsidRPr="008744CB" w:rsidRDefault="00FE3438" w:rsidP="008744CB">
      <w:pPr>
        <w:spacing w:after="120" w:line="276" w:lineRule="auto"/>
        <w:jc w:val="both"/>
        <w:rPr>
          <w:rFonts w:asciiTheme="minorHAnsi" w:hAnsiTheme="minorHAnsi" w:cs="Arial"/>
          <w:sz w:val="22"/>
          <w:szCs w:val="22"/>
        </w:rPr>
      </w:pPr>
      <w:r>
        <w:rPr>
          <w:rFonts w:asciiTheme="minorHAnsi" w:hAnsiTheme="minorHAnsi" w:cs="Arial"/>
          <w:sz w:val="22"/>
          <w:szCs w:val="22"/>
        </w:rPr>
        <w:t xml:space="preserve">Canada is another </w:t>
      </w:r>
      <w:r w:rsidR="003F6C09" w:rsidRPr="008744CB">
        <w:rPr>
          <w:rFonts w:asciiTheme="minorHAnsi" w:hAnsiTheme="minorHAnsi" w:cs="Arial"/>
          <w:sz w:val="22"/>
          <w:szCs w:val="22"/>
        </w:rPr>
        <w:t xml:space="preserve">of the largest donors to </w:t>
      </w:r>
      <w:r w:rsidR="003F6C09" w:rsidRPr="0003204C">
        <w:rPr>
          <w:rFonts w:asciiTheme="minorHAnsi" w:hAnsiTheme="minorHAnsi" w:cs="Arial"/>
          <w:sz w:val="22"/>
          <w:szCs w:val="22"/>
        </w:rPr>
        <w:t xml:space="preserve">African agriculture, with USD </w:t>
      </w:r>
      <w:r w:rsidR="003A633C" w:rsidRPr="0003204C">
        <w:rPr>
          <w:rFonts w:asciiTheme="minorHAnsi" w:hAnsiTheme="minorHAnsi" w:cs="Arial"/>
          <w:sz w:val="22"/>
          <w:szCs w:val="22"/>
        </w:rPr>
        <w:t>15</w:t>
      </w:r>
      <w:r>
        <w:rPr>
          <w:rFonts w:asciiTheme="minorHAnsi" w:hAnsiTheme="minorHAnsi" w:cs="Arial"/>
          <w:sz w:val="22"/>
          <w:szCs w:val="22"/>
        </w:rPr>
        <w:t>8 million of ODA</w:t>
      </w:r>
      <w:r w:rsidR="003F6C09" w:rsidRPr="0003204C">
        <w:rPr>
          <w:rFonts w:asciiTheme="minorHAnsi" w:hAnsiTheme="minorHAnsi" w:cs="Arial"/>
          <w:sz w:val="22"/>
          <w:szCs w:val="22"/>
        </w:rPr>
        <w:t xml:space="preserve"> </w:t>
      </w:r>
      <w:r w:rsidR="003A633C" w:rsidRPr="0003204C">
        <w:rPr>
          <w:rFonts w:asciiTheme="minorHAnsi" w:hAnsiTheme="minorHAnsi" w:cs="Arial"/>
          <w:sz w:val="22"/>
          <w:szCs w:val="22"/>
        </w:rPr>
        <w:t>in 2011</w:t>
      </w:r>
      <w:r w:rsidR="003F6C09" w:rsidRPr="0003204C">
        <w:rPr>
          <w:rFonts w:asciiTheme="minorHAnsi" w:hAnsiTheme="minorHAnsi" w:cs="Arial"/>
          <w:sz w:val="22"/>
          <w:szCs w:val="22"/>
        </w:rPr>
        <w:t xml:space="preserve">.  </w:t>
      </w:r>
      <w:r w:rsidR="00BE4A33" w:rsidRPr="0003204C">
        <w:rPr>
          <w:rFonts w:asciiTheme="minorHAnsi" w:hAnsiTheme="minorHAnsi" w:cs="Arial"/>
          <w:sz w:val="22"/>
          <w:szCs w:val="22"/>
        </w:rPr>
        <w:t xml:space="preserve">The principal recipients of Canadian bilateral African agricultural aid in 2011 were </w:t>
      </w:r>
      <w:r w:rsidR="0003204C" w:rsidRPr="0003204C">
        <w:rPr>
          <w:rFonts w:asciiTheme="minorHAnsi" w:hAnsiTheme="minorHAnsi" w:cs="Arial"/>
          <w:sz w:val="22"/>
          <w:szCs w:val="22"/>
        </w:rPr>
        <w:t>Ethiopia</w:t>
      </w:r>
      <w:r w:rsidR="00BE4A33" w:rsidRPr="0003204C">
        <w:rPr>
          <w:rFonts w:asciiTheme="minorHAnsi" w:hAnsiTheme="minorHAnsi" w:cs="Arial"/>
          <w:sz w:val="22"/>
          <w:szCs w:val="22"/>
        </w:rPr>
        <w:t xml:space="preserve"> (USD </w:t>
      </w:r>
      <w:r w:rsidR="0003204C" w:rsidRPr="0003204C">
        <w:rPr>
          <w:rFonts w:asciiTheme="minorHAnsi" w:hAnsiTheme="minorHAnsi" w:cs="Arial"/>
          <w:sz w:val="22"/>
          <w:szCs w:val="22"/>
        </w:rPr>
        <w:t>25.2</w:t>
      </w:r>
      <w:r w:rsidR="00BE4A33" w:rsidRPr="0003204C">
        <w:rPr>
          <w:rFonts w:asciiTheme="minorHAnsi" w:hAnsiTheme="minorHAnsi" w:cs="Arial"/>
          <w:sz w:val="22"/>
          <w:szCs w:val="22"/>
        </w:rPr>
        <w:t xml:space="preserve"> million), </w:t>
      </w:r>
      <w:r w:rsidR="0003204C" w:rsidRPr="0003204C">
        <w:rPr>
          <w:rFonts w:asciiTheme="minorHAnsi" w:hAnsiTheme="minorHAnsi" w:cs="Arial"/>
          <w:sz w:val="22"/>
          <w:szCs w:val="22"/>
        </w:rPr>
        <w:t>South Sudan</w:t>
      </w:r>
      <w:r w:rsidR="00BE4A33" w:rsidRPr="0003204C">
        <w:rPr>
          <w:rFonts w:asciiTheme="minorHAnsi" w:hAnsiTheme="minorHAnsi" w:cs="Arial"/>
          <w:sz w:val="22"/>
          <w:szCs w:val="22"/>
        </w:rPr>
        <w:t xml:space="preserve"> (USD </w:t>
      </w:r>
      <w:r w:rsidR="0003204C" w:rsidRPr="0003204C">
        <w:rPr>
          <w:rFonts w:asciiTheme="minorHAnsi" w:hAnsiTheme="minorHAnsi" w:cs="Arial"/>
          <w:sz w:val="22"/>
          <w:szCs w:val="22"/>
        </w:rPr>
        <w:t>14.8</w:t>
      </w:r>
      <w:r w:rsidR="00BE4A33" w:rsidRPr="0003204C">
        <w:rPr>
          <w:rFonts w:asciiTheme="minorHAnsi" w:hAnsiTheme="minorHAnsi" w:cs="Arial"/>
          <w:sz w:val="22"/>
          <w:szCs w:val="22"/>
        </w:rPr>
        <w:t xml:space="preserve">m), </w:t>
      </w:r>
      <w:r w:rsidR="0003204C" w:rsidRPr="0003204C">
        <w:rPr>
          <w:rFonts w:asciiTheme="minorHAnsi" w:hAnsiTheme="minorHAnsi" w:cs="Arial"/>
          <w:sz w:val="22"/>
          <w:szCs w:val="22"/>
        </w:rPr>
        <w:t>Senegal</w:t>
      </w:r>
      <w:r w:rsidR="00BE4A33" w:rsidRPr="0003204C">
        <w:rPr>
          <w:rFonts w:asciiTheme="minorHAnsi" w:hAnsiTheme="minorHAnsi" w:cs="Arial"/>
          <w:sz w:val="22"/>
          <w:szCs w:val="22"/>
        </w:rPr>
        <w:t xml:space="preserve"> (USD </w:t>
      </w:r>
      <w:r w:rsidR="0003204C" w:rsidRPr="0003204C">
        <w:rPr>
          <w:rFonts w:asciiTheme="minorHAnsi" w:hAnsiTheme="minorHAnsi" w:cs="Arial"/>
          <w:sz w:val="22"/>
          <w:szCs w:val="22"/>
        </w:rPr>
        <w:t>12.3</w:t>
      </w:r>
      <w:r w:rsidR="00BE4A33" w:rsidRPr="0003204C">
        <w:rPr>
          <w:rFonts w:asciiTheme="minorHAnsi" w:hAnsiTheme="minorHAnsi" w:cs="Arial"/>
          <w:sz w:val="22"/>
          <w:szCs w:val="22"/>
        </w:rPr>
        <w:t xml:space="preserve">m), and </w:t>
      </w:r>
      <w:r w:rsidR="0003204C" w:rsidRPr="0003204C">
        <w:rPr>
          <w:rFonts w:asciiTheme="minorHAnsi" w:hAnsiTheme="minorHAnsi" w:cs="Arial"/>
          <w:sz w:val="22"/>
          <w:szCs w:val="22"/>
        </w:rPr>
        <w:t>Mozambique</w:t>
      </w:r>
      <w:r w:rsidR="00BE4A33" w:rsidRPr="0003204C">
        <w:rPr>
          <w:rFonts w:asciiTheme="minorHAnsi" w:hAnsiTheme="minorHAnsi" w:cs="Arial"/>
          <w:sz w:val="22"/>
          <w:szCs w:val="22"/>
        </w:rPr>
        <w:t xml:space="preserve"> (USD </w:t>
      </w:r>
      <w:r w:rsidR="0003204C" w:rsidRPr="0003204C">
        <w:rPr>
          <w:rFonts w:asciiTheme="minorHAnsi" w:hAnsiTheme="minorHAnsi" w:cs="Arial"/>
          <w:sz w:val="22"/>
          <w:szCs w:val="22"/>
        </w:rPr>
        <w:t>11.9m</w:t>
      </w:r>
      <w:r w:rsidR="00BE4A33" w:rsidRPr="0003204C">
        <w:rPr>
          <w:rFonts w:asciiTheme="minorHAnsi" w:hAnsiTheme="minorHAnsi" w:cs="Arial"/>
          <w:sz w:val="22"/>
          <w:szCs w:val="22"/>
        </w:rPr>
        <w:t xml:space="preserve">).  </w:t>
      </w:r>
      <w:r w:rsidR="003F6C09" w:rsidRPr="0003204C">
        <w:rPr>
          <w:rFonts w:asciiTheme="minorHAnsi" w:hAnsiTheme="minorHAnsi" w:cs="Arial"/>
          <w:sz w:val="22"/>
          <w:szCs w:val="22"/>
        </w:rPr>
        <w:t xml:space="preserve">According to the </w:t>
      </w:r>
      <w:r w:rsidR="00155CEB" w:rsidRPr="0003204C">
        <w:rPr>
          <w:rFonts w:asciiTheme="minorHAnsi" w:hAnsiTheme="minorHAnsi" w:cs="Arial"/>
          <w:sz w:val="22"/>
          <w:szCs w:val="22"/>
        </w:rPr>
        <w:t>Canadian International Development Agency (</w:t>
      </w:r>
      <w:r w:rsidR="003F6C09" w:rsidRPr="0003204C">
        <w:rPr>
          <w:rFonts w:asciiTheme="minorHAnsi" w:hAnsiTheme="minorHAnsi" w:cs="Arial"/>
          <w:sz w:val="22"/>
          <w:szCs w:val="22"/>
        </w:rPr>
        <w:t>CIDA</w:t>
      </w:r>
      <w:r w:rsidR="00155CEB" w:rsidRPr="0003204C">
        <w:rPr>
          <w:rFonts w:asciiTheme="minorHAnsi" w:hAnsiTheme="minorHAnsi" w:cs="Arial"/>
          <w:sz w:val="22"/>
          <w:szCs w:val="22"/>
        </w:rPr>
        <w:t>)</w:t>
      </w:r>
      <w:r w:rsidR="003F6C09" w:rsidRPr="0003204C">
        <w:rPr>
          <w:rFonts w:asciiTheme="minorHAnsi" w:hAnsiTheme="minorHAnsi" w:cs="Arial"/>
          <w:sz w:val="22"/>
          <w:szCs w:val="22"/>
        </w:rPr>
        <w:t xml:space="preserve"> website, Canada works closely</w:t>
      </w:r>
      <w:r w:rsidR="003F6C09" w:rsidRPr="008744CB">
        <w:rPr>
          <w:rFonts w:asciiTheme="minorHAnsi" w:hAnsiTheme="minorHAnsi" w:cs="Arial"/>
          <w:sz w:val="22"/>
          <w:szCs w:val="22"/>
        </w:rPr>
        <w:t xml:space="preserve"> with CAADP and focuses on innovative agricultural research and building the capacity of African regional bodies to develop and share new research and technologies.   Much of the programming has been undertaken by the Canada Fund for Africa program,</w:t>
      </w:r>
      <w:r w:rsidR="003F6C09" w:rsidRPr="008744CB">
        <w:rPr>
          <w:rStyle w:val="FootnoteReference"/>
          <w:rFonts w:asciiTheme="minorHAnsi" w:hAnsiTheme="minorHAnsi" w:cs="Arial"/>
          <w:sz w:val="22"/>
          <w:szCs w:val="22"/>
        </w:rPr>
        <w:footnoteReference w:id="22"/>
      </w:r>
      <w:r w:rsidR="003F6C09" w:rsidRPr="008744CB">
        <w:rPr>
          <w:rFonts w:asciiTheme="minorHAnsi" w:hAnsiTheme="minorHAnsi" w:cs="Arial"/>
          <w:sz w:val="22"/>
          <w:szCs w:val="22"/>
        </w:rPr>
        <w:t xml:space="preserve"> with key investments in research including:</w:t>
      </w:r>
    </w:p>
    <w:p w:rsidR="003F6C09" w:rsidRPr="008744CB" w:rsidRDefault="003F6C09" w:rsidP="007770A6">
      <w:pPr>
        <w:numPr>
          <w:ilvl w:val="0"/>
          <w:numId w:val="7"/>
        </w:numPr>
        <w:spacing w:after="120" w:line="276" w:lineRule="auto"/>
        <w:ind w:left="714" w:hanging="357"/>
        <w:rPr>
          <w:rFonts w:asciiTheme="minorHAnsi" w:hAnsiTheme="minorHAnsi"/>
          <w:color w:val="000000"/>
          <w:sz w:val="22"/>
          <w:szCs w:val="22"/>
          <w:lang w:eastAsia="en-GB"/>
        </w:rPr>
      </w:pPr>
      <w:r w:rsidRPr="008744CB">
        <w:rPr>
          <w:rFonts w:asciiTheme="minorHAnsi" w:hAnsiTheme="minorHAnsi"/>
          <w:color w:val="000000"/>
          <w:sz w:val="22"/>
          <w:szCs w:val="22"/>
          <w:lang w:eastAsia="en-GB"/>
        </w:rPr>
        <w:t xml:space="preserve">Canada is investing </w:t>
      </w:r>
      <w:r w:rsidRPr="008744CB">
        <w:rPr>
          <w:rFonts w:asciiTheme="minorHAnsi" w:hAnsiTheme="minorHAnsi"/>
          <w:b/>
          <w:color w:val="000000"/>
          <w:sz w:val="22"/>
          <w:szCs w:val="22"/>
          <w:lang w:eastAsia="en-GB"/>
        </w:rPr>
        <w:t>$40 million for Africa-specific research at the Consultative Group on International Agricultural Research</w:t>
      </w:r>
      <w:r w:rsidRPr="008744CB">
        <w:rPr>
          <w:rFonts w:asciiTheme="minorHAnsi" w:hAnsiTheme="minorHAnsi"/>
          <w:color w:val="000000"/>
          <w:sz w:val="22"/>
          <w:szCs w:val="22"/>
          <w:lang w:eastAsia="en-GB"/>
        </w:rPr>
        <w:t xml:space="preserve">. </w:t>
      </w:r>
      <w:r w:rsidRPr="008744CB">
        <w:rPr>
          <w:rStyle w:val="FootnoteReference"/>
          <w:rFonts w:asciiTheme="minorHAnsi" w:hAnsiTheme="minorHAnsi"/>
          <w:color w:val="000000"/>
          <w:sz w:val="22"/>
          <w:szCs w:val="22"/>
          <w:lang w:eastAsia="en-GB"/>
        </w:rPr>
        <w:footnoteReference w:id="23"/>
      </w:r>
    </w:p>
    <w:p w:rsidR="003F6C09" w:rsidRPr="008744CB" w:rsidRDefault="003F6C09" w:rsidP="007770A6">
      <w:pPr>
        <w:numPr>
          <w:ilvl w:val="0"/>
          <w:numId w:val="7"/>
        </w:numPr>
        <w:spacing w:after="120" w:line="276" w:lineRule="auto"/>
        <w:ind w:left="714" w:hanging="357"/>
        <w:rPr>
          <w:rFonts w:asciiTheme="minorHAnsi" w:hAnsiTheme="minorHAnsi"/>
          <w:color w:val="000000"/>
          <w:sz w:val="22"/>
          <w:szCs w:val="22"/>
          <w:lang w:eastAsia="en-GB"/>
        </w:rPr>
      </w:pPr>
      <w:r w:rsidRPr="008744CB">
        <w:rPr>
          <w:rFonts w:asciiTheme="minorHAnsi" w:hAnsiTheme="minorHAnsi"/>
          <w:color w:val="000000"/>
          <w:sz w:val="22"/>
          <w:szCs w:val="22"/>
          <w:lang w:eastAsia="en-GB"/>
        </w:rPr>
        <w:lastRenderedPageBreak/>
        <w:t xml:space="preserve">With Canadian support of </w:t>
      </w:r>
      <w:r w:rsidRPr="008744CB">
        <w:rPr>
          <w:rFonts w:asciiTheme="minorHAnsi" w:hAnsiTheme="minorHAnsi"/>
          <w:b/>
          <w:color w:val="000000"/>
          <w:sz w:val="22"/>
          <w:szCs w:val="22"/>
          <w:lang w:eastAsia="en-GB"/>
        </w:rPr>
        <w:t>$30 million, a bio-sciences centre for agriculture is being established in Kenya</w:t>
      </w:r>
      <w:r w:rsidRPr="008744CB">
        <w:rPr>
          <w:rFonts w:asciiTheme="minorHAnsi" w:hAnsiTheme="minorHAnsi"/>
          <w:color w:val="000000"/>
          <w:sz w:val="22"/>
          <w:szCs w:val="22"/>
          <w:lang w:eastAsia="en-GB"/>
        </w:rPr>
        <w:t xml:space="preserve"> to develop local capacity for advanced research. Canada's support will also help develop a network of centres of excellence in Africa.</w:t>
      </w:r>
    </w:p>
    <w:p w:rsidR="003F6C09" w:rsidRPr="008744CB" w:rsidRDefault="003F6C09" w:rsidP="007770A6">
      <w:pPr>
        <w:numPr>
          <w:ilvl w:val="0"/>
          <w:numId w:val="7"/>
        </w:numPr>
        <w:spacing w:after="120" w:line="276" w:lineRule="auto"/>
        <w:rPr>
          <w:rFonts w:asciiTheme="minorHAnsi" w:hAnsiTheme="minorHAnsi"/>
          <w:color w:val="000000"/>
          <w:sz w:val="22"/>
          <w:szCs w:val="22"/>
          <w:lang w:eastAsia="en-GB"/>
        </w:rPr>
      </w:pPr>
      <w:r w:rsidRPr="008744CB">
        <w:rPr>
          <w:rFonts w:asciiTheme="minorHAnsi" w:hAnsiTheme="minorHAnsi"/>
          <w:b/>
          <w:color w:val="000000"/>
          <w:sz w:val="22"/>
          <w:szCs w:val="22"/>
          <w:lang w:eastAsia="en-GB"/>
        </w:rPr>
        <w:t>Strategic partnership between the Canadian and Australian research programmes</w:t>
      </w:r>
      <w:r w:rsidRPr="008744CB">
        <w:rPr>
          <w:rFonts w:asciiTheme="minorHAnsi" w:hAnsiTheme="minorHAnsi"/>
          <w:color w:val="000000"/>
          <w:sz w:val="22"/>
          <w:szCs w:val="22"/>
          <w:lang w:eastAsia="en-GB"/>
        </w:rPr>
        <w:t xml:space="preserve"> for food security in Africa – the Joint Research Program on Agriculture and Food Security - worth $15 million over 4 years</w:t>
      </w:r>
      <w:r w:rsidRPr="008744CB">
        <w:rPr>
          <w:rFonts w:asciiTheme="minorHAnsi" w:hAnsiTheme="minorHAnsi"/>
          <w:sz w:val="22"/>
          <w:szCs w:val="22"/>
          <w:lang w:eastAsia="en-GB"/>
        </w:rPr>
        <w:t>.</w:t>
      </w:r>
      <w:r w:rsidRPr="008744CB">
        <w:rPr>
          <w:rStyle w:val="FootnoteReference"/>
          <w:rFonts w:asciiTheme="minorHAnsi" w:hAnsiTheme="minorHAnsi"/>
          <w:sz w:val="22"/>
          <w:szCs w:val="22"/>
          <w:lang w:eastAsia="en-GB"/>
        </w:rPr>
        <w:footnoteReference w:id="24"/>
      </w:r>
      <w:r w:rsidRPr="008744CB">
        <w:rPr>
          <w:rFonts w:asciiTheme="minorHAnsi" w:hAnsiTheme="minorHAnsi"/>
          <w:sz w:val="22"/>
          <w:szCs w:val="22"/>
          <w:lang w:eastAsia="en-GB"/>
        </w:rPr>
        <w:t xml:space="preserve">  </w:t>
      </w:r>
    </w:p>
    <w:p w:rsidR="008744CB" w:rsidRPr="008744CB" w:rsidRDefault="008744CB" w:rsidP="003F6C09">
      <w:pPr>
        <w:jc w:val="both"/>
        <w:rPr>
          <w:rFonts w:asciiTheme="minorHAnsi" w:hAnsiTheme="minorHAnsi" w:cs="Arial"/>
          <w:sz w:val="22"/>
          <w:szCs w:val="22"/>
        </w:rPr>
      </w:pP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t>2.</w:t>
      </w:r>
      <w:r w:rsidR="004940A8">
        <w:rPr>
          <w:rFonts w:asciiTheme="minorHAnsi" w:hAnsiTheme="minorHAnsi" w:cs="Arial"/>
          <w:b/>
          <w:color w:val="1F497D" w:themeColor="text2"/>
          <w:szCs w:val="24"/>
        </w:rPr>
        <w:t>2</w:t>
      </w:r>
      <w:r w:rsidRPr="008744CB">
        <w:rPr>
          <w:rFonts w:asciiTheme="minorHAnsi" w:hAnsiTheme="minorHAnsi" w:cs="Arial"/>
          <w:b/>
          <w:color w:val="1F497D" w:themeColor="text2"/>
          <w:szCs w:val="24"/>
        </w:rPr>
        <w:t>.</w:t>
      </w:r>
      <w:r w:rsidR="00AE1DE0">
        <w:rPr>
          <w:rFonts w:asciiTheme="minorHAnsi" w:hAnsiTheme="minorHAnsi" w:cs="Arial"/>
          <w:b/>
          <w:color w:val="1F497D" w:themeColor="text2"/>
          <w:szCs w:val="24"/>
        </w:rPr>
        <w:t>7</w:t>
      </w:r>
      <w:r w:rsidRPr="008744CB">
        <w:rPr>
          <w:rFonts w:asciiTheme="minorHAnsi" w:hAnsiTheme="minorHAnsi" w:cs="Arial"/>
          <w:b/>
          <w:color w:val="1F497D" w:themeColor="text2"/>
          <w:szCs w:val="24"/>
        </w:rPr>
        <w:tab/>
        <w:t>EU Institutions</w:t>
      </w:r>
    </w:p>
    <w:p w:rsidR="003F6C09" w:rsidRPr="008744CB" w:rsidRDefault="00893287" w:rsidP="0003204C">
      <w:pPr>
        <w:spacing w:after="120" w:line="276" w:lineRule="auto"/>
        <w:jc w:val="both"/>
        <w:rPr>
          <w:rFonts w:asciiTheme="minorHAnsi" w:hAnsiTheme="minorHAnsi" w:cs="Arial"/>
        </w:rPr>
      </w:pPr>
      <w:r>
        <w:rPr>
          <w:rFonts w:asciiTheme="minorHAnsi" w:hAnsiTheme="minorHAnsi" w:cs="Arial"/>
          <w:sz w:val="22"/>
          <w:szCs w:val="22"/>
        </w:rPr>
        <w:t xml:space="preserve">In 2011, the EU institutions committed </w:t>
      </w:r>
      <w:r w:rsidRPr="00893287">
        <w:rPr>
          <w:rFonts w:asciiTheme="minorHAnsi" w:hAnsiTheme="minorHAnsi" w:cs="Arial"/>
          <w:b/>
          <w:sz w:val="22"/>
          <w:szCs w:val="22"/>
        </w:rPr>
        <w:t>USD 429.8 million</w:t>
      </w:r>
      <w:r>
        <w:rPr>
          <w:rFonts w:asciiTheme="minorHAnsi" w:hAnsiTheme="minorHAnsi" w:cs="Arial"/>
          <w:sz w:val="22"/>
          <w:szCs w:val="22"/>
        </w:rPr>
        <w:t xml:space="preserve"> to agriculture, forestry and fishing in Africa – 2.8 per cent of the total USD 15.4 billion </w:t>
      </w:r>
      <w:r w:rsidR="009D154E">
        <w:rPr>
          <w:rFonts w:asciiTheme="minorHAnsi" w:hAnsiTheme="minorHAnsi" w:cs="Arial"/>
          <w:sz w:val="22"/>
          <w:szCs w:val="22"/>
        </w:rPr>
        <w:t xml:space="preserve">it </w:t>
      </w:r>
      <w:r>
        <w:rPr>
          <w:rFonts w:asciiTheme="minorHAnsi" w:hAnsiTheme="minorHAnsi" w:cs="Arial"/>
          <w:sz w:val="22"/>
          <w:szCs w:val="22"/>
        </w:rPr>
        <w:t xml:space="preserve">committed that year.  </w:t>
      </w:r>
      <w:r w:rsidR="003F6C09" w:rsidRPr="008744CB">
        <w:rPr>
          <w:rFonts w:asciiTheme="minorHAnsi" w:hAnsiTheme="minorHAnsi" w:cs="Arial"/>
          <w:sz w:val="22"/>
          <w:szCs w:val="22"/>
        </w:rPr>
        <w:t xml:space="preserve">The European Union has provided considerable support for agriculture and food security in Africa through a framework of cooperation which focuses on capacity building and institutional strengthening at the continental and regional levels.  A number of initiatives have been implemented as part of this Africa-EU Strategic Partnership, including a project </w:t>
      </w:r>
      <w:r w:rsidR="003F6C09" w:rsidRPr="008744CB">
        <w:rPr>
          <w:rFonts w:asciiTheme="minorHAnsi" w:hAnsiTheme="minorHAnsi"/>
          <w:sz w:val="22"/>
          <w:szCs w:val="22"/>
          <w:lang w:eastAsia="en-GB"/>
        </w:rPr>
        <w:t>aimed at capacity-building for CAADP institutions and processes (supported by the Commission with a €5 million contribution), various agricultural research programmes (€26 million), support to farmers' organisations and agricultural policy processes (€5 million) and to the African Forum for Agricultural Advisory Services (€1.5 million).</w:t>
      </w:r>
      <w:r w:rsidR="003F6C09" w:rsidRPr="008744CB">
        <w:rPr>
          <w:rStyle w:val="FootnoteReference"/>
          <w:rFonts w:asciiTheme="minorHAnsi" w:hAnsiTheme="minorHAnsi"/>
          <w:sz w:val="22"/>
          <w:szCs w:val="22"/>
          <w:lang w:eastAsia="en-GB"/>
        </w:rPr>
        <w:footnoteReference w:id="25"/>
      </w:r>
    </w:p>
    <w:p w:rsidR="003F6C09" w:rsidRDefault="003F6C09" w:rsidP="003F6C09">
      <w:pPr>
        <w:rPr>
          <w:rFonts w:asciiTheme="minorHAnsi" w:hAnsiTheme="minorHAnsi" w:cs="Arial"/>
          <w:b/>
          <w:color w:val="1F497D" w:themeColor="text2"/>
          <w:sz w:val="20"/>
        </w:rPr>
      </w:pPr>
    </w:p>
    <w:p w:rsidR="00E047F8" w:rsidRPr="008744CB" w:rsidRDefault="00E047F8" w:rsidP="003F6C09">
      <w:pPr>
        <w:rPr>
          <w:rFonts w:asciiTheme="minorHAnsi" w:hAnsiTheme="minorHAnsi" w:cs="Arial"/>
          <w:b/>
          <w:color w:val="1F497D" w:themeColor="text2"/>
          <w:sz w:val="20"/>
        </w:rPr>
      </w:pPr>
    </w:p>
    <w:p w:rsidR="003F6C09" w:rsidRPr="008744CB" w:rsidRDefault="004940A8" w:rsidP="003F6C09">
      <w:pPr>
        <w:autoSpaceDE w:val="0"/>
        <w:autoSpaceDN w:val="0"/>
        <w:adjustRightInd w:val="0"/>
        <w:rPr>
          <w:rFonts w:asciiTheme="minorHAnsi" w:hAnsiTheme="minorHAnsi" w:cs="Arial"/>
          <w:b/>
          <w:color w:val="1F497D" w:themeColor="text2"/>
          <w:szCs w:val="24"/>
        </w:rPr>
      </w:pPr>
      <w:r>
        <w:rPr>
          <w:rFonts w:asciiTheme="minorHAnsi" w:hAnsiTheme="minorHAnsi" w:cs="Arial"/>
          <w:b/>
          <w:color w:val="1F497D" w:themeColor="text2"/>
          <w:szCs w:val="24"/>
        </w:rPr>
        <w:t>2.3</w:t>
      </w:r>
      <w:r w:rsidR="003F6C09" w:rsidRPr="008744CB">
        <w:rPr>
          <w:rFonts w:asciiTheme="minorHAnsi" w:hAnsiTheme="minorHAnsi" w:cs="Arial"/>
          <w:b/>
          <w:color w:val="1F497D" w:themeColor="text2"/>
          <w:szCs w:val="24"/>
        </w:rPr>
        <w:t xml:space="preserve"> </w:t>
      </w:r>
      <w:r w:rsidR="003F6C09" w:rsidRPr="008744CB">
        <w:rPr>
          <w:rFonts w:asciiTheme="minorHAnsi" w:hAnsiTheme="minorHAnsi" w:cs="Arial"/>
          <w:b/>
          <w:color w:val="1F497D" w:themeColor="text2"/>
          <w:szCs w:val="24"/>
        </w:rPr>
        <w:tab/>
        <w:t>SOUTH-SOUTH COOPERATION</w:t>
      </w:r>
    </w:p>
    <w:p w:rsidR="003F6C09" w:rsidRPr="00A22D47" w:rsidRDefault="003F6C09" w:rsidP="003F6C09">
      <w:pPr>
        <w:autoSpaceDE w:val="0"/>
        <w:autoSpaceDN w:val="0"/>
        <w:adjustRightInd w:val="0"/>
        <w:rPr>
          <w:rFonts w:asciiTheme="minorHAnsi" w:hAnsiTheme="minorHAnsi" w:cs="Arial"/>
          <w:b/>
          <w:color w:val="1F497D" w:themeColor="text2"/>
          <w:szCs w:val="24"/>
        </w:rPr>
      </w:pPr>
      <w:r w:rsidRPr="00A22D47">
        <w:rPr>
          <w:rFonts w:asciiTheme="minorHAnsi" w:hAnsiTheme="minorHAnsi" w:cs="Arial"/>
          <w:b/>
          <w:color w:val="1F497D" w:themeColor="text2"/>
          <w:szCs w:val="24"/>
        </w:rPr>
        <w:t>2.</w:t>
      </w:r>
      <w:r w:rsidR="004940A8">
        <w:rPr>
          <w:rFonts w:asciiTheme="minorHAnsi" w:hAnsiTheme="minorHAnsi" w:cs="Arial"/>
          <w:b/>
          <w:color w:val="1F497D" w:themeColor="text2"/>
          <w:szCs w:val="24"/>
        </w:rPr>
        <w:t>3</w:t>
      </w:r>
      <w:r w:rsidRPr="00A22D47">
        <w:rPr>
          <w:rFonts w:asciiTheme="minorHAnsi" w:hAnsiTheme="minorHAnsi" w:cs="Arial"/>
          <w:b/>
          <w:color w:val="1F497D" w:themeColor="text2"/>
          <w:szCs w:val="24"/>
        </w:rPr>
        <w:t>.1</w:t>
      </w:r>
      <w:r w:rsidRPr="00A22D47">
        <w:rPr>
          <w:rFonts w:asciiTheme="minorHAnsi" w:hAnsiTheme="minorHAnsi" w:cs="Arial"/>
          <w:b/>
          <w:color w:val="1F497D" w:themeColor="text2"/>
          <w:szCs w:val="24"/>
        </w:rPr>
        <w:tab/>
        <w:t xml:space="preserve">Non-DAC donors </w:t>
      </w:r>
    </w:p>
    <w:p w:rsidR="003F6C09" w:rsidRDefault="003F6C09" w:rsidP="00A22D47">
      <w:pPr>
        <w:spacing w:after="120" w:line="276" w:lineRule="auto"/>
        <w:jc w:val="both"/>
        <w:rPr>
          <w:rFonts w:asciiTheme="minorHAnsi" w:hAnsiTheme="minorHAnsi" w:cs="Arial"/>
          <w:sz w:val="22"/>
          <w:szCs w:val="22"/>
          <w:lang w:eastAsia="en-GB"/>
        </w:rPr>
      </w:pPr>
      <w:r w:rsidRPr="00A22D47">
        <w:rPr>
          <w:rFonts w:asciiTheme="minorHAnsi" w:hAnsiTheme="minorHAnsi" w:cs="Arial"/>
          <w:sz w:val="22"/>
          <w:szCs w:val="22"/>
          <w:lang w:eastAsia="en-GB"/>
        </w:rPr>
        <w:t xml:space="preserve">It is difficult to assess the exact magnitude and nature of South-South cooperation, with different agencies participating from a range of countries and a lack of publicly available data.  Global aid databases like OECD Stats and </w:t>
      </w:r>
      <w:proofErr w:type="spellStart"/>
      <w:r w:rsidRPr="00A22D47">
        <w:rPr>
          <w:rFonts w:asciiTheme="minorHAnsi" w:hAnsiTheme="minorHAnsi" w:cs="Arial"/>
          <w:sz w:val="22"/>
          <w:szCs w:val="22"/>
          <w:lang w:eastAsia="en-GB"/>
        </w:rPr>
        <w:t>AidData</w:t>
      </w:r>
      <w:proofErr w:type="spellEnd"/>
      <w:r w:rsidRPr="00A22D47">
        <w:rPr>
          <w:rFonts w:asciiTheme="minorHAnsi" w:hAnsiTheme="minorHAnsi" w:cs="Arial"/>
          <w:sz w:val="22"/>
          <w:szCs w:val="22"/>
          <w:lang w:eastAsia="en-GB"/>
        </w:rPr>
        <w:t xml:space="preserve"> do not contain data for many Southern donors, such as China and Venezuela.  There are also no figures available on the scale of triangular cooperation, partly because DAC countries do not report it separately from bilateral cooperation.   Nevertheless, using the latest project information contained in </w:t>
      </w:r>
      <w:proofErr w:type="spellStart"/>
      <w:r w:rsidRPr="00A22D47">
        <w:rPr>
          <w:rFonts w:asciiTheme="minorHAnsi" w:hAnsiTheme="minorHAnsi" w:cs="Arial"/>
          <w:sz w:val="22"/>
          <w:szCs w:val="22"/>
          <w:lang w:eastAsia="en-GB"/>
        </w:rPr>
        <w:t>AidData</w:t>
      </w:r>
      <w:proofErr w:type="spellEnd"/>
      <w:r w:rsidRPr="00A22D47">
        <w:rPr>
          <w:rFonts w:asciiTheme="minorHAnsi" w:hAnsiTheme="minorHAnsi" w:cs="Arial"/>
          <w:sz w:val="22"/>
          <w:szCs w:val="22"/>
          <w:lang w:eastAsia="en-GB"/>
        </w:rPr>
        <w:t xml:space="preserve">, Figure </w:t>
      </w:r>
      <w:r w:rsidR="0045510A">
        <w:rPr>
          <w:rFonts w:asciiTheme="minorHAnsi" w:hAnsiTheme="minorHAnsi" w:cs="Arial"/>
          <w:sz w:val="22"/>
          <w:szCs w:val="22"/>
          <w:lang w:eastAsia="en-GB"/>
        </w:rPr>
        <w:t>7</w:t>
      </w:r>
      <w:r w:rsidRPr="00A22D47">
        <w:rPr>
          <w:rFonts w:asciiTheme="minorHAnsi" w:hAnsiTheme="minorHAnsi" w:cs="Arial"/>
          <w:sz w:val="22"/>
          <w:szCs w:val="22"/>
          <w:lang w:eastAsia="en-GB"/>
        </w:rPr>
        <w:t xml:space="preserve"> below shows that </w:t>
      </w:r>
      <w:r w:rsidRPr="00A22D47">
        <w:rPr>
          <w:rFonts w:asciiTheme="minorHAnsi" w:hAnsiTheme="minorHAnsi" w:cs="Arial"/>
          <w:b/>
          <w:sz w:val="22"/>
          <w:szCs w:val="22"/>
          <w:lang w:eastAsia="en-GB"/>
        </w:rPr>
        <w:t>at USD 14,9 million, Kuwait was the largest non-DAC donor to the African AFF sector in 2010</w:t>
      </w:r>
      <w:r w:rsidRPr="00A22D47">
        <w:rPr>
          <w:rFonts w:asciiTheme="minorHAnsi" w:hAnsiTheme="minorHAnsi" w:cs="Arial"/>
          <w:sz w:val="22"/>
          <w:szCs w:val="22"/>
          <w:lang w:eastAsia="en-GB"/>
        </w:rPr>
        <w:t xml:space="preserve">, </w:t>
      </w:r>
      <w:r w:rsidRPr="00A22D47">
        <w:rPr>
          <w:rFonts w:asciiTheme="minorHAnsi" w:hAnsiTheme="minorHAnsi" w:cs="Arial"/>
          <w:b/>
          <w:sz w:val="22"/>
          <w:szCs w:val="22"/>
          <w:lang w:eastAsia="en-GB"/>
        </w:rPr>
        <w:t xml:space="preserve">followed by Brazil (USD 6.5 million) and Taiwan (USD 3.4 million).  </w:t>
      </w:r>
      <w:r w:rsidRPr="00A22D47">
        <w:rPr>
          <w:rFonts w:asciiTheme="minorHAnsi" w:hAnsiTheme="minorHAnsi" w:cs="Arial"/>
          <w:sz w:val="22"/>
          <w:szCs w:val="22"/>
          <w:lang w:eastAsia="en-GB"/>
        </w:rPr>
        <w:t>However, it is important to note that Kuwait’s investment relates to only one project, albeit a costly irrigation development programme located in Mali</w:t>
      </w:r>
      <w:r w:rsidRPr="00A22D47">
        <w:rPr>
          <w:rStyle w:val="FootnoteReference"/>
          <w:rFonts w:asciiTheme="minorHAnsi" w:hAnsiTheme="minorHAnsi" w:cs="Arial"/>
          <w:sz w:val="22"/>
          <w:szCs w:val="22"/>
          <w:lang w:eastAsia="en-GB"/>
        </w:rPr>
        <w:footnoteReference w:id="26"/>
      </w:r>
      <w:r w:rsidRPr="00A22D47">
        <w:rPr>
          <w:rFonts w:asciiTheme="minorHAnsi" w:hAnsiTheme="minorHAnsi" w:cs="Arial"/>
          <w:sz w:val="22"/>
          <w:szCs w:val="22"/>
          <w:lang w:eastAsia="en-GB"/>
        </w:rPr>
        <w:t>, whereas Brazil funded 43 smaller projects across Africa,</w:t>
      </w:r>
      <w:r w:rsidRPr="00A22D47">
        <w:rPr>
          <w:rStyle w:val="FootnoteReference"/>
          <w:rFonts w:asciiTheme="minorHAnsi" w:hAnsiTheme="minorHAnsi" w:cs="Arial"/>
          <w:sz w:val="22"/>
          <w:szCs w:val="22"/>
          <w:lang w:eastAsia="en-GB"/>
        </w:rPr>
        <w:footnoteReference w:id="27"/>
      </w:r>
      <w:r w:rsidRPr="00A22D47">
        <w:rPr>
          <w:rFonts w:asciiTheme="minorHAnsi" w:hAnsiTheme="minorHAnsi" w:cs="Arial"/>
          <w:sz w:val="22"/>
          <w:szCs w:val="22"/>
          <w:lang w:eastAsia="en-GB"/>
        </w:rPr>
        <w:t xml:space="preserve"> typically capacity building, training and technology transfers, and study tours to Brazil.</w:t>
      </w:r>
    </w:p>
    <w:p w:rsidR="00347EC0" w:rsidRDefault="00347EC0">
      <w:pPr>
        <w:rPr>
          <w:rFonts w:asciiTheme="minorHAnsi" w:hAnsiTheme="minorHAnsi" w:cs="Arial"/>
          <w:b/>
          <w:sz w:val="22"/>
          <w:szCs w:val="22"/>
        </w:rPr>
      </w:pPr>
      <w:r>
        <w:rPr>
          <w:rFonts w:asciiTheme="minorHAnsi" w:hAnsiTheme="minorHAnsi" w:cs="Arial"/>
          <w:b/>
          <w:sz w:val="22"/>
          <w:szCs w:val="22"/>
        </w:rPr>
        <w:br w:type="page"/>
      </w:r>
    </w:p>
    <w:p w:rsidR="003F6C09" w:rsidRPr="00A22D47" w:rsidRDefault="003F6C09" w:rsidP="003F6C09">
      <w:pPr>
        <w:jc w:val="center"/>
        <w:rPr>
          <w:rFonts w:asciiTheme="minorHAnsi" w:hAnsiTheme="minorHAnsi" w:cs="Arial"/>
          <w:b/>
          <w:sz w:val="22"/>
          <w:szCs w:val="22"/>
        </w:rPr>
      </w:pPr>
      <w:r w:rsidRPr="00A22D47">
        <w:rPr>
          <w:rFonts w:asciiTheme="minorHAnsi" w:hAnsiTheme="minorHAnsi" w:cs="Arial"/>
          <w:b/>
          <w:sz w:val="22"/>
          <w:szCs w:val="22"/>
        </w:rPr>
        <w:lastRenderedPageBreak/>
        <w:t xml:space="preserve">Figure </w:t>
      </w:r>
      <w:r w:rsidR="0045510A">
        <w:rPr>
          <w:rFonts w:asciiTheme="minorHAnsi" w:hAnsiTheme="minorHAnsi" w:cs="Arial"/>
          <w:b/>
          <w:sz w:val="22"/>
          <w:szCs w:val="22"/>
        </w:rPr>
        <w:t>7</w:t>
      </w:r>
      <w:r w:rsidRPr="00A22D47">
        <w:rPr>
          <w:rFonts w:asciiTheme="minorHAnsi" w:hAnsiTheme="minorHAnsi" w:cs="Arial"/>
          <w:b/>
          <w:sz w:val="22"/>
          <w:szCs w:val="22"/>
        </w:rPr>
        <w:t xml:space="preserve">. Non-DAC donors of bilateral ODA to the Agriculture, Forestry and Fishing </w:t>
      </w:r>
    </w:p>
    <w:p w:rsidR="003F6C09" w:rsidRPr="00A22D47" w:rsidRDefault="003F6C09" w:rsidP="003F6C09">
      <w:pPr>
        <w:jc w:val="center"/>
        <w:rPr>
          <w:rFonts w:asciiTheme="minorHAnsi" w:hAnsiTheme="minorHAnsi" w:cs="Arial"/>
          <w:b/>
          <w:color w:val="1F497D" w:themeColor="text2"/>
          <w:sz w:val="22"/>
          <w:szCs w:val="22"/>
        </w:rPr>
      </w:pPr>
      <w:r w:rsidRPr="00A22D47">
        <w:rPr>
          <w:rFonts w:asciiTheme="minorHAnsi" w:hAnsiTheme="minorHAnsi" w:cs="Arial"/>
          <w:b/>
          <w:sz w:val="22"/>
          <w:szCs w:val="22"/>
        </w:rPr>
        <w:t>sector in Africa</w:t>
      </w:r>
      <w:r w:rsidRPr="00A22D47">
        <w:rPr>
          <w:rStyle w:val="FootnoteReference"/>
          <w:rFonts w:asciiTheme="minorHAnsi" w:hAnsiTheme="minorHAnsi" w:cs="Arial"/>
          <w:sz w:val="22"/>
          <w:szCs w:val="22"/>
        </w:rPr>
        <w:footnoteReference w:id="28"/>
      </w:r>
      <w:r w:rsidRPr="00A22D47">
        <w:rPr>
          <w:rFonts w:asciiTheme="minorHAnsi" w:hAnsiTheme="minorHAnsi" w:cs="Arial"/>
          <w:b/>
          <w:sz w:val="22"/>
          <w:szCs w:val="22"/>
        </w:rPr>
        <w:t xml:space="preserve"> </w:t>
      </w:r>
      <w:r w:rsidRPr="00A22D47">
        <w:rPr>
          <w:rFonts w:asciiTheme="minorHAnsi" w:hAnsiTheme="minorHAnsi" w:cs="Arial"/>
          <w:sz w:val="22"/>
          <w:szCs w:val="22"/>
        </w:rPr>
        <w:t>(2010 commitments in USD)</w:t>
      </w:r>
    </w:p>
    <w:p w:rsidR="003F6C09" w:rsidRPr="008744CB" w:rsidRDefault="003F6C09" w:rsidP="00170789">
      <w:pPr>
        <w:autoSpaceDE w:val="0"/>
        <w:autoSpaceDN w:val="0"/>
        <w:adjustRightInd w:val="0"/>
        <w:jc w:val="center"/>
        <w:rPr>
          <w:rFonts w:asciiTheme="minorHAnsi" w:hAnsiTheme="minorHAnsi" w:cs="Arial"/>
          <w:b/>
          <w:color w:val="1F497D" w:themeColor="text2"/>
          <w:sz w:val="20"/>
        </w:rPr>
      </w:pPr>
      <w:r w:rsidRPr="008744CB">
        <w:rPr>
          <w:rFonts w:asciiTheme="minorHAnsi" w:hAnsiTheme="minorHAnsi"/>
          <w:noProof/>
          <w:lang w:val="fr-FR" w:eastAsia="fr-FR"/>
        </w:rPr>
        <w:drawing>
          <wp:inline distT="0" distB="0" distL="0" distR="0">
            <wp:extent cx="5095875" cy="18478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A22D47" w:rsidRDefault="003F6C09" w:rsidP="003F6C09">
      <w:pPr>
        <w:autoSpaceDE w:val="0"/>
        <w:autoSpaceDN w:val="0"/>
        <w:adjustRightInd w:val="0"/>
        <w:rPr>
          <w:rFonts w:asciiTheme="minorHAnsi" w:hAnsiTheme="minorHAnsi" w:cs="Arial"/>
          <w:b/>
          <w:color w:val="1F497D" w:themeColor="text2"/>
          <w:szCs w:val="24"/>
        </w:rPr>
      </w:pPr>
      <w:r w:rsidRPr="00A22D47">
        <w:rPr>
          <w:rFonts w:asciiTheme="minorHAnsi" w:hAnsiTheme="minorHAnsi" w:cs="Arial"/>
          <w:b/>
          <w:color w:val="1F497D" w:themeColor="text2"/>
          <w:szCs w:val="24"/>
        </w:rPr>
        <w:t>2.</w:t>
      </w:r>
      <w:r w:rsidR="004940A8">
        <w:rPr>
          <w:rFonts w:asciiTheme="minorHAnsi" w:hAnsiTheme="minorHAnsi" w:cs="Arial"/>
          <w:b/>
          <w:color w:val="1F497D" w:themeColor="text2"/>
          <w:szCs w:val="24"/>
        </w:rPr>
        <w:t>3</w:t>
      </w:r>
      <w:r w:rsidRPr="00A22D47">
        <w:rPr>
          <w:rFonts w:asciiTheme="minorHAnsi" w:hAnsiTheme="minorHAnsi" w:cs="Arial"/>
          <w:b/>
          <w:color w:val="1F497D" w:themeColor="text2"/>
          <w:szCs w:val="24"/>
        </w:rPr>
        <w:t>.2</w:t>
      </w:r>
      <w:r w:rsidRPr="00A22D47">
        <w:rPr>
          <w:rFonts w:asciiTheme="minorHAnsi" w:hAnsiTheme="minorHAnsi" w:cs="Arial"/>
          <w:b/>
          <w:color w:val="1F497D" w:themeColor="text2"/>
          <w:szCs w:val="24"/>
        </w:rPr>
        <w:tab/>
        <w:t>China</w:t>
      </w:r>
    </w:p>
    <w:p w:rsidR="003F6C09" w:rsidRPr="00A22D47" w:rsidRDefault="003F6C09" w:rsidP="00A22D47">
      <w:pPr>
        <w:autoSpaceDE w:val="0"/>
        <w:autoSpaceDN w:val="0"/>
        <w:adjustRightInd w:val="0"/>
        <w:spacing w:after="120" w:line="276" w:lineRule="auto"/>
        <w:jc w:val="both"/>
        <w:rPr>
          <w:rFonts w:asciiTheme="minorHAnsi" w:hAnsiTheme="minorHAnsi" w:cs="Arial"/>
          <w:sz w:val="22"/>
          <w:szCs w:val="22"/>
          <w:lang w:eastAsia="en-GB"/>
        </w:rPr>
      </w:pPr>
      <w:r w:rsidRPr="00A22D47">
        <w:rPr>
          <w:rFonts w:asciiTheme="minorHAnsi" w:hAnsiTheme="minorHAnsi" w:cs="Arial"/>
          <w:sz w:val="22"/>
          <w:szCs w:val="22"/>
          <w:lang w:eastAsia="en-GB"/>
        </w:rPr>
        <w:t xml:space="preserve">Over the last ten years, China has significantly increased its investment in African agriculture.   According to the 2010 China-Africa Trade and Economic Relationship Annual Report (CATERAR), </w:t>
      </w:r>
      <w:r w:rsidRPr="00A22D47">
        <w:rPr>
          <w:rFonts w:asciiTheme="minorHAnsi" w:hAnsiTheme="minorHAnsi" w:cs="Arial"/>
          <w:b/>
          <w:sz w:val="22"/>
          <w:szCs w:val="22"/>
          <w:lang w:eastAsia="en-GB"/>
        </w:rPr>
        <w:t>China’s foreign direct investment (FDI) in Africa’s agriculture sector totalled USD 30 million in 2009 – 2% of its total FDI of USD 1.44 billion.</w:t>
      </w:r>
      <w:r w:rsidRPr="00A22D47">
        <w:rPr>
          <w:rFonts w:asciiTheme="minorHAnsi" w:hAnsiTheme="minorHAnsi" w:cs="Arial"/>
          <w:sz w:val="22"/>
          <w:szCs w:val="22"/>
          <w:lang w:eastAsia="en-GB"/>
        </w:rPr>
        <w:t xml:space="preserve"> </w:t>
      </w:r>
      <w:r w:rsidRPr="00A22D47">
        <w:rPr>
          <w:rStyle w:val="FootnoteReference"/>
          <w:rFonts w:asciiTheme="minorHAnsi" w:hAnsiTheme="minorHAnsi" w:cs="Arial"/>
          <w:sz w:val="22"/>
          <w:szCs w:val="22"/>
          <w:lang w:eastAsia="en-GB"/>
        </w:rPr>
        <w:footnoteReference w:id="29"/>
      </w:r>
      <w:r w:rsidRPr="00A22D47">
        <w:rPr>
          <w:rFonts w:asciiTheme="minorHAnsi" w:hAnsiTheme="minorHAnsi" w:cs="Arial"/>
          <w:sz w:val="22"/>
          <w:szCs w:val="22"/>
          <w:lang w:eastAsia="en-GB"/>
        </w:rPr>
        <w:t xml:space="preserve">   Compared to the amount of Chinese investment in African oil, gas, mineral resources and infrastructure, African agriculture remains a relatively small proportion of total Chinese investment in Africa. However, there is evidence that the African agriculture sector is becoming increasingly important to China, with some commentators expressing concern that investments in African agriculture are motivated by the need to secure Chinese food security in the long-term.</w:t>
      </w:r>
      <w:r w:rsidRPr="00A22D47">
        <w:rPr>
          <w:rStyle w:val="FootnoteReference"/>
          <w:rFonts w:asciiTheme="minorHAnsi" w:hAnsiTheme="minorHAnsi" w:cs="Arial"/>
          <w:sz w:val="22"/>
          <w:szCs w:val="22"/>
          <w:lang w:eastAsia="en-GB"/>
        </w:rPr>
        <w:footnoteReference w:id="30"/>
      </w:r>
      <w:r w:rsidRPr="00A22D47">
        <w:rPr>
          <w:rFonts w:asciiTheme="minorHAnsi" w:hAnsiTheme="minorHAnsi" w:cs="Arial"/>
          <w:sz w:val="22"/>
          <w:szCs w:val="22"/>
          <w:lang w:eastAsia="en-GB"/>
        </w:rPr>
        <w:t xml:space="preserve">  With the active encouragement of the Chinese government, China’s investments are expected to accelerate rapidly in Africa’s agro-processing, resource-based agriculture and agricultural commodities.  In the next few years, China has pledged to provide up to 3,000 experts for technical assistance and training, as well as training 2,000 African agricultural technicians, and setting up 14 major agricultural technology centres.</w:t>
      </w:r>
      <w:r w:rsidRPr="00A22D47">
        <w:rPr>
          <w:rStyle w:val="FootnoteReference"/>
          <w:rFonts w:asciiTheme="minorHAnsi" w:hAnsiTheme="minorHAnsi" w:cs="Arial"/>
          <w:sz w:val="22"/>
          <w:szCs w:val="22"/>
          <w:lang w:eastAsia="en-GB"/>
        </w:rPr>
        <w:footnoteReference w:id="31"/>
      </w:r>
    </w:p>
    <w:p w:rsidR="003F6C09" w:rsidRPr="008744CB" w:rsidRDefault="00036864" w:rsidP="003F6C09">
      <w:pPr>
        <w:autoSpaceDE w:val="0"/>
        <w:autoSpaceDN w:val="0"/>
        <w:adjustRightInd w:val="0"/>
        <w:jc w:val="both"/>
        <w:rPr>
          <w:rFonts w:asciiTheme="minorHAnsi" w:hAnsiTheme="minorHAnsi" w:cs="Arial"/>
          <w:lang w:eastAsia="en-GB"/>
        </w:rPr>
      </w:pPr>
      <w:r w:rsidRPr="00036864">
        <w:rPr>
          <w:rFonts w:asciiTheme="minorHAnsi" w:hAnsiTheme="minorHAnsi" w:cs="Arial"/>
          <w:noProof/>
          <w:lang w:eastAsia="en-GB"/>
        </w:rPr>
        <w:pict>
          <v:shape id="Text Box 2" o:spid="_x0000_s1039" type="#_x0000_t202" style="position:absolute;left:0;text-align:left;margin-left:6pt;margin-top:3.75pt;width:428.25pt;height:173.2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">
            <v:textbox>
              <w:txbxContent>
                <w:p w:rsidR="00956B35" w:rsidRPr="00DC0EB5" w:rsidRDefault="00956B35" w:rsidP="003F6C09">
                  <w:pPr>
                    <w:spacing w:after="120"/>
                    <w:rPr>
                      <w:rFonts w:asciiTheme="minorHAnsi" w:hAnsiTheme="minorHAnsi"/>
                      <w:b/>
                      <w:sz w:val="20"/>
                    </w:rPr>
                  </w:pPr>
                  <w:r w:rsidRPr="00DC0EB5">
                    <w:rPr>
                      <w:rFonts w:asciiTheme="minorHAnsi" w:hAnsiTheme="minorHAnsi"/>
                      <w:b/>
                      <w:sz w:val="20"/>
                    </w:rPr>
                    <w:t xml:space="preserve">Box </w:t>
                  </w:r>
                  <w:r>
                    <w:rPr>
                      <w:rFonts w:asciiTheme="minorHAnsi" w:hAnsiTheme="minorHAnsi"/>
                      <w:b/>
                      <w:sz w:val="20"/>
                    </w:rPr>
                    <w:t>1</w:t>
                  </w:r>
                  <w:r w:rsidRPr="00DC0EB5">
                    <w:rPr>
                      <w:rFonts w:asciiTheme="minorHAnsi" w:hAnsiTheme="minorHAnsi"/>
                      <w:b/>
                      <w:sz w:val="20"/>
                    </w:rPr>
                    <w:t>: Key actors and stakeholders of China’s investment in Africa</w:t>
                  </w:r>
                </w:p>
                <w:p w:rsidR="00956B35" w:rsidRPr="00DC0EB5" w:rsidRDefault="00956B35" w:rsidP="007770A6">
                  <w:pPr>
                    <w:pStyle w:val="ListParagraph"/>
                    <w:numPr>
                      <w:ilvl w:val="0"/>
                      <w:numId w:val="9"/>
                    </w:numPr>
                    <w:spacing w:after="120" w:line="240" w:lineRule="auto"/>
                    <w:ind w:left="284" w:hanging="284"/>
                    <w:rPr>
                      <w:sz w:val="20"/>
                      <w:szCs w:val="20"/>
                    </w:rPr>
                  </w:pPr>
                  <w:r w:rsidRPr="00DC0EB5">
                    <w:rPr>
                      <w:sz w:val="20"/>
                      <w:szCs w:val="20"/>
                    </w:rPr>
                    <w:t>China’s government (policymakers) in charge of agriculture and commerce, such as China’s Ministry of Agriculture and Ministry of Commerce</w:t>
                  </w:r>
                </w:p>
                <w:p w:rsidR="00956B35" w:rsidRPr="00DC0EB5" w:rsidRDefault="00956B35" w:rsidP="007770A6">
                  <w:pPr>
                    <w:pStyle w:val="ListParagraph"/>
                    <w:numPr>
                      <w:ilvl w:val="0"/>
                      <w:numId w:val="9"/>
                    </w:numPr>
                    <w:spacing w:after="120" w:line="240" w:lineRule="auto"/>
                    <w:ind w:left="284" w:hanging="284"/>
                    <w:rPr>
                      <w:sz w:val="20"/>
                      <w:szCs w:val="20"/>
                    </w:rPr>
                  </w:pPr>
                  <w:r w:rsidRPr="00DC0EB5">
                    <w:rPr>
                      <w:sz w:val="20"/>
                      <w:szCs w:val="20"/>
                    </w:rPr>
                    <w:t>Provincial municipalities and autonomous regions</w:t>
                  </w:r>
                </w:p>
                <w:p w:rsidR="00956B35" w:rsidRPr="00DC0EB5" w:rsidRDefault="00956B35" w:rsidP="007770A6">
                  <w:pPr>
                    <w:pStyle w:val="ListParagraph"/>
                    <w:numPr>
                      <w:ilvl w:val="0"/>
                      <w:numId w:val="9"/>
                    </w:numPr>
                    <w:spacing w:after="120" w:line="240" w:lineRule="auto"/>
                    <w:ind w:left="284" w:hanging="284"/>
                    <w:rPr>
                      <w:sz w:val="20"/>
                      <w:szCs w:val="20"/>
                    </w:rPr>
                  </w:pPr>
                  <w:r w:rsidRPr="00DC0EB5">
                    <w:rPr>
                      <w:sz w:val="20"/>
                      <w:szCs w:val="20"/>
                    </w:rPr>
                    <w:t>Academics in universities or research institutes, and agro-industries at national or regional level; relevant co-operative platforms such as China-Africa co-operative forums and China-Africa development funds</w:t>
                  </w:r>
                </w:p>
                <w:p w:rsidR="00956B35" w:rsidRPr="00DC0EB5" w:rsidRDefault="00956B35" w:rsidP="007770A6">
                  <w:pPr>
                    <w:pStyle w:val="ListParagraph"/>
                    <w:numPr>
                      <w:ilvl w:val="0"/>
                      <w:numId w:val="9"/>
                    </w:numPr>
                    <w:spacing w:after="120" w:line="240" w:lineRule="auto"/>
                    <w:ind w:left="284" w:hanging="284"/>
                    <w:rPr>
                      <w:sz w:val="20"/>
                      <w:szCs w:val="20"/>
                    </w:rPr>
                  </w:pPr>
                  <w:r w:rsidRPr="00DC0EB5">
                    <w:rPr>
                      <w:sz w:val="20"/>
                      <w:szCs w:val="20"/>
                    </w:rPr>
                    <w:t>State-owned agricultural corporations and enterprises, such as the China National Agricultural Development Group Corporation, China State Farms Agribusiness Corporation, China Oils and Foodstuffs Corporation, and private entrepreneurs</w:t>
                  </w:r>
                </w:p>
                <w:p w:rsidR="00956B35" w:rsidRPr="00DC0EB5" w:rsidRDefault="00956B35" w:rsidP="007770A6">
                  <w:pPr>
                    <w:pStyle w:val="ListParagraph"/>
                    <w:numPr>
                      <w:ilvl w:val="0"/>
                      <w:numId w:val="9"/>
                    </w:numPr>
                    <w:spacing w:after="120" w:line="240" w:lineRule="auto"/>
                    <w:ind w:left="284" w:hanging="284"/>
                    <w:rPr>
                      <w:sz w:val="20"/>
                      <w:szCs w:val="20"/>
                    </w:rPr>
                  </w:pPr>
                  <w:r w:rsidRPr="00DC0EB5">
                    <w:rPr>
                      <w:sz w:val="20"/>
                      <w:szCs w:val="20"/>
                    </w:rPr>
                    <w:t xml:space="preserve">State-owned banks, such as the Export-Import Bank of China (China </w:t>
                  </w:r>
                  <w:proofErr w:type="spellStart"/>
                  <w:r w:rsidRPr="00DC0EB5">
                    <w:rPr>
                      <w:sz w:val="20"/>
                      <w:szCs w:val="20"/>
                    </w:rPr>
                    <w:t>Exim</w:t>
                  </w:r>
                  <w:proofErr w:type="spellEnd"/>
                  <w:r w:rsidRPr="00DC0EB5">
                    <w:rPr>
                      <w:sz w:val="20"/>
                      <w:szCs w:val="20"/>
                    </w:rPr>
                    <w:t xml:space="preserve"> Bank) and China Development Bank (CDB)</w:t>
                  </w:r>
                </w:p>
                <w:p w:rsidR="00956B35" w:rsidRPr="00170789" w:rsidRDefault="00956B35" w:rsidP="003F6C09">
                  <w:pPr>
                    <w:pStyle w:val="ListParagraph"/>
                    <w:spacing w:after="120" w:line="240" w:lineRule="auto"/>
                    <w:ind w:left="284"/>
                    <w:jc w:val="right"/>
                    <w:rPr>
                      <w:sz w:val="16"/>
                      <w:szCs w:val="16"/>
                    </w:rPr>
                  </w:pPr>
                  <w:r w:rsidRPr="00170789">
                    <w:rPr>
                      <w:sz w:val="16"/>
                      <w:szCs w:val="16"/>
                    </w:rPr>
                    <w:t>Source: Lei Sun (2011), p.7</w:t>
                  </w:r>
                </w:p>
              </w:txbxContent>
            </v:textbox>
          </v:shape>
        </w:pict>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170789" w:rsidRPr="008744CB" w:rsidRDefault="00170789" w:rsidP="00170789">
      <w:pPr>
        <w:autoSpaceDE w:val="0"/>
        <w:autoSpaceDN w:val="0"/>
        <w:adjustRightInd w:val="0"/>
        <w:spacing w:after="120" w:line="276" w:lineRule="auto"/>
        <w:jc w:val="both"/>
        <w:rPr>
          <w:rFonts w:asciiTheme="minorHAnsi" w:hAnsiTheme="minorHAnsi" w:cs="Arial"/>
          <w:lang w:eastAsia="en-GB"/>
        </w:rPr>
      </w:pPr>
      <w:r w:rsidRPr="00A22D47">
        <w:rPr>
          <w:rFonts w:asciiTheme="minorHAnsi" w:hAnsiTheme="minorHAnsi" w:cs="Arial"/>
          <w:sz w:val="22"/>
          <w:szCs w:val="22"/>
          <w:lang w:eastAsia="en-GB"/>
        </w:rPr>
        <w:t xml:space="preserve">Not only has the volume of investment increased, but there has been a diversification of Chinese investment in the African agricultural sector with a range of aid projects and investment by both the </w:t>
      </w:r>
      <w:r w:rsidRPr="00A22D47">
        <w:rPr>
          <w:rFonts w:asciiTheme="minorHAnsi" w:hAnsiTheme="minorHAnsi" w:cs="Arial"/>
          <w:sz w:val="22"/>
          <w:szCs w:val="22"/>
          <w:lang w:eastAsia="en-GB"/>
        </w:rPr>
        <w:lastRenderedPageBreak/>
        <w:t xml:space="preserve">Chinese government and Chinese companies in infrastructure, technology demonstration and training programmes.   Stereotypes of China as a single-minded monolith in Africa </w:t>
      </w:r>
      <w:r>
        <w:rPr>
          <w:rFonts w:asciiTheme="minorHAnsi" w:hAnsiTheme="minorHAnsi" w:cs="Arial"/>
          <w:sz w:val="22"/>
          <w:szCs w:val="22"/>
          <w:lang w:eastAsia="en-GB"/>
        </w:rPr>
        <w:t>tend to be</w:t>
      </w:r>
      <w:r w:rsidRPr="00A22D47">
        <w:rPr>
          <w:rFonts w:asciiTheme="minorHAnsi" w:hAnsiTheme="minorHAnsi" w:cs="Arial"/>
          <w:sz w:val="22"/>
          <w:szCs w:val="22"/>
          <w:lang w:eastAsia="en-GB"/>
        </w:rPr>
        <w:t xml:space="preserve"> over-generalised,</w:t>
      </w:r>
      <w:r w:rsidRPr="00A22D47">
        <w:rPr>
          <w:rStyle w:val="FootnoteReference"/>
          <w:rFonts w:asciiTheme="minorHAnsi" w:hAnsiTheme="minorHAnsi" w:cs="Arial"/>
          <w:sz w:val="22"/>
          <w:szCs w:val="22"/>
          <w:lang w:eastAsia="en-GB"/>
        </w:rPr>
        <w:footnoteReference w:id="32"/>
      </w:r>
      <w:r w:rsidRPr="00A22D47">
        <w:rPr>
          <w:rFonts w:asciiTheme="minorHAnsi" w:hAnsiTheme="minorHAnsi" w:cs="Arial"/>
          <w:sz w:val="22"/>
          <w:szCs w:val="22"/>
          <w:lang w:eastAsia="en-GB"/>
        </w:rPr>
        <w:t xml:space="preserve"> and as Box </w:t>
      </w:r>
      <w:r w:rsidR="00176D93">
        <w:rPr>
          <w:rFonts w:asciiTheme="minorHAnsi" w:hAnsiTheme="minorHAnsi" w:cs="Arial"/>
          <w:sz w:val="22"/>
          <w:szCs w:val="22"/>
          <w:lang w:eastAsia="en-GB"/>
        </w:rPr>
        <w:t>1</w:t>
      </w:r>
      <w:r w:rsidRPr="00A22D47">
        <w:rPr>
          <w:rFonts w:asciiTheme="minorHAnsi" w:hAnsiTheme="minorHAnsi" w:cs="Arial"/>
          <w:sz w:val="22"/>
          <w:szCs w:val="22"/>
          <w:lang w:eastAsia="en-GB"/>
        </w:rPr>
        <w:t xml:space="preserve"> </w:t>
      </w:r>
      <w:r w:rsidR="00F653EB">
        <w:rPr>
          <w:rFonts w:asciiTheme="minorHAnsi" w:hAnsiTheme="minorHAnsi" w:cs="Arial"/>
          <w:sz w:val="22"/>
          <w:szCs w:val="22"/>
          <w:lang w:eastAsia="en-GB"/>
        </w:rPr>
        <w:t>above</w:t>
      </w:r>
      <w:r w:rsidRPr="00A22D47">
        <w:rPr>
          <w:rFonts w:asciiTheme="minorHAnsi" w:hAnsiTheme="minorHAnsi" w:cs="Arial"/>
          <w:sz w:val="22"/>
          <w:szCs w:val="22"/>
          <w:lang w:eastAsia="en-GB"/>
        </w:rPr>
        <w:t xml:space="preserve"> shows, a wide range of Chinese actors and stakeholders are involved.  Although most analyses of the dynamic between China-Africa dynamic view the relationship as highly uneven, with China being the driving force, there is growing evidence of the importance of African agency in negotiating, shaping and driving Chinese investment projects.</w:t>
      </w:r>
      <w:r w:rsidRPr="008744CB">
        <w:rPr>
          <w:rStyle w:val="FootnoteReference"/>
          <w:rFonts w:asciiTheme="minorHAnsi" w:hAnsiTheme="minorHAnsi" w:cs="Arial"/>
          <w:lang w:eastAsia="en-GB"/>
        </w:rPr>
        <w:footnoteReference w:id="33"/>
      </w:r>
      <w:r w:rsidRPr="008744CB">
        <w:rPr>
          <w:rFonts w:asciiTheme="minorHAnsi" w:hAnsiTheme="minorHAnsi" w:cs="Arial"/>
          <w:lang w:eastAsia="en-GB"/>
        </w:rPr>
        <w:t xml:space="preserve">   </w:t>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DC0EB5" w:rsidRDefault="003F6C09" w:rsidP="003F6C09">
      <w:pPr>
        <w:autoSpaceDE w:val="0"/>
        <w:autoSpaceDN w:val="0"/>
        <w:adjustRightInd w:val="0"/>
        <w:rPr>
          <w:rFonts w:asciiTheme="minorHAnsi" w:hAnsiTheme="minorHAnsi" w:cs="Arial"/>
          <w:b/>
          <w:color w:val="1F497D" w:themeColor="text2"/>
          <w:szCs w:val="24"/>
        </w:rPr>
      </w:pPr>
      <w:r w:rsidRPr="00DC0EB5">
        <w:rPr>
          <w:rFonts w:asciiTheme="minorHAnsi" w:hAnsiTheme="minorHAnsi" w:cs="Arial"/>
          <w:b/>
          <w:color w:val="1F497D" w:themeColor="text2"/>
          <w:szCs w:val="24"/>
        </w:rPr>
        <w:t>2.</w:t>
      </w:r>
      <w:r w:rsidR="004940A8">
        <w:rPr>
          <w:rFonts w:asciiTheme="minorHAnsi" w:hAnsiTheme="minorHAnsi" w:cs="Arial"/>
          <w:b/>
          <w:color w:val="1F497D" w:themeColor="text2"/>
          <w:szCs w:val="24"/>
        </w:rPr>
        <w:t>3</w:t>
      </w:r>
      <w:r w:rsidRPr="00DC0EB5">
        <w:rPr>
          <w:rFonts w:asciiTheme="minorHAnsi" w:hAnsiTheme="minorHAnsi" w:cs="Arial"/>
          <w:b/>
          <w:color w:val="1F497D" w:themeColor="text2"/>
          <w:szCs w:val="24"/>
        </w:rPr>
        <w:t>.</w:t>
      </w:r>
      <w:r w:rsidR="00194C7C">
        <w:rPr>
          <w:rFonts w:asciiTheme="minorHAnsi" w:hAnsiTheme="minorHAnsi" w:cs="Arial"/>
          <w:b/>
          <w:color w:val="1F497D" w:themeColor="text2"/>
          <w:szCs w:val="24"/>
        </w:rPr>
        <w:t>3</w:t>
      </w:r>
      <w:r w:rsidRPr="00DC0EB5">
        <w:rPr>
          <w:rFonts w:asciiTheme="minorHAnsi" w:hAnsiTheme="minorHAnsi" w:cs="Arial"/>
          <w:b/>
          <w:color w:val="1F497D" w:themeColor="text2"/>
          <w:szCs w:val="24"/>
        </w:rPr>
        <w:tab/>
        <w:t>Brazil</w:t>
      </w:r>
    </w:p>
    <w:p w:rsidR="003F6C09" w:rsidRDefault="002E195B" w:rsidP="00F653EB">
      <w:pPr>
        <w:autoSpaceDE w:val="0"/>
        <w:autoSpaceDN w:val="0"/>
        <w:adjustRightInd w:val="0"/>
        <w:spacing w:line="276" w:lineRule="auto"/>
        <w:jc w:val="both"/>
        <w:rPr>
          <w:rFonts w:asciiTheme="minorHAnsi" w:hAnsiTheme="minorHAnsi" w:cs="Arial"/>
          <w:sz w:val="22"/>
          <w:szCs w:val="22"/>
          <w:lang w:eastAsia="en-GB"/>
        </w:rPr>
      </w:pPr>
      <w:r>
        <w:rPr>
          <w:rFonts w:asciiTheme="minorHAnsi" w:hAnsiTheme="minorHAnsi" w:cs="Arial"/>
          <w:sz w:val="22"/>
          <w:szCs w:val="22"/>
          <w:lang w:eastAsia="en-GB"/>
        </w:rPr>
        <w:t>Over the last decade, Brazil has increasingly become a major player in African agriculture, developing a broad portfolio of</w:t>
      </w:r>
      <w:r w:rsidR="00454B0B">
        <w:rPr>
          <w:rFonts w:asciiTheme="minorHAnsi" w:hAnsiTheme="minorHAnsi" w:cs="Arial"/>
          <w:sz w:val="22"/>
          <w:szCs w:val="22"/>
          <w:lang w:eastAsia="en-GB"/>
        </w:rPr>
        <w:t xml:space="preserve"> agricultural projects</w:t>
      </w:r>
      <w:r>
        <w:rPr>
          <w:rFonts w:asciiTheme="minorHAnsi" w:hAnsiTheme="minorHAnsi" w:cs="Arial"/>
          <w:sz w:val="22"/>
          <w:szCs w:val="22"/>
          <w:lang w:eastAsia="en-GB"/>
        </w:rPr>
        <w:t xml:space="preserve"> with a number of countries.   </w:t>
      </w:r>
      <w:r w:rsidR="00454B0B">
        <w:rPr>
          <w:rFonts w:asciiTheme="minorHAnsi" w:hAnsiTheme="minorHAnsi" w:cs="Arial"/>
          <w:sz w:val="22"/>
          <w:szCs w:val="22"/>
          <w:lang w:eastAsia="en-GB"/>
        </w:rPr>
        <w:t>Brazil has been referred to as an “agricultural superpower”, which</w:t>
      </w:r>
      <w:r w:rsidR="00454B0B" w:rsidRPr="00454B0B">
        <w:rPr>
          <w:rFonts w:asciiTheme="minorHAnsi" w:hAnsiTheme="minorHAnsi" w:cs="Arial"/>
          <w:sz w:val="22"/>
          <w:szCs w:val="22"/>
          <w:lang w:eastAsia="en-GB"/>
        </w:rPr>
        <w:t xml:space="preserve"> </w:t>
      </w:r>
      <w:r w:rsidR="00454B0B">
        <w:rPr>
          <w:rFonts w:asciiTheme="minorHAnsi" w:hAnsiTheme="minorHAnsi" w:cs="Arial"/>
          <w:sz w:val="22"/>
          <w:szCs w:val="22"/>
          <w:lang w:eastAsia="en-GB"/>
        </w:rPr>
        <w:t>is uniquely placed to offer agricultural technical assistance to sub-Saharan African countries due to its similar climatic and geological conditions.</w:t>
      </w:r>
      <w:r w:rsidR="00454B0B" w:rsidRPr="00454B0B">
        <w:rPr>
          <w:rStyle w:val="FootnoteReference"/>
          <w:rFonts w:asciiTheme="minorHAnsi" w:hAnsiTheme="minorHAnsi" w:cs="Arial"/>
          <w:sz w:val="22"/>
          <w:szCs w:val="22"/>
          <w:lang w:eastAsia="en-GB"/>
        </w:rPr>
        <w:t xml:space="preserve"> </w:t>
      </w:r>
      <w:r w:rsidR="00454B0B">
        <w:rPr>
          <w:rStyle w:val="FootnoteReference"/>
          <w:rFonts w:asciiTheme="minorHAnsi" w:hAnsiTheme="minorHAnsi" w:cs="Arial"/>
          <w:sz w:val="22"/>
          <w:szCs w:val="22"/>
          <w:lang w:eastAsia="en-GB"/>
        </w:rPr>
        <w:footnoteReference w:id="34"/>
      </w:r>
      <w:r w:rsidR="00454B0B">
        <w:rPr>
          <w:rFonts w:asciiTheme="minorHAnsi" w:hAnsiTheme="minorHAnsi" w:cs="Arial"/>
          <w:sz w:val="22"/>
          <w:szCs w:val="22"/>
          <w:lang w:eastAsia="en-GB"/>
        </w:rPr>
        <w:t xml:space="preserve"> </w:t>
      </w:r>
      <w:r w:rsidR="00006CB5">
        <w:rPr>
          <w:rFonts w:asciiTheme="minorHAnsi" w:hAnsiTheme="minorHAnsi" w:cs="Arial"/>
          <w:sz w:val="22"/>
          <w:szCs w:val="22"/>
          <w:lang w:eastAsia="en-GB"/>
        </w:rPr>
        <w:t xml:space="preserve"> In 2010, Brazil provided approximately </w:t>
      </w:r>
      <w:r w:rsidR="00006CB5" w:rsidRPr="009240CC">
        <w:rPr>
          <w:rFonts w:asciiTheme="minorHAnsi" w:hAnsiTheme="minorHAnsi" w:cs="Arial"/>
          <w:b/>
          <w:sz w:val="22"/>
          <w:szCs w:val="22"/>
          <w:lang w:eastAsia="en-GB"/>
        </w:rPr>
        <w:t>USD 6.5 million</w:t>
      </w:r>
      <w:r w:rsidR="00006CB5">
        <w:rPr>
          <w:rFonts w:asciiTheme="minorHAnsi" w:hAnsiTheme="minorHAnsi" w:cs="Arial"/>
          <w:sz w:val="22"/>
          <w:szCs w:val="22"/>
          <w:lang w:eastAsia="en-GB"/>
        </w:rPr>
        <w:t xml:space="preserve"> of bilateral ODA agricultural commitments to 23 African countries.  As Figure </w:t>
      </w:r>
      <w:r w:rsidR="0045510A">
        <w:rPr>
          <w:rFonts w:asciiTheme="minorHAnsi" w:hAnsiTheme="minorHAnsi" w:cs="Arial"/>
          <w:sz w:val="22"/>
          <w:szCs w:val="22"/>
          <w:lang w:eastAsia="en-GB"/>
        </w:rPr>
        <w:t>8</w:t>
      </w:r>
      <w:r w:rsidR="00006CB5">
        <w:rPr>
          <w:rFonts w:asciiTheme="minorHAnsi" w:hAnsiTheme="minorHAnsi" w:cs="Arial"/>
          <w:sz w:val="22"/>
          <w:szCs w:val="22"/>
          <w:lang w:eastAsia="en-GB"/>
        </w:rPr>
        <w:t xml:space="preserve"> shows, the key recipients </w:t>
      </w:r>
      <w:r w:rsidR="00DE5243">
        <w:rPr>
          <w:rFonts w:asciiTheme="minorHAnsi" w:hAnsiTheme="minorHAnsi" w:cs="Arial"/>
          <w:sz w:val="22"/>
          <w:szCs w:val="22"/>
          <w:lang w:eastAsia="en-GB"/>
        </w:rPr>
        <w:t xml:space="preserve">in terms of total ODA commitments </w:t>
      </w:r>
      <w:r w:rsidR="00454B0B">
        <w:rPr>
          <w:rFonts w:asciiTheme="minorHAnsi" w:hAnsiTheme="minorHAnsi" w:cs="Arial"/>
          <w:sz w:val="22"/>
          <w:szCs w:val="22"/>
          <w:lang w:eastAsia="en-GB"/>
        </w:rPr>
        <w:t xml:space="preserve">in 2010 </w:t>
      </w:r>
      <w:r w:rsidR="00006CB5">
        <w:rPr>
          <w:rFonts w:asciiTheme="minorHAnsi" w:hAnsiTheme="minorHAnsi" w:cs="Arial"/>
          <w:sz w:val="22"/>
          <w:szCs w:val="22"/>
          <w:lang w:eastAsia="en-GB"/>
        </w:rPr>
        <w:t>were Senegal (4 projects worth USD 2.2 million) and Mozambique (4 projects worth USD 0.9 million)</w:t>
      </w:r>
      <w:r w:rsidR="00DE5243">
        <w:rPr>
          <w:rFonts w:asciiTheme="minorHAnsi" w:hAnsiTheme="minorHAnsi" w:cs="Arial"/>
          <w:sz w:val="22"/>
          <w:szCs w:val="22"/>
          <w:lang w:eastAsia="en-GB"/>
        </w:rPr>
        <w:t>.</w:t>
      </w:r>
      <w:r w:rsidR="00B73A45">
        <w:rPr>
          <w:rFonts w:asciiTheme="minorHAnsi" w:hAnsiTheme="minorHAnsi" w:cs="Arial"/>
          <w:sz w:val="22"/>
          <w:szCs w:val="22"/>
          <w:lang w:eastAsia="en-GB"/>
        </w:rPr>
        <w:t xml:space="preserve">  </w:t>
      </w:r>
      <w:r w:rsidR="00B73A45">
        <w:rPr>
          <w:rFonts w:asciiTheme="minorHAnsi" w:hAnsiTheme="minorHAnsi" w:cs="MinionPro-Regular"/>
          <w:sz w:val="22"/>
          <w:szCs w:val="22"/>
          <w:lang w:eastAsia="en-GB"/>
        </w:rPr>
        <w:t xml:space="preserve">Although the breadth and scale of Brazilian agricultural activities </w:t>
      </w:r>
      <w:r w:rsidR="009D3B04">
        <w:rPr>
          <w:rFonts w:asciiTheme="minorHAnsi" w:hAnsiTheme="minorHAnsi" w:cs="MinionPro-Regular"/>
          <w:sz w:val="22"/>
          <w:szCs w:val="22"/>
          <w:lang w:eastAsia="en-GB"/>
        </w:rPr>
        <w:t xml:space="preserve">in Africa </w:t>
      </w:r>
      <w:r w:rsidR="00B73A45">
        <w:rPr>
          <w:rFonts w:asciiTheme="minorHAnsi" w:hAnsiTheme="minorHAnsi" w:cs="MinionPro-Regular"/>
          <w:sz w:val="22"/>
          <w:szCs w:val="22"/>
          <w:lang w:eastAsia="en-GB"/>
        </w:rPr>
        <w:t>is “impressive”,</w:t>
      </w:r>
      <w:r w:rsidR="00B73A45">
        <w:rPr>
          <w:rStyle w:val="FootnoteReference"/>
          <w:rFonts w:asciiTheme="minorHAnsi" w:hAnsiTheme="minorHAnsi" w:cs="MinionPro-Regular"/>
          <w:sz w:val="22"/>
          <w:szCs w:val="22"/>
          <w:lang w:eastAsia="en-GB"/>
        </w:rPr>
        <w:footnoteReference w:id="35"/>
      </w:r>
      <w:r w:rsidR="00B73A45">
        <w:rPr>
          <w:rFonts w:asciiTheme="minorHAnsi" w:hAnsiTheme="minorHAnsi" w:cs="MinionPro-Regular"/>
          <w:sz w:val="22"/>
          <w:szCs w:val="22"/>
          <w:lang w:eastAsia="en-GB"/>
        </w:rPr>
        <w:t xml:space="preserve"> a key feature of Brazilian South-South cooperation is that it does not transfer financial funds directly to the receiving country and the total amount of investment remains relatively small compared to other donors.</w:t>
      </w:r>
    </w:p>
    <w:p w:rsidR="0094450D" w:rsidRDefault="0094450D" w:rsidP="0094450D">
      <w:pPr>
        <w:jc w:val="center"/>
        <w:rPr>
          <w:rFonts w:asciiTheme="minorHAnsi" w:hAnsiTheme="minorHAnsi" w:cs="Arial"/>
          <w:b/>
          <w:sz w:val="22"/>
          <w:szCs w:val="22"/>
        </w:rPr>
      </w:pPr>
      <w:r w:rsidRPr="00A22D47">
        <w:rPr>
          <w:rFonts w:asciiTheme="minorHAnsi" w:hAnsiTheme="minorHAnsi" w:cs="Arial"/>
          <w:b/>
          <w:sz w:val="22"/>
          <w:szCs w:val="22"/>
        </w:rPr>
        <w:t xml:space="preserve">Figure </w:t>
      </w:r>
      <w:r w:rsidR="0045510A">
        <w:rPr>
          <w:rFonts w:asciiTheme="minorHAnsi" w:hAnsiTheme="minorHAnsi" w:cs="Arial"/>
          <w:b/>
          <w:sz w:val="22"/>
          <w:szCs w:val="22"/>
        </w:rPr>
        <w:t>8</w:t>
      </w:r>
      <w:r w:rsidRPr="00A22D47">
        <w:rPr>
          <w:rFonts w:asciiTheme="minorHAnsi" w:hAnsiTheme="minorHAnsi" w:cs="Arial"/>
          <w:b/>
          <w:sz w:val="22"/>
          <w:szCs w:val="22"/>
        </w:rPr>
        <w:t xml:space="preserve">. </w:t>
      </w:r>
      <w:r>
        <w:rPr>
          <w:rFonts w:asciiTheme="minorHAnsi" w:hAnsiTheme="minorHAnsi" w:cs="Arial"/>
          <w:b/>
          <w:sz w:val="22"/>
          <w:szCs w:val="22"/>
        </w:rPr>
        <w:t xml:space="preserve">Brazilian bilateral ODA commitments to Agriculture, Forestry and Fishing </w:t>
      </w:r>
    </w:p>
    <w:p w:rsidR="0094450D" w:rsidRPr="00A97E28" w:rsidRDefault="0094450D" w:rsidP="00A97E28">
      <w:pPr>
        <w:jc w:val="center"/>
        <w:rPr>
          <w:rFonts w:asciiTheme="minorHAnsi" w:hAnsiTheme="minorHAnsi" w:cs="Arial"/>
          <w:b/>
          <w:color w:val="1F497D" w:themeColor="text2"/>
          <w:sz w:val="22"/>
          <w:szCs w:val="22"/>
        </w:rPr>
      </w:pPr>
      <w:r>
        <w:rPr>
          <w:rFonts w:asciiTheme="minorHAnsi" w:hAnsiTheme="minorHAnsi" w:cs="Arial"/>
          <w:b/>
          <w:sz w:val="22"/>
          <w:szCs w:val="22"/>
        </w:rPr>
        <w:t>in African countries (2010, in USD)</w:t>
      </w:r>
      <w:r w:rsidR="00A97E28">
        <w:rPr>
          <w:rFonts w:asciiTheme="minorHAnsi" w:hAnsiTheme="minorHAnsi" w:cs="Arial"/>
          <w:b/>
          <w:sz w:val="22"/>
          <w:szCs w:val="22"/>
        </w:rPr>
        <w:t xml:space="preserve"> – number of projects in brackets</w:t>
      </w:r>
      <w:r w:rsidRPr="00A22D47">
        <w:rPr>
          <w:rStyle w:val="FootnoteReference"/>
          <w:rFonts w:asciiTheme="minorHAnsi" w:hAnsiTheme="minorHAnsi" w:cs="Arial"/>
          <w:sz w:val="22"/>
          <w:szCs w:val="22"/>
        </w:rPr>
        <w:footnoteReference w:id="36"/>
      </w:r>
      <w:r w:rsidRPr="00A22D47">
        <w:rPr>
          <w:rFonts w:asciiTheme="minorHAnsi" w:hAnsiTheme="minorHAnsi" w:cs="Arial"/>
          <w:b/>
          <w:sz w:val="22"/>
          <w:szCs w:val="22"/>
        </w:rPr>
        <w:t xml:space="preserve"> </w:t>
      </w:r>
    </w:p>
    <w:p w:rsidR="0094450D" w:rsidRDefault="00A97E28" w:rsidP="00C70002">
      <w:pPr>
        <w:jc w:val="center"/>
        <w:rPr>
          <w:rFonts w:asciiTheme="minorHAnsi" w:hAnsiTheme="minorHAnsi" w:cs="Arial"/>
          <w:b/>
          <w:sz w:val="22"/>
          <w:szCs w:val="22"/>
        </w:rPr>
      </w:pPr>
      <w:r>
        <w:rPr>
          <w:noProof/>
          <w:lang w:val="fr-FR" w:eastAsia="fr-FR"/>
        </w:rPr>
        <w:drawing>
          <wp:inline distT="0" distB="0" distL="0" distR="0">
            <wp:extent cx="4848225" cy="34480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4EA1" w:rsidRDefault="00F44EA1" w:rsidP="00F44EA1">
      <w:pPr>
        <w:autoSpaceDE w:val="0"/>
        <w:autoSpaceDN w:val="0"/>
        <w:adjustRightInd w:val="0"/>
        <w:jc w:val="both"/>
        <w:rPr>
          <w:rFonts w:ascii="Georgia" w:hAnsi="Georgia"/>
          <w:color w:val="303030"/>
          <w:shd w:val="clear" w:color="auto" w:fill="FAFAFA"/>
        </w:rPr>
      </w:pPr>
    </w:p>
    <w:p w:rsidR="00B73A45" w:rsidRDefault="00F44EA1" w:rsidP="00905727">
      <w:pPr>
        <w:autoSpaceDE w:val="0"/>
        <w:autoSpaceDN w:val="0"/>
        <w:adjustRightInd w:val="0"/>
        <w:spacing w:line="276" w:lineRule="auto"/>
        <w:jc w:val="both"/>
        <w:rPr>
          <w:rFonts w:asciiTheme="minorHAnsi" w:hAnsiTheme="minorHAnsi" w:cs="MinionPro-Regular"/>
          <w:sz w:val="22"/>
          <w:szCs w:val="22"/>
          <w:lang w:eastAsia="en-GB"/>
        </w:rPr>
      </w:pPr>
      <w:r>
        <w:rPr>
          <w:rFonts w:asciiTheme="minorHAnsi" w:hAnsiTheme="minorHAnsi" w:cs="Arial"/>
          <w:sz w:val="22"/>
          <w:szCs w:val="22"/>
          <w:lang w:eastAsia="en-GB"/>
        </w:rPr>
        <w:t xml:space="preserve">Brazil has </w:t>
      </w:r>
      <w:r w:rsidR="002A1457">
        <w:rPr>
          <w:rFonts w:asciiTheme="minorHAnsi" w:hAnsiTheme="minorHAnsi" w:cs="Arial"/>
          <w:sz w:val="22"/>
          <w:szCs w:val="22"/>
          <w:lang w:eastAsia="en-GB"/>
        </w:rPr>
        <w:t xml:space="preserve">been a key provider of technical assistance in tropical agriculture, particularly through the state-financed research institute – the Agricultural Research Institute </w:t>
      </w:r>
      <w:proofErr w:type="spellStart"/>
      <w:r w:rsidR="002A1457">
        <w:rPr>
          <w:rFonts w:asciiTheme="minorHAnsi" w:hAnsiTheme="minorHAnsi" w:cs="Arial"/>
          <w:sz w:val="22"/>
          <w:szCs w:val="22"/>
          <w:lang w:eastAsia="en-GB"/>
        </w:rPr>
        <w:t>Embrapa</w:t>
      </w:r>
      <w:proofErr w:type="spellEnd"/>
      <w:r w:rsidR="002A1457">
        <w:rPr>
          <w:rFonts w:asciiTheme="minorHAnsi" w:hAnsiTheme="minorHAnsi" w:cs="Arial"/>
          <w:sz w:val="22"/>
          <w:szCs w:val="22"/>
          <w:lang w:eastAsia="en-GB"/>
        </w:rPr>
        <w:t xml:space="preserve">.   </w:t>
      </w:r>
      <w:proofErr w:type="spellStart"/>
      <w:r w:rsidR="002A1457">
        <w:rPr>
          <w:rFonts w:asciiTheme="minorHAnsi" w:hAnsiTheme="minorHAnsi" w:cs="Arial"/>
          <w:sz w:val="22"/>
          <w:szCs w:val="22"/>
          <w:lang w:eastAsia="en-GB"/>
        </w:rPr>
        <w:t>Embrapa</w:t>
      </w:r>
      <w:proofErr w:type="spellEnd"/>
      <w:r w:rsidR="002A1457">
        <w:rPr>
          <w:rFonts w:asciiTheme="minorHAnsi" w:hAnsiTheme="minorHAnsi" w:cs="Arial"/>
          <w:sz w:val="22"/>
          <w:szCs w:val="22"/>
          <w:lang w:eastAsia="en-GB"/>
        </w:rPr>
        <w:t xml:space="preserve"> is </w:t>
      </w:r>
      <w:r w:rsidR="002A1457">
        <w:rPr>
          <w:rFonts w:asciiTheme="minorHAnsi" w:hAnsiTheme="minorHAnsi" w:cs="Arial"/>
          <w:sz w:val="22"/>
          <w:szCs w:val="22"/>
          <w:lang w:eastAsia="en-GB"/>
        </w:rPr>
        <w:lastRenderedPageBreak/>
        <w:t xml:space="preserve">currently implementing 36 agricultural cooperation projects in 15 African countries (see </w:t>
      </w:r>
      <w:r w:rsidR="00AF7329">
        <w:rPr>
          <w:rFonts w:asciiTheme="minorHAnsi" w:hAnsiTheme="minorHAnsi" w:cs="Arial"/>
          <w:sz w:val="22"/>
          <w:szCs w:val="22"/>
          <w:lang w:eastAsia="en-GB"/>
        </w:rPr>
        <w:t>Annex</w:t>
      </w:r>
      <w:r w:rsidR="002A1457">
        <w:rPr>
          <w:rFonts w:asciiTheme="minorHAnsi" w:hAnsiTheme="minorHAnsi" w:cs="Arial"/>
          <w:sz w:val="22"/>
          <w:szCs w:val="22"/>
          <w:lang w:eastAsia="en-GB"/>
        </w:rPr>
        <w:t xml:space="preserve"> </w:t>
      </w:r>
      <w:r w:rsidR="00FE3438">
        <w:rPr>
          <w:rFonts w:asciiTheme="minorHAnsi" w:hAnsiTheme="minorHAnsi" w:cs="Arial"/>
          <w:sz w:val="22"/>
          <w:szCs w:val="22"/>
          <w:lang w:eastAsia="en-GB"/>
        </w:rPr>
        <w:t>1</w:t>
      </w:r>
      <w:r w:rsidR="002A1457">
        <w:rPr>
          <w:rFonts w:asciiTheme="minorHAnsi" w:hAnsiTheme="minorHAnsi" w:cs="Arial"/>
          <w:sz w:val="22"/>
          <w:szCs w:val="22"/>
          <w:lang w:eastAsia="en-GB"/>
        </w:rPr>
        <w:t>).</w:t>
      </w:r>
      <w:r w:rsidR="002A1457">
        <w:rPr>
          <w:rStyle w:val="FootnoteReference"/>
          <w:rFonts w:asciiTheme="minorHAnsi" w:hAnsiTheme="minorHAnsi" w:cs="Arial"/>
          <w:sz w:val="22"/>
          <w:szCs w:val="22"/>
          <w:lang w:eastAsia="en-GB"/>
        </w:rPr>
        <w:footnoteReference w:id="37"/>
      </w:r>
      <w:r w:rsidR="002A1457">
        <w:rPr>
          <w:rFonts w:asciiTheme="minorHAnsi" w:hAnsiTheme="minorHAnsi" w:cs="Arial"/>
          <w:sz w:val="22"/>
          <w:szCs w:val="22"/>
          <w:lang w:eastAsia="en-GB"/>
        </w:rPr>
        <w:t xml:space="preserve">  Technical assistance ranges from the support of horticulture in Senegal, to the improvement of cashew nut post-harvest technologies in </w:t>
      </w:r>
      <w:r w:rsidR="002A1457" w:rsidRPr="002A1457">
        <w:rPr>
          <w:rFonts w:asciiTheme="minorHAnsi" w:hAnsiTheme="minorHAnsi" w:cs="Arial"/>
          <w:sz w:val="22"/>
          <w:szCs w:val="22"/>
          <w:lang w:eastAsia="en-GB"/>
        </w:rPr>
        <w:t>Tanzania</w:t>
      </w:r>
      <w:r w:rsidR="002A1457">
        <w:rPr>
          <w:rFonts w:asciiTheme="minorHAnsi" w:hAnsiTheme="minorHAnsi" w:cs="Arial"/>
          <w:sz w:val="22"/>
          <w:szCs w:val="22"/>
          <w:lang w:eastAsia="en-GB"/>
        </w:rPr>
        <w:t>,</w:t>
      </w:r>
      <w:r w:rsidR="002A1457" w:rsidRPr="002A1457">
        <w:rPr>
          <w:rFonts w:asciiTheme="minorHAnsi" w:hAnsiTheme="minorHAnsi" w:cs="MinionPro-Regular"/>
          <w:sz w:val="22"/>
          <w:szCs w:val="22"/>
          <w:lang w:eastAsia="en-GB"/>
        </w:rPr>
        <w:t xml:space="preserve"> to technical cooperation on native seed rescue, production and breeding in family-based agriculture in Namibia</w:t>
      </w:r>
      <w:r w:rsidR="002A1457">
        <w:rPr>
          <w:rFonts w:asciiTheme="minorHAnsi" w:hAnsiTheme="minorHAnsi" w:cs="MinionPro-Regular"/>
          <w:sz w:val="22"/>
          <w:szCs w:val="22"/>
          <w:lang w:eastAsia="en-GB"/>
        </w:rPr>
        <w:t>.</w:t>
      </w:r>
      <w:r w:rsidR="002A1457">
        <w:rPr>
          <w:rStyle w:val="FootnoteReference"/>
          <w:rFonts w:asciiTheme="minorHAnsi" w:hAnsiTheme="minorHAnsi" w:cs="MinionPro-Regular"/>
          <w:sz w:val="22"/>
          <w:szCs w:val="22"/>
          <w:lang w:eastAsia="en-GB"/>
        </w:rPr>
        <w:footnoteReference w:id="38"/>
      </w:r>
      <w:r w:rsidR="009726DF">
        <w:rPr>
          <w:rFonts w:asciiTheme="minorHAnsi" w:hAnsiTheme="minorHAnsi" w:cs="MinionPro-Regular"/>
          <w:sz w:val="22"/>
          <w:szCs w:val="22"/>
          <w:lang w:eastAsia="en-GB"/>
        </w:rPr>
        <w:t xml:space="preserve">  </w:t>
      </w:r>
      <w:r w:rsidR="004414FB">
        <w:rPr>
          <w:rFonts w:asciiTheme="minorHAnsi" w:hAnsiTheme="minorHAnsi" w:cs="MinionPro-Regular"/>
          <w:sz w:val="22"/>
          <w:szCs w:val="22"/>
          <w:lang w:eastAsia="en-GB"/>
        </w:rPr>
        <w:t>In May 2010, a new initiative</w:t>
      </w:r>
      <w:r w:rsidR="00F34794">
        <w:rPr>
          <w:rFonts w:asciiTheme="minorHAnsi" w:hAnsiTheme="minorHAnsi" w:cs="MinionPro-Regular"/>
          <w:sz w:val="22"/>
          <w:szCs w:val="22"/>
          <w:lang w:eastAsia="en-GB"/>
        </w:rPr>
        <w:t xml:space="preserve"> called the Africa-Brazil Agriculture Innovation Marketplace</w:t>
      </w:r>
      <w:r w:rsidR="009240CC">
        <w:rPr>
          <w:rFonts w:asciiTheme="minorHAnsi" w:hAnsiTheme="minorHAnsi" w:cs="MinionPro-Regular"/>
          <w:sz w:val="22"/>
          <w:szCs w:val="22"/>
          <w:lang w:eastAsia="en-GB"/>
        </w:rPr>
        <w:t>, also known as MKTPLACE,</w:t>
      </w:r>
      <w:r w:rsidR="004414FB">
        <w:rPr>
          <w:rFonts w:asciiTheme="minorHAnsi" w:hAnsiTheme="minorHAnsi" w:cs="MinionPro-Regular"/>
          <w:sz w:val="22"/>
          <w:szCs w:val="22"/>
          <w:lang w:eastAsia="en-GB"/>
        </w:rPr>
        <w:t xml:space="preserve"> was launched to link Brazilian and African </w:t>
      </w:r>
      <w:r w:rsidR="00F34794">
        <w:rPr>
          <w:rFonts w:asciiTheme="minorHAnsi" w:hAnsiTheme="minorHAnsi" w:cs="MinionPro-Regular"/>
          <w:sz w:val="22"/>
          <w:szCs w:val="22"/>
          <w:lang w:eastAsia="en-GB"/>
        </w:rPr>
        <w:t xml:space="preserve">agricultural </w:t>
      </w:r>
      <w:r w:rsidR="004414FB">
        <w:rPr>
          <w:rFonts w:asciiTheme="minorHAnsi" w:hAnsiTheme="minorHAnsi" w:cs="MinionPro-Regular"/>
          <w:sz w:val="22"/>
          <w:szCs w:val="22"/>
          <w:lang w:eastAsia="en-GB"/>
        </w:rPr>
        <w:t xml:space="preserve">experts and </w:t>
      </w:r>
      <w:r w:rsidR="00F34794">
        <w:rPr>
          <w:rFonts w:asciiTheme="minorHAnsi" w:hAnsiTheme="minorHAnsi" w:cs="MinionPro-Regular"/>
          <w:sz w:val="22"/>
          <w:szCs w:val="22"/>
          <w:lang w:eastAsia="en-GB"/>
        </w:rPr>
        <w:t>institutions.</w:t>
      </w:r>
      <w:r w:rsidR="004414FB">
        <w:rPr>
          <w:rFonts w:asciiTheme="minorHAnsi" w:hAnsiTheme="minorHAnsi" w:cs="MinionPro-Regular"/>
          <w:sz w:val="22"/>
          <w:szCs w:val="22"/>
          <w:lang w:eastAsia="en-GB"/>
        </w:rPr>
        <w:t xml:space="preserve"> </w:t>
      </w:r>
      <w:r w:rsidR="00F34794">
        <w:rPr>
          <w:rFonts w:asciiTheme="minorHAnsi" w:hAnsiTheme="minorHAnsi" w:cs="MinionPro-Regular"/>
          <w:sz w:val="22"/>
          <w:szCs w:val="22"/>
          <w:lang w:eastAsia="en-GB"/>
        </w:rPr>
        <w:t xml:space="preserve">  Supported by the World Bank and donors</w:t>
      </w:r>
      <w:r w:rsidR="00F34794">
        <w:rPr>
          <w:rStyle w:val="FootnoteReference"/>
          <w:rFonts w:asciiTheme="minorHAnsi" w:hAnsiTheme="minorHAnsi" w:cs="MinionPro-Regular"/>
          <w:sz w:val="22"/>
          <w:szCs w:val="22"/>
          <w:lang w:eastAsia="en-GB"/>
        </w:rPr>
        <w:footnoteReference w:id="39"/>
      </w:r>
      <w:r w:rsidR="00F34794">
        <w:rPr>
          <w:rFonts w:asciiTheme="minorHAnsi" w:hAnsiTheme="minorHAnsi" w:cs="MinionPro-Regular"/>
          <w:sz w:val="22"/>
          <w:szCs w:val="22"/>
          <w:lang w:eastAsia="en-GB"/>
        </w:rPr>
        <w:t xml:space="preserve">, the initiative is currently implementing 25 projects in Africa from bee diversity and crop pollination for food security in Ethiopia to </w:t>
      </w:r>
      <w:r w:rsidR="009240CC">
        <w:rPr>
          <w:rFonts w:asciiTheme="minorHAnsi" w:hAnsiTheme="minorHAnsi" w:cs="MinionPro-Regular"/>
          <w:sz w:val="22"/>
          <w:szCs w:val="22"/>
          <w:lang w:eastAsia="en-GB"/>
        </w:rPr>
        <w:t>cotton varieties and pest management in Tanzania.</w:t>
      </w:r>
      <w:r w:rsidR="009240CC">
        <w:rPr>
          <w:rStyle w:val="FootnoteReference"/>
          <w:rFonts w:asciiTheme="minorHAnsi" w:hAnsiTheme="minorHAnsi" w:cs="MinionPro-Regular"/>
          <w:sz w:val="22"/>
          <w:szCs w:val="22"/>
          <w:lang w:eastAsia="en-GB"/>
        </w:rPr>
        <w:footnoteReference w:id="40"/>
      </w:r>
      <w:r w:rsidR="009240CC">
        <w:rPr>
          <w:rFonts w:asciiTheme="minorHAnsi" w:hAnsiTheme="minorHAnsi" w:cs="MinionPro-Regular"/>
          <w:sz w:val="22"/>
          <w:szCs w:val="22"/>
          <w:lang w:eastAsia="en-GB"/>
        </w:rPr>
        <w:t xml:space="preserve">   Projects </w:t>
      </w:r>
      <w:r w:rsidR="00B73A45">
        <w:rPr>
          <w:rFonts w:asciiTheme="minorHAnsi" w:hAnsiTheme="minorHAnsi" w:cs="MinionPro-Regular"/>
          <w:sz w:val="22"/>
          <w:szCs w:val="22"/>
          <w:lang w:eastAsia="en-GB"/>
        </w:rPr>
        <w:t xml:space="preserve">tend to be demand-driven and relatively small-scale, </w:t>
      </w:r>
      <w:r w:rsidR="009D3B04">
        <w:rPr>
          <w:rFonts w:asciiTheme="minorHAnsi" w:hAnsiTheme="minorHAnsi" w:cs="MinionPro-Regular"/>
          <w:sz w:val="22"/>
          <w:szCs w:val="22"/>
          <w:lang w:eastAsia="en-GB"/>
        </w:rPr>
        <w:t>with</w:t>
      </w:r>
      <w:r w:rsidR="00B73A45">
        <w:rPr>
          <w:rFonts w:asciiTheme="minorHAnsi" w:hAnsiTheme="minorHAnsi" w:cs="MinionPro-Regular"/>
          <w:sz w:val="22"/>
          <w:szCs w:val="22"/>
          <w:lang w:eastAsia="en-GB"/>
        </w:rPr>
        <w:t xml:space="preserve"> projects</w:t>
      </w:r>
      <w:r w:rsidR="009240CC">
        <w:rPr>
          <w:rFonts w:asciiTheme="minorHAnsi" w:hAnsiTheme="minorHAnsi" w:cs="MinionPro-Regular"/>
          <w:sz w:val="22"/>
          <w:szCs w:val="22"/>
          <w:lang w:eastAsia="en-GB"/>
        </w:rPr>
        <w:t xml:space="preserve"> funded up to USD 80,000 in total for a maximum duration period of 2 years.</w:t>
      </w:r>
      <w:r w:rsidR="009240CC">
        <w:rPr>
          <w:rStyle w:val="FootnoteReference"/>
          <w:rFonts w:asciiTheme="minorHAnsi" w:hAnsiTheme="minorHAnsi" w:cs="MinionPro-Regular"/>
          <w:sz w:val="22"/>
          <w:szCs w:val="22"/>
          <w:lang w:eastAsia="en-GB"/>
        </w:rPr>
        <w:footnoteReference w:id="41"/>
      </w:r>
      <w:r w:rsidR="009240CC">
        <w:rPr>
          <w:rFonts w:asciiTheme="minorHAnsi" w:hAnsiTheme="minorHAnsi" w:cs="MinionPro-Regular"/>
          <w:sz w:val="22"/>
          <w:szCs w:val="22"/>
          <w:lang w:eastAsia="en-GB"/>
        </w:rPr>
        <w:t xml:space="preserve"> </w:t>
      </w:r>
      <w:r w:rsidR="00B73A45">
        <w:rPr>
          <w:rFonts w:asciiTheme="minorHAnsi" w:hAnsiTheme="minorHAnsi" w:cs="MinionPro-Regular"/>
          <w:sz w:val="22"/>
          <w:szCs w:val="22"/>
          <w:lang w:eastAsia="en-GB"/>
        </w:rPr>
        <w:t xml:space="preserve"> </w:t>
      </w:r>
    </w:p>
    <w:p w:rsidR="00932A76" w:rsidRDefault="00932A76" w:rsidP="00905727">
      <w:pPr>
        <w:autoSpaceDE w:val="0"/>
        <w:autoSpaceDN w:val="0"/>
        <w:adjustRightInd w:val="0"/>
        <w:spacing w:line="276" w:lineRule="auto"/>
        <w:rPr>
          <w:rFonts w:asciiTheme="minorHAnsi" w:hAnsiTheme="minorHAnsi" w:cs="Arial"/>
          <w:b/>
          <w:color w:val="1F497D" w:themeColor="text2"/>
          <w:szCs w:val="24"/>
        </w:rPr>
      </w:pPr>
    </w:p>
    <w:p w:rsidR="00194C7C" w:rsidRPr="00DC0EB5" w:rsidRDefault="00194C7C" w:rsidP="00905727">
      <w:pPr>
        <w:autoSpaceDE w:val="0"/>
        <w:autoSpaceDN w:val="0"/>
        <w:adjustRightInd w:val="0"/>
        <w:spacing w:line="276" w:lineRule="auto"/>
        <w:rPr>
          <w:rFonts w:asciiTheme="minorHAnsi" w:hAnsiTheme="minorHAnsi" w:cs="Arial"/>
          <w:b/>
          <w:color w:val="1F497D" w:themeColor="text2"/>
          <w:szCs w:val="24"/>
        </w:rPr>
      </w:pPr>
      <w:r w:rsidRPr="00DC0EB5">
        <w:rPr>
          <w:rFonts w:asciiTheme="minorHAnsi" w:hAnsiTheme="minorHAnsi" w:cs="Arial"/>
          <w:b/>
          <w:color w:val="1F497D" w:themeColor="text2"/>
          <w:szCs w:val="24"/>
        </w:rPr>
        <w:t>2.</w:t>
      </w:r>
      <w:r w:rsidR="004940A8">
        <w:rPr>
          <w:rFonts w:asciiTheme="minorHAnsi" w:hAnsiTheme="minorHAnsi" w:cs="Arial"/>
          <w:b/>
          <w:color w:val="1F497D" w:themeColor="text2"/>
          <w:szCs w:val="24"/>
        </w:rPr>
        <w:t>3</w:t>
      </w:r>
      <w:r w:rsidRPr="00DC0EB5">
        <w:rPr>
          <w:rFonts w:asciiTheme="minorHAnsi" w:hAnsiTheme="minorHAnsi" w:cs="Arial"/>
          <w:b/>
          <w:color w:val="1F497D" w:themeColor="text2"/>
          <w:szCs w:val="24"/>
        </w:rPr>
        <w:t>.</w:t>
      </w:r>
      <w:r w:rsidR="00E047F8">
        <w:rPr>
          <w:rFonts w:asciiTheme="minorHAnsi" w:hAnsiTheme="minorHAnsi" w:cs="Arial"/>
          <w:b/>
          <w:color w:val="1F497D" w:themeColor="text2"/>
          <w:szCs w:val="24"/>
        </w:rPr>
        <w:t>4</w:t>
      </w:r>
      <w:r w:rsidRPr="00DC0EB5">
        <w:rPr>
          <w:rFonts w:asciiTheme="minorHAnsi" w:hAnsiTheme="minorHAnsi" w:cs="Arial"/>
          <w:b/>
          <w:color w:val="1F497D" w:themeColor="text2"/>
          <w:szCs w:val="24"/>
        </w:rPr>
        <w:tab/>
        <w:t>India</w:t>
      </w:r>
    </w:p>
    <w:p w:rsidR="00194C7C" w:rsidRDefault="00003E50" w:rsidP="00905727">
      <w:pPr>
        <w:autoSpaceDE w:val="0"/>
        <w:autoSpaceDN w:val="0"/>
        <w:adjustRightInd w:val="0"/>
        <w:spacing w:line="276" w:lineRule="auto"/>
        <w:jc w:val="both"/>
        <w:rPr>
          <w:rFonts w:asciiTheme="minorHAnsi" w:hAnsiTheme="minorHAnsi" w:cs="Arial"/>
          <w:sz w:val="22"/>
          <w:szCs w:val="22"/>
          <w:lang w:eastAsia="en-GB"/>
        </w:rPr>
      </w:pPr>
      <w:r>
        <w:rPr>
          <w:rFonts w:asciiTheme="minorHAnsi" w:hAnsiTheme="minorHAnsi" w:cs="Arial"/>
          <w:sz w:val="22"/>
          <w:szCs w:val="22"/>
          <w:lang w:eastAsia="en-GB"/>
        </w:rPr>
        <w:t>T</w:t>
      </w:r>
      <w:r w:rsidR="00CC0C39">
        <w:rPr>
          <w:rFonts w:asciiTheme="minorHAnsi" w:hAnsiTheme="minorHAnsi" w:cs="Arial"/>
          <w:sz w:val="22"/>
          <w:szCs w:val="22"/>
          <w:lang w:eastAsia="en-GB"/>
        </w:rPr>
        <w:t xml:space="preserve">he most recent data </w:t>
      </w:r>
      <w:r w:rsidR="004105DE">
        <w:rPr>
          <w:rFonts w:asciiTheme="minorHAnsi" w:hAnsiTheme="minorHAnsi" w:cs="Arial"/>
          <w:sz w:val="22"/>
          <w:szCs w:val="22"/>
          <w:lang w:eastAsia="en-GB"/>
        </w:rPr>
        <w:t xml:space="preserve">(2009) </w:t>
      </w:r>
      <w:r>
        <w:rPr>
          <w:rFonts w:asciiTheme="minorHAnsi" w:hAnsiTheme="minorHAnsi" w:cs="Arial"/>
          <w:sz w:val="22"/>
          <w:szCs w:val="22"/>
          <w:lang w:eastAsia="en-GB"/>
        </w:rPr>
        <w:t xml:space="preserve">on Indian bilateral ODA </w:t>
      </w:r>
      <w:r w:rsidR="00CC0C39">
        <w:rPr>
          <w:rFonts w:asciiTheme="minorHAnsi" w:hAnsiTheme="minorHAnsi" w:cs="Arial"/>
          <w:sz w:val="22"/>
          <w:szCs w:val="22"/>
          <w:lang w:eastAsia="en-GB"/>
        </w:rPr>
        <w:t>show</w:t>
      </w:r>
      <w:r>
        <w:rPr>
          <w:rFonts w:asciiTheme="minorHAnsi" w:hAnsiTheme="minorHAnsi" w:cs="Arial"/>
          <w:sz w:val="22"/>
          <w:szCs w:val="22"/>
          <w:lang w:eastAsia="en-GB"/>
        </w:rPr>
        <w:t>s</w:t>
      </w:r>
      <w:r w:rsidR="00CC0C39">
        <w:rPr>
          <w:rFonts w:asciiTheme="minorHAnsi" w:hAnsiTheme="minorHAnsi" w:cs="Arial"/>
          <w:sz w:val="22"/>
          <w:szCs w:val="22"/>
          <w:lang w:eastAsia="en-GB"/>
        </w:rPr>
        <w:t xml:space="preserve"> that India committed </w:t>
      </w:r>
      <w:r w:rsidR="00CC0C39">
        <w:rPr>
          <w:rFonts w:asciiTheme="minorHAnsi" w:hAnsiTheme="minorHAnsi" w:cs="Arial"/>
          <w:b/>
          <w:sz w:val="22"/>
          <w:szCs w:val="22"/>
          <w:lang w:eastAsia="en-GB"/>
        </w:rPr>
        <w:t>USD 45.5 million</w:t>
      </w:r>
      <w:r w:rsidR="00CC0C39" w:rsidRPr="00CC0C39">
        <w:rPr>
          <w:rFonts w:asciiTheme="minorHAnsi" w:hAnsiTheme="minorHAnsi" w:cs="Arial"/>
          <w:b/>
          <w:sz w:val="22"/>
          <w:szCs w:val="22"/>
          <w:lang w:eastAsia="en-GB"/>
        </w:rPr>
        <w:t xml:space="preserve"> </w:t>
      </w:r>
      <w:r w:rsidR="00CC0C39">
        <w:rPr>
          <w:rFonts w:asciiTheme="minorHAnsi" w:hAnsiTheme="minorHAnsi" w:cs="Arial"/>
          <w:sz w:val="22"/>
          <w:szCs w:val="22"/>
          <w:lang w:eastAsia="en-GB"/>
        </w:rPr>
        <w:t xml:space="preserve">to five agricultural projects in Africa. </w:t>
      </w:r>
      <w:r w:rsidR="00CC0C39">
        <w:rPr>
          <w:rStyle w:val="FootnoteReference"/>
          <w:rFonts w:asciiTheme="minorHAnsi" w:hAnsiTheme="minorHAnsi" w:cs="Arial"/>
          <w:sz w:val="22"/>
          <w:szCs w:val="22"/>
          <w:lang w:eastAsia="en-GB"/>
        </w:rPr>
        <w:footnoteReference w:id="42"/>
      </w:r>
      <w:r w:rsidR="00CC0C39">
        <w:rPr>
          <w:rFonts w:asciiTheme="minorHAnsi" w:hAnsiTheme="minorHAnsi" w:cs="Arial"/>
          <w:sz w:val="22"/>
          <w:szCs w:val="22"/>
          <w:lang w:eastAsia="en-GB"/>
        </w:rPr>
        <w:t xml:space="preserve"> Analysis of this </w:t>
      </w:r>
      <w:r>
        <w:rPr>
          <w:rFonts w:asciiTheme="minorHAnsi" w:hAnsiTheme="minorHAnsi" w:cs="Arial"/>
          <w:sz w:val="22"/>
          <w:szCs w:val="22"/>
          <w:lang w:eastAsia="en-GB"/>
        </w:rPr>
        <w:t>investment</w:t>
      </w:r>
      <w:r w:rsidR="00CC0C39">
        <w:rPr>
          <w:rFonts w:asciiTheme="minorHAnsi" w:hAnsiTheme="minorHAnsi" w:cs="Arial"/>
          <w:sz w:val="22"/>
          <w:szCs w:val="22"/>
          <w:lang w:eastAsia="en-GB"/>
        </w:rPr>
        <w:t xml:space="preserve"> shows India tended to finance </w:t>
      </w:r>
      <w:r w:rsidR="004105DE">
        <w:rPr>
          <w:rFonts w:asciiTheme="minorHAnsi" w:hAnsiTheme="minorHAnsi" w:cs="Arial"/>
          <w:sz w:val="22"/>
          <w:szCs w:val="22"/>
          <w:lang w:eastAsia="en-GB"/>
        </w:rPr>
        <w:t xml:space="preserve">large </w:t>
      </w:r>
      <w:r w:rsidR="00CC0C39">
        <w:rPr>
          <w:rFonts w:asciiTheme="minorHAnsi" w:hAnsiTheme="minorHAnsi" w:cs="Arial"/>
          <w:sz w:val="22"/>
          <w:szCs w:val="22"/>
          <w:lang w:eastAsia="en-GB"/>
        </w:rPr>
        <w:t xml:space="preserve">infrastructural projects </w:t>
      </w:r>
      <w:r w:rsidR="004105DE">
        <w:rPr>
          <w:rFonts w:asciiTheme="minorHAnsi" w:hAnsiTheme="minorHAnsi" w:cs="Arial"/>
          <w:sz w:val="22"/>
          <w:szCs w:val="22"/>
          <w:lang w:eastAsia="en-GB"/>
        </w:rPr>
        <w:t xml:space="preserve">(agriculture and processing plants) </w:t>
      </w:r>
      <w:r w:rsidR="00CC0C39">
        <w:rPr>
          <w:rFonts w:asciiTheme="minorHAnsi" w:hAnsiTheme="minorHAnsi" w:cs="Arial"/>
          <w:sz w:val="22"/>
          <w:szCs w:val="22"/>
          <w:lang w:eastAsia="en-GB"/>
        </w:rPr>
        <w:t xml:space="preserve">or </w:t>
      </w:r>
      <w:r w:rsidR="00E047F8">
        <w:rPr>
          <w:rFonts w:asciiTheme="minorHAnsi" w:hAnsiTheme="minorHAnsi" w:cs="Arial"/>
          <w:sz w:val="22"/>
          <w:szCs w:val="22"/>
          <w:lang w:eastAsia="en-GB"/>
        </w:rPr>
        <w:t>the supply of</w:t>
      </w:r>
      <w:r w:rsidR="00CC0C39">
        <w:rPr>
          <w:rFonts w:asciiTheme="minorHAnsi" w:hAnsiTheme="minorHAnsi" w:cs="Arial"/>
          <w:sz w:val="22"/>
          <w:szCs w:val="22"/>
          <w:lang w:eastAsia="en-GB"/>
        </w:rPr>
        <w:t xml:space="preserve"> agricultural equipment (tractors, </w:t>
      </w:r>
      <w:r w:rsidR="004105DE">
        <w:rPr>
          <w:rFonts w:asciiTheme="minorHAnsi" w:hAnsiTheme="minorHAnsi" w:cs="Arial"/>
          <w:sz w:val="22"/>
          <w:szCs w:val="22"/>
          <w:lang w:eastAsia="en-GB"/>
        </w:rPr>
        <w:t>sprayers, pesticide etc</w:t>
      </w:r>
      <w:r w:rsidR="00FE3438">
        <w:rPr>
          <w:rFonts w:asciiTheme="minorHAnsi" w:hAnsiTheme="minorHAnsi" w:cs="Arial"/>
          <w:sz w:val="22"/>
          <w:szCs w:val="22"/>
          <w:lang w:eastAsia="en-GB"/>
        </w:rPr>
        <w:t>)</w:t>
      </w:r>
      <w:r w:rsidR="009D3B04">
        <w:rPr>
          <w:rFonts w:asciiTheme="minorHAnsi" w:hAnsiTheme="minorHAnsi" w:cs="Arial"/>
          <w:sz w:val="22"/>
          <w:szCs w:val="22"/>
          <w:lang w:eastAsia="en-GB"/>
        </w:rPr>
        <w:t xml:space="preserve">.  More recently, data from the Export-Import Bank of India shows that in 2012, there were 105 Lines of Credit (LOCs) earmarked for agriculture, infrastructure, and related projects totalling more than </w:t>
      </w:r>
      <w:r w:rsidR="009D3B04" w:rsidRPr="009D3B04">
        <w:rPr>
          <w:rFonts w:asciiTheme="minorHAnsi" w:hAnsiTheme="minorHAnsi" w:cs="Arial"/>
          <w:b/>
          <w:sz w:val="22"/>
          <w:szCs w:val="22"/>
          <w:lang w:eastAsia="en-GB"/>
        </w:rPr>
        <w:t>USD 4 billion</w:t>
      </w:r>
      <w:r w:rsidR="009D3B04">
        <w:rPr>
          <w:rFonts w:asciiTheme="minorHAnsi" w:hAnsiTheme="minorHAnsi" w:cs="Arial"/>
          <w:sz w:val="22"/>
          <w:szCs w:val="22"/>
          <w:lang w:eastAsia="en-GB"/>
        </w:rPr>
        <w:t xml:space="preserve"> covering over 47 countries in the African region.</w:t>
      </w:r>
      <w:r w:rsidR="007D26C1">
        <w:rPr>
          <w:rStyle w:val="FootnoteReference"/>
          <w:rFonts w:asciiTheme="minorHAnsi" w:hAnsiTheme="minorHAnsi" w:cs="Arial"/>
          <w:sz w:val="22"/>
          <w:szCs w:val="22"/>
          <w:lang w:eastAsia="en-GB"/>
        </w:rPr>
        <w:footnoteReference w:id="43"/>
      </w:r>
      <w:r w:rsidR="009D3B04">
        <w:rPr>
          <w:rFonts w:asciiTheme="minorHAnsi" w:hAnsiTheme="minorHAnsi" w:cs="Arial"/>
          <w:sz w:val="22"/>
          <w:szCs w:val="22"/>
          <w:lang w:eastAsia="en-GB"/>
        </w:rPr>
        <w:t xml:space="preserve">  </w:t>
      </w:r>
      <w:r w:rsidR="004105DE">
        <w:rPr>
          <w:rFonts w:asciiTheme="minorHAnsi" w:hAnsiTheme="minorHAnsi" w:cs="Arial"/>
          <w:sz w:val="22"/>
          <w:szCs w:val="22"/>
          <w:lang w:eastAsia="en-GB"/>
        </w:rPr>
        <w:t xml:space="preserve">Concerns have also been raised about India giving soft loans as aid to support Indian agricultural firms to buy </w:t>
      </w:r>
      <w:r w:rsidR="004105DE" w:rsidRPr="00D50751">
        <w:rPr>
          <w:rFonts w:asciiTheme="minorHAnsi" w:hAnsiTheme="minorHAnsi" w:cs="Arial"/>
          <w:sz w:val="22"/>
          <w:szCs w:val="22"/>
          <w:lang w:eastAsia="en-GB"/>
        </w:rPr>
        <w:t>land in various African countries to grow rice, sugar cane, maize and lentils</w:t>
      </w:r>
      <w:r w:rsidR="00E015C7" w:rsidRPr="00D50751">
        <w:rPr>
          <w:rFonts w:asciiTheme="minorHAnsi" w:hAnsiTheme="minorHAnsi" w:cs="Arial"/>
          <w:sz w:val="22"/>
          <w:szCs w:val="22"/>
          <w:lang w:eastAsia="en-GB"/>
        </w:rPr>
        <w:t xml:space="preserve"> for the Indian domestic </w:t>
      </w:r>
      <w:r w:rsidR="00E015C7" w:rsidRPr="009D3B04">
        <w:rPr>
          <w:rFonts w:asciiTheme="minorHAnsi" w:hAnsiTheme="minorHAnsi" w:cs="Arial"/>
          <w:sz w:val="22"/>
          <w:szCs w:val="22"/>
          <w:lang w:eastAsia="en-GB"/>
        </w:rPr>
        <w:t xml:space="preserve">market.   </w:t>
      </w:r>
      <w:r w:rsidR="009D3B04" w:rsidRPr="009D3B04">
        <w:rPr>
          <w:rFonts w:asciiTheme="minorHAnsi" w:hAnsiTheme="minorHAnsi" w:cs="Arial"/>
          <w:sz w:val="22"/>
          <w:szCs w:val="22"/>
          <w:lang w:eastAsia="en-GB"/>
        </w:rPr>
        <w:t xml:space="preserve">As of 2011, </w:t>
      </w:r>
      <w:r w:rsidR="009D3B04" w:rsidRPr="009D3B04">
        <w:rPr>
          <w:rFonts w:asciiTheme="minorHAnsi" w:hAnsiTheme="minorHAnsi"/>
          <w:sz w:val="22"/>
          <w:szCs w:val="22"/>
        </w:rPr>
        <w:t>over 80 companies had invested up to US</w:t>
      </w:r>
      <w:r w:rsidR="00FE3438">
        <w:rPr>
          <w:rFonts w:asciiTheme="minorHAnsi" w:hAnsiTheme="minorHAnsi"/>
          <w:sz w:val="22"/>
          <w:szCs w:val="22"/>
        </w:rPr>
        <w:t xml:space="preserve">D </w:t>
      </w:r>
      <w:r w:rsidR="009D3B04" w:rsidRPr="009D3B04">
        <w:rPr>
          <w:rFonts w:asciiTheme="minorHAnsi" w:hAnsiTheme="minorHAnsi"/>
          <w:sz w:val="22"/>
          <w:szCs w:val="22"/>
        </w:rPr>
        <w:t>2.3 billion in commercial farming initiatives at the invite of African countries offering land on long term lease.</w:t>
      </w:r>
      <w:r w:rsidR="009D3B04">
        <w:rPr>
          <w:rStyle w:val="FootnoteReference"/>
          <w:rFonts w:asciiTheme="minorHAnsi" w:hAnsiTheme="minorHAnsi"/>
          <w:sz w:val="22"/>
          <w:szCs w:val="22"/>
        </w:rPr>
        <w:footnoteReference w:id="44"/>
      </w:r>
      <w:r w:rsidR="009D3B04" w:rsidRPr="009D3B04">
        <w:rPr>
          <w:rStyle w:val="apple-converted-space"/>
          <w:rFonts w:asciiTheme="minorHAnsi" w:hAnsiTheme="minorHAnsi"/>
          <w:sz w:val="22"/>
          <w:szCs w:val="22"/>
        </w:rPr>
        <w:t> </w:t>
      </w:r>
      <w:r w:rsidR="009D3B04" w:rsidRPr="009D3B04">
        <w:rPr>
          <w:rFonts w:asciiTheme="minorHAnsi" w:hAnsiTheme="minorHAnsi" w:cs="Arial"/>
          <w:sz w:val="22"/>
          <w:szCs w:val="22"/>
          <w:lang w:eastAsia="en-GB"/>
        </w:rPr>
        <w:t xml:space="preserve"> </w:t>
      </w:r>
      <w:r w:rsidR="00D50751" w:rsidRPr="009D3B04">
        <w:rPr>
          <w:rFonts w:asciiTheme="minorHAnsi" w:hAnsiTheme="minorHAnsi" w:cs="Arial"/>
          <w:sz w:val="22"/>
          <w:szCs w:val="22"/>
          <w:lang w:eastAsia="en-GB"/>
        </w:rPr>
        <w:t xml:space="preserve">In </w:t>
      </w:r>
      <w:r w:rsidR="00D50751">
        <w:rPr>
          <w:rFonts w:asciiTheme="minorHAnsi" w:hAnsiTheme="minorHAnsi" w:cs="Arial"/>
          <w:sz w:val="22"/>
          <w:szCs w:val="22"/>
          <w:lang w:eastAsia="en-GB"/>
        </w:rPr>
        <w:t>Ethiopia alone, f</w:t>
      </w:r>
      <w:r w:rsidR="00E015C7" w:rsidRPr="00D50751">
        <w:rPr>
          <w:rFonts w:asciiTheme="minorHAnsi" w:hAnsiTheme="minorHAnsi" w:cs="Arial"/>
          <w:sz w:val="22"/>
          <w:szCs w:val="22"/>
          <w:lang w:eastAsia="en-GB"/>
        </w:rPr>
        <w:t xml:space="preserve">or example, </w:t>
      </w:r>
      <w:r w:rsidR="00D50751" w:rsidRPr="00D50751">
        <w:rPr>
          <w:rFonts w:asciiTheme="minorHAnsi" w:hAnsiTheme="minorHAnsi" w:cs="Arial"/>
          <w:sz w:val="22"/>
          <w:szCs w:val="22"/>
          <w:lang w:eastAsia="en-GB"/>
        </w:rPr>
        <w:t xml:space="preserve">it has been noted that </w:t>
      </w:r>
      <w:r w:rsidR="00D50751" w:rsidRPr="00D50751">
        <w:rPr>
          <w:rFonts w:asciiTheme="minorHAnsi" w:hAnsiTheme="minorHAnsi" w:cs="TimesNewRomanPSMT"/>
          <w:sz w:val="22"/>
          <w:szCs w:val="22"/>
          <w:lang w:eastAsia="en-GB"/>
        </w:rPr>
        <w:t xml:space="preserve">1.8 million hectares of its farmland </w:t>
      </w:r>
      <w:r w:rsidR="00D50751">
        <w:rPr>
          <w:rFonts w:asciiTheme="minorHAnsi" w:hAnsiTheme="minorHAnsi" w:cs="TimesNewRomanPSMT"/>
          <w:sz w:val="22"/>
          <w:szCs w:val="22"/>
          <w:lang w:eastAsia="en-GB"/>
        </w:rPr>
        <w:t xml:space="preserve">has been offered </w:t>
      </w:r>
      <w:r w:rsidR="00D50751" w:rsidRPr="00D50751">
        <w:rPr>
          <w:rFonts w:asciiTheme="minorHAnsi" w:hAnsiTheme="minorHAnsi" w:cs="TimesNewRomanPSMT"/>
          <w:sz w:val="22"/>
          <w:szCs w:val="22"/>
          <w:lang w:eastAsia="en-GB"/>
        </w:rPr>
        <w:t xml:space="preserve">to Indian investors, with </w:t>
      </w:r>
      <w:r w:rsidR="00E015C7" w:rsidRPr="00D50751">
        <w:rPr>
          <w:rFonts w:asciiTheme="minorHAnsi" w:hAnsiTheme="minorHAnsi" w:cs="Arial"/>
          <w:sz w:val="22"/>
          <w:szCs w:val="22"/>
          <w:shd w:val="clear" w:color="auto" w:fill="FFFFFF"/>
        </w:rPr>
        <w:t xml:space="preserve">an estimated USD 4.7 billion </w:t>
      </w:r>
      <w:r w:rsidR="00D50751">
        <w:rPr>
          <w:rFonts w:asciiTheme="minorHAnsi" w:hAnsiTheme="minorHAnsi" w:cs="Arial"/>
          <w:sz w:val="22"/>
          <w:szCs w:val="22"/>
          <w:shd w:val="clear" w:color="auto" w:fill="FFFFFF"/>
        </w:rPr>
        <w:t>of Indian</w:t>
      </w:r>
      <w:r w:rsidR="00E015C7" w:rsidRPr="00D50751">
        <w:rPr>
          <w:rFonts w:asciiTheme="minorHAnsi" w:hAnsiTheme="minorHAnsi" w:cs="Arial"/>
          <w:sz w:val="22"/>
          <w:szCs w:val="22"/>
          <w:shd w:val="clear" w:color="auto" w:fill="FFFFFF"/>
        </w:rPr>
        <w:t xml:space="preserve"> </w:t>
      </w:r>
      <w:r w:rsidR="00E015C7" w:rsidRPr="00D50751">
        <w:rPr>
          <w:rFonts w:asciiTheme="minorHAnsi" w:hAnsiTheme="minorHAnsi" w:cs="TimesNewRomanPSMT"/>
          <w:sz w:val="22"/>
          <w:szCs w:val="22"/>
          <w:lang w:eastAsia="en-GB"/>
        </w:rPr>
        <w:t>foreign direct investments in Ethiopia, most of it related to the agricultural sector</w:t>
      </w:r>
      <w:r w:rsidR="00E015C7" w:rsidRPr="00E015C7">
        <w:rPr>
          <w:rFonts w:asciiTheme="minorHAnsi" w:hAnsiTheme="minorHAnsi" w:cs="TimesNewRomanPSMT"/>
          <w:sz w:val="22"/>
          <w:szCs w:val="22"/>
          <w:lang w:eastAsia="en-GB"/>
        </w:rPr>
        <w:t>.</w:t>
      </w:r>
      <w:r w:rsidR="00D50751">
        <w:rPr>
          <w:rStyle w:val="FootnoteReference"/>
          <w:rFonts w:asciiTheme="minorHAnsi" w:hAnsiTheme="minorHAnsi" w:cs="TimesNewRomanPSMT"/>
          <w:sz w:val="22"/>
          <w:szCs w:val="22"/>
          <w:lang w:eastAsia="en-GB"/>
        </w:rPr>
        <w:footnoteReference w:id="45"/>
      </w:r>
      <w:r w:rsidR="009D3B04">
        <w:rPr>
          <w:rFonts w:asciiTheme="minorHAnsi" w:hAnsiTheme="minorHAnsi" w:cs="TimesNewRomanPSMT"/>
          <w:sz w:val="22"/>
          <w:szCs w:val="22"/>
          <w:lang w:eastAsia="en-GB"/>
        </w:rPr>
        <w:t xml:space="preserve">   </w:t>
      </w:r>
      <w:r w:rsidR="004105DE">
        <w:rPr>
          <w:rFonts w:asciiTheme="minorHAnsi" w:hAnsiTheme="minorHAnsi" w:cs="Arial"/>
          <w:sz w:val="22"/>
          <w:szCs w:val="22"/>
          <w:lang w:eastAsia="en-GB"/>
        </w:rPr>
        <w:t xml:space="preserve">However, there are indications that </w:t>
      </w:r>
      <w:r>
        <w:rPr>
          <w:rFonts w:asciiTheme="minorHAnsi" w:hAnsiTheme="minorHAnsi" w:cs="Arial"/>
          <w:sz w:val="22"/>
          <w:szCs w:val="22"/>
          <w:lang w:eastAsia="en-GB"/>
        </w:rPr>
        <w:t xml:space="preserve">in the last few years </w:t>
      </w:r>
      <w:r w:rsidR="004105DE">
        <w:rPr>
          <w:rFonts w:asciiTheme="minorHAnsi" w:hAnsiTheme="minorHAnsi" w:cs="Arial"/>
          <w:sz w:val="22"/>
          <w:szCs w:val="22"/>
          <w:lang w:eastAsia="en-GB"/>
        </w:rPr>
        <w:t xml:space="preserve">India is </w:t>
      </w:r>
      <w:r w:rsidR="00266E48">
        <w:rPr>
          <w:rFonts w:asciiTheme="minorHAnsi" w:hAnsiTheme="minorHAnsi" w:cs="Arial"/>
          <w:sz w:val="22"/>
          <w:szCs w:val="22"/>
          <w:lang w:eastAsia="en-GB"/>
        </w:rPr>
        <w:t xml:space="preserve">also </w:t>
      </w:r>
      <w:r w:rsidR="004105DE">
        <w:rPr>
          <w:rFonts w:asciiTheme="minorHAnsi" w:hAnsiTheme="minorHAnsi" w:cs="Arial"/>
          <w:sz w:val="22"/>
          <w:szCs w:val="22"/>
          <w:lang w:eastAsia="en-GB"/>
        </w:rPr>
        <w:t>moving towards the exchange of knowledge and South-South cooperation in Africa.  Most recently, India has engaged in triangular cooperation with USAID to improve agricultural productivity and innovation in African countries.</w:t>
      </w:r>
      <w:r w:rsidR="004105DE">
        <w:rPr>
          <w:rStyle w:val="FootnoteReference"/>
          <w:rFonts w:asciiTheme="minorHAnsi" w:hAnsiTheme="minorHAnsi" w:cs="Arial"/>
          <w:sz w:val="22"/>
          <w:szCs w:val="22"/>
          <w:lang w:eastAsia="en-GB"/>
        </w:rPr>
        <w:footnoteReference w:id="46"/>
      </w:r>
    </w:p>
    <w:p w:rsidR="00BB0924" w:rsidRDefault="00BB0924">
      <w:pPr>
        <w:rPr>
          <w:rFonts w:asciiTheme="minorHAnsi" w:hAnsiTheme="minorHAnsi" w:cs="Arial"/>
          <w:b/>
          <w:color w:val="1F497D" w:themeColor="text2"/>
          <w:szCs w:val="24"/>
        </w:rPr>
      </w:pPr>
    </w:p>
    <w:p w:rsidR="0045510A" w:rsidRDefault="0045510A">
      <w:pPr>
        <w:rPr>
          <w:rFonts w:asciiTheme="minorHAnsi" w:hAnsiTheme="minorHAnsi" w:cs="Arial"/>
          <w:b/>
          <w:color w:val="1F497D" w:themeColor="text2"/>
          <w:szCs w:val="24"/>
        </w:rPr>
      </w:pPr>
      <w:r>
        <w:rPr>
          <w:rFonts w:asciiTheme="minorHAnsi" w:hAnsiTheme="minorHAnsi" w:cs="Arial"/>
          <w:b/>
          <w:color w:val="1F497D" w:themeColor="text2"/>
          <w:szCs w:val="24"/>
        </w:rPr>
        <w:br w:type="page"/>
      </w:r>
    </w:p>
    <w:p w:rsidR="003F6C09" w:rsidRPr="008744CB" w:rsidRDefault="003F6C09" w:rsidP="003F6C09">
      <w:pPr>
        <w:autoSpaceDE w:val="0"/>
        <w:autoSpaceDN w:val="0"/>
        <w:adjustRightInd w:val="0"/>
        <w:rPr>
          <w:rFonts w:asciiTheme="minorHAnsi" w:hAnsiTheme="minorHAnsi" w:cs="Arial"/>
          <w:b/>
          <w:color w:val="1F497D" w:themeColor="text2"/>
          <w:szCs w:val="24"/>
        </w:rPr>
      </w:pPr>
      <w:r w:rsidRPr="008744CB">
        <w:rPr>
          <w:rFonts w:asciiTheme="minorHAnsi" w:hAnsiTheme="minorHAnsi" w:cs="Arial"/>
          <w:b/>
          <w:color w:val="1F497D" w:themeColor="text2"/>
          <w:szCs w:val="24"/>
        </w:rPr>
        <w:lastRenderedPageBreak/>
        <w:t>2.</w:t>
      </w:r>
      <w:r w:rsidR="004940A8">
        <w:rPr>
          <w:rFonts w:asciiTheme="minorHAnsi" w:hAnsiTheme="minorHAnsi" w:cs="Arial"/>
          <w:b/>
          <w:color w:val="1F497D" w:themeColor="text2"/>
          <w:szCs w:val="24"/>
        </w:rPr>
        <w:t>4</w:t>
      </w:r>
      <w:r w:rsidRPr="008744CB">
        <w:rPr>
          <w:rFonts w:asciiTheme="minorHAnsi" w:hAnsiTheme="minorHAnsi" w:cs="Arial"/>
          <w:b/>
          <w:color w:val="1F497D" w:themeColor="text2"/>
          <w:szCs w:val="24"/>
        </w:rPr>
        <w:tab/>
        <w:t>MULTILATERAL FUNDING MECHANISMS</w:t>
      </w:r>
    </w:p>
    <w:p w:rsidR="003F6C09" w:rsidRPr="008744CB" w:rsidRDefault="003F6C09" w:rsidP="003F6C09">
      <w:pPr>
        <w:autoSpaceDE w:val="0"/>
        <w:autoSpaceDN w:val="0"/>
        <w:adjustRightInd w:val="0"/>
        <w:jc w:val="center"/>
        <w:rPr>
          <w:rFonts w:asciiTheme="minorHAnsi" w:hAnsiTheme="minorHAnsi" w:cs="Arial"/>
          <w:b/>
          <w:color w:val="1F497D" w:themeColor="text2"/>
          <w:sz w:val="20"/>
        </w:rPr>
      </w:pPr>
    </w:p>
    <w:p w:rsidR="003F6C09" w:rsidRPr="001904C4" w:rsidRDefault="003F6C09" w:rsidP="003F6C09">
      <w:pPr>
        <w:jc w:val="both"/>
        <w:rPr>
          <w:rFonts w:asciiTheme="minorHAnsi" w:hAnsiTheme="minorHAnsi" w:cs="Arial"/>
          <w:szCs w:val="24"/>
        </w:rPr>
      </w:pPr>
      <w:r w:rsidRPr="001904C4">
        <w:rPr>
          <w:rFonts w:asciiTheme="minorHAnsi" w:hAnsiTheme="minorHAnsi" w:cs="Arial"/>
          <w:b/>
          <w:color w:val="1F497D" w:themeColor="text2"/>
          <w:szCs w:val="24"/>
        </w:rPr>
        <w:t>2.</w:t>
      </w:r>
      <w:r w:rsidR="004940A8">
        <w:rPr>
          <w:rFonts w:asciiTheme="minorHAnsi" w:hAnsiTheme="minorHAnsi" w:cs="Arial"/>
          <w:b/>
          <w:color w:val="1F497D" w:themeColor="text2"/>
          <w:szCs w:val="24"/>
        </w:rPr>
        <w:t>4</w:t>
      </w:r>
      <w:r w:rsidRPr="001904C4">
        <w:rPr>
          <w:rFonts w:asciiTheme="minorHAnsi" w:hAnsiTheme="minorHAnsi" w:cs="Arial"/>
          <w:b/>
          <w:color w:val="1F497D" w:themeColor="text2"/>
          <w:szCs w:val="24"/>
        </w:rPr>
        <w:t>.1</w:t>
      </w:r>
      <w:r w:rsidRPr="001904C4">
        <w:rPr>
          <w:rFonts w:asciiTheme="minorHAnsi" w:hAnsiTheme="minorHAnsi" w:cs="Arial"/>
          <w:b/>
          <w:color w:val="1F497D" w:themeColor="text2"/>
          <w:szCs w:val="24"/>
        </w:rPr>
        <w:tab/>
        <w:t>Summary of multilateral funding</w:t>
      </w:r>
    </w:p>
    <w:p w:rsidR="0014543A" w:rsidRDefault="003F6C09" w:rsidP="00D0474E">
      <w:pPr>
        <w:spacing w:after="120" w:line="276" w:lineRule="auto"/>
        <w:jc w:val="both"/>
        <w:rPr>
          <w:rFonts w:asciiTheme="minorHAnsi" w:hAnsiTheme="minorHAnsi" w:cs="Arial"/>
          <w:b/>
          <w:sz w:val="22"/>
          <w:szCs w:val="22"/>
        </w:rPr>
      </w:pPr>
      <w:r w:rsidRPr="001904C4">
        <w:rPr>
          <w:rFonts w:asciiTheme="minorHAnsi" w:hAnsiTheme="minorHAnsi" w:cs="Arial"/>
          <w:sz w:val="22"/>
          <w:szCs w:val="22"/>
        </w:rPr>
        <w:t xml:space="preserve">There are also a number of multilateral financing mechanisms, both international and pan-African multilateral funding, which are active in providing investments to the agriculture sector.   </w:t>
      </w:r>
      <w:r w:rsidR="00D0474E">
        <w:rPr>
          <w:rFonts w:asciiTheme="minorHAnsi" w:hAnsiTheme="minorHAnsi" w:cs="Arial"/>
          <w:sz w:val="22"/>
          <w:szCs w:val="22"/>
        </w:rPr>
        <w:t>As shown in</w:t>
      </w:r>
      <w:r w:rsidRPr="001904C4">
        <w:rPr>
          <w:rFonts w:asciiTheme="minorHAnsi" w:hAnsiTheme="minorHAnsi" w:cs="Arial"/>
          <w:sz w:val="22"/>
          <w:szCs w:val="22"/>
        </w:rPr>
        <w:t xml:space="preserve"> Figure </w:t>
      </w:r>
      <w:r w:rsidR="0045510A">
        <w:rPr>
          <w:rFonts w:asciiTheme="minorHAnsi" w:hAnsiTheme="minorHAnsi" w:cs="Arial"/>
          <w:sz w:val="22"/>
          <w:szCs w:val="22"/>
        </w:rPr>
        <w:t>9</w:t>
      </w:r>
      <w:r w:rsidR="00D0474E">
        <w:rPr>
          <w:rFonts w:asciiTheme="minorHAnsi" w:hAnsiTheme="minorHAnsi" w:cs="Arial"/>
          <w:sz w:val="22"/>
          <w:szCs w:val="22"/>
        </w:rPr>
        <w:t>,</w:t>
      </w:r>
      <w:r w:rsidRPr="0096046A">
        <w:rPr>
          <w:rFonts w:asciiTheme="minorHAnsi" w:hAnsiTheme="minorHAnsi" w:cs="Arial"/>
          <w:sz w:val="22"/>
          <w:szCs w:val="22"/>
        </w:rPr>
        <w:t xml:space="preserve"> </w:t>
      </w:r>
      <w:r w:rsidRPr="0096046A">
        <w:rPr>
          <w:rFonts w:asciiTheme="minorHAnsi" w:hAnsiTheme="minorHAnsi" w:cs="Arial"/>
          <w:b/>
          <w:sz w:val="22"/>
          <w:szCs w:val="22"/>
        </w:rPr>
        <w:t xml:space="preserve">a total of </w:t>
      </w:r>
      <w:r w:rsidR="0096046A" w:rsidRPr="0096046A">
        <w:rPr>
          <w:rFonts w:asciiTheme="minorHAnsi" w:hAnsiTheme="minorHAnsi" w:cs="Arial"/>
          <w:b/>
          <w:sz w:val="22"/>
          <w:szCs w:val="22"/>
        </w:rPr>
        <w:t xml:space="preserve">almost </w:t>
      </w:r>
      <w:r w:rsidRPr="0096046A">
        <w:rPr>
          <w:rFonts w:asciiTheme="minorHAnsi" w:hAnsiTheme="minorHAnsi" w:cs="Arial"/>
          <w:b/>
          <w:sz w:val="22"/>
          <w:szCs w:val="22"/>
        </w:rPr>
        <w:t xml:space="preserve">USD </w:t>
      </w:r>
      <w:r w:rsidR="0096046A" w:rsidRPr="0096046A">
        <w:rPr>
          <w:rFonts w:asciiTheme="minorHAnsi" w:hAnsiTheme="minorHAnsi" w:cs="Arial"/>
          <w:b/>
          <w:sz w:val="22"/>
          <w:szCs w:val="22"/>
        </w:rPr>
        <w:t>2</w:t>
      </w:r>
      <w:r w:rsidRPr="0096046A">
        <w:rPr>
          <w:rFonts w:asciiTheme="minorHAnsi" w:hAnsiTheme="minorHAnsi" w:cs="Arial"/>
          <w:b/>
          <w:sz w:val="22"/>
          <w:szCs w:val="22"/>
        </w:rPr>
        <w:t xml:space="preserve"> billion of multilateral funding</w:t>
      </w:r>
      <w:r w:rsidRPr="0096046A">
        <w:rPr>
          <w:rFonts w:asciiTheme="minorHAnsi" w:hAnsiTheme="minorHAnsi" w:cs="Arial"/>
          <w:sz w:val="22"/>
          <w:szCs w:val="22"/>
        </w:rPr>
        <w:t xml:space="preserve"> was committed to African agriculture, forestry and fishing</w:t>
      </w:r>
      <w:r w:rsidR="00D0474E">
        <w:rPr>
          <w:rFonts w:asciiTheme="minorHAnsi" w:hAnsiTheme="minorHAnsi" w:cs="Arial"/>
          <w:sz w:val="22"/>
          <w:szCs w:val="22"/>
        </w:rPr>
        <w:t xml:space="preserve"> in 2011.</w:t>
      </w:r>
    </w:p>
    <w:p w:rsidR="00374F57" w:rsidRDefault="00374F57" w:rsidP="00374F57">
      <w:pPr>
        <w:jc w:val="center"/>
        <w:rPr>
          <w:rFonts w:asciiTheme="minorHAnsi" w:hAnsiTheme="minorHAnsi" w:cs="Arial"/>
          <w:b/>
          <w:color w:val="1F497D" w:themeColor="text2"/>
          <w:szCs w:val="24"/>
        </w:rPr>
      </w:pPr>
      <w:r w:rsidRPr="001904C4">
        <w:rPr>
          <w:rFonts w:asciiTheme="minorHAnsi" w:hAnsiTheme="minorHAnsi" w:cs="Arial"/>
          <w:b/>
          <w:sz w:val="22"/>
          <w:szCs w:val="22"/>
        </w:rPr>
        <w:t xml:space="preserve">Figure </w:t>
      </w:r>
      <w:r w:rsidR="0045510A">
        <w:rPr>
          <w:rFonts w:asciiTheme="minorHAnsi" w:hAnsiTheme="minorHAnsi" w:cs="Arial"/>
          <w:b/>
          <w:sz w:val="22"/>
          <w:szCs w:val="22"/>
        </w:rPr>
        <w:t>9</w:t>
      </w:r>
      <w:r w:rsidRPr="001904C4">
        <w:rPr>
          <w:rFonts w:asciiTheme="minorHAnsi" w:hAnsiTheme="minorHAnsi" w:cs="Arial"/>
          <w:b/>
          <w:sz w:val="22"/>
          <w:szCs w:val="22"/>
        </w:rPr>
        <w:t xml:space="preserve">. Multilateral Commitments to African Agriculture, Forestry &amp; Fishing </w:t>
      </w:r>
      <w:r w:rsidRPr="001904C4">
        <w:rPr>
          <w:rFonts w:asciiTheme="minorHAnsi" w:hAnsiTheme="minorHAnsi" w:cs="Arial"/>
          <w:sz w:val="22"/>
          <w:szCs w:val="22"/>
        </w:rPr>
        <w:t>(201</w:t>
      </w:r>
      <w:r>
        <w:rPr>
          <w:rFonts w:asciiTheme="minorHAnsi" w:hAnsiTheme="minorHAnsi" w:cs="Arial"/>
          <w:sz w:val="22"/>
          <w:szCs w:val="22"/>
        </w:rPr>
        <w:t>1</w:t>
      </w:r>
      <w:r w:rsidRPr="001904C4">
        <w:rPr>
          <w:rFonts w:asciiTheme="minorHAnsi" w:hAnsiTheme="minorHAnsi" w:cs="Arial"/>
          <w:sz w:val="22"/>
          <w:szCs w:val="22"/>
        </w:rPr>
        <w:t xml:space="preserve"> USD millions)</w:t>
      </w:r>
      <w:r>
        <w:rPr>
          <w:rStyle w:val="FootnoteReference"/>
          <w:rFonts w:asciiTheme="minorHAnsi" w:hAnsiTheme="minorHAnsi" w:cs="Arial"/>
          <w:sz w:val="22"/>
          <w:szCs w:val="22"/>
        </w:rPr>
        <w:footnoteReference w:id="47"/>
      </w:r>
    </w:p>
    <w:p w:rsidR="00374F57" w:rsidRDefault="00374F57" w:rsidP="003F6C09">
      <w:pPr>
        <w:rPr>
          <w:rFonts w:asciiTheme="minorHAnsi" w:hAnsiTheme="minorHAnsi" w:cs="Arial"/>
          <w:b/>
          <w:color w:val="1F497D" w:themeColor="text2"/>
          <w:szCs w:val="24"/>
        </w:rPr>
      </w:pPr>
      <w:r>
        <w:rPr>
          <w:noProof/>
          <w:lang w:val="fr-FR" w:eastAsia="fr-FR"/>
        </w:rPr>
        <w:drawing>
          <wp:inline distT="0" distB="0" distL="0" distR="0">
            <wp:extent cx="5734050" cy="48958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4F57" w:rsidRDefault="00374F57" w:rsidP="003F6C09">
      <w:pPr>
        <w:rPr>
          <w:rFonts w:asciiTheme="minorHAnsi" w:hAnsiTheme="minorHAnsi" w:cs="Arial"/>
          <w:b/>
          <w:color w:val="1F497D" w:themeColor="text2"/>
          <w:szCs w:val="24"/>
        </w:rPr>
      </w:pPr>
    </w:p>
    <w:p w:rsidR="00D0474E" w:rsidRPr="00806B69" w:rsidRDefault="00D0474E" w:rsidP="00D0474E">
      <w:pPr>
        <w:spacing w:after="120" w:line="276" w:lineRule="auto"/>
        <w:jc w:val="both"/>
        <w:rPr>
          <w:rFonts w:asciiTheme="minorHAnsi" w:hAnsiTheme="minorHAnsi" w:cs="Arial"/>
          <w:sz w:val="22"/>
          <w:szCs w:val="22"/>
        </w:rPr>
      </w:pPr>
      <w:r w:rsidRPr="001904C4">
        <w:rPr>
          <w:rFonts w:asciiTheme="minorHAnsi" w:hAnsiTheme="minorHAnsi" w:cs="Arial"/>
          <w:sz w:val="22"/>
          <w:szCs w:val="22"/>
        </w:rPr>
        <w:t xml:space="preserve">An analysis of the latest </w:t>
      </w:r>
      <w:r w:rsidR="00806B69">
        <w:rPr>
          <w:rFonts w:asciiTheme="minorHAnsi" w:hAnsiTheme="minorHAnsi" w:cs="Arial"/>
          <w:sz w:val="22"/>
          <w:szCs w:val="22"/>
        </w:rPr>
        <w:t xml:space="preserve">project </w:t>
      </w:r>
      <w:r w:rsidRPr="001904C4">
        <w:rPr>
          <w:rFonts w:asciiTheme="minorHAnsi" w:hAnsiTheme="minorHAnsi" w:cs="Arial"/>
          <w:sz w:val="22"/>
          <w:szCs w:val="22"/>
        </w:rPr>
        <w:t>data</w:t>
      </w:r>
      <w:r w:rsidR="00806B69">
        <w:rPr>
          <w:rFonts w:asciiTheme="minorHAnsi" w:hAnsiTheme="minorHAnsi" w:cs="Arial"/>
          <w:sz w:val="22"/>
          <w:szCs w:val="22"/>
        </w:rPr>
        <w:t xml:space="preserve"> </w:t>
      </w:r>
      <w:r w:rsidRPr="001904C4">
        <w:rPr>
          <w:rFonts w:asciiTheme="minorHAnsi" w:hAnsiTheme="minorHAnsi" w:cs="Arial"/>
          <w:sz w:val="22"/>
          <w:szCs w:val="22"/>
        </w:rPr>
        <w:t xml:space="preserve">from </w:t>
      </w:r>
      <w:proofErr w:type="spellStart"/>
      <w:r w:rsidR="00FE3438">
        <w:rPr>
          <w:rFonts w:asciiTheme="minorHAnsi" w:hAnsiTheme="minorHAnsi" w:cs="Arial"/>
          <w:sz w:val="22"/>
          <w:szCs w:val="22"/>
        </w:rPr>
        <w:t>AidData</w:t>
      </w:r>
      <w:proofErr w:type="spellEnd"/>
      <w:r w:rsidR="00FE3438">
        <w:rPr>
          <w:rStyle w:val="FootnoteReference"/>
          <w:rFonts w:asciiTheme="minorHAnsi" w:hAnsiTheme="minorHAnsi" w:cs="Arial"/>
          <w:sz w:val="22"/>
          <w:szCs w:val="22"/>
        </w:rPr>
        <w:footnoteReference w:id="48"/>
      </w:r>
      <w:r w:rsidRPr="001904C4">
        <w:rPr>
          <w:rFonts w:asciiTheme="minorHAnsi" w:hAnsiTheme="minorHAnsi" w:cs="Arial"/>
          <w:sz w:val="22"/>
          <w:szCs w:val="22"/>
        </w:rPr>
        <w:t xml:space="preserve"> </w:t>
      </w:r>
      <w:r w:rsidRPr="0096046A">
        <w:rPr>
          <w:rFonts w:asciiTheme="minorHAnsi" w:hAnsiTheme="minorHAnsi" w:cs="Arial"/>
          <w:sz w:val="22"/>
          <w:szCs w:val="22"/>
        </w:rPr>
        <w:t>shows that</w:t>
      </w:r>
      <w:r w:rsidR="00806B69">
        <w:rPr>
          <w:rFonts w:asciiTheme="minorHAnsi" w:hAnsiTheme="minorHAnsi" w:cs="Arial"/>
          <w:sz w:val="22"/>
          <w:szCs w:val="22"/>
        </w:rPr>
        <w:t xml:space="preserve"> in 2010 the following </w:t>
      </w:r>
      <w:r w:rsidR="00806B69" w:rsidRPr="00806B69">
        <w:rPr>
          <w:rFonts w:asciiTheme="minorHAnsi" w:hAnsiTheme="minorHAnsi" w:cs="Arial"/>
          <w:sz w:val="22"/>
          <w:szCs w:val="22"/>
        </w:rPr>
        <w:t>commitments were made by multilateral institutions for African agriculture</w:t>
      </w:r>
      <w:r w:rsidRPr="00806B69">
        <w:rPr>
          <w:rFonts w:asciiTheme="minorHAnsi" w:hAnsiTheme="minorHAnsi" w:cs="Arial"/>
          <w:sz w:val="22"/>
          <w:szCs w:val="22"/>
        </w:rPr>
        <w:t>:</w:t>
      </w:r>
    </w:p>
    <w:p w:rsidR="00D0474E" w:rsidRPr="00806B69" w:rsidRDefault="00D0474E" w:rsidP="00D0474E">
      <w:pPr>
        <w:pStyle w:val="ListParagraph"/>
        <w:numPr>
          <w:ilvl w:val="0"/>
          <w:numId w:val="10"/>
        </w:numPr>
        <w:spacing w:after="120"/>
        <w:rPr>
          <w:rFonts w:cs="Arial"/>
        </w:rPr>
      </w:pPr>
      <w:r w:rsidRPr="00806B69">
        <w:rPr>
          <w:rFonts w:cs="Arial"/>
        </w:rPr>
        <w:t>The World Bank’s</w:t>
      </w:r>
      <w:r w:rsidRPr="00806B69">
        <w:rPr>
          <w:rFonts w:cs="Arial"/>
          <w:b/>
        </w:rPr>
        <w:t xml:space="preserve"> International Development Association (IDA) committed USD 580 million</w:t>
      </w:r>
      <w:r w:rsidRPr="00806B69">
        <w:rPr>
          <w:rFonts w:cs="Arial"/>
        </w:rPr>
        <w:t xml:space="preserve"> to nine agricultural projects in Burundi, DRC, Ethiopia, Ghana, Malawi, Mali, Senegal, Tanzania and Uganda;</w:t>
      </w:r>
    </w:p>
    <w:p w:rsidR="00D0474E" w:rsidRPr="00806B69" w:rsidRDefault="00D0474E" w:rsidP="00D0474E">
      <w:pPr>
        <w:pStyle w:val="ListParagraph"/>
        <w:numPr>
          <w:ilvl w:val="0"/>
          <w:numId w:val="10"/>
        </w:numPr>
        <w:spacing w:after="120"/>
        <w:rPr>
          <w:rFonts w:cs="Arial"/>
        </w:rPr>
      </w:pPr>
      <w:r w:rsidRPr="00806B69">
        <w:rPr>
          <w:rFonts w:cs="Arial"/>
        </w:rPr>
        <w:t>The World Bank’s</w:t>
      </w:r>
      <w:r w:rsidRPr="00806B69">
        <w:rPr>
          <w:rFonts w:cs="Arial"/>
          <w:b/>
        </w:rPr>
        <w:t xml:space="preserve"> International Bank for Reconstruction and Development (IBRD) committed USD 168 million</w:t>
      </w:r>
      <w:r w:rsidRPr="00806B69">
        <w:rPr>
          <w:rFonts w:cs="Arial"/>
        </w:rPr>
        <w:t xml:space="preserve"> to two irrigation modernisation projects in Egypt and Morocco;</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African Development Bank (</w:t>
      </w:r>
      <w:proofErr w:type="spellStart"/>
      <w:r w:rsidRPr="00806B69">
        <w:rPr>
          <w:rFonts w:cs="Arial"/>
          <w:b/>
        </w:rPr>
        <w:t>AfDB</w:t>
      </w:r>
      <w:proofErr w:type="spellEnd"/>
      <w:r w:rsidRPr="00806B69">
        <w:rPr>
          <w:rFonts w:cs="Arial"/>
          <w:b/>
        </w:rPr>
        <w:t xml:space="preserve">) provided USD 113 million </w:t>
      </w:r>
      <w:r w:rsidRPr="00806B69">
        <w:rPr>
          <w:rFonts w:cs="Arial"/>
        </w:rPr>
        <w:t>to four agricultural projects in Seychelles, Mali, Egypt, and Gambia;</w:t>
      </w:r>
    </w:p>
    <w:p w:rsidR="00D0474E" w:rsidRPr="00806B69" w:rsidRDefault="00D0474E" w:rsidP="00D0474E">
      <w:pPr>
        <w:pStyle w:val="ListParagraph"/>
        <w:numPr>
          <w:ilvl w:val="0"/>
          <w:numId w:val="10"/>
        </w:numPr>
        <w:spacing w:after="120"/>
        <w:rPr>
          <w:rFonts w:cs="Arial"/>
        </w:rPr>
      </w:pPr>
      <w:r w:rsidRPr="00806B69">
        <w:rPr>
          <w:rFonts w:cs="Arial"/>
        </w:rPr>
        <w:lastRenderedPageBreak/>
        <w:t xml:space="preserve">The </w:t>
      </w:r>
      <w:r w:rsidRPr="00806B69">
        <w:rPr>
          <w:rFonts w:cs="Arial"/>
          <w:b/>
        </w:rPr>
        <w:t>Arab Fund for Economic and Social Development provided USD 103 million</w:t>
      </w:r>
      <w:r w:rsidRPr="00806B69">
        <w:rPr>
          <w:rFonts w:cs="Arial"/>
        </w:rPr>
        <w:t xml:space="preserve"> for a supplementary loan for the ‘White Nile Sugar’ project in Sudan;</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African Development Fund (AFDF)</w:t>
      </w:r>
      <w:r w:rsidRPr="00806B69">
        <w:rPr>
          <w:rFonts w:cs="Arial"/>
        </w:rPr>
        <w:t xml:space="preserve"> funded five projects in Liberia, Sao Tome &amp; Principe, Mali, Rwanda and Cameroon, worth </w:t>
      </w:r>
      <w:r w:rsidRPr="00806B69">
        <w:rPr>
          <w:rFonts w:cs="Arial"/>
          <w:b/>
        </w:rPr>
        <w:t>USD 72 million</w:t>
      </w:r>
      <w:r w:rsidRPr="00806B69">
        <w:rPr>
          <w:rFonts w:cs="Arial"/>
        </w:rPr>
        <w:t xml:space="preserve">;  </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Arab Bank for Economic Development in Africa (BADEA) provided</w:t>
      </w:r>
      <w:r w:rsidRPr="00806B69">
        <w:rPr>
          <w:rFonts w:cs="Arial"/>
        </w:rPr>
        <w:t xml:space="preserve"> </w:t>
      </w:r>
      <w:r w:rsidRPr="00806B69">
        <w:rPr>
          <w:rFonts w:cs="Arial"/>
          <w:b/>
        </w:rPr>
        <w:t>USD 7.8 million</w:t>
      </w:r>
      <w:r w:rsidRPr="00806B69">
        <w:rPr>
          <w:rFonts w:cs="Arial"/>
        </w:rPr>
        <w:t xml:space="preserve"> to nine projects in Cape Verde, Malawi, Togo, Swaziland, Sierra Leone, Gambia, as well as to regional projects; </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Global Environment Facility (GEF)</w:t>
      </w:r>
      <w:r w:rsidRPr="00806B69">
        <w:rPr>
          <w:rFonts w:cs="Arial"/>
        </w:rPr>
        <w:t xml:space="preserve"> </w:t>
      </w:r>
      <w:r w:rsidRPr="00806B69">
        <w:rPr>
          <w:rFonts w:cs="Arial"/>
          <w:b/>
        </w:rPr>
        <w:t>committed USD 6.1 million</w:t>
      </w:r>
      <w:r w:rsidRPr="00806B69">
        <w:rPr>
          <w:rFonts w:cs="Arial"/>
        </w:rPr>
        <w:t xml:space="preserve"> to two projects on building agricultural capacity and resilience to climate change in Mali and the DRC;</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Congo Basin Forest Fund provided USD 4.8 million</w:t>
      </w:r>
      <w:r w:rsidRPr="00806B69">
        <w:rPr>
          <w:rFonts w:cs="Arial"/>
        </w:rPr>
        <w:t xml:space="preserve"> to three projects in the Democratic Republic of Congo and in the region; and</w:t>
      </w:r>
    </w:p>
    <w:p w:rsidR="00D0474E" w:rsidRPr="00806B69" w:rsidRDefault="00D0474E" w:rsidP="00D0474E">
      <w:pPr>
        <w:pStyle w:val="ListParagraph"/>
        <w:numPr>
          <w:ilvl w:val="0"/>
          <w:numId w:val="10"/>
        </w:numPr>
        <w:spacing w:after="120"/>
        <w:rPr>
          <w:rFonts w:cs="Arial"/>
        </w:rPr>
      </w:pPr>
      <w:r w:rsidRPr="00806B69">
        <w:rPr>
          <w:rFonts w:cs="Arial"/>
        </w:rPr>
        <w:t xml:space="preserve">The </w:t>
      </w:r>
      <w:r w:rsidRPr="00806B69">
        <w:rPr>
          <w:rFonts w:cs="Arial"/>
          <w:b/>
        </w:rPr>
        <w:t>World Bank also provided</w:t>
      </w:r>
      <w:r w:rsidRPr="00806B69">
        <w:rPr>
          <w:rFonts w:cs="Arial"/>
        </w:rPr>
        <w:t xml:space="preserve"> </w:t>
      </w:r>
      <w:r w:rsidRPr="00806B69">
        <w:rPr>
          <w:rFonts w:cs="Arial"/>
          <w:b/>
        </w:rPr>
        <w:t>USD 3 million in Managed Trust Fund</w:t>
      </w:r>
      <w:r w:rsidRPr="00806B69">
        <w:rPr>
          <w:rFonts w:cs="Arial"/>
        </w:rPr>
        <w:t xml:space="preserve"> to participatory farm-level irrigation modernization in Egypt.</w:t>
      </w:r>
    </w:p>
    <w:p w:rsidR="00374F57" w:rsidRDefault="00374F57" w:rsidP="003F6C09">
      <w:pPr>
        <w:rPr>
          <w:rFonts w:asciiTheme="minorHAnsi" w:hAnsiTheme="minorHAnsi" w:cs="Arial"/>
          <w:b/>
          <w:color w:val="1F497D" w:themeColor="text2"/>
          <w:szCs w:val="24"/>
        </w:rPr>
      </w:pPr>
    </w:p>
    <w:p w:rsidR="003F6C09" w:rsidRPr="001904C4" w:rsidRDefault="004940A8" w:rsidP="003F6C09">
      <w:pPr>
        <w:rPr>
          <w:rFonts w:asciiTheme="minorHAnsi" w:hAnsiTheme="minorHAnsi" w:cs="Arial"/>
          <w:b/>
          <w:color w:val="1F497D" w:themeColor="text2"/>
          <w:szCs w:val="24"/>
        </w:rPr>
      </w:pPr>
      <w:r>
        <w:rPr>
          <w:rFonts w:asciiTheme="minorHAnsi" w:hAnsiTheme="minorHAnsi" w:cs="Arial"/>
          <w:b/>
          <w:color w:val="1F497D" w:themeColor="text2"/>
          <w:szCs w:val="24"/>
        </w:rPr>
        <w:t>2.4</w:t>
      </w:r>
      <w:r w:rsidR="003F6C09" w:rsidRPr="001904C4">
        <w:rPr>
          <w:rFonts w:asciiTheme="minorHAnsi" w:hAnsiTheme="minorHAnsi" w:cs="Arial"/>
          <w:b/>
          <w:color w:val="1F497D" w:themeColor="text2"/>
          <w:szCs w:val="24"/>
        </w:rPr>
        <w:t>.2</w:t>
      </w:r>
      <w:r w:rsidR="003F6C09" w:rsidRPr="001904C4">
        <w:rPr>
          <w:rFonts w:asciiTheme="minorHAnsi" w:hAnsiTheme="minorHAnsi" w:cs="Arial"/>
          <w:b/>
          <w:color w:val="1F497D" w:themeColor="text2"/>
          <w:szCs w:val="24"/>
        </w:rPr>
        <w:tab/>
        <w:t>G8’s L’Aquila Food Security Initiative (AFSI)</w:t>
      </w:r>
    </w:p>
    <w:p w:rsidR="003F6C09" w:rsidRPr="001904C4" w:rsidRDefault="003F6C09" w:rsidP="00FB5264">
      <w:pPr>
        <w:autoSpaceDE w:val="0"/>
        <w:autoSpaceDN w:val="0"/>
        <w:adjustRightInd w:val="0"/>
        <w:spacing w:after="120" w:line="276" w:lineRule="auto"/>
        <w:jc w:val="both"/>
        <w:rPr>
          <w:rFonts w:cs="Arial"/>
        </w:rPr>
      </w:pPr>
      <w:r w:rsidRPr="001904C4">
        <w:rPr>
          <w:rFonts w:asciiTheme="minorHAnsi" w:hAnsiTheme="minorHAnsi" w:cs="Arial"/>
          <w:sz w:val="22"/>
          <w:szCs w:val="22"/>
        </w:rPr>
        <w:t>At the 2009 G8 Summit in L’Aquila in Italy, 26 nations and 14 international organisations</w:t>
      </w:r>
      <w:r w:rsidRPr="001904C4">
        <w:rPr>
          <w:rStyle w:val="FootnoteReference"/>
          <w:rFonts w:asciiTheme="minorHAnsi" w:hAnsiTheme="minorHAnsi" w:cs="Arial"/>
          <w:sz w:val="22"/>
          <w:szCs w:val="22"/>
        </w:rPr>
        <w:footnoteReference w:id="49"/>
      </w:r>
      <w:r w:rsidRPr="001904C4">
        <w:rPr>
          <w:rFonts w:asciiTheme="minorHAnsi" w:hAnsiTheme="minorHAnsi" w:cs="Arial"/>
          <w:sz w:val="22"/>
          <w:szCs w:val="22"/>
        </w:rPr>
        <w:t xml:space="preserve"> committed </w:t>
      </w:r>
      <w:r w:rsidRPr="001904C4">
        <w:rPr>
          <w:rFonts w:asciiTheme="minorHAnsi" w:hAnsiTheme="minorHAnsi" w:cs="Arial"/>
          <w:b/>
          <w:sz w:val="22"/>
          <w:szCs w:val="22"/>
        </w:rPr>
        <w:t>USD 20 billion over three years</w:t>
      </w:r>
      <w:r w:rsidRPr="001904C4">
        <w:rPr>
          <w:rFonts w:asciiTheme="minorHAnsi" w:hAnsiTheme="minorHAnsi" w:cs="Arial"/>
          <w:sz w:val="22"/>
          <w:szCs w:val="22"/>
        </w:rPr>
        <w:t xml:space="preserve"> for sustainable agriculture development and safety nets for vulnerable populations.   This amount </w:t>
      </w:r>
      <w:r w:rsidR="00FE3438">
        <w:rPr>
          <w:rFonts w:asciiTheme="minorHAnsi" w:hAnsiTheme="minorHAnsi" w:cs="Arial"/>
          <w:sz w:val="22"/>
          <w:szCs w:val="22"/>
        </w:rPr>
        <w:t>has now i</w:t>
      </w:r>
      <w:r w:rsidRPr="001904C4">
        <w:rPr>
          <w:rFonts w:asciiTheme="minorHAnsi" w:hAnsiTheme="minorHAnsi" w:cs="Arial"/>
          <w:sz w:val="22"/>
          <w:szCs w:val="22"/>
        </w:rPr>
        <w:t xml:space="preserve">ncreased to </w:t>
      </w:r>
      <w:r w:rsidRPr="001904C4">
        <w:rPr>
          <w:rFonts w:asciiTheme="minorHAnsi" w:hAnsiTheme="minorHAnsi" w:cs="Arial"/>
          <w:b/>
          <w:sz w:val="22"/>
          <w:szCs w:val="22"/>
        </w:rPr>
        <w:t>USD 22 billion and include</w:t>
      </w:r>
      <w:r w:rsidR="00FE3438">
        <w:rPr>
          <w:rFonts w:asciiTheme="minorHAnsi" w:hAnsiTheme="minorHAnsi" w:cs="Arial"/>
          <w:b/>
          <w:sz w:val="22"/>
          <w:szCs w:val="22"/>
        </w:rPr>
        <w:t>s</w:t>
      </w:r>
      <w:r w:rsidRPr="001904C4">
        <w:rPr>
          <w:rFonts w:asciiTheme="minorHAnsi" w:hAnsiTheme="minorHAnsi" w:cs="Arial"/>
          <w:b/>
          <w:sz w:val="22"/>
          <w:szCs w:val="22"/>
        </w:rPr>
        <w:t xml:space="preserve"> over USD 6.8 billion in ‘new’ money</w:t>
      </w:r>
      <w:r w:rsidRPr="001904C4">
        <w:rPr>
          <w:rFonts w:asciiTheme="minorHAnsi" w:hAnsiTheme="minorHAnsi" w:cs="Arial"/>
          <w:sz w:val="22"/>
          <w:szCs w:val="22"/>
        </w:rPr>
        <w:t>.</w:t>
      </w:r>
      <w:r w:rsidRPr="001904C4">
        <w:rPr>
          <w:rStyle w:val="FootnoteReference"/>
          <w:rFonts w:asciiTheme="minorHAnsi" w:hAnsiTheme="minorHAnsi" w:cs="Arial"/>
          <w:sz w:val="22"/>
          <w:szCs w:val="22"/>
        </w:rPr>
        <w:footnoteReference w:id="50"/>
      </w:r>
      <w:r w:rsidRPr="001904C4">
        <w:rPr>
          <w:rFonts w:asciiTheme="minorHAnsi" w:hAnsiTheme="minorHAnsi" w:cs="Arial"/>
          <w:sz w:val="22"/>
          <w:szCs w:val="22"/>
        </w:rPr>
        <w:t xml:space="preserve">  Called the Aquila Food Security Initiative (AFSI), the countries involved agreed on a comprehensive and coordinated approach, partnering with countries to help implement their national food security strategies.  </w:t>
      </w:r>
    </w:p>
    <w:p w:rsidR="00FB5264" w:rsidRDefault="003F6C09" w:rsidP="0045510A">
      <w:pPr>
        <w:autoSpaceDE w:val="0"/>
        <w:autoSpaceDN w:val="0"/>
        <w:adjustRightInd w:val="0"/>
        <w:spacing w:after="120" w:line="276" w:lineRule="auto"/>
        <w:jc w:val="both"/>
        <w:rPr>
          <w:rFonts w:asciiTheme="minorHAnsi" w:hAnsiTheme="minorHAnsi" w:cs="Arial"/>
          <w:b/>
          <w:sz w:val="22"/>
          <w:szCs w:val="22"/>
        </w:rPr>
      </w:pPr>
      <w:r w:rsidRPr="001904C4">
        <w:rPr>
          <w:rFonts w:asciiTheme="minorHAnsi" w:hAnsiTheme="minorHAnsi" w:cs="Arial"/>
          <w:sz w:val="22"/>
          <w:szCs w:val="22"/>
        </w:rPr>
        <w:t>The 2012 G8 accountability report</w:t>
      </w:r>
      <w:r w:rsidRPr="001904C4">
        <w:rPr>
          <w:rStyle w:val="FootnoteReference"/>
          <w:rFonts w:asciiTheme="minorHAnsi" w:hAnsiTheme="minorHAnsi" w:cs="Arial"/>
          <w:sz w:val="22"/>
          <w:szCs w:val="22"/>
        </w:rPr>
        <w:footnoteReference w:id="51"/>
      </w:r>
      <w:r w:rsidRPr="001904C4">
        <w:rPr>
          <w:rFonts w:asciiTheme="minorHAnsi" w:hAnsiTheme="minorHAnsi" w:cs="Arial"/>
          <w:sz w:val="22"/>
          <w:szCs w:val="22"/>
        </w:rPr>
        <w:t xml:space="preserve"> notes that AFSI donors have committed 99% and disbursed 58% of their US$22 billion AFSI pledge (see Table </w:t>
      </w:r>
      <w:r w:rsidR="00176D93">
        <w:rPr>
          <w:rFonts w:asciiTheme="minorHAnsi" w:hAnsiTheme="minorHAnsi" w:cs="Arial"/>
          <w:sz w:val="22"/>
          <w:szCs w:val="22"/>
        </w:rPr>
        <w:t>2</w:t>
      </w:r>
      <w:r w:rsidRPr="001904C4">
        <w:rPr>
          <w:rFonts w:asciiTheme="minorHAnsi" w:hAnsiTheme="minorHAnsi" w:cs="Arial"/>
          <w:sz w:val="22"/>
          <w:szCs w:val="22"/>
        </w:rPr>
        <w:t xml:space="preserve">).  </w:t>
      </w:r>
      <w:r w:rsidRPr="008744CB">
        <w:rPr>
          <w:rFonts w:asciiTheme="minorHAnsi" w:hAnsiTheme="minorHAnsi" w:cs="Arial"/>
        </w:rPr>
        <w:t xml:space="preserve"> </w:t>
      </w:r>
    </w:p>
    <w:p w:rsidR="003F6C09" w:rsidRPr="001904C4" w:rsidRDefault="003F6C09" w:rsidP="003F6C09">
      <w:pPr>
        <w:autoSpaceDE w:val="0"/>
        <w:autoSpaceDN w:val="0"/>
        <w:adjustRightInd w:val="0"/>
        <w:jc w:val="center"/>
        <w:rPr>
          <w:rFonts w:asciiTheme="minorHAnsi" w:hAnsiTheme="minorHAnsi" w:cs="Arial"/>
          <w:b/>
          <w:sz w:val="22"/>
          <w:szCs w:val="22"/>
        </w:rPr>
      </w:pPr>
      <w:r w:rsidRPr="001904C4">
        <w:rPr>
          <w:rFonts w:asciiTheme="minorHAnsi" w:hAnsiTheme="minorHAnsi" w:cs="Arial"/>
          <w:b/>
          <w:sz w:val="22"/>
          <w:szCs w:val="22"/>
        </w:rPr>
        <w:t xml:space="preserve">Table </w:t>
      </w:r>
      <w:r w:rsidR="00176D93">
        <w:rPr>
          <w:rFonts w:asciiTheme="minorHAnsi" w:hAnsiTheme="minorHAnsi" w:cs="Arial"/>
          <w:b/>
          <w:sz w:val="22"/>
          <w:szCs w:val="22"/>
        </w:rPr>
        <w:t>2</w:t>
      </w:r>
      <w:r w:rsidRPr="001904C4">
        <w:rPr>
          <w:rFonts w:asciiTheme="minorHAnsi" w:hAnsiTheme="minorHAnsi" w:cs="Arial"/>
          <w:b/>
          <w:sz w:val="22"/>
          <w:szCs w:val="22"/>
        </w:rPr>
        <w:t>: A Snapshot of G8 Progress against Key Commitments (2012)</w:t>
      </w:r>
      <w:r w:rsidRPr="001904C4">
        <w:rPr>
          <w:rStyle w:val="FootnoteReference"/>
          <w:rFonts w:asciiTheme="minorHAnsi" w:hAnsiTheme="minorHAnsi" w:cs="Arial"/>
          <w:b/>
          <w:sz w:val="22"/>
          <w:szCs w:val="22"/>
        </w:rPr>
        <w:footnoteReference w:id="52"/>
      </w:r>
    </w:p>
    <w:tbl>
      <w:tblPr>
        <w:tblStyle w:val="LightShading-Accent5"/>
        <w:tblW w:w="0" w:type="auto"/>
        <w:tblLook w:val="04A0"/>
      </w:tblPr>
      <w:tblGrid>
        <w:gridCol w:w="2802"/>
        <w:gridCol w:w="6440"/>
      </w:tblGrid>
      <w:tr w:rsidR="003F6C09" w:rsidRPr="008744CB" w:rsidTr="00EE3B91">
        <w:trPr>
          <w:cnfStyle w:val="100000000000"/>
        </w:trPr>
        <w:tc>
          <w:tcPr>
            <w:cnfStyle w:val="001000000000"/>
            <w:tcW w:w="9242" w:type="dxa"/>
            <w:gridSpan w:val="2"/>
          </w:tcPr>
          <w:p w:rsidR="003F6C09" w:rsidRPr="008744CB" w:rsidRDefault="003F6C09" w:rsidP="00EE3B91">
            <w:pPr>
              <w:autoSpaceDE w:val="0"/>
              <w:autoSpaceDN w:val="0"/>
              <w:adjustRightInd w:val="0"/>
              <w:jc w:val="both"/>
              <w:rPr>
                <w:rFonts w:cs="Arial"/>
                <w:color w:val="1F497D" w:themeColor="text2"/>
                <w:sz w:val="20"/>
                <w:szCs w:val="20"/>
              </w:rPr>
            </w:pPr>
            <w:r w:rsidRPr="008744CB">
              <w:rPr>
                <w:rFonts w:cs="Arial"/>
                <w:color w:val="1F497D" w:themeColor="text2"/>
                <w:sz w:val="20"/>
                <w:szCs w:val="20"/>
              </w:rPr>
              <w:t>AGRICULTURE AND FOOD SECURITY</w:t>
            </w:r>
          </w:p>
        </w:tc>
      </w:tr>
      <w:tr w:rsidR="003F6C09" w:rsidRPr="008744CB" w:rsidTr="00EE3B91">
        <w:trPr>
          <w:cnfStyle w:val="000000100000"/>
        </w:trPr>
        <w:tc>
          <w:tcPr>
            <w:cnfStyle w:val="001000000000"/>
            <w:tcW w:w="2802"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Mobilise $22 billion from G8 and other donors for sustainable agricultural development</w:t>
            </w:r>
          </w:p>
        </w:tc>
        <w:tc>
          <w:tcPr>
            <w:tcW w:w="6440" w:type="dxa"/>
          </w:tcPr>
          <w:p w:rsidR="003F6C09" w:rsidRPr="008744CB" w:rsidRDefault="003F6C09" w:rsidP="00EE3B91">
            <w:pPr>
              <w:autoSpaceDE w:val="0"/>
              <w:autoSpaceDN w:val="0"/>
              <w:adjustRightInd w:val="0"/>
              <w:jc w:val="both"/>
              <w:cnfStyle w:val="000000100000"/>
              <w:rPr>
                <w:rFonts w:cs="Arial"/>
                <w:color w:val="1F497D" w:themeColor="text2"/>
                <w:sz w:val="20"/>
                <w:szCs w:val="20"/>
              </w:rPr>
            </w:pPr>
            <w:r w:rsidRPr="008744CB">
              <w:rPr>
                <w:rFonts w:cs="Arial"/>
                <w:color w:val="1F497D" w:themeColor="text2"/>
                <w:sz w:val="20"/>
                <w:szCs w:val="20"/>
              </w:rPr>
              <w:t>AFSI donors have committed 99% and disbursed 58% of their $22 billion AFSI pledge.  All G8 members and nearly all AFSI donors are on track to fully commit their financial pledges by the end of 2012.</w:t>
            </w:r>
          </w:p>
        </w:tc>
      </w:tr>
      <w:tr w:rsidR="003F6C09" w:rsidRPr="008744CB" w:rsidTr="00EE3B91">
        <w:tc>
          <w:tcPr>
            <w:cnfStyle w:val="001000000000"/>
            <w:tcW w:w="2802"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Action characterised by a comprehensive approach that uses, inter alia, a country-led approach and multilateral institutions</w:t>
            </w:r>
          </w:p>
        </w:tc>
        <w:tc>
          <w:tcPr>
            <w:tcW w:w="6440" w:type="dxa"/>
          </w:tcPr>
          <w:p w:rsidR="003F6C09" w:rsidRPr="008744CB" w:rsidRDefault="003F6C09" w:rsidP="00EE3B91">
            <w:pPr>
              <w:autoSpaceDE w:val="0"/>
              <w:autoSpaceDN w:val="0"/>
              <w:adjustRightInd w:val="0"/>
              <w:spacing w:after="120"/>
              <w:jc w:val="both"/>
              <w:cnfStyle w:val="000000000000"/>
              <w:rPr>
                <w:rFonts w:cs="Arial"/>
                <w:color w:val="1F497D" w:themeColor="text2"/>
                <w:sz w:val="20"/>
                <w:szCs w:val="20"/>
              </w:rPr>
            </w:pPr>
            <w:r w:rsidRPr="008744CB">
              <w:rPr>
                <w:rFonts w:cs="Arial"/>
                <w:color w:val="1F497D" w:themeColor="text2"/>
                <w:sz w:val="20"/>
                <w:szCs w:val="20"/>
              </w:rPr>
              <w:t>Nearly all G8 members self-score as aligning 90% or more of their programs with “country-owned plans”.</w:t>
            </w:r>
          </w:p>
          <w:p w:rsidR="003F6C09" w:rsidRPr="008744CB" w:rsidRDefault="003F6C09" w:rsidP="00EE3B91">
            <w:pPr>
              <w:autoSpaceDE w:val="0"/>
              <w:autoSpaceDN w:val="0"/>
              <w:adjustRightInd w:val="0"/>
              <w:spacing w:after="120"/>
              <w:jc w:val="both"/>
              <w:cnfStyle w:val="000000000000"/>
              <w:rPr>
                <w:rFonts w:cs="Arial"/>
                <w:color w:val="1F497D" w:themeColor="text2"/>
                <w:sz w:val="20"/>
                <w:szCs w:val="20"/>
              </w:rPr>
            </w:pPr>
            <w:r w:rsidRPr="008744CB">
              <w:rPr>
                <w:rFonts w:cs="Arial"/>
                <w:color w:val="1F497D" w:themeColor="text2"/>
                <w:sz w:val="20"/>
                <w:szCs w:val="20"/>
              </w:rPr>
              <w:t xml:space="preserve">Most G8 members self-score as increasing financing or budget for short- and medium- to long-term food security needs by more than 25%. </w:t>
            </w:r>
          </w:p>
          <w:p w:rsidR="003F6C09" w:rsidRPr="008744CB" w:rsidRDefault="003F6C09" w:rsidP="00EE3B91">
            <w:pPr>
              <w:autoSpaceDE w:val="0"/>
              <w:autoSpaceDN w:val="0"/>
              <w:adjustRightInd w:val="0"/>
              <w:spacing w:after="120"/>
              <w:jc w:val="both"/>
              <w:cnfStyle w:val="000000000000"/>
              <w:rPr>
                <w:rFonts w:cs="Arial"/>
                <w:color w:val="1F497D" w:themeColor="text2"/>
                <w:sz w:val="20"/>
                <w:szCs w:val="20"/>
              </w:rPr>
            </w:pPr>
            <w:r w:rsidRPr="008744CB">
              <w:rPr>
                <w:rFonts w:cs="Arial"/>
                <w:color w:val="1F497D" w:themeColor="text2"/>
                <w:sz w:val="20"/>
                <w:szCs w:val="20"/>
              </w:rPr>
              <w:t>Nearly all G8 members self-score as using three or more multilateral mechanisms in delivering on AFSI pledges</w:t>
            </w:r>
          </w:p>
        </w:tc>
      </w:tr>
    </w:tbl>
    <w:p w:rsidR="003F6C09" w:rsidRPr="008744CB" w:rsidRDefault="003F6C09" w:rsidP="003F6C09">
      <w:pPr>
        <w:autoSpaceDE w:val="0"/>
        <w:autoSpaceDN w:val="0"/>
        <w:adjustRightInd w:val="0"/>
        <w:jc w:val="both"/>
        <w:rPr>
          <w:rFonts w:asciiTheme="minorHAnsi" w:hAnsiTheme="minorHAnsi" w:cs="Arial"/>
          <w:b/>
          <w:color w:val="1F497D" w:themeColor="text2"/>
          <w:sz w:val="20"/>
        </w:rPr>
      </w:pPr>
    </w:p>
    <w:p w:rsidR="003F6C09" w:rsidRPr="001904C4" w:rsidRDefault="003F6C09" w:rsidP="00FB5264">
      <w:pPr>
        <w:autoSpaceDE w:val="0"/>
        <w:autoSpaceDN w:val="0"/>
        <w:adjustRightInd w:val="0"/>
        <w:spacing w:after="120" w:line="276" w:lineRule="auto"/>
        <w:jc w:val="both"/>
        <w:rPr>
          <w:rFonts w:asciiTheme="minorHAnsi" w:eastAsia="MyriadPro-Regular" w:hAnsiTheme="minorHAnsi" w:cs="MyriadPro-Regular"/>
          <w:sz w:val="22"/>
          <w:szCs w:val="22"/>
        </w:rPr>
      </w:pPr>
      <w:r w:rsidRPr="001904C4">
        <w:rPr>
          <w:rFonts w:asciiTheme="minorHAnsi" w:hAnsiTheme="minorHAnsi" w:cs="Arial"/>
          <w:sz w:val="22"/>
          <w:szCs w:val="22"/>
        </w:rPr>
        <w:lastRenderedPageBreak/>
        <w:t xml:space="preserve">However, the report also noted that there is a large shortfall in financing for developing countries’ agricultural plans.  An assessment of 30 publicly-available national food security strategies and agriculture-investment plans worldwide that have undergone technical reviews found that (as of January 2012) </w:t>
      </w:r>
      <w:r w:rsidRPr="001904C4">
        <w:rPr>
          <w:rFonts w:asciiTheme="minorHAnsi" w:hAnsiTheme="minorHAnsi" w:cs="Arial"/>
          <w:b/>
          <w:sz w:val="22"/>
          <w:szCs w:val="22"/>
        </w:rPr>
        <w:t>the average financing gap for African plans is about 50%, with government contributions accounting for 29% and development partner contributions for 21% of this total</w:t>
      </w:r>
      <w:r w:rsidRPr="001904C4">
        <w:rPr>
          <w:rFonts w:asciiTheme="minorHAnsi" w:hAnsiTheme="minorHAnsi" w:cs="Arial"/>
          <w:sz w:val="22"/>
          <w:szCs w:val="22"/>
        </w:rPr>
        <w:t xml:space="preserve"> (see Table </w:t>
      </w:r>
      <w:r w:rsidR="00176D93">
        <w:rPr>
          <w:rFonts w:asciiTheme="minorHAnsi" w:hAnsiTheme="minorHAnsi" w:cs="Arial"/>
          <w:sz w:val="22"/>
          <w:szCs w:val="22"/>
        </w:rPr>
        <w:t>3</w:t>
      </w:r>
      <w:r w:rsidRPr="001904C4">
        <w:rPr>
          <w:rFonts w:asciiTheme="minorHAnsi" w:hAnsiTheme="minorHAnsi" w:cs="Arial"/>
          <w:sz w:val="22"/>
          <w:szCs w:val="22"/>
        </w:rPr>
        <w:t xml:space="preserve">).   The 2012 G8 accountability report noted that: </w:t>
      </w:r>
      <w:r w:rsidRPr="00FB5264">
        <w:rPr>
          <w:rFonts w:asciiTheme="minorHAnsi" w:eastAsia="MyriadPro-Regular" w:hAnsiTheme="minorHAnsi" w:cs="MyriadPro-Regular"/>
          <w:sz w:val="22"/>
          <w:szCs w:val="22"/>
        </w:rPr>
        <w:t>“For most plans, the level of detail for costs and budget requirements was fairly good. However, publicly-available information on financing commitments for plans was limited and generally lacked detail. The resource gaps for CAADP and similar national agriculture-investment plans suggest that considerably more needs to be done to mobilize public and private resources to fully finance these plans.”</w:t>
      </w:r>
      <w:r w:rsidRPr="001904C4">
        <w:rPr>
          <w:rStyle w:val="FootnoteReference"/>
          <w:rFonts w:asciiTheme="minorHAnsi" w:eastAsia="MyriadPro-Regular" w:hAnsiTheme="minorHAnsi" w:cs="MyriadPro-Regular"/>
          <w:sz w:val="22"/>
          <w:szCs w:val="22"/>
        </w:rPr>
        <w:footnoteReference w:id="53"/>
      </w:r>
      <w:r w:rsidRPr="001904C4">
        <w:rPr>
          <w:rFonts w:asciiTheme="minorHAnsi" w:eastAsia="MyriadPro-Regular" w:hAnsiTheme="minorHAnsi" w:cs="MyriadPro-Regular"/>
          <w:sz w:val="22"/>
          <w:szCs w:val="22"/>
        </w:rPr>
        <w:t xml:space="preserve"> </w:t>
      </w:r>
    </w:p>
    <w:p w:rsidR="003F6C09" w:rsidRPr="008744CB" w:rsidRDefault="003F6C09" w:rsidP="003F6C09">
      <w:pPr>
        <w:autoSpaceDE w:val="0"/>
        <w:autoSpaceDN w:val="0"/>
        <w:adjustRightInd w:val="0"/>
        <w:rPr>
          <w:rFonts w:asciiTheme="minorHAnsi" w:hAnsiTheme="minorHAnsi" w:cs="Arial"/>
          <w:b/>
          <w:color w:val="1F497D" w:themeColor="text2"/>
          <w:sz w:val="20"/>
        </w:rPr>
      </w:pPr>
    </w:p>
    <w:p w:rsidR="003F6C09" w:rsidRPr="008744CB" w:rsidRDefault="003F6C09" w:rsidP="003F6C09">
      <w:pPr>
        <w:autoSpaceDE w:val="0"/>
        <w:autoSpaceDN w:val="0"/>
        <w:adjustRightInd w:val="0"/>
        <w:jc w:val="center"/>
        <w:rPr>
          <w:rFonts w:asciiTheme="minorHAnsi" w:hAnsiTheme="minorHAnsi" w:cs="Arial"/>
          <w:b/>
          <w:color w:val="000000"/>
          <w:shd w:val="clear" w:color="auto" w:fill="FFFFFF"/>
        </w:rPr>
      </w:pPr>
      <w:r w:rsidRPr="00176D93">
        <w:rPr>
          <w:rFonts w:asciiTheme="minorHAnsi" w:hAnsiTheme="minorHAnsi" w:cs="Arial"/>
          <w:b/>
          <w:color w:val="000000"/>
          <w:sz w:val="22"/>
          <w:szCs w:val="22"/>
          <w:shd w:val="clear" w:color="auto" w:fill="FFFFFF"/>
        </w:rPr>
        <w:t xml:space="preserve">Table </w:t>
      </w:r>
      <w:r w:rsidR="00176D93" w:rsidRPr="00176D93">
        <w:rPr>
          <w:rFonts w:asciiTheme="minorHAnsi" w:hAnsiTheme="minorHAnsi" w:cs="Arial"/>
          <w:b/>
          <w:color w:val="000000"/>
          <w:sz w:val="22"/>
          <w:szCs w:val="22"/>
          <w:shd w:val="clear" w:color="auto" w:fill="FFFFFF"/>
        </w:rPr>
        <w:t>3</w:t>
      </w:r>
      <w:r w:rsidRPr="00176D93">
        <w:rPr>
          <w:rFonts w:asciiTheme="minorHAnsi" w:hAnsiTheme="minorHAnsi" w:cs="Arial"/>
          <w:b/>
          <w:color w:val="000000"/>
          <w:sz w:val="22"/>
          <w:szCs w:val="22"/>
          <w:shd w:val="clear" w:color="auto" w:fill="FFFFFF"/>
        </w:rPr>
        <w:t>: Country Investment Plan Financing Summary - Africa</w:t>
      </w:r>
      <w:r w:rsidRPr="008744CB">
        <w:rPr>
          <w:rStyle w:val="FootnoteReference"/>
          <w:rFonts w:asciiTheme="minorHAnsi" w:hAnsiTheme="minorHAnsi" w:cs="Arial"/>
          <w:b/>
          <w:color w:val="000000"/>
          <w:shd w:val="clear" w:color="auto" w:fill="FFFFFF"/>
        </w:rPr>
        <w:footnoteReference w:id="54"/>
      </w:r>
    </w:p>
    <w:tbl>
      <w:tblPr>
        <w:tblStyle w:val="LightShading-Accent5"/>
        <w:tblW w:w="0" w:type="auto"/>
        <w:tblLayout w:type="fixed"/>
        <w:tblLook w:val="04A0"/>
      </w:tblPr>
      <w:tblGrid>
        <w:gridCol w:w="5211"/>
        <w:gridCol w:w="1985"/>
        <w:gridCol w:w="1984"/>
      </w:tblGrid>
      <w:tr w:rsidR="003F6C09" w:rsidRPr="008744CB" w:rsidTr="00EE3B91">
        <w:trPr>
          <w:cnfStyle w:val="100000000000"/>
        </w:trPr>
        <w:tc>
          <w:tcPr>
            <w:cnfStyle w:val="001000000000"/>
            <w:tcW w:w="5211" w:type="dxa"/>
          </w:tcPr>
          <w:p w:rsidR="003F6C09" w:rsidRPr="008744CB" w:rsidRDefault="003F6C09" w:rsidP="00EE3B91">
            <w:pPr>
              <w:autoSpaceDE w:val="0"/>
              <w:autoSpaceDN w:val="0"/>
              <w:adjustRightInd w:val="0"/>
              <w:jc w:val="both"/>
              <w:rPr>
                <w:rFonts w:cs="Arial"/>
                <w:sz w:val="20"/>
                <w:szCs w:val="20"/>
              </w:rPr>
            </w:pPr>
            <w:r w:rsidRPr="008744CB">
              <w:rPr>
                <w:rFonts w:cs="Arial"/>
                <w:sz w:val="20"/>
                <w:szCs w:val="20"/>
              </w:rPr>
              <w:t>Vetted National Agriculture and Food Security Plans</w:t>
            </w:r>
          </w:p>
        </w:tc>
        <w:tc>
          <w:tcPr>
            <w:tcW w:w="1985" w:type="dxa"/>
          </w:tcPr>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USD (millions) AFRICA</w:t>
            </w:r>
          </w:p>
        </w:tc>
        <w:tc>
          <w:tcPr>
            <w:tcW w:w="1984" w:type="dxa"/>
          </w:tcPr>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 of cost</w:t>
            </w:r>
          </w:p>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AFRICA</w:t>
            </w:r>
          </w:p>
        </w:tc>
      </w:tr>
      <w:tr w:rsidR="003F6C09" w:rsidRPr="008744CB" w:rsidTr="00EE3B91">
        <w:trPr>
          <w:cnfStyle w:val="000000100000"/>
        </w:trPr>
        <w:tc>
          <w:tcPr>
            <w:cnfStyle w:val="001000000000"/>
            <w:tcW w:w="5211" w:type="dxa"/>
          </w:tcPr>
          <w:p w:rsidR="003F6C09" w:rsidRPr="008744CB" w:rsidRDefault="003F6C09" w:rsidP="00EE3B91">
            <w:pPr>
              <w:autoSpaceDE w:val="0"/>
              <w:autoSpaceDN w:val="0"/>
              <w:adjustRightInd w:val="0"/>
              <w:jc w:val="both"/>
              <w:rPr>
                <w:rFonts w:cs="Arial"/>
                <w:b w:val="0"/>
                <w:sz w:val="20"/>
                <w:szCs w:val="20"/>
              </w:rPr>
            </w:pPr>
            <w:r w:rsidRPr="008744CB">
              <w:rPr>
                <w:rFonts w:cs="Arial"/>
                <w:b w:val="0"/>
                <w:sz w:val="20"/>
                <w:szCs w:val="20"/>
              </w:rPr>
              <w:t>Cost of Plans</w:t>
            </w:r>
          </w:p>
        </w:tc>
        <w:tc>
          <w:tcPr>
            <w:tcW w:w="1985" w:type="dxa"/>
          </w:tcPr>
          <w:p w:rsidR="003F6C09" w:rsidRPr="008744CB" w:rsidRDefault="003F6C09" w:rsidP="00EE3B91">
            <w:pPr>
              <w:autoSpaceDE w:val="0"/>
              <w:autoSpaceDN w:val="0"/>
              <w:adjustRightInd w:val="0"/>
              <w:ind w:right="459"/>
              <w:jc w:val="right"/>
              <w:cnfStyle w:val="000000100000"/>
              <w:rPr>
                <w:rFonts w:cs="Arial"/>
                <w:sz w:val="20"/>
                <w:szCs w:val="20"/>
              </w:rPr>
            </w:pPr>
            <w:r w:rsidRPr="008744CB">
              <w:rPr>
                <w:rFonts w:cs="Arial"/>
                <w:sz w:val="20"/>
                <w:szCs w:val="20"/>
              </w:rPr>
              <w:t>$ 39,065.31</w:t>
            </w:r>
          </w:p>
        </w:tc>
        <w:tc>
          <w:tcPr>
            <w:tcW w:w="1984"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100%</w:t>
            </w:r>
          </w:p>
        </w:tc>
      </w:tr>
      <w:tr w:rsidR="003F6C09" w:rsidRPr="008744CB" w:rsidTr="00EE3B91">
        <w:tc>
          <w:tcPr>
            <w:cnfStyle w:val="001000000000"/>
            <w:tcW w:w="5211" w:type="dxa"/>
          </w:tcPr>
          <w:p w:rsidR="003F6C09" w:rsidRPr="008744CB" w:rsidRDefault="003F6C09" w:rsidP="00EE3B91">
            <w:pPr>
              <w:autoSpaceDE w:val="0"/>
              <w:autoSpaceDN w:val="0"/>
              <w:adjustRightInd w:val="0"/>
              <w:jc w:val="both"/>
              <w:rPr>
                <w:rFonts w:cs="Arial"/>
                <w:b w:val="0"/>
                <w:sz w:val="20"/>
                <w:szCs w:val="20"/>
              </w:rPr>
            </w:pPr>
            <w:r w:rsidRPr="008744CB">
              <w:rPr>
                <w:rFonts w:cs="Arial"/>
                <w:b w:val="0"/>
                <w:sz w:val="20"/>
                <w:szCs w:val="20"/>
              </w:rPr>
              <w:t>Government Known Contribution</w:t>
            </w:r>
          </w:p>
        </w:tc>
        <w:tc>
          <w:tcPr>
            <w:tcW w:w="1985" w:type="dxa"/>
          </w:tcPr>
          <w:p w:rsidR="003F6C09" w:rsidRPr="008744CB" w:rsidRDefault="003F6C09" w:rsidP="00EE3B91">
            <w:pPr>
              <w:autoSpaceDE w:val="0"/>
              <w:autoSpaceDN w:val="0"/>
              <w:adjustRightInd w:val="0"/>
              <w:ind w:right="459"/>
              <w:jc w:val="right"/>
              <w:cnfStyle w:val="000000000000"/>
              <w:rPr>
                <w:rFonts w:cs="Arial"/>
                <w:sz w:val="20"/>
                <w:szCs w:val="20"/>
              </w:rPr>
            </w:pPr>
            <w:r w:rsidRPr="008744CB">
              <w:rPr>
                <w:rFonts w:cs="Arial"/>
                <w:sz w:val="20"/>
                <w:szCs w:val="20"/>
              </w:rPr>
              <w:t>$ 11,069.47</w:t>
            </w:r>
          </w:p>
        </w:tc>
        <w:tc>
          <w:tcPr>
            <w:tcW w:w="1984" w:type="dxa"/>
          </w:tcPr>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29%</w:t>
            </w:r>
          </w:p>
        </w:tc>
      </w:tr>
      <w:tr w:rsidR="003F6C09" w:rsidRPr="008744CB" w:rsidTr="00EE3B91">
        <w:trPr>
          <w:cnfStyle w:val="000000100000"/>
        </w:trPr>
        <w:tc>
          <w:tcPr>
            <w:cnfStyle w:val="001000000000"/>
            <w:tcW w:w="5211" w:type="dxa"/>
          </w:tcPr>
          <w:p w:rsidR="003F6C09" w:rsidRPr="008744CB" w:rsidRDefault="003F6C09" w:rsidP="00EE3B91">
            <w:pPr>
              <w:autoSpaceDE w:val="0"/>
              <w:autoSpaceDN w:val="0"/>
              <w:adjustRightInd w:val="0"/>
              <w:jc w:val="both"/>
              <w:rPr>
                <w:rFonts w:cs="Arial"/>
                <w:b w:val="0"/>
                <w:sz w:val="20"/>
                <w:szCs w:val="20"/>
              </w:rPr>
            </w:pPr>
            <w:r w:rsidRPr="008744CB">
              <w:rPr>
                <w:rFonts w:cs="Arial"/>
                <w:b w:val="0"/>
                <w:sz w:val="20"/>
                <w:szCs w:val="20"/>
              </w:rPr>
              <w:t>Development Partner Known Contribution</w:t>
            </w:r>
          </w:p>
        </w:tc>
        <w:tc>
          <w:tcPr>
            <w:tcW w:w="1985" w:type="dxa"/>
          </w:tcPr>
          <w:p w:rsidR="003F6C09" w:rsidRPr="008744CB" w:rsidRDefault="003F6C09" w:rsidP="00EE3B91">
            <w:pPr>
              <w:autoSpaceDE w:val="0"/>
              <w:autoSpaceDN w:val="0"/>
              <w:adjustRightInd w:val="0"/>
              <w:ind w:right="459"/>
              <w:jc w:val="right"/>
              <w:cnfStyle w:val="000000100000"/>
              <w:rPr>
                <w:rFonts w:cs="Arial"/>
                <w:sz w:val="20"/>
                <w:szCs w:val="20"/>
              </w:rPr>
            </w:pPr>
            <w:r w:rsidRPr="008744CB">
              <w:rPr>
                <w:rFonts w:cs="Arial"/>
                <w:sz w:val="20"/>
                <w:szCs w:val="20"/>
              </w:rPr>
              <w:t>$ 8,656.04</w:t>
            </w:r>
          </w:p>
        </w:tc>
        <w:tc>
          <w:tcPr>
            <w:tcW w:w="1984"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21%</w:t>
            </w:r>
          </w:p>
        </w:tc>
      </w:tr>
      <w:tr w:rsidR="003F6C09" w:rsidRPr="008744CB" w:rsidTr="00EE3B91">
        <w:tc>
          <w:tcPr>
            <w:cnfStyle w:val="001000000000"/>
            <w:tcW w:w="5211" w:type="dxa"/>
          </w:tcPr>
          <w:p w:rsidR="003F6C09" w:rsidRPr="008744CB" w:rsidRDefault="003F6C09" w:rsidP="00EE3B91">
            <w:pPr>
              <w:autoSpaceDE w:val="0"/>
              <w:autoSpaceDN w:val="0"/>
              <w:adjustRightInd w:val="0"/>
              <w:jc w:val="both"/>
              <w:rPr>
                <w:rFonts w:cs="Arial"/>
                <w:b w:val="0"/>
                <w:sz w:val="20"/>
                <w:szCs w:val="20"/>
              </w:rPr>
            </w:pPr>
            <w:r w:rsidRPr="008744CB">
              <w:rPr>
                <w:rFonts w:cs="Arial"/>
                <w:b w:val="0"/>
                <w:sz w:val="20"/>
                <w:szCs w:val="20"/>
              </w:rPr>
              <w:t>Other Contribution</w:t>
            </w:r>
          </w:p>
        </w:tc>
        <w:tc>
          <w:tcPr>
            <w:tcW w:w="1985" w:type="dxa"/>
          </w:tcPr>
          <w:p w:rsidR="003F6C09" w:rsidRPr="008744CB" w:rsidRDefault="003F6C09" w:rsidP="00EE3B91">
            <w:pPr>
              <w:autoSpaceDE w:val="0"/>
              <w:autoSpaceDN w:val="0"/>
              <w:adjustRightInd w:val="0"/>
              <w:ind w:right="459"/>
              <w:jc w:val="right"/>
              <w:cnfStyle w:val="000000000000"/>
              <w:rPr>
                <w:rFonts w:cs="Arial"/>
                <w:sz w:val="20"/>
                <w:szCs w:val="20"/>
              </w:rPr>
            </w:pPr>
            <w:r w:rsidRPr="008744CB">
              <w:rPr>
                <w:rFonts w:cs="Arial"/>
                <w:sz w:val="20"/>
                <w:szCs w:val="20"/>
              </w:rPr>
              <w:t>$ 44.25</w:t>
            </w:r>
          </w:p>
        </w:tc>
        <w:tc>
          <w:tcPr>
            <w:tcW w:w="1984" w:type="dxa"/>
          </w:tcPr>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0%</w:t>
            </w:r>
          </w:p>
        </w:tc>
      </w:tr>
      <w:tr w:rsidR="003F6C09" w:rsidRPr="008744CB" w:rsidTr="00EE3B91">
        <w:trPr>
          <w:cnfStyle w:val="000000100000"/>
        </w:trPr>
        <w:tc>
          <w:tcPr>
            <w:cnfStyle w:val="001000000000"/>
            <w:tcW w:w="5211" w:type="dxa"/>
          </w:tcPr>
          <w:p w:rsidR="003F6C09" w:rsidRPr="008744CB" w:rsidRDefault="003F6C09" w:rsidP="00EE3B91">
            <w:pPr>
              <w:autoSpaceDE w:val="0"/>
              <w:autoSpaceDN w:val="0"/>
              <w:adjustRightInd w:val="0"/>
              <w:jc w:val="both"/>
              <w:rPr>
                <w:rFonts w:cs="Arial"/>
                <w:b w:val="0"/>
                <w:sz w:val="20"/>
                <w:szCs w:val="20"/>
              </w:rPr>
            </w:pPr>
            <w:r w:rsidRPr="008744CB">
              <w:rPr>
                <w:rFonts w:cs="Arial"/>
                <w:b w:val="0"/>
                <w:sz w:val="20"/>
                <w:szCs w:val="20"/>
              </w:rPr>
              <w:t>Financing Gap</w:t>
            </w:r>
          </w:p>
        </w:tc>
        <w:tc>
          <w:tcPr>
            <w:tcW w:w="1985" w:type="dxa"/>
          </w:tcPr>
          <w:p w:rsidR="003F6C09" w:rsidRPr="008744CB" w:rsidRDefault="003F6C09" w:rsidP="00EE3B91">
            <w:pPr>
              <w:autoSpaceDE w:val="0"/>
              <w:autoSpaceDN w:val="0"/>
              <w:adjustRightInd w:val="0"/>
              <w:ind w:right="459"/>
              <w:jc w:val="right"/>
              <w:cnfStyle w:val="000000100000"/>
              <w:rPr>
                <w:rFonts w:cs="Arial"/>
                <w:sz w:val="20"/>
                <w:szCs w:val="20"/>
              </w:rPr>
            </w:pPr>
            <w:r w:rsidRPr="008744CB">
              <w:rPr>
                <w:rFonts w:cs="Arial"/>
                <w:sz w:val="20"/>
                <w:szCs w:val="20"/>
              </w:rPr>
              <w:t>$19,295.56</w:t>
            </w:r>
          </w:p>
        </w:tc>
        <w:tc>
          <w:tcPr>
            <w:tcW w:w="1984"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50%</w:t>
            </w:r>
          </w:p>
        </w:tc>
      </w:tr>
    </w:tbl>
    <w:p w:rsidR="003F6C09" w:rsidRPr="008744CB" w:rsidRDefault="003F6C09" w:rsidP="003F6C09">
      <w:pPr>
        <w:autoSpaceDE w:val="0"/>
        <w:autoSpaceDN w:val="0"/>
        <w:adjustRightInd w:val="0"/>
        <w:jc w:val="both"/>
        <w:rPr>
          <w:rFonts w:asciiTheme="minorHAnsi" w:hAnsiTheme="minorHAnsi" w:cs="Arial"/>
        </w:rPr>
      </w:pPr>
    </w:p>
    <w:p w:rsidR="003F6C09" w:rsidRPr="001904C4" w:rsidRDefault="003F6C09" w:rsidP="001904C4">
      <w:pPr>
        <w:autoSpaceDE w:val="0"/>
        <w:autoSpaceDN w:val="0"/>
        <w:adjustRightInd w:val="0"/>
        <w:spacing w:after="120" w:line="276" w:lineRule="auto"/>
        <w:jc w:val="both"/>
        <w:rPr>
          <w:rFonts w:asciiTheme="minorHAnsi" w:hAnsiTheme="minorHAnsi" w:cs="Arial"/>
          <w:sz w:val="22"/>
          <w:szCs w:val="22"/>
        </w:rPr>
      </w:pPr>
      <w:r w:rsidRPr="001904C4">
        <w:rPr>
          <w:rFonts w:asciiTheme="minorHAnsi" w:hAnsiTheme="minorHAnsi" w:cs="Arial"/>
          <w:sz w:val="22"/>
          <w:szCs w:val="22"/>
        </w:rPr>
        <w:t xml:space="preserve">The AFSI donors agreed to align their financial assistance behind CAADP and the 2012 G8 accountability report notes that </w:t>
      </w:r>
      <w:r w:rsidRPr="00FB5264">
        <w:rPr>
          <w:rFonts w:asciiTheme="minorHAnsi" w:hAnsiTheme="minorHAnsi" w:cs="Arial"/>
          <w:sz w:val="22"/>
          <w:szCs w:val="22"/>
        </w:rPr>
        <w:t>“</w:t>
      </w:r>
      <w:r w:rsidRPr="00FB5264">
        <w:rPr>
          <w:rFonts w:asciiTheme="minorHAnsi" w:eastAsia="MyriadPro-Regular" w:hAnsiTheme="minorHAnsi" w:cs="MyriadPro-Regular"/>
          <w:sz w:val="22"/>
          <w:szCs w:val="22"/>
        </w:rPr>
        <w:t>G-8 members have long been supporters and advocates for CAADP. AFSI and the support of G-8 members has helped to propel CAADP and similar national agriculture-planning processes in a number of countries.”</w:t>
      </w:r>
      <w:r w:rsidRPr="00FB5264">
        <w:rPr>
          <w:rStyle w:val="FootnoteReference"/>
          <w:rFonts w:asciiTheme="minorHAnsi" w:eastAsia="MyriadPro-Regular" w:hAnsiTheme="minorHAnsi" w:cs="MyriadPro-Regular"/>
          <w:sz w:val="22"/>
          <w:szCs w:val="22"/>
        </w:rPr>
        <w:footnoteReference w:id="55"/>
      </w:r>
      <w:r w:rsidRPr="001904C4">
        <w:rPr>
          <w:rFonts w:asciiTheme="minorHAnsi" w:eastAsia="MyriadPro-Regular" w:hAnsiTheme="minorHAnsi" w:cs="MyriadPro-Regular"/>
          <w:i/>
          <w:sz w:val="22"/>
          <w:szCs w:val="22"/>
        </w:rPr>
        <w:t xml:space="preserve">  </w:t>
      </w:r>
      <w:r w:rsidRPr="001904C4">
        <w:rPr>
          <w:rFonts w:asciiTheme="minorHAnsi" w:hAnsiTheme="minorHAnsi" w:cs="Arial"/>
          <w:sz w:val="22"/>
          <w:szCs w:val="22"/>
        </w:rPr>
        <w:t>The L’Aquila commitments also led to the development of the Global Agriculture and Food Security Programme (see following section) – a World Bank-managed Financial Intermediary Fund, established under the auspices of the AFSI.</w:t>
      </w:r>
      <w:r w:rsidRPr="001904C4">
        <w:rPr>
          <w:rStyle w:val="FootnoteReference"/>
          <w:rFonts w:asciiTheme="minorHAnsi" w:hAnsiTheme="minorHAnsi" w:cs="Arial"/>
          <w:sz w:val="22"/>
          <w:szCs w:val="22"/>
        </w:rPr>
        <w:footnoteReference w:id="56"/>
      </w:r>
      <w:r w:rsidRPr="001904C4">
        <w:rPr>
          <w:rFonts w:asciiTheme="minorHAnsi" w:hAnsiTheme="minorHAnsi" w:cs="Arial"/>
          <w:sz w:val="22"/>
          <w:szCs w:val="22"/>
        </w:rPr>
        <w:t xml:space="preserve">  </w:t>
      </w:r>
    </w:p>
    <w:p w:rsidR="00FB5264" w:rsidRDefault="00FB5264">
      <w:pPr>
        <w:rPr>
          <w:rFonts w:asciiTheme="minorHAnsi" w:hAnsiTheme="minorHAnsi" w:cs="Arial"/>
          <w:b/>
          <w:color w:val="1F497D" w:themeColor="text2"/>
          <w:szCs w:val="24"/>
        </w:rPr>
      </w:pPr>
    </w:p>
    <w:p w:rsidR="003F6C09" w:rsidRPr="001904C4" w:rsidRDefault="003F6C09" w:rsidP="001904C4">
      <w:pPr>
        <w:rPr>
          <w:rFonts w:asciiTheme="minorHAnsi" w:hAnsiTheme="minorHAnsi" w:cs="Arial"/>
          <w:b/>
          <w:color w:val="1F497D" w:themeColor="text2"/>
          <w:szCs w:val="24"/>
        </w:rPr>
      </w:pPr>
      <w:r w:rsidRPr="001904C4">
        <w:rPr>
          <w:rFonts w:asciiTheme="minorHAnsi" w:hAnsiTheme="minorHAnsi" w:cs="Arial"/>
          <w:b/>
          <w:color w:val="1F497D" w:themeColor="text2"/>
          <w:szCs w:val="24"/>
        </w:rPr>
        <w:t>2.</w:t>
      </w:r>
      <w:r w:rsidR="004940A8">
        <w:rPr>
          <w:rFonts w:asciiTheme="minorHAnsi" w:hAnsiTheme="minorHAnsi" w:cs="Arial"/>
          <w:b/>
          <w:color w:val="1F497D" w:themeColor="text2"/>
          <w:szCs w:val="24"/>
        </w:rPr>
        <w:t>4</w:t>
      </w:r>
      <w:r w:rsidRPr="001904C4">
        <w:rPr>
          <w:rFonts w:asciiTheme="minorHAnsi" w:hAnsiTheme="minorHAnsi" w:cs="Arial"/>
          <w:b/>
          <w:color w:val="1F497D" w:themeColor="text2"/>
          <w:szCs w:val="24"/>
        </w:rPr>
        <w:t>.3</w:t>
      </w:r>
      <w:r w:rsidRPr="001904C4">
        <w:rPr>
          <w:rFonts w:asciiTheme="minorHAnsi" w:hAnsiTheme="minorHAnsi" w:cs="Arial"/>
          <w:b/>
          <w:color w:val="1F497D" w:themeColor="text2"/>
          <w:szCs w:val="24"/>
        </w:rPr>
        <w:tab/>
        <w:t>G20’s Global Agriculture and Food Security Program (GAFSP)</w:t>
      </w:r>
    </w:p>
    <w:p w:rsidR="003F6C09" w:rsidRPr="001904C4" w:rsidRDefault="003F6C09" w:rsidP="001904C4">
      <w:pPr>
        <w:autoSpaceDE w:val="0"/>
        <w:autoSpaceDN w:val="0"/>
        <w:adjustRightInd w:val="0"/>
        <w:spacing w:after="120" w:line="276" w:lineRule="auto"/>
        <w:jc w:val="both"/>
        <w:rPr>
          <w:rFonts w:asciiTheme="minorHAnsi" w:hAnsiTheme="minorHAnsi" w:cs="Arial"/>
          <w:b/>
          <w:sz w:val="22"/>
          <w:szCs w:val="22"/>
        </w:rPr>
      </w:pPr>
      <w:r w:rsidRPr="001904C4">
        <w:rPr>
          <w:rFonts w:asciiTheme="minorHAnsi" w:hAnsiTheme="minorHAnsi" w:cs="Arial"/>
          <w:sz w:val="22"/>
          <w:szCs w:val="22"/>
        </w:rPr>
        <w:t xml:space="preserve">The Global Agriculture and Food Security Program (GAFSP) is a donor-supported multilateral funding mechanism, administered by the World Bank.  Established by </w:t>
      </w:r>
      <w:r w:rsidR="00FE3438">
        <w:rPr>
          <w:rFonts w:asciiTheme="minorHAnsi" w:hAnsiTheme="minorHAnsi" w:cs="Arial"/>
          <w:sz w:val="22"/>
          <w:szCs w:val="22"/>
        </w:rPr>
        <w:t xml:space="preserve">the </w:t>
      </w:r>
      <w:r w:rsidRPr="001904C4">
        <w:rPr>
          <w:rFonts w:asciiTheme="minorHAnsi" w:hAnsiTheme="minorHAnsi" w:cs="Arial"/>
          <w:sz w:val="22"/>
          <w:szCs w:val="22"/>
        </w:rPr>
        <w:t xml:space="preserve">G20 in April 2010, the GAFSP aims to address potential underfunding of national and regional agriculture investment plans and programmes.   As of 2 November 2012, ten donors have pledged a </w:t>
      </w:r>
      <w:r w:rsidRPr="001904C4">
        <w:rPr>
          <w:rFonts w:asciiTheme="minorHAnsi" w:hAnsiTheme="minorHAnsi" w:cs="Arial"/>
          <w:b/>
          <w:sz w:val="22"/>
          <w:szCs w:val="22"/>
        </w:rPr>
        <w:t>total of USD 1.3 billion</w:t>
      </w:r>
      <w:r w:rsidRPr="001904C4">
        <w:rPr>
          <w:rFonts w:asciiTheme="minorHAnsi" w:hAnsiTheme="minorHAnsi" w:cs="Arial"/>
          <w:sz w:val="22"/>
          <w:szCs w:val="22"/>
        </w:rPr>
        <w:t xml:space="preserve">, of which USD 880.5 million (66.8%) has been received by the fund (see Figure </w:t>
      </w:r>
      <w:r w:rsidR="0045510A">
        <w:rPr>
          <w:rFonts w:asciiTheme="minorHAnsi" w:hAnsiTheme="minorHAnsi" w:cs="Arial"/>
          <w:sz w:val="22"/>
          <w:szCs w:val="22"/>
        </w:rPr>
        <w:t>10</w:t>
      </w:r>
      <w:r w:rsidRPr="001904C4">
        <w:rPr>
          <w:rFonts w:asciiTheme="minorHAnsi" w:hAnsiTheme="minorHAnsi" w:cs="Arial"/>
          <w:sz w:val="22"/>
          <w:szCs w:val="22"/>
        </w:rPr>
        <w:t>).   Of this total, USD 1 billion has been pledged through the public sector financing window and USD 309 million through the private sector financing window.</w:t>
      </w:r>
    </w:p>
    <w:p w:rsidR="0045510A" w:rsidRDefault="0045510A">
      <w:pPr>
        <w:rPr>
          <w:rFonts w:asciiTheme="minorHAnsi" w:hAnsiTheme="minorHAnsi" w:cs="Arial"/>
          <w:b/>
          <w:sz w:val="22"/>
          <w:szCs w:val="22"/>
        </w:rPr>
      </w:pPr>
      <w:r>
        <w:rPr>
          <w:rFonts w:asciiTheme="minorHAnsi" w:hAnsiTheme="minorHAnsi" w:cs="Arial"/>
          <w:b/>
          <w:sz w:val="22"/>
          <w:szCs w:val="22"/>
        </w:rPr>
        <w:br w:type="page"/>
      </w:r>
    </w:p>
    <w:p w:rsidR="003F6C09" w:rsidRPr="001904C4" w:rsidRDefault="003F6C09" w:rsidP="001904C4">
      <w:pPr>
        <w:autoSpaceDE w:val="0"/>
        <w:autoSpaceDN w:val="0"/>
        <w:adjustRightInd w:val="0"/>
        <w:spacing w:after="120" w:line="276" w:lineRule="auto"/>
        <w:jc w:val="center"/>
        <w:rPr>
          <w:rFonts w:asciiTheme="minorHAnsi" w:hAnsiTheme="minorHAnsi" w:cs="Arial"/>
          <w:b/>
          <w:sz w:val="22"/>
          <w:szCs w:val="22"/>
        </w:rPr>
      </w:pPr>
      <w:r w:rsidRPr="001904C4">
        <w:rPr>
          <w:rFonts w:asciiTheme="minorHAnsi" w:hAnsiTheme="minorHAnsi" w:cs="Arial"/>
          <w:b/>
          <w:sz w:val="22"/>
          <w:szCs w:val="22"/>
        </w:rPr>
        <w:lastRenderedPageBreak/>
        <w:t xml:space="preserve">Figure </w:t>
      </w:r>
      <w:r w:rsidR="0045510A">
        <w:rPr>
          <w:rFonts w:asciiTheme="minorHAnsi" w:hAnsiTheme="minorHAnsi" w:cs="Arial"/>
          <w:b/>
          <w:sz w:val="22"/>
          <w:szCs w:val="22"/>
        </w:rPr>
        <w:t>10</w:t>
      </w:r>
      <w:r w:rsidRPr="001904C4">
        <w:rPr>
          <w:rFonts w:asciiTheme="minorHAnsi" w:hAnsiTheme="minorHAnsi" w:cs="Arial"/>
          <w:b/>
          <w:sz w:val="22"/>
          <w:szCs w:val="22"/>
        </w:rPr>
        <w:t xml:space="preserve">: GAFSP – Amount pledged vs. amount received per contributor (as of </w:t>
      </w:r>
      <w:r w:rsidR="00FE3438">
        <w:rPr>
          <w:rFonts w:asciiTheme="minorHAnsi" w:hAnsiTheme="minorHAnsi" w:cs="Arial"/>
          <w:b/>
          <w:sz w:val="22"/>
          <w:szCs w:val="22"/>
        </w:rPr>
        <w:t>Nov 30</w:t>
      </w:r>
      <w:r w:rsidRPr="001904C4">
        <w:rPr>
          <w:rFonts w:asciiTheme="minorHAnsi" w:hAnsiTheme="minorHAnsi" w:cs="Arial"/>
          <w:b/>
          <w:sz w:val="22"/>
          <w:szCs w:val="22"/>
        </w:rPr>
        <w:t xml:space="preserve"> 2012)</w:t>
      </w:r>
      <w:r w:rsidRPr="001904C4">
        <w:rPr>
          <w:rStyle w:val="FootnoteReference"/>
          <w:rFonts w:asciiTheme="minorHAnsi" w:hAnsiTheme="minorHAnsi" w:cs="Arial"/>
          <w:b/>
          <w:sz w:val="22"/>
          <w:szCs w:val="22"/>
        </w:rPr>
        <w:footnoteReference w:id="57"/>
      </w:r>
    </w:p>
    <w:p w:rsidR="003F6C09" w:rsidRPr="008744CB" w:rsidRDefault="003F6C09" w:rsidP="003F6C09">
      <w:pPr>
        <w:autoSpaceDE w:val="0"/>
        <w:autoSpaceDN w:val="0"/>
        <w:adjustRightInd w:val="0"/>
        <w:jc w:val="center"/>
        <w:rPr>
          <w:rFonts w:asciiTheme="minorHAnsi" w:hAnsiTheme="minorHAnsi" w:cs="Arial"/>
        </w:rPr>
      </w:pPr>
      <w:r w:rsidRPr="008744CB">
        <w:rPr>
          <w:rFonts w:asciiTheme="minorHAnsi" w:hAnsiTheme="minorHAnsi"/>
          <w:noProof/>
          <w:lang w:val="fr-FR" w:eastAsia="fr-FR"/>
        </w:rPr>
        <w:drawing>
          <wp:inline distT="0" distB="0" distL="0" distR="0">
            <wp:extent cx="3899928" cy="2683957"/>
            <wp:effectExtent l="0" t="0" r="5715" b="2540"/>
            <wp:docPr id="5" name="Picture 5" descr="Amount Pledged vs Received per Do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ount Pledged vs Received per Donor"/>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1906" cy="2685318"/>
                    </a:xfrm>
                    <a:prstGeom prst="rect">
                      <a:avLst/>
                    </a:prstGeom>
                    <a:noFill/>
                    <a:ln>
                      <a:noFill/>
                    </a:ln>
                  </pic:spPr>
                </pic:pic>
              </a:graphicData>
            </a:graphic>
          </wp:inline>
        </w:drawing>
      </w:r>
    </w:p>
    <w:p w:rsidR="003F6C09" w:rsidRPr="008744CB" w:rsidRDefault="003F6C09" w:rsidP="003F6C09">
      <w:pPr>
        <w:autoSpaceDE w:val="0"/>
        <w:autoSpaceDN w:val="0"/>
        <w:adjustRightInd w:val="0"/>
        <w:jc w:val="both"/>
        <w:rPr>
          <w:rFonts w:asciiTheme="minorHAnsi" w:hAnsiTheme="minorHAnsi" w:cs="Arial"/>
        </w:rPr>
      </w:pPr>
    </w:p>
    <w:p w:rsidR="003F6C09" w:rsidRPr="001904C4" w:rsidRDefault="003F6C09" w:rsidP="001904C4">
      <w:pPr>
        <w:autoSpaceDE w:val="0"/>
        <w:autoSpaceDN w:val="0"/>
        <w:adjustRightInd w:val="0"/>
        <w:spacing w:line="276" w:lineRule="auto"/>
        <w:jc w:val="both"/>
        <w:rPr>
          <w:rFonts w:asciiTheme="minorHAnsi" w:hAnsiTheme="minorHAnsi" w:cs="Arial"/>
          <w:sz w:val="22"/>
          <w:szCs w:val="22"/>
        </w:rPr>
      </w:pPr>
      <w:r w:rsidRPr="001904C4">
        <w:rPr>
          <w:rFonts w:asciiTheme="minorHAnsi" w:hAnsiTheme="minorHAnsi" w:cs="Arial"/>
          <w:sz w:val="22"/>
          <w:szCs w:val="22"/>
        </w:rPr>
        <w:t>Administered by the World Bank, GAFSP is a Financial Intermediary Fund that finances medium- to long-term investments aimed at raising agricultural productivity, linking farmers to markets, reducing risk and vulnerability, improving non-farm rural livelihoods, and scaling-up the provision of technical assistance and capacity development.  To qualify for GAFSP funding, an African country must have gone through the entire CAADP process.</w:t>
      </w:r>
      <w:r w:rsidRPr="001904C4">
        <w:rPr>
          <w:rStyle w:val="FootnoteReference"/>
          <w:rFonts w:asciiTheme="minorHAnsi" w:hAnsiTheme="minorHAnsi" w:cs="Arial"/>
          <w:sz w:val="22"/>
          <w:szCs w:val="22"/>
        </w:rPr>
        <w:footnoteReference w:id="58"/>
      </w:r>
      <w:r w:rsidRPr="001904C4">
        <w:rPr>
          <w:rFonts w:asciiTheme="minorHAnsi" w:hAnsiTheme="minorHAnsi" w:cs="Arial"/>
          <w:sz w:val="22"/>
          <w:szCs w:val="22"/>
        </w:rPr>
        <w:t xml:space="preserve">  So far</w:t>
      </w:r>
      <w:r w:rsidRPr="001904C4">
        <w:rPr>
          <w:rFonts w:asciiTheme="minorHAnsi" w:hAnsiTheme="minorHAnsi" w:cs="Arial"/>
          <w:b/>
          <w:sz w:val="22"/>
          <w:szCs w:val="22"/>
        </w:rPr>
        <w:t>, 11 African countries have received a total of USD 430.5 million grants to support agriculture and food security</w:t>
      </w:r>
      <w:r w:rsidRPr="001904C4">
        <w:rPr>
          <w:rFonts w:asciiTheme="minorHAnsi" w:hAnsiTheme="minorHAnsi" w:cs="Arial"/>
          <w:sz w:val="22"/>
          <w:szCs w:val="22"/>
        </w:rPr>
        <w:t xml:space="preserve"> (see Table </w:t>
      </w:r>
      <w:r w:rsidR="00176D93">
        <w:rPr>
          <w:rFonts w:asciiTheme="minorHAnsi" w:hAnsiTheme="minorHAnsi" w:cs="Arial"/>
          <w:sz w:val="22"/>
          <w:szCs w:val="22"/>
        </w:rPr>
        <w:t>4</w:t>
      </w:r>
      <w:r w:rsidRPr="001904C4">
        <w:rPr>
          <w:rFonts w:asciiTheme="minorHAnsi" w:hAnsiTheme="minorHAnsi" w:cs="Arial"/>
          <w:sz w:val="22"/>
          <w:szCs w:val="22"/>
        </w:rPr>
        <w:t xml:space="preserve">).   </w:t>
      </w:r>
    </w:p>
    <w:p w:rsidR="003F6C09" w:rsidRDefault="003F6C09" w:rsidP="001904C4">
      <w:pPr>
        <w:autoSpaceDE w:val="0"/>
        <w:autoSpaceDN w:val="0"/>
        <w:adjustRightInd w:val="0"/>
        <w:spacing w:line="276" w:lineRule="auto"/>
        <w:rPr>
          <w:rStyle w:val="Strong"/>
          <w:rFonts w:asciiTheme="minorHAnsi" w:hAnsiTheme="minorHAnsi" w:cs="Arial"/>
          <w:color w:val="514839"/>
          <w:sz w:val="22"/>
          <w:szCs w:val="22"/>
          <w:shd w:val="clear" w:color="auto" w:fill="F6FFF7"/>
        </w:rPr>
      </w:pPr>
    </w:p>
    <w:p w:rsidR="00093348" w:rsidRPr="001904C4" w:rsidRDefault="00093348" w:rsidP="00093348">
      <w:pPr>
        <w:autoSpaceDE w:val="0"/>
        <w:autoSpaceDN w:val="0"/>
        <w:adjustRightInd w:val="0"/>
        <w:rPr>
          <w:rFonts w:asciiTheme="minorHAnsi" w:hAnsiTheme="minorHAnsi" w:cs="Arial"/>
          <w:b/>
          <w:color w:val="1F497D" w:themeColor="text2"/>
          <w:szCs w:val="24"/>
        </w:rPr>
      </w:pPr>
      <w:r w:rsidRPr="001904C4">
        <w:rPr>
          <w:rFonts w:asciiTheme="minorHAnsi" w:hAnsiTheme="minorHAnsi" w:cs="Arial"/>
          <w:b/>
          <w:color w:val="1F497D" w:themeColor="text2"/>
          <w:szCs w:val="24"/>
        </w:rPr>
        <w:t>2.</w:t>
      </w:r>
      <w:r>
        <w:rPr>
          <w:rFonts w:asciiTheme="minorHAnsi" w:hAnsiTheme="minorHAnsi" w:cs="Arial"/>
          <w:b/>
          <w:color w:val="1F497D" w:themeColor="text2"/>
          <w:szCs w:val="24"/>
        </w:rPr>
        <w:t>4</w:t>
      </w:r>
      <w:r w:rsidRPr="001904C4">
        <w:rPr>
          <w:rFonts w:asciiTheme="minorHAnsi" w:hAnsiTheme="minorHAnsi" w:cs="Arial"/>
          <w:b/>
          <w:color w:val="1F497D" w:themeColor="text2"/>
          <w:szCs w:val="24"/>
        </w:rPr>
        <w:t>.4</w:t>
      </w:r>
      <w:r w:rsidRPr="001904C4">
        <w:rPr>
          <w:rFonts w:asciiTheme="minorHAnsi" w:hAnsiTheme="minorHAnsi" w:cs="Arial"/>
          <w:b/>
          <w:color w:val="1F497D" w:themeColor="text2"/>
          <w:szCs w:val="24"/>
        </w:rPr>
        <w:tab/>
        <w:t>International Fund for Agricultural Development (IFAD)</w:t>
      </w:r>
    </w:p>
    <w:p w:rsidR="00093348" w:rsidRDefault="00093348" w:rsidP="00093348">
      <w:pPr>
        <w:spacing w:line="276" w:lineRule="auto"/>
        <w:jc w:val="both"/>
        <w:rPr>
          <w:rFonts w:asciiTheme="minorHAnsi" w:hAnsiTheme="minorHAnsi" w:cs="Arial"/>
          <w:sz w:val="22"/>
          <w:szCs w:val="22"/>
        </w:rPr>
      </w:pPr>
      <w:r>
        <w:rPr>
          <w:rFonts w:asciiTheme="minorHAnsi" w:hAnsiTheme="minorHAnsi" w:cs="Arial"/>
          <w:sz w:val="22"/>
          <w:szCs w:val="22"/>
        </w:rPr>
        <w:t xml:space="preserve">Established as an international financial institution in 1977, IFAD is a specialized agency of the United Nations dedicated to eradicating rural poverty.   The </w:t>
      </w:r>
      <w:r w:rsidRPr="00DA7BA4">
        <w:rPr>
          <w:rFonts w:asciiTheme="minorHAnsi" w:hAnsiTheme="minorHAnsi" w:cs="Arial"/>
          <w:sz w:val="22"/>
          <w:szCs w:val="22"/>
        </w:rPr>
        <w:t xml:space="preserve">2010 OECD statistics show </w:t>
      </w:r>
      <w:r w:rsidRPr="00E552B2">
        <w:rPr>
          <w:rFonts w:asciiTheme="minorHAnsi" w:hAnsiTheme="minorHAnsi" w:cs="Arial"/>
          <w:b/>
          <w:sz w:val="22"/>
          <w:szCs w:val="22"/>
        </w:rPr>
        <w:t xml:space="preserve">USD 246 million </w:t>
      </w:r>
      <w:r>
        <w:rPr>
          <w:rFonts w:asciiTheme="minorHAnsi" w:hAnsiTheme="minorHAnsi" w:cs="Arial"/>
          <w:b/>
          <w:sz w:val="22"/>
          <w:szCs w:val="22"/>
        </w:rPr>
        <w:t xml:space="preserve">was </w:t>
      </w:r>
      <w:r w:rsidRPr="00E552B2">
        <w:rPr>
          <w:rFonts w:asciiTheme="minorHAnsi" w:hAnsiTheme="minorHAnsi" w:cs="Arial"/>
          <w:b/>
          <w:sz w:val="22"/>
          <w:szCs w:val="22"/>
        </w:rPr>
        <w:t>given to African agriculture through IFAD</w:t>
      </w:r>
      <w:r>
        <w:rPr>
          <w:rFonts w:asciiTheme="minorHAnsi" w:hAnsiTheme="minorHAnsi" w:cs="Arial"/>
          <w:b/>
          <w:sz w:val="22"/>
          <w:szCs w:val="22"/>
        </w:rPr>
        <w:t xml:space="preserve">.  </w:t>
      </w:r>
      <w:r>
        <w:rPr>
          <w:rFonts w:asciiTheme="minorHAnsi" w:hAnsiTheme="minorHAnsi" w:cs="Arial"/>
          <w:sz w:val="22"/>
          <w:szCs w:val="22"/>
        </w:rPr>
        <w:t>Following a 2009 joint IFAD/</w:t>
      </w:r>
      <w:proofErr w:type="spellStart"/>
      <w:r>
        <w:rPr>
          <w:rFonts w:asciiTheme="minorHAnsi" w:hAnsiTheme="minorHAnsi" w:cs="Arial"/>
          <w:sz w:val="22"/>
          <w:szCs w:val="22"/>
        </w:rPr>
        <w:t>AfDB</w:t>
      </w:r>
      <w:proofErr w:type="spellEnd"/>
      <w:r>
        <w:rPr>
          <w:rFonts w:asciiTheme="minorHAnsi" w:hAnsiTheme="minorHAnsi" w:cs="Arial"/>
          <w:sz w:val="22"/>
          <w:szCs w:val="22"/>
        </w:rPr>
        <w:t xml:space="preserve"> evaluation of agriculture and rural development policies and operations in Africa, the two organisations have been working together to ensure their policies, wherever possible, are aligned with CAADP’s policy pillars and national sector priorities and strategies.</w:t>
      </w:r>
      <w:r>
        <w:rPr>
          <w:rStyle w:val="FootnoteReference"/>
          <w:rFonts w:asciiTheme="minorHAnsi" w:hAnsiTheme="minorHAnsi" w:cs="Arial"/>
          <w:sz w:val="22"/>
          <w:szCs w:val="22"/>
        </w:rPr>
        <w:footnoteReference w:id="59"/>
      </w:r>
      <w:r>
        <w:rPr>
          <w:rFonts w:asciiTheme="minorHAnsi" w:hAnsiTheme="minorHAnsi" w:cs="Arial"/>
          <w:sz w:val="22"/>
          <w:szCs w:val="22"/>
        </w:rPr>
        <w:t xml:space="preserve">  IFAD has been one of the first donors to initiate specific programs in support of compacts and investment plans, for example in Rwanda and Togo.</w:t>
      </w:r>
      <w:r>
        <w:rPr>
          <w:rStyle w:val="FootnoteReference"/>
          <w:rFonts w:asciiTheme="minorHAnsi" w:hAnsiTheme="minorHAnsi" w:cs="Arial"/>
          <w:sz w:val="22"/>
          <w:szCs w:val="22"/>
        </w:rPr>
        <w:footnoteReference w:id="60"/>
      </w:r>
    </w:p>
    <w:p w:rsidR="00093348" w:rsidRPr="001904C4" w:rsidRDefault="00093348" w:rsidP="001904C4">
      <w:pPr>
        <w:autoSpaceDE w:val="0"/>
        <w:autoSpaceDN w:val="0"/>
        <w:adjustRightInd w:val="0"/>
        <w:spacing w:line="276" w:lineRule="auto"/>
        <w:rPr>
          <w:rStyle w:val="Strong"/>
          <w:rFonts w:asciiTheme="minorHAnsi" w:hAnsiTheme="minorHAnsi" w:cs="Arial"/>
          <w:color w:val="514839"/>
          <w:sz w:val="22"/>
          <w:szCs w:val="22"/>
          <w:shd w:val="clear" w:color="auto" w:fill="F6FFF7"/>
        </w:rPr>
      </w:pPr>
    </w:p>
    <w:p w:rsidR="00FE3438" w:rsidRDefault="00FE3438">
      <w:pPr>
        <w:rPr>
          <w:rFonts w:asciiTheme="minorHAnsi" w:hAnsiTheme="minorHAnsi" w:cs="Arial"/>
          <w:b/>
          <w:sz w:val="22"/>
          <w:szCs w:val="22"/>
        </w:rPr>
      </w:pPr>
      <w:r>
        <w:rPr>
          <w:rFonts w:asciiTheme="minorHAnsi" w:hAnsiTheme="minorHAnsi" w:cs="Arial"/>
          <w:b/>
          <w:sz w:val="22"/>
          <w:szCs w:val="22"/>
        </w:rPr>
        <w:br w:type="page"/>
      </w:r>
    </w:p>
    <w:p w:rsidR="003F6C09" w:rsidRPr="001904C4" w:rsidRDefault="003F6C09" w:rsidP="0045510A">
      <w:pPr>
        <w:jc w:val="center"/>
        <w:rPr>
          <w:rFonts w:asciiTheme="minorHAnsi" w:hAnsiTheme="minorHAnsi" w:cs="Arial"/>
          <w:b/>
          <w:sz w:val="22"/>
          <w:szCs w:val="22"/>
        </w:rPr>
      </w:pPr>
      <w:r w:rsidRPr="001904C4">
        <w:rPr>
          <w:rFonts w:asciiTheme="minorHAnsi" w:hAnsiTheme="minorHAnsi" w:cs="Arial"/>
          <w:b/>
          <w:sz w:val="22"/>
          <w:szCs w:val="22"/>
        </w:rPr>
        <w:lastRenderedPageBreak/>
        <w:t xml:space="preserve">Table </w:t>
      </w:r>
      <w:r w:rsidR="00176D93">
        <w:rPr>
          <w:rFonts w:asciiTheme="minorHAnsi" w:hAnsiTheme="minorHAnsi" w:cs="Arial"/>
          <w:b/>
          <w:sz w:val="22"/>
          <w:szCs w:val="22"/>
        </w:rPr>
        <w:t>4</w:t>
      </w:r>
      <w:r w:rsidRPr="001904C4">
        <w:rPr>
          <w:rFonts w:asciiTheme="minorHAnsi" w:hAnsiTheme="minorHAnsi" w:cs="Arial"/>
          <w:b/>
          <w:sz w:val="22"/>
          <w:szCs w:val="22"/>
        </w:rPr>
        <w:t>. GAFSP: African Recipient Countries</w:t>
      </w:r>
      <w:r w:rsidRPr="001904C4">
        <w:rPr>
          <w:rStyle w:val="FootnoteReference"/>
          <w:rFonts w:asciiTheme="minorHAnsi" w:hAnsiTheme="minorHAnsi" w:cs="Arial"/>
          <w:b/>
          <w:sz w:val="22"/>
          <w:szCs w:val="22"/>
        </w:rPr>
        <w:footnoteReference w:id="61"/>
      </w:r>
    </w:p>
    <w:tbl>
      <w:tblPr>
        <w:tblStyle w:val="LightShading-Accent5"/>
        <w:tblW w:w="9322" w:type="dxa"/>
        <w:tblLayout w:type="fixed"/>
        <w:tblLook w:val="04A0"/>
      </w:tblPr>
      <w:tblGrid>
        <w:gridCol w:w="1101"/>
        <w:gridCol w:w="1134"/>
        <w:gridCol w:w="4819"/>
        <w:gridCol w:w="992"/>
        <w:gridCol w:w="1276"/>
      </w:tblGrid>
      <w:tr w:rsidR="00093348" w:rsidRPr="008744CB" w:rsidTr="00093348">
        <w:trPr>
          <w:cnfStyle w:val="1000000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Country</w:t>
            </w:r>
          </w:p>
        </w:tc>
        <w:tc>
          <w:tcPr>
            <w:tcW w:w="1134" w:type="dxa"/>
          </w:tcPr>
          <w:p w:rsidR="00093348" w:rsidRPr="008744CB" w:rsidRDefault="00093348" w:rsidP="00EE3B91">
            <w:pPr>
              <w:autoSpaceDE w:val="0"/>
              <w:autoSpaceDN w:val="0"/>
              <w:adjustRightInd w:val="0"/>
              <w:jc w:val="center"/>
              <w:cnfStyle w:val="100000000000"/>
              <w:rPr>
                <w:sz w:val="20"/>
                <w:szCs w:val="20"/>
              </w:rPr>
            </w:pPr>
            <w:r w:rsidRPr="008744CB">
              <w:rPr>
                <w:sz w:val="20"/>
                <w:szCs w:val="20"/>
              </w:rPr>
              <w:t>Approved</w:t>
            </w:r>
          </w:p>
        </w:tc>
        <w:tc>
          <w:tcPr>
            <w:tcW w:w="4819" w:type="dxa"/>
          </w:tcPr>
          <w:p w:rsidR="00093348" w:rsidRPr="008744CB" w:rsidRDefault="00093348" w:rsidP="00EE3B91">
            <w:pPr>
              <w:autoSpaceDE w:val="0"/>
              <w:autoSpaceDN w:val="0"/>
              <w:adjustRightInd w:val="0"/>
              <w:cnfStyle w:val="100000000000"/>
              <w:rPr>
                <w:sz w:val="20"/>
                <w:szCs w:val="20"/>
              </w:rPr>
            </w:pPr>
            <w:r w:rsidRPr="008744CB">
              <w:rPr>
                <w:sz w:val="20"/>
                <w:szCs w:val="20"/>
              </w:rPr>
              <w:t>Description</w:t>
            </w:r>
          </w:p>
        </w:tc>
        <w:tc>
          <w:tcPr>
            <w:tcW w:w="992" w:type="dxa"/>
            <w:tcBorders>
              <w:right w:val="dashed" w:sz="4" w:space="0" w:color="4BACC6"/>
            </w:tcBorders>
          </w:tcPr>
          <w:p w:rsidR="00093348" w:rsidRPr="008744CB" w:rsidRDefault="00093348" w:rsidP="00EE3B91">
            <w:pPr>
              <w:autoSpaceDE w:val="0"/>
              <w:autoSpaceDN w:val="0"/>
              <w:adjustRightInd w:val="0"/>
              <w:cnfStyle w:val="100000000000"/>
              <w:rPr>
                <w:sz w:val="20"/>
                <w:szCs w:val="20"/>
              </w:rPr>
            </w:pPr>
            <w:r w:rsidRPr="008744CB">
              <w:rPr>
                <w:sz w:val="20"/>
                <w:szCs w:val="20"/>
              </w:rPr>
              <w:t>Amount</w:t>
            </w:r>
          </w:p>
        </w:tc>
        <w:tc>
          <w:tcPr>
            <w:tcW w:w="1276" w:type="dxa"/>
            <w:tcBorders>
              <w:left w:val="dashed" w:sz="4" w:space="0" w:color="4BACC6"/>
            </w:tcBorders>
          </w:tcPr>
          <w:p w:rsidR="00093348" w:rsidRPr="00093348" w:rsidRDefault="00093348" w:rsidP="00093348">
            <w:pPr>
              <w:autoSpaceDE w:val="0"/>
              <w:autoSpaceDN w:val="0"/>
              <w:adjustRightInd w:val="0"/>
              <w:cnfStyle w:val="100000000000"/>
              <w:rPr>
                <w:bCs w:val="0"/>
                <w:sz w:val="20"/>
              </w:rPr>
            </w:pPr>
            <w:r w:rsidRPr="00093348">
              <w:rPr>
                <w:bCs w:val="0"/>
                <w:sz w:val="20"/>
              </w:rPr>
              <w:t>Supervising Entity</w:t>
            </w:r>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Burundi</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May</w:t>
            </w:r>
          </w:p>
          <w:p w:rsidR="00093348" w:rsidRPr="008744CB" w:rsidRDefault="00093348" w:rsidP="00EE3B91">
            <w:pPr>
              <w:autoSpaceDE w:val="0"/>
              <w:autoSpaceDN w:val="0"/>
              <w:adjustRightInd w:val="0"/>
              <w:jc w:val="center"/>
              <w:cnfStyle w:val="000000100000"/>
              <w:rPr>
                <w:sz w:val="20"/>
                <w:szCs w:val="20"/>
              </w:rPr>
            </w:pPr>
            <w:r w:rsidRPr="008744CB">
              <w:rPr>
                <w:sz w:val="20"/>
                <w:szCs w:val="20"/>
              </w:rPr>
              <w:t>2012</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 xml:space="preserve">To improve water management and irrigation in the drought-prone regions of </w:t>
            </w:r>
            <w:proofErr w:type="spellStart"/>
            <w:r w:rsidRPr="008744CB">
              <w:rPr>
                <w:sz w:val="20"/>
                <w:szCs w:val="20"/>
              </w:rPr>
              <w:t>Imbo</w:t>
            </w:r>
            <w:proofErr w:type="spellEnd"/>
            <w:r w:rsidRPr="008744CB">
              <w:rPr>
                <w:sz w:val="20"/>
                <w:szCs w:val="20"/>
              </w:rPr>
              <w:t xml:space="preserve"> and </w:t>
            </w:r>
            <w:proofErr w:type="spellStart"/>
            <w:r w:rsidRPr="008744CB">
              <w:rPr>
                <w:sz w:val="20"/>
                <w:szCs w:val="20"/>
              </w:rPr>
              <w:t>Mosso</w:t>
            </w:r>
            <w:proofErr w:type="spellEnd"/>
            <w:r w:rsidRPr="008744CB">
              <w:rPr>
                <w:sz w:val="20"/>
                <w:szCs w:val="20"/>
              </w:rPr>
              <w:t>, with investments in infrastructure and agricultural intensification through improved technologies, productive assets and the establishment of farmer field schools.</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30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r>
              <w:rPr>
                <w:sz w:val="20"/>
              </w:rPr>
              <w:t>IFAD</w:t>
            </w:r>
          </w:p>
        </w:tc>
      </w:tr>
      <w:tr w:rsidR="00093348" w:rsidRPr="008744CB" w:rsidTr="00093348">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The Gambia</w:t>
            </w:r>
          </w:p>
        </w:tc>
        <w:tc>
          <w:tcPr>
            <w:tcW w:w="1134" w:type="dxa"/>
          </w:tcPr>
          <w:p w:rsidR="00093348" w:rsidRPr="008744CB" w:rsidRDefault="00093348" w:rsidP="00EE3B91">
            <w:pPr>
              <w:autoSpaceDE w:val="0"/>
              <w:autoSpaceDN w:val="0"/>
              <w:adjustRightInd w:val="0"/>
              <w:jc w:val="center"/>
              <w:cnfStyle w:val="000000000000"/>
              <w:rPr>
                <w:sz w:val="20"/>
                <w:szCs w:val="20"/>
              </w:rPr>
            </w:pPr>
            <w:r w:rsidRPr="008744CB">
              <w:rPr>
                <w:sz w:val="20"/>
                <w:szCs w:val="20"/>
              </w:rPr>
              <w:t>May</w:t>
            </w:r>
          </w:p>
          <w:p w:rsidR="00093348" w:rsidRPr="008744CB" w:rsidRDefault="00093348" w:rsidP="00EE3B91">
            <w:pPr>
              <w:autoSpaceDE w:val="0"/>
              <w:autoSpaceDN w:val="0"/>
              <w:adjustRightInd w:val="0"/>
              <w:jc w:val="center"/>
              <w:cnfStyle w:val="000000000000"/>
              <w:rPr>
                <w:sz w:val="20"/>
                <w:szCs w:val="20"/>
              </w:rPr>
            </w:pPr>
            <w:r w:rsidRPr="008744CB">
              <w:rPr>
                <w:sz w:val="20"/>
                <w:szCs w:val="20"/>
              </w:rPr>
              <w:t>2012</w:t>
            </w:r>
          </w:p>
        </w:tc>
        <w:tc>
          <w:tcPr>
            <w:tcW w:w="4819" w:type="dxa"/>
          </w:tcPr>
          <w:p w:rsidR="00093348" w:rsidRPr="008744CB" w:rsidRDefault="00093348" w:rsidP="00EE3B91">
            <w:pPr>
              <w:autoSpaceDE w:val="0"/>
              <w:autoSpaceDN w:val="0"/>
              <w:adjustRightInd w:val="0"/>
              <w:cnfStyle w:val="000000000000"/>
              <w:rPr>
                <w:sz w:val="20"/>
                <w:szCs w:val="20"/>
              </w:rPr>
            </w:pPr>
            <w:r w:rsidRPr="008744CB">
              <w:rPr>
                <w:sz w:val="20"/>
                <w:szCs w:val="20"/>
              </w:rPr>
              <w:t>To target three highly food-insecure regions via an integrated area development program that includes land and water management, horticultural gardens, aquaculture farming, and small ruminant and poultry farming</w:t>
            </w:r>
          </w:p>
        </w:tc>
        <w:tc>
          <w:tcPr>
            <w:tcW w:w="992" w:type="dxa"/>
            <w:tcBorders>
              <w:right w:val="dashed" w:sz="4" w:space="0" w:color="4BACC6"/>
            </w:tcBorders>
          </w:tcPr>
          <w:p w:rsidR="00093348" w:rsidRPr="008744CB" w:rsidRDefault="00093348" w:rsidP="00EE3B91">
            <w:pPr>
              <w:autoSpaceDE w:val="0"/>
              <w:autoSpaceDN w:val="0"/>
              <w:adjustRightInd w:val="0"/>
              <w:cnfStyle w:val="000000000000"/>
              <w:rPr>
                <w:sz w:val="20"/>
                <w:szCs w:val="20"/>
              </w:rPr>
            </w:pPr>
            <w:r w:rsidRPr="008744CB">
              <w:rPr>
                <w:sz w:val="20"/>
                <w:szCs w:val="20"/>
              </w:rPr>
              <w:t>USD 28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000000"/>
              <w:rPr>
                <w:sz w:val="20"/>
              </w:rPr>
            </w:pPr>
            <w:proofErr w:type="spellStart"/>
            <w:r>
              <w:rPr>
                <w:sz w:val="20"/>
              </w:rPr>
              <w:t>AfDB</w:t>
            </w:r>
            <w:proofErr w:type="spellEnd"/>
            <w:r>
              <w:rPr>
                <w:sz w:val="20"/>
              </w:rPr>
              <w:t>/FAO</w:t>
            </w:r>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Malawi</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May</w:t>
            </w:r>
          </w:p>
          <w:p w:rsidR="00093348" w:rsidRPr="008744CB" w:rsidRDefault="00093348" w:rsidP="00EE3B91">
            <w:pPr>
              <w:autoSpaceDE w:val="0"/>
              <w:autoSpaceDN w:val="0"/>
              <w:adjustRightInd w:val="0"/>
              <w:jc w:val="center"/>
              <w:cnfStyle w:val="000000100000"/>
              <w:rPr>
                <w:sz w:val="20"/>
                <w:szCs w:val="20"/>
              </w:rPr>
            </w:pPr>
            <w:r w:rsidRPr="008744CB">
              <w:rPr>
                <w:sz w:val="20"/>
                <w:szCs w:val="20"/>
              </w:rPr>
              <w:t>2012</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To promote irrigated rice and horticulture production as well as crop diversification and value chain development for selected communities</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39.6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proofErr w:type="spellStart"/>
            <w:r>
              <w:rPr>
                <w:sz w:val="20"/>
              </w:rPr>
              <w:t>AfDB</w:t>
            </w:r>
            <w:proofErr w:type="spellEnd"/>
          </w:p>
        </w:tc>
      </w:tr>
      <w:tr w:rsidR="00093348" w:rsidRPr="008744CB" w:rsidTr="00093348">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Senegal</w:t>
            </w:r>
          </w:p>
        </w:tc>
        <w:tc>
          <w:tcPr>
            <w:tcW w:w="1134" w:type="dxa"/>
          </w:tcPr>
          <w:p w:rsidR="00093348" w:rsidRPr="008744CB" w:rsidRDefault="00093348" w:rsidP="00EE3B91">
            <w:pPr>
              <w:autoSpaceDE w:val="0"/>
              <w:autoSpaceDN w:val="0"/>
              <w:adjustRightInd w:val="0"/>
              <w:jc w:val="center"/>
              <w:cnfStyle w:val="000000000000"/>
              <w:rPr>
                <w:sz w:val="20"/>
                <w:szCs w:val="20"/>
              </w:rPr>
            </w:pPr>
            <w:r w:rsidRPr="008744CB">
              <w:rPr>
                <w:sz w:val="20"/>
                <w:szCs w:val="20"/>
              </w:rPr>
              <w:t>May</w:t>
            </w:r>
          </w:p>
          <w:p w:rsidR="00093348" w:rsidRPr="008744CB" w:rsidRDefault="00093348" w:rsidP="00EE3B91">
            <w:pPr>
              <w:autoSpaceDE w:val="0"/>
              <w:autoSpaceDN w:val="0"/>
              <w:adjustRightInd w:val="0"/>
              <w:jc w:val="center"/>
              <w:cnfStyle w:val="000000000000"/>
              <w:rPr>
                <w:sz w:val="20"/>
                <w:szCs w:val="20"/>
              </w:rPr>
            </w:pPr>
            <w:r w:rsidRPr="008744CB">
              <w:rPr>
                <w:sz w:val="20"/>
                <w:szCs w:val="20"/>
              </w:rPr>
              <w:t>2012</w:t>
            </w:r>
          </w:p>
        </w:tc>
        <w:tc>
          <w:tcPr>
            <w:tcW w:w="4819" w:type="dxa"/>
          </w:tcPr>
          <w:p w:rsidR="00093348" w:rsidRPr="008744CB" w:rsidRDefault="00093348" w:rsidP="00EE3B91">
            <w:pPr>
              <w:autoSpaceDE w:val="0"/>
              <w:autoSpaceDN w:val="0"/>
              <w:adjustRightInd w:val="0"/>
              <w:cnfStyle w:val="000000000000"/>
              <w:rPr>
                <w:sz w:val="20"/>
                <w:szCs w:val="20"/>
              </w:rPr>
            </w:pPr>
            <w:r w:rsidRPr="008744CB">
              <w:rPr>
                <w:sz w:val="20"/>
                <w:szCs w:val="20"/>
              </w:rPr>
              <w:t xml:space="preserve">To promote livestock and crop production in three high-potential, drought-free zones, including investments focused on: provision of water management systems, rural roads, and vaccination </w:t>
            </w:r>
            <w:proofErr w:type="spellStart"/>
            <w:r w:rsidRPr="008744CB">
              <w:rPr>
                <w:sz w:val="20"/>
                <w:szCs w:val="20"/>
              </w:rPr>
              <w:t>centers</w:t>
            </w:r>
            <w:proofErr w:type="spellEnd"/>
            <w:r w:rsidRPr="008744CB">
              <w:rPr>
                <w:sz w:val="20"/>
                <w:szCs w:val="20"/>
              </w:rPr>
              <w:t>.</w:t>
            </w:r>
          </w:p>
        </w:tc>
        <w:tc>
          <w:tcPr>
            <w:tcW w:w="992" w:type="dxa"/>
            <w:tcBorders>
              <w:right w:val="dashed" w:sz="4" w:space="0" w:color="4BACC6"/>
            </w:tcBorders>
          </w:tcPr>
          <w:p w:rsidR="00093348" w:rsidRPr="008744CB" w:rsidRDefault="00093348" w:rsidP="00EE3B91">
            <w:pPr>
              <w:autoSpaceDE w:val="0"/>
              <w:autoSpaceDN w:val="0"/>
              <w:adjustRightInd w:val="0"/>
              <w:cnfStyle w:val="000000000000"/>
              <w:rPr>
                <w:sz w:val="20"/>
                <w:szCs w:val="20"/>
              </w:rPr>
            </w:pPr>
            <w:r w:rsidRPr="008744CB">
              <w:rPr>
                <w:sz w:val="20"/>
                <w:szCs w:val="20"/>
              </w:rPr>
              <w:t>USD 40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000000"/>
              <w:rPr>
                <w:sz w:val="20"/>
              </w:rPr>
            </w:pPr>
            <w:proofErr w:type="spellStart"/>
            <w:r>
              <w:rPr>
                <w:sz w:val="20"/>
              </w:rPr>
              <w:t>AfDB</w:t>
            </w:r>
            <w:proofErr w:type="spellEnd"/>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Tanzania</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May</w:t>
            </w:r>
          </w:p>
          <w:p w:rsidR="00093348" w:rsidRPr="008744CB" w:rsidRDefault="00093348" w:rsidP="00EE3B91">
            <w:pPr>
              <w:autoSpaceDE w:val="0"/>
              <w:autoSpaceDN w:val="0"/>
              <w:adjustRightInd w:val="0"/>
              <w:jc w:val="center"/>
              <w:cnfStyle w:val="000000100000"/>
              <w:rPr>
                <w:sz w:val="20"/>
                <w:szCs w:val="20"/>
              </w:rPr>
            </w:pPr>
            <w:r w:rsidRPr="008744CB">
              <w:rPr>
                <w:sz w:val="20"/>
                <w:szCs w:val="20"/>
              </w:rPr>
              <w:t>2012</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To support the rehabilitation of 18,500 hectares of irrigation schemes, as well as subsidy on rice input packages in the project zones under an input voucher scheme</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22.9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r>
              <w:rPr>
                <w:sz w:val="20"/>
              </w:rPr>
              <w:t>World Bank</w:t>
            </w:r>
          </w:p>
        </w:tc>
      </w:tr>
      <w:tr w:rsidR="00093348" w:rsidRPr="008744CB" w:rsidTr="00093348">
        <w:trPr>
          <w:trHeight w:val="8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Liberia</w:t>
            </w:r>
          </w:p>
        </w:tc>
        <w:tc>
          <w:tcPr>
            <w:tcW w:w="1134" w:type="dxa"/>
          </w:tcPr>
          <w:p w:rsidR="00093348" w:rsidRPr="008744CB" w:rsidRDefault="00093348" w:rsidP="00EE3B91">
            <w:pPr>
              <w:autoSpaceDE w:val="0"/>
              <w:autoSpaceDN w:val="0"/>
              <w:adjustRightInd w:val="0"/>
              <w:jc w:val="center"/>
              <w:cnfStyle w:val="000000000000"/>
              <w:rPr>
                <w:sz w:val="20"/>
                <w:szCs w:val="20"/>
              </w:rPr>
            </w:pPr>
            <w:r w:rsidRPr="008744CB">
              <w:rPr>
                <w:sz w:val="20"/>
                <w:szCs w:val="20"/>
              </w:rPr>
              <w:t>June 2011</w:t>
            </w:r>
          </w:p>
        </w:tc>
        <w:tc>
          <w:tcPr>
            <w:tcW w:w="4819" w:type="dxa"/>
          </w:tcPr>
          <w:p w:rsidR="00093348" w:rsidRPr="008744CB" w:rsidRDefault="00093348" w:rsidP="00EE3B91">
            <w:pPr>
              <w:autoSpaceDE w:val="0"/>
              <w:autoSpaceDN w:val="0"/>
              <w:adjustRightInd w:val="0"/>
              <w:cnfStyle w:val="000000000000"/>
              <w:rPr>
                <w:sz w:val="20"/>
                <w:szCs w:val="20"/>
              </w:rPr>
            </w:pPr>
            <w:r w:rsidRPr="008744CB">
              <w:rPr>
                <w:sz w:val="20"/>
                <w:szCs w:val="20"/>
              </w:rPr>
              <w:t>To enhance the income of smallholder farmers, particularly women and youth, through sustainable irrigable land expansion, land husbandry improvement, and improvement of market access.</w:t>
            </w:r>
          </w:p>
        </w:tc>
        <w:tc>
          <w:tcPr>
            <w:tcW w:w="992" w:type="dxa"/>
            <w:tcBorders>
              <w:right w:val="dashed" w:sz="4" w:space="0" w:color="4BACC6"/>
            </w:tcBorders>
          </w:tcPr>
          <w:p w:rsidR="00093348" w:rsidRPr="008744CB" w:rsidRDefault="00093348" w:rsidP="00EE3B91">
            <w:pPr>
              <w:autoSpaceDE w:val="0"/>
              <w:autoSpaceDN w:val="0"/>
              <w:adjustRightInd w:val="0"/>
              <w:cnfStyle w:val="000000000000"/>
              <w:rPr>
                <w:sz w:val="20"/>
                <w:szCs w:val="20"/>
              </w:rPr>
            </w:pPr>
            <w:r w:rsidRPr="008744CB">
              <w:rPr>
                <w:sz w:val="20"/>
                <w:szCs w:val="20"/>
              </w:rPr>
              <w:t>USD 46.5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000000"/>
              <w:rPr>
                <w:sz w:val="20"/>
              </w:rPr>
            </w:pPr>
            <w:proofErr w:type="spellStart"/>
            <w:r>
              <w:rPr>
                <w:sz w:val="20"/>
              </w:rPr>
              <w:t>AfDB</w:t>
            </w:r>
            <w:proofErr w:type="spellEnd"/>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Ethiopia</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Nov. 2010</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To develop the untapped potential of well-endowed areas, including strengthening key advisory services, encouraging farmer organisations, and improving small scale infrastructure</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51.5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r>
              <w:rPr>
                <w:sz w:val="20"/>
              </w:rPr>
              <w:t>World Bank / FAO</w:t>
            </w:r>
          </w:p>
        </w:tc>
      </w:tr>
      <w:tr w:rsidR="00093348" w:rsidRPr="008744CB" w:rsidTr="00093348">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Niger</w:t>
            </w:r>
          </w:p>
        </w:tc>
        <w:tc>
          <w:tcPr>
            <w:tcW w:w="1134" w:type="dxa"/>
          </w:tcPr>
          <w:p w:rsidR="00093348" w:rsidRPr="008744CB" w:rsidRDefault="00093348" w:rsidP="00EE3B91">
            <w:pPr>
              <w:autoSpaceDE w:val="0"/>
              <w:autoSpaceDN w:val="0"/>
              <w:adjustRightInd w:val="0"/>
              <w:jc w:val="center"/>
              <w:cnfStyle w:val="000000000000"/>
              <w:rPr>
                <w:sz w:val="20"/>
                <w:szCs w:val="20"/>
              </w:rPr>
            </w:pPr>
            <w:r w:rsidRPr="008744CB">
              <w:rPr>
                <w:sz w:val="20"/>
                <w:szCs w:val="20"/>
              </w:rPr>
              <w:t>Nov. 2010</w:t>
            </w:r>
          </w:p>
        </w:tc>
        <w:tc>
          <w:tcPr>
            <w:tcW w:w="4819" w:type="dxa"/>
          </w:tcPr>
          <w:p w:rsidR="00093348" w:rsidRPr="008744CB" w:rsidRDefault="00093348" w:rsidP="00EE3B91">
            <w:pPr>
              <w:autoSpaceDE w:val="0"/>
              <w:autoSpaceDN w:val="0"/>
              <w:adjustRightInd w:val="0"/>
              <w:cnfStyle w:val="000000000000"/>
              <w:rPr>
                <w:sz w:val="20"/>
                <w:szCs w:val="20"/>
              </w:rPr>
            </w:pPr>
            <w:r w:rsidRPr="008744CB">
              <w:rPr>
                <w:sz w:val="20"/>
                <w:szCs w:val="20"/>
              </w:rPr>
              <w:t xml:space="preserve">To support water harnessing infrastructure and small scale irrigation in the particularly vulnerable regions of </w:t>
            </w:r>
            <w:proofErr w:type="spellStart"/>
            <w:r w:rsidRPr="008744CB">
              <w:rPr>
                <w:sz w:val="20"/>
                <w:szCs w:val="20"/>
              </w:rPr>
              <w:t>Maradi</w:t>
            </w:r>
            <w:proofErr w:type="spellEnd"/>
            <w:r w:rsidRPr="008744CB">
              <w:rPr>
                <w:sz w:val="20"/>
                <w:szCs w:val="20"/>
              </w:rPr>
              <w:t xml:space="preserve">, </w:t>
            </w:r>
            <w:proofErr w:type="spellStart"/>
            <w:r w:rsidRPr="008744CB">
              <w:rPr>
                <w:sz w:val="20"/>
                <w:szCs w:val="20"/>
              </w:rPr>
              <w:t>Zinder</w:t>
            </w:r>
            <w:proofErr w:type="spellEnd"/>
            <w:r w:rsidRPr="008744CB">
              <w:rPr>
                <w:sz w:val="20"/>
                <w:szCs w:val="20"/>
              </w:rPr>
              <w:t xml:space="preserve">, and </w:t>
            </w:r>
            <w:proofErr w:type="spellStart"/>
            <w:r w:rsidRPr="008744CB">
              <w:rPr>
                <w:sz w:val="20"/>
                <w:szCs w:val="20"/>
              </w:rPr>
              <w:t>Tahouna</w:t>
            </w:r>
            <w:proofErr w:type="spellEnd"/>
            <w:r w:rsidRPr="008744CB">
              <w:rPr>
                <w:sz w:val="20"/>
                <w:szCs w:val="20"/>
              </w:rPr>
              <w:t>, as well as to protect against erosion in watersheds upstream of any developed structures</w:t>
            </w:r>
          </w:p>
        </w:tc>
        <w:tc>
          <w:tcPr>
            <w:tcW w:w="992" w:type="dxa"/>
            <w:tcBorders>
              <w:right w:val="dashed" w:sz="4" w:space="0" w:color="4BACC6"/>
            </w:tcBorders>
          </w:tcPr>
          <w:p w:rsidR="00093348" w:rsidRPr="008744CB" w:rsidRDefault="00093348" w:rsidP="00EE3B91">
            <w:pPr>
              <w:autoSpaceDE w:val="0"/>
              <w:autoSpaceDN w:val="0"/>
              <w:adjustRightInd w:val="0"/>
              <w:cnfStyle w:val="000000000000"/>
              <w:rPr>
                <w:sz w:val="20"/>
                <w:szCs w:val="20"/>
              </w:rPr>
            </w:pPr>
            <w:r w:rsidRPr="008744CB">
              <w:rPr>
                <w:sz w:val="20"/>
                <w:szCs w:val="20"/>
              </w:rPr>
              <w:t>USD 33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000000"/>
              <w:rPr>
                <w:sz w:val="20"/>
              </w:rPr>
            </w:pPr>
            <w:proofErr w:type="spellStart"/>
            <w:r>
              <w:rPr>
                <w:sz w:val="20"/>
              </w:rPr>
              <w:t>AfDB</w:t>
            </w:r>
            <w:proofErr w:type="spellEnd"/>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Rwanda</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June 2010</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To transform hillside agriculture by reducing erosion and bolstering productivity in an environmentally sustainable manner</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50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r>
              <w:rPr>
                <w:sz w:val="20"/>
              </w:rPr>
              <w:t>World Bank</w:t>
            </w:r>
          </w:p>
        </w:tc>
      </w:tr>
      <w:tr w:rsidR="00093348" w:rsidRPr="008744CB" w:rsidTr="00093348">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Sierra Leone</w:t>
            </w:r>
          </w:p>
        </w:tc>
        <w:tc>
          <w:tcPr>
            <w:tcW w:w="1134" w:type="dxa"/>
          </w:tcPr>
          <w:p w:rsidR="00093348" w:rsidRPr="008744CB" w:rsidRDefault="00093348" w:rsidP="00EE3B91">
            <w:pPr>
              <w:autoSpaceDE w:val="0"/>
              <w:autoSpaceDN w:val="0"/>
              <w:adjustRightInd w:val="0"/>
              <w:jc w:val="center"/>
              <w:cnfStyle w:val="000000000000"/>
              <w:rPr>
                <w:sz w:val="20"/>
                <w:szCs w:val="20"/>
              </w:rPr>
            </w:pPr>
            <w:r w:rsidRPr="008744CB">
              <w:rPr>
                <w:sz w:val="20"/>
                <w:szCs w:val="20"/>
              </w:rPr>
              <w:t>June 2010</w:t>
            </w:r>
          </w:p>
        </w:tc>
        <w:tc>
          <w:tcPr>
            <w:tcW w:w="4819" w:type="dxa"/>
          </w:tcPr>
          <w:p w:rsidR="00093348" w:rsidRPr="008744CB" w:rsidRDefault="00093348" w:rsidP="00EE3B91">
            <w:pPr>
              <w:autoSpaceDE w:val="0"/>
              <w:autoSpaceDN w:val="0"/>
              <w:adjustRightInd w:val="0"/>
              <w:cnfStyle w:val="000000000000"/>
              <w:rPr>
                <w:sz w:val="20"/>
                <w:szCs w:val="20"/>
              </w:rPr>
            </w:pPr>
            <w:r w:rsidRPr="008744CB">
              <w:rPr>
                <w:sz w:val="20"/>
                <w:szCs w:val="20"/>
              </w:rPr>
              <w:t>To finance commercialisation of smallholder farmers through better inputs, farm management training and linking farmers to market</w:t>
            </w:r>
          </w:p>
        </w:tc>
        <w:tc>
          <w:tcPr>
            <w:tcW w:w="992" w:type="dxa"/>
            <w:tcBorders>
              <w:right w:val="dashed" w:sz="4" w:space="0" w:color="4BACC6"/>
            </w:tcBorders>
          </w:tcPr>
          <w:p w:rsidR="00093348" w:rsidRPr="008744CB" w:rsidRDefault="00093348" w:rsidP="00EE3B91">
            <w:pPr>
              <w:autoSpaceDE w:val="0"/>
              <w:autoSpaceDN w:val="0"/>
              <w:adjustRightInd w:val="0"/>
              <w:cnfStyle w:val="000000000000"/>
              <w:rPr>
                <w:sz w:val="20"/>
                <w:szCs w:val="20"/>
              </w:rPr>
            </w:pPr>
            <w:r w:rsidRPr="008744CB">
              <w:rPr>
                <w:sz w:val="20"/>
                <w:szCs w:val="20"/>
              </w:rPr>
              <w:t>USD 50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000000"/>
              <w:rPr>
                <w:sz w:val="20"/>
              </w:rPr>
            </w:pPr>
            <w:r>
              <w:rPr>
                <w:sz w:val="20"/>
              </w:rPr>
              <w:t>IFAD</w:t>
            </w:r>
          </w:p>
        </w:tc>
      </w:tr>
      <w:tr w:rsidR="00093348" w:rsidRPr="008744CB" w:rsidTr="00093348">
        <w:trPr>
          <w:cnfStyle w:val="000000100000"/>
        </w:trPr>
        <w:tc>
          <w:tcPr>
            <w:cnfStyle w:val="001000000000"/>
            <w:tcW w:w="1101" w:type="dxa"/>
          </w:tcPr>
          <w:p w:rsidR="00093348" w:rsidRPr="008744CB" w:rsidRDefault="00093348" w:rsidP="00EE3B91">
            <w:pPr>
              <w:autoSpaceDE w:val="0"/>
              <w:autoSpaceDN w:val="0"/>
              <w:adjustRightInd w:val="0"/>
              <w:rPr>
                <w:sz w:val="20"/>
                <w:szCs w:val="20"/>
              </w:rPr>
            </w:pPr>
            <w:r w:rsidRPr="008744CB">
              <w:rPr>
                <w:sz w:val="20"/>
                <w:szCs w:val="20"/>
              </w:rPr>
              <w:t>Togo</w:t>
            </w:r>
          </w:p>
        </w:tc>
        <w:tc>
          <w:tcPr>
            <w:tcW w:w="1134" w:type="dxa"/>
          </w:tcPr>
          <w:p w:rsidR="00093348" w:rsidRPr="008744CB" w:rsidRDefault="00093348" w:rsidP="00EE3B91">
            <w:pPr>
              <w:autoSpaceDE w:val="0"/>
              <w:autoSpaceDN w:val="0"/>
              <w:adjustRightInd w:val="0"/>
              <w:jc w:val="center"/>
              <w:cnfStyle w:val="000000100000"/>
              <w:rPr>
                <w:sz w:val="20"/>
                <w:szCs w:val="20"/>
              </w:rPr>
            </w:pPr>
            <w:r w:rsidRPr="008744CB">
              <w:rPr>
                <w:sz w:val="20"/>
                <w:szCs w:val="20"/>
              </w:rPr>
              <w:t>June 2010</w:t>
            </w:r>
          </w:p>
        </w:tc>
        <w:tc>
          <w:tcPr>
            <w:tcW w:w="4819" w:type="dxa"/>
          </w:tcPr>
          <w:p w:rsidR="00093348" w:rsidRPr="008744CB" w:rsidRDefault="00093348" w:rsidP="00EE3B91">
            <w:pPr>
              <w:autoSpaceDE w:val="0"/>
              <w:autoSpaceDN w:val="0"/>
              <w:adjustRightInd w:val="0"/>
              <w:cnfStyle w:val="000000100000"/>
              <w:rPr>
                <w:sz w:val="20"/>
                <w:szCs w:val="20"/>
              </w:rPr>
            </w:pPr>
            <w:r w:rsidRPr="008744CB">
              <w:rPr>
                <w:sz w:val="20"/>
                <w:szCs w:val="20"/>
              </w:rPr>
              <w:t>To bolster yields in rice, maize and cassava through provision of improved seed varieties, technical assistance for smallholder farmers, and better smallholder access to affordable credit.</w:t>
            </w:r>
          </w:p>
        </w:tc>
        <w:tc>
          <w:tcPr>
            <w:tcW w:w="992" w:type="dxa"/>
            <w:tcBorders>
              <w:right w:val="dashed" w:sz="4" w:space="0" w:color="4BACC6"/>
            </w:tcBorders>
          </w:tcPr>
          <w:p w:rsidR="00093348" w:rsidRPr="008744CB" w:rsidRDefault="00093348" w:rsidP="00EE3B91">
            <w:pPr>
              <w:autoSpaceDE w:val="0"/>
              <w:autoSpaceDN w:val="0"/>
              <w:adjustRightInd w:val="0"/>
              <w:cnfStyle w:val="000000100000"/>
              <w:rPr>
                <w:sz w:val="20"/>
                <w:szCs w:val="20"/>
              </w:rPr>
            </w:pPr>
            <w:r w:rsidRPr="008744CB">
              <w:rPr>
                <w:sz w:val="20"/>
                <w:szCs w:val="20"/>
              </w:rPr>
              <w:t>USD 39 million</w:t>
            </w:r>
          </w:p>
        </w:tc>
        <w:tc>
          <w:tcPr>
            <w:tcW w:w="1276" w:type="dxa"/>
            <w:tcBorders>
              <w:left w:val="dashed" w:sz="4" w:space="0" w:color="4BACC6"/>
            </w:tcBorders>
          </w:tcPr>
          <w:p w:rsidR="00093348" w:rsidRPr="008744CB" w:rsidRDefault="00093348" w:rsidP="00EE3B91">
            <w:pPr>
              <w:autoSpaceDE w:val="0"/>
              <w:autoSpaceDN w:val="0"/>
              <w:adjustRightInd w:val="0"/>
              <w:cnfStyle w:val="000000100000"/>
              <w:rPr>
                <w:sz w:val="20"/>
              </w:rPr>
            </w:pPr>
            <w:r>
              <w:rPr>
                <w:sz w:val="20"/>
              </w:rPr>
              <w:t>World Bank / IFAD</w:t>
            </w:r>
          </w:p>
        </w:tc>
      </w:tr>
      <w:tr w:rsidR="00B2096E" w:rsidRPr="008744CB" w:rsidTr="00555EBC">
        <w:tc>
          <w:tcPr>
            <w:cnfStyle w:val="001000000000"/>
            <w:tcW w:w="1101" w:type="dxa"/>
          </w:tcPr>
          <w:p w:rsidR="00B2096E" w:rsidRPr="008744CB" w:rsidRDefault="00B2096E" w:rsidP="00EE3B91">
            <w:pPr>
              <w:autoSpaceDE w:val="0"/>
              <w:autoSpaceDN w:val="0"/>
              <w:adjustRightInd w:val="0"/>
              <w:rPr>
                <w:sz w:val="20"/>
                <w:szCs w:val="20"/>
              </w:rPr>
            </w:pPr>
          </w:p>
        </w:tc>
        <w:tc>
          <w:tcPr>
            <w:tcW w:w="1134" w:type="dxa"/>
          </w:tcPr>
          <w:p w:rsidR="00B2096E" w:rsidRPr="008744CB" w:rsidRDefault="00B2096E" w:rsidP="00EE3B91">
            <w:pPr>
              <w:autoSpaceDE w:val="0"/>
              <w:autoSpaceDN w:val="0"/>
              <w:adjustRightInd w:val="0"/>
              <w:jc w:val="right"/>
              <w:cnfStyle w:val="000000000000"/>
              <w:rPr>
                <w:b/>
                <w:sz w:val="20"/>
                <w:szCs w:val="20"/>
              </w:rPr>
            </w:pPr>
          </w:p>
        </w:tc>
        <w:tc>
          <w:tcPr>
            <w:tcW w:w="4819" w:type="dxa"/>
          </w:tcPr>
          <w:p w:rsidR="00B2096E" w:rsidRPr="008744CB" w:rsidRDefault="00B2096E" w:rsidP="00EE3B91">
            <w:pPr>
              <w:autoSpaceDE w:val="0"/>
              <w:autoSpaceDN w:val="0"/>
              <w:adjustRightInd w:val="0"/>
              <w:jc w:val="right"/>
              <w:cnfStyle w:val="000000000000"/>
              <w:rPr>
                <w:b/>
                <w:sz w:val="20"/>
                <w:szCs w:val="20"/>
              </w:rPr>
            </w:pPr>
            <w:r w:rsidRPr="008744CB">
              <w:rPr>
                <w:b/>
                <w:sz w:val="20"/>
                <w:szCs w:val="20"/>
              </w:rPr>
              <w:t>TOTAL</w:t>
            </w:r>
          </w:p>
        </w:tc>
        <w:tc>
          <w:tcPr>
            <w:tcW w:w="2268" w:type="dxa"/>
            <w:gridSpan w:val="2"/>
            <w:tcBorders>
              <w:bottom w:val="single" w:sz="8" w:space="0" w:color="4BACC6" w:themeColor="accent5"/>
            </w:tcBorders>
          </w:tcPr>
          <w:p w:rsidR="00B2096E" w:rsidRPr="008744CB" w:rsidRDefault="00B2096E" w:rsidP="00EE3B91">
            <w:pPr>
              <w:autoSpaceDE w:val="0"/>
              <w:autoSpaceDN w:val="0"/>
              <w:adjustRightInd w:val="0"/>
              <w:cnfStyle w:val="000000000000"/>
              <w:rPr>
                <w:b/>
                <w:sz w:val="20"/>
              </w:rPr>
            </w:pPr>
            <w:r w:rsidRPr="008744CB">
              <w:rPr>
                <w:b/>
                <w:sz w:val="20"/>
                <w:szCs w:val="20"/>
              </w:rPr>
              <w:t>USD 430.5 million</w:t>
            </w:r>
          </w:p>
        </w:tc>
      </w:tr>
    </w:tbl>
    <w:p w:rsidR="003F6C09" w:rsidRPr="008744CB" w:rsidRDefault="003F6C09" w:rsidP="003F6C09">
      <w:pPr>
        <w:autoSpaceDE w:val="0"/>
        <w:autoSpaceDN w:val="0"/>
        <w:adjustRightInd w:val="0"/>
        <w:jc w:val="center"/>
        <w:rPr>
          <w:rFonts w:asciiTheme="minorHAnsi" w:hAnsiTheme="minorHAnsi" w:cs="Arial"/>
          <w:b/>
          <w:color w:val="1F497D" w:themeColor="text2"/>
          <w:sz w:val="20"/>
        </w:rPr>
      </w:pPr>
    </w:p>
    <w:p w:rsidR="00093348" w:rsidRDefault="00093348">
      <w:pPr>
        <w:rPr>
          <w:rFonts w:asciiTheme="minorHAnsi" w:hAnsiTheme="minorHAnsi" w:cs="Arial"/>
          <w:b/>
          <w:color w:val="1F497D" w:themeColor="text2"/>
          <w:szCs w:val="24"/>
        </w:rPr>
      </w:pPr>
      <w:r>
        <w:rPr>
          <w:rFonts w:asciiTheme="minorHAnsi" w:hAnsiTheme="minorHAnsi" w:cs="Arial"/>
          <w:b/>
          <w:color w:val="1F497D" w:themeColor="text2"/>
          <w:szCs w:val="24"/>
        </w:rPr>
        <w:br w:type="page"/>
      </w:r>
    </w:p>
    <w:p w:rsidR="003F6C09" w:rsidRPr="008744CB" w:rsidRDefault="003F6C09" w:rsidP="003F6C09">
      <w:pPr>
        <w:rPr>
          <w:rFonts w:asciiTheme="minorHAnsi" w:hAnsiTheme="minorHAnsi" w:cs="Arial"/>
          <w:b/>
          <w:color w:val="1F497D" w:themeColor="text2"/>
          <w:sz w:val="20"/>
        </w:rPr>
      </w:pPr>
    </w:p>
    <w:p w:rsidR="003F6C09" w:rsidRDefault="003F6C09" w:rsidP="003F6C09">
      <w:pPr>
        <w:rPr>
          <w:rFonts w:asciiTheme="minorHAnsi" w:hAnsiTheme="minorHAnsi" w:cs="Arial"/>
          <w:b/>
          <w:color w:val="1F497D" w:themeColor="text2"/>
          <w:szCs w:val="24"/>
        </w:rPr>
      </w:pPr>
      <w:r w:rsidRPr="001904C4">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1904C4">
        <w:rPr>
          <w:rFonts w:asciiTheme="minorHAnsi" w:hAnsiTheme="minorHAnsi" w:cs="Arial"/>
          <w:b/>
          <w:color w:val="1F497D" w:themeColor="text2"/>
          <w:szCs w:val="24"/>
        </w:rPr>
        <w:tab/>
        <w:t>PRIVATE SECTOR INVESTMENT</w:t>
      </w:r>
    </w:p>
    <w:p w:rsidR="001904C4" w:rsidRPr="001904C4" w:rsidRDefault="001904C4" w:rsidP="003F6C09">
      <w:pPr>
        <w:rPr>
          <w:rFonts w:asciiTheme="minorHAnsi" w:hAnsiTheme="minorHAnsi" w:cs="Arial"/>
          <w:b/>
          <w:color w:val="1F497D" w:themeColor="text2"/>
          <w:szCs w:val="24"/>
        </w:rPr>
      </w:pPr>
    </w:p>
    <w:p w:rsidR="003F6C09" w:rsidRPr="001904C4" w:rsidRDefault="003F6C09" w:rsidP="003F6C09">
      <w:pPr>
        <w:autoSpaceDE w:val="0"/>
        <w:autoSpaceDN w:val="0"/>
        <w:adjustRightInd w:val="0"/>
        <w:rPr>
          <w:rFonts w:asciiTheme="minorHAnsi" w:hAnsiTheme="minorHAnsi" w:cs="Arial"/>
          <w:b/>
          <w:color w:val="1F497D" w:themeColor="text2"/>
          <w:szCs w:val="24"/>
        </w:rPr>
      </w:pPr>
      <w:r w:rsidRPr="001904C4">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1904C4">
        <w:rPr>
          <w:rFonts w:asciiTheme="minorHAnsi" w:hAnsiTheme="minorHAnsi" w:cs="Arial"/>
          <w:b/>
          <w:color w:val="1F497D" w:themeColor="text2"/>
          <w:szCs w:val="24"/>
        </w:rPr>
        <w:t>.1</w:t>
      </w:r>
      <w:r w:rsidRPr="001904C4">
        <w:rPr>
          <w:rFonts w:asciiTheme="minorHAnsi" w:hAnsiTheme="minorHAnsi" w:cs="Arial"/>
          <w:b/>
          <w:color w:val="1F497D" w:themeColor="text2"/>
          <w:szCs w:val="24"/>
        </w:rPr>
        <w:tab/>
        <w:t>G8’s New Alliance for Food Security and Nutrition</w:t>
      </w:r>
    </w:p>
    <w:p w:rsidR="003F6C09" w:rsidRPr="001904C4" w:rsidRDefault="003F6C09" w:rsidP="001904C4">
      <w:pPr>
        <w:autoSpaceDE w:val="0"/>
        <w:autoSpaceDN w:val="0"/>
        <w:adjustRightInd w:val="0"/>
        <w:spacing w:after="120" w:line="276" w:lineRule="auto"/>
        <w:jc w:val="both"/>
        <w:rPr>
          <w:rFonts w:asciiTheme="minorHAnsi" w:hAnsiTheme="minorHAnsi" w:cs="Arial"/>
          <w:sz w:val="22"/>
          <w:szCs w:val="22"/>
        </w:rPr>
      </w:pPr>
      <w:r w:rsidRPr="001904C4">
        <w:rPr>
          <w:rFonts w:asciiTheme="minorHAnsi" w:hAnsiTheme="minorHAnsi" w:cs="Arial"/>
          <w:sz w:val="22"/>
          <w:szCs w:val="22"/>
        </w:rPr>
        <w:t xml:space="preserve">The New Alliance for Food Security and Nutrition is a partnership between African governments, members of the G8, and the private sector to </w:t>
      </w:r>
      <w:r w:rsidRPr="001904C4">
        <w:rPr>
          <w:rFonts w:asciiTheme="minorHAnsi" w:hAnsiTheme="minorHAnsi" w:cs="Arial"/>
          <w:sz w:val="22"/>
          <w:szCs w:val="22"/>
          <w:shd w:val="clear" w:color="auto" w:fill="FFFFFF"/>
        </w:rPr>
        <w:t xml:space="preserve">achieve sustained and inclusive agricultural growth and raise 50 million people out of poverty over the next 10 years.  Launched in May 2012 with three initial countries (Ethiopia, Ghana and Tanzania), </w:t>
      </w:r>
      <w:r w:rsidRPr="001904C4">
        <w:rPr>
          <w:rFonts w:asciiTheme="minorHAnsi" w:hAnsiTheme="minorHAnsi" w:cs="Arial"/>
          <w:sz w:val="22"/>
          <w:szCs w:val="22"/>
        </w:rPr>
        <w:t xml:space="preserve">the </w:t>
      </w:r>
      <w:r w:rsidRPr="001904C4">
        <w:rPr>
          <w:rFonts w:asciiTheme="minorHAnsi" w:hAnsiTheme="minorHAnsi" w:cs="Arial"/>
          <w:i/>
          <w:sz w:val="22"/>
          <w:szCs w:val="22"/>
        </w:rPr>
        <w:t xml:space="preserve">New Alliance </w:t>
      </w:r>
      <w:r w:rsidRPr="001904C4">
        <w:rPr>
          <w:rFonts w:asciiTheme="minorHAnsi" w:hAnsiTheme="minorHAnsi" w:cs="Arial"/>
          <w:sz w:val="22"/>
          <w:szCs w:val="22"/>
        </w:rPr>
        <w:t xml:space="preserve">focuses on mobilising private investments in agriculture.   </w:t>
      </w:r>
    </w:p>
    <w:p w:rsidR="003F6C09" w:rsidRPr="001904C4" w:rsidRDefault="003F6C09" w:rsidP="001904C4">
      <w:pPr>
        <w:autoSpaceDE w:val="0"/>
        <w:autoSpaceDN w:val="0"/>
        <w:adjustRightInd w:val="0"/>
        <w:spacing w:after="120" w:line="276" w:lineRule="auto"/>
        <w:jc w:val="both"/>
        <w:rPr>
          <w:rFonts w:asciiTheme="minorHAnsi" w:hAnsiTheme="minorHAnsi" w:cs="Arial"/>
          <w:color w:val="000000"/>
          <w:sz w:val="22"/>
          <w:szCs w:val="22"/>
          <w:shd w:val="clear" w:color="auto" w:fill="FFFFFF"/>
        </w:rPr>
      </w:pPr>
      <w:r w:rsidRPr="001904C4">
        <w:rPr>
          <w:rFonts w:asciiTheme="minorHAnsi" w:hAnsiTheme="minorHAnsi" w:cs="Arial"/>
          <w:sz w:val="22"/>
          <w:szCs w:val="22"/>
        </w:rPr>
        <w:t xml:space="preserve">As of September 2012, </w:t>
      </w:r>
      <w:r w:rsidRPr="001904C4">
        <w:rPr>
          <w:rFonts w:asciiTheme="minorHAnsi" w:hAnsiTheme="minorHAnsi" w:cs="Arial"/>
          <w:b/>
          <w:sz w:val="22"/>
          <w:szCs w:val="22"/>
        </w:rPr>
        <w:t>African and multinational companies committed more than USD 3.5 billion of investment in African agriculture</w:t>
      </w:r>
      <w:r w:rsidRPr="001904C4">
        <w:rPr>
          <w:rFonts w:asciiTheme="minorHAnsi" w:hAnsiTheme="minorHAnsi" w:cs="Arial"/>
          <w:sz w:val="22"/>
          <w:szCs w:val="22"/>
        </w:rPr>
        <w:t xml:space="preserve"> to improve productivity, livelihoods and food security for smallholder farmers.     Detailed co-operation frameworks have been published for each country listing the domestic and international companies that have signed up to the initiative. International companies include SABMiller, Monsanto, United Phosphorous Ltd, Diageo, </w:t>
      </w:r>
      <w:proofErr w:type="spellStart"/>
      <w:r w:rsidRPr="001904C4">
        <w:rPr>
          <w:rFonts w:asciiTheme="minorHAnsi" w:hAnsiTheme="minorHAnsi" w:cs="Arial"/>
          <w:sz w:val="22"/>
          <w:szCs w:val="22"/>
        </w:rPr>
        <w:t>Yara</w:t>
      </w:r>
      <w:proofErr w:type="spellEnd"/>
      <w:r w:rsidRPr="001904C4">
        <w:rPr>
          <w:rFonts w:asciiTheme="minorHAnsi" w:hAnsiTheme="minorHAnsi" w:cs="Arial"/>
          <w:sz w:val="22"/>
          <w:szCs w:val="22"/>
        </w:rPr>
        <w:t xml:space="preserve"> International, Unilever and Vodafone (see Table </w:t>
      </w:r>
      <w:r w:rsidR="00176D93">
        <w:rPr>
          <w:rFonts w:asciiTheme="minorHAnsi" w:hAnsiTheme="minorHAnsi" w:cs="Arial"/>
          <w:sz w:val="22"/>
          <w:szCs w:val="22"/>
        </w:rPr>
        <w:t>5</w:t>
      </w:r>
      <w:r w:rsidRPr="001904C4">
        <w:rPr>
          <w:rFonts w:asciiTheme="minorHAnsi" w:hAnsiTheme="minorHAnsi" w:cs="Arial"/>
          <w:sz w:val="22"/>
          <w:szCs w:val="22"/>
        </w:rPr>
        <w:t xml:space="preserve"> for examples).  </w:t>
      </w:r>
      <w:r w:rsidRPr="001904C4">
        <w:rPr>
          <w:rFonts w:asciiTheme="minorHAnsi" w:hAnsiTheme="minorHAnsi" w:cs="Arial"/>
          <w:color w:val="000000"/>
          <w:sz w:val="22"/>
          <w:szCs w:val="22"/>
          <w:shd w:val="clear" w:color="auto" w:fill="FFFFFF"/>
        </w:rPr>
        <w:t>Additionally, more than 60 companies have signed the “Private Sector Declaration of Support for African Agricultural Development” outlining their commitment to support African agriculture through responsible public-private partnerships.</w:t>
      </w:r>
    </w:p>
    <w:p w:rsidR="003F6C09" w:rsidRPr="008744CB" w:rsidRDefault="003F6C09" w:rsidP="003F6C09">
      <w:pPr>
        <w:autoSpaceDE w:val="0"/>
        <w:autoSpaceDN w:val="0"/>
        <w:adjustRightInd w:val="0"/>
        <w:jc w:val="center"/>
        <w:rPr>
          <w:rFonts w:asciiTheme="minorHAnsi" w:hAnsiTheme="minorHAnsi" w:cs="Arial"/>
          <w:b/>
          <w:color w:val="000000"/>
          <w:shd w:val="clear" w:color="auto" w:fill="FFFFFF"/>
        </w:rPr>
      </w:pPr>
      <w:r w:rsidRPr="001904C4">
        <w:rPr>
          <w:rFonts w:asciiTheme="minorHAnsi" w:hAnsiTheme="minorHAnsi" w:cs="Arial"/>
          <w:b/>
          <w:color w:val="000000"/>
          <w:sz w:val="22"/>
          <w:szCs w:val="22"/>
          <w:shd w:val="clear" w:color="auto" w:fill="FFFFFF"/>
        </w:rPr>
        <w:t xml:space="preserve">Table </w:t>
      </w:r>
      <w:r w:rsidR="00176D93">
        <w:rPr>
          <w:rFonts w:asciiTheme="minorHAnsi" w:hAnsiTheme="minorHAnsi" w:cs="Arial"/>
          <w:b/>
          <w:color w:val="000000"/>
          <w:sz w:val="22"/>
          <w:szCs w:val="22"/>
          <w:shd w:val="clear" w:color="auto" w:fill="FFFFFF"/>
        </w:rPr>
        <w:t>5</w:t>
      </w:r>
      <w:r w:rsidRPr="001904C4">
        <w:rPr>
          <w:rFonts w:asciiTheme="minorHAnsi" w:hAnsiTheme="minorHAnsi" w:cs="Arial"/>
          <w:b/>
          <w:color w:val="000000"/>
          <w:sz w:val="22"/>
          <w:szCs w:val="22"/>
          <w:shd w:val="clear" w:color="auto" w:fill="FFFFFF"/>
        </w:rPr>
        <w:t>: New Alliance - Examples of Private Sector Commitments</w:t>
      </w:r>
      <w:r w:rsidRPr="008744CB">
        <w:rPr>
          <w:rFonts w:asciiTheme="minorHAnsi" w:hAnsiTheme="minorHAnsi" w:cs="Arial"/>
          <w:b/>
          <w:color w:val="000000"/>
          <w:shd w:val="clear" w:color="auto" w:fill="FFFFFF"/>
        </w:rPr>
        <w:t xml:space="preserve"> </w:t>
      </w:r>
      <w:r w:rsidRPr="008744CB">
        <w:rPr>
          <w:rStyle w:val="FootnoteReference"/>
          <w:rFonts w:asciiTheme="minorHAnsi" w:hAnsiTheme="minorHAnsi" w:cs="Arial"/>
          <w:b/>
          <w:color w:val="000000"/>
          <w:shd w:val="clear" w:color="auto" w:fill="FFFFFF"/>
        </w:rPr>
        <w:footnoteReference w:id="62"/>
      </w:r>
    </w:p>
    <w:tbl>
      <w:tblPr>
        <w:tblStyle w:val="LightShading-Accent5"/>
        <w:tblW w:w="0" w:type="auto"/>
        <w:tblLayout w:type="fixed"/>
        <w:tblLook w:val="04A0"/>
      </w:tblPr>
      <w:tblGrid>
        <w:gridCol w:w="1414"/>
        <w:gridCol w:w="1529"/>
        <w:gridCol w:w="4824"/>
        <w:gridCol w:w="1475"/>
      </w:tblGrid>
      <w:tr w:rsidR="003F6C09" w:rsidRPr="008744CB" w:rsidTr="00EE3B91">
        <w:trPr>
          <w:cnfStyle w:val="100000000000"/>
        </w:trPr>
        <w:tc>
          <w:tcPr>
            <w:cnfStyle w:val="001000000000"/>
            <w:tcW w:w="1414" w:type="dxa"/>
          </w:tcPr>
          <w:p w:rsidR="003F6C09" w:rsidRPr="008744CB" w:rsidRDefault="003F6C09" w:rsidP="00EE3B91">
            <w:pPr>
              <w:autoSpaceDE w:val="0"/>
              <w:autoSpaceDN w:val="0"/>
              <w:adjustRightInd w:val="0"/>
              <w:jc w:val="both"/>
              <w:rPr>
                <w:rFonts w:cs="Arial"/>
                <w:sz w:val="20"/>
                <w:szCs w:val="20"/>
              </w:rPr>
            </w:pPr>
            <w:r w:rsidRPr="008744CB">
              <w:rPr>
                <w:rFonts w:cs="Arial"/>
                <w:sz w:val="20"/>
                <w:szCs w:val="20"/>
              </w:rPr>
              <w:t>Company</w:t>
            </w:r>
          </w:p>
        </w:tc>
        <w:tc>
          <w:tcPr>
            <w:tcW w:w="1529" w:type="dxa"/>
          </w:tcPr>
          <w:p w:rsidR="003F6C09" w:rsidRPr="008744CB" w:rsidRDefault="003F6C09" w:rsidP="00EE3B91">
            <w:pPr>
              <w:autoSpaceDE w:val="0"/>
              <w:autoSpaceDN w:val="0"/>
              <w:adjustRightInd w:val="0"/>
              <w:jc w:val="both"/>
              <w:cnfStyle w:val="100000000000"/>
              <w:rPr>
                <w:rFonts w:cs="Arial"/>
                <w:sz w:val="20"/>
                <w:szCs w:val="20"/>
              </w:rPr>
            </w:pPr>
            <w:r w:rsidRPr="008744CB">
              <w:rPr>
                <w:rFonts w:cs="Arial"/>
                <w:sz w:val="20"/>
                <w:szCs w:val="20"/>
              </w:rPr>
              <w:t>Location</w:t>
            </w:r>
          </w:p>
        </w:tc>
        <w:tc>
          <w:tcPr>
            <w:tcW w:w="4824" w:type="dxa"/>
          </w:tcPr>
          <w:p w:rsidR="003F6C09" w:rsidRPr="008744CB" w:rsidRDefault="003F6C09" w:rsidP="00EE3B91">
            <w:pPr>
              <w:autoSpaceDE w:val="0"/>
              <w:autoSpaceDN w:val="0"/>
              <w:adjustRightInd w:val="0"/>
              <w:jc w:val="both"/>
              <w:cnfStyle w:val="100000000000"/>
              <w:rPr>
                <w:rFonts w:cs="Arial"/>
                <w:sz w:val="20"/>
                <w:szCs w:val="20"/>
              </w:rPr>
            </w:pPr>
            <w:r w:rsidRPr="008744CB">
              <w:rPr>
                <w:rFonts w:cs="Arial"/>
                <w:sz w:val="20"/>
                <w:szCs w:val="20"/>
              </w:rPr>
              <w:t>Description</w:t>
            </w:r>
          </w:p>
        </w:tc>
        <w:tc>
          <w:tcPr>
            <w:tcW w:w="1475" w:type="dxa"/>
          </w:tcPr>
          <w:p w:rsidR="003F6C09" w:rsidRPr="008744CB" w:rsidRDefault="003F6C09" w:rsidP="00EE3B91">
            <w:pPr>
              <w:autoSpaceDE w:val="0"/>
              <w:autoSpaceDN w:val="0"/>
              <w:adjustRightInd w:val="0"/>
              <w:cnfStyle w:val="100000000000"/>
              <w:rPr>
                <w:rFonts w:cs="Arial"/>
                <w:sz w:val="20"/>
                <w:szCs w:val="20"/>
              </w:rPr>
            </w:pPr>
            <w:r w:rsidRPr="008744CB">
              <w:rPr>
                <w:rFonts w:cs="Arial"/>
                <w:sz w:val="20"/>
                <w:szCs w:val="20"/>
              </w:rPr>
              <w:t>Investment</w:t>
            </w:r>
          </w:p>
        </w:tc>
      </w:tr>
      <w:tr w:rsidR="003F6C09" w:rsidRPr="008744CB" w:rsidTr="00EE3B91">
        <w:trPr>
          <w:cnfStyle w:val="000000100000"/>
        </w:trPr>
        <w:tc>
          <w:tcPr>
            <w:cnfStyle w:val="001000000000"/>
            <w:tcW w:w="1414" w:type="dxa"/>
          </w:tcPr>
          <w:p w:rsidR="003F6C09" w:rsidRPr="008744CB" w:rsidRDefault="003F6C09" w:rsidP="00EE3B91">
            <w:pPr>
              <w:autoSpaceDE w:val="0"/>
              <w:autoSpaceDN w:val="0"/>
              <w:adjustRightInd w:val="0"/>
              <w:jc w:val="both"/>
              <w:rPr>
                <w:rFonts w:cs="Arial"/>
                <w:sz w:val="20"/>
                <w:szCs w:val="20"/>
              </w:rPr>
            </w:pPr>
            <w:proofErr w:type="spellStart"/>
            <w:r w:rsidRPr="008744CB">
              <w:rPr>
                <w:rFonts w:cs="Arial"/>
                <w:sz w:val="20"/>
                <w:szCs w:val="20"/>
              </w:rPr>
              <w:t>Yara</w:t>
            </w:r>
            <w:proofErr w:type="spellEnd"/>
            <w:r w:rsidRPr="008744CB">
              <w:rPr>
                <w:rFonts w:cs="Arial"/>
                <w:sz w:val="20"/>
                <w:szCs w:val="20"/>
              </w:rPr>
              <w:t xml:space="preserve"> International</w:t>
            </w:r>
          </w:p>
        </w:tc>
        <w:tc>
          <w:tcPr>
            <w:tcW w:w="1529" w:type="dxa"/>
          </w:tcPr>
          <w:p w:rsidR="003F6C09" w:rsidRPr="008744CB" w:rsidRDefault="003F6C09" w:rsidP="00EE3B91">
            <w:pPr>
              <w:autoSpaceDE w:val="0"/>
              <w:autoSpaceDN w:val="0"/>
              <w:adjustRightInd w:val="0"/>
              <w:jc w:val="both"/>
              <w:cnfStyle w:val="000000100000"/>
              <w:rPr>
                <w:rFonts w:cs="Arial"/>
                <w:sz w:val="20"/>
                <w:szCs w:val="20"/>
              </w:rPr>
            </w:pPr>
            <w:r w:rsidRPr="008744CB">
              <w:rPr>
                <w:rFonts w:cs="Arial"/>
                <w:sz w:val="20"/>
                <w:szCs w:val="20"/>
              </w:rPr>
              <w:t xml:space="preserve">Africa </w:t>
            </w:r>
          </w:p>
        </w:tc>
        <w:tc>
          <w:tcPr>
            <w:tcW w:w="4824" w:type="dxa"/>
          </w:tcPr>
          <w:p w:rsidR="003F6C09" w:rsidRPr="008744CB" w:rsidRDefault="003F6C09" w:rsidP="00EE3B91">
            <w:pPr>
              <w:autoSpaceDE w:val="0"/>
              <w:autoSpaceDN w:val="0"/>
              <w:adjustRightInd w:val="0"/>
              <w:cnfStyle w:val="000000100000"/>
              <w:rPr>
                <w:rFonts w:cs="Arial"/>
                <w:sz w:val="20"/>
                <w:szCs w:val="20"/>
              </w:rPr>
            </w:pPr>
            <w:r w:rsidRPr="008744CB">
              <w:rPr>
                <w:rFonts w:cs="Arial"/>
                <w:sz w:val="20"/>
                <w:szCs w:val="20"/>
              </w:rPr>
              <w:t>Construction of a world-class fertilizer production facility and regional fertilizer distribution hubs</w:t>
            </w:r>
          </w:p>
        </w:tc>
        <w:tc>
          <w:tcPr>
            <w:tcW w:w="1475" w:type="dxa"/>
          </w:tcPr>
          <w:p w:rsidR="003F6C09" w:rsidRPr="008744CB" w:rsidRDefault="003F6C09" w:rsidP="00EE3B91">
            <w:pPr>
              <w:autoSpaceDE w:val="0"/>
              <w:autoSpaceDN w:val="0"/>
              <w:adjustRightInd w:val="0"/>
              <w:cnfStyle w:val="000000100000"/>
              <w:rPr>
                <w:rFonts w:cs="Arial"/>
                <w:sz w:val="20"/>
                <w:szCs w:val="20"/>
              </w:rPr>
            </w:pPr>
            <w:r w:rsidRPr="008744CB">
              <w:rPr>
                <w:rFonts w:cs="Arial"/>
                <w:sz w:val="20"/>
                <w:szCs w:val="20"/>
              </w:rPr>
              <w:t>USD 2 billion</w:t>
            </w:r>
          </w:p>
        </w:tc>
      </w:tr>
      <w:tr w:rsidR="003F6C09" w:rsidRPr="008744CB" w:rsidTr="00EE3B91">
        <w:tc>
          <w:tcPr>
            <w:cnfStyle w:val="001000000000"/>
            <w:tcW w:w="1414" w:type="dxa"/>
          </w:tcPr>
          <w:p w:rsidR="003F6C09" w:rsidRPr="008744CB" w:rsidRDefault="003F6C09" w:rsidP="00EE3B91">
            <w:pPr>
              <w:autoSpaceDE w:val="0"/>
              <w:autoSpaceDN w:val="0"/>
              <w:adjustRightInd w:val="0"/>
              <w:jc w:val="both"/>
              <w:rPr>
                <w:rFonts w:cs="Arial"/>
                <w:sz w:val="20"/>
                <w:szCs w:val="20"/>
              </w:rPr>
            </w:pPr>
            <w:proofErr w:type="spellStart"/>
            <w:r w:rsidRPr="008744CB">
              <w:rPr>
                <w:rFonts w:cs="Arial"/>
                <w:sz w:val="20"/>
                <w:szCs w:val="20"/>
              </w:rPr>
              <w:t>Rabobank</w:t>
            </w:r>
            <w:proofErr w:type="spellEnd"/>
          </w:p>
        </w:tc>
        <w:tc>
          <w:tcPr>
            <w:tcW w:w="1529" w:type="dxa"/>
          </w:tcPr>
          <w:p w:rsidR="003F6C09" w:rsidRPr="008744CB" w:rsidRDefault="003F6C09" w:rsidP="00EE3B91">
            <w:pPr>
              <w:autoSpaceDE w:val="0"/>
              <w:autoSpaceDN w:val="0"/>
              <w:adjustRightInd w:val="0"/>
              <w:jc w:val="both"/>
              <w:cnfStyle w:val="000000000000"/>
              <w:rPr>
                <w:rFonts w:cs="Arial"/>
                <w:sz w:val="20"/>
                <w:szCs w:val="20"/>
              </w:rPr>
            </w:pPr>
            <w:r w:rsidRPr="008744CB">
              <w:rPr>
                <w:rFonts w:cs="Arial"/>
                <w:sz w:val="20"/>
                <w:szCs w:val="20"/>
              </w:rPr>
              <w:t>West Africa</w:t>
            </w:r>
          </w:p>
        </w:tc>
        <w:tc>
          <w:tcPr>
            <w:tcW w:w="4824" w:type="dxa"/>
          </w:tcPr>
          <w:p w:rsidR="003F6C09" w:rsidRPr="008744CB" w:rsidRDefault="003F6C09" w:rsidP="00EE3B91">
            <w:pPr>
              <w:autoSpaceDE w:val="0"/>
              <w:autoSpaceDN w:val="0"/>
              <w:adjustRightInd w:val="0"/>
              <w:cnfStyle w:val="000000000000"/>
              <w:rPr>
                <w:rFonts w:cs="Arial"/>
                <w:sz w:val="20"/>
                <w:szCs w:val="20"/>
              </w:rPr>
            </w:pPr>
            <w:r w:rsidRPr="008744CB">
              <w:rPr>
                <w:rFonts w:cs="Arial"/>
                <w:sz w:val="20"/>
                <w:szCs w:val="20"/>
              </w:rPr>
              <w:t>Lending facility providing loans over 5 years to small and medium-size companies in the West Africa region which participate in the agricultural value chain</w:t>
            </w:r>
          </w:p>
        </w:tc>
        <w:tc>
          <w:tcPr>
            <w:tcW w:w="1475" w:type="dxa"/>
          </w:tcPr>
          <w:p w:rsidR="003F6C09" w:rsidRPr="008744CB" w:rsidRDefault="003F6C09" w:rsidP="00EE3B91">
            <w:pPr>
              <w:autoSpaceDE w:val="0"/>
              <w:autoSpaceDN w:val="0"/>
              <w:adjustRightInd w:val="0"/>
              <w:cnfStyle w:val="000000000000"/>
              <w:rPr>
                <w:rFonts w:cs="Arial"/>
                <w:sz w:val="20"/>
                <w:szCs w:val="20"/>
              </w:rPr>
            </w:pPr>
            <w:r w:rsidRPr="008744CB">
              <w:rPr>
                <w:rFonts w:cs="Arial"/>
                <w:sz w:val="20"/>
                <w:szCs w:val="20"/>
              </w:rPr>
              <w:t>USD 135 million</w:t>
            </w:r>
          </w:p>
        </w:tc>
      </w:tr>
      <w:tr w:rsidR="003F6C09" w:rsidRPr="008744CB" w:rsidTr="00EE3B91">
        <w:trPr>
          <w:cnfStyle w:val="000000100000"/>
        </w:trPr>
        <w:tc>
          <w:tcPr>
            <w:cnfStyle w:val="001000000000"/>
            <w:tcW w:w="1414" w:type="dxa"/>
          </w:tcPr>
          <w:p w:rsidR="003F6C09" w:rsidRPr="008744CB" w:rsidRDefault="003F6C09" w:rsidP="00EE3B91">
            <w:pPr>
              <w:autoSpaceDE w:val="0"/>
              <w:autoSpaceDN w:val="0"/>
              <w:adjustRightInd w:val="0"/>
              <w:jc w:val="both"/>
              <w:rPr>
                <w:rFonts w:cs="Arial"/>
                <w:sz w:val="20"/>
                <w:szCs w:val="20"/>
              </w:rPr>
            </w:pPr>
            <w:r w:rsidRPr="008744CB">
              <w:rPr>
                <w:rFonts w:cs="Arial"/>
                <w:sz w:val="20"/>
                <w:szCs w:val="20"/>
              </w:rPr>
              <w:t>Vodafone</w:t>
            </w:r>
          </w:p>
        </w:tc>
        <w:tc>
          <w:tcPr>
            <w:tcW w:w="1529" w:type="dxa"/>
          </w:tcPr>
          <w:p w:rsidR="003F6C09" w:rsidRPr="008744CB" w:rsidRDefault="003F6C09" w:rsidP="00EE3B91">
            <w:pPr>
              <w:autoSpaceDE w:val="0"/>
              <w:autoSpaceDN w:val="0"/>
              <w:adjustRightInd w:val="0"/>
              <w:jc w:val="both"/>
              <w:cnfStyle w:val="000000100000"/>
              <w:rPr>
                <w:rFonts w:cs="Arial"/>
                <w:sz w:val="20"/>
                <w:szCs w:val="20"/>
              </w:rPr>
            </w:pPr>
            <w:r w:rsidRPr="008744CB">
              <w:rPr>
                <w:rFonts w:cs="Arial"/>
                <w:sz w:val="20"/>
                <w:szCs w:val="20"/>
              </w:rPr>
              <w:t>Tanzania, Mozambique, and Kenya</w:t>
            </w:r>
          </w:p>
        </w:tc>
        <w:tc>
          <w:tcPr>
            <w:tcW w:w="4824" w:type="dxa"/>
          </w:tcPr>
          <w:p w:rsidR="003F6C09" w:rsidRPr="008744CB" w:rsidRDefault="003F6C09" w:rsidP="00EE3B91">
            <w:pPr>
              <w:autoSpaceDE w:val="0"/>
              <w:autoSpaceDN w:val="0"/>
              <w:adjustRightInd w:val="0"/>
              <w:jc w:val="both"/>
              <w:cnfStyle w:val="000000100000"/>
              <w:rPr>
                <w:rFonts w:cs="Arial"/>
                <w:sz w:val="20"/>
                <w:szCs w:val="20"/>
              </w:rPr>
            </w:pPr>
            <w:r w:rsidRPr="008744CB">
              <w:rPr>
                <w:rFonts w:cs="Arial"/>
                <w:sz w:val="20"/>
                <w:szCs w:val="20"/>
              </w:rPr>
              <w:t>Establishment of the ‘Connected Farmer Alliance’ to increase the productivity, incomes and resilience of over 500,000 smallholder farmers</w:t>
            </w:r>
          </w:p>
        </w:tc>
        <w:tc>
          <w:tcPr>
            <w:tcW w:w="1475" w:type="dxa"/>
          </w:tcPr>
          <w:p w:rsidR="003F6C09" w:rsidRPr="008744CB" w:rsidRDefault="003F6C09" w:rsidP="00EE3B91">
            <w:pPr>
              <w:autoSpaceDE w:val="0"/>
              <w:autoSpaceDN w:val="0"/>
              <w:adjustRightInd w:val="0"/>
              <w:cnfStyle w:val="000000100000"/>
              <w:rPr>
                <w:rFonts w:cs="Arial"/>
                <w:sz w:val="20"/>
                <w:szCs w:val="20"/>
              </w:rPr>
            </w:pPr>
            <w:r w:rsidRPr="008744CB">
              <w:rPr>
                <w:rFonts w:cs="Arial"/>
                <w:sz w:val="20"/>
                <w:szCs w:val="20"/>
              </w:rPr>
              <w:t>Amount unknown</w:t>
            </w:r>
          </w:p>
        </w:tc>
      </w:tr>
    </w:tbl>
    <w:p w:rsidR="001904C4" w:rsidRDefault="001904C4" w:rsidP="001904C4">
      <w:pPr>
        <w:autoSpaceDE w:val="0"/>
        <w:autoSpaceDN w:val="0"/>
        <w:adjustRightInd w:val="0"/>
        <w:spacing w:after="120" w:line="276" w:lineRule="auto"/>
        <w:jc w:val="both"/>
        <w:rPr>
          <w:rFonts w:asciiTheme="minorHAnsi" w:hAnsiTheme="minorHAnsi" w:cs="Arial"/>
          <w:sz w:val="22"/>
          <w:szCs w:val="22"/>
        </w:rPr>
      </w:pPr>
    </w:p>
    <w:p w:rsidR="003F6C09" w:rsidRPr="001904C4" w:rsidRDefault="003F6C09" w:rsidP="001904C4">
      <w:pPr>
        <w:autoSpaceDE w:val="0"/>
        <w:autoSpaceDN w:val="0"/>
        <w:adjustRightInd w:val="0"/>
        <w:spacing w:after="120" w:line="276" w:lineRule="auto"/>
        <w:jc w:val="both"/>
        <w:rPr>
          <w:rFonts w:asciiTheme="minorHAnsi" w:hAnsiTheme="minorHAnsi" w:cs="Arial"/>
          <w:sz w:val="22"/>
          <w:szCs w:val="22"/>
        </w:rPr>
      </w:pPr>
      <w:r w:rsidRPr="001904C4">
        <w:rPr>
          <w:rFonts w:asciiTheme="minorHAnsi" w:hAnsiTheme="minorHAnsi" w:cs="Arial"/>
          <w:sz w:val="22"/>
          <w:szCs w:val="22"/>
        </w:rPr>
        <w:t xml:space="preserve">The G8 works closely with the African Union, New Partnership for Africa’s Development and CAADP to ensure that New Alliance Cooperation Frameworks are aligned with priority activities within each of the three initial African partner countries’ CAADP national investment plan and include predictable funding commitments, specific policy actions, and statements of intent from the private sector (see Table </w:t>
      </w:r>
      <w:r w:rsidR="00176D93">
        <w:rPr>
          <w:rFonts w:asciiTheme="minorHAnsi" w:hAnsiTheme="minorHAnsi" w:cs="Arial"/>
          <w:sz w:val="22"/>
          <w:szCs w:val="22"/>
        </w:rPr>
        <w:t>6</w:t>
      </w:r>
      <w:r w:rsidRPr="001904C4">
        <w:rPr>
          <w:rFonts w:asciiTheme="minorHAnsi" w:hAnsiTheme="minorHAnsi" w:cs="Arial"/>
          <w:sz w:val="22"/>
          <w:szCs w:val="22"/>
        </w:rPr>
        <w:t>).</w:t>
      </w:r>
      <w:r w:rsidRPr="001904C4">
        <w:rPr>
          <w:rStyle w:val="FootnoteReference"/>
          <w:rFonts w:asciiTheme="minorHAnsi" w:hAnsiTheme="minorHAnsi" w:cs="Arial"/>
          <w:sz w:val="22"/>
          <w:szCs w:val="22"/>
        </w:rPr>
        <w:footnoteReference w:id="63"/>
      </w:r>
      <w:r w:rsidRPr="001904C4">
        <w:rPr>
          <w:rFonts w:asciiTheme="minorHAnsi" w:hAnsiTheme="minorHAnsi" w:cs="Arial"/>
          <w:sz w:val="22"/>
          <w:szCs w:val="22"/>
        </w:rPr>
        <w:t xml:space="preserve">   In September 2012, the </w:t>
      </w:r>
      <w:r w:rsidRPr="001904C4">
        <w:rPr>
          <w:rFonts w:asciiTheme="minorHAnsi" w:hAnsiTheme="minorHAnsi" w:cs="Arial"/>
          <w:b/>
          <w:sz w:val="22"/>
          <w:szCs w:val="22"/>
        </w:rPr>
        <w:t>New Alliance expanded from Ethiopia, Ghana and Tanzania to include Burkina Faso, Cote d’Ivoire, and Mozambique</w:t>
      </w:r>
      <w:r w:rsidRPr="001904C4">
        <w:rPr>
          <w:rFonts w:asciiTheme="minorHAnsi" w:hAnsiTheme="minorHAnsi" w:cs="Arial"/>
          <w:sz w:val="22"/>
          <w:szCs w:val="22"/>
        </w:rPr>
        <w:t>.</w:t>
      </w:r>
      <w:r w:rsidRPr="001904C4">
        <w:rPr>
          <w:rStyle w:val="FootnoteReference"/>
          <w:rFonts w:asciiTheme="minorHAnsi" w:hAnsiTheme="minorHAnsi" w:cs="Arial"/>
          <w:sz w:val="22"/>
          <w:szCs w:val="22"/>
        </w:rPr>
        <w:footnoteReference w:id="64"/>
      </w:r>
    </w:p>
    <w:p w:rsidR="003F6C09" w:rsidRPr="008744CB" w:rsidRDefault="003F6C09" w:rsidP="003F6C09">
      <w:pPr>
        <w:autoSpaceDE w:val="0"/>
        <w:autoSpaceDN w:val="0"/>
        <w:adjustRightInd w:val="0"/>
        <w:jc w:val="center"/>
        <w:rPr>
          <w:rFonts w:asciiTheme="minorHAnsi" w:hAnsiTheme="minorHAnsi" w:cs="Arial"/>
          <w:b/>
        </w:rPr>
      </w:pPr>
      <w:r w:rsidRPr="001904C4">
        <w:rPr>
          <w:rFonts w:asciiTheme="minorHAnsi" w:hAnsiTheme="minorHAnsi" w:cs="Arial"/>
          <w:b/>
          <w:sz w:val="22"/>
          <w:szCs w:val="22"/>
        </w:rPr>
        <w:t xml:space="preserve">Table </w:t>
      </w:r>
      <w:r w:rsidR="00176D93">
        <w:rPr>
          <w:rFonts w:asciiTheme="minorHAnsi" w:hAnsiTheme="minorHAnsi" w:cs="Arial"/>
          <w:b/>
          <w:sz w:val="22"/>
          <w:szCs w:val="22"/>
        </w:rPr>
        <w:t>6</w:t>
      </w:r>
      <w:r w:rsidRPr="001904C4">
        <w:rPr>
          <w:rFonts w:asciiTheme="minorHAnsi" w:hAnsiTheme="minorHAnsi" w:cs="Arial"/>
          <w:b/>
          <w:sz w:val="22"/>
          <w:szCs w:val="22"/>
        </w:rPr>
        <w:t>: The New Alliance Cooperation Frameworks</w:t>
      </w:r>
      <w:r w:rsidRPr="008744CB">
        <w:rPr>
          <w:rStyle w:val="FootnoteReference"/>
          <w:rFonts w:asciiTheme="minorHAnsi" w:hAnsiTheme="minorHAnsi" w:cs="Arial"/>
          <w:b/>
        </w:rPr>
        <w:footnoteReference w:id="65"/>
      </w:r>
    </w:p>
    <w:tbl>
      <w:tblPr>
        <w:tblStyle w:val="LightShading-Accent5"/>
        <w:tblW w:w="0" w:type="auto"/>
        <w:tblLook w:val="04A0"/>
      </w:tblPr>
      <w:tblGrid>
        <w:gridCol w:w="2310"/>
        <w:gridCol w:w="2310"/>
        <w:gridCol w:w="2311"/>
        <w:gridCol w:w="2311"/>
      </w:tblGrid>
      <w:tr w:rsidR="003F6C09" w:rsidRPr="008744CB" w:rsidTr="00EE3B91">
        <w:trPr>
          <w:cnfStyle w:val="100000000000"/>
        </w:trPr>
        <w:tc>
          <w:tcPr>
            <w:cnfStyle w:val="001000000000"/>
            <w:tcW w:w="2310" w:type="dxa"/>
          </w:tcPr>
          <w:p w:rsidR="003F6C09" w:rsidRPr="008744CB" w:rsidRDefault="003F6C09" w:rsidP="00EE3B91">
            <w:pPr>
              <w:autoSpaceDE w:val="0"/>
              <w:autoSpaceDN w:val="0"/>
              <w:adjustRightInd w:val="0"/>
              <w:jc w:val="center"/>
              <w:rPr>
                <w:rFonts w:cs="Arial"/>
                <w:b w:val="0"/>
                <w:sz w:val="20"/>
                <w:szCs w:val="20"/>
              </w:rPr>
            </w:pPr>
          </w:p>
        </w:tc>
        <w:tc>
          <w:tcPr>
            <w:tcW w:w="2310" w:type="dxa"/>
          </w:tcPr>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Ethiopia</w:t>
            </w:r>
          </w:p>
        </w:tc>
        <w:tc>
          <w:tcPr>
            <w:tcW w:w="2311" w:type="dxa"/>
          </w:tcPr>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Ghana</w:t>
            </w:r>
          </w:p>
        </w:tc>
        <w:tc>
          <w:tcPr>
            <w:tcW w:w="2311" w:type="dxa"/>
          </w:tcPr>
          <w:p w:rsidR="003F6C09" w:rsidRPr="008744CB" w:rsidRDefault="003F6C09" w:rsidP="00EE3B91">
            <w:pPr>
              <w:autoSpaceDE w:val="0"/>
              <w:autoSpaceDN w:val="0"/>
              <w:adjustRightInd w:val="0"/>
              <w:jc w:val="center"/>
              <w:cnfStyle w:val="100000000000"/>
              <w:rPr>
                <w:rFonts w:cs="Arial"/>
                <w:sz w:val="20"/>
                <w:szCs w:val="20"/>
              </w:rPr>
            </w:pPr>
            <w:r w:rsidRPr="008744CB">
              <w:rPr>
                <w:rFonts w:cs="Arial"/>
                <w:sz w:val="20"/>
                <w:szCs w:val="20"/>
              </w:rPr>
              <w:t>Tanzania</w:t>
            </w:r>
          </w:p>
        </w:tc>
      </w:tr>
      <w:tr w:rsidR="003F6C09" w:rsidRPr="008744CB" w:rsidTr="00EE3B91">
        <w:trPr>
          <w:cnfStyle w:val="000000100000"/>
        </w:trPr>
        <w:tc>
          <w:tcPr>
            <w:cnfStyle w:val="001000000000"/>
            <w:tcW w:w="2310" w:type="dxa"/>
          </w:tcPr>
          <w:p w:rsidR="003F6C09" w:rsidRPr="008744CB" w:rsidRDefault="003F6C09" w:rsidP="00EE3B91">
            <w:pPr>
              <w:autoSpaceDE w:val="0"/>
              <w:autoSpaceDN w:val="0"/>
              <w:adjustRightInd w:val="0"/>
              <w:jc w:val="center"/>
              <w:rPr>
                <w:rFonts w:cs="Arial"/>
                <w:sz w:val="20"/>
                <w:szCs w:val="20"/>
              </w:rPr>
            </w:pPr>
            <w:r w:rsidRPr="008744CB">
              <w:rPr>
                <w:rFonts w:cs="Arial"/>
                <w:sz w:val="20"/>
                <w:szCs w:val="20"/>
              </w:rPr>
              <w:t>CAADP National Investment Plans for Agriculture and Food Security</w:t>
            </w:r>
          </w:p>
        </w:tc>
        <w:tc>
          <w:tcPr>
            <w:tcW w:w="2310"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Ethiopia’s Agriculture Sector Policy and Investment Framework (PIF)</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Medium Term Agriculture Sector Investment Plan (METASIP)</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Tanzania Agriculture and Food Security Investment Plan (TAFSIP)</w:t>
            </w:r>
          </w:p>
        </w:tc>
      </w:tr>
      <w:tr w:rsidR="003F6C09" w:rsidRPr="008744CB" w:rsidTr="00EE3B91">
        <w:tc>
          <w:tcPr>
            <w:cnfStyle w:val="001000000000"/>
            <w:tcW w:w="2310" w:type="dxa"/>
          </w:tcPr>
          <w:p w:rsidR="003F6C09" w:rsidRPr="008744CB" w:rsidRDefault="003F6C09" w:rsidP="00EE3B91">
            <w:pPr>
              <w:autoSpaceDE w:val="0"/>
              <w:autoSpaceDN w:val="0"/>
              <w:adjustRightInd w:val="0"/>
              <w:jc w:val="center"/>
              <w:rPr>
                <w:rFonts w:cs="Arial"/>
                <w:sz w:val="20"/>
                <w:szCs w:val="20"/>
              </w:rPr>
            </w:pPr>
            <w:r w:rsidRPr="008744CB">
              <w:rPr>
                <w:rFonts w:cs="Arial"/>
                <w:sz w:val="20"/>
                <w:szCs w:val="20"/>
              </w:rPr>
              <w:t>National Agricultural Development Projects</w:t>
            </w:r>
          </w:p>
        </w:tc>
        <w:tc>
          <w:tcPr>
            <w:tcW w:w="2310" w:type="dxa"/>
          </w:tcPr>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Agricultural Growth Program (AGP) for Ethiopia</w:t>
            </w:r>
          </w:p>
        </w:tc>
        <w:tc>
          <w:tcPr>
            <w:tcW w:w="2311" w:type="dxa"/>
          </w:tcPr>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Ghana Commercial Agriculture Program (GCAP)</w:t>
            </w:r>
          </w:p>
        </w:tc>
        <w:tc>
          <w:tcPr>
            <w:tcW w:w="2311" w:type="dxa"/>
          </w:tcPr>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Southern Agricultural Growth Corridor of Tanzania (SAGCOT)</w:t>
            </w:r>
          </w:p>
        </w:tc>
      </w:tr>
      <w:tr w:rsidR="003F6C09" w:rsidRPr="008744CB" w:rsidTr="00EE3B91">
        <w:trPr>
          <w:cnfStyle w:val="000000100000"/>
        </w:trPr>
        <w:tc>
          <w:tcPr>
            <w:cnfStyle w:val="001000000000"/>
            <w:tcW w:w="2310" w:type="dxa"/>
          </w:tcPr>
          <w:p w:rsidR="003F6C09" w:rsidRPr="008744CB" w:rsidRDefault="003F6C09" w:rsidP="00EE3B91">
            <w:pPr>
              <w:autoSpaceDE w:val="0"/>
              <w:autoSpaceDN w:val="0"/>
              <w:adjustRightInd w:val="0"/>
              <w:jc w:val="center"/>
              <w:rPr>
                <w:rFonts w:cs="Arial"/>
                <w:sz w:val="20"/>
                <w:szCs w:val="20"/>
              </w:rPr>
            </w:pPr>
            <w:r w:rsidRPr="008744CB">
              <w:rPr>
                <w:rFonts w:cs="Arial"/>
                <w:sz w:val="20"/>
                <w:szCs w:val="20"/>
              </w:rPr>
              <w:lastRenderedPageBreak/>
              <w:t>New Alliance Goals to Emerge People from Poverty by 2022</w:t>
            </w:r>
          </w:p>
        </w:tc>
        <w:tc>
          <w:tcPr>
            <w:tcW w:w="2310" w:type="dxa"/>
          </w:tcPr>
          <w:p w:rsidR="003F6C09" w:rsidRPr="008744CB" w:rsidRDefault="003F6C09" w:rsidP="00EE3B91">
            <w:pPr>
              <w:autoSpaceDE w:val="0"/>
              <w:autoSpaceDN w:val="0"/>
              <w:adjustRightInd w:val="0"/>
              <w:jc w:val="center"/>
              <w:cnfStyle w:val="000000100000"/>
              <w:rPr>
                <w:rFonts w:cs="Arial"/>
                <w:sz w:val="20"/>
                <w:szCs w:val="20"/>
              </w:rPr>
            </w:pPr>
          </w:p>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2.9 million</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p>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1.3 million</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p>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6.7 million</w:t>
            </w:r>
          </w:p>
        </w:tc>
      </w:tr>
      <w:tr w:rsidR="003F6C09" w:rsidRPr="008744CB" w:rsidTr="00EE3B91">
        <w:tc>
          <w:tcPr>
            <w:cnfStyle w:val="001000000000"/>
            <w:tcW w:w="2310" w:type="dxa"/>
          </w:tcPr>
          <w:p w:rsidR="003F6C09" w:rsidRPr="008744CB" w:rsidRDefault="003F6C09" w:rsidP="00EE3B91">
            <w:pPr>
              <w:autoSpaceDE w:val="0"/>
              <w:autoSpaceDN w:val="0"/>
              <w:adjustRightInd w:val="0"/>
              <w:jc w:val="center"/>
              <w:rPr>
                <w:rFonts w:cs="Arial"/>
                <w:sz w:val="20"/>
                <w:szCs w:val="20"/>
              </w:rPr>
            </w:pPr>
            <w:r w:rsidRPr="008744CB">
              <w:rPr>
                <w:rFonts w:cs="Arial"/>
                <w:sz w:val="20"/>
                <w:szCs w:val="20"/>
              </w:rPr>
              <w:t>No. of companies that have prepared and signed ‘Letters of Intent’ as of May 2012</w:t>
            </w:r>
          </w:p>
        </w:tc>
        <w:tc>
          <w:tcPr>
            <w:tcW w:w="2310" w:type="dxa"/>
          </w:tcPr>
          <w:p w:rsidR="003F6C09" w:rsidRPr="008744CB" w:rsidRDefault="003F6C09" w:rsidP="00EE3B91">
            <w:pPr>
              <w:autoSpaceDE w:val="0"/>
              <w:autoSpaceDN w:val="0"/>
              <w:adjustRightInd w:val="0"/>
              <w:jc w:val="center"/>
              <w:cnfStyle w:val="000000000000"/>
              <w:rPr>
                <w:rFonts w:cs="Arial"/>
                <w:sz w:val="20"/>
                <w:szCs w:val="20"/>
              </w:rPr>
            </w:pPr>
          </w:p>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14</w:t>
            </w:r>
          </w:p>
        </w:tc>
        <w:tc>
          <w:tcPr>
            <w:tcW w:w="2311" w:type="dxa"/>
          </w:tcPr>
          <w:p w:rsidR="003F6C09" w:rsidRPr="008744CB" w:rsidRDefault="003F6C09" w:rsidP="00EE3B91">
            <w:pPr>
              <w:autoSpaceDE w:val="0"/>
              <w:autoSpaceDN w:val="0"/>
              <w:adjustRightInd w:val="0"/>
              <w:jc w:val="center"/>
              <w:cnfStyle w:val="000000000000"/>
              <w:rPr>
                <w:rFonts w:cs="Arial"/>
                <w:sz w:val="20"/>
                <w:szCs w:val="20"/>
              </w:rPr>
            </w:pPr>
          </w:p>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15</w:t>
            </w:r>
          </w:p>
        </w:tc>
        <w:tc>
          <w:tcPr>
            <w:tcW w:w="2311" w:type="dxa"/>
          </w:tcPr>
          <w:p w:rsidR="003F6C09" w:rsidRPr="008744CB" w:rsidRDefault="003F6C09" w:rsidP="00EE3B91">
            <w:pPr>
              <w:autoSpaceDE w:val="0"/>
              <w:autoSpaceDN w:val="0"/>
              <w:adjustRightInd w:val="0"/>
              <w:jc w:val="center"/>
              <w:cnfStyle w:val="000000000000"/>
              <w:rPr>
                <w:rFonts w:cs="Arial"/>
                <w:sz w:val="20"/>
                <w:szCs w:val="20"/>
              </w:rPr>
            </w:pPr>
          </w:p>
          <w:p w:rsidR="003F6C09" w:rsidRPr="008744CB" w:rsidRDefault="003F6C09" w:rsidP="00EE3B91">
            <w:pPr>
              <w:autoSpaceDE w:val="0"/>
              <w:autoSpaceDN w:val="0"/>
              <w:adjustRightInd w:val="0"/>
              <w:jc w:val="center"/>
              <w:cnfStyle w:val="000000000000"/>
              <w:rPr>
                <w:rFonts w:cs="Arial"/>
                <w:sz w:val="20"/>
                <w:szCs w:val="20"/>
              </w:rPr>
            </w:pPr>
            <w:r w:rsidRPr="008744CB">
              <w:rPr>
                <w:rFonts w:cs="Arial"/>
                <w:sz w:val="20"/>
                <w:szCs w:val="20"/>
              </w:rPr>
              <w:t>20</w:t>
            </w:r>
          </w:p>
        </w:tc>
      </w:tr>
      <w:tr w:rsidR="003F6C09" w:rsidRPr="008744CB" w:rsidTr="00EE3B91">
        <w:trPr>
          <w:cnfStyle w:val="000000100000"/>
        </w:trPr>
        <w:tc>
          <w:tcPr>
            <w:cnfStyle w:val="001000000000"/>
            <w:tcW w:w="2310" w:type="dxa"/>
          </w:tcPr>
          <w:p w:rsidR="003F6C09" w:rsidRPr="008744CB" w:rsidRDefault="003F6C09" w:rsidP="00EE3B91">
            <w:pPr>
              <w:autoSpaceDE w:val="0"/>
              <w:autoSpaceDN w:val="0"/>
              <w:adjustRightInd w:val="0"/>
              <w:jc w:val="center"/>
              <w:rPr>
                <w:rFonts w:cs="Arial"/>
                <w:sz w:val="20"/>
                <w:szCs w:val="20"/>
              </w:rPr>
            </w:pPr>
            <w:r w:rsidRPr="008744CB">
              <w:rPr>
                <w:rFonts w:cs="Arial"/>
                <w:sz w:val="20"/>
                <w:szCs w:val="20"/>
              </w:rPr>
              <w:t>G8 Cooperation Frameworks</w:t>
            </w:r>
          </w:p>
        </w:tc>
        <w:tc>
          <w:tcPr>
            <w:tcW w:w="2310"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‘New Alliance for Food Security and Nutrition’ in Ethiopia</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‘New Alliance for Food Security and Nutrition’ in Ghana</w:t>
            </w:r>
          </w:p>
        </w:tc>
        <w:tc>
          <w:tcPr>
            <w:tcW w:w="2311" w:type="dxa"/>
          </w:tcPr>
          <w:p w:rsidR="003F6C09" w:rsidRPr="008744CB" w:rsidRDefault="003F6C09" w:rsidP="00EE3B91">
            <w:pPr>
              <w:autoSpaceDE w:val="0"/>
              <w:autoSpaceDN w:val="0"/>
              <w:adjustRightInd w:val="0"/>
              <w:jc w:val="center"/>
              <w:cnfStyle w:val="000000100000"/>
              <w:rPr>
                <w:rFonts w:cs="Arial"/>
                <w:sz w:val="20"/>
                <w:szCs w:val="20"/>
              </w:rPr>
            </w:pPr>
            <w:r w:rsidRPr="008744CB">
              <w:rPr>
                <w:rFonts w:cs="Arial"/>
                <w:sz w:val="20"/>
                <w:szCs w:val="20"/>
              </w:rPr>
              <w:t>‘New Alliance for Food Security and Nutrition’ in Tanzania</w:t>
            </w:r>
          </w:p>
        </w:tc>
      </w:tr>
    </w:tbl>
    <w:p w:rsidR="003F6C09" w:rsidRPr="008744CB" w:rsidRDefault="003F6C09" w:rsidP="003F6C09">
      <w:pPr>
        <w:autoSpaceDE w:val="0"/>
        <w:autoSpaceDN w:val="0"/>
        <w:adjustRightInd w:val="0"/>
        <w:jc w:val="center"/>
        <w:rPr>
          <w:rFonts w:asciiTheme="minorHAnsi" w:hAnsiTheme="minorHAnsi" w:cs="Arial"/>
          <w:b/>
        </w:rPr>
      </w:pPr>
    </w:p>
    <w:p w:rsidR="003F6C09" w:rsidRPr="0043446E" w:rsidRDefault="003F6C09" w:rsidP="003F6C09">
      <w:pPr>
        <w:autoSpaceDE w:val="0"/>
        <w:autoSpaceDN w:val="0"/>
        <w:adjustRightInd w:val="0"/>
        <w:jc w:val="both"/>
        <w:rPr>
          <w:rFonts w:asciiTheme="minorHAnsi" w:hAnsiTheme="minorHAnsi" w:cs="Arial"/>
          <w:b/>
          <w:color w:val="1F497D" w:themeColor="text2"/>
          <w:szCs w:val="24"/>
        </w:rPr>
      </w:pPr>
      <w:r w:rsidRPr="0043446E">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43446E">
        <w:rPr>
          <w:rFonts w:asciiTheme="minorHAnsi" w:hAnsiTheme="minorHAnsi" w:cs="Arial"/>
          <w:b/>
          <w:color w:val="1F497D" w:themeColor="text2"/>
          <w:szCs w:val="24"/>
        </w:rPr>
        <w:t>.2</w:t>
      </w:r>
      <w:r w:rsidRPr="0043446E">
        <w:rPr>
          <w:rFonts w:asciiTheme="minorHAnsi" w:hAnsiTheme="minorHAnsi" w:cs="Arial"/>
          <w:b/>
          <w:color w:val="1F497D" w:themeColor="text2"/>
          <w:szCs w:val="24"/>
        </w:rPr>
        <w:tab/>
        <w:t xml:space="preserve">Grow Africa and the World Economic Forum’s New Vision for Agriculture </w:t>
      </w:r>
    </w:p>
    <w:p w:rsidR="00067AC0" w:rsidRDefault="003F6C09" w:rsidP="0043446E">
      <w:pPr>
        <w:autoSpaceDE w:val="0"/>
        <w:autoSpaceDN w:val="0"/>
        <w:adjustRightInd w:val="0"/>
        <w:spacing w:after="120" w:line="276" w:lineRule="auto"/>
        <w:jc w:val="both"/>
        <w:rPr>
          <w:rFonts w:asciiTheme="minorHAnsi" w:hAnsiTheme="minorHAnsi" w:cs="Arial"/>
          <w:sz w:val="22"/>
          <w:szCs w:val="22"/>
        </w:rPr>
      </w:pPr>
      <w:r w:rsidRPr="0043446E">
        <w:rPr>
          <w:rFonts w:asciiTheme="minorHAnsi" w:hAnsiTheme="minorHAnsi" w:cs="Arial"/>
          <w:sz w:val="22"/>
          <w:szCs w:val="22"/>
        </w:rPr>
        <w:t>T</w:t>
      </w:r>
      <w:r w:rsidRPr="0043446E">
        <w:rPr>
          <w:rFonts w:asciiTheme="minorHAnsi" w:hAnsiTheme="minorHAnsi" w:cs="Helvetica Neue LT Pro"/>
          <w:color w:val="000000"/>
          <w:sz w:val="22"/>
          <w:szCs w:val="22"/>
        </w:rPr>
        <w:t>he New Vision for Agriculture initiative is led by 28 global Partner companies</w:t>
      </w:r>
      <w:r w:rsidRPr="0043446E">
        <w:rPr>
          <w:rStyle w:val="FootnoteReference"/>
          <w:rFonts w:asciiTheme="minorHAnsi" w:hAnsiTheme="minorHAnsi" w:cs="Helvetica Neue LT Pro"/>
          <w:color w:val="000000"/>
          <w:sz w:val="22"/>
          <w:szCs w:val="22"/>
        </w:rPr>
        <w:footnoteReference w:id="66"/>
      </w:r>
      <w:r w:rsidRPr="0043446E">
        <w:rPr>
          <w:rFonts w:asciiTheme="minorHAnsi" w:hAnsiTheme="minorHAnsi" w:cs="Helvetica Neue LT Pro"/>
          <w:color w:val="000000"/>
          <w:sz w:val="22"/>
          <w:szCs w:val="22"/>
        </w:rPr>
        <w:t xml:space="preserve"> that span the full </w:t>
      </w:r>
      <w:r w:rsidRPr="0043446E">
        <w:rPr>
          <w:rFonts w:asciiTheme="minorHAnsi" w:hAnsiTheme="minorHAnsi" w:cs="Helvetica Neue LT Pro"/>
          <w:sz w:val="22"/>
          <w:szCs w:val="22"/>
        </w:rPr>
        <w:t xml:space="preserve">food value chain and beyond.    It follows </w:t>
      </w:r>
      <w:r w:rsidRPr="0043446E">
        <w:rPr>
          <w:rFonts w:asciiTheme="minorHAnsi" w:hAnsiTheme="minorHAnsi"/>
          <w:sz w:val="22"/>
          <w:szCs w:val="22"/>
          <w:shd w:val="clear" w:color="auto" w:fill="FFFFFF"/>
        </w:rPr>
        <w:t>a “20/20/20” framework</w:t>
      </w:r>
      <w:r w:rsidRPr="0043446E">
        <w:rPr>
          <w:rStyle w:val="FootnoteReference"/>
          <w:rFonts w:asciiTheme="minorHAnsi" w:hAnsiTheme="minorHAnsi"/>
          <w:sz w:val="22"/>
          <w:szCs w:val="22"/>
          <w:shd w:val="clear" w:color="auto" w:fill="FFFFFF"/>
        </w:rPr>
        <w:footnoteReference w:id="67"/>
      </w:r>
      <w:r w:rsidRPr="0043446E">
        <w:rPr>
          <w:rFonts w:asciiTheme="minorHAnsi" w:hAnsiTheme="minorHAnsi"/>
          <w:sz w:val="22"/>
          <w:szCs w:val="22"/>
          <w:shd w:val="clear" w:color="auto" w:fill="FFFFFF"/>
        </w:rPr>
        <w:t xml:space="preserve"> for achieving results, which specifies: increasing productivity by 20% per decade, reducing the environmental footprint by 20% per decade and increasing the income of the rural family by 20% per decade. </w:t>
      </w:r>
      <w:r w:rsidR="00067AC0">
        <w:rPr>
          <w:rFonts w:asciiTheme="minorHAnsi" w:hAnsiTheme="minorHAnsi"/>
          <w:sz w:val="22"/>
          <w:szCs w:val="22"/>
          <w:shd w:val="clear" w:color="auto" w:fill="FFFFFF"/>
        </w:rPr>
        <w:t xml:space="preserve"> </w:t>
      </w:r>
      <w:r w:rsidRPr="0043446E">
        <w:rPr>
          <w:rFonts w:asciiTheme="minorHAnsi" w:hAnsiTheme="minorHAnsi" w:cs="Arial"/>
          <w:sz w:val="22"/>
          <w:szCs w:val="22"/>
        </w:rPr>
        <w:t xml:space="preserve">The initiative has catalysed four major public-private partnerships to date throughout the world.  </w:t>
      </w:r>
    </w:p>
    <w:p w:rsidR="003F6C09" w:rsidRPr="0043446E" w:rsidRDefault="003F6C09" w:rsidP="0043446E">
      <w:pPr>
        <w:autoSpaceDE w:val="0"/>
        <w:autoSpaceDN w:val="0"/>
        <w:adjustRightInd w:val="0"/>
        <w:spacing w:after="120" w:line="276" w:lineRule="auto"/>
        <w:jc w:val="both"/>
        <w:rPr>
          <w:rFonts w:asciiTheme="minorHAnsi" w:hAnsiTheme="minorHAnsi" w:cs="Arial"/>
          <w:sz w:val="22"/>
          <w:szCs w:val="22"/>
        </w:rPr>
      </w:pPr>
      <w:r w:rsidRPr="0043446E">
        <w:rPr>
          <w:rFonts w:asciiTheme="minorHAnsi" w:hAnsiTheme="minorHAnsi" w:cs="Arial"/>
          <w:sz w:val="22"/>
          <w:szCs w:val="22"/>
        </w:rPr>
        <w:t xml:space="preserve">In Africa, the New Vision for Agriculture has a regional partnership platform called </w:t>
      </w:r>
      <w:r w:rsidRPr="0043446E">
        <w:rPr>
          <w:rFonts w:asciiTheme="minorHAnsi" w:hAnsiTheme="minorHAnsi" w:cs="Arial"/>
          <w:b/>
          <w:sz w:val="22"/>
          <w:szCs w:val="22"/>
        </w:rPr>
        <w:t>Grow Africa</w:t>
      </w:r>
      <w:r w:rsidRPr="0043446E">
        <w:rPr>
          <w:rFonts w:asciiTheme="minorHAnsi" w:hAnsiTheme="minorHAnsi" w:cs="Arial"/>
          <w:sz w:val="22"/>
          <w:szCs w:val="22"/>
        </w:rPr>
        <w:t xml:space="preserve"> that aims to accelerate investments into African agriculture.  Formed in 2011 when leaders of the Tanzanian SAGCOT initiative shared their experience of using a public-private approach to accelerate agricultural growth with leaders from six other African countries</w:t>
      </w:r>
      <w:r w:rsidR="00067AC0">
        <w:rPr>
          <w:rFonts w:asciiTheme="minorHAnsi" w:hAnsiTheme="minorHAnsi" w:cs="Arial"/>
          <w:sz w:val="22"/>
          <w:szCs w:val="22"/>
        </w:rPr>
        <w:t>, t</w:t>
      </w:r>
      <w:r w:rsidRPr="0043446E">
        <w:rPr>
          <w:rFonts w:asciiTheme="minorHAnsi" w:hAnsiTheme="minorHAnsi" w:cs="Arial"/>
          <w:sz w:val="22"/>
          <w:szCs w:val="22"/>
        </w:rPr>
        <w:t xml:space="preserve">he Grow Africa Task Force was </w:t>
      </w:r>
      <w:r w:rsidR="00067AC0">
        <w:rPr>
          <w:rFonts w:asciiTheme="minorHAnsi" w:hAnsiTheme="minorHAnsi" w:cs="Arial"/>
          <w:sz w:val="22"/>
          <w:szCs w:val="22"/>
        </w:rPr>
        <w:t>established</w:t>
      </w:r>
      <w:r w:rsidRPr="0043446E">
        <w:rPr>
          <w:rFonts w:asciiTheme="minorHAnsi" w:hAnsiTheme="minorHAnsi" w:cs="Arial"/>
          <w:sz w:val="22"/>
          <w:szCs w:val="22"/>
        </w:rPr>
        <w:t xml:space="preserve"> to support them.</w:t>
      </w:r>
      <w:r w:rsidRPr="0043446E">
        <w:rPr>
          <w:rStyle w:val="FootnoteReference"/>
          <w:rFonts w:asciiTheme="minorHAnsi" w:hAnsiTheme="minorHAnsi" w:cs="Arial"/>
          <w:sz w:val="22"/>
          <w:szCs w:val="22"/>
        </w:rPr>
        <w:footnoteReference w:id="68"/>
      </w:r>
      <w:r w:rsidRPr="0043446E">
        <w:rPr>
          <w:rFonts w:asciiTheme="minorHAnsi" w:hAnsiTheme="minorHAnsi" w:cs="Arial"/>
          <w:sz w:val="22"/>
          <w:szCs w:val="22"/>
        </w:rPr>
        <w:t xml:space="preserve">  Coordinated by the African Union, NEPAD and the World Economic Forum, it connects governments, businesses, investors, farmers and development partners.</w:t>
      </w:r>
    </w:p>
    <w:p w:rsidR="003F6C09" w:rsidRPr="0043446E" w:rsidRDefault="003F6C09" w:rsidP="0043446E">
      <w:pPr>
        <w:autoSpaceDE w:val="0"/>
        <w:autoSpaceDN w:val="0"/>
        <w:adjustRightInd w:val="0"/>
        <w:spacing w:after="120" w:line="276" w:lineRule="auto"/>
        <w:jc w:val="both"/>
        <w:rPr>
          <w:rFonts w:asciiTheme="minorHAnsi" w:hAnsiTheme="minorHAnsi" w:cs="Arial"/>
          <w:sz w:val="22"/>
          <w:szCs w:val="22"/>
        </w:rPr>
      </w:pPr>
      <w:r w:rsidRPr="0043446E">
        <w:rPr>
          <w:rFonts w:asciiTheme="minorHAnsi" w:hAnsiTheme="minorHAnsi" w:cs="Arial"/>
          <w:sz w:val="22"/>
          <w:szCs w:val="22"/>
        </w:rPr>
        <w:t xml:space="preserve">Grow Africa supports African countries with a CAADP Investment Plan by helping them attract private sector investment and currently has </w:t>
      </w:r>
      <w:r w:rsidRPr="0043446E">
        <w:rPr>
          <w:rFonts w:asciiTheme="minorHAnsi" w:hAnsiTheme="minorHAnsi" w:cs="Arial"/>
          <w:b/>
          <w:sz w:val="22"/>
          <w:szCs w:val="22"/>
        </w:rPr>
        <w:t>seven country initiatives in Burkina Faso, Ethiopia, Ghana, Kenya, Mozambique, Rwanda and Tanzania – the “first wave”</w:t>
      </w:r>
      <w:r w:rsidRPr="0043446E">
        <w:rPr>
          <w:rFonts w:asciiTheme="minorHAnsi" w:hAnsiTheme="minorHAnsi" w:cs="Arial"/>
          <w:sz w:val="22"/>
          <w:szCs w:val="22"/>
        </w:rPr>
        <w:t xml:space="preserve">.  In 2012, the partnership collaborated with the G8 to mobilise agriculture-sector investment commitment valued at </w:t>
      </w:r>
      <w:r w:rsidRPr="0043446E">
        <w:rPr>
          <w:rFonts w:asciiTheme="minorHAnsi" w:hAnsiTheme="minorHAnsi" w:cs="Arial"/>
          <w:b/>
          <w:sz w:val="22"/>
          <w:szCs w:val="22"/>
        </w:rPr>
        <w:t xml:space="preserve">USD3.5 billion in Ethiopia, Ghana and Tanzania </w:t>
      </w:r>
      <w:r w:rsidR="00DF614D">
        <w:rPr>
          <w:rFonts w:asciiTheme="minorHAnsi" w:hAnsiTheme="minorHAnsi" w:cs="Arial"/>
          <w:sz w:val="22"/>
          <w:szCs w:val="22"/>
        </w:rPr>
        <w:t>(see Annex 2</w:t>
      </w:r>
      <w:r w:rsidRPr="0043446E">
        <w:rPr>
          <w:rFonts w:asciiTheme="minorHAnsi" w:hAnsiTheme="minorHAnsi" w:cs="Arial"/>
          <w:sz w:val="22"/>
          <w:szCs w:val="22"/>
        </w:rPr>
        <w:t xml:space="preserve">).  </w:t>
      </w:r>
    </w:p>
    <w:p w:rsidR="00DF614D" w:rsidRDefault="00DF614D" w:rsidP="0045510A">
      <w:pPr>
        <w:rPr>
          <w:rFonts w:asciiTheme="minorHAnsi" w:hAnsiTheme="minorHAnsi" w:cs="Arial"/>
          <w:b/>
          <w:color w:val="1F497D" w:themeColor="text2"/>
          <w:szCs w:val="24"/>
        </w:rPr>
      </w:pPr>
    </w:p>
    <w:p w:rsidR="003F6C09" w:rsidRPr="004C40D3" w:rsidRDefault="003F6C09" w:rsidP="0045510A">
      <w:pPr>
        <w:rPr>
          <w:rFonts w:asciiTheme="minorHAnsi" w:hAnsiTheme="minorHAnsi" w:cs="Arial"/>
          <w:b/>
          <w:color w:val="1F497D" w:themeColor="text2"/>
          <w:szCs w:val="24"/>
        </w:rPr>
      </w:pPr>
      <w:r w:rsidRPr="004C40D3">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4C40D3">
        <w:rPr>
          <w:rFonts w:asciiTheme="minorHAnsi" w:hAnsiTheme="minorHAnsi" w:cs="Arial"/>
          <w:b/>
          <w:color w:val="1F497D" w:themeColor="text2"/>
          <w:szCs w:val="24"/>
        </w:rPr>
        <w:t>.3</w:t>
      </w:r>
      <w:r w:rsidRPr="004C40D3">
        <w:rPr>
          <w:rFonts w:asciiTheme="minorHAnsi" w:hAnsiTheme="minorHAnsi" w:cs="Arial"/>
          <w:b/>
          <w:color w:val="1F497D" w:themeColor="text2"/>
          <w:szCs w:val="24"/>
        </w:rPr>
        <w:tab/>
      </w:r>
      <w:r w:rsidR="00E05C86">
        <w:rPr>
          <w:rFonts w:asciiTheme="minorHAnsi" w:hAnsiTheme="minorHAnsi" w:cs="Arial"/>
          <w:b/>
          <w:color w:val="1F497D" w:themeColor="text2"/>
          <w:szCs w:val="24"/>
        </w:rPr>
        <w:t xml:space="preserve">Bill and Melinda </w:t>
      </w:r>
      <w:r w:rsidRPr="004C40D3">
        <w:rPr>
          <w:rFonts w:asciiTheme="minorHAnsi" w:hAnsiTheme="minorHAnsi" w:cs="Arial"/>
          <w:b/>
          <w:color w:val="1F497D" w:themeColor="text2"/>
          <w:szCs w:val="24"/>
        </w:rPr>
        <w:t xml:space="preserve">Gates Foundation </w:t>
      </w:r>
    </w:p>
    <w:p w:rsidR="003F6C09" w:rsidRPr="004C40D3" w:rsidRDefault="003F6C09" w:rsidP="000E4EBA">
      <w:pPr>
        <w:autoSpaceDE w:val="0"/>
        <w:autoSpaceDN w:val="0"/>
        <w:adjustRightInd w:val="0"/>
        <w:spacing w:after="120" w:line="276" w:lineRule="auto"/>
        <w:jc w:val="both"/>
        <w:rPr>
          <w:rFonts w:asciiTheme="minorHAnsi" w:hAnsiTheme="minorHAnsi" w:cs="Helvetica Neue LT Pro"/>
          <w:color w:val="000000"/>
          <w:sz w:val="22"/>
          <w:szCs w:val="22"/>
        </w:rPr>
      </w:pPr>
      <w:r w:rsidRPr="004C40D3">
        <w:rPr>
          <w:rFonts w:asciiTheme="minorHAnsi" w:hAnsiTheme="minorHAnsi" w:cs="Arial"/>
          <w:sz w:val="22"/>
          <w:szCs w:val="22"/>
        </w:rPr>
        <w:t>T</w:t>
      </w:r>
      <w:r w:rsidRPr="004C40D3">
        <w:rPr>
          <w:rFonts w:asciiTheme="minorHAnsi" w:hAnsiTheme="minorHAnsi" w:cs="Helvetica Neue LT Pro"/>
          <w:color w:val="000000"/>
          <w:sz w:val="22"/>
          <w:szCs w:val="22"/>
        </w:rPr>
        <w:t>he Bill and Melinda Gates Foundation is one of the largest donors to agriculture in Africa.  As of June 2011, the Foundation had</w:t>
      </w:r>
      <w:r w:rsidRPr="004C40D3">
        <w:rPr>
          <w:rFonts w:asciiTheme="minorHAnsi" w:hAnsiTheme="minorHAnsi" w:cs="Helvetica Neue LT Pro"/>
          <w:b/>
          <w:color w:val="000000"/>
          <w:sz w:val="22"/>
          <w:szCs w:val="22"/>
        </w:rPr>
        <w:t xml:space="preserve"> committed more than USD 1.8 billion </w:t>
      </w:r>
      <w:r w:rsidRPr="004C40D3">
        <w:rPr>
          <w:rFonts w:asciiTheme="minorHAnsi" w:hAnsiTheme="minorHAnsi" w:cs="Helvetica Neue LT Pro"/>
          <w:color w:val="000000"/>
          <w:sz w:val="22"/>
          <w:szCs w:val="22"/>
        </w:rPr>
        <w:t xml:space="preserve">to agricultural development efforts – most of this being invested in sub-Saharan Africa.   Table </w:t>
      </w:r>
      <w:r w:rsidR="003D7089">
        <w:rPr>
          <w:rFonts w:asciiTheme="minorHAnsi" w:hAnsiTheme="minorHAnsi" w:cs="Helvetica Neue LT Pro"/>
          <w:color w:val="000000"/>
          <w:sz w:val="22"/>
          <w:szCs w:val="22"/>
        </w:rPr>
        <w:t>7</w:t>
      </w:r>
      <w:r w:rsidRPr="004C40D3">
        <w:rPr>
          <w:rFonts w:asciiTheme="minorHAnsi" w:hAnsiTheme="minorHAnsi" w:cs="Helvetica Neue LT Pro"/>
          <w:color w:val="000000"/>
          <w:sz w:val="22"/>
          <w:szCs w:val="22"/>
        </w:rPr>
        <w:t xml:space="preserve"> shows the five largest grants that the Gates Foundation have made in: (1) research and development; (2) agricultural policies; and (3) access and market systems.</w:t>
      </w:r>
    </w:p>
    <w:p w:rsidR="00DF614D" w:rsidRDefault="00DF614D">
      <w:pPr>
        <w:rPr>
          <w:rFonts w:asciiTheme="minorHAnsi" w:hAnsiTheme="minorHAnsi" w:cs="Helvetica Neue LT Pro"/>
          <w:b/>
          <w:color w:val="000000"/>
          <w:sz w:val="22"/>
          <w:szCs w:val="22"/>
        </w:rPr>
      </w:pPr>
      <w:r>
        <w:rPr>
          <w:rFonts w:asciiTheme="minorHAnsi" w:hAnsiTheme="minorHAnsi" w:cs="Helvetica Neue LT Pro"/>
          <w:b/>
          <w:color w:val="000000"/>
          <w:sz w:val="22"/>
          <w:szCs w:val="22"/>
        </w:rPr>
        <w:br w:type="page"/>
      </w:r>
    </w:p>
    <w:p w:rsidR="00E05C86" w:rsidRDefault="003F6C09" w:rsidP="003F6C09">
      <w:pPr>
        <w:autoSpaceDE w:val="0"/>
        <w:autoSpaceDN w:val="0"/>
        <w:adjustRightInd w:val="0"/>
        <w:jc w:val="center"/>
        <w:rPr>
          <w:rFonts w:asciiTheme="minorHAnsi" w:hAnsiTheme="minorHAnsi" w:cs="Helvetica Neue LT Pro"/>
          <w:b/>
          <w:color w:val="000000"/>
          <w:sz w:val="22"/>
          <w:szCs w:val="22"/>
        </w:rPr>
      </w:pPr>
      <w:r w:rsidRPr="004C40D3">
        <w:rPr>
          <w:rFonts w:asciiTheme="minorHAnsi" w:hAnsiTheme="minorHAnsi" w:cs="Helvetica Neue LT Pro"/>
          <w:b/>
          <w:color w:val="000000"/>
          <w:sz w:val="22"/>
          <w:szCs w:val="22"/>
        </w:rPr>
        <w:lastRenderedPageBreak/>
        <w:t xml:space="preserve">Table </w:t>
      </w:r>
      <w:r w:rsidR="003D7089">
        <w:rPr>
          <w:rFonts w:asciiTheme="minorHAnsi" w:hAnsiTheme="minorHAnsi" w:cs="Helvetica Neue LT Pro"/>
          <w:b/>
          <w:color w:val="000000"/>
          <w:sz w:val="22"/>
          <w:szCs w:val="22"/>
        </w:rPr>
        <w:t>7</w:t>
      </w:r>
      <w:r w:rsidRPr="004C40D3">
        <w:rPr>
          <w:rFonts w:asciiTheme="minorHAnsi" w:hAnsiTheme="minorHAnsi" w:cs="Helvetica Neue LT Pro"/>
          <w:b/>
          <w:color w:val="000000"/>
          <w:sz w:val="22"/>
          <w:szCs w:val="22"/>
        </w:rPr>
        <w:t xml:space="preserve">: </w:t>
      </w:r>
      <w:r w:rsidR="00E05C86">
        <w:rPr>
          <w:rFonts w:asciiTheme="minorHAnsi" w:hAnsiTheme="minorHAnsi" w:cs="Helvetica Neue LT Pro"/>
          <w:b/>
          <w:color w:val="000000"/>
          <w:sz w:val="22"/>
          <w:szCs w:val="22"/>
        </w:rPr>
        <w:t xml:space="preserve">Bill &amp; Melinda </w:t>
      </w:r>
      <w:r w:rsidRPr="004C40D3">
        <w:rPr>
          <w:rFonts w:asciiTheme="minorHAnsi" w:hAnsiTheme="minorHAnsi" w:cs="Helvetica Neue LT Pro"/>
          <w:b/>
          <w:color w:val="000000"/>
          <w:sz w:val="22"/>
          <w:szCs w:val="22"/>
        </w:rPr>
        <w:t xml:space="preserve">Gates Foundation’s largest grants to agriculture development efforts </w:t>
      </w:r>
    </w:p>
    <w:p w:rsidR="003F6C09" w:rsidRPr="008744CB" w:rsidRDefault="003F6C09" w:rsidP="003F6C09">
      <w:pPr>
        <w:autoSpaceDE w:val="0"/>
        <w:autoSpaceDN w:val="0"/>
        <w:adjustRightInd w:val="0"/>
        <w:jc w:val="center"/>
        <w:rPr>
          <w:rFonts w:asciiTheme="minorHAnsi" w:hAnsiTheme="minorHAnsi" w:cs="Helvetica Neue LT Pro"/>
          <w:b/>
          <w:color w:val="000000"/>
        </w:rPr>
      </w:pPr>
      <w:r w:rsidRPr="00E05C86">
        <w:rPr>
          <w:rFonts w:asciiTheme="minorHAnsi" w:hAnsiTheme="minorHAnsi" w:cs="Helvetica Neue LT Pro"/>
          <w:color w:val="000000"/>
          <w:sz w:val="22"/>
          <w:szCs w:val="22"/>
        </w:rPr>
        <w:t>(June 2011)</w:t>
      </w:r>
      <w:r w:rsidRPr="008744CB">
        <w:rPr>
          <w:rStyle w:val="FootnoteReference"/>
          <w:rFonts w:asciiTheme="minorHAnsi" w:hAnsiTheme="minorHAnsi" w:cs="Helvetica Neue LT Pro"/>
          <w:b/>
          <w:color w:val="000000"/>
        </w:rPr>
        <w:footnoteReference w:id="69"/>
      </w:r>
    </w:p>
    <w:tbl>
      <w:tblPr>
        <w:tblStyle w:val="LightShading-Accent5"/>
        <w:tblW w:w="0" w:type="auto"/>
        <w:tblLook w:val="04A0"/>
      </w:tblPr>
      <w:tblGrid>
        <w:gridCol w:w="3369"/>
        <w:gridCol w:w="4394"/>
        <w:gridCol w:w="1479"/>
      </w:tblGrid>
      <w:tr w:rsidR="003F6C09" w:rsidRPr="008744CB" w:rsidTr="00EE3B91">
        <w:trPr>
          <w:cnfStyle w:val="100000000000"/>
        </w:trPr>
        <w:tc>
          <w:tcPr>
            <w:cnfStyle w:val="001000000000"/>
            <w:tcW w:w="3369" w:type="dxa"/>
          </w:tcPr>
          <w:p w:rsidR="003F6C09" w:rsidRPr="008744CB" w:rsidRDefault="003F6C09" w:rsidP="00EE3B91">
            <w:pPr>
              <w:autoSpaceDE w:val="0"/>
              <w:autoSpaceDN w:val="0"/>
              <w:adjustRightInd w:val="0"/>
              <w:jc w:val="both"/>
              <w:rPr>
                <w:rFonts w:cs="Arial"/>
                <w:color w:val="1F497D" w:themeColor="text2"/>
                <w:sz w:val="20"/>
                <w:szCs w:val="20"/>
              </w:rPr>
            </w:pPr>
            <w:r w:rsidRPr="008744CB">
              <w:rPr>
                <w:rFonts w:cs="Arial"/>
                <w:color w:val="1F497D" w:themeColor="text2"/>
                <w:sz w:val="20"/>
                <w:szCs w:val="20"/>
              </w:rPr>
              <w:t>Grantee</w:t>
            </w:r>
          </w:p>
        </w:tc>
        <w:tc>
          <w:tcPr>
            <w:tcW w:w="4394" w:type="dxa"/>
          </w:tcPr>
          <w:p w:rsidR="003F6C09" w:rsidRPr="008744CB" w:rsidRDefault="003F6C09" w:rsidP="00EE3B91">
            <w:pPr>
              <w:autoSpaceDE w:val="0"/>
              <w:autoSpaceDN w:val="0"/>
              <w:adjustRightInd w:val="0"/>
              <w:jc w:val="both"/>
              <w:cnfStyle w:val="100000000000"/>
              <w:rPr>
                <w:rFonts w:cs="Arial"/>
                <w:color w:val="1F497D" w:themeColor="text2"/>
                <w:sz w:val="20"/>
                <w:szCs w:val="20"/>
              </w:rPr>
            </w:pPr>
            <w:r w:rsidRPr="008744CB">
              <w:rPr>
                <w:rFonts w:cs="Arial"/>
                <w:color w:val="1F497D" w:themeColor="text2"/>
                <w:sz w:val="20"/>
                <w:szCs w:val="20"/>
              </w:rPr>
              <w:t>Project Name</w:t>
            </w:r>
          </w:p>
        </w:tc>
        <w:tc>
          <w:tcPr>
            <w:tcW w:w="1479" w:type="dxa"/>
          </w:tcPr>
          <w:p w:rsidR="003F6C09" w:rsidRPr="008744CB" w:rsidRDefault="003F6C09" w:rsidP="00EE3B91">
            <w:pPr>
              <w:autoSpaceDE w:val="0"/>
              <w:autoSpaceDN w:val="0"/>
              <w:adjustRightInd w:val="0"/>
              <w:jc w:val="center"/>
              <w:cnfStyle w:val="100000000000"/>
              <w:rPr>
                <w:rFonts w:cs="Arial"/>
                <w:color w:val="1F497D" w:themeColor="text2"/>
                <w:sz w:val="20"/>
                <w:szCs w:val="20"/>
              </w:rPr>
            </w:pPr>
            <w:r w:rsidRPr="008744CB">
              <w:rPr>
                <w:rFonts w:cs="Arial"/>
                <w:color w:val="1F497D" w:themeColor="text2"/>
                <w:sz w:val="20"/>
                <w:szCs w:val="20"/>
              </w:rPr>
              <w:t>Grant Amount (USD)</w:t>
            </w:r>
          </w:p>
        </w:tc>
      </w:tr>
      <w:tr w:rsidR="003F6C09" w:rsidRPr="008744CB" w:rsidTr="00EE3B91">
        <w:trPr>
          <w:cnfStyle w:val="000000100000"/>
        </w:trPr>
        <w:tc>
          <w:tcPr>
            <w:cnfStyle w:val="001000000000"/>
            <w:tcW w:w="9242" w:type="dxa"/>
            <w:gridSpan w:val="3"/>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color w:val="1F497D" w:themeColor="text2"/>
                <w:sz w:val="20"/>
                <w:szCs w:val="20"/>
              </w:rPr>
              <w:t>Research and Development</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AGRA</w:t>
            </w:r>
          </w:p>
        </w:tc>
        <w:tc>
          <w:tcPr>
            <w:tcW w:w="4394" w:type="dxa"/>
          </w:tcPr>
          <w:p w:rsidR="003F6C09" w:rsidRPr="008744CB" w:rsidRDefault="003F6C09" w:rsidP="00EE3B91">
            <w:pPr>
              <w:autoSpaceDE w:val="0"/>
              <w:autoSpaceDN w:val="0"/>
              <w:adjustRightInd w:val="0"/>
              <w:jc w:val="both"/>
              <w:cnfStyle w:val="000000000000"/>
              <w:rPr>
                <w:rFonts w:cs="Arial"/>
                <w:color w:val="1F497D" w:themeColor="text2"/>
                <w:sz w:val="20"/>
                <w:szCs w:val="20"/>
              </w:rPr>
            </w:pPr>
            <w:r w:rsidRPr="008744CB">
              <w:rPr>
                <w:rFonts w:cs="Arial"/>
                <w:color w:val="1F497D" w:themeColor="text2"/>
                <w:sz w:val="20"/>
                <w:szCs w:val="20"/>
              </w:rPr>
              <w:t>AGRA Program for African Seed Systems (PASS)</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100 million</w:t>
            </w:r>
          </w:p>
        </w:tc>
      </w:tr>
      <w:tr w:rsidR="003F6C09" w:rsidRPr="008744CB" w:rsidTr="00EE3B91">
        <w:trPr>
          <w:cnfStyle w:val="000000100000"/>
        </w:trPr>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International Food Policy Research Institute (IFPRI)</w:t>
            </w:r>
          </w:p>
        </w:tc>
        <w:tc>
          <w:tcPr>
            <w:tcW w:w="4394" w:type="dxa"/>
          </w:tcPr>
          <w:p w:rsidR="003F6C09" w:rsidRPr="008744CB" w:rsidRDefault="003F6C09" w:rsidP="00EE3B91">
            <w:pPr>
              <w:autoSpaceDE w:val="0"/>
              <w:autoSpaceDN w:val="0"/>
              <w:adjustRightInd w:val="0"/>
              <w:jc w:val="both"/>
              <w:cnfStyle w:val="000000100000"/>
              <w:rPr>
                <w:rFonts w:cs="Arial"/>
                <w:color w:val="1F497D" w:themeColor="text2"/>
                <w:sz w:val="20"/>
                <w:szCs w:val="20"/>
              </w:rPr>
            </w:pPr>
            <w:proofErr w:type="spellStart"/>
            <w:r w:rsidRPr="008744CB">
              <w:rPr>
                <w:rFonts w:cs="Arial"/>
                <w:color w:val="1F497D" w:themeColor="text2"/>
                <w:sz w:val="20"/>
                <w:szCs w:val="20"/>
              </w:rPr>
              <w:t>HarvestPlus</w:t>
            </w:r>
            <w:proofErr w:type="spellEnd"/>
            <w:r w:rsidRPr="008744CB">
              <w:rPr>
                <w:rFonts w:cs="Arial"/>
                <w:color w:val="1F497D" w:themeColor="text2"/>
                <w:sz w:val="20"/>
                <w:szCs w:val="20"/>
              </w:rPr>
              <w:t xml:space="preserve"> II</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45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African Agricultural Technology Foundation (AATF)</w:t>
            </w:r>
          </w:p>
        </w:tc>
        <w:tc>
          <w:tcPr>
            <w:tcW w:w="4394" w:type="dxa"/>
          </w:tcPr>
          <w:p w:rsidR="003F6C09" w:rsidRPr="008744CB" w:rsidRDefault="003F6C09" w:rsidP="00EE3B91">
            <w:pPr>
              <w:autoSpaceDE w:val="0"/>
              <w:autoSpaceDN w:val="0"/>
              <w:adjustRightInd w:val="0"/>
              <w:jc w:val="both"/>
              <w:cnfStyle w:val="000000000000"/>
              <w:rPr>
                <w:rFonts w:cs="Arial"/>
                <w:color w:val="1F497D" w:themeColor="text2"/>
                <w:sz w:val="20"/>
                <w:szCs w:val="20"/>
              </w:rPr>
            </w:pPr>
            <w:r w:rsidRPr="008744CB">
              <w:rPr>
                <w:rFonts w:cs="Arial"/>
                <w:color w:val="1F497D" w:themeColor="text2"/>
                <w:sz w:val="20"/>
                <w:szCs w:val="20"/>
              </w:rPr>
              <w:t>Water Efficient Maize for Africa (WEMA)</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39.1 million</w:t>
            </w:r>
          </w:p>
        </w:tc>
      </w:tr>
      <w:tr w:rsidR="003F6C09" w:rsidRPr="008744CB" w:rsidTr="00EE3B91">
        <w:trPr>
          <w:cnfStyle w:val="000000100000"/>
        </w:trPr>
        <w:tc>
          <w:tcPr>
            <w:cnfStyle w:val="001000000000"/>
            <w:tcW w:w="3369" w:type="dxa"/>
          </w:tcPr>
          <w:p w:rsidR="003F6C09" w:rsidRPr="00EA1632" w:rsidRDefault="003F6C09" w:rsidP="00EE3B91">
            <w:pPr>
              <w:autoSpaceDE w:val="0"/>
              <w:autoSpaceDN w:val="0"/>
              <w:adjustRightInd w:val="0"/>
              <w:rPr>
                <w:rFonts w:cs="Arial"/>
                <w:b w:val="0"/>
                <w:color w:val="1F497D" w:themeColor="text2"/>
                <w:sz w:val="20"/>
                <w:szCs w:val="20"/>
                <w:lang w:val="es-ES"/>
              </w:rPr>
            </w:pPr>
            <w:r w:rsidRPr="00EA1632">
              <w:rPr>
                <w:rFonts w:cs="Arial"/>
                <w:b w:val="0"/>
                <w:color w:val="1F497D" w:themeColor="text2"/>
                <w:sz w:val="20"/>
                <w:szCs w:val="20"/>
                <w:lang w:val="es-ES"/>
              </w:rPr>
              <w:t xml:space="preserve">Centre Internacional de Mejoramiento de </w:t>
            </w:r>
            <w:proofErr w:type="spellStart"/>
            <w:r w:rsidRPr="00EA1632">
              <w:rPr>
                <w:rFonts w:cs="Arial"/>
                <w:b w:val="0"/>
                <w:color w:val="1F497D" w:themeColor="text2"/>
                <w:sz w:val="20"/>
                <w:szCs w:val="20"/>
                <w:lang w:val="es-ES"/>
              </w:rPr>
              <w:t>Maiz</w:t>
            </w:r>
            <w:proofErr w:type="spellEnd"/>
            <w:r w:rsidRPr="00EA1632">
              <w:rPr>
                <w:rFonts w:cs="Arial"/>
                <w:b w:val="0"/>
                <w:color w:val="1F497D" w:themeColor="text2"/>
                <w:sz w:val="20"/>
                <w:szCs w:val="20"/>
                <w:lang w:val="es-ES"/>
              </w:rPr>
              <w:t xml:space="preserve"> y Trigo (CIMMYT)</w:t>
            </w:r>
          </w:p>
        </w:tc>
        <w:tc>
          <w:tcPr>
            <w:tcW w:w="4394" w:type="dxa"/>
          </w:tcPr>
          <w:p w:rsidR="003F6C09" w:rsidRPr="008744CB" w:rsidRDefault="003F6C09" w:rsidP="00EE3B91">
            <w:pPr>
              <w:autoSpaceDE w:val="0"/>
              <w:autoSpaceDN w:val="0"/>
              <w:adjustRightInd w:val="0"/>
              <w:jc w:val="both"/>
              <w:cnfStyle w:val="000000100000"/>
              <w:rPr>
                <w:rFonts w:cs="Arial"/>
                <w:color w:val="1F497D" w:themeColor="text2"/>
                <w:sz w:val="20"/>
                <w:szCs w:val="20"/>
              </w:rPr>
            </w:pPr>
            <w:r w:rsidRPr="008744CB">
              <w:rPr>
                <w:rFonts w:cs="Arial"/>
                <w:color w:val="1F497D" w:themeColor="text2"/>
                <w:sz w:val="20"/>
                <w:szCs w:val="20"/>
              </w:rPr>
              <w:t>Drought Tolerant Maize for Africa – Phase II</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33.3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Cornell University</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Durable Rust Resistance in Wheat (DRRW), Phase II</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26.8 million</w:t>
            </w:r>
          </w:p>
        </w:tc>
      </w:tr>
      <w:tr w:rsidR="003F6C09" w:rsidRPr="008744CB" w:rsidTr="00EE3B91">
        <w:trPr>
          <w:cnfStyle w:val="000000100000"/>
        </w:trPr>
        <w:tc>
          <w:tcPr>
            <w:cnfStyle w:val="001000000000"/>
            <w:tcW w:w="9242" w:type="dxa"/>
            <w:gridSpan w:val="3"/>
          </w:tcPr>
          <w:p w:rsidR="003F6C09" w:rsidRPr="008744CB" w:rsidRDefault="003F6C09" w:rsidP="00EE3B91">
            <w:pPr>
              <w:autoSpaceDE w:val="0"/>
              <w:autoSpaceDN w:val="0"/>
              <w:adjustRightInd w:val="0"/>
              <w:rPr>
                <w:rFonts w:cs="Arial"/>
                <w:color w:val="1F497D" w:themeColor="text2"/>
                <w:sz w:val="20"/>
                <w:szCs w:val="20"/>
              </w:rPr>
            </w:pPr>
            <w:r w:rsidRPr="008744CB">
              <w:rPr>
                <w:rFonts w:cs="Arial"/>
                <w:color w:val="1F497D" w:themeColor="text2"/>
                <w:sz w:val="20"/>
                <w:szCs w:val="20"/>
              </w:rPr>
              <w:t>Agricultural Policies</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International Bank for Reconstruction and Development (IBRD)</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Global Agriculture and Food Security Program (GAFSP)</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30 million</w:t>
            </w:r>
          </w:p>
        </w:tc>
      </w:tr>
      <w:tr w:rsidR="003F6C09" w:rsidRPr="008744CB" w:rsidTr="00EE3B91">
        <w:trPr>
          <w:cnfStyle w:val="000000100000"/>
        </w:trPr>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International Bank for Reconstruction and Development (IBRD)</w:t>
            </w:r>
          </w:p>
        </w:tc>
        <w:tc>
          <w:tcPr>
            <w:tcW w:w="4394" w:type="dxa"/>
          </w:tcPr>
          <w:p w:rsidR="003F6C09" w:rsidRPr="008744CB" w:rsidRDefault="003F6C09" w:rsidP="00EE3B91">
            <w:pPr>
              <w:autoSpaceDE w:val="0"/>
              <w:autoSpaceDN w:val="0"/>
              <w:adjustRightInd w:val="0"/>
              <w:cnfStyle w:val="000000100000"/>
              <w:rPr>
                <w:rFonts w:cs="Arial"/>
                <w:color w:val="1F497D" w:themeColor="text2"/>
                <w:sz w:val="20"/>
                <w:szCs w:val="20"/>
              </w:rPr>
            </w:pPr>
            <w:r w:rsidRPr="008744CB">
              <w:rPr>
                <w:rFonts w:cs="Arial"/>
                <w:color w:val="1F497D" w:themeColor="text2"/>
                <w:sz w:val="20"/>
                <w:szCs w:val="20"/>
              </w:rPr>
              <w:t>Living Standards and Measurement Study (LSMS) – Integrated Surveys in Agriculture</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19.4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AGRA</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AGRA Policy Hubs</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15 million</w:t>
            </w:r>
          </w:p>
        </w:tc>
      </w:tr>
      <w:tr w:rsidR="003F6C09" w:rsidRPr="008744CB" w:rsidTr="00EE3B91">
        <w:trPr>
          <w:cnfStyle w:val="000000100000"/>
        </w:trPr>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 xml:space="preserve">International Centre for Research on </w:t>
            </w:r>
            <w:proofErr w:type="spellStart"/>
            <w:r w:rsidRPr="008744CB">
              <w:rPr>
                <w:rFonts w:cs="Arial"/>
                <w:b w:val="0"/>
                <w:color w:val="1F497D" w:themeColor="text2"/>
                <w:sz w:val="20"/>
                <w:szCs w:val="20"/>
              </w:rPr>
              <w:t>Agroforestry</w:t>
            </w:r>
            <w:proofErr w:type="spellEnd"/>
            <w:r w:rsidRPr="008744CB">
              <w:rPr>
                <w:rFonts w:cs="Arial"/>
                <w:b w:val="0"/>
                <w:color w:val="1F497D" w:themeColor="text2"/>
                <w:sz w:val="20"/>
                <w:szCs w:val="20"/>
              </w:rPr>
              <w:t xml:space="preserve"> (ICRAF)</w:t>
            </w:r>
          </w:p>
        </w:tc>
        <w:tc>
          <w:tcPr>
            <w:tcW w:w="4394" w:type="dxa"/>
          </w:tcPr>
          <w:p w:rsidR="003F6C09" w:rsidRPr="008744CB" w:rsidRDefault="003F6C09" w:rsidP="00EE3B91">
            <w:pPr>
              <w:autoSpaceDE w:val="0"/>
              <w:autoSpaceDN w:val="0"/>
              <w:adjustRightInd w:val="0"/>
              <w:cnfStyle w:val="000000100000"/>
              <w:rPr>
                <w:rFonts w:cs="Arial"/>
                <w:color w:val="1F497D" w:themeColor="text2"/>
                <w:sz w:val="20"/>
                <w:szCs w:val="20"/>
              </w:rPr>
            </w:pPr>
            <w:r w:rsidRPr="008744CB">
              <w:rPr>
                <w:rFonts w:cs="Arial"/>
                <w:color w:val="1F497D" w:themeColor="text2"/>
                <w:sz w:val="20"/>
                <w:szCs w:val="20"/>
              </w:rPr>
              <w:t>AWARD Fellowship Program</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13.9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International Food Policy Research Institute (IFPRI)</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Harvest Choice Phase II</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8.5 million</w:t>
            </w:r>
          </w:p>
        </w:tc>
      </w:tr>
      <w:tr w:rsidR="003F6C09" w:rsidRPr="008744CB" w:rsidTr="00EE3B91">
        <w:trPr>
          <w:cnfStyle w:val="000000100000"/>
        </w:trPr>
        <w:tc>
          <w:tcPr>
            <w:cnfStyle w:val="001000000000"/>
            <w:tcW w:w="9242" w:type="dxa"/>
            <w:gridSpan w:val="3"/>
          </w:tcPr>
          <w:p w:rsidR="003F6C09" w:rsidRPr="008744CB" w:rsidRDefault="003F6C09" w:rsidP="00EE3B91">
            <w:pPr>
              <w:autoSpaceDE w:val="0"/>
              <w:autoSpaceDN w:val="0"/>
              <w:adjustRightInd w:val="0"/>
              <w:rPr>
                <w:rFonts w:cs="Arial"/>
                <w:color w:val="1F497D" w:themeColor="text2"/>
                <w:sz w:val="20"/>
                <w:szCs w:val="20"/>
              </w:rPr>
            </w:pPr>
            <w:r w:rsidRPr="008744CB">
              <w:rPr>
                <w:rFonts w:cs="Arial"/>
                <w:color w:val="1F497D" w:themeColor="text2"/>
                <w:sz w:val="20"/>
                <w:szCs w:val="20"/>
              </w:rPr>
              <w:t>Access and Market Systems</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AGRA</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AGRA Soil Health Program</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164.6 million</w:t>
            </w:r>
          </w:p>
        </w:tc>
      </w:tr>
      <w:tr w:rsidR="003F6C09" w:rsidRPr="008744CB" w:rsidTr="00EE3B91">
        <w:trPr>
          <w:cnfStyle w:val="000000100000"/>
        </w:trPr>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UN World Food Programme</w:t>
            </w:r>
          </w:p>
        </w:tc>
        <w:tc>
          <w:tcPr>
            <w:tcW w:w="4394" w:type="dxa"/>
          </w:tcPr>
          <w:p w:rsidR="003F6C09" w:rsidRPr="008744CB" w:rsidRDefault="003F6C09" w:rsidP="00EE3B91">
            <w:pPr>
              <w:autoSpaceDE w:val="0"/>
              <w:autoSpaceDN w:val="0"/>
              <w:adjustRightInd w:val="0"/>
              <w:cnfStyle w:val="000000100000"/>
              <w:rPr>
                <w:rFonts w:cs="Arial"/>
                <w:color w:val="1F497D" w:themeColor="text2"/>
                <w:sz w:val="20"/>
                <w:szCs w:val="20"/>
              </w:rPr>
            </w:pPr>
            <w:r w:rsidRPr="008744CB">
              <w:rPr>
                <w:rFonts w:cs="Arial"/>
                <w:color w:val="1F497D" w:themeColor="text2"/>
                <w:sz w:val="20"/>
                <w:szCs w:val="20"/>
              </w:rPr>
              <w:t>Purchase for Progress</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66.1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proofErr w:type="spellStart"/>
            <w:r w:rsidRPr="008744CB">
              <w:rPr>
                <w:rFonts w:cs="Arial"/>
                <w:b w:val="0"/>
                <w:color w:val="1F497D" w:themeColor="text2"/>
                <w:sz w:val="20"/>
                <w:szCs w:val="20"/>
              </w:rPr>
              <w:t>TechnoServe</w:t>
            </w:r>
            <w:proofErr w:type="spellEnd"/>
            <w:r w:rsidRPr="008744CB">
              <w:rPr>
                <w:rFonts w:cs="Arial"/>
                <w:b w:val="0"/>
                <w:color w:val="1F497D" w:themeColor="text2"/>
                <w:sz w:val="20"/>
                <w:szCs w:val="20"/>
              </w:rPr>
              <w:t>, Inc.</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Doubling Coffee Incomes in East Africa</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46.9 million</w:t>
            </w:r>
          </w:p>
        </w:tc>
      </w:tr>
      <w:tr w:rsidR="003F6C09" w:rsidRPr="008744CB" w:rsidTr="00EE3B91">
        <w:trPr>
          <w:cnfStyle w:val="000000100000"/>
        </w:trPr>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Heifer Project International Inc</w:t>
            </w:r>
          </w:p>
        </w:tc>
        <w:tc>
          <w:tcPr>
            <w:tcW w:w="4394" w:type="dxa"/>
          </w:tcPr>
          <w:p w:rsidR="003F6C09" w:rsidRPr="008744CB" w:rsidRDefault="003F6C09" w:rsidP="00EE3B91">
            <w:pPr>
              <w:autoSpaceDE w:val="0"/>
              <w:autoSpaceDN w:val="0"/>
              <w:adjustRightInd w:val="0"/>
              <w:cnfStyle w:val="000000100000"/>
              <w:rPr>
                <w:rFonts w:cs="Arial"/>
                <w:color w:val="1F497D" w:themeColor="text2"/>
                <w:sz w:val="20"/>
                <w:szCs w:val="20"/>
              </w:rPr>
            </w:pPr>
            <w:r w:rsidRPr="008744CB">
              <w:rPr>
                <w:rFonts w:cs="Arial"/>
                <w:color w:val="1F497D" w:themeColor="text2"/>
                <w:sz w:val="20"/>
                <w:szCs w:val="20"/>
              </w:rPr>
              <w:t>East Africa Dairy Development</w:t>
            </w:r>
          </w:p>
        </w:tc>
        <w:tc>
          <w:tcPr>
            <w:tcW w:w="1479" w:type="dxa"/>
          </w:tcPr>
          <w:p w:rsidR="003F6C09" w:rsidRPr="008744CB" w:rsidRDefault="003F6C09" w:rsidP="00EE3B91">
            <w:pPr>
              <w:autoSpaceDE w:val="0"/>
              <w:autoSpaceDN w:val="0"/>
              <w:adjustRightInd w:val="0"/>
              <w:jc w:val="center"/>
              <w:cnfStyle w:val="000000100000"/>
              <w:rPr>
                <w:rFonts w:cs="Arial"/>
                <w:color w:val="1F497D" w:themeColor="text2"/>
                <w:sz w:val="20"/>
                <w:szCs w:val="20"/>
              </w:rPr>
            </w:pPr>
            <w:r w:rsidRPr="008744CB">
              <w:rPr>
                <w:rFonts w:cs="Arial"/>
                <w:color w:val="1F497D" w:themeColor="text2"/>
                <w:sz w:val="20"/>
                <w:szCs w:val="20"/>
              </w:rPr>
              <w:t>42.8 million</w:t>
            </w:r>
          </w:p>
        </w:tc>
      </w:tr>
      <w:tr w:rsidR="003F6C09" w:rsidRPr="008744CB" w:rsidTr="00EE3B91">
        <w:tc>
          <w:tcPr>
            <w:cnfStyle w:val="001000000000"/>
            <w:tcW w:w="3369" w:type="dxa"/>
          </w:tcPr>
          <w:p w:rsidR="003F6C09" w:rsidRPr="008744CB" w:rsidRDefault="003F6C09" w:rsidP="00EE3B91">
            <w:pPr>
              <w:autoSpaceDE w:val="0"/>
              <w:autoSpaceDN w:val="0"/>
              <w:adjustRightInd w:val="0"/>
              <w:rPr>
                <w:rFonts w:cs="Arial"/>
                <w:b w:val="0"/>
                <w:color w:val="1F497D" w:themeColor="text2"/>
                <w:sz w:val="20"/>
                <w:szCs w:val="20"/>
              </w:rPr>
            </w:pPr>
            <w:r w:rsidRPr="008744CB">
              <w:rPr>
                <w:rFonts w:cs="Arial"/>
                <w:b w:val="0"/>
                <w:color w:val="1F497D" w:themeColor="text2"/>
                <w:sz w:val="20"/>
                <w:szCs w:val="20"/>
              </w:rPr>
              <w:t>AGRA</w:t>
            </w:r>
          </w:p>
        </w:tc>
        <w:tc>
          <w:tcPr>
            <w:tcW w:w="4394" w:type="dxa"/>
          </w:tcPr>
          <w:p w:rsidR="003F6C09" w:rsidRPr="008744CB" w:rsidRDefault="003F6C09" w:rsidP="00EE3B91">
            <w:pPr>
              <w:autoSpaceDE w:val="0"/>
              <w:autoSpaceDN w:val="0"/>
              <w:adjustRightInd w:val="0"/>
              <w:cnfStyle w:val="000000000000"/>
              <w:rPr>
                <w:rFonts w:cs="Arial"/>
                <w:color w:val="1F497D" w:themeColor="text2"/>
                <w:sz w:val="20"/>
                <w:szCs w:val="20"/>
              </w:rPr>
            </w:pPr>
            <w:r w:rsidRPr="008744CB">
              <w:rPr>
                <w:rFonts w:cs="Arial"/>
                <w:color w:val="1F497D" w:themeColor="text2"/>
                <w:sz w:val="20"/>
                <w:szCs w:val="20"/>
              </w:rPr>
              <w:t>AGRA Market Access Program Investment</w:t>
            </w:r>
          </w:p>
        </w:tc>
        <w:tc>
          <w:tcPr>
            <w:tcW w:w="1479" w:type="dxa"/>
          </w:tcPr>
          <w:p w:rsidR="003F6C09" w:rsidRPr="008744CB" w:rsidRDefault="003F6C09" w:rsidP="00EE3B91">
            <w:pPr>
              <w:autoSpaceDE w:val="0"/>
              <w:autoSpaceDN w:val="0"/>
              <w:adjustRightInd w:val="0"/>
              <w:jc w:val="center"/>
              <w:cnfStyle w:val="000000000000"/>
              <w:rPr>
                <w:rFonts w:cs="Arial"/>
                <w:color w:val="1F497D" w:themeColor="text2"/>
                <w:sz w:val="20"/>
                <w:szCs w:val="20"/>
              </w:rPr>
            </w:pPr>
            <w:r w:rsidRPr="008744CB">
              <w:rPr>
                <w:rFonts w:cs="Arial"/>
                <w:color w:val="1F497D" w:themeColor="text2"/>
                <w:sz w:val="20"/>
                <w:szCs w:val="20"/>
              </w:rPr>
              <w:t>28 million</w:t>
            </w:r>
          </w:p>
        </w:tc>
      </w:tr>
    </w:tbl>
    <w:p w:rsidR="003F6C09" w:rsidRPr="008744CB" w:rsidRDefault="003F6C09" w:rsidP="003F6C09">
      <w:pPr>
        <w:autoSpaceDE w:val="0"/>
        <w:autoSpaceDN w:val="0"/>
        <w:adjustRightInd w:val="0"/>
        <w:jc w:val="both"/>
        <w:rPr>
          <w:rFonts w:asciiTheme="minorHAnsi" w:hAnsiTheme="minorHAnsi" w:cs="Arial"/>
          <w:b/>
          <w:color w:val="1F497D" w:themeColor="text2"/>
          <w:sz w:val="20"/>
        </w:rPr>
      </w:pPr>
    </w:p>
    <w:p w:rsidR="003F6C09" w:rsidRPr="008744CB" w:rsidRDefault="003F6C09" w:rsidP="003F6C09">
      <w:pPr>
        <w:autoSpaceDE w:val="0"/>
        <w:autoSpaceDN w:val="0"/>
        <w:adjustRightInd w:val="0"/>
        <w:jc w:val="both"/>
        <w:rPr>
          <w:rFonts w:asciiTheme="minorHAnsi" w:hAnsiTheme="minorHAnsi" w:cs="Arial"/>
          <w:b/>
          <w:color w:val="1F497D" w:themeColor="text2"/>
          <w:sz w:val="20"/>
        </w:rPr>
      </w:pPr>
    </w:p>
    <w:p w:rsidR="003F6C09" w:rsidRPr="004C40D3" w:rsidRDefault="003F6C09" w:rsidP="003F6C09">
      <w:pPr>
        <w:autoSpaceDE w:val="0"/>
        <w:autoSpaceDN w:val="0"/>
        <w:adjustRightInd w:val="0"/>
        <w:rPr>
          <w:rFonts w:asciiTheme="minorHAnsi" w:hAnsiTheme="minorHAnsi" w:cs="Arial"/>
          <w:b/>
          <w:color w:val="1F497D" w:themeColor="text2"/>
          <w:szCs w:val="24"/>
        </w:rPr>
      </w:pPr>
      <w:r w:rsidRPr="004C40D3">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4C40D3">
        <w:rPr>
          <w:rFonts w:asciiTheme="minorHAnsi" w:hAnsiTheme="minorHAnsi" w:cs="Arial"/>
          <w:b/>
          <w:color w:val="1F497D" w:themeColor="text2"/>
          <w:szCs w:val="24"/>
        </w:rPr>
        <w:t>.4.</w:t>
      </w:r>
      <w:r w:rsidRPr="004C40D3">
        <w:rPr>
          <w:rFonts w:asciiTheme="minorHAnsi" w:hAnsiTheme="minorHAnsi" w:cs="Arial"/>
          <w:b/>
          <w:color w:val="1F497D" w:themeColor="text2"/>
          <w:szCs w:val="24"/>
        </w:rPr>
        <w:tab/>
        <w:t>Alliance for a Green Revolution in Africa (AGRA)</w:t>
      </w:r>
    </w:p>
    <w:p w:rsidR="003F6C09" w:rsidRPr="004C40D3" w:rsidRDefault="003F6C09" w:rsidP="004C40D3">
      <w:pPr>
        <w:autoSpaceDE w:val="0"/>
        <w:autoSpaceDN w:val="0"/>
        <w:adjustRightInd w:val="0"/>
        <w:spacing w:after="120" w:line="276" w:lineRule="auto"/>
        <w:jc w:val="both"/>
        <w:rPr>
          <w:rFonts w:asciiTheme="minorHAnsi" w:hAnsiTheme="minorHAnsi" w:cs="Arial"/>
          <w:sz w:val="22"/>
          <w:szCs w:val="22"/>
        </w:rPr>
      </w:pPr>
      <w:r w:rsidRPr="004C40D3">
        <w:rPr>
          <w:rFonts w:asciiTheme="minorHAnsi" w:hAnsiTheme="minorHAnsi" w:cs="Arial"/>
          <w:sz w:val="22"/>
          <w:szCs w:val="22"/>
        </w:rPr>
        <w:t xml:space="preserve">AGRA is an African-based, African-led initiative to revitalise agriculture on the continent.  AGRA was founded in 2006 through a partnership between the Rockefeller Foundation and the Bill &amp; Melinda Gates Foundation (see above).   It also receives funding from other governments, agencies and international institutions, including </w:t>
      </w:r>
      <w:proofErr w:type="spellStart"/>
      <w:r w:rsidRPr="004C40D3">
        <w:rPr>
          <w:rFonts w:asciiTheme="minorHAnsi" w:hAnsiTheme="minorHAnsi" w:cs="Arial"/>
          <w:sz w:val="22"/>
          <w:szCs w:val="22"/>
        </w:rPr>
        <w:t>Sida</w:t>
      </w:r>
      <w:proofErr w:type="spellEnd"/>
      <w:r w:rsidRPr="004C40D3">
        <w:rPr>
          <w:rFonts w:asciiTheme="minorHAnsi" w:hAnsiTheme="minorHAnsi" w:cs="Arial"/>
          <w:sz w:val="22"/>
          <w:szCs w:val="22"/>
        </w:rPr>
        <w:t>, DFID, DANIDA, USAID, the governments of Luxembourg and Keny</w:t>
      </w:r>
      <w:r w:rsidR="002B7557">
        <w:rPr>
          <w:rFonts w:asciiTheme="minorHAnsi" w:hAnsiTheme="minorHAnsi" w:cs="Arial"/>
          <w:sz w:val="22"/>
          <w:szCs w:val="22"/>
        </w:rPr>
        <w:t>a, Partners for Seed in Africa</w:t>
      </w:r>
      <w:r w:rsidRPr="004C40D3">
        <w:rPr>
          <w:rFonts w:asciiTheme="minorHAnsi" w:hAnsiTheme="minorHAnsi" w:cs="Arial"/>
          <w:sz w:val="22"/>
          <w:szCs w:val="22"/>
        </w:rPr>
        <w:t xml:space="preserve">, the International Development Research Centre (IDRC), Central Bank of Nigeria, the </w:t>
      </w:r>
      <w:proofErr w:type="spellStart"/>
      <w:r w:rsidRPr="004C40D3">
        <w:rPr>
          <w:rFonts w:asciiTheme="minorHAnsi" w:hAnsiTheme="minorHAnsi" w:cs="Arial"/>
          <w:sz w:val="22"/>
          <w:szCs w:val="22"/>
        </w:rPr>
        <w:t>Millenium</w:t>
      </w:r>
      <w:proofErr w:type="spellEnd"/>
      <w:r w:rsidRPr="004C40D3">
        <w:rPr>
          <w:rFonts w:asciiTheme="minorHAnsi" w:hAnsiTheme="minorHAnsi" w:cs="Arial"/>
          <w:sz w:val="22"/>
          <w:szCs w:val="22"/>
        </w:rPr>
        <w:t xml:space="preserve"> Development Authority Ghana, the New Venture Fund, the International Institute of Tropical Agriculture (IITA), </w:t>
      </w:r>
      <w:proofErr w:type="spellStart"/>
      <w:r w:rsidRPr="004C40D3">
        <w:rPr>
          <w:rFonts w:asciiTheme="minorHAnsi" w:hAnsiTheme="minorHAnsi" w:cs="Arial"/>
          <w:sz w:val="22"/>
          <w:szCs w:val="22"/>
        </w:rPr>
        <w:t>Econet</w:t>
      </w:r>
      <w:proofErr w:type="spellEnd"/>
      <w:r w:rsidRPr="004C40D3">
        <w:rPr>
          <w:rFonts w:asciiTheme="minorHAnsi" w:hAnsiTheme="minorHAnsi" w:cs="Arial"/>
          <w:sz w:val="22"/>
          <w:szCs w:val="22"/>
        </w:rPr>
        <w:t xml:space="preserve"> Wireless Global, and the International Fund for Agricultural Development (IFAD).  AGRA‘s work is focused on catalyzing public and private partnerships to concentrate investment in the “breadbasket regions” of four main countries -</w:t>
      </w:r>
      <w:r w:rsidRPr="004C40D3">
        <w:rPr>
          <w:rStyle w:val="apple-converted-space"/>
          <w:rFonts w:asciiTheme="minorHAnsi" w:hAnsiTheme="minorHAnsi" w:cs="Arial"/>
          <w:sz w:val="22"/>
          <w:szCs w:val="22"/>
        </w:rPr>
        <w:t> </w:t>
      </w:r>
      <w:r w:rsidRPr="00646832">
        <w:rPr>
          <w:rFonts w:asciiTheme="minorHAnsi" w:hAnsiTheme="minorHAnsi" w:cs="Arial"/>
          <w:sz w:val="22"/>
          <w:szCs w:val="22"/>
          <w:bdr w:val="none" w:sz="0" w:space="0" w:color="auto" w:frame="1"/>
        </w:rPr>
        <w:t>Ghana</w:t>
      </w:r>
      <w:r w:rsidRPr="004C40D3">
        <w:rPr>
          <w:rFonts w:asciiTheme="minorHAnsi" w:hAnsiTheme="minorHAnsi" w:cs="Arial"/>
          <w:sz w:val="22"/>
          <w:szCs w:val="22"/>
        </w:rPr>
        <w:t>,</w:t>
      </w:r>
      <w:r w:rsidRPr="004C40D3">
        <w:rPr>
          <w:rStyle w:val="apple-converted-space"/>
          <w:rFonts w:asciiTheme="minorHAnsi" w:hAnsiTheme="minorHAnsi" w:cs="Arial"/>
          <w:sz w:val="22"/>
          <w:szCs w:val="22"/>
        </w:rPr>
        <w:t> </w:t>
      </w:r>
      <w:r w:rsidRPr="00646832">
        <w:rPr>
          <w:rFonts w:asciiTheme="minorHAnsi" w:hAnsiTheme="minorHAnsi" w:cs="Arial"/>
          <w:sz w:val="22"/>
          <w:szCs w:val="22"/>
          <w:bdr w:val="none" w:sz="0" w:space="0" w:color="auto" w:frame="1"/>
        </w:rPr>
        <w:t>Mali</w:t>
      </w:r>
      <w:r w:rsidRPr="004C40D3">
        <w:rPr>
          <w:rFonts w:asciiTheme="minorHAnsi" w:hAnsiTheme="minorHAnsi" w:cs="Arial"/>
          <w:sz w:val="22"/>
          <w:szCs w:val="22"/>
        </w:rPr>
        <w:t>,</w:t>
      </w:r>
      <w:r w:rsidRPr="004C40D3">
        <w:rPr>
          <w:rStyle w:val="apple-converted-space"/>
          <w:rFonts w:asciiTheme="minorHAnsi" w:hAnsiTheme="minorHAnsi" w:cs="Arial"/>
          <w:sz w:val="22"/>
          <w:szCs w:val="22"/>
        </w:rPr>
        <w:t> </w:t>
      </w:r>
      <w:r w:rsidRPr="00646832">
        <w:rPr>
          <w:rFonts w:asciiTheme="minorHAnsi" w:hAnsiTheme="minorHAnsi" w:cs="Arial"/>
          <w:sz w:val="22"/>
          <w:szCs w:val="22"/>
          <w:bdr w:val="none" w:sz="0" w:space="0" w:color="auto" w:frame="1"/>
        </w:rPr>
        <w:t>Mozambique</w:t>
      </w:r>
      <w:r w:rsidRPr="004C40D3">
        <w:rPr>
          <w:rStyle w:val="apple-converted-space"/>
          <w:rFonts w:asciiTheme="minorHAnsi" w:hAnsiTheme="minorHAnsi" w:cs="Arial"/>
          <w:sz w:val="22"/>
          <w:szCs w:val="22"/>
        </w:rPr>
        <w:t> </w:t>
      </w:r>
      <w:r w:rsidRPr="004C40D3">
        <w:rPr>
          <w:rFonts w:asciiTheme="minorHAnsi" w:hAnsiTheme="minorHAnsi" w:cs="Arial"/>
          <w:sz w:val="22"/>
          <w:szCs w:val="22"/>
        </w:rPr>
        <w:t>and</w:t>
      </w:r>
      <w:r w:rsidRPr="004C40D3">
        <w:rPr>
          <w:rStyle w:val="apple-converted-space"/>
          <w:rFonts w:asciiTheme="minorHAnsi" w:hAnsiTheme="minorHAnsi" w:cs="Arial"/>
          <w:sz w:val="22"/>
          <w:szCs w:val="22"/>
        </w:rPr>
        <w:t> </w:t>
      </w:r>
      <w:r w:rsidRPr="00646832">
        <w:rPr>
          <w:rFonts w:asciiTheme="minorHAnsi" w:hAnsiTheme="minorHAnsi" w:cs="Arial"/>
          <w:sz w:val="22"/>
          <w:szCs w:val="22"/>
          <w:bdr w:val="none" w:sz="0" w:space="0" w:color="auto" w:frame="1"/>
        </w:rPr>
        <w:t>Tanzania</w:t>
      </w:r>
      <w:r w:rsidRPr="004C40D3">
        <w:rPr>
          <w:rFonts w:asciiTheme="minorHAnsi" w:hAnsiTheme="minorHAnsi" w:cs="Arial"/>
          <w:sz w:val="22"/>
          <w:szCs w:val="22"/>
        </w:rPr>
        <w:t>. Other areas where AGRA works are South Africa, Malawi, Zambia, Uganda, Kenya, Ethiopia, Rwanda, Nigeria, Niger and Burkina Faso.</w:t>
      </w:r>
      <w:r w:rsidRPr="004C40D3">
        <w:rPr>
          <w:rStyle w:val="FootnoteReference"/>
          <w:rFonts w:asciiTheme="minorHAnsi" w:hAnsiTheme="minorHAnsi" w:cs="Arial"/>
          <w:sz w:val="22"/>
          <w:szCs w:val="22"/>
        </w:rPr>
        <w:footnoteReference w:id="70"/>
      </w:r>
    </w:p>
    <w:p w:rsidR="003F6C09" w:rsidRPr="004C40D3" w:rsidRDefault="003F6C09" w:rsidP="003F6C09">
      <w:pPr>
        <w:rPr>
          <w:rFonts w:asciiTheme="minorHAnsi" w:hAnsiTheme="minorHAnsi" w:cs="Arial"/>
          <w:b/>
          <w:color w:val="1F497D" w:themeColor="text2"/>
          <w:szCs w:val="24"/>
        </w:rPr>
      </w:pPr>
    </w:p>
    <w:p w:rsidR="003F6C09" w:rsidRPr="004C40D3" w:rsidRDefault="003F6C09" w:rsidP="003F6C09">
      <w:pPr>
        <w:rPr>
          <w:rFonts w:asciiTheme="minorHAnsi" w:hAnsiTheme="minorHAnsi" w:cs="Arial"/>
          <w:b/>
          <w:color w:val="1F497D" w:themeColor="text2"/>
          <w:szCs w:val="24"/>
        </w:rPr>
      </w:pPr>
      <w:r w:rsidRPr="004C40D3">
        <w:rPr>
          <w:rFonts w:asciiTheme="minorHAnsi" w:hAnsiTheme="minorHAnsi" w:cs="Arial"/>
          <w:b/>
          <w:color w:val="1F497D" w:themeColor="text2"/>
          <w:szCs w:val="24"/>
        </w:rPr>
        <w:t>2.</w:t>
      </w:r>
      <w:r w:rsidR="004940A8">
        <w:rPr>
          <w:rFonts w:asciiTheme="minorHAnsi" w:hAnsiTheme="minorHAnsi" w:cs="Arial"/>
          <w:b/>
          <w:color w:val="1F497D" w:themeColor="text2"/>
          <w:szCs w:val="24"/>
        </w:rPr>
        <w:t>5</w:t>
      </w:r>
      <w:r w:rsidRPr="004C40D3">
        <w:rPr>
          <w:rFonts w:asciiTheme="minorHAnsi" w:hAnsiTheme="minorHAnsi" w:cs="Arial"/>
          <w:b/>
          <w:color w:val="1F497D" w:themeColor="text2"/>
          <w:szCs w:val="24"/>
        </w:rPr>
        <w:t>.5</w:t>
      </w:r>
      <w:r w:rsidRPr="004C40D3">
        <w:rPr>
          <w:rFonts w:asciiTheme="minorHAnsi" w:hAnsiTheme="minorHAnsi" w:cs="Arial"/>
          <w:b/>
          <w:color w:val="1F497D" w:themeColor="text2"/>
          <w:szCs w:val="24"/>
        </w:rPr>
        <w:tab/>
        <w:t>Private investment funds</w:t>
      </w:r>
    </w:p>
    <w:p w:rsidR="003F6C09" w:rsidRPr="004C40D3" w:rsidRDefault="003F6C09" w:rsidP="004C40D3">
      <w:pPr>
        <w:autoSpaceDE w:val="0"/>
        <w:autoSpaceDN w:val="0"/>
        <w:adjustRightInd w:val="0"/>
        <w:spacing w:after="120" w:line="276" w:lineRule="auto"/>
        <w:jc w:val="both"/>
        <w:rPr>
          <w:rFonts w:asciiTheme="minorHAnsi" w:hAnsiTheme="minorHAnsi" w:cs="Arial"/>
          <w:color w:val="000000"/>
          <w:sz w:val="22"/>
          <w:szCs w:val="22"/>
          <w:lang w:eastAsia="en-GB"/>
        </w:rPr>
      </w:pPr>
      <w:r w:rsidRPr="004C40D3">
        <w:rPr>
          <w:rFonts w:asciiTheme="minorHAnsi" w:hAnsiTheme="minorHAnsi"/>
          <w:sz w:val="22"/>
          <w:szCs w:val="22"/>
        </w:rPr>
        <w:t xml:space="preserve">One of CAADP’s aims is to raise the capacities of private entrepreneurs, including commercial and small-holder farmers (Pillar 2).  In 2009, </w:t>
      </w:r>
      <w:r w:rsidRPr="004C40D3">
        <w:rPr>
          <w:rFonts w:asciiTheme="minorHAnsi" w:hAnsiTheme="minorHAnsi" w:cs="Arial"/>
          <w:color w:val="000000"/>
          <w:sz w:val="22"/>
          <w:szCs w:val="22"/>
          <w:lang w:eastAsia="en-GB"/>
        </w:rPr>
        <w:t xml:space="preserve">the International Finance Corporation (IFC) established the </w:t>
      </w:r>
      <w:r w:rsidRPr="004C40D3">
        <w:rPr>
          <w:rFonts w:asciiTheme="minorHAnsi" w:hAnsiTheme="minorHAnsi" w:cs="Arial"/>
          <w:b/>
          <w:color w:val="000000"/>
          <w:sz w:val="22"/>
          <w:szCs w:val="22"/>
          <w:lang w:eastAsia="en-GB"/>
        </w:rPr>
        <w:t>Africa Agriculture Finance Project (AAFP),</w:t>
      </w:r>
      <w:r w:rsidRPr="004C40D3">
        <w:rPr>
          <w:rFonts w:asciiTheme="minorHAnsi" w:hAnsiTheme="minorHAnsi" w:cs="Arial"/>
          <w:color w:val="000000"/>
          <w:sz w:val="22"/>
          <w:szCs w:val="22"/>
          <w:lang w:eastAsia="en-GB"/>
        </w:rPr>
        <w:t xml:space="preserve"> an advisory and investment programme aimed at encouraging African banks and other financial institutions to establish or expand lending to the </w:t>
      </w:r>
      <w:r w:rsidRPr="004C40D3">
        <w:rPr>
          <w:rFonts w:asciiTheme="minorHAnsi" w:hAnsiTheme="minorHAnsi" w:cs="Arial"/>
          <w:color w:val="000000"/>
          <w:sz w:val="22"/>
          <w:szCs w:val="22"/>
          <w:lang w:eastAsia="en-GB"/>
        </w:rPr>
        <w:lastRenderedPageBreak/>
        <w:t>agriculture sector.</w:t>
      </w:r>
      <w:r w:rsidRPr="004C40D3">
        <w:rPr>
          <w:rFonts w:asciiTheme="minorHAnsi" w:hAnsiTheme="minorHAnsi"/>
          <w:sz w:val="22"/>
          <w:szCs w:val="22"/>
        </w:rPr>
        <w:t xml:space="preserve"> At the Toronto summit in June 2010, G20 leaders also committed to </w:t>
      </w:r>
      <w:r w:rsidRPr="004C40D3">
        <w:rPr>
          <w:rFonts w:asciiTheme="minorHAnsi" w:hAnsiTheme="minorHAnsi" w:cs="Arial"/>
          <w:color w:val="000000"/>
          <w:sz w:val="22"/>
          <w:szCs w:val="22"/>
          <w:lang w:eastAsia="en-GB"/>
        </w:rPr>
        <w:t>exploring “innovative, results-based mechanisms to harness the private sector for agricultural innovation”.</w:t>
      </w:r>
      <w:r w:rsidRPr="004C40D3">
        <w:rPr>
          <w:rStyle w:val="FootnoteReference"/>
          <w:rFonts w:asciiTheme="minorHAnsi" w:hAnsiTheme="minorHAnsi" w:cs="Arial"/>
          <w:color w:val="000000"/>
          <w:sz w:val="22"/>
          <w:szCs w:val="22"/>
          <w:lang w:eastAsia="en-GB"/>
        </w:rPr>
        <w:footnoteReference w:id="71"/>
      </w:r>
    </w:p>
    <w:p w:rsidR="003F6C09" w:rsidRPr="004C40D3" w:rsidRDefault="003F6C09" w:rsidP="004C40D3">
      <w:pPr>
        <w:autoSpaceDE w:val="0"/>
        <w:autoSpaceDN w:val="0"/>
        <w:adjustRightInd w:val="0"/>
        <w:spacing w:after="120" w:line="276" w:lineRule="auto"/>
        <w:jc w:val="both"/>
        <w:rPr>
          <w:rFonts w:asciiTheme="minorHAnsi" w:hAnsiTheme="minorHAnsi" w:cs="Arial"/>
          <w:color w:val="000000"/>
          <w:sz w:val="22"/>
          <w:szCs w:val="22"/>
          <w:lang w:eastAsia="en-GB"/>
        </w:rPr>
      </w:pPr>
      <w:r w:rsidRPr="004C40D3">
        <w:rPr>
          <w:rFonts w:asciiTheme="minorHAnsi" w:hAnsiTheme="minorHAnsi"/>
          <w:sz w:val="22"/>
          <w:szCs w:val="22"/>
        </w:rPr>
        <w:t xml:space="preserve">In the last few years, African small and medium-sized enterprises, as well as the private sector more broadly, are benefiting from an increasing number of investors targeting the agricultural sector in </w:t>
      </w:r>
      <w:proofErr w:type="spellStart"/>
      <w:r w:rsidRPr="004C40D3">
        <w:rPr>
          <w:rFonts w:asciiTheme="minorHAnsi" w:hAnsiTheme="minorHAnsi"/>
          <w:sz w:val="22"/>
          <w:szCs w:val="22"/>
        </w:rPr>
        <w:t>Afrca</w:t>
      </w:r>
      <w:proofErr w:type="spellEnd"/>
      <w:r w:rsidRPr="004C40D3">
        <w:rPr>
          <w:rFonts w:asciiTheme="minorHAnsi" w:hAnsiTheme="minorHAnsi"/>
          <w:sz w:val="22"/>
          <w:szCs w:val="22"/>
        </w:rPr>
        <w:t xml:space="preserve">, partly for profit as well as social motives.  A 2010 Reuters investigation into African agricultural finance found that although the volume of cash being channelled into third-party Africa private equity funds is impressive, there are concerns about the underlying motives: “The </w:t>
      </w:r>
      <w:r w:rsidRPr="004C40D3">
        <w:rPr>
          <w:rFonts w:asciiTheme="minorHAnsi" w:hAnsiTheme="minorHAnsi" w:cs="Arial"/>
          <w:color w:val="000000"/>
          <w:sz w:val="22"/>
          <w:szCs w:val="22"/>
          <w:lang w:eastAsia="en-GB"/>
        </w:rPr>
        <w:t>direct financial engagement of bilateral and multilateral development agencies with third-party privately-run financial vehicles that have an out-and-out mission to generate above-market returns certainly needs careful monitoring”.</w:t>
      </w:r>
      <w:r w:rsidRPr="004C40D3">
        <w:rPr>
          <w:rStyle w:val="FootnoteReference"/>
          <w:rFonts w:asciiTheme="minorHAnsi" w:hAnsiTheme="minorHAnsi" w:cs="Arial"/>
          <w:color w:val="000000"/>
          <w:sz w:val="22"/>
          <w:szCs w:val="22"/>
          <w:lang w:eastAsia="en-GB"/>
        </w:rPr>
        <w:footnoteReference w:id="72"/>
      </w:r>
      <w:r w:rsidRPr="004C40D3">
        <w:rPr>
          <w:rFonts w:asciiTheme="minorHAnsi" w:hAnsiTheme="minorHAnsi" w:cs="Arial"/>
          <w:color w:val="000000"/>
          <w:sz w:val="22"/>
          <w:szCs w:val="22"/>
          <w:lang w:eastAsia="en-GB"/>
        </w:rPr>
        <w:t xml:space="preserve">  </w:t>
      </w:r>
    </w:p>
    <w:p w:rsidR="003F6C09" w:rsidRPr="004C40D3" w:rsidRDefault="003F6C09" w:rsidP="004C40D3">
      <w:pPr>
        <w:autoSpaceDE w:val="0"/>
        <w:autoSpaceDN w:val="0"/>
        <w:adjustRightInd w:val="0"/>
        <w:spacing w:after="120" w:line="276" w:lineRule="auto"/>
        <w:jc w:val="both"/>
        <w:rPr>
          <w:rFonts w:asciiTheme="minorHAnsi" w:hAnsiTheme="minorHAnsi" w:cs="Arial"/>
          <w:color w:val="000000"/>
          <w:sz w:val="22"/>
          <w:szCs w:val="22"/>
        </w:rPr>
      </w:pPr>
      <w:r w:rsidRPr="004C40D3">
        <w:rPr>
          <w:rFonts w:asciiTheme="minorHAnsi" w:hAnsiTheme="minorHAnsi" w:cs="Arial"/>
          <w:color w:val="000000"/>
          <w:sz w:val="22"/>
          <w:szCs w:val="22"/>
          <w:lang w:eastAsia="en-GB"/>
        </w:rPr>
        <w:t xml:space="preserve">Examples of </w:t>
      </w:r>
      <w:r w:rsidRPr="004C40D3">
        <w:rPr>
          <w:rFonts w:asciiTheme="minorHAnsi" w:hAnsiTheme="minorHAnsi" w:cs="Arial"/>
          <w:sz w:val="22"/>
          <w:szCs w:val="22"/>
        </w:rPr>
        <w:t xml:space="preserve">Africa funds that have recently raised or are raising funds for the agriculture sector in Africa are shown in </w:t>
      </w:r>
      <w:r w:rsidR="003D7089">
        <w:rPr>
          <w:rFonts w:asciiTheme="minorHAnsi" w:hAnsiTheme="minorHAnsi" w:cs="Arial"/>
          <w:sz w:val="22"/>
          <w:szCs w:val="22"/>
        </w:rPr>
        <w:t xml:space="preserve">Annex </w:t>
      </w:r>
      <w:r w:rsidR="006D7266">
        <w:rPr>
          <w:rFonts w:asciiTheme="minorHAnsi" w:hAnsiTheme="minorHAnsi" w:cs="Arial"/>
          <w:sz w:val="22"/>
          <w:szCs w:val="22"/>
        </w:rPr>
        <w:t>3</w:t>
      </w:r>
      <w:r w:rsidRPr="004C40D3">
        <w:rPr>
          <w:rFonts w:asciiTheme="minorHAnsi" w:hAnsiTheme="minorHAnsi" w:cs="Arial"/>
          <w:sz w:val="22"/>
          <w:szCs w:val="22"/>
        </w:rPr>
        <w:t xml:space="preserve">.   The funds shown have </w:t>
      </w:r>
      <w:r w:rsidRPr="004C40D3">
        <w:rPr>
          <w:rFonts w:asciiTheme="minorHAnsi" w:hAnsiTheme="minorHAnsi" w:cs="Arial"/>
          <w:b/>
          <w:sz w:val="22"/>
          <w:szCs w:val="22"/>
        </w:rPr>
        <w:t xml:space="preserve">target amounts totalling USD 6.7 billion. </w:t>
      </w:r>
      <w:r w:rsidRPr="004C40D3">
        <w:rPr>
          <w:rFonts w:asciiTheme="minorHAnsi" w:hAnsiTheme="minorHAnsi" w:cs="Arial"/>
          <w:sz w:val="22"/>
          <w:szCs w:val="22"/>
        </w:rPr>
        <w:t xml:space="preserve">  Although this information is based on examples of funds cited in a Reuters report dated August 2010 and is therefore by no means comprehensive or up-to-date, it does give an idea of the </w:t>
      </w:r>
      <w:r w:rsidR="002B7557">
        <w:rPr>
          <w:rFonts w:asciiTheme="minorHAnsi" w:hAnsiTheme="minorHAnsi" w:cs="Arial"/>
          <w:sz w:val="22"/>
          <w:szCs w:val="22"/>
        </w:rPr>
        <w:t>scale</w:t>
      </w:r>
      <w:r w:rsidRPr="004C40D3">
        <w:rPr>
          <w:rFonts w:asciiTheme="minorHAnsi" w:hAnsiTheme="minorHAnsi" w:cs="Arial"/>
          <w:sz w:val="22"/>
          <w:szCs w:val="22"/>
        </w:rPr>
        <w:t xml:space="preserve"> of private finance and investment funds targeting African agriculture.</w:t>
      </w:r>
    </w:p>
    <w:p w:rsidR="003F6C09" w:rsidRPr="008744CB" w:rsidRDefault="003F6C09" w:rsidP="003F6C09">
      <w:pPr>
        <w:rPr>
          <w:rFonts w:asciiTheme="minorHAnsi" w:hAnsiTheme="minorHAnsi" w:cs="Arial"/>
        </w:rPr>
      </w:pPr>
    </w:p>
    <w:p w:rsidR="003F6C09" w:rsidRPr="008744CB" w:rsidRDefault="003F6C09" w:rsidP="003F6C09">
      <w:pPr>
        <w:rPr>
          <w:rFonts w:asciiTheme="minorHAnsi" w:hAnsiTheme="minorHAnsi"/>
        </w:rPr>
        <w:sectPr w:rsidR="003F6C09" w:rsidRPr="008744CB" w:rsidSect="00D1383F">
          <w:footerReference w:type="default" r:id="rId19"/>
          <w:pgSz w:w="11906" w:h="16838"/>
          <w:pgMar w:top="1134" w:right="1440" w:bottom="709" w:left="1440" w:header="708" w:footer="708" w:gutter="0"/>
          <w:cols w:space="708"/>
          <w:docGrid w:linePitch="360"/>
        </w:sectPr>
      </w:pPr>
    </w:p>
    <w:p w:rsidR="003F6C09" w:rsidRPr="004C40D3" w:rsidRDefault="003F6C09" w:rsidP="003F6C09">
      <w:pPr>
        <w:autoSpaceDE w:val="0"/>
        <w:autoSpaceDN w:val="0"/>
        <w:adjustRightInd w:val="0"/>
        <w:jc w:val="center"/>
        <w:rPr>
          <w:rFonts w:asciiTheme="minorHAnsi" w:hAnsiTheme="minorHAnsi" w:cs="Arial"/>
          <w:b/>
          <w:color w:val="1F497D" w:themeColor="text2"/>
          <w:sz w:val="28"/>
          <w:szCs w:val="28"/>
        </w:rPr>
      </w:pPr>
      <w:r w:rsidRPr="004C40D3">
        <w:rPr>
          <w:rFonts w:asciiTheme="minorHAnsi" w:hAnsiTheme="minorHAnsi" w:cs="Arial"/>
          <w:b/>
          <w:color w:val="1F497D" w:themeColor="text2"/>
          <w:sz w:val="28"/>
          <w:szCs w:val="28"/>
        </w:rPr>
        <w:lastRenderedPageBreak/>
        <w:t xml:space="preserve">SECTION 3: MAPPING OF SUPPORT TO </w:t>
      </w:r>
    </w:p>
    <w:p w:rsidR="003F6C09" w:rsidRPr="004C40D3" w:rsidRDefault="003F6C09" w:rsidP="003F6C09">
      <w:pPr>
        <w:autoSpaceDE w:val="0"/>
        <w:autoSpaceDN w:val="0"/>
        <w:adjustRightInd w:val="0"/>
        <w:jc w:val="center"/>
        <w:rPr>
          <w:rFonts w:asciiTheme="minorHAnsi" w:hAnsiTheme="minorHAnsi" w:cs="Arial"/>
          <w:b/>
          <w:color w:val="1F497D" w:themeColor="text2"/>
          <w:sz w:val="28"/>
          <w:szCs w:val="28"/>
        </w:rPr>
      </w:pPr>
      <w:r w:rsidRPr="004C40D3">
        <w:rPr>
          <w:rFonts w:asciiTheme="minorHAnsi" w:hAnsiTheme="minorHAnsi" w:cs="Arial"/>
          <w:b/>
          <w:color w:val="1F497D" w:themeColor="text2"/>
          <w:sz w:val="28"/>
          <w:szCs w:val="28"/>
        </w:rPr>
        <w:t>INSTITUTIONS DELIVERING CAADP</w:t>
      </w:r>
    </w:p>
    <w:p w:rsidR="003F6C09" w:rsidRPr="004C40D3" w:rsidRDefault="003F6C09" w:rsidP="003F6C09">
      <w:pPr>
        <w:autoSpaceDE w:val="0"/>
        <w:autoSpaceDN w:val="0"/>
        <w:adjustRightInd w:val="0"/>
        <w:jc w:val="center"/>
        <w:rPr>
          <w:rFonts w:asciiTheme="minorHAnsi" w:hAnsiTheme="minorHAnsi" w:cs="Arial"/>
          <w:b/>
          <w:color w:val="1F497D" w:themeColor="text2"/>
          <w:szCs w:val="24"/>
        </w:rPr>
      </w:pPr>
    </w:p>
    <w:p w:rsidR="003F6C09" w:rsidRPr="004C40D3" w:rsidRDefault="003F6C09" w:rsidP="003F6C09">
      <w:pPr>
        <w:autoSpaceDE w:val="0"/>
        <w:autoSpaceDN w:val="0"/>
        <w:adjustRightInd w:val="0"/>
        <w:rPr>
          <w:rFonts w:asciiTheme="minorHAnsi" w:hAnsiTheme="minorHAnsi" w:cs="Arial"/>
          <w:b/>
          <w:color w:val="1F497D" w:themeColor="text2"/>
          <w:szCs w:val="24"/>
        </w:rPr>
      </w:pPr>
      <w:r w:rsidRPr="004C40D3">
        <w:rPr>
          <w:rFonts w:asciiTheme="minorHAnsi" w:hAnsiTheme="minorHAnsi" w:cs="Arial"/>
          <w:b/>
          <w:color w:val="1F497D" w:themeColor="text2"/>
          <w:szCs w:val="24"/>
        </w:rPr>
        <w:t>3.1</w:t>
      </w:r>
      <w:r w:rsidRPr="004C40D3">
        <w:rPr>
          <w:rFonts w:asciiTheme="minorHAnsi" w:hAnsiTheme="minorHAnsi" w:cs="Arial"/>
          <w:b/>
          <w:color w:val="1F497D" w:themeColor="text2"/>
          <w:szCs w:val="24"/>
        </w:rPr>
        <w:tab/>
        <w:t xml:space="preserve">Donor engagement with CAADP </w:t>
      </w:r>
    </w:p>
    <w:p w:rsidR="003F6C09" w:rsidRPr="004C40D3" w:rsidRDefault="003F6C09" w:rsidP="004C40D3">
      <w:pPr>
        <w:spacing w:after="120" w:line="276" w:lineRule="auto"/>
        <w:jc w:val="both"/>
        <w:rPr>
          <w:rFonts w:asciiTheme="minorHAnsi" w:hAnsiTheme="minorHAnsi"/>
          <w:sz w:val="22"/>
          <w:szCs w:val="22"/>
        </w:rPr>
      </w:pPr>
      <w:r w:rsidRPr="004C40D3">
        <w:rPr>
          <w:rFonts w:asciiTheme="minorHAnsi" w:hAnsiTheme="minorHAnsi" w:cs="TimesNewRomanPSMT"/>
          <w:bCs/>
          <w:sz w:val="22"/>
          <w:szCs w:val="22"/>
        </w:rPr>
        <w:t xml:space="preserve">Although CAADP is an African-owned and Africa-led initiative, the main donors and </w:t>
      </w:r>
      <w:r w:rsidRPr="004C40D3">
        <w:rPr>
          <w:rStyle w:val="A7"/>
          <w:rFonts w:asciiTheme="minorHAnsi" w:hAnsiTheme="minorHAnsi"/>
        </w:rPr>
        <w:t>International Financial Institutions (IFIs)</w:t>
      </w:r>
      <w:r w:rsidRPr="004C40D3">
        <w:rPr>
          <w:rFonts w:asciiTheme="minorHAnsi" w:hAnsiTheme="minorHAnsi" w:cs="TimesNewRomanPSMT"/>
          <w:bCs/>
          <w:sz w:val="22"/>
          <w:szCs w:val="22"/>
        </w:rPr>
        <w:t xml:space="preserve"> have committed themselves to supporting the CAADP process.  </w:t>
      </w:r>
      <w:r w:rsidRPr="004C40D3">
        <w:rPr>
          <w:rFonts w:asciiTheme="minorHAnsi" w:hAnsiTheme="minorHAnsi"/>
          <w:sz w:val="22"/>
          <w:szCs w:val="22"/>
        </w:rPr>
        <w:t xml:space="preserve">There are various donor coordination and collaboration mechanisms aimed at advancing CAADP implementation at national, regional and continental levels. </w:t>
      </w:r>
    </w:p>
    <w:p w:rsidR="003F6C09" w:rsidRPr="00E435B3" w:rsidRDefault="003F6C09" w:rsidP="004C40D3">
      <w:pPr>
        <w:spacing w:after="120" w:line="276" w:lineRule="auto"/>
        <w:jc w:val="both"/>
        <w:rPr>
          <w:rFonts w:asciiTheme="minorHAnsi" w:hAnsiTheme="minorHAnsi" w:cs="TimesNewRomanPSMT"/>
          <w:bCs/>
          <w:sz w:val="22"/>
          <w:szCs w:val="22"/>
        </w:rPr>
      </w:pPr>
      <w:r w:rsidRPr="003E166E">
        <w:rPr>
          <w:rFonts w:asciiTheme="minorHAnsi" w:hAnsiTheme="minorHAnsi" w:cs="TimesNewRomanPSMT"/>
          <w:bCs/>
          <w:sz w:val="22"/>
          <w:szCs w:val="22"/>
        </w:rPr>
        <w:t xml:space="preserve">Donors engage with CAADP country representatives and Regional Economic Communities (RECs) through the </w:t>
      </w:r>
      <w:r w:rsidRPr="003E166E">
        <w:rPr>
          <w:rFonts w:asciiTheme="minorHAnsi" w:hAnsiTheme="minorHAnsi" w:cs="TimesNewRomanPSMT"/>
          <w:b/>
          <w:bCs/>
          <w:sz w:val="22"/>
          <w:szCs w:val="22"/>
        </w:rPr>
        <w:t>CAADP Partnership Platform (CAADP PP)</w:t>
      </w:r>
      <w:r w:rsidRPr="003E166E">
        <w:rPr>
          <w:rFonts w:asciiTheme="minorHAnsi" w:hAnsiTheme="minorHAnsi" w:cs="TimesNewRomanPSMT"/>
          <w:bCs/>
          <w:sz w:val="22"/>
          <w:szCs w:val="22"/>
        </w:rPr>
        <w:t xml:space="preserve"> meetings</w:t>
      </w:r>
      <w:r w:rsidRPr="003E166E">
        <w:rPr>
          <w:rFonts w:asciiTheme="minorHAnsi" w:hAnsiTheme="minorHAnsi"/>
          <w:sz w:val="22"/>
          <w:szCs w:val="22"/>
        </w:rPr>
        <w:t xml:space="preserve">.  The most recent CAADP PP meeting was held in Nairobi in May 2012, jointly organised by AUC, NPCA and hosted by the Economic Community for Eastern Africa (EAC) with financial and technical support from the MDTF.  </w:t>
      </w:r>
      <w:r w:rsidR="003E166E" w:rsidRPr="003E166E">
        <w:rPr>
          <w:rFonts w:asciiTheme="minorHAnsi" w:hAnsiTheme="minorHAnsi" w:cs="Arial"/>
          <w:sz w:val="22"/>
          <w:szCs w:val="22"/>
        </w:rPr>
        <w:t xml:space="preserve">The next CAADP PP meeting will be held </w:t>
      </w:r>
      <w:r w:rsidR="003E166E">
        <w:rPr>
          <w:rFonts w:asciiTheme="minorHAnsi" w:hAnsiTheme="minorHAnsi" w:cs="Arial"/>
          <w:sz w:val="22"/>
          <w:szCs w:val="22"/>
        </w:rPr>
        <w:t xml:space="preserve">in Addis Ababa </w:t>
      </w:r>
      <w:r w:rsidR="003E166E" w:rsidRPr="003E166E">
        <w:rPr>
          <w:rFonts w:asciiTheme="minorHAnsi" w:hAnsiTheme="minorHAnsi" w:cs="Arial"/>
          <w:sz w:val="22"/>
          <w:szCs w:val="22"/>
          <w:shd w:val="clear" w:color="auto" w:fill="FFFFFF"/>
        </w:rPr>
        <w:t>from March 25 to 26, to evaluate progress and achievements made in implementing CAADP.</w:t>
      </w:r>
      <w:r w:rsidR="003E166E">
        <w:rPr>
          <w:rStyle w:val="FootnoteReference"/>
          <w:rFonts w:asciiTheme="minorHAnsi" w:hAnsiTheme="minorHAnsi" w:cs="Arial"/>
          <w:sz w:val="22"/>
          <w:szCs w:val="22"/>
          <w:shd w:val="clear" w:color="auto" w:fill="FFFFFF"/>
        </w:rPr>
        <w:footnoteReference w:id="73"/>
      </w:r>
      <w:r w:rsidR="003E166E" w:rsidRPr="003E166E">
        <w:rPr>
          <w:rStyle w:val="apple-converted-space"/>
          <w:rFonts w:ascii="Arial" w:hAnsi="Arial" w:cs="Arial"/>
          <w:sz w:val="20"/>
          <w:shd w:val="clear" w:color="auto" w:fill="FFFFFF"/>
        </w:rPr>
        <w:t> </w:t>
      </w:r>
    </w:p>
    <w:p w:rsidR="003F6C09" w:rsidRPr="004C40D3" w:rsidRDefault="003F6C09" w:rsidP="004C40D3">
      <w:pPr>
        <w:spacing w:after="120" w:line="276" w:lineRule="auto"/>
        <w:jc w:val="both"/>
        <w:rPr>
          <w:rFonts w:asciiTheme="minorHAnsi" w:hAnsiTheme="minorHAnsi" w:cs="TimesNewRomanPSMT"/>
          <w:bCs/>
          <w:sz w:val="22"/>
          <w:szCs w:val="22"/>
        </w:rPr>
      </w:pPr>
      <w:r w:rsidRPr="004C40D3">
        <w:rPr>
          <w:rFonts w:asciiTheme="minorHAnsi" w:hAnsiTheme="minorHAnsi" w:cs="TimesNewRomanPSMT"/>
          <w:bCs/>
          <w:sz w:val="22"/>
          <w:szCs w:val="22"/>
        </w:rPr>
        <w:t xml:space="preserve">Individual donors have also explicitly endorsed CAADP through the </w:t>
      </w:r>
      <w:r w:rsidRPr="004C40D3">
        <w:rPr>
          <w:rFonts w:asciiTheme="minorHAnsi" w:hAnsiTheme="minorHAnsi" w:cs="TimesNewRomanPSMT"/>
          <w:b/>
          <w:bCs/>
          <w:sz w:val="22"/>
          <w:szCs w:val="22"/>
        </w:rPr>
        <w:t xml:space="preserve">Donor Platform for Rural Development </w:t>
      </w:r>
      <w:r w:rsidRPr="004C40D3">
        <w:rPr>
          <w:rFonts w:asciiTheme="minorHAnsi" w:hAnsiTheme="minorHAnsi" w:cs="TimesNewRomanPSMT"/>
          <w:bCs/>
          <w:sz w:val="22"/>
          <w:szCs w:val="22"/>
        </w:rPr>
        <w:t xml:space="preserve">– the key donor platform engaged with CAADP.  The Platform created the </w:t>
      </w:r>
      <w:r w:rsidRPr="004C40D3">
        <w:rPr>
          <w:rFonts w:asciiTheme="minorHAnsi" w:hAnsiTheme="minorHAnsi" w:cs="TimesNewRomanPSMT"/>
          <w:b/>
          <w:bCs/>
          <w:sz w:val="22"/>
          <w:szCs w:val="22"/>
        </w:rPr>
        <w:t>CAADP Development Partners Task Team</w:t>
      </w:r>
      <w:r w:rsidRPr="004C40D3">
        <w:rPr>
          <w:rFonts w:asciiTheme="minorHAnsi" w:hAnsiTheme="minorHAnsi" w:cs="TimesNewRomanPSMT"/>
          <w:bCs/>
          <w:sz w:val="22"/>
          <w:szCs w:val="22"/>
        </w:rPr>
        <w:t>, in which the CAADP Task Leader acts as a dedicated, full-time link between donors and the CAADP process.</w:t>
      </w:r>
      <w:r w:rsidRPr="004C40D3">
        <w:rPr>
          <w:rStyle w:val="FootnoteReference"/>
          <w:rFonts w:asciiTheme="minorHAnsi" w:hAnsiTheme="minorHAnsi" w:cs="TimesNewRomanPSMT"/>
          <w:bCs/>
          <w:sz w:val="22"/>
          <w:szCs w:val="22"/>
        </w:rPr>
        <w:footnoteReference w:id="74"/>
      </w:r>
      <w:r w:rsidR="002B7557">
        <w:rPr>
          <w:rFonts w:asciiTheme="minorHAnsi" w:hAnsiTheme="minorHAnsi" w:cs="TimesNewRomanPSMT"/>
          <w:bCs/>
          <w:sz w:val="22"/>
          <w:szCs w:val="22"/>
        </w:rPr>
        <w:t xml:space="preserve">   The group meets</w:t>
      </w:r>
      <w:r w:rsidRPr="004C40D3">
        <w:rPr>
          <w:rFonts w:asciiTheme="minorHAnsi" w:hAnsiTheme="minorHAnsi" w:cs="TimesNewRomanPSMT"/>
          <w:bCs/>
          <w:sz w:val="22"/>
          <w:szCs w:val="22"/>
        </w:rPr>
        <w:t xml:space="preserve"> regularly by phone and in person to discuss ways to improve donor harmonisation and coordination, and how to better engage with African partners on CAADP implementation.  The CAADP Development Partners Task Team consists mainly of representatives from DFID, the European Commission (DG Dev), the Food and Agricultural Organisation (FAO), the French Ministry of Foreign Affairs, GIZ, IFPRI, Netherlands Ministry of Foreign Affairs, the Swedish International Development Agency (</w:t>
      </w:r>
      <w:proofErr w:type="spellStart"/>
      <w:r w:rsidRPr="004C40D3">
        <w:rPr>
          <w:rFonts w:asciiTheme="minorHAnsi" w:hAnsiTheme="minorHAnsi" w:cs="TimesNewRomanPSMT"/>
          <w:bCs/>
          <w:sz w:val="22"/>
          <w:szCs w:val="22"/>
        </w:rPr>
        <w:t>Sida</w:t>
      </w:r>
      <w:proofErr w:type="spellEnd"/>
      <w:r w:rsidRPr="004C40D3">
        <w:rPr>
          <w:rFonts w:asciiTheme="minorHAnsi" w:hAnsiTheme="minorHAnsi" w:cs="TimesNewRomanPSMT"/>
          <w:bCs/>
          <w:sz w:val="22"/>
          <w:szCs w:val="22"/>
        </w:rPr>
        <w:t>), USAID, and the World Bank.  Since May 2012, meetings are chaired by CIDA.</w:t>
      </w:r>
      <w:r w:rsidRPr="004C40D3">
        <w:rPr>
          <w:rStyle w:val="FootnoteReference"/>
          <w:rFonts w:asciiTheme="minorHAnsi" w:hAnsiTheme="minorHAnsi" w:cs="TimesNewRomanPSMT"/>
          <w:bCs/>
          <w:sz w:val="22"/>
          <w:szCs w:val="22"/>
        </w:rPr>
        <w:footnoteReference w:id="75"/>
      </w:r>
      <w:r w:rsidRPr="004C40D3">
        <w:rPr>
          <w:rFonts w:asciiTheme="minorHAnsi" w:hAnsiTheme="minorHAnsi" w:cs="TimesNewRomanPSMT"/>
          <w:bCs/>
          <w:sz w:val="22"/>
          <w:szCs w:val="22"/>
        </w:rPr>
        <w:t xml:space="preserve">  A recent report by </w:t>
      </w:r>
      <w:proofErr w:type="spellStart"/>
      <w:r w:rsidRPr="004C40D3">
        <w:rPr>
          <w:rFonts w:asciiTheme="minorHAnsi" w:hAnsiTheme="minorHAnsi" w:cs="TimesNewRomanPSMT"/>
          <w:bCs/>
          <w:sz w:val="22"/>
          <w:szCs w:val="22"/>
        </w:rPr>
        <w:t>ActionAid</w:t>
      </w:r>
      <w:proofErr w:type="spellEnd"/>
      <w:r w:rsidRPr="004C40D3">
        <w:rPr>
          <w:rStyle w:val="FootnoteReference"/>
          <w:rFonts w:asciiTheme="minorHAnsi" w:hAnsiTheme="minorHAnsi" w:cs="TimesNewRomanPSMT"/>
          <w:bCs/>
          <w:sz w:val="22"/>
          <w:szCs w:val="22"/>
        </w:rPr>
        <w:footnoteReference w:id="76"/>
      </w:r>
      <w:r w:rsidRPr="004C40D3">
        <w:rPr>
          <w:rFonts w:asciiTheme="minorHAnsi" w:hAnsiTheme="minorHAnsi" w:cs="TimesNewRomanPSMT"/>
          <w:bCs/>
          <w:sz w:val="22"/>
          <w:szCs w:val="22"/>
        </w:rPr>
        <w:t xml:space="preserve"> noted that </w:t>
      </w:r>
      <w:r w:rsidRPr="004C40D3">
        <w:rPr>
          <w:rFonts w:asciiTheme="minorHAnsi" w:hAnsiTheme="minorHAnsi" w:cs="TimesNewRomanPSMT"/>
          <w:b/>
          <w:bCs/>
          <w:sz w:val="22"/>
          <w:szCs w:val="22"/>
        </w:rPr>
        <w:t>interested and engaged donors in the CAADP process</w:t>
      </w:r>
      <w:r w:rsidRPr="004C40D3">
        <w:rPr>
          <w:rFonts w:asciiTheme="minorHAnsi" w:hAnsiTheme="minorHAnsi" w:cs="TimesNewRomanPSMT"/>
          <w:bCs/>
          <w:sz w:val="22"/>
          <w:szCs w:val="22"/>
        </w:rPr>
        <w:t xml:space="preserve"> are:</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World Bank – runs the CAADP Multi-donor Trust Fund, channelling financial support to CAADP processes and investment</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GIZ (Germany)</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USAID (US) – mainly through the Feed the Future Initiative</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DFID (UK) – degree of engagement depends on the country office</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Food and Agriculture Organisation (UN) – involved in supporting the development of Investment Plans</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CIDA (Canada)</w:t>
      </w:r>
    </w:p>
    <w:p w:rsidR="003F6C09" w:rsidRPr="004C40D3" w:rsidRDefault="003F6C09" w:rsidP="007770A6">
      <w:pPr>
        <w:pStyle w:val="ListParagraph"/>
        <w:numPr>
          <w:ilvl w:val="0"/>
          <w:numId w:val="11"/>
        </w:numPr>
        <w:spacing w:after="120"/>
        <w:ind w:left="714" w:hanging="357"/>
        <w:jc w:val="both"/>
        <w:rPr>
          <w:rFonts w:cs="TimesNewRomanPSMT"/>
          <w:bCs/>
        </w:rPr>
      </w:pPr>
      <w:proofErr w:type="spellStart"/>
      <w:r w:rsidRPr="004C40D3">
        <w:rPr>
          <w:rFonts w:cs="TimesNewRomanPSMT"/>
          <w:bCs/>
        </w:rPr>
        <w:t>AfD</w:t>
      </w:r>
      <w:proofErr w:type="spellEnd"/>
      <w:r w:rsidRPr="004C40D3">
        <w:rPr>
          <w:rFonts w:cs="TimesNewRomanPSMT"/>
          <w:bCs/>
        </w:rPr>
        <w:t xml:space="preserve"> (France) – in West Africa</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AECI (Spanish Agency for International Cooperation) – in West Africa</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European Commission</w:t>
      </w:r>
    </w:p>
    <w:p w:rsidR="003F6C09" w:rsidRPr="004C40D3" w:rsidRDefault="003F6C09" w:rsidP="007770A6">
      <w:pPr>
        <w:pStyle w:val="ListParagraph"/>
        <w:numPr>
          <w:ilvl w:val="0"/>
          <w:numId w:val="11"/>
        </w:numPr>
        <w:spacing w:after="120"/>
        <w:ind w:left="714" w:hanging="357"/>
        <w:jc w:val="both"/>
        <w:rPr>
          <w:rFonts w:cs="TimesNewRomanPSMT"/>
          <w:bCs/>
        </w:rPr>
      </w:pPr>
      <w:r w:rsidRPr="004C40D3">
        <w:rPr>
          <w:rFonts w:cs="TimesNewRomanPSMT"/>
          <w:bCs/>
        </w:rPr>
        <w:t>African Development Bank.</w:t>
      </w:r>
    </w:p>
    <w:p w:rsidR="003F6C09" w:rsidRPr="004C40D3" w:rsidRDefault="003F6C09" w:rsidP="004C40D3">
      <w:pPr>
        <w:autoSpaceDE w:val="0"/>
        <w:autoSpaceDN w:val="0"/>
        <w:adjustRightInd w:val="0"/>
        <w:spacing w:after="120" w:line="276" w:lineRule="auto"/>
        <w:jc w:val="both"/>
        <w:rPr>
          <w:rFonts w:asciiTheme="minorHAnsi" w:hAnsiTheme="minorHAnsi" w:cs="Arial"/>
          <w:sz w:val="22"/>
          <w:szCs w:val="22"/>
        </w:rPr>
      </w:pPr>
      <w:r w:rsidRPr="004C40D3">
        <w:rPr>
          <w:rFonts w:asciiTheme="minorHAnsi" w:hAnsiTheme="minorHAnsi" w:cs="Arial"/>
          <w:sz w:val="22"/>
          <w:szCs w:val="22"/>
        </w:rPr>
        <w:t xml:space="preserve">At the national level, </w:t>
      </w:r>
      <w:r w:rsidRPr="004C40D3">
        <w:rPr>
          <w:rFonts w:asciiTheme="minorHAnsi" w:hAnsiTheme="minorHAnsi" w:cs="Arial"/>
          <w:b/>
          <w:sz w:val="22"/>
          <w:szCs w:val="22"/>
        </w:rPr>
        <w:t>Agriculture Donor Working Groups (ADWGs)</w:t>
      </w:r>
      <w:r w:rsidRPr="004C40D3">
        <w:rPr>
          <w:rFonts w:asciiTheme="minorHAnsi" w:hAnsiTheme="minorHAnsi" w:cs="Arial"/>
          <w:sz w:val="22"/>
          <w:szCs w:val="22"/>
        </w:rPr>
        <w:t xml:space="preserve"> coordinate country-level donor support for the CAADP process.  The ADWG consists of representatives from key donors supporting </w:t>
      </w:r>
      <w:r w:rsidRPr="004C40D3">
        <w:rPr>
          <w:rFonts w:asciiTheme="minorHAnsi" w:hAnsiTheme="minorHAnsi" w:cs="Arial"/>
          <w:sz w:val="22"/>
          <w:szCs w:val="22"/>
        </w:rPr>
        <w:lastRenderedPageBreak/>
        <w:t>the food and agriculture sector in a given country.  The lead development partner within the ADWG works closely with the CAADP country team, liaises with other donors, and coordinates with their counterparts in their respective headquarters to advocate for senior management backing for the CAADP agenda.</w:t>
      </w:r>
      <w:r w:rsidRPr="004C40D3">
        <w:rPr>
          <w:rStyle w:val="FootnoteReference"/>
          <w:rFonts w:asciiTheme="minorHAnsi" w:hAnsiTheme="minorHAnsi" w:cs="Arial"/>
          <w:sz w:val="22"/>
          <w:szCs w:val="22"/>
        </w:rPr>
        <w:footnoteReference w:id="77"/>
      </w:r>
      <w:r w:rsidRPr="004C40D3">
        <w:rPr>
          <w:rFonts w:asciiTheme="minorHAnsi" w:hAnsiTheme="minorHAnsi" w:cs="Arial"/>
          <w:sz w:val="22"/>
          <w:szCs w:val="22"/>
        </w:rPr>
        <w:t xml:space="preserve"> </w:t>
      </w:r>
    </w:p>
    <w:p w:rsidR="003F6C09" w:rsidRPr="00BB5B64" w:rsidRDefault="003F6C09" w:rsidP="002B7557">
      <w:pPr>
        <w:autoSpaceDE w:val="0"/>
        <w:autoSpaceDN w:val="0"/>
        <w:adjustRightInd w:val="0"/>
        <w:spacing w:after="120" w:line="276" w:lineRule="auto"/>
        <w:jc w:val="both"/>
        <w:rPr>
          <w:rStyle w:val="A7"/>
          <w:rFonts w:cs="Arial"/>
          <w:shd w:val="clear" w:color="auto" w:fill="FFFFFF"/>
        </w:rPr>
      </w:pPr>
      <w:r w:rsidRPr="004C40D3">
        <w:rPr>
          <w:rFonts w:asciiTheme="minorHAnsi" w:hAnsiTheme="minorHAnsi" w:cs="Arial"/>
          <w:sz w:val="22"/>
          <w:szCs w:val="22"/>
        </w:rPr>
        <w:t xml:space="preserve">In addition, the </w:t>
      </w:r>
      <w:r w:rsidRPr="004C40D3">
        <w:rPr>
          <w:rFonts w:asciiTheme="minorHAnsi" w:hAnsiTheme="minorHAnsi" w:cs="Arial"/>
          <w:b/>
          <w:sz w:val="22"/>
          <w:szCs w:val="22"/>
          <w:shd w:val="clear" w:color="auto" w:fill="FFFFFF"/>
        </w:rPr>
        <w:t>Agriculture, Food Security and Rural Development Cluster (AFSRDC)</w:t>
      </w:r>
      <w:r w:rsidRPr="004C40D3">
        <w:rPr>
          <w:rFonts w:asciiTheme="minorHAnsi" w:hAnsiTheme="minorHAnsi" w:cs="Arial"/>
          <w:sz w:val="22"/>
          <w:szCs w:val="22"/>
          <w:shd w:val="clear" w:color="auto" w:fill="FFFFFF"/>
        </w:rPr>
        <w:t xml:space="preserve">, brings together 14 UN Agencies and financial institutions involved in supporting food security and agricultural development in Africa. </w:t>
      </w:r>
      <w:r w:rsidRPr="004C40D3">
        <w:rPr>
          <w:rFonts w:asciiTheme="minorHAnsi" w:hAnsiTheme="minorHAnsi" w:cs="Arial"/>
          <w:b/>
          <w:sz w:val="22"/>
          <w:szCs w:val="22"/>
          <w:shd w:val="clear" w:color="auto" w:fill="FFFFFF"/>
        </w:rPr>
        <w:t xml:space="preserve">Coordinated by the FAO, the AFSDRC cluster currently includes 17 </w:t>
      </w:r>
      <w:r w:rsidRPr="004C40D3">
        <w:rPr>
          <w:rStyle w:val="A7"/>
          <w:rFonts w:asciiTheme="minorHAnsi" w:hAnsiTheme="minorHAnsi"/>
          <w:b/>
        </w:rPr>
        <w:t>members</w:t>
      </w:r>
      <w:r w:rsidRPr="004C40D3">
        <w:rPr>
          <w:rFonts w:asciiTheme="minorHAnsi" w:hAnsiTheme="minorHAnsi" w:cs="Cambria"/>
          <w:b/>
          <w:color w:val="000000"/>
          <w:position w:val="7"/>
          <w:sz w:val="22"/>
          <w:szCs w:val="22"/>
          <w:vertAlign w:val="superscript"/>
        </w:rPr>
        <w:t xml:space="preserve"> </w:t>
      </w:r>
      <w:r w:rsidRPr="004C40D3">
        <w:rPr>
          <w:rStyle w:val="A7"/>
          <w:rFonts w:asciiTheme="minorHAnsi" w:hAnsiTheme="minorHAnsi"/>
          <w:b/>
        </w:rPr>
        <w:t>from African Union Institutions, UN Agen</w:t>
      </w:r>
      <w:r w:rsidRPr="004C40D3">
        <w:rPr>
          <w:rStyle w:val="A7"/>
          <w:rFonts w:asciiTheme="minorHAnsi" w:hAnsiTheme="minorHAnsi"/>
          <w:b/>
        </w:rPr>
        <w:softHyphen/>
        <w:t>cies and IFIs</w:t>
      </w:r>
      <w:r w:rsidRPr="004C40D3">
        <w:rPr>
          <w:rStyle w:val="A7"/>
          <w:rFonts w:asciiTheme="minorHAnsi" w:hAnsiTheme="minorHAnsi"/>
        </w:rPr>
        <w:t xml:space="preserve"> that are involved in supporting food security and agricultural development in Africa within and outside of CAADP framework.</w:t>
      </w:r>
      <w:r w:rsidRPr="004C40D3">
        <w:rPr>
          <w:rStyle w:val="FootnoteReference"/>
          <w:rFonts w:asciiTheme="minorHAnsi" w:hAnsiTheme="minorHAnsi" w:cs="Cambria"/>
          <w:color w:val="000000"/>
          <w:sz w:val="22"/>
          <w:szCs w:val="22"/>
        </w:rPr>
        <w:footnoteReference w:id="78"/>
      </w:r>
      <w:r w:rsidRPr="004C40D3">
        <w:rPr>
          <w:rFonts w:asciiTheme="minorHAnsi" w:hAnsiTheme="minorHAnsi" w:cs="Cambria"/>
          <w:color w:val="000000"/>
          <w:sz w:val="22"/>
          <w:szCs w:val="22"/>
        </w:rPr>
        <w:t xml:space="preserve"> </w:t>
      </w:r>
      <w:r w:rsidRPr="004C40D3">
        <w:rPr>
          <w:rFonts w:asciiTheme="minorHAnsi" w:hAnsiTheme="minorHAnsi" w:cs="Cambria"/>
          <w:sz w:val="22"/>
          <w:szCs w:val="22"/>
        </w:rPr>
        <w:t xml:space="preserve">The AFSRDC organised a combined retreat and meeting in May 2012 with the objective of launching the development of the </w:t>
      </w:r>
      <w:r w:rsidRPr="004C40D3">
        <w:rPr>
          <w:rFonts w:asciiTheme="minorHAnsi" w:hAnsiTheme="minorHAnsi" w:cs="Cambria"/>
          <w:b/>
          <w:i/>
          <w:iCs/>
          <w:sz w:val="22"/>
          <w:szCs w:val="22"/>
        </w:rPr>
        <w:t>Medium Term Compre</w:t>
      </w:r>
      <w:r w:rsidRPr="004C40D3">
        <w:rPr>
          <w:rFonts w:asciiTheme="minorHAnsi" w:hAnsiTheme="minorHAnsi" w:cs="Cambria"/>
          <w:b/>
          <w:i/>
          <w:iCs/>
          <w:sz w:val="22"/>
          <w:szCs w:val="22"/>
        </w:rPr>
        <w:softHyphen/>
        <w:t xml:space="preserve">hensive Capacity Building Programme (MTCCBP) </w:t>
      </w:r>
      <w:r w:rsidRPr="004C40D3">
        <w:rPr>
          <w:rFonts w:asciiTheme="minorHAnsi" w:hAnsiTheme="minorHAnsi" w:cs="Cambria"/>
          <w:b/>
          <w:sz w:val="22"/>
          <w:szCs w:val="22"/>
        </w:rPr>
        <w:t>proposal</w:t>
      </w:r>
      <w:r w:rsidRPr="004C40D3">
        <w:rPr>
          <w:rFonts w:asciiTheme="minorHAnsi" w:hAnsiTheme="minorHAnsi" w:cs="Cambria"/>
          <w:sz w:val="22"/>
          <w:szCs w:val="22"/>
        </w:rPr>
        <w:t xml:space="preserve"> to support the AUC/DREA and NPCA in the context of the CAADP implementation.</w:t>
      </w:r>
      <w:r w:rsidRPr="004C40D3">
        <w:rPr>
          <w:rStyle w:val="FootnoteReference"/>
          <w:rFonts w:asciiTheme="minorHAnsi" w:hAnsiTheme="minorHAnsi" w:cs="Cambria"/>
          <w:sz w:val="22"/>
          <w:szCs w:val="22"/>
        </w:rPr>
        <w:footnoteReference w:id="79"/>
      </w:r>
    </w:p>
    <w:p w:rsidR="003F6C09" w:rsidRDefault="003F6C09" w:rsidP="003F6C09">
      <w:pPr>
        <w:autoSpaceDE w:val="0"/>
        <w:autoSpaceDN w:val="0"/>
        <w:adjustRightInd w:val="0"/>
        <w:rPr>
          <w:rFonts w:cs="Arial"/>
          <w:b/>
          <w:color w:val="1F497D" w:themeColor="text2"/>
        </w:rPr>
      </w:pPr>
    </w:p>
    <w:p w:rsidR="003F6C09" w:rsidRPr="004C40D3" w:rsidRDefault="003F6C09" w:rsidP="003F6C09">
      <w:pPr>
        <w:autoSpaceDE w:val="0"/>
        <w:autoSpaceDN w:val="0"/>
        <w:adjustRightInd w:val="0"/>
        <w:rPr>
          <w:rFonts w:asciiTheme="minorHAnsi" w:hAnsiTheme="minorHAnsi" w:cs="Arial"/>
          <w:b/>
          <w:color w:val="1F497D" w:themeColor="text2"/>
          <w:szCs w:val="24"/>
        </w:rPr>
      </w:pPr>
      <w:r w:rsidRPr="004C40D3">
        <w:rPr>
          <w:rFonts w:asciiTheme="minorHAnsi" w:hAnsiTheme="minorHAnsi" w:cs="Arial"/>
          <w:b/>
          <w:color w:val="1F497D" w:themeColor="text2"/>
          <w:szCs w:val="24"/>
        </w:rPr>
        <w:t>3.2</w:t>
      </w:r>
      <w:r w:rsidRPr="004C40D3">
        <w:rPr>
          <w:rFonts w:asciiTheme="minorHAnsi" w:hAnsiTheme="minorHAnsi" w:cs="Arial"/>
          <w:b/>
          <w:color w:val="1F497D" w:themeColor="text2"/>
          <w:szCs w:val="24"/>
        </w:rPr>
        <w:tab/>
        <w:t>Donor financial support to CAADP: the Multi-Donor Trust Fund</w:t>
      </w:r>
    </w:p>
    <w:p w:rsidR="003F6C09" w:rsidRPr="004C40D3" w:rsidRDefault="003F6C09" w:rsidP="004C40D3">
      <w:pPr>
        <w:spacing w:after="120" w:line="276" w:lineRule="auto"/>
        <w:jc w:val="both"/>
        <w:rPr>
          <w:rFonts w:asciiTheme="minorHAnsi" w:hAnsiTheme="minorHAnsi" w:cs="Arial"/>
          <w:color w:val="000000"/>
          <w:sz w:val="22"/>
          <w:szCs w:val="22"/>
        </w:rPr>
      </w:pPr>
      <w:r w:rsidRPr="004C40D3">
        <w:rPr>
          <w:rFonts w:asciiTheme="minorHAnsi" w:hAnsiTheme="minorHAnsi"/>
          <w:sz w:val="22"/>
          <w:szCs w:val="22"/>
        </w:rPr>
        <w:t xml:space="preserve">The CAADP Multi-donor Trust Fund (MDTF) was established in 2008 to harmonise donor support for CAADP institutions and processes.  Its rationale, as stated in the </w:t>
      </w:r>
      <w:r w:rsidRPr="004C40D3">
        <w:rPr>
          <w:rFonts w:asciiTheme="minorHAnsi" w:hAnsiTheme="minorHAnsi" w:cs="Arial"/>
          <w:color w:val="000000"/>
          <w:sz w:val="22"/>
          <w:szCs w:val="22"/>
        </w:rPr>
        <w:t>Programme Approval Document [PAD], was that “…support for CAADP activities has not sufficiently empowered African institutions to drive the CAADP agenda consistent with the values and principles of CAADP”</w:t>
      </w:r>
      <w:r w:rsidRPr="004C40D3">
        <w:rPr>
          <w:rFonts w:asciiTheme="minorHAnsi" w:hAnsiTheme="minorHAnsi"/>
          <w:color w:val="000000"/>
          <w:sz w:val="22"/>
          <w:szCs w:val="22"/>
          <w:vertAlign w:val="superscript"/>
        </w:rPr>
        <w:footnoteReference w:id="80"/>
      </w:r>
      <w:r w:rsidRPr="004C40D3">
        <w:rPr>
          <w:rFonts w:asciiTheme="minorHAnsi" w:hAnsiTheme="minorHAnsi" w:cs="Arial"/>
          <w:color w:val="000000"/>
          <w:sz w:val="22"/>
          <w:szCs w:val="22"/>
        </w:rPr>
        <w:t>.  Although support was available, it tended to be “relatively fragmented in both source and focus”</w:t>
      </w:r>
      <w:r w:rsidRPr="004C40D3">
        <w:rPr>
          <w:rStyle w:val="FootnoteReference"/>
          <w:rFonts w:asciiTheme="minorHAnsi" w:hAnsiTheme="minorHAnsi" w:cs="Arial"/>
          <w:color w:val="000000"/>
          <w:sz w:val="22"/>
          <w:szCs w:val="22"/>
        </w:rPr>
        <w:footnoteReference w:id="81"/>
      </w:r>
      <w:r w:rsidR="002B7557">
        <w:rPr>
          <w:rFonts w:asciiTheme="minorHAnsi" w:hAnsiTheme="minorHAnsi" w:cs="Arial"/>
          <w:color w:val="000000"/>
          <w:sz w:val="22"/>
          <w:szCs w:val="22"/>
        </w:rPr>
        <w:t xml:space="preserve">, and </w:t>
      </w:r>
      <w:r w:rsidRPr="004C40D3">
        <w:rPr>
          <w:rFonts w:asciiTheme="minorHAnsi" w:hAnsiTheme="minorHAnsi" w:cs="Arial"/>
          <w:color w:val="000000"/>
          <w:sz w:val="22"/>
          <w:szCs w:val="22"/>
        </w:rPr>
        <w:t>funding was often hard to access.</w:t>
      </w:r>
    </w:p>
    <w:p w:rsidR="003F6C09" w:rsidRPr="004C40D3" w:rsidRDefault="003F6C09" w:rsidP="004C40D3">
      <w:pPr>
        <w:spacing w:after="120" w:line="276" w:lineRule="auto"/>
        <w:jc w:val="both"/>
        <w:rPr>
          <w:rFonts w:asciiTheme="minorHAnsi" w:hAnsiTheme="minorHAnsi"/>
          <w:sz w:val="22"/>
          <w:szCs w:val="22"/>
        </w:rPr>
      </w:pPr>
      <w:r w:rsidRPr="004C40D3">
        <w:rPr>
          <w:rFonts w:asciiTheme="minorHAnsi" w:hAnsiTheme="minorHAnsi" w:cs="Arial"/>
          <w:color w:val="000000"/>
          <w:sz w:val="22"/>
          <w:szCs w:val="22"/>
        </w:rPr>
        <w:t>The MDTF was designed to be a focused and comprehensive funding mechanism to provide flexible funding to African institutions.   The MDTF does not replace existing arrangements for supporting CAADP processes.  In the short-term its aim is to meet the needs of core CAADP institutions so that can address their responsibilities;  in the medium to long term, it is to ensure that funding arrangements to CAADP processes are streamlined to generate optimum developmental impact with minimum transaction costs.</w:t>
      </w:r>
      <w:r w:rsidRPr="004C40D3">
        <w:rPr>
          <w:rFonts w:asciiTheme="minorHAnsi" w:hAnsiTheme="minorHAnsi"/>
          <w:sz w:val="22"/>
          <w:szCs w:val="22"/>
        </w:rPr>
        <w:t xml:space="preserve"> </w:t>
      </w:r>
    </w:p>
    <w:p w:rsidR="003F6C09" w:rsidRPr="004C40D3" w:rsidRDefault="003F6C09" w:rsidP="004C40D3">
      <w:pPr>
        <w:shd w:val="clear" w:color="auto" w:fill="FFFFFF"/>
        <w:spacing w:after="120" w:line="276" w:lineRule="auto"/>
        <w:jc w:val="both"/>
        <w:rPr>
          <w:rFonts w:asciiTheme="minorHAnsi" w:hAnsiTheme="minorHAnsi" w:cs="Arial"/>
          <w:sz w:val="22"/>
          <w:szCs w:val="22"/>
          <w:lang w:eastAsia="en-GB"/>
        </w:rPr>
      </w:pPr>
      <w:r w:rsidRPr="004C40D3">
        <w:rPr>
          <w:rFonts w:asciiTheme="minorHAnsi" w:hAnsiTheme="minorHAnsi" w:cs="Arial"/>
          <w:bCs/>
          <w:sz w:val="22"/>
          <w:szCs w:val="22"/>
          <w:lang w:eastAsia="en-GB"/>
        </w:rPr>
        <w:t>The CAADP MDTF aims to be a flexible yet systematic, efficient and reliable way to: harmonise priorities; allow economies of scale; increase the efficiency and effectiveness of financial resources; target specific gaps in financing, capacity and technology; facilitate partnerships and coalition building; and complement existing resources</w:t>
      </w:r>
      <w:r w:rsidRPr="004C40D3">
        <w:rPr>
          <w:rFonts w:asciiTheme="minorHAnsi" w:hAnsiTheme="minorHAnsi" w:cs="Arial"/>
          <w:sz w:val="22"/>
          <w:szCs w:val="22"/>
          <w:lang w:eastAsia="en-GB"/>
        </w:rPr>
        <w:t xml:space="preserve"> mobilised around CAADP Pillars and other thematic priorities.</w:t>
      </w:r>
      <w:r w:rsidRPr="004C40D3">
        <w:rPr>
          <w:rStyle w:val="FootnoteReference"/>
          <w:rFonts w:asciiTheme="minorHAnsi" w:hAnsiTheme="minorHAnsi" w:cs="Arial"/>
          <w:sz w:val="22"/>
          <w:szCs w:val="22"/>
          <w:lang w:eastAsia="en-GB"/>
        </w:rPr>
        <w:footnoteReference w:id="82"/>
      </w:r>
    </w:p>
    <w:p w:rsidR="00F4133D" w:rsidRPr="008744CB" w:rsidRDefault="003F6C09" w:rsidP="00F4133D">
      <w:pPr>
        <w:spacing w:after="120" w:line="276" w:lineRule="auto"/>
        <w:jc w:val="both"/>
        <w:rPr>
          <w:rFonts w:asciiTheme="minorHAnsi" w:hAnsiTheme="minorHAnsi" w:cs="Arial"/>
          <w:sz w:val="22"/>
          <w:szCs w:val="22"/>
        </w:rPr>
      </w:pPr>
      <w:r w:rsidRPr="004C40D3">
        <w:rPr>
          <w:rFonts w:asciiTheme="minorHAnsi" w:hAnsiTheme="minorHAnsi" w:cs="Arial"/>
          <w:sz w:val="22"/>
          <w:szCs w:val="22"/>
        </w:rPr>
        <w:t xml:space="preserve">As of April 2012, </w:t>
      </w:r>
      <w:r w:rsidRPr="004C40D3">
        <w:rPr>
          <w:rFonts w:asciiTheme="minorHAnsi" w:hAnsiTheme="minorHAnsi" w:cs="Arial"/>
          <w:b/>
          <w:sz w:val="22"/>
          <w:szCs w:val="22"/>
        </w:rPr>
        <w:t>over USD 50 million of donor investment had been committed to the CAADP MDTF</w:t>
      </w:r>
      <w:r w:rsidRPr="004C40D3">
        <w:rPr>
          <w:rFonts w:asciiTheme="minorHAnsi" w:hAnsiTheme="minorHAnsi" w:cs="Arial"/>
          <w:sz w:val="22"/>
          <w:szCs w:val="22"/>
        </w:rPr>
        <w:t xml:space="preserve">, of which USD 34.5 million had been paid.  The key donors to the CAADP MDTF are USAID (USD 17 million), the UK Department for International Development (15.6 million), the EC (USD 6.7 million) and the Dutch (USD 6.5 million) (see Table </w:t>
      </w:r>
      <w:r w:rsidR="00DF3200">
        <w:rPr>
          <w:rFonts w:asciiTheme="minorHAnsi" w:hAnsiTheme="minorHAnsi" w:cs="Arial"/>
          <w:sz w:val="22"/>
          <w:szCs w:val="22"/>
        </w:rPr>
        <w:t>8</w:t>
      </w:r>
      <w:r w:rsidRPr="004C40D3">
        <w:rPr>
          <w:rFonts w:asciiTheme="minorHAnsi" w:hAnsiTheme="minorHAnsi" w:cs="Arial"/>
          <w:sz w:val="22"/>
          <w:szCs w:val="22"/>
        </w:rPr>
        <w:t xml:space="preserve"> </w:t>
      </w:r>
      <w:r w:rsidR="00DF3200">
        <w:rPr>
          <w:rFonts w:asciiTheme="minorHAnsi" w:hAnsiTheme="minorHAnsi" w:cs="Arial"/>
          <w:sz w:val="22"/>
          <w:szCs w:val="22"/>
        </w:rPr>
        <w:t xml:space="preserve">below </w:t>
      </w:r>
      <w:r w:rsidRPr="004C40D3">
        <w:rPr>
          <w:rFonts w:asciiTheme="minorHAnsi" w:hAnsiTheme="minorHAnsi" w:cs="Arial"/>
          <w:sz w:val="22"/>
          <w:szCs w:val="22"/>
        </w:rPr>
        <w:t>for full list).</w:t>
      </w:r>
      <w:r w:rsidR="00F4133D">
        <w:rPr>
          <w:rFonts w:asciiTheme="minorHAnsi" w:hAnsiTheme="minorHAnsi" w:cs="Arial"/>
          <w:sz w:val="22"/>
          <w:szCs w:val="22"/>
        </w:rPr>
        <w:t xml:space="preserve">  </w:t>
      </w:r>
    </w:p>
    <w:p w:rsidR="003F6C09" w:rsidRPr="00A06B93" w:rsidRDefault="003F6C09" w:rsidP="003F6C09">
      <w:pPr>
        <w:jc w:val="center"/>
        <w:rPr>
          <w:rFonts w:asciiTheme="minorHAnsi" w:hAnsiTheme="minorHAnsi"/>
          <w:b/>
          <w:sz w:val="22"/>
          <w:szCs w:val="22"/>
        </w:rPr>
      </w:pPr>
      <w:r w:rsidRPr="00A06B93">
        <w:rPr>
          <w:rFonts w:asciiTheme="minorHAnsi" w:hAnsiTheme="minorHAnsi"/>
          <w:b/>
          <w:sz w:val="22"/>
          <w:szCs w:val="22"/>
        </w:rPr>
        <w:lastRenderedPageBreak/>
        <w:t xml:space="preserve">Table </w:t>
      </w:r>
      <w:r w:rsidR="00DF3200">
        <w:rPr>
          <w:rFonts w:asciiTheme="minorHAnsi" w:hAnsiTheme="minorHAnsi"/>
          <w:b/>
          <w:sz w:val="22"/>
          <w:szCs w:val="22"/>
        </w:rPr>
        <w:t>8</w:t>
      </w:r>
      <w:r w:rsidRPr="00A06B93">
        <w:rPr>
          <w:rFonts w:asciiTheme="minorHAnsi" w:hAnsiTheme="minorHAnsi"/>
          <w:b/>
          <w:sz w:val="22"/>
          <w:szCs w:val="22"/>
        </w:rPr>
        <w:t>: Donor Commitments to CAADP MDTF (April 2012)</w:t>
      </w:r>
      <w:r w:rsidRPr="00A06B93">
        <w:rPr>
          <w:rStyle w:val="FootnoteReference"/>
          <w:rFonts w:asciiTheme="minorHAnsi" w:hAnsiTheme="minorHAnsi"/>
          <w:b/>
          <w:sz w:val="22"/>
          <w:szCs w:val="22"/>
        </w:rPr>
        <w:footnoteReference w:id="83"/>
      </w:r>
    </w:p>
    <w:tbl>
      <w:tblPr>
        <w:tblStyle w:val="LightShading-Accent5"/>
        <w:tblW w:w="0" w:type="auto"/>
        <w:tblLook w:val="04A0"/>
      </w:tblPr>
      <w:tblGrid>
        <w:gridCol w:w="2310"/>
        <w:gridCol w:w="2310"/>
        <w:gridCol w:w="2311"/>
        <w:gridCol w:w="2311"/>
      </w:tblGrid>
      <w:tr w:rsidR="003F6C09" w:rsidRPr="00A06B93" w:rsidTr="00EE3B91">
        <w:trPr>
          <w:cnfStyle w:val="100000000000"/>
        </w:trPr>
        <w:tc>
          <w:tcPr>
            <w:cnfStyle w:val="001000000000"/>
            <w:tcW w:w="2310" w:type="dxa"/>
          </w:tcPr>
          <w:p w:rsidR="003F6C09" w:rsidRPr="00A06B93" w:rsidRDefault="003F6C09" w:rsidP="00EE3B91">
            <w:pPr>
              <w:rPr>
                <w:sz w:val="20"/>
                <w:szCs w:val="20"/>
              </w:rPr>
            </w:pPr>
            <w:r w:rsidRPr="00A06B93">
              <w:rPr>
                <w:sz w:val="20"/>
                <w:szCs w:val="20"/>
              </w:rPr>
              <w:t>Donor</w:t>
            </w:r>
          </w:p>
        </w:tc>
        <w:tc>
          <w:tcPr>
            <w:tcW w:w="2310" w:type="dxa"/>
          </w:tcPr>
          <w:p w:rsidR="003F6C09" w:rsidRPr="00A06B93" w:rsidRDefault="003F6C09" w:rsidP="00EE3B91">
            <w:pPr>
              <w:jc w:val="center"/>
              <w:cnfStyle w:val="100000000000"/>
              <w:rPr>
                <w:sz w:val="20"/>
                <w:szCs w:val="20"/>
              </w:rPr>
            </w:pPr>
            <w:r w:rsidRPr="00A06B93">
              <w:rPr>
                <w:sz w:val="20"/>
                <w:szCs w:val="20"/>
              </w:rPr>
              <w:t>Amount Committed</w:t>
            </w:r>
          </w:p>
        </w:tc>
        <w:tc>
          <w:tcPr>
            <w:tcW w:w="2311" w:type="dxa"/>
          </w:tcPr>
          <w:p w:rsidR="003F6C09" w:rsidRPr="00A06B93" w:rsidRDefault="003F6C09" w:rsidP="00EE3B91">
            <w:pPr>
              <w:jc w:val="center"/>
              <w:cnfStyle w:val="100000000000"/>
              <w:rPr>
                <w:sz w:val="20"/>
                <w:szCs w:val="20"/>
              </w:rPr>
            </w:pPr>
            <w:r w:rsidRPr="00A06B93">
              <w:rPr>
                <w:sz w:val="20"/>
                <w:szCs w:val="20"/>
              </w:rPr>
              <w:t>Amount Committed (USD)</w:t>
            </w:r>
          </w:p>
        </w:tc>
        <w:tc>
          <w:tcPr>
            <w:tcW w:w="2311" w:type="dxa"/>
          </w:tcPr>
          <w:p w:rsidR="003F6C09" w:rsidRPr="00A06B93" w:rsidRDefault="003F6C09" w:rsidP="00EE3B91">
            <w:pPr>
              <w:jc w:val="center"/>
              <w:cnfStyle w:val="100000000000"/>
              <w:rPr>
                <w:sz w:val="20"/>
                <w:szCs w:val="20"/>
              </w:rPr>
            </w:pPr>
            <w:r w:rsidRPr="00A06B93">
              <w:rPr>
                <w:sz w:val="20"/>
                <w:szCs w:val="20"/>
              </w:rPr>
              <w:t>Contributions Paid in (USD)</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USAID</w:t>
            </w:r>
          </w:p>
        </w:tc>
        <w:tc>
          <w:tcPr>
            <w:tcW w:w="2310" w:type="dxa"/>
          </w:tcPr>
          <w:p w:rsidR="003F6C09" w:rsidRPr="00A06B93" w:rsidRDefault="003F6C09" w:rsidP="00EE3B91">
            <w:pPr>
              <w:jc w:val="center"/>
              <w:cnfStyle w:val="000000100000"/>
              <w:rPr>
                <w:sz w:val="20"/>
                <w:szCs w:val="20"/>
              </w:rPr>
            </w:pPr>
            <w:r w:rsidRPr="00A06B93">
              <w:rPr>
                <w:sz w:val="20"/>
                <w:szCs w:val="20"/>
              </w:rPr>
              <w:t>USD 17,000,000</w:t>
            </w:r>
          </w:p>
        </w:tc>
        <w:tc>
          <w:tcPr>
            <w:tcW w:w="2311" w:type="dxa"/>
          </w:tcPr>
          <w:p w:rsidR="003F6C09" w:rsidRPr="00A06B93" w:rsidRDefault="003F6C09" w:rsidP="00EE3B91">
            <w:pPr>
              <w:jc w:val="right"/>
              <w:cnfStyle w:val="000000100000"/>
              <w:rPr>
                <w:sz w:val="20"/>
                <w:szCs w:val="20"/>
              </w:rPr>
            </w:pPr>
            <w:r w:rsidRPr="00A06B93">
              <w:rPr>
                <w:sz w:val="20"/>
                <w:szCs w:val="20"/>
              </w:rPr>
              <w:t>17,000,000</w:t>
            </w:r>
          </w:p>
        </w:tc>
        <w:tc>
          <w:tcPr>
            <w:tcW w:w="2311" w:type="dxa"/>
          </w:tcPr>
          <w:p w:rsidR="003F6C09" w:rsidRPr="00A06B93" w:rsidRDefault="003F6C09" w:rsidP="00EE3B91">
            <w:pPr>
              <w:jc w:val="right"/>
              <w:cnfStyle w:val="000000100000"/>
              <w:rPr>
                <w:sz w:val="20"/>
                <w:szCs w:val="20"/>
              </w:rPr>
            </w:pPr>
            <w:r w:rsidRPr="00A06B93">
              <w:rPr>
                <w:sz w:val="20"/>
                <w:szCs w:val="20"/>
              </w:rPr>
              <w:t>8,600,000</w:t>
            </w:r>
          </w:p>
        </w:tc>
      </w:tr>
      <w:tr w:rsidR="003F6C09" w:rsidRPr="00A06B93" w:rsidTr="00EE3B91">
        <w:tc>
          <w:tcPr>
            <w:cnfStyle w:val="001000000000"/>
            <w:tcW w:w="2310" w:type="dxa"/>
          </w:tcPr>
          <w:p w:rsidR="003F6C09" w:rsidRPr="00A06B93" w:rsidRDefault="003F6C09" w:rsidP="00EE3B91">
            <w:pPr>
              <w:rPr>
                <w:b w:val="0"/>
                <w:sz w:val="20"/>
                <w:szCs w:val="20"/>
              </w:rPr>
            </w:pPr>
            <w:r w:rsidRPr="00A06B93">
              <w:rPr>
                <w:b w:val="0"/>
                <w:sz w:val="20"/>
                <w:szCs w:val="20"/>
              </w:rPr>
              <w:t>Dutch</w:t>
            </w:r>
          </w:p>
        </w:tc>
        <w:tc>
          <w:tcPr>
            <w:tcW w:w="2310" w:type="dxa"/>
          </w:tcPr>
          <w:p w:rsidR="003F6C09" w:rsidRPr="00A06B93" w:rsidRDefault="003F6C09" w:rsidP="00EE3B91">
            <w:pPr>
              <w:jc w:val="center"/>
              <w:cnfStyle w:val="000000000000"/>
              <w:rPr>
                <w:sz w:val="20"/>
                <w:szCs w:val="20"/>
              </w:rPr>
            </w:pPr>
            <w:r w:rsidRPr="00A06B93">
              <w:rPr>
                <w:sz w:val="20"/>
                <w:szCs w:val="20"/>
              </w:rPr>
              <w:t>USD 6,500,000</w:t>
            </w:r>
          </w:p>
        </w:tc>
        <w:tc>
          <w:tcPr>
            <w:tcW w:w="2311" w:type="dxa"/>
          </w:tcPr>
          <w:p w:rsidR="003F6C09" w:rsidRPr="00A06B93" w:rsidRDefault="003F6C09" w:rsidP="00EE3B91">
            <w:pPr>
              <w:jc w:val="right"/>
              <w:cnfStyle w:val="000000000000"/>
              <w:rPr>
                <w:sz w:val="20"/>
                <w:szCs w:val="20"/>
              </w:rPr>
            </w:pPr>
            <w:r w:rsidRPr="00A06B93">
              <w:rPr>
                <w:sz w:val="20"/>
                <w:szCs w:val="20"/>
              </w:rPr>
              <w:t>6,500,000</w:t>
            </w:r>
          </w:p>
        </w:tc>
        <w:tc>
          <w:tcPr>
            <w:tcW w:w="2311" w:type="dxa"/>
          </w:tcPr>
          <w:p w:rsidR="003F6C09" w:rsidRPr="00A06B93" w:rsidRDefault="003F6C09" w:rsidP="00EE3B91">
            <w:pPr>
              <w:jc w:val="right"/>
              <w:cnfStyle w:val="000000000000"/>
              <w:rPr>
                <w:sz w:val="20"/>
                <w:szCs w:val="20"/>
              </w:rPr>
            </w:pPr>
            <w:r w:rsidRPr="00A06B93">
              <w:rPr>
                <w:sz w:val="20"/>
                <w:szCs w:val="20"/>
              </w:rPr>
              <w:t>3,250,000</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EC</w:t>
            </w:r>
          </w:p>
        </w:tc>
        <w:tc>
          <w:tcPr>
            <w:tcW w:w="2310" w:type="dxa"/>
          </w:tcPr>
          <w:p w:rsidR="003F6C09" w:rsidRPr="00A06B93" w:rsidRDefault="003F6C09" w:rsidP="00EE3B91">
            <w:pPr>
              <w:jc w:val="center"/>
              <w:cnfStyle w:val="000000100000"/>
              <w:rPr>
                <w:sz w:val="20"/>
                <w:szCs w:val="20"/>
              </w:rPr>
            </w:pPr>
            <w:r w:rsidRPr="00A06B93">
              <w:rPr>
                <w:sz w:val="20"/>
                <w:szCs w:val="20"/>
              </w:rPr>
              <w:t>EUR 5,000,000</w:t>
            </w:r>
          </w:p>
        </w:tc>
        <w:tc>
          <w:tcPr>
            <w:tcW w:w="2311" w:type="dxa"/>
          </w:tcPr>
          <w:p w:rsidR="003F6C09" w:rsidRPr="00A06B93" w:rsidRDefault="003F6C09" w:rsidP="00EE3B91">
            <w:pPr>
              <w:jc w:val="right"/>
              <w:cnfStyle w:val="000000100000"/>
              <w:rPr>
                <w:sz w:val="20"/>
                <w:szCs w:val="20"/>
              </w:rPr>
            </w:pPr>
            <w:r w:rsidRPr="00A06B93">
              <w:rPr>
                <w:sz w:val="20"/>
                <w:szCs w:val="20"/>
              </w:rPr>
              <w:t>6,710,288</w:t>
            </w:r>
          </w:p>
        </w:tc>
        <w:tc>
          <w:tcPr>
            <w:tcW w:w="2311" w:type="dxa"/>
          </w:tcPr>
          <w:p w:rsidR="003F6C09" w:rsidRPr="00A06B93" w:rsidRDefault="003F6C09" w:rsidP="00EE3B91">
            <w:pPr>
              <w:jc w:val="right"/>
              <w:cnfStyle w:val="000000100000"/>
              <w:rPr>
                <w:sz w:val="20"/>
                <w:szCs w:val="20"/>
              </w:rPr>
            </w:pPr>
            <w:r w:rsidRPr="00A06B93">
              <w:rPr>
                <w:sz w:val="20"/>
                <w:szCs w:val="20"/>
              </w:rPr>
              <w:t>6,735,675</w:t>
            </w:r>
          </w:p>
        </w:tc>
      </w:tr>
      <w:tr w:rsidR="003F6C09" w:rsidRPr="00A06B93" w:rsidTr="00EE3B91">
        <w:tc>
          <w:tcPr>
            <w:cnfStyle w:val="001000000000"/>
            <w:tcW w:w="2310" w:type="dxa"/>
          </w:tcPr>
          <w:p w:rsidR="003F6C09" w:rsidRPr="00A06B93" w:rsidRDefault="003F6C09" w:rsidP="00EE3B91">
            <w:pPr>
              <w:rPr>
                <w:b w:val="0"/>
                <w:sz w:val="20"/>
                <w:szCs w:val="20"/>
              </w:rPr>
            </w:pPr>
            <w:r w:rsidRPr="00A06B93">
              <w:rPr>
                <w:b w:val="0"/>
                <w:sz w:val="20"/>
                <w:szCs w:val="20"/>
              </w:rPr>
              <w:t>Irish Aid</w:t>
            </w:r>
          </w:p>
        </w:tc>
        <w:tc>
          <w:tcPr>
            <w:tcW w:w="2310" w:type="dxa"/>
          </w:tcPr>
          <w:p w:rsidR="003F6C09" w:rsidRPr="00A06B93" w:rsidRDefault="003F6C09" w:rsidP="00EE3B91">
            <w:pPr>
              <w:jc w:val="center"/>
              <w:cnfStyle w:val="000000000000"/>
              <w:rPr>
                <w:sz w:val="20"/>
                <w:szCs w:val="20"/>
              </w:rPr>
            </w:pPr>
            <w:r w:rsidRPr="00A06B93">
              <w:rPr>
                <w:sz w:val="20"/>
                <w:szCs w:val="20"/>
              </w:rPr>
              <w:t>EUR 2,110,000</w:t>
            </w:r>
          </w:p>
        </w:tc>
        <w:tc>
          <w:tcPr>
            <w:tcW w:w="2311" w:type="dxa"/>
          </w:tcPr>
          <w:p w:rsidR="003F6C09" w:rsidRPr="00A06B93" w:rsidRDefault="003F6C09" w:rsidP="00EE3B91">
            <w:pPr>
              <w:jc w:val="right"/>
              <w:cnfStyle w:val="000000000000"/>
              <w:rPr>
                <w:sz w:val="20"/>
                <w:szCs w:val="20"/>
              </w:rPr>
            </w:pPr>
            <w:r w:rsidRPr="00A06B93">
              <w:rPr>
                <w:sz w:val="20"/>
                <w:szCs w:val="20"/>
              </w:rPr>
              <w:t>3,030,933</w:t>
            </w:r>
          </w:p>
        </w:tc>
        <w:tc>
          <w:tcPr>
            <w:tcW w:w="2311" w:type="dxa"/>
          </w:tcPr>
          <w:p w:rsidR="003F6C09" w:rsidRPr="00A06B93" w:rsidRDefault="003F6C09" w:rsidP="00EE3B91">
            <w:pPr>
              <w:jc w:val="right"/>
              <w:cnfStyle w:val="000000000000"/>
              <w:rPr>
                <w:sz w:val="20"/>
                <w:szCs w:val="20"/>
              </w:rPr>
            </w:pPr>
            <w:r w:rsidRPr="00A06B93">
              <w:rPr>
                <w:sz w:val="20"/>
                <w:szCs w:val="20"/>
              </w:rPr>
              <w:t>3,030,933</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French</w:t>
            </w:r>
          </w:p>
        </w:tc>
        <w:tc>
          <w:tcPr>
            <w:tcW w:w="2310" w:type="dxa"/>
          </w:tcPr>
          <w:p w:rsidR="003F6C09" w:rsidRPr="00A06B93" w:rsidRDefault="003F6C09" w:rsidP="00EE3B91">
            <w:pPr>
              <w:jc w:val="center"/>
              <w:cnfStyle w:val="000000100000"/>
              <w:rPr>
                <w:sz w:val="20"/>
                <w:szCs w:val="20"/>
              </w:rPr>
            </w:pPr>
            <w:r w:rsidRPr="00A06B93">
              <w:rPr>
                <w:sz w:val="20"/>
                <w:szCs w:val="20"/>
              </w:rPr>
              <w:t>EUR 988,836</w:t>
            </w:r>
          </w:p>
        </w:tc>
        <w:tc>
          <w:tcPr>
            <w:tcW w:w="2311" w:type="dxa"/>
          </w:tcPr>
          <w:p w:rsidR="003F6C09" w:rsidRPr="00A06B93" w:rsidRDefault="003F6C09" w:rsidP="00EE3B91">
            <w:pPr>
              <w:jc w:val="right"/>
              <w:cnfStyle w:val="000000100000"/>
              <w:rPr>
                <w:sz w:val="20"/>
                <w:szCs w:val="20"/>
              </w:rPr>
            </w:pPr>
            <w:r w:rsidRPr="00A06B93">
              <w:rPr>
                <w:sz w:val="20"/>
                <w:szCs w:val="20"/>
              </w:rPr>
              <w:t>1,329,696</w:t>
            </w:r>
          </w:p>
        </w:tc>
        <w:tc>
          <w:tcPr>
            <w:tcW w:w="2311" w:type="dxa"/>
          </w:tcPr>
          <w:p w:rsidR="003F6C09" w:rsidRPr="00A06B93" w:rsidRDefault="003F6C09" w:rsidP="00EE3B91">
            <w:pPr>
              <w:jc w:val="right"/>
              <w:cnfStyle w:val="000000100000"/>
              <w:rPr>
                <w:sz w:val="20"/>
                <w:szCs w:val="20"/>
              </w:rPr>
            </w:pPr>
            <w:r w:rsidRPr="00A06B93">
              <w:rPr>
                <w:sz w:val="20"/>
                <w:szCs w:val="20"/>
              </w:rPr>
              <w:t>1,324,809</w:t>
            </w:r>
          </w:p>
        </w:tc>
      </w:tr>
      <w:tr w:rsidR="003F6C09" w:rsidRPr="00A06B93" w:rsidTr="00EE3B91">
        <w:tc>
          <w:tcPr>
            <w:cnfStyle w:val="001000000000"/>
            <w:tcW w:w="2310" w:type="dxa"/>
          </w:tcPr>
          <w:p w:rsidR="003F6C09" w:rsidRPr="00A06B93" w:rsidRDefault="003F6C09" w:rsidP="00EE3B91">
            <w:pPr>
              <w:rPr>
                <w:b w:val="0"/>
                <w:sz w:val="20"/>
                <w:szCs w:val="20"/>
              </w:rPr>
            </w:pPr>
            <w:r w:rsidRPr="00A06B93">
              <w:rPr>
                <w:b w:val="0"/>
                <w:sz w:val="20"/>
                <w:szCs w:val="20"/>
              </w:rPr>
              <w:t>DFID</w:t>
            </w:r>
          </w:p>
        </w:tc>
        <w:tc>
          <w:tcPr>
            <w:tcW w:w="2310" w:type="dxa"/>
          </w:tcPr>
          <w:p w:rsidR="003F6C09" w:rsidRPr="00A06B93" w:rsidRDefault="003F6C09" w:rsidP="00EE3B91">
            <w:pPr>
              <w:jc w:val="center"/>
              <w:cnfStyle w:val="000000000000"/>
              <w:rPr>
                <w:sz w:val="20"/>
                <w:szCs w:val="20"/>
              </w:rPr>
            </w:pPr>
            <w:r w:rsidRPr="00A06B93">
              <w:rPr>
                <w:sz w:val="20"/>
                <w:szCs w:val="20"/>
              </w:rPr>
              <w:t>GBP 10,000,000</w:t>
            </w:r>
          </w:p>
        </w:tc>
        <w:tc>
          <w:tcPr>
            <w:tcW w:w="2311" w:type="dxa"/>
          </w:tcPr>
          <w:p w:rsidR="003F6C09" w:rsidRPr="00A06B93" w:rsidRDefault="003F6C09" w:rsidP="00EE3B91">
            <w:pPr>
              <w:jc w:val="right"/>
              <w:cnfStyle w:val="000000000000"/>
              <w:rPr>
                <w:sz w:val="20"/>
                <w:szCs w:val="20"/>
              </w:rPr>
            </w:pPr>
            <w:r w:rsidRPr="00A06B93">
              <w:rPr>
                <w:sz w:val="20"/>
                <w:szCs w:val="20"/>
              </w:rPr>
              <w:t>15,559,854</w:t>
            </w:r>
          </w:p>
        </w:tc>
        <w:tc>
          <w:tcPr>
            <w:tcW w:w="2311" w:type="dxa"/>
          </w:tcPr>
          <w:p w:rsidR="003F6C09" w:rsidRPr="00A06B93" w:rsidRDefault="003F6C09" w:rsidP="00EE3B91">
            <w:pPr>
              <w:jc w:val="right"/>
              <w:cnfStyle w:val="000000000000"/>
              <w:rPr>
                <w:sz w:val="20"/>
                <w:szCs w:val="20"/>
              </w:rPr>
            </w:pPr>
            <w:r w:rsidRPr="00A06B93">
              <w:rPr>
                <w:sz w:val="20"/>
                <w:szCs w:val="20"/>
              </w:rPr>
              <w:t>11,555,467</w:t>
            </w:r>
          </w:p>
        </w:tc>
      </w:tr>
      <w:tr w:rsidR="003F6C09" w:rsidRPr="00A06B93" w:rsidTr="00EE3B91">
        <w:trPr>
          <w:cnfStyle w:val="000000100000"/>
        </w:trPr>
        <w:tc>
          <w:tcPr>
            <w:cnfStyle w:val="001000000000"/>
            <w:tcW w:w="2310" w:type="dxa"/>
          </w:tcPr>
          <w:p w:rsidR="003F6C09" w:rsidRPr="00A06B93" w:rsidRDefault="003F6C09" w:rsidP="00EE3B91">
            <w:pPr>
              <w:rPr>
                <w:sz w:val="20"/>
                <w:szCs w:val="20"/>
              </w:rPr>
            </w:pPr>
            <w:r w:rsidRPr="00A06B93">
              <w:rPr>
                <w:sz w:val="20"/>
                <w:szCs w:val="20"/>
              </w:rPr>
              <w:t>Total</w:t>
            </w:r>
          </w:p>
        </w:tc>
        <w:tc>
          <w:tcPr>
            <w:tcW w:w="2310" w:type="dxa"/>
          </w:tcPr>
          <w:p w:rsidR="003F6C09" w:rsidRPr="00A06B93" w:rsidRDefault="003F6C09" w:rsidP="00EE3B91">
            <w:pPr>
              <w:jc w:val="center"/>
              <w:cnfStyle w:val="000000100000"/>
              <w:rPr>
                <w:b/>
                <w:sz w:val="20"/>
                <w:szCs w:val="20"/>
              </w:rPr>
            </w:pPr>
          </w:p>
        </w:tc>
        <w:tc>
          <w:tcPr>
            <w:tcW w:w="2311" w:type="dxa"/>
          </w:tcPr>
          <w:p w:rsidR="003F6C09" w:rsidRPr="00A06B93" w:rsidRDefault="003F6C09" w:rsidP="00EE3B91">
            <w:pPr>
              <w:jc w:val="right"/>
              <w:cnfStyle w:val="000000100000"/>
              <w:rPr>
                <w:b/>
                <w:sz w:val="20"/>
                <w:szCs w:val="20"/>
              </w:rPr>
            </w:pPr>
            <w:r w:rsidRPr="00A06B93">
              <w:rPr>
                <w:b/>
                <w:sz w:val="20"/>
                <w:szCs w:val="20"/>
              </w:rPr>
              <w:t>50,130,771</w:t>
            </w:r>
          </w:p>
        </w:tc>
        <w:tc>
          <w:tcPr>
            <w:tcW w:w="2311" w:type="dxa"/>
          </w:tcPr>
          <w:p w:rsidR="003F6C09" w:rsidRPr="00A06B93" w:rsidRDefault="003F6C09" w:rsidP="00EE3B91">
            <w:pPr>
              <w:jc w:val="right"/>
              <w:cnfStyle w:val="000000100000"/>
              <w:rPr>
                <w:b/>
                <w:sz w:val="20"/>
                <w:szCs w:val="20"/>
              </w:rPr>
            </w:pPr>
            <w:r w:rsidRPr="00A06B93">
              <w:rPr>
                <w:b/>
                <w:sz w:val="20"/>
                <w:szCs w:val="20"/>
              </w:rPr>
              <w:t>34,496,884</w:t>
            </w:r>
          </w:p>
        </w:tc>
      </w:tr>
    </w:tbl>
    <w:p w:rsidR="003F6C09" w:rsidRPr="00A06B93" w:rsidRDefault="003F6C09" w:rsidP="003F6C09">
      <w:pPr>
        <w:jc w:val="both"/>
        <w:rPr>
          <w:rFonts w:asciiTheme="minorHAnsi" w:hAnsiTheme="minorHAnsi"/>
          <w:sz w:val="22"/>
          <w:szCs w:val="22"/>
        </w:rPr>
      </w:pPr>
    </w:p>
    <w:p w:rsidR="003F6C09" w:rsidRPr="00A06B93" w:rsidRDefault="003F6C09" w:rsidP="00A06B93">
      <w:pPr>
        <w:spacing w:line="276" w:lineRule="auto"/>
        <w:jc w:val="both"/>
        <w:rPr>
          <w:rFonts w:asciiTheme="minorHAnsi" w:hAnsiTheme="minorHAnsi"/>
          <w:sz w:val="22"/>
          <w:szCs w:val="22"/>
        </w:rPr>
      </w:pPr>
      <w:r w:rsidRPr="00A06B93">
        <w:rPr>
          <w:rFonts w:asciiTheme="minorHAnsi" w:hAnsiTheme="minorHAnsi"/>
          <w:sz w:val="22"/>
          <w:szCs w:val="22"/>
        </w:rPr>
        <w:t xml:space="preserve">Of this money, </w:t>
      </w:r>
      <w:r w:rsidRPr="00A06B93">
        <w:rPr>
          <w:rFonts w:asciiTheme="minorHAnsi" w:hAnsiTheme="minorHAnsi"/>
          <w:b/>
          <w:sz w:val="22"/>
          <w:szCs w:val="22"/>
        </w:rPr>
        <w:t>USD 17 million has been allocated in grants to the Child Trust Funds (CTFs).</w:t>
      </w:r>
      <w:r w:rsidRPr="00A06B93">
        <w:rPr>
          <w:rFonts w:asciiTheme="minorHAnsi" w:hAnsiTheme="minorHAnsi"/>
          <w:sz w:val="22"/>
          <w:szCs w:val="22"/>
        </w:rPr>
        <w:t xml:space="preserve">  As of April 2012, </w:t>
      </w:r>
      <w:r w:rsidRPr="00A06B93">
        <w:rPr>
          <w:rFonts w:asciiTheme="minorHAnsi" w:hAnsiTheme="minorHAnsi"/>
          <w:b/>
          <w:sz w:val="22"/>
          <w:szCs w:val="22"/>
        </w:rPr>
        <w:t>approximately a third of this grant amount (USD 5.5 million) had been disbursed to recipients</w:t>
      </w:r>
      <w:r w:rsidRPr="00A06B93">
        <w:rPr>
          <w:rFonts w:asciiTheme="minorHAnsi" w:hAnsiTheme="minorHAnsi"/>
          <w:sz w:val="22"/>
          <w:szCs w:val="22"/>
        </w:rPr>
        <w:t xml:space="preserve"> (see Table </w:t>
      </w:r>
      <w:r w:rsidR="00DF3200">
        <w:rPr>
          <w:rFonts w:asciiTheme="minorHAnsi" w:hAnsiTheme="minorHAnsi"/>
          <w:sz w:val="22"/>
          <w:szCs w:val="22"/>
        </w:rPr>
        <w:t>9</w:t>
      </w:r>
      <w:r w:rsidRPr="00A06B93">
        <w:rPr>
          <w:rFonts w:asciiTheme="minorHAnsi" w:hAnsiTheme="minorHAnsi"/>
          <w:sz w:val="22"/>
          <w:szCs w:val="22"/>
        </w:rPr>
        <w:t xml:space="preserve">). </w:t>
      </w:r>
    </w:p>
    <w:p w:rsidR="003F6C09" w:rsidRPr="00A06B93" w:rsidRDefault="003F6C09" w:rsidP="003F6C09">
      <w:pPr>
        <w:autoSpaceDE w:val="0"/>
        <w:autoSpaceDN w:val="0"/>
        <w:adjustRightInd w:val="0"/>
        <w:rPr>
          <w:rFonts w:asciiTheme="minorHAnsi" w:hAnsiTheme="minorHAnsi" w:cs="Arial"/>
          <w:color w:val="000000"/>
          <w:sz w:val="22"/>
          <w:szCs w:val="22"/>
        </w:rPr>
      </w:pPr>
    </w:p>
    <w:p w:rsidR="003F6C09" w:rsidRPr="00A06B93" w:rsidRDefault="003F6C09" w:rsidP="003F6C09">
      <w:pPr>
        <w:jc w:val="center"/>
        <w:rPr>
          <w:rFonts w:asciiTheme="minorHAnsi" w:hAnsiTheme="minorHAnsi"/>
          <w:b/>
          <w:sz w:val="22"/>
          <w:szCs w:val="22"/>
        </w:rPr>
      </w:pPr>
      <w:r w:rsidRPr="00A06B93">
        <w:rPr>
          <w:rFonts w:asciiTheme="minorHAnsi" w:hAnsiTheme="minorHAnsi"/>
          <w:b/>
          <w:sz w:val="22"/>
          <w:szCs w:val="22"/>
        </w:rPr>
        <w:t xml:space="preserve">Table </w:t>
      </w:r>
      <w:r w:rsidR="00DF3200">
        <w:rPr>
          <w:rFonts w:asciiTheme="minorHAnsi" w:hAnsiTheme="minorHAnsi"/>
          <w:b/>
          <w:sz w:val="22"/>
          <w:szCs w:val="22"/>
        </w:rPr>
        <w:t>9</w:t>
      </w:r>
      <w:r w:rsidRPr="00A06B93">
        <w:rPr>
          <w:rFonts w:asciiTheme="minorHAnsi" w:hAnsiTheme="minorHAnsi"/>
          <w:b/>
          <w:sz w:val="22"/>
          <w:szCs w:val="22"/>
        </w:rPr>
        <w:t>: CTF Grants and Disbursements (April 2012)</w:t>
      </w:r>
      <w:r w:rsidRPr="00A06B93">
        <w:rPr>
          <w:rStyle w:val="FootnoteReference"/>
          <w:rFonts w:asciiTheme="minorHAnsi" w:hAnsiTheme="minorHAnsi"/>
          <w:b/>
          <w:sz w:val="22"/>
          <w:szCs w:val="22"/>
        </w:rPr>
        <w:footnoteReference w:id="84"/>
      </w:r>
    </w:p>
    <w:tbl>
      <w:tblPr>
        <w:tblStyle w:val="LightShading-Accent5"/>
        <w:tblW w:w="0" w:type="auto"/>
        <w:tblLook w:val="04A0"/>
      </w:tblPr>
      <w:tblGrid>
        <w:gridCol w:w="2310"/>
        <w:gridCol w:w="2310"/>
        <w:gridCol w:w="2311"/>
        <w:gridCol w:w="2311"/>
      </w:tblGrid>
      <w:tr w:rsidR="003F6C09" w:rsidRPr="00A06B93" w:rsidTr="00EE3B91">
        <w:trPr>
          <w:cnfStyle w:val="100000000000"/>
        </w:trPr>
        <w:tc>
          <w:tcPr>
            <w:cnfStyle w:val="001000000000"/>
            <w:tcW w:w="2310" w:type="dxa"/>
          </w:tcPr>
          <w:p w:rsidR="003F6C09" w:rsidRPr="00A06B93" w:rsidRDefault="003F6C09" w:rsidP="00EE3B91">
            <w:pPr>
              <w:rPr>
                <w:sz w:val="20"/>
                <w:szCs w:val="20"/>
              </w:rPr>
            </w:pPr>
            <w:r w:rsidRPr="00A06B93">
              <w:rPr>
                <w:sz w:val="20"/>
                <w:szCs w:val="20"/>
              </w:rPr>
              <w:t>Recipient</w:t>
            </w:r>
          </w:p>
        </w:tc>
        <w:tc>
          <w:tcPr>
            <w:tcW w:w="2310" w:type="dxa"/>
          </w:tcPr>
          <w:p w:rsidR="003F6C09" w:rsidRPr="00A06B93" w:rsidRDefault="003F6C09" w:rsidP="00EE3B91">
            <w:pPr>
              <w:jc w:val="center"/>
              <w:cnfStyle w:val="100000000000"/>
              <w:rPr>
                <w:sz w:val="20"/>
                <w:szCs w:val="20"/>
              </w:rPr>
            </w:pPr>
            <w:r w:rsidRPr="00A06B93">
              <w:rPr>
                <w:sz w:val="20"/>
                <w:szCs w:val="20"/>
              </w:rPr>
              <w:t>Grant amount</w:t>
            </w:r>
          </w:p>
        </w:tc>
        <w:tc>
          <w:tcPr>
            <w:tcW w:w="2311" w:type="dxa"/>
          </w:tcPr>
          <w:p w:rsidR="003F6C09" w:rsidRPr="00A06B93" w:rsidRDefault="003F6C09" w:rsidP="00EE3B91">
            <w:pPr>
              <w:jc w:val="center"/>
              <w:cnfStyle w:val="100000000000"/>
              <w:rPr>
                <w:sz w:val="20"/>
                <w:szCs w:val="20"/>
              </w:rPr>
            </w:pPr>
            <w:r w:rsidRPr="00A06B93">
              <w:rPr>
                <w:sz w:val="20"/>
                <w:szCs w:val="20"/>
              </w:rPr>
              <w:t>Disbursement to recipient to date (USD)</w:t>
            </w:r>
          </w:p>
        </w:tc>
        <w:tc>
          <w:tcPr>
            <w:tcW w:w="2311" w:type="dxa"/>
          </w:tcPr>
          <w:p w:rsidR="003F6C09" w:rsidRPr="00A06B93" w:rsidRDefault="003F6C09" w:rsidP="00EE3B91">
            <w:pPr>
              <w:jc w:val="center"/>
              <w:cnfStyle w:val="100000000000"/>
              <w:rPr>
                <w:sz w:val="20"/>
                <w:szCs w:val="20"/>
              </w:rPr>
            </w:pPr>
            <w:r w:rsidRPr="00A06B93">
              <w:rPr>
                <w:sz w:val="20"/>
                <w:szCs w:val="20"/>
              </w:rPr>
              <w:t>Initial disbursement date</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AUC</w:t>
            </w:r>
          </w:p>
        </w:tc>
        <w:tc>
          <w:tcPr>
            <w:tcW w:w="2310" w:type="dxa"/>
          </w:tcPr>
          <w:p w:rsidR="003F6C09" w:rsidRPr="00A06B93" w:rsidRDefault="003F6C09" w:rsidP="00EE3B91">
            <w:pPr>
              <w:jc w:val="center"/>
              <w:cnfStyle w:val="000000100000"/>
              <w:rPr>
                <w:sz w:val="20"/>
                <w:szCs w:val="20"/>
              </w:rPr>
            </w:pPr>
            <w:r w:rsidRPr="00A06B93">
              <w:rPr>
                <w:sz w:val="20"/>
                <w:szCs w:val="20"/>
              </w:rPr>
              <w:t>4,000,000</w:t>
            </w:r>
          </w:p>
        </w:tc>
        <w:tc>
          <w:tcPr>
            <w:tcW w:w="2311" w:type="dxa"/>
          </w:tcPr>
          <w:p w:rsidR="003F6C09" w:rsidRPr="00A06B93" w:rsidRDefault="003F6C09" w:rsidP="00EE3B91">
            <w:pPr>
              <w:jc w:val="center"/>
              <w:cnfStyle w:val="000000100000"/>
              <w:rPr>
                <w:sz w:val="20"/>
                <w:szCs w:val="20"/>
              </w:rPr>
            </w:pPr>
            <w:r w:rsidRPr="00A06B93">
              <w:rPr>
                <w:sz w:val="20"/>
                <w:szCs w:val="20"/>
              </w:rPr>
              <w:t>1,015,315</w:t>
            </w:r>
          </w:p>
        </w:tc>
        <w:tc>
          <w:tcPr>
            <w:tcW w:w="2311" w:type="dxa"/>
          </w:tcPr>
          <w:p w:rsidR="003F6C09" w:rsidRPr="00A06B93" w:rsidRDefault="003F6C09" w:rsidP="00EE3B91">
            <w:pPr>
              <w:jc w:val="center"/>
              <w:cnfStyle w:val="000000100000"/>
              <w:rPr>
                <w:sz w:val="20"/>
                <w:szCs w:val="20"/>
              </w:rPr>
            </w:pPr>
            <w:r w:rsidRPr="00A06B93">
              <w:rPr>
                <w:sz w:val="20"/>
                <w:szCs w:val="20"/>
              </w:rPr>
              <w:t>Feb 2011</w:t>
            </w:r>
          </w:p>
        </w:tc>
      </w:tr>
      <w:tr w:rsidR="003F6C09" w:rsidRPr="00A06B93" w:rsidTr="00EE3B91">
        <w:tc>
          <w:tcPr>
            <w:cnfStyle w:val="001000000000"/>
            <w:tcW w:w="2310" w:type="dxa"/>
          </w:tcPr>
          <w:p w:rsidR="003F6C09" w:rsidRPr="00A06B93" w:rsidRDefault="003F6C09" w:rsidP="00EE3B91">
            <w:pPr>
              <w:rPr>
                <w:b w:val="0"/>
                <w:sz w:val="20"/>
                <w:szCs w:val="20"/>
              </w:rPr>
            </w:pPr>
            <w:r w:rsidRPr="00A06B93">
              <w:rPr>
                <w:b w:val="0"/>
                <w:sz w:val="20"/>
                <w:szCs w:val="20"/>
              </w:rPr>
              <w:t>CMA/WCA</w:t>
            </w:r>
          </w:p>
        </w:tc>
        <w:tc>
          <w:tcPr>
            <w:tcW w:w="2310" w:type="dxa"/>
          </w:tcPr>
          <w:p w:rsidR="003F6C09" w:rsidRPr="00A06B93" w:rsidRDefault="003F6C09" w:rsidP="00EE3B91">
            <w:pPr>
              <w:jc w:val="center"/>
              <w:cnfStyle w:val="000000000000"/>
              <w:rPr>
                <w:sz w:val="20"/>
                <w:szCs w:val="20"/>
              </w:rPr>
            </w:pPr>
            <w:r w:rsidRPr="00A06B93">
              <w:rPr>
                <w:sz w:val="20"/>
                <w:szCs w:val="20"/>
              </w:rPr>
              <w:t>1,100,000</w:t>
            </w:r>
          </w:p>
        </w:tc>
        <w:tc>
          <w:tcPr>
            <w:tcW w:w="2311" w:type="dxa"/>
          </w:tcPr>
          <w:p w:rsidR="003F6C09" w:rsidRPr="00A06B93" w:rsidRDefault="003F6C09" w:rsidP="00EE3B91">
            <w:pPr>
              <w:jc w:val="center"/>
              <w:cnfStyle w:val="000000000000"/>
              <w:rPr>
                <w:sz w:val="20"/>
                <w:szCs w:val="20"/>
              </w:rPr>
            </w:pPr>
            <w:r w:rsidRPr="00A06B93">
              <w:rPr>
                <w:sz w:val="20"/>
                <w:szCs w:val="20"/>
              </w:rPr>
              <w:t>1,100,000</w:t>
            </w:r>
          </w:p>
        </w:tc>
        <w:tc>
          <w:tcPr>
            <w:tcW w:w="2311" w:type="dxa"/>
          </w:tcPr>
          <w:p w:rsidR="003F6C09" w:rsidRPr="00A06B93" w:rsidRDefault="003F6C09" w:rsidP="00EE3B91">
            <w:pPr>
              <w:jc w:val="center"/>
              <w:cnfStyle w:val="000000000000"/>
              <w:rPr>
                <w:sz w:val="20"/>
                <w:szCs w:val="20"/>
              </w:rPr>
            </w:pPr>
            <w:r w:rsidRPr="00A06B93">
              <w:rPr>
                <w:sz w:val="20"/>
                <w:szCs w:val="20"/>
              </w:rPr>
              <w:t>Sep 2010</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COMESA</w:t>
            </w:r>
          </w:p>
        </w:tc>
        <w:tc>
          <w:tcPr>
            <w:tcW w:w="2310" w:type="dxa"/>
          </w:tcPr>
          <w:p w:rsidR="003F6C09" w:rsidRPr="00A06B93" w:rsidRDefault="003F6C09" w:rsidP="00EE3B91">
            <w:pPr>
              <w:jc w:val="center"/>
              <w:cnfStyle w:val="000000100000"/>
              <w:rPr>
                <w:sz w:val="20"/>
                <w:szCs w:val="20"/>
              </w:rPr>
            </w:pPr>
            <w:r w:rsidRPr="00A06B93">
              <w:rPr>
                <w:sz w:val="20"/>
                <w:szCs w:val="20"/>
              </w:rPr>
              <w:t>4,500,000</w:t>
            </w:r>
          </w:p>
        </w:tc>
        <w:tc>
          <w:tcPr>
            <w:tcW w:w="2311" w:type="dxa"/>
          </w:tcPr>
          <w:p w:rsidR="003F6C09" w:rsidRPr="00A06B93" w:rsidRDefault="003F6C09" w:rsidP="00EE3B91">
            <w:pPr>
              <w:jc w:val="center"/>
              <w:cnfStyle w:val="000000100000"/>
              <w:rPr>
                <w:sz w:val="20"/>
                <w:szCs w:val="20"/>
              </w:rPr>
            </w:pPr>
            <w:r w:rsidRPr="00A06B93">
              <w:rPr>
                <w:sz w:val="20"/>
                <w:szCs w:val="20"/>
              </w:rPr>
              <w:t>1,720,852</w:t>
            </w:r>
          </w:p>
        </w:tc>
        <w:tc>
          <w:tcPr>
            <w:tcW w:w="2311" w:type="dxa"/>
          </w:tcPr>
          <w:p w:rsidR="003F6C09" w:rsidRPr="00A06B93" w:rsidRDefault="003F6C09" w:rsidP="00EE3B91">
            <w:pPr>
              <w:jc w:val="center"/>
              <w:cnfStyle w:val="000000100000"/>
              <w:rPr>
                <w:sz w:val="20"/>
                <w:szCs w:val="20"/>
              </w:rPr>
            </w:pPr>
            <w:r w:rsidRPr="00A06B93">
              <w:rPr>
                <w:sz w:val="20"/>
                <w:szCs w:val="20"/>
              </w:rPr>
              <w:t>Dec 2010</w:t>
            </w:r>
          </w:p>
        </w:tc>
      </w:tr>
      <w:tr w:rsidR="003F6C09" w:rsidRPr="00A06B93" w:rsidTr="00EE3B91">
        <w:tc>
          <w:tcPr>
            <w:cnfStyle w:val="001000000000"/>
            <w:tcW w:w="2310" w:type="dxa"/>
          </w:tcPr>
          <w:p w:rsidR="003F6C09" w:rsidRPr="00A06B93" w:rsidRDefault="003F6C09" w:rsidP="00EE3B91">
            <w:pPr>
              <w:rPr>
                <w:b w:val="0"/>
                <w:sz w:val="20"/>
                <w:szCs w:val="20"/>
              </w:rPr>
            </w:pPr>
            <w:r w:rsidRPr="00A06B93">
              <w:rPr>
                <w:b w:val="0"/>
                <w:sz w:val="20"/>
                <w:szCs w:val="20"/>
              </w:rPr>
              <w:t>ECCAS</w:t>
            </w:r>
          </w:p>
        </w:tc>
        <w:tc>
          <w:tcPr>
            <w:tcW w:w="2310" w:type="dxa"/>
          </w:tcPr>
          <w:p w:rsidR="003F6C09" w:rsidRPr="00A06B93" w:rsidRDefault="003F6C09" w:rsidP="00EE3B91">
            <w:pPr>
              <w:jc w:val="center"/>
              <w:cnfStyle w:val="000000000000"/>
              <w:rPr>
                <w:sz w:val="20"/>
                <w:szCs w:val="20"/>
              </w:rPr>
            </w:pPr>
            <w:r w:rsidRPr="00A06B93">
              <w:rPr>
                <w:sz w:val="20"/>
                <w:szCs w:val="20"/>
              </w:rPr>
              <w:t>3,900,000</w:t>
            </w:r>
          </w:p>
        </w:tc>
        <w:tc>
          <w:tcPr>
            <w:tcW w:w="2311" w:type="dxa"/>
          </w:tcPr>
          <w:p w:rsidR="003F6C09" w:rsidRPr="00A06B93" w:rsidRDefault="003F6C09" w:rsidP="00EE3B91">
            <w:pPr>
              <w:jc w:val="center"/>
              <w:cnfStyle w:val="000000000000"/>
              <w:rPr>
                <w:sz w:val="20"/>
                <w:szCs w:val="20"/>
              </w:rPr>
            </w:pPr>
            <w:r w:rsidRPr="00A06B93">
              <w:rPr>
                <w:sz w:val="20"/>
                <w:szCs w:val="20"/>
              </w:rPr>
              <w:t>598,626</w:t>
            </w:r>
          </w:p>
        </w:tc>
        <w:tc>
          <w:tcPr>
            <w:tcW w:w="2311" w:type="dxa"/>
          </w:tcPr>
          <w:p w:rsidR="003F6C09" w:rsidRPr="00A06B93" w:rsidRDefault="003F6C09" w:rsidP="00EE3B91">
            <w:pPr>
              <w:jc w:val="center"/>
              <w:cnfStyle w:val="000000000000"/>
              <w:rPr>
                <w:sz w:val="20"/>
                <w:szCs w:val="20"/>
              </w:rPr>
            </w:pPr>
            <w:r w:rsidRPr="00A06B93">
              <w:rPr>
                <w:sz w:val="20"/>
                <w:szCs w:val="20"/>
              </w:rPr>
              <w:t>Jan 2011</w:t>
            </w:r>
          </w:p>
        </w:tc>
      </w:tr>
      <w:tr w:rsidR="003F6C09" w:rsidRPr="00A06B93" w:rsidTr="00EE3B91">
        <w:trPr>
          <w:cnfStyle w:val="000000100000"/>
        </w:trPr>
        <w:tc>
          <w:tcPr>
            <w:cnfStyle w:val="001000000000"/>
            <w:tcW w:w="2310" w:type="dxa"/>
          </w:tcPr>
          <w:p w:rsidR="003F6C09" w:rsidRPr="00A06B93" w:rsidRDefault="003F6C09" w:rsidP="00EE3B91">
            <w:pPr>
              <w:rPr>
                <w:b w:val="0"/>
                <w:sz w:val="20"/>
                <w:szCs w:val="20"/>
              </w:rPr>
            </w:pPr>
            <w:r w:rsidRPr="00A06B93">
              <w:rPr>
                <w:b w:val="0"/>
                <w:sz w:val="20"/>
                <w:szCs w:val="20"/>
              </w:rPr>
              <w:t>NPCA</w:t>
            </w:r>
          </w:p>
        </w:tc>
        <w:tc>
          <w:tcPr>
            <w:tcW w:w="2310" w:type="dxa"/>
          </w:tcPr>
          <w:p w:rsidR="003F6C09" w:rsidRPr="00A06B93" w:rsidRDefault="003F6C09" w:rsidP="00EE3B91">
            <w:pPr>
              <w:jc w:val="center"/>
              <w:cnfStyle w:val="000000100000"/>
              <w:rPr>
                <w:sz w:val="20"/>
                <w:szCs w:val="20"/>
              </w:rPr>
            </w:pPr>
            <w:r w:rsidRPr="00A06B93">
              <w:rPr>
                <w:sz w:val="20"/>
                <w:szCs w:val="20"/>
              </w:rPr>
              <w:t>3,500,000</w:t>
            </w:r>
          </w:p>
        </w:tc>
        <w:tc>
          <w:tcPr>
            <w:tcW w:w="2311" w:type="dxa"/>
          </w:tcPr>
          <w:p w:rsidR="003F6C09" w:rsidRPr="00A06B93" w:rsidRDefault="003F6C09" w:rsidP="00EE3B91">
            <w:pPr>
              <w:jc w:val="center"/>
              <w:cnfStyle w:val="000000100000"/>
              <w:rPr>
                <w:sz w:val="20"/>
                <w:szCs w:val="20"/>
              </w:rPr>
            </w:pPr>
            <w:r w:rsidRPr="00A06B93">
              <w:rPr>
                <w:sz w:val="20"/>
                <w:szCs w:val="20"/>
              </w:rPr>
              <w:t>1,076,271</w:t>
            </w:r>
          </w:p>
        </w:tc>
        <w:tc>
          <w:tcPr>
            <w:tcW w:w="2311" w:type="dxa"/>
          </w:tcPr>
          <w:p w:rsidR="003F6C09" w:rsidRPr="00A06B93" w:rsidRDefault="003F6C09" w:rsidP="00EE3B91">
            <w:pPr>
              <w:jc w:val="center"/>
              <w:cnfStyle w:val="000000100000"/>
              <w:rPr>
                <w:sz w:val="20"/>
                <w:szCs w:val="20"/>
              </w:rPr>
            </w:pPr>
            <w:r w:rsidRPr="00A06B93">
              <w:rPr>
                <w:sz w:val="20"/>
                <w:szCs w:val="20"/>
              </w:rPr>
              <w:t>June 2011</w:t>
            </w:r>
          </w:p>
        </w:tc>
      </w:tr>
      <w:tr w:rsidR="003F6C09" w:rsidRPr="00A06B93" w:rsidTr="00EE3B91">
        <w:tc>
          <w:tcPr>
            <w:cnfStyle w:val="001000000000"/>
            <w:tcW w:w="2310" w:type="dxa"/>
          </w:tcPr>
          <w:p w:rsidR="003F6C09" w:rsidRPr="00A06B93" w:rsidRDefault="003F6C09" w:rsidP="00EE3B91">
            <w:pPr>
              <w:rPr>
                <w:sz w:val="20"/>
                <w:szCs w:val="20"/>
              </w:rPr>
            </w:pPr>
            <w:r w:rsidRPr="00A06B93">
              <w:rPr>
                <w:sz w:val="20"/>
                <w:szCs w:val="20"/>
              </w:rPr>
              <w:t>Total</w:t>
            </w:r>
          </w:p>
        </w:tc>
        <w:tc>
          <w:tcPr>
            <w:tcW w:w="2310" w:type="dxa"/>
          </w:tcPr>
          <w:p w:rsidR="003F6C09" w:rsidRPr="00A06B93" w:rsidRDefault="003F6C09" w:rsidP="00EE3B91">
            <w:pPr>
              <w:jc w:val="center"/>
              <w:cnfStyle w:val="000000000000"/>
              <w:rPr>
                <w:b/>
                <w:sz w:val="20"/>
                <w:szCs w:val="20"/>
              </w:rPr>
            </w:pPr>
            <w:r w:rsidRPr="00A06B93">
              <w:rPr>
                <w:b/>
                <w:sz w:val="20"/>
                <w:szCs w:val="20"/>
              </w:rPr>
              <w:t>17,000,000</w:t>
            </w:r>
          </w:p>
        </w:tc>
        <w:tc>
          <w:tcPr>
            <w:tcW w:w="2311" w:type="dxa"/>
          </w:tcPr>
          <w:p w:rsidR="003F6C09" w:rsidRPr="00A06B93" w:rsidRDefault="003F6C09" w:rsidP="00EE3B91">
            <w:pPr>
              <w:jc w:val="center"/>
              <w:cnfStyle w:val="000000000000"/>
              <w:rPr>
                <w:b/>
                <w:sz w:val="20"/>
                <w:szCs w:val="20"/>
              </w:rPr>
            </w:pPr>
            <w:r w:rsidRPr="00A06B93">
              <w:rPr>
                <w:b/>
                <w:sz w:val="20"/>
                <w:szCs w:val="20"/>
              </w:rPr>
              <w:t>5,511,265</w:t>
            </w:r>
          </w:p>
        </w:tc>
        <w:tc>
          <w:tcPr>
            <w:tcW w:w="2311" w:type="dxa"/>
          </w:tcPr>
          <w:p w:rsidR="003F6C09" w:rsidRPr="00A06B93" w:rsidRDefault="003F6C09" w:rsidP="00EE3B91">
            <w:pPr>
              <w:jc w:val="center"/>
              <w:cnfStyle w:val="000000000000"/>
              <w:rPr>
                <w:b/>
                <w:sz w:val="20"/>
                <w:szCs w:val="20"/>
              </w:rPr>
            </w:pPr>
            <w:r w:rsidRPr="00A06B93">
              <w:rPr>
                <w:b/>
                <w:sz w:val="20"/>
                <w:szCs w:val="20"/>
              </w:rPr>
              <w:t>34,496,884</w:t>
            </w:r>
          </w:p>
        </w:tc>
      </w:tr>
    </w:tbl>
    <w:p w:rsidR="003F6C09" w:rsidRPr="00A06B93" w:rsidRDefault="003F6C09" w:rsidP="003F6C09">
      <w:pPr>
        <w:jc w:val="both"/>
        <w:rPr>
          <w:rFonts w:asciiTheme="minorHAnsi" w:hAnsiTheme="minorHAnsi"/>
          <w:sz w:val="22"/>
          <w:szCs w:val="22"/>
        </w:rPr>
      </w:pP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sz w:val="22"/>
          <w:szCs w:val="22"/>
        </w:rPr>
        <w:t xml:space="preserve">The MDTF provides support to the various institutions with responsibility for implementing CAADP: the African Union’s Department of Rural Economy and Agriculture (AUC-DREA), NEPAD Planning and Coordinating </w:t>
      </w:r>
      <w:r w:rsidR="002B7557">
        <w:rPr>
          <w:rFonts w:asciiTheme="minorHAnsi" w:hAnsiTheme="minorHAnsi"/>
          <w:sz w:val="22"/>
          <w:szCs w:val="22"/>
        </w:rPr>
        <w:t>A</w:t>
      </w:r>
      <w:r w:rsidRPr="00A06B93">
        <w:rPr>
          <w:rFonts w:asciiTheme="minorHAnsi" w:hAnsiTheme="minorHAnsi"/>
          <w:sz w:val="22"/>
          <w:szCs w:val="22"/>
        </w:rPr>
        <w:t>gency (NPCA), Regional Economic Communities (COMESA, ECCAS, ECOWAS, SADC, EAC and IGAD)</w:t>
      </w:r>
      <w:r w:rsidRPr="00A06B93">
        <w:rPr>
          <w:rStyle w:val="FootnoteReference"/>
          <w:rFonts w:asciiTheme="minorHAnsi" w:hAnsiTheme="minorHAnsi"/>
          <w:sz w:val="22"/>
          <w:szCs w:val="22"/>
        </w:rPr>
        <w:footnoteReference w:id="85"/>
      </w:r>
      <w:r w:rsidRPr="00A06B93">
        <w:rPr>
          <w:rFonts w:asciiTheme="minorHAnsi" w:hAnsiTheme="minorHAnsi"/>
          <w:sz w:val="22"/>
          <w:szCs w:val="22"/>
        </w:rPr>
        <w:t>, and Pillar institutions, namely:</w:t>
      </w:r>
    </w:p>
    <w:p w:rsidR="003F6C09" w:rsidRPr="00A06B93" w:rsidRDefault="003F6C09" w:rsidP="007770A6">
      <w:pPr>
        <w:pStyle w:val="ListParagraph"/>
        <w:numPr>
          <w:ilvl w:val="0"/>
          <w:numId w:val="18"/>
        </w:numPr>
        <w:spacing w:after="120"/>
        <w:ind w:left="851" w:hanging="425"/>
      </w:pPr>
      <w:r w:rsidRPr="00A06B93">
        <w:t xml:space="preserve">Pillar 1: Land management and water control – </w:t>
      </w:r>
      <w:r w:rsidRPr="00A06B93">
        <w:rPr>
          <w:b/>
        </w:rPr>
        <w:t>University of Zambia / Permanent Interstate Committee for Drought Control in the Sahel (CILSS)</w:t>
      </w:r>
    </w:p>
    <w:p w:rsidR="003F6C09" w:rsidRPr="00A06B93" w:rsidRDefault="003F6C09" w:rsidP="007770A6">
      <w:pPr>
        <w:pStyle w:val="ListParagraph"/>
        <w:numPr>
          <w:ilvl w:val="0"/>
          <w:numId w:val="18"/>
        </w:numPr>
        <w:spacing w:after="120"/>
        <w:ind w:left="851" w:hanging="425"/>
      </w:pPr>
      <w:r w:rsidRPr="00A06B93">
        <w:t xml:space="preserve">Pillar 2: Rural infrastructure and trade related markets – </w:t>
      </w:r>
      <w:r w:rsidRPr="00A06B93">
        <w:rPr>
          <w:rFonts w:cs="Arial"/>
          <w:b/>
          <w:shd w:val="clear" w:color="auto" w:fill="FFFFFF"/>
        </w:rPr>
        <w:t>Conference of Ministers of Agriculture of West and Central Africa (CMA/WCA)</w:t>
      </w:r>
    </w:p>
    <w:p w:rsidR="003F6C09" w:rsidRPr="00A06B93" w:rsidRDefault="003F6C09" w:rsidP="007770A6">
      <w:pPr>
        <w:pStyle w:val="ListParagraph"/>
        <w:numPr>
          <w:ilvl w:val="0"/>
          <w:numId w:val="18"/>
        </w:numPr>
        <w:spacing w:after="120"/>
        <w:ind w:left="851" w:hanging="425"/>
      </w:pPr>
      <w:r w:rsidRPr="00A06B93">
        <w:t xml:space="preserve">Pillar 3: Food security and safety nets – </w:t>
      </w:r>
      <w:r w:rsidRPr="00A06B93">
        <w:rPr>
          <w:b/>
        </w:rPr>
        <w:t xml:space="preserve">University of </w:t>
      </w:r>
      <w:proofErr w:type="spellStart"/>
      <w:r w:rsidRPr="00A06B93">
        <w:rPr>
          <w:b/>
        </w:rPr>
        <w:t>KwaZulu</w:t>
      </w:r>
      <w:proofErr w:type="spellEnd"/>
      <w:r w:rsidRPr="00A06B93">
        <w:rPr>
          <w:b/>
        </w:rPr>
        <w:t xml:space="preserve"> Natal / CILSS</w:t>
      </w:r>
      <w:r w:rsidRPr="00A06B93">
        <w:t xml:space="preserve"> </w:t>
      </w:r>
    </w:p>
    <w:p w:rsidR="003F6C09" w:rsidRPr="00A06B93" w:rsidRDefault="003F6C09" w:rsidP="007770A6">
      <w:pPr>
        <w:pStyle w:val="ListParagraph"/>
        <w:numPr>
          <w:ilvl w:val="0"/>
          <w:numId w:val="18"/>
        </w:numPr>
        <w:spacing w:after="120"/>
        <w:ind w:left="851" w:hanging="425"/>
      </w:pPr>
      <w:r w:rsidRPr="00A06B93">
        <w:t xml:space="preserve">Pillar 4: Agricultural research and technology transfer – </w:t>
      </w:r>
      <w:r w:rsidRPr="00A06B93">
        <w:rPr>
          <w:b/>
        </w:rPr>
        <w:t>Forum for Agriculture Research in Africa (FARA).</w:t>
      </w:r>
    </w:p>
    <w:p w:rsidR="003F6C09" w:rsidRPr="00A06B93" w:rsidRDefault="003F6C09" w:rsidP="003F6C09">
      <w:pPr>
        <w:pStyle w:val="ListParagraph"/>
        <w:spacing w:after="0"/>
      </w:pPr>
    </w:p>
    <w:p w:rsidR="003F6C09" w:rsidRPr="00A06B93" w:rsidRDefault="003F6C09" w:rsidP="003F6C09">
      <w:pPr>
        <w:jc w:val="both"/>
        <w:rPr>
          <w:rFonts w:asciiTheme="minorHAnsi" w:hAnsiTheme="minorHAnsi"/>
          <w:b/>
          <w:color w:val="31849B" w:themeColor="accent5" w:themeShade="BF"/>
          <w:szCs w:val="24"/>
        </w:rPr>
      </w:pPr>
      <w:r w:rsidRPr="00A06B93">
        <w:rPr>
          <w:rFonts w:asciiTheme="minorHAnsi" w:hAnsiTheme="minorHAnsi"/>
          <w:b/>
          <w:color w:val="31849B" w:themeColor="accent5" w:themeShade="BF"/>
          <w:szCs w:val="24"/>
        </w:rPr>
        <w:t>3.3</w:t>
      </w:r>
      <w:r w:rsidRPr="00A06B93">
        <w:rPr>
          <w:rFonts w:asciiTheme="minorHAnsi" w:hAnsiTheme="minorHAnsi"/>
          <w:b/>
          <w:color w:val="31849B" w:themeColor="accent5" w:themeShade="BF"/>
          <w:szCs w:val="24"/>
        </w:rPr>
        <w:tab/>
        <w:t>Which donors are funding the institutions delivering CAADP?</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sz w:val="22"/>
          <w:szCs w:val="22"/>
        </w:rPr>
        <w:t>Donors have contributed funds to the core CAADP institutions in a variety of ways.  The CAADP MDTF is the key donor vehicle that aims to strengthen the institutional capacities of the African drivers of CAADP, particularly on the continental and regional level, to effectively lead, implement, monitor and evaluate CAADP processes.</w:t>
      </w:r>
      <w:r w:rsidRPr="00A06B93">
        <w:rPr>
          <w:rStyle w:val="FootnoteReference"/>
          <w:rFonts w:asciiTheme="minorHAnsi" w:hAnsiTheme="minorHAnsi"/>
          <w:sz w:val="22"/>
          <w:szCs w:val="22"/>
        </w:rPr>
        <w:footnoteReference w:id="86"/>
      </w:r>
      <w:r w:rsidRPr="00A06B93">
        <w:rPr>
          <w:rFonts w:asciiTheme="minorHAnsi" w:hAnsiTheme="minorHAnsi"/>
          <w:sz w:val="22"/>
          <w:szCs w:val="22"/>
        </w:rPr>
        <w:t xml:space="preserve">  Although the MDTF is tasked with financially supporting the CAADP processes (not investments), there are a variety of funding arrangements to the core </w:t>
      </w:r>
      <w:r w:rsidRPr="00A06B93">
        <w:rPr>
          <w:rFonts w:asciiTheme="minorHAnsi" w:hAnsiTheme="minorHAnsi"/>
          <w:sz w:val="22"/>
          <w:szCs w:val="22"/>
        </w:rPr>
        <w:lastRenderedPageBreak/>
        <w:t xml:space="preserve">CAADP institutions that lie outside of the MDTF.  The following section looks at some of the ways donors have financially engaged with the institutions tasked with delivering CAADP outside of the MDTF process.  </w:t>
      </w:r>
    </w:p>
    <w:p w:rsidR="003F6C09" w:rsidRPr="00A06B93" w:rsidRDefault="003F6C09" w:rsidP="003F6C09">
      <w:pPr>
        <w:jc w:val="both"/>
        <w:rPr>
          <w:rFonts w:asciiTheme="minorHAnsi" w:hAnsiTheme="minorHAnsi"/>
          <w:b/>
          <w:color w:val="31849B" w:themeColor="accent5" w:themeShade="BF"/>
        </w:rPr>
      </w:pPr>
      <w:r w:rsidRPr="00A06B93">
        <w:rPr>
          <w:rFonts w:asciiTheme="minorHAnsi" w:hAnsiTheme="minorHAnsi"/>
          <w:b/>
          <w:color w:val="31849B" w:themeColor="accent5" w:themeShade="BF"/>
        </w:rPr>
        <w:t xml:space="preserve">3.3.1 </w:t>
      </w:r>
      <w:r w:rsidRPr="00A06B93">
        <w:rPr>
          <w:rFonts w:asciiTheme="minorHAnsi" w:hAnsiTheme="minorHAnsi"/>
          <w:b/>
          <w:color w:val="31849B" w:themeColor="accent5" w:themeShade="BF"/>
        </w:rPr>
        <w:tab/>
        <w:t xml:space="preserve">AUC-DREA  </w:t>
      </w:r>
    </w:p>
    <w:p w:rsidR="003F6C09" w:rsidRPr="00A06B93" w:rsidRDefault="003F6C09" w:rsidP="00A06B93">
      <w:pPr>
        <w:spacing w:line="276" w:lineRule="auto"/>
        <w:jc w:val="both"/>
        <w:rPr>
          <w:rFonts w:asciiTheme="minorHAnsi" w:hAnsiTheme="minorHAnsi"/>
          <w:sz w:val="22"/>
          <w:szCs w:val="22"/>
        </w:rPr>
      </w:pPr>
      <w:r w:rsidRPr="00A06B93">
        <w:rPr>
          <w:rFonts w:asciiTheme="minorHAnsi" w:hAnsiTheme="minorHAnsi"/>
          <w:sz w:val="22"/>
          <w:szCs w:val="22"/>
        </w:rPr>
        <w:t xml:space="preserve">To supports its work program, AUC-DREA is receiving funding from several sources. The AUC-DREA Strategic Plan 2010-2012 notes that the department is presently receiving funding from the following partners: </w:t>
      </w:r>
      <w:r w:rsidRPr="00A06B93">
        <w:rPr>
          <w:rFonts w:asciiTheme="minorHAnsi" w:hAnsiTheme="minorHAnsi"/>
          <w:b/>
          <w:sz w:val="22"/>
          <w:szCs w:val="22"/>
        </w:rPr>
        <w:t xml:space="preserve">European Union (EU), FAO, </w:t>
      </w:r>
      <w:proofErr w:type="spellStart"/>
      <w:r w:rsidRPr="00A06B93">
        <w:rPr>
          <w:rFonts w:asciiTheme="minorHAnsi" w:hAnsiTheme="minorHAnsi"/>
          <w:b/>
          <w:sz w:val="22"/>
          <w:szCs w:val="22"/>
        </w:rPr>
        <w:t>AfDB</w:t>
      </w:r>
      <w:proofErr w:type="spellEnd"/>
      <w:r w:rsidRPr="00A06B93">
        <w:rPr>
          <w:rFonts w:asciiTheme="minorHAnsi" w:hAnsiTheme="minorHAnsi"/>
          <w:b/>
          <w:sz w:val="22"/>
          <w:szCs w:val="22"/>
        </w:rPr>
        <w:t xml:space="preserve">, Governments of Greece, Spain, IFAD, BADEA and WHO, EU through UNEP </w:t>
      </w:r>
      <w:r w:rsidRPr="00A06B93">
        <w:rPr>
          <w:rFonts w:asciiTheme="minorHAnsi" w:hAnsiTheme="minorHAnsi"/>
          <w:sz w:val="22"/>
          <w:szCs w:val="22"/>
        </w:rPr>
        <w:t xml:space="preserve">for the </w:t>
      </w:r>
      <w:r w:rsidR="002B7557">
        <w:rPr>
          <w:rFonts w:asciiTheme="minorHAnsi" w:hAnsiTheme="minorHAnsi"/>
          <w:sz w:val="22"/>
          <w:szCs w:val="22"/>
        </w:rPr>
        <w:t>Multilateral Environment Agreement</w:t>
      </w:r>
      <w:r w:rsidRPr="00A06B93">
        <w:rPr>
          <w:rFonts w:asciiTheme="minorHAnsi" w:hAnsiTheme="minorHAnsi"/>
          <w:sz w:val="22"/>
          <w:szCs w:val="22"/>
        </w:rPr>
        <w:t>s Project, and</w:t>
      </w:r>
      <w:r w:rsidRPr="00A06B93">
        <w:rPr>
          <w:rFonts w:asciiTheme="minorHAnsi" w:hAnsiTheme="minorHAnsi"/>
          <w:b/>
          <w:sz w:val="22"/>
          <w:szCs w:val="22"/>
        </w:rPr>
        <w:t xml:space="preserve"> GTZ and EU</w:t>
      </w:r>
      <w:r w:rsidRPr="00A06B93">
        <w:rPr>
          <w:rFonts w:asciiTheme="minorHAnsi" w:hAnsiTheme="minorHAnsi"/>
          <w:sz w:val="22"/>
          <w:szCs w:val="22"/>
        </w:rPr>
        <w:t xml:space="preserve"> for the Support of AUC and AMCOW on implementation of the </w:t>
      </w:r>
      <w:proofErr w:type="spellStart"/>
      <w:r w:rsidRPr="00A06B93">
        <w:rPr>
          <w:rFonts w:asciiTheme="minorHAnsi" w:hAnsiTheme="minorHAnsi"/>
          <w:sz w:val="22"/>
          <w:szCs w:val="22"/>
        </w:rPr>
        <w:t>Sharm</w:t>
      </w:r>
      <w:proofErr w:type="spellEnd"/>
      <w:r w:rsidRPr="00A06B93">
        <w:rPr>
          <w:rFonts w:asciiTheme="minorHAnsi" w:hAnsiTheme="minorHAnsi"/>
          <w:sz w:val="22"/>
          <w:szCs w:val="22"/>
        </w:rPr>
        <w:t xml:space="preserve"> El-Sheikh Commitments on Water and Sanitation. The detailed funding source is presented in Table </w:t>
      </w:r>
      <w:r w:rsidR="00D437C6">
        <w:rPr>
          <w:rFonts w:asciiTheme="minorHAnsi" w:hAnsiTheme="minorHAnsi"/>
          <w:sz w:val="22"/>
          <w:szCs w:val="22"/>
        </w:rPr>
        <w:t>10</w:t>
      </w:r>
      <w:r w:rsidRPr="00A06B93">
        <w:rPr>
          <w:rFonts w:asciiTheme="minorHAnsi" w:hAnsiTheme="minorHAnsi"/>
          <w:sz w:val="22"/>
          <w:szCs w:val="22"/>
        </w:rPr>
        <w:t>.</w:t>
      </w:r>
      <w:r w:rsidRPr="00A06B93">
        <w:rPr>
          <w:rStyle w:val="FootnoteReference"/>
          <w:rFonts w:asciiTheme="minorHAnsi" w:hAnsiTheme="minorHAnsi"/>
          <w:sz w:val="22"/>
          <w:szCs w:val="22"/>
        </w:rPr>
        <w:footnoteReference w:id="87"/>
      </w:r>
    </w:p>
    <w:p w:rsidR="003F6C09" w:rsidRPr="00A06B93" w:rsidRDefault="003F6C09" w:rsidP="003F6C09">
      <w:pPr>
        <w:jc w:val="center"/>
        <w:rPr>
          <w:rFonts w:asciiTheme="minorHAnsi" w:hAnsiTheme="minorHAnsi"/>
        </w:rPr>
      </w:pPr>
      <w:r w:rsidRPr="00A06B93">
        <w:rPr>
          <w:rFonts w:asciiTheme="minorHAnsi" w:hAnsiTheme="minorHAnsi"/>
          <w:b/>
          <w:sz w:val="22"/>
          <w:szCs w:val="22"/>
        </w:rPr>
        <w:t xml:space="preserve">Table </w:t>
      </w:r>
      <w:r w:rsidR="00D437C6">
        <w:rPr>
          <w:rFonts w:asciiTheme="minorHAnsi" w:hAnsiTheme="minorHAnsi"/>
          <w:b/>
          <w:sz w:val="22"/>
          <w:szCs w:val="22"/>
        </w:rPr>
        <w:t>10</w:t>
      </w:r>
      <w:r w:rsidRPr="00A06B93">
        <w:rPr>
          <w:rFonts w:asciiTheme="minorHAnsi" w:hAnsiTheme="minorHAnsi"/>
          <w:b/>
          <w:sz w:val="22"/>
          <w:szCs w:val="22"/>
        </w:rPr>
        <w:t>: External sources of funding for AUC-DREA</w:t>
      </w:r>
      <w:r w:rsidRPr="00A06B93">
        <w:rPr>
          <w:rStyle w:val="FootnoteReference"/>
          <w:rFonts w:asciiTheme="minorHAnsi" w:hAnsiTheme="minorHAnsi"/>
          <w:b/>
        </w:rPr>
        <w:footnoteReference w:id="88"/>
      </w:r>
    </w:p>
    <w:tbl>
      <w:tblPr>
        <w:tblStyle w:val="LightShading-Accent5"/>
        <w:tblW w:w="0" w:type="auto"/>
        <w:tblLook w:val="04A0"/>
      </w:tblPr>
      <w:tblGrid>
        <w:gridCol w:w="2660"/>
        <w:gridCol w:w="6582"/>
      </w:tblGrid>
      <w:tr w:rsidR="003F6C09" w:rsidRPr="00A06B93" w:rsidTr="00EE3B91">
        <w:trPr>
          <w:cnfStyle w:val="100000000000"/>
        </w:trPr>
        <w:tc>
          <w:tcPr>
            <w:cnfStyle w:val="001000000000"/>
            <w:tcW w:w="2660" w:type="dxa"/>
          </w:tcPr>
          <w:p w:rsidR="003F6C09" w:rsidRPr="00A06B93" w:rsidRDefault="003F6C09" w:rsidP="00EE3B91">
            <w:pPr>
              <w:snapToGrid w:val="0"/>
              <w:rPr>
                <w:sz w:val="20"/>
                <w:szCs w:val="20"/>
              </w:rPr>
            </w:pPr>
            <w:r w:rsidRPr="00A06B93">
              <w:rPr>
                <w:sz w:val="20"/>
                <w:szCs w:val="20"/>
              </w:rPr>
              <w:t>Founding Source</w:t>
            </w:r>
          </w:p>
        </w:tc>
        <w:tc>
          <w:tcPr>
            <w:tcW w:w="6582" w:type="dxa"/>
          </w:tcPr>
          <w:p w:rsidR="003F6C09" w:rsidRPr="00A06B93" w:rsidRDefault="003F6C09" w:rsidP="00EE3B91">
            <w:pPr>
              <w:snapToGrid w:val="0"/>
              <w:cnfStyle w:val="100000000000"/>
              <w:rPr>
                <w:sz w:val="20"/>
                <w:szCs w:val="20"/>
              </w:rPr>
            </w:pPr>
            <w:r w:rsidRPr="00A06B93">
              <w:rPr>
                <w:sz w:val="20"/>
                <w:szCs w:val="20"/>
              </w:rPr>
              <w:t>Program/Project</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Greece</w:t>
            </w:r>
          </w:p>
        </w:tc>
        <w:tc>
          <w:tcPr>
            <w:tcW w:w="6582" w:type="dxa"/>
          </w:tcPr>
          <w:p w:rsidR="003F6C09" w:rsidRPr="00A06B93" w:rsidRDefault="003F6C09" w:rsidP="007770A6">
            <w:pPr>
              <w:pStyle w:val="ListParagraph"/>
              <w:numPr>
                <w:ilvl w:val="0"/>
                <w:numId w:val="14"/>
              </w:numPr>
              <w:snapToGrid w:val="0"/>
              <w:spacing w:after="0" w:line="240" w:lineRule="auto"/>
              <w:ind w:left="317" w:hanging="284"/>
              <w:cnfStyle w:val="000000100000"/>
              <w:rPr>
                <w:sz w:val="20"/>
                <w:szCs w:val="20"/>
              </w:rPr>
            </w:pPr>
            <w:r w:rsidRPr="00A06B93">
              <w:rPr>
                <w:sz w:val="20"/>
                <w:szCs w:val="20"/>
              </w:rPr>
              <w:t>Climate Change Strategy and programme implementation</w:t>
            </w:r>
          </w:p>
          <w:p w:rsidR="003F6C09" w:rsidRPr="00A06B93" w:rsidRDefault="003F6C09" w:rsidP="007770A6">
            <w:pPr>
              <w:pStyle w:val="ListParagraph"/>
              <w:numPr>
                <w:ilvl w:val="0"/>
                <w:numId w:val="14"/>
              </w:numPr>
              <w:snapToGrid w:val="0"/>
              <w:spacing w:after="0" w:line="240" w:lineRule="auto"/>
              <w:ind w:left="317" w:hanging="284"/>
              <w:cnfStyle w:val="000000100000"/>
              <w:rPr>
                <w:sz w:val="20"/>
                <w:szCs w:val="20"/>
              </w:rPr>
            </w:pPr>
            <w:r w:rsidRPr="00A06B93">
              <w:rPr>
                <w:sz w:val="20"/>
                <w:szCs w:val="20"/>
              </w:rPr>
              <w:t>Environment and Natural Resources</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EU 55m</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 xml:space="preserve">CAADP Implementation, </w:t>
            </w:r>
          </w:p>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African Union – Inter-African Bureau for Animal Resources (AU-IBAR)</w:t>
            </w:r>
          </w:p>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Environment and Natural resources</w:t>
            </w:r>
          </w:p>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AU IBAR</w:t>
            </w:r>
          </w:p>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Some programs in Agriculture and Food security</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African Development Bank</w:t>
            </w:r>
          </w:p>
        </w:tc>
        <w:tc>
          <w:tcPr>
            <w:tcW w:w="6582" w:type="dxa"/>
          </w:tcPr>
          <w:p w:rsidR="003F6C09" w:rsidRPr="00A06B93" w:rsidRDefault="003F6C09" w:rsidP="007770A6">
            <w:pPr>
              <w:pStyle w:val="ListParagraph"/>
              <w:numPr>
                <w:ilvl w:val="0"/>
                <w:numId w:val="16"/>
              </w:numPr>
              <w:spacing w:after="0" w:line="240" w:lineRule="auto"/>
              <w:ind w:left="317" w:hanging="284"/>
              <w:cnfStyle w:val="000000100000"/>
              <w:rPr>
                <w:sz w:val="20"/>
                <w:szCs w:val="20"/>
              </w:rPr>
            </w:pPr>
            <w:r w:rsidRPr="00A06B93">
              <w:rPr>
                <w:sz w:val="20"/>
                <w:szCs w:val="20"/>
              </w:rPr>
              <w:t>AU-IBAR</w:t>
            </w:r>
          </w:p>
          <w:p w:rsidR="003F6C09" w:rsidRPr="00A06B93" w:rsidRDefault="003F6C09" w:rsidP="007770A6">
            <w:pPr>
              <w:pStyle w:val="ListParagraph"/>
              <w:numPr>
                <w:ilvl w:val="0"/>
                <w:numId w:val="16"/>
              </w:numPr>
              <w:spacing w:after="0" w:line="240" w:lineRule="auto"/>
              <w:ind w:left="317" w:hanging="284"/>
              <w:cnfStyle w:val="000000100000"/>
              <w:rPr>
                <w:sz w:val="20"/>
                <w:szCs w:val="20"/>
              </w:rPr>
            </w:pPr>
            <w:r w:rsidRPr="00A06B93">
              <w:rPr>
                <w:sz w:val="20"/>
                <w:szCs w:val="20"/>
              </w:rPr>
              <w:t xml:space="preserve">Pan African Tsetse and </w:t>
            </w:r>
            <w:proofErr w:type="spellStart"/>
            <w:r w:rsidRPr="00A06B93">
              <w:rPr>
                <w:sz w:val="20"/>
                <w:szCs w:val="20"/>
              </w:rPr>
              <w:t>Trypanosomiasis</w:t>
            </w:r>
            <w:proofErr w:type="spellEnd"/>
            <w:r w:rsidRPr="00A06B93">
              <w:rPr>
                <w:sz w:val="20"/>
                <w:szCs w:val="20"/>
              </w:rPr>
              <w:t xml:space="preserve"> Control and Eradication Campaign (PATTEC)</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European Community</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AU IBAR</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proofErr w:type="spellStart"/>
            <w:r w:rsidRPr="00A06B93">
              <w:rPr>
                <w:b w:val="0"/>
                <w:sz w:val="20"/>
                <w:szCs w:val="20"/>
              </w:rPr>
              <w:t>Danida</w:t>
            </w:r>
            <w:proofErr w:type="spellEnd"/>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sz w:val="20"/>
                <w:szCs w:val="20"/>
              </w:rPr>
              <w:t>AU IBAR</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 xml:space="preserve">Finland </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PATTEC</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EU through UNEP</w:t>
            </w:r>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sz w:val="20"/>
                <w:szCs w:val="20"/>
              </w:rPr>
              <w:t xml:space="preserve">Implementation of Multilateral Environment Agreements (MEAs) in ACP Countries </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GTZ and EU</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 xml:space="preserve">Support to the African Union Commission and the African Ministers’ Council on Water (AMCOW) for the implementation of the </w:t>
            </w:r>
            <w:proofErr w:type="spellStart"/>
            <w:r w:rsidRPr="00A06B93">
              <w:rPr>
                <w:sz w:val="20"/>
                <w:szCs w:val="20"/>
              </w:rPr>
              <w:t>Sharm</w:t>
            </w:r>
            <w:proofErr w:type="spellEnd"/>
            <w:r w:rsidRPr="00A06B93">
              <w:rPr>
                <w:sz w:val="20"/>
                <w:szCs w:val="20"/>
              </w:rPr>
              <w:t xml:space="preserve"> El-Sheikh Commitments on Water and Sanitation</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EU through GTZ</w:t>
            </w:r>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sz w:val="20"/>
                <w:szCs w:val="20"/>
              </w:rPr>
              <w:t xml:space="preserve">Support to the African Union Commission and the African Ministers’ Council on Water (AMCOW) for the implementation of the </w:t>
            </w:r>
            <w:proofErr w:type="spellStart"/>
            <w:r w:rsidRPr="00A06B93">
              <w:rPr>
                <w:sz w:val="20"/>
                <w:szCs w:val="20"/>
              </w:rPr>
              <w:t>Sharm</w:t>
            </w:r>
            <w:proofErr w:type="spellEnd"/>
            <w:r w:rsidRPr="00A06B93">
              <w:rPr>
                <w:sz w:val="20"/>
                <w:szCs w:val="20"/>
              </w:rPr>
              <w:t xml:space="preserve"> El-Sheikh Commitments on Water and Sanitation</w:t>
            </w:r>
          </w:p>
        </w:tc>
      </w:tr>
    </w:tbl>
    <w:p w:rsidR="003F6C09" w:rsidRPr="00A06B93" w:rsidRDefault="003F6C09" w:rsidP="003F6C09">
      <w:pPr>
        <w:jc w:val="both"/>
        <w:rPr>
          <w:rFonts w:asciiTheme="minorHAnsi" w:hAnsiTheme="minorHAnsi"/>
          <w:sz w:val="20"/>
        </w:rPr>
      </w:pPr>
    </w:p>
    <w:p w:rsidR="003F6C09" w:rsidRPr="00A06B93" w:rsidRDefault="003F6C09" w:rsidP="00A06B93">
      <w:pPr>
        <w:spacing w:line="276" w:lineRule="auto"/>
        <w:jc w:val="both"/>
        <w:rPr>
          <w:rFonts w:asciiTheme="minorHAnsi" w:hAnsiTheme="minorHAnsi"/>
          <w:sz w:val="22"/>
          <w:szCs w:val="22"/>
        </w:rPr>
      </w:pPr>
      <w:r w:rsidRPr="00A06B93">
        <w:rPr>
          <w:rFonts w:asciiTheme="minorHAnsi" w:hAnsiTheme="minorHAnsi"/>
          <w:sz w:val="22"/>
          <w:szCs w:val="22"/>
        </w:rPr>
        <w:t xml:space="preserve">In the last few years, </w:t>
      </w:r>
      <w:r w:rsidRPr="00A06B93">
        <w:rPr>
          <w:rFonts w:asciiTheme="minorHAnsi" w:hAnsiTheme="minorHAnsi"/>
          <w:b/>
          <w:sz w:val="22"/>
          <w:szCs w:val="22"/>
        </w:rPr>
        <w:t>non-OECD countries (including the BRICS) have had an increasing influence on the politics and financing of the AUC</w:t>
      </w:r>
      <w:r w:rsidRPr="00A06B93">
        <w:rPr>
          <w:rFonts w:asciiTheme="minorHAnsi" w:hAnsiTheme="minorHAnsi"/>
          <w:sz w:val="22"/>
          <w:szCs w:val="22"/>
        </w:rPr>
        <w:t xml:space="preserve">, most notably with the new USD 200 million African Union headquarters in Addis Ababa, donated and built by </w:t>
      </w:r>
      <w:r w:rsidRPr="00A06B93">
        <w:rPr>
          <w:rFonts w:asciiTheme="minorHAnsi" w:hAnsiTheme="minorHAnsi"/>
          <w:b/>
          <w:sz w:val="22"/>
          <w:szCs w:val="22"/>
        </w:rPr>
        <w:t>China</w:t>
      </w:r>
      <w:r w:rsidRPr="00A06B93">
        <w:rPr>
          <w:rFonts w:asciiTheme="minorHAnsi" w:hAnsiTheme="minorHAnsi"/>
          <w:sz w:val="22"/>
          <w:szCs w:val="22"/>
        </w:rPr>
        <w:t xml:space="preserve">.   In November 2012, </w:t>
      </w:r>
      <w:r w:rsidRPr="00A06B93">
        <w:rPr>
          <w:rFonts w:asciiTheme="minorHAnsi" w:hAnsiTheme="minorHAnsi"/>
          <w:b/>
          <w:sz w:val="22"/>
          <w:szCs w:val="22"/>
        </w:rPr>
        <w:t>Brazi</w:t>
      </w:r>
      <w:r w:rsidRPr="00A06B93">
        <w:rPr>
          <w:rFonts w:asciiTheme="minorHAnsi" w:hAnsiTheme="minorHAnsi"/>
          <w:sz w:val="22"/>
          <w:szCs w:val="22"/>
        </w:rPr>
        <w:t>l launched a new initiative on African food security in partnership with the FAO and the AUC.</w:t>
      </w:r>
      <w:r w:rsidRPr="00A06B93">
        <w:rPr>
          <w:rStyle w:val="FootnoteReference"/>
          <w:rFonts w:asciiTheme="minorHAnsi" w:hAnsiTheme="minorHAnsi"/>
          <w:sz w:val="22"/>
          <w:szCs w:val="22"/>
        </w:rPr>
        <w:footnoteReference w:id="89"/>
      </w:r>
      <w:r w:rsidRPr="00A06B93">
        <w:rPr>
          <w:rFonts w:asciiTheme="minorHAnsi" w:hAnsiTheme="minorHAnsi"/>
          <w:sz w:val="22"/>
          <w:szCs w:val="22"/>
        </w:rPr>
        <w:t xml:space="preserve">  There is also potential for an increasing role for the</w:t>
      </w:r>
      <w:r w:rsidRPr="00A06B93">
        <w:rPr>
          <w:rFonts w:asciiTheme="minorHAnsi" w:hAnsiTheme="minorHAnsi"/>
          <w:b/>
          <w:sz w:val="22"/>
          <w:szCs w:val="22"/>
        </w:rPr>
        <w:t xml:space="preserve"> African </w:t>
      </w:r>
      <w:proofErr w:type="spellStart"/>
      <w:r w:rsidRPr="00A06B93">
        <w:rPr>
          <w:rFonts w:asciiTheme="minorHAnsi" w:hAnsiTheme="minorHAnsi"/>
          <w:b/>
          <w:sz w:val="22"/>
          <w:szCs w:val="22"/>
        </w:rPr>
        <w:t>diaspora</w:t>
      </w:r>
      <w:proofErr w:type="spellEnd"/>
      <w:r w:rsidRPr="00A06B93">
        <w:rPr>
          <w:rFonts w:asciiTheme="minorHAnsi" w:hAnsiTheme="minorHAnsi"/>
          <w:sz w:val="22"/>
          <w:szCs w:val="22"/>
        </w:rPr>
        <w:t xml:space="preserve"> in the future financing of the AUC and other pan-African or regional organisations, with a June 2013 meeting in Johannesburg to bring together </w:t>
      </w:r>
      <w:r w:rsidRPr="00A06B93">
        <w:rPr>
          <w:rFonts w:asciiTheme="minorHAnsi" w:hAnsiTheme="minorHAnsi"/>
          <w:sz w:val="22"/>
          <w:szCs w:val="22"/>
        </w:rPr>
        <w:lastRenderedPageBreak/>
        <w:t xml:space="preserve">representatives of the African </w:t>
      </w:r>
      <w:proofErr w:type="spellStart"/>
      <w:r w:rsidRPr="00A06B93">
        <w:rPr>
          <w:rFonts w:asciiTheme="minorHAnsi" w:hAnsiTheme="minorHAnsi"/>
          <w:sz w:val="22"/>
          <w:szCs w:val="22"/>
        </w:rPr>
        <w:t>diaspora</w:t>
      </w:r>
      <w:proofErr w:type="spellEnd"/>
      <w:r w:rsidRPr="00A06B93">
        <w:rPr>
          <w:rFonts w:asciiTheme="minorHAnsi" w:hAnsiTheme="minorHAnsi"/>
          <w:sz w:val="22"/>
          <w:szCs w:val="22"/>
        </w:rPr>
        <w:t xml:space="preserve"> to discuss ways of contributing to the political, economic and cultural development of the African continent.</w:t>
      </w:r>
      <w:r w:rsidRPr="00A06B93">
        <w:rPr>
          <w:rStyle w:val="FootnoteReference"/>
          <w:rFonts w:asciiTheme="minorHAnsi" w:hAnsiTheme="minorHAnsi"/>
          <w:sz w:val="22"/>
          <w:szCs w:val="22"/>
        </w:rPr>
        <w:footnoteReference w:id="90"/>
      </w:r>
    </w:p>
    <w:p w:rsidR="00A06B93" w:rsidRDefault="00A06B93" w:rsidP="003F6C09">
      <w:pPr>
        <w:jc w:val="both"/>
        <w:rPr>
          <w:rFonts w:asciiTheme="minorHAnsi" w:hAnsiTheme="minorHAnsi"/>
          <w:b/>
          <w:color w:val="31849B" w:themeColor="accent5" w:themeShade="BF"/>
        </w:rPr>
      </w:pPr>
    </w:p>
    <w:p w:rsidR="003F6C09" w:rsidRPr="00A06B93" w:rsidRDefault="003F6C09" w:rsidP="003F6C09">
      <w:pPr>
        <w:jc w:val="both"/>
        <w:rPr>
          <w:rFonts w:asciiTheme="minorHAnsi" w:hAnsiTheme="minorHAnsi"/>
          <w:b/>
          <w:color w:val="31849B" w:themeColor="accent5" w:themeShade="BF"/>
        </w:rPr>
      </w:pPr>
      <w:r w:rsidRPr="00A06B93">
        <w:rPr>
          <w:rFonts w:asciiTheme="minorHAnsi" w:hAnsiTheme="minorHAnsi"/>
          <w:b/>
          <w:color w:val="31849B" w:themeColor="accent5" w:themeShade="BF"/>
        </w:rPr>
        <w:t>3.3.2</w:t>
      </w:r>
      <w:r w:rsidRPr="00A06B93">
        <w:rPr>
          <w:rFonts w:asciiTheme="minorHAnsi" w:hAnsiTheme="minorHAnsi"/>
          <w:b/>
          <w:color w:val="31849B" w:themeColor="accent5" w:themeShade="BF"/>
        </w:rPr>
        <w:tab/>
        <w:t xml:space="preserve">Support to NEPAD/NPCA </w:t>
      </w:r>
    </w:p>
    <w:p w:rsidR="003F6C09" w:rsidRPr="00A06B93" w:rsidRDefault="003F6C09" w:rsidP="00A06B93">
      <w:pPr>
        <w:spacing w:after="120" w:line="276" w:lineRule="auto"/>
        <w:jc w:val="both"/>
        <w:rPr>
          <w:rFonts w:asciiTheme="minorHAnsi" w:hAnsiTheme="minorHAnsi" w:cs="Arial"/>
          <w:sz w:val="22"/>
          <w:szCs w:val="22"/>
        </w:rPr>
      </w:pPr>
      <w:r w:rsidRPr="00A06B93">
        <w:rPr>
          <w:rFonts w:asciiTheme="minorHAnsi" w:hAnsiTheme="minorHAnsi"/>
          <w:sz w:val="22"/>
          <w:szCs w:val="22"/>
        </w:rPr>
        <w:t xml:space="preserve">The United Nations’ </w:t>
      </w:r>
      <w:r w:rsidRPr="00A06B93">
        <w:rPr>
          <w:rFonts w:asciiTheme="minorHAnsi" w:hAnsiTheme="minorHAnsi"/>
          <w:b/>
          <w:sz w:val="22"/>
          <w:szCs w:val="22"/>
        </w:rPr>
        <w:t>Food and Agriculture Organization (FAO)</w:t>
      </w:r>
      <w:r w:rsidRPr="00A06B93">
        <w:rPr>
          <w:rFonts w:asciiTheme="minorHAnsi" w:hAnsiTheme="minorHAnsi"/>
          <w:sz w:val="22"/>
          <w:szCs w:val="22"/>
        </w:rPr>
        <w:t xml:space="preserve"> provides considerable technical support to NEPAD, including seconding experts.</w:t>
      </w:r>
      <w:r w:rsidRPr="00A06B93">
        <w:rPr>
          <w:rStyle w:val="FootnoteReference"/>
          <w:rFonts w:asciiTheme="minorHAnsi" w:hAnsiTheme="minorHAnsi"/>
          <w:sz w:val="22"/>
          <w:szCs w:val="22"/>
        </w:rPr>
        <w:footnoteReference w:id="91"/>
      </w:r>
      <w:r w:rsidRPr="00A06B93">
        <w:rPr>
          <w:rFonts w:asciiTheme="minorHAnsi" w:hAnsiTheme="minorHAnsi"/>
          <w:sz w:val="22"/>
          <w:szCs w:val="22"/>
        </w:rPr>
        <w:t xml:space="preserve">  The FAO has also mobilized financial resources under three projects, two funded by Spain and one by Italy, amounting to USD 10 million to finance direct technical assistance to NEPAD, the AUC, and ECOWAS in translating the national and regional CAADP Compacts into operational investment projects.</w:t>
      </w:r>
      <w:r w:rsidRPr="00A06B93">
        <w:rPr>
          <w:rStyle w:val="FootnoteReference"/>
          <w:rFonts w:asciiTheme="minorHAnsi" w:hAnsiTheme="minorHAnsi"/>
          <w:sz w:val="22"/>
          <w:szCs w:val="22"/>
        </w:rPr>
        <w:footnoteReference w:id="92"/>
      </w:r>
      <w:r w:rsidRPr="00A06B93">
        <w:rPr>
          <w:rFonts w:asciiTheme="minorHAnsi" w:hAnsiTheme="minorHAnsi"/>
          <w:sz w:val="22"/>
          <w:szCs w:val="22"/>
        </w:rPr>
        <w:t xml:space="preserve">  The </w:t>
      </w:r>
      <w:r w:rsidRPr="00A06B93">
        <w:rPr>
          <w:rFonts w:asciiTheme="minorHAnsi" w:hAnsiTheme="minorHAnsi"/>
          <w:b/>
          <w:sz w:val="22"/>
          <w:szCs w:val="22"/>
        </w:rPr>
        <w:t>Spanish Government has been a generous donor</w:t>
      </w:r>
      <w:r w:rsidRPr="00A06B93">
        <w:rPr>
          <w:rFonts w:asciiTheme="minorHAnsi" w:hAnsiTheme="minorHAnsi"/>
          <w:sz w:val="22"/>
          <w:szCs w:val="22"/>
        </w:rPr>
        <w:t xml:space="preserve"> to NEPAD, contributing EUR 50 million since 2007 for the ‘Spanish Fund for African Women Empowerment’.</w:t>
      </w:r>
      <w:r w:rsidRPr="00A06B93">
        <w:rPr>
          <w:rStyle w:val="FootnoteReference"/>
          <w:rFonts w:asciiTheme="minorHAnsi" w:hAnsiTheme="minorHAnsi"/>
          <w:sz w:val="22"/>
          <w:szCs w:val="22"/>
        </w:rPr>
        <w:footnoteReference w:id="93"/>
      </w:r>
      <w:r w:rsidRPr="00A06B93">
        <w:rPr>
          <w:rFonts w:asciiTheme="minorHAnsi" w:hAnsiTheme="minorHAnsi"/>
          <w:sz w:val="22"/>
          <w:szCs w:val="22"/>
        </w:rPr>
        <w:t xml:space="preserve">  In July 2012, NEPAD and ECOWAS signed a further EUR 1 million Grant Agreement provided by the Spanish Government for the financing of a pilot project – the Business Incubator for African Women Entrepreneurs (BIAWE) Project - which will </w:t>
      </w:r>
      <w:r w:rsidRPr="00A06B93">
        <w:rPr>
          <w:rFonts w:asciiTheme="minorHAnsi" w:hAnsiTheme="minorHAnsi" w:cs="Arial"/>
          <w:sz w:val="22"/>
          <w:szCs w:val="22"/>
        </w:rPr>
        <w:t>support initiatives in economic capacity building, promote rural entrepreneurship and develop agricultural resources for women.</w:t>
      </w:r>
      <w:r w:rsidRPr="00A06B93">
        <w:rPr>
          <w:rStyle w:val="FootnoteReference"/>
          <w:rFonts w:asciiTheme="minorHAnsi" w:hAnsiTheme="minorHAnsi" w:cs="Arial"/>
          <w:sz w:val="22"/>
          <w:szCs w:val="22"/>
        </w:rPr>
        <w:footnoteReference w:id="94"/>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cs="Arial"/>
          <w:sz w:val="22"/>
          <w:szCs w:val="22"/>
        </w:rPr>
        <w:t xml:space="preserve">Some of NEPAD’s other strategic partners involved in implementation of agriculture and food security projects include: </w:t>
      </w:r>
      <w:r w:rsidRPr="00A06B93">
        <w:rPr>
          <w:rFonts w:asciiTheme="minorHAnsi" w:hAnsiTheme="minorHAnsi" w:cs="Arial"/>
          <w:b/>
          <w:sz w:val="22"/>
          <w:szCs w:val="22"/>
        </w:rPr>
        <w:t xml:space="preserve">DFID, GIZ, </w:t>
      </w:r>
      <w:proofErr w:type="spellStart"/>
      <w:r w:rsidRPr="00A06B93">
        <w:rPr>
          <w:rFonts w:asciiTheme="minorHAnsi" w:hAnsiTheme="minorHAnsi" w:cs="Arial"/>
          <w:b/>
          <w:sz w:val="22"/>
          <w:szCs w:val="22"/>
        </w:rPr>
        <w:t>AfDB</w:t>
      </w:r>
      <w:proofErr w:type="spellEnd"/>
      <w:r w:rsidRPr="00A06B93">
        <w:rPr>
          <w:rFonts w:asciiTheme="minorHAnsi" w:hAnsiTheme="minorHAnsi" w:cs="Arial"/>
          <w:b/>
          <w:sz w:val="22"/>
          <w:szCs w:val="22"/>
        </w:rPr>
        <w:t xml:space="preserve">, UN agencies (including UNDP, UNECA, WFP, FAO, and the UN Office of the Special Adviser on Africa), </w:t>
      </w:r>
      <w:r w:rsidRPr="002B7557">
        <w:rPr>
          <w:rFonts w:asciiTheme="minorHAnsi" w:hAnsiTheme="minorHAnsi" w:cs="Arial"/>
          <w:b/>
          <w:sz w:val="22"/>
          <w:szCs w:val="22"/>
        </w:rPr>
        <w:t>FARA,</w:t>
      </w:r>
      <w:r w:rsidRPr="00A06B93">
        <w:rPr>
          <w:rFonts w:asciiTheme="minorHAnsi" w:hAnsiTheme="minorHAnsi" w:cs="Arial"/>
          <w:sz w:val="22"/>
          <w:szCs w:val="22"/>
        </w:rPr>
        <w:t xml:space="preserve"> the </w:t>
      </w:r>
      <w:r w:rsidRPr="00A06B93">
        <w:rPr>
          <w:rFonts w:asciiTheme="minorHAnsi" w:hAnsiTheme="minorHAnsi" w:cs="Arial"/>
          <w:b/>
          <w:sz w:val="22"/>
          <w:szCs w:val="22"/>
        </w:rPr>
        <w:t>NEPAD Business Foundation</w:t>
      </w:r>
      <w:r w:rsidRPr="00A06B93">
        <w:rPr>
          <w:rFonts w:asciiTheme="minorHAnsi" w:hAnsiTheme="minorHAnsi" w:cs="Arial"/>
          <w:sz w:val="22"/>
          <w:szCs w:val="22"/>
        </w:rPr>
        <w:t xml:space="preserve">, and </w:t>
      </w:r>
      <w:r w:rsidRPr="00A06B93">
        <w:rPr>
          <w:rFonts w:asciiTheme="minorHAnsi" w:hAnsiTheme="minorHAnsi" w:cs="Arial"/>
          <w:b/>
          <w:sz w:val="22"/>
          <w:szCs w:val="22"/>
        </w:rPr>
        <w:t>the Institute for Security Studies</w:t>
      </w:r>
      <w:r w:rsidRPr="00A06B93">
        <w:rPr>
          <w:rFonts w:asciiTheme="minorHAnsi" w:hAnsiTheme="minorHAnsi" w:cs="Arial"/>
          <w:sz w:val="22"/>
          <w:szCs w:val="22"/>
        </w:rPr>
        <w:t xml:space="preserve"> (a pan-African applied policy research institute based on South Africa).</w:t>
      </w:r>
      <w:r w:rsidRPr="00A06B93">
        <w:rPr>
          <w:rStyle w:val="FootnoteReference"/>
          <w:rFonts w:asciiTheme="minorHAnsi" w:hAnsiTheme="minorHAnsi" w:cs="Arial"/>
          <w:sz w:val="22"/>
          <w:szCs w:val="22"/>
        </w:rPr>
        <w:footnoteReference w:id="95"/>
      </w:r>
    </w:p>
    <w:p w:rsidR="003F6C09" w:rsidRPr="00A06B93" w:rsidRDefault="003F6C09" w:rsidP="008D6F48">
      <w:pPr>
        <w:jc w:val="both"/>
        <w:rPr>
          <w:rFonts w:asciiTheme="minorHAnsi" w:hAnsiTheme="minorHAnsi"/>
          <w:b/>
          <w:color w:val="31849B" w:themeColor="accent5" w:themeShade="BF"/>
        </w:rPr>
      </w:pPr>
    </w:p>
    <w:p w:rsidR="003F6C09" w:rsidRPr="00A06B93" w:rsidRDefault="003F6C09" w:rsidP="003F6C09">
      <w:pPr>
        <w:jc w:val="both"/>
        <w:rPr>
          <w:rFonts w:asciiTheme="minorHAnsi" w:hAnsiTheme="minorHAnsi"/>
          <w:b/>
          <w:color w:val="31849B" w:themeColor="accent5" w:themeShade="BF"/>
        </w:rPr>
      </w:pPr>
      <w:r w:rsidRPr="00A06B93">
        <w:rPr>
          <w:rFonts w:asciiTheme="minorHAnsi" w:hAnsiTheme="minorHAnsi"/>
          <w:b/>
          <w:color w:val="31849B" w:themeColor="accent5" w:themeShade="BF"/>
        </w:rPr>
        <w:t>3.3.3</w:t>
      </w:r>
      <w:r w:rsidRPr="00A06B93">
        <w:rPr>
          <w:rFonts w:asciiTheme="minorHAnsi" w:hAnsiTheme="minorHAnsi"/>
          <w:b/>
          <w:color w:val="31849B" w:themeColor="accent5" w:themeShade="BF"/>
        </w:rPr>
        <w:tab/>
        <w:t>Regional Economic Communities (RECs)</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sz w:val="22"/>
          <w:szCs w:val="22"/>
        </w:rPr>
        <w:t xml:space="preserve">Donors provide financial assistance to RECs through a variety of complex channels.  Previous attempts at mapping donor funding flows have noted </w:t>
      </w:r>
      <w:r w:rsidRPr="00871A8D">
        <w:rPr>
          <w:rFonts w:asciiTheme="minorHAnsi" w:hAnsiTheme="minorHAnsi"/>
          <w:b/>
          <w:sz w:val="22"/>
          <w:szCs w:val="22"/>
        </w:rPr>
        <w:t>the lack of information on REC’s portfolio and the potential for double, or even treble counting.</w:t>
      </w:r>
      <w:r w:rsidRPr="00A06B93">
        <w:rPr>
          <w:rStyle w:val="FootnoteReference"/>
          <w:rFonts w:asciiTheme="minorHAnsi" w:hAnsiTheme="minorHAnsi"/>
          <w:sz w:val="22"/>
          <w:szCs w:val="22"/>
        </w:rPr>
        <w:footnoteReference w:id="96"/>
      </w:r>
      <w:r w:rsidRPr="00A06B93">
        <w:rPr>
          <w:rFonts w:asciiTheme="minorHAnsi" w:hAnsiTheme="minorHAnsi"/>
          <w:sz w:val="22"/>
          <w:szCs w:val="22"/>
        </w:rPr>
        <w:t xml:space="preserve">  A recent article by </w:t>
      </w:r>
      <w:proofErr w:type="spellStart"/>
      <w:r w:rsidRPr="00A06B93">
        <w:rPr>
          <w:rFonts w:asciiTheme="minorHAnsi" w:hAnsiTheme="minorHAnsi"/>
          <w:sz w:val="22"/>
          <w:szCs w:val="22"/>
        </w:rPr>
        <w:t>Calon</w:t>
      </w:r>
      <w:proofErr w:type="spellEnd"/>
      <w:r w:rsidRPr="00A06B93">
        <w:rPr>
          <w:rFonts w:asciiTheme="minorHAnsi" w:hAnsiTheme="minorHAnsi"/>
          <w:sz w:val="22"/>
          <w:szCs w:val="22"/>
        </w:rPr>
        <w:t xml:space="preserve"> and </w:t>
      </w:r>
      <w:proofErr w:type="spellStart"/>
      <w:r w:rsidRPr="00A06B93">
        <w:rPr>
          <w:rFonts w:asciiTheme="minorHAnsi" w:hAnsiTheme="minorHAnsi"/>
          <w:sz w:val="22"/>
          <w:szCs w:val="22"/>
        </w:rPr>
        <w:t>Blom</w:t>
      </w:r>
      <w:proofErr w:type="spellEnd"/>
      <w:r w:rsidRPr="00A06B93">
        <w:rPr>
          <w:rFonts w:asciiTheme="minorHAnsi" w:hAnsiTheme="minorHAnsi"/>
          <w:sz w:val="22"/>
          <w:szCs w:val="22"/>
        </w:rPr>
        <w:t xml:space="preserve"> (2012), both Senior Policy Advisors at the Netherlands Ministry of Foreign Affairs, highlighted the </w:t>
      </w:r>
      <w:r w:rsidRPr="002B7557">
        <w:rPr>
          <w:rFonts w:asciiTheme="minorHAnsi" w:hAnsiTheme="minorHAnsi"/>
          <w:b/>
          <w:sz w:val="22"/>
          <w:szCs w:val="22"/>
        </w:rPr>
        <w:t xml:space="preserve">need for a database of donor-supported programs and shared lesson-learning within each REC and between </w:t>
      </w:r>
      <w:proofErr w:type="spellStart"/>
      <w:r w:rsidRPr="002B7557">
        <w:rPr>
          <w:rFonts w:asciiTheme="minorHAnsi" w:hAnsiTheme="minorHAnsi"/>
          <w:b/>
          <w:sz w:val="22"/>
          <w:szCs w:val="22"/>
        </w:rPr>
        <w:t>RECs</w:t>
      </w:r>
      <w:r w:rsidRPr="00A06B93">
        <w:rPr>
          <w:rFonts w:asciiTheme="minorHAnsi" w:hAnsiTheme="minorHAnsi" w:cs="Arial"/>
          <w:color w:val="000000"/>
          <w:sz w:val="22"/>
          <w:szCs w:val="22"/>
          <w:shd w:val="clear" w:color="auto" w:fill="FFFFFF"/>
        </w:rPr>
        <w:t>.</w:t>
      </w:r>
      <w:proofErr w:type="spellEnd"/>
      <w:r w:rsidRPr="00A06B93">
        <w:rPr>
          <w:rStyle w:val="FootnoteReference"/>
          <w:rFonts w:asciiTheme="minorHAnsi" w:hAnsiTheme="minorHAnsi" w:cs="Arial"/>
          <w:color w:val="000000"/>
          <w:sz w:val="22"/>
          <w:szCs w:val="22"/>
          <w:shd w:val="clear" w:color="auto" w:fill="FFFFFF"/>
        </w:rPr>
        <w:footnoteReference w:id="97"/>
      </w:r>
      <w:r w:rsidRPr="00A06B93">
        <w:rPr>
          <w:rFonts w:asciiTheme="minorHAnsi" w:hAnsiTheme="minorHAnsi" w:cs="Arial"/>
          <w:color w:val="000000"/>
          <w:sz w:val="22"/>
          <w:szCs w:val="22"/>
          <w:shd w:val="clear" w:color="auto" w:fill="FFFFFF"/>
        </w:rPr>
        <w:t xml:space="preserve">  The following section looks at what information exists on how donors are supporting the </w:t>
      </w:r>
      <w:proofErr w:type="spellStart"/>
      <w:r w:rsidRPr="00A06B93">
        <w:rPr>
          <w:rFonts w:asciiTheme="minorHAnsi" w:hAnsiTheme="minorHAnsi" w:cs="Arial"/>
          <w:color w:val="000000"/>
          <w:sz w:val="22"/>
          <w:szCs w:val="22"/>
          <w:shd w:val="clear" w:color="auto" w:fill="FFFFFF"/>
        </w:rPr>
        <w:t>RECs.</w:t>
      </w:r>
      <w:proofErr w:type="spellEnd"/>
    </w:p>
    <w:p w:rsidR="003F6C09" w:rsidRPr="00A06B93" w:rsidRDefault="003F6C09" w:rsidP="00A06B93">
      <w:pPr>
        <w:spacing w:after="120" w:line="276" w:lineRule="auto"/>
        <w:jc w:val="both"/>
        <w:rPr>
          <w:rFonts w:asciiTheme="minorHAnsi" w:hAnsiTheme="minorHAnsi" w:cs="Arial"/>
          <w:sz w:val="22"/>
          <w:szCs w:val="22"/>
          <w:lang w:eastAsia="en-GB"/>
        </w:rPr>
      </w:pPr>
      <w:r w:rsidRPr="00A06B93">
        <w:rPr>
          <w:rFonts w:asciiTheme="minorHAnsi" w:hAnsiTheme="minorHAnsi"/>
          <w:b/>
          <w:color w:val="31849B" w:themeColor="accent5" w:themeShade="BF"/>
          <w:sz w:val="22"/>
          <w:szCs w:val="22"/>
        </w:rPr>
        <w:t xml:space="preserve">Support to COMESA: </w:t>
      </w:r>
      <w:r w:rsidRPr="00A06B93">
        <w:rPr>
          <w:rFonts w:asciiTheme="minorHAnsi" w:hAnsiTheme="minorHAnsi"/>
          <w:sz w:val="22"/>
          <w:szCs w:val="22"/>
        </w:rPr>
        <w:t xml:space="preserve">The COMESA Child Trust Fund became operational following an agreement signed with the World Bank MDTF in August 2010 to cover a total of USD 4.5 million over a period of three years. The first disbursement was made in December 2010 for USD 1.7 million. </w:t>
      </w:r>
      <w:r w:rsidRPr="00A06B93">
        <w:rPr>
          <w:rFonts w:asciiTheme="minorHAnsi" w:hAnsiTheme="minorHAnsi" w:cs="Arial"/>
          <w:sz w:val="22"/>
          <w:szCs w:val="22"/>
          <w:lang w:eastAsia="en-GB"/>
        </w:rPr>
        <w:t xml:space="preserve">The COMESA </w:t>
      </w:r>
      <w:r w:rsidRPr="00A06B93">
        <w:rPr>
          <w:rFonts w:asciiTheme="minorHAnsi" w:hAnsiTheme="minorHAnsi" w:cs="Arial"/>
          <w:sz w:val="22"/>
          <w:szCs w:val="22"/>
          <w:lang w:eastAsia="en-GB"/>
        </w:rPr>
        <w:lastRenderedPageBreak/>
        <w:t>Secretariat's on-going agricultural sector programs</w:t>
      </w:r>
      <w:r w:rsidRPr="00A06B93">
        <w:rPr>
          <w:rStyle w:val="FootnoteReference"/>
          <w:rFonts w:asciiTheme="minorHAnsi" w:hAnsiTheme="minorHAnsi" w:cs="Arial"/>
          <w:sz w:val="22"/>
          <w:szCs w:val="22"/>
          <w:lang w:eastAsia="en-GB"/>
        </w:rPr>
        <w:footnoteReference w:id="98"/>
      </w:r>
      <w:r w:rsidRPr="00A06B93">
        <w:rPr>
          <w:rFonts w:asciiTheme="minorHAnsi" w:hAnsiTheme="minorHAnsi" w:cs="Arial"/>
          <w:sz w:val="22"/>
          <w:szCs w:val="22"/>
          <w:lang w:eastAsia="en-GB"/>
        </w:rPr>
        <w:t xml:space="preserve"> aimed at attaining sustainable food security, supported by external sources of funding, are shown in Table </w:t>
      </w:r>
      <w:r w:rsidR="00D437C6">
        <w:rPr>
          <w:rFonts w:asciiTheme="minorHAnsi" w:hAnsiTheme="minorHAnsi" w:cs="Arial"/>
          <w:sz w:val="22"/>
          <w:szCs w:val="22"/>
          <w:lang w:eastAsia="en-GB"/>
        </w:rPr>
        <w:t>11</w:t>
      </w:r>
      <w:r w:rsidRPr="00A06B93">
        <w:rPr>
          <w:rFonts w:asciiTheme="minorHAnsi" w:hAnsiTheme="minorHAnsi" w:cs="Arial"/>
          <w:sz w:val="22"/>
          <w:szCs w:val="22"/>
          <w:lang w:eastAsia="en-GB"/>
        </w:rPr>
        <w:t xml:space="preserve"> below. </w:t>
      </w:r>
    </w:p>
    <w:p w:rsidR="003F6C09" w:rsidRPr="00A06B93" w:rsidRDefault="003F6C09" w:rsidP="003F6C09">
      <w:pPr>
        <w:jc w:val="center"/>
        <w:rPr>
          <w:rFonts w:asciiTheme="minorHAnsi" w:hAnsiTheme="minorHAnsi"/>
          <w:sz w:val="22"/>
          <w:szCs w:val="22"/>
        </w:rPr>
      </w:pPr>
      <w:r w:rsidRPr="00A06B93">
        <w:rPr>
          <w:rFonts w:asciiTheme="minorHAnsi" w:hAnsiTheme="minorHAnsi"/>
          <w:b/>
          <w:sz w:val="22"/>
          <w:szCs w:val="22"/>
        </w:rPr>
        <w:t xml:space="preserve">Table </w:t>
      </w:r>
      <w:r w:rsidR="00D437C6">
        <w:rPr>
          <w:rFonts w:asciiTheme="minorHAnsi" w:hAnsiTheme="minorHAnsi"/>
          <w:b/>
          <w:sz w:val="22"/>
          <w:szCs w:val="22"/>
        </w:rPr>
        <w:t>11</w:t>
      </w:r>
      <w:r w:rsidRPr="00A06B93">
        <w:rPr>
          <w:rFonts w:asciiTheme="minorHAnsi" w:hAnsiTheme="minorHAnsi"/>
          <w:b/>
          <w:sz w:val="22"/>
          <w:szCs w:val="22"/>
        </w:rPr>
        <w:t>: External sources of funding for COMESA</w:t>
      </w:r>
      <w:r w:rsidRPr="00A06B93">
        <w:rPr>
          <w:rStyle w:val="FootnoteReference"/>
          <w:rFonts w:asciiTheme="minorHAnsi" w:hAnsiTheme="minorHAnsi"/>
          <w:b/>
          <w:sz w:val="22"/>
          <w:szCs w:val="22"/>
        </w:rPr>
        <w:footnoteReference w:id="99"/>
      </w:r>
    </w:p>
    <w:tbl>
      <w:tblPr>
        <w:tblStyle w:val="LightShading-Accent5"/>
        <w:tblW w:w="0" w:type="auto"/>
        <w:tblLook w:val="04A0"/>
      </w:tblPr>
      <w:tblGrid>
        <w:gridCol w:w="2660"/>
        <w:gridCol w:w="6582"/>
      </w:tblGrid>
      <w:tr w:rsidR="003F6C09" w:rsidRPr="00A06B93" w:rsidTr="00EE3B91">
        <w:trPr>
          <w:cnfStyle w:val="100000000000"/>
        </w:trPr>
        <w:tc>
          <w:tcPr>
            <w:cnfStyle w:val="001000000000"/>
            <w:tcW w:w="2660" w:type="dxa"/>
          </w:tcPr>
          <w:p w:rsidR="003F6C09" w:rsidRPr="00A06B93" w:rsidRDefault="003F6C09" w:rsidP="00EE3B91">
            <w:pPr>
              <w:snapToGrid w:val="0"/>
              <w:rPr>
                <w:sz w:val="20"/>
                <w:szCs w:val="20"/>
              </w:rPr>
            </w:pPr>
            <w:r w:rsidRPr="00A06B93">
              <w:rPr>
                <w:sz w:val="20"/>
                <w:szCs w:val="20"/>
              </w:rPr>
              <w:t>Founding Source</w:t>
            </w:r>
          </w:p>
        </w:tc>
        <w:tc>
          <w:tcPr>
            <w:tcW w:w="6582" w:type="dxa"/>
          </w:tcPr>
          <w:p w:rsidR="003F6C09" w:rsidRPr="00A06B93" w:rsidRDefault="003F6C09" w:rsidP="00EE3B91">
            <w:pPr>
              <w:snapToGrid w:val="0"/>
              <w:cnfStyle w:val="100000000000"/>
              <w:rPr>
                <w:sz w:val="20"/>
                <w:szCs w:val="20"/>
              </w:rPr>
            </w:pPr>
            <w:r w:rsidRPr="00A06B93">
              <w:rPr>
                <w:sz w:val="20"/>
                <w:szCs w:val="20"/>
              </w:rPr>
              <w:t>Program/Project</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proofErr w:type="spellStart"/>
            <w:r w:rsidRPr="00A06B93">
              <w:rPr>
                <w:b w:val="0"/>
                <w:sz w:val="20"/>
                <w:szCs w:val="20"/>
              </w:rPr>
              <w:t>AfDB</w:t>
            </w:r>
            <w:proofErr w:type="spellEnd"/>
          </w:p>
        </w:tc>
        <w:tc>
          <w:tcPr>
            <w:tcW w:w="6582" w:type="dxa"/>
          </w:tcPr>
          <w:p w:rsidR="003F6C09" w:rsidRPr="00A06B93" w:rsidRDefault="003F6C09" w:rsidP="007770A6">
            <w:pPr>
              <w:pStyle w:val="ListParagraph"/>
              <w:numPr>
                <w:ilvl w:val="0"/>
                <w:numId w:val="14"/>
              </w:numPr>
              <w:snapToGrid w:val="0"/>
              <w:spacing w:after="0" w:line="240" w:lineRule="auto"/>
              <w:ind w:left="317" w:hanging="284"/>
              <w:cnfStyle w:val="000000100000"/>
              <w:rPr>
                <w:sz w:val="20"/>
                <w:szCs w:val="20"/>
              </w:rPr>
            </w:pPr>
            <w:r w:rsidRPr="00A06B93">
              <w:rPr>
                <w:sz w:val="20"/>
                <w:szCs w:val="20"/>
              </w:rPr>
              <w:t>Agricultural Market Promotion and Regional Integration Project</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Indian government</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Irrigation Development in the COMESA Region</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USAID</w:t>
            </w:r>
          </w:p>
        </w:tc>
        <w:tc>
          <w:tcPr>
            <w:tcW w:w="6582" w:type="dxa"/>
          </w:tcPr>
          <w:p w:rsidR="003F6C09" w:rsidRPr="00A06B93" w:rsidRDefault="003F6C09" w:rsidP="007770A6">
            <w:pPr>
              <w:pStyle w:val="ListParagraph"/>
              <w:numPr>
                <w:ilvl w:val="0"/>
                <w:numId w:val="16"/>
              </w:numPr>
              <w:spacing w:after="0" w:line="240" w:lineRule="auto"/>
              <w:ind w:left="317" w:hanging="284"/>
              <w:cnfStyle w:val="000000100000"/>
              <w:rPr>
                <w:sz w:val="20"/>
                <w:szCs w:val="20"/>
              </w:rPr>
            </w:pPr>
            <w:r w:rsidRPr="00A06B93">
              <w:rPr>
                <w:sz w:val="20"/>
                <w:szCs w:val="20"/>
              </w:rPr>
              <w:t>Coordinated Agricultural Research and Technology Interventions</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USAID</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Regional Approach towards Biotechnology</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AU</w:t>
            </w:r>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sz w:val="20"/>
                <w:szCs w:val="20"/>
              </w:rPr>
              <w:t xml:space="preserve">Pan African Tsetse and </w:t>
            </w:r>
            <w:proofErr w:type="spellStart"/>
            <w:r w:rsidRPr="00A06B93">
              <w:rPr>
                <w:sz w:val="20"/>
                <w:szCs w:val="20"/>
              </w:rPr>
              <w:t>Trypanosomiasis</w:t>
            </w:r>
            <w:proofErr w:type="spellEnd"/>
            <w:r w:rsidRPr="00A06B93">
              <w:rPr>
                <w:sz w:val="20"/>
                <w:szCs w:val="20"/>
              </w:rPr>
              <w:t xml:space="preserve"> Control and Eradication Campaign (PATTEC)</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USAID / AU</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Livestock Sector Development</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Common Fund for Commodities</w:t>
            </w:r>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sz w:val="20"/>
                <w:szCs w:val="20"/>
              </w:rPr>
              <w:t xml:space="preserve">Fisheries Sector Development </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USAID</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sz w:val="20"/>
                <w:szCs w:val="20"/>
              </w:rPr>
              <w:t>Crop Crisis Control (C3) Project</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proofErr w:type="spellStart"/>
            <w:r w:rsidRPr="00A06B93">
              <w:rPr>
                <w:b w:val="0"/>
                <w:sz w:val="20"/>
                <w:szCs w:val="20"/>
              </w:rPr>
              <w:t>AfDB</w:t>
            </w:r>
            <w:proofErr w:type="spellEnd"/>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rFonts w:eastAsia="Times New Roman" w:cs="Arial"/>
                <w:sz w:val="20"/>
                <w:szCs w:val="20"/>
                <w:lang w:eastAsia="en-GB"/>
              </w:rPr>
              <w:t>Food and Agricultural Marketing Information System (FAMIS), a component of the AMPRIP program</w:t>
            </w:r>
          </w:p>
        </w:tc>
      </w:tr>
      <w:tr w:rsidR="003F6C09" w:rsidRPr="00A06B93" w:rsidTr="00EE3B91">
        <w:tc>
          <w:tcPr>
            <w:cnfStyle w:val="001000000000"/>
            <w:tcW w:w="2660" w:type="dxa"/>
          </w:tcPr>
          <w:p w:rsidR="003F6C09" w:rsidRPr="00A06B93" w:rsidRDefault="003F6C09" w:rsidP="00EE3B91">
            <w:pPr>
              <w:snapToGrid w:val="0"/>
              <w:rPr>
                <w:b w:val="0"/>
                <w:sz w:val="20"/>
                <w:szCs w:val="20"/>
              </w:rPr>
            </w:pPr>
            <w:r w:rsidRPr="00A06B93">
              <w:rPr>
                <w:b w:val="0"/>
                <w:sz w:val="20"/>
                <w:szCs w:val="20"/>
              </w:rPr>
              <w:t>USAID</w:t>
            </w:r>
          </w:p>
        </w:tc>
        <w:tc>
          <w:tcPr>
            <w:tcW w:w="6582" w:type="dxa"/>
          </w:tcPr>
          <w:p w:rsidR="003F6C09" w:rsidRPr="00A06B93" w:rsidRDefault="003F6C09" w:rsidP="007770A6">
            <w:pPr>
              <w:pStyle w:val="ListParagraph"/>
              <w:numPr>
                <w:ilvl w:val="0"/>
                <w:numId w:val="15"/>
              </w:numPr>
              <w:spacing w:after="0" w:line="240" w:lineRule="auto"/>
              <w:ind w:left="317" w:hanging="284"/>
              <w:cnfStyle w:val="000000000000"/>
              <w:rPr>
                <w:sz w:val="20"/>
                <w:szCs w:val="20"/>
              </w:rPr>
            </w:pPr>
            <w:r w:rsidRPr="00A06B93">
              <w:rPr>
                <w:rFonts w:eastAsia="Times New Roman" w:cs="Arial"/>
                <w:sz w:val="20"/>
                <w:szCs w:val="20"/>
                <w:lang w:eastAsia="en-GB"/>
              </w:rPr>
              <w:t>Regional Agricultural Trade Expansion Support (RATES) project</w:t>
            </w:r>
          </w:p>
        </w:tc>
      </w:tr>
      <w:tr w:rsidR="003F6C09" w:rsidRPr="00A06B93" w:rsidTr="00EE3B91">
        <w:trPr>
          <w:cnfStyle w:val="000000100000"/>
        </w:trPr>
        <w:tc>
          <w:tcPr>
            <w:cnfStyle w:val="001000000000"/>
            <w:tcW w:w="2660" w:type="dxa"/>
          </w:tcPr>
          <w:p w:rsidR="003F6C09" w:rsidRPr="00A06B93" w:rsidRDefault="003F6C09" w:rsidP="00EE3B91">
            <w:pPr>
              <w:snapToGrid w:val="0"/>
              <w:rPr>
                <w:b w:val="0"/>
                <w:sz w:val="20"/>
                <w:szCs w:val="20"/>
              </w:rPr>
            </w:pPr>
            <w:r w:rsidRPr="00A06B93">
              <w:rPr>
                <w:b w:val="0"/>
                <w:sz w:val="20"/>
                <w:szCs w:val="20"/>
              </w:rPr>
              <w:t>USAID</w:t>
            </w:r>
          </w:p>
        </w:tc>
        <w:tc>
          <w:tcPr>
            <w:tcW w:w="6582" w:type="dxa"/>
          </w:tcPr>
          <w:p w:rsidR="003F6C09" w:rsidRPr="00A06B93" w:rsidRDefault="003F6C09" w:rsidP="007770A6">
            <w:pPr>
              <w:pStyle w:val="ListParagraph"/>
              <w:numPr>
                <w:ilvl w:val="0"/>
                <w:numId w:val="15"/>
              </w:numPr>
              <w:spacing w:after="0" w:line="240" w:lineRule="auto"/>
              <w:ind w:left="317" w:hanging="284"/>
              <w:cnfStyle w:val="000000100000"/>
              <w:rPr>
                <w:sz w:val="20"/>
                <w:szCs w:val="20"/>
              </w:rPr>
            </w:pPr>
            <w:r w:rsidRPr="00A06B93">
              <w:rPr>
                <w:rFonts w:eastAsia="Times New Roman" w:cs="Arial"/>
                <w:sz w:val="20"/>
                <w:szCs w:val="20"/>
                <w:lang w:eastAsia="en-GB"/>
              </w:rPr>
              <w:t>AGOA Linkages (ALINK) in COMESA</w:t>
            </w:r>
          </w:p>
        </w:tc>
      </w:tr>
    </w:tbl>
    <w:p w:rsidR="003F6C09" w:rsidRPr="00A06B93" w:rsidRDefault="003F6C09" w:rsidP="003F6C09">
      <w:pPr>
        <w:spacing w:after="120"/>
        <w:jc w:val="both"/>
        <w:rPr>
          <w:rFonts w:asciiTheme="minorHAnsi" w:hAnsiTheme="minorHAnsi"/>
        </w:rPr>
      </w:pPr>
      <w:r w:rsidRPr="00A06B93">
        <w:rPr>
          <w:rFonts w:asciiTheme="minorHAnsi" w:hAnsiTheme="minorHAnsi"/>
        </w:rPr>
        <w:t xml:space="preserve">  </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t xml:space="preserve">Support to ECOWAS: </w:t>
      </w:r>
      <w:r w:rsidRPr="00A06B93">
        <w:rPr>
          <w:rFonts w:asciiTheme="minorHAnsi" w:hAnsiTheme="minorHAnsi"/>
          <w:sz w:val="22"/>
          <w:szCs w:val="22"/>
        </w:rPr>
        <w:t>The ECOWAS region has made “considerable progress in articulating a regional approach for agriculture within the CAADP framework”,</w:t>
      </w:r>
      <w:r w:rsidRPr="00A06B93">
        <w:rPr>
          <w:rStyle w:val="FootnoteReference"/>
          <w:rFonts w:asciiTheme="minorHAnsi" w:hAnsiTheme="minorHAnsi"/>
          <w:sz w:val="22"/>
          <w:szCs w:val="22"/>
        </w:rPr>
        <w:footnoteReference w:id="100"/>
      </w:r>
      <w:r w:rsidRPr="00A06B93">
        <w:rPr>
          <w:rFonts w:asciiTheme="minorHAnsi" w:hAnsiTheme="minorHAnsi"/>
          <w:sz w:val="22"/>
          <w:szCs w:val="22"/>
        </w:rPr>
        <w:t xml:space="preserve"> developing a common regional agricultural policy for West Africa (ECOWAP) in 2001, launching the ECOWAS CAADP regional compact in 2009, followed by the Regional Investment Plan (RAIP) in 2010 and the subsequent establishment of a Regional Agency for Agriculture and Food (RAAF), Regional Fund for Agriculture and Food (ECOWADF) and a Strategic and Operational Plan to implement the ECOWAP and its RAIP.  </w:t>
      </w:r>
    </w:p>
    <w:p w:rsidR="003F6C09" w:rsidRPr="00A06B93" w:rsidRDefault="003F6C09" w:rsidP="00A06B93">
      <w:pPr>
        <w:spacing w:after="120" w:line="276" w:lineRule="auto"/>
        <w:jc w:val="both"/>
        <w:rPr>
          <w:rFonts w:asciiTheme="minorHAnsi" w:hAnsiTheme="minorHAnsi" w:cs="Arial"/>
          <w:color w:val="000000"/>
          <w:sz w:val="22"/>
          <w:szCs w:val="22"/>
        </w:rPr>
      </w:pPr>
      <w:r w:rsidRPr="00A06B93">
        <w:rPr>
          <w:rFonts w:asciiTheme="minorHAnsi" w:hAnsiTheme="minorHAnsi"/>
          <w:sz w:val="22"/>
          <w:szCs w:val="22"/>
        </w:rPr>
        <w:t xml:space="preserve">ECOWAS has been relatively </w:t>
      </w:r>
      <w:r w:rsidRPr="00A06B93">
        <w:rPr>
          <w:rFonts w:asciiTheme="minorHAnsi" w:hAnsiTheme="minorHAnsi"/>
          <w:b/>
          <w:sz w:val="22"/>
          <w:szCs w:val="22"/>
        </w:rPr>
        <w:t>financially independent</w:t>
      </w:r>
      <w:r w:rsidRPr="00A06B93">
        <w:rPr>
          <w:rFonts w:asciiTheme="minorHAnsi" w:hAnsiTheme="minorHAnsi"/>
          <w:sz w:val="22"/>
          <w:szCs w:val="22"/>
        </w:rPr>
        <w:t xml:space="preserve">, compared to other </w:t>
      </w:r>
      <w:proofErr w:type="spellStart"/>
      <w:r w:rsidRPr="00A06B93">
        <w:rPr>
          <w:rFonts w:asciiTheme="minorHAnsi" w:hAnsiTheme="minorHAnsi"/>
          <w:sz w:val="22"/>
          <w:szCs w:val="22"/>
        </w:rPr>
        <w:t>RECs.</w:t>
      </w:r>
      <w:proofErr w:type="spellEnd"/>
      <w:r w:rsidRPr="00A06B93">
        <w:rPr>
          <w:rFonts w:asciiTheme="minorHAnsi" w:hAnsiTheme="minorHAnsi"/>
          <w:sz w:val="22"/>
          <w:szCs w:val="22"/>
        </w:rPr>
        <w:t xml:space="preserve">  ECOWAS generates USD 70-80 million a year to support its HQ through a levy of 0.05% on all member states’ imports to raise funds for ECOWAS’ operations.  At the national level, the ECOWAS Commission has been proactive in supporting its member states along the CAADP process, providing technical support and financial assistance of USD 400,000 to each member state to organise the national CAADP compact and investment plan formulation process.</w:t>
      </w:r>
      <w:r w:rsidRPr="00A06B93">
        <w:rPr>
          <w:rStyle w:val="FootnoteReference"/>
          <w:rFonts w:asciiTheme="minorHAnsi" w:hAnsiTheme="minorHAnsi"/>
          <w:sz w:val="22"/>
          <w:szCs w:val="22"/>
        </w:rPr>
        <w:footnoteReference w:id="101"/>
      </w:r>
      <w:r w:rsidRPr="00A06B93">
        <w:rPr>
          <w:rFonts w:asciiTheme="minorHAnsi" w:hAnsiTheme="minorHAnsi"/>
          <w:sz w:val="22"/>
          <w:szCs w:val="22"/>
        </w:rPr>
        <w:t xml:space="preserve"> As the mid-term review of the CAADP MDTF noted, “</w:t>
      </w:r>
      <w:r w:rsidRPr="00A06B93">
        <w:rPr>
          <w:rFonts w:asciiTheme="minorHAnsi" w:hAnsiTheme="minorHAnsi" w:cs="Arial"/>
          <w:color w:val="000000"/>
          <w:sz w:val="22"/>
          <w:szCs w:val="22"/>
        </w:rPr>
        <w:t>It is this financial independence that enabled ECOWAS to finance the CAADP process without waiting for the establishment of the CTF. The long term sustainability of this mechanism needs serious consideration as countries adopt import substitution strategies, and there is the possibility that donors may seek the removal of the import levy.”</w:t>
      </w:r>
      <w:r w:rsidRPr="00A06B93">
        <w:rPr>
          <w:rStyle w:val="FootnoteReference"/>
          <w:rFonts w:asciiTheme="minorHAnsi" w:hAnsiTheme="minorHAnsi" w:cs="Arial"/>
          <w:color w:val="000000"/>
          <w:sz w:val="22"/>
          <w:szCs w:val="22"/>
        </w:rPr>
        <w:footnoteReference w:id="102"/>
      </w:r>
      <w:r w:rsidRPr="00A06B93">
        <w:rPr>
          <w:rFonts w:asciiTheme="minorHAnsi" w:hAnsiTheme="minorHAnsi" w:cs="Arial"/>
          <w:color w:val="000000"/>
          <w:sz w:val="22"/>
          <w:szCs w:val="22"/>
        </w:rPr>
        <w:t xml:space="preserve">   ECOWAS also received technical support from </w:t>
      </w:r>
      <w:r w:rsidRPr="00A06B93">
        <w:rPr>
          <w:rFonts w:asciiTheme="minorHAnsi" w:hAnsiTheme="minorHAnsi" w:cs="Arial"/>
          <w:b/>
          <w:color w:val="000000"/>
          <w:sz w:val="22"/>
          <w:szCs w:val="22"/>
        </w:rPr>
        <w:t xml:space="preserve">IFPRI, FAO and </w:t>
      </w:r>
      <w:proofErr w:type="spellStart"/>
      <w:r w:rsidRPr="00A06B93">
        <w:rPr>
          <w:rFonts w:asciiTheme="minorHAnsi" w:hAnsiTheme="minorHAnsi" w:cs="Arial"/>
          <w:b/>
          <w:color w:val="000000"/>
          <w:sz w:val="22"/>
          <w:szCs w:val="22"/>
        </w:rPr>
        <w:t>ReSAAKS</w:t>
      </w:r>
      <w:proofErr w:type="spellEnd"/>
      <w:r w:rsidRPr="00A06B93">
        <w:rPr>
          <w:rFonts w:asciiTheme="minorHAnsi" w:hAnsiTheme="minorHAnsi" w:cs="Arial"/>
          <w:b/>
          <w:color w:val="000000"/>
          <w:sz w:val="22"/>
          <w:szCs w:val="22"/>
        </w:rPr>
        <w:t>/IITA</w:t>
      </w:r>
      <w:r w:rsidRPr="00A06B93">
        <w:rPr>
          <w:rFonts w:asciiTheme="minorHAnsi" w:hAnsiTheme="minorHAnsi" w:cs="Arial"/>
          <w:color w:val="000000"/>
          <w:sz w:val="22"/>
          <w:szCs w:val="22"/>
        </w:rPr>
        <w:t xml:space="preserve">, as well as additional financial support from a group of development partners - </w:t>
      </w:r>
      <w:r w:rsidRPr="00A06B93">
        <w:rPr>
          <w:rFonts w:asciiTheme="minorHAnsi" w:hAnsiTheme="minorHAnsi" w:cs="Arial"/>
          <w:b/>
          <w:color w:val="000000"/>
          <w:sz w:val="22"/>
          <w:szCs w:val="22"/>
        </w:rPr>
        <w:t xml:space="preserve">USAID, DFID, SIDA – </w:t>
      </w:r>
      <w:r w:rsidRPr="00A06B93">
        <w:rPr>
          <w:rFonts w:asciiTheme="minorHAnsi" w:hAnsiTheme="minorHAnsi" w:cs="Arial"/>
          <w:color w:val="000000"/>
          <w:sz w:val="22"/>
          <w:szCs w:val="22"/>
        </w:rPr>
        <w:t>to help with preparation of ECOWAP, formulation of the RAIPs and NAIPs, as well as the initial rollout of preliminary programmes.</w:t>
      </w:r>
      <w:r w:rsidRPr="00A06B93">
        <w:rPr>
          <w:rStyle w:val="FootnoteReference"/>
          <w:rFonts w:asciiTheme="minorHAnsi" w:hAnsiTheme="minorHAnsi" w:cs="Arial"/>
          <w:color w:val="000000"/>
          <w:sz w:val="22"/>
          <w:szCs w:val="22"/>
        </w:rPr>
        <w:footnoteReference w:id="103"/>
      </w:r>
      <w:r w:rsidRPr="00A06B93">
        <w:rPr>
          <w:rFonts w:asciiTheme="minorHAnsi" w:hAnsiTheme="minorHAnsi" w:cs="Arial"/>
          <w:color w:val="000000"/>
          <w:sz w:val="22"/>
          <w:szCs w:val="22"/>
        </w:rPr>
        <w:t xml:space="preserve"> </w:t>
      </w:r>
    </w:p>
    <w:p w:rsidR="003F6C09" w:rsidRPr="00A06B93" w:rsidRDefault="003F6C09" w:rsidP="00A06B93">
      <w:pPr>
        <w:spacing w:after="120" w:line="276" w:lineRule="auto"/>
        <w:jc w:val="both"/>
        <w:rPr>
          <w:rFonts w:asciiTheme="minorHAnsi" w:hAnsiTheme="minorHAnsi" w:cs="Arial"/>
          <w:color w:val="000000"/>
          <w:sz w:val="22"/>
          <w:szCs w:val="22"/>
        </w:rPr>
      </w:pPr>
      <w:r w:rsidRPr="00A06B93">
        <w:rPr>
          <w:rFonts w:asciiTheme="minorHAnsi" w:hAnsiTheme="minorHAnsi" w:cs="Arial"/>
          <w:color w:val="000000"/>
          <w:sz w:val="22"/>
          <w:szCs w:val="22"/>
        </w:rPr>
        <w:lastRenderedPageBreak/>
        <w:t>The ECOWAP/RAIP has provided a “good rallying point”</w:t>
      </w:r>
      <w:r w:rsidRPr="00A06B93">
        <w:rPr>
          <w:rStyle w:val="FootnoteReference"/>
          <w:rFonts w:asciiTheme="minorHAnsi" w:hAnsiTheme="minorHAnsi" w:cs="Arial"/>
          <w:color w:val="000000"/>
          <w:sz w:val="22"/>
          <w:szCs w:val="22"/>
        </w:rPr>
        <w:footnoteReference w:id="104"/>
      </w:r>
      <w:r w:rsidRPr="00A06B93">
        <w:rPr>
          <w:rFonts w:asciiTheme="minorHAnsi" w:hAnsiTheme="minorHAnsi" w:cs="Arial"/>
          <w:color w:val="000000"/>
          <w:sz w:val="22"/>
          <w:szCs w:val="22"/>
        </w:rPr>
        <w:t xml:space="preserve"> for donors to align to the region’s priorities and strengthen donor harmonisation.  Set up by Spain, the regional </w:t>
      </w:r>
      <w:r w:rsidRPr="00A06B93">
        <w:rPr>
          <w:rFonts w:asciiTheme="minorHAnsi" w:hAnsiTheme="minorHAnsi" w:cs="Arial"/>
          <w:b/>
          <w:color w:val="000000"/>
          <w:sz w:val="22"/>
          <w:szCs w:val="22"/>
        </w:rPr>
        <w:t>Donor Working Group</w:t>
      </w:r>
      <w:r w:rsidRPr="00A06B93">
        <w:rPr>
          <w:rFonts w:asciiTheme="minorHAnsi" w:hAnsiTheme="minorHAnsi" w:cs="Arial"/>
          <w:color w:val="000000"/>
          <w:sz w:val="22"/>
          <w:szCs w:val="22"/>
        </w:rPr>
        <w:t xml:space="preserve"> (DWG) which supports CAADP regional initiatives is generally perceived to be a “well-functioning and useful platform”</w:t>
      </w:r>
      <w:r w:rsidRPr="00A06B93">
        <w:rPr>
          <w:rStyle w:val="FootnoteReference"/>
          <w:rFonts w:asciiTheme="minorHAnsi" w:hAnsiTheme="minorHAnsi" w:cs="Arial"/>
          <w:color w:val="000000"/>
          <w:sz w:val="22"/>
          <w:szCs w:val="22"/>
        </w:rPr>
        <w:footnoteReference w:id="105"/>
      </w:r>
      <w:r w:rsidRPr="00A06B93">
        <w:rPr>
          <w:rFonts w:asciiTheme="minorHAnsi" w:hAnsiTheme="minorHAnsi" w:cs="Arial"/>
          <w:color w:val="000000"/>
          <w:sz w:val="22"/>
          <w:szCs w:val="22"/>
        </w:rPr>
        <w:t xml:space="preserve"> to share information among donors and formulate joint positions for discussions with ECOWAS.  This kind of coordination structure is yet to be replicated in other regions.  However, in her stock-taking review of CAADP in West Africa, </w:t>
      </w:r>
      <w:proofErr w:type="spellStart"/>
      <w:r w:rsidRPr="00A06B93">
        <w:rPr>
          <w:rFonts w:asciiTheme="minorHAnsi" w:hAnsiTheme="minorHAnsi" w:cs="Arial"/>
          <w:color w:val="000000"/>
          <w:sz w:val="22"/>
          <w:szCs w:val="22"/>
        </w:rPr>
        <w:t>Afun-Odigan</w:t>
      </w:r>
      <w:proofErr w:type="spellEnd"/>
      <w:r w:rsidRPr="00A06B93">
        <w:rPr>
          <w:rFonts w:asciiTheme="minorHAnsi" w:hAnsiTheme="minorHAnsi" w:cs="Arial"/>
          <w:color w:val="000000"/>
          <w:sz w:val="22"/>
          <w:szCs w:val="22"/>
        </w:rPr>
        <w:t xml:space="preserve"> (2012) notes that there are areas where improvements in donor harmonisation can be made in the ECOWAS region: (1) fragmented information exchange between national-regional levels due to regional development partner representations spread across countries in the region; and (2) some donors perceiving that the Commission still struggles with institutional weaknesses and capacity deficits, so channelling their donor funds through non-governmental organisations, UN-type or multilateral institutions rather than the ECOWAS Commission or the ECOWAS Bank for Investment and Development (EBID).</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t xml:space="preserve">Support to SADC: </w:t>
      </w:r>
      <w:r w:rsidRPr="00A06B93">
        <w:rPr>
          <w:rFonts w:asciiTheme="minorHAnsi" w:hAnsiTheme="minorHAnsi" w:cs="Arial"/>
          <w:color w:val="000000"/>
          <w:sz w:val="22"/>
          <w:szCs w:val="22"/>
        </w:rPr>
        <w:t>SADC has four Directorates including the Food, Agriculture and Natural Resources (FANR), mandated to develop, promote, coordinate and facilitate the harmonisation of policies and programmes. FANR will house the Multi-Donor Child Trust Fund (CTF) activities, whose project document was finalized in August 2011 and was submitted in September 2011 to the World Bank.  The total budget for SADC CTF over a four year period is USD 7.5 million.</w:t>
      </w:r>
      <w:r w:rsidRPr="00A06B93">
        <w:rPr>
          <w:rStyle w:val="FootnoteReference"/>
          <w:rFonts w:asciiTheme="minorHAnsi" w:hAnsiTheme="minorHAnsi" w:cs="Arial"/>
          <w:color w:val="000000"/>
          <w:sz w:val="22"/>
          <w:szCs w:val="22"/>
        </w:rPr>
        <w:footnoteReference w:id="106"/>
      </w:r>
      <w:r w:rsidRPr="00A06B93">
        <w:rPr>
          <w:rFonts w:asciiTheme="minorHAnsi" w:hAnsiTheme="minorHAnsi" w:cs="Arial"/>
          <w:color w:val="000000"/>
          <w:sz w:val="22"/>
          <w:szCs w:val="22"/>
        </w:rPr>
        <w:t xml:space="preserve">  The FANR Directorate received </w:t>
      </w:r>
      <w:r w:rsidRPr="00A06B93">
        <w:rPr>
          <w:rFonts w:asciiTheme="minorHAnsi" w:hAnsiTheme="minorHAnsi" w:cs="Arial"/>
          <w:b/>
          <w:color w:val="000000"/>
          <w:sz w:val="22"/>
          <w:szCs w:val="22"/>
        </w:rPr>
        <w:t>technical and financial support from the FAO (funded by the French Ministry of Foreign and European Affairs)</w:t>
      </w:r>
      <w:r w:rsidRPr="00A06B93">
        <w:rPr>
          <w:rFonts w:asciiTheme="minorHAnsi" w:hAnsiTheme="minorHAnsi" w:cs="Arial"/>
          <w:color w:val="000000"/>
          <w:sz w:val="22"/>
          <w:szCs w:val="22"/>
        </w:rPr>
        <w:t xml:space="preserve"> to help formulate the SADC Regional Agricultural Policy from 2008-2011.</w:t>
      </w:r>
      <w:r w:rsidRPr="00A06B93">
        <w:rPr>
          <w:rStyle w:val="FootnoteReference"/>
          <w:rFonts w:asciiTheme="minorHAnsi" w:hAnsiTheme="minorHAnsi" w:cs="Arial"/>
          <w:color w:val="000000"/>
          <w:sz w:val="22"/>
          <w:szCs w:val="22"/>
        </w:rPr>
        <w:footnoteReference w:id="107"/>
      </w:r>
      <w:r w:rsidRPr="00A06B93">
        <w:rPr>
          <w:rFonts w:asciiTheme="minorHAnsi" w:hAnsiTheme="minorHAnsi" w:cs="Arial"/>
          <w:color w:val="000000"/>
          <w:sz w:val="22"/>
          <w:szCs w:val="22"/>
        </w:rPr>
        <w:t xml:space="preserve">  </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sz w:val="22"/>
          <w:szCs w:val="22"/>
        </w:rPr>
        <w:t xml:space="preserve">Donors also support SADC through the </w:t>
      </w:r>
      <w:r w:rsidRPr="00A06B93">
        <w:rPr>
          <w:rFonts w:asciiTheme="minorHAnsi" w:hAnsiTheme="minorHAnsi"/>
          <w:b/>
          <w:sz w:val="22"/>
          <w:szCs w:val="22"/>
        </w:rPr>
        <w:t>Multi-country Agricultural Productivity Programme (SADC MAPP)</w:t>
      </w:r>
      <w:r w:rsidRPr="00A06B93">
        <w:rPr>
          <w:rFonts w:asciiTheme="minorHAnsi" w:hAnsiTheme="minorHAnsi"/>
          <w:sz w:val="22"/>
          <w:szCs w:val="22"/>
        </w:rPr>
        <w:t xml:space="preserve"> - a 15-year programme which was developed with participation of stakeholders in all SADC Member States. SADC MAPP is one of the sub-regional agricultural research organisations (SROs) intended to implement Pillar 4 of CAADP which focuses on promoting agricultural productivity through improved research, technology generation, dissemination and adoption (see below). </w:t>
      </w:r>
    </w:p>
    <w:p w:rsidR="003F6C09" w:rsidRPr="00A06B93" w:rsidRDefault="003F6C09" w:rsidP="008D6F48">
      <w:pPr>
        <w:spacing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t xml:space="preserve">Support to EAC: </w:t>
      </w:r>
      <w:r w:rsidRPr="00A06B93">
        <w:rPr>
          <w:rFonts w:asciiTheme="minorHAnsi" w:hAnsiTheme="minorHAnsi"/>
          <w:sz w:val="22"/>
          <w:szCs w:val="22"/>
        </w:rPr>
        <w:t>The EAC is supported through fixed contributions from partner states and capacity / technical assistance from development partners.   Most donors tend to provide bilateral support to national agriculture programmes, as there is perceived to be “more traction, clarity and political mandate at this level than at the regional level”.</w:t>
      </w:r>
      <w:r w:rsidRPr="00A06B93">
        <w:rPr>
          <w:rStyle w:val="FootnoteReference"/>
          <w:rFonts w:asciiTheme="minorHAnsi" w:hAnsiTheme="minorHAnsi"/>
          <w:sz w:val="22"/>
          <w:szCs w:val="22"/>
        </w:rPr>
        <w:footnoteReference w:id="108"/>
      </w:r>
      <w:r w:rsidRPr="00A06B93">
        <w:rPr>
          <w:rFonts w:asciiTheme="minorHAnsi" w:hAnsiTheme="minorHAnsi"/>
          <w:sz w:val="22"/>
          <w:szCs w:val="22"/>
        </w:rPr>
        <w:t xml:space="preserve">   Although donor engagement is generally less at the EAC regional level, several donors provide financial support through the </w:t>
      </w:r>
      <w:r w:rsidRPr="00A06B93">
        <w:rPr>
          <w:rFonts w:asciiTheme="minorHAnsi" w:hAnsiTheme="minorHAnsi"/>
          <w:b/>
          <w:sz w:val="22"/>
          <w:szCs w:val="22"/>
        </w:rPr>
        <w:t>EAC Partnership Fund</w:t>
      </w:r>
      <w:r w:rsidRPr="00A06B93">
        <w:rPr>
          <w:rFonts w:asciiTheme="minorHAnsi" w:hAnsiTheme="minorHAnsi"/>
          <w:sz w:val="22"/>
          <w:szCs w:val="22"/>
        </w:rPr>
        <w:t xml:space="preserve"> – a basket fund mechanism where donors can make annual contributions to support EAC projects and programmes.  The EAC Partnership Fund was created on </w:t>
      </w:r>
      <w:r w:rsidRPr="00A06B93">
        <w:rPr>
          <w:rFonts w:asciiTheme="minorHAnsi" w:hAnsiTheme="minorHAnsi" w:cs="Arial"/>
          <w:color w:val="000000"/>
          <w:sz w:val="22"/>
          <w:szCs w:val="22"/>
          <w:shd w:val="clear" w:color="auto" w:fill="FFFFFF"/>
        </w:rPr>
        <w:t xml:space="preserve">15 September 2006 and is open to development partners who finance it through Contribution Agreements and Memoranda of </w:t>
      </w:r>
      <w:r w:rsidR="00991D0E">
        <w:rPr>
          <w:rFonts w:asciiTheme="minorHAnsi" w:hAnsiTheme="minorHAnsi" w:cs="Arial"/>
          <w:color w:val="000000"/>
          <w:sz w:val="22"/>
          <w:szCs w:val="22"/>
          <w:shd w:val="clear" w:color="auto" w:fill="FFFFFF"/>
        </w:rPr>
        <w:t xml:space="preserve">Understanding </w:t>
      </w:r>
      <w:r w:rsidRPr="00A06B93">
        <w:rPr>
          <w:rFonts w:asciiTheme="minorHAnsi" w:hAnsiTheme="minorHAnsi" w:cs="Arial"/>
          <w:color w:val="000000"/>
          <w:sz w:val="22"/>
          <w:szCs w:val="22"/>
          <w:shd w:val="clear" w:color="auto" w:fill="FFFFFF"/>
        </w:rPr>
        <w:t xml:space="preserve"> signed between </w:t>
      </w:r>
      <w:r w:rsidR="00991D0E">
        <w:rPr>
          <w:rFonts w:asciiTheme="minorHAnsi" w:hAnsiTheme="minorHAnsi" w:cs="Arial"/>
          <w:color w:val="000000"/>
          <w:sz w:val="22"/>
          <w:szCs w:val="22"/>
          <w:shd w:val="clear" w:color="auto" w:fill="FFFFFF"/>
        </w:rPr>
        <w:t>Development Partners (</w:t>
      </w:r>
      <w:r w:rsidRPr="00A06B93">
        <w:rPr>
          <w:rFonts w:asciiTheme="minorHAnsi" w:hAnsiTheme="minorHAnsi" w:cs="Arial"/>
          <w:color w:val="000000"/>
          <w:sz w:val="22"/>
          <w:szCs w:val="22"/>
          <w:shd w:val="clear" w:color="auto" w:fill="FFFFFF"/>
        </w:rPr>
        <w:t>DPs</w:t>
      </w:r>
      <w:r w:rsidR="00991D0E">
        <w:rPr>
          <w:rFonts w:asciiTheme="minorHAnsi" w:hAnsiTheme="minorHAnsi" w:cs="Arial"/>
          <w:color w:val="000000"/>
          <w:sz w:val="22"/>
          <w:szCs w:val="22"/>
          <w:shd w:val="clear" w:color="auto" w:fill="FFFFFF"/>
        </w:rPr>
        <w:t>)</w:t>
      </w:r>
      <w:r w:rsidRPr="00A06B93">
        <w:rPr>
          <w:rFonts w:asciiTheme="minorHAnsi" w:hAnsiTheme="minorHAnsi" w:cs="Arial"/>
          <w:color w:val="000000"/>
          <w:sz w:val="22"/>
          <w:szCs w:val="22"/>
          <w:shd w:val="clear" w:color="auto" w:fill="FFFFFF"/>
        </w:rPr>
        <w:t xml:space="preserve"> and the EAC.  Its members include </w:t>
      </w:r>
      <w:r w:rsidRPr="00A06B93">
        <w:rPr>
          <w:rFonts w:asciiTheme="minorHAnsi" w:hAnsiTheme="minorHAnsi" w:cs="Arial"/>
          <w:b/>
          <w:color w:val="000000"/>
          <w:sz w:val="22"/>
          <w:szCs w:val="22"/>
          <w:shd w:val="clear" w:color="auto" w:fill="FFFFFF"/>
        </w:rPr>
        <w:t>Belgium, Canada, Denmark, Finland, France, Germany, Japan, Norway, Sweden, and United Kingdom</w:t>
      </w:r>
      <w:r w:rsidRPr="00A06B93">
        <w:rPr>
          <w:rFonts w:asciiTheme="minorHAnsi" w:hAnsiTheme="minorHAnsi" w:cs="Arial"/>
          <w:color w:val="000000"/>
          <w:sz w:val="22"/>
          <w:szCs w:val="22"/>
          <w:shd w:val="clear" w:color="auto" w:fill="FFFFFF"/>
        </w:rPr>
        <w:t xml:space="preserve">. Other non-contributing members are </w:t>
      </w:r>
      <w:r w:rsidRPr="00A06B93">
        <w:rPr>
          <w:rFonts w:asciiTheme="minorHAnsi" w:hAnsiTheme="minorHAnsi" w:cs="Arial"/>
          <w:b/>
          <w:color w:val="000000"/>
          <w:sz w:val="22"/>
          <w:szCs w:val="22"/>
          <w:shd w:val="clear" w:color="auto" w:fill="FFFFFF"/>
        </w:rPr>
        <w:t>European Commission and World Bank</w:t>
      </w:r>
      <w:r w:rsidRPr="00A06B93">
        <w:rPr>
          <w:rFonts w:asciiTheme="minorHAnsi" w:hAnsiTheme="minorHAnsi" w:cs="Arial"/>
          <w:color w:val="000000"/>
          <w:sz w:val="22"/>
          <w:szCs w:val="22"/>
          <w:shd w:val="clear" w:color="auto" w:fill="FFFFFF"/>
        </w:rPr>
        <w:t xml:space="preserve">.  Since 2006, the Fund has disbursed almost </w:t>
      </w:r>
      <w:r w:rsidRPr="00A06B93">
        <w:rPr>
          <w:rFonts w:asciiTheme="minorHAnsi" w:hAnsiTheme="minorHAnsi" w:cs="Arial"/>
          <w:b/>
          <w:color w:val="000000"/>
          <w:sz w:val="22"/>
          <w:szCs w:val="22"/>
          <w:shd w:val="clear" w:color="auto" w:fill="FFFFFF"/>
        </w:rPr>
        <w:t>USD 28 million (USD 5.1 million in 2011/2012)</w:t>
      </w:r>
      <w:r w:rsidRPr="00A06B93">
        <w:rPr>
          <w:rStyle w:val="FootnoteReference"/>
          <w:rFonts w:asciiTheme="minorHAnsi" w:hAnsiTheme="minorHAnsi" w:cs="Arial"/>
          <w:color w:val="000000"/>
          <w:sz w:val="22"/>
          <w:szCs w:val="22"/>
          <w:shd w:val="clear" w:color="auto" w:fill="FFFFFF"/>
        </w:rPr>
        <w:footnoteReference w:id="109"/>
      </w:r>
      <w:r w:rsidRPr="00A06B93">
        <w:rPr>
          <w:rFonts w:asciiTheme="minorHAnsi" w:hAnsiTheme="minorHAnsi" w:cs="Arial"/>
          <w:b/>
          <w:color w:val="000000"/>
          <w:sz w:val="22"/>
          <w:szCs w:val="22"/>
          <w:shd w:val="clear" w:color="auto" w:fill="FFFFFF"/>
        </w:rPr>
        <w:t xml:space="preserve"> </w:t>
      </w:r>
      <w:r w:rsidRPr="00A06B93">
        <w:rPr>
          <w:rFonts w:asciiTheme="minorHAnsi" w:hAnsiTheme="minorHAnsi" w:cs="Arial"/>
          <w:color w:val="000000"/>
          <w:sz w:val="22"/>
          <w:szCs w:val="22"/>
          <w:shd w:val="clear" w:color="auto" w:fill="FFFFFF"/>
        </w:rPr>
        <w:t xml:space="preserve">– only a small part </w:t>
      </w:r>
      <w:r w:rsidRPr="00A06B93">
        <w:rPr>
          <w:rFonts w:asciiTheme="minorHAnsi" w:hAnsiTheme="minorHAnsi" w:cs="Arial"/>
          <w:color w:val="000000"/>
          <w:sz w:val="22"/>
          <w:szCs w:val="22"/>
          <w:shd w:val="clear" w:color="auto" w:fill="FFFFFF"/>
        </w:rPr>
        <w:lastRenderedPageBreak/>
        <w:t>of development partners’ regional funding.</w:t>
      </w:r>
      <w:r w:rsidRPr="00A06B93">
        <w:rPr>
          <w:rStyle w:val="FootnoteReference"/>
          <w:rFonts w:asciiTheme="minorHAnsi" w:hAnsiTheme="minorHAnsi" w:cs="Arial"/>
          <w:color w:val="000000"/>
          <w:sz w:val="22"/>
          <w:szCs w:val="22"/>
          <w:shd w:val="clear" w:color="auto" w:fill="FFFFFF"/>
        </w:rPr>
        <w:footnoteReference w:id="110"/>
      </w:r>
      <w:r w:rsidRPr="00A06B93">
        <w:rPr>
          <w:rFonts w:asciiTheme="minorHAnsi" w:hAnsiTheme="minorHAnsi" w:cs="Arial"/>
          <w:color w:val="000000"/>
          <w:sz w:val="22"/>
          <w:szCs w:val="22"/>
          <w:shd w:val="clear" w:color="auto" w:fill="FFFFFF"/>
        </w:rPr>
        <w:t xml:space="preserve">  </w:t>
      </w:r>
      <w:r w:rsidRPr="00A06B93">
        <w:rPr>
          <w:rFonts w:asciiTheme="minorHAnsi" w:hAnsiTheme="minorHAnsi"/>
          <w:sz w:val="22"/>
          <w:szCs w:val="22"/>
        </w:rPr>
        <w:t>The EAC regional compact is still at a conceptual stage, although the Secretariat has indicated that it is keen to keep donors involved in the process.</w:t>
      </w:r>
    </w:p>
    <w:p w:rsidR="003F6C09" w:rsidRPr="00A06B93" w:rsidRDefault="003F6C09" w:rsidP="003F6C09">
      <w:pPr>
        <w:spacing w:after="120"/>
        <w:jc w:val="both"/>
        <w:rPr>
          <w:rFonts w:asciiTheme="minorHAnsi" w:hAnsiTheme="minorHAnsi"/>
          <w:b/>
          <w:color w:val="31849B" w:themeColor="accent5" w:themeShade="BF"/>
        </w:rPr>
      </w:pPr>
    </w:p>
    <w:p w:rsidR="003F6C09" w:rsidRPr="00A06B93" w:rsidRDefault="003F6C09" w:rsidP="003F6C09">
      <w:pPr>
        <w:spacing w:after="120"/>
        <w:jc w:val="both"/>
        <w:rPr>
          <w:rFonts w:asciiTheme="minorHAnsi" w:hAnsiTheme="minorHAnsi"/>
          <w:b/>
          <w:color w:val="31849B" w:themeColor="accent5" w:themeShade="BF"/>
        </w:rPr>
      </w:pPr>
      <w:r w:rsidRPr="00A06B93">
        <w:rPr>
          <w:rFonts w:asciiTheme="minorHAnsi" w:hAnsiTheme="minorHAnsi"/>
          <w:b/>
          <w:color w:val="31849B" w:themeColor="accent5" w:themeShade="BF"/>
        </w:rPr>
        <w:t>3.3.4</w:t>
      </w:r>
      <w:r w:rsidRPr="00A06B93">
        <w:rPr>
          <w:rFonts w:asciiTheme="minorHAnsi" w:hAnsiTheme="minorHAnsi"/>
          <w:b/>
          <w:color w:val="31849B" w:themeColor="accent5" w:themeShade="BF"/>
        </w:rPr>
        <w:tab/>
        <w:t>Pillar Institutions</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sz w:val="22"/>
          <w:szCs w:val="22"/>
        </w:rPr>
        <w:t>In addition to the RECs and AUC/NPCA, CAADP is delivered through the Pillar Institutions:</w:t>
      </w:r>
      <w:r w:rsidRPr="00A06B93">
        <w:rPr>
          <w:rFonts w:asciiTheme="minorHAnsi" w:hAnsiTheme="minorHAnsi"/>
          <w:sz w:val="22"/>
          <w:szCs w:val="22"/>
        </w:rPr>
        <w:tab/>
      </w:r>
    </w:p>
    <w:p w:rsidR="003F6C09" w:rsidRPr="00A06B93" w:rsidRDefault="003F6C09" w:rsidP="00A06B93">
      <w:pPr>
        <w:spacing w:after="120" w:line="276" w:lineRule="auto"/>
        <w:jc w:val="both"/>
        <w:rPr>
          <w:rFonts w:asciiTheme="minorHAnsi" w:hAnsiTheme="minorHAnsi" w:cs="Arial"/>
          <w:color w:val="000000"/>
          <w:sz w:val="22"/>
          <w:szCs w:val="22"/>
          <w:shd w:val="clear" w:color="auto" w:fill="FFFFFF"/>
        </w:rPr>
      </w:pPr>
      <w:r w:rsidRPr="00A06B93">
        <w:rPr>
          <w:rFonts w:asciiTheme="minorHAnsi" w:hAnsiTheme="minorHAnsi"/>
          <w:b/>
          <w:color w:val="31849B" w:themeColor="accent5" w:themeShade="BF"/>
          <w:sz w:val="22"/>
          <w:szCs w:val="22"/>
        </w:rPr>
        <w:t xml:space="preserve">Pillar 1 (Land management and water control) - University of Zambia / CILSS: </w:t>
      </w:r>
      <w:r w:rsidRPr="00A06B93">
        <w:rPr>
          <w:rFonts w:asciiTheme="minorHAnsi" w:hAnsiTheme="minorHAnsi" w:cs="Arial"/>
          <w:color w:val="000000"/>
          <w:sz w:val="22"/>
          <w:szCs w:val="22"/>
          <w:shd w:val="clear" w:color="auto" w:fill="FFFFFF"/>
        </w:rPr>
        <w:t>The</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bCs/>
          <w:color w:val="000000"/>
          <w:sz w:val="22"/>
          <w:szCs w:val="22"/>
          <w:shd w:val="clear" w:color="auto" w:fill="FFFFFF"/>
        </w:rPr>
        <w:t>Permanent Interstate Committee for Drought Control in the Sahel</w:t>
      </w:r>
      <w:r w:rsidRPr="00A06B93">
        <w:rPr>
          <w:rStyle w:val="apple-converted-space"/>
          <w:rFonts w:asciiTheme="minorHAnsi" w:hAnsiTheme="minorHAnsi" w:cs="Arial"/>
          <w:color w:val="000000"/>
          <w:sz w:val="22"/>
          <w:szCs w:val="22"/>
          <w:shd w:val="clear" w:color="auto" w:fill="FFFFFF"/>
        </w:rPr>
        <w:t>, also known as CILSS,</w:t>
      </w:r>
      <w:r w:rsidRPr="00A06B93">
        <w:rPr>
          <w:rStyle w:val="FootnoteReference"/>
          <w:rFonts w:asciiTheme="minorHAnsi" w:hAnsiTheme="minorHAnsi" w:cs="Arial"/>
          <w:color w:val="000000"/>
          <w:sz w:val="22"/>
          <w:szCs w:val="22"/>
          <w:shd w:val="clear" w:color="auto" w:fill="FFFFFF"/>
        </w:rPr>
        <w:footnoteReference w:id="111"/>
      </w:r>
      <w:r w:rsidRPr="00A06B93">
        <w:rPr>
          <w:rFonts w:asciiTheme="minorHAnsi" w:hAnsiTheme="minorHAnsi" w:cs="Arial"/>
          <w:color w:val="000000"/>
          <w:sz w:val="22"/>
          <w:szCs w:val="22"/>
          <w:shd w:val="clear" w:color="auto" w:fill="FFFFFF"/>
        </w:rPr>
        <w:t xml:space="preserve"> is an</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sz w:val="22"/>
          <w:szCs w:val="22"/>
          <w:shd w:val="clear" w:color="auto" w:fill="FFFFFF"/>
        </w:rPr>
        <w:t>international organization</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color w:val="000000"/>
          <w:sz w:val="22"/>
          <w:szCs w:val="22"/>
          <w:shd w:val="clear" w:color="auto" w:fill="FFFFFF"/>
        </w:rPr>
        <w:t>consisting of countries in the</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sz w:val="22"/>
          <w:szCs w:val="22"/>
          <w:shd w:val="clear" w:color="auto" w:fill="FFFFFF"/>
        </w:rPr>
        <w:t>Sahel</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color w:val="000000"/>
          <w:sz w:val="22"/>
          <w:szCs w:val="22"/>
          <w:shd w:val="clear" w:color="auto" w:fill="FFFFFF"/>
        </w:rPr>
        <w:t>region of</w:t>
      </w:r>
      <w:r w:rsidRPr="00A06B93">
        <w:rPr>
          <w:rStyle w:val="apple-converted-space"/>
          <w:rFonts w:asciiTheme="minorHAnsi" w:hAnsiTheme="minorHAnsi" w:cs="Arial"/>
          <w:color w:val="000000"/>
          <w:sz w:val="22"/>
          <w:szCs w:val="22"/>
          <w:shd w:val="clear" w:color="auto" w:fill="FFFFFF"/>
        </w:rPr>
        <w:t> </w:t>
      </w:r>
      <w:r w:rsidRPr="00A06B93">
        <w:rPr>
          <w:rFonts w:asciiTheme="minorHAnsi" w:hAnsiTheme="minorHAnsi" w:cs="Arial"/>
          <w:sz w:val="22"/>
          <w:szCs w:val="22"/>
          <w:shd w:val="clear" w:color="auto" w:fill="FFFFFF"/>
        </w:rPr>
        <w:t>Africa</w:t>
      </w:r>
      <w:r w:rsidRPr="00A06B93">
        <w:rPr>
          <w:rFonts w:asciiTheme="minorHAnsi" w:hAnsiTheme="minorHAnsi" w:cs="Arial"/>
          <w:color w:val="000000"/>
          <w:sz w:val="22"/>
          <w:szCs w:val="22"/>
          <w:shd w:val="clear" w:color="auto" w:fill="FFFFFF"/>
        </w:rPr>
        <w:t>.  CILSS’s mandate is to invest in research for food security and the fight against the effects of drought and desertification for a new ecological balance in the Sahel.</w:t>
      </w:r>
      <w:r w:rsidRPr="00A06B93">
        <w:rPr>
          <w:rStyle w:val="FootnoteReference"/>
          <w:rFonts w:asciiTheme="minorHAnsi" w:hAnsiTheme="minorHAnsi" w:cs="Arial"/>
          <w:color w:val="000000"/>
          <w:sz w:val="22"/>
          <w:szCs w:val="22"/>
          <w:shd w:val="clear" w:color="auto" w:fill="FFFFFF"/>
        </w:rPr>
        <w:footnoteReference w:id="112"/>
      </w:r>
      <w:r w:rsidRPr="00A06B93">
        <w:rPr>
          <w:rFonts w:asciiTheme="minorHAnsi" w:hAnsiTheme="minorHAnsi" w:cs="Arial"/>
          <w:color w:val="000000"/>
          <w:sz w:val="22"/>
          <w:szCs w:val="22"/>
          <w:shd w:val="clear" w:color="auto" w:fill="FFFFFF"/>
        </w:rPr>
        <w:t xml:space="preserve">  According to CILSS’s website, it maintains a successful partnership with aid agencies of the following countries: </w:t>
      </w:r>
      <w:r w:rsidRPr="00A06B93">
        <w:rPr>
          <w:rFonts w:asciiTheme="minorHAnsi" w:hAnsiTheme="minorHAnsi" w:cs="Arial"/>
          <w:b/>
          <w:color w:val="000000"/>
          <w:sz w:val="22"/>
          <w:szCs w:val="22"/>
          <w:shd w:val="clear" w:color="auto" w:fill="FFFFFF"/>
        </w:rPr>
        <w:t>Canada, France, USA, Italy and European Union</w:t>
      </w:r>
      <w:r w:rsidRPr="00A06B93">
        <w:rPr>
          <w:rFonts w:asciiTheme="minorHAnsi" w:hAnsiTheme="minorHAnsi" w:cs="Arial"/>
          <w:color w:val="000000"/>
          <w:sz w:val="22"/>
          <w:szCs w:val="22"/>
          <w:shd w:val="clear" w:color="auto" w:fill="FFFFFF"/>
        </w:rPr>
        <w:t xml:space="preserve">.  </w:t>
      </w:r>
      <w:r w:rsidRPr="00A06B93">
        <w:rPr>
          <w:rFonts w:asciiTheme="minorHAnsi" w:hAnsiTheme="minorHAnsi" w:cs="Arial"/>
          <w:b/>
          <w:color w:val="000000"/>
          <w:sz w:val="22"/>
          <w:szCs w:val="22"/>
          <w:shd w:val="clear" w:color="auto" w:fill="FFFFFF"/>
        </w:rPr>
        <w:t>CILSS’s multilateral partners include European partners, African partners,</w:t>
      </w:r>
      <w:r w:rsidRPr="00A06B93">
        <w:rPr>
          <w:rFonts w:asciiTheme="minorHAnsi" w:hAnsiTheme="minorHAnsi"/>
          <w:b/>
          <w:sz w:val="22"/>
          <w:szCs w:val="22"/>
        </w:rPr>
        <w:t xml:space="preserve"> and </w:t>
      </w:r>
      <w:r w:rsidRPr="00A06B93">
        <w:rPr>
          <w:rFonts w:asciiTheme="minorHAnsi" w:hAnsiTheme="minorHAnsi" w:cs="Arial"/>
          <w:b/>
          <w:sz w:val="22"/>
          <w:szCs w:val="22"/>
          <w:shd w:val="clear" w:color="auto" w:fill="FFFFFF"/>
        </w:rPr>
        <w:t>UN agencies</w:t>
      </w:r>
      <w:r w:rsidRPr="00A06B93">
        <w:rPr>
          <w:rFonts w:asciiTheme="minorHAnsi" w:hAnsiTheme="minorHAnsi" w:cs="Arial"/>
          <w:sz w:val="22"/>
          <w:szCs w:val="22"/>
          <w:shd w:val="clear" w:color="auto" w:fill="FFFFFF"/>
        </w:rPr>
        <w:t>.</w:t>
      </w:r>
      <w:r w:rsidRPr="00A06B93">
        <w:rPr>
          <w:rStyle w:val="FootnoteReference"/>
          <w:rFonts w:asciiTheme="minorHAnsi" w:hAnsiTheme="minorHAnsi" w:cs="Arial"/>
          <w:color w:val="000000"/>
          <w:sz w:val="22"/>
          <w:szCs w:val="22"/>
          <w:shd w:val="clear" w:color="auto" w:fill="FFFFFF"/>
        </w:rPr>
        <w:footnoteReference w:id="113"/>
      </w:r>
      <w:r w:rsidRPr="00A06B93">
        <w:rPr>
          <w:rFonts w:asciiTheme="minorHAnsi" w:hAnsiTheme="minorHAnsi" w:cs="Arial"/>
          <w:color w:val="000000"/>
          <w:sz w:val="22"/>
          <w:szCs w:val="22"/>
          <w:shd w:val="clear" w:color="auto" w:fill="FFFFFF"/>
        </w:rPr>
        <w:t xml:space="preserve">  The other Pillar 1 institution is the University of Zambia’s School of Agricultural Sciences, but this study could not find any information publically available on streams of financial support.</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t xml:space="preserve">Pillar 2 (Rural infrastructure and trade related markets) - CMA/WCA: </w:t>
      </w:r>
      <w:r w:rsidRPr="00A06B93">
        <w:rPr>
          <w:rFonts w:asciiTheme="minorHAnsi" w:hAnsiTheme="minorHAnsi"/>
          <w:sz w:val="22"/>
          <w:szCs w:val="22"/>
        </w:rPr>
        <w:t xml:space="preserve">The Conference of West and Central Africa (CMA/WCA) has been mandated by the AU/NEPAD to serve at a continent-wide level as coordinator of private sector interests support to CAADP Pillar 2.   In September 2010, CMA/WCA received a disbursement of USD 1.1 million from the CAADP MDTF.  CMA/WCA also received help developing the </w:t>
      </w:r>
      <w:r w:rsidRPr="00A06B93">
        <w:rPr>
          <w:rFonts w:asciiTheme="minorHAnsi" w:hAnsiTheme="minorHAnsi"/>
          <w:i/>
          <w:sz w:val="22"/>
          <w:szCs w:val="22"/>
        </w:rPr>
        <w:t>Framework for Improving Rural Infrastructure and Trade Related Capacity for Market Access</w:t>
      </w:r>
      <w:r w:rsidRPr="00A06B93">
        <w:rPr>
          <w:rFonts w:asciiTheme="minorHAnsi" w:hAnsiTheme="minorHAnsi"/>
          <w:sz w:val="22"/>
          <w:szCs w:val="22"/>
        </w:rPr>
        <w:t>, including financial support from a consortium of development partners</w:t>
      </w:r>
      <w:r w:rsidR="00991D0E">
        <w:rPr>
          <w:rFonts w:asciiTheme="minorHAnsi" w:hAnsiTheme="minorHAnsi"/>
          <w:sz w:val="22"/>
          <w:szCs w:val="22"/>
        </w:rPr>
        <w:t>:</w:t>
      </w:r>
      <w:r w:rsidRPr="00A06B93">
        <w:rPr>
          <w:rFonts w:asciiTheme="minorHAnsi" w:hAnsiTheme="minorHAnsi"/>
          <w:sz w:val="22"/>
          <w:szCs w:val="22"/>
        </w:rPr>
        <w:t xml:space="preserve"> </w:t>
      </w:r>
      <w:r w:rsidRPr="00A06B93">
        <w:rPr>
          <w:rFonts w:asciiTheme="minorHAnsi" w:hAnsiTheme="minorHAnsi"/>
          <w:b/>
          <w:sz w:val="22"/>
          <w:szCs w:val="22"/>
        </w:rPr>
        <w:t>USAID, DFID, SIDA, and the German Federal Ministry for Economic Cooperation and Development (BMZ), and technically by IFPRI</w:t>
      </w:r>
      <w:r w:rsidRPr="00A06B93">
        <w:rPr>
          <w:rFonts w:asciiTheme="minorHAnsi" w:hAnsiTheme="minorHAnsi"/>
          <w:sz w:val="22"/>
          <w:szCs w:val="22"/>
        </w:rPr>
        <w:t>.</w:t>
      </w:r>
      <w:r w:rsidRPr="00A06B93">
        <w:rPr>
          <w:rStyle w:val="FootnoteReference"/>
          <w:rFonts w:asciiTheme="minorHAnsi" w:hAnsiTheme="minorHAnsi"/>
          <w:sz w:val="22"/>
          <w:szCs w:val="22"/>
        </w:rPr>
        <w:footnoteReference w:id="114"/>
      </w:r>
      <w:r w:rsidRPr="00A06B93">
        <w:rPr>
          <w:rFonts w:asciiTheme="minorHAnsi" w:hAnsiTheme="minorHAnsi"/>
          <w:sz w:val="22"/>
          <w:szCs w:val="22"/>
        </w:rPr>
        <w:t xml:space="preserve"> </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t xml:space="preserve">Pillar 3 (Food security and safety nets) - University of </w:t>
      </w:r>
      <w:proofErr w:type="spellStart"/>
      <w:r w:rsidRPr="00A06B93">
        <w:rPr>
          <w:rFonts w:asciiTheme="minorHAnsi" w:hAnsiTheme="minorHAnsi"/>
          <w:b/>
          <w:color w:val="31849B" w:themeColor="accent5" w:themeShade="BF"/>
          <w:sz w:val="22"/>
          <w:szCs w:val="22"/>
        </w:rPr>
        <w:t>KwaZulu</w:t>
      </w:r>
      <w:proofErr w:type="spellEnd"/>
      <w:r w:rsidRPr="00A06B93">
        <w:rPr>
          <w:rFonts w:asciiTheme="minorHAnsi" w:hAnsiTheme="minorHAnsi"/>
          <w:b/>
          <w:color w:val="31849B" w:themeColor="accent5" w:themeShade="BF"/>
          <w:sz w:val="22"/>
          <w:szCs w:val="22"/>
        </w:rPr>
        <w:t xml:space="preserve"> Natal / CILSS: </w:t>
      </w:r>
      <w:r w:rsidRPr="00A06B93">
        <w:rPr>
          <w:rFonts w:asciiTheme="minorHAnsi" w:hAnsiTheme="minorHAnsi"/>
          <w:sz w:val="22"/>
          <w:szCs w:val="22"/>
        </w:rPr>
        <w:t xml:space="preserve">The University of KwaZulu-Natal Foundation Trust (UKZN Foundation) secures investment for the university by procuring bequests, endowments, grants and gifts.   The UKZN Foundation has been successful in attracting large research grants, for example USD 3 million from the Bill &amp; Melinda Gates Foundation for pollution research and USD 16 million for an international HIV research facility funded by the UK’s </w:t>
      </w:r>
      <w:proofErr w:type="spellStart"/>
      <w:r w:rsidRPr="00A06B93">
        <w:rPr>
          <w:rFonts w:asciiTheme="minorHAnsi" w:hAnsiTheme="minorHAnsi"/>
          <w:sz w:val="22"/>
          <w:szCs w:val="22"/>
        </w:rPr>
        <w:t>Wellcome</w:t>
      </w:r>
      <w:proofErr w:type="spellEnd"/>
      <w:r w:rsidRPr="00A06B93">
        <w:rPr>
          <w:rFonts w:asciiTheme="minorHAnsi" w:hAnsiTheme="minorHAnsi"/>
          <w:sz w:val="22"/>
          <w:szCs w:val="22"/>
        </w:rPr>
        <w:t xml:space="preserve"> Trust.</w:t>
      </w:r>
      <w:r w:rsidRPr="00A06B93">
        <w:rPr>
          <w:rStyle w:val="FootnoteReference"/>
          <w:rFonts w:asciiTheme="minorHAnsi" w:hAnsiTheme="minorHAnsi"/>
          <w:sz w:val="22"/>
          <w:szCs w:val="22"/>
        </w:rPr>
        <w:footnoteReference w:id="115"/>
      </w:r>
      <w:r w:rsidRPr="00A06B93">
        <w:rPr>
          <w:rFonts w:asciiTheme="minorHAnsi" w:hAnsiTheme="minorHAnsi"/>
          <w:sz w:val="22"/>
          <w:szCs w:val="22"/>
        </w:rPr>
        <w:t xml:space="preserve"> There is currently no information publically available on grants to the African Centre for Food Security Programme at UKZN. </w:t>
      </w:r>
    </w:p>
    <w:p w:rsidR="003F6C09" w:rsidRPr="00A06B93" w:rsidRDefault="003F6C09" w:rsidP="00A06B93">
      <w:pPr>
        <w:spacing w:after="120" w:line="276" w:lineRule="auto"/>
        <w:jc w:val="both"/>
        <w:rPr>
          <w:rFonts w:asciiTheme="minorHAnsi" w:hAnsiTheme="minorHAnsi"/>
          <w:sz w:val="22"/>
          <w:szCs w:val="22"/>
        </w:rPr>
      </w:pPr>
      <w:r w:rsidRPr="00A06B93">
        <w:rPr>
          <w:rFonts w:asciiTheme="minorHAnsi" w:hAnsiTheme="minorHAnsi"/>
          <w:b/>
          <w:color w:val="31849B" w:themeColor="accent5" w:themeShade="BF"/>
          <w:sz w:val="22"/>
          <w:szCs w:val="22"/>
        </w:rPr>
        <w:lastRenderedPageBreak/>
        <w:t>Pillar 4 (Agricultural research and technology transfers) – FARA and sub-regional research organisations (ASARECA, CORAF/WECARD, and SADC-FNAR)</w:t>
      </w:r>
      <w:r w:rsidRPr="00A06B93">
        <w:rPr>
          <w:rStyle w:val="FootnoteReference"/>
          <w:rFonts w:asciiTheme="minorHAnsi" w:hAnsiTheme="minorHAnsi"/>
          <w:b/>
          <w:color w:val="31849B" w:themeColor="accent5" w:themeShade="BF"/>
          <w:sz w:val="22"/>
          <w:szCs w:val="22"/>
        </w:rPr>
        <w:footnoteReference w:id="116"/>
      </w:r>
      <w:r w:rsidRPr="00A06B93">
        <w:rPr>
          <w:rFonts w:asciiTheme="minorHAnsi" w:hAnsiTheme="minorHAnsi"/>
          <w:b/>
          <w:color w:val="31849B" w:themeColor="accent5" w:themeShade="BF"/>
          <w:sz w:val="22"/>
          <w:szCs w:val="22"/>
        </w:rPr>
        <w:t xml:space="preserve">: </w:t>
      </w:r>
      <w:r w:rsidRPr="00A06B93">
        <w:rPr>
          <w:rFonts w:asciiTheme="minorHAnsi" w:hAnsiTheme="minorHAnsi"/>
          <w:sz w:val="22"/>
          <w:szCs w:val="22"/>
        </w:rPr>
        <w:t xml:space="preserve">CAADP Pillar 4 is supported by a </w:t>
      </w:r>
      <w:r w:rsidRPr="00871A8D">
        <w:rPr>
          <w:rFonts w:asciiTheme="minorHAnsi" w:hAnsiTheme="minorHAnsi"/>
          <w:b/>
          <w:sz w:val="22"/>
          <w:szCs w:val="22"/>
        </w:rPr>
        <w:t>complex range of donors and funding channels</w:t>
      </w:r>
      <w:r w:rsidRPr="00A06B93">
        <w:rPr>
          <w:rFonts w:asciiTheme="minorHAnsi" w:hAnsiTheme="minorHAnsi"/>
          <w:sz w:val="22"/>
          <w:szCs w:val="22"/>
        </w:rPr>
        <w:t>.   As a 2010 mapping study</w:t>
      </w:r>
      <w:r w:rsidRPr="00A06B93">
        <w:rPr>
          <w:rStyle w:val="FootnoteReference"/>
          <w:rFonts w:asciiTheme="minorHAnsi" w:hAnsiTheme="minorHAnsi"/>
          <w:sz w:val="22"/>
          <w:szCs w:val="22"/>
        </w:rPr>
        <w:footnoteReference w:id="117"/>
      </w:r>
      <w:r w:rsidRPr="00A06B93">
        <w:rPr>
          <w:rFonts w:asciiTheme="minorHAnsi" w:hAnsiTheme="minorHAnsi"/>
          <w:sz w:val="22"/>
          <w:szCs w:val="22"/>
        </w:rPr>
        <w:t xml:space="preserve"> of existing and planned donor support to Pillar 4 concluded, funds from an individual donor can flow into Agricultural Research for Development (ARD) through multilaterals like the World Bank and FAO, and through intermediaries like FARA, the SROs and AGRA, as well as direct to the national governments.   The study highlights a number of cases where more than one intermediate organisation is involved in individual funding flows.  For example, the SSA Challenge Programme is funded through the Consultative Group on International Agricultural Research (CGIAR) centres, but managed by FARA.  </w:t>
      </w:r>
      <w:r w:rsidR="00EB4EE1">
        <w:rPr>
          <w:rFonts w:asciiTheme="minorHAnsi" w:hAnsiTheme="minorHAnsi"/>
          <w:sz w:val="22"/>
          <w:szCs w:val="22"/>
        </w:rPr>
        <w:t>CGIAR research is in turn financed by a multi-donor trust fund, administered by the World Bank and funded by donors - particularly the UK, with latest figures (2011) showing that DFID provided over USD 100 million - almost a third of the CGIAR Fund.</w:t>
      </w:r>
      <w:r w:rsidR="00C92164">
        <w:rPr>
          <w:rStyle w:val="FootnoteReference"/>
          <w:rFonts w:asciiTheme="minorHAnsi" w:hAnsiTheme="minorHAnsi"/>
          <w:sz w:val="22"/>
          <w:szCs w:val="22"/>
        </w:rPr>
        <w:footnoteReference w:id="118"/>
      </w:r>
      <w:r w:rsidR="00EB4EE1">
        <w:rPr>
          <w:rFonts w:asciiTheme="minorHAnsi" w:hAnsiTheme="minorHAnsi"/>
          <w:sz w:val="22"/>
          <w:szCs w:val="22"/>
        </w:rPr>
        <w:t xml:space="preserve">  </w:t>
      </w:r>
      <w:r w:rsidRPr="002003CE">
        <w:rPr>
          <w:rFonts w:asciiTheme="minorHAnsi" w:hAnsiTheme="minorHAnsi"/>
          <w:sz w:val="22"/>
          <w:szCs w:val="22"/>
        </w:rPr>
        <w:t>This layering of managing and implementing agencies means there is considerable scope for double-counting</w:t>
      </w:r>
      <w:r w:rsidR="002003CE" w:rsidRPr="002003CE">
        <w:rPr>
          <w:rFonts w:asciiTheme="minorHAnsi" w:hAnsiTheme="minorHAnsi"/>
          <w:sz w:val="22"/>
          <w:szCs w:val="22"/>
        </w:rPr>
        <w:t>.</w:t>
      </w:r>
      <w:r w:rsidR="002003CE">
        <w:rPr>
          <w:rStyle w:val="FootnoteReference"/>
          <w:rFonts w:asciiTheme="minorHAnsi" w:hAnsiTheme="minorHAnsi"/>
          <w:sz w:val="22"/>
          <w:szCs w:val="22"/>
        </w:rPr>
        <w:footnoteReference w:id="119"/>
      </w:r>
      <w:r w:rsidR="00340C26" w:rsidRPr="002003CE">
        <w:rPr>
          <w:rFonts w:asciiTheme="minorHAnsi" w:hAnsiTheme="minorHAnsi"/>
          <w:sz w:val="22"/>
          <w:szCs w:val="22"/>
        </w:rPr>
        <w:t xml:space="preserve"> </w:t>
      </w:r>
    </w:p>
    <w:p w:rsidR="003F6C09" w:rsidRPr="00A06B93" w:rsidRDefault="003F6C09" w:rsidP="008D6F48">
      <w:pPr>
        <w:spacing w:after="120" w:line="276" w:lineRule="auto"/>
        <w:jc w:val="both"/>
        <w:rPr>
          <w:rFonts w:asciiTheme="minorHAnsi" w:hAnsiTheme="minorHAnsi" w:cs="Arial"/>
          <w:b/>
          <w:sz w:val="22"/>
          <w:szCs w:val="22"/>
        </w:rPr>
      </w:pPr>
      <w:r w:rsidRPr="00A06B93">
        <w:rPr>
          <w:rFonts w:asciiTheme="minorHAnsi" w:hAnsiTheme="minorHAnsi" w:cs="Arial"/>
          <w:sz w:val="22"/>
          <w:szCs w:val="22"/>
        </w:rPr>
        <w:t>The above study</w:t>
      </w:r>
      <w:r w:rsidRPr="00A06B93">
        <w:rPr>
          <w:rStyle w:val="FootnoteReference"/>
          <w:rFonts w:asciiTheme="minorHAnsi" w:hAnsiTheme="minorHAnsi" w:cs="Arial"/>
          <w:sz w:val="22"/>
          <w:szCs w:val="22"/>
        </w:rPr>
        <w:footnoteReference w:id="120"/>
      </w:r>
      <w:r w:rsidRPr="00A06B93">
        <w:rPr>
          <w:rFonts w:asciiTheme="minorHAnsi" w:hAnsiTheme="minorHAnsi" w:cs="Arial"/>
          <w:sz w:val="22"/>
          <w:szCs w:val="22"/>
        </w:rPr>
        <w:t xml:space="preserve"> estimates direct donor support to CAADP Pillar 4, i.e. to the CAADP4 mandated agencies, FARA and the SROs, at </w:t>
      </w:r>
      <w:r w:rsidRPr="00A06B93">
        <w:rPr>
          <w:rFonts w:asciiTheme="minorHAnsi" w:hAnsiTheme="minorHAnsi" w:cs="Arial"/>
          <w:b/>
          <w:sz w:val="22"/>
          <w:szCs w:val="22"/>
        </w:rPr>
        <w:t>USD 46 million per year</w:t>
      </w:r>
      <w:r w:rsidRPr="00A06B93">
        <w:rPr>
          <w:rFonts w:asciiTheme="minorHAnsi" w:hAnsiTheme="minorHAnsi" w:cs="Arial"/>
          <w:sz w:val="22"/>
          <w:szCs w:val="22"/>
        </w:rPr>
        <w:t xml:space="preserve">. Key donors identified in the study include </w:t>
      </w:r>
      <w:r w:rsidRPr="00A06B93">
        <w:rPr>
          <w:rFonts w:asciiTheme="minorHAnsi" w:hAnsiTheme="minorHAnsi" w:cs="Arial"/>
          <w:b/>
          <w:sz w:val="22"/>
          <w:szCs w:val="22"/>
        </w:rPr>
        <w:t xml:space="preserve">CIDA, USAID, </w:t>
      </w:r>
      <w:proofErr w:type="spellStart"/>
      <w:r w:rsidRPr="00A06B93">
        <w:rPr>
          <w:rFonts w:asciiTheme="minorHAnsi" w:hAnsiTheme="minorHAnsi" w:cs="Arial"/>
          <w:b/>
          <w:sz w:val="22"/>
          <w:szCs w:val="22"/>
        </w:rPr>
        <w:t>AusAID</w:t>
      </w:r>
      <w:proofErr w:type="spellEnd"/>
      <w:r w:rsidRPr="00A06B93">
        <w:rPr>
          <w:rFonts w:asciiTheme="minorHAnsi" w:hAnsiTheme="minorHAnsi" w:cs="Arial"/>
          <w:b/>
          <w:sz w:val="22"/>
          <w:szCs w:val="22"/>
        </w:rPr>
        <w:t>,</w:t>
      </w:r>
      <w:r w:rsidRPr="00A06B93">
        <w:rPr>
          <w:rFonts w:asciiTheme="minorHAnsi" w:hAnsiTheme="minorHAnsi" w:cs="Arial"/>
          <w:sz w:val="22"/>
          <w:szCs w:val="22"/>
        </w:rPr>
        <w:t xml:space="preserve"> </w:t>
      </w:r>
      <w:r w:rsidRPr="00A06B93">
        <w:rPr>
          <w:rFonts w:asciiTheme="minorHAnsi" w:hAnsiTheme="minorHAnsi" w:cs="Arial"/>
          <w:b/>
          <w:sz w:val="22"/>
          <w:szCs w:val="22"/>
        </w:rPr>
        <w:t>the Commission of the European Communities (CEC), UK, Netherlands, Denmark and Italy who together provide an estimated USD 13.4 million per year to FARA under CAADP Pillar 4</w:t>
      </w:r>
      <w:r w:rsidRPr="00A06B93">
        <w:rPr>
          <w:rFonts w:asciiTheme="minorHAnsi" w:hAnsiTheme="minorHAnsi" w:cs="Arial"/>
          <w:sz w:val="22"/>
          <w:szCs w:val="22"/>
        </w:rPr>
        <w:t xml:space="preserve">.  USAID, CIDA, CEC and the UK also provide additional funding to the SROs, with Switzerland providing additional funding to SADC-FNAR, totalling an estimated </w:t>
      </w:r>
      <w:r w:rsidRPr="00A06B93">
        <w:rPr>
          <w:rFonts w:asciiTheme="minorHAnsi" w:hAnsiTheme="minorHAnsi" w:cs="Arial"/>
          <w:b/>
          <w:sz w:val="22"/>
          <w:szCs w:val="22"/>
        </w:rPr>
        <w:t>USD 11.2 million per year to the three SROs</w:t>
      </w:r>
      <w:r w:rsidRPr="00A06B93">
        <w:rPr>
          <w:rFonts w:asciiTheme="minorHAnsi" w:hAnsiTheme="minorHAnsi" w:cs="Arial"/>
          <w:sz w:val="22"/>
          <w:szCs w:val="22"/>
        </w:rPr>
        <w:t xml:space="preserve">.  Table </w:t>
      </w:r>
      <w:r w:rsidR="00D437C6">
        <w:rPr>
          <w:rFonts w:asciiTheme="minorHAnsi" w:hAnsiTheme="minorHAnsi" w:cs="Arial"/>
          <w:sz w:val="22"/>
          <w:szCs w:val="22"/>
        </w:rPr>
        <w:t>12</w:t>
      </w:r>
      <w:r w:rsidRPr="00A06B93">
        <w:rPr>
          <w:rFonts w:asciiTheme="minorHAnsi" w:hAnsiTheme="minorHAnsi" w:cs="Arial"/>
          <w:sz w:val="22"/>
          <w:szCs w:val="22"/>
        </w:rPr>
        <w:t xml:space="preserve"> below shows the key donors to each of the Pillar 4 institutions over the previous decade (2000-2010).</w:t>
      </w:r>
    </w:p>
    <w:p w:rsidR="003F6C09" w:rsidRPr="00A06B93" w:rsidRDefault="003F6C09" w:rsidP="003F6C09">
      <w:pPr>
        <w:spacing w:after="120"/>
        <w:jc w:val="center"/>
        <w:rPr>
          <w:rFonts w:asciiTheme="minorHAnsi" w:hAnsiTheme="minorHAnsi" w:cs="Arial"/>
          <w:b/>
        </w:rPr>
      </w:pPr>
      <w:r w:rsidRPr="00A06B93">
        <w:rPr>
          <w:rFonts w:asciiTheme="minorHAnsi" w:hAnsiTheme="minorHAnsi" w:cs="Arial"/>
          <w:b/>
          <w:sz w:val="22"/>
          <w:szCs w:val="22"/>
        </w:rPr>
        <w:t xml:space="preserve">Table </w:t>
      </w:r>
      <w:r w:rsidR="00D437C6">
        <w:rPr>
          <w:rFonts w:asciiTheme="minorHAnsi" w:hAnsiTheme="minorHAnsi" w:cs="Arial"/>
          <w:b/>
          <w:sz w:val="22"/>
          <w:szCs w:val="22"/>
        </w:rPr>
        <w:t>12</w:t>
      </w:r>
      <w:r w:rsidRPr="00A06B93">
        <w:rPr>
          <w:rFonts w:asciiTheme="minorHAnsi" w:hAnsiTheme="minorHAnsi" w:cs="Arial"/>
          <w:b/>
          <w:sz w:val="22"/>
          <w:szCs w:val="22"/>
        </w:rPr>
        <w:t xml:space="preserve">. Principal donors of the FARA and the </w:t>
      </w:r>
      <w:proofErr w:type="spellStart"/>
      <w:r w:rsidRPr="00A06B93">
        <w:rPr>
          <w:rFonts w:asciiTheme="minorHAnsi" w:hAnsiTheme="minorHAnsi" w:cs="Arial"/>
          <w:b/>
          <w:sz w:val="22"/>
          <w:szCs w:val="22"/>
        </w:rPr>
        <w:t>subregional</w:t>
      </w:r>
      <w:proofErr w:type="spellEnd"/>
      <w:r w:rsidRPr="00A06B93">
        <w:rPr>
          <w:rFonts w:asciiTheme="minorHAnsi" w:hAnsiTheme="minorHAnsi" w:cs="Arial"/>
          <w:b/>
          <w:sz w:val="22"/>
          <w:szCs w:val="22"/>
        </w:rPr>
        <w:t xml:space="preserve"> organisations, 2000-2010</w:t>
      </w:r>
      <w:r w:rsidRPr="00A06B93">
        <w:rPr>
          <w:rStyle w:val="FootnoteReference"/>
          <w:rFonts w:asciiTheme="minorHAnsi" w:hAnsiTheme="minorHAnsi" w:cs="Arial"/>
          <w:b/>
        </w:rPr>
        <w:footnoteReference w:id="121"/>
      </w:r>
    </w:p>
    <w:tbl>
      <w:tblPr>
        <w:tblStyle w:val="LightShading-Accent5"/>
        <w:tblW w:w="0" w:type="auto"/>
        <w:tblLook w:val="04A0"/>
      </w:tblPr>
      <w:tblGrid>
        <w:gridCol w:w="2310"/>
        <w:gridCol w:w="2310"/>
        <w:gridCol w:w="2311"/>
        <w:gridCol w:w="2311"/>
      </w:tblGrid>
      <w:tr w:rsidR="003F6C09" w:rsidRPr="00A06B93" w:rsidTr="00EE3B91">
        <w:trPr>
          <w:cnfStyle w:val="100000000000"/>
        </w:trPr>
        <w:tc>
          <w:tcPr>
            <w:cnfStyle w:val="001000000000"/>
            <w:tcW w:w="2310" w:type="dxa"/>
          </w:tcPr>
          <w:p w:rsidR="003F6C09" w:rsidRPr="00A06B93" w:rsidRDefault="003F6C09" w:rsidP="00991D0E">
            <w:pPr>
              <w:rPr>
                <w:rFonts w:cs="Arial"/>
                <w:sz w:val="20"/>
                <w:szCs w:val="20"/>
              </w:rPr>
            </w:pPr>
            <w:r w:rsidRPr="00A06B93">
              <w:rPr>
                <w:rFonts w:cs="Arial"/>
                <w:sz w:val="20"/>
                <w:szCs w:val="20"/>
              </w:rPr>
              <w:t>FARA</w:t>
            </w:r>
          </w:p>
        </w:tc>
        <w:tc>
          <w:tcPr>
            <w:tcW w:w="2310" w:type="dxa"/>
          </w:tcPr>
          <w:p w:rsidR="003F6C09" w:rsidRPr="00A06B93" w:rsidRDefault="003F6C09" w:rsidP="00991D0E">
            <w:pPr>
              <w:cnfStyle w:val="100000000000"/>
              <w:rPr>
                <w:rFonts w:cs="Arial"/>
                <w:sz w:val="20"/>
                <w:szCs w:val="20"/>
              </w:rPr>
            </w:pPr>
            <w:r w:rsidRPr="00A06B93">
              <w:rPr>
                <w:rFonts w:cs="Arial"/>
                <w:sz w:val="20"/>
                <w:szCs w:val="20"/>
              </w:rPr>
              <w:t>ASARECA</w:t>
            </w:r>
          </w:p>
        </w:tc>
        <w:tc>
          <w:tcPr>
            <w:tcW w:w="2311" w:type="dxa"/>
          </w:tcPr>
          <w:p w:rsidR="003F6C09" w:rsidRPr="00A06B93" w:rsidRDefault="003F6C09" w:rsidP="00991D0E">
            <w:pPr>
              <w:cnfStyle w:val="100000000000"/>
              <w:rPr>
                <w:rFonts w:cs="Arial"/>
                <w:sz w:val="20"/>
                <w:szCs w:val="20"/>
              </w:rPr>
            </w:pPr>
            <w:r w:rsidRPr="00A06B93">
              <w:rPr>
                <w:rFonts w:cs="Arial"/>
                <w:sz w:val="20"/>
                <w:szCs w:val="20"/>
              </w:rPr>
              <w:t>CORAF / WECARD</w:t>
            </w:r>
          </w:p>
        </w:tc>
        <w:tc>
          <w:tcPr>
            <w:tcW w:w="2311" w:type="dxa"/>
          </w:tcPr>
          <w:p w:rsidR="003F6C09" w:rsidRPr="00A06B93" w:rsidRDefault="003F6C09" w:rsidP="00991D0E">
            <w:pPr>
              <w:cnfStyle w:val="100000000000"/>
              <w:rPr>
                <w:rFonts w:cs="Arial"/>
                <w:sz w:val="20"/>
                <w:szCs w:val="20"/>
              </w:rPr>
            </w:pPr>
            <w:r w:rsidRPr="00A06B93">
              <w:rPr>
                <w:rFonts w:cs="Arial"/>
                <w:sz w:val="20"/>
                <w:szCs w:val="20"/>
              </w:rPr>
              <w:t>SADC-FANR</w:t>
            </w:r>
          </w:p>
        </w:tc>
      </w:tr>
      <w:tr w:rsidR="003F6C09" w:rsidRPr="00A06B93" w:rsidTr="00EE3B91">
        <w:trPr>
          <w:cnfStyle w:val="000000100000"/>
        </w:trPr>
        <w:tc>
          <w:tcPr>
            <w:cnfStyle w:val="001000000000"/>
            <w:tcW w:w="2310" w:type="dxa"/>
          </w:tcPr>
          <w:p w:rsidR="003F6C09" w:rsidRPr="00A06B93" w:rsidRDefault="003F6C09" w:rsidP="00991D0E">
            <w:pPr>
              <w:rPr>
                <w:rFonts w:cs="Arial"/>
                <w:b w:val="0"/>
                <w:sz w:val="20"/>
                <w:szCs w:val="20"/>
              </w:rPr>
            </w:pPr>
            <w:r w:rsidRPr="00A06B93">
              <w:rPr>
                <w:rFonts w:cs="Arial"/>
                <w:b w:val="0"/>
                <w:sz w:val="20"/>
                <w:szCs w:val="20"/>
              </w:rPr>
              <w:t>African Development Bank</w:t>
            </w:r>
          </w:p>
          <w:p w:rsidR="003F6C09" w:rsidRPr="00A06B93" w:rsidRDefault="003F6C09" w:rsidP="00991D0E">
            <w:pPr>
              <w:rPr>
                <w:rFonts w:cs="Arial"/>
                <w:b w:val="0"/>
                <w:sz w:val="20"/>
                <w:szCs w:val="20"/>
              </w:rPr>
            </w:pPr>
            <w:r w:rsidRPr="00A06B93">
              <w:rPr>
                <w:rFonts w:cs="Arial"/>
                <w:b w:val="0"/>
                <w:sz w:val="20"/>
                <w:szCs w:val="20"/>
              </w:rPr>
              <w:t>Canada (CIDA)</w:t>
            </w:r>
          </w:p>
          <w:p w:rsidR="003F6C09" w:rsidRPr="00A06B93" w:rsidRDefault="003F6C09" w:rsidP="00991D0E">
            <w:pPr>
              <w:rPr>
                <w:rFonts w:cs="Arial"/>
                <w:b w:val="0"/>
                <w:sz w:val="20"/>
                <w:szCs w:val="20"/>
              </w:rPr>
            </w:pPr>
            <w:r w:rsidRPr="00A06B93">
              <w:rPr>
                <w:rFonts w:cs="Arial"/>
                <w:b w:val="0"/>
                <w:sz w:val="20"/>
                <w:szCs w:val="20"/>
              </w:rPr>
              <w:t>Denmark (</w:t>
            </w:r>
            <w:proofErr w:type="spellStart"/>
            <w:r w:rsidRPr="00A06B93">
              <w:rPr>
                <w:rFonts w:cs="Arial"/>
                <w:b w:val="0"/>
                <w:sz w:val="20"/>
                <w:szCs w:val="20"/>
              </w:rPr>
              <w:t>Danida</w:t>
            </w:r>
            <w:proofErr w:type="spellEnd"/>
            <w:r w:rsidRPr="00A06B93">
              <w:rPr>
                <w:rFonts w:cs="Arial"/>
                <w:b w:val="0"/>
                <w:sz w:val="20"/>
                <w:szCs w:val="20"/>
              </w:rPr>
              <w:t>)</w:t>
            </w:r>
          </w:p>
          <w:p w:rsidR="003F6C09" w:rsidRPr="00A06B93" w:rsidRDefault="003F6C09" w:rsidP="00991D0E">
            <w:pPr>
              <w:rPr>
                <w:rFonts w:cs="Arial"/>
                <w:b w:val="0"/>
                <w:sz w:val="20"/>
                <w:szCs w:val="20"/>
              </w:rPr>
            </w:pPr>
            <w:r w:rsidRPr="00A06B93">
              <w:rPr>
                <w:rFonts w:cs="Arial"/>
                <w:b w:val="0"/>
                <w:sz w:val="20"/>
                <w:szCs w:val="20"/>
              </w:rPr>
              <w:t>European Commission</w:t>
            </w:r>
          </w:p>
          <w:p w:rsidR="003F6C09" w:rsidRPr="00A06B93" w:rsidRDefault="003F6C09" w:rsidP="00991D0E">
            <w:pPr>
              <w:rPr>
                <w:rFonts w:cs="Arial"/>
                <w:b w:val="0"/>
                <w:sz w:val="20"/>
                <w:szCs w:val="20"/>
              </w:rPr>
            </w:pPr>
            <w:r w:rsidRPr="00A06B93">
              <w:rPr>
                <w:rFonts w:cs="Arial"/>
                <w:b w:val="0"/>
                <w:sz w:val="20"/>
                <w:szCs w:val="20"/>
              </w:rPr>
              <w:t>Italy</w:t>
            </w:r>
          </w:p>
          <w:p w:rsidR="003F6C09" w:rsidRPr="00A06B93" w:rsidRDefault="003F6C09" w:rsidP="00991D0E">
            <w:pPr>
              <w:rPr>
                <w:rFonts w:cs="Arial"/>
                <w:b w:val="0"/>
                <w:sz w:val="20"/>
                <w:szCs w:val="20"/>
              </w:rPr>
            </w:pPr>
            <w:r w:rsidRPr="00A06B93">
              <w:rPr>
                <w:rFonts w:cs="Arial"/>
                <w:b w:val="0"/>
                <w:sz w:val="20"/>
                <w:szCs w:val="20"/>
              </w:rPr>
              <w:t>Ireland</w:t>
            </w:r>
          </w:p>
          <w:p w:rsidR="003F6C09" w:rsidRPr="00A06B93" w:rsidRDefault="003F6C09" w:rsidP="00991D0E">
            <w:pPr>
              <w:rPr>
                <w:rFonts w:cs="Arial"/>
                <w:b w:val="0"/>
                <w:sz w:val="20"/>
                <w:szCs w:val="20"/>
              </w:rPr>
            </w:pPr>
            <w:r w:rsidRPr="00A06B93">
              <w:rPr>
                <w:rFonts w:cs="Arial"/>
                <w:b w:val="0"/>
                <w:sz w:val="20"/>
                <w:szCs w:val="20"/>
              </w:rPr>
              <w:t>Japan</w:t>
            </w:r>
          </w:p>
          <w:p w:rsidR="003F6C09" w:rsidRPr="00A06B93" w:rsidRDefault="003F6C09" w:rsidP="00991D0E">
            <w:pPr>
              <w:rPr>
                <w:rFonts w:cs="Arial"/>
                <w:b w:val="0"/>
                <w:sz w:val="20"/>
                <w:szCs w:val="20"/>
              </w:rPr>
            </w:pPr>
            <w:r w:rsidRPr="00A06B93">
              <w:rPr>
                <w:rFonts w:cs="Arial"/>
                <w:b w:val="0"/>
                <w:sz w:val="20"/>
                <w:szCs w:val="20"/>
              </w:rPr>
              <w:t>Netherlands</w:t>
            </w:r>
          </w:p>
          <w:p w:rsidR="003F6C09" w:rsidRPr="00A06B93" w:rsidRDefault="003F6C09" w:rsidP="00991D0E">
            <w:pPr>
              <w:rPr>
                <w:rFonts w:cs="Arial"/>
                <w:b w:val="0"/>
                <w:sz w:val="20"/>
                <w:szCs w:val="20"/>
              </w:rPr>
            </w:pPr>
            <w:r w:rsidRPr="00A06B93">
              <w:rPr>
                <w:rFonts w:cs="Arial"/>
                <w:b w:val="0"/>
                <w:sz w:val="20"/>
                <w:szCs w:val="20"/>
              </w:rPr>
              <w:t>United Kingdom (DFID)</w:t>
            </w:r>
          </w:p>
          <w:p w:rsidR="003F6C09" w:rsidRPr="00A06B93" w:rsidRDefault="003F6C09" w:rsidP="00991D0E">
            <w:pPr>
              <w:rPr>
                <w:rFonts w:cs="Arial"/>
                <w:b w:val="0"/>
                <w:sz w:val="20"/>
                <w:szCs w:val="20"/>
              </w:rPr>
            </w:pPr>
            <w:r w:rsidRPr="00A06B93">
              <w:rPr>
                <w:rFonts w:cs="Arial"/>
                <w:b w:val="0"/>
                <w:sz w:val="20"/>
                <w:szCs w:val="20"/>
              </w:rPr>
              <w:t>United States (USAID)</w:t>
            </w:r>
          </w:p>
        </w:tc>
        <w:tc>
          <w:tcPr>
            <w:tcW w:w="2310" w:type="dxa"/>
          </w:tcPr>
          <w:p w:rsidR="003F6C09" w:rsidRPr="00A06B93" w:rsidRDefault="003F6C09" w:rsidP="00991D0E">
            <w:pPr>
              <w:cnfStyle w:val="000000100000"/>
              <w:rPr>
                <w:rFonts w:cs="Arial"/>
                <w:sz w:val="20"/>
                <w:szCs w:val="20"/>
              </w:rPr>
            </w:pPr>
            <w:r w:rsidRPr="00A06B93">
              <w:rPr>
                <w:rFonts w:cs="Arial"/>
                <w:sz w:val="20"/>
                <w:szCs w:val="20"/>
              </w:rPr>
              <w:t>African Development Bank</w:t>
            </w:r>
          </w:p>
          <w:p w:rsidR="003F6C09" w:rsidRPr="00A06B93" w:rsidRDefault="003F6C09" w:rsidP="00991D0E">
            <w:pPr>
              <w:cnfStyle w:val="000000100000"/>
              <w:rPr>
                <w:rFonts w:cs="Arial"/>
                <w:sz w:val="20"/>
                <w:szCs w:val="20"/>
              </w:rPr>
            </w:pPr>
            <w:r w:rsidRPr="00A06B93">
              <w:rPr>
                <w:rFonts w:cs="Arial"/>
                <w:sz w:val="20"/>
                <w:szCs w:val="20"/>
              </w:rPr>
              <w:t>Canada (CIDA/IDRC)</w:t>
            </w:r>
          </w:p>
          <w:p w:rsidR="003F6C09" w:rsidRPr="00A06B93" w:rsidRDefault="003F6C09" w:rsidP="00991D0E">
            <w:pPr>
              <w:cnfStyle w:val="000000100000"/>
              <w:rPr>
                <w:rFonts w:cs="Arial"/>
                <w:sz w:val="20"/>
                <w:szCs w:val="20"/>
              </w:rPr>
            </w:pPr>
            <w:r w:rsidRPr="00A06B93">
              <w:rPr>
                <w:rFonts w:cs="Arial"/>
                <w:sz w:val="20"/>
                <w:szCs w:val="20"/>
              </w:rPr>
              <w:t>European Commission</w:t>
            </w:r>
          </w:p>
          <w:p w:rsidR="003F6C09" w:rsidRPr="00EA1632" w:rsidRDefault="003F6C09" w:rsidP="00991D0E">
            <w:pPr>
              <w:cnfStyle w:val="000000100000"/>
              <w:rPr>
                <w:rFonts w:cs="Arial"/>
                <w:sz w:val="20"/>
                <w:szCs w:val="20"/>
                <w:lang w:val="de-DE"/>
              </w:rPr>
            </w:pPr>
            <w:r w:rsidRPr="00EA1632">
              <w:rPr>
                <w:rFonts w:cs="Arial"/>
                <w:sz w:val="20"/>
                <w:szCs w:val="20"/>
                <w:lang w:val="de-DE"/>
              </w:rPr>
              <w:t>IFAD</w:t>
            </w:r>
          </w:p>
          <w:p w:rsidR="003F6C09" w:rsidRPr="00EA1632" w:rsidRDefault="003F6C09" w:rsidP="00991D0E">
            <w:pPr>
              <w:cnfStyle w:val="000000100000"/>
              <w:rPr>
                <w:rFonts w:cs="Arial"/>
                <w:sz w:val="20"/>
                <w:szCs w:val="20"/>
                <w:lang w:val="de-DE"/>
              </w:rPr>
            </w:pPr>
            <w:r w:rsidRPr="00EA1632">
              <w:rPr>
                <w:rFonts w:cs="Arial"/>
                <w:sz w:val="20"/>
                <w:szCs w:val="20"/>
                <w:lang w:val="de-DE"/>
              </w:rPr>
              <w:t>Sweden (Sida)</w:t>
            </w:r>
          </w:p>
          <w:p w:rsidR="003F6C09" w:rsidRPr="00EA1632" w:rsidRDefault="003F6C09" w:rsidP="00991D0E">
            <w:pPr>
              <w:cnfStyle w:val="000000100000"/>
              <w:rPr>
                <w:rFonts w:cs="Arial"/>
                <w:sz w:val="20"/>
                <w:szCs w:val="20"/>
                <w:lang w:val="de-DE"/>
              </w:rPr>
            </w:pPr>
            <w:r w:rsidRPr="00EA1632">
              <w:rPr>
                <w:rFonts w:cs="Arial"/>
                <w:sz w:val="20"/>
                <w:szCs w:val="20"/>
                <w:lang w:val="de-DE"/>
              </w:rPr>
              <w:t>Switzerland (SDC)</w:t>
            </w:r>
          </w:p>
          <w:p w:rsidR="003F6C09" w:rsidRPr="00A06B93" w:rsidRDefault="003F6C09" w:rsidP="00991D0E">
            <w:pPr>
              <w:cnfStyle w:val="000000100000"/>
              <w:rPr>
                <w:rFonts w:cs="Arial"/>
                <w:sz w:val="20"/>
                <w:szCs w:val="20"/>
              </w:rPr>
            </w:pPr>
            <w:r w:rsidRPr="00A06B93">
              <w:rPr>
                <w:rFonts w:cs="Arial"/>
                <w:sz w:val="20"/>
                <w:szCs w:val="20"/>
              </w:rPr>
              <w:t>United Kingdom (DFID)</w:t>
            </w:r>
          </w:p>
          <w:p w:rsidR="003F6C09" w:rsidRPr="00A06B93" w:rsidRDefault="003F6C09" w:rsidP="00991D0E">
            <w:pPr>
              <w:cnfStyle w:val="000000100000"/>
              <w:rPr>
                <w:rFonts w:cs="Arial"/>
                <w:sz w:val="20"/>
                <w:szCs w:val="20"/>
              </w:rPr>
            </w:pPr>
            <w:r w:rsidRPr="00A06B93">
              <w:rPr>
                <w:rFonts w:cs="Arial"/>
                <w:sz w:val="20"/>
                <w:szCs w:val="20"/>
              </w:rPr>
              <w:t>United States (USAID)</w:t>
            </w:r>
          </w:p>
        </w:tc>
        <w:tc>
          <w:tcPr>
            <w:tcW w:w="2311" w:type="dxa"/>
          </w:tcPr>
          <w:p w:rsidR="003F6C09" w:rsidRPr="00A06B93" w:rsidRDefault="003F6C09" w:rsidP="00991D0E">
            <w:pPr>
              <w:cnfStyle w:val="000000100000"/>
              <w:rPr>
                <w:rFonts w:cs="Arial"/>
                <w:sz w:val="20"/>
                <w:szCs w:val="20"/>
              </w:rPr>
            </w:pPr>
            <w:r w:rsidRPr="00A06B93">
              <w:rPr>
                <w:rFonts w:cs="Arial"/>
                <w:sz w:val="20"/>
                <w:szCs w:val="20"/>
              </w:rPr>
              <w:t>African Development Bank</w:t>
            </w:r>
          </w:p>
          <w:p w:rsidR="003F6C09" w:rsidRPr="00A06B93" w:rsidRDefault="003F6C09" w:rsidP="00991D0E">
            <w:pPr>
              <w:cnfStyle w:val="000000100000"/>
              <w:rPr>
                <w:rFonts w:cs="Arial"/>
                <w:sz w:val="20"/>
                <w:szCs w:val="20"/>
              </w:rPr>
            </w:pPr>
            <w:r w:rsidRPr="00A06B93">
              <w:rPr>
                <w:rFonts w:cs="Arial"/>
                <w:sz w:val="20"/>
                <w:szCs w:val="20"/>
              </w:rPr>
              <w:t>Australia (</w:t>
            </w:r>
            <w:proofErr w:type="spellStart"/>
            <w:r w:rsidRPr="00A06B93">
              <w:rPr>
                <w:rFonts w:cs="Arial"/>
                <w:sz w:val="20"/>
                <w:szCs w:val="20"/>
              </w:rPr>
              <w:t>AusAID</w:t>
            </w:r>
            <w:proofErr w:type="spellEnd"/>
            <w:r w:rsidRPr="00A06B93">
              <w:rPr>
                <w:rFonts w:cs="Arial"/>
                <w:sz w:val="20"/>
                <w:szCs w:val="20"/>
              </w:rPr>
              <w:t>)</w:t>
            </w:r>
          </w:p>
          <w:p w:rsidR="003F6C09" w:rsidRPr="00EA1632" w:rsidRDefault="003F6C09" w:rsidP="00991D0E">
            <w:pPr>
              <w:cnfStyle w:val="000000100000"/>
              <w:rPr>
                <w:rFonts w:cs="Arial"/>
                <w:sz w:val="20"/>
                <w:szCs w:val="20"/>
                <w:lang w:val="it-IT"/>
              </w:rPr>
            </w:pPr>
            <w:r w:rsidRPr="00EA1632">
              <w:rPr>
                <w:rFonts w:cs="Arial"/>
                <w:sz w:val="20"/>
                <w:szCs w:val="20"/>
                <w:lang w:val="it-IT"/>
              </w:rPr>
              <w:t>Canada (CIDA/IDRC)</w:t>
            </w:r>
          </w:p>
          <w:p w:rsidR="003F6C09" w:rsidRPr="00EA1632" w:rsidRDefault="003F6C09" w:rsidP="00991D0E">
            <w:pPr>
              <w:cnfStyle w:val="000000100000"/>
              <w:rPr>
                <w:rFonts w:cs="Arial"/>
                <w:sz w:val="20"/>
                <w:szCs w:val="20"/>
                <w:lang w:val="it-IT"/>
              </w:rPr>
            </w:pPr>
            <w:r w:rsidRPr="00EA1632">
              <w:rPr>
                <w:rFonts w:cs="Arial"/>
                <w:sz w:val="20"/>
                <w:szCs w:val="20"/>
                <w:lang w:val="it-IT"/>
              </w:rPr>
              <w:t>European Commission</w:t>
            </w:r>
          </w:p>
          <w:p w:rsidR="003F6C09" w:rsidRPr="00EA1632" w:rsidRDefault="003F6C09" w:rsidP="00991D0E">
            <w:pPr>
              <w:cnfStyle w:val="000000100000"/>
              <w:rPr>
                <w:rFonts w:cs="Arial"/>
                <w:sz w:val="20"/>
                <w:szCs w:val="20"/>
                <w:lang w:val="it-IT"/>
              </w:rPr>
            </w:pPr>
            <w:r w:rsidRPr="00EA1632">
              <w:rPr>
                <w:rFonts w:cs="Arial"/>
                <w:sz w:val="20"/>
                <w:szCs w:val="20"/>
                <w:lang w:val="it-IT"/>
              </w:rPr>
              <w:t>France</w:t>
            </w:r>
          </w:p>
          <w:p w:rsidR="003F6C09" w:rsidRPr="00A06B93" w:rsidRDefault="003F6C09" w:rsidP="00991D0E">
            <w:pPr>
              <w:cnfStyle w:val="000000100000"/>
              <w:rPr>
                <w:rFonts w:cs="Arial"/>
                <w:sz w:val="20"/>
                <w:szCs w:val="20"/>
              </w:rPr>
            </w:pPr>
            <w:r w:rsidRPr="00A06B93">
              <w:rPr>
                <w:rFonts w:cs="Arial"/>
                <w:sz w:val="20"/>
                <w:szCs w:val="20"/>
              </w:rPr>
              <w:t>United Kingdom (DFID)</w:t>
            </w:r>
          </w:p>
          <w:p w:rsidR="003F6C09" w:rsidRPr="00A06B93" w:rsidRDefault="003F6C09" w:rsidP="00991D0E">
            <w:pPr>
              <w:cnfStyle w:val="000000100000"/>
              <w:rPr>
                <w:rFonts w:cs="Arial"/>
                <w:sz w:val="20"/>
                <w:szCs w:val="20"/>
              </w:rPr>
            </w:pPr>
            <w:r w:rsidRPr="00A06B93">
              <w:rPr>
                <w:rFonts w:cs="Arial"/>
                <w:sz w:val="20"/>
                <w:szCs w:val="20"/>
              </w:rPr>
              <w:t>United States (USAID)</w:t>
            </w:r>
          </w:p>
        </w:tc>
        <w:tc>
          <w:tcPr>
            <w:tcW w:w="2311" w:type="dxa"/>
          </w:tcPr>
          <w:p w:rsidR="003F6C09" w:rsidRPr="00A06B93" w:rsidRDefault="003F6C09" w:rsidP="00991D0E">
            <w:pPr>
              <w:cnfStyle w:val="000000100000"/>
              <w:rPr>
                <w:rFonts w:cs="Arial"/>
                <w:sz w:val="20"/>
                <w:szCs w:val="20"/>
              </w:rPr>
            </w:pPr>
            <w:r w:rsidRPr="00A06B93">
              <w:rPr>
                <w:rFonts w:cs="Arial"/>
                <w:sz w:val="20"/>
                <w:szCs w:val="20"/>
              </w:rPr>
              <w:t>African Development Bank</w:t>
            </w:r>
          </w:p>
          <w:p w:rsidR="003F6C09" w:rsidRPr="00A06B93" w:rsidRDefault="003F6C09" w:rsidP="00991D0E">
            <w:pPr>
              <w:cnfStyle w:val="000000100000"/>
              <w:rPr>
                <w:rFonts w:cs="Arial"/>
                <w:sz w:val="20"/>
                <w:szCs w:val="20"/>
              </w:rPr>
            </w:pPr>
            <w:r w:rsidRPr="00A06B93">
              <w:rPr>
                <w:rFonts w:cs="Arial"/>
                <w:sz w:val="20"/>
                <w:szCs w:val="20"/>
              </w:rPr>
              <w:t>European Commission</w:t>
            </w:r>
          </w:p>
          <w:p w:rsidR="003F6C09" w:rsidRPr="00A06B93" w:rsidRDefault="003F6C09" w:rsidP="00991D0E">
            <w:pPr>
              <w:cnfStyle w:val="000000100000"/>
              <w:rPr>
                <w:rFonts w:cs="Arial"/>
                <w:sz w:val="20"/>
                <w:szCs w:val="20"/>
              </w:rPr>
            </w:pPr>
            <w:r w:rsidRPr="00A06B93">
              <w:rPr>
                <w:rFonts w:cs="Arial"/>
                <w:sz w:val="20"/>
                <w:szCs w:val="20"/>
              </w:rPr>
              <w:t>France</w:t>
            </w:r>
          </w:p>
          <w:p w:rsidR="003F6C09" w:rsidRPr="00A06B93" w:rsidRDefault="003F6C09" w:rsidP="00991D0E">
            <w:pPr>
              <w:cnfStyle w:val="000000100000"/>
              <w:rPr>
                <w:rFonts w:cs="Arial"/>
                <w:sz w:val="20"/>
                <w:szCs w:val="20"/>
              </w:rPr>
            </w:pPr>
            <w:r w:rsidRPr="00A06B93">
              <w:rPr>
                <w:rFonts w:cs="Arial"/>
                <w:sz w:val="20"/>
                <w:szCs w:val="20"/>
              </w:rPr>
              <w:t>United Kingdom (DFID)</w:t>
            </w:r>
          </w:p>
          <w:p w:rsidR="003F6C09" w:rsidRPr="00A06B93" w:rsidRDefault="003F6C09" w:rsidP="00991D0E">
            <w:pPr>
              <w:cnfStyle w:val="000000100000"/>
              <w:rPr>
                <w:rFonts w:cs="Arial"/>
                <w:sz w:val="20"/>
                <w:szCs w:val="20"/>
              </w:rPr>
            </w:pPr>
            <w:r w:rsidRPr="00A06B93">
              <w:rPr>
                <w:rFonts w:cs="Arial"/>
                <w:sz w:val="20"/>
                <w:szCs w:val="20"/>
              </w:rPr>
              <w:t>United States (USAID)</w:t>
            </w:r>
          </w:p>
        </w:tc>
      </w:tr>
    </w:tbl>
    <w:p w:rsidR="003F6C09" w:rsidRPr="00A06B93" w:rsidRDefault="003F6C09" w:rsidP="003F6C09">
      <w:pPr>
        <w:spacing w:after="120"/>
        <w:jc w:val="center"/>
        <w:rPr>
          <w:rFonts w:asciiTheme="minorHAnsi" w:hAnsiTheme="minorHAnsi" w:cs="Arial"/>
          <w:b/>
        </w:rPr>
      </w:pPr>
    </w:p>
    <w:p w:rsidR="003F6C09" w:rsidRPr="00A06B93" w:rsidRDefault="003F6C09" w:rsidP="00A06B93">
      <w:pPr>
        <w:spacing w:after="120" w:line="276" w:lineRule="auto"/>
        <w:jc w:val="both"/>
        <w:rPr>
          <w:rFonts w:asciiTheme="minorHAnsi" w:hAnsiTheme="minorHAnsi" w:cs="Arial"/>
          <w:sz w:val="22"/>
          <w:szCs w:val="22"/>
        </w:rPr>
      </w:pPr>
      <w:r w:rsidRPr="00A06B93">
        <w:rPr>
          <w:rFonts w:asciiTheme="minorHAnsi" w:hAnsiTheme="minorHAnsi" w:cs="Arial"/>
          <w:sz w:val="22"/>
          <w:szCs w:val="22"/>
        </w:rPr>
        <w:t xml:space="preserve">The mapping of support to Pillar 4 also revealed the importance of multilateral donors and agencies, the most important being the </w:t>
      </w:r>
      <w:r w:rsidRPr="00A06B93">
        <w:rPr>
          <w:rFonts w:asciiTheme="minorHAnsi" w:hAnsiTheme="minorHAnsi" w:cs="Arial"/>
          <w:b/>
          <w:sz w:val="22"/>
          <w:szCs w:val="22"/>
        </w:rPr>
        <w:t>World Bank’s FARA Trust Fund (2009-2013), worth USD 50 million</w:t>
      </w:r>
      <w:r w:rsidRPr="00A06B93">
        <w:rPr>
          <w:rFonts w:asciiTheme="minorHAnsi" w:hAnsiTheme="minorHAnsi" w:cs="Arial"/>
          <w:sz w:val="22"/>
          <w:szCs w:val="22"/>
        </w:rPr>
        <w:t>.</w:t>
      </w:r>
      <w:r w:rsidRPr="00A06B93">
        <w:rPr>
          <w:rStyle w:val="FootnoteReference"/>
          <w:rFonts w:asciiTheme="minorHAnsi" w:hAnsiTheme="minorHAnsi" w:cs="Arial"/>
          <w:sz w:val="22"/>
          <w:szCs w:val="22"/>
        </w:rPr>
        <w:footnoteReference w:id="122"/>
      </w:r>
      <w:r w:rsidRPr="00A06B93">
        <w:rPr>
          <w:rFonts w:asciiTheme="minorHAnsi" w:hAnsiTheme="minorHAnsi" w:cs="Arial"/>
          <w:sz w:val="22"/>
          <w:szCs w:val="22"/>
        </w:rPr>
        <w:t xml:space="preserve">  </w:t>
      </w:r>
      <w:r w:rsidRPr="00A06B93">
        <w:rPr>
          <w:rFonts w:asciiTheme="minorHAnsi" w:hAnsiTheme="minorHAnsi" w:cs="Arial"/>
          <w:sz w:val="22"/>
          <w:szCs w:val="22"/>
        </w:rPr>
        <w:lastRenderedPageBreak/>
        <w:t xml:space="preserve">The Bank </w:t>
      </w:r>
      <w:r w:rsidR="008546C6">
        <w:rPr>
          <w:rFonts w:asciiTheme="minorHAnsi" w:hAnsiTheme="minorHAnsi" w:cs="Arial"/>
          <w:sz w:val="22"/>
          <w:szCs w:val="22"/>
        </w:rPr>
        <w:t>and other donors also provide</w:t>
      </w:r>
      <w:r w:rsidRPr="00A06B93">
        <w:rPr>
          <w:rFonts w:asciiTheme="minorHAnsi" w:hAnsiTheme="minorHAnsi" w:cs="Arial"/>
          <w:sz w:val="22"/>
          <w:szCs w:val="22"/>
        </w:rPr>
        <w:t xml:space="preserve"> funding support to the SROs for agricultural productivity programmes:</w:t>
      </w:r>
    </w:p>
    <w:p w:rsidR="003F6C09" w:rsidRPr="00F42A97" w:rsidRDefault="00F42A97" w:rsidP="00F42A97">
      <w:pPr>
        <w:pStyle w:val="ListParagraph"/>
        <w:numPr>
          <w:ilvl w:val="0"/>
          <w:numId w:val="15"/>
        </w:numPr>
      </w:pPr>
      <w:r w:rsidRPr="00F42A97">
        <w:t xml:space="preserve">Association for Strengthening Agricultural Research in Eastern and Central Africa </w:t>
      </w:r>
      <w:r>
        <w:t>(</w:t>
      </w:r>
      <w:r w:rsidR="003F6C09" w:rsidRPr="00F42A97">
        <w:rPr>
          <w:rFonts w:cs="Arial"/>
        </w:rPr>
        <w:t>ASARECA</w:t>
      </w:r>
      <w:r>
        <w:rPr>
          <w:rFonts w:cs="Arial"/>
        </w:rPr>
        <w:t>)</w:t>
      </w:r>
      <w:r w:rsidR="003F6C09" w:rsidRPr="00F42A97">
        <w:rPr>
          <w:rFonts w:cs="Arial"/>
        </w:rPr>
        <w:t xml:space="preserve"> for the Eastern Africa Agriculture Productivity Program (EAPP)</w:t>
      </w:r>
      <w:r w:rsidR="003F6C09" w:rsidRPr="00A06B93">
        <w:rPr>
          <w:rStyle w:val="FootnoteReference"/>
          <w:rFonts w:cs="Arial"/>
        </w:rPr>
        <w:footnoteReference w:id="123"/>
      </w:r>
      <w:r w:rsidR="003F6C09" w:rsidRPr="00F42A97">
        <w:rPr>
          <w:rFonts w:cs="Arial"/>
        </w:rPr>
        <w:t xml:space="preserve"> – USD 90 million from 2009 to 2015); and </w:t>
      </w:r>
    </w:p>
    <w:p w:rsidR="003F6C09" w:rsidRPr="00A06B93" w:rsidRDefault="00F221C3" w:rsidP="007770A6">
      <w:pPr>
        <w:pStyle w:val="ListParagraph"/>
        <w:numPr>
          <w:ilvl w:val="0"/>
          <w:numId w:val="15"/>
        </w:numPr>
        <w:spacing w:after="120"/>
        <w:jc w:val="both"/>
        <w:rPr>
          <w:rFonts w:cs="Arial"/>
        </w:rPr>
      </w:pPr>
      <w:r w:rsidRPr="00F221C3">
        <w:rPr>
          <w:rFonts w:cs="Arial"/>
          <w:shd w:val="clear" w:color="auto" w:fill="FFFFFF"/>
        </w:rPr>
        <w:t>West and Central African Council for Research and Development</w:t>
      </w:r>
      <w:r w:rsidRPr="00F221C3">
        <w:rPr>
          <w:rStyle w:val="apple-converted-space"/>
          <w:rFonts w:ascii="Arial" w:hAnsi="Arial" w:cs="Arial"/>
          <w:shd w:val="clear" w:color="auto" w:fill="FFFFFF"/>
        </w:rPr>
        <w:t> </w:t>
      </w:r>
      <w:r>
        <w:rPr>
          <w:rFonts w:cs="Arial"/>
        </w:rPr>
        <w:t>(</w:t>
      </w:r>
      <w:r w:rsidR="003F6C09" w:rsidRPr="00A06B93">
        <w:rPr>
          <w:rFonts w:cs="Arial"/>
        </w:rPr>
        <w:t>CORAF/WECARD</w:t>
      </w:r>
      <w:r>
        <w:rPr>
          <w:rFonts w:cs="Arial"/>
        </w:rPr>
        <w:t>)</w:t>
      </w:r>
      <w:r w:rsidR="003F6C09" w:rsidRPr="00A06B93">
        <w:rPr>
          <w:rFonts w:cs="Arial"/>
        </w:rPr>
        <w:t xml:space="preserve"> for the West Africa Agricultural Productivity Program (WAAPP)</w:t>
      </w:r>
      <w:r w:rsidR="003F6C09" w:rsidRPr="00A06B93">
        <w:rPr>
          <w:rStyle w:val="FootnoteReference"/>
          <w:rFonts w:cs="Arial"/>
        </w:rPr>
        <w:footnoteReference w:id="124"/>
      </w:r>
      <w:r w:rsidR="003F6C09" w:rsidRPr="00A06B93">
        <w:rPr>
          <w:rFonts w:cs="Arial"/>
        </w:rPr>
        <w:t xml:space="preserve"> – USD 51 million from 2007 to 2013).  </w:t>
      </w:r>
    </w:p>
    <w:p w:rsidR="003F6C09" w:rsidRPr="00A06B93" w:rsidRDefault="003F6C09" w:rsidP="00A06B93">
      <w:pPr>
        <w:spacing w:after="120" w:line="276" w:lineRule="auto"/>
        <w:jc w:val="both"/>
        <w:rPr>
          <w:rFonts w:asciiTheme="minorHAnsi" w:hAnsiTheme="minorHAnsi" w:cs="Arial"/>
          <w:sz w:val="22"/>
          <w:szCs w:val="22"/>
        </w:rPr>
      </w:pPr>
      <w:r w:rsidRPr="00A06B93">
        <w:rPr>
          <w:rFonts w:asciiTheme="minorHAnsi" w:hAnsiTheme="minorHAnsi"/>
          <w:sz w:val="22"/>
          <w:szCs w:val="22"/>
        </w:rPr>
        <w:t xml:space="preserve">There is also multiple donor funding to Pillar 4 through </w:t>
      </w:r>
      <w:r w:rsidRPr="00A06B93">
        <w:rPr>
          <w:rFonts w:asciiTheme="minorHAnsi" w:hAnsiTheme="minorHAnsi"/>
          <w:b/>
          <w:sz w:val="22"/>
          <w:szCs w:val="22"/>
        </w:rPr>
        <w:t>World Bank managed MDTFs with ASARECA (USD 50 million for 2008-2013) and CORAF/WECARD (USD 34.6 million for 2011-2016).</w:t>
      </w:r>
      <w:r w:rsidRPr="00A06B93">
        <w:rPr>
          <w:rFonts w:asciiTheme="minorHAnsi" w:hAnsiTheme="minorHAnsi"/>
          <w:sz w:val="22"/>
          <w:szCs w:val="22"/>
        </w:rPr>
        <w:t xml:space="preserve"> </w:t>
      </w:r>
      <w:r w:rsidRPr="00A06B93">
        <w:rPr>
          <w:rFonts w:asciiTheme="minorHAnsi" w:hAnsiTheme="minorHAnsi" w:cs="Arial"/>
          <w:sz w:val="22"/>
          <w:szCs w:val="22"/>
        </w:rPr>
        <w:t xml:space="preserve">The study also identified </w:t>
      </w:r>
      <w:r w:rsidRPr="00A06B93">
        <w:rPr>
          <w:rFonts w:asciiTheme="minorHAnsi" w:hAnsiTheme="minorHAnsi" w:cs="Arial"/>
          <w:b/>
          <w:sz w:val="22"/>
          <w:szCs w:val="22"/>
        </w:rPr>
        <w:t xml:space="preserve">considerable financial support from </w:t>
      </w:r>
      <w:proofErr w:type="spellStart"/>
      <w:r w:rsidRPr="00A06B93">
        <w:rPr>
          <w:rFonts w:asciiTheme="minorHAnsi" w:hAnsiTheme="minorHAnsi" w:cs="Arial"/>
          <w:b/>
          <w:sz w:val="22"/>
          <w:szCs w:val="22"/>
        </w:rPr>
        <w:t>AfDB</w:t>
      </w:r>
      <w:proofErr w:type="spellEnd"/>
      <w:r w:rsidRPr="00A06B93">
        <w:rPr>
          <w:rFonts w:asciiTheme="minorHAnsi" w:hAnsiTheme="minorHAnsi" w:cs="Arial"/>
          <w:b/>
          <w:sz w:val="22"/>
          <w:szCs w:val="22"/>
        </w:rPr>
        <w:t xml:space="preserve"> to FARA and the SROs, AFIFAD to ASAREC, IDRC to CORAAF, and ECOWAS/COMESA to ASAREC and COREF.</w:t>
      </w:r>
      <w:r w:rsidRPr="00A06B93">
        <w:rPr>
          <w:rFonts w:asciiTheme="minorHAnsi" w:hAnsiTheme="minorHAnsi" w:cs="Arial"/>
          <w:sz w:val="22"/>
          <w:szCs w:val="22"/>
        </w:rPr>
        <w:t xml:space="preserve">  </w:t>
      </w:r>
    </w:p>
    <w:p w:rsidR="003F6C09" w:rsidRPr="00A06B93" w:rsidRDefault="003F6C09" w:rsidP="00A06B93">
      <w:pPr>
        <w:spacing w:after="120" w:line="276" w:lineRule="auto"/>
        <w:jc w:val="both"/>
        <w:rPr>
          <w:rFonts w:asciiTheme="minorHAnsi" w:hAnsiTheme="minorHAnsi" w:cs="Arial"/>
          <w:sz w:val="22"/>
          <w:szCs w:val="22"/>
        </w:rPr>
      </w:pPr>
      <w:r w:rsidRPr="00A06B93">
        <w:rPr>
          <w:rFonts w:asciiTheme="minorHAnsi" w:hAnsiTheme="minorHAnsi" w:cs="Arial"/>
          <w:sz w:val="22"/>
          <w:szCs w:val="22"/>
        </w:rPr>
        <w:t>A further USD 46M goes to programmes which are not implemented by the mandated agencies but which are aligned with Pillar 4 (i.e. ‘non-CAADP P4 aligned’).  Programmes supporting the other CAADP Pillars include ARD components with an estimated value of US</w:t>
      </w:r>
      <w:r w:rsidR="00991D0E">
        <w:rPr>
          <w:rFonts w:asciiTheme="minorHAnsi" w:hAnsiTheme="minorHAnsi" w:cs="Arial"/>
          <w:sz w:val="22"/>
          <w:szCs w:val="22"/>
        </w:rPr>
        <w:t>D</w:t>
      </w:r>
      <w:r w:rsidRPr="00A06B93">
        <w:rPr>
          <w:rFonts w:asciiTheme="minorHAnsi" w:hAnsiTheme="minorHAnsi" w:cs="Arial"/>
          <w:sz w:val="22"/>
          <w:szCs w:val="22"/>
        </w:rPr>
        <w:t xml:space="preserve"> 19M </w:t>
      </w:r>
      <w:r w:rsidR="00991D0E">
        <w:rPr>
          <w:rFonts w:asciiTheme="minorHAnsi" w:hAnsiTheme="minorHAnsi" w:cs="Arial"/>
          <w:sz w:val="22"/>
          <w:szCs w:val="22"/>
        </w:rPr>
        <w:t xml:space="preserve">per year </w:t>
      </w:r>
      <w:r w:rsidRPr="00A06B93">
        <w:rPr>
          <w:rFonts w:asciiTheme="minorHAnsi" w:hAnsiTheme="minorHAnsi" w:cs="Arial"/>
          <w:sz w:val="22"/>
          <w:szCs w:val="22"/>
        </w:rPr>
        <w:t xml:space="preserve">(‘NEPAD/CAADP P 1-3’). This gives a total of </w:t>
      </w:r>
      <w:r w:rsidR="00991D0E">
        <w:rPr>
          <w:rFonts w:asciiTheme="minorHAnsi" w:hAnsiTheme="minorHAnsi" w:cs="Arial"/>
          <w:sz w:val="22"/>
          <w:szCs w:val="22"/>
        </w:rPr>
        <w:t>approximately</w:t>
      </w:r>
      <w:r w:rsidRPr="00A06B93">
        <w:rPr>
          <w:rFonts w:asciiTheme="minorHAnsi" w:hAnsiTheme="minorHAnsi" w:cs="Arial"/>
          <w:sz w:val="22"/>
          <w:szCs w:val="22"/>
        </w:rPr>
        <w:t xml:space="preserve"> US</w:t>
      </w:r>
      <w:r w:rsidR="00991D0E">
        <w:rPr>
          <w:rFonts w:asciiTheme="minorHAnsi" w:hAnsiTheme="minorHAnsi" w:cs="Arial"/>
          <w:sz w:val="22"/>
          <w:szCs w:val="22"/>
        </w:rPr>
        <w:t>D</w:t>
      </w:r>
      <w:r w:rsidRPr="00A06B93">
        <w:rPr>
          <w:rFonts w:asciiTheme="minorHAnsi" w:hAnsiTheme="minorHAnsi" w:cs="Arial"/>
          <w:sz w:val="22"/>
          <w:szCs w:val="22"/>
        </w:rPr>
        <w:t xml:space="preserve"> 111</w:t>
      </w:r>
      <w:r w:rsidR="00991D0E">
        <w:rPr>
          <w:rFonts w:asciiTheme="minorHAnsi" w:hAnsiTheme="minorHAnsi" w:cs="Arial"/>
          <w:sz w:val="22"/>
          <w:szCs w:val="22"/>
        </w:rPr>
        <w:t xml:space="preserve"> million per year </w:t>
      </w:r>
      <w:r w:rsidRPr="00A06B93">
        <w:rPr>
          <w:rFonts w:asciiTheme="minorHAnsi" w:hAnsiTheme="minorHAnsi" w:cs="Arial"/>
          <w:sz w:val="22"/>
          <w:szCs w:val="22"/>
        </w:rPr>
        <w:t xml:space="preserve">for donor support to CAADP-related ARD.  More broadly, there are a range of new donors and agencies playing an important role in ARD in sub-Saharan Africa, such as the </w:t>
      </w:r>
      <w:r w:rsidRPr="00A06B93">
        <w:rPr>
          <w:rFonts w:asciiTheme="minorHAnsi" w:hAnsiTheme="minorHAnsi" w:cs="Arial"/>
          <w:b/>
          <w:sz w:val="22"/>
          <w:szCs w:val="22"/>
        </w:rPr>
        <w:t>Bill and Melinda Gates Foundation, AGRA, China, India and Brazil</w:t>
      </w:r>
      <w:r w:rsidRPr="00A06B93">
        <w:rPr>
          <w:rFonts w:asciiTheme="minorHAnsi" w:hAnsiTheme="minorHAnsi" w:cs="Arial"/>
          <w:sz w:val="22"/>
          <w:szCs w:val="22"/>
        </w:rPr>
        <w:t xml:space="preserve">.    </w:t>
      </w:r>
    </w:p>
    <w:p w:rsidR="003F6C09" w:rsidRDefault="003F6C09" w:rsidP="003F6C09">
      <w:pPr>
        <w:spacing w:after="120"/>
        <w:jc w:val="both"/>
      </w:pPr>
    </w:p>
    <w:p w:rsidR="003F6C09" w:rsidRDefault="003F6C09" w:rsidP="003F6C09">
      <w:pPr>
        <w:autoSpaceDE w:val="0"/>
        <w:autoSpaceDN w:val="0"/>
        <w:adjustRightInd w:val="0"/>
        <w:rPr>
          <w:rFonts w:cs="Arial"/>
          <w:b/>
          <w:color w:val="1F497D" w:themeColor="text2"/>
        </w:rPr>
      </w:pPr>
    </w:p>
    <w:p w:rsidR="003F6C09" w:rsidRDefault="003F6C09" w:rsidP="003F6C09">
      <w:pPr>
        <w:pStyle w:val="Default"/>
      </w:pPr>
    </w:p>
    <w:p w:rsidR="003F6C09" w:rsidRDefault="003F6C09" w:rsidP="003F6C09">
      <w:pPr>
        <w:shd w:val="clear" w:color="auto" w:fill="FFFFFF"/>
        <w:spacing w:before="30" w:after="100" w:afterAutospacing="1" w:line="285" w:lineRule="atLeast"/>
        <w:rPr>
          <w:rFonts w:ascii="Calibri" w:hAnsi="Calibri" w:cs="Calibri"/>
          <w:color w:val="000000"/>
        </w:rPr>
      </w:pPr>
    </w:p>
    <w:p w:rsidR="003F6C09" w:rsidRPr="00587203" w:rsidRDefault="003F6C09" w:rsidP="003F6C09">
      <w:pPr>
        <w:jc w:val="center"/>
        <w:rPr>
          <w:rFonts w:asciiTheme="minorHAnsi" w:hAnsiTheme="minorHAnsi" w:cs="Arial"/>
          <w:b/>
          <w:color w:val="1F497D" w:themeColor="text2"/>
          <w:sz w:val="20"/>
        </w:rPr>
      </w:pPr>
      <w:r>
        <w:rPr>
          <w:rFonts w:ascii="Calibri" w:hAnsi="Calibri" w:cs="Calibri"/>
          <w:color w:val="000000"/>
        </w:rPr>
        <w:br w:type="page"/>
      </w:r>
      <w:r w:rsidRPr="00587203">
        <w:rPr>
          <w:rFonts w:asciiTheme="minorHAnsi" w:hAnsiTheme="minorHAnsi" w:cs="Arial"/>
          <w:b/>
          <w:color w:val="1F497D" w:themeColor="text2"/>
          <w:sz w:val="28"/>
          <w:szCs w:val="28"/>
        </w:rPr>
        <w:lastRenderedPageBreak/>
        <w:t>SECTION 4: EFFECTIVENESS OF CAADP IN ‘UNLOCKING’ INVESTMENT</w:t>
      </w:r>
    </w:p>
    <w:p w:rsidR="00587203" w:rsidRDefault="00587203" w:rsidP="003F6C09">
      <w:pPr>
        <w:autoSpaceDE w:val="0"/>
        <w:autoSpaceDN w:val="0"/>
        <w:adjustRightInd w:val="0"/>
        <w:rPr>
          <w:rFonts w:asciiTheme="minorHAnsi" w:hAnsiTheme="minorHAnsi" w:cs="Arial"/>
          <w:b/>
          <w:color w:val="1F497D" w:themeColor="text2"/>
          <w:szCs w:val="24"/>
        </w:rPr>
      </w:pPr>
    </w:p>
    <w:p w:rsidR="005520E0" w:rsidRDefault="005520E0" w:rsidP="005520E0">
      <w:pPr>
        <w:autoSpaceDE w:val="0"/>
        <w:autoSpaceDN w:val="0"/>
        <w:adjustRightInd w:val="0"/>
        <w:rPr>
          <w:rFonts w:asciiTheme="minorHAnsi" w:hAnsiTheme="minorHAnsi" w:cs="Arial"/>
          <w:b/>
          <w:color w:val="1F497D" w:themeColor="text2"/>
          <w:szCs w:val="24"/>
        </w:rPr>
      </w:pPr>
      <w:r w:rsidRPr="00587203">
        <w:rPr>
          <w:rFonts w:asciiTheme="minorHAnsi" w:hAnsiTheme="minorHAnsi" w:cs="Arial"/>
          <w:b/>
          <w:color w:val="1F497D" w:themeColor="text2"/>
          <w:szCs w:val="24"/>
        </w:rPr>
        <w:t>4.1</w:t>
      </w:r>
      <w:r w:rsidRPr="00587203">
        <w:rPr>
          <w:rFonts w:asciiTheme="minorHAnsi" w:hAnsiTheme="minorHAnsi" w:cs="Arial"/>
          <w:b/>
          <w:color w:val="1F497D" w:themeColor="text2"/>
          <w:szCs w:val="24"/>
        </w:rPr>
        <w:tab/>
      </w:r>
      <w:r>
        <w:rPr>
          <w:rFonts w:asciiTheme="minorHAnsi" w:hAnsiTheme="minorHAnsi" w:cs="Arial"/>
          <w:b/>
          <w:color w:val="1F497D" w:themeColor="text2"/>
          <w:szCs w:val="24"/>
        </w:rPr>
        <w:t>CAADP Pillars unlocking investment at the regional level</w:t>
      </w:r>
    </w:p>
    <w:p w:rsidR="005C74C4" w:rsidRDefault="005C74C4" w:rsidP="00D8084E">
      <w:pPr>
        <w:autoSpaceDE w:val="0"/>
        <w:autoSpaceDN w:val="0"/>
        <w:adjustRightInd w:val="0"/>
        <w:spacing w:after="120" w:line="276" w:lineRule="auto"/>
        <w:jc w:val="both"/>
        <w:rPr>
          <w:rFonts w:asciiTheme="minorHAnsi" w:hAnsiTheme="minorHAnsi" w:cs="Arial"/>
          <w:sz w:val="22"/>
          <w:szCs w:val="22"/>
        </w:rPr>
      </w:pPr>
      <w:r>
        <w:rPr>
          <w:rFonts w:asciiTheme="minorHAnsi" w:hAnsiTheme="minorHAnsi" w:cs="Arial"/>
          <w:sz w:val="22"/>
          <w:szCs w:val="22"/>
        </w:rPr>
        <w:t xml:space="preserve">The previous sections highlighted a range of support that is flowing into African agriculture and CAADP, including new initiatives such as the </w:t>
      </w:r>
      <w:r>
        <w:rPr>
          <w:rFonts w:asciiTheme="minorHAnsi" w:hAnsiTheme="minorHAnsi" w:cs="Arial"/>
          <w:sz w:val="22"/>
          <w:szCs w:val="22"/>
          <w:shd w:val="clear" w:color="auto" w:fill="FFFFFF"/>
        </w:rPr>
        <w:t xml:space="preserve">G8’s New Alliance for Food Security and Nutrition, Grow Africa, the United States’ Feed the Future initiative to name a few.   More specifically, </w:t>
      </w:r>
      <w:r w:rsidR="00BD7659">
        <w:rPr>
          <w:rFonts w:asciiTheme="minorHAnsi" w:hAnsiTheme="minorHAnsi" w:cs="Arial"/>
          <w:sz w:val="22"/>
          <w:szCs w:val="22"/>
          <w:shd w:val="clear" w:color="auto" w:fill="FFFFFF"/>
        </w:rPr>
        <w:t xml:space="preserve">donor </w:t>
      </w:r>
      <w:r>
        <w:rPr>
          <w:rFonts w:asciiTheme="minorHAnsi" w:hAnsiTheme="minorHAnsi" w:cs="Arial"/>
          <w:sz w:val="22"/>
          <w:szCs w:val="22"/>
          <w:shd w:val="clear" w:color="auto" w:fill="FFFFFF"/>
        </w:rPr>
        <w:t xml:space="preserve">investment is </w:t>
      </w:r>
      <w:r w:rsidR="00BD7659">
        <w:rPr>
          <w:rFonts w:asciiTheme="minorHAnsi" w:hAnsiTheme="minorHAnsi" w:cs="Arial"/>
          <w:sz w:val="22"/>
          <w:szCs w:val="22"/>
          <w:shd w:val="clear" w:color="auto" w:fill="FFFFFF"/>
        </w:rPr>
        <w:t>supporting</w:t>
      </w:r>
      <w:r>
        <w:rPr>
          <w:rFonts w:asciiTheme="minorHAnsi" w:hAnsiTheme="minorHAnsi" w:cs="Arial"/>
          <w:sz w:val="22"/>
          <w:szCs w:val="22"/>
          <w:shd w:val="clear" w:color="auto" w:fill="FFFFFF"/>
        </w:rPr>
        <w:t xml:space="preserve"> the architecture supporting CAADP through </w:t>
      </w:r>
      <w:r w:rsidR="00DD0CD5">
        <w:rPr>
          <w:rFonts w:asciiTheme="minorHAnsi" w:hAnsiTheme="minorHAnsi" w:cs="Arial"/>
          <w:sz w:val="22"/>
          <w:szCs w:val="22"/>
          <w:shd w:val="clear" w:color="auto" w:fill="FFFFFF"/>
        </w:rPr>
        <w:t xml:space="preserve">the MDTF, as well as bilateral </w:t>
      </w:r>
      <w:r w:rsidR="00991D0E">
        <w:rPr>
          <w:rFonts w:asciiTheme="minorHAnsi" w:hAnsiTheme="minorHAnsi" w:cs="Arial"/>
          <w:sz w:val="22"/>
          <w:szCs w:val="22"/>
          <w:shd w:val="clear" w:color="auto" w:fill="FFFFFF"/>
        </w:rPr>
        <w:t xml:space="preserve">and multilateral </w:t>
      </w:r>
      <w:r w:rsidR="00DD0CD5">
        <w:rPr>
          <w:rFonts w:asciiTheme="minorHAnsi" w:hAnsiTheme="minorHAnsi" w:cs="Arial"/>
          <w:sz w:val="22"/>
          <w:szCs w:val="22"/>
          <w:shd w:val="clear" w:color="auto" w:fill="FFFFFF"/>
        </w:rPr>
        <w:t>support at continental, regional and national levels.</w:t>
      </w:r>
      <w:r w:rsidR="00D8084E">
        <w:rPr>
          <w:rFonts w:asciiTheme="minorHAnsi" w:hAnsiTheme="minorHAnsi" w:cs="Arial"/>
          <w:sz w:val="22"/>
          <w:szCs w:val="22"/>
          <w:shd w:val="clear" w:color="auto" w:fill="FFFFFF"/>
        </w:rPr>
        <w:t xml:space="preserve">  </w:t>
      </w:r>
      <w:r w:rsidR="008A6E51">
        <w:rPr>
          <w:rFonts w:asciiTheme="minorHAnsi" w:hAnsiTheme="minorHAnsi" w:cs="Arial"/>
          <w:sz w:val="22"/>
          <w:szCs w:val="22"/>
          <w:shd w:val="clear" w:color="auto" w:fill="FFFFFF"/>
        </w:rPr>
        <w:t>Figure 1</w:t>
      </w:r>
      <w:r w:rsidR="0045510A">
        <w:rPr>
          <w:rFonts w:asciiTheme="minorHAnsi" w:hAnsiTheme="minorHAnsi" w:cs="Arial"/>
          <w:sz w:val="22"/>
          <w:szCs w:val="22"/>
          <w:shd w:val="clear" w:color="auto" w:fill="FFFFFF"/>
        </w:rPr>
        <w:t>1</w:t>
      </w:r>
      <w:r w:rsidR="00D8084E">
        <w:rPr>
          <w:rFonts w:asciiTheme="minorHAnsi" w:hAnsiTheme="minorHAnsi" w:cs="Arial"/>
          <w:sz w:val="22"/>
          <w:szCs w:val="22"/>
          <w:shd w:val="clear" w:color="auto" w:fill="FFFFFF"/>
        </w:rPr>
        <w:t xml:space="preserve"> highlights some of the progress being made at the regional levels under the different CAADP pillars.</w:t>
      </w:r>
    </w:p>
    <w:p w:rsidR="005520E0" w:rsidRPr="00587203" w:rsidRDefault="008A6E51" w:rsidP="00D8084E">
      <w:pPr>
        <w:autoSpaceDE w:val="0"/>
        <w:autoSpaceDN w:val="0"/>
        <w:adjustRightInd w:val="0"/>
        <w:spacing w:line="276" w:lineRule="auto"/>
        <w:jc w:val="center"/>
        <w:rPr>
          <w:rFonts w:asciiTheme="minorHAnsi" w:hAnsiTheme="minorHAnsi"/>
          <w:sz w:val="22"/>
          <w:szCs w:val="22"/>
        </w:rPr>
      </w:pPr>
      <w:r>
        <w:rPr>
          <w:rFonts w:asciiTheme="minorHAnsi" w:hAnsiTheme="minorHAnsi"/>
          <w:b/>
          <w:bCs/>
          <w:sz w:val="22"/>
          <w:szCs w:val="22"/>
        </w:rPr>
        <w:t>Figure 1</w:t>
      </w:r>
      <w:r w:rsidR="0045510A">
        <w:rPr>
          <w:rFonts w:asciiTheme="minorHAnsi" w:hAnsiTheme="minorHAnsi"/>
          <w:b/>
          <w:bCs/>
          <w:sz w:val="22"/>
          <w:szCs w:val="22"/>
        </w:rPr>
        <w:t>1</w:t>
      </w:r>
      <w:r>
        <w:rPr>
          <w:rFonts w:asciiTheme="minorHAnsi" w:hAnsiTheme="minorHAnsi"/>
          <w:b/>
          <w:bCs/>
          <w:sz w:val="22"/>
          <w:szCs w:val="22"/>
        </w:rPr>
        <w:t>.</w:t>
      </w:r>
      <w:r w:rsidR="00D8084E">
        <w:rPr>
          <w:rFonts w:asciiTheme="minorHAnsi" w:hAnsiTheme="minorHAnsi"/>
          <w:b/>
          <w:bCs/>
          <w:sz w:val="22"/>
          <w:szCs w:val="22"/>
        </w:rPr>
        <w:t xml:space="preserve"> </w:t>
      </w:r>
      <w:r w:rsidR="005520E0" w:rsidRPr="00587203">
        <w:rPr>
          <w:rFonts w:asciiTheme="minorHAnsi" w:hAnsiTheme="minorHAnsi"/>
          <w:b/>
          <w:bCs/>
          <w:sz w:val="22"/>
          <w:szCs w:val="22"/>
        </w:rPr>
        <w:t>Investment in CAADP Pillars: What progress has been made?</w:t>
      </w:r>
    </w:p>
    <w:p w:rsidR="005520E0" w:rsidRPr="00587203" w:rsidRDefault="005520E0" w:rsidP="005520E0">
      <w:pPr>
        <w:autoSpaceDE w:val="0"/>
        <w:autoSpaceDN w:val="0"/>
        <w:adjustRightInd w:val="0"/>
        <w:rPr>
          <w:rFonts w:asciiTheme="minorHAnsi" w:hAnsiTheme="minorHAnsi"/>
        </w:rPr>
      </w:pPr>
      <w:r w:rsidRPr="00587203">
        <w:rPr>
          <w:rFonts w:asciiTheme="minorHAnsi" w:hAnsiTheme="minorHAnsi"/>
          <w:noProof/>
          <w:lang w:val="fr-FR" w:eastAsia="fr-FR"/>
        </w:rPr>
        <w:drawing>
          <wp:inline distT="0" distB="0" distL="0" distR="0">
            <wp:extent cx="5731510" cy="3495854"/>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495854"/>
                    </a:xfrm>
                    <a:prstGeom prst="rect">
                      <a:avLst/>
                    </a:prstGeom>
                  </pic:spPr>
                </pic:pic>
              </a:graphicData>
            </a:graphic>
          </wp:inline>
        </w:drawing>
      </w:r>
    </w:p>
    <w:p w:rsidR="005520E0" w:rsidRPr="00587203" w:rsidRDefault="005520E0" w:rsidP="005520E0">
      <w:pPr>
        <w:ind w:left="-567"/>
        <w:jc w:val="right"/>
        <w:rPr>
          <w:rFonts w:asciiTheme="minorHAnsi" w:hAnsiTheme="minorHAnsi" w:cs="Arial"/>
          <w:b/>
          <w:color w:val="333333"/>
          <w:sz w:val="20"/>
          <w:shd w:val="clear" w:color="auto" w:fill="FFFFFF"/>
        </w:rPr>
      </w:pPr>
      <w:r w:rsidRPr="00587203">
        <w:rPr>
          <w:rFonts w:asciiTheme="minorHAnsi" w:hAnsiTheme="minorHAnsi" w:cs="Arial"/>
          <w:color w:val="333333"/>
          <w:sz w:val="20"/>
          <w:shd w:val="clear" w:color="auto" w:fill="FFFFFF"/>
        </w:rPr>
        <w:t>Source: Based on information from CAADP website (</w:t>
      </w:r>
      <w:hyperlink r:id="rId21" w:history="1">
        <w:r w:rsidRPr="00587203">
          <w:rPr>
            <w:rStyle w:val="Hyperlink"/>
            <w:rFonts w:asciiTheme="minorHAnsi" w:hAnsiTheme="minorHAnsi" w:cs="Arial"/>
            <w:sz w:val="20"/>
            <w:shd w:val="clear" w:color="auto" w:fill="FFFFFF"/>
          </w:rPr>
          <w:t>www.nepad-caadp.net</w:t>
        </w:r>
      </w:hyperlink>
      <w:r w:rsidRPr="00587203">
        <w:rPr>
          <w:rFonts w:asciiTheme="minorHAnsi" w:hAnsiTheme="minorHAnsi" w:cs="Arial"/>
          <w:b/>
          <w:color w:val="333333"/>
          <w:sz w:val="20"/>
          <w:shd w:val="clear" w:color="auto" w:fill="FFFFFF"/>
        </w:rPr>
        <w:t>)</w:t>
      </w:r>
    </w:p>
    <w:p w:rsidR="004661D6" w:rsidRDefault="004661D6" w:rsidP="00D8084E">
      <w:pPr>
        <w:autoSpaceDE w:val="0"/>
        <w:autoSpaceDN w:val="0"/>
        <w:adjustRightInd w:val="0"/>
        <w:rPr>
          <w:rFonts w:asciiTheme="minorHAnsi" w:hAnsiTheme="minorHAnsi" w:cs="Arial"/>
          <w:color w:val="231F20"/>
          <w:sz w:val="22"/>
          <w:szCs w:val="22"/>
        </w:rPr>
      </w:pPr>
    </w:p>
    <w:p w:rsidR="00D8084E" w:rsidRPr="004661D6" w:rsidRDefault="00D8084E" w:rsidP="004661D6">
      <w:pPr>
        <w:autoSpaceDE w:val="0"/>
        <w:autoSpaceDN w:val="0"/>
        <w:adjustRightInd w:val="0"/>
        <w:spacing w:line="276" w:lineRule="auto"/>
        <w:jc w:val="both"/>
        <w:rPr>
          <w:rFonts w:asciiTheme="minorHAnsi" w:hAnsiTheme="minorHAnsi" w:cs="Arial"/>
          <w:color w:val="231F20"/>
          <w:sz w:val="22"/>
          <w:szCs w:val="22"/>
        </w:rPr>
      </w:pPr>
      <w:r w:rsidRPr="004661D6">
        <w:rPr>
          <w:rFonts w:asciiTheme="minorHAnsi" w:hAnsiTheme="minorHAnsi" w:cs="Arial"/>
          <w:color w:val="231F20"/>
          <w:sz w:val="22"/>
          <w:szCs w:val="22"/>
        </w:rPr>
        <w:t xml:space="preserve">However, </w:t>
      </w:r>
      <w:r w:rsidR="004661D6" w:rsidRPr="004661D6">
        <w:rPr>
          <w:rFonts w:asciiTheme="minorHAnsi" w:hAnsiTheme="minorHAnsi" w:cs="Arial"/>
          <w:color w:val="231F20"/>
          <w:sz w:val="22"/>
          <w:szCs w:val="22"/>
        </w:rPr>
        <w:t>as NEPAD (2010) has noted, “</w:t>
      </w:r>
      <w:r w:rsidRPr="004661D6">
        <w:rPr>
          <w:rFonts w:asciiTheme="minorHAnsi" w:hAnsiTheme="minorHAnsi" w:cs="Arial"/>
          <w:color w:val="231F20"/>
          <w:sz w:val="22"/>
          <w:szCs w:val="22"/>
        </w:rPr>
        <w:t>the most significant funding streams are allocated through the national Business Meetings. Increased finances by development partners as a result of improved sector plans have been received by a series of African countries (e.g. Rwanda, Uganda, Ethiopia). In other countries, the national Development Partner groups indicated that increased finances might be available after thorough review of the emerging documents, thus indicating an increase from current levels of funding.</w:t>
      </w:r>
      <w:r w:rsidR="004661D6" w:rsidRPr="004661D6">
        <w:rPr>
          <w:rFonts w:asciiTheme="minorHAnsi" w:hAnsiTheme="minorHAnsi" w:cs="Arial"/>
          <w:color w:val="231F20"/>
          <w:sz w:val="22"/>
          <w:szCs w:val="22"/>
        </w:rPr>
        <w:t>”</w:t>
      </w:r>
      <w:r w:rsidR="004661D6">
        <w:rPr>
          <w:rStyle w:val="FootnoteReference"/>
          <w:rFonts w:asciiTheme="minorHAnsi" w:hAnsiTheme="minorHAnsi" w:cs="Arial"/>
          <w:color w:val="231F20"/>
          <w:sz w:val="22"/>
          <w:szCs w:val="22"/>
        </w:rPr>
        <w:footnoteReference w:id="125"/>
      </w:r>
    </w:p>
    <w:p w:rsidR="005520E0" w:rsidRDefault="005520E0" w:rsidP="003F6C09">
      <w:pPr>
        <w:autoSpaceDE w:val="0"/>
        <w:autoSpaceDN w:val="0"/>
        <w:adjustRightInd w:val="0"/>
        <w:rPr>
          <w:rFonts w:asciiTheme="minorHAnsi" w:hAnsiTheme="minorHAnsi" w:cs="Arial"/>
          <w:b/>
          <w:color w:val="1F497D" w:themeColor="text2"/>
          <w:szCs w:val="24"/>
        </w:rPr>
      </w:pPr>
    </w:p>
    <w:p w:rsidR="003F6C09" w:rsidRPr="00587203" w:rsidRDefault="003F6C09" w:rsidP="003F6C09">
      <w:pPr>
        <w:autoSpaceDE w:val="0"/>
        <w:autoSpaceDN w:val="0"/>
        <w:adjustRightInd w:val="0"/>
        <w:rPr>
          <w:rFonts w:asciiTheme="minorHAnsi" w:hAnsiTheme="minorHAnsi" w:cs="Arial"/>
          <w:b/>
          <w:color w:val="1F497D" w:themeColor="text2"/>
        </w:rPr>
      </w:pPr>
      <w:r w:rsidRPr="00587203">
        <w:rPr>
          <w:rFonts w:asciiTheme="minorHAnsi" w:hAnsiTheme="minorHAnsi" w:cs="Arial"/>
          <w:b/>
          <w:color w:val="1F497D" w:themeColor="text2"/>
          <w:szCs w:val="24"/>
        </w:rPr>
        <w:t>4.</w:t>
      </w:r>
      <w:r w:rsidR="005C74C4">
        <w:rPr>
          <w:rFonts w:asciiTheme="minorHAnsi" w:hAnsiTheme="minorHAnsi" w:cs="Arial"/>
          <w:b/>
          <w:color w:val="1F497D" w:themeColor="text2"/>
          <w:szCs w:val="24"/>
        </w:rPr>
        <w:t>2</w:t>
      </w:r>
      <w:r w:rsidRPr="00587203">
        <w:rPr>
          <w:rFonts w:asciiTheme="minorHAnsi" w:hAnsiTheme="minorHAnsi" w:cs="Arial"/>
          <w:b/>
          <w:color w:val="1F497D" w:themeColor="text2"/>
          <w:szCs w:val="24"/>
        </w:rPr>
        <w:tab/>
      </w:r>
      <w:r w:rsidR="005C74C4" w:rsidRPr="00587203">
        <w:rPr>
          <w:rFonts w:asciiTheme="minorHAnsi" w:hAnsiTheme="minorHAnsi" w:cs="Arial"/>
          <w:b/>
          <w:color w:val="1F497D" w:themeColor="text2"/>
          <w:szCs w:val="24"/>
        </w:rPr>
        <w:t>What is the evidence that countries that have been through the CAADP process are unlocking investments?</w:t>
      </w:r>
    </w:p>
    <w:p w:rsidR="003F6C09" w:rsidRPr="00587203" w:rsidRDefault="003F6C09" w:rsidP="00587203">
      <w:pPr>
        <w:spacing w:after="120" w:line="276" w:lineRule="auto"/>
        <w:jc w:val="both"/>
        <w:rPr>
          <w:rFonts w:asciiTheme="minorHAnsi" w:hAnsiTheme="minorHAnsi" w:cs="Arial"/>
          <w:sz w:val="22"/>
          <w:szCs w:val="22"/>
          <w:shd w:val="clear" w:color="auto" w:fill="FFFFFF"/>
        </w:rPr>
      </w:pPr>
      <w:r w:rsidRPr="00587203">
        <w:rPr>
          <w:rFonts w:asciiTheme="minorHAnsi" w:hAnsiTheme="minorHAnsi" w:cs="Arial"/>
          <w:sz w:val="22"/>
          <w:szCs w:val="22"/>
          <w:shd w:val="clear" w:color="auto" w:fill="FFFFFF"/>
        </w:rPr>
        <w:t>The Country Roundtable process leads to national pacts between donors and individual governments.   As of June 2012, 30 countries</w:t>
      </w:r>
      <w:r w:rsidRPr="00587203">
        <w:rPr>
          <w:rStyle w:val="FootnoteReference"/>
          <w:rFonts w:asciiTheme="minorHAnsi" w:hAnsiTheme="minorHAnsi" w:cs="Arial"/>
          <w:sz w:val="22"/>
          <w:szCs w:val="22"/>
          <w:shd w:val="clear" w:color="auto" w:fill="FFFFFF"/>
        </w:rPr>
        <w:footnoteReference w:id="126"/>
      </w:r>
      <w:r w:rsidRPr="00587203">
        <w:rPr>
          <w:rFonts w:asciiTheme="minorHAnsi" w:hAnsiTheme="minorHAnsi" w:cs="Arial"/>
          <w:sz w:val="22"/>
          <w:szCs w:val="22"/>
          <w:shd w:val="clear" w:color="auto" w:fill="FFFFFF"/>
        </w:rPr>
        <w:t xml:space="preserve"> have completed the CAADP Roundtable process and </w:t>
      </w:r>
      <w:r w:rsidRPr="00587203">
        <w:rPr>
          <w:rFonts w:asciiTheme="minorHAnsi" w:hAnsiTheme="minorHAnsi" w:cs="Arial"/>
          <w:sz w:val="22"/>
          <w:szCs w:val="22"/>
          <w:shd w:val="clear" w:color="auto" w:fill="FFFFFF"/>
        </w:rPr>
        <w:lastRenderedPageBreak/>
        <w:t xml:space="preserve">signed their country CAADP compacts – an important milestone in the process of CAADP implementation.  </w:t>
      </w:r>
    </w:p>
    <w:p w:rsidR="009102BA" w:rsidRPr="00A06B93" w:rsidRDefault="009102BA" w:rsidP="009102BA">
      <w:pPr>
        <w:spacing w:after="120"/>
        <w:jc w:val="both"/>
        <w:rPr>
          <w:rFonts w:asciiTheme="minorHAnsi" w:hAnsiTheme="minorHAnsi"/>
          <w:b/>
          <w:color w:val="31849B" w:themeColor="accent5" w:themeShade="BF"/>
        </w:rPr>
      </w:pPr>
      <w:r>
        <w:rPr>
          <w:rFonts w:asciiTheme="minorHAnsi" w:hAnsiTheme="minorHAnsi"/>
          <w:b/>
          <w:color w:val="31849B" w:themeColor="accent5" w:themeShade="BF"/>
        </w:rPr>
        <w:t>4.2.1</w:t>
      </w:r>
      <w:r w:rsidRPr="00A06B93">
        <w:rPr>
          <w:rFonts w:asciiTheme="minorHAnsi" w:hAnsiTheme="minorHAnsi"/>
          <w:b/>
          <w:color w:val="31849B" w:themeColor="accent5" w:themeShade="BF"/>
        </w:rPr>
        <w:tab/>
      </w:r>
      <w:r>
        <w:rPr>
          <w:rFonts w:asciiTheme="minorHAnsi" w:hAnsiTheme="minorHAnsi"/>
          <w:b/>
          <w:color w:val="31849B" w:themeColor="accent5" w:themeShade="BF"/>
        </w:rPr>
        <w:t>Investment Plans and ‘financing gaps’</w:t>
      </w:r>
    </w:p>
    <w:p w:rsidR="003F6C09" w:rsidRDefault="001C2728" w:rsidP="00587203">
      <w:pPr>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A total of </w:t>
      </w:r>
      <w:r w:rsidR="003F6C09" w:rsidRPr="00587203">
        <w:rPr>
          <w:rFonts w:asciiTheme="minorHAnsi" w:hAnsiTheme="minorHAnsi" w:cs="Arial"/>
          <w:sz w:val="22"/>
          <w:szCs w:val="22"/>
          <w:shd w:val="clear" w:color="auto" w:fill="FFFFFF"/>
        </w:rPr>
        <w:t>23 countries have developed detailed investment plans, with an additional 14 countries aiming to complete within 2012. ECOWAS has also signed its regional compact.</w:t>
      </w:r>
      <w:r w:rsidR="003F6C09" w:rsidRPr="00587203">
        <w:rPr>
          <w:rStyle w:val="FootnoteReference"/>
          <w:rFonts w:asciiTheme="minorHAnsi" w:hAnsiTheme="minorHAnsi" w:cs="Arial"/>
          <w:sz w:val="22"/>
          <w:szCs w:val="22"/>
          <w:shd w:val="clear" w:color="auto" w:fill="FFFFFF"/>
        </w:rPr>
        <w:footnoteReference w:id="127"/>
      </w:r>
      <w:r w:rsidR="003F6C09" w:rsidRPr="00587203">
        <w:rPr>
          <w:rFonts w:asciiTheme="minorHAnsi" w:hAnsiTheme="minorHAnsi" w:cs="Arial"/>
          <w:sz w:val="22"/>
          <w:szCs w:val="22"/>
          <w:shd w:val="clear" w:color="auto" w:fill="FFFFFF"/>
        </w:rPr>
        <w:t xml:space="preserve">   Out of the 23 countries with finalised investment plans, there are about 9-15 countries with “very significant financing into the specific programmes of their investment plans”</w:t>
      </w:r>
      <w:r w:rsidR="003F6C09" w:rsidRPr="00587203">
        <w:rPr>
          <w:rStyle w:val="FootnoteReference"/>
          <w:rFonts w:asciiTheme="minorHAnsi" w:hAnsiTheme="minorHAnsi" w:cs="Arial"/>
          <w:sz w:val="22"/>
          <w:szCs w:val="22"/>
          <w:shd w:val="clear" w:color="auto" w:fill="FFFFFF"/>
        </w:rPr>
        <w:footnoteReference w:id="128"/>
      </w:r>
      <w:r w:rsidR="003F6C09" w:rsidRPr="00587203">
        <w:rPr>
          <w:rFonts w:asciiTheme="minorHAnsi" w:hAnsiTheme="minorHAnsi" w:cs="Arial"/>
          <w:sz w:val="22"/>
          <w:szCs w:val="22"/>
          <w:shd w:val="clear" w:color="auto" w:fill="FFFFFF"/>
        </w:rPr>
        <w:t xml:space="preserve"> (see Annex </w:t>
      </w:r>
      <w:r w:rsidR="006D7266">
        <w:rPr>
          <w:rFonts w:asciiTheme="minorHAnsi" w:hAnsiTheme="minorHAnsi" w:cs="Arial"/>
          <w:sz w:val="22"/>
          <w:szCs w:val="22"/>
          <w:shd w:val="clear" w:color="auto" w:fill="FFFFFF"/>
        </w:rPr>
        <w:t>4</w:t>
      </w:r>
      <w:r w:rsidR="00871A8D">
        <w:rPr>
          <w:rFonts w:asciiTheme="minorHAnsi" w:hAnsiTheme="minorHAnsi" w:cs="Arial"/>
          <w:sz w:val="22"/>
          <w:szCs w:val="22"/>
          <w:shd w:val="clear" w:color="auto" w:fill="FFFFFF"/>
        </w:rPr>
        <w:t xml:space="preserve"> for analysis of</w:t>
      </w:r>
      <w:r w:rsidR="003F6C09" w:rsidRPr="00587203">
        <w:rPr>
          <w:rFonts w:asciiTheme="minorHAnsi" w:hAnsiTheme="minorHAnsi" w:cs="Arial"/>
          <w:sz w:val="22"/>
          <w:szCs w:val="22"/>
          <w:shd w:val="clear" w:color="auto" w:fill="FFFFFF"/>
        </w:rPr>
        <w:t xml:space="preserve"> Investment plans)</w:t>
      </w:r>
      <w:r w:rsidR="00C154D4">
        <w:rPr>
          <w:rFonts w:asciiTheme="minorHAnsi" w:hAnsiTheme="minorHAnsi" w:cs="Arial"/>
          <w:sz w:val="22"/>
          <w:szCs w:val="22"/>
          <w:shd w:val="clear" w:color="auto" w:fill="FFFFFF"/>
        </w:rPr>
        <w:t>.</w:t>
      </w:r>
      <w:r w:rsidR="003F6C09" w:rsidRPr="00587203">
        <w:rPr>
          <w:rFonts w:asciiTheme="minorHAnsi" w:hAnsiTheme="minorHAnsi" w:cs="Arial"/>
          <w:sz w:val="22"/>
          <w:szCs w:val="22"/>
          <w:shd w:val="clear" w:color="auto" w:fill="FFFFFF"/>
        </w:rPr>
        <w:t xml:space="preserve"> </w:t>
      </w:r>
    </w:p>
    <w:p w:rsidR="004E5158" w:rsidRPr="004E5158" w:rsidRDefault="004E5158" w:rsidP="004E5158">
      <w:pPr>
        <w:pStyle w:val="Default"/>
        <w:spacing w:after="120" w:line="276" w:lineRule="auto"/>
        <w:jc w:val="both"/>
        <w:rPr>
          <w:rFonts w:asciiTheme="minorHAnsi" w:hAnsiTheme="minorHAnsi" w:cs="Arial"/>
          <w:b/>
          <w:sz w:val="22"/>
          <w:szCs w:val="22"/>
        </w:rPr>
      </w:pPr>
      <w:r>
        <w:rPr>
          <w:rFonts w:asciiTheme="minorHAnsi" w:hAnsiTheme="minorHAnsi" w:cs="Arial"/>
          <w:sz w:val="22"/>
          <w:szCs w:val="22"/>
        </w:rPr>
        <w:t xml:space="preserve">It should be noted that several of the investment plans report quite substantial financing gaps.  As shown in Figure </w:t>
      </w:r>
      <w:r w:rsidR="008A6E51">
        <w:rPr>
          <w:rFonts w:asciiTheme="minorHAnsi" w:hAnsiTheme="minorHAnsi" w:cs="Arial"/>
          <w:sz w:val="22"/>
          <w:szCs w:val="22"/>
        </w:rPr>
        <w:t>1</w:t>
      </w:r>
      <w:r w:rsidR="0045510A">
        <w:rPr>
          <w:rFonts w:asciiTheme="minorHAnsi" w:hAnsiTheme="minorHAnsi" w:cs="Arial"/>
          <w:sz w:val="22"/>
          <w:szCs w:val="22"/>
        </w:rPr>
        <w:t>2</w:t>
      </w:r>
      <w:r>
        <w:rPr>
          <w:rFonts w:asciiTheme="minorHAnsi" w:hAnsiTheme="minorHAnsi" w:cs="Arial"/>
          <w:sz w:val="22"/>
          <w:szCs w:val="22"/>
        </w:rPr>
        <w:t xml:space="preserve">, several plans have financing gaps of 40% or over.   As noted in Section </w:t>
      </w:r>
      <w:r w:rsidR="00871A8D">
        <w:rPr>
          <w:rFonts w:asciiTheme="minorHAnsi" w:hAnsiTheme="minorHAnsi" w:cs="Arial"/>
          <w:sz w:val="22"/>
          <w:szCs w:val="22"/>
        </w:rPr>
        <w:t>2.4.2</w:t>
      </w:r>
      <w:r>
        <w:rPr>
          <w:rFonts w:asciiTheme="minorHAnsi" w:hAnsiTheme="minorHAnsi" w:cs="Arial"/>
          <w:sz w:val="22"/>
          <w:szCs w:val="22"/>
        </w:rPr>
        <w:t xml:space="preserve"> earlier, an assessment of </w:t>
      </w:r>
      <w:r w:rsidRPr="001904C4">
        <w:rPr>
          <w:rFonts w:asciiTheme="minorHAnsi" w:hAnsiTheme="minorHAnsi" w:cs="Arial"/>
          <w:sz w:val="22"/>
          <w:szCs w:val="22"/>
        </w:rPr>
        <w:t xml:space="preserve">30 publicly-available national food security strategies and agriculture-investment plans worldwide that have undergone technical reviews found that (as of January 2012) </w:t>
      </w:r>
      <w:r w:rsidRPr="004E5158">
        <w:rPr>
          <w:rFonts w:asciiTheme="minorHAnsi" w:hAnsiTheme="minorHAnsi" w:cs="Arial"/>
          <w:sz w:val="22"/>
          <w:szCs w:val="22"/>
        </w:rPr>
        <w:t>the average financing gap for African plans is about 50%, with government contributions accounting for 29% and development partner contributions for 21% of this total.</w:t>
      </w:r>
      <w:r>
        <w:rPr>
          <w:rFonts w:asciiTheme="minorHAnsi" w:hAnsiTheme="minorHAnsi" w:cs="Arial"/>
          <w:sz w:val="22"/>
          <w:szCs w:val="22"/>
        </w:rPr>
        <w:t xml:space="preserve">  In the case of Ghana (</w:t>
      </w:r>
      <w:r w:rsidR="00871A8D">
        <w:rPr>
          <w:rFonts w:asciiTheme="minorHAnsi" w:hAnsiTheme="minorHAnsi" w:cs="Arial"/>
          <w:sz w:val="22"/>
          <w:szCs w:val="22"/>
        </w:rPr>
        <w:t>see S</w:t>
      </w:r>
      <w:r>
        <w:rPr>
          <w:rFonts w:asciiTheme="minorHAnsi" w:hAnsiTheme="minorHAnsi" w:cs="Arial"/>
          <w:sz w:val="22"/>
          <w:szCs w:val="22"/>
        </w:rPr>
        <w:t>ection</w:t>
      </w:r>
      <w:r w:rsidR="00871A8D">
        <w:rPr>
          <w:rFonts w:asciiTheme="minorHAnsi" w:hAnsiTheme="minorHAnsi" w:cs="Arial"/>
          <w:sz w:val="22"/>
          <w:szCs w:val="22"/>
        </w:rPr>
        <w:t xml:space="preserve"> 4.3 later</w:t>
      </w:r>
      <w:r>
        <w:rPr>
          <w:rFonts w:asciiTheme="minorHAnsi" w:hAnsiTheme="minorHAnsi" w:cs="Arial"/>
          <w:sz w:val="22"/>
          <w:szCs w:val="22"/>
        </w:rPr>
        <w:t xml:space="preserve">) which has a financing gap of 66%, these resource gaps have </w:t>
      </w:r>
      <w:r w:rsidR="00991D0E">
        <w:rPr>
          <w:rFonts w:asciiTheme="minorHAnsi" w:hAnsiTheme="minorHAnsi" w:cs="Arial"/>
          <w:sz w:val="22"/>
          <w:szCs w:val="22"/>
        </w:rPr>
        <w:t xml:space="preserve">now </w:t>
      </w:r>
      <w:r>
        <w:rPr>
          <w:rFonts w:asciiTheme="minorHAnsi" w:hAnsiTheme="minorHAnsi" w:cs="Arial"/>
          <w:sz w:val="22"/>
          <w:szCs w:val="22"/>
        </w:rPr>
        <w:t>been largely filled and actual</w:t>
      </w:r>
      <w:r>
        <w:rPr>
          <w:rFonts w:asciiTheme="minorHAnsi" w:hAnsiTheme="minorHAnsi" w:cs="Arial"/>
          <w:sz w:val="22"/>
          <w:szCs w:val="22"/>
          <w:shd w:val="clear" w:color="auto" w:fill="FFFFFF"/>
        </w:rPr>
        <w:t xml:space="preserve"> </w:t>
      </w:r>
      <w:r w:rsidRPr="004E5158">
        <w:rPr>
          <w:rFonts w:asciiTheme="minorHAnsi" w:hAnsiTheme="minorHAnsi" w:cs="Arial"/>
          <w:sz w:val="22"/>
          <w:szCs w:val="22"/>
          <w:shd w:val="clear" w:color="auto" w:fill="FFFFFF"/>
        </w:rPr>
        <w:t>donor inflows in 2011 exceeding the Ministry’s expected inflows by 27%.</w:t>
      </w:r>
      <w:r>
        <w:rPr>
          <w:rFonts w:asciiTheme="minorHAnsi" w:hAnsiTheme="minorHAnsi" w:cs="Arial"/>
          <w:sz w:val="22"/>
          <w:szCs w:val="22"/>
          <w:shd w:val="clear" w:color="auto" w:fill="FFFFFF"/>
        </w:rPr>
        <w:t xml:space="preserve">  It is hoped that the large shortfall indicated in other national food security strategies and agriculture-investment plans will also have been subsequently met or exceeded.</w:t>
      </w:r>
    </w:p>
    <w:p w:rsidR="004E5158" w:rsidRDefault="004E5158" w:rsidP="00BE2063">
      <w:pPr>
        <w:spacing w:after="120" w:line="276" w:lineRule="auto"/>
        <w:jc w:val="center"/>
        <w:rPr>
          <w:rFonts w:asciiTheme="minorHAnsi" w:hAnsiTheme="minorHAnsi" w:cs="Arial"/>
          <w:sz w:val="22"/>
          <w:szCs w:val="22"/>
        </w:rPr>
      </w:pPr>
      <w:r>
        <w:rPr>
          <w:rFonts w:asciiTheme="minorHAnsi" w:hAnsiTheme="minorHAnsi" w:cs="Arial"/>
          <w:b/>
          <w:sz w:val="22"/>
          <w:szCs w:val="22"/>
        </w:rPr>
        <w:t xml:space="preserve">Figure </w:t>
      </w:r>
      <w:r w:rsidR="008A6E51">
        <w:rPr>
          <w:rFonts w:asciiTheme="minorHAnsi" w:hAnsiTheme="minorHAnsi" w:cs="Arial"/>
          <w:b/>
          <w:sz w:val="22"/>
          <w:szCs w:val="22"/>
        </w:rPr>
        <w:t>1</w:t>
      </w:r>
      <w:r w:rsidR="0045510A">
        <w:rPr>
          <w:rFonts w:asciiTheme="minorHAnsi" w:hAnsiTheme="minorHAnsi" w:cs="Arial"/>
          <w:b/>
          <w:sz w:val="22"/>
          <w:szCs w:val="22"/>
        </w:rPr>
        <w:t>2</w:t>
      </w:r>
      <w:r>
        <w:rPr>
          <w:rFonts w:asciiTheme="minorHAnsi" w:hAnsiTheme="minorHAnsi" w:cs="Arial"/>
          <w:b/>
          <w:sz w:val="22"/>
          <w:szCs w:val="22"/>
        </w:rPr>
        <w:t xml:space="preserve">. Analysis of Funding </w:t>
      </w:r>
      <w:r w:rsidR="00991D0E">
        <w:rPr>
          <w:rFonts w:asciiTheme="minorHAnsi" w:hAnsiTheme="minorHAnsi" w:cs="Arial"/>
          <w:b/>
          <w:sz w:val="22"/>
          <w:szCs w:val="22"/>
        </w:rPr>
        <w:t>Gaps in a Selection of</w:t>
      </w:r>
      <w:r>
        <w:rPr>
          <w:rFonts w:asciiTheme="minorHAnsi" w:hAnsiTheme="minorHAnsi" w:cs="Arial"/>
          <w:b/>
          <w:sz w:val="22"/>
          <w:szCs w:val="22"/>
        </w:rPr>
        <w:t xml:space="preserve"> Country Investment Plans</w:t>
      </w:r>
      <w:r w:rsidR="000B140C">
        <w:rPr>
          <w:rStyle w:val="FootnoteReference"/>
          <w:rFonts w:asciiTheme="minorHAnsi" w:hAnsiTheme="minorHAnsi" w:cs="Arial"/>
          <w:b/>
          <w:sz w:val="22"/>
          <w:szCs w:val="22"/>
        </w:rPr>
        <w:footnoteReference w:id="129"/>
      </w:r>
      <w:r>
        <w:rPr>
          <w:noProof/>
          <w:lang w:val="fr-FR" w:eastAsia="fr-FR"/>
        </w:rPr>
        <w:drawing>
          <wp:inline distT="0" distB="0" distL="0" distR="0">
            <wp:extent cx="5762625" cy="303847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102BA" w:rsidRPr="00A06B93" w:rsidRDefault="009102BA" w:rsidP="009102BA">
      <w:pPr>
        <w:spacing w:after="120"/>
        <w:jc w:val="both"/>
        <w:rPr>
          <w:rFonts w:asciiTheme="minorHAnsi" w:hAnsiTheme="minorHAnsi"/>
          <w:b/>
          <w:color w:val="31849B" w:themeColor="accent5" w:themeShade="BF"/>
        </w:rPr>
      </w:pPr>
      <w:r>
        <w:rPr>
          <w:rFonts w:asciiTheme="minorHAnsi" w:hAnsiTheme="minorHAnsi"/>
          <w:b/>
          <w:color w:val="31849B" w:themeColor="accent5" w:themeShade="BF"/>
        </w:rPr>
        <w:t>4.2.1</w:t>
      </w:r>
      <w:r w:rsidRPr="00A06B93">
        <w:rPr>
          <w:rFonts w:asciiTheme="minorHAnsi" w:hAnsiTheme="minorHAnsi"/>
          <w:b/>
          <w:color w:val="31849B" w:themeColor="accent5" w:themeShade="BF"/>
        </w:rPr>
        <w:tab/>
      </w:r>
      <w:r w:rsidR="002C4F5E">
        <w:rPr>
          <w:rFonts w:asciiTheme="minorHAnsi" w:hAnsiTheme="minorHAnsi"/>
          <w:b/>
          <w:color w:val="31849B" w:themeColor="accent5" w:themeShade="BF"/>
        </w:rPr>
        <w:t>Impact of having a CAADP compact</w:t>
      </w:r>
      <w:r w:rsidR="00C40692">
        <w:rPr>
          <w:rFonts w:asciiTheme="minorHAnsi" w:hAnsiTheme="minorHAnsi"/>
          <w:b/>
          <w:color w:val="31849B" w:themeColor="accent5" w:themeShade="BF"/>
        </w:rPr>
        <w:t xml:space="preserve"> on investment levels</w:t>
      </w:r>
    </w:p>
    <w:p w:rsidR="0039246C" w:rsidRDefault="00743CC6" w:rsidP="00B81F0F">
      <w:pPr>
        <w:spacing w:after="120" w:line="276" w:lineRule="auto"/>
        <w:jc w:val="both"/>
        <w:rPr>
          <w:rFonts w:ascii="Calibri" w:hAnsi="Calibri"/>
          <w:sz w:val="22"/>
          <w:szCs w:val="22"/>
        </w:rPr>
      </w:pPr>
      <w:r>
        <w:rPr>
          <w:rFonts w:asciiTheme="minorHAnsi" w:hAnsiTheme="minorHAnsi" w:cs="Arial"/>
          <w:sz w:val="22"/>
          <w:szCs w:val="22"/>
        </w:rPr>
        <w:t xml:space="preserve">As part of this study, we looked at the investments in African countries’ </w:t>
      </w:r>
      <w:r w:rsidRPr="00FE18E1">
        <w:rPr>
          <w:rFonts w:asciiTheme="minorHAnsi" w:hAnsiTheme="minorHAnsi" w:cs="Arial"/>
          <w:sz w:val="22"/>
          <w:szCs w:val="22"/>
        </w:rPr>
        <w:t>agriculture, forestry and fishing sector</w:t>
      </w:r>
      <w:r>
        <w:rPr>
          <w:rFonts w:asciiTheme="minorHAnsi" w:hAnsiTheme="minorHAnsi" w:cs="Arial"/>
          <w:sz w:val="22"/>
          <w:szCs w:val="22"/>
        </w:rPr>
        <w:t xml:space="preserve">s and compared countries with and without a CAADP Compact.   </w:t>
      </w:r>
      <w:r w:rsidR="0039246C">
        <w:rPr>
          <w:rFonts w:asciiTheme="minorHAnsi" w:hAnsiTheme="minorHAnsi" w:cs="Arial"/>
          <w:sz w:val="22"/>
          <w:szCs w:val="22"/>
        </w:rPr>
        <w:t xml:space="preserve">Of the </w:t>
      </w:r>
      <w:r w:rsidR="0039246C" w:rsidRPr="00743CC6">
        <w:rPr>
          <w:rFonts w:ascii="Calibri" w:hAnsi="Calibri"/>
          <w:bCs/>
          <w:sz w:val="22"/>
          <w:szCs w:val="22"/>
        </w:rPr>
        <w:t xml:space="preserve">USD </w:t>
      </w:r>
      <w:r w:rsidR="0052661F" w:rsidRPr="00743CC6">
        <w:rPr>
          <w:rFonts w:ascii="Calibri" w:hAnsi="Calibri"/>
          <w:bCs/>
          <w:sz w:val="22"/>
          <w:szCs w:val="22"/>
        </w:rPr>
        <w:t>3.6</w:t>
      </w:r>
      <w:r w:rsidR="0039246C" w:rsidRPr="00743CC6">
        <w:rPr>
          <w:rFonts w:ascii="Calibri" w:hAnsi="Calibri"/>
          <w:bCs/>
          <w:sz w:val="22"/>
          <w:szCs w:val="22"/>
        </w:rPr>
        <w:t xml:space="preserve"> </w:t>
      </w:r>
      <w:r w:rsidR="0039246C" w:rsidRPr="00743CC6">
        <w:rPr>
          <w:rFonts w:ascii="Calibri" w:hAnsi="Calibri"/>
          <w:bCs/>
          <w:sz w:val="22"/>
          <w:szCs w:val="22"/>
        </w:rPr>
        <w:lastRenderedPageBreak/>
        <w:t>billion</w:t>
      </w:r>
      <w:r w:rsidR="0052661F">
        <w:rPr>
          <w:rStyle w:val="FootnoteReference"/>
          <w:rFonts w:ascii="Calibri" w:hAnsi="Calibri"/>
          <w:sz w:val="22"/>
          <w:szCs w:val="22"/>
        </w:rPr>
        <w:footnoteReference w:id="130"/>
      </w:r>
      <w:r w:rsidR="0039246C">
        <w:rPr>
          <w:rFonts w:ascii="Calibri" w:hAnsi="Calibri"/>
          <w:sz w:val="22"/>
          <w:szCs w:val="22"/>
        </w:rPr>
        <w:t xml:space="preserve"> </w:t>
      </w:r>
      <w:r>
        <w:rPr>
          <w:rFonts w:ascii="Calibri" w:hAnsi="Calibri"/>
          <w:sz w:val="22"/>
          <w:szCs w:val="22"/>
        </w:rPr>
        <w:t>of agricultural investment flowing into African countries in 2011</w:t>
      </w:r>
      <w:r w:rsidRPr="00743CC6">
        <w:rPr>
          <w:rFonts w:ascii="Calibri" w:hAnsi="Calibri"/>
          <w:sz w:val="22"/>
          <w:szCs w:val="22"/>
        </w:rPr>
        <w:t xml:space="preserve">, </w:t>
      </w:r>
      <w:r w:rsidR="0039246C" w:rsidRPr="00743CC6">
        <w:rPr>
          <w:rFonts w:ascii="Calibri" w:hAnsi="Calibri"/>
          <w:sz w:val="22"/>
          <w:szCs w:val="22"/>
        </w:rPr>
        <w:t xml:space="preserve">USD 2.6 billion </w:t>
      </w:r>
      <w:r w:rsidR="0052661F" w:rsidRPr="00743CC6">
        <w:rPr>
          <w:rFonts w:ascii="Calibri" w:hAnsi="Calibri"/>
          <w:sz w:val="22"/>
          <w:szCs w:val="22"/>
        </w:rPr>
        <w:t>(72.2 per cent)</w:t>
      </w:r>
      <w:r w:rsidR="0039246C" w:rsidRPr="00743CC6">
        <w:rPr>
          <w:rFonts w:ascii="Calibri" w:hAnsi="Calibri"/>
          <w:sz w:val="22"/>
          <w:szCs w:val="22"/>
        </w:rPr>
        <w:t xml:space="preserve"> went to the 29 countries who had signed a CAADP Compact</w:t>
      </w:r>
      <w:r w:rsidRPr="00743CC6">
        <w:rPr>
          <w:rFonts w:ascii="Calibri" w:hAnsi="Calibri"/>
          <w:sz w:val="22"/>
          <w:szCs w:val="22"/>
        </w:rPr>
        <w:t xml:space="preserve"> –</w:t>
      </w:r>
      <w:r>
        <w:rPr>
          <w:rFonts w:ascii="Calibri" w:hAnsi="Calibri"/>
          <w:b/>
          <w:sz w:val="22"/>
          <w:szCs w:val="22"/>
        </w:rPr>
        <w:t xml:space="preserve"> an average of USD 89.7 million per country</w:t>
      </w:r>
      <w:r w:rsidR="0039246C" w:rsidRPr="0039246C">
        <w:rPr>
          <w:rFonts w:ascii="Calibri" w:hAnsi="Calibri"/>
          <w:sz w:val="22"/>
          <w:szCs w:val="22"/>
        </w:rPr>
        <w:t>.   </w:t>
      </w:r>
      <w:r w:rsidR="0052661F">
        <w:rPr>
          <w:rFonts w:ascii="Calibri" w:hAnsi="Calibri"/>
          <w:sz w:val="22"/>
          <w:szCs w:val="22"/>
        </w:rPr>
        <w:t xml:space="preserve">The remaining </w:t>
      </w:r>
      <w:r w:rsidR="0039246C" w:rsidRPr="0039246C">
        <w:rPr>
          <w:rFonts w:ascii="Calibri" w:hAnsi="Calibri"/>
          <w:sz w:val="22"/>
          <w:szCs w:val="22"/>
        </w:rPr>
        <w:t xml:space="preserve">USD 0.98 billion went to </w:t>
      </w:r>
      <w:r w:rsidR="0039246C">
        <w:rPr>
          <w:rFonts w:ascii="Calibri" w:hAnsi="Calibri"/>
          <w:sz w:val="22"/>
          <w:szCs w:val="22"/>
        </w:rPr>
        <w:t xml:space="preserve">the 25 </w:t>
      </w:r>
      <w:r w:rsidR="0039246C" w:rsidRPr="0039246C">
        <w:rPr>
          <w:rFonts w:ascii="Calibri" w:hAnsi="Calibri"/>
          <w:sz w:val="22"/>
          <w:szCs w:val="22"/>
        </w:rPr>
        <w:t>non-CAADP countries</w:t>
      </w:r>
      <w:r>
        <w:rPr>
          <w:rFonts w:ascii="Calibri" w:hAnsi="Calibri"/>
          <w:sz w:val="22"/>
          <w:szCs w:val="22"/>
        </w:rPr>
        <w:t xml:space="preserve"> – an average of 39 million per country</w:t>
      </w:r>
      <w:r w:rsidR="0052661F">
        <w:rPr>
          <w:rFonts w:ascii="Calibri" w:hAnsi="Calibri"/>
          <w:sz w:val="22"/>
          <w:szCs w:val="22"/>
        </w:rPr>
        <w:t xml:space="preserve">, as shown in Figure </w:t>
      </w:r>
      <w:r w:rsidR="008A6E51">
        <w:rPr>
          <w:rFonts w:ascii="Calibri" w:hAnsi="Calibri"/>
          <w:sz w:val="22"/>
          <w:szCs w:val="22"/>
        </w:rPr>
        <w:t>1</w:t>
      </w:r>
      <w:r w:rsidR="0045510A">
        <w:rPr>
          <w:rFonts w:ascii="Calibri" w:hAnsi="Calibri"/>
          <w:sz w:val="22"/>
          <w:szCs w:val="22"/>
        </w:rPr>
        <w:t>3</w:t>
      </w:r>
      <w:r w:rsidR="0052661F">
        <w:rPr>
          <w:rFonts w:ascii="Calibri" w:hAnsi="Calibri"/>
          <w:sz w:val="22"/>
          <w:szCs w:val="22"/>
        </w:rPr>
        <w:t xml:space="preserve"> below</w:t>
      </w:r>
      <w:r w:rsidR="0039246C" w:rsidRPr="0039246C">
        <w:rPr>
          <w:rFonts w:ascii="Calibri" w:hAnsi="Calibri"/>
          <w:sz w:val="22"/>
          <w:szCs w:val="22"/>
        </w:rPr>
        <w:t>.</w:t>
      </w:r>
    </w:p>
    <w:p w:rsidR="00743CC6" w:rsidRDefault="00A00531" w:rsidP="006F106E">
      <w:pPr>
        <w:jc w:val="center"/>
        <w:rPr>
          <w:rFonts w:ascii="Calibri" w:hAnsi="Calibri"/>
          <w:b/>
          <w:sz w:val="22"/>
          <w:szCs w:val="22"/>
        </w:rPr>
      </w:pPr>
      <w:r w:rsidRPr="00A00531">
        <w:rPr>
          <w:rFonts w:ascii="Calibri" w:hAnsi="Calibri"/>
          <w:b/>
          <w:sz w:val="22"/>
          <w:szCs w:val="22"/>
        </w:rPr>
        <w:t>Figure</w:t>
      </w:r>
      <w:r w:rsidR="008A6E51">
        <w:rPr>
          <w:rFonts w:ascii="Calibri" w:hAnsi="Calibri"/>
          <w:b/>
          <w:sz w:val="22"/>
          <w:szCs w:val="22"/>
        </w:rPr>
        <w:t xml:space="preserve"> 1</w:t>
      </w:r>
      <w:r w:rsidR="0045510A">
        <w:rPr>
          <w:rFonts w:ascii="Calibri" w:hAnsi="Calibri"/>
          <w:b/>
          <w:sz w:val="22"/>
          <w:szCs w:val="22"/>
        </w:rPr>
        <w:t>3</w:t>
      </w:r>
      <w:r w:rsidRPr="00A00531">
        <w:rPr>
          <w:rFonts w:ascii="Calibri" w:hAnsi="Calibri"/>
          <w:b/>
          <w:sz w:val="22"/>
          <w:szCs w:val="22"/>
        </w:rPr>
        <w:t xml:space="preserve">: </w:t>
      </w:r>
      <w:r w:rsidR="00743CC6">
        <w:rPr>
          <w:rFonts w:ascii="Calibri" w:hAnsi="Calibri"/>
          <w:b/>
          <w:sz w:val="22"/>
          <w:szCs w:val="22"/>
        </w:rPr>
        <w:t xml:space="preserve">Average </w:t>
      </w:r>
      <w:r w:rsidR="006F106E">
        <w:rPr>
          <w:rFonts w:ascii="Calibri" w:hAnsi="Calibri"/>
          <w:b/>
          <w:sz w:val="22"/>
          <w:szCs w:val="22"/>
        </w:rPr>
        <w:t xml:space="preserve">ODA Commitments to </w:t>
      </w:r>
      <w:r w:rsidR="00743CC6">
        <w:rPr>
          <w:rFonts w:ascii="Calibri" w:hAnsi="Calibri"/>
          <w:b/>
          <w:sz w:val="22"/>
          <w:szCs w:val="22"/>
        </w:rPr>
        <w:t xml:space="preserve">the </w:t>
      </w:r>
      <w:r w:rsidR="006F106E">
        <w:rPr>
          <w:rFonts w:ascii="Calibri" w:hAnsi="Calibri"/>
          <w:b/>
          <w:sz w:val="22"/>
          <w:szCs w:val="22"/>
        </w:rPr>
        <w:t>Agriculture, Forestry and Fishing</w:t>
      </w:r>
      <w:r w:rsidR="00743CC6">
        <w:rPr>
          <w:rFonts w:ascii="Calibri" w:hAnsi="Calibri"/>
          <w:b/>
          <w:sz w:val="22"/>
          <w:szCs w:val="22"/>
        </w:rPr>
        <w:t xml:space="preserve"> sector</w:t>
      </w:r>
    </w:p>
    <w:p w:rsidR="00A00531" w:rsidRPr="00A00531" w:rsidRDefault="006F106E" w:rsidP="006F106E">
      <w:pPr>
        <w:jc w:val="center"/>
        <w:rPr>
          <w:rFonts w:asciiTheme="minorHAnsi" w:hAnsiTheme="minorHAnsi" w:cs="Arial"/>
          <w:b/>
          <w:sz w:val="22"/>
          <w:szCs w:val="22"/>
        </w:rPr>
      </w:pPr>
      <w:r>
        <w:rPr>
          <w:rFonts w:ascii="Calibri" w:hAnsi="Calibri"/>
          <w:b/>
          <w:sz w:val="22"/>
          <w:szCs w:val="22"/>
        </w:rPr>
        <w:t xml:space="preserve"> in African Countries with and without a CAADP Compact in 2011</w:t>
      </w:r>
      <w:r w:rsidR="00743CC6">
        <w:rPr>
          <w:rFonts w:ascii="Calibri" w:hAnsi="Calibri"/>
          <w:b/>
          <w:sz w:val="22"/>
          <w:szCs w:val="22"/>
        </w:rPr>
        <w:t xml:space="preserve"> (in USD millions)</w:t>
      </w:r>
      <w:r>
        <w:rPr>
          <w:rStyle w:val="FootnoteReference"/>
          <w:rFonts w:ascii="Calibri" w:hAnsi="Calibri"/>
          <w:b/>
          <w:sz w:val="22"/>
          <w:szCs w:val="22"/>
        </w:rPr>
        <w:footnoteReference w:id="131"/>
      </w:r>
    </w:p>
    <w:p w:rsidR="0039246C" w:rsidRDefault="00A00531" w:rsidP="00A00531">
      <w:pPr>
        <w:spacing w:after="120" w:line="276" w:lineRule="auto"/>
        <w:jc w:val="center"/>
        <w:rPr>
          <w:rFonts w:asciiTheme="minorHAnsi" w:hAnsiTheme="minorHAnsi" w:cs="Arial"/>
          <w:sz w:val="22"/>
          <w:szCs w:val="22"/>
        </w:rPr>
      </w:pPr>
      <w:r>
        <w:rPr>
          <w:noProof/>
          <w:lang w:val="fr-FR" w:eastAsia="fr-FR"/>
        </w:rPr>
        <w:drawing>
          <wp:inline distT="0" distB="0" distL="0" distR="0">
            <wp:extent cx="3876675" cy="17049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1F0F" w:rsidRDefault="00B81F0F" w:rsidP="00B81F0F">
      <w:pPr>
        <w:spacing w:after="120" w:line="276" w:lineRule="auto"/>
        <w:jc w:val="both"/>
        <w:rPr>
          <w:rFonts w:asciiTheme="minorHAnsi" w:hAnsiTheme="minorHAnsi" w:cs="Arial"/>
          <w:sz w:val="22"/>
          <w:szCs w:val="22"/>
        </w:rPr>
      </w:pPr>
      <w:r>
        <w:rPr>
          <w:rFonts w:asciiTheme="minorHAnsi" w:hAnsiTheme="minorHAnsi" w:cs="Arial"/>
          <w:sz w:val="22"/>
          <w:szCs w:val="22"/>
        </w:rPr>
        <w:t xml:space="preserve">Using data from </w:t>
      </w:r>
      <w:r w:rsidR="00871A8D">
        <w:rPr>
          <w:rFonts w:asciiTheme="minorHAnsi" w:hAnsiTheme="minorHAnsi" w:cs="Arial"/>
          <w:sz w:val="22"/>
          <w:szCs w:val="22"/>
        </w:rPr>
        <w:t xml:space="preserve">the </w:t>
      </w:r>
      <w:r>
        <w:rPr>
          <w:rFonts w:asciiTheme="minorHAnsi" w:hAnsiTheme="minorHAnsi" w:cs="Arial"/>
          <w:sz w:val="22"/>
          <w:szCs w:val="22"/>
        </w:rPr>
        <w:t>OECD</w:t>
      </w:r>
      <w:r w:rsidR="00871A8D">
        <w:rPr>
          <w:rFonts w:asciiTheme="minorHAnsi" w:hAnsiTheme="minorHAnsi" w:cs="Arial"/>
          <w:sz w:val="22"/>
          <w:szCs w:val="22"/>
        </w:rPr>
        <w:t>’s Creditor Reporting System</w:t>
      </w:r>
      <w:r>
        <w:rPr>
          <w:rFonts w:asciiTheme="minorHAnsi" w:hAnsiTheme="minorHAnsi" w:cs="Arial"/>
          <w:sz w:val="22"/>
          <w:szCs w:val="22"/>
        </w:rPr>
        <w:t>, we ran a series of correlation analyses in SPSS to explore</w:t>
      </w:r>
      <w:r w:rsidR="00270994">
        <w:rPr>
          <w:rFonts w:asciiTheme="minorHAnsi" w:hAnsiTheme="minorHAnsi" w:cs="Arial"/>
          <w:sz w:val="22"/>
          <w:szCs w:val="22"/>
        </w:rPr>
        <w:t>:</w:t>
      </w:r>
      <w:r>
        <w:rPr>
          <w:rFonts w:asciiTheme="minorHAnsi" w:hAnsiTheme="minorHAnsi" w:cs="Arial"/>
          <w:sz w:val="22"/>
          <w:szCs w:val="22"/>
        </w:rPr>
        <w:t xml:space="preserve"> </w:t>
      </w:r>
      <w:r w:rsidR="00270994">
        <w:rPr>
          <w:rFonts w:asciiTheme="minorHAnsi" w:hAnsiTheme="minorHAnsi" w:cs="Arial"/>
          <w:sz w:val="22"/>
          <w:szCs w:val="22"/>
        </w:rPr>
        <w:t>(</w:t>
      </w:r>
      <w:proofErr w:type="spellStart"/>
      <w:r w:rsidR="002B7DCD">
        <w:rPr>
          <w:rFonts w:asciiTheme="minorHAnsi" w:hAnsiTheme="minorHAnsi" w:cs="Arial"/>
          <w:sz w:val="22"/>
          <w:szCs w:val="22"/>
        </w:rPr>
        <w:t>i</w:t>
      </w:r>
      <w:proofErr w:type="spellEnd"/>
      <w:r w:rsidR="002B7DCD">
        <w:rPr>
          <w:rFonts w:asciiTheme="minorHAnsi" w:hAnsiTheme="minorHAnsi" w:cs="Arial"/>
          <w:sz w:val="22"/>
          <w:szCs w:val="22"/>
        </w:rPr>
        <w:t xml:space="preserve">) </w:t>
      </w:r>
      <w:r>
        <w:rPr>
          <w:rFonts w:asciiTheme="minorHAnsi" w:hAnsiTheme="minorHAnsi" w:cs="Arial"/>
          <w:sz w:val="22"/>
          <w:szCs w:val="22"/>
        </w:rPr>
        <w:t>the impact of having a CAADP Compact on levels of investment</w:t>
      </w:r>
      <w:r w:rsidR="002B7DCD">
        <w:rPr>
          <w:rFonts w:asciiTheme="minorHAnsi" w:hAnsiTheme="minorHAnsi" w:cs="Arial"/>
          <w:sz w:val="22"/>
          <w:szCs w:val="22"/>
        </w:rPr>
        <w:t>;</w:t>
      </w:r>
      <w:r>
        <w:rPr>
          <w:rFonts w:asciiTheme="minorHAnsi" w:hAnsiTheme="minorHAnsi" w:cs="Arial"/>
          <w:sz w:val="22"/>
          <w:szCs w:val="22"/>
        </w:rPr>
        <w:t xml:space="preserve"> </w:t>
      </w:r>
      <w:r w:rsidR="00270994">
        <w:rPr>
          <w:rFonts w:asciiTheme="minorHAnsi" w:hAnsiTheme="minorHAnsi" w:cs="Arial"/>
          <w:sz w:val="22"/>
          <w:szCs w:val="22"/>
        </w:rPr>
        <w:t>(</w:t>
      </w:r>
      <w:r w:rsidR="002B7DCD">
        <w:rPr>
          <w:rFonts w:asciiTheme="minorHAnsi" w:hAnsiTheme="minorHAnsi" w:cs="Arial"/>
          <w:sz w:val="22"/>
          <w:szCs w:val="22"/>
        </w:rPr>
        <w:t xml:space="preserve">ii) </w:t>
      </w:r>
      <w:r w:rsidR="00743CC6">
        <w:rPr>
          <w:rFonts w:asciiTheme="minorHAnsi" w:hAnsiTheme="minorHAnsi" w:cs="Arial"/>
          <w:sz w:val="22"/>
          <w:szCs w:val="22"/>
        </w:rPr>
        <w:t>whether countries</w:t>
      </w:r>
      <w:r>
        <w:rPr>
          <w:rFonts w:asciiTheme="minorHAnsi" w:hAnsiTheme="minorHAnsi" w:cs="Arial"/>
          <w:sz w:val="22"/>
          <w:szCs w:val="22"/>
        </w:rPr>
        <w:t xml:space="preserve"> more heavily dependent on agriculture (as measured by the total agricultural labour force and percentage of labour force in agriculture)</w:t>
      </w:r>
      <w:r>
        <w:rPr>
          <w:rStyle w:val="FootnoteReference"/>
          <w:rFonts w:asciiTheme="minorHAnsi" w:hAnsiTheme="minorHAnsi" w:cs="Arial"/>
          <w:sz w:val="22"/>
          <w:szCs w:val="22"/>
        </w:rPr>
        <w:footnoteReference w:id="132"/>
      </w:r>
      <w:r>
        <w:rPr>
          <w:rFonts w:asciiTheme="minorHAnsi" w:hAnsiTheme="minorHAnsi" w:cs="Arial"/>
          <w:sz w:val="22"/>
          <w:szCs w:val="22"/>
        </w:rPr>
        <w:t xml:space="preserve"> were more likely to sign a CAADP compact first, </w:t>
      </w:r>
      <w:r w:rsidR="00270994">
        <w:rPr>
          <w:rFonts w:asciiTheme="minorHAnsi" w:hAnsiTheme="minorHAnsi" w:cs="Arial"/>
          <w:sz w:val="22"/>
          <w:szCs w:val="22"/>
        </w:rPr>
        <w:t>(</w:t>
      </w:r>
      <w:r w:rsidR="002B7DCD">
        <w:rPr>
          <w:rFonts w:asciiTheme="minorHAnsi" w:hAnsiTheme="minorHAnsi" w:cs="Arial"/>
          <w:sz w:val="22"/>
          <w:szCs w:val="22"/>
        </w:rPr>
        <w:t xml:space="preserve">iii) </w:t>
      </w:r>
      <w:r>
        <w:rPr>
          <w:rFonts w:asciiTheme="minorHAnsi" w:hAnsiTheme="minorHAnsi" w:cs="Arial"/>
          <w:sz w:val="22"/>
          <w:szCs w:val="22"/>
        </w:rPr>
        <w:t>whether levels of agricultural investment are proportional to the agricultural labour force</w:t>
      </w:r>
      <w:r w:rsidR="00270994">
        <w:rPr>
          <w:rFonts w:asciiTheme="minorHAnsi" w:hAnsiTheme="minorHAnsi" w:cs="Arial"/>
          <w:sz w:val="22"/>
          <w:szCs w:val="22"/>
        </w:rPr>
        <w:t xml:space="preserve">; and (iv) how levels of investment change after Compact signing in subsequent years </w:t>
      </w:r>
      <w:r>
        <w:rPr>
          <w:rFonts w:asciiTheme="minorHAnsi" w:hAnsiTheme="minorHAnsi" w:cs="Arial"/>
          <w:sz w:val="22"/>
          <w:szCs w:val="22"/>
        </w:rPr>
        <w:t>.</w:t>
      </w:r>
    </w:p>
    <w:p w:rsidR="002B7DCD" w:rsidRDefault="00270994" w:rsidP="008A7693">
      <w:pPr>
        <w:spacing w:line="276" w:lineRule="auto"/>
        <w:jc w:val="both"/>
        <w:rPr>
          <w:rFonts w:asciiTheme="minorHAnsi" w:hAnsiTheme="minorHAnsi" w:cs="Arial"/>
          <w:b/>
          <w:sz w:val="22"/>
          <w:szCs w:val="22"/>
        </w:rPr>
      </w:pPr>
      <w:r>
        <w:rPr>
          <w:rFonts w:asciiTheme="minorHAnsi" w:hAnsiTheme="minorHAnsi" w:cs="Arial"/>
          <w:b/>
          <w:sz w:val="22"/>
          <w:szCs w:val="22"/>
        </w:rPr>
        <w:t>(</w:t>
      </w:r>
      <w:proofErr w:type="spellStart"/>
      <w:r>
        <w:rPr>
          <w:rFonts w:asciiTheme="minorHAnsi" w:hAnsiTheme="minorHAnsi" w:cs="Arial"/>
          <w:b/>
          <w:sz w:val="22"/>
          <w:szCs w:val="22"/>
        </w:rPr>
        <w:t>i</w:t>
      </w:r>
      <w:proofErr w:type="spellEnd"/>
      <w:r>
        <w:rPr>
          <w:rFonts w:asciiTheme="minorHAnsi" w:hAnsiTheme="minorHAnsi" w:cs="Arial"/>
          <w:b/>
          <w:sz w:val="22"/>
          <w:szCs w:val="22"/>
        </w:rPr>
        <w:t xml:space="preserve">) Are countries with </w:t>
      </w:r>
      <w:r w:rsidR="008A7693">
        <w:rPr>
          <w:rFonts w:asciiTheme="minorHAnsi" w:hAnsiTheme="minorHAnsi" w:cs="Arial"/>
          <w:b/>
          <w:sz w:val="22"/>
          <w:szCs w:val="22"/>
        </w:rPr>
        <w:t>a CAADP C</w:t>
      </w:r>
      <w:r w:rsidR="002B7DCD" w:rsidRPr="002B7DCD">
        <w:rPr>
          <w:rFonts w:asciiTheme="minorHAnsi" w:hAnsiTheme="minorHAnsi" w:cs="Arial"/>
          <w:b/>
          <w:sz w:val="22"/>
          <w:szCs w:val="22"/>
        </w:rPr>
        <w:t xml:space="preserve">ompact </w:t>
      </w:r>
      <w:r>
        <w:rPr>
          <w:rFonts w:asciiTheme="minorHAnsi" w:hAnsiTheme="minorHAnsi" w:cs="Arial"/>
          <w:b/>
          <w:sz w:val="22"/>
          <w:szCs w:val="22"/>
        </w:rPr>
        <w:t>more likely to have higher</w:t>
      </w:r>
      <w:r w:rsidR="002B7DCD" w:rsidRPr="002B7DCD">
        <w:rPr>
          <w:rFonts w:asciiTheme="minorHAnsi" w:hAnsiTheme="minorHAnsi" w:cs="Arial"/>
          <w:b/>
          <w:sz w:val="22"/>
          <w:szCs w:val="22"/>
        </w:rPr>
        <w:t xml:space="preserve"> levels </w:t>
      </w:r>
      <w:r>
        <w:rPr>
          <w:rFonts w:asciiTheme="minorHAnsi" w:hAnsiTheme="minorHAnsi" w:cs="Arial"/>
          <w:b/>
          <w:sz w:val="22"/>
          <w:szCs w:val="22"/>
        </w:rPr>
        <w:t>of investment?</w:t>
      </w:r>
      <w:r w:rsidR="002B7DCD" w:rsidRPr="002B7DCD">
        <w:rPr>
          <w:rFonts w:asciiTheme="minorHAnsi" w:hAnsiTheme="minorHAnsi" w:cs="Arial"/>
          <w:b/>
          <w:sz w:val="22"/>
          <w:szCs w:val="22"/>
        </w:rPr>
        <w:t xml:space="preserve"> </w:t>
      </w:r>
    </w:p>
    <w:p w:rsidR="008A7693" w:rsidRPr="001C2728" w:rsidRDefault="008A7693" w:rsidP="008A7693">
      <w:pPr>
        <w:spacing w:after="120" w:line="276" w:lineRule="auto"/>
        <w:jc w:val="both"/>
        <w:rPr>
          <w:rFonts w:asciiTheme="minorHAnsi" w:hAnsiTheme="minorHAnsi" w:cs="Arial"/>
          <w:sz w:val="22"/>
          <w:szCs w:val="22"/>
        </w:rPr>
      </w:pPr>
      <w:r w:rsidRPr="001C2728">
        <w:rPr>
          <w:rFonts w:asciiTheme="minorHAnsi" w:hAnsiTheme="minorHAnsi" w:cs="Arial"/>
          <w:sz w:val="22"/>
          <w:szCs w:val="22"/>
        </w:rPr>
        <w:t>The correlation analysis found there is a statistically significant positive relationship between having a Compact and the level of investment in 2010 and 2011</w:t>
      </w:r>
      <w:r w:rsidRPr="001C2728">
        <w:rPr>
          <w:rStyle w:val="FootnoteReference"/>
          <w:rFonts w:asciiTheme="minorHAnsi" w:hAnsiTheme="minorHAnsi" w:cs="Arial"/>
          <w:sz w:val="22"/>
          <w:szCs w:val="22"/>
        </w:rPr>
        <w:footnoteReference w:id="133"/>
      </w:r>
      <w:r w:rsidRPr="001C2728">
        <w:rPr>
          <w:rFonts w:asciiTheme="minorHAnsi" w:hAnsiTheme="minorHAnsi" w:cs="Arial"/>
          <w:sz w:val="22"/>
          <w:szCs w:val="22"/>
        </w:rPr>
        <w:t xml:space="preserve"> - countries with a Compact in 2010 have higher investment levels in 2010 and 2011 than countries without a Compact. </w:t>
      </w:r>
      <w:r w:rsidRPr="001C2728">
        <w:rPr>
          <w:rFonts w:asciiTheme="minorHAnsi" w:hAnsiTheme="minorHAnsi"/>
          <w:sz w:val="22"/>
          <w:szCs w:val="22"/>
        </w:rPr>
        <w:t xml:space="preserve"> Indeed, </w:t>
      </w:r>
      <w:r w:rsidRPr="001C2728">
        <w:rPr>
          <w:rFonts w:asciiTheme="minorHAnsi" w:hAnsiTheme="minorHAnsi" w:cs="Arial"/>
          <w:sz w:val="22"/>
          <w:szCs w:val="22"/>
        </w:rPr>
        <w:t xml:space="preserve">with the exception of Morocco and Cameroon, the top 10 recipients of bilateral ODA in 2011 all had signed a CAADP Compact or were in the process of signing it that year (see Section </w:t>
      </w:r>
      <w:r w:rsidR="00E25445" w:rsidRPr="001C2728">
        <w:rPr>
          <w:rFonts w:asciiTheme="minorHAnsi" w:hAnsiTheme="minorHAnsi" w:cs="Arial"/>
          <w:sz w:val="22"/>
          <w:szCs w:val="22"/>
        </w:rPr>
        <w:t>2</w:t>
      </w:r>
      <w:r w:rsidRPr="001C2728">
        <w:rPr>
          <w:rFonts w:asciiTheme="minorHAnsi" w:hAnsiTheme="minorHAnsi" w:cs="Arial"/>
          <w:sz w:val="22"/>
          <w:szCs w:val="22"/>
        </w:rPr>
        <w:t xml:space="preserve">).   Similarly, all focus countries of the large agriculture/food security investment initiatives - Feed the Future, G8 New Alliance, and Grow Africa - have signed Compacts and either </w:t>
      </w:r>
      <w:r w:rsidR="001C2728" w:rsidRPr="001C2728">
        <w:rPr>
          <w:rFonts w:asciiTheme="minorHAnsi" w:hAnsiTheme="minorHAnsi" w:cs="Arial"/>
          <w:sz w:val="22"/>
          <w:szCs w:val="22"/>
        </w:rPr>
        <w:t>has</w:t>
      </w:r>
      <w:r w:rsidRPr="001C2728">
        <w:rPr>
          <w:rFonts w:asciiTheme="minorHAnsi" w:hAnsiTheme="minorHAnsi" w:cs="Arial"/>
          <w:sz w:val="22"/>
          <w:szCs w:val="22"/>
        </w:rPr>
        <w:t xml:space="preserve"> Investment Plans or </w:t>
      </w:r>
      <w:r w:rsidR="001C2728" w:rsidRPr="001C2728">
        <w:rPr>
          <w:rFonts w:asciiTheme="minorHAnsi" w:hAnsiTheme="minorHAnsi" w:cs="Arial"/>
          <w:sz w:val="22"/>
          <w:szCs w:val="22"/>
        </w:rPr>
        <w:t>is</w:t>
      </w:r>
      <w:r w:rsidRPr="001C2728">
        <w:rPr>
          <w:rFonts w:asciiTheme="minorHAnsi" w:hAnsiTheme="minorHAnsi" w:cs="Arial"/>
          <w:sz w:val="22"/>
          <w:szCs w:val="22"/>
        </w:rPr>
        <w:t xml:space="preserve"> working towards them.  Conversely, those countries who have not yet signed Compacts have not been able to access these investment streams (see Annex 5). </w:t>
      </w:r>
    </w:p>
    <w:p w:rsidR="008A7693" w:rsidRPr="001C2728" w:rsidRDefault="008A7693" w:rsidP="008A7693">
      <w:pPr>
        <w:spacing w:after="120" w:line="276" w:lineRule="auto"/>
        <w:jc w:val="both"/>
        <w:rPr>
          <w:rFonts w:asciiTheme="minorHAnsi" w:hAnsiTheme="minorHAnsi"/>
          <w:sz w:val="22"/>
          <w:szCs w:val="22"/>
        </w:rPr>
      </w:pPr>
      <w:r w:rsidRPr="001C2728">
        <w:rPr>
          <w:rFonts w:asciiTheme="minorHAnsi" w:hAnsiTheme="minorHAnsi" w:cs="Arial"/>
          <w:sz w:val="22"/>
          <w:szCs w:val="22"/>
        </w:rPr>
        <w:t xml:space="preserve">There is also a significant positive relationship between having a Compact and the average level of investment for 2007-2011.  </w:t>
      </w:r>
      <w:r w:rsidRPr="001C2728">
        <w:rPr>
          <w:rFonts w:asciiTheme="minorHAnsi" w:hAnsiTheme="minorHAnsi"/>
          <w:sz w:val="22"/>
          <w:szCs w:val="22"/>
        </w:rPr>
        <w:t xml:space="preserve">Those countries that signed a Compact by 2010 were more likely to have higher average levels of investment over this period. This relationship also follows for those signing the Compact by 2011. </w:t>
      </w:r>
    </w:p>
    <w:p w:rsidR="008A7693" w:rsidRDefault="008A7693" w:rsidP="008A7693">
      <w:pPr>
        <w:spacing w:after="120" w:line="276" w:lineRule="auto"/>
        <w:jc w:val="both"/>
        <w:rPr>
          <w:rFonts w:asciiTheme="minorHAnsi" w:hAnsiTheme="minorHAnsi" w:cs="Arial"/>
          <w:sz w:val="22"/>
          <w:szCs w:val="22"/>
        </w:rPr>
      </w:pPr>
    </w:p>
    <w:p w:rsidR="002B7DCD" w:rsidRPr="00270994" w:rsidRDefault="00270994" w:rsidP="008A7693">
      <w:pPr>
        <w:spacing w:line="276" w:lineRule="auto"/>
        <w:jc w:val="both"/>
        <w:rPr>
          <w:rFonts w:asciiTheme="minorHAnsi" w:hAnsiTheme="minorHAnsi" w:cs="Arial"/>
          <w:b/>
          <w:sz w:val="22"/>
          <w:szCs w:val="22"/>
        </w:rPr>
      </w:pPr>
      <w:r w:rsidRPr="00270994">
        <w:rPr>
          <w:rFonts w:asciiTheme="minorHAnsi" w:hAnsiTheme="minorHAnsi" w:cs="Arial"/>
          <w:b/>
          <w:sz w:val="22"/>
          <w:szCs w:val="22"/>
        </w:rPr>
        <w:lastRenderedPageBreak/>
        <w:t>(</w:t>
      </w:r>
      <w:r w:rsidR="002B7DCD" w:rsidRPr="00270994">
        <w:rPr>
          <w:rFonts w:asciiTheme="minorHAnsi" w:hAnsiTheme="minorHAnsi" w:cs="Arial"/>
          <w:b/>
          <w:sz w:val="22"/>
          <w:szCs w:val="22"/>
        </w:rPr>
        <w:t xml:space="preserve">ii) </w:t>
      </w:r>
      <w:r w:rsidRPr="00270994">
        <w:rPr>
          <w:rFonts w:asciiTheme="minorHAnsi" w:hAnsiTheme="minorHAnsi" w:cs="Arial"/>
          <w:b/>
          <w:sz w:val="22"/>
          <w:szCs w:val="22"/>
        </w:rPr>
        <w:t xml:space="preserve">Are </w:t>
      </w:r>
      <w:r>
        <w:rPr>
          <w:rFonts w:asciiTheme="minorHAnsi" w:hAnsiTheme="minorHAnsi" w:cs="Arial"/>
          <w:b/>
          <w:sz w:val="22"/>
          <w:szCs w:val="22"/>
        </w:rPr>
        <w:t xml:space="preserve">agricultural </w:t>
      </w:r>
      <w:r w:rsidR="002B7DCD" w:rsidRPr="00270994">
        <w:rPr>
          <w:rFonts w:asciiTheme="minorHAnsi" w:hAnsiTheme="minorHAnsi" w:cs="Arial"/>
          <w:b/>
          <w:sz w:val="22"/>
          <w:szCs w:val="22"/>
        </w:rPr>
        <w:t xml:space="preserve">countries </w:t>
      </w:r>
      <w:r w:rsidR="003C6076" w:rsidRPr="00270994">
        <w:rPr>
          <w:rFonts w:asciiTheme="minorHAnsi" w:hAnsiTheme="minorHAnsi" w:cs="Arial"/>
          <w:b/>
          <w:sz w:val="22"/>
          <w:szCs w:val="22"/>
        </w:rPr>
        <w:t>more likely to sign a CAADP compact first</w:t>
      </w:r>
      <w:r w:rsidRPr="00270994">
        <w:rPr>
          <w:rFonts w:asciiTheme="minorHAnsi" w:hAnsiTheme="minorHAnsi" w:cs="Arial"/>
          <w:b/>
          <w:sz w:val="22"/>
          <w:szCs w:val="22"/>
        </w:rPr>
        <w:t>?</w:t>
      </w:r>
    </w:p>
    <w:p w:rsidR="008A7693" w:rsidRPr="001C2728" w:rsidRDefault="008A7693" w:rsidP="008A7693">
      <w:pPr>
        <w:spacing w:after="120" w:line="276" w:lineRule="auto"/>
        <w:jc w:val="both"/>
        <w:rPr>
          <w:rFonts w:asciiTheme="minorHAnsi" w:hAnsiTheme="minorHAnsi" w:cs="Arial"/>
          <w:sz w:val="22"/>
          <w:szCs w:val="22"/>
        </w:rPr>
      </w:pPr>
      <w:r w:rsidRPr="001C2728">
        <w:rPr>
          <w:rFonts w:asciiTheme="minorHAnsi" w:hAnsiTheme="minorHAnsi" w:cs="Arial"/>
          <w:sz w:val="22"/>
          <w:szCs w:val="22"/>
        </w:rPr>
        <w:t xml:space="preserve">We also looked at whether countries more heavily dependent on agriculture (as measured by the total agricultural labour force and percentage of labour force in agriculture) were more likely to have a Compact. There is a statistically significant positive relationship between having a Compact and the percentage of the labour force in agriculture. Those countries with a larger agricultural labour force (both in absolute numbers and as a percentage of their labour force) were more likely to have signed a Compact than those with a smaller agricultural labour force.  </w:t>
      </w:r>
    </w:p>
    <w:p w:rsidR="003C6076" w:rsidRDefault="00270994" w:rsidP="007E69F8">
      <w:pPr>
        <w:jc w:val="both"/>
        <w:rPr>
          <w:rFonts w:asciiTheme="minorHAnsi" w:hAnsiTheme="minorHAnsi" w:cs="Arial"/>
          <w:b/>
          <w:sz w:val="22"/>
          <w:szCs w:val="22"/>
        </w:rPr>
      </w:pPr>
      <w:r>
        <w:rPr>
          <w:rFonts w:asciiTheme="minorHAnsi" w:hAnsiTheme="minorHAnsi" w:cs="Arial"/>
          <w:b/>
          <w:sz w:val="22"/>
          <w:szCs w:val="22"/>
        </w:rPr>
        <w:t>(</w:t>
      </w:r>
      <w:r w:rsidR="003C6076" w:rsidRPr="00270994">
        <w:rPr>
          <w:rFonts w:asciiTheme="minorHAnsi" w:hAnsiTheme="minorHAnsi" w:cs="Arial"/>
          <w:b/>
          <w:sz w:val="22"/>
          <w:szCs w:val="22"/>
        </w:rPr>
        <w:t xml:space="preserve">iii) </w:t>
      </w:r>
      <w:r>
        <w:rPr>
          <w:rFonts w:asciiTheme="minorHAnsi" w:hAnsiTheme="minorHAnsi" w:cs="Arial"/>
          <w:b/>
          <w:sz w:val="22"/>
          <w:szCs w:val="22"/>
        </w:rPr>
        <w:t xml:space="preserve">Are </w:t>
      </w:r>
      <w:r w:rsidR="003C6076" w:rsidRPr="00270994">
        <w:rPr>
          <w:rFonts w:asciiTheme="minorHAnsi" w:hAnsiTheme="minorHAnsi" w:cs="Arial"/>
          <w:b/>
          <w:sz w:val="22"/>
          <w:szCs w:val="22"/>
        </w:rPr>
        <w:t>levels of agricultural investment proportional t</w:t>
      </w:r>
      <w:r>
        <w:rPr>
          <w:rFonts w:asciiTheme="minorHAnsi" w:hAnsiTheme="minorHAnsi" w:cs="Arial"/>
          <w:b/>
          <w:sz w:val="22"/>
          <w:szCs w:val="22"/>
        </w:rPr>
        <w:t>o the agricultural labour force?</w:t>
      </w:r>
    </w:p>
    <w:p w:rsidR="007E69F8" w:rsidRPr="001C2728" w:rsidRDefault="007E69F8" w:rsidP="00E25445">
      <w:pPr>
        <w:spacing w:after="120" w:line="276" w:lineRule="auto"/>
        <w:jc w:val="both"/>
        <w:rPr>
          <w:rFonts w:asciiTheme="minorHAnsi" w:hAnsiTheme="minorHAnsi" w:cs="Arial"/>
          <w:sz w:val="22"/>
          <w:szCs w:val="22"/>
        </w:rPr>
      </w:pPr>
      <w:r w:rsidRPr="001C2728">
        <w:rPr>
          <w:rFonts w:asciiTheme="minorHAnsi" w:hAnsiTheme="minorHAnsi" w:cs="Arial"/>
          <w:sz w:val="22"/>
          <w:szCs w:val="22"/>
        </w:rPr>
        <w:t xml:space="preserve">There is a not a statistically significant relationship between the proportion of the labour force employed in agriculture and levels of investment per agricultural worker. This suggests that overall levels of investment, while linked to Compacts and directed towards agricultural countries, are not in proportion to the agricultural labour force. Investment is spread more thinly in countries heavily dependent on agriculture.  For example, Ethiopia received USD </w:t>
      </w:r>
      <w:r w:rsidR="00B30265" w:rsidRPr="001C2728">
        <w:rPr>
          <w:rFonts w:asciiTheme="minorHAnsi" w:hAnsiTheme="minorHAnsi" w:cs="Arial"/>
          <w:sz w:val="22"/>
          <w:szCs w:val="22"/>
        </w:rPr>
        <w:t>170.8</w:t>
      </w:r>
      <w:r w:rsidRPr="001C2728">
        <w:rPr>
          <w:rFonts w:asciiTheme="minorHAnsi" w:hAnsiTheme="minorHAnsi" w:cs="Arial"/>
          <w:sz w:val="22"/>
          <w:szCs w:val="22"/>
        </w:rPr>
        <w:t xml:space="preserve"> million in 2011, but at just USD 5.30 per agricultural worker this was proportionally less t</w:t>
      </w:r>
      <w:r w:rsidR="00B30265" w:rsidRPr="001C2728">
        <w:rPr>
          <w:rFonts w:asciiTheme="minorHAnsi" w:hAnsiTheme="minorHAnsi" w:cs="Arial"/>
          <w:sz w:val="22"/>
          <w:szCs w:val="22"/>
        </w:rPr>
        <w:t xml:space="preserve">han South Africa, receiving USD </w:t>
      </w:r>
      <w:r w:rsidRPr="001C2728">
        <w:rPr>
          <w:rFonts w:asciiTheme="minorHAnsi" w:hAnsiTheme="minorHAnsi" w:cs="Arial"/>
          <w:sz w:val="22"/>
          <w:szCs w:val="22"/>
        </w:rPr>
        <w:t xml:space="preserve">21.2 million but the equivalent of USD 13.40 per agricultural </w:t>
      </w:r>
      <w:r w:rsidR="00B30265" w:rsidRPr="001C2728">
        <w:rPr>
          <w:rFonts w:asciiTheme="minorHAnsi" w:hAnsiTheme="minorHAnsi" w:cs="Arial"/>
          <w:sz w:val="22"/>
          <w:szCs w:val="22"/>
        </w:rPr>
        <w:t>worker</w:t>
      </w:r>
      <w:r w:rsidRPr="001C2728">
        <w:rPr>
          <w:rFonts w:asciiTheme="minorHAnsi" w:hAnsiTheme="minorHAnsi" w:cs="Arial"/>
          <w:sz w:val="22"/>
          <w:szCs w:val="22"/>
        </w:rPr>
        <w:t>.  However, the data should be interpreted with care due to inconsistencies and inherent difficulties in measuring the labour force and percentage involved in agriculture.</w:t>
      </w:r>
    </w:p>
    <w:p w:rsidR="007E69F8" w:rsidRPr="001C2728" w:rsidRDefault="007E69F8" w:rsidP="00E25445">
      <w:pPr>
        <w:spacing w:after="120" w:line="276" w:lineRule="auto"/>
        <w:jc w:val="both"/>
        <w:rPr>
          <w:rFonts w:ascii="Calibri" w:hAnsi="Calibri"/>
        </w:rPr>
      </w:pPr>
      <w:r w:rsidRPr="001C2728">
        <w:rPr>
          <w:rFonts w:asciiTheme="minorHAnsi" w:hAnsiTheme="minorHAnsi" w:cs="Arial"/>
          <w:sz w:val="22"/>
          <w:szCs w:val="22"/>
        </w:rPr>
        <w:t>Looking at Compacts and per agricultural capita investment, there is a statistically significant relationship between having a Compact in 2011 and investment per agricultural worker in 2010 and 2011, with those countries with a Compact by 2011 seeing higher investment per agricultural worker. However, this relationship was not statistically when looking at the impact of having a Compact in 2010.</w:t>
      </w:r>
      <w:r w:rsidRPr="001C2728">
        <w:rPr>
          <w:rFonts w:eastAsiaTheme="minorEastAsia"/>
          <w:szCs w:val="24"/>
          <w:lang w:eastAsia="en-GB"/>
        </w:rPr>
        <w:t xml:space="preserve"> </w:t>
      </w:r>
    </w:p>
    <w:p w:rsidR="007E69F8" w:rsidRPr="00270994" w:rsidRDefault="007E69F8" w:rsidP="007E69F8">
      <w:pPr>
        <w:spacing w:after="120"/>
        <w:jc w:val="both"/>
        <w:rPr>
          <w:rFonts w:asciiTheme="minorHAnsi" w:hAnsiTheme="minorHAnsi" w:cs="Arial"/>
          <w:sz w:val="22"/>
          <w:szCs w:val="22"/>
          <w:highlight w:val="yellow"/>
        </w:rPr>
      </w:pPr>
      <w:r>
        <w:rPr>
          <w:rFonts w:asciiTheme="minorHAnsi" w:hAnsiTheme="minorHAnsi" w:cs="Arial"/>
          <w:b/>
          <w:sz w:val="22"/>
          <w:szCs w:val="22"/>
        </w:rPr>
        <w:t>(iv</w:t>
      </w:r>
      <w:r w:rsidRPr="00270994">
        <w:rPr>
          <w:rFonts w:asciiTheme="minorHAnsi" w:hAnsiTheme="minorHAnsi" w:cs="Arial"/>
          <w:b/>
          <w:sz w:val="22"/>
          <w:szCs w:val="22"/>
        </w:rPr>
        <w:t xml:space="preserve">) </w:t>
      </w:r>
      <w:r>
        <w:rPr>
          <w:rFonts w:asciiTheme="minorHAnsi" w:hAnsiTheme="minorHAnsi" w:cs="Arial"/>
          <w:b/>
          <w:sz w:val="22"/>
          <w:szCs w:val="22"/>
        </w:rPr>
        <w:t>Do countries who sign a Compact have high</w:t>
      </w:r>
      <w:r w:rsidR="00E25445">
        <w:rPr>
          <w:rFonts w:asciiTheme="minorHAnsi" w:hAnsiTheme="minorHAnsi" w:cs="Arial"/>
          <w:b/>
          <w:sz w:val="22"/>
          <w:szCs w:val="22"/>
        </w:rPr>
        <w:t>er</w:t>
      </w:r>
      <w:r>
        <w:rPr>
          <w:rFonts w:asciiTheme="minorHAnsi" w:hAnsiTheme="minorHAnsi" w:cs="Arial"/>
          <w:b/>
          <w:sz w:val="22"/>
          <w:szCs w:val="22"/>
        </w:rPr>
        <w:t xml:space="preserve"> levels of investment</w:t>
      </w:r>
      <w:r w:rsidR="00E25445">
        <w:rPr>
          <w:rFonts w:asciiTheme="minorHAnsi" w:hAnsiTheme="minorHAnsi" w:cs="Arial"/>
          <w:b/>
          <w:sz w:val="22"/>
          <w:szCs w:val="22"/>
        </w:rPr>
        <w:t xml:space="preserve"> per capita?</w:t>
      </w:r>
    </w:p>
    <w:p w:rsidR="007E69F8" w:rsidRPr="007E69F8" w:rsidRDefault="007E69F8" w:rsidP="007E69F8">
      <w:pPr>
        <w:spacing w:after="120" w:line="276" w:lineRule="auto"/>
        <w:jc w:val="both"/>
        <w:rPr>
          <w:rFonts w:asciiTheme="minorHAnsi" w:hAnsiTheme="minorHAnsi" w:cs="Arial"/>
          <w:sz w:val="22"/>
          <w:szCs w:val="22"/>
        </w:rPr>
      </w:pPr>
      <w:r w:rsidRPr="007E69F8">
        <w:rPr>
          <w:rFonts w:asciiTheme="minorHAnsi" w:hAnsiTheme="minorHAnsi" w:cs="Arial"/>
          <w:b/>
          <w:sz w:val="22"/>
          <w:szCs w:val="22"/>
        </w:rPr>
        <w:t xml:space="preserve">Total </w:t>
      </w:r>
      <w:r w:rsidRPr="007E69F8">
        <w:rPr>
          <w:rFonts w:asciiTheme="minorHAnsi" w:hAnsiTheme="minorHAnsi" w:cs="Arial"/>
          <w:sz w:val="22"/>
          <w:szCs w:val="22"/>
        </w:rPr>
        <w:t>per capita investment</w:t>
      </w:r>
      <w:r w:rsidR="00B30265">
        <w:rPr>
          <w:rStyle w:val="FootnoteReference"/>
          <w:rFonts w:asciiTheme="minorHAnsi" w:hAnsiTheme="minorHAnsi" w:cs="Arial"/>
          <w:sz w:val="22"/>
          <w:szCs w:val="22"/>
        </w:rPr>
        <w:footnoteReference w:id="134"/>
      </w:r>
      <w:r w:rsidRPr="007E69F8">
        <w:rPr>
          <w:rFonts w:asciiTheme="minorHAnsi" w:hAnsiTheme="minorHAnsi" w:cs="Arial"/>
          <w:sz w:val="22"/>
          <w:szCs w:val="22"/>
        </w:rPr>
        <w:t xml:space="preserve"> is significantly higher in countries with Compacts</w:t>
      </w:r>
      <w:r w:rsidR="00E25445">
        <w:rPr>
          <w:rFonts w:asciiTheme="minorHAnsi" w:hAnsiTheme="minorHAnsi" w:cs="Arial"/>
          <w:sz w:val="22"/>
          <w:szCs w:val="22"/>
        </w:rPr>
        <w:t xml:space="preserve">.  </w:t>
      </w:r>
      <w:r w:rsidR="00E25445" w:rsidRPr="00B30265">
        <w:rPr>
          <w:rFonts w:ascii="Calibri" w:hAnsi="Calibri"/>
          <w:sz w:val="22"/>
          <w:szCs w:val="22"/>
        </w:rPr>
        <w:t xml:space="preserve">In 2011, average agricultural investment per capita in CAADP countries was $4.00 </w:t>
      </w:r>
      <w:r w:rsidR="00B30265">
        <w:rPr>
          <w:rFonts w:ascii="Calibri" w:hAnsi="Calibri"/>
          <w:sz w:val="22"/>
          <w:szCs w:val="22"/>
        </w:rPr>
        <w:t xml:space="preserve">per person </w:t>
      </w:r>
      <w:r w:rsidR="00E25445" w:rsidRPr="00B30265">
        <w:rPr>
          <w:rFonts w:ascii="Calibri" w:hAnsi="Calibri"/>
          <w:sz w:val="22"/>
          <w:szCs w:val="22"/>
        </w:rPr>
        <w:t>as opposed to $2.50 in non-CAADP countries.</w:t>
      </w:r>
      <w:r w:rsidRPr="007E69F8">
        <w:rPr>
          <w:rFonts w:asciiTheme="minorHAnsi" w:hAnsiTheme="minorHAnsi" w:cs="Arial"/>
          <w:sz w:val="22"/>
          <w:szCs w:val="22"/>
        </w:rPr>
        <w:t xml:space="preserve"> </w:t>
      </w:r>
      <w:r w:rsidR="00B30265">
        <w:rPr>
          <w:rFonts w:asciiTheme="minorHAnsi" w:hAnsiTheme="minorHAnsi" w:cs="Arial"/>
          <w:sz w:val="22"/>
          <w:szCs w:val="22"/>
        </w:rPr>
        <w:t>The correlation analyses found t</w:t>
      </w:r>
      <w:r w:rsidR="00E25445">
        <w:rPr>
          <w:rFonts w:asciiTheme="minorHAnsi" w:hAnsiTheme="minorHAnsi" w:cs="Arial"/>
          <w:sz w:val="22"/>
          <w:szCs w:val="22"/>
        </w:rPr>
        <w:t>here is</w:t>
      </w:r>
      <w:r w:rsidRPr="007E69F8">
        <w:rPr>
          <w:rFonts w:asciiTheme="minorHAnsi" w:hAnsiTheme="minorHAnsi" w:cs="Arial"/>
          <w:sz w:val="22"/>
          <w:szCs w:val="22"/>
        </w:rPr>
        <w:t xml:space="preserve"> </w:t>
      </w:r>
      <w:r w:rsidRPr="007E69F8">
        <w:rPr>
          <w:rFonts w:asciiTheme="minorHAnsi" w:hAnsiTheme="minorHAnsi" w:cs="Arial"/>
          <w:b/>
          <w:sz w:val="22"/>
          <w:szCs w:val="22"/>
        </w:rPr>
        <w:t xml:space="preserve">a positive correlation </w:t>
      </w:r>
      <w:r w:rsidRPr="007E69F8">
        <w:rPr>
          <w:rFonts w:asciiTheme="minorHAnsi" w:hAnsiTheme="minorHAnsi" w:cs="Arial"/>
          <w:sz w:val="22"/>
          <w:szCs w:val="22"/>
        </w:rPr>
        <w:t xml:space="preserve">between per total </w:t>
      </w:r>
      <w:proofErr w:type="spellStart"/>
      <w:r w:rsidRPr="007E69F8">
        <w:rPr>
          <w:rFonts w:asciiTheme="minorHAnsi" w:hAnsiTheme="minorHAnsi" w:cs="Arial"/>
          <w:sz w:val="22"/>
          <w:szCs w:val="22"/>
        </w:rPr>
        <w:t>capita</w:t>
      </w:r>
      <w:proofErr w:type="spellEnd"/>
      <w:r w:rsidRPr="007E69F8">
        <w:rPr>
          <w:rFonts w:asciiTheme="minorHAnsi" w:hAnsiTheme="minorHAnsi" w:cs="Arial"/>
          <w:sz w:val="22"/>
          <w:szCs w:val="22"/>
        </w:rPr>
        <w:t xml:space="preserve"> investment in 2009 and 2010 and having a Compact by 2010</w:t>
      </w:r>
      <w:r w:rsidR="00B30265">
        <w:rPr>
          <w:rFonts w:asciiTheme="minorHAnsi" w:hAnsiTheme="minorHAnsi" w:cs="Arial"/>
          <w:sz w:val="22"/>
          <w:szCs w:val="22"/>
        </w:rPr>
        <w:t>,</w:t>
      </w:r>
      <w:r w:rsidRPr="007E69F8">
        <w:rPr>
          <w:rFonts w:asciiTheme="minorHAnsi" w:hAnsiTheme="minorHAnsi" w:cs="Arial"/>
          <w:sz w:val="22"/>
          <w:szCs w:val="22"/>
        </w:rPr>
        <w:t xml:space="preserve"> and per total </w:t>
      </w:r>
      <w:proofErr w:type="spellStart"/>
      <w:r w:rsidRPr="007E69F8">
        <w:rPr>
          <w:rFonts w:asciiTheme="minorHAnsi" w:hAnsiTheme="minorHAnsi" w:cs="Arial"/>
          <w:sz w:val="22"/>
          <w:szCs w:val="22"/>
        </w:rPr>
        <w:t>capita</w:t>
      </w:r>
      <w:proofErr w:type="spellEnd"/>
      <w:r w:rsidRPr="007E69F8">
        <w:rPr>
          <w:rFonts w:asciiTheme="minorHAnsi" w:hAnsiTheme="minorHAnsi" w:cs="Arial"/>
          <w:sz w:val="22"/>
          <w:szCs w:val="22"/>
        </w:rPr>
        <w:t xml:space="preserve"> investment in 2010 and 2011 and having a Compact by 2011.</w:t>
      </w:r>
    </w:p>
    <w:p w:rsidR="00270994" w:rsidRPr="00270994" w:rsidRDefault="00270994" w:rsidP="00270994">
      <w:pPr>
        <w:spacing w:after="120"/>
        <w:jc w:val="both"/>
        <w:rPr>
          <w:rFonts w:asciiTheme="minorHAnsi" w:hAnsiTheme="minorHAnsi" w:cs="Arial"/>
          <w:sz w:val="22"/>
          <w:szCs w:val="22"/>
          <w:highlight w:val="yellow"/>
        </w:rPr>
      </w:pPr>
      <w:r>
        <w:rPr>
          <w:rFonts w:asciiTheme="minorHAnsi" w:hAnsiTheme="minorHAnsi" w:cs="Arial"/>
          <w:b/>
          <w:sz w:val="22"/>
          <w:szCs w:val="22"/>
        </w:rPr>
        <w:t>(v</w:t>
      </w:r>
      <w:r w:rsidRPr="00270994">
        <w:rPr>
          <w:rFonts w:asciiTheme="minorHAnsi" w:hAnsiTheme="minorHAnsi" w:cs="Arial"/>
          <w:b/>
          <w:sz w:val="22"/>
          <w:szCs w:val="22"/>
        </w:rPr>
        <w:t xml:space="preserve">) </w:t>
      </w:r>
      <w:r>
        <w:rPr>
          <w:rFonts w:asciiTheme="minorHAnsi" w:hAnsiTheme="minorHAnsi" w:cs="Arial"/>
          <w:b/>
          <w:sz w:val="22"/>
          <w:szCs w:val="22"/>
        </w:rPr>
        <w:t xml:space="preserve">Do countries who sign a Compact continue to have high levels of investment or is there a ‘honeymoon’ period? </w:t>
      </w:r>
    </w:p>
    <w:p w:rsidR="00B81F0F" w:rsidRDefault="00B81F0F" w:rsidP="00B81F0F">
      <w:pPr>
        <w:spacing w:after="120" w:line="276" w:lineRule="auto"/>
        <w:jc w:val="both"/>
        <w:rPr>
          <w:rFonts w:asciiTheme="minorHAnsi" w:hAnsiTheme="minorHAnsi" w:cs="Arial"/>
          <w:sz w:val="22"/>
          <w:szCs w:val="22"/>
        </w:rPr>
      </w:pPr>
      <w:r w:rsidRPr="00CE55EE">
        <w:rPr>
          <w:rFonts w:asciiTheme="minorHAnsi" w:hAnsiTheme="minorHAnsi" w:cs="Arial"/>
          <w:sz w:val="22"/>
          <w:szCs w:val="22"/>
        </w:rPr>
        <w:t>The relationship between Compact signing and changes in investment levels is also complex and</w:t>
      </w:r>
      <w:r w:rsidR="00CE55EE" w:rsidRPr="00CE55EE">
        <w:rPr>
          <w:rFonts w:asciiTheme="minorHAnsi" w:hAnsiTheme="minorHAnsi" w:cs="Arial"/>
          <w:sz w:val="22"/>
          <w:szCs w:val="22"/>
        </w:rPr>
        <w:t xml:space="preserve"> there is not enough data yet to test </w:t>
      </w:r>
      <w:r w:rsidR="00CE55EE">
        <w:rPr>
          <w:rFonts w:asciiTheme="minorHAnsi" w:hAnsiTheme="minorHAnsi" w:cs="Arial"/>
          <w:sz w:val="22"/>
          <w:szCs w:val="22"/>
        </w:rPr>
        <w:t>for</w:t>
      </w:r>
      <w:r w:rsidRPr="00CE55EE">
        <w:rPr>
          <w:rFonts w:asciiTheme="minorHAnsi" w:hAnsiTheme="minorHAnsi" w:cs="Arial"/>
          <w:sz w:val="22"/>
          <w:szCs w:val="22"/>
        </w:rPr>
        <w:t xml:space="preserve"> statistical significan</w:t>
      </w:r>
      <w:r w:rsidR="00CE55EE">
        <w:rPr>
          <w:rFonts w:asciiTheme="minorHAnsi" w:hAnsiTheme="minorHAnsi" w:cs="Arial"/>
          <w:sz w:val="22"/>
          <w:szCs w:val="22"/>
        </w:rPr>
        <w:t>ce</w:t>
      </w:r>
      <w:r w:rsidR="00CE55EE" w:rsidRPr="00CE55EE">
        <w:rPr>
          <w:rFonts w:asciiTheme="minorHAnsi" w:hAnsiTheme="minorHAnsi" w:cs="Arial"/>
          <w:sz w:val="22"/>
          <w:szCs w:val="22"/>
        </w:rPr>
        <w:t xml:space="preserve">. </w:t>
      </w:r>
      <w:r w:rsidR="003C6076" w:rsidRPr="00CE55EE">
        <w:rPr>
          <w:rFonts w:asciiTheme="minorHAnsi" w:hAnsiTheme="minorHAnsi" w:cs="Arial"/>
          <w:sz w:val="22"/>
          <w:szCs w:val="22"/>
        </w:rPr>
        <w:t xml:space="preserve"> </w:t>
      </w:r>
      <w:r>
        <w:rPr>
          <w:rFonts w:asciiTheme="minorHAnsi" w:hAnsiTheme="minorHAnsi" w:cs="Arial"/>
          <w:sz w:val="22"/>
          <w:szCs w:val="22"/>
        </w:rPr>
        <w:t xml:space="preserve">Table </w:t>
      </w:r>
      <w:r w:rsidR="00D437C6">
        <w:rPr>
          <w:rFonts w:asciiTheme="minorHAnsi" w:hAnsiTheme="minorHAnsi" w:cs="Arial"/>
          <w:sz w:val="22"/>
          <w:szCs w:val="22"/>
        </w:rPr>
        <w:t>13</w:t>
      </w:r>
      <w:r>
        <w:rPr>
          <w:rFonts w:asciiTheme="minorHAnsi" w:hAnsiTheme="minorHAnsi" w:cs="Arial"/>
          <w:sz w:val="22"/>
          <w:szCs w:val="22"/>
        </w:rPr>
        <w:t xml:space="preserve"> below shows what has happened to the changes in investment levels (both bilateral and multilateral) for those countries who have signed Compacts.  For those countries with over three years since signing their Compact, it seems that after </w:t>
      </w:r>
      <w:r w:rsidR="00CE55EE">
        <w:rPr>
          <w:rFonts w:asciiTheme="minorHAnsi" w:hAnsiTheme="minorHAnsi" w:cs="Arial"/>
          <w:sz w:val="22"/>
          <w:szCs w:val="22"/>
        </w:rPr>
        <w:t xml:space="preserve">a ‘honeymoon’ period post-Compact with </w:t>
      </w:r>
      <w:r>
        <w:rPr>
          <w:rFonts w:asciiTheme="minorHAnsi" w:hAnsiTheme="minorHAnsi" w:cs="Arial"/>
          <w:sz w:val="22"/>
          <w:szCs w:val="22"/>
        </w:rPr>
        <w:t>substantial inflows of investment in Y1 and/or Y2, the levels of ODA commitments decline in Y3</w:t>
      </w:r>
      <w:r w:rsidR="00CE55EE">
        <w:rPr>
          <w:rFonts w:asciiTheme="minorHAnsi" w:hAnsiTheme="minorHAnsi" w:cs="Arial"/>
          <w:sz w:val="22"/>
          <w:szCs w:val="22"/>
        </w:rPr>
        <w:t xml:space="preserve"> from the initial peak of investment</w:t>
      </w:r>
      <w:r>
        <w:rPr>
          <w:rFonts w:asciiTheme="minorHAnsi" w:hAnsiTheme="minorHAnsi" w:cs="Arial"/>
          <w:sz w:val="22"/>
          <w:szCs w:val="22"/>
        </w:rPr>
        <w:t xml:space="preserve">.  </w:t>
      </w:r>
      <w:r w:rsidR="004C5D5C">
        <w:rPr>
          <w:rFonts w:asciiTheme="minorHAnsi" w:hAnsiTheme="minorHAnsi" w:cs="Arial"/>
          <w:sz w:val="22"/>
          <w:szCs w:val="22"/>
        </w:rPr>
        <w:t xml:space="preserve">This maybe because as investment commitments to the plan  increase, the gap narrows and the flow of funds to the plan slow down. </w:t>
      </w:r>
      <w:r>
        <w:rPr>
          <w:rFonts w:asciiTheme="minorHAnsi" w:hAnsiTheme="minorHAnsi" w:cs="Arial"/>
          <w:sz w:val="22"/>
          <w:szCs w:val="22"/>
        </w:rPr>
        <w:t xml:space="preserve"> Of those countries that signed a Compact before 2010, only three out of ten countries (Rwanda, Benin and Niger) experienced a positive increase in agricultural investment between Y2 and Y3.   </w:t>
      </w:r>
      <w:r w:rsidR="00CE55EE">
        <w:rPr>
          <w:rFonts w:asciiTheme="minorHAnsi" w:hAnsiTheme="minorHAnsi" w:cs="Arial"/>
          <w:sz w:val="22"/>
          <w:szCs w:val="22"/>
        </w:rPr>
        <w:t xml:space="preserve">However, it </w:t>
      </w:r>
      <w:r w:rsidR="00CE55EE" w:rsidRPr="008B0681">
        <w:rPr>
          <w:rFonts w:asciiTheme="minorHAnsi" w:hAnsiTheme="minorHAnsi" w:cs="Arial"/>
          <w:sz w:val="22"/>
          <w:szCs w:val="22"/>
        </w:rPr>
        <w:t xml:space="preserve">should be noted that the </w:t>
      </w:r>
      <w:r w:rsidR="00CE55EE">
        <w:rPr>
          <w:rFonts w:asciiTheme="minorHAnsi" w:hAnsiTheme="minorHAnsi" w:cs="Arial"/>
          <w:sz w:val="22"/>
          <w:szCs w:val="22"/>
        </w:rPr>
        <w:t xml:space="preserve">data from the OECD’s Creditor Reporting System </w:t>
      </w:r>
      <w:r w:rsidR="00CE55EE" w:rsidRPr="008B0681">
        <w:rPr>
          <w:rFonts w:asciiTheme="minorHAnsi" w:hAnsiTheme="minorHAnsi" w:cs="Arial"/>
          <w:sz w:val="22"/>
          <w:szCs w:val="22"/>
        </w:rPr>
        <w:t>provides a ‘snapshot’ of ODA commitments over a limited period of time.  The long-term effect of signing a CAADP compact is yet to be determined</w:t>
      </w:r>
      <w:r w:rsidR="00CE55EE">
        <w:rPr>
          <w:rFonts w:asciiTheme="minorHAnsi" w:hAnsiTheme="minorHAnsi" w:cs="Arial"/>
          <w:sz w:val="22"/>
          <w:szCs w:val="22"/>
        </w:rPr>
        <w:t xml:space="preserve">, but will hopefully become </w:t>
      </w:r>
      <w:r w:rsidR="00CE55EE">
        <w:rPr>
          <w:rFonts w:asciiTheme="minorHAnsi" w:hAnsiTheme="minorHAnsi" w:cs="Arial"/>
          <w:sz w:val="22"/>
          <w:szCs w:val="22"/>
        </w:rPr>
        <w:lastRenderedPageBreak/>
        <w:t>clearer</w:t>
      </w:r>
      <w:r w:rsidR="00CE55EE" w:rsidRPr="008B0681">
        <w:rPr>
          <w:rFonts w:asciiTheme="minorHAnsi" w:hAnsiTheme="minorHAnsi" w:cs="Arial"/>
          <w:sz w:val="22"/>
          <w:szCs w:val="22"/>
        </w:rPr>
        <w:t xml:space="preserve"> as more countries come on board</w:t>
      </w:r>
      <w:r w:rsidR="00CE55EE">
        <w:rPr>
          <w:rFonts w:asciiTheme="minorHAnsi" w:hAnsiTheme="minorHAnsi" w:cs="Arial"/>
          <w:sz w:val="22"/>
          <w:szCs w:val="22"/>
        </w:rPr>
        <w:t xml:space="preserve"> and more data is available (the 2012 data will be available from April 2013).  The following section explores case studies of Ghana, Burkina Faso and Togo to examine in greater detail changes in investment levels.</w:t>
      </w:r>
    </w:p>
    <w:p w:rsidR="00BD7D11" w:rsidRDefault="00BD7D11" w:rsidP="00BD7D11">
      <w:pPr>
        <w:spacing w:after="120" w:line="276" w:lineRule="auto"/>
        <w:jc w:val="center"/>
        <w:rPr>
          <w:rFonts w:asciiTheme="minorHAnsi" w:hAnsiTheme="minorHAnsi" w:cs="Arial"/>
          <w:b/>
          <w:sz w:val="22"/>
          <w:szCs w:val="22"/>
        </w:rPr>
      </w:pPr>
      <w:r>
        <w:rPr>
          <w:rFonts w:asciiTheme="minorHAnsi" w:hAnsiTheme="minorHAnsi" w:cs="Arial"/>
          <w:b/>
          <w:sz w:val="22"/>
          <w:szCs w:val="22"/>
        </w:rPr>
        <w:t>Table 13. Changes in Investment Levels in USD millions for Subsequent Years after Signing CAADP Compact</w:t>
      </w:r>
      <w:r>
        <w:rPr>
          <w:rStyle w:val="FootnoteReference"/>
          <w:rFonts w:asciiTheme="minorHAnsi" w:hAnsiTheme="minorHAnsi" w:cs="Arial"/>
          <w:b/>
          <w:szCs w:val="22"/>
        </w:rPr>
        <w:footnoteReference w:id="135"/>
      </w:r>
      <w:r>
        <w:rPr>
          <w:rFonts w:asciiTheme="minorHAnsi" w:hAnsiTheme="minorHAnsi" w:cs="Arial"/>
          <w:b/>
          <w:sz w:val="22"/>
          <w:szCs w:val="22"/>
        </w:rPr>
        <w:t xml:space="preserve"> </w:t>
      </w:r>
    </w:p>
    <w:tbl>
      <w:tblPr>
        <w:tblStyle w:val="LightShading-Accent1"/>
        <w:tblW w:w="0" w:type="auto"/>
        <w:tblInd w:w="392" w:type="dxa"/>
        <w:tblLook w:val="04A0"/>
      </w:tblPr>
      <w:tblGrid>
        <w:gridCol w:w="1559"/>
        <w:gridCol w:w="1302"/>
        <w:gridCol w:w="977"/>
        <w:gridCol w:w="1053"/>
        <w:gridCol w:w="1070"/>
        <w:gridCol w:w="1029"/>
        <w:gridCol w:w="942"/>
        <w:gridCol w:w="918"/>
      </w:tblGrid>
      <w:tr w:rsidR="00BD7D11" w:rsidTr="00E04CE3">
        <w:trPr>
          <w:cnfStyle w:val="100000000000"/>
        </w:trPr>
        <w:tc>
          <w:tcPr>
            <w:cnfStyle w:val="001000000000"/>
            <w:tcW w:w="1559" w:type="dxa"/>
          </w:tcPr>
          <w:p w:rsidR="00BD7D11" w:rsidRDefault="00BD7D11" w:rsidP="00E04CE3">
            <w:pPr>
              <w:rPr>
                <w:rFonts w:asciiTheme="minorHAnsi" w:hAnsiTheme="minorHAnsi" w:cs="Arial"/>
                <w:sz w:val="20"/>
              </w:rPr>
            </w:pPr>
          </w:p>
          <w:p w:rsidR="00BD7D11" w:rsidRPr="00BE1207" w:rsidRDefault="00BD7D11" w:rsidP="00E04CE3">
            <w:pPr>
              <w:rPr>
                <w:rFonts w:asciiTheme="minorHAnsi" w:hAnsiTheme="minorHAnsi" w:cs="Arial"/>
                <w:sz w:val="20"/>
              </w:rPr>
            </w:pPr>
            <w:r w:rsidRPr="00BE1207">
              <w:rPr>
                <w:rFonts w:asciiTheme="minorHAnsi" w:hAnsiTheme="minorHAnsi" w:cs="Arial"/>
                <w:sz w:val="20"/>
              </w:rPr>
              <w:t>Country</w:t>
            </w:r>
          </w:p>
        </w:tc>
        <w:tc>
          <w:tcPr>
            <w:tcW w:w="1302"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sidRPr="00BE1207">
              <w:rPr>
                <w:rFonts w:asciiTheme="minorHAnsi" w:hAnsiTheme="minorHAnsi" w:cs="Arial"/>
                <w:sz w:val="20"/>
              </w:rPr>
              <w:t>Year signed compact</w:t>
            </w:r>
          </w:p>
        </w:tc>
        <w:tc>
          <w:tcPr>
            <w:tcW w:w="977" w:type="dxa"/>
          </w:tcPr>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Year before signing</w:t>
            </w:r>
          </w:p>
        </w:tc>
        <w:tc>
          <w:tcPr>
            <w:tcW w:w="1053"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Y1</w:t>
            </w:r>
          </w:p>
        </w:tc>
        <w:tc>
          <w:tcPr>
            <w:tcW w:w="1070"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Y2</w:t>
            </w:r>
          </w:p>
        </w:tc>
        <w:tc>
          <w:tcPr>
            <w:tcW w:w="1029"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Y3</w:t>
            </w:r>
          </w:p>
        </w:tc>
        <w:tc>
          <w:tcPr>
            <w:tcW w:w="942"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Y4</w:t>
            </w:r>
          </w:p>
        </w:tc>
        <w:tc>
          <w:tcPr>
            <w:tcW w:w="918" w:type="dxa"/>
          </w:tcPr>
          <w:p w:rsidR="00BD7D11" w:rsidRDefault="00BD7D11" w:rsidP="00E04CE3">
            <w:pPr>
              <w:jc w:val="center"/>
              <w:cnfStyle w:val="100000000000"/>
              <w:rPr>
                <w:rFonts w:asciiTheme="minorHAnsi" w:hAnsiTheme="minorHAnsi" w:cs="Arial"/>
                <w:sz w:val="20"/>
              </w:rPr>
            </w:pPr>
          </w:p>
          <w:p w:rsidR="00BD7D11" w:rsidRPr="00BE1207" w:rsidRDefault="00BD7D11" w:rsidP="00E04CE3">
            <w:pPr>
              <w:jc w:val="center"/>
              <w:cnfStyle w:val="100000000000"/>
              <w:rPr>
                <w:rFonts w:asciiTheme="minorHAnsi" w:hAnsiTheme="minorHAnsi" w:cs="Arial"/>
                <w:sz w:val="20"/>
              </w:rPr>
            </w:pPr>
            <w:r>
              <w:rPr>
                <w:rFonts w:asciiTheme="minorHAnsi" w:hAnsiTheme="minorHAnsi" w:cs="Arial"/>
                <w:sz w:val="20"/>
              </w:rPr>
              <w:t>Y5</w:t>
            </w: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Rwanda</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2007</w:t>
            </w:r>
          </w:p>
        </w:tc>
        <w:tc>
          <w:tcPr>
            <w:tcW w:w="977" w:type="dxa"/>
          </w:tcPr>
          <w:p w:rsidR="00BD7D11" w:rsidRPr="00E13853" w:rsidRDefault="00BD7D11" w:rsidP="00E04CE3">
            <w:pPr>
              <w:jc w:val="center"/>
              <w:cnfStyle w:val="000000100000"/>
              <w:rPr>
                <w:rFonts w:asciiTheme="minorHAnsi" w:hAnsiTheme="minorHAnsi"/>
                <w:color w:val="auto"/>
                <w:sz w:val="20"/>
              </w:rPr>
            </w:pPr>
            <w:r w:rsidRPr="00E13853">
              <w:rPr>
                <w:rFonts w:asciiTheme="minorHAnsi" w:hAnsiTheme="minorHAnsi"/>
                <w:color w:val="auto"/>
                <w:sz w:val="20"/>
              </w:rPr>
              <w:t>28.0</w:t>
            </w:r>
          </w:p>
        </w:tc>
        <w:tc>
          <w:tcPr>
            <w:tcW w:w="1053" w:type="dxa"/>
            <w:vAlign w:val="bottom"/>
          </w:tcPr>
          <w:p w:rsidR="00BD7D11" w:rsidRPr="00E13853" w:rsidRDefault="00BD7D11" w:rsidP="00E04CE3">
            <w:pPr>
              <w:jc w:val="center"/>
              <w:cnfStyle w:val="000000100000"/>
              <w:rPr>
                <w:rFonts w:asciiTheme="minorHAnsi" w:hAnsiTheme="minorHAnsi"/>
                <w:color w:val="auto"/>
                <w:sz w:val="20"/>
              </w:rPr>
            </w:pPr>
            <w:r w:rsidRPr="00E13853">
              <w:rPr>
                <w:rFonts w:asciiTheme="minorHAnsi" w:hAnsiTheme="minorHAnsi"/>
                <w:color w:val="auto"/>
                <w:sz w:val="20"/>
              </w:rPr>
              <w:t>20.2</w:t>
            </w:r>
          </w:p>
        </w:tc>
        <w:tc>
          <w:tcPr>
            <w:tcW w:w="1070" w:type="dxa"/>
            <w:vAlign w:val="bottom"/>
          </w:tcPr>
          <w:p w:rsidR="00BD7D11" w:rsidRPr="00E13853" w:rsidRDefault="00BD7D11" w:rsidP="00E04CE3">
            <w:pPr>
              <w:jc w:val="center"/>
              <w:cnfStyle w:val="000000100000"/>
              <w:rPr>
                <w:rFonts w:asciiTheme="minorHAnsi" w:hAnsiTheme="minorHAnsi"/>
                <w:color w:val="auto"/>
                <w:sz w:val="20"/>
              </w:rPr>
            </w:pPr>
            <w:r w:rsidRPr="00E13853">
              <w:rPr>
                <w:rFonts w:asciiTheme="minorHAnsi" w:hAnsiTheme="minorHAnsi"/>
                <w:color w:val="auto"/>
                <w:sz w:val="20"/>
              </w:rPr>
              <w:t>84.5</w:t>
            </w:r>
          </w:p>
        </w:tc>
        <w:tc>
          <w:tcPr>
            <w:tcW w:w="1029" w:type="dxa"/>
            <w:vAlign w:val="bottom"/>
          </w:tcPr>
          <w:p w:rsidR="00BD7D11" w:rsidRPr="00E13853" w:rsidRDefault="00BD7D11" w:rsidP="00E04CE3">
            <w:pPr>
              <w:jc w:val="center"/>
              <w:cnfStyle w:val="000000100000"/>
              <w:rPr>
                <w:rFonts w:asciiTheme="minorHAnsi" w:hAnsiTheme="minorHAnsi"/>
                <w:color w:val="auto"/>
                <w:sz w:val="20"/>
              </w:rPr>
            </w:pPr>
            <w:r w:rsidRPr="00E13853">
              <w:rPr>
                <w:rFonts w:asciiTheme="minorHAnsi" w:hAnsiTheme="minorHAnsi"/>
                <w:color w:val="auto"/>
                <w:sz w:val="20"/>
              </w:rPr>
              <w:t>125.0</w:t>
            </w:r>
          </w:p>
        </w:tc>
        <w:tc>
          <w:tcPr>
            <w:tcW w:w="942" w:type="dxa"/>
          </w:tcPr>
          <w:p w:rsidR="00BD7D11" w:rsidRPr="00E13853" w:rsidRDefault="00BD7D11" w:rsidP="00E04CE3">
            <w:pPr>
              <w:jc w:val="center"/>
              <w:cnfStyle w:val="000000100000"/>
              <w:rPr>
                <w:rFonts w:asciiTheme="minorHAnsi" w:hAnsiTheme="minorHAnsi" w:cs="Arial"/>
                <w:color w:val="auto"/>
                <w:sz w:val="20"/>
              </w:rPr>
            </w:pPr>
            <w:r w:rsidRPr="00E13853">
              <w:rPr>
                <w:rFonts w:asciiTheme="minorHAnsi" w:hAnsiTheme="minorHAnsi" w:cs="Arial"/>
                <w:color w:val="auto"/>
                <w:sz w:val="20"/>
              </w:rPr>
              <w:t>78.6</w:t>
            </w:r>
          </w:p>
        </w:tc>
        <w:tc>
          <w:tcPr>
            <w:tcW w:w="918" w:type="dxa"/>
          </w:tcPr>
          <w:p w:rsidR="00BD7D11" w:rsidRPr="00E13853" w:rsidRDefault="00BD7D11" w:rsidP="00E04CE3">
            <w:pPr>
              <w:jc w:val="center"/>
              <w:cnfStyle w:val="000000100000"/>
              <w:rPr>
                <w:rFonts w:asciiTheme="minorHAnsi" w:hAnsiTheme="minorHAnsi" w:cs="Arial"/>
                <w:color w:val="auto"/>
                <w:sz w:val="20"/>
              </w:rPr>
            </w:pPr>
            <w:r w:rsidRPr="00E13853">
              <w:rPr>
                <w:rFonts w:asciiTheme="minorHAnsi" w:hAnsiTheme="minorHAnsi" w:cs="Arial"/>
                <w:color w:val="auto"/>
                <w:sz w:val="20"/>
              </w:rPr>
              <w:t>118.6</w:t>
            </w: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Benin</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000000"/>
              <w:rPr>
                <w:rFonts w:asciiTheme="minorHAnsi" w:hAnsiTheme="minorHAnsi"/>
                <w:color w:val="auto"/>
                <w:sz w:val="20"/>
              </w:rPr>
            </w:pPr>
            <w:r w:rsidRPr="00E13853">
              <w:rPr>
                <w:rFonts w:asciiTheme="minorHAnsi" w:hAnsiTheme="minorHAnsi"/>
                <w:color w:val="auto"/>
                <w:sz w:val="20"/>
              </w:rPr>
              <w:t>23.1</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30.1</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24.0</w:t>
            </w:r>
          </w:p>
        </w:tc>
        <w:tc>
          <w:tcPr>
            <w:tcW w:w="1029"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96.5</w:t>
            </w: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Burundi</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26.9</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34.9</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110.6</w:t>
            </w:r>
          </w:p>
        </w:tc>
        <w:tc>
          <w:tcPr>
            <w:tcW w:w="1029"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65.3</w:t>
            </w: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Ethiopia</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328.6</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144.5</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254.8</w:t>
            </w:r>
          </w:p>
        </w:tc>
        <w:tc>
          <w:tcPr>
            <w:tcW w:w="1029"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170.8</w:t>
            </w: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Gabon</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4.2</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16.3</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32.0</w:t>
            </w:r>
          </w:p>
        </w:tc>
        <w:tc>
          <w:tcPr>
            <w:tcW w:w="1029"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4.4</w:t>
            </w: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Mali</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114.9</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293.8</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256.3</w:t>
            </w:r>
          </w:p>
        </w:tc>
        <w:tc>
          <w:tcPr>
            <w:tcW w:w="1029"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201.8</w:t>
            </w: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Niger</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45.6</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73.8</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49.2</w:t>
            </w:r>
          </w:p>
        </w:tc>
        <w:tc>
          <w:tcPr>
            <w:tcW w:w="1029"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81.4</w:t>
            </w: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Nigeria</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182.2</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81.2</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79.4</w:t>
            </w:r>
          </w:p>
        </w:tc>
        <w:tc>
          <w:tcPr>
            <w:tcW w:w="1029"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22.1</w:t>
            </w: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Sierra Leone</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5.5</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18.3</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86.5</w:t>
            </w:r>
          </w:p>
        </w:tc>
        <w:tc>
          <w:tcPr>
            <w:tcW w:w="1029"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41.2</w:t>
            </w: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Togo</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2009</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1.0</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1.8</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41.7</w:t>
            </w:r>
          </w:p>
        </w:tc>
        <w:tc>
          <w:tcPr>
            <w:tcW w:w="1029"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37.3</w:t>
            </w: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Burkina Faso</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212.1</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81.3</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154.9</w:t>
            </w:r>
          </w:p>
        </w:tc>
        <w:tc>
          <w:tcPr>
            <w:tcW w:w="1029" w:type="dxa"/>
          </w:tcPr>
          <w:p w:rsidR="00BD7D11" w:rsidRPr="00E13853" w:rsidRDefault="00BD7D11" w:rsidP="00E04CE3">
            <w:pPr>
              <w:jc w:val="center"/>
              <w:cnfStyle w:val="000000100000"/>
              <w:rPr>
                <w:rFonts w:asciiTheme="minorHAnsi" w:hAnsiTheme="minorHAnsi" w:cs="Arial"/>
                <w:color w:val="auto"/>
                <w:sz w:val="20"/>
              </w:rPr>
            </w:pP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Cote d'Ivoire</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47.2</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106.6</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60.8</w:t>
            </w:r>
          </w:p>
        </w:tc>
        <w:tc>
          <w:tcPr>
            <w:tcW w:w="1029" w:type="dxa"/>
          </w:tcPr>
          <w:p w:rsidR="00BD7D11" w:rsidRPr="00E13853" w:rsidRDefault="00BD7D11" w:rsidP="00E04CE3">
            <w:pPr>
              <w:jc w:val="center"/>
              <w:cnfStyle w:val="000000000000"/>
              <w:rPr>
                <w:rFonts w:asciiTheme="minorHAnsi" w:hAnsiTheme="minorHAnsi" w:cs="Arial"/>
                <w:color w:val="auto"/>
                <w:sz w:val="20"/>
              </w:rPr>
            </w:pP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Guinea</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4.6</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9.2</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35.5</w:t>
            </w:r>
          </w:p>
        </w:tc>
        <w:tc>
          <w:tcPr>
            <w:tcW w:w="1029" w:type="dxa"/>
          </w:tcPr>
          <w:p w:rsidR="00BD7D11" w:rsidRPr="00E13853" w:rsidRDefault="00BD7D11" w:rsidP="00E04CE3">
            <w:pPr>
              <w:jc w:val="center"/>
              <w:cnfStyle w:val="000000100000"/>
              <w:rPr>
                <w:rFonts w:asciiTheme="minorHAnsi" w:hAnsiTheme="minorHAnsi" w:cs="Arial"/>
                <w:color w:val="auto"/>
                <w:sz w:val="20"/>
              </w:rPr>
            </w:pP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Kenya</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174.0</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371.3</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81.8</w:t>
            </w:r>
          </w:p>
        </w:tc>
        <w:tc>
          <w:tcPr>
            <w:tcW w:w="1029" w:type="dxa"/>
          </w:tcPr>
          <w:p w:rsidR="00BD7D11" w:rsidRPr="00E13853" w:rsidRDefault="00BD7D11" w:rsidP="00E04CE3">
            <w:pPr>
              <w:jc w:val="center"/>
              <w:cnfStyle w:val="000000000000"/>
              <w:rPr>
                <w:rFonts w:asciiTheme="minorHAnsi" w:hAnsiTheme="minorHAnsi" w:cs="Arial"/>
                <w:color w:val="auto"/>
                <w:sz w:val="20"/>
              </w:rPr>
            </w:pP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Senegal</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121.4</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293.8</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107.7</w:t>
            </w:r>
          </w:p>
        </w:tc>
        <w:tc>
          <w:tcPr>
            <w:tcW w:w="1029" w:type="dxa"/>
          </w:tcPr>
          <w:p w:rsidR="00BD7D11" w:rsidRPr="00E13853" w:rsidRDefault="00BD7D11" w:rsidP="00E04CE3">
            <w:pPr>
              <w:jc w:val="center"/>
              <w:cnfStyle w:val="000000100000"/>
              <w:rPr>
                <w:rFonts w:asciiTheme="minorHAnsi" w:hAnsiTheme="minorHAnsi" w:cs="Arial"/>
                <w:color w:val="auto"/>
                <w:sz w:val="20"/>
              </w:rPr>
            </w:pP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Swaziland</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23.4</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6.4</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77.7</w:t>
            </w:r>
          </w:p>
        </w:tc>
        <w:tc>
          <w:tcPr>
            <w:tcW w:w="1029" w:type="dxa"/>
          </w:tcPr>
          <w:p w:rsidR="00BD7D11" w:rsidRPr="00E13853" w:rsidRDefault="00BD7D11" w:rsidP="00E04CE3">
            <w:pPr>
              <w:jc w:val="center"/>
              <w:cnfStyle w:val="000000000000"/>
              <w:rPr>
                <w:rFonts w:asciiTheme="minorHAnsi" w:hAnsiTheme="minorHAnsi" w:cs="Arial"/>
                <w:color w:val="auto"/>
                <w:sz w:val="20"/>
              </w:rPr>
            </w:pP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r w:rsidR="00BD7D11" w:rsidTr="00E04CE3">
        <w:trPr>
          <w:cnfStyle w:val="000000100000"/>
        </w:trPr>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Tanzania</w:t>
            </w:r>
          </w:p>
        </w:tc>
        <w:tc>
          <w:tcPr>
            <w:tcW w:w="1302" w:type="dxa"/>
            <w:vAlign w:val="bottom"/>
          </w:tcPr>
          <w:p w:rsidR="00BD7D11" w:rsidRPr="00BE1207" w:rsidRDefault="00BD7D11" w:rsidP="00E04CE3">
            <w:pPr>
              <w:jc w:val="center"/>
              <w:cnfStyle w:val="0000001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100000"/>
              <w:rPr>
                <w:rFonts w:asciiTheme="minorHAnsi" w:hAnsiTheme="minorHAnsi"/>
                <w:color w:val="auto"/>
                <w:sz w:val="20"/>
              </w:rPr>
            </w:pPr>
            <w:r>
              <w:rPr>
                <w:rFonts w:asciiTheme="minorHAnsi" w:hAnsiTheme="minorHAnsi"/>
                <w:color w:val="auto"/>
                <w:sz w:val="20"/>
              </w:rPr>
              <w:t>253.6</w:t>
            </w:r>
          </w:p>
        </w:tc>
        <w:tc>
          <w:tcPr>
            <w:tcW w:w="1053"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151.2</w:t>
            </w:r>
          </w:p>
        </w:tc>
        <w:tc>
          <w:tcPr>
            <w:tcW w:w="1070" w:type="dxa"/>
          </w:tcPr>
          <w:p w:rsidR="00BD7D11" w:rsidRPr="00E13853" w:rsidRDefault="00BD7D11" w:rsidP="00E04CE3">
            <w:pPr>
              <w:jc w:val="center"/>
              <w:cnfStyle w:val="000000100000"/>
              <w:rPr>
                <w:rFonts w:asciiTheme="minorHAnsi" w:hAnsiTheme="minorHAnsi" w:cs="Arial"/>
                <w:color w:val="auto"/>
                <w:sz w:val="20"/>
              </w:rPr>
            </w:pPr>
            <w:r>
              <w:rPr>
                <w:rFonts w:asciiTheme="minorHAnsi" w:hAnsiTheme="minorHAnsi" w:cs="Arial"/>
                <w:color w:val="auto"/>
                <w:sz w:val="20"/>
              </w:rPr>
              <w:t>256.0</w:t>
            </w:r>
          </w:p>
        </w:tc>
        <w:tc>
          <w:tcPr>
            <w:tcW w:w="1029" w:type="dxa"/>
          </w:tcPr>
          <w:p w:rsidR="00BD7D11" w:rsidRPr="00E13853" w:rsidRDefault="00BD7D11" w:rsidP="00E04CE3">
            <w:pPr>
              <w:jc w:val="center"/>
              <w:cnfStyle w:val="000000100000"/>
              <w:rPr>
                <w:rFonts w:asciiTheme="minorHAnsi" w:hAnsiTheme="minorHAnsi" w:cs="Arial"/>
                <w:color w:val="auto"/>
                <w:sz w:val="20"/>
              </w:rPr>
            </w:pPr>
          </w:p>
        </w:tc>
        <w:tc>
          <w:tcPr>
            <w:tcW w:w="942" w:type="dxa"/>
          </w:tcPr>
          <w:p w:rsidR="00BD7D11" w:rsidRPr="00E13853" w:rsidRDefault="00BD7D11" w:rsidP="00E04CE3">
            <w:pPr>
              <w:jc w:val="center"/>
              <w:cnfStyle w:val="000000100000"/>
              <w:rPr>
                <w:rFonts w:asciiTheme="minorHAnsi" w:hAnsiTheme="minorHAnsi" w:cs="Arial"/>
                <w:color w:val="auto"/>
                <w:sz w:val="20"/>
              </w:rPr>
            </w:pPr>
          </w:p>
        </w:tc>
        <w:tc>
          <w:tcPr>
            <w:tcW w:w="918" w:type="dxa"/>
          </w:tcPr>
          <w:p w:rsidR="00BD7D11" w:rsidRPr="00E13853" w:rsidRDefault="00BD7D11" w:rsidP="00E04CE3">
            <w:pPr>
              <w:jc w:val="center"/>
              <w:cnfStyle w:val="000000100000"/>
              <w:rPr>
                <w:rFonts w:asciiTheme="minorHAnsi" w:hAnsiTheme="minorHAnsi" w:cs="Arial"/>
                <w:color w:val="auto"/>
                <w:sz w:val="20"/>
              </w:rPr>
            </w:pPr>
          </w:p>
        </w:tc>
      </w:tr>
      <w:tr w:rsidR="00BD7D11" w:rsidTr="00E04CE3">
        <w:tc>
          <w:tcPr>
            <w:cnfStyle w:val="001000000000"/>
            <w:tcW w:w="1559" w:type="dxa"/>
            <w:vAlign w:val="bottom"/>
          </w:tcPr>
          <w:p w:rsidR="00BD7D11" w:rsidRPr="00BE1207" w:rsidRDefault="00BD7D11" w:rsidP="00E04CE3">
            <w:pPr>
              <w:rPr>
                <w:rFonts w:asciiTheme="minorHAnsi" w:hAnsiTheme="minorHAnsi"/>
                <w:b w:val="0"/>
                <w:color w:val="auto"/>
                <w:sz w:val="20"/>
              </w:rPr>
            </w:pPr>
            <w:r w:rsidRPr="00BE1207">
              <w:rPr>
                <w:rFonts w:asciiTheme="minorHAnsi" w:hAnsiTheme="minorHAnsi"/>
                <w:b w:val="0"/>
                <w:color w:val="auto"/>
                <w:sz w:val="20"/>
              </w:rPr>
              <w:t>Uganda</w:t>
            </w:r>
          </w:p>
        </w:tc>
        <w:tc>
          <w:tcPr>
            <w:tcW w:w="1302" w:type="dxa"/>
            <w:vAlign w:val="bottom"/>
          </w:tcPr>
          <w:p w:rsidR="00BD7D11" w:rsidRPr="00BE1207" w:rsidRDefault="00BD7D11" w:rsidP="00E04CE3">
            <w:pPr>
              <w:jc w:val="center"/>
              <w:cnfStyle w:val="000000000000"/>
              <w:rPr>
                <w:rFonts w:asciiTheme="minorHAnsi" w:hAnsiTheme="minorHAnsi"/>
                <w:color w:val="auto"/>
                <w:sz w:val="20"/>
              </w:rPr>
            </w:pPr>
            <w:r w:rsidRPr="00BE1207">
              <w:rPr>
                <w:rFonts w:asciiTheme="minorHAnsi" w:hAnsiTheme="minorHAnsi"/>
                <w:color w:val="auto"/>
                <w:sz w:val="20"/>
              </w:rPr>
              <w:t>2010</w:t>
            </w:r>
          </w:p>
        </w:tc>
        <w:tc>
          <w:tcPr>
            <w:tcW w:w="977" w:type="dxa"/>
          </w:tcPr>
          <w:p w:rsidR="00BD7D11" w:rsidRPr="00E13853" w:rsidRDefault="00BD7D11" w:rsidP="00E04CE3">
            <w:pPr>
              <w:jc w:val="center"/>
              <w:cnfStyle w:val="000000000000"/>
              <w:rPr>
                <w:rFonts w:asciiTheme="minorHAnsi" w:hAnsiTheme="minorHAnsi"/>
                <w:color w:val="auto"/>
                <w:sz w:val="20"/>
              </w:rPr>
            </w:pPr>
            <w:r>
              <w:rPr>
                <w:rFonts w:asciiTheme="minorHAnsi" w:hAnsiTheme="minorHAnsi"/>
                <w:color w:val="auto"/>
                <w:sz w:val="20"/>
              </w:rPr>
              <w:t>253.8</w:t>
            </w:r>
          </w:p>
        </w:tc>
        <w:tc>
          <w:tcPr>
            <w:tcW w:w="1053"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227.0</w:t>
            </w:r>
          </w:p>
        </w:tc>
        <w:tc>
          <w:tcPr>
            <w:tcW w:w="1070" w:type="dxa"/>
          </w:tcPr>
          <w:p w:rsidR="00BD7D11" w:rsidRPr="00E13853" w:rsidRDefault="00BD7D11" w:rsidP="00E04CE3">
            <w:pPr>
              <w:jc w:val="center"/>
              <w:cnfStyle w:val="000000000000"/>
              <w:rPr>
                <w:rFonts w:asciiTheme="minorHAnsi" w:hAnsiTheme="minorHAnsi" w:cs="Arial"/>
                <w:color w:val="auto"/>
                <w:sz w:val="20"/>
              </w:rPr>
            </w:pPr>
            <w:r>
              <w:rPr>
                <w:rFonts w:asciiTheme="minorHAnsi" w:hAnsiTheme="minorHAnsi" w:cs="Arial"/>
                <w:color w:val="auto"/>
                <w:sz w:val="20"/>
              </w:rPr>
              <w:t>116.2</w:t>
            </w:r>
          </w:p>
        </w:tc>
        <w:tc>
          <w:tcPr>
            <w:tcW w:w="1029" w:type="dxa"/>
          </w:tcPr>
          <w:p w:rsidR="00BD7D11" w:rsidRPr="00E13853" w:rsidRDefault="00BD7D11" w:rsidP="00E04CE3">
            <w:pPr>
              <w:jc w:val="center"/>
              <w:cnfStyle w:val="000000000000"/>
              <w:rPr>
                <w:rFonts w:asciiTheme="minorHAnsi" w:hAnsiTheme="minorHAnsi" w:cs="Arial"/>
                <w:color w:val="auto"/>
                <w:sz w:val="20"/>
              </w:rPr>
            </w:pPr>
          </w:p>
        </w:tc>
        <w:tc>
          <w:tcPr>
            <w:tcW w:w="942" w:type="dxa"/>
          </w:tcPr>
          <w:p w:rsidR="00BD7D11" w:rsidRPr="00E13853" w:rsidRDefault="00BD7D11" w:rsidP="00E04CE3">
            <w:pPr>
              <w:jc w:val="center"/>
              <w:cnfStyle w:val="000000000000"/>
              <w:rPr>
                <w:rFonts w:asciiTheme="minorHAnsi" w:hAnsiTheme="minorHAnsi" w:cs="Arial"/>
                <w:color w:val="auto"/>
                <w:sz w:val="20"/>
              </w:rPr>
            </w:pPr>
          </w:p>
        </w:tc>
        <w:tc>
          <w:tcPr>
            <w:tcW w:w="918" w:type="dxa"/>
          </w:tcPr>
          <w:p w:rsidR="00BD7D11" w:rsidRPr="00E13853" w:rsidRDefault="00BD7D11" w:rsidP="00E04CE3">
            <w:pPr>
              <w:jc w:val="center"/>
              <w:cnfStyle w:val="000000000000"/>
              <w:rPr>
                <w:rFonts w:asciiTheme="minorHAnsi" w:hAnsiTheme="minorHAnsi" w:cs="Arial"/>
                <w:color w:val="auto"/>
                <w:sz w:val="20"/>
              </w:rPr>
            </w:pPr>
          </w:p>
        </w:tc>
      </w:tr>
    </w:tbl>
    <w:p w:rsidR="003F6C09" w:rsidRDefault="003F6C09" w:rsidP="003F6C09">
      <w:pPr>
        <w:rPr>
          <w:rFonts w:asciiTheme="minorHAnsi" w:hAnsiTheme="minorHAnsi" w:cs="Arial"/>
          <w:sz w:val="22"/>
          <w:szCs w:val="22"/>
        </w:rPr>
      </w:pPr>
    </w:p>
    <w:p w:rsidR="00BD7D11" w:rsidRDefault="00BD7D11" w:rsidP="003F6C09">
      <w:pPr>
        <w:rPr>
          <w:b/>
          <w:highlight w:val="yellow"/>
        </w:rPr>
      </w:pPr>
    </w:p>
    <w:p w:rsidR="001F1B04" w:rsidRDefault="00DB6429" w:rsidP="001F1B04">
      <w:pPr>
        <w:pStyle w:val="Default"/>
        <w:rPr>
          <w:rFonts w:asciiTheme="minorHAnsi" w:hAnsiTheme="minorHAnsi" w:cs="Arial"/>
          <w:b/>
          <w:color w:val="31849B" w:themeColor="accent5" w:themeShade="BF"/>
          <w:shd w:val="clear" w:color="auto" w:fill="FFFFFF"/>
        </w:rPr>
      </w:pPr>
      <w:r>
        <w:rPr>
          <w:rFonts w:asciiTheme="minorHAnsi" w:hAnsiTheme="minorHAnsi" w:cs="Arial"/>
          <w:b/>
          <w:color w:val="31849B" w:themeColor="accent5" w:themeShade="BF"/>
          <w:shd w:val="clear" w:color="auto" w:fill="FFFFFF"/>
        </w:rPr>
        <w:t xml:space="preserve">4.3 </w:t>
      </w:r>
      <w:r w:rsidR="00A2591A">
        <w:rPr>
          <w:rFonts w:asciiTheme="minorHAnsi" w:hAnsiTheme="minorHAnsi" w:cs="Arial"/>
          <w:b/>
          <w:color w:val="31849B" w:themeColor="accent5" w:themeShade="BF"/>
          <w:shd w:val="clear" w:color="auto" w:fill="FFFFFF"/>
        </w:rPr>
        <w:t xml:space="preserve">Case Studies: </w:t>
      </w:r>
      <w:r w:rsidR="006A1644">
        <w:rPr>
          <w:rFonts w:asciiTheme="minorHAnsi" w:hAnsiTheme="minorHAnsi" w:cs="Arial"/>
          <w:b/>
          <w:color w:val="31849B" w:themeColor="accent5" w:themeShade="BF"/>
          <w:shd w:val="clear" w:color="auto" w:fill="FFFFFF"/>
        </w:rPr>
        <w:t>Ghana</w:t>
      </w:r>
      <w:r w:rsidR="00A2591A">
        <w:rPr>
          <w:rFonts w:asciiTheme="minorHAnsi" w:hAnsiTheme="minorHAnsi" w:cs="Arial"/>
          <w:b/>
          <w:color w:val="31849B" w:themeColor="accent5" w:themeShade="BF"/>
          <w:shd w:val="clear" w:color="auto" w:fill="FFFFFF"/>
        </w:rPr>
        <w:t>, Burkina Faso and Togo</w:t>
      </w:r>
    </w:p>
    <w:p w:rsidR="00A2591A" w:rsidRPr="00DB6429" w:rsidRDefault="00A2591A" w:rsidP="001F1B04">
      <w:pPr>
        <w:pStyle w:val="Default"/>
        <w:rPr>
          <w:rFonts w:asciiTheme="minorHAnsi" w:hAnsiTheme="minorHAnsi" w:cs="Arial"/>
          <w:b/>
          <w:color w:val="31849B" w:themeColor="accent5" w:themeShade="BF"/>
          <w:shd w:val="clear" w:color="auto" w:fill="FFFFFF"/>
        </w:rPr>
      </w:pPr>
      <w:r>
        <w:rPr>
          <w:rFonts w:asciiTheme="minorHAnsi" w:hAnsiTheme="minorHAnsi"/>
          <w:b/>
          <w:color w:val="31849B" w:themeColor="accent5" w:themeShade="BF"/>
        </w:rPr>
        <w:t>4.3.1 Ghana</w:t>
      </w:r>
    </w:p>
    <w:p w:rsidR="001F1B04" w:rsidRPr="003047E1" w:rsidRDefault="001F1B04" w:rsidP="003047E1">
      <w:pPr>
        <w:pStyle w:val="Default"/>
        <w:spacing w:after="120" w:line="276" w:lineRule="auto"/>
        <w:jc w:val="both"/>
        <w:rPr>
          <w:rFonts w:asciiTheme="minorHAnsi" w:hAnsiTheme="minorHAnsi" w:cs="Arial"/>
          <w:color w:val="auto"/>
          <w:sz w:val="22"/>
          <w:szCs w:val="22"/>
          <w:shd w:val="clear" w:color="auto" w:fill="FFFFFF"/>
        </w:rPr>
      </w:pPr>
      <w:r>
        <w:rPr>
          <w:rFonts w:asciiTheme="minorHAnsi" w:hAnsiTheme="minorHAnsi" w:cs="Arial"/>
          <w:color w:val="auto"/>
          <w:sz w:val="22"/>
          <w:szCs w:val="22"/>
          <w:shd w:val="clear" w:color="auto" w:fill="FFFFFF"/>
        </w:rPr>
        <w:t xml:space="preserve">Ghana held its Roundtable and signed its country CAADP compact in October 2009.  </w:t>
      </w:r>
      <w:r w:rsidR="001004C0">
        <w:rPr>
          <w:rFonts w:asciiTheme="minorHAnsi" w:hAnsiTheme="minorHAnsi" w:cs="Arial"/>
          <w:color w:val="auto"/>
          <w:sz w:val="22"/>
          <w:szCs w:val="22"/>
          <w:shd w:val="clear" w:color="auto" w:fill="FFFFFF"/>
        </w:rPr>
        <w:t xml:space="preserve"> Agriculture employs more than half of the workforce (56 per cent)</w:t>
      </w:r>
      <w:r w:rsidR="00567EB9">
        <w:rPr>
          <w:rFonts w:asciiTheme="minorHAnsi" w:hAnsiTheme="minorHAnsi" w:cs="Arial"/>
          <w:color w:val="auto"/>
          <w:sz w:val="22"/>
          <w:szCs w:val="22"/>
          <w:shd w:val="clear" w:color="auto" w:fill="FFFFFF"/>
        </w:rPr>
        <w:t xml:space="preserve"> in Ghana</w:t>
      </w:r>
      <w:r w:rsidR="001004C0">
        <w:rPr>
          <w:rFonts w:asciiTheme="minorHAnsi" w:hAnsiTheme="minorHAnsi" w:cs="Arial"/>
          <w:color w:val="auto"/>
          <w:sz w:val="22"/>
          <w:szCs w:val="22"/>
          <w:shd w:val="clear" w:color="auto" w:fill="FFFFFF"/>
        </w:rPr>
        <w:t>, mainly small landholders.</w:t>
      </w:r>
      <w:r w:rsidR="001004C0">
        <w:rPr>
          <w:rStyle w:val="FootnoteReference"/>
          <w:rFonts w:asciiTheme="minorHAnsi" w:hAnsiTheme="minorHAnsi" w:cs="Arial"/>
          <w:color w:val="auto"/>
          <w:sz w:val="22"/>
          <w:szCs w:val="22"/>
          <w:shd w:val="clear" w:color="auto" w:fill="FFFFFF"/>
        </w:rPr>
        <w:footnoteReference w:id="136"/>
      </w:r>
      <w:r w:rsidR="001004C0">
        <w:rPr>
          <w:rFonts w:asciiTheme="minorHAnsi" w:hAnsiTheme="minorHAnsi" w:cs="Arial"/>
          <w:color w:val="auto"/>
          <w:sz w:val="22"/>
          <w:szCs w:val="22"/>
          <w:shd w:val="clear" w:color="auto" w:fill="FFFFFF"/>
        </w:rPr>
        <w:t xml:space="preserve">   </w:t>
      </w:r>
      <w:r>
        <w:rPr>
          <w:rFonts w:asciiTheme="minorHAnsi" w:hAnsiTheme="minorHAnsi" w:cs="Arial"/>
          <w:color w:val="auto"/>
          <w:sz w:val="22"/>
          <w:szCs w:val="22"/>
          <w:shd w:val="clear" w:color="auto" w:fill="FFFFFF"/>
        </w:rPr>
        <w:t>The country has a detailed investment plan – the Medium Term Agriculture Sector Investment Plan (METASIP, 2011-2015)</w:t>
      </w:r>
      <w:r>
        <w:rPr>
          <w:rStyle w:val="FootnoteReference"/>
          <w:rFonts w:asciiTheme="minorHAnsi" w:hAnsiTheme="minorHAnsi" w:cs="Arial"/>
          <w:color w:val="auto"/>
          <w:sz w:val="22"/>
          <w:szCs w:val="22"/>
          <w:shd w:val="clear" w:color="auto" w:fill="FFFFFF"/>
        </w:rPr>
        <w:footnoteReference w:id="137"/>
      </w:r>
      <w:r>
        <w:rPr>
          <w:rFonts w:asciiTheme="minorHAnsi" w:hAnsiTheme="minorHAnsi" w:cs="Arial"/>
          <w:color w:val="auto"/>
          <w:sz w:val="22"/>
          <w:szCs w:val="22"/>
          <w:shd w:val="clear" w:color="auto" w:fill="FFFFFF"/>
        </w:rPr>
        <w:t xml:space="preserve"> - which underwent a technical review and was validated at the national business meeting in June 2010.  </w:t>
      </w:r>
      <w:r w:rsidR="003047E1">
        <w:rPr>
          <w:rFonts w:asciiTheme="minorHAnsi" w:hAnsiTheme="minorHAnsi" w:cs="Arial"/>
          <w:color w:val="auto"/>
          <w:sz w:val="22"/>
          <w:szCs w:val="22"/>
          <w:shd w:val="clear" w:color="auto" w:fill="FFFFFF"/>
        </w:rPr>
        <w:t>Despite early concerns that the roundtable process was externally-driven and ambiguity about the roles of various supporting organisations,</w:t>
      </w:r>
      <w:r w:rsidR="003047E1">
        <w:rPr>
          <w:rStyle w:val="FootnoteReference"/>
          <w:rFonts w:asciiTheme="minorHAnsi" w:hAnsiTheme="minorHAnsi" w:cs="Arial"/>
          <w:color w:val="auto"/>
          <w:sz w:val="22"/>
          <w:szCs w:val="22"/>
          <w:shd w:val="clear" w:color="auto" w:fill="FFFFFF"/>
        </w:rPr>
        <w:footnoteReference w:id="138"/>
      </w:r>
      <w:r w:rsidR="003047E1">
        <w:rPr>
          <w:rFonts w:asciiTheme="minorHAnsi" w:hAnsiTheme="minorHAnsi" w:cs="Arial"/>
          <w:color w:val="auto"/>
          <w:sz w:val="22"/>
          <w:szCs w:val="22"/>
          <w:shd w:val="clear" w:color="auto" w:fill="FFFFFF"/>
        </w:rPr>
        <w:t xml:space="preserve"> t</w:t>
      </w:r>
      <w:r>
        <w:rPr>
          <w:rFonts w:asciiTheme="minorHAnsi" w:hAnsiTheme="minorHAnsi" w:cs="Arial"/>
          <w:color w:val="auto"/>
          <w:sz w:val="22"/>
          <w:szCs w:val="22"/>
          <w:shd w:val="clear" w:color="auto" w:fill="FFFFFF"/>
        </w:rPr>
        <w:t>he process of developing the investment programmes is generally agreed to have been a positive one,</w:t>
      </w:r>
      <w:r>
        <w:rPr>
          <w:rStyle w:val="FootnoteReference"/>
          <w:rFonts w:asciiTheme="minorHAnsi" w:hAnsiTheme="minorHAnsi" w:cs="Arial"/>
          <w:szCs w:val="22"/>
          <w:shd w:val="clear" w:color="auto" w:fill="FFFFFF"/>
        </w:rPr>
        <w:footnoteReference w:id="139"/>
      </w:r>
      <w:r w:rsidRPr="00E022A7">
        <w:rPr>
          <w:rFonts w:asciiTheme="minorHAnsi" w:hAnsiTheme="minorHAnsi" w:cs="Arial"/>
          <w:color w:val="auto"/>
          <w:sz w:val="22"/>
          <w:szCs w:val="22"/>
          <w:shd w:val="clear" w:color="auto" w:fill="FFFFFF"/>
        </w:rPr>
        <w:t xml:space="preserve"> </w:t>
      </w:r>
      <w:r>
        <w:rPr>
          <w:rFonts w:asciiTheme="minorHAnsi" w:hAnsiTheme="minorHAnsi" w:cs="Arial"/>
          <w:color w:val="auto"/>
          <w:sz w:val="22"/>
          <w:szCs w:val="22"/>
          <w:shd w:val="clear" w:color="auto" w:fill="FFFFFF"/>
        </w:rPr>
        <w:t xml:space="preserve">involving considerable dialogue between stakeholders (district assemblies, the private sector, NGOs, </w:t>
      </w:r>
      <w:r w:rsidRPr="00E022A7">
        <w:rPr>
          <w:rFonts w:asciiTheme="minorHAnsi" w:hAnsiTheme="minorHAnsi" w:cs="Arial"/>
          <w:sz w:val="22"/>
          <w:szCs w:val="22"/>
          <w:shd w:val="clear" w:color="auto" w:fill="FFFFFF"/>
        </w:rPr>
        <w:t>civil society organisations,</w:t>
      </w:r>
      <w:r>
        <w:rPr>
          <w:rFonts w:asciiTheme="minorHAnsi" w:hAnsiTheme="minorHAnsi" w:cs="Arial"/>
          <w:sz w:val="22"/>
          <w:szCs w:val="22"/>
          <w:shd w:val="clear" w:color="auto" w:fill="FFFFFF"/>
        </w:rPr>
        <w:t xml:space="preserve"> </w:t>
      </w:r>
      <w:r w:rsidRPr="00E022A7">
        <w:rPr>
          <w:rFonts w:asciiTheme="minorHAnsi" w:hAnsiTheme="minorHAnsi" w:cs="Arial"/>
          <w:sz w:val="22"/>
          <w:szCs w:val="22"/>
          <w:shd w:val="clear" w:color="auto" w:fill="FFFFFF"/>
        </w:rPr>
        <w:t>academics, traditional authorities and</w:t>
      </w:r>
      <w:r>
        <w:rPr>
          <w:rFonts w:asciiTheme="minorHAnsi" w:hAnsiTheme="minorHAnsi" w:cs="Arial"/>
          <w:sz w:val="22"/>
          <w:szCs w:val="22"/>
          <w:shd w:val="clear" w:color="auto" w:fill="FFFFFF"/>
        </w:rPr>
        <w:t xml:space="preserve"> </w:t>
      </w:r>
      <w:r w:rsidRPr="00E022A7">
        <w:rPr>
          <w:rFonts w:asciiTheme="minorHAnsi" w:hAnsiTheme="minorHAnsi" w:cs="Arial"/>
          <w:sz w:val="22"/>
          <w:szCs w:val="22"/>
          <w:shd w:val="clear" w:color="auto" w:fill="FFFFFF"/>
        </w:rPr>
        <w:t>national farmers' associations</w:t>
      </w:r>
      <w:r>
        <w:rPr>
          <w:rFonts w:asciiTheme="minorHAnsi" w:hAnsiTheme="minorHAnsi" w:cs="Arial"/>
          <w:sz w:val="22"/>
          <w:szCs w:val="22"/>
          <w:shd w:val="clear" w:color="auto" w:fill="FFFFFF"/>
        </w:rPr>
        <w:t xml:space="preserve">).  This </w:t>
      </w:r>
      <w:r w:rsidRPr="005C09A7">
        <w:rPr>
          <w:rFonts w:asciiTheme="minorHAnsi" w:hAnsiTheme="minorHAnsi" w:cs="Arial"/>
          <w:b/>
          <w:sz w:val="22"/>
          <w:szCs w:val="22"/>
          <w:shd w:val="clear" w:color="auto" w:fill="FFFFFF"/>
        </w:rPr>
        <w:t>consultative approach</w:t>
      </w:r>
      <w:r>
        <w:rPr>
          <w:rFonts w:asciiTheme="minorHAnsi" w:hAnsiTheme="minorHAnsi" w:cs="Arial"/>
          <w:sz w:val="22"/>
          <w:szCs w:val="22"/>
          <w:shd w:val="clear" w:color="auto" w:fill="FFFFFF"/>
        </w:rPr>
        <w:t xml:space="preserve">, particularly the involvement of the private sector in the CAADP country team overseeing </w:t>
      </w:r>
      <w:r w:rsidRPr="00E022A7">
        <w:rPr>
          <w:rFonts w:asciiTheme="minorHAnsi" w:hAnsiTheme="minorHAnsi" w:cs="Arial"/>
          <w:sz w:val="22"/>
          <w:szCs w:val="22"/>
          <w:shd w:val="clear" w:color="auto" w:fill="FFFFFF"/>
        </w:rPr>
        <w:t xml:space="preserve">the implementation of METASIP, has </w:t>
      </w:r>
      <w:r>
        <w:rPr>
          <w:rFonts w:asciiTheme="minorHAnsi" w:hAnsiTheme="minorHAnsi" w:cs="Arial"/>
          <w:sz w:val="22"/>
          <w:szCs w:val="22"/>
          <w:shd w:val="clear" w:color="auto" w:fill="FFFFFF"/>
        </w:rPr>
        <w:t>“</w:t>
      </w:r>
      <w:r w:rsidRPr="00E022A7">
        <w:rPr>
          <w:rFonts w:asciiTheme="minorHAnsi" w:hAnsiTheme="minorHAnsi" w:cs="Arial"/>
          <w:sz w:val="22"/>
          <w:szCs w:val="22"/>
          <w:shd w:val="clear" w:color="auto" w:fill="FFFFFF"/>
        </w:rPr>
        <w:t xml:space="preserve">reportedly enhanced the </w:t>
      </w:r>
      <w:r w:rsidRPr="00E022A7">
        <w:rPr>
          <w:rFonts w:asciiTheme="minorHAnsi" w:hAnsiTheme="minorHAnsi" w:cs="Arial"/>
          <w:i/>
          <w:sz w:val="22"/>
          <w:szCs w:val="22"/>
          <w:shd w:val="clear" w:color="auto" w:fill="FFFFFF"/>
        </w:rPr>
        <w:t xml:space="preserve">quality </w:t>
      </w:r>
      <w:r w:rsidRPr="00E022A7">
        <w:rPr>
          <w:rFonts w:asciiTheme="minorHAnsi" w:hAnsiTheme="minorHAnsi" w:cs="Arial"/>
          <w:sz w:val="22"/>
          <w:szCs w:val="22"/>
          <w:shd w:val="clear" w:color="auto" w:fill="FFFFFF"/>
        </w:rPr>
        <w:t>of investment planning</w:t>
      </w:r>
      <w:r>
        <w:rPr>
          <w:rFonts w:asciiTheme="minorHAnsi" w:hAnsiTheme="minorHAnsi" w:cs="Arial"/>
          <w:sz w:val="22"/>
          <w:szCs w:val="22"/>
          <w:shd w:val="clear" w:color="auto" w:fill="FFFFFF"/>
        </w:rPr>
        <w:t>”</w:t>
      </w:r>
      <w:r w:rsidRPr="00E022A7">
        <w:rPr>
          <w:rFonts w:asciiTheme="minorHAnsi" w:hAnsiTheme="minorHAnsi" w:cs="Arial"/>
          <w:sz w:val="22"/>
          <w:szCs w:val="22"/>
          <w:shd w:val="clear" w:color="auto" w:fill="FFFFFF"/>
        </w:rPr>
        <w:t>.</w:t>
      </w:r>
      <w:r>
        <w:rPr>
          <w:rStyle w:val="FootnoteReference"/>
          <w:rFonts w:asciiTheme="minorHAnsi" w:hAnsiTheme="minorHAnsi" w:cs="Arial"/>
          <w:sz w:val="22"/>
          <w:szCs w:val="22"/>
          <w:shd w:val="clear" w:color="auto" w:fill="FFFFFF"/>
        </w:rPr>
        <w:footnoteReference w:id="140"/>
      </w:r>
      <w:r w:rsidRPr="00E022A7">
        <w:rPr>
          <w:rFonts w:asciiTheme="minorHAnsi" w:hAnsiTheme="minorHAnsi" w:cs="Arial"/>
          <w:sz w:val="22"/>
          <w:szCs w:val="22"/>
          <w:shd w:val="clear" w:color="auto" w:fill="FFFFFF"/>
        </w:rPr>
        <w:t xml:space="preserve"> </w:t>
      </w:r>
    </w:p>
    <w:p w:rsidR="001F1B04" w:rsidRDefault="001F1B04" w:rsidP="001F1B04">
      <w:pPr>
        <w:pStyle w:val="Default"/>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lastRenderedPageBreak/>
        <w:t>Partly due to the high levels of stakeholder engagement in policy-making, METASIP received “strong backing from the government and from donors.  Its development process was seen by donors as an opportunity for them to engage with joint investment planning, which had previously been lacking”.</w:t>
      </w:r>
      <w:r>
        <w:rPr>
          <w:rStyle w:val="FootnoteReference"/>
          <w:rFonts w:asciiTheme="minorHAnsi" w:hAnsiTheme="minorHAnsi" w:cs="Arial"/>
          <w:sz w:val="22"/>
          <w:szCs w:val="22"/>
          <w:shd w:val="clear" w:color="auto" w:fill="FFFFFF"/>
        </w:rPr>
        <w:footnoteReference w:id="141"/>
      </w:r>
      <w:r>
        <w:rPr>
          <w:rFonts w:asciiTheme="minorHAnsi" w:hAnsiTheme="minorHAnsi" w:cs="Arial"/>
          <w:sz w:val="22"/>
          <w:szCs w:val="22"/>
          <w:shd w:val="clear" w:color="auto" w:fill="FFFFFF"/>
        </w:rPr>
        <w:t xml:space="preserve">  A</w:t>
      </w:r>
      <w:r w:rsidR="00750F7B">
        <w:rPr>
          <w:rFonts w:asciiTheme="minorHAnsi" w:hAnsiTheme="minorHAnsi" w:cs="Arial"/>
          <w:sz w:val="22"/>
          <w:szCs w:val="22"/>
          <w:shd w:val="clear" w:color="auto" w:fill="FFFFFF"/>
        </w:rPr>
        <w:t xml:space="preserve">s can be seen from Figure </w:t>
      </w:r>
      <w:r w:rsidR="00AD44BB">
        <w:rPr>
          <w:rFonts w:asciiTheme="minorHAnsi" w:hAnsiTheme="minorHAnsi" w:cs="Arial"/>
          <w:sz w:val="22"/>
          <w:szCs w:val="22"/>
          <w:shd w:val="clear" w:color="auto" w:fill="FFFFFF"/>
        </w:rPr>
        <w:t>1</w:t>
      </w:r>
      <w:r w:rsidR="0045510A">
        <w:rPr>
          <w:rFonts w:asciiTheme="minorHAnsi" w:hAnsiTheme="minorHAnsi" w:cs="Arial"/>
          <w:sz w:val="22"/>
          <w:szCs w:val="22"/>
          <w:shd w:val="clear" w:color="auto" w:fill="FFFFFF"/>
        </w:rPr>
        <w:t>4</w:t>
      </w:r>
      <w:r w:rsidR="00750F7B">
        <w:rPr>
          <w:rFonts w:asciiTheme="minorHAnsi" w:hAnsiTheme="minorHAnsi" w:cs="Arial"/>
          <w:sz w:val="22"/>
          <w:szCs w:val="22"/>
          <w:shd w:val="clear" w:color="auto" w:fill="FFFFFF"/>
        </w:rPr>
        <w:t xml:space="preserve"> below, donor investments in Ghana’s agricultural sector have fluctuated quite considerably over the past five years, with a peak of USD 289 million in 2007 and a noticeable drop to USD 84.8 million in 2009 (the year that Ghana signed its CAADP Compact).  </w:t>
      </w:r>
      <w:r>
        <w:rPr>
          <w:rFonts w:asciiTheme="minorHAnsi" w:hAnsiTheme="minorHAnsi" w:cs="Arial"/>
          <w:sz w:val="22"/>
          <w:szCs w:val="22"/>
          <w:shd w:val="clear" w:color="auto" w:fill="FFFFFF"/>
        </w:rPr>
        <w:t xml:space="preserve"> </w:t>
      </w:r>
      <w:r w:rsidR="00750F7B">
        <w:rPr>
          <w:rFonts w:asciiTheme="minorHAnsi" w:hAnsiTheme="minorHAnsi" w:cs="Arial"/>
          <w:sz w:val="22"/>
          <w:szCs w:val="22"/>
          <w:shd w:val="clear" w:color="auto" w:fill="FFFFFF"/>
        </w:rPr>
        <w:t>However, in the following years, agricultural investments have started to increase again to USD 144.8 million (2010) and USD 186.6 million (2011)</w:t>
      </w:r>
      <w:r w:rsidR="00CD6A57">
        <w:rPr>
          <w:rFonts w:asciiTheme="minorHAnsi" w:hAnsiTheme="minorHAnsi" w:cs="Arial"/>
          <w:sz w:val="22"/>
          <w:szCs w:val="22"/>
          <w:shd w:val="clear" w:color="auto" w:fill="FFFFFF"/>
        </w:rPr>
        <w:t>.</w:t>
      </w:r>
    </w:p>
    <w:p w:rsidR="00E33637" w:rsidRDefault="00E33637" w:rsidP="00E33637">
      <w:pPr>
        <w:jc w:val="center"/>
        <w:rPr>
          <w:rFonts w:asciiTheme="minorHAnsi" w:hAnsiTheme="minorHAnsi"/>
          <w:b/>
          <w:sz w:val="22"/>
          <w:szCs w:val="22"/>
        </w:rPr>
      </w:pPr>
      <w:r>
        <w:rPr>
          <w:rFonts w:asciiTheme="minorHAnsi" w:hAnsiTheme="minorHAnsi"/>
          <w:b/>
          <w:sz w:val="22"/>
          <w:szCs w:val="22"/>
        </w:rPr>
        <w:t xml:space="preserve">Figure </w:t>
      </w:r>
      <w:r w:rsidR="00AD44BB">
        <w:rPr>
          <w:rFonts w:asciiTheme="minorHAnsi" w:hAnsiTheme="minorHAnsi"/>
          <w:b/>
          <w:sz w:val="22"/>
          <w:szCs w:val="22"/>
        </w:rPr>
        <w:t>1</w:t>
      </w:r>
      <w:r w:rsidR="0045510A">
        <w:rPr>
          <w:rFonts w:asciiTheme="minorHAnsi" w:hAnsiTheme="minorHAnsi"/>
          <w:b/>
          <w:sz w:val="22"/>
          <w:szCs w:val="22"/>
        </w:rPr>
        <w:t>4</w:t>
      </w:r>
      <w:r>
        <w:rPr>
          <w:rFonts w:asciiTheme="minorHAnsi" w:hAnsiTheme="minorHAnsi"/>
          <w:b/>
          <w:sz w:val="22"/>
          <w:szCs w:val="22"/>
        </w:rPr>
        <w:t>. Ghana:</w:t>
      </w:r>
      <w:r w:rsidRPr="00FB3944">
        <w:rPr>
          <w:rFonts w:asciiTheme="minorHAnsi" w:hAnsiTheme="minorHAnsi"/>
          <w:b/>
          <w:sz w:val="22"/>
          <w:szCs w:val="22"/>
        </w:rPr>
        <w:t xml:space="preserve"> </w:t>
      </w:r>
      <w:r>
        <w:rPr>
          <w:rFonts w:asciiTheme="minorHAnsi" w:hAnsiTheme="minorHAnsi"/>
          <w:b/>
          <w:sz w:val="22"/>
          <w:szCs w:val="22"/>
        </w:rPr>
        <w:t xml:space="preserve">Total </w:t>
      </w:r>
      <w:r w:rsidRPr="00FB3944">
        <w:rPr>
          <w:rFonts w:asciiTheme="minorHAnsi" w:hAnsiTheme="minorHAnsi"/>
          <w:b/>
          <w:sz w:val="22"/>
          <w:szCs w:val="22"/>
        </w:rPr>
        <w:t xml:space="preserve">ODA commitments (bilateral and multilateral) </w:t>
      </w:r>
    </w:p>
    <w:p w:rsidR="00E33637" w:rsidRDefault="00E33637" w:rsidP="00E33637">
      <w:pPr>
        <w:jc w:val="center"/>
        <w:rPr>
          <w:rFonts w:asciiTheme="minorHAnsi" w:hAnsiTheme="minorHAnsi" w:cs="Arial"/>
          <w:sz w:val="22"/>
          <w:szCs w:val="22"/>
          <w:shd w:val="clear" w:color="auto" w:fill="FFFFFF"/>
        </w:rPr>
      </w:pPr>
      <w:r w:rsidRPr="00FB3944">
        <w:rPr>
          <w:rFonts w:asciiTheme="minorHAnsi" w:hAnsiTheme="minorHAnsi"/>
          <w:b/>
          <w:sz w:val="22"/>
          <w:szCs w:val="22"/>
        </w:rPr>
        <w:t xml:space="preserve">to </w:t>
      </w:r>
      <w:r>
        <w:rPr>
          <w:rFonts w:asciiTheme="minorHAnsi" w:hAnsiTheme="minorHAnsi"/>
          <w:b/>
          <w:sz w:val="22"/>
          <w:szCs w:val="22"/>
        </w:rPr>
        <w:t>the agriculture, forestry and fishing sector</w:t>
      </w:r>
      <w:r w:rsidRPr="00FB3944">
        <w:rPr>
          <w:rFonts w:asciiTheme="minorHAnsi" w:hAnsiTheme="minorHAnsi"/>
          <w:b/>
          <w:sz w:val="22"/>
          <w:szCs w:val="22"/>
        </w:rPr>
        <w:t>, 1995-2011</w:t>
      </w:r>
      <w:r>
        <w:rPr>
          <w:rStyle w:val="FootnoteReference"/>
          <w:rFonts w:asciiTheme="minorHAnsi" w:hAnsiTheme="minorHAnsi"/>
          <w:b/>
          <w:sz w:val="22"/>
          <w:szCs w:val="22"/>
        </w:rPr>
        <w:footnoteReference w:id="142"/>
      </w:r>
    </w:p>
    <w:p w:rsidR="00E33637" w:rsidRDefault="00E33637" w:rsidP="001F1B04">
      <w:pPr>
        <w:pStyle w:val="Default"/>
        <w:spacing w:after="120" w:line="276" w:lineRule="auto"/>
        <w:jc w:val="both"/>
        <w:rPr>
          <w:rFonts w:asciiTheme="minorHAnsi" w:hAnsiTheme="minorHAnsi" w:cs="Arial"/>
          <w:sz w:val="22"/>
          <w:szCs w:val="22"/>
          <w:shd w:val="clear" w:color="auto" w:fill="FFFFFF"/>
        </w:rPr>
      </w:pPr>
      <w:r>
        <w:rPr>
          <w:noProof/>
          <w:lang w:val="fr-FR" w:eastAsia="fr-FR"/>
        </w:rPr>
        <w:drawing>
          <wp:inline distT="0" distB="0" distL="0" distR="0">
            <wp:extent cx="5419725" cy="1438275"/>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F1B04" w:rsidRDefault="00C12017" w:rsidP="001F1B04">
      <w:pPr>
        <w:pStyle w:val="Default"/>
        <w:spacing w:after="120" w:line="276" w:lineRule="auto"/>
        <w:jc w:val="both"/>
        <w:rPr>
          <w:rFonts w:asciiTheme="minorHAnsi" w:hAnsiTheme="minorHAnsi" w:cs="Arial"/>
          <w:sz w:val="22"/>
          <w:szCs w:val="22"/>
          <w:shd w:val="clear" w:color="auto" w:fill="FFFFFF"/>
        </w:rPr>
      </w:pPr>
      <w:r w:rsidRPr="00C12017">
        <w:rPr>
          <w:rFonts w:asciiTheme="minorHAnsi" w:hAnsiTheme="minorHAnsi" w:cs="Arial"/>
          <w:sz w:val="22"/>
          <w:szCs w:val="22"/>
          <w:shd w:val="clear" w:color="auto" w:fill="FFFFFF"/>
        </w:rPr>
        <w:t xml:space="preserve">Despite a ‘funding gap’ of USD 533 million </w:t>
      </w:r>
      <w:r w:rsidRPr="00C12017">
        <w:rPr>
          <w:rFonts w:asciiTheme="minorHAnsi" w:hAnsiTheme="minorHAnsi"/>
          <w:sz w:val="22"/>
          <w:szCs w:val="22"/>
        </w:rPr>
        <w:t xml:space="preserve">identified in the METASIP as not specifically allocated to development partners – over two-thirds of the total budget of USD 805 million - </w:t>
      </w:r>
      <w:r w:rsidR="001F1B04" w:rsidRPr="00C12017">
        <w:rPr>
          <w:rFonts w:asciiTheme="minorHAnsi" w:hAnsiTheme="minorHAnsi" w:cs="Arial"/>
          <w:sz w:val="22"/>
          <w:szCs w:val="22"/>
          <w:shd w:val="clear" w:color="auto" w:fill="FFFFFF"/>
        </w:rPr>
        <w:t>the latest evidence suggests that Ghana has been successful in attracting donor investment.</w:t>
      </w:r>
      <w:r w:rsidR="001F1B04">
        <w:rPr>
          <w:rFonts w:asciiTheme="minorHAnsi" w:hAnsiTheme="minorHAnsi" w:cs="Arial"/>
          <w:sz w:val="22"/>
          <w:szCs w:val="22"/>
          <w:shd w:val="clear" w:color="auto" w:fill="FFFFFF"/>
        </w:rPr>
        <w:t xml:space="preserve">   For example, the 2011 </w:t>
      </w:r>
      <w:proofErr w:type="spellStart"/>
      <w:r w:rsidR="001F1B04">
        <w:rPr>
          <w:rFonts w:asciiTheme="minorHAnsi" w:hAnsiTheme="minorHAnsi" w:cs="Arial"/>
          <w:sz w:val="22"/>
          <w:szCs w:val="22"/>
          <w:shd w:val="clear" w:color="auto" w:fill="FFFFFF"/>
        </w:rPr>
        <w:t>MoFA</w:t>
      </w:r>
      <w:proofErr w:type="spellEnd"/>
      <w:r w:rsidR="001F1B04">
        <w:rPr>
          <w:rFonts w:asciiTheme="minorHAnsi" w:hAnsiTheme="minorHAnsi" w:cs="Arial"/>
          <w:sz w:val="22"/>
          <w:szCs w:val="22"/>
          <w:shd w:val="clear" w:color="auto" w:fill="FFFFFF"/>
        </w:rPr>
        <w:t xml:space="preserve"> Annual Report shows actual inflows of GHc231,143 million, surpassing the Ministry’s expected inflows of GHc207,612 million, which is largely due to </w:t>
      </w:r>
      <w:r w:rsidR="001F1B04" w:rsidRPr="005D3580">
        <w:rPr>
          <w:rFonts w:asciiTheme="minorHAnsi" w:hAnsiTheme="minorHAnsi" w:cs="Arial"/>
          <w:b/>
          <w:sz w:val="22"/>
          <w:szCs w:val="22"/>
          <w:shd w:val="clear" w:color="auto" w:fill="FFFFFF"/>
        </w:rPr>
        <w:t>donor inflows exceeding expected inflows by 27%</w:t>
      </w:r>
      <w:r w:rsidR="001F1B04">
        <w:rPr>
          <w:rFonts w:asciiTheme="minorHAnsi" w:hAnsiTheme="minorHAnsi" w:cs="Arial"/>
          <w:b/>
          <w:sz w:val="22"/>
          <w:szCs w:val="22"/>
          <w:shd w:val="clear" w:color="auto" w:fill="FFFFFF"/>
        </w:rPr>
        <w:t xml:space="preserve"> </w:t>
      </w:r>
      <w:r w:rsidR="001F1B04" w:rsidRPr="005D3580">
        <w:rPr>
          <w:rFonts w:asciiTheme="minorHAnsi" w:hAnsiTheme="minorHAnsi" w:cs="Arial"/>
          <w:sz w:val="22"/>
          <w:szCs w:val="22"/>
          <w:shd w:val="clear" w:color="auto" w:fill="FFFFFF"/>
        </w:rPr>
        <w:t xml:space="preserve">(see Table </w:t>
      </w:r>
      <w:r w:rsidR="00D437C6">
        <w:rPr>
          <w:rFonts w:asciiTheme="minorHAnsi" w:hAnsiTheme="minorHAnsi" w:cs="Arial"/>
          <w:sz w:val="22"/>
          <w:szCs w:val="22"/>
          <w:shd w:val="clear" w:color="auto" w:fill="FFFFFF"/>
        </w:rPr>
        <w:t>14</w:t>
      </w:r>
      <w:r w:rsidR="001F1B04" w:rsidRPr="005D3580">
        <w:rPr>
          <w:rFonts w:asciiTheme="minorHAnsi" w:hAnsiTheme="minorHAnsi" w:cs="Arial"/>
          <w:sz w:val="22"/>
          <w:szCs w:val="22"/>
          <w:shd w:val="clear" w:color="auto" w:fill="FFFFFF"/>
        </w:rPr>
        <w:t xml:space="preserve"> below).</w:t>
      </w:r>
    </w:p>
    <w:p w:rsidR="001F1B04" w:rsidRDefault="001F1B04" w:rsidP="001F1B04">
      <w:pPr>
        <w:pStyle w:val="Default"/>
        <w:spacing w:after="120" w:line="276" w:lineRule="auto"/>
        <w:jc w:val="center"/>
        <w:rPr>
          <w:rFonts w:asciiTheme="minorHAnsi" w:hAnsiTheme="minorHAnsi" w:cs="Arial"/>
          <w:sz w:val="22"/>
          <w:szCs w:val="22"/>
          <w:shd w:val="clear" w:color="auto" w:fill="FFFFFF"/>
        </w:rPr>
      </w:pPr>
      <w:r w:rsidRPr="004526DF">
        <w:rPr>
          <w:rFonts w:asciiTheme="minorHAnsi" w:hAnsiTheme="minorHAnsi" w:cs="Arial"/>
          <w:b/>
          <w:sz w:val="22"/>
          <w:szCs w:val="22"/>
          <w:shd w:val="clear" w:color="auto" w:fill="FFFFFF"/>
        </w:rPr>
        <w:t xml:space="preserve">Table </w:t>
      </w:r>
      <w:r w:rsidR="00D437C6">
        <w:rPr>
          <w:rFonts w:asciiTheme="minorHAnsi" w:hAnsiTheme="minorHAnsi" w:cs="Arial"/>
          <w:b/>
          <w:sz w:val="22"/>
          <w:szCs w:val="22"/>
          <w:shd w:val="clear" w:color="auto" w:fill="FFFFFF"/>
        </w:rPr>
        <w:t>14</w:t>
      </w:r>
      <w:r w:rsidRPr="004526DF">
        <w:rPr>
          <w:rFonts w:asciiTheme="minorHAnsi" w:hAnsiTheme="minorHAnsi" w:cs="Arial"/>
          <w:b/>
          <w:sz w:val="22"/>
          <w:szCs w:val="22"/>
          <w:shd w:val="clear" w:color="auto" w:fill="FFFFFF"/>
        </w:rPr>
        <w:t xml:space="preserve">. Source of Funds for </w:t>
      </w:r>
      <w:proofErr w:type="spellStart"/>
      <w:r w:rsidRPr="004526DF">
        <w:rPr>
          <w:rFonts w:asciiTheme="minorHAnsi" w:hAnsiTheme="minorHAnsi" w:cs="Arial"/>
          <w:b/>
          <w:sz w:val="22"/>
          <w:szCs w:val="22"/>
          <w:shd w:val="clear" w:color="auto" w:fill="FFFFFF"/>
        </w:rPr>
        <w:t>MoFA’s</w:t>
      </w:r>
      <w:proofErr w:type="spellEnd"/>
      <w:r w:rsidRPr="004526DF">
        <w:rPr>
          <w:rFonts w:asciiTheme="minorHAnsi" w:hAnsiTheme="minorHAnsi" w:cs="Arial"/>
          <w:b/>
          <w:sz w:val="22"/>
          <w:szCs w:val="22"/>
          <w:shd w:val="clear" w:color="auto" w:fill="FFFFFF"/>
        </w:rPr>
        <w:t xml:space="preserve"> Approved Budget (2011)</w:t>
      </w:r>
      <w:r>
        <w:rPr>
          <w:rStyle w:val="FootnoteReference"/>
          <w:rFonts w:asciiTheme="minorHAnsi" w:hAnsiTheme="minorHAnsi" w:cs="Arial"/>
          <w:sz w:val="22"/>
          <w:szCs w:val="22"/>
          <w:shd w:val="clear" w:color="auto" w:fill="FFFFFF"/>
        </w:rPr>
        <w:footnoteReference w:id="143"/>
      </w:r>
    </w:p>
    <w:tbl>
      <w:tblPr>
        <w:tblStyle w:val="LightShading-Accent5"/>
        <w:tblW w:w="0" w:type="auto"/>
        <w:tblLook w:val="04A0"/>
      </w:tblPr>
      <w:tblGrid>
        <w:gridCol w:w="2802"/>
        <w:gridCol w:w="2268"/>
        <w:gridCol w:w="1984"/>
        <w:gridCol w:w="2188"/>
      </w:tblGrid>
      <w:tr w:rsidR="001F1B04" w:rsidRPr="00A06B93" w:rsidTr="0059239E">
        <w:trPr>
          <w:cnfStyle w:val="100000000000"/>
        </w:trPr>
        <w:tc>
          <w:tcPr>
            <w:cnfStyle w:val="001000000000"/>
            <w:tcW w:w="2802" w:type="dxa"/>
          </w:tcPr>
          <w:p w:rsidR="001F1B04" w:rsidRPr="00A06B93" w:rsidRDefault="001F1B04" w:rsidP="00263D5A">
            <w:pPr>
              <w:rPr>
                <w:rFonts w:cs="Arial"/>
                <w:sz w:val="20"/>
                <w:szCs w:val="20"/>
              </w:rPr>
            </w:pPr>
            <w:r w:rsidRPr="00A06B93">
              <w:rPr>
                <w:rFonts w:cs="Arial"/>
                <w:sz w:val="20"/>
                <w:szCs w:val="20"/>
              </w:rPr>
              <w:t>F</w:t>
            </w:r>
            <w:r>
              <w:rPr>
                <w:rFonts w:cs="Arial"/>
                <w:sz w:val="20"/>
                <w:szCs w:val="20"/>
              </w:rPr>
              <w:t>und Source</w:t>
            </w:r>
          </w:p>
        </w:tc>
        <w:tc>
          <w:tcPr>
            <w:tcW w:w="2268" w:type="dxa"/>
          </w:tcPr>
          <w:p w:rsidR="001F1B04" w:rsidRDefault="001F1B04" w:rsidP="00263D5A">
            <w:pPr>
              <w:jc w:val="center"/>
              <w:cnfStyle w:val="100000000000"/>
              <w:rPr>
                <w:rFonts w:cs="Arial"/>
                <w:sz w:val="20"/>
                <w:szCs w:val="20"/>
              </w:rPr>
            </w:pPr>
            <w:r>
              <w:rPr>
                <w:rFonts w:cs="Arial"/>
                <w:sz w:val="20"/>
                <w:szCs w:val="20"/>
              </w:rPr>
              <w:t>2011 Approved Budget</w:t>
            </w:r>
          </w:p>
          <w:p w:rsidR="001F1B04" w:rsidRPr="00A06B93" w:rsidRDefault="001F1B04" w:rsidP="00263D5A">
            <w:pPr>
              <w:jc w:val="center"/>
              <w:cnfStyle w:val="100000000000"/>
              <w:rPr>
                <w:rFonts w:cs="Arial"/>
                <w:sz w:val="20"/>
                <w:szCs w:val="20"/>
              </w:rPr>
            </w:pPr>
            <w:r>
              <w:rPr>
                <w:rFonts w:cs="Arial"/>
                <w:sz w:val="20"/>
                <w:szCs w:val="20"/>
              </w:rPr>
              <w:t>(</w:t>
            </w:r>
            <w:proofErr w:type="spellStart"/>
            <w:r>
              <w:rPr>
                <w:rFonts w:cs="Arial"/>
                <w:sz w:val="20"/>
                <w:szCs w:val="20"/>
              </w:rPr>
              <w:t>GHc</w:t>
            </w:r>
            <w:proofErr w:type="spellEnd"/>
            <w:r>
              <w:rPr>
                <w:rFonts w:cs="Arial"/>
                <w:sz w:val="20"/>
                <w:szCs w:val="20"/>
              </w:rPr>
              <w:t xml:space="preserve"> million)</w:t>
            </w:r>
          </w:p>
        </w:tc>
        <w:tc>
          <w:tcPr>
            <w:tcW w:w="1984" w:type="dxa"/>
          </w:tcPr>
          <w:p w:rsidR="001F1B04" w:rsidRDefault="001F1B04" w:rsidP="00263D5A">
            <w:pPr>
              <w:jc w:val="center"/>
              <w:cnfStyle w:val="100000000000"/>
              <w:rPr>
                <w:rFonts w:cs="Arial"/>
                <w:sz w:val="20"/>
                <w:szCs w:val="20"/>
              </w:rPr>
            </w:pPr>
            <w:r>
              <w:rPr>
                <w:rFonts w:cs="Arial"/>
                <w:sz w:val="20"/>
                <w:szCs w:val="20"/>
              </w:rPr>
              <w:t>Actual inflows</w:t>
            </w:r>
          </w:p>
          <w:p w:rsidR="001F1B04" w:rsidRPr="00A06B93" w:rsidRDefault="001F1B04" w:rsidP="00263D5A">
            <w:pPr>
              <w:jc w:val="center"/>
              <w:cnfStyle w:val="100000000000"/>
              <w:rPr>
                <w:rFonts w:cs="Arial"/>
                <w:sz w:val="20"/>
                <w:szCs w:val="20"/>
              </w:rPr>
            </w:pPr>
            <w:proofErr w:type="spellStart"/>
            <w:r>
              <w:rPr>
                <w:rFonts w:cs="Arial"/>
                <w:sz w:val="20"/>
                <w:szCs w:val="20"/>
              </w:rPr>
              <w:t>GHc</w:t>
            </w:r>
            <w:proofErr w:type="spellEnd"/>
            <w:r>
              <w:rPr>
                <w:rFonts w:cs="Arial"/>
                <w:sz w:val="20"/>
                <w:szCs w:val="20"/>
              </w:rPr>
              <w:t xml:space="preserve"> million</w:t>
            </w:r>
          </w:p>
        </w:tc>
        <w:tc>
          <w:tcPr>
            <w:tcW w:w="2188" w:type="dxa"/>
          </w:tcPr>
          <w:p w:rsidR="001F1B04" w:rsidRPr="00A06B93" w:rsidRDefault="001F1B04" w:rsidP="00263D5A">
            <w:pPr>
              <w:jc w:val="center"/>
              <w:cnfStyle w:val="100000000000"/>
              <w:rPr>
                <w:rFonts w:cs="Arial"/>
                <w:sz w:val="20"/>
                <w:szCs w:val="20"/>
              </w:rPr>
            </w:pPr>
            <w:r>
              <w:rPr>
                <w:rFonts w:cs="Arial"/>
                <w:sz w:val="20"/>
                <w:szCs w:val="20"/>
              </w:rPr>
              <w:t>Percentage achieved</w:t>
            </w:r>
          </w:p>
        </w:tc>
      </w:tr>
      <w:tr w:rsidR="001F1B04" w:rsidRPr="00A06B93" w:rsidTr="0059239E">
        <w:trPr>
          <w:cnfStyle w:val="000000100000"/>
        </w:trPr>
        <w:tc>
          <w:tcPr>
            <w:cnfStyle w:val="001000000000"/>
            <w:tcW w:w="2802" w:type="dxa"/>
          </w:tcPr>
          <w:p w:rsidR="001F1B04" w:rsidRPr="00A06B93" w:rsidRDefault="001F1B04" w:rsidP="00263D5A">
            <w:pPr>
              <w:rPr>
                <w:rFonts w:cs="Arial"/>
                <w:b w:val="0"/>
                <w:sz w:val="20"/>
                <w:szCs w:val="20"/>
              </w:rPr>
            </w:pPr>
            <w:r>
              <w:rPr>
                <w:rFonts w:cs="Arial"/>
                <w:b w:val="0"/>
                <w:sz w:val="20"/>
                <w:szCs w:val="20"/>
              </w:rPr>
              <w:t>Government of Ghana</w:t>
            </w:r>
          </w:p>
        </w:tc>
        <w:tc>
          <w:tcPr>
            <w:tcW w:w="2268" w:type="dxa"/>
          </w:tcPr>
          <w:p w:rsidR="001F1B04" w:rsidRPr="00A06B93" w:rsidRDefault="001F1B04" w:rsidP="00263D5A">
            <w:pPr>
              <w:ind w:right="718"/>
              <w:jc w:val="right"/>
              <w:cnfStyle w:val="000000100000"/>
              <w:rPr>
                <w:rFonts w:cs="Arial"/>
                <w:sz w:val="20"/>
                <w:szCs w:val="20"/>
              </w:rPr>
            </w:pPr>
            <w:r>
              <w:rPr>
                <w:rFonts w:cs="Arial"/>
                <w:sz w:val="20"/>
                <w:szCs w:val="20"/>
              </w:rPr>
              <w:t>84,350</w:t>
            </w:r>
          </w:p>
        </w:tc>
        <w:tc>
          <w:tcPr>
            <w:tcW w:w="1984" w:type="dxa"/>
          </w:tcPr>
          <w:p w:rsidR="001F1B04" w:rsidRPr="00A06B93" w:rsidRDefault="001F1B04" w:rsidP="00263D5A">
            <w:pPr>
              <w:ind w:right="619"/>
              <w:jc w:val="right"/>
              <w:cnfStyle w:val="000000100000"/>
              <w:rPr>
                <w:rFonts w:cs="Arial"/>
                <w:sz w:val="20"/>
                <w:szCs w:val="20"/>
              </w:rPr>
            </w:pPr>
            <w:r>
              <w:rPr>
                <w:rFonts w:cs="Arial"/>
                <w:sz w:val="20"/>
                <w:szCs w:val="20"/>
              </w:rPr>
              <w:t>77,925</w:t>
            </w:r>
          </w:p>
        </w:tc>
        <w:tc>
          <w:tcPr>
            <w:tcW w:w="2188" w:type="dxa"/>
          </w:tcPr>
          <w:p w:rsidR="001F1B04" w:rsidRPr="00A06B93" w:rsidRDefault="001F1B04" w:rsidP="00263D5A">
            <w:pPr>
              <w:ind w:right="804"/>
              <w:jc w:val="right"/>
              <w:cnfStyle w:val="000000100000"/>
              <w:rPr>
                <w:rFonts w:cs="Arial"/>
                <w:sz w:val="20"/>
                <w:szCs w:val="20"/>
              </w:rPr>
            </w:pPr>
            <w:r>
              <w:rPr>
                <w:rFonts w:cs="Arial"/>
                <w:sz w:val="20"/>
                <w:szCs w:val="20"/>
              </w:rPr>
              <w:t>92.4</w:t>
            </w:r>
          </w:p>
        </w:tc>
      </w:tr>
      <w:tr w:rsidR="001F1B04" w:rsidRPr="00A06B93" w:rsidTr="0059239E">
        <w:tc>
          <w:tcPr>
            <w:cnfStyle w:val="001000000000"/>
            <w:tcW w:w="2802" w:type="dxa"/>
          </w:tcPr>
          <w:p w:rsidR="001F1B04" w:rsidRPr="00A06B93" w:rsidRDefault="001F1B04" w:rsidP="00263D5A">
            <w:pPr>
              <w:rPr>
                <w:rFonts w:cs="Arial"/>
                <w:b w:val="0"/>
                <w:sz w:val="20"/>
              </w:rPr>
            </w:pPr>
            <w:r>
              <w:rPr>
                <w:rFonts w:cs="Arial"/>
                <w:b w:val="0"/>
                <w:sz w:val="20"/>
              </w:rPr>
              <w:t>Internally Generated Fund (IGF)</w:t>
            </w:r>
          </w:p>
        </w:tc>
        <w:tc>
          <w:tcPr>
            <w:tcW w:w="2268" w:type="dxa"/>
          </w:tcPr>
          <w:p w:rsidR="001F1B04" w:rsidRPr="00A06B93" w:rsidRDefault="001F1B04" w:rsidP="00263D5A">
            <w:pPr>
              <w:ind w:right="718"/>
              <w:jc w:val="right"/>
              <w:cnfStyle w:val="000000000000"/>
              <w:rPr>
                <w:rFonts w:cs="Arial"/>
                <w:sz w:val="20"/>
              </w:rPr>
            </w:pPr>
            <w:r>
              <w:rPr>
                <w:rFonts w:cs="Arial"/>
                <w:sz w:val="20"/>
              </w:rPr>
              <w:t>5,890</w:t>
            </w:r>
          </w:p>
        </w:tc>
        <w:tc>
          <w:tcPr>
            <w:tcW w:w="1984" w:type="dxa"/>
          </w:tcPr>
          <w:p w:rsidR="001F1B04" w:rsidRPr="00A06B93" w:rsidRDefault="001F1B04" w:rsidP="00263D5A">
            <w:pPr>
              <w:ind w:right="619"/>
              <w:jc w:val="right"/>
              <w:cnfStyle w:val="000000000000"/>
              <w:rPr>
                <w:rFonts w:cs="Arial"/>
                <w:sz w:val="20"/>
              </w:rPr>
            </w:pPr>
            <w:r>
              <w:rPr>
                <w:rFonts w:cs="Arial"/>
                <w:sz w:val="20"/>
              </w:rPr>
              <w:t>4,541</w:t>
            </w:r>
          </w:p>
        </w:tc>
        <w:tc>
          <w:tcPr>
            <w:tcW w:w="2188" w:type="dxa"/>
          </w:tcPr>
          <w:p w:rsidR="001F1B04" w:rsidRPr="00A06B93" w:rsidRDefault="001F1B04" w:rsidP="00263D5A">
            <w:pPr>
              <w:ind w:right="804"/>
              <w:jc w:val="right"/>
              <w:cnfStyle w:val="000000000000"/>
              <w:rPr>
                <w:rFonts w:cs="Arial"/>
                <w:sz w:val="20"/>
              </w:rPr>
            </w:pPr>
            <w:r>
              <w:rPr>
                <w:rFonts w:cs="Arial"/>
                <w:sz w:val="20"/>
              </w:rPr>
              <w:t>77.1</w:t>
            </w:r>
          </w:p>
        </w:tc>
      </w:tr>
      <w:tr w:rsidR="001F1B04" w:rsidRPr="00A06B93" w:rsidTr="0059239E">
        <w:trPr>
          <w:cnfStyle w:val="000000100000"/>
        </w:trPr>
        <w:tc>
          <w:tcPr>
            <w:cnfStyle w:val="001000000000"/>
            <w:tcW w:w="2802" w:type="dxa"/>
          </w:tcPr>
          <w:p w:rsidR="001F1B04" w:rsidRPr="00A06B93" w:rsidRDefault="001F1B04" w:rsidP="00263D5A">
            <w:pPr>
              <w:rPr>
                <w:rFonts w:cs="Arial"/>
                <w:b w:val="0"/>
                <w:sz w:val="20"/>
              </w:rPr>
            </w:pPr>
            <w:r>
              <w:rPr>
                <w:rFonts w:cs="Arial"/>
                <w:b w:val="0"/>
                <w:sz w:val="20"/>
              </w:rPr>
              <w:t>Donor</w:t>
            </w:r>
          </w:p>
        </w:tc>
        <w:tc>
          <w:tcPr>
            <w:tcW w:w="2268" w:type="dxa"/>
          </w:tcPr>
          <w:p w:rsidR="001F1B04" w:rsidRPr="00A06B93" w:rsidRDefault="001F1B04" w:rsidP="00263D5A">
            <w:pPr>
              <w:ind w:right="718"/>
              <w:jc w:val="right"/>
              <w:cnfStyle w:val="000000100000"/>
              <w:rPr>
                <w:rFonts w:cs="Arial"/>
                <w:sz w:val="20"/>
              </w:rPr>
            </w:pPr>
            <w:r>
              <w:rPr>
                <w:rFonts w:cs="Arial"/>
                <w:sz w:val="20"/>
              </w:rPr>
              <w:t>117,372</w:t>
            </w:r>
          </w:p>
        </w:tc>
        <w:tc>
          <w:tcPr>
            <w:tcW w:w="1984" w:type="dxa"/>
          </w:tcPr>
          <w:p w:rsidR="001F1B04" w:rsidRPr="00A06B93" w:rsidRDefault="001F1B04" w:rsidP="00263D5A">
            <w:pPr>
              <w:ind w:right="619"/>
              <w:jc w:val="right"/>
              <w:cnfStyle w:val="000000100000"/>
              <w:rPr>
                <w:rFonts w:cs="Arial"/>
                <w:sz w:val="20"/>
              </w:rPr>
            </w:pPr>
            <w:r>
              <w:rPr>
                <w:rFonts w:cs="Arial"/>
                <w:sz w:val="20"/>
              </w:rPr>
              <w:t>148,677</w:t>
            </w:r>
          </w:p>
        </w:tc>
        <w:tc>
          <w:tcPr>
            <w:tcW w:w="2188" w:type="dxa"/>
          </w:tcPr>
          <w:p w:rsidR="001F1B04" w:rsidRPr="00A06B93" w:rsidRDefault="001F1B04" w:rsidP="00263D5A">
            <w:pPr>
              <w:ind w:right="804"/>
              <w:jc w:val="right"/>
              <w:cnfStyle w:val="000000100000"/>
              <w:rPr>
                <w:rFonts w:cs="Arial"/>
                <w:sz w:val="20"/>
              </w:rPr>
            </w:pPr>
            <w:r>
              <w:rPr>
                <w:rFonts w:cs="Arial"/>
                <w:sz w:val="20"/>
              </w:rPr>
              <w:t>126.7</w:t>
            </w:r>
          </w:p>
        </w:tc>
      </w:tr>
      <w:tr w:rsidR="001F1B04" w:rsidRPr="00A06B93" w:rsidTr="0059239E">
        <w:tc>
          <w:tcPr>
            <w:cnfStyle w:val="001000000000"/>
            <w:tcW w:w="2802" w:type="dxa"/>
          </w:tcPr>
          <w:p w:rsidR="001F1B04" w:rsidRPr="005C376D" w:rsidRDefault="001F1B04" w:rsidP="00263D5A">
            <w:pPr>
              <w:rPr>
                <w:rFonts w:cs="Arial"/>
                <w:sz w:val="20"/>
              </w:rPr>
            </w:pPr>
            <w:r w:rsidRPr="005C376D">
              <w:rPr>
                <w:rFonts w:cs="Arial"/>
                <w:sz w:val="20"/>
              </w:rPr>
              <w:t>TOTAL</w:t>
            </w:r>
          </w:p>
        </w:tc>
        <w:tc>
          <w:tcPr>
            <w:tcW w:w="2268" w:type="dxa"/>
          </w:tcPr>
          <w:p w:rsidR="001F1B04" w:rsidRPr="005C376D" w:rsidRDefault="001F1B04" w:rsidP="00263D5A">
            <w:pPr>
              <w:ind w:right="718"/>
              <w:jc w:val="right"/>
              <w:cnfStyle w:val="000000000000"/>
              <w:rPr>
                <w:rFonts w:cs="Arial"/>
                <w:b/>
                <w:sz w:val="20"/>
              </w:rPr>
            </w:pPr>
            <w:r w:rsidRPr="005C376D">
              <w:rPr>
                <w:rFonts w:cs="Arial"/>
                <w:b/>
                <w:sz w:val="20"/>
              </w:rPr>
              <w:t>207,612</w:t>
            </w:r>
          </w:p>
        </w:tc>
        <w:tc>
          <w:tcPr>
            <w:tcW w:w="1984" w:type="dxa"/>
          </w:tcPr>
          <w:p w:rsidR="001F1B04" w:rsidRPr="005C376D" w:rsidRDefault="001F1B04" w:rsidP="00263D5A">
            <w:pPr>
              <w:ind w:right="619"/>
              <w:jc w:val="right"/>
              <w:cnfStyle w:val="000000000000"/>
              <w:rPr>
                <w:rFonts w:cs="Arial"/>
                <w:b/>
                <w:sz w:val="20"/>
              </w:rPr>
            </w:pPr>
            <w:r w:rsidRPr="005C376D">
              <w:rPr>
                <w:rFonts w:cs="Arial"/>
                <w:b/>
                <w:sz w:val="20"/>
              </w:rPr>
              <w:t>231,143</w:t>
            </w:r>
          </w:p>
        </w:tc>
        <w:tc>
          <w:tcPr>
            <w:tcW w:w="2188" w:type="dxa"/>
          </w:tcPr>
          <w:p w:rsidR="001F1B04" w:rsidRPr="005C376D" w:rsidRDefault="001F1B04" w:rsidP="00263D5A">
            <w:pPr>
              <w:ind w:right="804"/>
              <w:jc w:val="right"/>
              <w:cnfStyle w:val="000000000000"/>
              <w:rPr>
                <w:rFonts w:cs="Arial"/>
                <w:b/>
                <w:sz w:val="20"/>
              </w:rPr>
            </w:pPr>
            <w:r w:rsidRPr="005C376D">
              <w:rPr>
                <w:rFonts w:cs="Arial"/>
                <w:b/>
                <w:sz w:val="20"/>
              </w:rPr>
              <w:t>111.3</w:t>
            </w:r>
          </w:p>
        </w:tc>
      </w:tr>
    </w:tbl>
    <w:p w:rsidR="0096590C" w:rsidRDefault="0096590C" w:rsidP="001F1B04">
      <w:pPr>
        <w:pStyle w:val="Default"/>
        <w:spacing w:after="120" w:line="276" w:lineRule="auto"/>
        <w:jc w:val="both"/>
        <w:rPr>
          <w:rFonts w:asciiTheme="minorHAnsi" w:hAnsiTheme="minorHAnsi" w:cs="Arial"/>
          <w:sz w:val="22"/>
          <w:szCs w:val="22"/>
          <w:shd w:val="clear" w:color="auto" w:fill="FFFFFF"/>
        </w:rPr>
      </w:pPr>
    </w:p>
    <w:p w:rsidR="001F1B04" w:rsidRDefault="001F1B04" w:rsidP="001F1B04">
      <w:pPr>
        <w:pStyle w:val="Default"/>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Ghana has been successful in being a </w:t>
      </w:r>
      <w:r w:rsidRPr="00CC30E2">
        <w:rPr>
          <w:rFonts w:asciiTheme="minorHAnsi" w:hAnsiTheme="minorHAnsi" w:cs="Arial"/>
          <w:b/>
          <w:sz w:val="22"/>
          <w:szCs w:val="22"/>
          <w:shd w:val="clear" w:color="auto" w:fill="FFFFFF"/>
        </w:rPr>
        <w:t>key recipient country of all of the large agriculture investment initiatives in Africa,</w:t>
      </w:r>
      <w:r>
        <w:rPr>
          <w:rFonts w:asciiTheme="minorHAnsi" w:hAnsiTheme="minorHAnsi" w:cs="Arial"/>
          <w:sz w:val="22"/>
          <w:szCs w:val="22"/>
          <w:shd w:val="clear" w:color="auto" w:fill="FFFFFF"/>
        </w:rPr>
        <w:t xml:space="preserve"> including:  </w:t>
      </w:r>
    </w:p>
    <w:p w:rsidR="001F1B04" w:rsidRDefault="001F1B04" w:rsidP="001F1B04">
      <w:pPr>
        <w:pStyle w:val="Default"/>
        <w:numPr>
          <w:ilvl w:val="0"/>
          <w:numId w:val="19"/>
        </w:numPr>
        <w:spacing w:after="120" w:line="276" w:lineRule="auto"/>
        <w:ind w:left="714" w:hanging="357"/>
        <w:contextualSpacing/>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The United States’ Feed the Future initiative: one of 12 ‘focus’ countries in Africa</w:t>
      </w:r>
    </w:p>
    <w:p w:rsidR="001F1B04" w:rsidRDefault="001F1B04" w:rsidP="001F1B04">
      <w:pPr>
        <w:pStyle w:val="Default"/>
        <w:numPr>
          <w:ilvl w:val="0"/>
          <w:numId w:val="19"/>
        </w:numPr>
        <w:spacing w:after="120" w:line="276" w:lineRule="auto"/>
        <w:ind w:left="714" w:hanging="357"/>
        <w:contextualSpacing/>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G8’s New Alliance for Food Security and Nutrition: one of 3 initial countries chosen, with </w:t>
      </w:r>
      <w:r w:rsidRPr="00B91DF0">
        <w:rPr>
          <w:rFonts w:asciiTheme="minorHAnsi" w:hAnsiTheme="minorHAnsi" w:cs="Arial"/>
          <w:sz w:val="22"/>
          <w:szCs w:val="22"/>
          <w:shd w:val="clear" w:color="auto" w:fill="FFFFFF"/>
        </w:rPr>
        <w:t xml:space="preserve">15 </w:t>
      </w:r>
      <w:r w:rsidRPr="00B91DF0">
        <w:rPr>
          <w:rFonts w:asciiTheme="minorHAnsi" w:hAnsiTheme="minorHAnsi" w:cs="Arial"/>
          <w:sz w:val="22"/>
          <w:szCs w:val="22"/>
        </w:rPr>
        <w:t>companies that have prepared and signed ‘Letters of Intent’ as of May 2012</w:t>
      </w:r>
    </w:p>
    <w:p w:rsidR="001F1B04" w:rsidRDefault="001F1B04" w:rsidP="001F1B04">
      <w:pPr>
        <w:pStyle w:val="Default"/>
        <w:numPr>
          <w:ilvl w:val="0"/>
          <w:numId w:val="19"/>
        </w:numPr>
        <w:spacing w:after="120" w:line="276" w:lineRule="auto"/>
        <w:ind w:left="714" w:hanging="357"/>
        <w:contextualSpacing/>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Grow Africa: part of the ‘first wave’ of seven countries receiving support to attract private sector investment</w:t>
      </w:r>
    </w:p>
    <w:p w:rsidR="001F1B04" w:rsidRPr="00B91DF0" w:rsidRDefault="001F1B04" w:rsidP="001F1B04">
      <w:pPr>
        <w:pStyle w:val="Default"/>
        <w:numPr>
          <w:ilvl w:val="0"/>
          <w:numId w:val="19"/>
        </w:numPr>
        <w:spacing w:after="120" w:line="276" w:lineRule="auto"/>
        <w:ind w:left="714" w:hanging="357"/>
        <w:contextualSpacing/>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lastRenderedPageBreak/>
        <w:t xml:space="preserve">AGRA: one of four countries where work focuses on </w:t>
      </w:r>
      <w:r w:rsidRPr="00B91DF0">
        <w:rPr>
          <w:rFonts w:asciiTheme="minorHAnsi" w:hAnsiTheme="minorHAnsi" w:cs="Arial"/>
          <w:sz w:val="22"/>
          <w:szCs w:val="22"/>
        </w:rPr>
        <w:t xml:space="preserve">catalyzing public and private partnerships </w:t>
      </w:r>
    </w:p>
    <w:p w:rsidR="001F1B04" w:rsidRPr="00B91DF0" w:rsidRDefault="001F1B04" w:rsidP="001F1B04">
      <w:pPr>
        <w:pStyle w:val="Default"/>
        <w:numPr>
          <w:ilvl w:val="0"/>
          <w:numId w:val="19"/>
        </w:numPr>
        <w:spacing w:after="120" w:line="276" w:lineRule="auto"/>
        <w:ind w:left="714" w:hanging="357"/>
        <w:contextualSpacing/>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Core country of several African agricultural finance funds, such as </w:t>
      </w:r>
      <w:proofErr w:type="spellStart"/>
      <w:r>
        <w:rPr>
          <w:rFonts w:asciiTheme="minorHAnsi" w:hAnsiTheme="minorHAnsi" w:cs="Arial"/>
          <w:sz w:val="22"/>
          <w:szCs w:val="22"/>
          <w:shd w:val="clear" w:color="auto" w:fill="FFFFFF"/>
        </w:rPr>
        <w:t>Agri</w:t>
      </w:r>
      <w:proofErr w:type="spellEnd"/>
      <w:r>
        <w:rPr>
          <w:rFonts w:asciiTheme="minorHAnsi" w:hAnsiTheme="minorHAnsi" w:cs="Arial"/>
          <w:sz w:val="22"/>
          <w:szCs w:val="22"/>
          <w:shd w:val="clear" w:color="auto" w:fill="FFFFFF"/>
        </w:rPr>
        <w:t>-Vie (USD100 million already raised, with 2</w:t>
      </w:r>
      <w:r w:rsidRPr="00B91DF0">
        <w:rPr>
          <w:rFonts w:asciiTheme="minorHAnsi" w:hAnsiTheme="minorHAnsi" w:cs="Arial"/>
          <w:sz w:val="22"/>
          <w:szCs w:val="22"/>
          <w:shd w:val="clear" w:color="auto" w:fill="FFFFFF"/>
          <w:vertAlign w:val="superscript"/>
        </w:rPr>
        <w:t>nd</w:t>
      </w:r>
      <w:r>
        <w:rPr>
          <w:rFonts w:asciiTheme="minorHAnsi" w:hAnsiTheme="minorHAnsi" w:cs="Arial"/>
          <w:sz w:val="22"/>
          <w:szCs w:val="22"/>
          <w:shd w:val="clear" w:color="auto" w:fill="FFFFFF"/>
        </w:rPr>
        <w:t xml:space="preserve"> planned of USD300 million), GEF Africa Sustainable Forestry Fund (USD 150 million), and the Atlantic Coast Regional Fund (USD 150 million).</w:t>
      </w:r>
    </w:p>
    <w:p w:rsidR="0039520D" w:rsidRDefault="0039520D" w:rsidP="001F1B04">
      <w:pPr>
        <w:pStyle w:val="Default"/>
        <w:spacing w:after="120" w:line="276" w:lineRule="auto"/>
        <w:jc w:val="both"/>
        <w:rPr>
          <w:rFonts w:ascii="Georgia" w:hAnsi="Georgia"/>
          <w:color w:val="555555"/>
          <w:sz w:val="21"/>
          <w:szCs w:val="21"/>
          <w:shd w:val="clear" w:color="auto" w:fill="FFFFFF"/>
        </w:rPr>
      </w:pPr>
    </w:p>
    <w:p w:rsidR="00FC5ADE" w:rsidRDefault="005B34E4" w:rsidP="00FC5ADE">
      <w:pPr>
        <w:pStyle w:val="Default"/>
        <w:spacing w:after="120" w:line="276" w:lineRule="auto"/>
        <w:jc w:val="both"/>
        <w:rPr>
          <w:rFonts w:asciiTheme="minorHAnsi" w:hAnsiTheme="minorHAnsi" w:cs="Arial"/>
          <w:b/>
          <w:sz w:val="22"/>
          <w:szCs w:val="22"/>
          <w:shd w:val="clear" w:color="auto" w:fill="FFFFFF"/>
        </w:rPr>
      </w:pPr>
      <w:r>
        <w:rPr>
          <w:rFonts w:asciiTheme="minorHAnsi" w:hAnsiTheme="minorHAnsi" w:cs="Arial"/>
          <w:sz w:val="22"/>
          <w:szCs w:val="22"/>
          <w:shd w:val="clear" w:color="auto" w:fill="FFFFFF"/>
        </w:rPr>
        <w:t>According to a recent G8 report (2012), p</w:t>
      </w:r>
      <w:r w:rsidR="0039520D">
        <w:rPr>
          <w:rFonts w:asciiTheme="minorHAnsi" w:hAnsiTheme="minorHAnsi" w:cs="Arial"/>
          <w:sz w:val="22"/>
          <w:szCs w:val="22"/>
          <w:shd w:val="clear" w:color="auto" w:fill="FFFFFF"/>
        </w:rPr>
        <w:t xml:space="preserve">art of the key to Ghana’s success in unlocking </w:t>
      </w:r>
      <w:r w:rsidR="00FD5DE4">
        <w:rPr>
          <w:rFonts w:asciiTheme="minorHAnsi" w:hAnsiTheme="minorHAnsi" w:cs="Arial"/>
          <w:sz w:val="22"/>
          <w:szCs w:val="22"/>
          <w:shd w:val="clear" w:color="auto" w:fill="FFFFFF"/>
        </w:rPr>
        <w:t xml:space="preserve">recent </w:t>
      </w:r>
      <w:r w:rsidR="0039520D">
        <w:rPr>
          <w:rFonts w:asciiTheme="minorHAnsi" w:hAnsiTheme="minorHAnsi" w:cs="Arial"/>
          <w:sz w:val="22"/>
          <w:szCs w:val="22"/>
          <w:shd w:val="clear" w:color="auto" w:fill="FFFFFF"/>
        </w:rPr>
        <w:t xml:space="preserve">investment (particularly private investment) </w:t>
      </w:r>
      <w:r w:rsidR="00FD5DE4">
        <w:rPr>
          <w:rFonts w:asciiTheme="minorHAnsi" w:hAnsiTheme="minorHAnsi" w:cs="Arial"/>
          <w:sz w:val="22"/>
          <w:szCs w:val="22"/>
          <w:shd w:val="clear" w:color="auto" w:fill="FFFFFF"/>
        </w:rPr>
        <w:t xml:space="preserve">has been </w:t>
      </w:r>
      <w:r w:rsidR="0039520D">
        <w:rPr>
          <w:rFonts w:asciiTheme="minorHAnsi" w:hAnsiTheme="minorHAnsi" w:cs="Arial"/>
          <w:sz w:val="22"/>
          <w:szCs w:val="22"/>
          <w:shd w:val="clear" w:color="auto" w:fill="FFFFFF"/>
        </w:rPr>
        <w:t xml:space="preserve">the development of the </w:t>
      </w:r>
      <w:r w:rsidR="0039520D">
        <w:rPr>
          <w:rFonts w:asciiTheme="minorHAnsi" w:hAnsiTheme="minorHAnsi" w:cs="Arial"/>
          <w:i/>
          <w:sz w:val="22"/>
          <w:szCs w:val="22"/>
          <w:shd w:val="clear" w:color="auto" w:fill="FFFFFF"/>
        </w:rPr>
        <w:t>Ghana Commercial Agriculture Program</w:t>
      </w:r>
      <w:r w:rsidR="0039520D">
        <w:rPr>
          <w:rFonts w:asciiTheme="minorHAnsi" w:hAnsiTheme="minorHAnsi" w:cs="Arial"/>
          <w:sz w:val="22"/>
          <w:szCs w:val="22"/>
          <w:shd w:val="clear" w:color="auto" w:fill="FFFFFF"/>
        </w:rPr>
        <w:t>: “This strategic investment blueprint is a model for inclusive and strategic collaboration among government, donors and the private sector”.</w:t>
      </w:r>
      <w:r w:rsidR="0039520D">
        <w:rPr>
          <w:rStyle w:val="FootnoteReference"/>
          <w:rFonts w:asciiTheme="minorHAnsi" w:hAnsiTheme="minorHAnsi" w:cs="Arial"/>
          <w:sz w:val="22"/>
          <w:szCs w:val="22"/>
          <w:shd w:val="clear" w:color="auto" w:fill="FFFFFF"/>
        </w:rPr>
        <w:footnoteReference w:id="144"/>
      </w:r>
      <w:r w:rsidR="00776D04">
        <w:rPr>
          <w:rFonts w:asciiTheme="minorHAnsi" w:hAnsiTheme="minorHAnsi" w:cs="Arial"/>
          <w:sz w:val="22"/>
          <w:szCs w:val="22"/>
          <w:shd w:val="clear" w:color="auto" w:fill="FFFFFF"/>
        </w:rPr>
        <w:t xml:space="preserve">  As part of the New Alliance in Ghana, donors have </w:t>
      </w:r>
      <w:r w:rsidR="0044198F">
        <w:rPr>
          <w:rFonts w:asciiTheme="minorHAnsi" w:hAnsiTheme="minorHAnsi" w:cs="Arial"/>
          <w:sz w:val="22"/>
          <w:szCs w:val="22"/>
          <w:shd w:val="clear" w:color="auto" w:fill="FFFFFF"/>
        </w:rPr>
        <w:t xml:space="preserve">also </w:t>
      </w:r>
      <w:r w:rsidR="00776D04">
        <w:rPr>
          <w:rFonts w:asciiTheme="minorHAnsi" w:hAnsiTheme="minorHAnsi" w:cs="Arial"/>
          <w:sz w:val="22"/>
          <w:szCs w:val="22"/>
          <w:shd w:val="clear" w:color="auto" w:fill="FFFFFF"/>
        </w:rPr>
        <w:t>expressed their intentions in support of CAADP investment plans</w:t>
      </w:r>
      <w:r w:rsidR="00FF7F61">
        <w:rPr>
          <w:rFonts w:asciiTheme="minorHAnsi" w:hAnsiTheme="minorHAnsi" w:cs="Arial"/>
          <w:sz w:val="22"/>
          <w:szCs w:val="22"/>
          <w:shd w:val="clear" w:color="auto" w:fill="FFFFFF"/>
        </w:rPr>
        <w:t xml:space="preserve">, with </w:t>
      </w:r>
      <w:r w:rsidR="003C2BAD" w:rsidRPr="0044198F">
        <w:rPr>
          <w:rFonts w:asciiTheme="minorHAnsi" w:hAnsiTheme="minorHAnsi" w:cs="Arial"/>
          <w:b/>
          <w:sz w:val="22"/>
          <w:szCs w:val="22"/>
          <w:shd w:val="clear" w:color="auto" w:fill="FFFFFF"/>
        </w:rPr>
        <w:t>over USD 500 million</w:t>
      </w:r>
      <w:r w:rsidR="00FF7F61" w:rsidRPr="0044198F">
        <w:rPr>
          <w:rFonts w:asciiTheme="minorHAnsi" w:hAnsiTheme="minorHAnsi" w:cs="Arial"/>
          <w:b/>
          <w:sz w:val="22"/>
          <w:szCs w:val="22"/>
          <w:shd w:val="clear" w:color="auto" w:fill="FFFFFF"/>
        </w:rPr>
        <w:t xml:space="preserve"> </w:t>
      </w:r>
      <w:r w:rsidR="003C2BAD" w:rsidRPr="0044198F">
        <w:rPr>
          <w:rFonts w:asciiTheme="minorHAnsi" w:hAnsiTheme="minorHAnsi" w:cs="Arial"/>
          <w:b/>
          <w:sz w:val="22"/>
          <w:szCs w:val="22"/>
          <w:shd w:val="clear" w:color="auto" w:fill="FFFFFF"/>
        </w:rPr>
        <w:t>funds committed</w:t>
      </w:r>
      <w:r w:rsidR="003C2BAD">
        <w:rPr>
          <w:rFonts w:asciiTheme="minorHAnsi" w:hAnsiTheme="minorHAnsi" w:cs="Arial"/>
          <w:sz w:val="22"/>
          <w:szCs w:val="22"/>
          <w:shd w:val="clear" w:color="auto" w:fill="FFFFFF"/>
        </w:rPr>
        <w:t xml:space="preserve"> </w:t>
      </w:r>
      <w:r w:rsidR="008D1F1E">
        <w:rPr>
          <w:rFonts w:asciiTheme="minorHAnsi" w:hAnsiTheme="minorHAnsi" w:cs="Arial"/>
          <w:sz w:val="22"/>
          <w:szCs w:val="22"/>
          <w:shd w:val="clear" w:color="auto" w:fill="FFFFFF"/>
        </w:rPr>
        <w:t xml:space="preserve">over the next few years </w:t>
      </w:r>
      <w:r w:rsidR="003C2BAD">
        <w:rPr>
          <w:rFonts w:asciiTheme="minorHAnsi" w:hAnsiTheme="minorHAnsi" w:cs="Arial"/>
          <w:sz w:val="22"/>
          <w:szCs w:val="22"/>
          <w:shd w:val="clear" w:color="auto" w:fill="FFFFFF"/>
        </w:rPr>
        <w:t xml:space="preserve">(see Table </w:t>
      </w:r>
      <w:r w:rsidR="00D437C6">
        <w:rPr>
          <w:rFonts w:asciiTheme="minorHAnsi" w:hAnsiTheme="minorHAnsi" w:cs="Arial"/>
          <w:sz w:val="22"/>
          <w:szCs w:val="22"/>
          <w:shd w:val="clear" w:color="auto" w:fill="FFFFFF"/>
        </w:rPr>
        <w:t>15</w:t>
      </w:r>
      <w:r w:rsidR="003C2BAD">
        <w:rPr>
          <w:rFonts w:asciiTheme="minorHAnsi" w:hAnsiTheme="minorHAnsi" w:cs="Arial"/>
          <w:sz w:val="22"/>
          <w:szCs w:val="22"/>
          <w:shd w:val="clear" w:color="auto" w:fill="FFFFFF"/>
        </w:rPr>
        <w:t xml:space="preserve"> below).</w:t>
      </w:r>
    </w:p>
    <w:p w:rsidR="003C2BAD" w:rsidRPr="00FC5ADE" w:rsidRDefault="003C2BAD" w:rsidP="00FC5ADE">
      <w:pPr>
        <w:pStyle w:val="Default"/>
        <w:spacing w:after="120" w:line="276" w:lineRule="auto"/>
        <w:jc w:val="center"/>
        <w:rPr>
          <w:rFonts w:asciiTheme="minorHAnsi" w:hAnsiTheme="minorHAnsi" w:cs="Arial"/>
          <w:sz w:val="22"/>
          <w:szCs w:val="22"/>
          <w:shd w:val="clear" w:color="auto" w:fill="FFFFFF"/>
        </w:rPr>
      </w:pPr>
      <w:r w:rsidRPr="003C2BAD">
        <w:rPr>
          <w:rFonts w:asciiTheme="minorHAnsi" w:hAnsiTheme="minorHAnsi" w:cs="Arial"/>
          <w:b/>
          <w:sz w:val="22"/>
          <w:szCs w:val="22"/>
          <w:shd w:val="clear" w:color="auto" w:fill="FFFFFF"/>
        </w:rPr>
        <w:t xml:space="preserve">Table </w:t>
      </w:r>
      <w:r w:rsidR="00D437C6">
        <w:rPr>
          <w:rFonts w:asciiTheme="minorHAnsi" w:hAnsiTheme="minorHAnsi" w:cs="Arial"/>
          <w:b/>
          <w:sz w:val="22"/>
          <w:szCs w:val="22"/>
          <w:shd w:val="clear" w:color="auto" w:fill="FFFFFF"/>
        </w:rPr>
        <w:t>15</w:t>
      </w:r>
      <w:r w:rsidRPr="003C2BAD">
        <w:rPr>
          <w:rFonts w:asciiTheme="minorHAnsi" w:hAnsiTheme="minorHAnsi" w:cs="Arial"/>
          <w:b/>
          <w:sz w:val="22"/>
          <w:szCs w:val="22"/>
          <w:shd w:val="clear" w:color="auto" w:fill="FFFFFF"/>
        </w:rPr>
        <w:t xml:space="preserve">. </w:t>
      </w:r>
      <w:r w:rsidRPr="003C2BAD">
        <w:rPr>
          <w:rFonts w:asciiTheme="minorHAnsi" w:hAnsiTheme="minorHAnsi"/>
          <w:b/>
          <w:sz w:val="22"/>
          <w:szCs w:val="22"/>
          <w:lang w:eastAsia="en-GB"/>
        </w:rPr>
        <w:t>G8 Members’ and Others’ Funding Intentions to Ghana</w:t>
      </w:r>
      <w:r>
        <w:rPr>
          <w:rStyle w:val="FootnoteReference"/>
          <w:rFonts w:asciiTheme="minorHAnsi" w:hAnsiTheme="minorHAnsi"/>
          <w:b/>
          <w:sz w:val="22"/>
          <w:szCs w:val="22"/>
          <w:lang w:eastAsia="en-GB"/>
        </w:rPr>
        <w:footnoteReference w:id="145"/>
      </w:r>
    </w:p>
    <w:tbl>
      <w:tblPr>
        <w:tblStyle w:val="LightShading-Accent5"/>
        <w:tblW w:w="0" w:type="auto"/>
        <w:tblLook w:val="04A0"/>
      </w:tblPr>
      <w:tblGrid>
        <w:gridCol w:w="4503"/>
        <w:gridCol w:w="2126"/>
        <w:gridCol w:w="2551"/>
      </w:tblGrid>
      <w:tr w:rsidR="00FF7F61" w:rsidRPr="00A06B93" w:rsidTr="00FF7F61">
        <w:trPr>
          <w:cnfStyle w:val="100000000000"/>
        </w:trPr>
        <w:tc>
          <w:tcPr>
            <w:cnfStyle w:val="001000000000"/>
            <w:tcW w:w="4503" w:type="dxa"/>
          </w:tcPr>
          <w:p w:rsidR="00FF7F61" w:rsidRPr="00A06B93" w:rsidRDefault="00FF7F61" w:rsidP="00263D5A">
            <w:pPr>
              <w:rPr>
                <w:rFonts w:cs="Arial"/>
                <w:sz w:val="20"/>
                <w:szCs w:val="20"/>
              </w:rPr>
            </w:pPr>
            <w:r>
              <w:rPr>
                <w:rFonts w:cs="Arial"/>
                <w:sz w:val="20"/>
                <w:szCs w:val="20"/>
              </w:rPr>
              <w:t>G8 members and others</w:t>
            </w:r>
          </w:p>
        </w:tc>
        <w:tc>
          <w:tcPr>
            <w:tcW w:w="2126" w:type="dxa"/>
          </w:tcPr>
          <w:p w:rsidR="00FF7F61" w:rsidRPr="00A06B93" w:rsidRDefault="00FF7F61" w:rsidP="00263D5A">
            <w:pPr>
              <w:jc w:val="center"/>
              <w:cnfStyle w:val="100000000000"/>
              <w:rPr>
                <w:rFonts w:cs="Arial"/>
                <w:sz w:val="20"/>
                <w:szCs w:val="20"/>
              </w:rPr>
            </w:pPr>
            <w:r>
              <w:rPr>
                <w:rFonts w:cs="Arial"/>
                <w:sz w:val="20"/>
                <w:szCs w:val="20"/>
              </w:rPr>
              <w:t>Timeframe</w:t>
            </w:r>
          </w:p>
        </w:tc>
        <w:tc>
          <w:tcPr>
            <w:tcW w:w="2551" w:type="dxa"/>
          </w:tcPr>
          <w:p w:rsidR="00FF7F61" w:rsidRPr="00A06B93" w:rsidRDefault="00FF7F61" w:rsidP="00263D5A">
            <w:pPr>
              <w:jc w:val="center"/>
              <w:cnfStyle w:val="100000000000"/>
              <w:rPr>
                <w:rFonts w:cs="Arial"/>
                <w:sz w:val="20"/>
                <w:szCs w:val="20"/>
              </w:rPr>
            </w:pPr>
            <w:r>
              <w:rPr>
                <w:rFonts w:cs="Arial"/>
                <w:sz w:val="20"/>
                <w:szCs w:val="20"/>
              </w:rPr>
              <w:t>Funds committed (USD)</w:t>
            </w:r>
          </w:p>
        </w:tc>
      </w:tr>
      <w:tr w:rsidR="00FF7F61" w:rsidRPr="00A06B93" w:rsidTr="00FF7F61">
        <w:trPr>
          <w:cnfStyle w:val="000000100000"/>
        </w:trPr>
        <w:tc>
          <w:tcPr>
            <w:cnfStyle w:val="001000000000"/>
            <w:tcW w:w="4503" w:type="dxa"/>
          </w:tcPr>
          <w:p w:rsidR="00FF7F61" w:rsidRPr="00A06B93" w:rsidRDefault="00FF7F61" w:rsidP="00263D5A">
            <w:pPr>
              <w:rPr>
                <w:rFonts w:cs="Arial"/>
                <w:b w:val="0"/>
                <w:sz w:val="20"/>
                <w:szCs w:val="20"/>
              </w:rPr>
            </w:pPr>
            <w:r>
              <w:rPr>
                <w:rFonts w:cs="Arial"/>
                <w:b w:val="0"/>
                <w:sz w:val="20"/>
                <w:szCs w:val="20"/>
              </w:rPr>
              <w:t>United States (2012 G8 Summit lead)</w:t>
            </w:r>
          </w:p>
        </w:tc>
        <w:tc>
          <w:tcPr>
            <w:tcW w:w="2126" w:type="dxa"/>
          </w:tcPr>
          <w:p w:rsidR="00FF7F61" w:rsidRPr="00A06B93" w:rsidRDefault="00FF7F61" w:rsidP="00263D5A">
            <w:pPr>
              <w:autoSpaceDE w:val="0"/>
              <w:autoSpaceDN w:val="0"/>
              <w:adjustRightInd w:val="0"/>
              <w:ind w:right="34"/>
              <w:jc w:val="center"/>
              <w:cnfStyle w:val="000000100000"/>
              <w:rPr>
                <w:rFonts w:cs="Arial"/>
                <w:sz w:val="20"/>
                <w:szCs w:val="20"/>
              </w:rPr>
            </w:pPr>
            <w:r>
              <w:rPr>
                <w:rFonts w:cs="Arial"/>
                <w:sz w:val="20"/>
                <w:szCs w:val="20"/>
              </w:rPr>
              <w:t>2011 - 2015</w:t>
            </w:r>
          </w:p>
        </w:tc>
        <w:tc>
          <w:tcPr>
            <w:tcW w:w="2551" w:type="dxa"/>
          </w:tcPr>
          <w:p w:rsidR="00FF7F61" w:rsidRPr="00A06B93" w:rsidRDefault="00FF7F61" w:rsidP="00263D5A">
            <w:pPr>
              <w:ind w:right="619"/>
              <w:jc w:val="right"/>
              <w:cnfStyle w:val="000000100000"/>
              <w:rPr>
                <w:rFonts w:cs="Arial"/>
                <w:sz w:val="20"/>
                <w:szCs w:val="20"/>
              </w:rPr>
            </w:pPr>
            <w:r>
              <w:rPr>
                <w:rFonts w:cs="Arial"/>
                <w:sz w:val="20"/>
                <w:szCs w:val="20"/>
              </w:rPr>
              <w:t>225 million</w:t>
            </w:r>
          </w:p>
        </w:tc>
      </w:tr>
      <w:tr w:rsidR="00FF7F61" w:rsidRPr="00A06B93" w:rsidTr="00FF7F61">
        <w:tc>
          <w:tcPr>
            <w:cnfStyle w:val="001000000000"/>
            <w:tcW w:w="4503" w:type="dxa"/>
          </w:tcPr>
          <w:p w:rsidR="00FF7F61" w:rsidRPr="00A06B93" w:rsidRDefault="00FF7F61" w:rsidP="00263D5A">
            <w:pPr>
              <w:rPr>
                <w:rFonts w:cs="Arial"/>
                <w:b w:val="0"/>
                <w:sz w:val="20"/>
              </w:rPr>
            </w:pPr>
            <w:r>
              <w:rPr>
                <w:rFonts w:cs="Arial"/>
                <w:b w:val="0"/>
                <w:sz w:val="20"/>
              </w:rPr>
              <w:t>Canada</w:t>
            </w:r>
          </w:p>
        </w:tc>
        <w:tc>
          <w:tcPr>
            <w:tcW w:w="2126" w:type="dxa"/>
          </w:tcPr>
          <w:p w:rsidR="00FF7F61" w:rsidRPr="00A06B93" w:rsidRDefault="00FF7F61" w:rsidP="00263D5A">
            <w:pPr>
              <w:ind w:right="34"/>
              <w:jc w:val="center"/>
              <w:cnfStyle w:val="000000000000"/>
              <w:rPr>
                <w:rFonts w:cs="Arial"/>
                <w:sz w:val="20"/>
              </w:rPr>
            </w:pPr>
            <w:r>
              <w:rPr>
                <w:rFonts w:cs="Arial"/>
                <w:sz w:val="20"/>
              </w:rPr>
              <w:t>2012/13 - 2014/15</w:t>
            </w:r>
          </w:p>
        </w:tc>
        <w:tc>
          <w:tcPr>
            <w:tcW w:w="2551" w:type="dxa"/>
          </w:tcPr>
          <w:p w:rsidR="00FF7F61" w:rsidRPr="00A06B93" w:rsidRDefault="00FF7F61" w:rsidP="00263D5A">
            <w:pPr>
              <w:ind w:right="619"/>
              <w:jc w:val="right"/>
              <w:cnfStyle w:val="000000000000"/>
              <w:rPr>
                <w:rFonts w:cs="Arial"/>
                <w:sz w:val="20"/>
              </w:rPr>
            </w:pPr>
            <w:r>
              <w:rPr>
                <w:rFonts w:cs="Arial"/>
                <w:sz w:val="20"/>
              </w:rPr>
              <w:t>71 million</w:t>
            </w:r>
          </w:p>
        </w:tc>
      </w:tr>
      <w:tr w:rsidR="00FF7F61" w:rsidRPr="00A06B93" w:rsidTr="00FF7F61">
        <w:trPr>
          <w:cnfStyle w:val="000000100000"/>
        </w:trPr>
        <w:tc>
          <w:tcPr>
            <w:cnfStyle w:val="001000000000"/>
            <w:tcW w:w="4503" w:type="dxa"/>
          </w:tcPr>
          <w:p w:rsidR="00FF7F61" w:rsidRPr="00A06B93" w:rsidRDefault="00FF7F61" w:rsidP="00263D5A">
            <w:pPr>
              <w:rPr>
                <w:rFonts w:cs="Arial"/>
                <w:b w:val="0"/>
                <w:sz w:val="20"/>
              </w:rPr>
            </w:pPr>
            <w:r>
              <w:rPr>
                <w:rFonts w:cs="Arial"/>
                <w:b w:val="0"/>
                <w:sz w:val="20"/>
              </w:rPr>
              <w:t>France</w:t>
            </w:r>
          </w:p>
        </w:tc>
        <w:tc>
          <w:tcPr>
            <w:tcW w:w="2126" w:type="dxa"/>
          </w:tcPr>
          <w:p w:rsidR="00FF7F61" w:rsidRPr="00A06B93" w:rsidRDefault="00FF7F61" w:rsidP="00263D5A">
            <w:pPr>
              <w:ind w:right="34"/>
              <w:jc w:val="center"/>
              <w:cnfStyle w:val="000000100000"/>
              <w:rPr>
                <w:rFonts w:cs="Arial"/>
                <w:sz w:val="20"/>
              </w:rPr>
            </w:pPr>
            <w:r>
              <w:rPr>
                <w:rFonts w:cs="Arial"/>
                <w:sz w:val="20"/>
              </w:rPr>
              <w:t>2012 - 2015</w:t>
            </w:r>
          </w:p>
        </w:tc>
        <w:tc>
          <w:tcPr>
            <w:tcW w:w="2551" w:type="dxa"/>
          </w:tcPr>
          <w:p w:rsidR="00FF7F61" w:rsidRPr="00A06B93" w:rsidRDefault="00FF7F61" w:rsidP="00263D5A">
            <w:pPr>
              <w:ind w:right="619"/>
              <w:jc w:val="right"/>
              <w:cnfStyle w:val="000000100000"/>
              <w:rPr>
                <w:rFonts w:cs="Arial"/>
                <w:sz w:val="20"/>
              </w:rPr>
            </w:pPr>
            <w:r>
              <w:rPr>
                <w:rFonts w:cs="Arial"/>
                <w:sz w:val="20"/>
              </w:rPr>
              <w:t>100 million</w:t>
            </w:r>
          </w:p>
        </w:tc>
      </w:tr>
      <w:tr w:rsidR="00FF7F61" w:rsidRPr="005C376D" w:rsidTr="00FF7F61">
        <w:tc>
          <w:tcPr>
            <w:cnfStyle w:val="001000000000"/>
            <w:tcW w:w="4503" w:type="dxa"/>
          </w:tcPr>
          <w:p w:rsidR="00FF7F61" w:rsidRPr="003C2BAD" w:rsidRDefault="003C2BAD" w:rsidP="00263D5A">
            <w:pPr>
              <w:rPr>
                <w:rFonts w:cs="Arial"/>
                <w:b w:val="0"/>
                <w:sz w:val="20"/>
              </w:rPr>
            </w:pPr>
            <w:r w:rsidRPr="003C2BAD">
              <w:rPr>
                <w:rFonts w:cs="Arial"/>
                <w:b w:val="0"/>
                <w:sz w:val="20"/>
              </w:rPr>
              <w:t>Japan</w:t>
            </w:r>
          </w:p>
        </w:tc>
        <w:tc>
          <w:tcPr>
            <w:tcW w:w="2126" w:type="dxa"/>
          </w:tcPr>
          <w:p w:rsidR="00FF7F61" w:rsidRPr="003C2BAD" w:rsidRDefault="003C2BAD" w:rsidP="00263D5A">
            <w:pPr>
              <w:ind w:right="34"/>
              <w:jc w:val="center"/>
              <w:cnfStyle w:val="000000000000"/>
              <w:rPr>
                <w:rFonts w:cs="Arial"/>
                <w:sz w:val="20"/>
              </w:rPr>
            </w:pPr>
            <w:r w:rsidRPr="003C2BAD">
              <w:rPr>
                <w:rFonts w:cs="Arial"/>
                <w:sz w:val="20"/>
              </w:rPr>
              <w:t>2012 - 2015</w:t>
            </w:r>
          </w:p>
        </w:tc>
        <w:tc>
          <w:tcPr>
            <w:tcW w:w="2551" w:type="dxa"/>
          </w:tcPr>
          <w:p w:rsidR="00FF7F61" w:rsidRPr="003C2BAD" w:rsidRDefault="003C2BAD" w:rsidP="00263D5A">
            <w:pPr>
              <w:ind w:right="619"/>
              <w:jc w:val="right"/>
              <w:cnfStyle w:val="000000000000"/>
              <w:rPr>
                <w:rFonts w:cs="Arial"/>
                <w:sz w:val="20"/>
              </w:rPr>
            </w:pPr>
            <w:r w:rsidRPr="003C2BAD">
              <w:rPr>
                <w:rFonts w:cs="Arial"/>
                <w:sz w:val="20"/>
              </w:rPr>
              <w:t>34 million</w:t>
            </w:r>
          </w:p>
        </w:tc>
      </w:tr>
      <w:tr w:rsidR="003C2BAD" w:rsidRPr="005C376D" w:rsidTr="00FF7F61">
        <w:trPr>
          <w:cnfStyle w:val="000000100000"/>
        </w:trPr>
        <w:tc>
          <w:tcPr>
            <w:cnfStyle w:val="001000000000"/>
            <w:tcW w:w="4503" w:type="dxa"/>
          </w:tcPr>
          <w:p w:rsidR="003C2BAD" w:rsidRPr="003C2BAD" w:rsidRDefault="003C2BAD" w:rsidP="00263D5A">
            <w:pPr>
              <w:rPr>
                <w:rFonts w:cs="Arial"/>
                <w:b w:val="0"/>
                <w:sz w:val="20"/>
              </w:rPr>
            </w:pPr>
            <w:r>
              <w:rPr>
                <w:rFonts w:cs="Arial"/>
                <w:b w:val="0"/>
                <w:sz w:val="20"/>
              </w:rPr>
              <w:t>Russia</w:t>
            </w:r>
          </w:p>
        </w:tc>
        <w:tc>
          <w:tcPr>
            <w:tcW w:w="2126" w:type="dxa"/>
          </w:tcPr>
          <w:p w:rsidR="003C2BAD" w:rsidRPr="003C2BAD" w:rsidRDefault="003C2BAD" w:rsidP="00263D5A">
            <w:pPr>
              <w:ind w:right="34"/>
              <w:jc w:val="center"/>
              <w:cnfStyle w:val="000000100000"/>
              <w:rPr>
                <w:rFonts w:cs="Arial"/>
                <w:sz w:val="20"/>
              </w:rPr>
            </w:pPr>
            <w:r>
              <w:rPr>
                <w:rFonts w:cs="Arial"/>
                <w:sz w:val="20"/>
              </w:rPr>
              <w:t>2013 - 2015</w:t>
            </w:r>
          </w:p>
        </w:tc>
        <w:tc>
          <w:tcPr>
            <w:tcW w:w="2551" w:type="dxa"/>
          </w:tcPr>
          <w:p w:rsidR="003C2BAD" w:rsidRPr="003C2BAD" w:rsidRDefault="003C2BAD" w:rsidP="00263D5A">
            <w:pPr>
              <w:ind w:right="619"/>
              <w:jc w:val="right"/>
              <w:cnfStyle w:val="000000100000"/>
              <w:rPr>
                <w:rFonts w:cs="Arial"/>
                <w:sz w:val="20"/>
                <w:szCs w:val="20"/>
              </w:rPr>
            </w:pPr>
            <w:r w:rsidRPr="003C2BAD">
              <w:rPr>
                <w:sz w:val="20"/>
                <w:szCs w:val="20"/>
                <w:lang w:eastAsia="en-GB"/>
              </w:rPr>
              <w:t>9 million</w:t>
            </w:r>
          </w:p>
        </w:tc>
      </w:tr>
      <w:tr w:rsidR="003C2BAD" w:rsidRPr="005C376D" w:rsidTr="00FF7F61">
        <w:tc>
          <w:tcPr>
            <w:cnfStyle w:val="001000000000"/>
            <w:tcW w:w="4503" w:type="dxa"/>
          </w:tcPr>
          <w:p w:rsidR="003C2BAD" w:rsidRPr="003C2BAD" w:rsidRDefault="003C2BAD" w:rsidP="00263D5A">
            <w:pPr>
              <w:rPr>
                <w:rFonts w:cs="Arial"/>
                <w:b w:val="0"/>
                <w:sz w:val="20"/>
              </w:rPr>
            </w:pPr>
            <w:r>
              <w:rPr>
                <w:rFonts w:cs="Arial"/>
                <w:b w:val="0"/>
                <w:sz w:val="20"/>
              </w:rPr>
              <w:t>United Kingdom</w:t>
            </w:r>
          </w:p>
        </w:tc>
        <w:tc>
          <w:tcPr>
            <w:tcW w:w="2126" w:type="dxa"/>
          </w:tcPr>
          <w:p w:rsidR="003C2BAD" w:rsidRPr="003C2BAD" w:rsidRDefault="003C2BAD" w:rsidP="00263D5A">
            <w:pPr>
              <w:ind w:right="34"/>
              <w:jc w:val="center"/>
              <w:cnfStyle w:val="000000000000"/>
              <w:rPr>
                <w:rFonts w:cs="Arial"/>
                <w:sz w:val="20"/>
              </w:rPr>
            </w:pPr>
            <w:r>
              <w:rPr>
                <w:rFonts w:cs="Arial"/>
                <w:sz w:val="20"/>
              </w:rPr>
              <w:t>2013 - 2017</w:t>
            </w:r>
          </w:p>
        </w:tc>
        <w:tc>
          <w:tcPr>
            <w:tcW w:w="2551" w:type="dxa"/>
          </w:tcPr>
          <w:p w:rsidR="003C2BAD" w:rsidRPr="003C2BAD" w:rsidRDefault="003C2BAD" w:rsidP="00263D5A">
            <w:pPr>
              <w:ind w:right="619"/>
              <w:jc w:val="right"/>
              <w:cnfStyle w:val="000000000000"/>
              <w:rPr>
                <w:rFonts w:cs="Arial"/>
                <w:sz w:val="20"/>
              </w:rPr>
            </w:pPr>
            <w:r>
              <w:rPr>
                <w:rFonts w:cs="Arial"/>
                <w:sz w:val="20"/>
              </w:rPr>
              <w:t>39 million</w:t>
            </w:r>
          </w:p>
        </w:tc>
      </w:tr>
      <w:tr w:rsidR="003C2BAD" w:rsidRPr="005C376D" w:rsidTr="00FF7F61">
        <w:trPr>
          <w:cnfStyle w:val="000000100000"/>
        </w:trPr>
        <w:tc>
          <w:tcPr>
            <w:cnfStyle w:val="001000000000"/>
            <w:tcW w:w="4503" w:type="dxa"/>
          </w:tcPr>
          <w:p w:rsidR="003C2BAD" w:rsidRPr="003C2BAD" w:rsidRDefault="003C2BAD" w:rsidP="00263D5A">
            <w:pPr>
              <w:rPr>
                <w:rFonts w:cs="Arial"/>
                <w:b w:val="0"/>
                <w:sz w:val="20"/>
              </w:rPr>
            </w:pPr>
            <w:r>
              <w:rPr>
                <w:rFonts w:cs="Arial"/>
                <w:b w:val="0"/>
                <w:sz w:val="20"/>
              </w:rPr>
              <w:t>European Union</w:t>
            </w:r>
          </w:p>
        </w:tc>
        <w:tc>
          <w:tcPr>
            <w:tcW w:w="2126" w:type="dxa"/>
          </w:tcPr>
          <w:p w:rsidR="003C2BAD" w:rsidRPr="003C2BAD" w:rsidRDefault="003C2BAD" w:rsidP="00263D5A">
            <w:pPr>
              <w:ind w:right="34"/>
              <w:jc w:val="center"/>
              <w:cnfStyle w:val="000000100000"/>
              <w:rPr>
                <w:rFonts w:cs="Arial"/>
                <w:sz w:val="20"/>
              </w:rPr>
            </w:pPr>
            <w:r>
              <w:rPr>
                <w:rFonts w:cs="Arial"/>
                <w:sz w:val="20"/>
              </w:rPr>
              <w:t>Ongoing - 2013</w:t>
            </w:r>
          </w:p>
        </w:tc>
        <w:tc>
          <w:tcPr>
            <w:tcW w:w="2551" w:type="dxa"/>
          </w:tcPr>
          <w:p w:rsidR="003C2BAD" w:rsidRPr="003C2BAD" w:rsidRDefault="003C2BAD" w:rsidP="00263D5A">
            <w:pPr>
              <w:ind w:right="619"/>
              <w:jc w:val="right"/>
              <w:cnfStyle w:val="000000100000"/>
              <w:rPr>
                <w:rFonts w:cs="Arial"/>
                <w:sz w:val="20"/>
              </w:rPr>
            </w:pPr>
            <w:r>
              <w:rPr>
                <w:rFonts w:cs="Arial"/>
                <w:sz w:val="20"/>
              </w:rPr>
              <w:t>28.2 million</w:t>
            </w:r>
          </w:p>
        </w:tc>
      </w:tr>
      <w:tr w:rsidR="003C2BAD" w:rsidRPr="005C376D" w:rsidTr="00FF7F61">
        <w:tc>
          <w:tcPr>
            <w:cnfStyle w:val="001000000000"/>
            <w:tcW w:w="4503" w:type="dxa"/>
          </w:tcPr>
          <w:p w:rsidR="003C2BAD" w:rsidRDefault="003C2BAD" w:rsidP="00263D5A">
            <w:pPr>
              <w:rPr>
                <w:rFonts w:cs="Arial"/>
                <w:b w:val="0"/>
                <w:sz w:val="20"/>
              </w:rPr>
            </w:pPr>
            <w:r>
              <w:rPr>
                <w:rFonts w:cs="Arial"/>
                <w:b w:val="0"/>
                <w:sz w:val="20"/>
              </w:rPr>
              <w:t>Germany</w:t>
            </w:r>
          </w:p>
        </w:tc>
        <w:tc>
          <w:tcPr>
            <w:tcW w:w="2126" w:type="dxa"/>
          </w:tcPr>
          <w:p w:rsidR="003C2BAD" w:rsidRDefault="003C2BAD" w:rsidP="00263D5A">
            <w:pPr>
              <w:ind w:right="34"/>
              <w:jc w:val="center"/>
              <w:cnfStyle w:val="000000000000"/>
              <w:rPr>
                <w:rFonts w:cs="Arial"/>
                <w:sz w:val="20"/>
              </w:rPr>
            </w:pPr>
            <w:r>
              <w:rPr>
                <w:rFonts w:cs="Arial"/>
                <w:sz w:val="20"/>
              </w:rPr>
              <w:t>-</w:t>
            </w:r>
          </w:p>
        </w:tc>
        <w:tc>
          <w:tcPr>
            <w:tcW w:w="2551" w:type="dxa"/>
          </w:tcPr>
          <w:p w:rsidR="003C2BAD" w:rsidRDefault="003C2BAD" w:rsidP="00263D5A">
            <w:pPr>
              <w:ind w:right="619"/>
              <w:jc w:val="right"/>
              <w:cnfStyle w:val="000000000000"/>
              <w:rPr>
                <w:rFonts w:cs="Arial"/>
                <w:sz w:val="20"/>
              </w:rPr>
            </w:pPr>
            <w:r>
              <w:rPr>
                <w:rFonts w:cs="Arial"/>
                <w:sz w:val="20"/>
              </w:rPr>
              <w:t>In discussion</w:t>
            </w:r>
          </w:p>
        </w:tc>
      </w:tr>
      <w:tr w:rsidR="003C2BAD" w:rsidRPr="005C376D" w:rsidTr="00FF7F61">
        <w:trPr>
          <w:cnfStyle w:val="000000100000"/>
        </w:trPr>
        <w:tc>
          <w:tcPr>
            <w:cnfStyle w:val="001000000000"/>
            <w:tcW w:w="4503" w:type="dxa"/>
          </w:tcPr>
          <w:p w:rsidR="003C2BAD" w:rsidRPr="005C376D" w:rsidRDefault="003C2BAD" w:rsidP="00263D5A">
            <w:pPr>
              <w:rPr>
                <w:rFonts w:cs="Arial"/>
                <w:sz w:val="20"/>
              </w:rPr>
            </w:pPr>
            <w:r w:rsidRPr="005C376D">
              <w:rPr>
                <w:rFonts w:cs="Arial"/>
                <w:sz w:val="20"/>
              </w:rPr>
              <w:t>TOTAL</w:t>
            </w:r>
          </w:p>
        </w:tc>
        <w:tc>
          <w:tcPr>
            <w:tcW w:w="2126" w:type="dxa"/>
          </w:tcPr>
          <w:p w:rsidR="003C2BAD" w:rsidRPr="005C376D" w:rsidRDefault="003C2BAD" w:rsidP="00263D5A">
            <w:pPr>
              <w:ind w:right="34"/>
              <w:jc w:val="center"/>
              <w:cnfStyle w:val="000000100000"/>
              <w:rPr>
                <w:rFonts w:cs="Arial"/>
                <w:b/>
                <w:sz w:val="20"/>
              </w:rPr>
            </w:pPr>
          </w:p>
        </w:tc>
        <w:tc>
          <w:tcPr>
            <w:tcW w:w="2551" w:type="dxa"/>
          </w:tcPr>
          <w:p w:rsidR="003C2BAD" w:rsidRPr="005C376D" w:rsidRDefault="003C2BAD" w:rsidP="00263D5A">
            <w:pPr>
              <w:ind w:right="619"/>
              <w:jc w:val="right"/>
              <w:cnfStyle w:val="000000100000"/>
              <w:rPr>
                <w:rFonts w:cs="Arial"/>
                <w:b/>
                <w:sz w:val="20"/>
              </w:rPr>
            </w:pPr>
            <w:r w:rsidRPr="005C376D">
              <w:rPr>
                <w:rFonts w:cs="Arial"/>
                <w:b/>
                <w:sz w:val="20"/>
              </w:rPr>
              <w:t>231,143</w:t>
            </w:r>
          </w:p>
        </w:tc>
      </w:tr>
    </w:tbl>
    <w:p w:rsidR="0039520D" w:rsidRDefault="0039520D" w:rsidP="001F1B04">
      <w:pPr>
        <w:pStyle w:val="Default"/>
        <w:spacing w:after="120" w:line="276" w:lineRule="auto"/>
        <w:jc w:val="both"/>
        <w:rPr>
          <w:rFonts w:ascii="Georgia" w:hAnsi="Georgia"/>
          <w:color w:val="555555"/>
          <w:sz w:val="21"/>
          <w:szCs w:val="21"/>
          <w:shd w:val="clear" w:color="auto" w:fill="FFFFFF"/>
        </w:rPr>
      </w:pPr>
    </w:p>
    <w:p w:rsidR="008A18A4" w:rsidRPr="00DB6429" w:rsidRDefault="00A2591A" w:rsidP="008A18A4">
      <w:pPr>
        <w:pStyle w:val="Default"/>
        <w:rPr>
          <w:rFonts w:asciiTheme="minorHAnsi" w:hAnsiTheme="minorHAnsi" w:cs="Arial"/>
          <w:b/>
          <w:color w:val="31849B" w:themeColor="accent5" w:themeShade="BF"/>
          <w:shd w:val="clear" w:color="auto" w:fill="FFFFFF"/>
        </w:rPr>
      </w:pPr>
      <w:r>
        <w:rPr>
          <w:rFonts w:asciiTheme="minorHAnsi" w:hAnsiTheme="minorHAnsi"/>
          <w:b/>
          <w:color w:val="31849B" w:themeColor="accent5" w:themeShade="BF"/>
        </w:rPr>
        <w:t xml:space="preserve">4.3.2 </w:t>
      </w:r>
      <w:r w:rsidR="006A1644">
        <w:rPr>
          <w:rFonts w:asciiTheme="minorHAnsi" w:hAnsiTheme="minorHAnsi" w:cs="Arial"/>
          <w:b/>
          <w:color w:val="31849B" w:themeColor="accent5" w:themeShade="BF"/>
          <w:shd w:val="clear" w:color="auto" w:fill="FFFFFF"/>
        </w:rPr>
        <w:t>Burkina Faso</w:t>
      </w:r>
    </w:p>
    <w:p w:rsidR="0089748E" w:rsidRDefault="00863ABF" w:rsidP="00881AA0">
      <w:pPr>
        <w:spacing w:after="120" w:line="276" w:lineRule="auto"/>
        <w:jc w:val="both"/>
        <w:rPr>
          <w:rFonts w:asciiTheme="minorHAnsi" w:hAnsiTheme="minorHAnsi"/>
          <w:sz w:val="22"/>
          <w:szCs w:val="22"/>
        </w:rPr>
      </w:pPr>
      <w:r>
        <w:rPr>
          <w:rFonts w:asciiTheme="minorHAnsi" w:hAnsiTheme="minorHAnsi"/>
          <w:sz w:val="22"/>
          <w:szCs w:val="22"/>
        </w:rPr>
        <w:t>Burkina Faso’s economy is largely dependent on agriculture</w:t>
      </w:r>
      <w:r w:rsidR="005220E8">
        <w:rPr>
          <w:rFonts w:asciiTheme="minorHAnsi" w:hAnsiTheme="minorHAnsi"/>
          <w:sz w:val="22"/>
          <w:szCs w:val="22"/>
        </w:rPr>
        <w:t xml:space="preserve"> as the key engine of growth</w:t>
      </w:r>
      <w:r>
        <w:rPr>
          <w:rFonts w:asciiTheme="minorHAnsi" w:hAnsiTheme="minorHAnsi"/>
          <w:sz w:val="22"/>
          <w:szCs w:val="22"/>
        </w:rPr>
        <w:t xml:space="preserve">, with </w:t>
      </w:r>
      <w:r w:rsidR="005220E8">
        <w:rPr>
          <w:rFonts w:asciiTheme="minorHAnsi" w:hAnsiTheme="minorHAnsi"/>
          <w:sz w:val="22"/>
          <w:szCs w:val="22"/>
        </w:rPr>
        <w:t xml:space="preserve">almost 90 percent of the active labour force involved in the agricultural sector.  Within agriculture, the cotton sector is particularly dynamic and has propelled the economy forwards. </w:t>
      </w:r>
      <w:r w:rsidR="00881AA0" w:rsidRPr="00881AA0">
        <w:rPr>
          <w:rFonts w:asciiTheme="minorHAnsi" w:hAnsiTheme="minorHAnsi"/>
          <w:sz w:val="22"/>
          <w:szCs w:val="22"/>
        </w:rPr>
        <w:t xml:space="preserve">Although it has known periods of fluctuations, the cotton sector remains Burkina Faso’s </w:t>
      </w:r>
      <w:r w:rsidR="0089748E">
        <w:rPr>
          <w:rFonts w:asciiTheme="minorHAnsi" w:hAnsiTheme="minorHAnsi"/>
          <w:sz w:val="22"/>
          <w:szCs w:val="22"/>
        </w:rPr>
        <w:t xml:space="preserve">key </w:t>
      </w:r>
      <w:r w:rsidR="00881AA0" w:rsidRPr="00881AA0">
        <w:rPr>
          <w:rFonts w:asciiTheme="minorHAnsi" w:hAnsiTheme="minorHAnsi"/>
          <w:sz w:val="22"/>
          <w:szCs w:val="22"/>
        </w:rPr>
        <w:t>economic strength</w:t>
      </w:r>
      <w:r w:rsidR="0089748E">
        <w:rPr>
          <w:rFonts w:asciiTheme="minorHAnsi" w:hAnsiTheme="minorHAnsi"/>
          <w:sz w:val="22"/>
          <w:szCs w:val="22"/>
        </w:rPr>
        <w:t xml:space="preserve"> and the country is the largest producer of cotton in sub-Saharan Africa and supports almost two million people.</w:t>
      </w:r>
      <w:r w:rsidR="0089748E">
        <w:rPr>
          <w:rStyle w:val="FootnoteReference"/>
          <w:rFonts w:asciiTheme="minorHAnsi" w:hAnsiTheme="minorHAnsi"/>
          <w:sz w:val="22"/>
          <w:szCs w:val="22"/>
        </w:rPr>
        <w:footnoteReference w:id="146"/>
      </w:r>
      <w:r w:rsidR="0089748E">
        <w:rPr>
          <w:rFonts w:asciiTheme="minorHAnsi" w:hAnsiTheme="minorHAnsi"/>
          <w:sz w:val="22"/>
          <w:szCs w:val="22"/>
        </w:rPr>
        <w:t xml:space="preserve"> </w:t>
      </w:r>
      <w:r w:rsidR="0089748E" w:rsidRPr="0089748E">
        <w:rPr>
          <w:rFonts w:asciiTheme="minorHAnsi" w:hAnsiTheme="minorHAnsi"/>
          <w:sz w:val="22"/>
          <w:szCs w:val="22"/>
        </w:rPr>
        <w:t>Many official documents emphasize that cotton contributes to the reduction of rural poverty, although other analysts emphasize its more limited effects in reducing poverty and improving living conditions farmers</w:t>
      </w:r>
      <w:r w:rsidR="00B83E7E">
        <w:rPr>
          <w:rFonts w:asciiTheme="minorHAnsi" w:hAnsiTheme="minorHAnsi"/>
          <w:sz w:val="22"/>
          <w:szCs w:val="22"/>
        </w:rPr>
        <w:t>.</w:t>
      </w:r>
      <w:r w:rsidR="00B83E7E">
        <w:rPr>
          <w:rStyle w:val="FootnoteReference"/>
          <w:rFonts w:asciiTheme="minorHAnsi" w:hAnsiTheme="minorHAnsi"/>
          <w:sz w:val="22"/>
          <w:szCs w:val="22"/>
        </w:rPr>
        <w:footnoteReference w:id="147"/>
      </w:r>
    </w:p>
    <w:p w:rsidR="009704A0" w:rsidRDefault="0089748E" w:rsidP="007B56B9">
      <w:pPr>
        <w:pStyle w:val="Default"/>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Burkina Faso held its Roundtable in July 2010 and a business meeting to validate and finance the investment plan in March 2012.  </w:t>
      </w:r>
      <w:r w:rsidR="008A18A4">
        <w:rPr>
          <w:rFonts w:asciiTheme="minorHAnsi" w:hAnsiTheme="minorHAnsi" w:cs="Arial"/>
          <w:color w:val="auto"/>
          <w:sz w:val="22"/>
          <w:szCs w:val="22"/>
          <w:shd w:val="clear" w:color="auto" w:fill="FFFFFF"/>
        </w:rPr>
        <w:t>The</w:t>
      </w:r>
      <w:r w:rsidR="005A582A">
        <w:rPr>
          <w:rFonts w:asciiTheme="minorHAnsi" w:hAnsiTheme="minorHAnsi" w:cs="Arial"/>
          <w:color w:val="auto"/>
          <w:sz w:val="22"/>
          <w:szCs w:val="22"/>
          <w:shd w:val="clear" w:color="auto" w:fill="FFFFFF"/>
        </w:rPr>
        <w:t xml:space="preserve"> process of developing the investment programme in Burkina Faso was </w:t>
      </w:r>
      <w:r w:rsidR="00B964AE">
        <w:rPr>
          <w:rFonts w:asciiTheme="minorHAnsi" w:hAnsiTheme="minorHAnsi" w:cs="Arial"/>
          <w:color w:val="auto"/>
          <w:sz w:val="22"/>
          <w:szCs w:val="22"/>
          <w:shd w:val="clear" w:color="auto" w:fill="FFFFFF"/>
        </w:rPr>
        <w:t xml:space="preserve">not </w:t>
      </w:r>
      <w:r w:rsidR="00C47373">
        <w:rPr>
          <w:rFonts w:asciiTheme="minorHAnsi" w:hAnsiTheme="minorHAnsi" w:cs="Arial"/>
          <w:color w:val="auto"/>
          <w:sz w:val="22"/>
          <w:szCs w:val="22"/>
          <w:shd w:val="clear" w:color="auto" w:fill="FFFFFF"/>
        </w:rPr>
        <w:t>as</w:t>
      </w:r>
      <w:r w:rsidR="00B964AE">
        <w:rPr>
          <w:rFonts w:asciiTheme="minorHAnsi" w:hAnsiTheme="minorHAnsi" w:cs="Arial"/>
          <w:color w:val="auto"/>
          <w:sz w:val="22"/>
          <w:szCs w:val="22"/>
          <w:shd w:val="clear" w:color="auto" w:fill="FFFFFF"/>
        </w:rPr>
        <w:t xml:space="preserve"> positive</w:t>
      </w:r>
      <w:r>
        <w:rPr>
          <w:rFonts w:asciiTheme="minorHAnsi" w:hAnsiTheme="minorHAnsi" w:cs="Arial"/>
          <w:color w:val="auto"/>
          <w:sz w:val="22"/>
          <w:szCs w:val="22"/>
          <w:shd w:val="clear" w:color="auto" w:fill="FFFFFF"/>
        </w:rPr>
        <w:t xml:space="preserve"> as </w:t>
      </w:r>
      <w:r w:rsidR="000347CB">
        <w:rPr>
          <w:rFonts w:asciiTheme="minorHAnsi" w:hAnsiTheme="minorHAnsi" w:cs="Arial"/>
          <w:color w:val="auto"/>
          <w:sz w:val="22"/>
          <w:szCs w:val="22"/>
          <w:shd w:val="clear" w:color="auto" w:fill="FFFFFF"/>
        </w:rPr>
        <w:t>the previous case study from</w:t>
      </w:r>
      <w:r>
        <w:rPr>
          <w:rFonts w:asciiTheme="minorHAnsi" w:hAnsiTheme="minorHAnsi" w:cs="Arial"/>
          <w:color w:val="auto"/>
          <w:sz w:val="22"/>
          <w:szCs w:val="22"/>
          <w:shd w:val="clear" w:color="auto" w:fill="FFFFFF"/>
        </w:rPr>
        <w:t xml:space="preserve"> Ghana</w:t>
      </w:r>
      <w:r w:rsidR="00B964AE">
        <w:rPr>
          <w:rFonts w:asciiTheme="minorHAnsi" w:hAnsiTheme="minorHAnsi" w:cs="Arial"/>
          <w:color w:val="auto"/>
          <w:sz w:val="22"/>
          <w:szCs w:val="22"/>
          <w:shd w:val="clear" w:color="auto" w:fill="FFFFFF"/>
        </w:rPr>
        <w:t>, with a</w:t>
      </w:r>
      <w:r w:rsidR="005A582A" w:rsidRPr="003B2A35">
        <w:rPr>
          <w:rFonts w:asciiTheme="minorHAnsi" w:hAnsiTheme="minorHAnsi" w:cs="Arial"/>
          <w:sz w:val="22"/>
          <w:szCs w:val="22"/>
          <w:shd w:val="clear" w:color="auto" w:fill="FFFFFF"/>
        </w:rPr>
        <w:t>n Oxfam study</w:t>
      </w:r>
      <w:r w:rsidR="005A582A">
        <w:rPr>
          <w:rFonts w:asciiTheme="minorHAnsi" w:hAnsiTheme="minorHAnsi" w:cs="Arial"/>
          <w:sz w:val="22"/>
          <w:szCs w:val="22"/>
          <w:shd w:val="clear" w:color="auto" w:fill="FFFFFF"/>
        </w:rPr>
        <w:t xml:space="preserve"> (2010)</w:t>
      </w:r>
      <w:r w:rsidR="005A582A">
        <w:rPr>
          <w:rStyle w:val="FootnoteReference"/>
          <w:rFonts w:asciiTheme="minorHAnsi" w:hAnsiTheme="minorHAnsi" w:cs="Arial"/>
          <w:sz w:val="22"/>
          <w:szCs w:val="22"/>
          <w:shd w:val="clear" w:color="auto" w:fill="FFFFFF"/>
        </w:rPr>
        <w:footnoteReference w:id="148"/>
      </w:r>
      <w:r w:rsidR="00B964AE">
        <w:rPr>
          <w:rFonts w:asciiTheme="minorHAnsi" w:hAnsiTheme="minorHAnsi" w:cs="Arial"/>
          <w:sz w:val="22"/>
          <w:szCs w:val="22"/>
          <w:shd w:val="clear" w:color="auto" w:fill="FFFFFF"/>
        </w:rPr>
        <w:t xml:space="preserve"> finding that the drafting phase exacerbated underlying tensions between </w:t>
      </w:r>
      <w:r w:rsidR="009704A0">
        <w:rPr>
          <w:rFonts w:asciiTheme="minorHAnsi" w:hAnsiTheme="minorHAnsi" w:cs="Arial"/>
          <w:sz w:val="22"/>
          <w:szCs w:val="22"/>
          <w:shd w:val="clear" w:color="auto" w:fill="FFFFFF"/>
        </w:rPr>
        <w:t>donors</w:t>
      </w:r>
      <w:r w:rsidR="00B964AE">
        <w:rPr>
          <w:rFonts w:asciiTheme="minorHAnsi" w:hAnsiTheme="minorHAnsi" w:cs="Arial"/>
          <w:sz w:val="22"/>
          <w:szCs w:val="22"/>
          <w:shd w:val="clear" w:color="auto" w:fill="FFFFFF"/>
        </w:rPr>
        <w:t xml:space="preserve"> and some government structures.   </w:t>
      </w:r>
      <w:r w:rsidR="009704A0">
        <w:rPr>
          <w:rFonts w:asciiTheme="minorHAnsi" w:hAnsiTheme="minorHAnsi" w:cs="Arial"/>
          <w:sz w:val="22"/>
          <w:szCs w:val="22"/>
          <w:shd w:val="clear" w:color="auto" w:fill="FFFFFF"/>
        </w:rPr>
        <w:t>A 2009 study found that d</w:t>
      </w:r>
      <w:r w:rsidR="0099481A">
        <w:rPr>
          <w:rFonts w:asciiTheme="minorHAnsi" w:hAnsiTheme="minorHAnsi" w:cs="Arial"/>
          <w:sz w:val="22"/>
          <w:szCs w:val="22"/>
          <w:shd w:val="clear" w:color="auto" w:fill="FFFFFF"/>
        </w:rPr>
        <w:t xml:space="preserve">onor activity </w:t>
      </w:r>
      <w:r w:rsidR="00E50E9B">
        <w:rPr>
          <w:rFonts w:asciiTheme="minorHAnsi" w:hAnsiTheme="minorHAnsi" w:cs="Arial"/>
          <w:sz w:val="22"/>
          <w:szCs w:val="22"/>
          <w:shd w:val="clear" w:color="auto" w:fill="FFFFFF"/>
        </w:rPr>
        <w:t xml:space="preserve">in Burkina Faso </w:t>
      </w:r>
      <w:r w:rsidR="0099481A">
        <w:rPr>
          <w:rFonts w:asciiTheme="minorHAnsi" w:hAnsiTheme="minorHAnsi" w:cs="Arial"/>
          <w:sz w:val="22"/>
          <w:szCs w:val="22"/>
          <w:shd w:val="clear" w:color="auto" w:fill="FFFFFF"/>
        </w:rPr>
        <w:t xml:space="preserve">was </w:t>
      </w:r>
      <w:r w:rsidR="009704A0">
        <w:rPr>
          <w:rFonts w:asciiTheme="minorHAnsi" w:hAnsiTheme="minorHAnsi" w:cs="Arial"/>
          <w:sz w:val="22"/>
          <w:szCs w:val="22"/>
          <w:shd w:val="clear" w:color="auto" w:fill="FFFFFF"/>
        </w:rPr>
        <w:t>beset</w:t>
      </w:r>
      <w:r w:rsidR="00D10BBE">
        <w:rPr>
          <w:rFonts w:asciiTheme="minorHAnsi" w:hAnsiTheme="minorHAnsi" w:cs="Arial"/>
          <w:sz w:val="22"/>
          <w:szCs w:val="22"/>
          <w:shd w:val="clear" w:color="auto" w:fill="FFFFFF"/>
        </w:rPr>
        <w:t xml:space="preserve"> by ineffectiveness, lack of coordination and incoherence of interventions</w:t>
      </w:r>
      <w:r w:rsidR="009704A0">
        <w:rPr>
          <w:rFonts w:asciiTheme="minorHAnsi" w:hAnsiTheme="minorHAnsi" w:cs="Arial"/>
          <w:sz w:val="22"/>
          <w:szCs w:val="22"/>
          <w:shd w:val="clear" w:color="auto" w:fill="FFFFFF"/>
        </w:rPr>
        <w:t>, with at least five ‘coordination frameworks’ focusing on agriculture and food security</w:t>
      </w:r>
      <w:r w:rsidR="0099481A">
        <w:rPr>
          <w:rFonts w:asciiTheme="minorHAnsi" w:hAnsiTheme="minorHAnsi" w:cs="Arial"/>
          <w:sz w:val="22"/>
          <w:szCs w:val="22"/>
          <w:shd w:val="clear" w:color="auto" w:fill="FFFFFF"/>
        </w:rPr>
        <w:t xml:space="preserve">.  Government choices were not consistently included in </w:t>
      </w:r>
      <w:r w:rsidR="00E50E9B">
        <w:rPr>
          <w:rFonts w:asciiTheme="minorHAnsi" w:hAnsiTheme="minorHAnsi" w:cs="Arial"/>
          <w:sz w:val="22"/>
          <w:szCs w:val="22"/>
          <w:shd w:val="clear" w:color="auto" w:fill="FFFFFF"/>
        </w:rPr>
        <w:t>development partners</w:t>
      </w:r>
      <w:r w:rsidR="0099481A">
        <w:rPr>
          <w:rFonts w:asciiTheme="minorHAnsi" w:hAnsiTheme="minorHAnsi" w:cs="Arial"/>
          <w:sz w:val="22"/>
          <w:szCs w:val="22"/>
          <w:shd w:val="clear" w:color="auto" w:fill="FFFFFF"/>
        </w:rPr>
        <w:t xml:space="preserve">’ programs, </w:t>
      </w:r>
      <w:r w:rsidR="009704A0">
        <w:rPr>
          <w:rFonts w:asciiTheme="minorHAnsi" w:hAnsiTheme="minorHAnsi" w:cs="Arial"/>
          <w:sz w:val="22"/>
          <w:szCs w:val="22"/>
          <w:shd w:val="clear" w:color="auto" w:fill="FFFFFF"/>
        </w:rPr>
        <w:t xml:space="preserve">with the result that some industries </w:t>
      </w:r>
      <w:r w:rsidR="009704A0">
        <w:rPr>
          <w:rFonts w:asciiTheme="minorHAnsi" w:hAnsiTheme="minorHAnsi" w:cs="Arial"/>
          <w:sz w:val="22"/>
          <w:szCs w:val="22"/>
          <w:shd w:val="clear" w:color="auto" w:fill="FFFFFF"/>
        </w:rPr>
        <w:lastRenderedPageBreak/>
        <w:t xml:space="preserve">received support from several programs (e.g. sesame, onion, </w:t>
      </w:r>
      <w:proofErr w:type="spellStart"/>
      <w:r w:rsidR="009704A0">
        <w:rPr>
          <w:rFonts w:asciiTheme="minorHAnsi" w:hAnsiTheme="minorHAnsi" w:cs="Arial"/>
          <w:sz w:val="22"/>
          <w:szCs w:val="22"/>
          <w:shd w:val="clear" w:color="auto" w:fill="FFFFFF"/>
        </w:rPr>
        <w:t>shea</w:t>
      </w:r>
      <w:proofErr w:type="spellEnd"/>
      <w:r w:rsidR="009704A0">
        <w:rPr>
          <w:rFonts w:asciiTheme="minorHAnsi" w:hAnsiTheme="minorHAnsi" w:cs="Arial"/>
          <w:sz w:val="22"/>
          <w:szCs w:val="22"/>
          <w:shd w:val="clear" w:color="auto" w:fill="FFFFFF"/>
        </w:rPr>
        <w:t>, poultry farming, milk).  Other agricultural industries such as maize and rice – both of which were considered to be high priority by the government and critical for food security – received much less support from donors and support was limited to a few regions.</w:t>
      </w:r>
      <w:r w:rsidR="0099481A">
        <w:rPr>
          <w:rStyle w:val="FootnoteReference"/>
          <w:rFonts w:asciiTheme="minorHAnsi" w:hAnsiTheme="minorHAnsi" w:cs="Arial"/>
          <w:sz w:val="22"/>
          <w:szCs w:val="22"/>
          <w:shd w:val="clear" w:color="auto" w:fill="FFFFFF"/>
        </w:rPr>
        <w:footnoteReference w:id="149"/>
      </w:r>
      <w:r w:rsidR="0099481A">
        <w:rPr>
          <w:rFonts w:asciiTheme="minorHAnsi" w:hAnsiTheme="minorHAnsi" w:cs="Arial"/>
          <w:sz w:val="22"/>
          <w:szCs w:val="22"/>
          <w:shd w:val="clear" w:color="auto" w:fill="FFFFFF"/>
        </w:rPr>
        <w:t xml:space="preserve"> </w:t>
      </w:r>
      <w:r w:rsidR="009704A0">
        <w:rPr>
          <w:rFonts w:asciiTheme="minorHAnsi" w:hAnsiTheme="minorHAnsi" w:cs="Arial"/>
          <w:sz w:val="22"/>
          <w:szCs w:val="22"/>
          <w:shd w:val="clear" w:color="auto" w:fill="FFFFFF"/>
        </w:rPr>
        <w:t>In the years preceding Burkina Faso’s signing of the Compact, the country was described by an official in the Ministry of Finance as a “Country of Projects”</w:t>
      </w:r>
      <w:r w:rsidR="009704A0">
        <w:rPr>
          <w:rStyle w:val="FootnoteReference"/>
          <w:rFonts w:asciiTheme="minorHAnsi" w:hAnsiTheme="minorHAnsi" w:cs="Arial"/>
          <w:sz w:val="22"/>
          <w:szCs w:val="22"/>
          <w:shd w:val="clear" w:color="auto" w:fill="FFFFFF"/>
        </w:rPr>
        <w:footnoteReference w:id="150"/>
      </w:r>
      <w:r w:rsidR="009704A0">
        <w:rPr>
          <w:rFonts w:asciiTheme="minorHAnsi" w:hAnsiTheme="minorHAnsi" w:cs="Arial"/>
          <w:sz w:val="22"/>
          <w:szCs w:val="22"/>
          <w:shd w:val="clear" w:color="auto" w:fill="FFFFFF"/>
        </w:rPr>
        <w:t xml:space="preserve"> with 27 </w:t>
      </w:r>
      <w:r w:rsidR="000A332B">
        <w:rPr>
          <w:rFonts w:asciiTheme="minorHAnsi" w:hAnsiTheme="minorHAnsi" w:cs="Arial"/>
          <w:sz w:val="22"/>
          <w:szCs w:val="22"/>
          <w:shd w:val="clear" w:color="auto" w:fill="FFFFFF"/>
        </w:rPr>
        <w:t>technical and financial</w:t>
      </w:r>
      <w:r w:rsidR="00E50E9B">
        <w:rPr>
          <w:rFonts w:asciiTheme="minorHAnsi" w:hAnsiTheme="minorHAnsi" w:cs="Arial"/>
          <w:sz w:val="22"/>
          <w:szCs w:val="22"/>
          <w:shd w:val="clear" w:color="auto" w:fill="FFFFFF"/>
        </w:rPr>
        <w:t xml:space="preserve"> partners </w:t>
      </w:r>
      <w:r w:rsidR="000A332B">
        <w:rPr>
          <w:rFonts w:asciiTheme="minorHAnsi" w:hAnsiTheme="minorHAnsi" w:cs="Arial"/>
          <w:sz w:val="22"/>
          <w:szCs w:val="22"/>
          <w:shd w:val="clear" w:color="auto" w:fill="FFFFFF"/>
        </w:rPr>
        <w:t xml:space="preserve">(TFPs) </w:t>
      </w:r>
      <w:r w:rsidR="009704A0">
        <w:rPr>
          <w:rFonts w:asciiTheme="minorHAnsi" w:hAnsiTheme="minorHAnsi" w:cs="Arial"/>
          <w:sz w:val="22"/>
          <w:szCs w:val="22"/>
          <w:shd w:val="clear" w:color="auto" w:fill="FFFFFF"/>
        </w:rPr>
        <w:t xml:space="preserve">working in Burkina Faso in 2007 supporting agriculture, forestry and </w:t>
      </w:r>
      <w:proofErr w:type="spellStart"/>
      <w:r w:rsidR="009704A0">
        <w:rPr>
          <w:rFonts w:asciiTheme="minorHAnsi" w:hAnsiTheme="minorHAnsi" w:cs="Arial"/>
          <w:sz w:val="22"/>
          <w:szCs w:val="22"/>
          <w:shd w:val="clear" w:color="auto" w:fill="FFFFFF"/>
        </w:rPr>
        <w:t>pastoralism</w:t>
      </w:r>
      <w:proofErr w:type="spellEnd"/>
      <w:r w:rsidR="009704A0">
        <w:rPr>
          <w:rFonts w:asciiTheme="minorHAnsi" w:hAnsiTheme="minorHAnsi" w:cs="Arial"/>
          <w:sz w:val="22"/>
          <w:szCs w:val="22"/>
          <w:shd w:val="clear" w:color="auto" w:fill="FFFFFF"/>
        </w:rPr>
        <w:t xml:space="preserve"> through 131 projects.</w:t>
      </w:r>
      <w:r w:rsidR="009704A0">
        <w:rPr>
          <w:rStyle w:val="FootnoteReference"/>
          <w:rFonts w:asciiTheme="minorHAnsi" w:hAnsiTheme="minorHAnsi" w:cs="Arial"/>
          <w:sz w:val="22"/>
          <w:szCs w:val="22"/>
          <w:shd w:val="clear" w:color="auto" w:fill="FFFFFF"/>
        </w:rPr>
        <w:footnoteReference w:id="151"/>
      </w:r>
      <w:r w:rsidR="009704A0">
        <w:rPr>
          <w:rFonts w:asciiTheme="minorHAnsi" w:hAnsiTheme="minorHAnsi" w:cs="Arial"/>
          <w:sz w:val="22"/>
          <w:szCs w:val="22"/>
          <w:shd w:val="clear" w:color="auto" w:fill="FFFFFF"/>
        </w:rPr>
        <w:t xml:space="preserve">  </w:t>
      </w:r>
    </w:p>
    <w:p w:rsidR="000A332B" w:rsidRDefault="00E50E9B" w:rsidP="007B56B9">
      <w:pPr>
        <w:pStyle w:val="Default"/>
        <w:spacing w:after="120" w:line="276" w:lineRule="auto"/>
        <w:jc w:val="both"/>
        <w:rPr>
          <w:rFonts w:asciiTheme="minorHAnsi" w:hAnsiTheme="minorHAnsi" w:cs="Arial"/>
          <w:sz w:val="22"/>
          <w:szCs w:val="22"/>
          <w:lang w:eastAsia="en-GB"/>
        </w:rPr>
      </w:pPr>
      <w:r>
        <w:rPr>
          <w:rFonts w:asciiTheme="minorHAnsi" w:hAnsiTheme="minorHAnsi" w:cs="Arial"/>
          <w:sz w:val="22"/>
          <w:szCs w:val="22"/>
          <w:shd w:val="clear" w:color="auto" w:fill="FFFFFF"/>
        </w:rPr>
        <w:t>In 2006, s</w:t>
      </w:r>
      <w:r w:rsidR="009704A0">
        <w:rPr>
          <w:rFonts w:asciiTheme="minorHAnsi" w:hAnsiTheme="minorHAnsi" w:cs="Arial"/>
          <w:sz w:val="22"/>
          <w:szCs w:val="22"/>
          <w:shd w:val="clear" w:color="auto" w:fill="FFFFFF"/>
        </w:rPr>
        <w:t>everal donors</w:t>
      </w:r>
      <w:r w:rsidR="00F007DB">
        <w:rPr>
          <w:rFonts w:asciiTheme="minorHAnsi" w:hAnsiTheme="minorHAnsi" w:cs="Arial"/>
          <w:sz w:val="22"/>
          <w:szCs w:val="22"/>
          <w:shd w:val="clear" w:color="auto" w:fill="FFFFFF"/>
        </w:rPr>
        <w:t xml:space="preserve"> </w:t>
      </w:r>
      <w:r>
        <w:rPr>
          <w:rFonts w:asciiTheme="minorHAnsi" w:hAnsiTheme="minorHAnsi" w:cs="Arial"/>
          <w:sz w:val="22"/>
          <w:szCs w:val="22"/>
          <w:shd w:val="clear" w:color="auto" w:fill="FFFFFF"/>
        </w:rPr>
        <w:t>began</w:t>
      </w:r>
      <w:r w:rsidR="009704A0">
        <w:rPr>
          <w:rFonts w:asciiTheme="minorHAnsi" w:hAnsiTheme="minorHAnsi" w:cs="Arial"/>
          <w:sz w:val="22"/>
          <w:szCs w:val="22"/>
          <w:shd w:val="clear" w:color="auto" w:fill="FFFFFF"/>
        </w:rPr>
        <w:t xml:space="preserve"> pushing for a </w:t>
      </w:r>
      <w:r w:rsidR="00E104A5">
        <w:rPr>
          <w:rFonts w:asciiTheme="minorHAnsi" w:hAnsiTheme="minorHAnsi" w:cs="Arial"/>
          <w:sz w:val="22"/>
          <w:szCs w:val="22"/>
          <w:shd w:val="clear" w:color="auto" w:fill="FFFFFF"/>
        </w:rPr>
        <w:t>common mechanism for supporting</w:t>
      </w:r>
      <w:r w:rsidR="009704A0">
        <w:rPr>
          <w:rFonts w:asciiTheme="minorHAnsi" w:hAnsiTheme="minorHAnsi" w:cs="Arial"/>
          <w:sz w:val="22"/>
          <w:szCs w:val="22"/>
          <w:shd w:val="clear" w:color="auto" w:fill="FFFFFF"/>
        </w:rPr>
        <w:t xml:space="preserve"> agriculture</w:t>
      </w:r>
      <w:r w:rsidR="00E104A5">
        <w:rPr>
          <w:rFonts w:asciiTheme="minorHAnsi" w:hAnsiTheme="minorHAnsi" w:cs="Arial"/>
          <w:sz w:val="22"/>
          <w:szCs w:val="22"/>
          <w:shd w:val="clear" w:color="auto" w:fill="FFFFFF"/>
        </w:rPr>
        <w:t xml:space="preserve"> in Burkina Faso</w:t>
      </w:r>
      <w:r w:rsidR="009704A0">
        <w:rPr>
          <w:rFonts w:asciiTheme="minorHAnsi" w:hAnsiTheme="minorHAnsi" w:cs="Arial"/>
          <w:sz w:val="22"/>
          <w:szCs w:val="22"/>
          <w:shd w:val="clear" w:color="auto" w:fill="FFFFFF"/>
        </w:rPr>
        <w:t xml:space="preserve">. </w:t>
      </w:r>
      <w:r w:rsidR="00F007DB">
        <w:rPr>
          <w:rFonts w:asciiTheme="minorHAnsi" w:hAnsiTheme="minorHAnsi" w:cs="Arial"/>
          <w:sz w:val="22"/>
          <w:szCs w:val="22"/>
          <w:shd w:val="clear" w:color="auto" w:fill="FFFFFF"/>
        </w:rPr>
        <w:t xml:space="preserve"> Although the general donor discourse was favourable to the implementation of a sector-</w:t>
      </w:r>
      <w:r w:rsidR="00E104A5">
        <w:rPr>
          <w:rFonts w:asciiTheme="minorHAnsi" w:hAnsiTheme="minorHAnsi" w:cs="Arial"/>
          <w:sz w:val="22"/>
          <w:szCs w:val="22"/>
          <w:shd w:val="clear" w:color="auto" w:fill="FFFFFF"/>
        </w:rPr>
        <w:t>wide approach (</w:t>
      </w:r>
      <w:proofErr w:type="spellStart"/>
      <w:r w:rsidR="00E104A5">
        <w:rPr>
          <w:rFonts w:asciiTheme="minorHAnsi" w:hAnsiTheme="minorHAnsi" w:cs="Arial"/>
          <w:sz w:val="22"/>
          <w:szCs w:val="22"/>
          <w:shd w:val="clear" w:color="auto" w:fill="FFFFFF"/>
        </w:rPr>
        <w:t>SWAp</w:t>
      </w:r>
      <w:proofErr w:type="spellEnd"/>
      <w:r w:rsidR="00E104A5">
        <w:rPr>
          <w:rFonts w:asciiTheme="minorHAnsi" w:hAnsiTheme="minorHAnsi" w:cs="Arial"/>
          <w:sz w:val="22"/>
          <w:szCs w:val="22"/>
          <w:shd w:val="clear" w:color="auto" w:fill="FFFFFF"/>
        </w:rPr>
        <w:t>) to agriculture</w:t>
      </w:r>
      <w:r w:rsidR="00F007DB">
        <w:rPr>
          <w:rFonts w:asciiTheme="minorHAnsi" w:hAnsiTheme="minorHAnsi" w:cs="Arial"/>
          <w:sz w:val="22"/>
          <w:szCs w:val="22"/>
          <w:shd w:val="clear" w:color="auto" w:fill="FFFFFF"/>
        </w:rPr>
        <w:t xml:space="preserve">, the ‘hard core’ of Danish, French </w:t>
      </w:r>
      <w:r>
        <w:rPr>
          <w:rFonts w:asciiTheme="minorHAnsi" w:hAnsiTheme="minorHAnsi" w:cs="Arial"/>
          <w:sz w:val="22"/>
          <w:szCs w:val="22"/>
          <w:shd w:val="clear" w:color="auto" w:fill="FFFFFF"/>
        </w:rPr>
        <w:t>and German development agencies</w:t>
      </w:r>
      <w:r w:rsidR="00F007DB">
        <w:rPr>
          <w:rFonts w:asciiTheme="minorHAnsi" w:hAnsiTheme="minorHAnsi" w:cs="Arial"/>
          <w:sz w:val="22"/>
          <w:szCs w:val="22"/>
          <w:shd w:val="clear" w:color="auto" w:fill="FFFFFF"/>
        </w:rPr>
        <w:t xml:space="preserve"> drove the implementation process and helped to develop the road map of the Productive Rural Development Sector Programme (</w:t>
      </w:r>
      <w:proofErr w:type="spellStart"/>
      <w:r w:rsidR="00F007DB">
        <w:rPr>
          <w:rFonts w:asciiTheme="minorHAnsi" w:hAnsiTheme="minorHAnsi" w:cs="Arial"/>
          <w:sz w:val="22"/>
          <w:szCs w:val="22"/>
          <w:shd w:val="clear" w:color="auto" w:fill="FFFFFF"/>
        </w:rPr>
        <w:t>PROSDRp</w:t>
      </w:r>
      <w:proofErr w:type="spellEnd"/>
      <w:r w:rsidR="00F007DB">
        <w:rPr>
          <w:rFonts w:asciiTheme="minorHAnsi" w:hAnsiTheme="minorHAnsi" w:cs="Arial"/>
          <w:sz w:val="22"/>
          <w:szCs w:val="22"/>
          <w:shd w:val="clear" w:color="auto" w:fill="FFFFFF"/>
        </w:rPr>
        <w:t>).</w:t>
      </w:r>
      <w:r w:rsidR="00F007DB">
        <w:rPr>
          <w:rStyle w:val="FootnoteReference"/>
          <w:rFonts w:asciiTheme="minorHAnsi" w:hAnsiTheme="minorHAnsi" w:cs="Arial"/>
          <w:sz w:val="22"/>
          <w:szCs w:val="22"/>
          <w:shd w:val="clear" w:color="auto" w:fill="FFFFFF"/>
        </w:rPr>
        <w:footnoteReference w:id="152"/>
      </w:r>
      <w:r w:rsidR="00E104A5">
        <w:rPr>
          <w:rFonts w:asciiTheme="minorHAnsi" w:hAnsiTheme="minorHAnsi" w:cs="Arial"/>
          <w:sz w:val="22"/>
          <w:szCs w:val="22"/>
          <w:shd w:val="clear" w:color="auto" w:fill="FFFFFF"/>
        </w:rPr>
        <w:t xml:space="preserve">   </w:t>
      </w:r>
      <w:r w:rsidR="009704A0">
        <w:rPr>
          <w:rFonts w:asciiTheme="minorHAnsi" w:hAnsiTheme="minorHAnsi" w:cs="Arial"/>
          <w:sz w:val="22"/>
          <w:szCs w:val="22"/>
          <w:shd w:val="clear" w:color="auto" w:fill="FFFFFF"/>
        </w:rPr>
        <w:t>However, as noted in a 2011 Oxfam study, “this drive ‘from the outside’ has run up against a lack of ownership by the government”.</w:t>
      </w:r>
      <w:r w:rsidR="009704A0">
        <w:rPr>
          <w:rStyle w:val="FootnoteReference"/>
          <w:rFonts w:asciiTheme="minorHAnsi" w:hAnsiTheme="minorHAnsi" w:cs="Arial"/>
          <w:sz w:val="22"/>
          <w:szCs w:val="22"/>
          <w:shd w:val="clear" w:color="auto" w:fill="FFFFFF"/>
        </w:rPr>
        <w:footnoteReference w:id="153"/>
      </w:r>
      <w:r w:rsidR="009704A0">
        <w:rPr>
          <w:rFonts w:asciiTheme="minorHAnsi" w:hAnsiTheme="minorHAnsi" w:cs="Arial"/>
          <w:sz w:val="22"/>
          <w:szCs w:val="22"/>
          <w:shd w:val="clear" w:color="auto" w:fill="FFFFFF"/>
        </w:rPr>
        <w:t xml:space="preserve"> </w:t>
      </w:r>
      <w:r w:rsidR="00F007DB" w:rsidRPr="00F007DB">
        <w:rPr>
          <w:rFonts w:asciiTheme="minorHAnsi" w:hAnsiTheme="minorHAnsi" w:cs="Arial"/>
          <w:sz w:val="22"/>
          <w:szCs w:val="22"/>
          <w:lang w:eastAsia="en-GB"/>
        </w:rPr>
        <w:t xml:space="preserve">The </w:t>
      </w:r>
      <w:proofErr w:type="spellStart"/>
      <w:r w:rsidR="00F007DB" w:rsidRPr="00F007DB">
        <w:rPr>
          <w:rFonts w:asciiTheme="minorHAnsi" w:hAnsiTheme="minorHAnsi" w:cs="Arial"/>
          <w:sz w:val="22"/>
          <w:szCs w:val="22"/>
          <w:lang w:eastAsia="en-GB"/>
        </w:rPr>
        <w:t>PROSDRp</w:t>
      </w:r>
      <w:proofErr w:type="spellEnd"/>
      <w:r w:rsidR="00F007DB" w:rsidRPr="00F007DB">
        <w:rPr>
          <w:rFonts w:asciiTheme="minorHAnsi" w:hAnsiTheme="minorHAnsi" w:cs="Arial"/>
          <w:sz w:val="22"/>
          <w:szCs w:val="22"/>
          <w:lang w:eastAsia="en-GB"/>
        </w:rPr>
        <w:t xml:space="preserve"> had made relatively little progress by the time of the 2010 CAADP roundtable “with the exception of the drafting of a concept paper and agreement on the road map. This programme remains little known by ministry workers and the decentralised bo</w:t>
      </w:r>
      <w:r>
        <w:rPr>
          <w:rFonts w:asciiTheme="minorHAnsi" w:hAnsiTheme="minorHAnsi" w:cs="Arial"/>
          <w:sz w:val="22"/>
          <w:szCs w:val="22"/>
          <w:lang w:eastAsia="en-GB"/>
        </w:rPr>
        <w:t>dies where it was perceived as ‘</w:t>
      </w:r>
      <w:r w:rsidR="00F007DB" w:rsidRPr="00F007DB">
        <w:rPr>
          <w:rFonts w:asciiTheme="minorHAnsi" w:hAnsiTheme="minorHAnsi" w:cs="Arial"/>
          <w:sz w:val="22"/>
          <w:szCs w:val="22"/>
          <w:lang w:eastAsia="en-GB"/>
        </w:rPr>
        <w:t>the TFPs’ programme</w:t>
      </w:r>
      <w:r>
        <w:rPr>
          <w:rFonts w:asciiTheme="minorHAnsi" w:hAnsiTheme="minorHAnsi" w:cs="Arial"/>
          <w:sz w:val="22"/>
          <w:szCs w:val="22"/>
          <w:lang w:eastAsia="en-GB"/>
        </w:rPr>
        <w:t>’</w:t>
      </w:r>
      <w:r w:rsidR="00F007DB" w:rsidRPr="00F007DB">
        <w:rPr>
          <w:rFonts w:asciiTheme="minorHAnsi" w:hAnsiTheme="minorHAnsi" w:cs="Arial"/>
          <w:sz w:val="22"/>
          <w:szCs w:val="22"/>
          <w:lang w:eastAsia="en-GB"/>
        </w:rPr>
        <w:t>”.</w:t>
      </w:r>
      <w:r w:rsidR="00F007DB">
        <w:rPr>
          <w:rStyle w:val="FootnoteReference"/>
          <w:rFonts w:asciiTheme="minorHAnsi" w:hAnsiTheme="minorHAnsi" w:cs="Arial"/>
          <w:sz w:val="22"/>
          <w:szCs w:val="22"/>
          <w:lang w:eastAsia="en-GB"/>
        </w:rPr>
        <w:footnoteReference w:id="154"/>
      </w:r>
    </w:p>
    <w:p w:rsidR="00BF2D1A" w:rsidRDefault="007E2ECB" w:rsidP="007B56B9">
      <w:pPr>
        <w:pStyle w:val="Default"/>
        <w:spacing w:after="120" w:line="276" w:lineRule="auto"/>
        <w:jc w:val="both"/>
        <w:rPr>
          <w:rFonts w:asciiTheme="minorHAnsi" w:hAnsiTheme="minorHAnsi" w:cs="Arial"/>
          <w:bCs/>
          <w:sz w:val="22"/>
          <w:szCs w:val="22"/>
        </w:rPr>
      </w:pPr>
      <w:r>
        <w:rPr>
          <w:rFonts w:asciiTheme="minorHAnsi" w:hAnsiTheme="minorHAnsi" w:cs="Arial"/>
          <w:sz w:val="22"/>
          <w:szCs w:val="22"/>
          <w:lang w:eastAsia="en-GB"/>
        </w:rPr>
        <w:t xml:space="preserve">As part of the CAADP/ECOWAP process, the permanent secretariat for the coordination of sector-wide agricultural policies (SP/CPSA) – the same body in charge of overseeing the </w:t>
      </w:r>
      <w:proofErr w:type="spellStart"/>
      <w:r>
        <w:rPr>
          <w:rFonts w:asciiTheme="minorHAnsi" w:hAnsiTheme="minorHAnsi" w:cs="Arial"/>
          <w:sz w:val="22"/>
          <w:szCs w:val="22"/>
          <w:lang w:eastAsia="en-GB"/>
        </w:rPr>
        <w:t>PROSDRp</w:t>
      </w:r>
      <w:proofErr w:type="spellEnd"/>
      <w:r>
        <w:rPr>
          <w:rFonts w:asciiTheme="minorHAnsi" w:hAnsiTheme="minorHAnsi" w:cs="Arial"/>
          <w:sz w:val="22"/>
          <w:szCs w:val="22"/>
          <w:lang w:eastAsia="en-GB"/>
        </w:rPr>
        <w:t xml:space="preserve"> roadmap - became responsible for the development of the national agricultural investment programme (NAIP).  However, as noted in the 2011 Oxfam study, these two processes were not </w:t>
      </w:r>
      <w:r w:rsidRPr="000A332B">
        <w:rPr>
          <w:rFonts w:asciiTheme="minorHAnsi" w:hAnsiTheme="minorHAnsi" w:cs="Arial"/>
          <w:sz w:val="22"/>
          <w:szCs w:val="22"/>
          <w:lang w:eastAsia="en-GB"/>
        </w:rPr>
        <w:t>linked together.  T</w:t>
      </w:r>
      <w:r w:rsidR="00BF2D1A" w:rsidRPr="000A332B">
        <w:rPr>
          <w:rFonts w:asciiTheme="minorHAnsi" w:hAnsiTheme="minorHAnsi" w:cs="Arial"/>
          <w:sz w:val="22"/>
          <w:szCs w:val="22"/>
          <w:lang w:eastAsia="en-GB"/>
        </w:rPr>
        <w:t xml:space="preserve">ension arose between the technical and financial partners </w:t>
      </w:r>
      <w:r w:rsidRPr="000A332B">
        <w:rPr>
          <w:rFonts w:asciiTheme="minorHAnsi" w:hAnsiTheme="minorHAnsi" w:cs="Arial"/>
          <w:sz w:val="22"/>
          <w:szCs w:val="22"/>
          <w:lang w:eastAsia="en-GB"/>
        </w:rPr>
        <w:t xml:space="preserve">when the NAIP was drafted with little consultation, leading some of them to reject it.  </w:t>
      </w:r>
      <w:proofErr w:type="spellStart"/>
      <w:r w:rsidRPr="000A332B">
        <w:rPr>
          <w:rFonts w:asciiTheme="minorHAnsi" w:hAnsiTheme="minorHAnsi"/>
          <w:sz w:val="22"/>
          <w:szCs w:val="22"/>
        </w:rPr>
        <w:t>Crola</w:t>
      </w:r>
      <w:proofErr w:type="spellEnd"/>
      <w:r w:rsidRPr="000A332B">
        <w:rPr>
          <w:rFonts w:asciiTheme="minorHAnsi" w:hAnsiTheme="minorHAnsi"/>
          <w:sz w:val="22"/>
          <w:szCs w:val="22"/>
        </w:rPr>
        <w:t xml:space="preserve"> and </w:t>
      </w:r>
      <w:proofErr w:type="spellStart"/>
      <w:r w:rsidRPr="000A332B">
        <w:rPr>
          <w:rFonts w:asciiTheme="minorHAnsi" w:hAnsiTheme="minorHAnsi" w:cs="Arial"/>
          <w:bCs/>
          <w:sz w:val="22"/>
          <w:szCs w:val="22"/>
        </w:rPr>
        <w:t>Saulière</w:t>
      </w:r>
      <w:proofErr w:type="spellEnd"/>
      <w:r w:rsidRPr="000A332B">
        <w:rPr>
          <w:rFonts w:asciiTheme="minorHAnsi" w:hAnsiTheme="minorHAnsi" w:cs="Arial"/>
          <w:bCs/>
          <w:sz w:val="22"/>
          <w:szCs w:val="22"/>
        </w:rPr>
        <w:t xml:space="preserve"> (2011) have noted how a “so-called ‘fusion’ workshop” for the NAIP and PROSDRP process had to be organised in May 2010 after a six month “</w:t>
      </w:r>
      <w:proofErr w:type="spellStart"/>
      <w:r w:rsidRPr="000A332B">
        <w:rPr>
          <w:rFonts w:asciiTheme="minorHAnsi" w:hAnsiTheme="minorHAnsi" w:cs="Arial"/>
          <w:bCs/>
          <w:sz w:val="22"/>
          <w:szCs w:val="22"/>
        </w:rPr>
        <w:t>stand</w:t>
      </w:r>
      <w:r w:rsidR="00FC5ADE">
        <w:rPr>
          <w:rFonts w:asciiTheme="minorHAnsi" w:hAnsiTheme="minorHAnsi" w:cs="Arial"/>
          <w:bCs/>
          <w:sz w:val="22"/>
          <w:szCs w:val="22"/>
        </w:rPr>
        <w:t xml:space="preserve"> </w:t>
      </w:r>
      <w:r w:rsidRPr="000A332B">
        <w:rPr>
          <w:rFonts w:asciiTheme="minorHAnsi" w:hAnsiTheme="minorHAnsi" w:cs="Arial"/>
          <w:bCs/>
          <w:sz w:val="22"/>
          <w:szCs w:val="22"/>
        </w:rPr>
        <w:t>off</w:t>
      </w:r>
      <w:proofErr w:type="spellEnd"/>
      <w:r w:rsidRPr="000A332B">
        <w:rPr>
          <w:rFonts w:asciiTheme="minorHAnsi" w:hAnsiTheme="minorHAnsi" w:cs="Arial"/>
          <w:bCs/>
          <w:sz w:val="22"/>
          <w:szCs w:val="22"/>
        </w:rPr>
        <w:t>” between the various stakeholders</w:t>
      </w:r>
      <w:r w:rsidR="000A332B" w:rsidRPr="000A332B">
        <w:rPr>
          <w:rFonts w:asciiTheme="minorHAnsi" w:hAnsiTheme="minorHAnsi" w:cs="Arial"/>
          <w:bCs/>
          <w:sz w:val="22"/>
          <w:szCs w:val="22"/>
        </w:rPr>
        <w:t>: “</w:t>
      </w:r>
      <w:r w:rsidR="000A332B" w:rsidRPr="000A332B">
        <w:rPr>
          <w:rFonts w:asciiTheme="minorHAnsi" w:hAnsiTheme="minorHAnsi" w:cs="Arial"/>
          <w:sz w:val="22"/>
          <w:szCs w:val="22"/>
          <w:lang w:eastAsia="en-GB"/>
        </w:rPr>
        <w:t>this example illustrates the need for consultation and dialogue between</w:t>
      </w:r>
      <w:r w:rsidR="000A332B">
        <w:rPr>
          <w:rFonts w:asciiTheme="minorHAnsi" w:hAnsiTheme="minorHAnsi" w:cs="Arial"/>
          <w:sz w:val="22"/>
          <w:szCs w:val="22"/>
          <w:lang w:eastAsia="en-GB"/>
        </w:rPr>
        <w:t xml:space="preserve"> </w:t>
      </w:r>
      <w:r w:rsidR="000A332B" w:rsidRPr="000A332B">
        <w:rPr>
          <w:rFonts w:asciiTheme="minorHAnsi" w:hAnsiTheme="minorHAnsi" w:cs="Arial"/>
          <w:sz w:val="22"/>
          <w:szCs w:val="22"/>
          <w:lang w:eastAsia="en-GB"/>
        </w:rPr>
        <w:t>State and TFPs on developing a national programme to be funded by the TFPs, it also</w:t>
      </w:r>
      <w:r w:rsidR="000A332B">
        <w:rPr>
          <w:rFonts w:asciiTheme="minorHAnsi" w:hAnsiTheme="minorHAnsi" w:cs="Arial"/>
          <w:sz w:val="22"/>
          <w:szCs w:val="22"/>
          <w:lang w:eastAsia="en-GB"/>
        </w:rPr>
        <w:t xml:space="preserve"> </w:t>
      </w:r>
      <w:r w:rsidR="000A332B" w:rsidRPr="000A332B">
        <w:rPr>
          <w:rFonts w:asciiTheme="minorHAnsi" w:hAnsiTheme="minorHAnsi" w:cs="Arial"/>
          <w:sz w:val="22"/>
          <w:szCs w:val="22"/>
          <w:lang w:eastAsia="en-GB"/>
        </w:rPr>
        <w:t>highlights the power and ability the TFP’s wield to throw up obstacles to a national</w:t>
      </w:r>
      <w:r w:rsidR="000A332B">
        <w:rPr>
          <w:rFonts w:asciiTheme="minorHAnsi" w:hAnsiTheme="minorHAnsi" w:cs="Arial"/>
          <w:sz w:val="22"/>
          <w:szCs w:val="22"/>
          <w:lang w:eastAsia="en-GB"/>
        </w:rPr>
        <w:t xml:space="preserve"> </w:t>
      </w:r>
      <w:r w:rsidR="000A332B" w:rsidRPr="000A332B">
        <w:rPr>
          <w:rFonts w:asciiTheme="minorHAnsi" w:hAnsiTheme="minorHAnsi" w:cs="Arial"/>
          <w:sz w:val="22"/>
          <w:szCs w:val="22"/>
          <w:lang w:eastAsia="en-GB"/>
        </w:rPr>
        <w:t>process”</w:t>
      </w:r>
      <w:r w:rsidRPr="000A332B">
        <w:rPr>
          <w:rFonts w:asciiTheme="minorHAnsi" w:hAnsiTheme="minorHAnsi" w:cs="Arial"/>
          <w:bCs/>
          <w:sz w:val="22"/>
          <w:szCs w:val="22"/>
        </w:rPr>
        <w:t>.</w:t>
      </w:r>
      <w:r w:rsidR="000A332B" w:rsidRPr="000A332B">
        <w:rPr>
          <w:rStyle w:val="FootnoteReference"/>
          <w:rFonts w:asciiTheme="minorHAnsi" w:hAnsiTheme="minorHAnsi" w:cs="Arial"/>
          <w:bCs/>
          <w:sz w:val="22"/>
          <w:szCs w:val="22"/>
        </w:rPr>
        <w:footnoteReference w:id="155"/>
      </w:r>
    </w:p>
    <w:p w:rsidR="00F5478A" w:rsidRDefault="00F5478A" w:rsidP="007B56B9">
      <w:pPr>
        <w:pStyle w:val="Default"/>
        <w:spacing w:after="120" w:line="276" w:lineRule="auto"/>
        <w:jc w:val="both"/>
        <w:rPr>
          <w:rFonts w:asciiTheme="minorHAnsi" w:hAnsiTheme="minorHAnsi" w:cs="Arial"/>
          <w:bCs/>
          <w:sz w:val="22"/>
          <w:szCs w:val="22"/>
        </w:rPr>
      </w:pPr>
      <w:r>
        <w:rPr>
          <w:rFonts w:asciiTheme="minorHAnsi" w:hAnsiTheme="minorHAnsi" w:cs="Arial"/>
          <w:bCs/>
          <w:sz w:val="22"/>
          <w:szCs w:val="22"/>
        </w:rPr>
        <w:t xml:space="preserve">Burkina Faso was one of the few CAADP countries </w:t>
      </w:r>
      <w:r w:rsidR="000D29FB">
        <w:rPr>
          <w:rFonts w:asciiTheme="minorHAnsi" w:hAnsiTheme="minorHAnsi" w:cs="Arial"/>
          <w:bCs/>
          <w:sz w:val="22"/>
          <w:szCs w:val="22"/>
        </w:rPr>
        <w:t>signing</w:t>
      </w:r>
      <w:r>
        <w:rPr>
          <w:rFonts w:asciiTheme="minorHAnsi" w:hAnsiTheme="minorHAnsi" w:cs="Arial"/>
          <w:bCs/>
          <w:sz w:val="22"/>
          <w:szCs w:val="22"/>
        </w:rPr>
        <w:t xml:space="preserve"> their Compact in 2010 which witnessed a </w:t>
      </w:r>
      <w:r w:rsidRPr="00F5478A">
        <w:rPr>
          <w:rFonts w:asciiTheme="minorHAnsi" w:hAnsiTheme="minorHAnsi" w:cs="Arial"/>
          <w:bCs/>
          <w:i/>
          <w:sz w:val="22"/>
          <w:szCs w:val="22"/>
        </w:rPr>
        <w:t>decline</w:t>
      </w:r>
      <w:r>
        <w:rPr>
          <w:rFonts w:asciiTheme="minorHAnsi" w:hAnsiTheme="minorHAnsi" w:cs="Arial"/>
          <w:bCs/>
          <w:sz w:val="22"/>
          <w:szCs w:val="22"/>
        </w:rPr>
        <w:t xml:space="preserve"> in bilateral ODA commitments </w:t>
      </w:r>
      <w:r w:rsidR="00243FD9">
        <w:rPr>
          <w:rFonts w:asciiTheme="minorHAnsi" w:hAnsiTheme="minorHAnsi" w:cs="Arial"/>
          <w:bCs/>
          <w:sz w:val="22"/>
          <w:szCs w:val="22"/>
        </w:rPr>
        <w:t>–</w:t>
      </w:r>
      <w:r w:rsidR="009A4212">
        <w:rPr>
          <w:rFonts w:asciiTheme="minorHAnsi" w:hAnsiTheme="minorHAnsi" w:cs="Arial"/>
          <w:bCs/>
          <w:sz w:val="22"/>
          <w:szCs w:val="22"/>
        </w:rPr>
        <w:t xml:space="preserve"> </w:t>
      </w:r>
      <w:r w:rsidR="00243FD9">
        <w:rPr>
          <w:rFonts w:asciiTheme="minorHAnsi" w:hAnsiTheme="minorHAnsi" w:cs="Arial"/>
          <w:bCs/>
          <w:sz w:val="22"/>
          <w:szCs w:val="22"/>
        </w:rPr>
        <w:t>from USD 212.1 million in</w:t>
      </w:r>
      <w:r>
        <w:rPr>
          <w:rFonts w:asciiTheme="minorHAnsi" w:hAnsiTheme="minorHAnsi" w:cs="Arial"/>
          <w:bCs/>
          <w:sz w:val="22"/>
          <w:szCs w:val="22"/>
        </w:rPr>
        <w:t xml:space="preserve"> 2009 </w:t>
      </w:r>
      <w:r w:rsidR="00243FD9">
        <w:rPr>
          <w:rFonts w:asciiTheme="minorHAnsi" w:hAnsiTheme="minorHAnsi" w:cs="Arial"/>
          <w:bCs/>
          <w:sz w:val="22"/>
          <w:szCs w:val="22"/>
        </w:rPr>
        <w:t>to USD 81.3 million in</w:t>
      </w:r>
      <w:r>
        <w:rPr>
          <w:rFonts w:asciiTheme="minorHAnsi" w:hAnsiTheme="minorHAnsi" w:cs="Arial"/>
          <w:bCs/>
          <w:sz w:val="22"/>
          <w:szCs w:val="22"/>
        </w:rPr>
        <w:t xml:space="preserve"> 2010</w:t>
      </w:r>
      <w:r w:rsidR="00243FD9">
        <w:rPr>
          <w:rFonts w:asciiTheme="minorHAnsi" w:hAnsiTheme="minorHAnsi" w:cs="Arial"/>
          <w:bCs/>
          <w:sz w:val="22"/>
          <w:szCs w:val="22"/>
        </w:rPr>
        <w:t xml:space="preserve">, as shown in Figure </w:t>
      </w:r>
      <w:r w:rsidR="00AD44BB">
        <w:rPr>
          <w:rFonts w:asciiTheme="minorHAnsi" w:hAnsiTheme="minorHAnsi" w:cs="Arial"/>
          <w:bCs/>
          <w:sz w:val="22"/>
          <w:szCs w:val="22"/>
        </w:rPr>
        <w:t>1</w:t>
      </w:r>
      <w:r w:rsidR="0045510A">
        <w:rPr>
          <w:rFonts w:asciiTheme="minorHAnsi" w:hAnsiTheme="minorHAnsi" w:cs="Arial"/>
          <w:bCs/>
          <w:sz w:val="22"/>
          <w:szCs w:val="22"/>
        </w:rPr>
        <w:t>5</w:t>
      </w:r>
      <w:r w:rsidR="00243FD9">
        <w:rPr>
          <w:rFonts w:asciiTheme="minorHAnsi" w:hAnsiTheme="minorHAnsi" w:cs="Arial"/>
          <w:bCs/>
          <w:sz w:val="22"/>
          <w:szCs w:val="22"/>
        </w:rPr>
        <w:t xml:space="preserve"> below</w:t>
      </w:r>
      <w:r w:rsidR="003407F2">
        <w:rPr>
          <w:rFonts w:asciiTheme="minorHAnsi" w:hAnsiTheme="minorHAnsi" w:cs="Arial"/>
          <w:bCs/>
          <w:sz w:val="22"/>
          <w:szCs w:val="22"/>
        </w:rPr>
        <w:t xml:space="preserve"> – perhaps reflecting some of the donor tension outlined above</w:t>
      </w:r>
      <w:r w:rsidR="00061453">
        <w:rPr>
          <w:rFonts w:asciiTheme="minorHAnsi" w:hAnsiTheme="minorHAnsi" w:cs="Arial"/>
          <w:bCs/>
          <w:sz w:val="22"/>
          <w:szCs w:val="22"/>
        </w:rPr>
        <w:t xml:space="preserve">.  Following the signature of the ‘Pact to draft and implement the National Rural Sector Programme’ in July 2010, there was a renewed enthusiasm amongst many donors, with Germany, Austria and Demark creating a pooled fund of 1 billion FCFA (approximately USD2 million) for a sector-wide programme to support activities set out in the roadmap.   Canada and the World Food Programme </w:t>
      </w:r>
      <w:r w:rsidR="00061453">
        <w:rPr>
          <w:rFonts w:asciiTheme="minorHAnsi" w:hAnsiTheme="minorHAnsi" w:cs="Arial"/>
          <w:bCs/>
          <w:sz w:val="22"/>
          <w:szCs w:val="22"/>
        </w:rPr>
        <w:lastRenderedPageBreak/>
        <w:t>also made their technical expertise available.</w:t>
      </w:r>
      <w:r w:rsidR="00061453">
        <w:rPr>
          <w:rStyle w:val="FootnoteReference"/>
          <w:rFonts w:asciiTheme="minorHAnsi" w:hAnsiTheme="minorHAnsi" w:cs="Arial"/>
          <w:bCs/>
          <w:sz w:val="22"/>
          <w:szCs w:val="22"/>
        </w:rPr>
        <w:footnoteReference w:id="156"/>
      </w:r>
      <w:r w:rsidR="00243FD9">
        <w:rPr>
          <w:rFonts w:asciiTheme="minorHAnsi" w:hAnsiTheme="minorHAnsi" w:cs="Arial"/>
          <w:bCs/>
          <w:sz w:val="22"/>
          <w:szCs w:val="22"/>
        </w:rPr>
        <w:t xml:space="preserve">  The latest figures (2011) show an increase again to USD 154.9 million in overall donor commitments to Burkina Faso’s agriculture, forestry and fishing sector. </w:t>
      </w:r>
    </w:p>
    <w:p w:rsidR="00D363B7" w:rsidRDefault="00D363B7" w:rsidP="00D363B7">
      <w:pPr>
        <w:pStyle w:val="Default"/>
        <w:spacing w:after="120" w:line="276" w:lineRule="auto"/>
        <w:jc w:val="both"/>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Subsequently, Burkina Faso has been successful in being a </w:t>
      </w:r>
      <w:r w:rsidRPr="008E168A">
        <w:rPr>
          <w:rFonts w:asciiTheme="minorHAnsi" w:hAnsiTheme="minorHAnsi" w:cs="Arial"/>
          <w:sz w:val="22"/>
          <w:szCs w:val="22"/>
          <w:shd w:val="clear" w:color="auto" w:fill="FFFFFF"/>
        </w:rPr>
        <w:t>key recipient country of the following large agriculture investment initiatives in Africa,</w:t>
      </w:r>
      <w:r>
        <w:rPr>
          <w:rFonts w:asciiTheme="minorHAnsi" w:hAnsiTheme="minorHAnsi" w:cs="Arial"/>
          <w:sz w:val="22"/>
          <w:szCs w:val="22"/>
          <w:shd w:val="clear" w:color="auto" w:fill="FFFFFF"/>
        </w:rPr>
        <w:t xml:space="preserve"> including: (1) one of three additional countries chosen by the G8’s </w:t>
      </w:r>
      <w:r w:rsidRPr="008E168A">
        <w:rPr>
          <w:rFonts w:asciiTheme="minorHAnsi" w:hAnsiTheme="minorHAnsi" w:cs="Arial"/>
          <w:b/>
          <w:sz w:val="22"/>
          <w:szCs w:val="22"/>
          <w:shd w:val="clear" w:color="auto" w:fill="FFFFFF"/>
        </w:rPr>
        <w:t>New Alliance</w:t>
      </w:r>
      <w:r>
        <w:rPr>
          <w:rFonts w:asciiTheme="minorHAnsi" w:hAnsiTheme="minorHAnsi" w:cs="Arial"/>
          <w:sz w:val="22"/>
          <w:szCs w:val="22"/>
          <w:shd w:val="clear" w:color="auto" w:fill="FFFFFF"/>
        </w:rPr>
        <w:t xml:space="preserve"> for Food Security and Nutrition in September 2012 (out of a total of six countries); and (2) part of the ‘first wave’ of seven countries receiving support from </w:t>
      </w:r>
      <w:r w:rsidRPr="008E168A">
        <w:rPr>
          <w:rFonts w:asciiTheme="minorHAnsi" w:hAnsiTheme="minorHAnsi" w:cs="Arial"/>
          <w:b/>
          <w:sz w:val="22"/>
          <w:szCs w:val="22"/>
          <w:shd w:val="clear" w:color="auto" w:fill="FFFFFF"/>
        </w:rPr>
        <w:t>Grow Africa</w:t>
      </w:r>
      <w:r>
        <w:rPr>
          <w:rFonts w:asciiTheme="minorHAnsi" w:hAnsiTheme="minorHAnsi" w:cs="Arial"/>
          <w:sz w:val="22"/>
          <w:szCs w:val="22"/>
          <w:shd w:val="clear" w:color="auto" w:fill="FFFFFF"/>
        </w:rPr>
        <w:t xml:space="preserve"> to attract private sector investment.   Burkina Faso has also reached the designated target of increasing agricultural spending to 10 per cent of the national budget.</w:t>
      </w:r>
    </w:p>
    <w:p w:rsidR="00D363B7" w:rsidRDefault="00D363B7">
      <w:pPr>
        <w:rPr>
          <w:rFonts w:asciiTheme="minorHAnsi" w:hAnsiTheme="minorHAnsi"/>
          <w:b/>
          <w:sz w:val="22"/>
          <w:szCs w:val="22"/>
        </w:rPr>
      </w:pPr>
    </w:p>
    <w:p w:rsidR="00771525" w:rsidRDefault="00771525" w:rsidP="00771525">
      <w:pPr>
        <w:jc w:val="center"/>
        <w:rPr>
          <w:rFonts w:asciiTheme="minorHAnsi" w:hAnsiTheme="minorHAnsi"/>
          <w:b/>
          <w:sz w:val="22"/>
          <w:szCs w:val="22"/>
        </w:rPr>
      </w:pPr>
      <w:r>
        <w:rPr>
          <w:rFonts w:asciiTheme="minorHAnsi" w:hAnsiTheme="minorHAnsi"/>
          <w:b/>
          <w:sz w:val="22"/>
          <w:szCs w:val="22"/>
        </w:rPr>
        <w:t xml:space="preserve">Figure </w:t>
      </w:r>
      <w:r w:rsidR="00AD44BB">
        <w:rPr>
          <w:rFonts w:asciiTheme="minorHAnsi" w:hAnsiTheme="minorHAnsi"/>
          <w:b/>
          <w:sz w:val="22"/>
          <w:szCs w:val="22"/>
        </w:rPr>
        <w:t>1</w:t>
      </w:r>
      <w:r w:rsidR="0045510A">
        <w:rPr>
          <w:rFonts w:asciiTheme="minorHAnsi" w:hAnsiTheme="minorHAnsi"/>
          <w:b/>
          <w:sz w:val="22"/>
          <w:szCs w:val="22"/>
        </w:rPr>
        <w:t>5</w:t>
      </w:r>
      <w:r>
        <w:rPr>
          <w:rFonts w:asciiTheme="minorHAnsi" w:hAnsiTheme="minorHAnsi"/>
          <w:b/>
          <w:sz w:val="22"/>
          <w:szCs w:val="22"/>
        </w:rPr>
        <w:t>. Burkina Faso:</w:t>
      </w:r>
      <w:r w:rsidRPr="00FB3944">
        <w:rPr>
          <w:rFonts w:asciiTheme="minorHAnsi" w:hAnsiTheme="minorHAnsi"/>
          <w:b/>
          <w:sz w:val="22"/>
          <w:szCs w:val="22"/>
        </w:rPr>
        <w:t xml:space="preserve"> </w:t>
      </w:r>
      <w:r>
        <w:rPr>
          <w:rFonts w:asciiTheme="minorHAnsi" w:hAnsiTheme="minorHAnsi"/>
          <w:b/>
          <w:sz w:val="22"/>
          <w:szCs w:val="22"/>
        </w:rPr>
        <w:t xml:space="preserve">Total </w:t>
      </w:r>
      <w:r w:rsidRPr="00FB3944">
        <w:rPr>
          <w:rFonts w:asciiTheme="minorHAnsi" w:hAnsiTheme="minorHAnsi"/>
          <w:b/>
          <w:sz w:val="22"/>
          <w:szCs w:val="22"/>
        </w:rPr>
        <w:t xml:space="preserve">ODA commitments (bilateral and multilateral) </w:t>
      </w:r>
    </w:p>
    <w:p w:rsidR="00771525" w:rsidRDefault="00771525" w:rsidP="00771525">
      <w:pPr>
        <w:jc w:val="center"/>
        <w:rPr>
          <w:rFonts w:asciiTheme="minorHAnsi" w:hAnsiTheme="minorHAnsi" w:cs="Arial"/>
          <w:sz w:val="22"/>
          <w:szCs w:val="22"/>
          <w:shd w:val="clear" w:color="auto" w:fill="FFFFFF"/>
        </w:rPr>
      </w:pPr>
      <w:r w:rsidRPr="00FB3944">
        <w:rPr>
          <w:rFonts w:asciiTheme="minorHAnsi" w:hAnsiTheme="minorHAnsi"/>
          <w:b/>
          <w:sz w:val="22"/>
          <w:szCs w:val="22"/>
        </w:rPr>
        <w:t xml:space="preserve">to </w:t>
      </w:r>
      <w:r>
        <w:rPr>
          <w:rFonts w:asciiTheme="minorHAnsi" w:hAnsiTheme="minorHAnsi"/>
          <w:b/>
          <w:sz w:val="22"/>
          <w:szCs w:val="22"/>
        </w:rPr>
        <w:t>the agriculture, forestry and fishing sector</w:t>
      </w:r>
      <w:r w:rsidRPr="00FB3944">
        <w:rPr>
          <w:rFonts w:asciiTheme="minorHAnsi" w:hAnsiTheme="minorHAnsi"/>
          <w:b/>
          <w:sz w:val="22"/>
          <w:szCs w:val="22"/>
        </w:rPr>
        <w:t>, 1995-2011</w:t>
      </w:r>
      <w:r>
        <w:rPr>
          <w:rStyle w:val="FootnoteReference"/>
          <w:rFonts w:asciiTheme="minorHAnsi" w:hAnsiTheme="minorHAnsi"/>
          <w:b/>
          <w:sz w:val="22"/>
          <w:szCs w:val="22"/>
        </w:rPr>
        <w:footnoteReference w:id="157"/>
      </w:r>
    </w:p>
    <w:p w:rsidR="00771525" w:rsidRDefault="00771525" w:rsidP="007B56B9">
      <w:pPr>
        <w:pStyle w:val="Default"/>
        <w:spacing w:after="120" w:line="276" w:lineRule="auto"/>
        <w:jc w:val="both"/>
        <w:rPr>
          <w:rFonts w:asciiTheme="minorHAnsi" w:hAnsiTheme="minorHAnsi" w:cs="Arial"/>
          <w:sz w:val="22"/>
          <w:szCs w:val="22"/>
          <w:shd w:val="clear" w:color="auto" w:fill="FFFFFF"/>
        </w:rPr>
      </w:pPr>
      <w:r>
        <w:rPr>
          <w:noProof/>
          <w:lang w:val="fr-FR" w:eastAsia="fr-FR"/>
        </w:rPr>
        <w:drawing>
          <wp:inline distT="0" distB="0" distL="0" distR="0">
            <wp:extent cx="5731510" cy="1981535"/>
            <wp:effectExtent l="0" t="0" r="254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C349C" w:rsidRDefault="002C349C" w:rsidP="00724190">
      <w:pPr>
        <w:autoSpaceDE w:val="0"/>
        <w:autoSpaceDN w:val="0"/>
        <w:adjustRightInd w:val="0"/>
        <w:rPr>
          <w:rFonts w:ascii="Arial" w:hAnsi="Arial" w:cs="Arial"/>
          <w:b/>
          <w:sz w:val="20"/>
          <w:lang w:eastAsia="en-GB"/>
        </w:rPr>
      </w:pPr>
    </w:p>
    <w:p w:rsidR="003F6C09" w:rsidRPr="00462043" w:rsidRDefault="00A2591A" w:rsidP="00462043">
      <w:pPr>
        <w:pStyle w:val="Default"/>
        <w:rPr>
          <w:rFonts w:asciiTheme="minorHAnsi" w:hAnsiTheme="minorHAnsi" w:cs="Arial"/>
          <w:b/>
          <w:color w:val="31849B" w:themeColor="accent5" w:themeShade="BF"/>
          <w:sz w:val="22"/>
          <w:szCs w:val="22"/>
          <w:shd w:val="clear" w:color="auto" w:fill="FFFFFF"/>
        </w:rPr>
      </w:pPr>
      <w:r>
        <w:rPr>
          <w:rFonts w:asciiTheme="minorHAnsi" w:hAnsiTheme="minorHAnsi"/>
          <w:b/>
          <w:color w:val="31849B" w:themeColor="accent5" w:themeShade="BF"/>
        </w:rPr>
        <w:t xml:space="preserve">4.3.3 </w:t>
      </w:r>
      <w:r w:rsidR="002D674F">
        <w:rPr>
          <w:rFonts w:asciiTheme="minorHAnsi" w:hAnsiTheme="minorHAnsi" w:cs="Arial"/>
          <w:b/>
          <w:color w:val="31849B" w:themeColor="accent5" w:themeShade="BF"/>
          <w:shd w:val="clear" w:color="auto" w:fill="FFFFFF"/>
        </w:rPr>
        <w:t>Togo</w:t>
      </w:r>
    </w:p>
    <w:p w:rsidR="009809F8" w:rsidRDefault="00462043" w:rsidP="009809F8">
      <w:pPr>
        <w:spacing w:after="120" w:line="276" w:lineRule="auto"/>
        <w:jc w:val="both"/>
        <w:rPr>
          <w:rFonts w:asciiTheme="minorHAnsi" w:hAnsiTheme="minorHAnsi"/>
          <w:sz w:val="22"/>
          <w:szCs w:val="22"/>
        </w:rPr>
      </w:pPr>
      <w:r>
        <w:rPr>
          <w:rFonts w:asciiTheme="minorHAnsi" w:hAnsiTheme="minorHAnsi" w:cs="Arial"/>
          <w:sz w:val="22"/>
          <w:szCs w:val="22"/>
          <w:shd w:val="clear" w:color="auto" w:fill="FFFFFF"/>
        </w:rPr>
        <w:t xml:space="preserve">Togo held its Roundtable and became the first West African country to sign a country CAADP </w:t>
      </w:r>
      <w:r w:rsidRPr="00462043">
        <w:rPr>
          <w:rFonts w:asciiTheme="minorHAnsi" w:hAnsiTheme="minorHAnsi" w:cs="Arial"/>
          <w:sz w:val="22"/>
          <w:szCs w:val="22"/>
          <w:shd w:val="clear" w:color="auto" w:fill="FFFFFF"/>
        </w:rPr>
        <w:t>compact in July 2009.</w:t>
      </w:r>
      <w:r>
        <w:rPr>
          <w:rFonts w:asciiTheme="minorHAnsi" w:hAnsiTheme="minorHAnsi" w:cs="Arial"/>
          <w:sz w:val="22"/>
          <w:szCs w:val="22"/>
          <w:shd w:val="clear" w:color="auto" w:fill="FFFFFF"/>
        </w:rPr>
        <w:t xml:space="preserve">  </w:t>
      </w:r>
      <w:r w:rsidR="009809F8" w:rsidRPr="002D674F">
        <w:rPr>
          <w:rFonts w:asciiTheme="minorHAnsi" w:hAnsiTheme="minorHAnsi"/>
          <w:sz w:val="22"/>
          <w:szCs w:val="22"/>
        </w:rPr>
        <w:t xml:space="preserve">Togo's economy </w:t>
      </w:r>
      <w:r w:rsidR="009809F8">
        <w:rPr>
          <w:rFonts w:asciiTheme="minorHAnsi" w:hAnsiTheme="minorHAnsi"/>
          <w:sz w:val="22"/>
          <w:szCs w:val="22"/>
        </w:rPr>
        <w:t>depends heavily on both commercial and subsistence</w:t>
      </w:r>
      <w:r w:rsidR="009809F8" w:rsidRPr="002D674F">
        <w:rPr>
          <w:rFonts w:asciiTheme="minorHAnsi" w:hAnsiTheme="minorHAnsi"/>
          <w:sz w:val="22"/>
          <w:szCs w:val="22"/>
        </w:rPr>
        <w:t xml:space="preserve"> agriculture</w:t>
      </w:r>
      <w:r w:rsidR="009809F8">
        <w:rPr>
          <w:rFonts w:asciiTheme="minorHAnsi" w:hAnsiTheme="minorHAnsi"/>
          <w:sz w:val="22"/>
          <w:szCs w:val="22"/>
        </w:rPr>
        <w:t>, with 65 percent of the labour force engaged in agriculture – a total of almost 1.7 million people.</w:t>
      </w:r>
      <w:r w:rsidR="009809F8">
        <w:rPr>
          <w:rStyle w:val="FootnoteReference"/>
          <w:rFonts w:asciiTheme="minorHAnsi" w:hAnsiTheme="minorHAnsi"/>
          <w:sz w:val="22"/>
          <w:szCs w:val="22"/>
        </w:rPr>
        <w:footnoteReference w:id="158"/>
      </w:r>
      <w:r w:rsidR="009809F8">
        <w:rPr>
          <w:rFonts w:asciiTheme="minorHAnsi" w:hAnsiTheme="minorHAnsi"/>
          <w:sz w:val="22"/>
          <w:szCs w:val="22"/>
        </w:rPr>
        <w:t xml:space="preserve"> Cocoa, coffee, and cotton generate about 40 percent of export earnings with cotton being the most important cash crop.</w:t>
      </w:r>
      <w:r w:rsidR="009809F8">
        <w:rPr>
          <w:rStyle w:val="FootnoteReference"/>
          <w:rFonts w:asciiTheme="minorHAnsi" w:hAnsiTheme="minorHAnsi"/>
          <w:sz w:val="22"/>
          <w:szCs w:val="22"/>
        </w:rPr>
        <w:footnoteReference w:id="159"/>
      </w:r>
      <w:r w:rsidR="009809F8">
        <w:rPr>
          <w:rFonts w:asciiTheme="minorHAnsi" w:hAnsiTheme="minorHAnsi"/>
          <w:sz w:val="22"/>
          <w:szCs w:val="22"/>
        </w:rPr>
        <w:t xml:space="preserve">   </w:t>
      </w:r>
    </w:p>
    <w:p w:rsidR="009809F8" w:rsidRDefault="002D674F" w:rsidP="009255CC">
      <w:pPr>
        <w:spacing w:after="120" w:line="276" w:lineRule="auto"/>
        <w:jc w:val="both"/>
        <w:rPr>
          <w:rFonts w:asciiTheme="minorHAnsi" w:hAnsiTheme="minorHAnsi"/>
          <w:sz w:val="22"/>
          <w:szCs w:val="22"/>
        </w:rPr>
      </w:pPr>
      <w:r>
        <w:rPr>
          <w:rFonts w:asciiTheme="minorHAnsi" w:hAnsiTheme="minorHAnsi"/>
          <w:sz w:val="22"/>
          <w:szCs w:val="22"/>
        </w:rPr>
        <w:t xml:space="preserve">The </w:t>
      </w:r>
      <w:r w:rsidR="00BB3E07">
        <w:rPr>
          <w:rFonts w:asciiTheme="minorHAnsi" w:hAnsiTheme="minorHAnsi"/>
          <w:sz w:val="22"/>
          <w:szCs w:val="22"/>
        </w:rPr>
        <w:t xml:space="preserve">World Bank, the </w:t>
      </w:r>
      <w:r>
        <w:rPr>
          <w:rFonts w:asciiTheme="minorHAnsi" w:hAnsiTheme="minorHAnsi"/>
          <w:sz w:val="22"/>
          <w:szCs w:val="22"/>
        </w:rPr>
        <w:t>World Food</w:t>
      </w:r>
      <w:r w:rsidRPr="002D674F">
        <w:rPr>
          <w:rFonts w:asciiTheme="minorHAnsi" w:hAnsiTheme="minorHAnsi"/>
          <w:sz w:val="22"/>
          <w:szCs w:val="22"/>
        </w:rPr>
        <w:t xml:space="preserve"> Programme, and IFAD</w:t>
      </w:r>
      <w:r>
        <w:rPr>
          <w:rFonts w:asciiTheme="minorHAnsi" w:hAnsiTheme="minorHAnsi"/>
          <w:sz w:val="22"/>
          <w:szCs w:val="22"/>
        </w:rPr>
        <w:t xml:space="preserve"> have</w:t>
      </w:r>
      <w:r w:rsidRPr="002D674F">
        <w:rPr>
          <w:rFonts w:asciiTheme="minorHAnsi" w:hAnsiTheme="minorHAnsi"/>
          <w:sz w:val="22"/>
          <w:szCs w:val="22"/>
        </w:rPr>
        <w:t xml:space="preserve"> supported the </w:t>
      </w:r>
      <w:r>
        <w:rPr>
          <w:rFonts w:asciiTheme="minorHAnsi" w:hAnsiTheme="minorHAnsi"/>
          <w:sz w:val="22"/>
          <w:szCs w:val="22"/>
        </w:rPr>
        <w:t xml:space="preserve">CAADP </w:t>
      </w:r>
      <w:r w:rsidRPr="002D674F">
        <w:rPr>
          <w:rFonts w:asciiTheme="minorHAnsi" w:hAnsiTheme="minorHAnsi"/>
          <w:sz w:val="22"/>
          <w:szCs w:val="22"/>
        </w:rPr>
        <w:t xml:space="preserve">process </w:t>
      </w:r>
      <w:r>
        <w:rPr>
          <w:rFonts w:asciiTheme="minorHAnsi" w:hAnsiTheme="minorHAnsi"/>
          <w:sz w:val="22"/>
          <w:szCs w:val="22"/>
        </w:rPr>
        <w:t>i</w:t>
      </w:r>
      <w:r w:rsidRPr="002D674F">
        <w:rPr>
          <w:rFonts w:asciiTheme="minorHAnsi" w:hAnsiTheme="minorHAnsi"/>
          <w:sz w:val="22"/>
          <w:szCs w:val="22"/>
        </w:rPr>
        <w:t xml:space="preserve">n Togo through </w:t>
      </w:r>
      <w:proofErr w:type="spellStart"/>
      <w:r w:rsidRPr="002D674F">
        <w:rPr>
          <w:rFonts w:asciiTheme="minorHAnsi" w:hAnsiTheme="minorHAnsi"/>
          <w:sz w:val="22"/>
          <w:szCs w:val="22"/>
        </w:rPr>
        <w:t>sectorial</w:t>
      </w:r>
      <w:proofErr w:type="spellEnd"/>
      <w:r w:rsidRPr="002D674F">
        <w:rPr>
          <w:rFonts w:asciiTheme="minorHAnsi" w:hAnsiTheme="minorHAnsi"/>
          <w:sz w:val="22"/>
          <w:szCs w:val="22"/>
        </w:rPr>
        <w:t xml:space="preserve"> planning, the mobilization of </w:t>
      </w:r>
      <w:r>
        <w:rPr>
          <w:rFonts w:asciiTheme="minorHAnsi" w:hAnsiTheme="minorHAnsi"/>
          <w:sz w:val="22"/>
          <w:szCs w:val="22"/>
        </w:rPr>
        <w:t>funds,</w:t>
      </w:r>
      <w:r w:rsidRPr="002D674F">
        <w:rPr>
          <w:rFonts w:asciiTheme="minorHAnsi" w:hAnsiTheme="minorHAnsi"/>
          <w:sz w:val="22"/>
          <w:szCs w:val="22"/>
        </w:rPr>
        <w:t xml:space="preserve"> investment</w:t>
      </w:r>
      <w:r>
        <w:rPr>
          <w:rFonts w:asciiTheme="minorHAnsi" w:hAnsiTheme="minorHAnsi"/>
          <w:sz w:val="22"/>
          <w:szCs w:val="22"/>
        </w:rPr>
        <w:t xml:space="preserve"> planning</w:t>
      </w:r>
      <w:r w:rsidRPr="002D674F">
        <w:rPr>
          <w:rFonts w:asciiTheme="minorHAnsi" w:hAnsiTheme="minorHAnsi"/>
          <w:sz w:val="22"/>
          <w:szCs w:val="22"/>
        </w:rPr>
        <w:t>, cap</w:t>
      </w:r>
      <w:r>
        <w:rPr>
          <w:rFonts w:asciiTheme="minorHAnsi" w:hAnsiTheme="minorHAnsi"/>
          <w:sz w:val="22"/>
          <w:szCs w:val="22"/>
        </w:rPr>
        <w:t>acity building</w:t>
      </w:r>
      <w:r w:rsidRPr="002D674F">
        <w:rPr>
          <w:rFonts w:asciiTheme="minorHAnsi" w:hAnsiTheme="minorHAnsi"/>
          <w:sz w:val="22"/>
          <w:szCs w:val="22"/>
        </w:rPr>
        <w:t xml:space="preserve">, and more recently, they have supported the preparation of tools for implementing operations. </w:t>
      </w:r>
      <w:r w:rsidRPr="002D674F">
        <w:rPr>
          <w:rStyle w:val="FootnoteReference"/>
          <w:rFonts w:asciiTheme="minorHAnsi" w:hAnsiTheme="minorHAnsi"/>
          <w:sz w:val="22"/>
          <w:szCs w:val="22"/>
        </w:rPr>
        <w:footnoteReference w:id="160"/>
      </w:r>
      <w:r>
        <w:rPr>
          <w:rFonts w:asciiTheme="minorHAnsi" w:hAnsiTheme="minorHAnsi"/>
          <w:sz w:val="22"/>
          <w:szCs w:val="22"/>
        </w:rPr>
        <w:t xml:space="preserve"> </w:t>
      </w:r>
      <w:r w:rsidR="009809F8" w:rsidRPr="002D674F">
        <w:rPr>
          <w:rFonts w:asciiTheme="minorHAnsi" w:hAnsiTheme="minorHAnsi"/>
          <w:sz w:val="22"/>
          <w:szCs w:val="22"/>
        </w:rPr>
        <w:t xml:space="preserve">Overall, Togo </w:t>
      </w:r>
      <w:r w:rsidR="009809F8">
        <w:rPr>
          <w:rFonts w:asciiTheme="minorHAnsi" w:hAnsiTheme="minorHAnsi"/>
          <w:sz w:val="22"/>
          <w:szCs w:val="22"/>
        </w:rPr>
        <w:t xml:space="preserve">was perceived to have </w:t>
      </w:r>
      <w:r w:rsidR="009809F8" w:rsidRPr="002D674F">
        <w:rPr>
          <w:rFonts w:asciiTheme="minorHAnsi" w:hAnsiTheme="minorHAnsi"/>
          <w:sz w:val="22"/>
          <w:szCs w:val="22"/>
        </w:rPr>
        <w:t xml:space="preserve">submitted a good Investment Plan with activities often clearly defined. However, </w:t>
      </w:r>
      <w:r w:rsidR="003B5E15">
        <w:rPr>
          <w:rFonts w:asciiTheme="minorHAnsi" w:hAnsiTheme="minorHAnsi"/>
          <w:sz w:val="22"/>
          <w:szCs w:val="22"/>
        </w:rPr>
        <w:t>the following</w:t>
      </w:r>
      <w:r w:rsidR="009809F8" w:rsidRPr="002D674F">
        <w:rPr>
          <w:rFonts w:asciiTheme="minorHAnsi" w:hAnsiTheme="minorHAnsi"/>
          <w:sz w:val="22"/>
          <w:szCs w:val="22"/>
        </w:rPr>
        <w:t xml:space="preserve"> major limitations </w:t>
      </w:r>
      <w:r w:rsidR="009809F8">
        <w:rPr>
          <w:rFonts w:asciiTheme="minorHAnsi" w:hAnsiTheme="minorHAnsi"/>
          <w:sz w:val="22"/>
          <w:szCs w:val="22"/>
        </w:rPr>
        <w:t>were identified with</w:t>
      </w:r>
      <w:r w:rsidR="009809F8" w:rsidRPr="002D674F">
        <w:rPr>
          <w:rFonts w:asciiTheme="minorHAnsi" w:hAnsiTheme="minorHAnsi"/>
          <w:sz w:val="22"/>
          <w:szCs w:val="22"/>
        </w:rPr>
        <w:t xml:space="preserve"> the document</w:t>
      </w:r>
      <w:r w:rsidR="009809F8" w:rsidRPr="002D674F">
        <w:rPr>
          <w:rStyle w:val="FootnoteReference"/>
          <w:rFonts w:asciiTheme="minorHAnsi" w:hAnsiTheme="minorHAnsi"/>
          <w:sz w:val="22"/>
          <w:szCs w:val="22"/>
        </w:rPr>
        <w:footnoteReference w:id="161"/>
      </w:r>
      <w:r w:rsidR="009809F8" w:rsidRPr="002D674F">
        <w:rPr>
          <w:rFonts w:asciiTheme="minorHAnsi" w:hAnsiTheme="minorHAnsi"/>
          <w:sz w:val="22"/>
          <w:szCs w:val="22"/>
        </w:rPr>
        <w:t>:</w:t>
      </w:r>
      <w:r w:rsidR="009255CC">
        <w:rPr>
          <w:rFonts w:asciiTheme="minorHAnsi" w:hAnsiTheme="minorHAnsi"/>
          <w:sz w:val="22"/>
          <w:szCs w:val="22"/>
        </w:rPr>
        <w:t xml:space="preserve"> (</w:t>
      </w:r>
      <w:r w:rsidR="009809F8" w:rsidRPr="002D674F">
        <w:rPr>
          <w:rFonts w:asciiTheme="minorHAnsi" w:hAnsiTheme="minorHAnsi"/>
          <w:sz w:val="22"/>
          <w:szCs w:val="22"/>
        </w:rPr>
        <w:t xml:space="preserve">a) </w:t>
      </w:r>
      <w:r w:rsidR="009255CC">
        <w:rPr>
          <w:rFonts w:asciiTheme="minorHAnsi" w:hAnsiTheme="minorHAnsi"/>
          <w:sz w:val="22"/>
          <w:szCs w:val="22"/>
        </w:rPr>
        <w:t>t</w:t>
      </w:r>
      <w:r w:rsidR="009809F8" w:rsidRPr="002D674F">
        <w:rPr>
          <w:rFonts w:asciiTheme="minorHAnsi" w:hAnsiTheme="minorHAnsi"/>
          <w:sz w:val="22"/>
          <w:szCs w:val="22"/>
        </w:rPr>
        <w:t>he formulation of projects and programs in a public approach to agricultural development with very little space left to private agricultural sector</w:t>
      </w:r>
      <w:r w:rsidR="009255CC">
        <w:rPr>
          <w:rFonts w:asciiTheme="minorHAnsi" w:hAnsiTheme="minorHAnsi"/>
          <w:sz w:val="22"/>
          <w:szCs w:val="22"/>
        </w:rPr>
        <w:t>; and (b) t</w:t>
      </w:r>
      <w:r w:rsidR="009809F8" w:rsidRPr="002D674F">
        <w:rPr>
          <w:rFonts w:asciiTheme="minorHAnsi" w:hAnsiTheme="minorHAnsi"/>
          <w:sz w:val="22"/>
          <w:szCs w:val="22"/>
        </w:rPr>
        <w:t xml:space="preserve">rends in the agricultural sector in Togo in recent decades and planned investments will not achieve MDG 1 nor in 2015, nor in 2020. </w:t>
      </w:r>
      <w:r w:rsidR="004C633C">
        <w:rPr>
          <w:rFonts w:asciiTheme="minorHAnsi" w:hAnsiTheme="minorHAnsi"/>
          <w:sz w:val="22"/>
          <w:szCs w:val="22"/>
        </w:rPr>
        <w:t xml:space="preserve">According to </w:t>
      </w:r>
      <w:proofErr w:type="spellStart"/>
      <w:r w:rsidR="004C633C">
        <w:rPr>
          <w:rFonts w:asciiTheme="minorHAnsi" w:hAnsiTheme="minorHAnsi"/>
          <w:sz w:val="22"/>
          <w:szCs w:val="22"/>
        </w:rPr>
        <w:t>ReSAKSS</w:t>
      </w:r>
      <w:proofErr w:type="spellEnd"/>
      <w:r w:rsidR="004C633C">
        <w:rPr>
          <w:rFonts w:asciiTheme="minorHAnsi" w:hAnsiTheme="minorHAnsi"/>
          <w:sz w:val="22"/>
          <w:szCs w:val="22"/>
        </w:rPr>
        <w:t xml:space="preserve"> estimates, Togo is currently further away from achieving the MDG1 hunger target than it </w:t>
      </w:r>
      <w:r w:rsidR="004C633C">
        <w:rPr>
          <w:rFonts w:asciiTheme="minorHAnsi" w:hAnsiTheme="minorHAnsi"/>
          <w:sz w:val="22"/>
          <w:szCs w:val="22"/>
        </w:rPr>
        <w:lastRenderedPageBreak/>
        <w:t>was in 1990, with Togo’s child malnutrition rates increasing from 18.3 percent in 1990 to 25.9 in 2005.</w:t>
      </w:r>
      <w:r w:rsidR="004C633C">
        <w:rPr>
          <w:rStyle w:val="FootnoteReference"/>
          <w:rFonts w:asciiTheme="minorHAnsi" w:hAnsiTheme="minorHAnsi"/>
          <w:sz w:val="22"/>
          <w:szCs w:val="22"/>
        </w:rPr>
        <w:footnoteReference w:id="162"/>
      </w:r>
      <w:r w:rsidR="004C633C">
        <w:rPr>
          <w:rFonts w:asciiTheme="minorHAnsi" w:hAnsiTheme="minorHAnsi"/>
          <w:sz w:val="22"/>
          <w:szCs w:val="22"/>
        </w:rPr>
        <w:t xml:space="preserve">  </w:t>
      </w:r>
    </w:p>
    <w:p w:rsidR="00D363B7" w:rsidRPr="00B90398" w:rsidRDefault="003B5E15" w:rsidP="00B90398">
      <w:pPr>
        <w:spacing w:after="120" w:line="276" w:lineRule="auto"/>
        <w:jc w:val="both"/>
        <w:rPr>
          <w:rFonts w:asciiTheme="minorHAnsi" w:hAnsiTheme="minorHAnsi"/>
          <w:sz w:val="22"/>
          <w:szCs w:val="22"/>
        </w:rPr>
      </w:pPr>
      <w:r>
        <w:rPr>
          <w:rFonts w:asciiTheme="minorHAnsi" w:hAnsiTheme="minorHAnsi"/>
          <w:sz w:val="22"/>
          <w:szCs w:val="22"/>
        </w:rPr>
        <w:t>Togo has been successful at securing considerable increases in ODA commitments.</w:t>
      </w:r>
      <w:r w:rsidR="00FB3944">
        <w:rPr>
          <w:rFonts w:asciiTheme="minorHAnsi" w:hAnsiTheme="minorHAnsi"/>
          <w:sz w:val="22"/>
          <w:szCs w:val="22"/>
        </w:rPr>
        <w:t xml:space="preserve">  As can be seen from Figure </w:t>
      </w:r>
      <w:r w:rsidR="00AD44BB">
        <w:rPr>
          <w:rFonts w:asciiTheme="minorHAnsi" w:hAnsiTheme="minorHAnsi"/>
          <w:sz w:val="22"/>
          <w:szCs w:val="22"/>
        </w:rPr>
        <w:t>1</w:t>
      </w:r>
      <w:r w:rsidR="0045510A">
        <w:rPr>
          <w:rFonts w:asciiTheme="minorHAnsi" w:hAnsiTheme="minorHAnsi"/>
          <w:sz w:val="22"/>
          <w:szCs w:val="22"/>
        </w:rPr>
        <w:t>6</w:t>
      </w:r>
      <w:r w:rsidR="00FB3944">
        <w:rPr>
          <w:rFonts w:asciiTheme="minorHAnsi" w:hAnsiTheme="minorHAnsi"/>
          <w:sz w:val="22"/>
          <w:szCs w:val="22"/>
        </w:rPr>
        <w:t xml:space="preserve"> below, Togo received less than USD 3</w:t>
      </w:r>
      <w:r w:rsidR="00AD430E">
        <w:rPr>
          <w:rFonts w:asciiTheme="minorHAnsi" w:hAnsiTheme="minorHAnsi"/>
          <w:sz w:val="22"/>
          <w:szCs w:val="22"/>
        </w:rPr>
        <w:t xml:space="preserve"> </w:t>
      </w:r>
      <w:r w:rsidR="00FB3944">
        <w:rPr>
          <w:rFonts w:asciiTheme="minorHAnsi" w:hAnsiTheme="minorHAnsi"/>
          <w:sz w:val="22"/>
          <w:szCs w:val="22"/>
        </w:rPr>
        <w:t xml:space="preserve">million per year from all bilateral and multilateral donors from 2001-2009, </w:t>
      </w:r>
      <w:r w:rsidR="00AD430E">
        <w:rPr>
          <w:rFonts w:asciiTheme="minorHAnsi" w:hAnsiTheme="minorHAnsi"/>
          <w:sz w:val="22"/>
          <w:szCs w:val="22"/>
        </w:rPr>
        <w:t>and receiving less than USD 1 million during</w:t>
      </w:r>
      <w:r w:rsidR="00FB3944">
        <w:rPr>
          <w:rFonts w:asciiTheme="minorHAnsi" w:hAnsiTheme="minorHAnsi"/>
          <w:sz w:val="22"/>
          <w:szCs w:val="22"/>
        </w:rPr>
        <w:t xml:space="preserve"> three of these years.  However, agricultural investment has rapidly increased since Togo signed the CAADP compact in 2009 to 41.7 million (2010) and 37.3 million (2011).</w:t>
      </w:r>
    </w:p>
    <w:p w:rsidR="00FB3944" w:rsidRDefault="00FB3944" w:rsidP="00FB3944">
      <w:pPr>
        <w:jc w:val="center"/>
        <w:rPr>
          <w:rFonts w:asciiTheme="minorHAnsi" w:hAnsiTheme="minorHAnsi"/>
          <w:b/>
          <w:sz w:val="22"/>
          <w:szCs w:val="22"/>
        </w:rPr>
      </w:pPr>
      <w:r>
        <w:rPr>
          <w:rFonts w:asciiTheme="minorHAnsi" w:hAnsiTheme="minorHAnsi"/>
          <w:b/>
          <w:sz w:val="22"/>
          <w:szCs w:val="22"/>
        </w:rPr>
        <w:t xml:space="preserve">Figure </w:t>
      </w:r>
      <w:r w:rsidR="00AD44BB">
        <w:rPr>
          <w:rFonts w:asciiTheme="minorHAnsi" w:hAnsiTheme="minorHAnsi"/>
          <w:b/>
          <w:sz w:val="22"/>
          <w:szCs w:val="22"/>
        </w:rPr>
        <w:t>1</w:t>
      </w:r>
      <w:r w:rsidR="0045510A">
        <w:rPr>
          <w:rFonts w:asciiTheme="minorHAnsi" w:hAnsiTheme="minorHAnsi"/>
          <w:b/>
          <w:sz w:val="22"/>
          <w:szCs w:val="22"/>
        </w:rPr>
        <w:t>6</w:t>
      </w:r>
      <w:r>
        <w:rPr>
          <w:rFonts w:asciiTheme="minorHAnsi" w:hAnsiTheme="minorHAnsi"/>
          <w:b/>
          <w:sz w:val="22"/>
          <w:szCs w:val="22"/>
        </w:rPr>
        <w:t>. Togo:</w:t>
      </w:r>
      <w:r w:rsidRPr="00FB3944">
        <w:rPr>
          <w:rFonts w:asciiTheme="minorHAnsi" w:hAnsiTheme="minorHAnsi"/>
          <w:b/>
          <w:sz w:val="22"/>
          <w:szCs w:val="22"/>
        </w:rPr>
        <w:t xml:space="preserve"> </w:t>
      </w:r>
      <w:r w:rsidR="0002000E">
        <w:rPr>
          <w:rFonts w:asciiTheme="minorHAnsi" w:hAnsiTheme="minorHAnsi"/>
          <w:b/>
          <w:sz w:val="22"/>
          <w:szCs w:val="22"/>
        </w:rPr>
        <w:t xml:space="preserve">Total </w:t>
      </w:r>
      <w:r w:rsidRPr="00FB3944">
        <w:rPr>
          <w:rFonts w:asciiTheme="minorHAnsi" w:hAnsiTheme="minorHAnsi"/>
          <w:b/>
          <w:sz w:val="22"/>
          <w:szCs w:val="22"/>
        </w:rPr>
        <w:t xml:space="preserve">ODA commitments (bilateral and multilateral) </w:t>
      </w:r>
    </w:p>
    <w:p w:rsidR="00FB3944" w:rsidRPr="00FB3944" w:rsidRDefault="00FB3944" w:rsidP="00FB3944">
      <w:pPr>
        <w:jc w:val="center"/>
        <w:rPr>
          <w:rFonts w:asciiTheme="minorHAnsi" w:hAnsiTheme="minorHAnsi"/>
          <w:b/>
          <w:sz w:val="22"/>
          <w:szCs w:val="22"/>
        </w:rPr>
      </w:pPr>
      <w:r w:rsidRPr="00FB3944">
        <w:rPr>
          <w:rFonts w:asciiTheme="minorHAnsi" w:hAnsiTheme="minorHAnsi"/>
          <w:b/>
          <w:sz w:val="22"/>
          <w:szCs w:val="22"/>
        </w:rPr>
        <w:t xml:space="preserve">to </w:t>
      </w:r>
      <w:r>
        <w:rPr>
          <w:rFonts w:asciiTheme="minorHAnsi" w:hAnsiTheme="minorHAnsi"/>
          <w:b/>
          <w:sz w:val="22"/>
          <w:szCs w:val="22"/>
        </w:rPr>
        <w:t>the agriculture, forestry and fishing sector</w:t>
      </w:r>
      <w:r w:rsidRPr="00FB3944">
        <w:rPr>
          <w:rFonts w:asciiTheme="minorHAnsi" w:hAnsiTheme="minorHAnsi"/>
          <w:b/>
          <w:sz w:val="22"/>
          <w:szCs w:val="22"/>
        </w:rPr>
        <w:t>, 1995-2011</w:t>
      </w:r>
      <w:r w:rsidR="0002000E">
        <w:rPr>
          <w:rStyle w:val="FootnoteReference"/>
          <w:rFonts w:asciiTheme="minorHAnsi" w:hAnsiTheme="minorHAnsi"/>
          <w:b/>
          <w:sz w:val="22"/>
          <w:szCs w:val="22"/>
        </w:rPr>
        <w:footnoteReference w:id="163"/>
      </w:r>
    </w:p>
    <w:p w:rsidR="00FB3944" w:rsidRDefault="00FB3944" w:rsidP="00DC0882">
      <w:pPr>
        <w:spacing w:after="120" w:line="276" w:lineRule="auto"/>
        <w:jc w:val="center"/>
        <w:rPr>
          <w:rFonts w:asciiTheme="minorHAnsi" w:hAnsiTheme="minorHAnsi"/>
          <w:sz w:val="22"/>
          <w:szCs w:val="22"/>
        </w:rPr>
      </w:pPr>
      <w:r>
        <w:rPr>
          <w:noProof/>
          <w:lang w:val="fr-FR" w:eastAsia="fr-FR"/>
        </w:rPr>
        <w:drawing>
          <wp:inline distT="0" distB="0" distL="0" distR="0">
            <wp:extent cx="5019675" cy="14954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840F0" w:rsidRPr="007C53B3" w:rsidRDefault="005455E5" w:rsidP="002D674F">
      <w:pPr>
        <w:spacing w:after="120" w:line="276" w:lineRule="auto"/>
        <w:jc w:val="both"/>
        <w:rPr>
          <w:rFonts w:asciiTheme="minorHAnsi" w:hAnsiTheme="minorHAnsi"/>
          <w:sz w:val="22"/>
          <w:szCs w:val="22"/>
        </w:rPr>
      </w:pPr>
      <w:r>
        <w:rPr>
          <w:rFonts w:asciiTheme="minorHAnsi" w:hAnsiTheme="minorHAnsi"/>
          <w:sz w:val="22"/>
          <w:szCs w:val="22"/>
        </w:rPr>
        <w:t>Togo was one of the first three countries (along with Rwanda and Sierra L</w:t>
      </w:r>
      <w:r w:rsidR="003407F2">
        <w:rPr>
          <w:rFonts w:asciiTheme="minorHAnsi" w:hAnsiTheme="minorHAnsi"/>
          <w:sz w:val="22"/>
          <w:szCs w:val="22"/>
        </w:rPr>
        <w:t>e</w:t>
      </w:r>
      <w:r>
        <w:rPr>
          <w:rFonts w:asciiTheme="minorHAnsi" w:hAnsiTheme="minorHAnsi"/>
          <w:sz w:val="22"/>
          <w:szCs w:val="22"/>
        </w:rPr>
        <w:t>one) to receive funding</w:t>
      </w:r>
      <w:r w:rsidR="00814F9C">
        <w:rPr>
          <w:rFonts w:asciiTheme="minorHAnsi" w:hAnsiTheme="minorHAnsi"/>
          <w:sz w:val="22"/>
          <w:szCs w:val="22"/>
        </w:rPr>
        <w:t xml:space="preserve"> through the Global Agriculture and Food Security Program (GAFSP)</w:t>
      </w:r>
      <w:r>
        <w:rPr>
          <w:rFonts w:asciiTheme="minorHAnsi" w:hAnsiTheme="minorHAnsi"/>
          <w:sz w:val="22"/>
          <w:szCs w:val="22"/>
        </w:rPr>
        <w:t xml:space="preserve"> - </w:t>
      </w:r>
      <w:r w:rsidRPr="007840F0">
        <w:rPr>
          <w:rFonts w:asciiTheme="minorHAnsi" w:hAnsiTheme="minorHAnsi"/>
          <w:b/>
          <w:sz w:val="22"/>
          <w:szCs w:val="22"/>
        </w:rPr>
        <w:t>USD 39 million</w:t>
      </w:r>
      <w:r>
        <w:rPr>
          <w:rFonts w:asciiTheme="minorHAnsi" w:hAnsiTheme="minorHAnsi"/>
          <w:sz w:val="22"/>
          <w:szCs w:val="22"/>
        </w:rPr>
        <w:t xml:space="preserve"> of funding</w:t>
      </w:r>
      <w:r w:rsidR="00957D7B">
        <w:rPr>
          <w:rFonts w:asciiTheme="minorHAnsi" w:hAnsiTheme="minorHAnsi"/>
          <w:sz w:val="22"/>
          <w:szCs w:val="22"/>
        </w:rPr>
        <w:t>, approved in June 2010 to bolster yields in rice, maize and cassava through provision of improved seed varieties, technical assistance for smallholder farmers, and better smallholder access to affordable credit.</w:t>
      </w:r>
      <w:r w:rsidR="007840F0">
        <w:rPr>
          <w:rStyle w:val="FootnoteReference"/>
          <w:rFonts w:asciiTheme="minorHAnsi" w:hAnsiTheme="minorHAnsi"/>
          <w:sz w:val="22"/>
          <w:szCs w:val="22"/>
        </w:rPr>
        <w:footnoteReference w:id="164"/>
      </w:r>
      <w:r w:rsidR="00957D7B">
        <w:rPr>
          <w:rFonts w:asciiTheme="minorHAnsi" w:hAnsiTheme="minorHAnsi"/>
          <w:sz w:val="22"/>
          <w:szCs w:val="22"/>
        </w:rPr>
        <w:t xml:space="preserve">  </w:t>
      </w:r>
      <w:r w:rsidR="007840F0">
        <w:rPr>
          <w:rFonts w:asciiTheme="minorHAnsi" w:hAnsiTheme="minorHAnsi"/>
          <w:sz w:val="22"/>
          <w:szCs w:val="22"/>
        </w:rPr>
        <w:t>Since signing the Compact, key streams of investment include</w:t>
      </w:r>
      <w:r w:rsidR="0002000E">
        <w:rPr>
          <w:rFonts w:asciiTheme="minorHAnsi" w:hAnsiTheme="minorHAnsi"/>
          <w:sz w:val="22"/>
          <w:szCs w:val="22"/>
        </w:rPr>
        <w:t xml:space="preserve"> the World Bank (USD 30.2 million), Canada (USD 21.8 million) and the Islamic Development Bank (USD 10.3 million)</w:t>
      </w:r>
      <w:r w:rsidR="00050F31">
        <w:rPr>
          <w:rFonts w:asciiTheme="minorHAnsi" w:hAnsiTheme="minorHAnsi"/>
          <w:sz w:val="22"/>
          <w:szCs w:val="22"/>
        </w:rPr>
        <w:t xml:space="preserve">, as shown in Figure </w:t>
      </w:r>
      <w:r w:rsidR="0045510A">
        <w:rPr>
          <w:rFonts w:asciiTheme="minorHAnsi" w:hAnsiTheme="minorHAnsi"/>
          <w:sz w:val="22"/>
          <w:szCs w:val="22"/>
        </w:rPr>
        <w:t>17</w:t>
      </w:r>
      <w:r w:rsidR="00050F31">
        <w:rPr>
          <w:rFonts w:asciiTheme="minorHAnsi" w:hAnsiTheme="minorHAnsi"/>
          <w:sz w:val="22"/>
          <w:szCs w:val="22"/>
        </w:rPr>
        <w:t xml:space="preserve"> below</w:t>
      </w:r>
      <w:r w:rsidR="0002000E">
        <w:rPr>
          <w:rFonts w:asciiTheme="minorHAnsi" w:hAnsiTheme="minorHAnsi"/>
          <w:sz w:val="22"/>
          <w:szCs w:val="22"/>
        </w:rPr>
        <w:t>.</w:t>
      </w:r>
    </w:p>
    <w:p w:rsidR="00AD44BB" w:rsidRDefault="0002000E" w:rsidP="0002000E">
      <w:pPr>
        <w:jc w:val="center"/>
        <w:rPr>
          <w:rFonts w:asciiTheme="minorHAnsi" w:hAnsiTheme="minorHAnsi"/>
          <w:b/>
          <w:sz w:val="22"/>
          <w:szCs w:val="22"/>
        </w:rPr>
      </w:pPr>
      <w:r>
        <w:rPr>
          <w:rFonts w:asciiTheme="minorHAnsi" w:hAnsiTheme="minorHAnsi"/>
          <w:b/>
          <w:sz w:val="22"/>
          <w:szCs w:val="22"/>
        </w:rPr>
        <w:t xml:space="preserve">Figure </w:t>
      </w:r>
      <w:r w:rsidR="00AD44BB">
        <w:rPr>
          <w:rFonts w:asciiTheme="minorHAnsi" w:hAnsiTheme="minorHAnsi"/>
          <w:b/>
          <w:sz w:val="22"/>
          <w:szCs w:val="22"/>
        </w:rPr>
        <w:t>1</w:t>
      </w:r>
      <w:r w:rsidR="0045510A">
        <w:rPr>
          <w:rFonts w:asciiTheme="minorHAnsi" w:hAnsiTheme="minorHAnsi"/>
          <w:b/>
          <w:sz w:val="22"/>
          <w:szCs w:val="22"/>
        </w:rPr>
        <w:t>7</w:t>
      </w:r>
      <w:r>
        <w:rPr>
          <w:rFonts w:asciiTheme="minorHAnsi" w:hAnsiTheme="minorHAnsi"/>
          <w:b/>
          <w:sz w:val="22"/>
          <w:szCs w:val="22"/>
        </w:rPr>
        <w:t>. Togo:</w:t>
      </w:r>
      <w:r w:rsidRPr="00FB3944">
        <w:rPr>
          <w:rFonts w:asciiTheme="minorHAnsi" w:hAnsiTheme="minorHAnsi"/>
          <w:b/>
          <w:sz w:val="22"/>
          <w:szCs w:val="22"/>
        </w:rPr>
        <w:t xml:space="preserve"> ODA commitments to </w:t>
      </w:r>
      <w:r>
        <w:rPr>
          <w:rFonts w:asciiTheme="minorHAnsi" w:hAnsiTheme="minorHAnsi"/>
          <w:b/>
          <w:sz w:val="22"/>
          <w:szCs w:val="22"/>
        </w:rPr>
        <w:t>the agriculture, forestry and fishing sector</w:t>
      </w:r>
      <w:r w:rsidRPr="00FB3944">
        <w:rPr>
          <w:rFonts w:asciiTheme="minorHAnsi" w:hAnsiTheme="minorHAnsi"/>
          <w:b/>
          <w:sz w:val="22"/>
          <w:szCs w:val="22"/>
        </w:rPr>
        <w:t>,</w:t>
      </w:r>
    </w:p>
    <w:p w:rsidR="00FB3944" w:rsidRDefault="0002000E" w:rsidP="0002000E">
      <w:pPr>
        <w:jc w:val="center"/>
        <w:rPr>
          <w:rFonts w:asciiTheme="minorHAnsi" w:hAnsiTheme="minorHAnsi"/>
          <w:b/>
          <w:sz w:val="22"/>
          <w:szCs w:val="22"/>
        </w:rPr>
      </w:pPr>
      <w:r w:rsidRPr="00FB3944">
        <w:rPr>
          <w:rFonts w:asciiTheme="minorHAnsi" w:hAnsiTheme="minorHAnsi"/>
          <w:b/>
          <w:sz w:val="22"/>
          <w:szCs w:val="22"/>
        </w:rPr>
        <w:t xml:space="preserve"> </w:t>
      </w:r>
      <w:r>
        <w:rPr>
          <w:rFonts w:asciiTheme="minorHAnsi" w:hAnsiTheme="minorHAnsi"/>
          <w:b/>
          <w:sz w:val="22"/>
          <w:szCs w:val="22"/>
        </w:rPr>
        <w:t>2010 and 2011</w:t>
      </w:r>
      <w:r>
        <w:rPr>
          <w:rStyle w:val="FootnoteReference"/>
          <w:rFonts w:asciiTheme="minorHAnsi" w:hAnsiTheme="minorHAnsi"/>
          <w:b/>
          <w:sz w:val="22"/>
          <w:szCs w:val="22"/>
        </w:rPr>
        <w:footnoteReference w:id="165"/>
      </w:r>
      <w:r>
        <w:rPr>
          <w:rFonts w:asciiTheme="minorHAnsi" w:hAnsiTheme="minorHAnsi"/>
          <w:b/>
          <w:sz w:val="22"/>
          <w:szCs w:val="22"/>
        </w:rPr>
        <w:t xml:space="preserve"> </w:t>
      </w:r>
    </w:p>
    <w:p w:rsidR="003407F2" w:rsidRDefault="003407F2" w:rsidP="003407F2">
      <w:pPr>
        <w:jc w:val="center"/>
        <w:rPr>
          <w:rFonts w:asciiTheme="minorHAnsi" w:hAnsiTheme="minorHAnsi"/>
          <w:b/>
          <w:sz w:val="22"/>
          <w:szCs w:val="22"/>
        </w:rPr>
      </w:pPr>
      <w:r>
        <w:rPr>
          <w:noProof/>
          <w:lang w:val="fr-FR" w:eastAsia="fr-FR"/>
        </w:rPr>
        <w:drawing>
          <wp:inline distT="0" distB="0" distL="0" distR="0">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407F2" w:rsidRDefault="003407F2" w:rsidP="003407F2">
      <w:pPr>
        <w:rPr>
          <w:rFonts w:asciiTheme="minorHAnsi" w:hAnsiTheme="minorHAnsi"/>
          <w:b/>
          <w:sz w:val="22"/>
          <w:szCs w:val="22"/>
        </w:rPr>
      </w:pPr>
    </w:p>
    <w:p w:rsidR="003407F2" w:rsidRPr="00B90398" w:rsidRDefault="003407F2" w:rsidP="00B90398">
      <w:pPr>
        <w:jc w:val="center"/>
        <w:rPr>
          <w:rFonts w:asciiTheme="minorHAnsi" w:hAnsiTheme="minorHAnsi"/>
          <w:b/>
          <w:sz w:val="22"/>
          <w:szCs w:val="22"/>
          <w:highlight w:val="yellow"/>
        </w:rPr>
      </w:pPr>
      <w:r>
        <w:rPr>
          <w:rFonts w:asciiTheme="minorHAnsi" w:hAnsiTheme="minorHAnsi" w:cs="Arial"/>
          <w:b/>
          <w:color w:val="1F497D" w:themeColor="text2"/>
          <w:sz w:val="28"/>
          <w:szCs w:val="28"/>
        </w:rPr>
        <w:br w:type="page"/>
      </w:r>
      <w:r w:rsidR="00B90398">
        <w:rPr>
          <w:rFonts w:asciiTheme="minorHAnsi" w:hAnsiTheme="minorHAnsi" w:cs="Arial"/>
          <w:b/>
          <w:color w:val="1F497D" w:themeColor="text2"/>
          <w:sz w:val="28"/>
          <w:szCs w:val="28"/>
        </w:rPr>
        <w:lastRenderedPageBreak/>
        <w:t>SECTION 5</w:t>
      </w:r>
      <w:r w:rsidR="00B90398" w:rsidRPr="00587203">
        <w:rPr>
          <w:rFonts w:asciiTheme="minorHAnsi" w:hAnsiTheme="minorHAnsi" w:cs="Arial"/>
          <w:b/>
          <w:color w:val="1F497D" w:themeColor="text2"/>
          <w:sz w:val="28"/>
          <w:szCs w:val="28"/>
        </w:rPr>
        <w:t xml:space="preserve">: </w:t>
      </w:r>
      <w:r w:rsidR="00B90398">
        <w:rPr>
          <w:rFonts w:asciiTheme="minorHAnsi" w:hAnsiTheme="minorHAnsi" w:cs="Arial"/>
          <w:b/>
          <w:color w:val="1F497D" w:themeColor="text2"/>
          <w:sz w:val="28"/>
          <w:szCs w:val="28"/>
        </w:rPr>
        <w:t>CONCLUSION</w:t>
      </w:r>
    </w:p>
    <w:p w:rsidR="00B90398" w:rsidRDefault="00B90398">
      <w:pPr>
        <w:rPr>
          <w:rFonts w:asciiTheme="minorHAnsi" w:hAnsiTheme="minorHAnsi" w:cs="Arial"/>
          <w:b/>
          <w:color w:val="1F497D" w:themeColor="text2"/>
          <w:sz w:val="28"/>
          <w:szCs w:val="28"/>
        </w:rPr>
      </w:pPr>
    </w:p>
    <w:p w:rsidR="00B90398" w:rsidRDefault="006E1A4B" w:rsidP="00433F65">
      <w:pPr>
        <w:spacing w:after="120" w:line="276" w:lineRule="auto"/>
        <w:jc w:val="both"/>
        <w:rPr>
          <w:rFonts w:asciiTheme="minorHAnsi" w:hAnsiTheme="minorHAnsi"/>
          <w:sz w:val="22"/>
          <w:szCs w:val="22"/>
        </w:rPr>
      </w:pPr>
      <w:r>
        <w:rPr>
          <w:rFonts w:asciiTheme="minorHAnsi" w:hAnsiTheme="minorHAnsi"/>
          <w:sz w:val="22"/>
          <w:szCs w:val="22"/>
        </w:rPr>
        <w:t xml:space="preserve">Agricultural ODA in Africa has grown steadily in the past </w:t>
      </w:r>
      <w:r w:rsidR="00433F65">
        <w:rPr>
          <w:rFonts w:asciiTheme="minorHAnsi" w:hAnsiTheme="minorHAnsi"/>
          <w:sz w:val="22"/>
          <w:szCs w:val="22"/>
        </w:rPr>
        <w:t>five</w:t>
      </w:r>
      <w:r>
        <w:rPr>
          <w:rFonts w:asciiTheme="minorHAnsi" w:hAnsiTheme="minorHAnsi"/>
          <w:sz w:val="22"/>
          <w:szCs w:val="22"/>
        </w:rPr>
        <w:t xml:space="preserve"> years and is now valued at around $4 billion per year</w:t>
      </w:r>
      <w:r w:rsidR="00CC6D2E">
        <w:rPr>
          <w:rFonts w:asciiTheme="minorHAnsi" w:hAnsiTheme="minorHAnsi"/>
          <w:sz w:val="22"/>
          <w:szCs w:val="22"/>
        </w:rPr>
        <w:t xml:space="preserve"> (2011)</w:t>
      </w:r>
      <w:r>
        <w:rPr>
          <w:rFonts w:asciiTheme="minorHAnsi" w:hAnsiTheme="minorHAnsi"/>
          <w:sz w:val="22"/>
          <w:szCs w:val="22"/>
        </w:rPr>
        <w:t xml:space="preserve">. Agricultural investment has not been this high since the late 1980s when it peaked at $6 billion per year. </w:t>
      </w:r>
      <w:r w:rsidR="00365649">
        <w:rPr>
          <w:rFonts w:asciiTheme="minorHAnsi" w:hAnsiTheme="minorHAnsi"/>
          <w:sz w:val="22"/>
          <w:szCs w:val="22"/>
        </w:rPr>
        <w:t xml:space="preserve"> </w:t>
      </w:r>
      <w:r>
        <w:rPr>
          <w:rFonts w:asciiTheme="minorHAnsi" w:hAnsiTheme="minorHAnsi"/>
          <w:sz w:val="22"/>
          <w:szCs w:val="22"/>
        </w:rPr>
        <w:t>However</w:t>
      </w:r>
      <w:r w:rsidR="00365649">
        <w:rPr>
          <w:rFonts w:asciiTheme="minorHAnsi" w:hAnsiTheme="minorHAnsi"/>
          <w:sz w:val="22"/>
          <w:szCs w:val="22"/>
        </w:rPr>
        <w:t>,</w:t>
      </w:r>
      <w:r>
        <w:rPr>
          <w:rFonts w:asciiTheme="minorHAnsi" w:hAnsiTheme="minorHAnsi"/>
          <w:sz w:val="22"/>
          <w:szCs w:val="22"/>
        </w:rPr>
        <w:t xml:space="preserve"> investment in agricultur</w:t>
      </w:r>
      <w:r w:rsidR="00365649">
        <w:rPr>
          <w:rFonts w:asciiTheme="minorHAnsi" w:hAnsiTheme="minorHAnsi"/>
          <w:sz w:val="22"/>
          <w:szCs w:val="22"/>
        </w:rPr>
        <w:t>e</w:t>
      </w:r>
      <w:r>
        <w:rPr>
          <w:rFonts w:asciiTheme="minorHAnsi" w:hAnsiTheme="minorHAnsi"/>
          <w:sz w:val="22"/>
          <w:szCs w:val="22"/>
        </w:rPr>
        <w:t xml:space="preserve"> declined in the 1990s and into the millennium when chronic food shortages, high prices and hunger yet again refocused much needed attention back onto the African agricultural sector.   </w:t>
      </w:r>
    </w:p>
    <w:p w:rsidR="00EC5461" w:rsidRDefault="006E1A4B" w:rsidP="00433F65">
      <w:pPr>
        <w:spacing w:after="120" w:line="276" w:lineRule="auto"/>
        <w:jc w:val="both"/>
        <w:rPr>
          <w:rFonts w:asciiTheme="minorHAnsi" w:hAnsiTheme="minorHAnsi"/>
          <w:sz w:val="22"/>
          <w:szCs w:val="22"/>
        </w:rPr>
      </w:pPr>
      <w:r>
        <w:rPr>
          <w:rFonts w:asciiTheme="minorHAnsi" w:hAnsiTheme="minorHAnsi"/>
          <w:sz w:val="22"/>
          <w:szCs w:val="22"/>
        </w:rPr>
        <w:t>Since the 1980s the investment landscape has changed considerably</w:t>
      </w:r>
      <w:r w:rsidR="00EC5461">
        <w:rPr>
          <w:rFonts w:asciiTheme="minorHAnsi" w:hAnsiTheme="minorHAnsi"/>
          <w:sz w:val="22"/>
          <w:szCs w:val="22"/>
        </w:rPr>
        <w:t>.</w:t>
      </w:r>
      <w:r>
        <w:rPr>
          <w:rFonts w:asciiTheme="minorHAnsi" w:hAnsiTheme="minorHAnsi"/>
          <w:sz w:val="22"/>
          <w:szCs w:val="22"/>
        </w:rPr>
        <w:t xml:space="preserve"> </w:t>
      </w:r>
      <w:r w:rsidR="00EC5461">
        <w:rPr>
          <w:rFonts w:asciiTheme="minorHAnsi" w:hAnsiTheme="minorHAnsi"/>
          <w:sz w:val="22"/>
          <w:szCs w:val="22"/>
        </w:rPr>
        <w:t>There</w:t>
      </w:r>
      <w:r>
        <w:rPr>
          <w:rFonts w:asciiTheme="minorHAnsi" w:hAnsiTheme="minorHAnsi"/>
          <w:sz w:val="22"/>
          <w:szCs w:val="22"/>
        </w:rPr>
        <w:t xml:space="preserve"> </w:t>
      </w:r>
      <w:r w:rsidR="00CC6D2E">
        <w:rPr>
          <w:rFonts w:asciiTheme="minorHAnsi" w:hAnsiTheme="minorHAnsi"/>
          <w:sz w:val="22"/>
          <w:szCs w:val="22"/>
        </w:rPr>
        <w:t xml:space="preserve">is now </w:t>
      </w:r>
      <w:r>
        <w:rPr>
          <w:rFonts w:asciiTheme="minorHAnsi" w:hAnsiTheme="minorHAnsi"/>
          <w:sz w:val="22"/>
          <w:szCs w:val="22"/>
        </w:rPr>
        <w:t xml:space="preserve">a </w:t>
      </w:r>
      <w:r w:rsidR="00FC59E5">
        <w:rPr>
          <w:rFonts w:asciiTheme="minorHAnsi" w:hAnsiTheme="minorHAnsi"/>
          <w:sz w:val="22"/>
          <w:szCs w:val="22"/>
        </w:rPr>
        <w:t>plethora</w:t>
      </w:r>
      <w:r>
        <w:rPr>
          <w:rFonts w:asciiTheme="minorHAnsi" w:hAnsiTheme="minorHAnsi"/>
          <w:sz w:val="22"/>
          <w:szCs w:val="22"/>
        </w:rPr>
        <w:t xml:space="preserve"> of funding sour</w:t>
      </w:r>
      <w:r w:rsidR="00EC5461">
        <w:rPr>
          <w:rFonts w:asciiTheme="minorHAnsi" w:hAnsiTheme="minorHAnsi"/>
          <w:sz w:val="22"/>
          <w:szCs w:val="22"/>
        </w:rPr>
        <w:t>ces and mechanisms that need high levels of soph</w:t>
      </w:r>
      <w:r>
        <w:rPr>
          <w:rFonts w:asciiTheme="minorHAnsi" w:hAnsiTheme="minorHAnsi"/>
          <w:sz w:val="22"/>
          <w:szCs w:val="22"/>
        </w:rPr>
        <w:t>isticated policy knowledge</w:t>
      </w:r>
      <w:r w:rsidR="00EC5461">
        <w:rPr>
          <w:rFonts w:asciiTheme="minorHAnsi" w:hAnsiTheme="minorHAnsi"/>
          <w:sz w:val="22"/>
          <w:szCs w:val="22"/>
        </w:rPr>
        <w:t xml:space="preserve"> to navigate countries through the investment complexity. This report details the increasing investment flows into </w:t>
      </w:r>
      <w:r w:rsidR="00365649">
        <w:rPr>
          <w:rFonts w:asciiTheme="minorHAnsi" w:hAnsiTheme="minorHAnsi"/>
          <w:sz w:val="22"/>
          <w:szCs w:val="22"/>
        </w:rPr>
        <w:t xml:space="preserve">African </w:t>
      </w:r>
      <w:r w:rsidR="00EC5461">
        <w:rPr>
          <w:rFonts w:asciiTheme="minorHAnsi" w:hAnsiTheme="minorHAnsi"/>
          <w:sz w:val="22"/>
          <w:szCs w:val="22"/>
        </w:rPr>
        <w:t>agricultur</w:t>
      </w:r>
      <w:r w:rsidR="00365649">
        <w:rPr>
          <w:rFonts w:asciiTheme="minorHAnsi" w:hAnsiTheme="minorHAnsi"/>
          <w:sz w:val="22"/>
          <w:szCs w:val="22"/>
        </w:rPr>
        <w:t>e</w:t>
      </w:r>
      <w:r>
        <w:rPr>
          <w:rFonts w:asciiTheme="minorHAnsi" w:hAnsiTheme="minorHAnsi"/>
          <w:sz w:val="22"/>
          <w:szCs w:val="22"/>
        </w:rPr>
        <w:t xml:space="preserve"> </w:t>
      </w:r>
      <w:r w:rsidR="00EC5461">
        <w:rPr>
          <w:rFonts w:asciiTheme="minorHAnsi" w:hAnsiTheme="minorHAnsi"/>
          <w:sz w:val="22"/>
          <w:szCs w:val="22"/>
        </w:rPr>
        <w:t>from bilateral and multilateral sources, but also highlights a number of new global funds involving additional ODA funding (AFSI, GAFSP), private foundation funds (Bill and Melinda Gates)</w:t>
      </w:r>
      <w:r w:rsidR="00365649">
        <w:rPr>
          <w:rFonts w:asciiTheme="minorHAnsi" w:hAnsiTheme="minorHAnsi"/>
          <w:sz w:val="22"/>
          <w:szCs w:val="22"/>
        </w:rPr>
        <w:t>,</w:t>
      </w:r>
      <w:r w:rsidR="00EC5461">
        <w:rPr>
          <w:rFonts w:asciiTheme="minorHAnsi" w:hAnsiTheme="minorHAnsi"/>
          <w:sz w:val="22"/>
          <w:szCs w:val="22"/>
        </w:rPr>
        <w:t xml:space="preserve"> and private sector funds (New Alliance). </w:t>
      </w:r>
      <w:r w:rsidR="00365649">
        <w:rPr>
          <w:rFonts w:asciiTheme="minorHAnsi" w:hAnsiTheme="minorHAnsi"/>
          <w:sz w:val="22"/>
          <w:szCs w:val="22"/>
        </w:rPr>
        <w:t xml:space="preserve"> </w:t>
      </w:r>
      <w:r w:rsidR="00EC5461">
        <w:rPr>
          <w:rFonts w:asciiTheme="minorHAnsi" w:hAnsiTheme="minorHAnsi"/>
          <w:sz w:val="22"/>
          <w:szCs w:val="22"/>
        </w:rPr>
        <w:t xml:space="preserve">Other non OECD/DAC countries </w:t>
      </w:r>
      <w:r w:rsidR="00617A5F">
        <w:rPr>
          <w:rFonts w:asciiTheme="minorHAnsi" w:hAnsiTheme="minorHAnsi"/>
          <w:sz w:val="22"/>
          <w:szCs w:val="22"/>
        </w:rPr>
        <w:t>such as Kuwait, Brazil, Taiwan</w:t>
      </w:r>
      <w:r w:rsidR="00365649">
        <w:rPr>
          <w:rFonts w:asciiTheme="minorHAnsi" w:hAnsiTheme="minorHAnsi"/>
          <w:sz w:val="22"/>
          <w:szCs w:val="22"/>
        </w:rPr>
        <w:t>, India</w:t>
      </w:r>
      <w:r w:rsidR="00617A5F">
        <w:rPr>
          <w:rFonts w:asciiTheme="minorHAnsi" w:hAnsiTheme="minorHAnsi"/>
          <w:sz w:val="22"/>
          <w:szCs w:val="22"/>
        </w:rPr>
        <w:t xml:space="preserve"> and China </w:t>
      </w:r>
      <w:r w:rsidR="00EC5461">
        <w:rPr>
          <w:rFonts w:asciiTheme="minorHAnsi" w:hAnsiTheme="minorHAnsi"/>
          <w:sz w:val="22"/>
          <w:szCs w:val="22"/>
        </w:rPr>
        <w:t xml:space="preserve">are also </w:t>
      </w:r>
      <w:r w:rsidR="009D3072">
        <w:rPr>
          <w:rFonts w:asciiTheme="minorHAnsi" w:hAnsiTheme="minorHAnsi"/>
          <w:sz w:val="22"/>
          <w:szCs w:val="22"/>
        </w:rPr>
        <w:t xml:space="preserve">now </w:t>
      </w:r>
      <w:r w:rsidR="00EC5461">
        <w:rPr>
          <w:rFonts w:asciiTheme="minorHAnsi" w:hAnsiTheme="minorHAnsi"/>
          <w:sz w:val="22"/>
          <w:szCs w:val="22"/>
        </w:rPr>
        <w:t>considerable investors into Afric</w:t>
      </w:r>
      <w:r w:rsidR="00617A5F">
        <w:rPr>
          <w:rFonts w:asciiTheme="minorHAnsi" w:hAnsiTheme="minorHAnsi"/>
          <w:sz w:val="22"/>
          <w:szCs w:val="22"/>
        </w:rPr>
        <w:t xml:space="preserve">an agriculture and have established their own funding streams and </w:t>
      </w:r>
      <w:r w:rsidR="00FC59E5">
        <w:rPr>
          <w:rFonts w:asciiTheme="minorHAnsi" w:hAnsiTheme="minorHAnsi"/>
          <w:sz w:val="22"/>
          <w:szCs w:val="22"/>
        </w:rPr>
        <w:t>priorities</w:t>
      </w:r>
      <w:r w:rsidR="00617A5F">
        <w:rPr>
          <w:rFonts w:asciiTheme="minorHAnsi" w:hAnsiTheme="minorHAnsi"/>
          <w:sz w:val="22"/>
          <w:szCs w:val="22"/>
        </w:rPr>
        <w:t xml:space="preserve"> bilaterally with African governments. </w:t>
      </w:r>
    </w:p>
    <w:p w:rsidR="006E1A4B" w:rsidRDefault="00933DE6" w:rsidP="00433F65">
      <w:pPr>
        <w:spacing w:after="120" w:line="276" w:lineRule="auto"/>
        <w:jc w:val="both"/>
        <w:rPr>
          <w:rFonts w:asciiTheme="minorHAnsi" w:hAnsiTheme="minorHAnsi"/>
          <w:sz w:val="22"/>
          <w:szCs w:val="22"/>
        </w:rPr>
      </w:pPr>
      <w:r>
        <w:rPr>
          <w:rFonts w:asciiTheme="minorHAnsi" w:hAnsiTheme="minorHAnsi"/>
          <w:sz w:val="22"/>
          <w:szCs w:val="22"/>
        </w:rPr>
        <w:t xml:space="preserve">The growth in investment and the complexity of the funding instruments places a considerable challenge for African governance </w:t>
      </w:r>
      <w:r w:rsidR="00FC59E5">
        <w:rPr>
          <w:rFonts w:asciiTheme="minorHAnsi" w:hAnsiTheme="minorHAnsi"/>
          <w:sz w:val="22"/>
          <w:szCs w:val="22"/>
        </w:rPr>
        <w:t>structures</w:t>
      </w:r>
      <w:r>
        <w:rPr>
          <w:rFonts w:asciiTheme="minorHAnsi" w:hAnsiTheme="minorHAnsi"/>
          <w:sz w:val="22"/>
          <w:szCs w:val="22"/>
        </w:rPr>
        <w:t xml:space="preserve"> to secure funds and manage the delivery of improved agricultural </w:t>
      </w:r>
      <w:r w:rsidR="00FC59E5">
        <w:rPr>
          <w:rFonts w:asciiTheme="minorHAnsi" w:hAnsiTheme="minorHAnsi"/>
          <w:sz w:val="22"/>
          <w:szCs w:val="22"/>
        </w:rPr>
        <w:t>productivity</w:t>
      </w:r>
      <w:r>
        <w:rPr>
          <w:rFonts w:asciiTheme="minorHAnsi" w:hAnsiTheme="minorHAnsi"/>
          <w:sz w:val="22"/>
          <w:szCs w:val="22"/>
        </w:rPr>
        <w:t xml:space="preserve">. </w:t>
      </w:r>
      <w:r w:rsidR="009D3072">
        <w:rPr>
          <w:rFonts w:asciiTheme="minorHAnsi" w:hAnsiTheme="minorHAnsi"/>
          <w:sz w:val="22"/>
          <w:szCs w:val="22"/>
        </w:rPr>
        <w:t>T</w:t>
      </w:r>
      <w:r w:rsidR="00FC59E5">
        <w:rPr>
          <w:rFonts w:asciiTheme="minorHAnsi" w:hAnsiTheme="minorHAnsi"/>
          <w:sz w:val="22"/>
          <w:szCs w:val="22"/>
        </w:rPr>
        <w:t xml:space="preserve">here is </w:t>
      </w:r>
      <w:r w:rsidR="009D3072">
        <w:rPr>
          <w:rFonts w:asciiTheme="minorHAnsi" w:hAnsiTheme="minorHAnsi"/>
          <w:sz w:val="22"/>
          <w:szCs w:val="22"/>
        </w:rPr>
        <w:t>further</w:t>
      </w:r>
      <w:r w:rsidR="00FC59E5">
        <w:rPr>
          <w:rFonts w:asciiTheme="minorHAnsi" w:hAnsiTheme="minorHAnsi"/>
          <w:sz w:val="22"/>
          <w:szCs w:val="22"/>
        </w:rPr>
        <w:t xml:space="preserve"> </w:t>
      </w:r>
      <w:r w:rsidR="009D3072">
        <w:rPr>
          <w:rFonts w:asciiTheme="minorHAnsi" w:hAnsiTheme="minorHAnsi"/>
          <w:sz w:val="22"/>
          <w:szCs w:val="22"/>
        </w:rPr>
        <w:t>responsibility</w:t>
      </w:r>
      <w:r w:rsidR="00FC59E5">
        <w:rPr>
          <w:rFonts w:asciiTheme="minorHAnsi" w:hAnsiTheme="minorHAnsi"/>
          <w:sz w:val="22"/>
          <w:szCs w:val="22"/>
        </w:rPr>
        <w:t xml:space="preserve"> placed on African leaders under such investment conditions and that is to be able to understand and advocate for regional and continental priorities using the latest knowledge on the environmental, political and social conditions and context</w:t>
      </w:r>
      <w:r w:rsidR="009D3072">
        <w:rPr>
          <w:rFonts w:asciiTheme="minorHAnsi" w:hAnsiTheme="minorHAnsi"/>
          <w:sz w:val="22"/>
          <w:szCs w:val="22"/>
        </w:rPr>
        <w:t>,</w:t>
      </w:r>
      <w:r w:rsidR="00FC59E5">
        <w:rPr>
          <w:rFonts w:asciiTheme="minorHAnsi" w:hAnsiTheme="minorHAnsi"/>
          <w:sz w:val="22"/>
          <w:szCs w:val="22"/>
        </w:rPr>
        <w:t xml:space="preserve"> within which agricultural investment is being made. </w:t>
      </w:r>
      <w:r>
        <w:rPr>
          <w:rFonts w:asciiTheme="minorHAnsi" w:hAnsiTheme="minorHAnsi"/>
          <w:sz w:val="22"/>
          <w:szCs w:val="22"/>
        </w:rPr>
        <w:t xml:space="preserve">In this way the introduction of CAADP sought to improve </w:t>
      </w:r>
      <w:r w:rsidR="00FC59E5">
        <w:rPr>
          <w:rFonts w:asciiTheme="minorHAnsi" w:hAnsiTheme="minorHAnsi"/>
          <w:sz w:val="22"/>
          <w:szCs w:val="22"/>
        </w:rPr>
        <w:t>agricultural</w:t>
      </w:r>
      <w:r>
        <w:rPr>
          <w:rFonts w:asciiTheme="minorHAnsi" w:hAnsiTheme="minorHAnsi"/>
          <w:sz w:val="22"/>
          <w:szCs w:val="22"/>
        </w:rPr>
        <w:t xml:space="preserve"> policy making by injecting knowledge into policy and clustering agricultural </w:t>
      </w:r>
      <w:r w:rsidR="00FC59E5">
        <w:rPr>
          <w:rFonts w:asciiTheme="minorHAnsi" w:hAnsiTheme="minorHAnsi"/>
          <w:sz w:val="22"/>
          <w:szCs w:val="22"/>
        </w:rPr>
        <w:t>stakeholders</w:t>
      </w:r>
      <w:r>
        <w:rPr>
          <w:rFonts w:asciiTheme="minorHAnsi" w:hAnsiTheme="minorHAnsi"/>
          <w:sz w:val="22"/>
          <w:szCs w:val="22"/>
        </w:rPr>
        <w:t xml:space="preserve"> within </w:t>
      </w:r>
      <w:r w:rsidR="009D3072">
        <w:rPr>
          <w:rFonts w:asciiTheme="minorHAnsi" w:hAnsiTheme="minorHAnsi"/>
          <w:sz w:val="22"/>
          <w:szCs w:val="22"/>
        </w:rPr>
        <w:t>a</w:t>
      </w:r>
      <w:r>
        <w:rPr>
          <w:rFonts w:asciiTheme="minorHAnsi" w:hAnsiTheme="minorHAnsi"/>
          <w:sz w:val="22"/>
          <w:szCs w:val="22"/>
        </w:rPr>
        <w:t xml:space="preserve"> CAADP policy making circle.  A t</w:t>
      </w:r>
      <w:r w:rsidR="003C498F">
        <w:rPr>
          <w:rFonts w:asciiTheme="minorHAnsi" w:hAnsiTheme="minorHAnsi"/>
          <w:sz w:val="22"/>
          <w:szCs w:val="22"/>
        </w:rPr>
        <w:t xml:space="preserve">otal of 30 </w:t>
      </w:r>
      <w:r w:rsidR="00FC59E5">
        <w:rPr>
          <w:rFonts w:asciiTheme="minorHAnsi" w:hAnsiTheme="minorHAnsi"/>
          <w:sz w:val="22"/>
          <w:szCs w:val="22"/>
        </w:rPr>
        <w:t>countries</w:t>
      </w:r>
      <w:r w:rsidR="003C498F">
        <w:rPr>
          <w:rFonts w:asciiTheme="minorHAnsi" w:hAnsiTheme="minorHAnsi"/>
          <w:sz w:val="22"/>
          <w:szCs w:val="22"/>
        </w:rPr>
        <w:t xml:space="preserve"> have </w:t>
      </w:r>
      <w:r w:rsidR="00FC59E5">
        <w:rPr>
          <w:rFonts w:asciiTheme="minorHAnsi" w:hAnsiTheme="minorHAnsi"/>
          <w:sz w:val="22"/>
          <w:szCs w:val="22"/>
        </w:rPr>
        <w:t>undergone</w:t>
      </w:r>
      <w:r>
        <w:rPr>
          <w:rFonts w:asciiTheme="minorHAnsi" w:hAnsiTheme="minorHAnsi"/>
          <w:sz w:val="22"/>
          <w:szCs w:val="22"/>
        </w:rPr>
        <w:t xml:space="preserve"> CAADP Compacts and most of these have </w:t>
      </w:r>
      <w:r w:rsidR="00827893">
        <w:rPr>
          <w:rFonts w:asciiTheme="minorHAnsi" w:hAnsiTheme="minorHAnsi"/>
          <w:sz w:val="22"/>
          <w:szCs w:val="22"/>
        </w:rPr>
        <w:t xml:space="preserve">now </w:t>
      </w:r>
      <w:r>
        <w:rPr>
          <w:rFonts w:asciiTheme="minorHAnsi" w:hAnsiTheme="minorHAnsi"/>
          <w:sz w:val="22"/>
          <w:szCs w:val="22"/>
        </w:rPr>
        <w:t xml:space="preserve">developed </w:t>
      </w:r>
      <w:r w:rsidR="003C498F">
        <w:rPr>
          <w:rFonts w:asciiTheme="minorHAnsi" w:hAnsiTheme="minorHAnsi"/>
          <w:sz w:val="22"/>
          <w:szCs w:val="22"/>
        </w:rPr>
        <w:t xml:space="preserve">robust and aligned </w:t>
      </w:r>
      <w:r>
        <w:rPr>
          <w:rFonts w:asciiTheme="minorHAnsi" w:hAnsiTheme="minorHAnsi"/>
          <w:sz w:val="22"/>
          <w:szCs w:val="22"/>
        </w:rPr>
        <w:t>i</w:t>
      </w:r>
      <w:r w:rsidR="003C498F">
        <w:rPr>
          <w:rFonts w:asciiTheme="minorHAnsi" w:hAnsiTheme="minorHAnsi"/>
          <w:sz w:val="22"/>
          <w:szCs w:val="22"/>
        </w:rPr>
        <w:t xml:space="preserve">nvestment plans.  It is through these policy structures and plans that the majority of the </w:t>
      </w:r>
      <w:r w:rsidR="00FC59E5">
        <w:rPr>
          <w:rFonts w:asciiTheme="minorHAnsi" w:hAnsiTheme="minorHAnsi"/>
          <w:sz w:val="22"/>
          <w:szCs w:val="22"/>
        </w:rPr>
        <w:t>considerable</w:t>
      </w:r>
      <w:r w:rsidR="003C498F">
        <w:rPr>
          <w:rFonts w:asciiTheme="minorHAnsi" w:hAnsiTheme="minorHAnsi"/>
          <w:sz w:val="22"/>
          <w:szCs w:val="22"/>
        </w:rPr>
        <w:t xml:space="preserve"> ODA now flows. </w:t>
      </w:r>
    </w:p>
    <w:p w:rsidR="00D53A41" w:rsidRPr="00D53A41" w:rsidRDefault="00FA103D" w:rsidP="00D53A41">
      <w:pPr>
        <w:spacing w:after="120" w:line="276" w:lineRule="auto"/>
        <w:jc w:val="both"/>
        <w:rPr>
          <w:rFonts w:asciiTheme="minorHAnsi" w:hAnsiTheme="minorHAnsi"/>
          <w:strike/>
          <w:sz w:val="22"/>
          <w:szCs w:val="22"/>
        </w:rPr>
      </w:pPr>
      <w:r w:rsidRPr="00D53A41">
        <w:rPr>
          <w:rFonts w:asciiTheme="minorHAnsi" w:hAnsiTheme="minorHAnsi"/>
          <w:sz w:val="22"/>
          <w:szCs w:val="22"/>
        </w:rPr>
        <w:t>The MDTF managed by the World Bank was established to support African governance structures and build capacity in order to deliver on CAADP priorities at the continental, regional and national levels</w:t>
      </w:r>
      <w:r w:rsidR="00D53A41" w:rsidRPr="00D53A41">
        <w:rPr>
          <w:rStyle w:val="FootnoteReference"/>
          <w:rFonts w:asciiTheme="minorHAnsi" w:hAnsiTheme="minorHAnsi"/>
          <w:sz w:val="22"/>
          <w:szCs w:val="22"/>
        </w:rPr>
        <w:footnoteReference w:id="166"/>
      </w:r>
      <w:r w:rsidRPr="00D53A41">
        <w:rPr>
          <w:rFonts w:asciiTheme="minorHAnsi" w:hAnsiTheme="minorHAnsi"/>
          <w:sz w:val="22"/>
          <w:szCs w:val="22"/>
        </w:rPr>
        <w:t xml:space="preserve">.  Sustaining the structures and processes for more evidence-based, accountable agricultural policy making and delivery relies on the premise of stronger governance structures, and the MDTF targets this area.  It is structured to enable greater dialogue, understanding and ownership of African agricultural priorities by African institutions to emerge, be articulated and sustained under diverse and strong investment conditions. </w:t>
      </w:r>
    </w:p>
    <w:p w:rsidR="00FA103D" w:rsidRPr="00D53A41" w:rsidRDefault="00D53A41" w:rsidP="00D53A41">
      <w:pPr>
        <w:spacing w:after="120" w:line="276" w:lineRule="auto"/>
        <w:jc w:val="both"/>
        <w:rPr>
          <w:rFonts w:asciiTheme="minorHAnsi" w:hAnsiTheme="minorHAnsi"/>
          <w:sz w:val="22"/>
          <w:szCs w:val="22"/>
        </w:rPr>
      </w:pPr>
      <w:r w:rsidRPr="00D53A41">
        <w:rPr>
          <w:rFonts w:asciiTheme="minorHAnsi" w:hAnsiTheme="minorHAnsi"/>
          <w:sz w:val="22"/>
          <w:szCs w:val="22"/>
        </w:rPr>
        <w:t>Over USD 50 million of development partner</w:t>
      </w:r>
      <w:r w:rsidR="00FA103D" w:rsidRPr="00D53A41">
        <w:rPr>
          <w:rFonts w:asciiTheme="minorHAnsi" w:hAnsiTheme="minorHAnsi"/>
          <w:sz w:val="22"/>
          <w:szCs w:val="22"/>
        </w:rPr>
        <w:t xml:space="preserve"> investment has been committed to the MDTF, helping contribute to the underpinning of governance structures and policy environments to manage investment into the agricultural sector. Of the USD 4 billion of annual agricultural ODA committed to ODA, the entire MDTF is </w:t>
      </w:r>
      <w:r>
        <w:rPr>
          <w:rFonts w:asciiTheme="minorHAnsi" w:hAnsiTheme="minorHAnsi"/>
          <w:sz w:val="22"/>
          <w:szCs w:val="22"/>
        </w:rPr>
        <w:t>just over</w:t>
      </w:r>
      <w:r w:rsidR="00FA103D" w:rsidRPr="00D53A41">
        <w:rPr>
          <w:rFonts w:asciiTheme="minorHAnsi" w:hAnsiTheme="minorHAnsi"/>
          <w:sz w:val="22"/>
          <w:szCs w:val="22"/>
        </w:rPr>
        <w:t xml:space="preserve"> 1%</w:t>
      </w:r>
      <w:r>
        <w:rPr>
          <w:rFonts w:asciiTheme="minorHAnsi" w:hAnsiTheme="minorHAnsi"/>
          <w:sz w:val="22"/>
          <w:szCs w:val="22"/>
        </w:rPr>
        <w:t xml:space="preserve">, </w:t>
      </w:r>
      <w:r w:rsidR="00FA103D" w:rsidRPr="00D53A41">
        <w:rPr>
          <w:rFonts w:asciiTheme="minorHAnsi" w:hAnsiTheme="minorHAnsi"/>
          <w:sz w:val="22"/>
          <w:szCs w:val="22"/>
        </w:rPr>
        <w:t>a relatively small investment into governance structures as a proportion of total annual ODA. In other words</w:t>
      </w:r>
      <w:r w:rsidR="00FA103D" w:rsidRPr="00D53A41">
        <w:rPr>
          <w:rFonts w:asciiTheme="minorHAnsi" w:hAnsiTheme="minorHAnsi"/>
          <w:color w:val="1F497D"/>
          <w:sz w:val="22"/>
          <w:szCs w:val="22"/>
        </w:rPr>
        <w:t>,</w:t>
      </w:r>
      <w:r w:rsidR="00FA103D" w:rsidRPr="00D53A41">
        <w:rPr>
          <w:rFonts w:asciiTheme="minorHAnsi" w:hAnsiTheme="minorHAnsi"/>
          <w:sz w:val="22"/>
          <w:szCs w:val="22"/>
        </w:rPr>
        <w:t xml:space="preserve"> for every $80 spent on African agriculture per year, the MDTF invests $1 in the governance and policy structures supporting it.  </w:t>
      </w:r>
    </w:p>
    <w:p w:rsidR="00FA103D" w:rsidRPr="00D53A41" w:rsidRDefault="00FA103D" w:rsidP="00D53A41">
      <w:pPr>
        <w:spacing w:after="120" w:line="276" w:lineRule="auto"/>
        <w:jc w:val="both"/>
        <w:rPr>
          <w:rFonts w:asciiTheme="minorHAnsi" w:hAnsiTheme="minorHAnsi"/>
          <w:sz w:val="22"/>
          <w:szCs w:val="22"/>
        </w:rPr>
      </w:pPr>
      <w:r w:rsidRPr="00D53A41">
        <w:rPr>
          <w:rFonts w:asciiTheme="minorHAnsi" w:hAnsiTheme="minorHAnsi"/>
          <w:sz w:val="22"/>
          <w:szCs w:val="22"/>
        </w:rPr>
        <w:lastRenderedPageBreak/>
        <w:t xml:space="preserve">CAADP has focused its efforts on stimulating and supporting new policy processes in agriculture and this seems to have attracted investment to countries that have signed their Compact, over and above non-CAADP countries. However, there is less robust evidence on why CAADP countries have attracted higher levels of investment aside from where other funds, such as GAFSP, demand a CAADP compact as a precondition for consideration. What are the immediate and longer-term benefits of CAADP and are they sustainable?  Case study work in Ghana, Burkina Faso and Togo suggests that the process of implementing CAADP is critical for bringing a broad range of stakeholders together to </w:t>
      </w:r>
      <w:r w:rsidR="00D53A41" w:rsidRPr="00D53A41">
        <w:rPr>
          <w:rFonts w:asciiTheme="minorHAnsi" w:hAnsiTheme="minorHAnsi"/>
          <w:sz w:val="22"/>
          <w:szCs w:val="22"/>
        </w:rPr>
        <w:t>id</w:t>
      </w:r>
      <w:r w:rsidR="00D53A41">
        <w:rPr>
          <w:rFonts w:asciiTheme="minorHAnsi" w:hAnsiTheme="minorHAnsi"/>
          <w:sz w:val="22"/>
          <w:szCs w:val="22"/>
        </w:rPr>
        <w:t>entifying priority issues, aligning</w:t>
      </w:r>
      <w:r w:rsidRPr="00D53A41">
        <w:rPr>
          <w:rFonts w:asciiTheme="minorHAnsi" w:hAnsiTheme="minorHAnsi"/>
          <w:sz w:val="22"/>
          <w:szCs w:val="22"/>
        </w:rPr>
        <w:t xml:space="preserve"> investors around priorities, and creating greater institutional capital and confidence for investment.  However, there is little qualitative data to measure the impact of CAADP on policy making and makers. A results framework is under development for CAADP in 2013 supported by more in-depth monitoring and evaluation of results </w:t>
      </w:r>
      <w:r w:rsidR="00D53A41">
        <w:rPr>
          <w:rFonts w:asciiTheme="minorHAnsi" w:hAnsiTheme="minorHAnsi"/>
          <w:sz w:val="22"/>
          <w:szCs w:val="22"/>
        </w:rPr>
        <w:t xml:space="preserve">(qualitative and quantitative) </w:t>
      </w:r>
      <w:r w:rsidRPr="00D53A41">
        <w:rPr>
          <w:rFonts w:asciiTheme="minorHAnsi" w:hAnsiTheme="minorHAnsi"/>
          <w:sz w:val="22"/>
          <w:szCs w:val="22"/>
        </w:rPr>
        <w:t>that will start to answer some of these important questions on whether there has been a transformation in agricultural governance</w:t>
      </w:r>
      <w:r w:rsidR="00D53A41">
        <w:rPr>
          <w:rFonts w:asciiTheme="minorHAnsi" w:hAnsiTheme="minorHAnsi"/>
          <w:sz w:val="22"/>
          <w:szCs w:val="22"/>
        </w:rPr>
        <w:t>,</w:t>
      </w:r>
      <w:r w:rsidRPr="00D53A41">
        <w:rPr>
          <w:rFonts w:asciiTheme="minorHAnsi" w:hAnsiTheme="minorHAnsi"/>
          <w:sz w:val="22"/>
          <w:szCs w:val="22"/>
        </w:rPr>
        <w:t xml:space="preserve"> and what impact on agriculture productivity has occurred through CAADP in Africa. </w:t>
      </w:r>
    </w:p>
    <w:p w:rsidR="00FA103D" w:rsidRPr="00D53A41" w:rsidRDefault="00FA103D" w:rsidP="00D53A41">
      <w:pPr>
        <w:spacing w:after="120"/>
        <w:jc w:val="both"/>
        <w:rPr>
          <w:rFonts w:asciiTheme="minorHAnsi" w:hAnsiTheme="minorHAnsi"/>
          <w:sz w:val="22"/>
          <w:szCs w:val="22"/>
        </w:rPr>
      </w:pPr>
    </w:p>
    <w:p w:rsidR="00D53A41" w:rsidRPr="00D53A41" w:rsidRDefault="00D53A41">
      <w:pPr>
        <w:rPr>
          <w:rFonts w:asciiTheme="minorHAnsi" w:hAnsiTheme="minorHAnsi"/>
          <w:sz w:val="22"/>
          <w:szCs w:val="22"/>
        </w:rPr>
      </w:pPr>
      <w:r w:rsidRPr="00D53A41">
        <w:rPr>
          <w:rFonts w:asciiTheme="minorHAnsi" w:hAnsiTheme="minorHAnsi"/>
          <w:sz w:val="22"/>
          <w:szCs w:val="22"/>
        </w:rPr>
        <w:br w:type="page"/>
      </w:r>
    </w:p>
    <w:p w:rsidR="006E1A4B" w:rsidRPr="006E1A4B" w:rsidRDefault="006E1A4B" w:rsidP="006E1A4B">
      <w:pPr>
        <w:rPr>
          <w:rFonts w:asciiTheme="minorHAnsi" w:hAnsiTheme="minorHAnsi"/>
          <w:sz w:val="22"/>
          <w:szCs w:val="22"/>
        </w:rPr>
      </w:pPr>
    </w:p>
    <w:p w:rsidR="003F6C09" w:rsidRPr="00AE3638" w:rsidRDefault="003F6C09" w:rsidP="003F6C09">
      <w:pPr>
        <w:jc w:val="center"/>
        <w:rPr>
          <w:rFonts w:asciiTheme="minorHAnsi" w:hAnsiTheme="minorHAnsi" w:cs="Arial"/>
          <w:b/>
          <w:color w:val="1F497D" w:themeColor="text2"/>
          <w:sz w:val="28"/>
          <w:szCs w:val="28"/>
        </w:rPr>
      </w:pPr>
      <w:r w:rsidRPr="00AE3638">
        <w:rPr>
          <w:rFonts w:asciiTheme="minorHAnsi" w:hAnsiTheme="minorHAnsi" w:cs="Arial"/>
          <w:b/>
          <w:color w:val="1F497D" w:themeColor="text2"/>
          <w:sz w:val="28"/>
          <w:szCs w:val="28"/>
        </w:rPr>
        <w:t>BIBLIOGRAPHY</w:t>
      </w:r>
    </w:p>
    <w:p w:rsidR="003F6C09" w:rsidRDefault="003F6C09" w:rsidP="003F6C09">
      <w:pPr>
        <w:autoSpaceDE w:val="0"/>
        <w:autoSpaceDN w:val="0"/>
        <w:adjustRightInd w:val="0"/>
      </w:pPr>
    </w:p>
    <w:p w:rsidR="003F6C09" w:rsidRPr="00AE3638" w:rsidRDefault="003F6C09" w:rsidP="003F6C09">
      <w:pPr>
        <w:autoSpaceDE w:val="0"/>
        <w:autoSpaceDN w:val="0"/>
        <w:adjustRightInd w:val="0"/>
        <w:rPr>
          <w:rFonts w:asciiTheme="minorHAnsi" w:hAnsiTheme="minorHAnsi" w:cs="Arial"/>
          <w:iCs/>
          <w:sz w:val="22"/>
          <w:szCs w:val="22"/>
          <w:shd w:val="clear" w:color="auto" w:fill="FFFFFF"/>
        </w:rPr>
      </w:pPr>
      <w:r w:rsidRPr="00AE3638">
        <w:rPr>
          <w:rFonts w:asciiTheme="minorHAnsi" w:hAnsiTheme="minorHAnsi" w:cs="Arial"/>
          <w:iCs/>
          <w:sz w:val="22"/>
          <w:szCs w:val="22"/>
          <w:shd w:val="clear" w:color="auto" w:fill="FFFFFF"/>
        </w:rPr>
        <w:t xml:space="preserve">AFSRDC (2012) </w:t>
      </w:r>
      <w:r w:rsidRPr="00AE3638">
        <w:rPr>
          <w:rFonts w:asciiTheme="minorHAnsi" w:hAnsiTheme="minorHAnsi" w:cs="Arial"/>
          <w:i/>
          <w:iCs/>
          <w:sz w:val="22"/>
          <w:szCs w:val="22"/>
          <w:shd w:val="clear" w:color="auto" w:fill="FFFFFF"/>
        </w:rPr>
        <w:t>2012 Annual Progress Report Agriculture, Food Security and Rural Development Cluster of the RCM (AFSRDC),</w:t>
      </w:r>
      <w:r w:rsidRPr="00AE3638">
        <w:rPr>
          <w:rFonts w:asciiTheme="minorHAnsi" w:hAnsiTheme="minorHAnsi" w:cs="Arial"/>
          <w:iCs/>
          <w:sz w:val="22"/>
          <w:szCs w:val="22"/>
          <w:shd w:val="clear" w:color="auto" w:fill="FFFFFF"/>
        </w:rPr>
        <w:t xml:space="preserve"> </w:t>
      </w:r>
      <w:r w:rsidRPr="00AE3638">
        <w:rPr>
          <w:rStyle w:val="A0"/>
          <w:rFonts w:asciiTheme="minorHAnsi" w:hAnsiTheme="minorHAnsi"/>
          <w:sz w:val="22"/>
          <w:szCs w:val="22"/>
        </w:rPr>
        <w:t xml:space="preserve">13th Session of the Regional Coordination Mechanism of UN Agencies and Organizations Working in Africa in Support of the African Union and its NEPAD Programme (RCM-Africa), Addis Ababa, Ethiopia, 14-15 November 2012 </w:t>
      </w:r>
      <w:hyperlink r:id="rId28" w:history="1">
        <w:r w:rsidRPr="00AE3638">
          <w:rPr>
            <w:rStyle w:val="Hyperlink"/>
            <w:rFonts w:asciiTheme="minorHAnsi" w:hAnsiTheme="minorHAnsi" w:cs="HelveticaNeue Condensed"/>
            <w:sz w:val="22"/>
            <w:szCs w:val="22"/>
          </w:rPr>
          <w:t>http://new.uneca.org/Portals/rcm/2012/Documents/RCM13_AFRD_Cluster-Annual-Progress-Report.pdf</w:t>
        </w:r>
      </w:hyperlink>
      <w:r w:rsidRPr="00AE3638">
        <w:rPr>
          <w:rStyle w:val="A0"/>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cs="Arial"/>
          <w:iCs/>
          <w:color w:val="000000"/>
          <w:sz w:val="22"/>
          <w:szCs w:val="22"/>
          <w:shd w:val="clear" w:color="auto" w:fill="FFFFFF"/>
        </w:rPr>
      </w:pPr>
    </w:p>
    <w:p w:rsidR="003F6C09" w:rsidRPr="00AE3638" w:rsidRDefault="003F6C09" w:rsidP="003F6C09">
      <w:pPr>
        <w:autoSpaceDE w:val="0"/>
        <w:autoSpaceDN w:val="0"/>
        <w:adjustRightInd w:val="0"/>
        <w:rPr>
          <w:rFonts w:asciiTheme="minorHAnsi" w:hAnsiTheme="minorHAnsi" w:cs="Arial"/>
          <w:iCs/>
          <w:color w:val="000000"/>
          <w:sz w:val="22"/>
          <w:szCs w:val="22"/>
          <w:shd w:val="clear" w:color="auto" w:fill="FFFFFF"/>
        </w:rPr>
      </w:pPr>
      <w:proofErr w:type="spellStart"/>
      <w:r w:rsidRPr="00AE3638">
        <w:rPr>
          <w:rFonts w:asciiTheme="minorHAnsi" w:hAnsiTheme="minorHAnsi" w:cs="Arial"/>
          <w:iCs/>
          <w:color w:val="000000"/>
          <w:sz w:val="22"/>
          <w:szCs w:val="22"/>
          <w:shd w:val="clear" w:color="auto" w:fill="FFFFFF"/>
        </w:rPr>
        <w:t>Afun-Odigan</w:t>
      </w:r>
      <w:proofErr w:type="spellEnd"/>
      <w:r w:rsidRPr="00AE3638">
        <w:rPr>
          <w:rFonts w:asciiTheme="minorHAnsi" w:hAnsiTheme="minorHAnsi" w:cs="Arial"/>
          <w:iCs/>
          <w:color w:val="000000"/>
          <w:sz w:val="22"/>
          <w:szCs w:val="22"/>
          <w:shd w:val="clear" w:color="auto" w:fill="FFFFFF"/>
        </w:rPr>
        <w:t>, D. (2012).</w:t>
      </w:r>
      <w:r w:rsidRPr="00AE3638">
        <w:rPr>
          <w:rStyle w:val="apple-converted-space"/>
          <w:rFonts w:asciiTheme="minorHAnsi" w:hAnsiTheme="minorHAnsi" w:cs="Arial"/>
          <w:iCs/>
          <w:color w:val="000000"/>
          <w:sz w:val="22"/>
          <w:szCs w:val="22"/>
          <w:shd w:val="clear" w:color="auto" w:fill="FFFFFF"/>
        </w:rPr>
        <w:t> ‘</w:t>
      </w:r>
      <w:r w:rsidRPr="00AE3638">
        <w:rPr>
          <w:rFonts w:asciiTheme="minorHAnsi" w:hAnsiTheme="minorHAnsi" w:cs="Arial"/>
          <w:iCs/>
          <w:color w:val="000000"/>
          <w:sz w:val="22"/>
          <w:szCs w:val="22"/>
          <w:shd w:val="clear" w:color="auto" w:fill="FFFFFF"/>
        </w:rPr>
        <w:t xml:space="preserve">Taking stock of CAADP in West Africa: state of play and challenges ahead for the region’. </w:t>
      </w:r>
      <w:r w:rsidRPr="00AE3638">
        <w:rPr>
          <w:rFonts w:asciiTheme="minorHAnsi" w:hAnsiTheme="minorHAnsi" w:cs="Arial"/>
          <w:i/>
          <w:iCs/>
          <w:color w:val="000000"/>
          <w:sz w:val="22"/>
          <w:szCs w:val="22"/>
          <w:shd w:val="clear" w:color="auto" w:fill="FFFFFF"/>
        </w:rPr>
        <w:t>GREAT Insights</w:t>
      </w:r>
      <w:r w:rsidRPr="00AE3638">
        <w:rPr>
          <w:rFonts w:asciiTheme="minorHAnsi" w:hAnsiTheme="minorHAnsi" w:cs="Arial"/>
          <w:iCs/>
          <w:color w:val="000000"/>
          <w:sz w:val="22"/>
          <w:szCs w:val="22"/>
          <w:shd w:val="clear" w:color="auto" w:fill="FFFFFF"/>
        </w:rPr>
        <w:t>, Volume 1, Issue 2. March-April 2012</w:t>
      </w:r>
    </w:p>
    <w:p w:rsidR="003F6C09" w:rsidRPr="00AE3638" w:rsidRDefault="003F6C09"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rPr>
          <w:rFonts w:asciiTheme="minorHAnsi" w:hAnsiTheme="minorHAnsi" w:cs="TheSansBold-Plain"/>
          <w:bCs/>
          <w:i/>
          <w:sz w:val="22"/>
          <w:szCs w:val="22"/>
        </w:rPr>
      </w:pPr>
      <w:proofErr w:type="spellStart"/>
      <w:r w:rsidRPr="00AE3638">
        <w:rPr>
          <w:rFonts w:asciiTheme="minorHAnsi" w:hAnsiTheme="minorHAnsi" w:cs="Arial"/>
          <w:iCs/>
          <w:color w:val="000000"/>
          <w:sz w:val="22"/>
          <w:szCs w:val="22"/>
          <w:shd w:val="clear" w:color="auto" w:fill="FFFFFF"/>
        </w:rPr>
        <w:t>Afun-Odigan</w:t>
      </w:r>
      <w:proofErr w:type="spellEnd"/>
      <w:r w:rsidRPr="00AE3638">
        <w:rPr>
          <w:rFonts w:asciiTheme="minorHAnsi" w:hAnsiTheme="minorHAnsi" w:cs="Arial"/>
          <w:iCs/>
          <w:color w:val="000000"/>
          <w:sz w:val="22"/>
          <w:szCs w:val="22"/>
          <w:shd w:val="clear" w:color="auto" w:fill="FFFFFF"/>
        </w:rPr>
        <w:t xml:space="preserve">, D., van </w:t>
      </w:r>
      <w:proofErr w:type="spellStart"/>
      <w:r w:rsidRPr="00AE3638">
        <w:rPr>
          <w:rFonts w:asciiTheme="minorHAnsi" w:hAnsiTheme="minorHAnsi" w:cs="Arial"/>
          <w:iCs/>
          <w:color w:val="000000"/>
          <w:sz w:val="22"/>
          <w:szCs w:val="22"/>
          <w:shd w:val="clear" w:color="auto" w:fill="FFFFFF"/>
        </w:rPr>
        <w:t>Seters</w:t>
      </w:r>
      <w:proofErr w:type="spellEnd"/>
      <w:r w:rsidRPr="00AE3638">
        <w:rPr>
          <w:rFonts w:asciiTheme="minorHAnsi" w:hAnsiTheme="minorHAnsi" w:cs="Arial"/>
          <w:iCs/>
          <w:color w:val="000000"/>
          <w:sz w:val="22"/>
          <w:szCs w:val="22"/>
          <w:shd w:val="clear" w:color="auto" w:fill="FFFFFF"/>
        </w:rPr>
        <w:t xml:space="preserve">, J. and </w:t>
      </w:r>
      <w:proofErr w:type="spellStart"/>
      <w:r w:rsidRPr="00AE3638">
        <w:rPr>
          <w:rFonts w:asciiTheme="minorHAnsi" w:hAnsiTheme="minorHAnsi" w:cs="Arial"/>
          <w:iCs/>
          <w:color w:val="000000"/>
          <w:sz w:val="22"/>
          <w:szCs w:val="22"/>
          <w:shd w:val="clear" w:color="auto" w:fill="FFFFFF"/>
        </w:rPr>
        <w:t>Rampa</w:t>
      </w:r>
      <w:proofErr w:type="spellEnd"/>
      <w:r w:rsidRPr="00AE3638">
        <w:rPr>
          <w:rFonts w:asciiTheme="minorHAnsi" w:hAnsiTheme="minorHAnsi" w:cs="Arial"/>
          <w:iCs/>
          <w:color w:val="000000"/>
          <w:sz w:val="22"/>
          <w:szCs w:val="22"/>
          <w:shd w:val="clear" w:color="auto" w:fill="FFFFFF"/>
        </w:rPr>
        <w:t>, F. (2012).</w:t>
      </w:r>
      <w:r w:rsidRPr="00AE3638">
        <w:rPr>
          <w:rStyle w:val="apple-converted-space"/>
          <w:rFonts w:asciiTheme="minorHAnsi" w:hAnsiTheme="minorHAnsi" w:cs="Arial"/>
          <w:iCs/>
          <w:color w:val="000000"/>
          <w:sz w:val="22"/>
          <w:szCs w:val="22"/>
          <w:shd w:val="clear" w:color="auto" w:fill="FFFFFF"/>
        </w:rPr>
        <w:t> </w:t>
      </w:r>
      <w:r w:rsidRPr="00AE3638">
        <w:rPr>
          <w:rFonts w:asciiTheme="minorHAnsi" w:hAnsiTheme="minorHAnsi" w:cs="TheSansBold-Plain"/>
          <w:bCs/>
          <w:i/>
          <w:sz w:val="22"/>
          <w:szCs w:val="22"/>
        </w:rPr>
        <w:t>Regional approaches to food security in Africa</w:t>
      </w:r>
    </w:p>
    <w:p w:rsidR="003F6C09" w:rsidRPr="00AE3638" w:rsidRDefault="003F6C09" w:rsidP="003F6C09">
      <w:pPr>
        <w:autoSpaceDE w:val="0"/>
        <w:autoSpaceDN w:val="0"/>
        <w:adjustRightInd w:val="0"/>
        <w:rPr>
          <w:rFonts w:asciiTheme="minorHAnsi" w:hAnsiTheme="minorHAnsi" w:cs="TheSans-Plain"/>
          <w:i/>
          <w:sz w:val="22"/>
          <w:szCs w:val="22"/>
        </w:rPr>
      </w:pPr>
      <w:r w:rsidRPr="00AE3638">
        <w:rPr>
          <w:rFonts w:asciiTheme="minorHAnsi" w:hAnsiTheme="minorHAnsi" w:cs="TheSans-Plain"/>
          <w:i/>
          <w:sz w:val="22"/>
          <w:szCs w:val="22"/>
        </w:rPr>
        <w:t xml:space="preserve">The CAADP and other relevant policies and programmes in EAC, </w:t>
      </w:r>
      <w:r w:rsidRPr="00AE3638">
        <w:rPr>
          <w:rFonts w:asciiTheme="minorHAnsi" w:hAnsiTheme="minorHAnsi" w:cs="TheSans-Plain"/>
          <w:sz w:val="22"/>
          <w:szCs w:val="22"/>
        </w:rPr>
        <w:t>ECDPM working paper No. 128c, February 2012.</w:t>
      </w:r>
      <w:r w:rsidRPr="00AE3638">
        <w:rPr>
          <w:rFonts w:asciiTheme="minorHAnsi" w:hAnsiTheme="minorHAnsi" w:cs="TheSans-Plain"/>
          <w:i/>
          <w:sz w:val="22"/>
          <w:szCs w:val="22"/>
        </w:rPr>
        <w:t xml:space="preserve"> </w:t>
      </w:r>
      <w:hyperlink r:id="rId29" w:history="1">
        <w:r w:rsidRPr="00AE3638">
          <w:rPr>
            <w:rStyle w:val="Hyperlink"/>
            <w:rFonts w:asciiTheme="minorHAnsi" w:hAnsiTheme="minorHAnsi" w:cs="TheSansLight-Plain"/>
            <w:sz w:val="22"/>
            <w:szCs w:val="22"/>
          </w:rPr>
          <w:t>www.ecdpm.org/dp128c</w:t>
        </w:r>
      </w:hyperlink>
      <w:r w:rsidRPr="00AE3638">
        <w:rPr>
          <w:rFonts w:asciiTheme="minorHAnsi" w:hAnsiTheme="minorHAnsi" w:cs="TheSansLight-Plain"/>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spacing w:after="240"/>
        <w:rPr>
          <w:rStyle w:val="Hyperlink"/>
          <w:rFonts w:asciiTheme="minorHAnsi" w:hAnsiTheme="minorHAnsi"/>
          <w:sz w:val="22"/>
          <w:szCs w:val="22"/>
        </w:rPr>
      </w:pPr>
      <w:proofErr w:type="spellStart"/>
      <w:r w:rsidRPr="00AE3638">
        <w:rPr>
          <w:rFonts w:asciiTheme="minorHAnsi" w:hAnsiTheme="minorHAnsi"/>
          <w:sz w:val="22"/>
          <w:szCs w:val="22"/>
        </w:rPr>
        <w:t>AfricaFocus</w:t>
      </w:r>
      <w:proofErr w:type="spellEnd"/>
      <w:r w:rsidRPr="00AE3638">
        <w:rPr>
          <w:rFonts w:asciiTheme="minorHAnsi" w:hAnsiTheme="minorHAnsi"/>
          <w:sz w:val="22"/>
          <w:szCs w:val="22"/>
        </w:rPr>
        <w:t xml:space="preserve"> Bulletin (May 2011) ‘Two Years on: is the G8 delivering on its L’Aquila Hunger Pledge?’ </w:t>
      </w:r>
      <w:hyperlink r:id="rId30" w:history="1">
        <w:r w:rsidRPr="00AE3638">
          <w:rPr>
            <w:rStyle w:val="Hyperlink"/>
            <w:rFonts w:asciiTheme="minorHAnsi" w:hAnsiTheme="minorHAnsi"/>
            <w:sz w:val="22"/>
            <w:szCs w:val="22"/>
          </w:rPr>
          <w:t>http://www.africafocus.org/docs11/aid1106.php</w:t>
        </w:r>
      </w:hyperlink>
    </w:p>
    <w:p w:rsidR="003F6C09" w:rsidRDefault="003F6C09" w:rsidP="003F6C09">
      <w:pPr>
        <w:rPr>
          <w:rFonts w:asciiTheme="minorHAnsi" w:hAnsiTheme="minorHAnsi"/>
          <w:sz w:val="22"/>
          <w:szCs w:val="22"/>
        </w:rPr>
      </w:pPr>
      <w:r w:rsidRPr="00AE3638">
        <w:rPr>
          <w:rFonts w:asciiTheme="minorHAnsi" w:hAnsiTheme="minorHAnsi"/>
          <w:sz w:val="22"/>
          <w:szCs w:val="22"/>
        </w:rPr>
        <w:t xml:space="preserve">AUC-DREA (2010) </w:t>
      </w:r>
      <w:r w:rsidRPr="00AE3638">
        <w:rPr>
          <w:rFonts w:asciiTheme="minorHAnsi" w:hAnsiTheme="minorHAnsi"/>
          <w:i/>
          <w:sz w:val="22"/>
          <w:szCs w:val="22"/>
        </w:rPr>
        <w:t>Strategic Plan 2010-2012.</w:t>
      </w:r>
      <w:r w:rsidRPr="00AE3638">
        <w:rPr>
          <w:rFonts w:asciiTheme="minorHAnsi" w:hAnsiTheme="minorHAnsi"/>
          <w:sz w:val="22"/>
          <w:szCs w:val="22"/>
        </w:rPr>
        <w:t xml:space="preserve"> African Union Commission Department of Rural Economy and Agriculture</w:t>
      </w:r>
    </w:p>
    <w:p w:rsidR="00C71906" w:rsidRDefault="00C71906" w:rsidP="003F6C09">
      <w:pPr>
        <w:rPr>
          <w:rFonts w:asciiTheme="minorHAnsi" w:hAnsiTheme="minorHAnsi"/>
          <w:i/>
          <w:sz w:val="22"/>
          <w:szCs w:val="22"/>
        </w:rPr>
      </w:pPr>
    </w:p>
    <w:p w:rsidR="00870142" w:rsidRPr="00870142" w:rsidRDefault="00870142" w:rsidP="00870142">
      <w:pPr>
        <w:autoSpaceDE w:val="0"/>
        <w:autoSpaceDN w:val="0"/>
        <w:adjustRightInd w:val="0"/>
        <w:rPr>
          <w:rFonts w:asciiTheme="minorHAnsi" w:hAnsiTheme="minorHAnsi" w:cs="Arial"/>
          <w:sz w:val="22"/>
          <w:szCs w:val="22"/>
          <w:lang w:eastAsia="en-GB"/>
        </w:rPr>
      </w:pPr>
      <w:r w:rsidRPr="00870142">
        <w:rPr>
          <w:rFonts w:asciiTheme="minorHAnsi" w:hAnsiTheme="minorHAnsi" w:cs="Arial"/>
          <w:sz w:val="22"/>
          <w:szCs w:val="22"/>
          <w:lang w:eastAsia="en-GB"/>
        </w:rPr>
        <w:t>Barros, G</w:t>
      </w:r>
      <w:r>
        <w:rPr>
          <w:rFonts w:asciiTheme="minorHAnsi" w:hAnsiTheme="minorHAnsi" w:cs="Arial"/>
          <w:sz w:val="22"/>
          <w:szCs w:val="22"/>
          <w:lang w:eastAsia="en-GB"/>
        </w:rPr>
        <w:t>. (2008) ‘</w:t>
      </w:r>
      <w:r w:rsidRPr="00870142">
        <w:rPr>
          <w:rFonts w:asciiTheme="minorHAnsi" w:hAnsiTheme="minorHAnsi" w:cs="Arial"/>
          <w:sz w:val="22"/>
          <w:szCs w:val="22"/>
          <w:lang w:eastAsia="en-GB"/>
        </w:rPr>
        <w:t>Brazil: The Challenges in Beco</w:t>
      </w:r>
      <w:r>
        <w:rPr>
          <w:rFonts w:asciiTheme="minorHAnsi" w:hAnsiTheme="minorHAnsi" w:cs="Arial"/>
          <w:sz w:val="22"/>
          <w:szCs w:val="22"/>
          <w:lang w:eastAsia="en-GB"/>
        </w:rPr>
        <w:t>ming an Agricultural Superpower’</w:t>
      </w:r>
      <w:r w:rsidRPr="00870142">
        <w:rPr>
          <w:rFonts w:asciiTheme="minorHAnsi" w:hAnsiTheme="minorHAnsi" w:cs="Arial"/>
          <w:sz w:val="22"/>
          <w:szCs w:val="22"/>
          <w:lang w:eastAsia="en-GB"/>
        </w:rPr>
        <w:t>,</w:t>
      </w:r>
    </w:p>
    <w:p w:rsidR="00870142" w:rsidRPr="00870142" w:rsidRDefault="00870142" w:rsidP="00870142">
      <w:pPr>
        <w:autoSpaceDE w:val="0"/>
        <w:autoSpaceDN w:val="0"/>
        <w:adjustRightInd w:val="0"/>
        <w:rPr>
          <w:rFonts w:asciiTheme="minorHAnsi" w:hAnsiTheme="minorHAnsi" w:cs="Arial"/>
          <w:i/>
          <w:iCs/>
          <w:sz w:val="22"/>
          <w:szCs w:val="22"/>
          <w:lang w:eastAsia="en-GB"/>
        </w:rPr>
      </w:pPr>
      <w:r w:rsidRPr="00870142">
        <w:rPr>
          <w:rFonts w:asciiTheme="minorHAnsi" w:hAnsiTheme="minorHAnsi" w:cs="Arial"/>
          <w:sz w:val="22"/>
          <w:szCs w:val="22"/>
          <w:lang w:eastAsia="en-GB"/>
        </w:rPr>
        <w:t xml:space="preserve">in </w:t>
      </w:r>
      <w:proofErr w:type="spellStart"/>
      <w:r w:rsidRPr="00870142">
        <w:rPr>
          <w:rFonts w:asciiTheme="minorHAnsi" w:hAnsiTheme="minorHAnsi" w:cs="Arial"/>
          <w:sz w:val="22"/>
          <w:szCs w:val="22"/>
          <w:lang w:eastAsia="en-GB"/>
        </w:rPr>
        <w:t>Brainard</w:t>
      </w:r>
      <w:proofErr w:type="spellEnd"/>
      <w:r>
        <w:rPr>
          <w:rFonts w:asciiTheme="minorHAnsi" w:hAnsiTheme="minorHAnsi" w:cs="Arial"/>
          <w:sz w:val="22"/>
          <w:szCs w:val="22"/>
          <w:lang w:eastAsia="en-GB"/>
        </w:rPr>
        <w:t>, L.</w:t>
      </w:r>
      <w:r w:rsidRPr="00870142">
        <w:rPr>
          <w:rFonts w:asciiTheme="minorHAnsi" w:hAnsiTheme="minorHAnsi" w:cs="Arial"/>
          <w:sz w:val="22"/>
          <w:szCs w:val="22"/>
          <w:lang w:eastAsia="en-GB"/>
        </w:rPr>
        <w:t xml:space="preserve"> and Martinez-Diaz</w:t>
      </w:r>
      <w:r>
        <w:rPr>
          <w:rFonts w:asciiTheme="minorHAnsi" w:hAnsiTheme="minorHAnsi" w:cs="Arial"/>
          <w:sz w:val="22"/>
          <w:szCs w:val="22"/>
          <w:lang w:eastAsia="en-GB"/>
        </w:rPr>
        <w:t>, L.</w:t>
      </w:r>
      <w:r w:rsidRPr="00870142">
        <w:rPr>
          <w:rFonts w:asciiTheme="minorHAnsi" w:hAnsiTheme="minorHAnsi" w:cs="Arial"/>
          <w:sz w:val="22"/>
          <w:szCs w:val="22"/>
          <w:lang w:eastAsia="en-GB"/>
        </w:rPr>
        <w:t xml:space="preserve"> (eds.), </w:t>
      </w:r>
      <w:r w:rsidRPr="00870142">
        <w:rPr>
          <w:rFonts w:asciiTheme="minorHAnsi" w:hAnsiTheme="minorHAnsi" w:cs="Arial"/>
          <w:i/>
          <w:iCs/>
          <w:sz w:val="22"/>
          <w:szCs w:val="22"/>
          <w:lang w:eastAsia="en-GB"/>
        </w:rPr>
        <w:t>Brazil as an Economic Superpower?</w:t>
      </w:r>
    </w:p>
    <w:p w:rsidR="00870142" w:rsidRPr="00870142" w:rsidRDefault="00870142" w:rsidP="00870142">
      <w:pPr>
        <w:autoSpaceDE w:val="0"/>
        <w:autoSpaceDN w:val="0"/>
        <w:adjustRightInd w:val="0"/>
        <w:rPr>
          <w:rFonts w:asciiTheme="minorHAnsi" w:hAnsiTheme="minorHAnsi" w:cs="Arial"/>
          <w:sz w:val="22"/>
          <w:szCs w:val="22"/>
          <w:lang w:eastAsia="en-GB"/>
        </w:rPr>
      </w:pPr>
      <w:r w:rsidRPr="00870142">
        <w:rPr>
          <w:rFonts w:asciiTheme="minorHAnsi" w:hAnsiTheme="minorHAnsi" w:cs="Arial"/>
          <w:i/>
          <w:iCs/>
          <w:sz w:val="22"/>
          <w:szCs w:val="22"/>
          <w:lang w:eastAsia="en-GB"/>
        </w:rPr>
        <w:t>Understanding Brazil’s Changing Role in the Global Economy</w:t>
      </w:r>
      <w:r>
        <w:rPr>
          <w:rFonts w:asciiTheme="minorHAnsi" w:hAnsiTheme="minorHAnsi" w:cs="Arial"/>
          <w:i/>
          <w:iCs/>
          <w:sz w:val="22"/>
          <w:szCs w:val="22"/>
          <w:lang w:eastAsia="en-GB"/>
        </w:rPr>
        <w:t xml:space="preserve">, </w:t>
      </w:r>
      <w:r w:rsidRPr="00870142">
        <w:rPr>
          <w:rFonts w:asciiTheme="minorHAnsi" w:hAnsiTheme="minorHAnsi" w:cs="Arial"/>
          <w:sz w:val="22"/>
          <w:szCs w:val="22"/>
          <w:lang w:eastAsia="en-GB"/>
        </w:rPr>
        <w:t>Washington, D.C.: Brookings</w:t>
      </w:r>
    </w:p>
    <w:p w:rsidR="00870142" w:rsidRPr="00870142" w:rsidRDefault="00870142" w:rsidP="00870142">
      <w:pPr>
        <w:rPr>
          <w:rFonts w:asciiTheme="minorHAnsi" w:hAnsiTheme="minorHAnsi" w:cs="Arial"/>
          <w:i/>
          <w:sz w:val="22"/>
          <w:szCs w:val="22"/>
        </w:rPr>
      </w:pPr>
      <w:r w:rsidRPr="00870142">
        <w:rPr>
          <w:rFonts w:asciiTheme="minorHAnsi" w:hAnsiTheme="minorHAnsi" w:cs="Arial"/>
          <w:sz w:val="22"/>
          <w:szCs w:val="22"/>
          <w:lang w:eastAsia="en-GB"/>
        </w:rPr>
        <w:t>Institution Press.</w:t>
      </w:r>
      <w:r>
        <w:rPr>
          <w:rFonts w:asciiTheme="minorHAnsi" w:hAnsiTheme="minorHAnsi" w:cs="Arial"/>
          <w:sz w:val="22"/>
          <w:szCs w:val="22"/>
          <w:lang w:eastAsia="en-GB"/>
        </w:rPr>
        <w:t xml:space="preserve"> </w:t>
      </w:r>
      <w:hyperlink r:id="rId31" w:history="1">
        <w:r w:rsidRPr="00B26F1D">
          <w:rPr>
            <w:rStyle w:val="Hyperlink"/>
            <w:rFonts w:asciiTheme="minorHAnsi" w:hAnsiTheme="minorHAnsi" w:cs="Arial"/>
            <w:sz w:val="22"/>
            <w:szCs w:val="22"/>
            <w:lang w:eastAsia="en-GB"/>
          </w:rPr>
          <w:t>http://www.brookings.edu/~/media/research/files/papers/2008/5/brazil%20agriculture%20barros/05_brazil_agriculture_barros.pdf</w:t>
        </w:r>
      </w:hyperlink>
      <w:r>
        <w:rPr>
          <w:rFonts w:asciiTheme="minorHAnsi" w:hAnsiTheme="minorHAnsi" w:cs="Arial"/>
          <w:sz w:val="22"/>
          <w:szCs w:val="22"/>
          <w:lang w:eastAsia="en-GB"/>
        </w:rPr>
        <w:t xml:space="preserve"> </w:t>
      </w:r>
    </w:p>
    <w:p w:rsidR="00870142" w:rsidRPr="00AE3638" w:rsidRDefault="00870142" w:rsidP="003F6C09">
      <w:pPr>
        <w:rPr>
          <w:rFonts w:asciiTheme="minorHAnsi" w:hAnsiTheme="minorHAnsi"/>
          <w:i/>
          <w:sz w:val="22"/>
          <w:szCs w:val="22"/>
        </w:rPr>
      </w:pPr>
    </w:p>
    <w:p w:rsidR="003F6C09" w:rsidRPr="00AE3638" w:rsidRDefault="003F6C09" w:rsidP="003F6C09">
      <w:pPr>
        <w:autoSpaceDE w:val="0"/>
        <w:autoSpaceDN w:val="0"/>
        <w:adjustRightInd w:val="0"/>
        <w:spacing w:after="240"/>
        <w:rPr>
          <w:rFonts w:asciiTheme="minorHAnsi" w:hAnsiTheme="minorHAnsi"/>
          <w:sz w:val="22"/>
          <w:szCs w:val="22"/>
        </w:rPr>
      </w:pPr>
      <w:proofErr w:type="spellStart"/>
      <w:r w:rsidRPr="00AE3638">
        <w:rPr>
          <w:rFonts w:asciiTheme="minorHAnsi" w:hAnsiTheme="minorHAnsi"/>
          <w:sz w:val="22"/>
          <w:szCs w:val="22"/>
        </w:rPr>
        <w:t>Baynton</w:t>
      </w:r>
      <w:proofErr w:type="spellEnd"/>
      <w:r w:rsidRPr="00AE3638">
        <w:rPr>
          <w:rFonts w:asciiTheme="minorHAnsi" w:hAnsiTheme="minorHAnsi"/>
          <w:sz w:val="22"/>
          <w:szCs w:val="22"/>
        </w:rPr>
        <w:t xml:space="preserve">-Glen, R. (2012) ‘China-Africa – Agricultural Potential’, Standard Chartered Bank Global Research </w:t>
      </w:r>
      <w:hyperlink r:id="rId32" w:history="1">
        <w:r w:rsidRPr="00AE3638">
          <w:rPr>
            <w:rStyle w:val="Hyperlink"/>
            <w:rFonts w:asciiTheme="minorHAnsi" w:hAnsiTheme="minorHAnsi"/>
            <w:sz w:val="22"/>
            <w:szCs w:val="22"/>
          </w:rPr>
          <w:t>https://research.standardchartered.com/researchdocuments/Pages/ResearchArticle.aspx?&amp;R=93266</w:t>
        </w:r>
      </w:hyperlink>
      <w:r w:rsidRPr="00AE3638">
        <w:rPr>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r w:rsidRPr="00AE3638">
        <w:rPr>
          <w:rFonts w:asciiTheme="minorHAnsi" w:hAnsiTheme="minorHAnsi"/>
          <w:sz w:val="22"/>
          <w:szCs w:val="22"/>
        </w:rPr>
        <w:t xml:space="preserve">Bill &amp; Melinda Gates Foundation (2011) </w:t>
      </w:r>
      <w:r w:rsidRPr="00AE3638">
        <w:rPr>
          <w:rFonts w:asciiTheme="minorHAnsi" w:hAnsiTheme="minorHAnsi"/>
          <w:i/>
          <w:sz w:val="22"/>
          <w:szCs w:val="22"/>
        </w:rPr>
        <w:t>Agricultural Development: Strategy Overview</w:t>
      </w:r>
      <w:r w:rsidRPr="00AE3638">
        <w:rPr>
          <w:rFonts w:asciiTheme="minorHAnsi" w:hAnsiTheme="minorHAnsi"/>
          <w:sz w:val="22"/>
          <w:szCs w:val="22"/>
        </w:rPr>
        <w:t xml:space="preserve">, August 2011. </w:t>
      </w:r>
      <w:hyperlink r:id="rId33" w:history="1">
        <w:r w:rsidRPr="00AE3638">
          <w:rPr>
            <w:rStyle w:val="Hyperlink"/>
            <w:rFonts w:asciiTheme="minorHAnsi" w:hAnsiTheme="minorHAnsi"/>
            <w:sz w:val="22"/>
            <w:szCs w:val="22"/>
          </w:rPr>
          <w:t>http://www.gatesfoundation.org/agriculturaldevelopment/Documents/agricultural-development-strategy-overview.pdf</w:t>
        </w:r>
      </w:hyperlink>
      <w:r w:rsidRPr="00AE3638">
        <w:rPr>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r w:rsidRPr="00AE3638">
        <w:rPr>
          <w:rFonts w:asciiTheme="minorHAnsi" w:hAnsiTheme="minorHAnsi" w:cs="Minion"/>
          <w:color w:val="000000"/>
          <w:sz w:val="22"/>
          <w:szCs w:val="22"/>
        </w:rPr>
        <w:t xml:space="preserve"> </w:t>
      </w:r>
    </w:p>
    <w:p w:rsidR="00593BD6" w:rsidRPr="00593BD6" w:rsidRDefault="00593BD6" w:rsidP="003F6C09">
      <w:pPr>
        <w:autoSpaceDE w:val="0"/>
        <w:autoSpaceDN w:val="0"/>
        <w:adjustRightInd w:val="0"/>
        <w:rPr>
          <w:rFonts w:asciiTheme="minorHAnsi" w:hAnsiTheme="minorHAnsi"/>
          <w:sz w:val="22"/>
          <w:szCs w:val="22"/>
        </w:rPr>
      </w:pPr>
      <w:r>
        <w:rPr>
          <w:rFonts w:asciiTheme="minorHAnsi" w:hAnsiTheme="minorHAnsi"/>
          <w:sz w:val="22"/>
          <w:szCs w:val="22"/>
        </w:rPr>
        <w:t xml:space="preserve">Brown, M. (2009) </w:t>
      </w:r>
      <w:r>
        <w:rPr>
          <w:rFonts w:asciiTheme="minorHAnsi" w:hAnsiTheme="minorHAnsi"/>
          <w:i/>
          <w:sz w:val="22"/>
          <w:szCs w:val="22"/>
        </w:rPr>
        <w:t>Rapid Assessment of Aid Flows for Agricultural Development in Sub-Saharan Africa</w:t>
      </w:r>
      <w:r>
        <w:rPr>
          <w:rFonts w:asciiTheme="minorHAnsi" w:hAnsiTheme="minorHAnsi"/>
          <w:sz w:val="22"/>
          <w:szCs w:val="22"/>
        </w:rPr>
        <w:t xml:space="preserve">, FAO Investment Centre Division Discussion Paper, September 2009. </w:t>
      </w:r>
      <w:hyperlink r:id="rId34" w:history="1">
        <w:r w:rsidRPr="002D4806">
          <w:rPr>
            <w:rStyle w:val="Hyperlink"/>
            <w:rFonts w:asciiTheme="minorHAnsi" w:hAnsiTheme="minorHAnsi"/>
            <w:sz w:val="22"/>
            <w:szCs w:val="22"/>
          </w:rPr>
          <w:t>http://www.fao.org/docrep/012/al144e/al144e.pdf</w:t>
        </w:r>
      </w:hyperlink>
      <w:r>
        <w:rPr>
          <w:rFonts w:asciiTheme="minorHAnsi" w:hAnsiTheme="minorHAnsi"/>
          <w:sz w:val="22"/>
          <w:szCs w:val="22"/>
        </w:rPr>
        <w:t xml:space="preserve"> </w:t>
      </w:r>
    </w:p>
    <w:p w:rsidR="00593BD6" w:rsidRDefault="00593BD6" w:rsidP="003F6C09">
      <w:pPr>
        <w:autoSpaceDE w:val="0"/>
        <w:autoSpaceDN w:val="0"/>
        <w:adjustRightInd w:val="0"/>
        <w:rPr>
          <w:rFonts w:asciiTheme="minorHAnsi" w:hAnsiTheme="minorHAnsi"/>
          <w:sz w:val="22"/>
          <w:szCs w:val="22"/>
        </w:rPr>
      </w:pPr>
    </w:p>
    <w:p w:rsidR="00F574BB" w:rsidRDefault="00F574BB" w:rsidP="003F6C09">
      <w:pPr>
        <w:autoSpaceDE w:val="0"/>
        <w:autoSpaceDN w:val="0"/>
        <w:adjustRightInd w:val="0"/>
        <w:rPr>
          <w:rFonts w:asciiTheme="minorHAnsi" w:hAnsiTheme="minorHAnsi"/>
          <w:sz w:val="22"/>
          <w:szCs w:val="22"/>
        </w:rPr>
      </w:pPr>
      <w:r>
        <w:rPr>
          <w:rFonts w:asciiTheme="minorHAnsi" w:hAnsiTheme="minorHAnsi"/>
          <w:sz w:val="22"/>
          <w:szCs w:val="22"/>
        </w:rPr>
        <w:t xml:space="preserve">CAADP (2010) </w:t>
      </w:r>
      <w:r>
        <w:rPr>
          <w:rFonts w:asciiTheme="minorHAnsi" w:hAnsiTheme="minorHAnsi"/>
          <w:i/>
          <w:sz w:val="22"/>
          <w:szCs w:val="22"/>
        </w:rPr>
        <w:t xml:space="preserve">CAADP Review: Renewing the </w:t>
      </w:r>
      <w:r w:rsidR="00D25328">
        <w:rPr>
          <w:rFonts w:asciiTheme="minorHAnsi" w:hAnsiTheme="minorHAnsi"/>
          <w:i/>
          <w:sz w:val="22"/>
          <w:szCs w:val="22"/>
        </w:rPr>
        <w:t>Commitment</w:t>
      </w:r>
      <w:r>
        <w:rPr>
          <w:rFonts w:asciiTheme="minorHAnsi" w:hAnsiTheme="minorHAnsi"/>
          <w:i/>
          <w:sz w:val="22"/>
          <w:szCs w:val="22"/>
        </w:rPr>
        <w:t xml:space="preserve"> to African Agriculture, Final Report.</w:t>
      </w:r>
      <w:r>
        <w:rPr>
          <w:rFonts w:asciiTheme="minorHAnsi" w:hAnsiTheme="minorHAnsi"/>
          <w:sz w:val="22"/>
          <w:szCs w:val="22"/>
        </w:rPr>
        <w:t xml:space="preserve"> </w:t>
      </w:r>
      <w:r w:rsidR="00D25328">
        <w:rPr>
          <w:rFonts w:asciiTheme="minorHAnsi" w:hAnsiTheme="minorHAnsi"/>
          <w:sz w:val="22"/>
          <w:szCs w:val="22"/>
        </w:rPr>
        <w:t xml:space="preserve"> African Union / NEPAD. </w:t>
      </w:r>
      <w:hyperlink r:id="rId35" w:history="1">
        <w:r w:rsidRPr="00FF135C">
          <w:rPr>
            <w:rStyle w:val="Hyperlink"/>
            <w:rFonts w:asciiTheme="minorHAnsi" w:hAnsiTheme="minorHAnsi"/>
            <w:sz w:val="22"/>
            <w:szCs w:val="22"/>
          </w:rPr>
          <w:t>http://www.caadp.net/pdf/CAADP%20Review%20-%20March%2020101.pdf</w:t>
        </w:r>
      </w:hyperlink>
      <w:r>
        <w:rPr>
          <w:rFonts w:asciiTheme="minorHAnsi" w:hAnsiTheme="minorHAnsi"/>
          <w:sz w:val="22"/>
          <w:szCs w:val="22"/>
        </w:rPr>
        <w:t xml:space="preserve"> </w:t>
      </w:r>
    </w:p>
    <w:p w:rsidR="00F574BB" w:rsidRDefault="00F574BB"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rPr>
          <w:rFonts w:asciiTheme="minorHAnsi" w:hAnsiTheme="minorHAnsi"/>
          <w:sz w:val="22"/>
          <w:szCs w:val="22"/>
        </w:rPr>
      </w:pPr>
      <w:r w:rsidRPr="00AE3638">
        <w:rPr>
          <w:rFonts w:asciiTheme="minorHAnsi" w:hAnsiTheme="minorHAnsi"/>
          <w:sz w:val="22"/>
          <w:szCs w:val="22"/>
        </w:rPr>
        <w:t xml:space="preserve">CAADP Pillar II Expert Reference Group led by the Conference of Ministers of Agriculture of West and Central Africa (CMAWCA) (2009) </w:t>
      </w:r>
      <w:r w:rsidRPr="00AE3638">
        <w:rPr>
          <w:rFonts w:asciiTheme="minorHAnsi" w:hAnsiTheme="minorHAnsi"/>
          <w:bCs/>
          <w:i/>
          <w:iCs/>
          <w:sz w:val="22"/>
          <w:szCs w:val="22"/>
        </w:rPr>
        <w:t xml:space="preserve">Framework for Improving Rural Infrastructure and Trade Related Capacities For Market Access </w:t>
      </w:r>
      <w:r w:rsidRPr="00AE3638">
        <w:rPr>
          <w:rFonts w:asciiTheme="minorHAnsi" w:hAnsiTheme="minorHAnsi"/>
          <w:bCs/>
          <w:sz w:val="22"/>
          <w:szCs w:val="22"/>
        </w:rPr>
        <w:t>FIMA</w:t>
      </w:r>
      <w:r w:rsidRPr="00AE3638">
        <w:rPr>
          <w:rFonts w:asciiTheme="minorHAnsi" w:hAnsiTheme="minorHAnsi"/>
          <w:sz w:val="22"/>
          <w:szCs w:val="22"/>
        </w:rPr>
        <w:t xml:space="preserve"> </w:t>
      </w:r>
      <w:hyperlink r:id="rId36" w:history="1">
        <w:r w:rsidRPr="00AE3638">
          <w:rPr>
            <w:rStyle w:val="Hyperlink"/>
            <w:rFonts w:asciiTheme="minorHAnsi" w:hAnsiTheme="minorHAnsi"/>
            <w:sz w:val="22"/>
            <w:szCs w:val="22"/>
          </w:rPr>
          <w:t>http://www.nepad-caadp.net/pdf/CAADP%20Pillar%20II%20FIMA%20Full%20Document.pdf</w:t>
        </w:r>
      </w:hyperlink>
      <w:r w:rsidRPr="00AE3638">
        <w:rPr>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p>
    <w:p w:rsidR="00B03D27" w:rsidRDefault="00B03D27" w:rsidP="003F6C09">
      <w:pPr>
        <w:autoSpaceDE w:val="0"/>
        <w:autoSpaceDN w:val="0"/>
        <w:adjustRightInd w:val="0"/>
        <w:rPr>
          <w:rFonts w:asciiTheme="minorHAnsi" w:hAnsiTheme="minorHAnsi"/>
          <w:sz w:val="22"/>
          <w:szCs w:val="22"/>
        </w:rPr>
      </w:pPr>
      <w:proofErr w:type="spellStart"/>
      <w:r w:rsidRPr="00B03D27">
        <w:rPr>
          <w:rFonts w:asciiTheme="minorHAnsi" w:hAnsiTheme="minorHAnsi"/>
          <w:sz w:val="22"/>
          <w:szCs w:val="22"/>
        </w:rPr>
        <w:lastRenderedPageBreak/>
        <w:t>Cabrall</w:t>
      </w:r>
      <w:proofErr w:type="spellEnd"/>
      <w:r>
        <w:rPr>
          <w:rFonts w:asciiTheme="minorHAnsi" w:hAnsiTheme="minorHAnsi"/>
          <w:sz w:val="22"/>
          <w:szCs w:val="22"/>
        </w:rPr>
        <w:t>, L.</w:t>
      </w:r>
      <w:r w:rsidRPr="00B03D27">
        <w:rPr>
          <w:rFonts w:asciiTheme="minorHAnsi" w:hAnsiTheme="minorHAnsi"/>
          <w:sz w:val="22"/>
          <w:szCs w:val="22"/>
        </w:rPr>
        <w:t xml:space="preserve"> and Howell</w:t>
      </w:r>
      <w:r>
        <w:rPr>
          <w:rFonts w:asciiTheme="minorHAnsi" w:hAnsiTheme="minorHAnsi"/>
          <w:sz w:val="22"/>
          <w:szCs w:val="22"/>
        </w:rPr>
        <w:t>, J.</w:t>
      </w:r>
      <w:r w:rsidRPr="00B03D27">
        <w:rPr>
          <w:rFonts w:asciiTheme="minorHAnsi" w:hAnsiTheme="minorHAnsi"/>
          <w:sz w:val="22"/>
          <w:szCs w:val="22"/>
        </w:rPr>
        <w:t xml:space="preserve"> (2012) </w:t>
      </w:r>
      <w:r w:rsidRPr="00B03D27">
        <w:rPr>
          <w:rFonts w:asciiTheme="minorHAnsi" w:hAnsiTheme="minorHAnsi"/>
          <w:i/>
          <w:sz w:val="22"/>
          <w:szCs w:val="22"/>
        </w:rPr>
        <w:t>Measuring Aid to Agriculture and Food Security: Losing the Plot?</w:t>
      </w:r>
      <w:r>
        <w:rPr>
          <w:rFonts w:asciiTheme="minorHAnsi" w:hAnsiTheme="minorHAnsi"/>
          <w:sz w:val="22"/>
          <w:szCs w:val="22"/>
        </w:rPr>
        <w:t xml:space="preserve">  ODI Briefing Paper No. 72, February 2012.</w:t>
      </w:r>
    </w:p>
    <w:p w:rsidR="00B03D27" w:rsidRDefault="00036864" w:rsidP="003F6C09">
      <w:pPr>
        <w:autoSpaceDE w:val="0"/>
        <w:autoSpaceDN w:val="0"/>
        <w:adjustRightInd w:val="0"/>
        <w:rPr>
          <w:rFonts w:asciiTheme="minorHAnsi" w:hAnsiTheme="minorHAnsi"/>
          <w:sz w:val="22"/>
          <w:szCs w:val="22"/>
        </w:rPr>
      </w:pPr>
      <w:hyperlink r:id="rId37" w:history="1">
        <w:r w:rsidR="00B03D27" w:rsidRPr="00FF135C">
          <w:rPr>
            <w:rStyle w:val="Hyperlink"/>
            <w:rFonts w:asciiTheme="minorHAnsi" w:hAnsiTheme="minorHAnsi"/>
            <w:sz w:val="22"/>
            <w:szCs w:val="22"/>
          </w:rPr>
          <w:t>http://www.odi.org.uk/sites/odi.org.uk/files/odi-assets/publications-opinion-files/7588.pdf</w:t>
        </w:r>
      </w:hyperlink>
      <w:r w:rsidR="00B03D27">
        <w:rPr>
          <w:rFonts w:asciiTheme="minorHAnsi" w:hAnsiTheme="minorHAnsi"/>
          <w:sz w:val="22"/>
          <w:szCs w:val="22"/>
        </w:rPr>
        <w:t xml:space="preserve"> </w:t>
      </w:r>
    </w:p>
    <w:p w:rsidR="00B03D27" w:rsidRDefault="00B03D27" w:rsidP="003F6C09">
      <w:pPr>
        <w:autoSpaceDE w:val="0"/>
        <w:autoSpaceDN w:val="0"/>
        <w:adjustRightInd w:val="0"/>
      </w:pPr>
    </w:p>
    <w:p w:rsidR="00C92164" w:rsidRDefault="00C92164" w:rsidP="003F6C09">
      <w:pPr>
        <w:autoSpaceDE w:val="0"/>
        <w:autoSpaceDN w:val="0"/>
        <w:adjustRightInd w:val="0"/>
        <w:rPr>
          <w:rFonts w:asciiTheme="minorHAnsi" w:hAnsiTheme="minorHAnsi"/>
          <w:sz w:val="22"/>
          <w:szCs w:val="22"/>
        </w:rPr>
      </w:pPr>
      <w:r w:rsidRPr="00EA1632">
        <w:rPr>
          <w:rFonts w:asciiTheme="minorHAnsi" w:hAnsiTheme="minorHAnsi"/>
          <w:sz w:val="22"/>
          <w:szCs w:val="22"/>
          <w:lang w:val="pt-PT"/>
        </w:rPr>
        <w:t xml:space="preserve">CGIAR (2011) </w:t>
      </w:r>
      <w:r w:rsidRPr="00EA1632">
        <w:rPr>
          <w:rFonts w:asciiTheme="minorHAnsi" w:hAnsiTheme="minorHAnsi"/>
          <w:i/>
          <w:sz w:val="22"/>
          <w:szCs w:val="22"/>
          <w:lang w:val="pt-PT"/>
        </w:rPr>
        <w:t>CGIAR Financial Report 2011</w:t>
      </w:r>
      <w:r w:rsidRPr="00EA1632">
        <w:rPr>
          <w:rFonts w:asciiTheme="minorHAnsi" w:hAnsiTheme="minorHAnsi"/>
          <w:sz w:val="22"/>
          <w:szCs w:val="22"/>
          <w:lang w:val="pt-PT"/>
        </w:rPr>
        <w:t xml:space="preserve">, CGIAR. </w:t>
      </w:r>
      <w:hyperlink r:id="rId38" w:history="1">
        <w:r w:rsidRPr="00CA54A3">
          <w:rPr>
            <w:rStyle w:val="Hyperlink"/>
            <w:rFonts w:asciiTheme="minorHAnsi" w:hAnsiTheme="minorHAnsi"/>
            <w:sz w:val="22"/>
            <w:szCs w:val="22"/>
          </w:rPr>
          <w:t>http://library.cgiar.org/bitstream/handle/10947/2707/2011_CGIAR_Financial_Report.pdf?sequence=1</w:t>
        </w:r>
      </w:hyperlink>
      <w:r>
        <w:rPr>
          <w:rFonts w:asciiTheme="minorHAnsi" w:hAnsiTheme="minorHAnsi"/>
          <w:sz w:val="22"/>
          <w:szCs w:val="22"/>
        </w:rPr>
        <w:t xml:space="preserve"> </w:t>
      </w:r>
    </w:p>
    <w:p w:rsidR="00C92164" w:rsidRPr="00C92164" w:rsidRDefault="00C92164"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rPr>
          <w:rFonts w:asciiTheme="minorHAnsi" w:hAnsiTheme="minorHAnsi" w:cs="OxfamHeadline"/>
          <w:sz w:val="22"/>
          <w:szCs w:val="22"/>
        </w:rPr>
      </w:pPr>
      <w:proofErr w:type="spellStart"/>
      <w:r w:rsidRPr="00AE3638">
        <w:rPr>
          <w:rFonts w:asciiTheme="minorHAnsi" w:hAnsiTheme="minorHAnsi"/>
          <w:sz w:val="22"/>
          <w:szCs w:val="22"/>
        </w:rPr>
        <w:t>Crola</w:t>
      </w:r>
      <w:proofErr w:type="spellEnd"/>
      <w:r w:rsidRPr="00AE3638">
        <w:rPr>
          <w:rFonts w:asciiTheme="minorHAnsi" w:hAnsiTheme="minorHAnsi"/>
          <w:sz w:val="22"/>
          <w:szCs w:val="22"/>
        </w:rPr>
        <w:t xml:space="preserve">, J.D. and </w:t>
      </w:r>
      <w:proofErr w:type="spellStart"/>
      <w:r w:rsidRPr="00AE3638">
        <w:rPr>
          <w:rFonts w:asciiTheme="minorHAnsi" w:hAnsiTheme="minorHAnsi" w:cs="Arial"/>
          <w:bCs/>
          <w:sz w:val="22"/>
          <w:szCs w:val="22"/>
        </w:rPr>
        <w:t>Saulière</w:t>
      </w:r>
      <w:proofErr w:type="spellEnd"/>
      <w:r w:rsidRPr="00AE3638">
        <w:rPr>
          <w:rFonts w:asciiTheme="minorHAnsi" w:hAnsiTheme="minorHAnsi" w:cs="Arial"/>
          <w:bCs/>
          <w:sz w:val="22"/>
          <w:szCs w:val="22"/>
        </w:rPr>
        <w:t xml:space="preserve">, S. (2011), </w:t>
      </w:r>
      <w:r w:rsidRPr="00AE3638">
        <w:rPr>
          <w:rFonts w:asciiTheme="minorHAnsi" w:hAnsiTheme="minorHAnsi" w:cs="OxfamHeadline"/>
          <w:i/>
          <w:sz w:val="22"/>
          <w:szCs w:val="22"/>
        </w:rPr>
        <w:t>Aid Coordination and Alignment: myth or reality? The Case of the ECOWAS Regional Agriculture Policy</w:t>
      </w:r>
      <w:r w:rsidRPr="00AE3638">
        <w:rPr>
          <w:rFonts w:asciiTheme="minorHAnsi" w:hAnsiTheme="minorHAnsi" w:cs="OxfamHeadline"/>
          <w:sz w:val="22"/>
          <w:szCs w:val="22"/>
        </w:rPr>
        <w:t>, Oxfam Research Report, September 2011.</w:t>
      </w:r>
    </w:p>
    <w:p w:rsidR="003F6C09" w:rsidRPr="00AE3638" w:rsidRDefault="00036864" w:rsidP="003F6C09">
      <w:pPr>
        <w:autoSpaceDE w:val="0"/>
        <w:autoSpaceDN w:val="0"/>
        <w:adjustRightInd w:val="0"/>
        <w:rPr>
          <w:rFonts w:asciiTheme="minorHAnsi" w:hAnsiTheme="minorHAnsi"/>
          <w:sz w:val="22"/>
          <w:szCs w:val="22"/>
        </w:rPr>
      </w:pPr>
      <w:hyperlink r:id="rId39" w:history="1">
        <w:r w:rsidR="003F6C09" w:rsidRPr="00AE3638">
          <w:rPr>
            <w:rStyle w:val="Hyperlink"/>
            <w:rFonts w:asciiTheme="minorHAnsi" w:hAnsiTheme="minorHAnsi"/>
            <w:sz w:val="22"/>
            <w:szCs w:val="22"/>
          </w:rPr>
          <w:t>http://www.oxfam.org/sites/www.oxfam.org/files/rr-aid-coordination-alignment-ecowas-090911-en.pdf</w:t>
        </w:r>
      </w:hyperlink>
      <w:r w:rsidR="003F6C09" w:rsidRPr="00AE3638">
        <w:rPr>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p>
    <w:p w:rsidR="005915DF" w:rsidRDefault="005915DF" w:rsidP="003F6C09">
      <w:pPr>
        <w:autoSpaceDE w:val="0"/>
        <w:autoSpaceDN w:val="0"/>
        <w:adjustRightInd w:val="0"/>
        <w:rPr>
          <w:rFonts w:asciiTheme="minorHAnsi" w:hAnsiTheme="minorHAnsi"/>
          <w:sz w:val="22"/>
          <w:szCs w:val="22"/>
        </w:rPr>
      </w:pPr>
      <w:proofErr w:type="spellStart"/>
      <w:r>
        <w:rPr>
          <w:rFonts w:asciiTheme="minorHAnsi" w:hAnsiTheme="minorHAnsi"/>
          <w:sz w:val="22"/>
          <w:szCs w:val="22"/>
        </w:rPr>
        <w:t>Dusi</w:t>
      </w:r>
      <w:proofErr w:type="spellEnd"/>
      <w:r>
        <w:rPr>
          <w:rFonts w:asciiTheme="minorHAnsi" w:hAnsiTheme="minorHAnsi"/>
          <w:sz w:val="22"/>
          <w:szCs w:val="22"/>
        </w:rPr>
        <w:t xml:space="preserve">, A.N. (2012) ‘South-South Technical Cooperation in Agriculture: The Role of Brazil’s </w:t>
      </w:r>
      <w:proofErr w:type="spellStart"/>
      <w:r>
        <w:rPr>
          <w:rFonts w:asciiTheme="minorHAnsi" w:hAnsiTheme="minorHAnsi"/>
          <w:sz w:val="22"/>
          <w:szCs w:val="22"/>
        </w:rPr>
        <w:t>Embrapa</w:t>
      </w:r>
      <w:proofErr w:type="spellEnd"/>
      <w:r>
        <w:rPr>
          <w:rFonts w:asciiTheme="minorHAnsi" w:hAnsiTheme="minorHAnsi"/>
          <w:sz w:val="22"/>
          <w:szCs w:val="22"/>
        </w:rPr>
        <w:t xml:space="preserve">’, </w:t>
      </w:r>
      <w:r w:rsidRPr="005915DF">
        <w:rPr>
          <w:rFonts w:asciiTheme="minorHAnsi" w:hAnsiTheme="minorHAnsi"/>
          <w:i/>
          <w:sz w:val="22"/>
          <w:szCs w:val="22"/>
        </w:rPr>
        <w:t>Poverty in Focus: The Role of South-South Cooperation in Inclusive and Sustainable Agricultural Development</w:t>
      </w:r>
      <w:r>
        <w:rPr>
          <w:rFonts w:asciiTheme="minorHAnsi" w:hAnsiTheme="minorHAnsi"/>
          <w:sz w:val="22"/>
          <w:szCs w:val="22"/>
        </w:rPr>
        <w:t xml:space="preserve">, International Policy Centre for Inclusive Growth (IPC-IG), UNDP, pp.25-27. </w:t>
      </w:r>
      <w:hyperlink r:id="rId40" w:history="1">
        <w:r w:rsidRPr="00CA54A3">
          <w:rPr>
            <w:rStyle w:val="Hyperlink"/>
            <w:rFonts w:asciiTheme="minorHAnsi" w:hAnsiTheme="minorHAnsi"/>
            <w:sz w:val="22"/>
            <w:szCs w:val="22"/>
          </w:rPr>
          <w:t>http://www.ipc-undp.org/pub/IPCPovertyInFocus24.pdf</w:t>
        </w:r>
      </w:hyperlink>
      <w:r>
        <w:rPr>
          <w:rFonts w:asciiTheme="minorHAnsi" w:hAnsiTheme="minorHAnsi"/>
          <w:sz w:val="22"/>
          <w:szCs w:val="22"/>
        </w:rPr>
        <w:t xml:space="preserve"> </w:t>
      </w:r>
    </w:p>
    <w:p w:rsidR="005915DF" w:rsidRDefault="005915DF"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rPr>
          <w:rFonts w:asciiTheme="minorHAnsi" w:hAnsiTheme="minorHAnsi" w:cs="FrutigerNextLT-BlackCond"/>
          <w:i/>
          <w:sz w:val="22"/>
          <w:szCs w:val="22"/>
        </w:rPr>
      </w:pPr>
      <w:r w:rsidRPr="00AE3638">
        <w:rPr>
          <w:rFonts w:asciiTheme="minorHAnsi" w:hAnsiTheme="minorHAnsi"/>
          <w:sz w:val="22"/>
          <w:szCs w:val="22"/>
        </w:rPr>
        <w:t xml:space="preserve">ECOWAS Commission (2008) </w:t>
      </w:r>
      <w:r w:rsidRPr="00AE3638">
        <w:rPr>
          <w:rFonts w:asciiTheme="minorHAnsi" w:hAnsiTheme="minorHAnsi" w:cs="FrutigerNextLT-HeavyCond"/>
          <w:i/>
          <w:sz w:val="22"/>
          <w:szCs w:val="22"/>
        </w:rPr>
        <w:t>The Regional Agricultural Policy (ECOWAP) and the Offensive for food</w:t>
      </w:r>
      <w:r w:rsidR="005915DF">
        <w:rPr>
          <w:rFonts w:asciiTheme="minorHAnsi" w:hAnsiTheme="minorHAnsi" w:cs="FrutigerNextLT-HeavyCond"/>
          <w:i/>
          <w:sz w:val="22"/>
          <w:szCs w:val="22"/>
        </w:rPr>
        <w:t xml:space="preserve"> </w:t>
      </w:r>
      <w:r w:rsidRPr="00AE3638">
        <w:rPr>
          <w:rFonts w:asciiTheme="minorHAnsi" w:hAnsiTheme="minorHAnsi" w:cs="FrutigerNextLT-HeavyCond"/>
          <w:i/>
          <w:sz w:val="22"/>
          <w:szCs w:val="22"/>
        </w:rPr>
        <w:t xml:space="preserve">production and against hunger, </w:t>
      </w:r>
      <w:r w:rsidRPr="00AE3638">
        <w:rPr>
          <w:rFonts w:asciiTheme="minorHAnsi" w:hAnsiTheme="minorHAnsi" w:cs="FrutigerNextLT-BlackCond"/>
          <w:i/>
          <w:sz w:val="22"/>
          <w:szCs w:val="22"/>
        </w:rPr>
        <w:t>Operational sequence: Progress on preparation of ECOWAP programmes and the Regional Offensive for food production and against hunger</w:t>
      </w:r>
    </w:p>
    <w:p w:rsidR="003F6C09" w:rsidRPr="00AE3638" w:rsidRDefault="003F6C09" w:rsidP="003F6C09">
      <w:pPr>
        <w:autoSpaceDE w:val="0"/>
        <w:autoSpaceDN w:val="0"/>
        <w:adjustRightInd w:val="0"/>
        <w:rPr>
          <w:rFonts w:asciiTheme="minorHAnsi" w:eastAsia="WarnockPro-SemiboldSubh" w:hAnsiTheme="minorHAnsi" w:cs="WarnockPro-SemiboldSubh"/>
          <w:sz w:val="22"/>
          <w:szCs w:val="22"/>
        </w:rPr>
      </w:pPr>
      <w:r w:rsidRPr="00AE3638">
        <w:rPr>
          <w:rFonts w:asciiTheme="minorHAnsi" w:eastAsia="WarnockPro-SemiboldSubh" w:hAnsiTheme="minorHAnsi" w:cs="WarnockPro-SemiboldSubh"/>
          <w:sz w:val="22"/>
          <w:szCs w:val="22"/>
        </w:rPr>
        <w:t xml:space="preserve">Preparatory note prepared by ECOWAS Commission </w:t>
      </w:r>
      <w:hyperlink r:id="rId41" w:history="1">
        <w:r w:rsidRPr="00AE3638">
          <w:rPr>
            <w:rStyle w:val="Hyperlink"/>
            <w:rFonts w:asciiTheme="minorHAnsi" w:eastAsia="WarnockPro-SemiboldSubh" w:hAnsiTheme="minorHAnsi" w:cs="WarnockPro-SemiboldSubh"/>
            <w:sz w:val="22"/>
            <w:szCs w:val="22"/>
          </w:rPr>
          <w:t>http://www.diplomatie.gouv.fr/fr/IMG/pdf/02_Progress-v_ang.pdf</w:t>
        </w:r>
      </w:hyperlink>
      <w:r w:rsidRPr="00AE3638">
        <w:rPr>
          <w:rFonts w:asciiTheme="minorHAnsi" w:eastAsia="WarnockPro-SemiboldSubh" w:hAnsiTheme="minorHAnsi" w:cs="WarnockPro-SemiboldSubh"/>
          <w:sz w:val="22"/>
          <w:szCs w:val="22"/>
        </w:rPr>
        <w:t xml:space="preserve"> </w:t>
      </w:r>
    </w:p>
    <w:p w:rsidR="003F6C09" w:rsidRPr="00AE3638" w:rsidRDefault="003F6C09" w:rsidP="003F6C09">
      <w:pPr>
        <w:autoSpaceDE w:val="0"/>
        <w:autoSpaceDN w:val="0"/>
        <w:adjustRightInd w:val="0"/>
        <w:rPr>
          <w:rFonts w:asciiTheme="minorHAnsi" w:eastAsia="WarnockPro-SemiboldSubh" w:hAnsiTheme="minorHAnsi" w:cs="WarnockPro-SemiboldSubh"/>
          <w:sz w:val="22"/>
          <w:szCs w:val="22"/>
        </w:rPr>
      </w:pPr>
    </w:p>
    <w:p w:rsidR="003F6C09" w:rsidRPr="00AE3638" w:rsidRDefault="003F6C09" w:rsidP="003F6C09">
      <w:pPr>
        <w:autoSpaceDE w:val="0"/>
        <w:autoSpaceDN w:val="0"/>
        <w:adjustRightInd w:val="0"/>
        <w:rPr>
          <w:rFonts w:asciiTheme="minorHAnsi" w:hAnsiTheme="minorHAnsi"/>
          <w:sz w:val="22"/>
          <w:szCs w:val="22"/>
        </w:rPr>
      </w:pPr>
      <w:r w:rsidRPr="00AE3638">
        <w:rPr>
          <w:rFonts w:asciiTheme="minorHAnsi" w:hAnsiTheme="minorHAnsi"/>
          <w:sz w:val="22"/>
          <w:szCs w:val="22"/>
        </w:rPr>
        <w:t>FAO (2010)</w:t>
      </w:r>
      <w:r w:rsidRPr="00AE3638">
        <w:rPr>
          <w:rFonts w:asciiTheme="minorHAnsi" w:hAnsiTheme="minorHAnsi"/>
          <w:b/>
          <w:bCs/>
          <w:sz w:val="22"/>
          <w:szCs w:val="22"/>
        </w:rPr>
        <w:t xml:space="preserve"> </w:t>
      </w:r>
      <w:r w:rsidRPr="00AE3638">
        <w:rPr>
          <w:rFonts w:asciiTheme="minorHAnsi" w:hAnsiTheme="minorHAnsi"/>
          <w:bCs/>
          <w:i/>
          <w:sz w:val="22"/>
          <w:szCs w:val="22"/>
        </w:rPr>
        <w:t>Food and Agriculture Organisation of the United Nations (FAO) Support to AU/NEPAD (Period of July 2009 to June 2010)</w:t>
      </w:r>
      <w:r w:rsidRPr="00AE3638">
        <w:rPr>
          <w:rFonts w:asciiTheme="minorHAnsi" w:hAnsiTheme="minorHAnsi"/>
          <w:bCs/>
          <w:sz w:val="22"/>
          <w:szCs w:val="22"/>
        </w:rPr>
        <w:t xml:space="preserve"> </w:t>
      </w:r>
      <w:hyperlink r:id="rId42" w:history="1">
        <w:r w:rsidRPr="00AE3638">
          <w:rPr>
            <w:rStyle w:val="Hyperlink"/>
            <w:rFonts w:asciiTheme="minorHAnsi" w:hAnsiTheme="minorHAnsi"/>
            <w:sz w:val="22"/>
            <w:szCs w:val="22"/>
          </w:rPr>
          <w:t>http://www.un.org/africa/osaa/2010_un_system/FAO2010.pdf</w:t>
        </w:r>
      </w:hyperlink>
      <w:r w:rsidRPr="00AE3638">
        <w:rPr>
          <w:rFonts w:asciiTheme="minorHAnsi" w:hAnsiTheme="minorHAnsi"/>
          <w:sz w:val="22"/>
          <w:szCs w:val="22"/>
        </w:rPr>
        <w:t xml:space="preserve"> </w:t>
      </w:r>
    </w:p>
    <w:p w:rsidR="003F6C09" w:rsidRPr="00AE3638" w:rsidRDefault="003F6C09" w:rsidP="003F6C09">
      <w:pPr>
        <w:autoSpaceDE w:val="0"/>
        <w:autoSpaceDN w:val="0"/>
        <w:adjustRightInd w:val="0"/>
        <w:rPr>
          <w:rFonts w:asciiTheme="minorHAnsi" w:hAnsiTheme="minorHAnsi"/>
          <w:sz w:val="22"/>
          <w:szCs w:val="22"/>
        </w:rPr>
      </w:pPr>
    </w:p>
    <w:p w:rsidR="003F6C09" w:rsidRPr="00AE3638" w:rsidRDefault="003F6C09" w:rsidP="003F6C09">
      <w:pPr>
        <w:autoSpaceDE w:val="0"/>
        <w:autoSpaceDN w:val="0"/>
        <w:adjustRightInd w:val="0"/>
        <w:spacing w:after="240"/>
        <w:rPr>
          <w:rStyle w:val="Hyperlink"/>
          <w:rFonts w:asciiTheme="minorHAnsi" w:hAnsiTheme="minorHAnsi" w:cs="Arial"/>
          <w:sz w:val="22"/>
          <w:szCs w:val="22"/>
        </w:rPr>
      </w:pPr>
      <w:r w:rsidRPr="00AE3638">
        <w:rPr>
          <w:rFonts w:asciiTheme="minorHAnsi" w:hAnsiTheme="minorHAnsi"/>
          <w:sz w:val="22"/>
          <w:szCs w:val="22"/>
        </w:rPr>
        <w:t xml:space="preserve">Foreign Affairs and International Trade Canada (2012) </w:t>
      </w:r>
      <w:r w:rsidRPr="00AE3638">
        <w:rPr>
          <w:rFonts w:asciiTheme="minorHAnsi" w:hAnsiTheme="minorHAnsi"/>
          <w:i/>
          <w:sz w:val="22"/>
          <w:szCs w:val="22"/>
        </w:rPr>
        <w:t>What has Canada done so far to implement the G8 Africa Action Plan and NEPAD?</w:t>
      </w:r>
      <w:r w:rsidRPr="00AE3638">
        <w:rPr>
          <w:rFonts w:asciiTheme="minorHAnsi" w:hAnsiTheme="minorHAnsi"/>
          <w:sz w:val="22"/>
          <w:szCs w:val="22"/>
        </w:rPr>
        <w:t xml:space="preserve"> </w:t>
      </w:r>
      <w:hyperlink r:id="rId43" w:history="1">
        <w:r w:rsidRPr="00AE3638">
          <w:rPr>
            <w:rStyle w:val="Hyperlink"/>
            <w:rFonts w:asciiTheme="minorHAnsi" w:hAnsiTheme="minorHAnsi" w:cs="Arial"/>
            <w:sz w:val="22"/>
            <w:szCs w:val="22"/>
          </w:rPr>
          <w:t>http://www.international.gc.ca/ssa-ass/aap-paa/canada.aspx?lang=eng&amp;view=d</w:t>
        </w:r>
      </w:hyperlink>
    </w:p>
    <w:p w:rsidR="00441CB1" w:rsidRDefault="00DE1A7B" w:rsidP="002657AB">
      <w:pPr>
        <w:autoSpaceDE w:val="0"/>
        <w:autoSpaceDN w:val="0"/>
        <w:adjustRightInd w:val="0"/>
        <w:spacing w:after="240"/>
        <w:rPr>
          <w:rFonts w:asciiTheme="minorHAnsi" w:hAnsiTheme="minorHAnsi"/>
          <w:sz w:val="22"/>
          <w:szCs w:val="22"/>
        </w:rPr>
      </w:pPr>
      <w:proofErr w:type="spellStart"/>
      <w:r>
        <w:rPr>
          <w:rFonts w:asciiTheme="minorHAnsi" w:hAnsiTheme="minorHAnsi"/>
          <w:sz w:val="22"/>
          <w:szCs w:val="22"/>
        </w:rPr>
        <w:t>Modi</w:t>
      </w:r>
      <w:proofErr w:type="spellEnd"/>
      <w:r>
        <w:rPr>
          <w:rFonts w:asciiTheme="minorHAnsi" w:hAnsiTheme="minorHAnsi"/>
          <w:sz w:val="22"/>
          <w:szCs w:val="22"/>
        </w:rPr>
        <w:t>, R.</w:t>
      </w:r>
      <w:r w:rsidR="00441CB1">
        <w:rPr>
          <w:rFonts w:asciiTheme="minorHAnsi" w:hAnsiTheme="minorHAnsi"/>
          <w:sz w:val="22"/>
          <w:szCs w:val="22"/>
        </w:rPr>
        <w:t xml:space="preserve"> (2011) ‘India-Africa project partnership: Creating possibilities, delivering values’</w:t>
      </w:r>
      <w:r>
        <w:rPr>
          <w:rFonts w:asciiTheme="minorHAnsi" w:hAnsiTheme="minorHAnsi"/>
          <w:sz w:val="22"/>
          <w:szCs w:val="22"/>
        </w:rPr>
        <w:t>,</w:t>
      </w:r>
      <w:r w:rsidRPr="00DE1A7B">
        <w:rPr>
          <w:rFonts w:asciiTheme="minorHAnsi" w:hAnsiTheme="minorHAnsi"/>
          <w:sz w:val="22"/>
          <w:szCs w:val="22"/>
        </w:rPr>
        <w:t xml:space="preserve"> </w:t>
      </w:r>
      <w:r>
        <w:rPr>
          <w:rFonts w:asciiTheme="minorHAnsi" w:hAnsiTheme="minorHAnsi"/>
          <w:sz w:val="22"/>
          <w:szCs w:val="22"/>
        </w:rPr>
        <w:t xml:space="preserve">Gateway House (Indian Council on Global Relations). </w:t>
      </w:r>
      <w:hyperlink r:id="rId44" w:history="1">
        <w:r w:rsidR="00441CB1" w:rsidRPr="00CA54A3">
          <w:rPr>
            <w:rStyle w:val="Hyperlink"/>
            <w:rFonts w:asciiTheme="minorHAnsi" w:hAnsiTheme="minorHAnsi"/>
            <w:sz w:val="22"/>
            <w:szCs w:val="22"/>
          </w:rPr>
          <w:t>http://www.gatewayhouse.in/publication/gateway-house/features/india-africa-project-partnership-creating-possibilities-delivering-values</w:t>
        </w:r>
      </w:hyperlink>
      <w:r w:rsidR="00441CB1">
        <w:rPr>
          <w:rFonts w:asciiTheme="minorHAnsi" w:hAnsiTheme="minorHAnsi"/>
          <w:sz w:val="22"/>
          <w:szCs w:val="22"/>
        </w:rPr>
        <w:t xml:space="preserve"> </w:t>
      </w:r>
    </w:p>
    <w:p w:rsidR="00776D04" w:rsidRDefault="00776D04" w:rsidP="002657AB">
      <w:pPr>
        <w:autoSpaceDE w:val="0"/>
        <w:autoSpaceDN w:val="0"/>
        <w:adjustRightInd w:val="0"/>
        <w:spacing w:after="240"/>
        <w:rPr>
          <w:rFonts w:asciiTheme="minorHAnsi" w:hAnsiTheme="minorHAnsi"/>
          <w:sz w:val="22"/>
          <w:szCs w:val="22"/>
        </w:rPr>
      </w:pPr>
      <w:r>
        <w:rPr>
          <w:rFonts w:asciiTheme="minorHAnsi" w:hAnsiTheme="minorHAnsi"/>
          <w:sz w:val="22"/>
          <w:szCs w:val="22"/>
        </w:rPr>
        <w:t xml:space="preserve">G8 (2012) </w:t>
      </w:r>
      <w:r>
        <w:rPr>
          <w:rFonts w:asciiTheme="minorHAnsi" w:hAnsiTheme="minorHAnsi"/>
          <w:i/>
          <w:sz w:val="22"/>
          <w:szCs w:val="22"/>
        </w:rPr>
        <w:t>G8 Cooperation Framework to Support The ‘New Alliance for Food Security and Nutrition’ in Ghana</w:t>
      </w:r>
      <w:r>
        <w:rPr>
          <w:rFonts w:asciiTheme="minorHAnsi" w:hAnsiTheme="minorHAnsi"/>
          <w:sz w:val="22"/>
          <w:szCs w:val="22"/>
        </w:rPr>
        <w:t xml:space="preserve"> </w:t>
      </w:r>
      <w:hyperlink r:id="rId45" w:history="1">
        <w:r w:rsidRPr="0011248A">
          <w:rPr>
            <w:rStyle w:val="Hyperlink"/>
            <w:rFonts w:asciiTheme="minorHAnsi" w:hAnsiTheme="minorHAnsi"/>
            <w:sz w:val="22"/>
            <w:szCs w:val="22"/>
          </w:rPr>
          <w:t>http://reliefweb.int/sites/reliefweb.int/files/resources/190626.pdf</w:t>
        </w:r>
      </w:hyperlink>
      <w:r>
        <w:rPr>
          <w:rFonts w:asciiTheme="minorHAnsi" w:hAnsiTheme="minorHAnsi"/>
          <w:sz w:val="22"/>
          <w:szCs w:val="22"/>
        </w:rPr>
        <w:t xml:space="preserve"> </w:t>
      </w:r>
    </w:p>
    <w:p w:rsidR="002657AB" w:rsidRPr="002657AB" w:rsidRDefault="002657AB" w:rsidP="002657AB">
      <w:pPr>
        <w:autoSpaceDE w:val="0"/>
        <w:autoSpaceDN w:val="0"/>
        <w:adjustRightInd w:val="0"/>
        <w:spacing w:after="240"/>
        <w:rPr>
          <w:rFonts w:asciiTheme="minorHAnsi" w:hAnsiTheme="minorHAnsi"/>
          <w:b/>
          <w:sz w:val="22"/>
          <w:szCs w:val="22"/>
        </w:rPr>
      </w:pPr>
      <w:r w:rsidRPr="002657AB">
        <w:rPr>
          <w:rFonts w:asciiTheme="minorHAnsi" w:hAnsiTheme="minorHAnsi"/>
          <w:sz w:val="22"/>
          <w:szCs w:val="22"/>
        </w:rPr>
        <w:t xml:space="preserve">GIZ/ODI (2011) </w:t>
      </w:r>
      <w:r w:rsidRPr="002657AB">
        <w:rPr>
          <w:rFonts w:asciiTheme="minorHAnsi" w:hAnsiTheme="minorHAnsi" w:cs="Arial"/>
          <w:i/>
          <w:sz w:val="22"/>
          <w:szCs w:val="22"/>
        </w:rPr>
        <w:t>Ghana</w:t>
      </w:r>
      <w:r w:rsidRPr="002657AB">
        <w:rPr>
          <w:rFonts w:asciiTheme="minorHAnsi" w:hAnsiTheme="minorHAnsi" w:cs="Arial"/>
          <w:b/>
          <w:i/>
          <w:sz w:val="22"/>
          <w:szCs w:val="22"/>
        </w:rPr>
        <w:t xml:space="preserve"> – </w:t>
      </w:r>
      <w:r w:rsidRPr="002657AB">
        <w:rPr>
          <w:rFonts w:asciiTheme="minorHAnsi" w:hAnsiTheme="minorHAnsi" w:cs="Arial"/>
          <w:i/>
          <w:sz w:val="22"/>
          <w:szCs w:val="22"/>
        </w:rPr>
        <w:t>Enhancing Stakeholder Engagement</w:t>
      </w:r>
      <w:r>
        <w:rPr>
          <w:rFonts w:asciiTheme="minorHAnsi" w:hAnsiTheme="minorHAnsi" w:cs="Arial"/>
          <w:i/>
          <w:sz w:val="22"/>
          <w:szCs w:val="22"/>
        </w:rPr>
        <w:t>,</w:t>
      </w:r>
      <w:r w:rsidRPr="002657AB">
        <w:rPr>
          <w:rFonts w:asciiTheme="minorHAnsi" w:hAnsiTheme="minorHAnsi" w:cs="Arial"/>
          <w:sz w:val="22"/>
          <w:szCs w:val="22"/>
        </w:rPr>
        <w:t xml:space="preserve"> CAADP Success Stories </w:t>
      </w:r>
      <w:r>
        <w:rPr>
          <w:rFonts w:asciiTheme="minorHAnsi" w:hAnsiTheme="minorHAnsi"/>
          <w:sz w:val="22"/>
          <w:szCs w:val="22"/>
        </w:rPr>
        <w:t xml:space="preserve">2, NEPAD, Johannesburg. </w:t>
      </w:r>
      <w:hyperlink r:id="rId46" w:history="1">
        <w:r w:rsidRPr="002657AB">
          <w:rPr>
            <w:rStyle w:val="Hyperlink"/>
            <w:rFonts w:asciiTheme="minorHAnsi" w:hAnsiTheme="minorHAnsi" w:cs="Arial"/>
            <w:sz w:val="22"/>
            <w:szCs w:val="22"/>
          </w:rPr>
          <w:t>http://www.nepad.org/system/files/2%20Ghana%20v2.0%20web.pdf</w:t>
        </w:r>
      </w:hyperlink>
    </w:p>
    <w:p w:rsidR="00B43EA9" w:rsidRPr="00B43EA9" w:rsidRDefault="00B43EA9" w:rsidP="00B43EA9">
      <w:pPr>
        <w:autoSpaceDE w:val="0"/>
        <w:autoSpaceDN w:val="0"/>
        <w:adjustRightInd w:val="0"/>
        <w:spacing w:after="240"/>
        <w:rPr>
          <w:rFonts w:asciiTheme="minorHAnsi" w:hAnsiTheme="minorHAnsi"/>
          <w:sz w:val="22"/>
          <w:szCs w:val="22"/>
        </w:rPr>
      </w:pPr>
      <w:r w:rsidRPr="00B43EA9">
        <w:rPr>
          <w:rFonts w:asciiTheme="minorHAnsi" w:hAnsiTheme="minorHAnsi"/>
          <w:sz w:val="22"/>
          <w:szCs w:val="22"/>
        </w:rPr>
        <w:t>Government of Ghana (2010),</w:t>
      </w:r>
      <w:r>
        <w:rPr>
          <w:rFonts w:asciiTheme="minorHAnsi" w:hAnsiTheme="minorHAnsi"/>
          <w:sz w:val="22"/>
          <w:szCs w:val="22"/>
        </w:rPr>
        <w:t xml:space="preserve"> </w:t>
      </w:r>
      <w:r>
        <w:rPr>
          <w:rFonts w:asciiTheme="minorHAnsi" w:hAnsiTheme="minorHAnsi"/>
          <w:i/>
          <w:sz w:val="22"/>
          <w:szCs w:val="22"/>
        </w:rPr>
        <w:t>Medium Term Agriculture Sector Investment Plan (METASIP) 2011-2015</w:t>
      </w:r>
      <w:r>
        <w:rPr>
          <w:rFonts w:asciiTheme="minorHAnsi" w:hAnsiTheme="minorHAnsi"/>
          <w:sz w:val="22"/>
          <w:szCs w:val="22"/>
        </w:rPr>
        <w:t>, Ministry of Food and Agriculture.  A</w:t>
      </w:r>
      <w:r w:rsidRPr="00B43EA9">
        <w:rPr>
          <w:rFonts w:asciiTheme="minorHAnsi" w:hAnsiTheme="minorHAnsi"/>
          <w:sz w:val="22"/>
          <w:szCs w:val="22"/>
        </w:rPr>
        <w:t xml:space="preserve">vailable at RESAKSS website: </w:t>
      </w:r>
      <w:hyperlink r:id="rId47" w:history="1">
        <w:r w:rsidRPr="00B43EA9">
          <w:rPr>
            <w:rStyle w:val="Hyperlink"/>
            <w:rFonts w:asciiTheme="minorHAnsi" w:hAnsiTheme="minorHAnsi"/>
            <w:sz w:val="22"/>
            <w:szCs w:val="22"/>
          </w:rPr>
          <w:t>http://www.resakss.org/</w:t>
        </w:r>
      </w:hyperlink>
      <w:r w:rsidRPr="00B43EA9">
        <w:rPr>
          <w:rFonts w:asciiTheme="minorHAnsi" w:hAnsiTheme="minorHAnsi"/>
          <w:sz w:val="22"/>
          <w:szCs w:val="22"/>
        </w:rPr>
        <w:t xml:space="preserve"> </w:t>
      </w:r>
    </w:p>
    <w:p w:rsidR="00126C99" w:rsidRPr="00126C99" w:rsidRDefault="00126C99" w:rsidP="003F6C09">
      <w:pPr>
        <w:autoSpaceDE w:val="0"/>
        <w:autoSpaceDN w:val="0"/>
        <w:adjustRightInd w:val="0"/>
        <w:spacing w:after="240"/>
        <w:rPr>
          <w:rFonts w:asciiTheme="minorHAnsi" w:hAnsiTheme="minorHAnsi" w:cs="Arial"/>
          <w:sz w:val="22"/>
          <w:szCs w:val="22"/>
        </w:rPr>
      </w:pPr>
      <w:r w:rsidRPr="00126C99">
        <w:rPr>
          <w:rFonts w:asciiTheme="minorHAnsi" w:hAnsiTheme="minorHAnsi" w:cs="Arial"/>
          <w:sz w:val="22"/>
          <w:szCs w:val="22"/>
        </w:rPr>
        <w:t xml:space="preserve">Government of Ghana (2011) </w:t>
      </w:r>
      <w:r w:rsidRPr="00126C99">
        <w:rPr>
          <w:rFonts w:asciiTheme="minorHAnsi" w:hAnsiTheme="minorHAnsi" w:cs="Arial"/>
          <w:i/>
          <w:sz w:val="22"/>
          <w:szCs w:val="22"/>
        </w:rPr>
        <w:t>Ministry of Food and Agriculture 2011 Annual Report</w:t>
      </w:r>
      <w:r>
        <w:rPr>
          <w:rFonts w:asciiTheme="minorHAnsi" w:hAnsiTheme="minorHAnsi" w:cs="Arial"/>
          <w:sz w:val="22"/>
          <w:szCs w:val="22"/>
        </w:rPr>
        <w:t>, MOFA, Accra.</w:t>
      </w:r>
      <w:r w:rsidRPr="00126C99">
        <w:rPr>
          <w:rFonts w:asciiTheme="minorHAnsi" w:hAnsiTheme="minorHAnsi" w:cs="Arial"/>
          <w:sz w:val="22"/>
          <w:szCs w:val="22"/>
        </w:rPr>
        <w:t xml:space="preserve"> </w:t>
      </w:r>
      <w:hyperlink r:id="rId48" w:history="1">
        <w:r w:rsidRPr="00126C99">
          <w:rPr>
            <w:rStyle w:val="Hyperlink"/>
            <w:rFonts w:asciiTheme="minorHAnsi" w:hAnsiTheme="minorHAnsi" w:cs="Arial"/>
            <w:sz w:val="22"/>
            <w:szCs w:val="22"/>
          </w:rPr>
          <w:t>https://docs.google.com/file/d/0B4fn1Fz6J8K9bW1pYXFMYWF3ZVk/edit?pli=1</w:t>
        </w:r>
      </w:hyperlink>
      <w:r w:rsidRPr="00126C99">
        <w:rPr>
          <w:rFonts w:asciiTheme="minorHAnsi" w:hAnsiTheme="minorHAnsi" w:cs="Arial"/>
          <w:sz w:val="22"/>
          <w:szCs w:val="22"/>
        </w:rPr>
        <w:t xml:space="preserve"> </w:t>
      </w:r>
    </w:p>
    <w:p w:rsidR="003F6C09" w:rsidRPr="00AE3638" w:rsidRDefault="003F6C09" w:rsidP="003F6C09">
      <w:pPr>
        <w:autoSpaceDE w:val="0"/>
        <w:autoSpaceDN w:val="0"/>
        <w:adjustRightInd w:val="0"/>
        <w:spacing w:after="240"/>
        <w:rPr>
          <w:rFonts w:asciiTheme="minorHAnsi" w:hAnsiTheme="minorHAnsi" w:cs="Arial"/>
          <w:b/>
          <w:color w:val="1F497D" w:themeColor="text2"/>
          <w:sz w:val="22"/>
          <w:szCs w:val="22"/>
        </w:rPr>
      </w:pPr>
      <w:r w:rsidRPr="00AE3638">
        <w:rPr>
          <w:rFonts w:asciiTheme="minorHAnsi" w:hAnsiTheme="minorHAnsi"/>
          <w:sz w:val="22"/>
          <w:szCs w:val="22"/>
        </w:rPr>
        <w:t xml:space="preserve">Hearn et al. (2010) </w:t>
      </w:r>
      <w:r w:rsidRPr="00AE3638">
        <w:rPr>
          <w:rFonts w:asciiTheme="minorHAnsi" w:hAnsiTheme="minorHAnsi"/>
          <w:i/>
          <w:sz w:val="22"/>
          <w:szCs w:val="22"/>
        </w:rPr>
        <w:t xml:space="preserve">A Preliminary Analysis of European Assistance to Agriculture in Sub-Saharan Africa </w:t>
      </w:r>
      <w:hyperlink r:id="rId49" w:history="1">
        <w:r w:rsidRPr="00AE3638">
          <w:rPr>
            <w:rStyle w:val="Hyperlink"/>
            <w:rFonts w:asciiTheme="minorHAnsi" w:hAnsiTheme="minorHAnsi"/>
            <w:sz w:val="22"/>
            <w:szCs w:val="22"/>
          </w:rPr>
          <w:t>https://workspace.imperial.ac.uk/africanagriculturaldevelopment/Public/Preliminary%20Analysis%20of%20European%20Assistance%20to%20Agriculture%20in%20SSA%20FINAL.pdf</w:t>
        </w:r>
      </w:hyperlink>
    </w:p>
    <w:p w:rsidR="00886BD9" w:rsidRDefault="00886BD9" w:rsidP="003F6C09">
      <w:pPr>
        <w:spacing w:after="240"/>
        <w:rPr>
          <w:rFonts w:asciiTheme="minorHAnsi" w:hAnsiTheme="minorHAnsi"/>
          <w:sz w:val="22"/>
          <w:szCs w:val="22"/>
        </w:rPr>
      </w:pPr>
      <w:r>
        <w:rPr>
          <w:rFonts w:asciiTheme="minorHAnsi" w:hAnsiTheme="minorHAnsi"/>
          <w:sz w:val="22"/>
          <w:szCs w:val="22"/>
        </w:rPr>
        <w:lastRenderedPageBreak/>
        <w:t>IFAD (2010)</w:t>
      </w:r>
      <w:r w:rsidRPr="00886BD9">
        <w:rPr>
          <w:rFonts w:asciiTheme="minorHAnsi" w:hAnsiTheme="minorHAnsi"/>
          <w:bCs/>
          <w:i/>
          <w:sz w:val="22"/>
          <w:szCs w:val="22"/>
          <w:lang w:eastAsia="en-GB"/>
        </w:rPr>
        <w:t xml:space="preserve"> Support to AU/NEPAD (Period of July 2009 to June 2010)</w:t>
      </w:r>
      <w:r w:rsidRPr="00886BD9">
        <w:rPr>
          <w:rFonts w:asciiTheme="minorHAnsi" w:hAnsiTheme="minorHAnsi"/>
          <w:i/>
          <w:sz w:val="22"/>
          <w:szCs w:val="22"/>
        </w:rPr>
        <w:t xml:space="preserve"> </w:t>
      </w:r>
      <w:hyperlink r:id="rId50" w:history="1">
        <w:r w:rsidRPr="00D7632E">
          <w:rPr>
            <w:rStyle w:val="Hyperlink"/>
            <w:rFonts w:asciiTheme="minorHAnsi" w:hAnsiTheme="minorHAnsi"/>
            <w:sz w:val="22"/>
            <w:szCs w:val="22"/>
          </w:rPr>
          <w:t>http://www.un.org/africa/osaa/2010_un_system/IFAD2010.pdf</w:t>
        </w:r>
      </w:hyperlink>
      <w:r>
        <w:rPr>
          <w:rFonts w:asciiTheme="minorHAnsi" w:hAnsiTheme="minorHAnsi"/>
          <w:sz w:val="22"/>
          <w:szCs w:val="22"/>
        </w:rPr>
        <w:t xml:space="preserve"> </w:t>
      </w:r>
    </w:p>
    <w:p w:rsidR="003F6C09" w:rsidRPr="00AE3638" w:rsidRDefault="003F6C09" w:rsidP="003F6C09">
      <w:pPr>
        <w:spacing w:after="240"/>
        <w:rPr>
          <w:rFonts w:asciiTheme="minorHAnsi" w:hAnsiTheme="minorHAnsi"/>
          <w:i/>
          <w:sz w:val="22"/>
          <w:szCs w:val="22"/>
        </w:rPr>
      </w:pPr>
      <w:r w:rsidRPr="00AE3638">
        <w:rPr>
          <w:rFonts w:asciiTheme="minorHAnsi" w:hAnsiTheme="minorHAnsi"/>
          <w:sz w:val="22"/>
          <w:szCs w:val="22"/>
        </w:rPr>
        <w:t xml:space="preserve">James Morton &amp; Co (2011) </w:t>
      </w:r>
      <w:r w:rsidRPr="00AE3638">
        <w:rPr>
          <w:rFonts w:asciiTheme="minorHAnsi" w:hAnsiTheme="minorHAnsi"/>
          <w:bCs/>
          <w:i/>
          <w:sz w:val="22"/>
          <w:szCs w:val="22"/>
        </w:rPr>
        <w:t xml:space="preserve">European Initiative for Agricultural Research for Development (EIARD) Analysis of donor support to CAADP Pillar 4 – Phase 1, </w:t>
      </w:r>
      <w:r w:rsidRPr="00AE3638">
        <w:rPr>
          <w:rFonts w:asciiTheme="minorHAnsi" w:hAnsiTheme="minorHAnsi"/>
          <w:bCs/>
          <w:sz w:val="22"/>
          <w:szCs w:val="22"/>
        </w:rPr>
        <w:t xml:space="preserve">A report to Executive Secretary, EIARD, European Commission, Brussels. </w:t>
      </w:r>
      <w:hyperlink r:id="rId51" w:history="1">
        <w:r w:rsidRPr="00AE3638">
          <w:rPr>
            <w:rStyle w:val="Hyperlink"/>
            <w:rFonts w:asciiTheme="minorHAnsi" w:hAnsiTheme="minorHAnsi"/>
            <w:bCs/>
            <w:sz w:val="22"/>
            <w:szCs w:val="22"/>
          </w:rPr>
          <w:t>http://www.eiard.org/media/uploads/File/documents/thematic_studies/EIARD%201.4%20Donor%20Support%20to%20CAADP%20Pillar%204%20-%20Phase%201%20report.pdf</w:t>
        </w:r>
      </w:hyperlink>
      <w:r w:rsidRPr="00AE3638">
        <w:rPr>
          <w:rFonts w:asciiTheme="minorHAnsi" w:hAnsiTheme="minorHAnsi"/>
          <w:bCs/>
          <w:sz w:val="22"/>
          <w:szCs w:val="22"/>
        </w:rPr>
        <w:t xml:space="preserve"> </w:t>
      </w:r>
    </w:p>
    <w:p w:rsidR="00B83E7E" w:rsidRDefault="0081450D" w:rsidP="00B70BFC">
      <w:pPr>
        <w:rPr>
          <w:rFonts w:asciiTheme="minorHAnsi" w:hAnsiTheme="minorHAnsi"/>
          <w:sz w:val="22"/>
          <w:szCs w:val="22"/>
        </w:rPr>
      </w:pPr>
      <w:r>
        <w:rPr>
          <w:rFonts w:asciiTheme="minorHAnsi" w:hAnsiTheme="minorHAnsi"/>
          <w:sz w:val="22"/>
          <w:szCs w:val="22"/>
        </w:rPr>
        <w:t xml:space="preserve">Kaminski, J. (2011) ‘Cotton Dependence in Burkina Faso: Constraints and Opportunities for Balanced Growth’, Chapter 6 in </w:t>
      </w:r>
      <w:proofErr w:type="spellStart"/>
      <w:r>
        <w:rPr>
          <w:rFonts w:asciiTheme="minorHAnsi" w:hAnsiTheme="minorHAnsi"/>
          <w:sz w:val="22"/>
          <w:szCs w:val="22"/>
        </w:rPr>
        <w:t>Chuhan</w:t>
      </w:r>
      <w:proofErr w:type="spellEnd"/>
      <w:r>
        <w:rPr>
          <w:rFonts w:asciiTheme="minorHAnsi" w:hAnsiTheme="minorHAnsi"/>
          <w:sz w:val="22"/>
          <w:szCs w:val="22"/>
        </w:rPr>
        <w:t xml:space="preserve">-Pole, P. and </w:t>
      </w:r>
      <w:proofErr w:type="spellStart"/>
      <w:r>
        <w:rPr>
          <w:rFonts w:asciiTheme="minorHAnsi" w:hAnsiTheme="minorHAnsi"/>
          <w:sz w:val="22"/>
          <w:szCs w:val="22"/>
        </w:rPr>
        <w:t>Angwafo</w:t>
      </w:r>
      <w:proofErr w:type="spellEnd"/>
      <w:r>
        <w:rPr>
          <w:rFonts w:asciiTheme="minorHAnsi" w:hAnsiTheme="minorHAnsi"/>
          <w:sz w:val="22"/>
          <w:szCs w:val="22"/>
        </w:rPr>
        <w:t>, M. (</w:t>
      </w:r>
      <w:proofErr w:type="spellStart"/>
      <w:r>
        <w:rPr>
          <w:rFonts w:asciiTheme="minorHAnsi" w:hAnsiTheme="minorHAnsi"/>
          <w:sz w:val="22"/>
          <w:szCs w:val="22"/>
        </w:rPr>
        <w:t>eds</w:t>
      </w:r>
      <w:proofErr w:type="spellEnd"/>
      <w:r>
        <w:rPr>
          <w:rFonts w:asciiTheme="minorHAnsi" w:hAnsiTheme="minorHAnsi"/>
          <w:sz w:val="22"/>
          <w:szCs w:val="22"/>
        </w:rPr>
        <w:t xml:space="preserve">) </w:t>
      </w:r>
      <w:r>
        <w:rPr>
          <w:rFonts w:asciiTheme="minorHAnsi" w:hAnsiTheme="minorHAnsi"/>
          <w:i/>
          <w:sz w:val="22"/>
          <w:szCs w:val="22"/>
        </w:rPr>
        <w:t>Yes Africa Can: Success Stories from a Dynamic Continent</w:t>
      </w:r>
      <w:r w:rsidR="00E77264">
        <w:rPr>
          <w:rFonts w:asciiTheme="minorHAnsi" w:hAnsiTheme="minorHAnsi"/>
          <w:sz w:val="22"/>
          <w:szCs w:val="22"/>
        </w:rPr>
        <w:t>, pp. 107-124</w:t>
      </w:r>
      <w:r>
        <w:rPr>
          <w:rFonts w:asciiTheme="minorHAnsi" w:hAnsiTheme="minorHAnsi"/>
          <w:i/>
          <w:sz w:val="22"/>
          <w:szCs w:val="22"/>
        </w:rPr>
        <w:t xml:space="preserve">.  </w:t>
      </w:r>
      <w:r>
        <w:rPr>
          <w:rFonts w:asciiTheme="minorHAnsi" w:hAnsiTheme="minorHAnsi"/>
          <w:sz w:val="22"/>
          <w:szCs w:val="22"/>
        </w:rPr>
        <w:t>World Bank, Washington D.C.</w:t>
      </w:r>
      <w:r w:rsidRPr="0081450D">
        <w:t xml:space="preserve"> </w:t>
      </w:r>
      <w:hyperlink r:id="rId52" w:history="1">
        <w:r w:rsidRPr="00583DCA">
          <w:rPr>
            <w:rStyle w:val="Hyperlink"/>
            <w:rFonts w:asciiTheme="minorHAnsi" w:hAnsiTheme="minorHAnsi"/>
            <w:sz w:val="22"/>
            <w:szCs w:val="22"/>
          </w:rPr>
          <w:t>http://siteresources.worldbank.org/AFRICAEXT/Resources/258643-1271798012256/Burkina-cotton.pdf</w:t>
        </w:r>
      </w:hyperlink>
      <w:r>
        <w:rPr>
          <w:rFonts w:asciiTheme="minorHAnsi" w:hAnsiTheme="minorHAnsi"/>
          <w:sz w:val="22"/>
          <w:szCs w:val="22"/>
        </w:rPr>
        <w:t xml:space="preserve"> </w:t>
      </w:r>
    </w:p>
    <w:p w:rsidR="0081450D" w:rsidRDefault="0081450D" w:rsidP="00B70BFC">
      <w:pPr>
        <w:rPr>
          <w:rFonts w:asciiTheme="minorHAnsi" w:hAnsiTheme="minorHAnsi"/>
          <w:sz w:val="22"/>
          <w:szCs w:val="22"/>
        </w:rPr>
      </w:pPr>
    </w:p>
    <w:p w:rsidR="00B70BFC" w:rsidRPr="00B70BFC" w:rsidRDefault="00B70BFC" w:rsidP="00B70BFC">
      <w:pPr>
        <w:rPr>
          <w:rFonts w:asciiTheme="minorHAnsi" w:hAnsiTheme="minorHAnsi" w:cs="Arial"/>
          <w:sz w:val="22"/>
          <w:szCs w:val="22"/>
          <w:shd w:val="clear" w:color="auto" w:fill="FFFFFF"/>
        </w:rPr>
      </w:pPr>
      <w:proofErr w:type="spellStart"/>
      <w:r>
        <w:rPr>
          <w:rFonts w:asciiTheme="minorHAnsi" w:hAnsiTheme="minorHAnsi"/>
          <w:sz w:val="22"/>
          <w:szCs w:val="22"/>
        </w:rPr>
        <w:t>Kolavalli</w:t>
      </w:r>
      <w:proofErr w:type="spellEnd"/>
      <w:r>
        <w:rPr>
          <w:rFonts w:asciiTheme="minorHAnsi" w:hAnsiTheme="minorHAnsi"/>
          <w:sz w:val="22"/>
          <w:szCs w:val="22"/>
        </w:rPr>
        <w:t xml:space="preserve">, S., Flaherty, K., Al-Hassan, R. and </w:t>
      </w:r>
      <w:proofErr w:type="spellStart"/>
      <w:r w:rsidRPr="00B70BFC">
        <w:rPr>
          <w:rFonts w:asciiTheme="minorHAnsi" w:hAnsiTheme="minorHAnsi"/>
          <w:sz w:val="22"/>
          <w:szCs w:val="22"/>
        </w:rPr>
        <w:t>Owusu</w:t>
      </w:r>
      <w:proofErr w:type="spellEnd"/>
      <w:r w:rsidRPr="00B70BFC">
        <w:rPr>
          <w:rFonts w:asciiTheme="minorHAnsi" w:hAnsiTheme="minorHAnsi"/>
          <w:sz w:val="22"/>
          <w:szCs w:val="22"/>
        </w:rPr>
        <w:t xml:space="preserve"> </w:t>
      </w:r>
      <w:proofErr w:type="spellStart"/>
      <w:r w:rsidRPr="00B70BFC">
        <w:rPr>
          <w:rFonts w:asciiTheme="minorHAnsi" w:hAnsiTheme="minorHAnsi"/>
          <w:sz w:val="22"/>
          <w:szCs w:val="22"/>
        </w:rPr>
        <w:t>Baah</w:t>
      </w:r>
      <w:proofErr w:type="spellEnd"/>
      <w:r w:rsidRPr="00B70BFC">
        <w:rPr>
          <w:rFonts w:asciiTheme="minorHAnsi" w:hAnsiTheme="minorHAnsi"/>
          <w:sz w:val="22"/>
          <w:szCs w:val="22"/>
        </w:rPr>
        <w:t xml:space="preserve">, K. (2010) </w:t>
      </w:r>
      <w:r w:rsidRPr="00B70BFC">
        <w:rPr>
          <w:rFonts w:asciiTheme="minorHAnsi" w:hAnsiTheme="minorHAnsi"/>
          <w:i/>
          <w:sz w:val="22"/>
          <w:szCs w:val="22"/>
        </w:rPr>
        <w:t xml:space="preserve">Do </w:t>
      </w:r>
      <w:r w:rsidRPr="00B70BFC">
        <w:rPr>
          <w:rFonts w:asciiTheme="minorHAnsi" w:hAnsiTheme="minorHAnsi" w:cs="Arial"/>
          <w:bCs/>
          <w:i/>
          <w:color w:val="000000"/>
          <w:sz w:val="22"/>
          <w:szCs w:val="22"/>
        </w:rPr>
        <w:t xml:space="preserve">Comprehensive Africa Agriculture Development Program (CAADP) Processes Make a Difference to Country Commitments to Develop Agriculture?  </w:t>
      </w:r>
      <w:r w:rsidRPr="00B70BFC">
        <w:rPr>
          <w:rFonts w:asciiTheme="minorHAnsi" w:hAnsiTheme="minorHAnsi" w:cs="Arial"/>
          <w:i/>
          <w:color w:val="000000"/>
          <w:sz w:val="22"/>
          <w:szCs w:val="22"/>
        </w:rPr>
        <w:t>The Case of Ghana</w:t>
      </w:r>
      <w:r w:rsidRPr="00B70BFC">
        <w:rPr>
          <w:rFonts w:asciiTheme="minorHAnsi" w:hAnsiTheme="minorHAnsi" w:cs="Arial"/>
          <w:color w:val="000000"/>
          <w:sz w:val="22"/>
          <w:szCs w:val="22"/>
        </w:rPr>
        <w:t xml:space="preserve">, </w:t>
      </w:r>
      <w:r w:rsidRPr="00B70BFC">
        <w:rPr>
          <w:rFonts w:asciiTheme="minorHAnsi" w:hAnsiTheme="minorHAnsi" w:cs="Arial"/>
          <w:sz w:val="22"/>
          <w:szCs w:val="22"/>
        </w:rPr>
        <w:t xml:space="preserve">IFPRI Discussion Paper 01006, July 2010. </w:t>
      </w:r>
      <w:hyperlink r:id="rId53" w:history="1">
        <w:r w:rsidRPr="00B70BFC">
          <w:rPr>
            <w:rStyle w:val="Hyperlink"/>
            <w:rFonts w:asciiTheme="minorHAnsi" w:hAnsiTheme="minorHAnsi" w:cs="Arial"/>
            <w:sz w:val="22"/>
            <w:szCs w:val="22"/>
            <w:shd w:val="clear" w:color="auto" w:fill="FFFFFF"/>
          </w:rPr>
          <w:t>http://www.ifpri.org/sites/default/files/publications/ifpridp01006.pdf</w:t>
        </w:r>
      </w:hyperlink>
      <w:r w:rsidRPr="00B70BFC">
        <w:rPr>
          <w:rFonts w:asciiTheme="minorHAnsi" w:hAnsiTheme="minorHAnsi" w:cs="Arial"/>
          <w:sz w:val="22"/>
          <w:szCs w:val="22"/>
          <w:shd w:val="clear" w:color="auto" w:fill="FFFFFF"/>
        </w:rPr>
        <w:t xml:space="preserve"> </w:t>
      </w:r>
    </w:p>
    <w:p w:rsidR="00B70BFC" w:rsidRPr="00B70BFC" w:rsidRDefault="00B70BFC" w:rsidP="00B70BFC">
      <w:pPr>
        <w:pStyle w:val="Default"/>
        <w:rPr>
          <w:rFonts w:asciiTheme="minorHAnsi" w:hAnsiTheme="minorHAnsi" w:cs="Arial"/>
          <w:sz w:val="22"/>
          <w:szCs w:val="22"/>
        </w:rPr>
      </w:pPr>
    </w:p>
    <w:p w:rsidR="003F6C09" w:rsidRPr="00AE3638" w:rsidRDefault="003F6C09" w:rsidP="003F6C09">
      <w:pPr>
        <w:spacing w:after="240"/>
        <w:rPr>
          <w:rFonts w:asciiTheme="minorHAnsi" w:hAnsiTheme="minorHAnsi" w:cs="Calibri"/>
          <w:bCs/>
          <w:sz w:val="22"/>
          <w:szCs w:val="22"/>
        </w:rPr>
      </w:pPr>
      <w:proofErr w:type="spellStart"/>
      <w:r w:rsidRPr="00AE3638">
        <w:rPr>
          <w:rFonts w:asciiTheme="minorHAnsi" w:hAnsiTheme="minorHAnsi"/>
          <w:sz w:val="22"/>
          <w:szCs w:val="22"/>
        </w:rPr>
        <w:t>Kingsmill</w:t>
      </w:r>
      <w:proofErr w:type="spellEnd"/>
      <w:r w:rsidRPr="00AE3638">
        <w:rPr>
          <w:rFonts w:asciiTheme="minorHAnsi" w:hAnsiTheme="minorHAnsi"/>
          <w:sz w:val="22"/>
          <w:szCs w:val="22"/>
        </w:rPr>
        <w:t xml:space="preserve">, W., </w:t>
      </w:r>
      <w:proofErr w:type="spellStart"/>
      <w:r w:rsidRPr="00AE3638">
        <w:rPr>
          <w:rFonts w:asciiTheme="minorHAnsi" w:hAnsiTheme="minorHAnsi"/>
          <w:sz w:val="22"/>
          <w:szCs w:val="22"/>
        </w:rPr>
        <w:t>Teshome</w:t>
      </w:r>
      <w:proofErr w:type="spellEnd"/>
      <w:r w:rsidRPr="00AE3638">
        <w:rPr>
          <w:rFonts w:asciiTheme="minorHAnsi" w:hAnsiTheme="minorHAnsi"/>
          <w:sz w:val="22"/>
          <w:szCs w:val="22"/>
        </w:rPr>
        <w:t xml:space="preserve">, A. and </w:t>
      </w:r>
      <w:proofErr w:type="spellStart"/>
      <w:r w:rsidRPr="00AE3638">
        <w:rPr>
          <w:rFonts w:asciiTheme="minorHAnsi" w:hAnsiTheme="minorHAnsi"/>
          <w:sz w:val="22"/>
          <w:szCs w:val="22"/>
        </w:rPr>
        <w:t>Tembo</w:t>
      </w:r>
      <w:proofErr w:type="spellEnd"/>
      <w:r w:rsidRPr="00AE3638">
        <w:rPr>
          <w:rFonts w:asciiTheme="minorHAnsi" w:hAnsiTheme="minorHAnsi"/>
          <w:sz w:val="22"/>
          <w:szCs w:val="22"/>
        </w:rPr>
        <w:t>, S. (2011)</w:t>
      </w:r>
      <w:r w:rsidRPr="00AE3638">
        <w:rPr>
          <w:rFonts w:asciiTheme="minorHAnsi" w:hAnsiTheme="minorHAnsi" w:cs="Calibri"/>
          <w:i/>
          <w:sz w:val="22"/>
          <w:szCs w:val="22"/>
        </w:rPr>
        <w:t xml:space="preserve"> </w:t>
      </w:r>
      <w:r w:rsidRPr="00AE3638">
        <w:rPr>
          <w:rFonts w:asciiTheme="minorHAnsi" w:hAnsiTheme="minorHAnsi" w:cs="Calibri"/>
          <w:bCs/>
          <w:i/>
          <w:sz w:val="22"/>
          <w:szCs w:val="22"/>
        </w:rPr>
        <w:t>Mid Term Review of the Multi Donor Trust Fund supporting the Comprehensive Africa Agriculture Development Programme</w:t>
      </w:r>
      <w:r w:rsidRPr="00AE3638">
        <w:rPr>
          <w:rFonts w:asciiTheme="minorHAnsi" w:hAnsiTheme="minorHAnsi" w:cs="Calibri"/>
          <w:bCs/>
          <w:sz w:val="22"/>
          <w:szCs w:val="22"/>
        </w:rPr>
        <w:t>, November 2011.</w:t>
      </w:r>
      <w:r w:rsidRPr="00AE3638">
        <w:rPr>
          <w:rFonts w:asciiTheme="minorHAnsi" w:hAnsiTheme="minorHAnsi"/>
          <w:sz w:val="22"/>
          <w:szCs w:val="22"/>
        </w:rPr>
        <w:t xml:space="preserve"> </w:t>
      </w:r>
      <w:hyperlink r:id="rId54" w:history="1">
        <w:r w:rsidRPr="00AE3638">
          <w:rPr>
            <w:rStyle w:val="Hyperlink"/>
            <w:rFonts w:asciiTheme="minorHAnsi" w:hAnsiTheme="minorHAnsi" w:cs="Calibri"/>
            <w:bCs/>
            <w:sz w:val="22"/>
            <w:szCs w:val="22"/>
          </w:rPr>
          <w:t>http://www.nepad.org/system/files/Final%20Independent%20Review%20Kingsmill%20et%20%20al%20%202011.pdf</w:t>
        </w:r>
      </w:hyperlink>
      <w:r w:rsidRPr="00AE3638">
        <w:rPr>
          <w:rFonts w:asciiTheme="minorHAnsi" w:hAnsiTheme="minorHAnsi" w:cs="Calibri"/>
          <w:bCs/>
          <w:sz w:val="22"/>
          <w:szCs w:val="22"/>
        </w:rPr>
        <w:t xml:space="preserve"> </w:t>
      </w:r>
    </w:p>
    <w:p w:rsidR="00441CB1" w:rsidRPr="00441CB1" w:rsidRDefault="00441CB1" w:rsidP="003F6C09">
      <w:pPr>
        <w:spacing w:after="240"/>
        <w:rPr>
          <w:rFonts w:asciiTheme="minorHAnsi" w:hAnsiTheme="minorHAnsi"/>
          <w:sz w:val="22"/>
          <w:szCs w:val="22"/>
        </w:rPr>
      </w:pPr>
      <w:r>
        <w:rPr>
          <w:rFonts w:asciiTheme="minorHAnsi" w:hAnsiTheme="minorHAnsi"/>
          <w:sz w:val="22"/>
          <w:szCs w:val="22"/>
        </w:rPr>
        <w:t xml:space="preserve">Kumar, S. (2012) ‘Food Security and India’s Vision of Agriculture Development in Africa’, </w:t>
      </w:r>
      <w:r>
        <w:rPr>
          <w:rFonts w:asciiTheme="minorHAnsi" w:hAnsiTheme="minorHAnsi"/>
          <w:i/>
          <w:sz w:val="22"/>
          <w:szCs w:val="22"/>
        </w:rPr>
        <w:t>Africa Review</w:t>
      </w:r>
      <w:r>
        <w:rPr>
          <w:rFonts w:asciiTheme="minorHAnsi" w:hAnsiTheme="minorHAnsi"/>
          <w:sz w:val="22"/>
          <w:szCs w:val="22"/>
        </w:rPr>
        <w:t xml:space="preserve"> (May 2012).  </w:t>
      </w:r>
      <w:hyperlink r:id="rId55" w:history="1">
        <w:r w:rsidRPr="00CA54A3">
          <w:rPr>
            <w:rStyle w:val="Hyperlink"/>
            <w:rFonts w:asciiTheme="minorHAnsi" w:hAnsiTheme="minorHAnsi"/>
            <w:sz w:val="22"/>
            <w:szCs w:val="22"/>
          </w:rPr>
          <w:t>http://www.africaindia.org/index.php?option=com_content&amp;view=category&amp;layout=blog&amp;id=34&amp;Itemid</w:t>
        </w:r>
      </w:hyperlink>
      <w:r>
        <w:rPr>
          <w:rFonts w:asciiTheme="minorHAnsi" w:hAnsiTheme="minorHAnsi"/>
          <w:sz w:val="22"/>
          <w:szCs w:val="22"/>
        </w:rPr>
        <w:t xml:space="preserve"> </w:t>
      </w:r>
    </w:p>
    <w:p w:rsidR="003F6C09" w:rsidRPr="00AE3638" w:rsidRDefault="003F6C09" w:rsidP="003F6C09">
      <w:pPr>
        <w:spacing w:after="240"/>
        <w:rPr>
          <w:rStyle w:val="Hyperlink"/>
          <w:rFonts w:asciiTheme="minorHAnsi" w:hAnsiTheme="minorHAnsi"/>
          <w:sz w:val="22"/>
          <w:szCs w:val="22"/>
        </w:rPr>
      </w:pPr>
      <w:r w:rsidRPr="00AE3638">
        <w:rPr>
          <w:rFonts w:asciiTheme="minorHAnsi" w:hAnsiTheme="minorHAnsi"/>
          <w:sz w:val="22"/>
          <w:szCs w:val="22"/>
        </w:rPr>
        <w:t xml:space="preserve">Lei Sun, H. (2011) ‘Understanding China’s Agricultural Investments in Africa’, November 2011, SAIIA Occasional Paper No. 112, China in Africa Project, South Africa Institute of International Affairs (SAIIA) </w:t>
      </w:r>
      <w:hyperlink r:id="rId56" w:history="1">
        <w:r w:rsidRPr="00AE3638">
          <w:rPr>
            <w:rStyle w:val="Hyperlink"/>
            <w:rFonts w:asciiTheme="minorHAnsi" w:hAnsiTheme="minorHAnsi"/>
            <w:sz w:val="22"/>
            <w:szCs w:val="22"/>
          </w:rPr>
          <w:t>http://www.saiia.org.za/images/stories/pubs/occasional_papers_above_100/saia_sop_102_lei_sun_20111129.pdf</w:t>
        </w:r>
      </w:hyperlink>
    </w:p>
    <w:p w:rsidR="003F6C09" w:rsidRPr="00AE3638" w:rsidRDefault="003F6C09" w:rsidP="003F6C09">
      <w:pPr>
        <w:spacing w:after="240"/>
        <w:rPr>
          <w:rFonts w:asciiTheme="minorHAnsi" w:hAnsiTheme="minorHAnsi"/>
          <w:sz w:val="22"/>
          <w:szCs w:val="22"/>
        </w:rPr>
      </w:pPr>
      <w:r w:rsidRPr="00AE3638">
        <w:rPr>
          <w:rStyle w:val="personname"/>
          <w:rFonts w:asciiTheme="minorHAnsi" w:hAnsiTheme="minorHAnsi"/>
          <w:color w:val="000000"/>
          <w:sz w:val="22"/>
          <w:szCs w:val="22"/>
          <w:shd w:val="clear" w:color="auto" w:fill="FFFFFF"/>
        </w:rPr>
        <w:t>Mohan, G.</w:t>
      </w:r>
      <w:r w:rsidRPr="00AE3638">
        <w:rPr>
          <w:rStyle w:val="apple-converted-space"/>
          <w:rFonts w:asciiTheme="minorHAnsi" w:hAnsiTheme="minorHAnsi"/>
          <w:color w:val="000000"/>
          <w:sz w:val="22"/>
          <w:szCs w:val="22"/>
          <w:shd w:val="clear" w:color="auto" w:fill="FFFFFF"/>
        </w:rPr>
        <w:t> </w:t>
      </w:r>
      <w:r w:rsidRPr="00AE3638">
        <w:rPr>
          <w:rFonts w:asciiTheme="minorHAnsi" w:hAnsiTheme="minorHAnsi"/>
          <w:color w:val="000000"/>
          <w:sz w:val="22"/>
          <w:szCs w:val="22"/>
          <w:shd w:val="clear" w:color="auto" w:fill="FFFFFF"/>
        </w:rPr>
        <w:t>and</w:t>
      </w:r>
      <w:r w:rsidRPr="00AE3638">
        <w:rPr>
          <w:rStyle w:val="apple-converted-space"/>
          <w:rFonts w:asciiTheme="minorHAnsi" w:hAnsiTheme="minorHAnsi"/>
          <w:color w:val="000000"/>
          <w:sz w:val="22"/>
          <w:szCs w:val="22"/>
          <w:shd w:val="clear" w:color="auto" w:fill="FFFFFF"/>
        </w:rPr>
        <w:t> </w:t>
      </w:r>
      <w:proofErr w:type="spellStart"/>
      <w:r w:rsidRPr="00AE3638">
        <w:rPr>
          <w:rStyle w:val="personname"/>
          <w:rFonts w:asciiTheme="minorHAnsi" w:hAnsiTheme="minorHAnsi"/>
          <w:color w:val="000000"/>
          <w:sz w:val="22"/>
          <w:szCs w:val="22"/>
          <w:shd w:val="clear" w:color="auto" w:fill="FFFFFF"/>
        </w:rPr>
        <w:t>Lampert</w:t>
      </w:r>
      <w:proofErr w:type="spellEnd"/>
      <w:r w:rsidRPr="00AE3638">
        <w:rPr>
          <w:rStyle w:val="personname"/>
          <w:rFonts w:asciiTheme="minorHAnsi" w:hAnsiTheme="minorHAnsi"/>
          <w:color w:val="000000"/>
          <w:sz w:val="22"/>
          <w:szCs w:val="22"/>
          <w:shd w:val="clear" w:color="auto" w:fill="FFFFFF"/>
        </w:rPr>
        <w:t>, B.</w:t>
      </w:r>
      <w:r w:rsidRPr="00AE3638">
        <w:rPr>
          <w:rStyle w:val="apple-converted-space"/>
          <w:rFonts w:asciiTheme="minorHAnsi" w:hAnsiTheme="minorHAnsi"/>
          <w:color w:val="000000"/>
          <w:sz w:val="22"/>
          <w:szCs w:val="22"/>
          <w:shd w:val="clear" w:color="auto" w:fill="FFFFFF"/>
        </w:rPr>
        <w:t> </w:t>
      </w:r>
      <w:r w:rsidRPr="00AE3638">
        <w:rPr>
          <w:rFonts w:asciiTheme="minorHAnsi" w:hAnsiTheme="minorHAnsi"/>
          <w:color w:val="000000"/>
          <w:sz w:val="22"/>
          <w:szCs w:val="22"/>
          <w:shd w:val="clear" w:color="auto" w:fill="FFFFFF"/>
        </w:rPr>
        <w:t>(2013) ‘</w:t>
      </w:r>
      <w:r w:rsidRPr="00AE3638">
        <w:rPr>
          <w:rFonts w:asciiTheme="minorHAnsi" w:hAnsiTheme="minorHAnsi"/>
          <w:sz w:val="22"/>
          <w:szCs w:val="22"/>
        </w:rPr>
        <w:t xml:space="preserve">Negotiating China: Reinserting African agency into China-Africa relations’, </w:t>
      </w:r>
      <w:r w:rsidRPr="00AE3638">
        <w:rPr>
          <w:rFonts w:asciiTheme="minorHAnsi" w:hAnsiTheme="minorHAnsi"/>
          <w:i/>
          <w:iCs/>
          <w:color w:val="000000"/>
          <w:sz w:val="22"/>
          <w:szCs w:val="22"/>
          <w:shd w:val="clear" w:color="auto" w:fill="FFFFFF"/>
        </w:rPr>
        <w:t>African Affairs</w:t>
      </w:r>
      <w:r w:rsidRPr="00AE3638">
        <w:rPr>
          <w:rStyle w:val="apple-converted-space"/>
          <w:rFonts w:asciiTheme="minorHAnsi" w:hAnsiTheme="minorHAnsi"/>
          <w:color w:val="000000"/>
          <w:sz w:val="22"/>
          <w:szCs w:val="22"/>
          <w:shd w:val="clear" w:color="auto" w:fill="FFFFFF"/>
        </w:rPr>
        <w:t> </w:t>
      </w:r>
      <w:r w:rsidRPr="00AE3638">
        <w:rPr>
          <w:rFonts w:asciiTheme="minorHAnsi" w:hAnsiTheme="minorHAnsi"/>
          <w:color w:val="000000"/>
          <w:sz w:val="22"/>
          <w:szCs w:val="22"/>
          <w:shd w:val="clear" w:color="auto" w:fill="FFFFFF"/>
        </w:rPr>
        <w:t>(In Press).</w:t>
      </w:r>
    </w:p>
    <w:p w:rsidR="00C43095" w:rsidRPr="00C43095" w:rsidRDefault="00C43095" w:rsidP="003F6C09">
      <w:pPr>
        <w:spacing w:after="240"/>
        <w:rPr>
          <w:rFonts w:asciiTheme="minorHAnsi" w:hAnsiTheme="minorHAnsi"/>
          <w:sz w:val="22"/>
          <w:szCs w:val="22"/>
        </w:rPr>
      </w:pPr>
      <w:r>
        <w:rPr>
          <w:rFonts w:asciiTheme="minorHAnsi" w:hAnsiTheme="minorHAnsi"/>
          <w:sz w:val="22"/>
          <w:szCs w:val="22"/>
        </w:rPr>
        <w:t xml:space="preserve">NEPAD (2010) </w:t>
      </w:r>
      <w:r>
        <w:rPr>
          <w:rFonts w:asciiTheme="minorHAnsi" w:hAnsiTheme="minorHAnsi"/>
          <w:i/>
          <w:sz w:val="22"/>
          <w:szCs w:val="22"/>
        </w:rPr>
        <w:t>CAADP in Practice: Highlighting the Successes</w:t>
      </w:r>
      <w:r>
        <w:rPr>
          <w:rFonts w:asciiTheme="minorHAnsi" w:hAnsiTheme="minorHAnsi"/>
          <w:sz w:val="22"/>
          <w:szCs w:val="22"/>
        </w:rPr>
        <w:t xml:space="preserve">, NEPAD, Johannesburg. </w:t>
      </w:r>
      <w:hyperlink r:id="rId57" w:history="1">
        <w:r w:rsidRPr="00D7632E">
          <w:rPr>
            <w:rStyle w:val="Hyperlink"/>
            <w:rFonts w:asciiTheme="minorHAnsi" w:hAnsiTheme="minorHAnsi"/>
            <w:sz w:val="22"/>
            <w:szCs w:val="22"/>
          </w:rPr>
          <w:t>http://www.nepad.org/system/files/Highlighting%20the%20successes%20280611%20v3%200%20web.pdf</w:t>
        </w:r>
      </w:hyperlink>
      <w:r>
        <w:rPr>
          <w:rFonts w:asciiTheme="minorHAnsi" w:hAnsiTheme="minorHAnsi"/>
          <w:sz w:val="22"/>
          <w:szCs w:val="22"/>
        </w:rPr>
        <w:t xml:space="preserve"> </w:t>
      </w:r>
    </w:p>
    <w:p w:rsidR="00B20DFE" w:rsidRPr="00AE3638" w:rsidRDefault="00D006E2" w:rsidP="00B20DFE">
      <w:pPr>
        <w:spacing w:after="240"/>
        <w:rPr>
          <w:rStyle w:val="Hyperlink"/>
          <w:rFonts w:asciiTheme="minorHAnsi" w:hAnsiTheme="minorHAnsi"/>
          <w:sz w:val="22"/>
          <w:szCs w:val="22"/>
        </w:rPr>
      </w:pPr>
      <w:r w:rsidRPr="00D006E2">
        <w:rPr>
          <w:rFonts w:asciiTheme="minorHAnsi" w:hAnsiTheme="minorHAnsi"/>
          <w:sz w:val="22"/>
          <w:szCs w:val="22"/>
        </w:rPr>
        <w:t xml:space="preserve">Nielson, D. (2012) </w:t>
      </w:r>
      <w:r w:rsidRPr="00D006E2">
        <w:rPr>
          <w:rFonts w:asciiTheme="minorHAnsi" w:hAnsiTheme="minorHAnsi"/>
          <w:i/>
          <w:sz w:val="22"/>
          <w:szCs w:val="22"/>
        </w:rPr>
        <w:t xml:space="preserve">CAADP Multi-donor Trust Fund Mid-Term Review Trust Fund Status Report, </w:t>
      </w:r>
      <w:r w:rsidRPr="00D006E2">
        <w:rPr>
          <w:rFonts w:asciiTheme="minorHAnsi" w:hAnsiTheme="minorHAnsi"/>
          <w:sz w:val="22"/>
          <w:szCs w:val="22"/>
        </w:rPr>
        <w:t xml:space="preserve">April 2012 </w:t>
      </w:r>
      <w:hyperlink r:id="rId58" w:history="1">
        <w:r w:rsidRPr="00FF135C">
          <w:rPr>
            <w:rStyle w:val="Hyperlink"/>
            <w:rFonts w:asciiTheme="minorHAnsi" w:hAnsiTheme="minorHAnsi"/>
            <w:sz w:val="22"/>
            <w:szCs w:val="22"/>
          </w:rPr>
          <w:t>http://www.nepad.org/system/files/CAADP%20MDTF%20Status%20Report%20Main%20Text%20FINAL.pdf</w:t>
        </w:r>
      </w:hyperlink>
      <w:r w:rsidRPr="00D006E2">
        <w:rPr>
          <w:rFonts w:asciiTheme="minorHAnsi" w:hAnsiTheme="minorHAnsi"/>
          <w:sz w:val="22"/>
          <w:szCs w:val="22"/>
        </w:rPr>
        <w:t xml:space="preserve"> </w:t>
      </w:r>
    </w:p>
    <w:p w:rsidR="003F6C09" w:rsidRPr="00AE3638" w:rsidRDefault="003F6C09" w:rsidP="003F6C09">
      <w:pPr>
        <w:spacing w:after="240"/>
        <w:rPr>
          <w:rFonts w:asciiTheme="minorHAnsi" w:hAnsiTheme="minorHAnsi"/>
          <w:sz w:val="22"/>
          <w:szCs w:val="22"/>
        </w:rPr>
      </w:pPr>
      <w:r w:rsidRPr="00AE3638">
        <w:rPr>
          <w:rFonts w:asciiTheme="minorHAnsi" w:hAnsiTheme="minorHAnsi"/>
          <w:sz w:val="22"/>
          <w:szCs w:val="22"/>
        </w:rPr>
        <w:t xml:space="preserve">Power, M., Mohan, G. and Tan-Mullins, M. (2012) </w:t>
      </w:r>
      <w:r w:rsidRPr="00AE3638">
        <w:rPr>
          <w:rFonts w:asciiTheme="minorHAnsi" w:hAnsiTheme="minorHAnsi"/>
          <w:i/>
          <w:sz w:val="22"/>
          <w:szCs w:val="22"/>
        </w:rPr>
        <w:t xml:space="preserve">China’s Resource Diplomacy in Africa – Powering Development? </w:t>
      </w:r>
      <w:r w:rsidRPr="00AE3638">
        <w:rPr>
          <w:rFonts w:asciiTheme="minorHAnsi" w:hAnsiTheme="minorHAnsi"/>
          <w:sz w:val="22"/>
          <w:szCs w:val="22"/>
        </w:rPr>
        <w:t>Palgrave Macmillan, Basingstoke, UK.</w:t>
      </w:r>
    </w:p>
    <w:p w:rsidR="003F6C09" w:rsidRPr="00AE3638" w:rsidRDefault="003F6C09" w:rsidP="003F6C09">
      <w:pPr>
        <w:spacing w:after="240"/>
        <w:rPr>
          <w:rFonts w:asciiTheme="minorHAnsi" w:hAnsiTheme="minorHAnsi"/>
          <w:bCs/>
          <w:sz w:val="22"/>
          <w:szCs w:val="22"/>
          <w:shd w:val="clear" w:color="auto" w:fill="FBF4DF"/>
        </w:rPr>
      </w:pPr>
      <w:proofErr w:type="spellStart"/>
      <w:r w:rsidRPr="00AE3638">
        <w:rPr>
          <w:rFonts w:asciiTheme="minorHAnsi" w:hAnsiTheme="minorHAnsi"/>
          <w:bCs/>
          <w:sz w:val="22"/>
          <w:szCs w:val="22"/>
          <w:shd w:val="clear" w:color="auto" w:fill="FBF4DF"/>
        </w:rPr>
        <w:lastRenderedPageBreak/>
        <w:t>Rampa</w:t>
      </w:r>
      <w:proofErr w:type="spellEnd"/>
      <w:r w:rsidRPr="00AE3638">
        <w:rPr>
          <w:rFonts w:asciiTheme="minorHAnsi" w:hAnsiTheme="minorHAnsi"/>
          <w:bCs/>
          <w:sz w:val="22"/>
          <w:szCs w:val="22"/>
          <w:shd w:val="clear" w:color="auto" w:fill="FBF4DF"/>
        </w:rPr>
        <w:t xml:space="preserve">, F., van </w:t>
      </w:r>
      <w:proofErr w:type="spellStart"/>
      <w:r w:rsidRPr="00AE3638">
        <w:rPr>
          <w:rFonts w:asciiTheme="minorHAnsi" w:hAnsiTheme="minorHAnsi"/>
          <w:bCs/>
          <w:sz w:val="22"/>
          <w:szCs w:val="22"/>
          <w:shd w:val="clear" w:color="auto" w:fill="FBF4DF"/>
        </w:rPr>
        <w:t>Seters</w:t>
      </w:r>
      <w:proofErr w:type="spellEnd"/>
      <w:r w:rsidRPr="00AE3638">
        <w:rPr>
          <w:rFonts w:asciiTheme="minorHAnsi" w:hAnsiTheme="minorHAnsi"/>
          <w:bCs/>
          <w:sz w:val="22"/>
          <w:szCs w:val="22"/>
          <w:shd w:val="clear" w:color="auto" w:fill="FBF4DF"/>
        </w:rPr>
        <w:t xml:space="preserve">, J. and </w:t>
      </w:r>
      <w:proofErr w:type="spellStart"/>
      <w:r w:rsidRPr="00AE3638">
        <w:rPr>
          <w:rFonts w:asciiTheme="minorHAnsi" w:hAnsiTheme="minorHAnsi"/>
          <w:bCs/>
          <w:sz w:val="22"/>
          <w:szCs w:val="22"/>
          <w:shd w:val="clear" w:color="auto" w:fill="FBF4DF"/>
        </w:rPr>
        <w:t>Afun-Ogidan</w:t>
      </w:r>
      <w:proofErr w:type="spellEnd"/>
      <w:r w:rsidRPr="00AE3638">
        <w:rPr>
          <w:rFonts w:asciiTheme="minorHAnsi" w:hAnsiTheme="minorHAnsi"/>
          <w:bCs/>
          <w:sz w:val="22"/>
          <w:szCs w:val="22"/>
          <w:shd w:val="clear" w:color="auto" w:fill="FBF4DF"/>
        </w:rPr>
        <w:t xml:space="preserve">, D. (2012) </w:t>
      </w:r>
      <w:r w:rsidRPr="00AE3638">
        <w:rPr>
          <w:rFonts w:asciiTheme="minorHAnsi" w:hAnsiTheme="minorHAnsi" w:cs="TheSansBold-Plain"/>
          <w:bCs/>
          <w:i/>
          <w:sz w:val="22"/>
          <w:szCs w:val="22"/>
        </w:rPr>
        <w:t xml:space="preserve">Regional approaches to food security in Africa </w:t>
      </w:r>
      <w:r w:rsidRPr="00AE3638">
        <w:rPr>
          <w:rFonts w:asciiTheme="minorHAnsi" w:hAnsiTheme="minorHAnsi" w:cs="TheSans-Plain"/>
          <w:i/>
          <w:sz w:val="22"/>
          <w:szCs w:val="22"/>
        </w:rPr>
        <w:t xml:space="preserve">The CAADP and other relevant policies and programmes in SADC, </w:t>
      </w:r>
      <w:r w:rsidRPr="00AE3638">
        <w:rPr>
          <w:rFonts w:asciiTheme="minorHAnsi" w:hAnsiTheme="minorHAnsi" w:cs="TheSans-Plain"/>
          <w:sz w:val="22"/>
          <w:szCs w:val="22"/>
        </w:rPr>
        <w:t xml:space="preserve">ECDPM Discussion Paper No. 128b </w:t>
      </w:r>
      <w:hyperlink r:id="rId59" w:history="1">
        <w:r w:rsidRPr="00AE3638">
          <w:rPr>
            <w:rStyle w:val="Hyperlink"/>
            <w:rFonts w:asciiTheme="minorHAnsi" w:hAnsiTheme="minorHAnsi" w:cs="TheSansLight-Plain"/>
            <w:sz w:val="22"/>
            <w:szCs w:val="22"/>
          </w:rPr>
          <w:t>www.ecdpm.org/dp128b</w:t>
        </w:r>
      </w:hyperlink>
      <w:r w:rsidRPr="00AE3638">
        <w:rPr>
          <w:rFonts w:asciiTheme="minorHAnsi" w:hAnsiTheme="minorHAnsi" w:cs="TheSansLight-Plain"/>
          <w:sz w:val="22"/>
          <w:szCs w:val="22"/>
        </w:rPr>
        <w:t xml:space="preserve"> </w:t>
      </w:r>
    </w:p>
    <w:p w:rsidR="003F6C09" w:rsidRPr="00AE3638" w:rsidRDefault="003F6C09" w:rsidP="003F6C09">
      <w:pPr>
        <w:spacing w:after="240"/>
        <w:rPr>
          <w:rFonts w:asciiTheme="minorHAnsi" w:hAnsiTheme="minorHAnsi"/>
          <w:i/>
          <w:sz w:val="22"/>
          <w:szCs w:val="22"/>
        </w:rPr>
      </w:pPr>
      <w:proofErr w:type="spellStart"/>
      <w:r w:rsidRPr="00AE3638">
        <w:rPr>
          <w:rFonts w:asciiTheme="minorHAnsi" w:hAnsiTheme="minorHAnsi"/>
          <w:bCs/>
          <w:sz w:val="22"/>
          <w:szCs w:val="22"/>
          <w:shd w:val="clear" w:color="auto" w:fill="FBF4DF"/>
        </w:rPr>
        <w:t>Rogério</w:t>
      </w:r>
      <w:proofErr w:type="spellEnd"/>
      <w:r w:rsidRPr="00AE3638">
        <w:rPr>
          <w:rFonts w:asciiTheme="minorHAnsi" w:hAnsiTheme="minorHAnsi"/>
          <w:bCs/>
          <w:sz w:val="22"/>
          <w:szCs w:val="22"/>
          <w:shd w:val="clear" w:color="auto" w:fill="FBF4DF"/>
        </w:rPr>
        <w:t>, P. (2012) ‘Brazil and the African Union’,</w:t>
      </w:r>
      <w:r w:rsidRPr="00AE3638">
        <w:rPr>
          <w:rFonts w:asciiTheme="minorHAnsi" w:hAnsiTheme="minorHAnsi"/>
          <w:bCs/>
          <w:i/>
          <w:sz w:val="22"/>
          <w:szCs w:val="22"/>
          <w:shd w:val="clear" w:color="auto" w:fill="FBF4DF"/>
        </w:rPr>
        <w:t xml:space="preserve"> Quarterly Americas Blog.</w:t>
      </w:r>
      <w:r w:rsidRPr="00AE3638">
        <w:rPr>
          <w:rFonts w:asciiTheme="minorHAnsi" w:hAnsiTheme="minorHAnsi"/>
          <w:sz w:val="22"/>
          <w:szCs w:val="22"/>
        </w:rPr>
        <w:t xml:space="preserve"> </w:t>
      </w:r>
      <w:hyperlink r:id="rId60" w:history="1">
        <w:r w:rsidRPr="00AE3638">
          <w:rPr>
            <w:rStyle w:val="Hyperlink"/>
            <w:rFonts w:asciiTheme="minorHAnsi" w:hAnsiTheme="minorHAnsi"/>
            <w:bCs/>
            <w:sz w:val="22"/>
            <w:szCs w:val="22"/>
            <w:shd w:val="clear" w:color="auto" w:fill="FBF4DF"/>
          </w:rPr>
          <w:t>http://americasquarterly.org/brazil-and-the-african-union</w:t>
        </w:r>
      </w:hyperlink>
      <w:r w:rsidRPr="00AE3638">
        <w:rPr>
          <w:rFonts w:asciiTheme="minorHAnsi" w:hAnsiTheme="minorHAnsi"/>
          <w:bCs/>
          <w:i/>
          <w:sz w:val="22"/>
          <w:szCs w:val="22"/>
          <w:shd w:val="clear" w:color="auto" w:fill="FBF4DF"/>
        </w:rPr>
        <w:t xml:space="preserve"> </w:t>
      </w:r>
    </w:p>
    <w:p w:rsidR="003F6C09" w:rsidRPr="00AE3638" w:rsidRDefault="003F6C09" w:rsidP="003F6C09">
      <w:pPr>
        <w:spacing w:after="240"/>
        <w:rPr>
          <w:rFonts w:asciiTheme="minorHAnsi" w:hAnsiTheme="minorHAnsi"/>
          <w:sz w:val="22"/>
          <w:szCs w:val="22"/>
        </w:rPr>
      </w:pPr>
      <w:proofErr w:type="spellStart"/>
      <w:r w:rsidRPr="00AE3638">
        <w:rPr>
          <w:rFonts w:asciiTheme="minorHAnsi" w:hAnsiTheme="minorHAnsi"/>
          <w:sz w:val="22"/>
          <w:szCs w:val="22"/>
        </w:rPr>
        <w:t>Roseboom</w:t>
      </w:r>
      <w:proofErr w:type="spellEnd"/>
      <w:r w:rsidRPr="00AE3638">
        <w:rPr>
          <w:rFonts w:asciiTheme="minorHAnsi" w:hAnsiTheme="minorHAnsi"/>
          <w:sz w:val="22"/>
          <w:szCs w:val="22"/>
        </w:rPr>
        <w:t xml:space="preserve">, J. (2011) </w:t>
      </w:r>
      <w:r w:rsidRPr="00AE3638">
        <w:rPr>
          <w:rFonts w:asciiTheme="minorHAnsi" w:hAnsiTheme="minorHAnsi"/>
          <w:i/>
          <w:sz w:val="22"/>
          <w:szCs w:val="22"/>
        </w:rPr>
        <w:t>Supranational Collaboration in Agricultural Research in Sub-Saharan Africa</w:t>
      </w:r>
      <w:r w:rsidRPr="00AE3638">
        <w:rPr>
          <w:rFonts w:asciiTheme="minorHAnsi" w:hAnsiTheme="minorHAnsi"/>
          <w:sz w:val="22"/>
          <w:szCs w:val="22"/>
        </w:rPr>
        <w:t xml:space="preserve">, Conference Working Paper 5, Prepared for the ASTI/IFPRI-FARA Conference, Accra, Ghana, December 5-7 2011. </w:t>
      </w:r>
      <w:hyperlink r:id="rId61" w:history="1">
        <w:r w:rsidRPr="00AE3638">
          <w:rPr>
            <w:rStyle w:val="Hyperlink"/>
            <w:rFonts w:asciiTheme="minorHAnsi" w:hAnsiTheme="minorHAnsi"/>
            <w:sz w:val="22"/>
            <w:szCs w:val="22"/>
          </w:rPr>
          <w:t>http://www.asti.cgiar.org/pdf/conference/Theme4/Roseboom.pdf</w:t>
        </w:r>
      </w:hyperlink>
      <w:r w:rsidRPr="00AE3638">
        <w:rPr>
          <w:rFonts w:asciiTheme="minorHAnsi" w:hAnsiTheme="minorHAnsi"/>
          <w:sz w:val="22"/>
          <w:szCs w:val="22"/>
        </w:rPr>
        <w:t xml:space="preserve"> </w:t>
      </w:r>
    </w:p>
    <w:p w:rsidR="00D50751" w:rsidRDefault="00D50751" w:rsidP="00D50751">
      <w:pPr>
        <w:autoSpaceDE w:val="0"/>
        <w:autoSpaceDN w:val="0"/>
        <w:adjustRightInd w:val="0"/>
        <w:rPr>
          <w:rFonts w:asciiTheme="minorHAnsi" w:hAnsiTheme="minorHAnsi"/>
          <w:bCs/>
          <w:i/>
          <w:sz w:val="22"/>
          <w:szCs w:val="22"/>
          <w:lang w:eastAsia="en-GB"/>
        </w:rPr>
      </w:pPr>
      <w:proofErr w:type="spellStart"/>
      <w:r>
        <w:rPr>
          <w:rFonts w:asciiTheme="minorHAnsi" w:hAnsiTheme="minorHAnsi"/>
          <w:sz w:val="22"/>
          <w:szCs w:val="22"/>
        </w:rPr>
        <w:t>Rowden</w:t>
      </w:r>
      <w:proofErr w:type="spellEnd"/>
      <w:r>
        <w:rPr>
          <w:rFonts w:asciiTheme="minorHAnsi" w:hAnsiTheme="minorHAnsi"/>
          <w:sz w:val="22"/>
          <w:szCs w:val="22"/>
        </w:rPr>
        <w:t xml:space="preserve">, R. (2011) </w:t>
      </w:r>
      <w:r w:rsidRPr="00D50751">
        <w:rPr>
          <w:rFonts w:asciiTheme="minorHAnsi" w:hAnsiTheme="minorHAnsi"/>
          <w:bCs/>
          <w:i/>
          <w:sz w:val="22"/>
          <w:szCs w:val="22"/>
          <w:lang w:eastAsia="en-GB"/>
        </w:rPr>
        <w:t>India’s Role in the New Global</w:t>
      </w:r>
      <w:r>
        <w:rPr>
          <w:rFonts w:asciiTheme="minorHAnsi" w:hAnsiTheme="minorHAnsi"/>
          <w:bCs/>
          <w:i/>
          <w:sz w:val="22"/>
          <w:szCs w:val="22"/>
          <w:lang w:eastAsia="en-GB"/>
        </w:rPr>
        <w:t xml:space="preserve"> </w:t>
      </w:r>
      <w:r w:rsidRPr="00D50751">
        <w:rPr>
          <w:rFonts w:asciiTheme="minorHAnsi" w:hAnsiTheme="minorHAnsi"/>
          <w:bCs/>
          <w:i/>
          <w:sz w:val="22"/>
          <w:szCs w:val="22"/>
          <w:lang w:eastAsia="en-GB"/>
        </w:rPr>
        <w:t>Farmland Grab</w:t>
      </w:r>
      <w:r>
        <w:rPr>
          <w:rFonts w:asciiTheme="minorHAnsi" w:hAnsiTheme="minorHAnsi"/>
          <w:bCs/>
          <w:i/>
          <w:sz w:val="22"/>
          <w:szCs w:val="22"/>
          <w:lang w:eastAsia="en-GB"/>
        </w:rPr>
        <w:t xml:space="preserve">: </w:t>
      </w:r>
      <w:r w:rsidRPr="00D50751">
        <w:rPr>
          <w:rFonts w:asciiTheme="minorHAnsi" w:hAnsiTheme="minorHAnsi"/>
          <w:bCs/>
          <w:i/>
          <w:sz w:val="22"/>
          <w:szCs w:val="22"/>
          <w:lang w:eastAsia="en-GB"/>
        </w:rPr>
        <w:t>An Examination of the Role</w:t>
      </w:r>
      <w:r>
        <w:rPr>
          <w:rFonts w:asciiTheme="minorHAnsi" w:hAnsiTheme="minorHAnsi"/>
          <w:bCs/>
          <w:i/>
          <w:sz w:val="22"/>
          <w:szCs w:val="22"/>
          <w:lang w:eastAsia="en-GB"/>
        </w:rPr>
        <w:t xml:space="preserve"> </w:t>
      </w:r>
      <w:r w:rsidRPr="00D50751">
        <w:rPr>
          <w:rFonts w:asciiTheme="minorHAnsi" w:hAnsiTheme="minorHAnsi"/>
          <w:bCs/>
          <w:i/>
          <w:sz w:val="22"/>
          <w:szCs w:val="22"/>
          <w:lang w:eastAsia="en-GB"/>
        </w:rPr>
        <w:t>of the Indian Government and Indian Companies Engaged in Overseas Agricultural Land Acquisitions in Developing Countries,</w:t>
      </w:r>
      <w:r w:rsidRPr="00D50751">
        <w:rPr>
          <w:rFonts w:asciiTheme="minorHAnsi" w:hAnsiTheme="minorHAnsi" w:cs="TimesNewRomanPSMT"/>
          <w:sz w:val="22"/>
          <w:szCs w:val="22"/>
          <w:lang w:eastAsia="en-GB"/>
        </w:rPr>
        <w:t xml:space="preserve"> Produced in collaboration with GRAIN and the Economics Research Foundation, New Delhi.</w:t>
      </w:r>
    </w:p>
    <w:p w:rsidR="00D50751" w:rsidRPr="00D50751" w:rsidRDefault="00D50751" w:rsidP="00D50751">
      <w:pPr>
        <w:autoSpaceDE w:val="0"/>
        <w:autoSpaceDN w:val="0"/>
        <w:adjustRightInd w:val="0"/>
        <w:rPr>
          <w:rFonts w:asciiTheme="minorHAnsi" w:hAnsiTheme="minorHAnsi"/>
          <w:i/>
          <w:sz w:val="22"/>
          <w:szCs w:val="22"/>
        </w:rPr>
      </w:pPr>
    </w:p>
    <w:p w:rsidR="003F6C09" w:rsidRPr="00AE3638" w:rsidRDefault="003F6C09" w:rsidP="003F6C09">
      <w:pPr>
        <w:spacing w:after="240"/>
        <w:rPr>
          <w:rFonts w:asciiTheme="minorHAnsi" w:hAnsiTheme="minorHAnsi" w:cs="Arial"/>
          <w:b/>
          <w:color w:val="1F497D" w:themeColor="text2"/>
          <w:sz w:val="22"/>
          <w:szCs w:val="22"/>
        </w:rPr>
      </w:pPr>
      <w:r w:rsidRPr="00AE3638">
        <w:rPr>
          <w:rFonts w:asciiTheme="minorHAnsi" w:hAnsiTheme="minorHAnsi"/>
          <w:sz w:val="22"/>
          <w:szCs w:val="22"/>
        </w:rPr>
        <w:t xml:space="preserve">2012 Camp David Accountability Report </w:t>
      </w:r>
      <w:hyperlink r:id="rId62" w:history="1">
        <w:r w:rsidRPr="00AE3638">
          <w:rPr>
            <w:rStyle w:val="Hyperlink"/>
            <w:rFonts w:asciiTheme="minorHAnsi" w:hAnsiTheme="minorHAnsi"/>
            <w:sz w:val="22"/>
            <w:szCs w:val="22"/>
          </w:rPr>
          <w:t>http://www.state.gov/documents/organization/189889.pdf</w:t>
        </w:r>
      </w:hyperlink>
    </w:p>
    <w:p w:rsidR="003F6C09" w:rsidRPr="00AE3638" w:rsidRDefault="003F6C09" w:rsidP="003F6C09">
      <w:pPr>
        <w:pStyle w:val="Default"/>
        <w:rPr>
          <w:rFonts w:asciiTheme="minorHAnsi" w:hAnsiTheme="minorHAnsi" w:cs="Arial"/>
          <w:bCs/>
          <w:i/>
          <w:sz w:val="22"/>
          <w:szCs w:val="22"/>
        </w:rPr>
      </w:pPr>
      <w:r w:rsidRPr="00AE3638">
        <w:rPr>
          <w:rFonts w:asciiTheme="minorHAnsi" w:hAnsiTheme="minorHAnsi"/>
          <w:sz w:val="22"/>
          <w:szCs w:val="22"/>
        </w:rPr>
        <w:t xml:space="preserve">SADC (2010) </w:t>
      </w:r>
      <w:r w:rsidRPr="00AE3638">
        <w:rPr>
          <w:rFonts w:asciiTheme="minorHAnsi" w:hAnsiTheme="minorHAnsi" w:cs="Arial"/>
          <w:bCs/>
          <w:i/>
          <w:sz w:val="22"/>
          <w:szCs w:val="22"/>
        </w:rPr>
        <w:t>Regional Agricultural Policy (RAP) Country Summary Agricultural Policy Review Reports</w:t>
      </w:r>
    </w:p>
    <w:p w:rsidR="003F6C09" w:rsidRPr="00AE3638" w:rsidRDefault="003F6C09" w:rsidP="003F6C09">
      <w:pPr>
        <w:autoSpaceDE w:val="0"/>
        <w:autoSpaceDN w:val="0"/>
        <w:adjustRightInd w:val="0"/>
        <w:rPr>
          <w:rFonts w:asciiTheme="minorHAnsi" w:hAnsiTheme="minorHAnsi"/>
          <w:i/>
          <w:sz w:val="22"/>
          <w:szCs w:val="22"/>
        </w:rPr>
      </w:pPr>
      <w:r w:rsidRPr="00AE3638">
        <w:rPr>
          <w:rFonts w:asciiTheme="minorHAnsi" w:hAnsiTheme="minorHAnsi" w:cs="Arial"/>
          <w:bCs/>
          <w:color w:val="000000"/>
          <w:sz w:val="22"/>
          <w:szCs w:val="22"/>
        </w:rPr>
        <w:t xml:space="preserve">Directorate of Food, Agriculture and Natural Resources, </w:t>
      </w:r>
      <w:r w:rsidRPr="00AE3638">
        <w:rPr>
          <w:rFonts w:asciiTheme="minorHAnsi" w:hAnsiTheme="minorHAnsi" w:cs="Arial"/>
          <w:bCs/>
          <w:sz w:val="22"/>
          <w:szCs w:val="22"/>
        </w:rPr>
        <w:t xml:space="preserve">SADC Secretariat, </w:t>
      </w:r>
      <w:proofErr w:type="spellStart"/>
      <w:r w:rsidRPr="00AE3638">
        <w:rPr>
          <w:rFonts w:asciiTheme="minorHAnsi" w:hAnsiTheme="minorHAnsi" w:cs="Arial"/>
          <w:bCs/>
          <w:sz w:val="22"/>
          <w:szCs w:val="22"/>
        </w:rPr>
        <w:t>Gaberone</w:t>
      </w:r>
      <w:proofErr w:type="spellEnd"/>
      <w:r w:rsidRPr="00AE3638">
        <w:rPr>
          <w:rFonts w:asciiTheme="minorHAnsi" w:hAnsiTheme="minorHAnsi" w:cs="Arial"/>
          <w:bCs/>
          <w:sz w:val="22"/>
          <w:szCs w:val="22"/>
        </w:rPr>
        <w:t xml:space="preserve">. </w:t>
      </w:r>
      <w:hyperlink r:id="rId63" w:history="1">
        <w:r w:rsidRPr="00AE3638">
          <w:rPr>
            <w:rStyle w:val="Hyperlink"/>
            <w:rFonts w:asciiTheme="minorHAnsi" w:hAnsiTheme="minorHAnsi" w:cs="Arial"/>
            <w:bCs/>
            <w:sz w:val="22"/>
            <w:szCs w:val="22"/>
          </w:rPr>
          <w:t>http://www.sadc.int/fanr/docs/rap/Combined%20Summary%20Country%20Reports%20-%2025%20July%202012.pdf</w:t>
        </w:r>
      </w:hyperlink>
      <w:r w:rsidRPr="00AE3638">
        <w:rPr>
          <w:rFonts w:asciiTheme="minorHAnsi" w:hAnsiTheme="minorHAnsi" w:cs="Arial"/>
          <w:bCs/>
          <w:sz w:val="22"/>
          <w:szCs w:val="22"/>
        </w:rPr>
        <w:t xml:space="preserve"> </w:t>
      </w:r>
    </w:p>
    <w:p w:rsidR="003F6C09" w:rsidRPr="00AE3638" w:rsidRDefault="003F6C09" w:rsidP="003F6C09">
      <w:pPr>
        <w:pStyle w:val="Default"/>
        <w:rPr>
          <w:rFonts w:asciiTheme="minorHAnsi" w:hAnsiTheme="minorHAnsi"/>
          <w:sz w:val="22"/>
          <w:szCs w:val="22"/>
        </w:rPr>
      </w:pPr>
    </w:p>
    <w:p w:rsidR="00870142" w:rsidRDefault="00870142" w:rsidP="00870142">
      <w:pPr>
        <w:autoSpaceDE w:val="0"/>
        <w:autoSpaceDN w:val="0"/>
        <w:adjustRightInd w:val="0"/>
        <w:rPr>
          <w:rFonts w:asciiTheme="minorHAnsi" w:hAnsiTheme="minorHAnsi" w:cs="AkzidenzGroteskBE-Light"/>
          <w:sz w:val="22"/>
          <w:szCs w:val="22"/>
          <w:lang w:eastAsia="en-GB"/>
        </w:rPr>
      </w:pPr>
      <w:proofErr w:type="spellStart"/>
      <w:r>
        <w:rPr>
          <w:rFonts w:asciiTheme="minorHAnsi" w:hAnsiTheme="minorHAnsi"/>
          <w:sz w:val="22"/>
          <w:szCs w:val="22"/>
        </w:rPr>
        <w:t>Stolte</w:t>
      </w:r>
      <w:proofErr w:type="spellEnd"/>
      <w:r>
        <w:rPr>
          <w:rFonts w:asciiTheme="minorHAnsi" w:hAnsiTheme="minorHAnsi"/>
          <w:sz w:val="22"/>
          <w:szCs w:val="22"/>
        </w:rPr>
        <w:t xml:space="preserve">, </w:t>
      </w:r>
      <w:r w:rsidR="00F44EA1">
        <w:rPr>
          <w:rFonts w:asciiTheme="minorHAnsi" w:hAnsiTheme="minorHAnsi"/>
          <w:sz w:val="22"/>
          <w:szCs w:val="22"/>
        </w:rPr>
        <w:t>C</w:t>
      </w:r>
      <w:r>
        <w:rPr>
          <w:rFonts w:asciiTheme="minorHAnsi" w:hAnsiTheme="minorHAnsi"/>
          <w:sz w:val="22"/>
          <w:szCs w:val="22"/>
        </w:rPr>
        <w:t xml:space="preserve">. (2012) </w:t>
      </w:r>
      <w:r w:rsidRPr="00870142">
        <w:rPr>
          <w:rFonts w:asciiTheme="minorHAnsi" w:hAnsiTheme="minorHAnsi" w:cs="AkzidenzGroteskBE-Light"/>
          <w:sz w:val="22"/>
          <w:szCs w:val="22"/>
          <w:lang w:eastAsia="en-GB"/>
        </w:rPr>
        <w:t>Brazil in Africa: Just Another BRICS</w:t>
      </w:r>
      <w:r>
        <w:rPr>
          <w:rFonts w:asciiTheme="minorHAnsi" w:hAnsiTheme="minorHAnsi" w:cs="AkzidenzGroteskBE-Light"/>
          <w:sz w:val="22"/>
          <w:szCs w:val="22"/>
          <w:lang w:eastAsia="en-GB"/>
        </w:rPr>
        <w:t xml:space="preserve"> </w:t>
      </w:r>
      <w:r w:rsidRPr="00870142">
        <w:rPr>
          <w:rFonts w:asciiTheme="minorHAnsi" w:hAnsiTheme="minorHAnsi" w:cs="AkzidenzGroteskBE-Light"/>
          <w:sz w:val="22"/>
          <w:szCs w:val="22"/>
          <w:lang w:eastAsia="en-GB"/>
        </w:rPr>
        <w:t xml:space="preserve">Country Seeking Resources?, </w:t>
      </w:r>
      <w:r>
        <w:rPr>
          <w:rFonts w:asciiTheme="minorHAnsi" w:hAnsiTheme="minorHAnsi" w:cs="AkzidenzGroteskBE-Light"/>
          <w:sz w:val="22"/>
          <w:szCs w:val="22"/>
          <w:lang w:eastAsia="en-GB"/>
        </w:rPr>
        <w:t xml:space="preserve"> Africa Programme and Americas </w:t>
      </w:r>
      <w:proofErr w:type="spellStart"/>
      <w:r>
        <w:rPr>
          <w:rFonts w:asciiTheme="minorHAnsi" w:hAnsiTheme="minorHAnsi" w:cs="AkzidenzGroteskBE-Light"/>
          <w:sz w:val="22"/>
          <w:szCs w:val="22"/>
          <w:lang w:eastAsia="en-GB"/>
        </w:rPr>
        <w:t>Progamme</w:t>
      </w:r>
      <w:proofErr w:type="spellEnd"/>
      <w:r>
        <w:rPr>
          <w:rFonts w:asciiTheme="minorHAnsi" w:hAnsiTheme="minorHAnsi" w:cs="AkzidenzGroteskBE-Light"/>
          <w:sz w:val="22"/>
          <w:szCs w:val="22"/>
          <w:lang w:eastAsia="en-GB"/>
        </w:rPr>
        <w:t xml:space="preserve">, Chatham House, London. </w:t>
      </w:r>
      <w:hyperlink r:id="rId64" w:history="1">
        <w:r w:rsidRPr="00B26F1D">
          <w:rPr>
            <w:rStyle w:val="Hyperlink"/>
            <w:rFonts w:asciiTheme="minorHAnsi" w:hAnsiTheme="minorHAnsi" w:cs="AkzidenzGroteskBE-Light"/>
            <w:sz w:val="22"/>
            <w:szCs w:val="22"/>
            <w:lang w:eastAsia="en-GB"/>
          </w:rPr>
          <w:t>http://www.chathamhouse.org/sites/default/files/public/Research/Africa/1112bp_brazilafrica.pdf</w:t>
        </w:r>
      </w:hyperlink>
      <w:r>
        <w:rPr>
          <w:rFonts w:asciiTheme="minorHAnsi" w:hAnsiTheme="minorHAnsi" w:cs="AkzidenzGroteskBE-Light"/>
          <w:sz w:val="22"/>
          <w:szCs w:val="22"/>
          <w:lang w:eastAsia="en-GB"/>
        </w:rPr>
        <w:t xml:space="preserve"> </w:t>
      </w:r>
    </w:p>
    <w:p w:rsidR="00870142" w:rsidRDefault="00870142" w:rsidP="00870142">
      <w:pPr>
        <w:autoSpaceDE w:val="0"/>
        <w:autoSpaceDN w:val="0"/>
        <w:adjustRightInd w:val="0"/>
        <w:rPr>
          <w:rFonts w:asciiTheme="minorHAnsi" w:hAnsiTheme="minorHAnsi" w:cs="AkzidenzGroteskBE-Light"/>
          <w:sz w:val="22"/>
          <w:szCs w:val="22"/>
          <w:lang w:eastAsia="en-GB"/>
        </w:rPr>
      </w:pPr>
    </w:p>
    <w:p w:rsidR="003F6C09" w:rsidRPr="00AE3638" w:rsidRDefault="003F6C09" w:rsidP="003F6C09">
      <w:pPr>
        <w:pStyle w:val="Default"/>
        <w:rPr>
          <w:rStyle w:val="Hyperlink"/>
          <w:rFonts w:asciiTheme="minorHAnsi" w:hAnsiTheme="minorHAnsi" w:cs="Arial"/>
          <w:sz w:val="22"/>
          <w:szCs w:val="22"/>
        </w:rPr>
      </w:pPr>
      <w:r w:rsidRPr="00AE3638">
        <w:rPr>
          <w:rFonts w:asciiTheme="minorHAnsi" w:hAnsiTheme="minorHAnsi"/>
          <w:sz w:val="22"/>
          <w:szCs w:val="22"/>
        </w:rPr>
        <w:t xml:space="preserve">Tibbett, S. (2011) </w:t>
      </w:r>
      <w:r w:rsidRPr="00AE3638">
        <w:rPr>
          <w:rFonts w:asciiTheme="minorHAnsi" w:hAnsiTheme="minorHAnsi"/>
          <w:bCs/>
          <w:i/>
          <w:sz w:val="22"/>
          <w:szCs w:val="22"/>
        </w:rPr>
        <w:t xml:space="preserve">CAADP: A Toolkit for Civil Society Organisation Engagement and Advocacy, </w:t>
      </w:r>
      <w:proofErr w:type="spellStart"/>
      <w:r w:rsidRPr="00AE3638">
        <w:rPr>
          <w:rFonts w:asciiTheme="minorHAnsi" w:hAnsiTheme="minorHAnsi"/>
          <w:bCs/>
          <w:i/>
          <w:sz w:val="22"/>
          <w:szCs w:val="22"/>
        </w:rPr>
        <w:t>ActionAid</w:t>
      </w:r>
      <w:proofErr w:type="spellEnd"/>
      <w:r w:rsidRPr="00AE3638">
        <w:rPr>
          <w:rFonts w:asciiTheme="minorHAnsi" w:hAnsiTheme="minorHAnsi"/>
          <w:bCs/>
          <w:i/>
          <w:sz w:val="22"/>
          <w:szCs w:val="22"/>
        </w:rPr>
        <w:t xml:space="preserve"> International.</w:t>
      </w:r>
      <w:r w:rsidRPr="00AE3638">
        <w:rPr>
          <w:rFonts w:asciiTheme="minorHAnsi" w:hAnsiTheme="minorHAnsi"/>
          <w:b/>
          <w:bCs/>
          <w:sz w:val="22"/>
          <w:szCs w:val="22"/>
        </w:rPr>
        <w:t xml:space="preserve"> </w:t>
      </w:r>
      <w:hyperlink r:id="rId65" w:history="1">
        <w:r w:rsidRPr="00AE3638">
          <w:rPr>
            <w:rStyle w:val="Hyperlink"/>
            <w:rFonts w:asciiTheme="minorHAnsi" w:hAnsiTheme="minorHAnsi" w:cs="Arial"/>
            <w:sz w:val="22"/>
            <w:szCs w:val="22"/>
          </w:rPr>
          <w:t>http://www.actionaid.org/sites/files/actionaid/caadp_toolkit_to_print.pdf</w:t>
        </w:r>
      </w:hyperlink>
    </w:p>
    <w:p w:rsidR="003F6C09" w:rsidRPr="00AE3638" w:rsidRDefault="003F6C09" w:rsidP="003F6C09">
      <w:pPr>
        <w:pStyle w:val="Default"/>
        <w:rPr>
          <w:rFonts w:asciiTheme="minorHAnsi" w:hAnsiTheme="minorHAnsi" w:cs="Arial"/>
          <w:color w:val="1F497D" w:themeColor="text2"/>
          <w:sz w:val="22"/>
          <w:szCs w:val="22"/>
        </w:rPr>
      </w:pPr>
    </w:p>
    <w:p w:rsidR="003F6C09" w:rsidRPr="00AE3638" w:rsidRDefault="003F6C09" w:rsidP="003F6C09">
      <w:pPr>
        <w:spacing w:after="240"/>
        <w:rPr>
          <w:rFonts w:asciiTheme="minorHAnsi" w:hAnsiTheme="minorHAnsi"/>
          <w:sz w:val="22"/>
          <w:szCs w:val="22"/>
        </w:rPr>
      </w:pPr>
      <w:r w:rsidRPr="00AE3638">
        <w:rPr>
          <w:rFonts w:asciiTheme="minorHAnsi" w:hAnsiTheme="minorHAnsi"/>
          <w:sz w:val="22"/>
          <w:szCs w:val="22"/>
        </w:rPr>
        <w:t xml:space="preserve">UKZN Foundation (2011) </w:t>
      </w:r>
      <w:r w:rsidRPr="00AE3638">
        <w:rPr>
          <w:rFonts w:asciiTheme="minorHAnsi" w:hAnsiTheme="minorHAnsi"/>
          <w:i/>
          <w:sz w:val="22"/>
          <w:szCs w:val="22"/>
        </w:rPr>
        <w:t>Development Brief</w:t>
      </w:r>
      <w:r w:rsidRPr="00AE3638">
        <w:rPr>
          <w:rFonts w:asciiTheme="minorHAnsi" w:hAnsiTheme="minorHAnsi"/>
          <w:sz w:val="22"/>
          <w:szCs w:val="22"/>
        </w:rPr>
        <w:t xml:space="preserve">, Volume 8, Number 1 </w:t>
      </w:r>
      <w:hyperlink r:id="rId66" w:history="1">
        <w:r w:rsidRPr="00AE3638">
          <w:rPr>
            <w:rStyle w:val="Hyperlink"/>
            <w:rFonts w:asciiTheme="minorHAnsi" w:hAnsiTheme="minorHAnsi"/>
            <w:sz w:val="22"/>
            <w:szCs w:val="22"/>
          </w:rPr>
          <w:t>http://www.ukzn.ac.za/publications/dbapril2011.pdf</w:t>
        </w:r>
      </w:hyperlink>
    </w:p>
    <w:p w:rsidR="003F6C09" w:rsidRPr="00AE3638" w:rsidRDefault="003F6C09" w:rsidP="003F6C09">
      <w:pPr>
        <w:spacing w:after="240"/>
        <w:rPr>
          <w:rStyle w:val="Hyperlink"/>
          <w:rFonts w:asciiTheme="minorHAnsi" w:hAnsiTheme="minorHAnsi"/>
          <w:sz w:val="22"/>
          <w:szCs w:val="22"/>
        </w:rPr>
      </w:pPr>
      <w:r w:rsidRPr="00AE3638">
        <w:rPr>
          <w:rFonts w:asciiTheme="minorHAnsi" w:hAnsiTheme="minorHAnsi"/>
          <w:sz w:val="22"/>
          <w:szCs w:val="22"/>
        </w:rPr>
        <w:t xml:space="preserve">USAID (2012) </w:t>
      </w:r>
      <w:r w:rsidRPr="00AE3638">
        <w:rPr>
          <w:rFonts w:asciiTheme="minorHAnsi" w:hAnsiTheme="minorHAnsi"/>
          <w:i/>
          <w:sz w:val="22"/>
          <w:szCs w:val="22"/>
        </w:rPr>
        <w:t>Boosting Harvests, Fighting Poverty</w:t>
      </w:r>
      <w:r w:rsidRPr="00AE3638">
        <w:rPr>
          <w:rFonts w:asciiTheme="minorHAnsi" w:hAnsiTheme="minorHAnsi"/>
          <w:sz w:val="22"/>
          <w:szCs w:val="22"/>
        </w:rPr>
        <w:t xml:space="preserve">, Progress Report Feed the Future </w:t>
      </w:r>
      <w:hyperlink r:id="rId67" w:history="1">
        <w:r w:rsidRPr="00AE3638">
          <w:rPr>
            <w:rStyle w:val="Hyperlink"/>
            <w:rFonts w:asciiTheme="minorHAnsi" w:hAnsiTheme="minorHAnsi"/>
            <w:sz w:val="22"/>
            <w:szCs w:val="22"/>
          </w:rPr>
          <w:t>http://reliefweb.int/sites/reliefweb.int/files/resources/ftf_progress_report_2012.pdf</w:t>
        </w:r>
      </w:hyperlink>
    </w:p>
    <w:p w:rsidR="003F6C09" w:rsidRPr="00AE3638" w:rsidRDefault="003F6C09" w:rsidP="003F6C09">
      <w:pPr>
        <w:spacing w:after="240"/>
        <w:rPr>
          <w:rFonts w:asciiTheme="minorHAnsi" w:hAnsiTheme="minorHAnsi"/>
          <w:sz w:val="22"/>
          <w:szCs w:val="22"/>
        </w:rPr>
      </w:pPr>
      <w:r w:rsidRPr="00AE3638">
        <w:rPr>
          <w:rFonts w:asciiTheme="minorHAnsi" w:hAnsiTheme="minorHAnsi"/>
          <w:sz w:val="22"/>
          <w:szCs w:val="22"/>
        </w:rPr>
        <w:t xml:space="preserve">Vidal, J. (2012) ‘Chinese food security may be motivating investments in Africa’, </w:t>
      </w:r>
      <w:r w:rsidRPr="00AE3638">
        <w:rPr>
          <w:rFonts w:asciiTheme="minorHAnsi" w:hAnsiTheme="minorHAnsi"/>
          <w:i/>
          <w:sz w:val="22"/>
          <w:szCs w:val="22"/>
        </w:rPr>
        <w:t>The Guardian</w:t>
      </w:r>
      <w:r w:rsidRPr="00AE3638">
        <w:rPr>
          <w:rFonts w:asciiTheme="minorHAnsi" w:hAnsiTheme="minorHAnsi"/>
          <w:sz w:val="22"/>
          <w:szCs w:val="22"/>
        </w:rPr>
        <w:t xml:space="preserve">, 10 May 2012 </w:t>
      </w:r>
      <w:hyperlink r:id="rId68" w:history="1">
        <w:r w:rsidRPr="00AE3638">
          <w:rPr>
            <w:rStyle w:val="Hyperlink"/>
            <w:rFonts w:asciiTheme="minorHAnsi" w:hAnsiTheme="minorHAnsi"/>
            <w:sz w:val="22"/>
            <w:szCs w:val="22"/>
          </w:rPr>
          <w:t>http://www.guardian.co.uk/global-development/2012/may/10/chinese-food-security-investments-africa</w:t>
        </w:r>
      </w:hyperlink>
      <w:r w:rsidRPr="00AE3638">
        <w:rPr>
          <w:rFonts w:asciiTheme="minorHAnsi" w:hAnsiTheme="minorHAnsi"/>
          <w:sz w:val="22"/>
          <w:szCs w:val="22"/>
        </w:rPr>
        <w:t xml:space="preserve"> </w:t>
      </w:r>
    </w:p>
    <w:p w:rsidR="003F6C09" w:rsidRPr="00AE3638" w:rsidRDefault="003F6C09" w:rsidP="003F6C09">
      <w:pPr>
        <w:spacing w:after="240"/>
        <w:rPr>
          <w:rFonts w:asciiTheme="minorHAnsi" w:hAnsiTheme="minorHAnsi"/>
          <w:sz w:val="22"/>
          <w:szCs w:val="22"/>
        </w:rPr>
      </w:pPr>
      <w:r w:rsidRPr="00AE3638">
        <w:rPr>
          <w:rFonts w:asciiTheme="minorHAnsi" w:hAnsiTheme="minorHAnsi"/>
          <w:sz w:val="22"/>
          <w:szCs w:val="22"/>
        </w:rPr>
        <w:t xml:space="preserve">Wild, L., Denney, L., Rocha </w:t>
      </w:r>
      <w:proofErr w:type="spellStart"/>
      <w:r w:rsidRPr="00AE3638">
        <w:rPr>
          <w:rFonts w:asciiTheme="minorHAnsi" w:hAnsiTheme="minorHAnsi"/>
          <w:sz w:val="22"/>
          <w:szCs w:val="22"/>
        </w:rPr>
        <w:t>Menocal</w:t>
      </w:r>
      <w:proofErr w:type="spellEnd"/>
      <w:r w:rsidRPr="00AE3638">
        <w:rPr>
          <w:rFonts w:asciiTheme="minorHAnsi" w:hAnsiTheme="minorHAnsi"/>
          <w:sz w:val="22"/>
          <w:szCs w:val="22"/>
        </w:rPr>
        <w:t xml:space="preserve">, A. and M. Geddes (2011) </w:t>
      </w:r>
      <w:r w:rsidRPr="00AE3638">
        <w:rPr>
          <w:rFonts w:asciiTheme="minorHAnsi" w:hAnsiTheme="minorHAnsi"/>
          <w:i/>
          <w:sz w:val="22"/>
          <w:szCs w:val="22"/>
        </w:rPr>
        <w:t xml:space="preserve">The Future of Japan’s ODA: Japan’s ODA within an African Context, </w:t>
      </w:r>
      <w:r w:rsidRPr="00AE3638">
        <w:rPr>
          <w:rFonts w:asciiTheme="minorHAnsi" w:hAnsiTheme="minorHAnsi"/>
          <w:sz w:val="22"/>
          <w:szCs w:val="22"/>
        </w:rPr>
        <w:t xml:space="preserve">Overseas Development Institute, London. </w:t>
      </w:r>
      <w:hyperlink r:id="rId69" w:history="1">
        <w:r w:rsidRPr="00AE3638">
          <w:rPr>
            <w:rStyle w:val="Hyperlink"/>
            <w:rFonts w:asciiTheme="minorHAnsi" w:hAnsiTheme="minorHAnsi"/>
            <w:sz w:val="22"/>
            <w:szCs w:val="22"/>
          </w:rPr>
          <w:t>http://www.jica.go.jp/uk/english/office/others/pdf/odi_201110.pdf</w:t>
        </w:r>
      </w:hyperlink>
      <w:r w:rsidRPr="00AE3638">
        <w:rPr>
          <w:rFonts w:asciiTheme="minorHAnsi" w:hAnsiTheme="minorHAnsi"/>
          <w:sz w:val="22"/>
          <w:szCs w:val="22"/>
        </w:rPr>
        <w:t xml:space="preserve"> </w:t>
      </w:r>
    </w:p>
    <w:p w:rsidR="003F6C09" w:rsidRPr="00AE3638" w:rsidRDefault="003F6C09" w:rsidP="003F6C09">
      <w:pPr>
        <w:spacing w:after="240"/>
        <w:rPr>
          <w:rFonts w:asciiTheme="minorHAnsi" w:hAnsiTheme="minorHAnsi"/>
          <w:sz w:val="22"/>
          <w:szCs w:val="22"/>
        </w:rPr>
      </w:pPr>
      <w:r w:rsidRPr="00AE3638">
        <w:rPr>
          <w:rFonts w:asciiTheme="minorHAnsi" w:hAnsiTheme="minorHAnsi"/>
          <w:sz w:val="22"/>
          <w:szCs w:val="22"/>
        </w:rPr>
        <w:t xml:space="preserve">World Bank (2008) </w:t>
      </w:r>
      <w:r w:rsidRPr="00AE3638">
        <w:rPr>
          <w:rFonts w:asciiTheme="minorHAnsi" w:hAnsiTheme="minorHAnsi"/>
          <w:i/>
          <w:sz w:val="22"/>
          <w:szCs w:val="22"/>
        </w:rPr>
        <w:t xml:space="preserve">A Multi-Donor Trust Fund </w:t>
      </w:r>
      <w:bookmarkStart w:id="1" w:name="_Toc202160243"/>
      <w:r w:rsidRPr="00AE3638">
        <w:rPr>
          <w:rFonts w:asciiTheme="minorHAnsi" w:hAnsiTheme="minorHAnsi"/>
          <w:i/>
          <w:sz w:val="22"/>
          <w:szCs w:val="22"/>
        </w:rPr>
        <w:t>To Support</w:t>
      </w:r>
      <w:bookmarkEnd w:id="1"/>
      <w:r w:rsidRPr="00AE3638">
        <w:rPr>
          <w:rFonts w:asciiTheme="minorHAnsi" w:hAnsiTheme="minorHAnsi"/>
          <w:i/>
          <w:sz w:val="22"/>
          <w:szCs w:val="22"/>
        </w:rPr>
        <w:t xml:space="preserve"> </w:t>
      </w:r>
      <w:bookmarkStart w:id="2" w:name="_Toc202160244"/>
      <w:r w:rsidRPr="00AE3638">
        <w:rPr>
          <w:rFonts w:asciiTheme="minorHAnsi" w:hAnsiTheme="minorHAnsi"/>
          <w:i/>
          <w:sz w:val="22"/>
          <w:szCs w:val="22"/>
        </w:rPr>
        <w:t>The Comprehensive African Agricultural Development Programme,</w:t>
      </w:r>
      <w:bookmarkStart w:id="3" w:name="_Toc202160241"/>
      <w:bookmarkEnd w:id="2"/>
      <w:r w:rsidRPr="00AE3638">
        <w:rPr>
          <w:rFonts w:asciiTheme="minorHAnsi" w:hAnsiTheme="minorHAnsi"/>
          <w:i/>
          <w:sz w:val="22"/>
          <w:szCs w:val="22"/>
        </w:rPr>
        <w:t xml:space="preserve"> </w:t>
      </w:r>
      <w:r w:rsidRPr="00AE3638">
        <w:rPr>
          <w:rFonts w:asciiTheme="minorHAnsi" w:hAnsiTheme="minorHAnsi"/>
          <w:sz w:val="22"/>
          <w:szCs w:val="22"/>
        </w:rPr>
        <w:t>The CAADP Trust Fund</w:t>
      </w:r>
      <w:bookmarkEnd w:id="3"/>
      <w:r w:rsidRPr="00AE3638">
        <w:rPr>
          <w:rFonts w:asciiTheme="minorHAnsi" w:hAnsiTheme="minorHAnsi"/>
          <w:sz w:val="22"/>
          <w:szCs w:val="22"/>
        </w:rPr>
        <w:t xml:space="preserve"> Program Document, World Bank, Washington D.C.  </w:t>
      </w:r>
    </w:p>
    <w:p w:rsidR="003F6C09" w:rsidRPr="00AE3638" w:rsidRDefault="003F6C09" w:rsidP="003F6C09">
      <w:pPr>
        <w:spacing w:after="240"/>
        <w:rPr>
          <w:rStyle w:val="Hyperlink"/>
          <w:rFonts w:asciiTheme="minorHAnsi" w:hAnsiTheme="minorHAnsi"/>
          <w:sz w:val="22"/>
          <w:szCs w:val="22"/>
        </w:rPr>
      </w:pPr>
      <w:r w:rsidRPr="00AE3638">
        <w:rPr>
          <w:rFonts w:asciiTheme="minorHAnsi" w:hAnsiTheme="minorHAnsi"/>
          <w:sz w:val="22"/>
          <w:szCs w:val="22"/>
        </w:rPr>
        <w:t xml:space="preserve">World Economic Forum (2012) Putting the New Vision for Agriculture into Action: A Transformation is Happening.  </w:t>
      </w:r>
      <w:hyperlink r:id="rId70" w:history="1">
        <w:r w:rsidRPr="00AE3638">
          <w:rPr>
            <w:rStyle w:val="Hyperlink"/>
            <w:rFonts w:asciiTheme="minorHAnsi" w:hAnsiTheme="minorHAnsi"/>
            <w:sz w:val="22"/>
            <w:szCs w:val="22"/>
          </w:rPr>
          <w:t>http://www.weforum.org/reports/putting-new-vision-agriculture-action-transformation-happening</w:t>
        </w:r>
      </w:hyperlink>
      <w:r w:rsidRPr="00AE3638">
        <w:rPr>
          <w:rFonts w:asciiTheme="minorHAnsi" w:hAnsiTheme="minorHAnsi"/>
          <w:sz w:val="22"/>
          <w:szCs w:val="22"/>
        </w:rPr>
        <w:t xml:space="preserve">  </w:t>
      </w:r>
    </w:p>
    <w:p w:rsidR="003F6C09" w:rsidRPr="00AE3638" w:rsidRDefault="003F6C09" w:rsidP="003F6C09">
      <w:pPr>
        <w:rPr>
          <w:rStyle w:val="Hyperlink"/>
          <w:rFonts w:asciiTheme="minorHAnsi" w:hAnsiTheme="minorHAnsi"/>
          <w:sz w:val="22"/>
          <w:szCs w:val="22"/>
        </w:rPr>
      </w:pPr>
    </w:p>
    <w:p w:rsidR="003F6C09" w:rsidRDefault="003F6C09" w:rsidP="003F6C09">
      <w:pPr>
        <w:rPr>
          <w:rStyle w:val="Hyperlink"/>
        </w:rPr>
      </w:pPr>
    </w:p>
    <w:p w:rsidR="003F6C09" w:rsidRDefault="003407F2" w:rsidP="003407F2">
      <w:pPr>
        <w:jc w:val="center"/>
        <w:rPr>
          <w:rStyle w:val="Hyperlink"/>
        </w:rPr>
      </w:pPr>
      <w:r>
        <w:rPr>
          <w:rFonts w:asciiTheme="minorHAnsi" w:hAnsiTheme="minorHAnsi" w:cs="Arial"/>
          <w:b/>
          <w:color w:val="1F497D" w:themeColor="text2"/>
          <w:sz w:val="28"/>
          <w:szCs w:val="28"/>
        </w:rPr>
        <w:lastRenderedPageBreak/>
        <w:t xml:space="preserve">ANNEX 1: </w:t>
      </w:r>
    </w:p>
    <w:p w:rsidR="003407F2" w:rsidRPr="00A22D47" w:rsidRDefault="003407F2" w:rsidP="003407F2">
      <w:pPr>
        <w:jc w:val="center"/>
        <w:rPr>
          <w:rFonts w:asciiTheme="minorHAnsi" w:hAnsiTheme="minorHAnsi" w:cs="Arial"/>
          <w:b/>
          <w:color w:val="1F497D" w:themeColor="text2"/>
          <w:sz w:val="22"/>
          <w:szCs w:val="22"/>
        </w:rPr>
      </w:pPr>
      <w:r w:rsidRPr="00993056">
        <w:rPr>
          <w:rFonts w:asciiTheme="minorHAnsi" w:hAnsiTheme="minorHAnsi" w:cs="Arial"/>
          <w:b/>
          <w:caps/>
          <w:sz w:val="22"/>
          <w:szCs w:val="22"/>
        </w:rPr>
        <w:t>Embrapa Africa Program: Brazilian Agricultural Projects in Africa (2011)</w:t>
      </w:r>
      <w:r w:rsidRPr="00A22D47">
        <w:rPr>
          <w:rStyle w:val="FootnoteReference"/>
          <w:rFonts w:asciiTheme="minorHAnsi" w:hAnsiTheme="minorHAnsi" w:cs="Arial"/>
          <w:sz w:val="22"/>
          <w:szCs w:val="22"/>
        </w:rPr>
        <w:footnoteReference w:id="167"/>
      </w:r>
      <w:r w:rsidRPr="00A22D47">
        <w:rPr>
          <w:rFonts w:asciiTheme="minorHAnsi" w:hAnsiTheme="minorHAnsi" w:cs="Arial"/>
          <w:b/>
          <w:sz w:val="22"/>
          <w:szCs w:val="22"/>
        </w:rPr>
        <w:t xml:space="preserve"> </w:t>
      </w:r>
    </w:p>
    <w:p w:rsidR="003407F2" w:rsidRDefault="003407F2" w:rsidP="003407F2">
      <w:pPr>
        <w:rPr>
          <w:rFonts w:asciiTheme="minorHAnsi" w:hAnsiTheme="minorHAnsi" w:cs="Arial"/>
          <w:lang w:eastAsia="en-GB"/>
        </w:rPr>
      </w:pPr>
    </w:p>
    <w:p w:rsidR="003407F2" w:rsidRPr="008744CB" w:rsidRDefault="003407F2" w:rsidP="003407F2">
      <w:pPr>
        <w:jc w:val="center"/>
        <w:rPr>
          <w:rFonts w:asciiTheme="minorHAnsi" w:hAnsiTheme="minorHAnsi" w:cs="Arial"/>
          <w:lang w:eastAsia="en-GB"/>
        </w:rPr>
      </w:pPr>
      <w:r>
        <w:rPr>
          <w:noProof/>
          <w:lang w:val="fr-FR" w:eastAsia="fr-FR"/>
        </w:rPr>
        <w:drawing>
          <wp:inline distT="0" distB="0" distL="0" distR="0">
            <wp:extent cx="4181475" cy="580477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4181547" cy="5804870"/>
                    </a:xfrm>
                    <a:prstGeom prst="rect">
                      <a:avLst/>
                    </a:prstGeom>
                  </pic:spPr>
                </pic:pic>
              </a:graphicData>
            </a:graphic>
          </wp:inline>
        </w:drawing>
      </w:r>
    </w:p>
    <w:p w:rsidR="003407F2" w:rsidRDefault="003407F2" w:rsidP="003407F2">
      <w:pPr>
        <w:autoSpaceDE w:val="0"/>
        <w:autoSpaceDN w:val="0"/>
        <w:adjustRightInd w:val="0"/>
        <w:rPr>
          <w:rFonts w:asciiTheme="minorHAnsi" w:hAnsiTheme="minorHAnsi" w:cs="Arial"/>
          <w:b/>
          <w:color w:val="1F497D" w:themeColor="text2"/>
          <w:szCs w:val="24"/>
        </w:rPr>
      </w:pPr>
    </w:p>
    <w:p w:rsidR="003407F2" w:rsidRDefault="003407F2" w:rsidP="003407F2">
      <w:pPr>
        <w:jc w:val="center"/>
        <w:rPr>
          <w:rFonts w:asciiTheme="minorHAnsi" w:hAnsiTheme="minorHAnsi" w:cs="Arial"/>
          <w:b/>
        </w:rPr>
      </w:pPr>
    </w:p>
    <w:p w:rsidR="003407F2" w:rsidRDefault="003407F2" w:rsidP="003407F2">
      <w:pPr>
        <w:jc w:val="center"/>
        <w:rPr>
          <w:rFonts w:asciiTheme="minorHAnsi" w:hAnsiTheme="minorHAnsi" w:cs="Arial"/>
          <w:b/>
        </w:rPr>
      </w:pPr>
    </w:p>
    <w:p w:rsidR="00520BA3" w:rsidRDefault="00520BA3">
      <w:pPr>
        <w:rPr>
          <w:rFonts w:asciiTheme="minorHAnsi" w:hAnsiTheme="minorHAnsi" w:cs="Arial"/>
          <w:b/>
          <w:color w:val="1F497D" w:themeColor="text2"/>
          <w:sz w:val="28"/>
          <w:szCs w:val="28"/>
        </w:rPr>
      </w:pPr>
      <w:r>
        <w:rPr>
          <w:rFonts w:asciiTheme="minorHAnsi" w:hAnsiTheme="minorHAnsi" w:cs="Arial"/>
          <w:b/>
          <w:color w:val="1F497D" w:themeColor="text2"/>
          <w:sz w:val="28"/>
          <w:szCs w:val="28"/>
        </w:rPr>
        <w:br w:type="page"/>
      </w:r>
    </w:p>
    <w:p w:rsidR="00520BA3" w:rsidRDefault="00520BA3" w:rsidP="00520BA3">
      <w:pPr>
        <w:jc w:val="center"/>
        <w:rPr>
          <w:rFonts w:asciiTheme="minorHAnsi" w:hAnsiTheme="minorHAnsi" w:cs="Arial"/>
          <w:b/>
          <w:color w:val="1F497D" w:themeColor="text2"/>
          <w:sz w:val="28"/>
          <w:szCs w:val="28"/>
        </w:rPr>
      </w:pPr>
      <w:r>
        <w:rPr>
          <w:rFonts w:asciiTheme="minorHAnsi" w:hAnsiTheme="minorHAnsi" w:cs="Arial"/>
          <w:b/>
          <w:color w:val="1F497D" w:themeColor="text2"/>
          <w:sz w:val="28"/>
          <w:szCs w:val="28"/>
        </w:rPr>
        <w:lastRenderedPageBreak/>
        <w:t>ANNEX 2</w:t>
      </w:r>
    </w:p>
    <w:p w:rsidR="00520BA3" w:rsidRPr="002A356F" w:rsidRDefault="00520BA3" w:rsidP="00520BA3">
      <w:pPr>
        <w:jc w:val="center"/>
        <w:rPr>
          <w:rFonts w:asciiTheme="minorHAnsi" w:hAnsiTheme="minorHAnsi" w:cs="Arial"/>
          <w:b/>
          <w:caps/>
          <w:sz w:val="22"/>
          <w:szCs w:val="22"/>
        </w:rPr>
      </w:pPr>
      <w:r w:rsidRPr="003307BD">
        <w:rPr>
          <w:rFonts w:asciiTheme="minorHAnsi" w:hAnsiTheme="minorHAnsi" w:cs="Arial"/>
          <w:b/>
        </w:rPr>
        <w:t xml:space="preserve"> </w:t>
      </w:r>
      <w:r w:rsidRPr="002A356F">
        <w:rPr>
          <w:rFonts w:asciiTheme="minorHAnsi" w:hAnsiTheme="minorHAnsi" w:cs="Arial"/>
          <w:b/>
          <w:caps/>
          <w:sz w:val="22"/>
          <w:szCs w:val="22"/>
        </w:rPr>
        <w:t>Project Funding to Agriculture, Forestry and Fishing in Africa</w:t>
      </w:r>
    </w:p>
    <w:p w:rsidR="00520BA3" w:rsidRPr="006028AD" w:rsidRDefault="00520BA3" w:rsidP="00520BA3">
      <w:pPr>
        <w:jc w:val="center"/>
        <w:rPr>
          <w:rFonts w:cs="Arial"/>
          <w:b/>
        </w:rPr>
      </w:pPr>
      <w:r w:rsidRPr="002A356F">
        <w:rPr>
          <w:rFonts w:asciiTheme="minorHAnsi" w:hAnsiTheme="minorHAnsi" w:cs="Arial"/>
          <w:b/>
          <w:caps/>
          <w:sz w:val="22"/>
          <w:szCs w:val="22"/>
        </w:rPr>
        <w:t>by Multilateral Agencies – 2010</w:t>
      </w:r>
      <w:r>
        <w:rPr>
          <w:rStyle w:val="FootnoteReference"/>
          <w:rFonts w:cs="Arial"/>
          <w:b/>
        </w:rPr>
        <w:footnoteReference w:id="168"/>
      </w:r>
    </w:p>
    <w:tbl>
      <w:tblPr>
        <w:tblStyle w:val="LightShading-Accent5"/>
        <w:tblW w:w="0" w:type="auto"/>
        <w:tblLook w:val="04A0"/>
      </w:tblPr>
      <w:tblGrid>
        <w:gridCol w:w="1951"/>
        <w:gridCol w:w="5528"/>
        <w:gridCol w:w="1763"/>
      </w:tblGrid>
      <w:tr w:rsidR="00520BA3" w:rsidTr="00555EBC">
        <w:trPr>
          <w:cnfStyle w:val="100000000000"/>
        </w:trPr>
        <w:tc>
          <w:tcPr>
            <w:cnfStyle w:val="001000000000"/>
            <w:tcW w:w="1951" w:type="dxa"/>
          </w:tcPr>
          <w:p w:rsidR="00520BA3" w:rsidRPr="00CE1372" w:rsidRDefault="00520BA3" w:rsidP="00555EBC">
            <w:pPr>
              <w:autoSpaceDE w:val="0"/>
              <w:autoSpaceDN w:val="0"/>
              <w:adjustRightInd w:val="0"/>
              <w:rPr>
                <w:rFonts w:cs="Arial"/>
                <w:color w:val="1F497D" w:themeColor="text2"/>
                <w:sz w:val="20"/>
                <w:szCs w:val="20"/>
              </w:rPr>
            </w:pPr>
            <w:r w:rsidRPr="00CE1372">
              <w:rPr>
                <w:rFonts w:cs="Arial"/>
                <w:color w:val="1F497D" w:themeColor="text2"/>
                <w:sz w:val="20"/>
                <w:szCs w:val="20"/>
              </w:rPr>
              <w:t>Country</w:t>
            </w:r>
          </w:p>
        </w:tc>
        <w:tc>
          <w:tcPr>
            <w:tcW w:w="5528" w:type="dxa"/>
          </w:tcPr>
          <w:p w:rsidR="00520BA3" w:rsidRPr="00CE1372" w:rsidRDefault="00520BA3" w:rsidP="00555EBC">
            <w:pPr>
              <w:autoSpaceDE w:val="0"/>
              <w:autoSpaceDN w:val="0"/>
              <w:adjustRightInd w:val="0"/>
              <w:cnfStyle w:val="100000000000"/>
              <w:rPr>
                <w:rFonts w:cs="Arial"/>
                <w:color w:val="1F497D" w:themeColor="text2"/>
                <w:sz w:val="20"/>
                <w:szCs w:val="20"/>
              </w:rPr>
            </w:pPr>
            <w:r w:rsidRPr="00CE1372">
              <w:rPr>
                <w:rFonts w:cs="Arial"/>
                <w:color w:val="1F497D" w:themeColor="text2"/>
                <w:sz w:val="20"/>
                <w:szCs w:val="20"/>
              </w:rPr>
              <w:t>Project</w:t>
            </w:r>
          </w:p>
        </w:tc>
        <w:tc>
          <w:tcPr>
            <w:tcW w:w="1763" w:type="dxa"/>
          </w:tcPr>
          <w:p w:rsidR="00520BA3" w:rsidRPr="00CE1372" w:rsidRDefault="00520BA3" w:rsidP="00555EBC">
            <w:pPr>
              <w:autoSpaceDE w:val="0"/>
              <w:autoSpaceDN w:val="0"/>
              <w:adjustRightInd w:val="0"/>
              <w:jc w:val="center"/>
              <w:cnfStyle w:val="100000000000"/>
              <w:rPr>
                <w:rFonts w:cs="Arial"/>
                <w:color w:val="1F497D" w:themeColor="text2"/>
                <w:sz w:val="20"/>
                <w:szCs w:val="20"/>
              </w:rPr>
            </w:pPr>
            <w:r w:rsidRPr="00CE1372">
              <w:rPr>
                <w:rFonts w:cs="Arial"/>
                <w:color w:val="1F497D" w:themeColor="text2"/>
                <w:sz w:val="20"/>
                <w:szCs w:val="20"/>
              </w:rPr>
              <w:t>Amount</w:t>
            </w:r>
            <w:r>
              <w:rPr>
                <w:rFonts w:cs="Arial"/>
                <w:color w:val="1F497D" w:themeColor="text2"/>
                <w:sz w:val="20"/>
                <w:szCs w:val="20"/>
              </w:rPr>
              <w:t xml:space="preserve"> (USD)</w:t>
            </w:r>
          </w:p>
        </w:tc>
      </w:tr>
      <w:tr w:rsidR="00520BA3" w:rsidTr="00555EBC">
        <w:trPr>
          <w:cnfStyle w:val="000000100000"/>
        </w:trPr>
        <w:tc>
          <w:tcPr>
            <w:cnfStyle w:val="001000000000"/>
            <w:tcW w:w="9242" w:type="dxa"/>
            <w:gridSpan w:val="3"/>
          </w:tcPr>
          <w:p w:rsidR="00520BA3" w:rsidRPr="00CE1372" w:rsidRDefault="00520BA3" w:rsidP="00555EBC">
            <w:pPr>
              <w:autoSpaceDE w:val="0"/>
              <w:autoSpaceDN w:val="0"/>
              <w:adjustRightInd w:val="0"/>
              <w:rPr>
                <w:rFonts w:cs="Arial"/>
                <w:color w:val="1F497D" w:themeColor="text2"/>
                <w:sz w:val="20"/>
                <w:szCs w:val="20"/>
              </w:rPr>
            </w:pPr>
            <w:r>
              <w:rPr>
                <w:rFonts w:cs="Arial"/>
                <w:color w:val="1F497D" w:themeColor="text2"/>
                <w:sz w:val="20"/>
                <w:szCs w:val="20"/>
              </w:rPr>
              <w:t>African Development Bank (</w:t>
            </w:r>
            <w:proofErr w:type="spellStart"/>
            <w:r>
              <w:rPr>
                <w:rFonts w:cs="Arial"/>
                <w:color w:val="1F497D" w:themeColor="text2"/>
                <w:sz w:val="20"/>
                <w:szCs w:val="20"/>
              </w:rPr>
              <w:t>AfDB</w:t>
            </w:r>
            <w:proofErr w:type="spellEnd"/>
            <w:r>
              <w:rPr>
                <w:rFonts w:cs="Arial"/>
                <w:color w:val="1F497D" w:themeColor="text2"/>
                <w:sz w:val="20"/>
                <w:szCs w:val="20"/>
              </w:rPr>
              <w:t>)</w:t>
            </w:r>
          </w:p>
        </w:tc>
      </w:tr>
      <w:tr w:rsidR="00520BA3" w:rsidTr="00555EBC">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Seychelles</w:t>
            </w:r>
          </w:p>
        </w:tc>
        <w:tc>
          <w:tcPr>
            <w:tcW w:w="5528" w:type="dxa"/>
          </w:tcPr>
          <w:p w:rsidR="00520BA3" w:rsidRPr="00CE1372" w:rsidRDefault="00520BA3" w:rsidP="00555EBC">
            <w:pPr>
              <w:autoSpaceDE w:val="0"/>
              <w:autoSpaceDN w:val="0"/>
              <w:adjustRightInd w:val="0"/>
              <w:cnfStyle w:val="000000000000"/>
              <w:rPr>
                <w:rFonts w:cs="Arial"/>
                <w:color w:val="1F497D" w:themeColor="text2"/>
                <w:sz w:val="20"/>
                <w:szCs w:val="20"/>
              </w:rPr>
            </w:pPr>
            <w:proofErr w:type="spellStart"/>
            <w:r w:rsidRPr="00CE1372">
              <w:rPr>
                <w:rFonts w:cs="Arial"/>
                <w:color w:val="1F497D" w:themeColor="text2"/>
                <w:sz w:val="20"/>
                <w:szCs w:val="20"/>
              </w:rPr>
              <w:t>Mariculture</w:t>
            </w:r>
            <w:proofErr w:type="spellEnd"/>
            <w:r w:rsidRPr="00CE1372">
              <w:rPr>
                <w:rFonts w:cs="Arial"/>
                <w:color w:val="1F497D" w:themeColor="text2"/>
                <w:sz w:val="20"/>
                <w:szCs w:val="20"/>
              </w:rPr>
              <w:t xml:space="preserve"> Master Plan (MMP)</w:t>
            </w:r>
          </w:p>
        </w:tc>
        <w:tc>
          <w:tcPr>
            <w:tcW w:w="1763" w:type="dxa"/>
          </w:tcPr>
          <w:p w:rsidR="00520BA3" w:rsidRPr="00CE1372" w:rsidRDefault="00520BA3" w:rsidP="00555EBC">
            <w:pPr>
              <w:autoSpaceDE w:val="0"/>
              <w:autoSpaceDN w:val="0"/>
              <w:adjustRightInd w:val="0"/>
              <w:jc w:val="right"/>
              <w:cnfStyle w:val="000000000000"/>
              <w:rPr>
                <w:rFonts w:cs="Arial"/>
                <w:color w:val="1F497D" w:themeColor="text2"/>
                <w:sz w:val="20"/>
                <w:szCs w:val="20"/>
              </w:rPr>
            </w:pPr>
            <w:r w:rsidRPr="00CE1372">
              <w:rPr>
                <w:rFonts w:cs="Arial"/>
                <w:color w:val="1F497D" w:themeColor="text2"/>
                <w:sz w:val="20"/>
                <w:szCs w:val="20"/>
              </w:rPr>
              <w:t>0.5 million</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Mali</w:t>
            </w:r>
          </w:p>
        </w:tc>
        <w:tc>
          <w:tcPr>
            <w:tcW w:w="5528" w:type="dxa"/>
          </w:tcPr>
          <w:p w:rsidR="00520BA3" w:rsidRPr="00CE1372" w:rsidRDefault="00520BA3" w:rsidP="00555EBC">
            <w:pPr>
              <w:autoSpaceDE w:val="0"/>
              <w:autoSpaceDN w:val="0"/>
              <w:adjustRightInd w:val="0"/>
              <w:cnfStyle w:val="000000100000"/>
              <w:rPr>
                <w:rFonts w:cs="Arial"/>
                <w:color w:val="1F497D" w:themeColor="text2"/>
                <w:sz w:val="20"/>
                <w:szCs w:val="20"/>
              </w:rPr>
            </w:pPr>
            <w:proofErr w:type="spellStart"/>
            <w:r w:rsidRPr="00CE1372">
              <w:rPr>
                <w:rFonts w:cs="Arial"/>
                <w:color w:val="1F497D" w:themeColor="text2"/>
                <w:sz w:val="20"/>
                <w:szCs w:val="20"/>
              </w:rPr>
              <w:t>Markala</w:t>
            </w:r>
            <w:proofErr w:type="spellEnd"/>
            <w:r w:rsidRPr="00CE1372">
              <w:rPr>
                <w:rFonts w:cs="Arial"/>
                <w:color w:val="1F497D" w:themeColor="text2"/>
                <w:sz w:val="20"/>
                <w:szCs w:val="20"/>
              </w:rPr>
              <w:t xml:space="preserve"> Sugar Project</w:t>
            </w:r>
          </w:p>
        </w:tc>
        <w:tc>
          <w:tcPr>
            <w:tcW w:w="1763" w:type="dxa"/>
          </w:tcPr>
          <w:p w:rsidR="00520BA3" w:rsidRPr="00CE1372" w:rsidRDefault="00520BA3" w:rsidP="00555EBC">
            <w:pPr>
              <w:autoSpaceDE w:val="0"/>
              <w:autoSpaceDN w:val="0"/>
              <w:adjustRightInd w:val="0"/>
              <w:jc w:val="right"/>
              <w:cnfStyle w:val="000000100000"/>
              <w:rPr>
                <w:rFonts w:cs="Arial"/>
                <w:color w:val="1F497D" w:themeColor="text2"/>
                <w:sz w:val="20"/>
                <w:szCs w:val="20"/>
              </w:rPr>
            </w:pPr>
            <w:r w:rsidRPr="00CE1372">
              <w:rPr>
                <w:rFonts w:cs="Arial"/>
                <w:color w:val="1F497D" w:themeColor="text2"/>
                <w:sz w:val="20"/>
                <w:szCs w:val="20"/>
              </w:rPr>
              <w:t>38.9 million</w:t>
            </w:r>
          </w:p>
        </w:tc>
      </w:tr>
      <w:tr w:rsidR="00520BA3" w:rsidTr="00555EBC">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Egypt</w:t>
            </w:r>
          </w:p>
        </w:tc>
        <w:tc>
          <w:tcPr>
            <w:tcW w:w="5528" w:type="dxa"/>
          </w:tcPr>
          <w:p w:rsidR="00520BA3" w:rsidRPr="00CE1372" w:rsidRDefault="00520BA3" w:rsidP="00555EBC">
            <w:pPr>
              <w:autoSpaceDE w:val="0"/>
              <w:autoSpaceDN w:val="0"/>
              <w:adjustRightInd w:val="0"/>
              <w:cnfStyle w:val="000000000000"/>
              <w:rPr>
                <w:rFonts w:cs="Arial"/>
                <w:color w:val="1F497D" w:themeColor="text2"/>
                <w:sz w:val="20"/>
                <w:szCs w:val="20"/>
              </w:rPr>
            </w:pPr>
            <w:r w:rsidRPr="00CE1372">
              <w:rPr>
                <w:rFonts w:cs="Arial"/>
                <w:color w:val="1F497D" w:themeColor="text2"/>
                <w:sz w:val="20"/>
                <w:szCs w:val="20"/>
              </w:rPr>
              <w:t>Rural Income and Economic Enhancement RIEP</w:t>
            </w:r>
          </w:p>
        </w:tc>
        <w:tc>
          <w:tcPr>
            <w:tcW w:w="1763" w:type="dxa"/>
          </w:tcPr>
          <w:p w:rsidR="00520BA3" w:rsidRPr="00CE1372" w:rsidRDefault="00520BA3" w:rsidP="00555EBC">
            <w:pPr>
              <w:autoSpaceDE w:val="0"/>
              <w:autoSpaceDN w:val="0"/>
              <w:adjustRightInd w:val="0"/>
              <w:jc w:val="right"/>
              <w:cnfStyle w:val="000000000000"/>
              <w:rPr>
                <w:rFonts w:cs="Arial"/>
                <w:color w:val="1F497D" w:themeColor="text2"/>
                <w:sz w:val="20"/>
                <w:szCs w:val="20"/>
              </w:rPr>
            </w:pPr>
            <w:r w:rsidRPr="00CE1372">
              <w:rPr>
                <w:rFonts w:cs="Arial"/>
                <w:color w:val="1F497D" w:themeColor="text2"/>
                <w:sz w:val="20"/>
                <w:szCs w:val="20"/>
              </w:rPr>
              <w:t>69 million</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Gambia</w:t>
            </w:r>
          </w:p>
        </w:tc>
        <w:tc>
          <w:tcPr>
            <w:tcW w:w="5528" w:type="dxa"/>
          </w:tcPr>
          <w:p w:rsidR="00520BA3" w:rsidRPr="00CE1372" w:rsidRDefault="00520BA3" w:rsidP="00555EBC">
            <w:pPr>
              <w:autoSpaceDE w:val="0"/>
              <w:autoSpaceDN w:val="0"/>
              <w:adjustRightInd w:val="0"/>
              <w:cnfStyle w:val="000000100000"/>
              <w:rPr>
                <w:rFonts w:cs="Arial"/>
                <w:color w:val="1F497D" w:themeColor="text2"/>
                <w:sz w:val="20"/>
                <w:szCs w:val="20"/>
              </w:rPr>
            </w:pPr>
            <w:r w:rsidRPr="00CE1372">
              <w:rPr>
                <w:rFonts w:cs="Arial"/>
                <w:color w:val="1F497D" w:themeColor="text2"/>
                <w:sz w:val="20"/>
                <w:szCs w:val="20"/>
              </w:rPr>
              <w:t>Sustainable Land Management (SLM)</w:t>
            </w:r>
          </w:p>
        </w:tc>
        <w:tc>
          <w:tcPr>
            <w:tcW w:w="1763" w:type="dxa"/>
          </w:tcPr>
          <w:p w:rsidR="00520BA3" w:rsidRPr="00CE1372" w:rsidRDefault="00520BA3" w:rsidP="00555EBC">
            <w:pPr>
              <w:autoSpaceDE w:val="0"/>
              <w:autoSpaceDN w:val="0"/>
              <w:adjustRightInd w:val="0"/>
              <w:jc w:val="right"/>
              <w:cnfStyle w:val="000000100000"/>
              <w:rPr>
                <w:rFonts w:cs="Arial"/>
                <w:color w:val="1F497D" w:themeColor="text2"/>
                <w:sz w:val="20"/>
                <w:szCs w:val="20"/>
              </w:rPr>
            </w:pPr>
            <w:r w:rsidRPr="00CE1372">
              <w:rPr>
                <w:rFonts w:cs="Arial"/>
                <w:color w:val="1F497D" w:themeColor="text2"/>
                <w:sz w:val="20"/>
                <w:szCs w:val="20"/>
              </w:rPr>
              <w:t>4.3 million</w:t>
            </w:r>
          </w:p>
        </w:tc>
      </w:tr>
      <w:tr w:rsidR="00520BA3" w:rsidTr="00555EBC">
        <w:tc>
          <w:tcPr>
            <w:cnfStyle w:val="001000000000"/>
            <w:tcW w:w="1951" w:type="dxa"/>
          </w:tcPr>
          <w:p w:rsidR="00520BA3" w:rsidRPr="00CE1372" w:rsidRDefault="00520BA3" w:rsidP="00555EBC">
            <w:pPr>
              <w:autoSpaceDE w:val="0"/>
              <w:autoSpaceDN w:val="0"/>
              <w:adjustRightInd w:val="0"/>
              <w:rPr>
                <w:rFonts w:cs="Arial"/>
                <w:color w:val="1F497D" w:themeColor="text2"/>
                <w:sz w:val="20"/>
                <w:szCs w:val="20"/>
              </w:rPr>
            </w:pPr>
          </w:p>
        </w:tc>
        <w:tc>
          <w:tcPr>
            <w:tcW w:w="5528"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sidRPr="00CE1372">
              <w:rPr>
                <w:rFonts w:cs="Arial"/>
                <w:b/>
                <w:color w:val="1F497D" w:themeColor="text2"/>
                <w:sz w:val="20"/>
                <w:szCs w:val="20"/>
              </w:rPr>
              <w:t xml:space="preserve">TOTAL </w:t>
            </w:r>
            <w:proofErr w:type="spellStart"/>
            <w:r w:rsidRPr="00CE1372">
              <w:rPr>
                <w:rFonts w:cs="Arial"/>
                <w:b/>
                <w:color w:val="1F497D" w:themeColor="text2"/>
                <w:sz w:val="20"/>
                <w:szCs w:val="20"/>
              </w:rPr>
              <w:t>A</w:t>
            </w:r>
            <w:r>
              <w:rPr>
                <w:rFonts w:cs="Arial"/>
                <w:b/>
                <w:color w:val="1F497D" w:themeColor="text2"/>
                <w:sz w:val="20"/>
                <w:szCs w:val="20"/>
              </w:rPr>
              <w:t>f</w:t>
            </w:r>
            <w:r w:rsidRPr="00CE1372">
              <w:rPr>
                <w:rFonts w:cs="Arial"/>
                <w:b/>
                <w:color w:val="1F497D" w:themeColor="text2"/>
                <w:sz w:val="20"/>
                <w:szCs w:val="20"/>
              </w:rPr>
              <w:t>DB</w:t>
            </w:r>
            <w:proofErr w:type="spellEnd"/>
          </w:p>
        </w:tc>
        <w:tc>
          <w:tcPr>
            <w:tcW w:w="1763"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Pr>
                <w:rFonts w:cs="Arial"/>
                <w:b/>
                <w:color w:val="1F497D" w:themeColor="text2"/>
                <w:sz w:val="20"/>
                <w:szCs w:val="20"/>
              </w:rPr>
              <w:t>112.8 million</w:t>
            </w:r>
          </w:p>
        </w:tc>
      </w:tr>
      <w:tr w:rsidR="00520BA3" w:rsidTr="00555EBC">
        <w:trPr>
          <w:cnfStyle w:val="000000100000"/>
        </w:trPr>
        <w:tc>
          <w:tcPr>
            <w:cnfStyle w:val="001000000000"/>
            <w:tcW w:w="9242" w:type="dxa"/>
            <w:gridSpan w:val="3"/>
          </w:tcPr>
          <w:p w:rsidR="00520BA3" w:rsidRPr="002D4A79" w:rsidRDefault="00520BA3" w:rsidP="00555EBC">
            <w:pPr>
              <w:autoSpaceDE w:val="0"/>
              <w:autoSpaceDN w:val="0"/>
              <w:adjustRightInd w:val="0"/>
              <w:rPr>
                <w:rFonts w:cs="Arial"/>
                <w:color w:val="1F497D" w:themeColor="text2"/>
                <w:sz w:val="20"/>
                <w:szCs w:val="20"/>
              </w:rPr>
            </w:pPr>
            <w:r w:rsidRPr="002D4A79">
              <w:rPr>
                <w:rFonts w:cs="Arial"/>
                <w:color w:val="1F497D" w:themeColor="text2"/>
                <w:sz w:val="20"/>
                <w:szCs w:val="20"/>
              </w:rPr>
              <w:t>Arab Fund for Economic &amp; Social Development (AFESD)</w:t>
            </w:r>
          </w:p>
        </w:tc>
      </w:tr>
      <w:tr w:rsidR="00520BA3" w:rsidTr="00555EBC">
        <w:tc>
          <w:tcPr>
            <w:cnfStyle w:val="001000000000"/>
            <w:tcW w:w="1951" w:type="dxa"/>
          </w:tcPr>
          <w:p w:rsidR="00520BA3" w:rsidRPr="002D4A79" w:rsidRDefault="00520BA3" w:rsidP="00555EBC">
            <w:pPr>
              <w:autoSpaceDE w:val="0"/>
              <w:autoSpaceDN w:val="0"/>
              <w:adjustRightInd w:val="0"/>
              <w:rPr>
                <w:rFonts w:cs="Arial"/>
                <w:b w:val="0"/>
                <w:color w:val="1F497D" w:themeColor="text2"/>
                <w:sz w:val="20"/>
                <w:szCs w:val="20"/>
              </w:rPr>
            </w:pPr>
            <w:r w:rsidRPr="002D4A79">
              <w:rPr>
                <w:rFonts w:cs="Arial"/>
                <w:b w:val="0"/>
                <w:color w:val="1F497D" w:themeColor="text2"/>
                <w:sz w:val="20"/>
                <w:szCs w:val="20"/>
              </w:rPr>
              <w:t>Sudan</w:t>
            </w:r>
          </w:p>
        </w:tc>
        <w:tc>
          <w:tcPr>
            <w:tcW w:w="5528" w:type="dxa"/>
          </w:tcPr>
          <w:p w:rsidR="00520BA3" w:rsidRPr="002D4A79"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White Nile Sugar (supplementary loan)</w:t>
            </w:r>
          </w:p>
        </w:tc>
        <w:tc>
          <w:tcPr>
            <w:tcW w:w="1763" w:type="dxa"/>
          </w:tcPr>
          <w:p w:rsidR="00520BA3" w:rsidRPr="002D4A79"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103.7 million</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color w:val="1F497D" w:themeColor="text2"/>
                <w:sz w:val="20"/>
                <w:szCs w:val="20"/>
              </w:rPr>
            </w:pPr>
          </w:p>
        </w:tc>
        <w:tc>
          <w:tcPr>
            <w:tcW w:w="5528" w:type="dxa"/>
          </w:tcPr>
          <w:p w:rsidR="00520BA3" w:rsidRPr="00CE1372" w:rsidRDefault="00520BA3" w:rsidP="00555EBC">
            <w:pPr>
              <w:autoSpaceDE w:val="0"/>
              <w:autoSpaceDN w:val="0"/>
              <w:adjustRightInd w:val="0"/>
              <w:jc w:val="right"/>
              <w:cnfStyle w:val="000000100000"/>
              <w:rPr>
                <w:rFonts w:cs="Arial"/>
                <w:b/>
                <w:color w:val="1F497D" w:themeColor="text2"/>
                <w:sz w:val="20"/>
                <w:szCs w:val="20"/>
              </w:rPr>
            </w:pPr>
            <w:r w:rsidRPr="00CE1372">
              <w:rPr>
                <w:rFonts w:cs="Arial"/>
                <w:b/>
                <w:color w:val="1F497D" w:themeColor="text2"/>
                <w:sz w:val="20"/>
                <w:szCs w:val="20"/>
              </w:rPr>
              <w:t xml:space="preserve">TOTAL </w:t>
            </w:r>
            <w:r>
              <w:rPr>
                <w:rFonts w:cs="Arial"/>
                <w:b/>
                <w:color w:val="1F497D" w:themeColor="text2"/>
                <w:sz w:val="20"/>
                <w:szCs w:val="20"/>
              </w:rPr>
              <w:t>AFESD</w:t>
            </w:r>
          </w:p>
        </w:tc>
        <w:tc>
          <w:tcPr>
            <w:tcW w:w="1763" w:type="dxa"/>
          </w:tcPr>
          <w:p w:rsidR="00520BA3" w:rsidRPr="002D4A79" w:rsidRDefault="00520BA3" w:rsidP="00555EBC">
            <w:pPr>
              <w:autoSpaceDE w:val="0"/>
              <w:autoSpaceDN w:val="0"/>
              <w:adjustRightInd w:val="0"/>
              <w:jc w:val="right"/>
              <w:cnfStyle w:val="000000100000"/>
              <w:rPr>
                <w:rFonts w:cs="Arial"/>
                <w:b/>
                <w:color w:val="1F497D" w:themeColor="text2"/>
                <w:sz w:val="20"/>
                <w:szCs w:val="20"/>
              </w:rPr>
            </w:pPr>
            <w:r w:rsidRPr="002D4A79">
              <w:rPr>
                <w:rFonts w:cs="Arial"/>
                <w:b/>
                <w:color w:val="1F497D" w:themeColor="text2"/>
                <w:sz w:val="20"/>
                <w:szCs w:val="20"/>
              </w:rPr>
              <w:t>103.7 million</w:t>
            </w:r>
          </w:p>
        </w:tc>
      </w:tr>
      <w:tr w:rsidR="00520BA3" w:rsidTr="00555EBC">
        <w:tc>
          <w:tcPr>
            <w:cnfStyle w:val="001000000000"/>
            <w:tcW w:w="9242" w:type="dxa"/>
            <w:gridSpan w:val="3"/>
          </w:tcPr>
          <w:p w:rsidR="00520BA3" w:rsidRPr="00CE1372" w:rsidRDefault="00520BA3" w:rsidP="00555EBC">
            <w:pPr>
              <w:autoSpaceDE w:val="0"/>
              <w:autoSpaceDN w:val="0"/>
              <w:adjustRightInd w:val="0"/>
              <w:rPr>
                <w:rFonts w:cs="Arial"/>
                <w:color w:val="1F497D" w:themeColor="text2"/>
                <w:sz w:val="20"/>
                <w:szCs w:val="20"/>
              </w:rPr>
            </w:pPr>
            <w:r w:rsidRPr="00CE1372">
              <w:rPr>
                <w:rFonts w:cs="Arial"/>
                <w:color w:val="1F497D" w:themeColor="text2"/>
                <w:sz w:val="20"/>
                <w:szCs w:val="20"/>
              </w:rPr>
              <w:t>African Development Fund (AFDF)</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Liberia</w:t>
            </w:r>
          </w:p>
        </w:tc>
        <w:tc>
          <w:tcPr>
            <w:tcW w:w="5528" w:type="dxa"/>
          </w:tcPr>
          <w:p w:rsidR="00520BA3" w:rsidRPr="00CE1372"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Agriculture Sector Rehabilitation</w:t>
            </w:r>
          </w:p>
        </w:tc>
        <w:tc>
          <w:tcPr>
            <w:tcW w:w="1763" w:type="dxa"/>
          </w:tcPr>
          <w:p w:rsidR="00520BA3" w:rsidRPr="00CE1372"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9.2 million</w:t>
            </w:r>
          </w:p>
        </w:tc>
      </w:tr>
      <w:tr w:rsidR="00520BA3" w:rsidTr="00555EBC">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Sao Tome &amp; Principe</w:t>
            </w:r>
          </w:p>
        </w:tc>
        <w:tc>
          <w:tcPr>
            <w:tcW w:w="5528" w:type="dxa"/>
          </w:tcPr>
          <w:p w:rsidR="00520BA3" w:rsidRPr="00CE1372"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Infrastructure Rehabilitation for Food Security Support</w:t>
            </w:r>
          </w:p>
        </w:tc>
        <w:tc>
          <w:tcPr>
            <w:tcW w:w="1763" w:type="dxa"/>
          </w:tcPr>
          <w:p w:rsidR="00520BA3" w:rsidRPr="00CE1372"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7.6 million</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Mali</w:t>
            </w:r>
          </w:p>
        </w:tc>
        <w:tc>
          <w:tcPr>
            <w:tcW w:w="5528" w:type="dxa"/>
          </w:tcPr>
          <w:p w:rsidR="00520BA3" w:rsidRPr="00EA1632" w:rsidRDefault="00520BA3" w:rsidP="00555EBC">
            <w:pPr>
              <w:autoSpaceDE w:val="0"/>
              <w:autoSpaceDN w:val="0"/>
              <w:adjustRightInd w:val="0"/>
              <w:cnfStyle w:val="000000100000"/>
              <w:rPr>
                <w:rFonts w:cs="Arial"/>
                <w:color w:val="1F497D" w:themeColor="text2"/>
                <w:sz w:val="20"/>
                <w:szCs w:val="20"/>
                <w:lang w:val="pt-PT"/>
              </w:rPr>
            </w:pPr>
            <w:r w:rsidRPr="00EA1632">
              <w:rPr>
                <w:rFonts w:cs="Arial"/>
                <w:color w:val="1F497D" w:themeColor="text2"/>
                <w:sz w:val="20"/>
                <w:szCs w:val="20"/>
                <w:lang w:val="pt-PT"/>
              </w:rPr>
              <w:t>Markala Sugar Project – Agricultural Component</w:t>
            </w:r>
          </w:p>
        </w:tc>
        <w:tc>
          <w:tcPr>
            <w:tcW w:w="1763" w:type="dxa"/>
          </w:tcPr>
          <w:p w:rsidR="00520BA3" w:rsidRPr="00CE1372"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44.2 million</w:t>
            </w:r>
          </w:p>
        </w:tc>
      </w:tr>
      <w:tr w:rsidR="00520BA3" w:rsidTr="00555EBC">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Rwanda</w:t>
            </w:r>
          </w:p>
        </w:tc>
        <w:tc>
          <w:tcPr>
            <w:tcW w:w="5528" w:type="dxa"/>
          </w:tcPr>
          <w:p w:rsidR="00520BA3" w:rsidRPr="00CE1372"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Preparation Activities for the Livestock Infrastructure Support Program (PPF)</w:t>
            </w:r>
          </w:p>
        </w:tc>
        <w:tc>
          <w:tcPr>
            <w:tcW w:w="1763" w:type="dxa"/>
          </w:tcPr>
          <w:p w:rsidR="00520BA3" w:rsidRPr="00CE1372"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0.8 million</w:t>
            </w:r>
          </w:p>
        </w:tc>
      </w:tr>
      <w:tr w:rsidR="00520BA3" w:rsidTr="00555EBC">
        <w:trPr>
          <w:cnfStyle w:val="000000100000"/>
        </w:trPr>
        <w:tc>
          <w:tcPr>
            <w:cnfStyle w:val="001000000000"/>
            <w:tcW w:w="1951" w:type="dxa"/>
          </w:tcPr>
          <w:p w:rsidR="00520BA3" w:rsidRPr="00CE1372" w:rsidRDefault="00520BA3" w:rsidP="00555EBC">
            <w:pPr>
              <w:autoSpaceDE w:val="0"/>
              <w:autoSpaceDN w:val="0"/>
              <w:adjustRightInd w:val="0"/>
              <w:rPr>
                <w:rFonts w:cs="Arial"/>
                <w:b w:val="0"/>
                <w:color w:val="1F497D" w:themeColor="text2"/>
                <w:sz w:val="20"/>
                <w:szCs w:val="20"/>
              </w:rPr>
            </w:pPr>
            <w:r w:rsidRPr="00CE1372">
              <w:rPr>
                <w:rFonts w:cs="Arial"/>
                <w:b w:val="0"/>
                <w:color w:val="1F497D" w:themeColor="text2"/>
                <w:sz w:val="20"/>
                <w:szCs w:val="20"/>
              </w:rPr>
              <w:t>Cameroon</w:t>
            </w:r>
          </w:p>
        </w:tc>
        <w:tc>
          <w:tcPr>
            <w:tcW w:w="5528" w:type="dxa"/>
          </w:tcPr>
          <w:p w:rsidR="00520BA3" w:rsidRPr="00CE1372"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Support Project for Modernization of the Land Registration System and Business Climate</w:t>
            </w:r>
          </w:p>
        </w:tc>
        <w:tc>
          <w:tcPr>
            <w:tcW w:w="1763" w:type="dxa"/>
          </w:tcPr>
          <w:p w:rsidR="00520BA3" w:rsidRPr="00CE1372"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10.7 million</w:t>
            </w:r>
          </w:p>
        </w:tc>
      </w:tr>
      <w:tr w:rsidR="00520BA3" w:rsidTr="00555EBC">
        <w:tc>
          <w:tcPr>
            <w:cnfStyle w:val="001000000000"/>
            <w:tcW w:w="1951" w:type="dxa"/>
          </w:tcPr>
          <w:p w:rsidR="00520BA3" w:rsidRPr="00CE1372" w:rsidRDefault="00520BA3" w:rsidP="00555EBC">
            <w:pPr>
              <w:autoSpaceDE w:val="0"/>
              <w:autoSpaceDN w:val="0"/>
              <w:adjustRightInd w:val="0"/>
              <w:rPr>
                <w:rFonts w:cs="Arial"/>
                <w:color w:val="1F497D" w:themeColor="text2"/>
                <w:sz w:val="20"/>
                <w:szCs w:val="20"/>
              </w:rPr>
            </w:pPr>
          </w:p>
        </w:tc>
        <w:tc>
          <w:tcPr>
            <w:tcW w:w="5528"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sidRPr="00CE1372">
              <w:rPr>
                <w:rFonts w:cs="Arial"/>
                <w:b/>
                <w:color w:val="1F497D" w:themeColor="text2"/>
                <w:sz w:val="20"/>
                <w:szCs w:val="20"/>
              </w:rPr>
              <w:t>TOTAL AFD</w:t>
            </w:r>
            <w:r>
              <w:rPr>
                <w:rFonts w:cs="Arial"/>
                <w:b/>
                <w:color w:val="1F497D" w:themeColor="text2"/>
                <w:sz w:val="20"/>
                <w:szCs w:val="20"/>
              </w:rPr>
              <w:t>F</w:t>
            </w:r>
          </w:p>
        </w:tc>
        <w:tc>
          <w:tcPr>
            <w:tcW w:w="1763"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Pr>
                <w:rFonts w:cs="Arial"/>
                <w:b/>
                <w:color w:val="1F497D" w:themeColor="text2"/>
                <w:sz w:val="20"/>
                <w:szCs w:val="20"/>
              </w:rPr>
              <w:t>72.4 million</w:t>
            </w:r>
          </w:p>
        </w:tc>
      </w:tr>
      <w:tr w:rsidR="00520BA3" w:rsidTr="00555EBC">
        <w:trPr>
          <w:cnfStyle w:val="000000100000"/>
        </w:trPr>
        <w:tc>
          <w:tcPr>
            <w:cnfStyle w:val="001000000000"/>
            <w:tcW w:w="9242" w:type="dxa"/>
            <w:gridSpan w:val="3"/>
          </w:tcPr>
          <w:p w:rsidR="00520BA3" w:rsidRPr="00CE1372" w:rsidRDefault="00520BA3" w:rsidP="00555EBC">
            <w:pPr>
              <w:autoSpaceDE w:val="0"/>
              <w:autoSpaceDN w:val="0"/>
              <w:adjustRightInd w:val="0"/>
              <w:rPr>
                <w:rFonts w:cs="Arial"/>
                <w:color w:val="1F497D" w:themeColor="text2"/>
                <w:sz w:val="20"/>
                <w:szCs w:val="20"/>
              </w:rPr>
            </w:pPr>
            <w:r>
              <w:rPr>
                <w:rFonts w:cs="Arial"/>
                <w:color w:val="1F497D" w:themeColor="text2"/>
                <w:sz w:val="20"/>
                <w:szCs w:val="20"/>
              </w:rPr>
              <w:t>Arab Bank for Economic Development in Africa (BADEA)</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sidRPr="0014564B">
              <w:rPr>
                <w:rFonts w:cs="Arial"/>
                <w:b w:val="0"/>
                <w:color w:val="1F497D" w:themeColor="text2"/>
                <w:sz w:val="20"/>
                <w:szCs w:val="20"/>
              </w:rPr>
              <w:t xml:space="preserve">Cape Verde </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Provision of an Arab Expert in the Field of Rural Development to the Ministry of Environment, Rural Development and Marine Resources</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0.2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sidRPr="0014564B">
              <w:rPr>
                <w:rFonts w:cs="Arial"/>
                <w:b w:val="0"/>
                <w:color w:val="1F497D" w:themeColor="text2"/>
                <w:sz w:val="20"/>
                <w:szCs w:val="20"/>
              </w:rPr>
              <w:t>Malawi</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Provision of an Arab Expert to Irrigation Department at the Ministry of Irrigation and Water Resources Department</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0.2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Togo</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Support to Rice Production in the Area of “Kara”</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0.5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South of Sahara, regional</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Techno-economic feasibility study for the Agricultural Development in “</w:t>
            </w:r>
            <w:proofErr w:type="spellStart"/>
            <w:r>
              <w:rPr>
                <w:rFonts w:cs="Arial"/>
                <w:color w:val="1F497D" w:themeColor="text2"/>
                <w:sz w:val="20"/>
                <w:szCs w:val="20"/>
              </w:rPr>
              <w:t>Ouham</w:t>
            </w:r>
            <w:proofErr w:type="spellEnd"/>
            <w:r>
              <w:rPr>
                <w:rFonts w:cs="Arial"/>
                <w:color w:val="1F497D" w:themeColor="text2"/>
                <w:sz w:val="20"/>
                <w:szCs w:val="20"/>
              </w:rPr>
              <w:t>” Valley</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0.5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Swaziland</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Techno-economic feasibility study for the Development of “</w:t>
            </w:r>
            <w:proofErr w:type="spellStart"/>
            <w:r>
              <w:rPr>
                <w:rFonts w:cs="Arial"/>
                <w:color w:val="1F497D" w:themeColor="text2"/>
                <w:sz w:val="20"/>
                <w:szCs w:val="20"/>
              </w:rPr>
              <w:t>Mkhondvo</w:t>
            </w:r>
            <w:proofErr w:type="spellEnd"/>
            <w:r>
              <w:rPr>
                <w:rFonts w:cs="Arial"/>
                <w:color w:val="1F497D" w:themeColor="text2"/>
                <w:sz w:val="20"/>
                <w:szCs w:val="20"/>
              </w:rPr>
              <w:t>” Basin</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0.4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Sierra Leone</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Techno-economic feasibility study for the Development of the Extended Irrigation in “</w:t>
            </w:r>
            <w:proofErr w:type="spellStart"/>
            <w:r>
              <w:rPr>
                <w:rFonts w:cs="Arial"/>
                <w:color w:val="1F497D" w:themeColor="text2"/>
                <w:sz w:val="20"/>
                <w:szCs w:val="20"/>
              </w:rPr>
              <w:t>Kumarabai</w:t>
            </w:r>
            <w:proofErr w:type="spellEnd"/>
            <w:r>
              <w:rPr>
                <w:rFonts w:cs="Arial"/>
                <w:color w:val="1F497D" w:themeColor="text2"/>
                <w:sz w:val="20"/>
                <w:szCs w:val="20"/>
              </w:rPr>
              <w:t xml:space="preserve"> </w:t>
            </w:r>
            <w:proofErr w:type="spellStart"/>
            <w:r>
              <w:rPr>
                <w:rFonts w:cs="Arial"/>
                <w:color w:val="1F497D" w:themeColor="text2"/>
                <w:sz w:val="20"/>
                <w:szCs w:val="20"/>
              </w:rPr>
              <w:t>Mamilla</w:t>
            </w:r>
            <w:proofErr w:type="spellEnd"/>
            <w:r>
              <w:rPr>
                <w:rFonts w:cs="Arial"/>
                <w:color w:val="1F497D" w:themeColor="text2"/>
                <w:sz w:val="20"/>
                <w:szCs w:val="20"/>
              </w:rPr>
              <w:t>”</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0.4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Gambia</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Techno-economic feasibility study for the Feeder Roads in the West of the Gambia</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0.3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Agricultural water resources</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Techno-economic feasibility study for the improvement of infrastructures for irrigation and drainage in “</w:t>
            </w:r>
            <w:proofErr w:type="spellStart"/>
            <w:r>
              <w:rPr>
                <w:rFonts w:cs="Arial"/>
                <w:color w:val="1F497D" w:themeColor="text2"/>
                <w:sz w:val="20"/>
                <w:szCs w:val="20"/>
              </w:rPr>
              <w:t>Kiata</w:t>
            </w:r>
            <w:proofErr w:type="spellEnd"/>
            <w:r>
              <w:rPr>
                <w:rFonts w:cs="Arial"/>
                <w:color w:val="1F497D" w:themeColor="text2"/>
                <w:sz w:val="20"/>
                <w:szCs w:val="20"/>
              </w:rPr>
              <w:t>” Region</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0.4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Togo</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Techno-economic feasibility study for the Reclamation of Agricultural Lands in “</w:t>
            </w:r>
            <w:proofErr w:type="spellStart"/>
            <w:r>
              <w:rPr>
                <w:rFonts w:cs="Arial"/>
                <w:color w:val="1F497D" w:themeColor="text2"/>
                <w:sz w:val="20"/>
                <w:szCs w:val="20"/>
              </w:rPr>
              <w:t>Oti</w:t>
            </w:r>
            <w:proofErr w:type="spellEnd"/>
            <w:r>
              <w:rPr>
                <w:rFonts w:cs="Arial"/>
                <w:color w:val="1F497D" w:themeColor="text2"/>
                <w:sz w:val="20"/>
                <w:szCs w:val="20"/>
              </w:rPr>
              <w:t>” Plan</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0.3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Pr="00CE1372"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TOTAL BADEA</w:t>
            </w:r>
          </w:p>
        </w:tc>
        <w:tc>
          <w:tcPr>
            <w:tcW w:w="1763" w:type="dxa"/>
          </w:tcPr>
          <w:p w:rsidR="00520BA3" w:rsidRPr="00CE1372"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7.8 million</w:t>
            </w:r>
          </w:p>
        </w:tc>
      </w:tr>
      <w:tr w:rsidR="00520BA3" w:rsidTr="00555EBC">
        <w:tc>
          <w:tcPr>
            <w:cnfStyle w:val="001000000000"/>
            <w:tcW w:w="9242" w:type="dxa"/>
            <w:gridSpan w:val="3"/>
          </w:tcPr>
          <w:p w:rsidR="00520BA3" w:rsidRPr="00C55CB6" w:rsidRDefault="00520BA3" w:rsidP="00555EBC">
            <w:pPr>
              <w:autoSpaceDE w:val="0"/>
              <w:autoSpaceDN w:val="0"/>
              <w:adjustRightInd w:val="0"/>
              <w:rPr>
                <w:rFonts w:cs="Arial"/>
                <w:color w:val="1F497D" w:themeColor="text2"/>
                <w:sz w:val="20"/>
                <w:szCs w:val="20"/>
              </w:rPr>
            </w:pPr>
            <w:r w:rsidRPr="00C55CB6">
              <w:rPr>
                <w:rFonts w:cs="Arial"/>
                <w:color w:val="1F497D" w:themeColor="text2"/>
                <w:sz w:val="20"/>
                <w:szCs w:val="20"/>
              </w:rPr>
              <w:t>Congo Basin Forest Fund (CBFF)</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Congo, Dem. Rep</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 xml:space="preserve">Conservation International Foundation: </w:t>
            </w:r>
            <w:proofErr w:type="spellStart"/>
            <w:r>
              <w:rPr>
                <w:rFonts w:cs="Arial"/>
                <w:color w:val="1F497D" w:themeColor="text2"/>
                <w:sz w:val="20"/>
                <w:szCs w:val="20"/>
              </w:rPr>
              <w:t>Bonobo</w:t>
            </w:r>
            <w:proofErr w:type="spellEnd"/>
            <w:r>
              <w:rPr>
                <w:rFonts w:cs="Arial"/>
                <w:color w:val="1F497D" w:themeColor="text2"/>
                <w:sz w:val="20"/>
                <w:szCs w:val="20"/>
              </w:rPr>
              <w:t xml:space="preserve"> Conservation Concession in Equateur Province, DRC</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1.5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South of Sahara, regional</w:t>
            </w:r>
          </w:p>
        </w:tc>
        <w:tc>
          <w:tcPr>
            <w:tcW w:w="5528" w:type="dxa"/>
          </w:tcPr>
          <w:p w:rsidR="00520BA3" w:rsidRPr="0014564B"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Reconciling the Needs of the Logging Industry with those of Forest-Dependent</w:t>
            </w:r>
          </w:p>
        </w:tc>
        <w:tc>
          <w:tcPr>
            <w:tcW w:w="1763" w:type="dxa"/>
          </w:tcPr>
          <w:p w:rsidR="00520BA3" w:rsidRPr="0014564B"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1.7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Congo, Dem. Rep.</w:t>
            </w:r>
          </w:p>
        </w:tc>
        <w:tc>
          <w:tcPr>
            <w:tcW w:w="5528" w:type="dxa"/>
          </w:tcPr>
          <w:p w:rsidR="00520BA3" w:rsidRPr="0014564B"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 xml:space="preserve">Sankuru Community “Fair Trade” Carbon Initiative, </w:t>
            </w:r>
            <w:proofErr w:type="spellStart"/>
            <w:r>
              <w:rPr>
                <w:rFonts w:cs="Arial"/>
                <w:color w:val="1F497D" w:themeColor="text2"/>
                <w:sz w:val="20"/>
                <w:szCs w:val="20"/>
              </w:rPr>
              <w:t>Bonobo</w:t>
            </w:r>
            <w:proofErr w:type="spellEnd"/>
            <w:r>
              <w:rPr>
                <w:rFonts w:cs="Arial"/>
                <w:color w:val="1F497D" w:themeColor="text2"/>
                <w:sz w:val="20"/>
                <w:szCs w:val="20"/>
              </w:rPr>
              <w:t xml:space="preserve"> Conservation Initiative</w:t>
            </w:r>
          </w:p>
        </w:tc>
        <w:tc>
          <w:tcPr>
            <w:tcW w:w="1763" w:type="dxa"/>
          </w:tcPr>
          <w:p w:rsidR="00520BA3" w:rsidRPr="0014564B"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1.6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Pr>
                <w:rFonts w:cs="Arial"/>
                <w:b/>
                <w:color w:val="1F497D" w:themeColor="text2"/>
                <w:sz w:val="20"/>
                <w:szCs w:val="20"/>
              </w:rPr>
              <w:t>TOTAL CBFF</w:t>
            </w:r>
          </w:p>
        </w:tc>
        <w:tc>
          <w:tcPr>
            <w:tcW w:w="1763" w:type="dxa"/>
          </w:tcPr>
          <w:p w:rsidR="00520BA3" w:rsidRPr="00CE1372" w:rsidRDefault="00520BA3" w:rsidP="00555EBC">
            <w:pPr>
              <w:autoSpaceDE w:val="0"/>
              <w:autoSpaceDN w:val="0"/>
              <w:adjustRightInd w:val="0"/>
              <w:jc w:val="right"/>
              <w:cnfStyle w:val="000000000000"/>
              <w:rPr>
                <w:rFonts w:cs="Arial"/>
                <w:b/>
                <w:color w:val="1F497D" w:themeColor="text2"/>
                <w:sz w:val="20"/>
                <w:szCs w:val="20"/>
              </w:rPr>
            </w:pPr>
            <w:r>
              <w:rPr>
                <w:rFonts w:cs="Arial"/>
                <w:b/>
                <w:color w:val="1F497D" w:themeColor="text2"/>
                <w:sz w:val="20"/>
                <w:szCs w:val="20"/>
              </w:rPr>
              <w:t>4.8 million</w:t>
            </w:r>
          </w:p>
        </w:tc>
      </w:tr>
    </w:tbl>
    <w:p w:rsidR="00520BA3" w:rsidRDefault="00520BA3" w:rsidP="00520BA3">
      <w:r>
        <w:rPr>
          <w:b/>
          <w:bCs/>
        </w:rPr>
        <w:br w:type="page"/>
      </w:r>
    </w:p>
    <w:tbl>
      <w:tblPr>
        <w:tblStyle w:val="LightShading-Accent5"/>
        <w:tblW w:w="0" w:type="auto"/>
        <w:tblLook w:val="04A0"/>
      </w:tblPr>
      <w:tblGrid>
        <w:gridCol w:w="1951"/>
        <w:gridCol w:w="5528"/>
        <w:gridCol w:w="1763"/>
      </w:tblGrid>
      <w:tr w:rsidR="00520BA3" w:rsidTr="00555EBC">
        <w:trPr>
          <w:cnfStyle w:val="100000000000"/>
        </w:trPr>
        <w:tc>
          <w:tcPr>
            <w:cnfStyle w:val="001000000000"/>
            <w:tcW w:w="9242" w:type="dxa"/>
            <w:gridSpan w:val="3"/>
          </w:tcPr>
          <w:p w:rsidR="00520BA3" w:rsidRPr="00A75023" w:rsidRDefault="00520BA3" w:rsidP="00555EBC">
            <w:pPr>
              <w:autoSpaceDE w:val="0"/>
              <w:autoSpaceDN w:val="0"/>
              <w:adjustRightInd w:val="0"/>
              <w:rPr>
                <w:rFonts w:cs="Arial"/>
                <w:color w:val="1F497D" w:themeColor="text2"/>
                <w:sz w:val="20"/>
                <w:szCs w:val="20"/>
              </w:rPr>
            </w:pPr>
            <w:r w:rsidRPr="00A75023">
              <w:rPr>
                <w:rFonts w:cs="Arial"/>
                <w:color w:val="1F497D" w:themeColor="text2"/>
                <w:sz w:val="20"/>
                <w:szCs w:val="20"/>
              </w:rPr>
              <w:lastRenderedPageBreak/>
              <w:t>Global Environment Facility (GEF)</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Congo, Dem. Rep</w:t>
            </w:r>
          </w:p>
        </w:tc>
        <w:tc>
          <w:tcPr>
            <w:tcW w:w="5528" w:type="dxa"/>
          </w:tcPr>
          <w:p w:rsidR="00520BA3" w:rsidRPr="00A75023"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Building the Capacity of the Agricultural Sector in DR Congo to Plan for and Respond to the Additional Threats Posed by Climate Change on Food Production and Security</w:t>
            </w:r>
          </w:p>
        </w:tc>
        <w:tc>
          <w:tcPr>
            <w:tcW w:w="1763" w:type="dxa"/>
          </w:tcPr>
          <w:p w:rsidR="00520BA3" w:rsidRPr="00A75023" w:rsidRDefault="00520BA3" w:rsidP="00555EBC">
            <w:pPr>
              <w:autoSpaceDE w:val="0"/>
              <w:autoSpaceDN w:val="0"/>
              <w:adjustRightInd w:val="0"/>
              <w:jc w:val="right"/>
              <w:cnfStyle w:val="000000100000"/>
              <w:rPr>
                <w:rFonts w:cs="Arial"/>
                <w:color w:val="1F497D" w:themeColor="text2"/>
                <w:sz w:val="20"/>
                <w:szCs w:val="20"/>
              </w:rPr>
            </w:pPr>
            <w:r w:rsidRPr="00A75023">
              <w:rPr>
                <w:rFonts w:cs="Arial"/>
                <w:color w:val="1F497D" w:themeColor="text2"/>
                <w:sz w:val="20"/>
                <w:szCs w:val="20"/>
              </w:rPr>
              <w:t>3.1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Mali</w:t>
            </w:r>
          </w:p>
        </w:tc>
        <w:tc>
          <w:tcPr>
            <w:tcW w:w="5528" w:type="dxa"/>
          </w:tcPr>
          <w:p w:rsidR="00520BA3" w:rsidRPr="00A75023" w:rsidRDefault="00520BA3" w:rsidP="00555EBC">
            <w:pPr>
              <w:autoSpaceDE w:val="0"/>
              <w:autoSpaceDN w:val="0"/>
              <w:adjustRightInd w:val="0"/>
              <w:cnfStyle w:val="000000000000"/>
              <w:rPr>
                <w:rFonts w:cs="Arial"/>
                <w:color w:val="1F497D" w:themeColor="text2"/>
                <w:sz w:val="20"/>
                <w:szCs w:val="20"/>
              </w:rPr>
            </w:pPr>
            <w:r w:rsidRPr="00A75023">
              <w:rPr>
                <w:rFonts w:cs="Arial"/>
                <w:color w:val="1F497D" w:themeColor="text2"/>
                <w:sz w:val="20"/>
                <w:szCs w:val="20"/>
              </w:rPr>
              <w:t>Enhancing</w:t>
            </w:r>
            <w:r>
              <w:rPr>
                <w:rFonts w:cs="Arial"/>
                <w:color w:val="1F497D" w:themeColor="text2"/>
                <w:sz w:val="20"/>
                <w:szCs w:val="20"/>
              </w:rPr>
              <w:t xml:space="preserve"> Adaptive Capacity and Resilience to Climate Change in the Agriculture Sector in Mali</w:t>
            </w:r>
          </w:p>
        </w:tc>
        <w:tc>
          <w:tcPr>
            <w:tcW w:w="1763" w:type="dxa"/>
          </w:tcPr>
          <w:p w:rsidR="00520BA3" w:rsidRDefault="00520BA3" w:rsidP="00555EBC">
            <w:pPr>
              <w:autoSpaceDE w:val="0"/>
              <w:autoSpaceDN w:val="0"/>
              <w:adjustRightInd w:val="0"/>
              <w:jc w:val="right"/>
              <w:cnfStyle w:val="000000000000"/>
              <w:rPr>
                <w:rFonts w:cs="Arial"/>
                <w:b/>
                <w:color w:val="1F497D" w:themeColor="text2"/>
                <w:sz w:val="20"/>
                <w:szCs w:val="20"/>
              </w:rPr>
            </w:pPr>
            <w:r w:rsidRPr="00A75023">
              <w:rPr>
                <w:rFonts w:cs="Arial"/>
                <w:color w:val="1F497D" w:themeColor="text2"/>
                <w:sz w:val="20"/>
                <w:szCs w:val="20"/>
              </w:rPr>
              <w:t>3.1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TOTAL GEF</w:t>
            </w:r>
          </w:p>
        </w:tc>
        <w:tc>
          <w:tcPr>
            <w:tcW w:w="1763"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6.1 million</w:t>
            </w:r>
          </w:p>
        </w:tc>
      </w:tr>
      <w:tr w:rsidR="00520BA3" w:rsidTr="00555EBC">
        <w:tc>
          <w:tcPr>
            <w:cnfStyle w:val="001000000000"/>
            <w:tcW w:w="9242" w:type="dxa"/>
            <w:gridSpan w:val="3"/>
          </w:tcPr>
          <w:p w:rsidR="00520BA3" w:rsidRPr="00A75023" w:rsidRDefault="00520BA3" w:rsidP="00555EBC">
            <w:pPr>
              <w:autoSpaceDE w:val="0"/>
              <w:autoSpaceDN w:val="0"/>
              <w:adjustRightInd w:val="0"/>
              <w:rPr>
                <w:rFonts w:cs="Arial"/>
                <w:color w:val="1F497D" w:themeColor="text2"/>
                <w:sz w:val="20"/>
                <w:szCs w:val="20"/>
              </w:rPr>
            </w:pPr>
            <w:r w:rsidRPr="00A75023">
              <w:rPr>
                <w:rFonts w:cs="Arial"/>
                <w:color w:val="1F497D" w:themeColor="text2"/>
                <w:sz w:val="20"/>
                <w:szCs w:val="20"/>
              </w:rPr>
              <w:t>World Bank - International Bank for Reconstruction and Development (IBRD)</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Egypt</w:t>
            </w:r>
          </w:p>
        </w:tc>
        <w:tc>
          <w:tcPr>
            <w:tcW w:w="5528" w:type="dxa"/>
          </w:tcPr>
          <w:p w:rsidR="00520BA3" w:rsidRPr="00D61CA7" w:rsidRDefault="00520BA3" w:rsidP="00555EBC">
            <w:pPr>
              <w:autoSpaceDE w:val="0"/>
              <w:autoSpaceDN w:val="0"/>
              <w:adjustRightInd w:val="0"/>
              <w:cnfStyle w:val="000000100000"/>
              <w:rPr>
                <w:rFonts w:cs="Arial"/>
                <w:color w:val="1F497D" w:themeColor="text2"/>
                <w:sz w:val="20"/>
                <w:szCs w:val="20"/>
              </w:rPr>
            </w:pPr>
            <w:r w:rsidRPr="00D61CA7">
              <w:rPr>
                <w:rFonts w:cs="Arial"/>
                <w:color w:val="1F497D" w:themeColor="text2"/>
                <w:sz w:val="20"/>
                <w:szCs w:val="20"/>
              </w:rPr>
              <w:t>Farm-level Irrigation Modernization</w:t>
            </w:r>
          </w:p>
        </w:tc>
        <w:tc>
          <w:tcPr>
            <w:tcW w:w="1763" w:type="dxa"/>
          </w:tcPr>
          <w:p w:rsidR="00520BA3" w:rsidRPr="007E60E6" w:rsidRDefault="00520BA3" w:rsidP="00555EBC">
            <w:pPr>
              <w:autoSpaceDE w:val="0"/>
              <w:autoSpaceDN w:val="0"/>
              <w:adjustRightInd w:val="0"/>
              <w:jc w:val="right"/>
              <w:cnfStyle w:val="000000100000"/>
              <w:rPr>
                <w:rFonts w:cs="Arial"/>
                <w:color w:val="1F497D" w:themeColor="text2"/>
                <w:sz w:val="20"/>
                <w:szCs w:val="20"/>
              </w:rPr>
            </w:pPr>
            <w:r w:rsidRPr="007E60E6">
              <w:rPr>
                <w:rFonts w:cs="Arial"/>
                <w:color w:val="1F497D" w:themeColor="text2"/>
                <w:sz w:val="20"/>
                <w:szCs w:val="20"/>
              </w:rPr>
              <w:t>99.1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Morocco</w:t>
            </w:r>
          </w:p>
        </w:tc>
        <w:tc>
          <w:tcPr>
            <w:tcW w:w="5528" w:type="dxa"/>
          </w:tcPr>
          <w:p w:rsidR="00520BA3" w:rsidRPr="00D61CA7" w:rsidRDefault="00520BA3" w:rsidP="00555EBC">
            <w:pPr>
              <w:autoSpaceDE w:val="0"/>
              <w:autoSpaceDN w:val="0"/>
              <w:adjustRightInd w:val="0"/>
              <w:cnfStyle w:val="000000000000"/>
              <w:rPr>
                <w:rFonts w:cs="Arial"/>
                <w:color w:val="1F497D" w:themeColor="text2"/>
                <w:sz w:val="20"/>
                <w:szCs w:val="20"/>
              </w:rPr>
            </w:pPr>
            <w:r w:rsidRPr="00D61CA7">
              <w:rPr>
                <w:rFonts w:cs="Arial"/>
                <w:color w:val="1F497D" w:themeColor="text2"/>
                <w:sz w:val="20"/>
                <w:szCs w:val="20"/>
              </w:rPr>
              <w:t>MA-OUM ER RBIA Irrigated Agriculture Modernization Project</w:t>
            </w:r>
          </w:p>
        </w:tc>
        <w:tc>
          <w:tcPr>
            <w:tcW w:w="1763" w:type="dxa"/>
          </w:tcPr>
          <w:p w:rsidR="00520BA3" w:rsidRPr="007E60E6" w:rsidRDefault="00520BA3" w:rsidP="00555EBC">
            <w:pPr>
              <w:autoSpaceDE w:val="0"/>
              <w:autoSpaceDN w:val="0"/>
              <w:adjustRightInd w:val="0"/>
              <w:jc w:val="right"/>
              <w:cnfStyle w:val="000000000000"/>
              <w:rPr>
                <w:rFonts w:cs="Arial"/>
                <w:color w:val="1F497D" w:themeColor="text2"/>
                <w:sz w:val="20"/>
                <w:szCs w:val="20"/>
              </w:rPr>
            </w:pPr>
            <w:r w:rsidRPr="007E60E6">
              <w:rPr>
                <w:rFonts w:cs="Arial"/>
                <w:color w:val="1F497D" w:themeColor="text2"/>
                <w:sz w:val="20"/>
                <w:szCs w:val="20"/>
              </w:rPr>
              <w:t>69.3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TOTAL IBRD</w:t>
            </w:r>
          </w:p>
        </w:tc>
        <w:tc>
          <w:tcPr>
            <w:tcW w:w="1763"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168.4 million</w:t>
            </w:r>
          </w:p>
        </w:tc>
      </w:tr>
      <w:tr w:rsidR="00520BA3" w:rsidTr="00555EBC">
        <w:tc>
          <w:tcPr>
            <w:cnfStyle w:val="001000000000"/>
            <w:tcW w:w="9242" w:type="dxa"/>
            <w:gridSpan w:val="3"/>
          </w:tcPr>
          <w:p w:rsidR="00520BA3" w:rsidRPr="00D874E5" w:rsidRDefault="00520BA3" w:rsidP="00555EBC">
            <w:pPr>
              <w:autoSpaceDE w:val="0"/>
              <w:autoSpaceDN w:val="0"/>
              <w:adjustRightInd w:val="0"/>
              <w:rPr>
                <w:rFonts w:cs="Arial"/>
                <w:color w:val="1F497D" w:themeColor="text2"/>
                <w:sz w:val="20"/>
                <w:szCs w:val="20"/>
              </w:rPr>
            </w:pPr>
            <w:r w:rsidRPr="00D874E5">
              <w:rPr>
                <w:rFonts w:cs="Arial"/>
                <w:color w:val="1F497D" w:themeColor="text2"/>
                <w:sz w:val="20"/>
                <w:szCs w:val="20"/>
              </w:rPr>
              <w:t>World Bank - International Development Association (IDA)</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Burundi</w:t>
            </w:r>
          </w:p>
        </w:tc>
        <w:tc>
          <w:tcPr>
            <w:tcW w:w="5528" w:type="dxa"/>
          </w:tcPr>
          <w:p w:rsidR="00520BA3" w:rsidRPr="00D874E5"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Agro-Pastoral Productivity and Markets Development Project</w:t>
            </w:r>
          </w:p>
        </w:tc>
        <w:tc>
          <w:tcPr>
            <w:tcW w:w="1763" w:type="dxa"/>
          </w:tcPr>
          <w:p w:rsidR="00520BA3" w:rsidRPr="00D874E5" w:rsidRDefault="00520BA3" w:rsidP="00555EBC">
            <w:pPr>
              <w:autoSpaceDE w:val="0"/>
              <w:autoSpaceDN w:val="0"/>
              <w:adjustRightInd w:val="0"/>
              <w:jc w:val="right"/>
              <w:cnfStyle w:val="000000100000"/>
              <w:rPr>
                <w:rFonts w:cs="Arial"/>
                <w:color w:val="1F497D" w:themeColor="text2"/>
                <w:sz w:val="20"/>
                <w:szCs w:val="20"/>
              </w:rPr>
            </w:pPr>
            <w:r w:rsidRPr="00D874E5">
              <w:rPr>
                <w:rFonts w:cs="Arial"/>
                <w:color w:val="1F497D" w:themeColor="text2"/>
                <w:sz w:val="20"/>
                <w:szCs w:val="20"/>
              </w:rPr>
              <w:t>42.6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Congo, Dem. Rep.</w:t>
            </w:r>
          </w:p>
        </w:tc>
        <w:tc>
          <w:tcPr>
            <w:tcW w:w="5528" w:type="dxa"/>
          </w:tcPr>
          <w:p w:rsidR="00520BA3" w:rsidRPr="00D874E5"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Agricultural Rehabilitation and Recovery Support</w:t>
            </w: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r w:rsidRPr="00D874E5">
              <w:rPr>
                <w:rFonts w:cs="Arial"/>
                <w:color w:val="1F497D" w:themeColor="text2"/>
                <w:sz w:val="20"/>
                <w:szCs w:val="20"/>
              </w:rPr>
              <w:t>118.9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Ethiopia</w:t>
            </w:r>
          </w:p>
        </w:tc>
        <w:tc>
          <w:tcPr>
            <w:tcW w:w="5528" w:type="dxa"/>
          </w:tcPr>
          <w:p w:rsidR="00520BA3" w:rsidRPr="00D874E5"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Agricultural Growth Program</w:t>
            </w:r>
          </w:p>
        </w:tc>
        <w:tc>
          <w:tcPr>
            <w:tcW w:w="1763" w:type="dxa"/>
          </w:tcPr>
          <w:p w:rsidR="00520BA3" w:rsidRPr="00D874E5"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148.6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Ghana</w:t>
            </w:r>
          </w:p>
        </w:tc>
        <w:tc>
          <w:tcPr>
            <w:tcW w:w="5528" w:type="dxa"/>
          </w:tcPr>
          <w:p w:rsidR="00520BA3" w:rsidRPr="00D874E5"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Ghana Second Agriculture Development Policy Operation</w:t>
            </w: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24.8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Malawi</w:t>
            </w:r>
          </w:p>
        </w:tc>
        <w:tc>
          <w:tcPr>
            <w:tcW w:w="5528" w:type="dxa"/>
          </w:tcPr>
          <w:p w:rsidR="00520BA3" w:rsidRPr="00D874E5"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Irrigation, Rural Livelihoods and Agricultural Development Project</w:t>
            </w:r>
          </w:p>
        </w:tc>
        <w:tc>
          <w:tcPr>
            <w:tcW w:w="1763" w:type="dxa"/>
          </w:tcPr>
          <w:p w:rsidR="00520BA3" w:rsidRPr="00D874E5"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12.6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Mali</w:t>
            </w:r>
          </w:p>
        </w:tc>
        <w:tc>
          <w:tcPr>
            <w:tcW w:w="5528" w:type="dxa"/>
          </w:tcPr>
          <w:p w:rsidR="00520BA3" w:rsidRPr="00D874E5" w:rsidRDefault="00520BA3" w:rsidP="00555EBC">
            <w:pPr>
              <w:autoSpaceDE w:val="0"/>
              <w:autoSpaceDN w:val="0"/>
              <w:adjustRightInd w:val="0"/>
              <w:cnfStyle w:val="000000000000"/>
              <w:rPr>
                <w:rFonts w:cs="Arial"/>
                <w:color w:val="1F497D" w:themeColor="text2"/>
                <w:sz w:val="20"/>
                <w:szCs w:val="20"/>
              </w:rPr>
            </w:pPr>
            <w:r>
              <w:rPr>
                <w:rFonts w:cs="Arial"/>
                <w:color w:val="1F497D" w:themeColor="text2"/>
                <w:sz w:val="20"/>
                <w:szCs w:val="20"/>
              </w:rPr>
              <w:t>Fostering Agricultural Productivity in Mali</w:t>
            </w: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69.3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Senegal</w:t>
            </w:r>
          </w:p>
        </w:tc>
        <w:tc>
          <w:tcPr>
            <w:tcW w:w="5528" w:type="dxa"/>
          </w:tcPr>
          <w:p w:rsidR="00520BA3" w:rsidRPr="00D874E5" w:rsidRDefault="00520BA3" w:rsidP="00555EBC">
            <w:pPr>
              <w:autoSpaceDE w:val="0"/>
              <w:autoSpaceDN w:val="0"/>
              <w:adjustRightInd w:val="0"/>
              <w:cnfStyle w:val="000000100000"/>
              <w:rPr>
                <w:rFonts w:cs="Arial"/>
                <w:color w:val="1F497D" w:themeColor="text2"/>
                <w:sz w:val="20"/>
                <w:szCs w:val="20"/>
              </w:rPr>
            </w:pPr>
            <w:r>
              <w:rPr>
                <w:rFonts w:cs="Arial"/>
                <w:color w:val="1F497D" w:themeColor="text2"/>
                <w:sz w:val="20"/>
                <w:szCs w:val="20"/>
              </w:rPr>
              <w:t>Additional financing for food security (GFRP)</w:t>
            </w:r>
          </w:p>
        </w:tc>
        <w:tc>
          <w:tcPr>
            <w:tcW w:w="1763" w:type="dxa"/>
          </w:tcPr>
          <w:p w:rsidR="00520BA3" w:rsidRPr="00D874E5"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9.9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Tanzania</w:t>
            </w:r>
          </w:p>
        </w:tc>
        <w:tc>
          <w:tcPr>
            <w:tcW w:w="5528" w:type="dxa"/>
          </w:tcPr>
          <w:p w:rsidR="00520BA3" w:rsidRPr="001317C0" w:rsidRDefault="00520BA3" w:rsidP="00555EBC">
            <w:pPr>
              <w:autoSpaceDE w:val="0"/>
              <w:autoSpaceDN w:val="0"/>
              <w:adjustRightInd w:val="0"/>
              <w:cnfStyle w:val="000000000000"/>
              <w:rPr>
                <w:rFonts w:cs="Arial"/>
                <w:color w:val="1F497D" w:themeColor="text2"/>
                <w:sz w:val="20"/>
                <w:szCs w:val="20"/>
              </w:rPr>
            </w:pPr>
            <w:r w:rsidRPr="001317C0">
              <w:rPr>
                <w:rFonts w:cs="Arial"/>
                <w:color w:val="1F497D" w:themeColor="text2"/>
                <w:sz w:val="20"/>
                <w:szCs w:val="20"/>
              </w:rPr>
              <w:t xml:space="preserve">Second Additional Financing for Agriculture Sector Development Project </w:t>
            </w: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34.7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Uganda</w:t>
            </w:r>
          </w:p>
        </w:tc>
        <w:tc>
          <w:tcPr>
            <w:tcW w:w="5528" w:type="dxa"/>
          </w:tcPr>
          <w:p w:rsidR="00520BA3" w:rsidRPr="001317C0" w:rsidRDefault="00520BA3" w:rsidP="00555EBC">
            <w:pPr>
              <w:autoSpaceDE w:val="0"/>
              <w:autoSpaceDN w:val="0"/>
              <w:adjustRightInd w:val="0"/>
              <w:cnfStyle w:val="000000100000"/>
              <w:rPr>
                <w:rFonts w:cs="Arial"/>
                <w:color w:val="1F497D" w:themeColor="text2"/>
                <w:sz w:val="20"/>
                <w:szCs w:val="20"/>
              </w:rPr>
            </w:pPr>
            <w:r w:rsidRPr="001317C0">
              <w:rPr>
                <w:rFonts w:cs="Arial"/>
                <w:color w:val="1F497D" w:themeColor="text2"/>
                <w:sz w:val="20"/>
                <w:szCs w:val="20"/>
              </w:rPr>
              <w:t>Agricultural Technology and Agribusiness Advisory Services</w:t>
            </w:r>
          </w:p>
        </w:tc>
        <w:tc>
          <w:tcPr>
            <w:tcW w:w="1763" w:type="dxa"/>
          </w:tcPr>
          <w:p w:rsidR="00520BA3" w:rsidRPr="00D874E5" w:rsidRDefault="00520BA3" w:rsidP="00555EBC">
            <w:pPr>
              <w:autoSpaceDE w:val="0"/>
              <w:autoSpaceDN w:val="0"/>
              <w:adjustRightInd w:val="0"/>
              <w:jc w:val="right"/>
              <w:cnfStyle w:val="000000100000"/>
              <w:rPr>
                <w:rFonts w:cs="Arial"/>
                <w:color w:val="1F497D" w:themeColor="text2"/>
                <w:sz w:val="20"/>
                <w:szCs w:val="20"/>
              </w:rPr>
            </w:pPr>
            <w:r>
              <w:rPr>
                <w:rFonts w:cs="Arial"/>
                <w:color w:val="1F497D" w:themeColor="text2"/>
                <w:sz w:val="20"/>
                <w:szCs w:val="20"/>
              </w:rPr>
              <w:t>118.9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000000"/>
              <w:rPr>
                <w:rFonts w:cs="Arial"/>
                <w:b/>
                <w:color w:val="1F497D" w:themeColor="text2"/>
                <w:sz w:val="20"/>
                <w:szCs w:val="20"/>
              </w:rPr>
            </w:pPr>
            <w:r>
              <w:rPr>
                <w:rFonts w:cs="Arial"/>
                <w:b/>
                <w:color w:val="1F497D" w:themeColor="text2"/>
                <w:sz w:val="20"/>
                <w:szCs w:val="20"/>
              </w:rPr>
              <w:t>TOTAL IDA</w:t>
            </w:r>
          </w:p>
        </w:tc>
        <w:tc>
          <w:tcPr>
            <w:tcW w:w="1763" w:type="dxa"/>
          </w:tcPr>
          <w:p w:rsidR="00520BA3" w:rsidRPr="001317C0" w:rsidRDefault="00520BA3" w:rsidP="00555EBC">
            <w:pPr>
              <w:autoSpaceDE w:val="0"/>
              <w:autoSpaceDN w:val="0"/>
              <w:adjustRightInd w:val="0"/>
              <w:jc w:val="right"/>
              <w:cnfStyle w:val="000000000000"/>
              <w:rPr>
                <w:rFonts w:cs="Arial"/>
                <w:b/>
                <w:color w:val="1F497D" w:themeColor="text2"/>
                <w:sz w:val="20"/>
                <w:szCs w:val="20"/>
              </w:rPr>
            </w:pPr>
            <w:r w:rsidRPr="001317C0">
              <w:rPr>
                <w:rFonts w:cs="Arial"/>
                <w:b/>
                <w:color w:val="1F497D" w:themeColor="text2"/>
                <w:sz w:val="20"/>
                <w:szCs w:val="20"/>
              </w:rPr>
              <w:t>580.2 million</w:t>
            </w:r>
          </w:p>
        </w:tc>
      </w:tr>
      <w:tr w:rsidR="00520BA3" w:rsidTr="00555EBC">
        <w:trPr>
          <w:cnfStyle w:val="000000100000"/>
        </w:trPr>
        <w:tc>
          <w:tcPr>
            <w:cnfStyle w:val="001000000000"/>
            <w:tcW w:w="9242" w:type="dxa"/>
            <w:gridSpan w:val="3"/>
          </w:tcPr>
          <w:p w:rsidR="00520BA3" w:rsidRPr="00D874E5" w:rsidRDefault="00520BA3" w:rsidP="00555EBC">
            <w:pPr>
              <w:autoSpaceDE w:val="0"/>
              <w:autoSpaceDN w:val="0"/>
              <w:adjustRightInd w:val="0"/>
              <w:rPr>
                <w:rFonts w:cs="Arial"/>
                <w:color w:val="1F497D" w:themeColor="text2"/>
                <w:sz w:val="20"/>
                <w:szCs w:val="20"/>
              </w:rPr>
            </w:pPr>
            <w:r w:rsidRPr="00556F6D">
              <w:rPr>
                <w:rFonts w:cs="Arial"/>
                <w:color w:val="1F497D" w:themeColor="text2"/>
                <w:sz w:val="20"/>
                <w:szCs w:val="20"/>
              </w:rPr>
              <w:t>World Bank - Managed Trust Funds</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r>
              <w:rPr>
                <w:rFonts w:cs="Arial"/>
                <w:b w:val="0"/>
                <w:color w:val="1F497D" w:themeColor="text2"/>
                <w:sz w:val="20"/>
                <w:szCs w:val="20"/>
              </w:rPr>
              <w:t>Egypt</w:t>
            </w:r>
          </w:p>
        </w:tc>
        <w:tc>
          <w:tcPr>
            <w:tcW w:w="5528" w:type="dxa"/>
          </w:tcPr>
          <w:p w:rsidR="00520BA3" w:rsidRPr="00556F6D" w:rsidRDefault="00520BA3" w:rsidP="00555EBC">
            <w:pPr>
              <w:autoSpaceDE w:val="0"/>
              <w:autoSpaceDN w:val="0"/>
              <w:adjustRightInd w:val="0"/>
              <w:jc w:val="right"/>
              <w:cnfStyle w:val="000000000000"/>
              <w:rPr>
                <w:rFonts w:cs="Arial"/>
                <w:color w:val="1F497D" w:themeColor="text2"/>
                <w:sz w:val="20"/>
                <w:szCs w:val="20"/>
              </w:rPr>
            </w:pPr>
            <w:r w:rsidRPr="00556F6D">
              <w:rPr>
                <w:rFonts w:cs="Arial"/>
                <w:color w:val="1F497D" w:themeColor="text2"/>
                <w:sz w:val="20"/>
                <w:szCs w:val="20"/>
              </w:rPr>
              <w:t>Participatory Farm-level Irrigation Modernization</w:t>
            </w: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r>
              <w:rPr>
                <w:rFonts w:cs="Arial"/>
                <w:color w:val="1F497D" w:themeColor="text2"/>
                <w:sz w:val="20"/>
                <w:szCs w:val="20"/>
              </w:rPr>
              <w:t>3 million</w:t>
            </w: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TOTAL W.B. MANAGED TRUST FUNDS</w:t>
            </w:r>
          </w:p>
        </w:tc>
        <w:tc>
          <w:tcPr>
            <w:tcW w:w="1763" w:type="dxa"/>
          </w:tcPr>
          <w:p w:rsidR="00520BA3" w:rsidRPr="00556F6D" w:rsidRDefault="00520BA3" w:rsidP="00555EBC">
            <w:pPr>
              <w:autoSpaceDE w:val="0"/>
              <w:autoSpaceDN w:val="0"/>
              <w:adjustRightInd w:val="0"/>
              <w:jc w:val="right"/>
              <w:cnfStyle w:val="000000100000"/>
              <w:rPr>
                <w:rFonts w:cs="Arial"/>
                <w:b/>
                <w:color w:val="1F497D" w:themeColor="text2"/>
                <w:sz w:val="20"/>
                <w:szCs w:val="20"/>
              </w:rPr>
            </w:pPr>
            <w:r w:rsidRPr="00556F6D">
              <w:rPr>
                <w:rFonts w:cs="Arial"/>
                <w:b/>
                <w:color w:val="1F497D" w:themeColor="text2"/>
                <w:sz w:val="20"/>
                <w:szCs w:val="20"/>
              </w:rPr>
              <w:t>3 million</w:t>
            </w:r>
          </w:p>
        </w:tc>
      </w:tr>
      <w:tr w:rsidR="00520BA3" w:rsidTr="00555EBC">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000000"/>
              <w:rPr>
                <w:rFonts w:cs="Arial"/>
                <w:b/>
                <w:color w:val="1F497D" w:themeColor="text2"/>
                <w:sz w:val="20"/>
                <w:szCs w:val="20"/>
              </w:rPr>
            </w:pPr>
          </w:p>
        </w:tc>
        <w:tc>
          <w:tcPr>
            <w:tcW w:w="1763" w:type="dxa"/>
          </w:tcPr>
          <w:p w:rsidR="00520BA3" w:rsidRPr="00D874E5" w:rsidRDefault="00520BA3" w:rsidP="00555EBC">
            <w:pPr>
              <w:autoSpaceDE w:val="0"/>
              <w:autoSpaceDN w:val="0"/>
              <w:adjustRightInd w:val="0"/>
              <w:jc w:val="right"/>
              <w:cnfStyle w:val="000000000000"/>
              <w:rPr>
                <w:rFonts w:cs="Arial"/>
                <w:color w:val="1F497D" w:themeColor="text2"/>
                <w:sz w:val="20"/>
                <w:szCs w:val="20"/>
              </w:rPr>
            </w:pPr>
          </w:p>
        </w:tc>
      </w:tr>
      <w:tr w:rsidR="00520BA3" w:rsidTr="00555EBC">
        <w:trPr>
          <w:cnfStyle w:val="000000100000"/>
        </w:trPr>
        <w:tc>
          <w:tcPr>
            <w:cnfStyle w:val="001000000000"/>
            <w:tcW w:w="1951" w:type="dxa"/>
          </w:tcPr>
          <w:p w:rsidR="00520BA3" w:rsidRPr="0014564B" w:rsidRDefault="00520BA3" w:rsidP="00555EBC">
            <w:pPr>
              <w:autoSpaceDE w:val="0"/>
              <w:autoSpaceDN w:val="0"/>
              <w:adjustRightInd w:val="0"/>
              <w:rPr>
                <w:rFonts w:cs="Arial"/>
                <w:b w:val="0"/>
                <w:color w:val="1F497D" w:themeColor="text2"/>
                <w:sz w:val="20"/>
                <w:szCs w:val="20"/>
              </w:rPr>
            </w:pPr>
          </w:p>
        </w:tc>
        <w:tc>
          <w:tcPr>
            <w:tcW w:w="5528" w:type="dxa"/>
          </w:tcPr>
          <w:p w:rsidR="00520BA3" w:rsidRDefault="00520BA3" w:rsidP="00555EBC">
            <w:pPr>
              <w:autoSpaceDE w:val="0"/>
              <w:autoSpaceDN w:val="0"/>
              <w:adjustRightInd w:val="0"/>
              <w:jc w:val="right"/>
              <w:cnfStyle w:val="000000100000"/>
              <w:rPr>
                <w:rFonts w:cs="Arial"/>
                <w:b/>
                <w:color w:val="1F497D" w:themeColor="text2"/>
                <w:sz w:val="20"/>
                <w:szCs w:val="20"/>
              </w:rPr>
            </w:pPr>
            <w:r>
              <w:rPr>
                <w:rFonts w:cs="Arial"/>
                <w:b/>
                <w:color w:val="1F497D" w:themeColor="text2"/>
                <w:sz w:val="20"/>
                <w:szCs w:val="20"/>
              </w:rPr>
              <w:t>TOTAL MULTITLATERAL</w:t>
            </w:r>
          </w:p>
        </w:tc>
        <w:tc>
          <w:tcPr>
            <w:tcW w:w="1763" w:type="dxa"/>
          </w:tcPr>
          <w:p w:rsidR="00520BA3" w:rsidRPr="00092B10" w:rsidRDefault="00520BA3" w:rsidP="00555EBC">
            <w:pPr>
              <w:autoSpaceDE w:val="0"/>
              <w:autoSpaceDN w:val="0"/>
              <w:adjustRightInd w:val="0"/>
              <w:jc w:val="right"/>
              <w:cnfStyle w:val="000000100000"/>
              <w:rPr>
                <w:rFonts w:cs="Arial"/>
                <w:b/>
                <w:color w:val="1F497D" w:themeColor="text2"/>
                <w:sz w:val="20"/>
                <w:szCs w:val="20"/>
              </w:rPr>
            </w:pPr>
            <w:r w:rsidRPr="00092B10">
              <w:rPr>
                <w:rFonts w:cs="Arial"/>
                <w:b/>
                <w:color w:val="1F497D" w:themeColor="text2"/>
                <w:sz w:val="20"/>
                <w:szCs w:val="20"/>
              </w:rPr>
              <w:t>1,059 million</w:t>
            </w:r>
          </w:p>
        </w:tc>
      </w:tr>
    </w:tbl>
    <w:p w:rsidR="00520BA3" w:rsidRDefault="00520BA3" w:rsidP="00520BA3">
      <w:pPr>
        <w:rPr>
          <w:rFonts w:cs="Arial"/>
        </w:rPr>
      </w:pPr>
    </w:p>
    <w:p w:rsidR="00F25724" w:rsidRDefault="00F25724" w:rsidP="003F6C09">
      <w:pPr>
        <w:autoSpaceDE w:val="0"/>
        <w:autoSpaceDN w:val="0"/>
        <w:adjustRightInd w:val="0"/>
        <w:rPr>
          <w:rFonts w:ascii="Arial" w:hAnsi="Arial" w:cs="Arial"/>
          <w:color w:val="333333"/>
          <w:sz w:val="20"/>
          <w:shd w:val="clear" w:color="auto" w:fill="FFFFFF"/>
        </w:rPr>
        <w:sectPr w:rsidR="00F25724" w:rsidSect="00EE3B91">
          <w:pgSz w:w="11906" w:h="16838"/>
          <w:pgMar w:top="1440" w:right="1440" w:bottom="1135" w:left="1440" w:header="708" w:footer="708" w:gutter="0"/>
          <w:cols w:space="708"/>
          <w:docGrid w:linePitch="360"/>
        </w:sectPr>
      </w:pPr>
    </w:p>
    <w:p w:rsidR="00993056" w:rsidRDefault="00993056" w:rsidP="00F25724">
      <w:pPr>
        <w:jc w:val="center"/>
        <w:rPr>
          <w:rFonts w:asciiTheme="minorHAnsi" w:hAnsiTheme="minorHAnsi" w:cs="Arial"/>
          <w:b/>
          <w:color w:val="1F497D" w:themeColor="text2"/>
          <w:sz w:val="28"/>
          <w:szCs w:val="28"/>
        </w:rPr>
      </w:pPr>
      <w:r>
        <w:rPr>
          <w:rFonts w:asciiTheme="minorHAnsi" w:hAnsiTheme="minorHAnsi" w:cs="Arial"/>
          <w:b/>
          <w:color w:val="1F497D" w:themeColor="text2"/>
          <w:sz w:val="28"/>
          <w:szCs w:val="28"/>
        </w:rPr>
        <w:lastRenderedPageBreak/>
        <w:t xml:space="preserve">ANNEX </w:t>
      </w:r>
      <w:r w:rsidR="00520BA3">
        <w:rPr>
          <w:rFonts w:asciiTheme="minorHAnsi" w:hAnsiTheme="minorHAnsi" w:cs="Arial"/>
          <w:b/>
          <w:color w:val="1F497D" w:themeColor="text2"/>
          <w:sz w:val="28"/>
          <w:szCs w:val="28"/>
        </w:rPr>
        <w:t>3</w:t>
      </w:r>
      <w:r>
        <w:rPr>
          <w:rFonts w:asciiTheme="minorHAnsi" w:hAnsiTheme="minorHAnsi" w:cs="Arial"/>
          <w:b/>
          <w:color w:val="1F497D" w:themeColor="text2"/>
          <w:sz w:val="28"/>
          <w:szCs w:val="28"/>
        </w:rPr>
        <w:t xml:space="preserve">: </w:t>
      </w:r>
    </w:p>
    <w:p w:rsidR="00993056" w:rsidRPr="008744CB" w:rsidRDefault="00993056" w:rsidP="00993056">
      <w:pPr>
        <w:jc w:val="center"/>
        <w:rPr>
          <w:rFonts w:asciiTheme="minorHAnsi" w:hAnsiTheme="minorHAnsi"/>
          <w:b/>
        </w:rPr>
      </w:pPr>
      <w:r w:rsidRPr="003D7089">
        <w:rPr>
          <w:rFonts w:asciiTheme="minorHAnsi" w:hAnsiTheme="minorHAnsi" w:cs="Arial"/>
          <w:b/>
          <w:caps/>
          <w:sz w:val="22"/>
          <w:szCs w:val="22"/>
        </w:rPr>
        <w:t>Selected African Agricultural Finance Funds, 2010</w:t>
      </w:r>
      <w:r w:rsidRPr="008744CB">
        <w:rPr>
          <w:rStyle w:val="FootnoteReference"/>
          <w:rFonts w:asciiTheme="minorHAnsi" w:hAnsiTheme="minorHAnsi"/>
          <w:b/>
        </w:rPr>
        <w:footnoteReference w:id="169"/>
      </w:r>
    </w:p>
    <w:tbl>
      <w:tblPr>
        <w:tblStyle w:val="LightShading-Accent5"/>
        <w:tblW w:w="15451" w:type="dxa"/>
        <w:tblInd w:w="-601" w:type="dxa"/>
        <w:tblLook w:val="04A0"/>
      </w:tblPr>
      <w:tblGrid>
        <w:gridCol w:w="1702"/>
        <w:gridCol w:w="1984"/>
        <w:gridCol w:w="4253"/>
        <w:gridCol w:w="1984"/>
        <w:gridCol w:w="3686"/>
        <w:gridCol w:w="1842"/>
      </w:tblGrid>
      <w:tr w:rsidR="00993056" w:rsidRPr="008744CB" w:rsidTr="00555EBC">
        <w:trPr>
          <w:cnfStyle w:val="100000000000"/>
        </w:trPr>
        <w:tc>
          <w:tcPr>
            <w:cnfStyle w:val="001000000000"/>
            <w:tcW w:w="1702" w:type="dxa"/>
          </w:tcPr>
          <w:p w:rsidR="00993056" w:rsidRPr="008744CB" w:rsidRDefault="00993056" w:rsidP="00555EBC">
            <w:pPr>
              <w:rPr>
                <w:sz w:val="20"/>
                <w:szCs w:val="20"/>
              </w:rPr>
            </w:pPr>
            <w:r w:rsidRPr="008744CB">
              <w:rPr>
                <w:sz w:val="20"/>
                <w:szCs w:val="20"/>
              </w:rPr>
              <w:t>Name of Fund</w:t>
            </w:r>
          </w:p>
        </w:tc>
        <w:tc>
          <w:tcPr>
            <w:tcW w:w="1984" w:type="dxa"/>
          </w:tcPr>
          <w:p w:rsidR="00993056" w:rsidRPr="008744CB" w:rsidRDefault="00993056" w:rsidP="00555EBC">
            <w:pPr>
              <w:cnfStyle w:val="100000000000"/>
              <w:rPr>
                <w:sz w:val="20"/>
                <w:szCs w:val="20"/>
              </w:rPr>
            </w:pPr>
            <w:r w:rsidRPr="008744CB">
              <w:rPr>
                <w:sz w:val="20"/>
                <w:szCs w:val="20"/>
              </w:rPr>
              <w:t>Managing group</w:t>
            </w:r>
          </w:p>
        </w:tc>
        <w:tc>
          <w:tcPr>
            <w:tcW w:w="4253" w:type="dxa"/>
          </w:tcPr>
          <w:p w:rsidR="00993056" w:rsidRPr="008744CB" w:rsidRDefault="00993056" w:rsidP="00555EBC">
            <w:pPr>
              <w:cnfStyle w:val="100000000000"/>
              <w:rPr>
                <w:sz w:val="20"/>
                <w:szCs w:val="20"/>
              </w:rPr>
            </w:pPr>
            <w:r w:rsidRPr="008744CB">
              <w:rPr>
                <w:sz w:val="20"/>
                <w:szCs w:val="20"/>
              </w:rPr>
              <w:t>Focus of Fund</w:t>
            </w:r>
          </w:p>
        </w:tc>
        <w:tc>
          <w:tcPr>
            <w:tcW w:w="1984" w:type="dxa"/>
          </w:tcPr>
          <w:p w:rsidR="00993056" w:rsidRPr="008744CB" w:rsidRDefault="00993056" w:rsidP="00555EBC">
            <w:pPr>
              <w:cnfStyle w:val="100000000000"/>
              <w:rPr>
                <w:sz w:val="20"/>
                <w:szCs w:val="20"/>
              </w:rPr>
            </w:pPr>
            <w:r w:rsidRPr="008744CB">
              <w:rPr>
                <w:sz w:val="20"/>
                <w:szCs w:val="20"/>
              </w:rPr>
              <w:t>Countries</w:t>
            </w:r>
          </w:p>
        </w:tc>
        <w:tc>
          <w:tcPr>
            <w:tcW w:w="3686" w:type="dxa"/>
          </w:tcPr>
          <w:p w:rsidR="00993056" w:rsidRPr="008744CB" w:rsidRDefault="00993056" w:rsidP="00555EBC">
            <w:pPr>
              <w:cnfStyle w:val="100000000000"/>
              <w:rPr>
                <w:sz w:val="20"/>
                <w:szCs w:val="20"/>
              </w:rPr>
            </w:pPr>
            <w:r w:rsidRPr="008744CB">
              <w:rPr>
                <w:sz w:val="20"/>
                <w:szCs w:val="20"/>
              </w:rPr>
              <w:t>Main investors / supporters</w:t>
            </w:r>
          </w:p>
        </w:tc>
        <w:tc>
          <w:tcPr>
            <w:tcW w:w="1842" w:type="dxa"/>
          </w:tcPr>
          <w:p w:rsidR="00993056" w:rsidRPr="008744CB" w:rsidRDefault="00993056" w:rsidP="00555EBC">
            <w:pPr>
              <w:cnfStyle w:val="100000000000"/>
              <w:rPr>
                <w:sz w:val="20"/>
                <w:szCs w:val="20"/>
              </w:rPr>
            </w:pPr>
            <w:r w:rsidRPr="008744CB">
              <w:rPr>
                <w:sz w:val="20"/>
                <w:szCs w:val="20"/>
              </w:rPr>
              <w:t>Target amount</w:t>
            </w:r>
          </w:p>
        </w:tc>
      </w:tr>
      <w:tr w:rsidR="00993056" w:rsidRPr="008744CB" w:rsidTr="00555EBC">
        <w:trPr>
          <w:cnfStyle w:val="000000100000"/>
        </w:trPr>
        <w:tc>
          <w:tcPr>
            <w:cnfStyle w:val="001000000000"/>
            <w:tcW w:w="1702" w:type="dxa"/>
          </w:tcPr>
          <w:p w:rsidR="00993056" w:rsidRPr="008744CB" w:rsidRDefault="00993056" w:rsidP="00555EBC">
            <w:pPr>
              <w:rPr>
                <w:sz w:val="20"/>
                <w:szCs w:val="20"/>
              </w:rPr>
            </w:pPr>
            <w:r w:rsidRPr="008744CB">
              <w:rPr>
                <w:rFonts w:cs="Arial"/>
                <w:sz w:val="20"/>
                <w:szCs w:val="20"/>
              </w:rPr>
              <w:t>African Agricultural Land Fund (</w:t>
            </w:r>
            <w:proofErr w:type="spellStart"/>
            <w:r w:rsidRPr="008744CB">
              <w:rPr>
                <w:rFonts w:cs="Arial"/>
                <w:sz w:val="20"/>
                <w:szCs w:val="20"/>
              </w:rPr>
              <w:t>Agriland</w:t>
            </w:r>
            <w:proofErr w:type="spellEnd"/>
            <w:r w:rsidRPr="008744CB">
              <w:rPr>
                <w:rFonts w:cs="Arial"/>
                <w:sz w:val="20"/>
                <w:szCs w:val="20"/>
              </w:rPr>
              <w:t>)</w:t>
            </w:r>
          </w:p>
        </w:tc>
        <w:tc>
          <w:tcPr>
            <w:tcW w:w="1984" w:type="dxa"/>
          </w:tcPr>
          <w:p w:rsidR="00993056" w:rsidRPr="008744CB" w:rsidRDefault="00993056" w:rsidP="00555EBC">
            <w:pPr>
              <w:cnfStyle w:val="000000100000"/>
              <w:rPr>
                <w:sz w:val="20"/>
                <w:szCs w:val="20"/>
              </w:rPr>
            </w:pPr>
            <w:r w:rsidRPr="008744CB">
              <w:rPr>
                <w:rFonts w:cs="Arial"/>
                <w:sz w:val="20"/>
                <w:szCs w:val="20"/>
              </w:rPr>
              <w:t>Emergent Asset Management</w:t>
            </w:r>
          </w:p>
        </w:tc>
        <w:tc>
          <w:tcPr>
            <w:tcW w:w="4253" w:type="dxa"/>
          </w:tcPr>
          <w:p w:rsidR="00993056" w:rsidRPr="008744CB" w:rsidRDefault="00993056" w:rsidP="00555EBC">
            <w:pPr>
              <w:cnfStyle w:val="000000100000"/>
              <w:rPr>
                <w:sz w:val="20"/>
                <w:szCs w:val="20"/>
              </w:rPr>
            </w:pPr>
            <w:r w:rsidRPr="008744CB">
              <w:rPr>
                <w:rFonts w:cs="Arial"/>
                <w:sz w:val="20"/>
                <w:szCs w:val="20"/>
              </w:rPr>
              <w:t>Purchase of agricultural land with the aim of increasing production yields through the introduction of progressive farming techniques, large-scale mechanisation and centralisation across the value chain.</w:t>
            </w:r>
          </w:p>
        </w:tc>
        <w:tc>
          <w:tcPr>
            <w:tcW w:w="1984" w:type="dxa"/>
          </w:tcPr>
          <w:p w:rsidR="00993056" w:rsidRPr="008744CB" w:rsidRDefault="00993056" w:rsidP="00555EBC">
            <w:pPr>
              <w:cnfStyle w:val="000000100000"/>
              <w:rPr>
                <w:sz w:val="20"/>
                <w:szCs w:val="20"/>
              </w:rPr>
            </w:pPr>
            <w:r w:rsidRPr="008744CB">
              <w:rPr>
                <w:sz w:val="20"/>
                <w:szCs w:val="20"/>
              </w:rPr>
              <w:t>Africa (mainly SSA)</w:t>
            </w:r>
          </w:p>
        </w:tc>
        <w:tc>
          <w:tcPr>
            <w:tcW w:w="3686" w:type="dxa"/>
          </w:tcPr>
          <w:p w:rsidR="00993056" w:rsidRPr="008744CB" w:rsidRDefault="00993056" w:rsidP="00555EBC">
            <w:pPr>
              <w:cnfStyle w:val="000000100000"/>
              <w:rPr>
                <w:sz w:val="20"/>
                <w:szCs w:val="20"/>
              </w:rPr>
            </w:pPr>
            <w:r w:rsidRPr="008744CB">
              <w:rPr>
                <w:sz w:val="20"/>
                <w:szCs w:val="20"/>
              </w:rPr>
              <w:t>No information available</w:t>
            </w:r>
          </w:p>
        </w:tc>
        <w:tc>
          <w:tcPr>
            <w:tcW w:w="1842" w:type="dxa"/>
          </w:tcPr>
          <w:p w:rsidR="00993056" w:rsidRPr="008744CB" w:rsidRDefault="00993056" w:rsidP="00555EBC">
            <w:pPr>
              <w:cnfStyle w:val="000000100000"/>
              <w:rPr>
                <w:sz w:val="20"/>
                <w:szCs w:val="20"/>
              </w:rPr>
            </w:pPr>
            <w:r w:rsidRPr="008744CB">
              <w:rPr>
                <w:sz w:val="20"/>
                <w:szCs w:val="20"/>
              </w:rPr>
              <w:t>USD 3 billion</w:t>
            </w:r>
          </w:p>
        </w:tc>
      </w:tr>
      <w:tr w:rsidR="00993056" w:rsidRPr="008744CB" w:rsidTr="00555EBC">
        <w:tc>
          <w:tcPr>
            <w:cnfStyle w:val="001000000000"/>
            <w:tcW w:w="1702" w:type="dxa"/>
          </w:tcPr>
          <w:p w:rsidR="00993056" w:rsidRPr="008744CB" w:rsidRDefault="00993056" w:rsidP="00555EBC">
            <w:pPr>
              <w:rPr>
                <w:sz w:val="20"/>
                <w:szCs w:val="20"/>
              </w:rPr>
            </w:pPr>
            <w:proofErr w:type="spellStart"/>
            <w:r w:rsidRPr="008744CB">
              <w:rPr>
                <w:rFonts w:cs="Arial"/>
                <w:sz w:val="20"/>
                <w:szCs w:val="20"/>
              </w:rPr>
              <w:t>Chayton</w:t>
            </w:r>
            <w:proofErr w:type="spellEnd"/>
            <w:r w:rsidRPr="008744CB">
              <w:rPr>
                <w:rFonts w:cs="Arial"/>
                <w:sz w:val="20"/>
                <w:szCs w:val="20"/>
              </w:rPr>
              <w:t xml:space="preserve"> Atlas Agricultural Company</w:t>
            </w:r>
          </w:p>
        </w:tc>
        <w:tc>
          <w:tcPr>
            <w:tcW w:w="1984" w:type="dxa"/>
          </w:tcPr>
          <w:p w:rsidR="00993056" w:rsidRPr="008744CB" w:rsidRDefault="00993056" w:rsidP="00555EBC">
            <w:pPr>
              <w:pStyle w:val="NormalWeb"/>
              <w:shd w:val="clear" w:color="auto" w:fill="FFFFFF"/>
              <w:spacing w:before="0" w:beforeAutospacing="0" w:after="0" w:afterAutospacing="0"/>
              <w:cnfStyle w:val="000000000000"/>
              <w:rPr>
                <w:rFonts w:cs="Arial"/>
                <w:sz w:val="20"/>
                <w:szCs w:val="20"/>
              </w:rPr>
            </w:pPr>
            <w:proofErr w:type="spellStart"/>
            <w:r w:rsidRPr="008744CB">
              <w:rPr>
                <w:rFonts w:cs="Arial"/>
                <w:sz w:val="20"/>
                <w:szCs w:val="20"/>
              </w:rPr>
              <w:t>Chayton</w:t>
            </w:r>
            <w:proofErr w:type="spellEnd"/>
            <w:r w:rsidRPr="008744CB">
              <w:rPr>
                <w:rFonts w:cs="Arial"/>
                <w:sz w:val="20"/>
                <w:szCs w:val="20"/>
              </w:rPr>
              <w:t xml:space="preserve"> Capital (a returns-driven financial investor)</w:t>
            </w:r>
          </w:p>
        </w:tc>
        <w:tc>
          <w:tcPr>
            <w:tcW w:w="4253" w:type="dxa"/>
          </w:tcPr>
          <w:p w:rsidR="00993056" w:rsidRPr="008744CB" w:rsidRDefault="00993056" w:rsidP="00555EBC">
            <w:pPr>
              <w:cnfStyle w:val="000000000000"/>
              <w:rPr>
                <w:sz w:val="20"/>
                <w:szCs w:val="20"/>
              </w:rPr>
            </w:pPr>
            <w:r w:rsidRPr="008744CB">
              <w:rPr>
                <w:sz w:val="20"/>
                <w:szCs w:val="20"/>
              </w:rPr>
              <w:t xml:space="preserve">The fund will acquire </w:t>
            </w:r>
            <w:proofErr w:type="spellStart"/>
            <w:r w:rsidRPr="008744CB">
              <w:rPr>
                <w:rFonts w:cs="Arial"/>
                <w:sz w:val="20"/>
                <w:szCs w:val="20"/>
              </w:rPr>
              <w:t>brownfield</w:t>
            </w:r>
            <w:proofErr w:type="spellEnd"/>
            <w:r w:rsidRPr="008744CB">
              <w:rPr>
                <w:rFonts w:cs="Arial"/>
                <w:sz w:val="20"/>
                <w:szCs w:val="20"/>
              </w:rPr>
              <w:t>’ sites, i.e. farms that are under-managed, under-capitalised or in receivership and will increase capacity through better techniques, modernisation and mechanisation.</w:t>
            </w:r>
            <w:r w:rsidRPr="008744CB">
              <w:rPr>
                <w:sz w:val="20"/>
                <w:szCs w:val="20"/>
              </w:rPr>
              <w:t xml:space="preserve"> Production will be for domestic consumption </w:t>
            </w:r>
          </w:p>
        </w:tc>
        <w:tc>
          <w:tcPr>
            <w:tcW w:w="1984" w:type="dxa"/>
          </w:tcPr>
          <w:p w:rsidR="00993056" w:rsidRPr="00956B35" w:rsidRDefault="00993056" w:rsidP="00555EBC">
            <w:pPr>
              <w:cnfStyle w:val="000000000000"/>
              <w:rPr>
                <w:sz w:val="20"/>
                <w:szCs w:val="20"/>
                <w:lang w:val="es-ES"/>
              </w:rPr>
            </w:pPr>
            <w:r w:rsidRPr="00956B35">
              <w:rPr>
                <w:sz w:val="20"/>
                <w:szCs w:val="20"/>
                <w:lang w:val="es-ES"/>
              </w:rPr>
              <w:t xml:space="preserve">Zambia, </w:t>
            </w:r>
            <w:proofErr w:type="spellStart"/>
            <w:r w:rsidRPr="00956B35">
              <w:rPr>
                <w:sz w:val="20"/>
                <w:szCs w:val="20"/>
                <w:lang w:val="es-ES"/>
              </w:rPr>
              <w:t>Botswana</w:t>
            </w:r>
            <w:proofErr w:type="spellEnd"/>
            <w:r w:rsidRPr="00956B35">
              <w:rPr>
                <w:sz w:val="20"/>
                <w:szCs w:val="20"/>
                <w:lang w:val="es-ES"/>
              </w:rPr>
              <w:t>, Mozambique, Namibia, Tanzania</w:t>
            </w:r>
          </w:p>
        </w:tc>
        <w:tc>
          <w:tcPr>
            <w:tcW w:w="3686" w:type="dxa"/>
          </w:tcPr>
          <w:p w:rsidR="00993056" w:rsidRPr="008744CB" w:rsidRDefault="00993056" w:rsidP="00555EBC">
            <w:pPr>
              <w:cnfStyle w:val="000000000000"/>
              <w:rPr>
                <w:sz w:val="20"/>
                <w:szCs w:val="20"/>
              </w:rPr>
            </w:pPr>
            <w:r w:rsidRPr="008744CB">
              <w:rPr>
                <w:sz w:val="20"/>
                <w:szCs w:val="20"/>
              </w:rPr>
              <w:t>Multilateral Investment Guarantee Agency</w:t>
            </w:r>
          </w:p>
        </w:tc>
        <w:tc>
          <w:tcPr>
            <w:tcW w:w="1842" w:type="dxa"/>
          </w:tcPr>
          <w:p w:rsidR="00993056" w:rsidRPr="008744CB" w:rsidRDefault="00993056" w:rsidP="00555EBC">
            <w:pPr>
              <w:cnfStyle w:val="000000000000"/>
              <w:rPr>
                <w:sz w:val="20"/>
                <w:szCs w:val="20"/>
              </w:rPr>
            </w:pPr>
            <w:r w:rsidRPr="008744CB">
              <w:rPr>
                <w:sz w:val="20"/>
                <w:szCs w:val="20"/>
              </w:rPr>
              <w:t>USD 200 million</w:t>
            </w:r>
          </w:p>
        </w:tc>
      </w:tr>
      <w:tr w:rsidR="00993056" w:rsidRPr="008744CB" w:rsidTr="00555EBC">
        <w:trPr>
          <w:cnfStyle w:val="000000100000"/>
        </w:trPr>
        <w:tc>
          <w:tcPr>
            <w:cnfStyle w:val="001000000000"/>
            <w:tcW w:w="1702" w:type="dxa"/>
          </w:tcPr>
          <w:p w:rsidR="00993056" w:rsidRPr="008744CB" w:rsidRDefault="00993056" w:rsidP="00555EBC">
            <w:pPr>
              <w:rPr>
                <w:sz w:val="20"/>
                <w:szCs w:val="20"/>
              </w:rPr>
            </w:pPr>
            <w:proofErr w:type="spellStart"/>
            <w:r w:rsidRPr="008744CB">
              <w:rPr>
                <w:sz w:val="20"/>
                <w:szCs w:val="20"/>
              </w:rPr>
              <w:t>Silverlands</w:t>
            </w:r>
            <w:proofErr w:type="spellEnd"/>
            <w:r w:rsidRPr="008744CB">
              <w:rPr>
                <w:sz w:val="20"/>
                <w:szCs w:val="20"/>
              </w:rPr>
              <w:t xml:space="preserve"> Fund</w:t>
            </w:r>
          </w:p>
        </w:tc>
        <w:tc>
          <w:tcPr>
            <w:tcW w:w="1984" w:type="dxa"/>
          </w:tcPr>
          <w:p w:rsidR="00993056" w:rsidRPr="008744CB" w:rsidRDefault="00993056" w:rsidP="00555EBC">
            <w:pPr>
              <w:cnfStyle w:val="000000100000"/>
              <w:rPr>
                <w:sz w:val="20"/>
                <w:szCs w:val="20"/>
              </w:rPr>
            </w:pPr>
            <w:proofErr w:type="spellStart"/>
            <w:r w:rsidRPr="008744CB">
              <w:rPr>
                <w:sz w:val="20"/>
                <w:szCs w:val="20"/>
              </w:rPr>
              <w:t>SilverStreet</w:t>
            </w:r>
            <w:proofErr w:type="spellEnd"/>
            <w:r w:rsidRPr="008744CB">
              <w:rPr>
                <w:sz w:val="20"/>
                <w:szCs w:val="20"/>
              </w:rPr>
              <w:t xml:space="preserve"> Capital (investment management firm)</w:t>
            </w:r>
          </w:p>
        </w:tc>
        <w:tc>
          <w:tcPr>
            <w:tcW w:w="4253" w:type="dxa"/>
          </w:tcPr>
          <w:p w:rsidR="00993056" w:rsidRPr="008744CB" w:rsidRDefault="00993056" w:rsidP="00555EBC">
            <w:pPr>
              <w:cnfStyle w:val="000000100000"/>
              <w:rPr>
                <w:sz w:val="20"/>
                <w:szCs w:val="20"/>
              </w:rPr>
            </w:pPr>
            <w:r w:rsidRPr="008744CB">
              <w:rPr>
                <w:sz w:val="20"/>
                <w:szCs w:val="20"/>
              </w:rPr>
              <w:t>African agricultural businesses across the value chain around a core of farmland businesses in Southern and Central Africa.</w:t>
            </w:r>
          </w:p>
        </w:tc>
        <w:tc>
          <w:tcPr>
            <w:tcW w:w="1984" w:type="dxa"/>
          </w:tcPr>
          <w:p w:rsidR="00993056" w:rsidRPr="008744CB" w:rsidRDefault="00993056" w:rsidP="00555EBC">
            <w:pPr>
              <w:cnfStyle w:val="000000100000"/>
              <w:rPr>
                <w:sz w:val="20"/>
                <w:szCs w:val="20"/>
              </w:rPr>
            </w:pPr>
            <w:r w:rsidRPr="008744CB">
              <w:rPr>
                <w:sz w:val="20"/>
                <w:szCs w:val="20"/>
              </w:rPr>
              <w:t xml:space="preserve">Southern and Central Africa </w:t>
            </w:r>
          </w:p>
        </w:tc>
        <w:tc>
          <w:tcPr>
            <w:tcW w:w="3686" w:type="dxa"/>
          </w:tcPr>
          <w:p w:rsidR="00993056" w:rsidRPr="008744CB" w:rsidRDefault="00993056" w:rsidP="00555EBC">
            <w:pPr>
              <w:cnfStyle w:val="000000100000"/>
              <w:rPr>
                <w:sz w:val="20"/>
                <w:szCs w:val="20"/>
              </w:rPr>
            </w:pPr>
            <w:r w:rsidRPr="008744CB">
              <w:rPr>
                <w:sz w:val="20"/>
                <w:szCs w:val="20"/>
              </w:rPr>
              <w:t>No information available</w:t>
            </w:r>
          </w:p>
        </w:tc>
        <w:tc>
          <w:tcPr>
            <w:tcW w:w="1842" w:type="dxa"/>
          </w:tcPr>
          <w:p w:rsidR="00993056" w:rsidRPr="008744CB" w:rsidRDefault="00993056" w:rsidP="00555EBC">
            <w:pPr>
              <w:cnfStyle w:val="000000100000"/>
              <w:rPr>
                <w:sz w:val="20"/>
                <w:szCs w:val="20"/>
              </w:rPr>
            </w:pPr>
            <w:r w:rsidRPr="008744CB">
              <w:rPr>
                <w:sz w:val="20"/>
                <w:szCs w:val="20"/>
              </w:rPr>
              <w:t>USD 350 million</w:t>
            </w:r>
          </w:p>
        </w:tc>
      </w:tr>
      <w:tr w:rsidR="00993056" w:rsidRPr="008744CB" w:rsidTr="00555EBC">
        <w:tc>
          <w:tcPr>
            <w:cnfStyle w:val="001000000000"/>
            <w:tcW w:w="1702" w:type="dxa"/>
          </w:tcPr>
          <w:p w:rsidR="00993056" w:rsidRPr="008744CB" w:rsidRDefault="00993056" w:rsidP="00555EBC">
            <w:pPr>
              <w:rPr>
                <w:sz w:val="20"/>
                <w:szCs w:val="20"/>
              </w:rPr>
            </w:pPr>
            <w:r w:rsidRPr="008744CB">
              <w:rPr>
                <w:sz w:val="20"/>
                <w:szCs w:val="20"/>
              </w:rPr>
              <w:t>African Agriculture Fund (AAF)</w:t>
            </w:r>
          </w:p>
        </w:tc>
        <w:tc>
          <w:tcPr>
            <w:tcW w:w="1984" w:type="dxa"/>
          </w:tcPr>
          <w:p w:rsidR="00993056" w:rsidRPr="008744CB" w:rsidRDefault="00993056" w:rsidP="00555EBC">
            <w:pPr>
              <w:cnfStyle w:val="000000000000"/>
              <w:rPr>
                <w:sz w:val="20"/>
                <w:szCs w:val="20"/>
              </w:rPr>
            </w:pPr>
            <w:proofErr w:type="spellStart"/>
            <w:r w:rsidRPr="008744CB">
              <w:rPr>
                <w:sz w:val="20"/>
                <w:szCs w:val="20"/>
              </w:rPr>
              <w:t>Phatisa</w:t>
            </w:r>
            <w:proofErr w:type="spellEnd"/>
            <w:r w:rsidRPr="008744CB">
              <w:rPr>
                <w:sz w:val="20"/>
                <w:szCs w:val="20"/>
              </w:rPr>
              <w:t xml:space="preserve"> Group (South African private equity and corporate finance advisory firm)</w:t>
            </w:r>
          </w:p>
        </w:tc>
        <w:tc>
          <w:tcPr>
            <w:tcW w:w="4253" w:type="dxa"/>
          </w:tcPr>
          <w:p w:rsidR="00993056" w:rsidRPr="008744CB" w:rsidRDefault="00993056" w:rsidP="00555EBC">
            <w:pPr>
              <w:cnfStyle w:val="000000000000"/>
              <w:rPr>
                <w:sz w:val="20"/>
                <w:szCs w:val="20"/>
              </w:rPr>
            </w:pPr>
            <w:r w:rsidRPr="008744CB">
              <w:rPr>
                <w:rFonts w:cs="Arial"/>
                <w:sz w:val="20"/>
                <w:szCs w:val="20"/>
                <w:shd w:val="clear" w:color="auto" w:fill="FFFFFF"/>
              </w:rPr>
              <w:t xml:space="preserve">AAF will back private-sector companies that implement strategies to increase and diversify food production and distribution in Africa. </w:t>
            </w:r>
          </w:p>
        </w:tc>
        <w:tc>
          <w:tcPr>
            <w:tcW w:w="1984" w:type="dxa"/>
          </w:tcPr>
          <w:p w:rsidR="00993056" w:rsidRPr="008744CB" w:rsidRDefault="00993056" w:rsidP="00555EBC">
            <w:pPr>
              <w:cnfStyle w:val="000000000000"/>
              <w:rPr>
                <w:sz w:val="20"/>
                <w:szCs w:val="20"/>
              </w:rPr>
            </w:pPr>
            <w:r w:rsidRPr="008744CB">
              <w:rPr>
                <w:sz w:val="20"/>
                <w:szCs w:val="20"/>
              </w:rPr>
              <w:t>Africa</w:t>
            </w:r>
          </w:p>
        </w:tc>
        <w:tc>
          <w:tcPr>
            <w:tcW w:w="3686" w:type="dxa"/>
          </w:tcPr>
          <w:p w:rsidR="00993056" w:rsidRPr="008744CB" w:rsidRDefault="00993056" w:rsidP="00555EBC">
            <w:pPr>
              <w:cnfStyle w:val="000000000000"/>
              <w:rPr>
                <w:sz w:val="20"/>
                <w:szCs w:val="20"/>
              </w:rPr>
            </w:pPr>
            <w:r w:rsidRPr="008744CB">
              <w:rPr>
                <w:sz w:val="20"/>
                <w:szCs w:val="20"/>
              </w:rPr>
              <w:t xml:space="preserve">IFAD, the African Development Bank, </w:t>
            </w:r>
            <w:proofErr w:type="spellStart"/>
            <w:r w:rsidRPr="008744CB">
              <w:rPr>
                <w:sz w:val="20"/>
                <w:szCs w:val="20"/>
              </w:rPr>
              <w:t>Agence</w:t>
            </w:r>
            <w:proofErr w:type="spellEnd"/>
            <w:r w:rsidRPr="008744CB">
              <w:rPr>
                <w:sz w:val="20"/>
                <w:szCs w:val="20"/>
              </w:rPr>
              <w:t xml:space="preserve"> </w:t>
            </w:r>
            <w:proofErr w:type="spellStart"/>
            <w:r w:rsidRPr="008744CB">
              <w:rPr>
                <w:rFonts w:cs="Arial"/>
                <w:sz w:val="20"/>
                <w:szCs w:val="20"/>
                <w:shd w:val="clear" w:color="auto" w:fill="FFFFFF"/>
              </w:rPr>
              <w:t>Française</w:t>
            </w:r>
            <w:proofErr w:type="spellEnd"/>
            <w:r w:rsidRPr="008744CB">
              <w:rPr>
                <w:rFonts w:cs="Arial"/>
                <w:sz w:val="20"/>
                <w:szCs w:val="20"/>
                <w:shd w:val="clear" w:color="auto" w:fill="FFFFFF"/>
              </w:rPr>
              <w:t xml:space="preserve"> de </w:t>
            </w:r>
            <w:proofErr w:type="spellStart"/>
            <w:r w:rsidRPr="008744CB">
              <w:rPr>
                <w:rFonts w:cs="Arial"/>
                <w:sz w:val="20"/>
                <w:szCs w:val="20"/>
                <w:shd w:val="clear" w:color="auto" w:fill="FFFFFF"/>
              </w:rPr>
              <w:t>Développement</w:t>
            </w:r>
            <w:proofErr w:type="spellEnd"/>
            <w:r w:rsidRPr="008744CB">
              <w:rPr>
                <w:rFonts w:cs="Arial"/>
                <w:sz w:val="20"/>
                <w:szCs w:val="20"/>
                <w:shd w:val="clear" w:color="auto" w:fill="FFFFFF"/>
              </w:rPr>
              <w:t>, AGRA and the West African Development Bank</w:t>
            </w:r>
          </w:p>
        </w:tc>
        <w:tc>
          <w:tcPr>
            <w:tcW w:w="1842" w:type="dxa"/>
          </w:tcPr>
          <w:p w:rsidR="00993056" w:rsidRPr="008744CB" w:rsidRDefault="00993056" w:rsidP="00555EBC">
            <w:pPr>
              <w:cnfStyle w:val="000000000000"/>
              <w:rPr>
                <w:sz w:val="20"/>
                <w:szCs w:val="20"/>
              </w:rPr>
            </w:pPr>
            <w:r w:rsidRPr="008744CB">
              <w:rPr>
                <w:sz w:val="20"/>
                <w:szCs w:val="20"/>
              </w:rPr>
              <w:t>Euros 500 million</w:t>
            </w:r>
          </w:p>
          <w:p w:rsidR="00993056" w:rsidRPr="008744CB" w:rsidRDefault="00993056" w:rsidP="00555EBC">
            <w:pPr>
              <w:cnfStyle w:val="000000000000"/>
              <w:rPr>
                <w:sz w:val="20"/>
                <w:szCs w:val="20"/>
              </w:rPr>
            </w:pPr>
          </w:p>
        </w:tc>
      </w:tr>
      <w:tr w:rsidR="00993056" w:rsidRPr="008744CB" w:rsidTr="00555EBC">
        <w:trPr>
          <w:cnfStyle w:val="000000100000"/>
        </w:trPr>
        <w:tc>
          <w:tcPr>
            <w:cnfStyle w:val="001000000000"/>
            <w:tcW w:w="1702" w:type="dxa"/>
          </w:tcPr>
          <w:p w:rsidR="00993056" w:rsidRPr="008744CB" w:rsidRDefault="00993056" w:rsidP="00555EBC">
            <w:pPr>
              <w:rPr>
                <w:sz w:val="20"/>
                <w:szCs w:val="20"/>
              </w:rPr>
            </w:pPr>
            <w:proofErr w:type="spellStart"/>
            <w:r w:rsidRPr="008744CB">
              <w:rPr>
                <w:sz w:val="20"/>
                <w:szCs w:val="20"/>
              </w:rPr>
              <w:t>Agri</w:t>
            </w:r>
            <w:proofErr w:type="spellEnd"/>
            <w:r w:rsidRPr="008744CB">
              <w:rPr>
                <w:sz w:val="20"/>
                <w:szCs w:val="20"/>
              </w:rPr>
              <w:t>-Vie Fund</w:t>
            </w:r>
          </w:p>
        </w:tc>
        <w:tc>
          <w:tcPr>
            <w:tcW w:w="1984" w:type="dxa"/>
          </w:tcPr>
          <w:p w:rsidR="00993056" w:rsidRPr="008744CB" w:rsidRDefault="00993056" w:rsidP="00555EBC">
            <w:pPr>
              <w:cnfStyle w:val="000000100000"/>
              <w:rPr>
                <w:sz w:val="20"/>
                <w:szCs w:val="20"/>
              </w:rPr>
            </w:pPr>
            <w:r w:rsidRPr="008744CB">
              <w:rPr>
                <w:sz w:val="20"/>
                <w:szCs w:val="20"/>
              </w:rPr>
              <w:t xml:space="preserve">South Africa’s Sanlam Private Equity and SP </w:t>
            </w:r>
            <w:proofErr w:type="spellStart"/>
            <w:r w:rsidRPr="008744CB">
              <w:rPr>
                <w:sz w:val="20"/>
                <w:szCs w:val="20"/>
              </w:rPr>
              <w:t>Aktif</w:t>
            </w:r>
            <w:proofErr w:type="spellEnd"/>
          </w:p>
        </w:tc>
        <w:tc>
          <w:tcPr>
            <w:tcW w:w="4253" w:type="dxa"/>
          </w:tcPr>
          <w:p w:rsidR="00993056" w:rsidRPr="008744CB" w:rsidRDefault="00993056" w:rsidP="00555EBC">
            <w:pPr>
              <w:cnfStyle w:val="000000100000"/>
              <w:rPr>
                <w:sz w:val="20"/>
                <w:szCs w:val="20"/>
              </w:rPr>
            </w:pPr>
            <w:r w:rsidRPr="008744CB">
              <w:rPr>
                <w:sz w:val="20"/>
                <w:szCs w:val="20"/>
              </w:rPr>
              <w:t>The fund will invest in entrepreneurs in the agribusiness value chain, rather than directly in the farming industry.</w:t>
            </w:r>
          </w:p>
          <w:p w:rsidR="00993056" w:rsidRPr="008744CB" w:rsidRDefault="00993056" w:rsidP="00555EBC">
            <w:pPr>
              <w:cnfStyle w:val="000000100000"/>
              <w:rPr>
                <w:sz w:val="20"/>
                <w:szCs w:val="20"/>
              </w:rPr>
            </w:pPr>
          </w:p>
        </w:tc>
        <w:tc>
          <w:tcPr>
            <w:tcW w:w="1984" w:type="dxa"/>
          </w:tcPr>
          <w:p w:rsidR="00993056" w:rsidRPr="008744CB" w:rsidRDefault="00993056" w:rsidP="00555EBC">
            <w:pPr>
              <w:cnfStyle w:val="000000100000"/>
              <w:rPr>
                <w:sz w:val="20"/>
                <w:szCs w:val="20"/>
              </w:rPr>
            </w:pPr>
            <w:r w:rsidRPr="008744CB">
              <w:rPr>
                <w:sz w:val="20"/>
                <w:szCs w:val="20"/>
              </w:rPr>
              <w:t>South Africa, Botswana, Kenya, Tanzania, Uganda, Ghana and Nigeria</w:t>
            </w:r>
          </w:p>
        </w:tc>
        <w:tc>
          <w:tcPr>
            <w:tcW w:w="3686" w:type="dxa"/>
          </w:tcPr>
          <w:p w:rsidR="00993056" w:rsidRPr="008744CB" w:rsidRDefault="00993056" w:rsidP="00555EBC">
            <w:pPr>
              <w:cnfStyle w:val="000000100000"/>
              <w:rPr>
                <w:sz w:val="20"/>
                <w:szCs w:val="20"/>
              </w:rPr>
            </w:pPr>
            <w:r w:rsidRPr="008744CB">
              <w:rPr>
                <w:sz w:val="20"/>
                <w:szCs w:val="20"/>
              </w:rPr>
              <w:t xml:space="preserve">Development Bank of Southern Africa, Industrial Development Corp, and the WK Kellogg Foundation </w:t>
            </w:r>
          </w:p>
        </w:tc>
        <w:tc>
          <w:tcPr>
            <w:tcW w:w="1842" w:type="dxa"/>
          </w:tcPr>
          <w:p w:rsidR="00993056" w:rsidRPr="008744CB" w:rsidRDefault="00993056" w:rsidP="00555EBC">
            <w:pPr>
              <w:cnfStyle w:val="000000100000"/>
              <w:rPr>
                <w:sz w:val="20"/>
                <w:szCs w:val="20"/>
              </w:rPr>
            </w:pPr>
            <w:r w:rsidRPr="008744CB">
              <w:rPr>
                <w:sz w:val="20"/>
                <w:szCs w:val="20"/>
              </w:rPr>
              <w:t>USD 100 million (already raised), with second fund of USD 300 million</w:t>
            </w:r>
          </w:p>
        </w:tc>
      </w:tr>
      <w:tr w:rsidR="00993056" w:rsidRPr="008744CB" w:rsidTr="00555EBC">
        <w:tc>
          <w:tcPr>
            <w:cnfStyle w:val="001000000000"/>
            <w:tcW w:w="1702" w:type="dxa"/>
          </w:tcPr>
          <w:p w:rsidR="00993056" w:rsidRPr="008744CB" w:rsidRDefault="00993056" w:rsidP="00555EBC">
            <w:pPr>
              <w:rPr>
                <w:sz w:val="20"/>
                <w:szCs w:val="20"/>
              </w:rPr>
            </w:pPr>
            <w:r w:rsidRPr="008744CB">
              <w:rPr>
                <w:sz w:val="20"/>
                <w:szCs w:val="20"/>
              </w:rPr>
              <w:t>GEF Africa Sustainable Forestry Fund (GASFF)</w:t>
            </w:r>
          </w:p>
        </w:tc>
        <w:tc>
          <w:tcPr>
            <w:tcW w:w="1984" w:type="dxa"/>
          </w:tcPr>
          <w:p w:rsidR="00993056" w:rsidRPr="008744CB" w:rsidRDefault="00993056" w:rsidP="00555EBC">
            <w:pPr>
              <w:cnfStyle w:val="000000000000"/>
              <w:rPr>
                <w:sz w:val="20"/>
                <w:szCs w:val="20"/>
              </w:rPr>
            </w:pPr>
            <w:r w:rsidRPr="008744CB">
              <w:rPr>
                <w:sz w:val="20"/>
                <w:szCs w:val="20"/>
              </w:rPr>
              <w:t>Global Environment Fund (GEF), US-based private equity firm</w:t>
            </w:r>
          </w:p>
        </w:tc>
        <w:tc>
          <w:tcPr>
            <w:tcW w:w="4253" w:type="dxa"/>
          </w:tcPr>
          <w:p w:rsidR="00993056" w:rsidRPr="008744CB" w:rsidRDefault="00993056" w:rsidP="00555EBC">
            <w:pPr>
              <w:cnfStyle w:val="000000000000"/>
              <w:rPr>
                <w:sz w:val="20"/>
                <w:szCs w:val="20"/>
              </w:rPr>
            </w:pPr>
            <w:r w:rsidRPr="008744CB">
              <w:rPr>
                <w:rFonts w:cs="Arial"/>
                <w:sz w:val="20"/>
                <w:szCs w:val="20"/>
                <w:shd w:val="clear" w:color="auto" w:fill="FFFFFF"/>
              </w:rPr>
              <w:t>12-year closed-end private equity fund dedicated to investments in forestlands or forestry-related companies and projects in Eastern and Southern Africa together with two countries in West Africa.</w:t>
            </w:r>
          </w:p>
        </w:tc>
        <w:tc>
          <w:tcPr>
            <w:tcW w:w="1984" w:type="dxa"/>
          </w:tcPr>
          <w:p w:rsidR="00993056" w:rsidRPr="008744CB" w:rsidRDefault="00993056" w:rsidP="00555EBC">
            <w:pPr>
              <w:cnfStyle w:val="000000000000"/>
              <w:rPr>
                <w:sz w:val="20"/>
                <w:szCs w:val="20"/>
              </w:rPr>
            </w:pPr>
            <w:r w:rsidRPr="008744CB">
              <w:rPr>
                <w:rFonts w:cs="Arial"/>
                <w:sz w:val="20"/>
                <w:szCs w:val="20"/>
                <w:shd w:val="clear" w:color="auto" w:fill="FFFFFF"/>
              </w:rPr>
              <w:t>Mozambique, Tanzania, South Africa, Swaziland, Uganda, Ghana, Malawi and Zambia</w:t>
            </w:r>
          </w:p>
        </w:tc>
        <w:tc>
          <w:tcPr>
            <w:tcW w:w="3686" w:type="dxa"/>
          </w:tcPr>
          <w:p w:rsidR="00993056" w:rsidRPr="008744CB" w:rsidRDefault="00993056" w:rsidP="00555EBC">
            <w:pPr>
              <w:cnfStyle w:val="000000000000"/>
              <w:rPr>
                <w:sz w:val="20"/>
                <w:szCs w:val="20"/>
              </w:rPr>
            </w:pPr>
            <w:r w:rsidRPr="008744CB">
              <w:rPr>
                <w:sz w:val="20"/>
                <w:szCs w:val="20"/>
              </w:rPr>
              <w:t>No information available</w:t>
            </w:r>
          </w:p>
        </w:tc>
        <w:tc>
          <w:tcPr>
            <w:tcW w:w="1842" w:type="dxa"/>
          </w:tcPr>
          <w:p w:rsidR="00993056" w:rsidRPr="008744CB" w:rsidRDefault="00993056" w:rsidP="00555EBC">
            <w:pPr>
              <w:cnfStyle w:val="000000000000"/>
              <w:rPr>
                <w:sz w:val="20"/>
                <w:szCs w:val="20"/>
              </w:rPr>
            </w:pPr>
            <w:r w:rsidRPr="008744CB">
              <w:rPr>
                <w:sz w:val="20"/>
                <w:szCs w:val="20"/>
              </w:rPr>
              <w:t>USD 150 million</w:t>
            </w:r>
          </w:p>
        </w:tc>
      </w:tr>
    </w:tbl>
    <w:p w:rsidR="00993056" w:rsidRDefault="00993056">
      <w:r>
        <w:rPr>
          <w:b/>
          <w:bCs/>
        </w:rPr>
        <w:br w:type="page"/>
      </w:r>
    </w:p>
    <w:tbl>
      <w:tblPr>
        <w:tblStyle w:val="LightShading-Accent5"/>
        <w:tblW w:w="15451" w:type="dxa"/>
        <w:tblInd w:w="-601" w:type="dxa"/>
        <w:tblLook w:val="04A0"/>
      </w:tblPr>
      <w:tblGrid>
        <w:gridCol w:w="1702"/>
        <w:gridCol w:w="1984"/>
        <w:gridCol w:w="4253"/>
        <w:gridCol w:w="1984"/>
        <w:gridCol w:w="3686"/>
        <w:gridCol w:w="1842"/>
      </w:tblGrid>
      <w:tr w:rsidR="00993056" w:rsidRPr="008744CB" w:rsidTr="00555EBC">
        <w:trPr>
          <w:cnfStyle w:val="100000000000"/>
        </w:trPr>
        <w:tc>
          <w:tcPr>
            <w:cnfStyle w:val="001000000000"/>
            <w:tcW w:w="1702" w:type="dxa"/>
          </w:tcPr>
          <w:p w:rsidR="00993056" w:rsidRPr="008744CB" w:rsidRDefault="00993056" w:rsidP="00555EBC">
            <w:pPr>
              <w:rPr>
                <w:sz w:val="20"/>
                <w:szCs w:val="20"/>
              </w:rPr>
            </w:pPr>
            <w:r w:rsidRPr="008744CB">
              <w:rPr>
                <w:sz w:val="20"/>
                <w:szCs w:val="20"/>
              </w:rPr>
              <w:lastRenderedPageBreak/>
              <w:t>AAC Fund</w:t>
            </w:r>
          </w:p>
        </w:tc>
        <w:tc>
          <w:tcPr>
            <w:tcW w:w="1984" w:type="dxa"/>
          </w:tcPr>
          <w:p w:rsidR="00993056" w:rsidRPr="008744CB" w:rsidRDefault="00993056" w:rsidP="00555EBC">
            <w:pPr>
              <w:cnfStyle w:val="100000000000"/>
              <w:rPr>
                <w:sz w:val="20"/>
                <w:szCs w:val="20"/>
              </w:rPr>
            </w:pPr>
            <w:r w:rsidRPr="008744CB">
              <w:rPr>
                <w:sz w:val="20"/>
                <w:szCs w:val="20"/>
              </w:rPr>
              <w:t>African Agricultural Capital (AAC), East African fund</w:t>
            </w:r>
          </w:p>
        </w:tc>
        <w:tc>
          <w:tcPr>
            <w:tcW w:w="4253" w:type="dxa"/>
          </w:tcPr>
          <w:p w:rsidR="00993056" w:rsidRPr="008744CB" w:rsidRDefault="00993056" w:rsidP="00555EBC">
            <w:pPr>
              <w:cnfStyle w:val="100000000000"/>
              <w:rPr>
                <w:sz w:val="20"/>
                <w:szCs w:val="20"/>
              </w:rPr>
            </w:pPr>
            <w:r w:rsidRPr="008744CB">
              <w:rPr>
                <w:sz w:val="20"/>
                <w:szCs w:val="20"/>
              </w:rPr>
              <w:t xml:space="preserve">Providing capital to small growing businesses operating in the agricultural value chain in East Africa </w:t>
            </w:r>
          </w:p>
        </w:tc>
        <w:tc>
          <w:tcPr>
            <w:tcW w:w="1984" w:type="dxa"/>
          </w:tcPr>
          <w:p w:rsidR="00993056" w:rsidRPr="008744CB" w:rsidRDefault="00993056" w:rsidP="00555EBC">
            <w:pPr>
              <w:cnfStyle w:val="100000000000"/>
              <w:rPr>
                <w:sz w:val="20"/>
                <w:szCs w:val="20"/>
              </w:rPr>
            </w:pPr>
            <w:r w:rsidRPr="008744CB">
              <w:rPr>
                <w:sz w:val="20"/>
                <w:szCs w:val="20"/>
              </w:rPr>
              <w:t>East Africa</w:t>
            </w:r>
          </w:p>
        </w:tc>
        <w:tc>
          <w:tcPr>
            <w:tcW w:w="3686" w:type="dxa"/>
          </w:tcPr>
          <w:p w:rsidR="00993056" w:rsidRPr="008744CB" w:rsidRDefault="00993056" w:rsidP="00555EBC">
            <w:pPr>
              <w:cnfStyle w:val="100000000000"/>
              <w:rPr>
                <w:sz w:val="20"/>
                <w:szCs w:val="20"/>
              </w:rPr>
            </w:pPr>
            <w:r w:rsidRPr="008744CB">
              <w:rPr>
                <w:sz w:val="20"/>
                <w:szCs w:val="20"/>
              </w:rPr>
              <w:t xml:space="preserve">Rockefeller Foundation, the Gatsby Charitable Foundation and Belgian investment company </w:t>
            </w:r>
            <w:proofErr w:type="spellStart"/>
            <w:r w:rsidRPr="008744CB">
              <w:rPr>
                <w:sz w:val="20"/>
                <w:szCs w:val="20"/>
              </w:rPr>
              <w:t>Volksvermogen</w:t>
            </w:r>
            <w:proofErr w:type="spellEnd"/>
            <w:r w:rsidRPr="008744CB">
              <w:rPr>
                <w:sz w:val="20"/>
                <w:szCs w:val="20"/>
              </w:rPr>
              <w:t xml:space="preserve"> </w:t>
            </w:r>
          </w:p>
        </w:tc>
        <w:tc>
          <w:tcPr>
            <w:tcW w:w="1842" w:type="dxa"/>
          </w:tcPr>
          <w:p w:rsidR="00993056" w:rsidRPr="008744CB" w:rsidRDefault="00993056" w:rsidP="00555EBC">
            <w:pPr>
              <w:cnfStyle w:val="100000000000"/>
              <w:rPr>
                <w:sz w:val="20"/>
                <w:szCs w:val="20"/>
              </w:rPr>
            </w:pPr>
            <w:r w:rsidRPr="008744CB">
              <w:rPr>
                <w:sz w:val="20"/>
                <w:szCs w:val="20"/>
              </w:rPr>
              <w:t>USD 25 million</w:t>
            </w:r>
          </w:p>
        </w:tc>
      </w:tr>
      <w:tr w:rsidR="00993056" w:rsidRPr="008744CB" w:rsidTr="00555EBC">
        <w:trPr>
          <w:cnfStyle w:val="000000100000"/>
        </w:trPr>
        <w:tc>
          <w:tcPr>
            <w:cnfStyle w:val="001000000000"/>
            <w:tcW w:w="1702" w:type="dxa"/>
          </w:tcPr>
          <w:p w:rsidR="00993056" w:rsidRPr="008744CB" w:rsidRDefault="00993056" w:rsidP="00555EBC">
            <w:pPr>
              <w:rPr>
                <w:sz w:val="20"/>
                <w:szCs w:val="20"/>
              </w:rPr>
            </w:pPr>
            <w:proofErr w:type="spellStart"/>
            <w:r w:rsidRPr="008744CB">
              <w:rPr>
                <w:sz w:val="20"/>
                <w:szCs w:val="20"/>
              </w:rPr>
              <w:t>Beltone</w:t>
            </w:r>
            <w:proofErr w:type="spellEnd"/>
            <w:r w:rsidRPr="008744CB">
              <w:rPr>
                <w:sz w:val="20"/>
                <w:szCs w:val="20"/>
              </w:rPr>
              <w:t xml:space="preserve"> Private Equity</w:t>
            </w:r>
          </w:p>
        </w:tc>
        <w:tc>
          <w:tcPr>
            <w:tcW w:w="1984" w:type="dxa"/>
          </w:tcPr>
          <w:p w:rsidR="00993056" w:rsidRPr="008744CB" w:rsidRDefault="00993056" w:rsidP="00555EBC">
            <w:pPr>
              <w:cnfStyle w:val="000000100000"/>
              <w:rPr>
                <w:sz w:val="20"/>
                <w:szCs w:val="20"/>
              </w:rPr>
            </w:pPr>
            <w:r w:rsidRPr="008744CB">
              <w:rPr>
                <w:sz w:val="20"/>
                <w:szCs w:val="20"/>
              </w:rPr>
              <w:t xml:space="preserve">MENA-focused investment bank </w:t>
            </w:r>
            <w:proofErr w:type="spellStart"/>
            <w:r w:rsidRPr="008744CB">
              <w:rPr>
                <w:sz w:val="20"/>
                <w:szCs w:val="20"/>
              </w:rPr>
              <w:t>Beltone</w:t>
            </w:r>
            <w:proofErr w:type="spellEnd"/>
            <w:r w:rsidRPr="008744CB">
              <w:rPr>
                <w:sz w:val="20"/>
                <w:szCs w:val="20"/>
              </w:rPr>
              <w:t xml:space="preserve"> Financial</w:t>
            </w:r>
          </w:p>
        </w:tc>
        <w:tc>
          <w:tcPr>
            <w:tcW w:w="4253" w:type="dxa"/>
          </w:tcPr>
          <w:p w:rsidR="00993056" w:rsidRPr="008744CB" w:rsidRDefault="00993056" w:rsidP="00555EBC">
            <w:pPr>
              <w:cnfStyle w:val="000000100000"/>
              <w:rPr>
                <w:sz w:val="20"/>
                <w:szCs w:val="20"/>
              </w:rPr>
            </w:pPr>
            <w:r w:rsidRPr="008744CB">
              <w:rPr>
                <w:sz w:val="20"/>
                <w:szCs w:val="20"/>
              </w:rPr>
              <w:t xml:space="preserve">Large-scale agriculture projects </w:t>
            </w:r>
          </w:p>
        </w:tc>
        <w:tc>
          <w:tcPr>
            <w:tcW w:w="1984" w:type="dxa"/>
          </w:tcPr>
          <w:p w:rsidR="00993056" w:rsidRPr="008744CB" w:rsidRDefault="00993056" w:rsidP="00555EBC">
            <w:pPr>
              <w:cnfStyle w:val="000000100000"/>
              <w:rPr>
                <w:sz w:val="20"/>
                <w:szCs w:val="20"/>
              </w:rPr>
            </w:pPr>
            <w:r w:rsidRPr="008744CB">
              <w:rPr>
                <w:sz w:val="20"/>
                <w:szCs w:val="20"/>
              </w:rPr>
              <w:t>Egypt and Sudan</w:t>
            </w:r>
          </w:p>
        </w:tc>
        <w:tc>
          <w:tcPr>
            <w:tcW w:w="3686" w:type="dxa"/>
          </w:tcPr>
          <w:p w:rsidR="00993056" w:rsidRPr="008744CB" w:rsidRDefault="00993056" w:rsidP="00555EBC">
            <w:pPr>
              <w:cnfStyle w:val="000000100000"/>
              <w:rPr>
                <w:sz w:val="20"/>
                <w:szCs w:val="20"/>
              </w:rPr>
            </w:pPr>
            <w:r w:rsidRPr="008744CB">
              <w:rPr>
                <w:sz w:val="20"/>
                <w:szCs w:val="20"/>
              </w:rPr>
              <w:t xml:space="preserve">Partnership agreement with </w:t>
            </w:r>
            <w:proofErr w:type="spellStart"/>
            <w:r w:rsidRPr="008744CB">
              <w:rPr>
                <w:sz w:val="20"/>
                <w:szCs w:val="20"/>
              </w:rPr>
              <w:t>Kenana</w:t>
            </w:r>
            <w:proofErr w:type="spellEnd"/>
            <w:r w:rsidRPr="008744CB">
              <w:rPr>
                <w:sz w:val="20"/>
                <w:szCs w:val="20"/>
              </w:rPr>
              <w:t xml:space="preserve"> Sugar Company</w:t>
            </w:r>
          </w:p>
        </w:tc>
        <w:tc>
          <w:tcPr>
            <w:tcW w:w="1842" w:type="dxa"/>
          </w:tcPr>
          <w:p w:rsidR="00993056" w:rsidRPr="008744CB" w:rsidRDefault="00993056" w:rsidP="00555EBC">
            <w:pPr>
              <w:cnfStyle w:val="000000100000"/>
              <w:rPr>
                <w:sz w:val="20"/>
                <w:szCs w:val="20"/>
              </w:rPr>
            </w:pPr>
            <w:r w:rsidRPr="008744CB">
              <w:rPr>
                <w:sz w:val="20"/>
                <w:szCs w:val="20"/>
              </w:rPr>
              <w:t>USD 1 billion</w:t>
            </w:r>
          </w:p>
        </w:tc>
      </w:tr>
      <w:tr w:rsidR="00993056" w:rsidTr="00555EBC">
        <w:tc>
          <w:tcPr>
            <w:cnfStyle w:val="001000000000"/>
            <w:tcW w:w="1702" w:type="dxa"/>
          </w:tcPr>
          <w:p w:rsidR="00993056" w:rsidRPr="004961AE" w:rsidRDefault="00993056" w:rsidP="00555EBC">
            <w:pPr>
              <w:rPr>
                <w:sz w:val="20"/>
                <w:szCs w:val="20"/>
              </w:rPr>
            </w:pPr>
            <w:r w:rsidRPr="008744CB">
              <w:br w:type="page"/>
            </w:r>
            <w:r>
              <w:rPr>
                <w:sz w:val="20"/>
                <w:szCs w:val="20"/>
              </w:rPr>
              <w:t>Atlantic Coast Regional Fund (ACRF)</w:t>
            </w:r>
          </w:p>
        </w:tc>
        <w:tc>
          <w:tcPr>
            <w:tcW w:w="1984" w:type="dxa"/>
          </w:tcPr>
          <w:p w:rsidR="00993056" w:rsidRPr="009A21C8" w:rsidRDefault="00993056" w:rsidP="00555EBC">
            <w:pPr>
              <w:cnfStyle w:val="000000000000"/>
              <w:rPr>
                <w:b/>
                <w:sz w:val="20"/>
                <w:szCs w:val="20"/>
              </w:rPr>
            </w:pPr>
            <w:r w:rsidRPr="009A21C8">
              <w:rPr>
                <w:sz w:val="20"/>
                <w:szCs w:val="20"/>
              </w:rPr>
              <w:t>Advanced Finance and Investment Group, private equity group based in Senegal</w:t>
            </w:r>
          </w:p>
        </w:tc>
        <w:tc>
          <w:tcPr>
            <w:tcW w:w="4253" w:type="dxa"/>
          </w:tcPr>
          <w:p w:rsidR="00993056" w:rsidRPr="009A21C8" w:rsidRDefault="00993056" w:rsidP="00555EBC">
            <w:pPr>
              <w:cnfStyle w:val="000000000000"/>
              <w:rPr>
                <w:b/>
                <w:sz w:val="20"/>
                <w:szCs w:val="20"/>
              </w:rPr>
            </w:pPr>
            <w:r w:rsidRPr="009A21C8">
              <w:rPr>
                <w:sz w:val="20"/>
                <w:szCs w:val="20"/>
              </w:rPr>
              <w:t>Mid-size, strong growth companies, with a regional scope.   Beyond the core countries, the fund will cover ECOWAS, ECCAS, as well as Morocco, Mauritania, Uganda and Rwanda.</w:t>
            </w:r>
          </w:p>
        </w:tc>
        <w:tc>
          <w:tcPr>
            <w:tcW w:w="1984" w:type="dxa"/>
          </w:tcPr>
          <w:p w:rsidR="00993056" w:rsidRPr="009A21C8" w:rsidRDefault="00993056" w:rsidP="00555EBC">
            <w:pPr>
              <w:cnfStyle w:val="000000000000"/>
              <w:rPr>
                <w:b/>
                <w:sz w:val="20"/>
                <w:szCs w:val="20"/>
              </w:rPr>
            </w:pPr>
            <w:r w:rsidRPr="009A21C8">
              <w:rPr>
                <w:sz w:val="20"/>
                <w:szCs w:val="20"/>
              </w:rPr>
              <w:t>Nigeria, Senegal, Cote d’Ivoire, Ghana, Cameroon, Gabon, DRC and Angola (core countries)</w:t>
            </w:r>
          </w:p>
        </w:tc>
        <w:tc>
          <w:tcPr>
            <w:tcW w:w="3686" w:type="dxa"/>
          </w:tcPr>
          <w:p w:rsidR="00993056" w:rsidRPr="009A21C8" w:rsidRDefault="00993056" w:rsidP="00555EBC">
            <w:pPr>
              <w:cnfStyle w:val="000000000000"/>
              <w:rPr>
                <w:b/>
                <w:sz w:val="20"/>
                <w:szCs w:val="20"/>
              </w:rPr>
            </w:pPr>
            <w:proofErr w:type="spellStart"/>
            <w:r w:rsidRPr="009A21C8">
              <w:rPr>
                <w:sz w:val="20"/>
                <w:szCs w:val="20"/>
              </w:rPr>
              <w:t>AfDB</w:t>
            </w:r>
            <w:proofErr w:type="spellEnd"/>
            <w:r w:rsidRPr="009A21C8">
              <w:rPr>
                <w:sz w:val="20"/>
                <w:szCs w:val="20"/>
              </w:rPr>
              <w:t xml:space="preserve">, CDC, EIB, </w:t>
            </w:r>
            <w:proofErr w:type="spellStart"/>
            <w:r w:rsidRPr="009A21C8">
              <w:rPr>
                <w:sz w:val="20"/>
                <w:szCs w:val="20"/>
              </w:rPr>
              <w:t>FinnFund</w:t>
            </w:r>
            <w:proofErr w:type="spellEnd"/>
            <w:r w:rsidRPr="009A21C8">
              <w:rPr>
                <w:sz w:val="20"/>
                <w:szCs w:val="20"/>
              </w:rPr>
              <w:t>, and IFC, as well as international investors such as Africa Re.</w:t>
            </w:r>
          </w:p>
        </w:tc>
        <w:tc>
          <w:tcPr>
            <w:tcW w:w="1842" w:type="dxa"/>
          </w:tcPr>
          <w:p w:rsidR="00993056" w:rsidRPr="009A21C8" w:rsidRDefault="00993056" w:rsidP="00555EBC">
            <w:pPr>
              <w:cnfStyle w:val="000000000000"/>
              <w:rPr>
                <w:b/>
                <w:sz w:val="20"/>
                <w:szCs w:val="20"/>
              </w:rPr>
            </w:pPr>
            <w:r w:rsidRPr="009A21C8">
              <w:rPr>
                <w:sz w:val="20"/>
                <w:szCs w:val="20"/>
              </w:rPr>
              <w:t>USD 150 million</w:t>
            </w:r>
          </w:p>
        </w:tc>
      </w:tr>
      <w:tr w:rsidR="00993056" w:rsidTr="00555EBC">
        <w:trPr>
          <w:cnfStyle w:val="000000100000"/>
        </w:trPr>
        <w:tc>
          <w:tcPr>
            <w:cnfStyle w:val="001000000000"/>
            <w:tcW w:w="1702" w:type="dxa"/>
          </w:tcPr>
          <w:p w:rsidR="00993056" w:rsidRPr="004961AE" w:rsidRDefault="00993056" w:rsidP="00555EBC">
            <w:pPr>
              <w:rPr>
                <w:sz w:val="20"/>
                <w:szCs w:val="20"/>
              </w:rPr>
            </w:pPr>
            <w:r>
              <w:rPr>
                <w:sz w:val="20"/>
                <w:szCs w:val="20"/>
              </w:rPr>
              <w:t>African Capitalization Fund</w:t>
            </w:r>
          </w:p>
        </w:tc>
        <w:tc>
          <w:tcPr>
            <w:tcW w:w="1984" w:type="dxa"/>
          </w:tcPr>
          <w:p w:rsidR="00993056" w:rsidRPr="004961AE" w:rsidRDefault="00993056" w:rsidP="00555EBC">
            <w:pPr>
              <w:cnfStyle w:val="000000100000"/>
              <w:rPr>
                <w:sz w:val="20"/>
                <w:szCs w:val="20"/>
              </w:rPr>
            </w:pPr>
            <w:r>
              <w:rPr>
                <w:sz w:val="20"/>
                <w:szCs w:val="20"/>
              </w:rPr>
              <w:t>IFC Asset Management Company</w:t>
            </w:r>
          </w:p>
        </w:tc>
        <w:tc>
          <w:tcPr>
            <w:tcW w:w="4253" w:type="dxa"/>
          </w:tcPr>
          <w:p w:rsidR="00993056" w:rsidRPr="004961AE" w:rsidRDefault="00993056" w:rsidP="00555EBC">
            <w:pPr>
              <w:cnfStyle w:val="000000100000"/>
              <w:rPr>
                <w:sz w:val="20"/>
                <w:szCs w:val="20"/>
              </w:rPr>
            </w:pPr>
            <w:r>
              <w:rPr>
                <w:sz w:val="20"/>
                <w:szCs w:val="20"/>
              </w:rPr>
              <w:t>Invest in Africa’s banking system, providing the resources it needs to continue financing the private sector</w:t>
            </w:r>
          </w:p>
        </w:tc>
        <w:tc>
          <w:tcPr>
            <w:tcW w:w="1984" w:type="dxa"/>
          </w:tcPr>
          <w:p w:rsidR="00993056" w:rsidRPr="004961AE" w:rsidRDefault="00993056" w:rsidP="00555EBC">
            <w:pPr>
              <w:cnfStyle w:val="000000100000"/>
              <w:rPr>
                <w:sz w:val="20"/>
                <w:szCs w:val="20"/>
              </w:rPr>
            </w:pPr>
            <w:r>
              <w:rPr>
                <w:sz w:val="20"/>
                <w:szCs w:val="20"/>
              </w:rPr>
              <w:t>Africa</w:t>
            </w:r>
          </w:p>
        </w:tc>
        <w:tc>
          <w:tcPr>
            <w:tcW w:w="3686" w:type="dxa"/>
          </w:tcPr>
          <w:p w:rsidR="00993056" w:rsidRPr="004961AE" w:rsidRDefault="00993056" w:rsidP="00555EBC">
            <w:pPr>
              <w:cnfStyle w:val="000000100000"/>
              <w:rPr>
                <w:sz w:val="20"/>
                <w:szCs w:val="20"/>
              </w:rPr>
            </w:pPr>
            <w:proofErr w:type="spellStart"/>
            <w:r>
              <w:rPr>
                <w:sz w:val="20"/>
                <w:szCs w:val="20"/>
              </w:rPr>
              <w:t>AfDB</w:t>
            </w:r>
            <w:proofErr w:type="spellEnd"/>
            <w:r>
              <w:rPr>
                <w:sz w:val="20"/>
                <w:szCs w:val="20"/>
              </w:rPr>
              <w:t>, EIB, the OPEC Investment and Development Fund, and the Abu Dhabi Development Fund</w:t>
            </w:r>
          </w:p>
        </w:tc>
        <w:tc>
          <w:tcPr>
            <w:tcW w:w="1842" w:type="dxa"/>
          </w:tcPr>
          <w:p w:rsidR="00993056" w:rsidRPr="004961AE" w:rsidRDefault="00993056" w:rsidP="00555EBC">
            <w:pPr>
              <w:cnfStyle w:val="000000100000"/>
              <w:rPr>
                <w:sz w:val="20"/>
                <w:szCs w:val="20"/>
              </w:rPr>
            </w:pPr>
            <w:r>
              <w:rPr>
                <w:sz w:val="20"/>
                <w:szCs w:val="20"/>
              </w:rPr>
              <w:t>USD 600 million</w:t>
            </w:r>
          </w:p>
        </w:tc>
      </w:tr>
      <w:tr w:rsidR="00993056" w:rsidTr="00555EBC">
        <w:tc>
          <w:tcPr>
            <w:cnfStyle w:val="001000000000"/>
            <w:tcW w:w="1702" w:type="dxa"/>
          </w:tcPr>
          <w:p w:rsidR="00993056" w:rsidRPr="004961AE" w:rsidRDefault="00993056" w:rsidP="00555EBC">
            <w:pPr>
              <w:rPr>
                <w:sz w:val="20"/>
                <w:szCs w:val="20"/>
              </w:rPr>
            </w:pPr>
            <w:proofErr w:type="spellStart"/>
            <w:r>
              <w:rPr>
                <w:sz w:val="20"/>
                <w:szCs w:val="20"/>
              </w:rPr>
              <w:t>Africinvest</w:t>
            </w:r>
            <w:proofErr w:type="spellEnd"/>
            <w:r>
              <w:rPr>
                <w:sz w:val="20"/>
                <w:szCs w:val="20"/>
              </w:rPr>
              <w:t xml:space="preserve"> II</w:t>
            </w:r>
          </w:p>
        </w:tc>
        <w:tc>
          <w:tcPr>
            <w:tcW w:w="1984" w:type="dxa"/>
          </w:tcPr>
          <w:p w:rsidR="00993056" w:rsidRPr="004961AE" w:rsidRDefault="00993056" w:rsidP="00555EBC">
            <w:pPr>
              <w:cnfStyle w:val="000000000000"/>
              <w:rPr>
                <w:sz w:val="20"/>
                <w:szCs w:val="20"/>
              </w:rPr>
            </w:pPr>
            <w:proofErr w:type="spellStart"/>
            <w:r>
              <w:rPr>
                <w:sz w:val="20"/>
                <w:szCs w:val="20"/>
              </w:rPr>
              <w:t>Africinvest</w:t>
            </w:r>
            <w:proofErr w:type="spellEnd"/>
            <w:r>
              <w:rPr>
                <w:sz w:val="20"/>
                <w:szCs w:val="20"/>
              </w:rPr>
              <w:t xml:space="preserve"> Capital Partners</w:t>
            </w:r>
          </w:p>
        </w:tc>
        <w:tc>
          <w:tcPr>
            <w:tcW w:w="4253" w:type="dxa"/>
          </w:tcPr>
          <w:p w:rsidR="00993056" w:rsidRPr="004961AE" w:rsidRDefault="00993056" w:rsidP="00555EBC">
            <w:pPr>
              <w:cnfStyle w:val="000000000000"/>
              <w:rPr>
                <w:sz w:val="20"/>
                <w:szCs w:val="20"/>
              </w:rPr>
            </w:pPr>
            <w:r>
              <w:rPr>
                <w:sz w:val="20"/>
                <w:szCs w:val="20"/>
              </w:rPr>
              <w:t>Pan-African SME fund</w:t>
            </w:r>
          </w:p>
        </w:tc>
        <w:tc>
          <w:tcPr>
            <w:tcW w:w="1984" w:type="dxa"/>
          </w:tcPr>
          <w:p w:rsidR="00993056" w:rsidRPr="004961AE" w:rsidRDefault="00993056" w:rsidP="00555EBC">
            <w:pPr>
              <w:cnfStyle w:val="000000000000"/>
              <w:rPr>
                <w:sz w:val="20"/>
                <w:szCs w:val="20"/>
              </w:rPr>
            </w:pPr>
            <w:r>
              <w:rPr>
                <w:sz w:val="20"/>
                <w:szCs w:val="20"/>
              </w:rPr>
              <w:t>Africa</w:t>
            </w:r>
          </w:p>
        </w:tc>
        <w:tc>
          <w:tcPr>
            <w:tcW w:w="3686" w:type="dxa"/>
          </w:tcPr>
          <w:p w:rsidR="00993056" w:rsidRPr="004961AE" w:rsidRDefault="00993056" w:rsidP="00555EBC">
            <w:pPr>
              <w:cnfStyle w:val="000000000000"/>
              <w:rPr>
                <w:sz w:val="20"/>
                <w:szCs w:val="20"/>
              </w:rPr>
            </w:pPr>
            <w:r>
              <w:rPr>
                <w:sz w:val="20"/>
                <w:szCs w:val="20"/>
              </w:rPr>
              <w:t xml:space="preserve">Backing of a range of European DFIs, as well as the IFC, </w:t>
            </w:r>
            <w:proofErr w:type="spellStart"/>
            <w:r>
              <w:rPr>
                <w:sz w:val="20"/>
                <w:szCs w:val="20"/>
              </w:rPr>
              <w:t>AfDB</w:t>
            </w:r>
            <w:proofErr w:type="spellEnd"/>
            <w:r>
              <w:rPr>
                <w:sz w:val="20"/>
                <w:szCs w:val="20"/>
              </w:rPr>
              <w:t xml:space="preserve"> and EIB.</w:t>
            </w:r>
          </w:p>
        </w:tc>
        <w:tc>
          <w:tcPr>
            <w:tcW w:w="1842" w:type="dxa"/>
          </w:tcPr>
          <w:p w:rsidR="00993056" w:rsidRPr="004961AE" w:rsidRDefault="00993056" w:rsidP="00555EBC">
            <w:pPr>
              <w:cnfStyle w:val="000000000000"/>
              <w:rPr>
                <w:sz w:val="20"/>
                <w:szCs w:val="20"/>
              </w:rPr>
            </w:pPr>
            <w:r>
              <w:rPr>
                <w:sz w:val="20"/>
                <w:szCs w:val="20"/>
              </w:rPr>
              <w:t>USD 150 million</w:t>
            </w:r>
          </w:p>
        </w:tc>
      </w:tr>
      <w:tr w:rsidR="00993056" w:rsidTr="00555EBC">
        <w:trPr>
          <w:cnfStyle w:val="000000100000"/>
        </w:trPr>
        <w:tc>
          <w:tcPr>
            <w:cnfStyle w:val="001000000000"/>
            <w:tcW w:w="1702" w:type="dxa"/>
          </w:tcPr>
          <w:p w:rsidR="00993056" w:rsidRDefault="00993056" w:rsidP="00555EBC">
            <w:pPr>
              <w:rPr>
                <w:sz w:val="20"/>
                <w:szCs w:val="20"/>
              </w:rPr>
            </w:pPr>
            <w:proofErr w:type="spellStart"/>
            <w:r>
              <w:rPr>
                <w:sz w:val="20"/>
                <w:szCs w:val="20"/>
              </w:rPr>
              <w:t>Fanisi</w:t>
            </w:r>
            <w:proofErr w:type="spellEnd"/>
            <w:r>
              <w:rPr>
                <w:sz w:val="20"/>
                <w:szCs w:val="20"/>
              </w:rPr>
              <w:t xml:space="preserve"> Venture Capital Fund</w:t>
            </w:r>
          </w:p>
        </w:tc>
        <w:tc>
          <w:tcPr>
            <w:tcW w:w="1984" w:type="dxa"/>
          </w:tcPr>
          <w:p w:rsidR="00993056" w:rsidRPr="00EA1632" w:rsidRDefault="00993056" w:rsidP="00555EBC">
            <w:pPr>
              <w:cnfStyle w:val="000000100000"/>
              <w:rPr>
                <w:sz w:val="20"/>
                <w:szCs w:val="20"/>
                <w:lang w:val="it-IT"/>
              </w:rPr>
            </w:pPr>
            <w:r w:rsidRPr="00EA1632">
              <w:rPr>
                <w:sz w:val="20"/>
                <w:szCs w:val="20"/>
                <w:lang w:val="it-IT"/>
              </w:rPr>
              <w:t>Amani Capital, Nairobi-based venture capital firm</w:t>
            </w:r>
          </w:p>
        </w:tc>
        <w:tc>
          <w:tcPr>
            <w:tcW w:w="4253" w:type="dxa"/>
          </w:tcPr>
          <w:p w:rsidR="00993056" w:rsidRDefault="00993056" w:rsidP="00555EBC">
            <w:pPr>
              <w:cnfStyle w:val="000000100000"/>
              <w:rPr>
                <w:sz w:val="20"/>
                <w:szCs w:val="20"/>
              </w:rPr>
            </w:pPr>
            <w:r>
              <w:rPr>
                <w:sz w:val="20"/>
                <w:szCs w:val="20"/>
              </w:rPr>
              <w:t>The fund will target high growth start-up and established SMEs across a range of sectors</w:t>
            </w:r>
          </w:p>
        </w:tc>
        <w:tc>
          <w:tcPr>
            <w:tcW w:w="1984" w:type="dxa"/>
          </w:tcPr>
          <w:p w:rsidR="00993056" w:rsidRPr="00EA1632" w:rsidRDefault="00993056" w:rsidP="00555EBC">
            <w:pPr>
              <w:cnfStyle w:val="000000100000"/>
              <w:rPr>
                <w:sz w:val="20"/>
                <w:szCs w:val="20"/>
                <w:lang w:val="it-IT"/>
              </w:rPr>
            </w:pPr>
            <w:r w:rsidRPr="00EA1632">
              <w:rPr>
                <w:sz w:val="20"/>
                <w:szCs w:val="20"/>
                <w:lang w:val="it-IT"/>
              </w:rPr>
              <w:t>Kenya, Rwanda, Tanzania and Uganda</w:t>
            </w:r>
          </w:p>
        </w:tc>
        <w:tc>
          <w:tcPr>
            <w:tcW w:w="3686" w:type="dxa"/>
          </w:tcPr>
          <w:p w:rsidR="00993056" w:rsidRDefault="00993056" w:rsidP="00555EBC">
            <w:pPr>
              <w:cnfStyle w:val="000000100000"/>
              <w:rPr>
                <w:sz w:val="20"/>
                <w:szCs w:val="20"/>
              </w:rPr>
            </w:pPr>
            <w:proofErr w:type="spellStart"/>
            <w:r>
              <w:rPr>
                <w:sz w:val="20"/>
                <w:szCs w:val="20"/>
              </w:rPr>
              <w:t>Norfund</w:t>
            </w:r>
            <w:proofErr w:type="spellEnd"/>
            <w:r>
              <w:rPr>
                <w:sz w:val="20"/>
                <w:szCs w:val="20"/>
              </w:rPr>
              <w:t xml:space="preserve">, Finn Fund, </w:t>
            </w:r>
            <w:proofErr w:type="spellStart"/>
            <w:r>
              <w:rPr>
                <w:sz w:val="20"/>
                <w:szCs w:val="20"/>
              </w:rPr>
              <w:t>Proparco</w:t>
            </w:r>
            <w:proofErr w:type="spellEnd"/>
            <w:r>
              <w:rPr>
                <w:sz w:val="20"/>
                <w:szCs w:val="20"/>
              </w:rPr>
              <w:t>, IFC, the Soros Economic Development Fund and the Barry Segal Foundation</w:t>
            </w:r>
          </w:p>
        </w:tc>
        <w:tc>
          <w:tcPr>
            <w:tcW w:w="1842" w:type="dxa"/>
          </w:tcPr>
          <w:p w:rsidR="00993056" w:rsidRDefault="00993056" w:rsidP="00555EBC">
            <w:pPr>
              <w:cnfStyle w:val="000000100000"/>
              <w:rPr>
                <w:sz w:val="20"/>
                <w:szCs w:val="20"/>
              </w:rPr>
            </w:pPr>
            <w:r>
              <w:rPr>
                <w:sz w:val="20"/>
                <w:szCs w:val="20"/>
              </w:rPr>
              <w:t>USD 55 million</w:t>
            </w:r>
          </w:p>
        </w:tc>
      </w:tr>
      <w:tr w:rsidR="00993056" w:rsidTr="00555EBC">
        <w:tc>
          <w:tcPr>
            <w:cnfStyle w:val="001000000000"/>
            <w:tcW w:w="13609" w:type="dxa"/>
            <w:gridSpan w:val="5"/>
          </w:tcPr>
          <w:p w:rsidR="00993056" w:rsidRDefault="00993056" w:rsidP="00555EBC">
            <w:pPr>
              <w:jc w:val="right"/>
              <w:rPr>
                <w:sz w:val="20"/>
                <w:szCs w:val="20"/>
              </w:rPr>
            </w:pPr>
            <w:r>
              <w:rPr>
                <w:sz w:val="20"/>
                <w:szCs w:val="20"/>
              </w:rPr>
              <w:t>TOTAL</w:t>
            </w:r>
          </w:p>
        </w:tc>
        <w:tc>
          <w:tcPr>
            <w:tcW w:w="1842" w:type="dxa"/>
          </w:tcPr>
          <w:p w:rsidR="00993056" w:rsidRPr="00731DED" w:rsidRDefault="00993056" w:rsidP="00555EBC">
            <w:pPr>
              <w:cnfStyle w:val="000000000000"/>
              <w:rPr>
                <w:b/>
                <w:sz w:val="20"/>
                <w:szCs w:val="20"/>
              </w:rPr>
            </w:pPr>
            <w:r w:rsidRPr="00731DED">
              <w:rPr>
                <w:b/>
                <w:sz w:val="20"/>
                <w:szCs w:val="20"/>
              </w:rPr>
              <w:t>USD 6.74 billion</w:t>
            </w:r>
          </w:p>
        </w:tc>
      </w:tr>
    </w:tbl>
    <w:p w:rsidR="00993056" w:rsidRDefault="00993056" w:rsidP="00993056">
      <w:pPr>
        <w:autoSpaceDE w:val="0"/>
        <w:autoSpaceDN w:val="0"/>
        <w:adjustRightInd w:val="0"/>
        <w:jc w:val="center"/>
        <w:rPr>
          <w:rFonts w:ascii="Arial" w:hAnsi="Arial" w:cs="Arial"/>
          <w:color w:val="000000"/>
          <w:sz w:val="21"/>
          <w:szCs w:val="21"/>
          <w:shd w:val="clear" w:color="auto" w:fill="FFFFFF"/>
        </w:rPr>
      </w:pPr>
    </w:p>
    <w:p w:rsidR="00993056" w:rsidRDefault="00993056">
      <w:pPr>
        <w:rPr>
          <w:rFonts w:asciiTheme="minorHAnsi" w:hAnsiTheme="minorHAnsi" w:cs="Arial"/>
          <w:b/>
          <w:color w:val="1F497D" w:themeColor="text2"/>
          <w:sz w:val="28"/>
          <w:szCs w:val="28"/>
        </w:rPr>
      </w:pPr>
      <w:r>
        <w:rPr>
          <w:rFonts w:asciiTheme="minorHAnsi" w:hAnsiTheme="minorHAnsi" w:cs="Arial"/>
          <w:b/>
          <w:color w:val="1F497D" w:themeColor="text2"/>
          <w:sz w:val="28"/>
          <w:szCs w:val="28"/>
        </w:rPr>
        <w:br w:type="page"/>
      </w:r>
    </w:p>
    <w:p w:rsidR="00F34694" w:rsidRDefault="00F34694" w:rsidP="00F34694">
      <w:pPr>
        <w:jc w:val="center"/>
        <w:rPr>
          <w:rFonts w:asciiTheme="minorHAnsi" w:hAnsiTheme="minorHAnsi" w:cs="Arial"/>
          <w:b/>
          <w:color w:val="1F497D" w:themeColor="text2"/>
          <w:sz w:val="28"/>
          <w:szCs w:val="28"/>
        </w:rPr>
      </w:pPr>
      <w:r>
        <w:rPr>
          <w:rFonts w:asciiTheme="minorHAnsi" w:hAnsiTheme="minorHAnsi" w:cs="Arial"/>
          <w:b/>
          <w:color w:val="1F497D" w:themeColor="text2"/>
          <w:sz w:val="28"/>
          <w:szCs w:val="28"/>
        </w:rPr>
        <w:lastRenderedPageBreak/>
        <w:t xml:space="preserve">ANNEX </w:t>
      </w:r>
      <w:r w:rsidR="00520BA3">
        <w:rPr>
          <w:rFonts w:asciiTheme="minorHAnsi" w:hAnsiTheme="minorHAnsi" w:cs="Arial"/>
          <w:b/>
          <w:color w:val="1F497D" w:themeColor="text2"/>
          <w:sz w:val="28"/>
          <w:szCs w:val="28"/>
        </w:rPr>
        <w:t>4</w:t>
      </w:r>
      <w:r>
        <w:rPr>
          <w:rFonts w:asciiTheme="minorHAnsi" w:hAnsiTheme="minorHAnsi" w:cs="Arial"/>
          <w:b/>
          <w:color w:val="1F497D" w:themeColor="text2"/>
          <w:sz w:val="28"/>
          <w:szCs w:val="28"/>
        </w:rPr>
        <w:t xml:space="preserve">: </w:t>
      </w:r>
    </w:p>
    <w:p w:rsidR="00F34694" w:rsidRPr="00F34694" w:rsidRDefault="00F34694" w:rsidP="00F34694">
      <w:pPr>
        <w:jc w:val="center"/>
        <w:rPr>
          <w:rFonts w:asciiTheme="minorHAnsi" w:hAnsiTheme="minorHAnsi" w:cs="Arial"/>
          <w:color w:val="333333"/>
          <w:sz w:val="22"/>
          <w:szCs w:val="22"/>
          <w:shd w:val="clear" w:color="auto" w:fill="FFFFFF"/>
        </w:rPr>
      </w:pPr>
      <w:r w:rsidRPr="00F34694">
        <w:rPr>
          <w:rFonts w:asciiTheme="minorHAnsi" w:hAnsiTheme="minorHAnsi" w:cs="Arial"/>
          <w:b/>
          <w:color w:val="333333"/>
          <w:sz w:val="22"/>
          <w:szCs w:val="22"/>
          <w:shd w:val="clear" w:color="auto" w:fill="FFFFFF"/>
        </w:rPr>
        <w:t>ANALYSIS OF COUNTRY INVESTMENT PLANS</w:t>
      </w:r>
      <w:r w:rsidRPr="00F34694">
        <w:rPr>
          <w:rFonts w:asciiTheme="minorHAnsi" w:hAnsiTheme="minorHAnsi" w:cs="Arial"/>
          <w:color w:val="333333"/>
          <w:sz w:val="22"/>
          <w:szCs w:val="22"/>
          <w:shd w:val="clear" w:color="auto" w:fill="FFFFFF"/>
        </w:rPr>
        <w:t xml:space="preserve"> Source: Country Investment Plans (</w:t>
      </w:r>
      <w:hyperlink r:id="rId72" w:history="1">
        <w:r w:rsidRPr="00F34694">
          <w:rPr>
            <w:rStyle w:val="Hyperlink"/>
            <w:rFonts w:asciiTheme="minorHAnsi" w:hAnsiTheme="minorHAnsi" w:cs="Arial"/>
            <w:sz w:val="22"/>
            <w:szCs w:val="22"/>
            <w:shd w:val="clear" w:color="auto" w:fill="FFFFFF"/>
          </w:rPr>
          <w:t>www.resakss.org</w:t>
        </w:r>
      </w:hyperlink>
      <w:r w:rsidRPr="00F34694">
        <w:rPr>
          <w:rFonts w:asciiTheme="minorHAnsi" w:hAnsiTheme="minorHAnsi" w:cs="Arial"/>
          <w:color w:val="333333"/>
          <w:sz w:val="22"/>
          <w:szCs w:val="22"/>
          <w:shd w:val="clear" w:color="auto" w:fill="FFFFFF"/>
        </w:rPr>
        <w:t>)</w:t>
      </w:r>
    </w:p>
    <w:p w:rsidR="00F34694" w:rsidRDefault="00F34694" w:rsidP="00F34694">
      <w:pPr>
        <w:rPr>
          <w:rFonts w:ascii="Arial" w:hAnsi="Arial" w:cs="Arial"/>
          <w:color w:val="333333"/>
          <w:sz w:val="20"/>
          <w:shd w:val="clear" w:color="auto" w:fill="FFFFFF"/>
        </w:rPr>
      </w:pPr>
    </w:p>
    <w:tbl>
      <w:tblPr>
        <w:tblStyle w:val="LightShading-Accent5"/>
        <w:tblW w:w="15877" w:type="dxa"/>
        <w:tblInd w:w="-743" w:type="dxa"/>
        <w:tblLook w:val="04A0"/>
      </w:tblPr>
      <w:tblGrid>
        <w:gridCol w:w="1702"/>
        <w:gridCol w:w="1417"/>
        <w:gridCol w:w="1560"/>
        <w:gridCol w:w="1559"/>
        <w:gridCol w:w="1417"/>
        <w:gridCol w:w="1560"/>
        <w:gridCol w:w="6662"/>
      </w:tblGrid>
      <w:tr w:rsidR="00F34694" w:rsidTr="00555EBC">
        <w:trPr>
          <w:cnfStyle w:val="100000000000"/>
        </w:trPr>
        <w:tc>
          <w:tcPr>
            <w:cnfStyle w:val="001000000000"/>
            <w:tcW w:w="1702" w:type="dxa"/>
            <w:tcBorders>
              <w:bottom w:val="nil"/>
            </w:tcBorders>
          </w:tcPr>
          <w:p w:rsidR="00F34694" w:rsidRPr="00DC4C97" w:rsidRDefault="00F34694" w:rsidP="00555EBC">
            <w:pPr>
              <w:rPr>
                <w:sz w:val="20"/>
                <w:szCs w:val="20"/>
              </w:rPr>
            </w:pPr>
            <w:r w:rsidRPr="00DC4C97">
              <w:rPr>
                <w:sz w:val="20"/>
                <w:szCs w:val="20"/>
              </w:rPr>
              <w:t>Country</w:t>
            </w:r>
          </w:p>
        </w:tc>
        <w:tc>
          <w:tcPr>
            <w:tcW w:w="1417" w:type="dxa"/>
            <w:tcBorders>
              <w:bottom w:val="nil"/>
            </w:tcBorders>
          </w:tcPr>
          <w:p w:rsidR="00F34694" w:rsidRPr="00DC4C97" w:rsidRDefault="00F34694" w:rsidP="00555EBC">
            <w:pPr>
              <w:cnfStyle w:val="100000000000"/>
              <w:rPr>
                <w:sz w:val="20"/>
                <w:szCs w:val="20"/>
              </w:rPr>
            </w:pPr>
            <w:r w:rsidRPr="00DC4C97">
              <w:rPr>
                <w:sz w:val="20"/>
                <w:szCs w:val="20"/>
              </w:rPr>
              <w:t>Total budget</w:t>
            </w:r>
          </w:p>
        </w:tc>
        <w:tc>
          <w:tcPr>
            <w:tcW w:w="1560" w:type="dxa"/>
            <w:tcBorders>
              <w:bottom w:val="nil"/>
            </w:tcBorders>
          </w:tcPr>
          <w:p w:rsidR="00F34694" w:rsidRPr="00DC4C97" w:rsidRDefault="00F34694" w:rsidP="00555EBC">
            <w:pPr>
              <w:cnfStyle w:val="100000000000"/>
              <w:rPr>
                <w:sz w:val="20"/>
                <w:szCs w:val="20"/>
              </w:rPr>
            </w:pPr>
            <w:r w:rsidRPr="00DC4C97">
              <w:rPr>
                <w:sz w:val="20"/>
                <w:szCs w:val="20"/>
              </w:rPr>
              <w:t>Government investment</w:t>
            </w:r>
          </w:p>
        </w:tc>
        <w:tc>
          <w:tcPr>
            <w:tcW w:w="1559" w:type="dxa"/>
            <w:tcBorders>
              <w:bottom w:val="nil"/>
            </w:tcBorders>
          </w:tcPr>
          <w:p w:rsidR="00F34694" w:rsidRPr="00DC4C97" w:rsidRDefault="00F34694" w:rsidP="00555EBC">
            <w:pPr>
              <w:cnfStyle w:val="100000000000"/>
              <w:rPr>
                <w:sz w:val="20"/>
                <w:szCs w:val="20"/>
              </w:rPr>
            </w:pPr>
            <w:r w:rsidRPr="00DC4C97">
              <w:rPr>
                <w:sz w:val="20"/>
                <w:szCs w:val="20"/>
              </w:rPr>
              <w:t>Development partners’ investment</w:t>
            </w:r>
          </w:p>
        </w:tc>
        <w:tc>
          <w:tcPr>
            <w:tcW w:w="1417" w:type="dxa"/>
            <w:tcBorders>
              <w:bottom w:val="nil"/>
            </w:tcBorders>
          </w:tcPr>
          <w:p w:rsidR="00F34694" w:rsidRPr="00DC4C97" w:rsidRDefault="00F34694" w:rsidP="00555EBC">
            <w:pPr>
              <w:cnfStyle w:val="100000000000"/>
              <w:rPr>
                <w:sz w:val="20"/>
                <w:szCs w:val="20"/>
              </w:rPr>
            </w:pPr>
            <w:r w:rsidRPr="00DC4C97">
              <w:rPr>
                <w:sz w:val="20"/>
                <w:szCs w:val="20"/>
              </w:rPr>
              <w:t>Private sector investment</w:t>
            </w:r>
          </w:p>
        </w:tc>
        <w:tc>
          <w:tcPr>
            <w:tcW w:w="1560" w:type="dxa"/>
            <w:tcBorders>
              <w:bottom w:val="nil"/>
            </w:tcBorders>
          </w:tcPr>
          <w:p w:rsidR="00F34694" w:rsidRPr="00DC4C97" w:rsidRDefault="00F34694" w:rsidP="00555EBC">
            <w:pPr>
              <w:cnfStyle w:val="100000000000"/>
              <w:rPr>
                <w:sz w:val="20"/>
                <w:szCs w:val="20"/>
              </w:rPr>
            </w:pPr>
            <w:r>
              <w:rPr>
                <w:sz w:val="20"/>
                <w:szCs w:val="20"/>
              </w:rPr>
              <w:t>Funding gap</w:t>
            </w:r>
          </w:p>
        </w:tc>
        <w:tc>
          <w:tcPr>
            <w:tcW w:w="6662" w:type="dxa"/>
            <w:tcBorders>
              <w:bottom w:val="nil"/>
            </w:tcBorders>
          </w:tcPr>
          <w:p w:rsidR="00F34694" w:rsidRPr="00DC4C97" w:rsidRDefault="00F34694" w:rsidP="00555EBC">
            <w:pPr>
              <w:tabs>
                <w:tab w:val="left" w:pos="6693"/>
              </w:tabs>
              <w:cnfStyle w:val="100000000000"/>
              <w:rPr>
                <w:sz w:val="20"/>
                <w:szCs w:val="20"/>
              </w:rPr>
            </w:pPr>
            <w:r w:rsidRPr="00DC4C97">
              <w:rPr>
                <w:sz w:val="20"/>
                <w:szCs w:val="20"/>
              </w:rPr>
              <w:t xml:space="preserve">Poverty impact </w:t>
            </w:r>
          </w:p>
        </w:tc>
      </w:tr>
      <w:tr w:rsidR="00F34694" w:rsidTr="00555EBC">
        <w:trPr>
          <w:cnfStyle w:val="000000100000"/>
        </w:trPr>
        <w:tc>
          <w:tcPr>
            <w:cnfStyle w:val="001000000000"/>
            <w:tcW w:w="1702" w:type="dxa"/>
          </w:tcPr>
          <w:p w:rsidR="00F34694" w:rsidRPr="00DC4C97" w:rsidRDefault="00F34694" w:rsidP="00555EBC">
            <w:pPr>
              <w:rPr>
                <w:sz w:val="20"/>
                <w:szCs w:val="20"/>
              </w:rPr>
            </w:pPr>
            <w:r w:rsidRPr="00DC4C97">
              <w:rPr>
                <w:sz w:val="20"/>
                <w:szCs w:val="20"/>
              </w:rPr>
              <w:t xml:space="preserve">Ethiopia </w:t>
            </w:r>
          </w:p>
          <w:p w:rsidR="00F34694" w:rsidRPr="00DC4C97" w:rsidRDefault="00F34694" w:rsidP="00555EBC">
            <w:pPr>
              <w:rPr>
                <w:b w:val="0"/>
                <w:sz w:val="20"/>
                <w:szCs w:val="20"/>
              </w:rPr>
            </w:pPr>
            <w:r w:rsidRPr="00DC4C97">
              <w:rPr>
                <w:b w:val="0"/>
                <w:sz w:val="20"/>
                <w:szCs w:val="20"/>
              </w:rPr>
              <w:t>(2010-2020)</w:t>
            </w:r>
          </w:p>
        </w:tc>
        <w:tc>
          <w:tcPr>
            <w:tcW w:w="1417" w:type="dxa"/>
          </w:tcPr>
          <w:p w:rsidR="00F34694" w:rsidRPr="00DC4C97" w:rsidRDefault="00F34694" w:rsidP="00555EBC">
            <w:pPr>
              <w:cnfStyle w:val="000000100000"/>
              <w:rPr>
                <w:sz w:val="20"/>
                <w:szCs w:val="20"/>
              </w:rPr>
            </w:pPr>
            <w:r w:rsidRPr="00DC4C97">
              <w:rPr>
                <w:sz w:val="20"/>
                <w:szCs w:val="20"/>
              </w:rPr>
              <w:t>USD 16.6 billion</w:t>
            </w:r>
          </w:p>
        </w:tc>
        <w:tc>
          <w:tcPr>
            <w:tcW w:w="1560" w:type="dxa"/>
          </w:tcPr>
          <w:p w:rsidR="00F34694" w:rsidRPr="00DC4C97" w:rsidRDefault="00F34694" w:rsidP="00555EBC">
            <w:pPr>
              <w:cnfStyle w:val="000000100000"/>
              <w:rPr>
                <w:sz w:val="20"/>
                <w:szCs w:val="20"/>
              </w:rPr>
            </w:pPr>
            <w:r w:rsidRPr="00DC4C97">
              <w:rPr>
                <w:sz w:val="20"/>
                <w:szCs w:val="20"/>
              </w:rPr>
              <w:t xml:space="preserve">USD </w:t>
            </w:r>
            <w:r>
              <w:rPr>
                <w:sz w:val="20"/>
                <w:szCs w:val="20"/>
              </w:rPr>
              <w:t>9.3</w:t>
            </w:r>
            <w:r w:rsidRPr="00DC4C97">
              <w:rPr>
                <w:sz w:val="20"/>
                <w:szCs w:val="20"/>
              </w:rPr>
              <w:t xml:space="preserve"> billion (60%)</w:t>
            </w:r>
            <w:r>
              <w:rPr>
                <w:rStyle w:val="FootnoteReference"/>
                <w:sz w:val="20"/>
                <w:szCs w:val="20"/>
              </w:rPr>
              <w:footnoteReference w:id="170"/>
            </w:r>
          </w:p>
        </w:tc>
        <w:tc>
          <w:tcPr>
            <w:tcW w:w="1559" w:type="dxa"/>
          </w:tcPr>
          <w:p w:rsidR="00F34694" w:rsidRPr="00DC4C97" w:rsidRDefault="00F34694" w:rsidP="00555EBC">
            <w:pPr>
              <w:cnfStyle w:val="000000100000"/>
              <w:rPr>
                <w:sz w:val="20"/>
                <w:szCs w:val="20"/>
              </w:rPr>
            </w:pPr>
            <w:r w:rsidRPr="00DC4C97">
              <w:rPr>
                <w:sz w:val="20"/>
                <w:szCs w:val="20"/>
              </w:rPr>
              <w:t xml:space="preserve">USD </w:t>
            </w:r>
            <w:r>
              <w:rPr>
                <w:sz w:val="20"/>
                <w:szCs w:val="20"/>
              </w:rPr>
              <w:t>6.2</w:t>
            </w:r>
            <w:r w:rsidRPr="00DC4C97">
              <w:rPr>
                <w:sz w:val="20"/>
                <w:szCs w:val="20"/>
              </w:rPr>
              <w:t xml:space="preserve"> billion (40%)</w:t>
            </w:r>
          </w:p>
        </w:tc>
        <w:tc>
          <w:tcPr>
            <w:tcW w:w="1417" w:type="dxa"/>
          </w:tcPr>
          <w:p w:rsidR="00F34694" w:rsidRPr="00DC4C97" w:rsidRDefault="00F34694" w:rsidP="00555EBC">
            <w:pPr>
              <w:cnfStyle w:val="000000100000"/>
              <w:rPr>
                <w:sz w:val="20"/>
                <w:szCs w:val="20"/>
              </w:rPr>
            </w:pPr>
            <w:r w:rsidRPr="00DC4C97">
              <w:rPr>
                <w:sz w:val="20"/>
                <w:szCs w:val="20"/>
              </w:rPr>
              <w:t>Not included in Investment Plan</w:t>
            </w:r>
          </w:p>
        </w:tc>
        <w:tc>
          <w:tcPr>
            <w:tcW w:w="1560" w:type="dxa"/>
          </w:tcPr>
          <w:p w:rsidR="00F34694" w:rsidRDefault="00F34694" w:rsidP="00555EBC">
            <w:pPr>
              <w:cnfStyle w:val="000000100000"/>
              <w:rPr>
                <w:rFonts w:ascii="Arial" w:hAnsi="Arial" w:cs="Arial"/>
                <w:color w:val="333333"/>
                <w:sz w:val="20"/>
                <w:szCs w:val="20"/>
                <w:shd w:val="clear" w:color="auto" w:fill="FFFFFF"/>
              </w:rPr>
            </w:pPr>
          </w:p>
        </w:tc>
        <w:tc>
          <w:tcPr>
            <w:tcW w:w="6662" w:type="dxa"/>
          </w:tcPr>
          <w:p w:rsidR="00F34694" w:rsidRPr="00DC4C97" w:rsidRDefault="00F34694" w:rsidP="00555EBC">
            <w:pPr>
              <w:tabs>
                <w:tab w:val="left" w:pos="6693"/>
              </w:tabs>
              <w:cnfStyle w:val="000000100000"/>
              <w:rPr>
                <w:sz w:val="20"/>
                <w:szCs w:val="20"/>
              </w:rPr>
            </w:pPr>
            <w:r w:rsidRPr="00DC4C97">
              <w:rPr>
                <w:sz w:val="20"/>
                <w:szCs w:val="20"/>
              </w:rPr>
              <w:t>Milestones relating to poverty impact include:</w:t>
            </w:r>
          </w:p>
          <w:p w:rsidR="00F34694" w:rsidRPr="00DC4C97" w:rsidRDefault="00F34694" w:rsidP="00555EBC">
            <w:pPr>
              <w:pStyle w:val="ListParagraph"/>
              <w:numPr>
                <w:ilvl w:val="0"/>
                <w:numId w:val="1"/>
              </w:numPr>
              <w:tabs>
                <w:tab w:val="left" w:pos="6693"/>
              </w:tabs>
              <w:spacing w:after="0" w:line="240" w:lineRule="auto"/>
              <w:ind w:left="262" w:hanging="262"/>
              <w:cnfStyle w:val="000000100000"/>
              <w:rPr>
                <w:sz w:val="20"/>
                <w:szCs w:val="20"/>
              </w:rPr>
            </w:pPr>
            <w:r w:rsidRPr="00DC4C97">
              <w:rPr>
                <w:sz w:val="20"/>
                <w:szCs w:val="20"/>
              </w:rPr>
              <w:t>15% increase in households graduating from PSNP and other safety net programmes annually</w:t>
            </w:r>
          </w:p>
          <w:p w:rsidR="00F34694" w:rsidRPr="00DC4C97" w:rsidRDefault="00F34694" w:rsidP="00555EBC">
            <w:pPr>
              <w:pStyle w:val="ListParagraph"/>
              <w:numPr>
                <w:ilvl w:val="0"/>
                <w:numId w:val="1"/>
              </w:numPr>
              <w:tabs>
                <w:tab w:val="left" w:pos="6693"/>
              </w:tabs>
              <w:spacing w:after="0" w:line="240" w:lineRule="auto"/>
              <w:ind w:left="262" w:hanging="262"/>
              <w:cnfStyle w:val="000000100000"/>
              <w:rPr>
                <w:sz w:val="20"/>
                <w:szCs w:val="20"/>
              </w:rPr>
            </w:pPr>
            <w:r w:rsidRPr="00DC4C97">
              <w:rPr>
                <w:rFonts w:cs="Times-Roman"/>
                <w:sz w:val="20"/>
                <w:szCs w:val="20"/>
              </w:rPr>
              <w:t>Number and % of households experiencing food gaps of three months or more</w:t>
            </w:r>
          </w:p>
          <w:p w:rsidR="00F34694" w:rsidRPr="00DC4C97" w:rsidRDefault="00F34694" w:rsidP="00555EBC">
            <w:pPr>
              <w:pStyle w:val="ListParagraph"/>
              <w:numPr>
                <w:ilvl w:val="0"/>
                <w:numId w:val="1"/>
              </w:numPr>
              <w:tabs>
                <w:tab w:val="left" w:pos="6693"/>
              </w:tabs>
              <w:spacing w:after="0" w:line="240" w:lineRule="auto"/>
              <w:ind w:left="262" w:hanging="262"/>
              <w:cnfStyle w:val="000000100000"/>
              <w:rPr>
                <w:sz w:val="20"/>
                <w:szCs w:val="20"/>
              </w:rPr>
            </w:pPr>
            <w:r w:rsidRPr="00DC4C97">
              <w:rPr>
                <w:sz w:val="20"/>
                <w:szCs w:val="20"/>
              </w:rPr>
              <w:t>Number of vulnerable households receiving transfers to cover basic consumption needs</w:t>
            </w:r>
          </w:p>
          <w:p w:rsidR="00F34694" w:rsidRPr="00DC4C97" w:rsidRDefault="00F34694" w:rsidP="00555EBC">
            <w:pPr>
              <w:pStyle w:val="ListParagraph"/>
              <w:numPr>
                <w:ilvl w:val="0"/>
                <w:numId w:val="1"/>
              </w:numPr>
              <w:tabs>
                <w:tab w:val="left" w:pos="6693"/>
              </w:tabs>
              <w:spacing w:after="0" w:line="240" w:lineRule="auto"/>
              <w:ind w:left="262" w:hanging="262"/>
              <w:cnfStyle w:val="000000100000"/>
              <w:rPr>
                <w:sz w:val="20"/>
                <w:szCs w:val="20"/>
              </w:rPr>
            </w:pPr>
            <w:r w:rsidRPr="00DC4C97">
              <w:rPr>
                <w:sz w:val="20"/>
                <w:szCs w:val="20"/>
              </w:rPr>
              <w:t>3% annual reduction in stunted and underweight children in rural areas</w:t>
            </w:r>
          </w:p>
          <w:p w:rsidR="00F34694" w:rsidRPr="00DC4C97" w:rsidRDefault="00F34694" w:rsidP="00555EBC">
            <w:pPr>
              <w:pStyle w:val="ListParagraph"/>
              <w:numPr>
                <w:ilvl w:val="0"/>
                <w:numId w:val="1"/>
              </w:numPr>
              <w:tabs>
                <w:tab w:val="left" w:pos="6693"/>
              </w:tabs>
              <w:spacing w:after="0" w:line="240" w:lineRule="auto"/>
              <w:ind w:left="262" w:hanging="262"/>
              <w:cnfStyle w:val="000000100000"/>
              <w:rPr>
                <w:sz w:val="20"/>
                <w:szCs w:val="20"/>
              </w:rPr>
            </w:pPr>
            <w:r w:rsidRPr="00DC4C97">
              <w:rPr>
                <w:sz w:val="20"/>
                <w:szCs w:val="20"/>
              </w:rPr>
              <w:t>Number of households receiving emergency assistance</w:t>
            </w:r>
          </w:p>
        </w:tc>
      </w:tr>
      <w:tr w:rsidR="00F34694" w:rsidTr="00555EBC">
        <w:tc>
          <w:tcPr>
            <w:cnfStyle w:val="001000000000"/>
            <w:tcW w:w="1702" w:type="dxa"/>
          </w:tcPr>
          <w:p w:rsidR="00F34694" w:rsidRPr="00DC4C97" w:rsidRDefault="00F34694" w:rsidP="00555EBC">
            <w:pPr>
              <w:rPr>
                <w:sz w:val="20"/>
                <w:szCs w:val="20"/>
              </w:rPr>
            </w:pPr>
            <w:r w:rsidRPr="00DC4C97">
              <w:rPr>
                <w:sz w:val="20"/>
                <w:szCs w:val="20"/>
              </w:rPr>
              <w:t xml:space="preserve">Ghana </w:t>
            </w:r>
          </w:p>
          <w:p w:rsidR="00F34694" w:rsidRPr="00DC4C97" w:rsidRDefault="00F34694" w:rsidP="00555EBC">
            <w:pPr>
              <w:rPr>
                <w:b w:val="0"/>
                <w:sz w:val="20"/>
                <w:szCs w:val="20"/>
              </w:rPr>
            </w:pPr>
            <w:r w:rsidRPr="00DC4C97">
              <w:rPr>
                <w:b w:val="0"/>
                <w:sz w:val="20"/>
                <w:szCs w:val="20"/>
              </w:rPr>
              <w:t>(2011-2015)</w:t>
            </w:r>
          </w:p>
        </w:tc>
        <w:tc>
          <w:tcPr>
            <w:tcW w:w="1417" w:type="dxa"/>
          </w:tcPr>
          <w:p w:rsidR="00F34694" w:rsidRPr="00DC4C97" w:rsidRDefault="00F34694" w:rsidP="00555EBC">
            <w:pPr>
              <w:cnfStyle w:val="000000000000"/>
              <w:rPr>
                <w:sz w:val="20"/>
                <w:szCs w:val="20"/>
              </w:rPr>
            </w:pPr>
            <w:r w:rsidRPr="00DC4C97">
              <w:rPr>
                <w:sz w:val="20"/>
                <w:szCs w:val="20"/>
              </w:rPr>
              <w:t xml:space="preserve">USD 805 million </w:t>
            </w:r>
          </w:p>
          <w:p w:rsidR="00F34694" w:rsidRPr="00DC4C97" w:rsidRDefault="00F34694" w:rsidP="00555EBC">
            <w:pPr>
              <w:cnfStyle w:val="000000000000"/>
              <w:rPr>
                <w:sz w:val="20"/>
                <w:szCs w:val="20"/>
              </w:rPr>
            </w:pPr>
          </w:p>
        </w:tc>
        <w:tc>
          <w:tcPr>
            <w:tcW w:w="1560" w:type="dxa"/>
          </w:tcPr>
          <w:p w:rsidR="00F34694" w:rsidRPr="00DC4C97" w:rsidRDefault="00F34694" w:rsidP="00555EBC">
            <w:pPr>
              <w:cnfStyle w:val="000000000000"/>
              <w:rPr>
                <w:sz w:val="20"/>
                <w:szCs w:val="20"/>
              </w:rPr>
            </w:pPr>
            <w:r w:rsidRPr="00DC4C97">
              <w:rPr>
                <w:sz w:val="20"/>
                <w:szCs w:val="20"/>
              </w:rPr>
              <w:t>USD 198 million</w:t>
            </w:r>
          </w:p>
          <w:p w:rsidR="00F34694" w:rsidRPr="00DC4C97" w:rsidRDefault="00F34694" w:rsidP="00555EBC">
            <w:pPr>
              <w:cnfStyle w:val="000000000000"/>
              <w:rPr>
                <w:sz w:val="20"/>
                <w:szCs w:val="20"/>
              </w:rPr>
            </w:pPr>
            <w:r w:rsidRPr="00DC4C97">
              <w:rPr>
                <w:sz w:val="20"/>
                <w:szCs w:val="20"/>
              </w:rPr>
              <w:t>(25%)</w:t>
            </w:r>
          </w:p>
          <w:p w:rsidR="00F34694" w:rsidRPr="00DC4C97" w:rsidRDefault="00F34694" w:rsidP="00555EBC">
            <w:pPr>
              <w:cnfStyle w:val="000000000000"/>
              <w:rPr>
                <w:sz w:val="20"/>
                <w:szCs w:val="20"/>
              </w:rPr>
            </w:pPr>
          </w:p>
        </w:tc>
        <w:tc>
          <w:tcPr>
            <w:tcW w:w="1559" w:type="dxa"/>
          </w:tcPr>
          <w:p w:rsidR="00F34694" w:rsidRPr="00DC4C97" w:rsidRDefault="00F34694" w:rsidP="00555EBC">
            <w:pPr>
              <w:cnfStyle w:val="000000000000"/>
              <w:rPr>
                <w:sz w:val="20"/>
                <w:szCs w:val="20"/>
              </w:rPr>
            </w:pPr>
            <w:r>
              <w:rPr>
                <w:sz w:val="20"/>
                <w:szCs w:val="20"/>
              </w:rPr>
              <w:t>-</w:t>
            </w:r>
          </w:p>
        </w:tc>
        <w:tc>
          <w:tcPr>
            <w:tcW w:w="1417" w:type="dxa"/>
          </w:tcPr>
          <w:p w:rsidR="00F34694" w:rsidRPr="00DC4C97" w:rsidRDefault="00F34694" w:rsidP="00555EBC">
            <w:pPr>
              <w:cnfStyle w:val="000000000000"/>
              <w:rPr>
                <w:sz w:val="20"/>
                <w:szCs w:val="20"/>
              </w:rPr>
            </w:pPr>
            <w:r w:rsidRPr="00DC4C97">
              <w:rPr>
                <w:sz w:val="20"/>
                <w:szCs w:val="20"/>
              </w:rPr>
              <w:t>USD 69 million (public-private partnerships)</w:t>
            </w:r>
          </w:p>
          <w:p w:rsidR="00F34694" w:rsidRPr="00DC4C97" w:rsidRDefault="00F34694" w:rsidP="00555EBC">
            <w:pPr>
              <w:cnfStyle w:val="000000000000"/>
              <w:rPr>
                <w:sz w:val="20"/>
                <w:szCs w:val="20"/>
              </w:rPr>
            </w:pPr>
            <w:r w:rsidRPr="00DC4C97">
              <w:rPr>
                <w:sz w:val="20"/>
                <w:szCs w:val="20"/>
              </w:rPr>
              <w:t>(9%)</w:t>
            </w:r>
          </w:p>
        </w:tc>
        <w:tc>
          <w:tcPr>
            <w:tcW w:w="1560" w:type="dxa"/>
          </w:tcPr>
          <w:p w:rsidR="00F34694" w:rsidRPr="00DC4C97" w:rsidRDefault="00F34694" w:rsidP="00555EBC">
            <w:pPr>
              <w:cnfStyle w:val="000000000000"/>
              <w:rPr>
                <w:sz w:val="20"/>
                <w:szCs w:val="20"/>
              </w:rPr>
            </w:pPr>
            <w:r w:rsidRPr="00DC4C97">
              <w:rPr>
                <w:sz w:val="20"/>
                <w:szCs w:val="20"/>
              </w:rPr>
              <w:t>USD 533 million</w:t>
            </w:r>
            <w:r w:rsidRPr="00DC4C97">
              <w:rPr>
                <w:rStyle w:val="FootnoteReference"/>
                <w:sz w:val="20"/>
                <w:szCs w:val="20"/>
              </w:rPr>
              <w:footnoteReference w:id="171"/>
            </w:r>
            <w:r w:rsidRPr="00DC4C97">
              <w:rPr>
                <w:sz w:val="20"/>
                <w:szCs w:val="20"/>
              </w:rPr>
              <w:t xml:space="preserve"> </w:t>
            </w:r>
          </w:p>
          <w:p w:rsidR="00F34694" w:rsidRDefault="00F34694" w:rsidP="00555EBC">
            <w:pPr>
              <w:cnfStyle w:val="000000000000"/>
              <w:rPr>
                <w:rFonts w:ascii="Arial" w:hAnsi="Arial" w:cs="Arial"/>
                <w:color w:val="333333"/>
                <w:sz w:val="20"/>
                <w:szCs w:val="20"/>
                <w:shd w:val="clear" w:color="auto" w:fill="FFFFFF"/>
              </w:rPr>
            </w:pPr>
            <w:r w:rsidRPr="00DC4C97">
              <w:rPr>
                <w:sz w:val="20"/>
                <w:szCs w:val="20"/>
              </w:rPr>
              <w:t>(66%)</w:t>
            </w:r>
          </w:p>
        </w:tc>
        <w:tc>
          <w:tcPr>
            <w:tcW w:w="6662" w:type="dxa"/>
          </w:tcPr>
          <w:p w:rsidR="00F34694" w:rsidRPr="00DC4C97" w:rsidRDefault="00F34694" w:rsidP="00555EBC">
            <w:pPr>
              <w:tabs>
                <w:tab w:val="left" w:pos="6693"/>
              </w:tabs>
              <w:cnfStyle w:val="000000000000"/>
              <w:rPr>
                <w:sz w:val="20"/>
                <w:szCs w:val="20"/>
              </w:rPr>
            </w:pPr>
            <w:r w:rsidRPr="00DC4C97">
              <w:rPr>
                <w:sz w:val="20"/>
                <w:szCs w:val="20"/>
              </w:rPr>
              <w:t>Outputs and targets relating to poverty impact include:</w:t>
            </w:r>
          </w:p>
          <w:p w:rsidR="00F34694" w:rsidRPr="00DC4C97" w:rsidRDefault="00F34694" w:rsidP="00555EBC">
            <w:pPr>
              <w:pStyle w:val="ListParagraph"/>
              <w:numPr>
                <w:ilvl w:val="0"/>
                <w:numId w:val="1"/>
              </w:numPr>
              <w:tabs>
                <w:tab w:val="left" w:pos="6693"/>
              </w:tabs>
              <w:spacing w:after="0" w:line="240" w:lineRule="auto"/>
              <w:ind w:left="262" w:hanging="262"/>
              <w:cnfStyle w:val="000000000000"/>
              <w:rPr>
                <w:sz w:val="20"/>
                <w:szCs w:val="20"/>
              </w:rPr>
            </w:pPr>
            <w:r w:rsidRPr="00DC4C97">
              <w:rPr>
                <w:sz w:val="20"/>
                <w:szCs w:val="20"/>
              </w:rPr>
              <w:t>Stunting and underweight (in children) as well as Vitamin A, iron and iodine deficiencies (in children and women of reproductive age) reduced by 50% by 2015.</w:t>
            </w:r>
          </w:p>
          <w:p w:rsidR="00F34694" w:rsidRPr="00DC4C97" w:rsidRDefault="00F34694" w:rsidP="00555EBC">
            <w:pPr>
              <w:pStyle w:val="ListParagraph"/>
              <w:numPr>
                <w:ilvl w:val="0"/>
                <w:numId w:val="1"/>
              </w:numPr>
              <w:tabs>
                <w:tab w:val="left" w:pos="6693"/>
              </w:tabs>
              <w:spacing w:after="0" w:line="240" w:lineRule="auto"/>
              <w:ind w:left="262" w:hanging="262"/>
              <w:cnfStyle w:val="000000000000"/>
              <w:rPr>
                <w:sz w:val="20"/>
                <w:szCs w:val="20"/>
              </w:rPr>
            </w:pPr>
            <w:r w:rsidRPr="00DC4C97">
              <w:rPr>
                <w:sz w:val="20"/>
                <w:szCs w:val="20"/>
              </w:rPr>
              <w:t>Numbers of food insecure (vulnerable) households reduced by 20% by 2015</w:t>
            </w:r>
          </w:p>
          <w:p w:rsidR="00F34694" w:rsidRPr="00DC4C97" w:rsidRDefault="00F34694" w:rsidP="00555EBC">
            <w:pPr>
              <w:pStyle w:val="ListParagraph"/>
              <w:numPr>
                <w:ilvl w:val="0"/>
                <w:numId w:val="1"/>
              </w:numPr>
              <w:tabs>
                <w:tab w:val="left" w:pos="6693"/>
              </w:tabs>
              <w:spacing w:after="0" w:line="240" w:lineRule="auto"/>
              <w:ind w:left="262" w:hanging="262"/>
              <w:cnfStyle w:val="000000000000"/>
              <w:rPr>
                <w:sz w:val="20"/>
                <w:szCs w:val="20"/>
              </w:rPr>
            </w:pPr>
            <w:r w:rsidRPr="00DC4C97">
              <w:rPr>
                <w:sz w:val="20"/>
                <w:szCs w:val="20"/>
              </w:rPr>
              <w:t>5% of people below the poverty line supported to engage in off-farm livelihood activities</w:t>
            </w:r>
          </w:p>
        </w:tc>
      </w:tr>
      <w:tr w:rsidR="00F34694" w:rsidTr="00555EBC">
        <w:trPr>
          <w:cnfStyle w:val="000000100000"/>
        </w:trPr>
        <w:tc>
          <w:tcPr>
            <w:cnfStyle w:val="001000000000"/>
            <w:tcW w:w="1702" w:type="dxa"/>
          </w:tcPr>
          <w:p w:rsidR="00F34694" w:rsidRPr="00DC4C97" w:rsidRDefault="00F34694" w:rsidP="00555EBC">
            <w:pPr>
              <w:rPr>
                <w:sz w:val="20"/>
                <w:szCs w:val="20"/>
              </w:rPr>
            </w:pPr>
            <w:r w:rsidRPr="00DC4C97">
              <w:rPr>
                <w:sz w:val="20"/>
                <w:szCs w:val="20"/>
              </w:rPr>
              <w:t>Guinea</w:t>
            </w:r>
          </w:p>
        </w:tc>
        <w:tc>
          <w:tcPr>
            <w:tcW w:w="1417" w:type="dxa"/>
          </w:tcPr>
          <w:p w:rsidR="00F34694" w:rsidRPr="00DC4C97" w:rsidRDefault="00F34694" w:rsidP="00555EBC">
            <w:pPr>
              <w:cnfStyle w:val="000000100000"/>
              <w:rPr>
                <w:sz w:val="20"/>
                <w:szCs w:val="20"/>
              </w:rPr>
            </w:pPr>
            <w:r>
              <w:rPr>
                <w:sz w:val="20"/>
                <w:szCs w:val="20"/>
              </w:rPr>
              <w:t>Not indicated</w:t>
            </w:r>
          </w:p>
        </w:tc>
        <w:tc>
          <w:tcPr>
            <w:tcW w:w="1560" w:type="dxa"/>
          </w:tcPr>
          <w:p w:rsidR="00F34694" w:rsidRPr="00DC4C97" w:rsidRDefault="00F34694" w:rsidP="00555EBC">
            <w:pPr>
              <w:cnfStyle w:val="000000100000"/>
              <w:rPr>
                <w:sz w:val="20"/>
                <w:szCs w:val="20"/>
              </w:rPr>
            </w:pPr>
          </w:p>
        </w:tc>
        <w:tc>
          <w:tcPr>
            <w:tcW w:w="1559" w:type="dxa"/>
          </w:tcPr>
          <w:p w:rsidR="00F34694" w:rsidRPr="00DC4C97" w:rsidRDefault="00F34694" w:rsidP="00555EBC">
            <w:pPr>
              <w:cnfStyle w:val="000000100000"/>
              <w:rPr>
                <w:sz w:val="20"/>
                <w:szCs w:val="20"/>
              </w:rPr>
            </w:pPr>
            <w:r>
              <w:rPr>
                <w:sz w:val="20"/>
              </w:rPr>
              <w:t>USD 652 million</w:t>
            </w:r>
          </w:p>
        </w:tc>
        <w:tc>
          <w:tcPr>
            <w:tcW w:w="1417" w:type="dxa"/>
          </w:tcPr>
          <w:p w:rsidR="00F34694" w:rsidRPr="00DC4C97" w:rsidRDefault="00F34694" w:rsidP="00555EBC">
            <w:pPr>
              <w:cnfStyle w:val="000000100000"/>
              <w:rPr>
                <w:sz w:val="20"/>
                <w:szCs w:val="20"/>
              </w:rPr>
            </w:pPr>
          </w:p>
        </w:tc>
        <w:tc>
          <w:tcPr>
            <w:tcW w:w="1560" w:type="dxa"/>
          </w:tcPr>
          <w:p w:rsidR="00F34694" w:rsidRDefault="00F34694" w:rsidP="00555EBC">
            <w:pPr>
              <w:cnfStyle w:val="000000100000"/>
              <w:rPr>
                <w:rFonts w:ascii="Arial" w:hAnsi="Arial" w:cs="Arial"/>
                <w:color w:val="333333"/>
                <w:sz w:val="20"/>
                <w:szCs w:val="20"/>
                <w:shd w:val="clear" w:color="auto" w:fill="FFFFFF"/>
              </w:rPr>
            </w:pPr>
          </w:p>
        </w:tc>
        <w:tc>
          <w:tcPr>
            <w:tcW w:w="6662" w:type="dxa"/>
          </w:tcPr>
          <w:p w:rsidR="00F34694" w:rsidRDefault="00F34694" w:rsidP="00555EBC">
            <w:pPr>
              <w:pStyle w:val="ListParagraph"/>
              <w:numPr>
                <w:ilvl w:val="0"/>
                <w:numId w:val="1"/>
              </w:numPr>
              <w:tabs>
                <w:tab w:val="left" w:pos="6693"/>
              </w:tabs>
              <w:spacing w:after="0" w:line="240" w:lineRule="auto"/>
              <w:ind w:left="317" w:hanging="284"/>
              <w:cnfStyle w:val="000000100000"/>
              <w:rPr>
                <w:sz w:val="20"/>
                <w:szCs w:val="20"/>
              </w:rPr>
            </w:pPr>
            <w:r>
              <w:rPr>
                <w:sz w:val="20"/>
                <w:szCs w:val="20"/>
              </w:rPr>
              <w:t>Strengthening food security through diversifications and increased food production</w:t>
            </w:r>
          </w:p>
          <w:p w:rsidR="00F34694" w:rsidRPr="00DC4C97" w:rsidRDefault="00F34694" w:rsidP="00555EBC">
            <w:pPr>
              <w:pStyle w:val="ListParagraph"/>
              <w:numPr>
                <w:ilvl w:val="0"/>
                <w:numId w:val="1"/>
              </w:numPr>
              <w:tabs>
                <w:tab w:val="left" w:pos="6693"/>
              </w:tabs>
              <w:spacing w:after="0" w:line="240" w:lineRule="auto"/>
              <w:ind w:left="317" w:hanging="284"/>
              <w:cnfStyle w:val="000000100000"/>
              <w:rPr>
                <w:sz w:val="20"/>
                <w:szCs w:val="20"/>
              </w:rPr>
            </w:pPr>
            <w:r>
              <w:rPr>
                <w:sz w:val="20"/>
              </w:rPr>
              <w:t>Increased farm income by developing economic opportunities and improving market access in the context of the fight against poverty and food insecurity</w:t>
            </w:r>
          </w:p>
        </w:tc>
      </w:tr>
    </w:tbl>
    <w:p w:rsidR="00F34694" w:rsidRDefault="00F34694" w:rsidP="00F34694">
      <w:r>
        <w:rPr>
          <w:b/>
          <w:bCs/>
        </w:rPr>
        <w:br w:type="page"/>
      </w:r>
    </w:p>
    <w:tbl>
      <w:tblPr>
        <w:tblStyle w:val="LightShading-Accent5"/>
        <w:tblW w:w="15877" w:type="dxa"/>
        <w:tblInd w:w="-743" w:type="dxa"/>
        <w:tblLook w:val="04A0"/>
      </w:tblPr>
      <w:tblGrid>
        <w:gridCol w:w="1702"/>
        <w:gridCol w:w="1417"/>
        <w:gridCol w:w="1560"/>
        <w:gridCol w:w="1559"/>
        <w:gridCol w:w="1417"/>
        <w:gridCol w:w="1560"/>
        <w:gridCol w:w="6662"/>
      </w:tblGrid>
      <w:tr w:rsidR="00F34694" w:rsidTr="00555EBC">
        <w:trPr>
          <w:cnfStyle w:val="100000000000"/>
        </w:trPr>
        <w:tc>
          <w:tcPr>
            <w:cnfStyle w:val="001000000000"/>
            <w:tcW w:w="1702" w:type="dxa"/>
          </w:tcPr>
          <w:p w:rsidR="00F34694" w:rsidRPr="00DC4C97" w:rsidRDefault="00F34694" w:rsidP="00555EBC">
            <w:pPr>
              <w:rPr>
                <w:sz w:val="20"/>
                <w:szCs w:val="20"/>
              </w:rPr>
            </w:pPr>
            <w:r w:rsidRPr="00DC4C97">
              <w:rPr>
                <w:sz w:val="20"/>
                <w:szCs w:val="20"/>
              </w:rPr>
              <w:lastRenderedPageBreak/>
              <w:t xml:space="preserve">Kenya </w:t>
            </w:r>
          </w:p>
          <w:p w:rsidR="00F34694" w:rsidRPr="00DC4C97" w:rsidRDefault="00F34694" w:rsidP="00555EBC">
            <w:pPr>
              <w:rPr>
                <w:b w:val="0"/>
                <w:sz w:val="20"/>
                <w:szCs w:val="20"/>
              </w:rPr>
            </w:pPr>
            <w:r w:rsidRPr="00DC4C97">
              <w:rPr>
                <w:b w:val="0"/>
                <w:sz w:val="20"/>
                <w:szCs w:val="20"/>
              </w:rPr>
              <w:t>(2010-2015)</w:t>
            </w:r>
          </w:p>
        </w:tc>
        <w:tc>
          <w:tcPr>
            <w:tcW w:w="1417" w:type="dxa"/>
          </w:tcPr>
          <w:p w:rsidR="00F34694" w:rsidRPr="00561913" w:rsidRDefault="00F34694" w:rsidP="00555EBC">
            <w:pPr>
              <w:cnfStyle w:val="100000000000"/>
              <w:rPr>
                <w:b w:val="0"/>
                <w:sz w:val="20"/>
                <w:szCs w:val="20"/>
              </w:rPr>
            </w:pPr>
            <w:r w:rsidRPr="00561913">
              <w:rPr>
                <w:b w:val="0"/>
                <w:sz w:val="20"/>
                <w:szCs w:val="20"/>
              </w:rPr>
              <w:t>USD 2.9 billion</w:t>
            </w:r>
          </w:p>
        </w:tc>
        <w:tc>
          <w:tcPr>
            <w:tcW w:w="1560" w:type="dxa"/>
          </w:tcPr>
          <w:p w:rsidR="00F34694" w:rsidRPr="00561913" w:rsidRDefault="00F34694" w:rsidP="00555EBC">
            <w:pPr>
              <w:cnfStyle w:val="100000000000"/>
              <w:rPr>
                <w:b w:val="0"/>
                <w:sz w:val="20"/>
                <w:szCs w:val="20"/>
              </w:rPr>
            </w:pPr>
            <w:r w:rsidRPr="00561913">
              <w:rPr>
                <w:b w:val="0"/>
                <w:sz w:val="20"/>
                <w:szCs w:val="20"/>
              </w:rPr>
              <w:t>USD 1.9 billion (65%)</w:t>
            </w:r>
          </w:p>
        </w:tc>
        <w:tc>
          <w:tcPr>
            <w:tcW w:w="1559" w:type="dxa"/>
          </w:tcPr>
          <w:p w:rsidR="00F34694" w:rsidRPr="00561913" w:rsidRDefault="00F34694" w:rsidP="00555EBC">
            <w:pPr>
              <w:cnfStyle w:val="100000000000"/>
              <w:rPr>
                <w:b w:val="0"/>
                <w:sz w:val="20"/>
                <w:szCs w:val="20"/>
              </w:rPr>
            </w:pPr>
            <w:r w:rsidRPr="00561913">
              <w:rPr>
                <w:b w:val="0"/>
                <w:sz w:val="20"/>
                <w:szCs w:val="20"/>
              </w:rPr>
              <w:t>USD 900 million (31%)</w:t>
            </w:r>
          </w:p>
        </w:tc>
        <w:tc>
          <w:tcPr>
            <w:tcW w:w="1417" w:type="dxa"/>
          </w:tcPr>
          <w:p w:rsidR="00F34694" w:rsidRPr="00561913" w:rsidRDefault="00F34694" w:rsidP="00555EBC">
            <w:pPr>
              <w:cnfStyle w:val="100000000000"/>
              <w:rPr>
                <w:b w:val="0"/>
                <w:sz w:val="20"/>
                <w:szCs w:val="20"/>
              </w:rPr>
            </w:pPr>
            <w:r w:rsidRPr="00561913">
              <w:rPr>
                <w:b w:val="0"/>
                <w:sz w:val="20"/>
                <w:szCs w:val="20"/>
              </w:rPr>
              <w:t xml:space="preserve">USD 30 million </w:t>
            </w:r>
          </w:p>
          <w:p w:rsidR="00F34694" w:rsidRPr="00561913" w:rsidRDefault="00F34694" w:rsidP="00555EBC">
            <w:pPr>
              <w:cnfStyle w:val="100000000000"/>
              <w:rPr>
                <w:b w:val="0"/>
                <w:sz w:val="20"/>
                <w:szCs w:val="20"/>
              </w:rPr>
            </w:pPr>
            <w:r w:rsidRPr="00561913">
              <w:rPr>
                <w:b w:val="0"/>
                <w:sz w:val="20"/>
                <w:szCs w:val="20"/>
              </w:rPr>
              <w:t>(1%)</w:t>
            </w:r>
          </w:p>
        </w:tc>
        <w:tc>
          <w:tcPr>
            <w:tcW w:w="1560" w:type="dxa"/>
          </w:tcPr>
          <w:p w:rsidR="00F34694" w:rsidRPr="00561913" w:rsidRDefault="00F34694" w:rsidP="00555EBC">
            <w:pPr>
              <w:cnfStyle w:val="100000000000"/>
              <w:rPr>
                <w:b w:val="0"/>
                <w:sz w:val="20"/>
                <w:szCs w:val="20"/>
              </w:rPr>
            </w:pPr>
            <w:r w:rsidRPr="00561913">
              <w:rPr>
                <w:b w:val="0"/>
                <w:sz w:val="20"/>
                <w:szCs w:val="20"/>
              </w:rPr>
              <w:t xml:space="preserve">USD 70 million </w:t>
            </w:r>
          </w:p>
          <w:p w:rsidR="00F34694" w:rsidRPr="00561913" w:rsidRDefault="00F34694" w:rsidP="00555EBC">
            <w:pPr>
              <w:cnfStyle w:val="100000000000"/>
              <w:rPr>
                <w:b w:val="0"/>
                <w:sz w:val="20"/>
                <w:szCs w:val="20"/>
              </w:rPr>
            </w:pPr>
            <w:r w:rsidRPr="00561913">
              <w:rPr>
                <w:b w:val="0"/>
                <w:sz w:val="20"/>
                <w:szCs w:val="20"/>
              </w:rPr>
              <w:t>(2.5%)</w:t>
            </w:r>
          </w:p>
        </w:tc>
        <w:tc>
          <w:tcPr>
            <w:tcW w:w="6662" w:type="dxa"/>
          </w:tcPr>
          <w:p w:rsidR="00F34694" w:rsidRPr="00561913" w:rsidRDefault="00F34694" w:rsidP="00555EBC">
            <w:pPr>
              <w:tabs>
                <w:tab w:val="left" w:pos="6693"/>
              </w:tabs>
              <w:cnfStyle w:val="100000000000"/>
              <w:rPr>
                <w:b w:val="0"/>
                <w:sz w:val="20"/>
                <w:szCs w:val="20"/>
              </w:rPr>
            </w:pPr>
            <w:r w:rsidRPr="00561913">
              <w:rPr>
                <w:b w:val="0"/>
                <w:sz w:val="20"/>
                <w:szCs w:val="20"/>
              </w:rPr>
              <w:t>A fully-funded Kenya Investment Plan is estimated to:</w:t>
            </w:r>
          </w:p>
          <w:p w:rsidR="00F34694" w:rsidRPr="00561913" w:rsidRDefault="00F34694" w:rsidP="00555EBC">
            <w:pPr>
              <w:pStyle w:val="ListParagraph"/>
              <w:numPr>
                <w:ilvl w:val="0"/>
                <w:numId w:val="1"/>
              </w:numPr>
              <w:tabs>
                <w:tab w:val="left" w:pos="6693"/>
              </w:tabs>
              <w:spacing w:after="0" w:line="240" w:lineRule="auto"/>
              <w:ind w:left="262" w:hanging="262"/>
              <w:cnfStyle w:val="100000000000"/>
              <w:rPr>
                <w:b w:val="0"/>
                <w:sz w:val="20"/>
                <w:szCs w:val="20"/>
              </w:rPr>
            </w:pPr>
            <w:r w:rsidRPr="00561913">
              <w:rPr>
                <w:b w:val="0"/>
                <w:sz w:val="20"/>
                <w:szCs w:val="20"/>
              </w:rPr>
              <w:t xml:space="preserve">Add </w:t>
            </w:r>
            <w:proofErr w:type="spellStart"/>
            <w:r w:rsidRPr="00561913">
              <w:rPr>
                <w:b w:val="0"/>
                <w:sz w:val="20"/>
                <w:szCs w:val="20"/>
              </w:rPr>
              <w:t>Kshs</w:t>
            </w:r>
            <w:proofErr w:type="spellEnd"/>
            <w:r w:rsidRPr="00561913">
              <w:rPr>
                <w:b w:val="0"/>
                <w:sz w:val="20"/>
                <w:szCs w:val="20"/>
              </w:rPr>
              <w:t xml:space="preserve"> 120 billion more to GDP directly and </w:t>
            </w:r>
            <w:proofErr w:type="spellStart"/>
            <w:r w:rsidRPr="00561913">
              <w:rPr>
                <w:b w:val="0"/>
                <w:sz w:val="20"/>
                <w:szCs w:val="20"/>
              </w:rPr>
              <w:t>Kshs</w:t>
            </w:r>
            <w:proofErr w:type="spellEnd"/>
            <w:r w:rsidRPr="00561913">
              <w:rPr>
                <w:b w:val="0"/>
                <w:sz w:val="20"/>
                <w:szCs w:val="20"/>
              </w:rPr>
              <w:t xml:space="preserve"> 135 billion indirectly </w:t>
            </w:r>
          </w:p>
          <w:p w:rsidR="00F34694" w:rsidRPr="00561913" w:rsidRDefault="00F34694" w:rsidP="00555EBC">
            <w:pPr>
              <w:pStyle w:val="ListParagraph"/>
              <w:numPr>
                <w:ilvl w:val="0"/>
                <w:numId w:val="1"/>
              </w:numPr>
              <w:tabs>
                <w:tab w:val="left" w:pos="6693"/>
              </w:tabs>
              <w:spacing w:after="0" w:line="240" w:lineRule="auto"/>
              <w:ind w:left="262" w:hanging="262"/>
              <w:cnfStyle w:val="100000000000"/>
              <w:rPr>
                <w:b w:val="0"/>
                <w:sz w:val="20"/>
                <w:szCs w:val="20"/>
              </w:rPr>
            </w:pPr>
            <w:r w:rsidRPr="00561913">
              <w:rPr>
                <w:b w:val="0"/>
                <w:sz w:val="20"/>
                <w:szCs w:val="20"/>
              </w:rPr>
              <w:t xml:space="preserve">Generate benefits equal to </w:t>
            </w:r>
            <w:proofErr w:type="spellStart"/>
            <w:r w:rsidRPr="00561913">
              <w:rPr>
                <w:b w:val="0"/>
                <w:sz w:val="20"/>
                <w:szCs w:val="20"/>
              </w:rPr>
              <w:t>Kshs</w:t>
            </w:r>
            <w:proofErr w:type="spellEnd"/>
            <w:r w:rsidRPr="00561913">
              <w:rPr>
                <w:b w:val="0"/>
                <w:sz w:val="20"/>
                <w:szCs w:val="20"/>
              </w:rPr>
              <w:t xml:space="preserve"> 19,600 per farming household, </w:t>
            </w:r>
          </w:p>
          <w:p w:rsidR="00F34694" w:rsidRPr="00561913" w:rsidRDefault="00F34694" w:rsidP="00555EBC">
            <w:pPr>
              <w:pStyle w:val="ListParagraph"/>
              <w:numPr>
                <w:ilvl w:val="0"/>
                <w:numId w:val="1"/>
              </w:numPr>
              <w:tabs>
                <w:tab w:val="left" w:pos="6693"/>
              </w:tabs>
              <w:spacing w:after="0" w:line="240" w:lineRule="auto"/>
              <w:ind w:left="262" w:hanging="262"/>
              <w:cnfStyle w:val="100000000000"/>
              <w:rPr>
                <w:b w:val="0"/>
                <w:sz w:val="20"/>
                <w:szCs w:val="20"/>
              </w:rPr>
            </w:pPr>
            <w:r w:rsidRPr="00561913">
              <w:rPr>
                <w:b w:val="0"/>
                <w:sz w:val="20"/>
                <w:szCs w:val="20"/>
              </w:rPr>
              <w:t xml:space="preserve">Reduce poverty by 14 percentage point (to 22 percent, surpassing the ASDS target), and </w:t>
            </w:r>
          </w:p>
          <w:p w:rsidR="00F34694" w:rsidRPr="00561913" w:rsidRDefault="00F34694" w:rsidP="00555EBC">
            <w:pPr>
              <w:pStyle w:val="ListParagraph"/>
              <w:numPr>
                <w:ilvl w:val="0"/>
                <w:numId w:val="1"/>
              </w:numPr>
              <w:tabs>
                <w:tab w:val="left" w:pos="6693"/>
              </w:tabs>
              <w:spacing w:after="0" w:line="240" w:lineRule="auto"/>
              <w:ind w:left="262" w:hanging="262"/>
              <w:cnfStyle w:val="100000000000"/>
              <w:rPr>
                <w:b w:val="0"/>
                <w:sz w:val="20"/>
                <w:szCs w:val="20"/>
              </w:rPr>
            </w:pPr>
            <w:r w:rsidRPr="00561913">
              <w:rPr>
                <w:b w:val="0"/>
                <w:sz w:val="20"/>
                <w:szCs w:val="20"/>
              </w:rPr>
              <w:t xml:space="preserve">Increase food consumption in vulnerable areas by 13 percent. </w:t>
            </w:r>
          </w:p>
        </w:tc>
      </w:tr>
      <w:tr w:rsidR="00F34694" w:rsidTr="00555EBC">
        <w:trPr>
          <w:cnfStyle w:val="000000100000"/>
        </w:trPr>
        <w:tc>
          <w:tcPr>
            <w:cnfStyle w:val="001000000000"/>
            <w:tcW w:w="1702" w:type="dxa"/>
          </w:tcPr>
          <w:p w:rsidR="00F34694" w:rsidRPr="00DC4C97" w:rsidRDefault="00F34694" w:rsidP="00555EBC">
            <w:pPr>
              <w:rPr>
                <w:sz w:val="20"/>
                <w:szCs w:val="20"/>
              </w:rPr>
            </w:pPr>
            <w:r w:rsidRPr="00DC4C97">
              <w:rPr>
                <w:sz w:val="20"/>
                <w:szCs w:val="20"/>
              </w:rPr>
              <w:t>Liberia</w:t>
            </w:r>
          </w:p>
          <w:p w:rsidR="00F34694" w:rsidRPr="00DC4C97" w:rsidRDefault="00F34694" w:rsidP="00555EBC">
            <w:pPr>
              <w:rPr>
                <w:b w:val="0"/>
                <w:sz w:val="20"/>
                <w:szCs w:val="20"/>
              </w:rPr>
            </w:pPr>
            <w:r w:rsidRPr="00DC4C97">
              <w:rPr>
                <w:b w:val="0"/>
                <w:sz w:val="20"/>
                <w:szCs w:val="20"/>
              </w:rPr>
              <w:t>(2011-2015)</w:t>
            </w:r>
          </w:p>
        </w:tc>
        <w:tc>
          <w:tcPr>
            <w:tcW w:w="1417" w:type="dxa"/>
          </w:tcPr>
          <w:p w:rsidR="00F34694" w:rsidRPr="0086144C" w:rsidRDefault="00F34694" w:rsidP="00555EBC">
            <w:pPr>
              <w:cnfStyle w:val="000000100000"/>
              <w:rPr>
                <w:sz w:val="20"/>
                <w:szCs w:val="20"/>
              </w:rPr>
            </w:pPr>
            <w:r w:rsidRPr="0086144C">
              <w:rPr>
                <w:sz w:val="20"/>
                <w:szCs w:val="20"/>
              </w:rPr>
              <w:t>USD 947.7 million</w:t>
            </w:r>
          </w:p>
        </w:tc>
        <w:tc>
          <w:tcPr>
            <w:tcW w:w="1560" w:type="dxa"/>
          </w:tcPr>
          <w:p w:rsidR="00F34694" w:rsidRPr="0086144C" w:rsidRDefault="00F34694" w:rsidP="00555EBC">
            <w:pPr>
              <w:cnfStyle w:val="000000100000"/>
              <w:rPr>
                <w:sz w:val="20"/>
                <w:szCs w:val="20"/>
              </w:rPr>
            </w:pPr>
            <w:r w:rsidRPr="0086144C">
              <w:rPr>
                <w:sz w:val="20"/>
                <w:szCs w:val="20"/>
              </w:rPr>
              <w:t>USD 175 million already funded (plus USD 30 million to help plug funding gap)</w:t>
            </w:r>
          </w:p>
          <w:p w:rsidR="00F34694" w:rsidRPr="0086144C" w:rsidRDefault="00F34694" w:rsidP="00555EBC">
            <w:pPr>
              <w:cnfStyle w:val="000000100000"/>
              <w:rPr>
                <w:sz w:val="20"/>
                <w:szCs w:val="20"/>
              </w:rPr>
            </w:pPr>
            <w:r w:rsidRPr="0086144C">
              <w:rPr>
                <w:sz w:val="20"/>
                <w:szCs w:val="20"/>
              </w:rPr>
              <w:t>(22%)</w:t>
            </w:r>
          </w:p>
        </w:tc>
        <w:tc>
          <w:tcPr>
            <w:tcW w:w="1559" w:type="dxa"/>
          </w:tcPr>
          <w:p w:rsidR="00F34694" w:rsidRPr="0086144C" w:rsidRDefault="00F34694" w:rsidP="00555EBC">
            <w:pPr>
              <w:cnfStyle w:val="000000100000"/>
              <w:rPr>
                <w:sz w:val="20"/>
                <w:szCs w:val="20"/>
              </w:rPr>
            </w:pPr>
            <w:r w:rsidRPr="0086144C">
              <w:rPr>
                <w:sz w:val="20"/>
                <w:szCs w:val="20"/>
              </w:rPr>
              <w:t>USD 742 million</w:t>
            </w:r>
            <w:r w:rsidRPr="0086144C">
              <w:rPr>
                <w:rStyle w:val="FootnoteReference"/>
                <w:sz w:val="20"/>
                <w:szCs w:val="20"/>
              </w:rPr>
              <w:footnoteReference w:id="172"/>
            </w:r>
          </w:p>
          <w:p w:rsidR="00F34694" w:rsidRPr="0086144C" w:rsidRDefault="00F34694" w:rsidP="00555EBC">
            <w:pPr>
              <w:cnfStyle w:val="000000100000"/>
              <w:rPr>
                <w:sz w:val="20"/>
                <w:szCs w:val="20"/>
              </w:rPr>
            </w:pPr>
            <w:r w:rsidRPr="0086144C">
              <w:rPr>
                <w:sz w:val="20"/>
                <w:szCs w:val="20"/>
              </w:rPr>
              <w:t>(78%)</w:t>
            </w:r>
          </w:p>
        </w:tc>
        <w:tc>
          <w:tcPr>
            <w:tcW w:w="1417" w:type="dxa"/>
          </w:tcPr>
          <w:p w:rsidR="00F34694" w:rsidRPr="0086144C" w:rsidRDefault="00F34694" w:rsidP="00555EBC">
            <w:pPr>
              <w:cnfStyle w:val="000000100000"/>
              <w:rPr>
                <w:sz w:val="20"/>
                <w:szCs w:val="20"/>
              </w:rPr>
            </w:pPr>
            <w:r w:rsidRPr="0086144C">
              <w:rPr>
                <w:sz w:val="20"/>
                <w:szCs w:val="20"/>
              </w:rPr>
              <w:t>No figures included in Investment Plan</w:t>
            </w:r>
          </w:p>
        </w:tc>
        <w:tc>
          <w:tcPr>
            <w:tcW w:w="1560" w:type="dxa"/>
          </w:tcPr>
          <w:p w:rsidR="00F34694" w:rsidRPr="0086144C" w:rsidRDefault="00F34694" w:rsidP="00555EBC">
            <w:pPr>
              <w:pStyle w:val="ListParagraph"/>
              <w:autoSpaceDE w:val="0"/>
              <w:autoSpaceDN w:val="0"/>
              <w:adjustRightInd w:val="0"/>
              <w:ind w:left="262"/>
              <w:cnfStyle w:val="000000100000"/>
              <w:rPr>
                <w:sz w:val="20"/>
                <w:szCs w:val="20"/>
              </w:rPr>
            </w:pPr>
          </w:p>
        </w:tc>
        <w:tc>
          <w:tcPr>
            <w:tcW w:w="6662" w:type="dxa"/>
          </w:tcPr>
          <w:p w:rsidR="00F34694" w:rsidRPr="0086144C" w:rsidRDefault="00F34694" w:rsidP="00555EBC">
            <w:pPr>
              <w:pStyle w:val="ListParagraph"/>
              <w:numPr>
                <w:ilvl w:val="0"/>
                <w:numId w:val="1"/>
              </w:numPr>
              <w:spacing w:after="0" w:line="240" w:lineRule="auto"/>
              <w:ind w:left="262" w:hanging="262"/>
              <w:cnfStyle w:val="000000100000"/>
              <w:rPr>
                <w:sz w:val="20"/>
                <w:szCs w:val="20"/>
              </w:rPr>
            </w:pPr>
            <w:r w:rsidRPr="0086144C">
              <w:rPr>
                <w:sz w:val="20"/>
                <w:szCs w:val="20"/>
              </w:rPr>
              <w:t xml:space="preserve">Gender and youth mainstreamed </w:t>
            </w:r>
          </w:p>
          <w:p w:rsidR="00F34694" w:rsidRDefault="00F34694" w:rsidP="00555EBC">
            <w:pPr>
              <w:pStyle w:val="ListParagraph"/>
              <w:numPr>
                <w:ilvl w:val="0"/>
                <w:numId w:val="1"/>
              </w:numPr>
              <w:spacing w:after="0" w:line="240" w:lineRule="auto"/>
              <w:ind w:left="262" w:hanging="262"/>
              <w:cnfStyle w:val="000000100000"/>
              <w:rPr>
                <w:sz w:val="20"/>
                <w:szCs w:val="20"/>
              </w:rPr>
            </w:pPr>
            <w:r w:rsidRPr="0086144C">
              <w:rPr>
                <w:sz w:val="20"/>
                <w:szCs w:val="20"/>
              </w:rPr>
              <w:t>Indicators on poverty incidence ratio, poverty gap ratio, and share of poorest quintile in national income</w:t>
            </w:r>
          </w:p>
          <w:p w:rsidR="00F34694" w:rsidRDefault="00F34694" w:rsidP="00555EBC">
            <w:pPr>
              <w:pStyle w:val="ListParagraph"/>
              <w:numPr>
                <w:ilvl w:val="0"/>
                <w:numId w:val="1"/>
              </w:numPr>
              <w:spacing w:after="0" w:line="240" w:lineRule="auto"/>
              <w:ind w:left="262" w:hanging="262"/>
              <w:cnfStyle w:val="000000100000"/>
              <w:rPr>
                <w:sz w:val="20"/>
                <w:szCs w:val="20"/>
              </w:rPr>
            </w:pPr>
            <w:r w:rsidRPr="0086144C">
              <w:rPr>
                <w:sz w:val="20"/>
                <w:szCs w:val="20"/>
              </w:rPr>
              <w:t>Indicators on hunger include proportion of the population below minimum dietary energy consumption, prevalence of underweight children under 5 years of age, and Global Hunger Index</w:t>
            </w:r>
          </w:p>
          <w:p w:rsidR="00F34694" w:rsidRPr="0086144C" w:rsidRDefault="00F34694" w:rsidP="00555EBC">
            <w:pPr>
              <w:pStyle w:val="ListParagraph"/>
              <w:numPr>
                <w:ilvl w:val="0"/>
                <w:numId w:val="1"/>
              </w:numPr>
              <w:spacing w:after="0" w:line="240" w:lineRule="auto"/>
              <w:ind w:left="262" w:hanging="262"/>
              <w:cnfStyle w:val="000000100000"/>
              <w:rPr>
                <w:sz w:val="20"/>
                <w:szCs w:val="20"/>
              </w:rPr>
            </w:pPr>
            <w:r w:rsidRPr="0086144C">
              <w:rPr>
                <w:sz w:val="20"/>
                <w:szCs w:val="20"/>
              </w:rPr>
              <w:t xml:space="preserve">Indicators on reduced food and nutrition insecurity include: </w:t>
            </w:r>
            <w:r w:rsidRPr="0086144C">
              <w:rPr>
                <w:rFonts w:cs="Arial"/>
                <w:sz w:val="20"/>
                <w:szCs w:val="20"/>
              </w:rPr>
              <w:t>Dietary Diversity Score (DDS), Resilience Score (RS), and Share of food expenditure (SFE)</w:t>
            </w:r>
          </w:p>
        </w:tc>
      </w:tr>
      <w:tr w:rsidR="00F34694" w:rsidTr="00555EBC">
        <w:tc>
          <w:tcPr>
            <w:cnfStyle w:val="001000000000"/>
            <w:tcW w:w="1702" w:type="dxa"/>
          </w:tcPr>
          <w:p w:rsidR="00F34694" w:rsidRPr="00DC4C97" w:rsidRDefault="00F34694" w:rsidP="00555EBC">
            <w:pPr>
              <w:rPr>
                <w:sz w:val="20"/>
                <w:szCs w:val="20"/>
              </w:rPr>
            </w:pPr>
            <w:r w:rsidRPr="00DC4C97">
              <w:rPr>
                <w:sz w:val="20"/>
                <w:szCs w:val="20"/>
              </w:rPr>
              <w:t>Malawi</w:t>
            </w:r>
          </w:p>
          <w:p w:rsidR="00F34694" w:rsidRPr="00DC4C97" w:rsidRDefault="00F34694" w:rsidP="00555EBC">
            <w:pPr>
              <w:rPr>
                <w:b w:val="0"/>
                <w:sz w:val="20"/>
                <w:szCs w:val="20"/>
              </w:rPr>
            </w:pPr>
            <w:r w:rsidRPr="00DC4C97">
              <w:rPr>
                <w:b w:val="0"/>
                <w:sz w:val="20"/>
                <w:szCs w:val="20"/>
              </w:rPr>
              <w:t xml:space="preserve">(2010 - </w:t>
            </w:r>
            <w:r>
              <w:rPr>
                <w:b w:val="0"/>
                <w:sz w:val="20"/>
                <w:szCs w:val="20"/>
              </w:rPr>
              <w:t>2014</w:t>
            </w:r>
            <w:r w:rsidRPr="00DC4C97">
              <w:rPr>
                <w:b w:val="0"/>
                <w:sz w:val="20"/>
                <w:szCs w:val="20"/>
              </w:rPr>
              <w:t>)</w:t>
            </w:r>
          </w:p>
        </w:tc>
        <w:tc>
          <w:tcPr>
            <w:tcW w:w="1417" w:type="dxa"/>
          </w:tcPr>
          <w:p w:rsidR="00F34694" w:rsidRPr="00DC4C97" w:rsidRDefault="00F34694" w:rsidP="00555EBC">
            <w:pPr>
              <w:cnfStyle w:val="000000000000"/>
              <w:rPr>
                <w:sz w:val="20"/>
                <w:szCs w:val="20"/>
              </w:rPr>
            </w:pPr>
            <w:r>
              <w:rPr>
                <w:sz w:val="20"/>
                <w:szCs w:val="20"/>
              </w:rPr>
              <w:t>USD 1.75 billion</w:t>
            </w:r>
          </w:p>
        </w:tc>
        <w:tc>
          <w:tcPr>
            <w:tcW w:w="1560" w:type="dxa"/>
          </w:tcPr>
          <w:p w:rsidR="00F34694" w:rsidRDefault="00F34694" w:rsidP="00555EBC">
            <w:pPr>
              <w:cnfStyle w:val="000000000000"/>
              <w:rPr>
                <w:sz w:val="20"/>
                <w:szCs w:val="20"/>
              </w:rPr>
            </w:pPr>
            <w:r>
              <w:rPr>
                <w:sz w:val="20"/>
                <w:szCs w:val="20"/>
              </w:rPr>
              <w:t>USD 763 million</w:t>
            </w:r>
          </w:p>
          <w:p w:rsidR="00F34694" w:rsidRPr="00DC4C97" w:rsidRDefault="00F34694" w:rsidP="00555EBC">
            <w:pPr>
              <w:cnfStyle w:val="000000000000"/>
              <w:rPr>
                <w:sz w:val="20"/>
                <w:szCs w:val="20"/>
              </w:rPr>
            </w:pPr>
            <w:r>
              <w:rPr>
                <w:sz w:val="20"/>
                <w:szCs w:val="20"/>
              </w:rPr>
              <w:t>(44%)</w:t>
            </w:r>
          </w:p>
        </w:tc>
        <w:tc>
          <w:tcPr>
            <w:tcW w:w="1559" w:type="dxa"/>
          </w:tcPr>
          <w:p w:rsidR="00F34694" w:rsidRDefault="00F34694" w:rsidP="00555EBC">
            <w:pPr>
              <w:cnfStyle w:val="000000000000"/>
              <w:rPr>
                <w:sz w:val="20"/>
                <w:szCs w:val="20"/>
              </w:rPr>
            </w:pPr>
            <w:r>
              <w:rPr>
                <w:sz w:val="20"/>
                <w:szCs w:val="20"/>
              </w:rPr>
              <w:t>USD 1.14 billion (total available)</w:t>
            </w:r>
          </w:p>
          <w:p w:rsidR="00F34694" w:rsidRPr="00DC4C97" w:rsidRDefault="00F34694" w:rsidP="00555EBC">
            <w:pPr>
              <w:cnfStyle w:val="000000000000"/>
              <w:rPr>
                <w:sz w:val="20"/>
                <w:szCs w:val="20"/>
              </w:rPr>
            </w:pPr>
            <w:r>
              <w:rPr>
                <w:sz w:val="20"/>
                <w:szCs w:val="20"/>
              </w:rPr>
              <w:t>(55%)</w:t>
            </w:r>
          </w:p>
        </w:tc>
        <w:tc>
          <w:tcPr>
            <w:tcW w:w="1417" w:type="dxa"/>
          </w:tcPr>
          <w:p w:rsidR="00F34694" w:rsidRPr="00F87C0B" w:rsidRDefault="00F34694" w:rsidP="00555EBC">
            <w:pPr>
              <w:cnfStyle w:val="000000000000"/>
              <w:rPr>
                <w:sz w:val="20"/>
                <w:szCs w:val="20"/>
              </w:rPr>
            </w:pPr>
            <w:r w:rsidRPr="00F87C0B">
              <w:rPr>
                <w:sz w:val="20"/>
                <w:szCs w:val="20"/>
              </w:rPr>
              <w:t>No figures included in Investment Plan</w:t>
            </w:r>
          </w:p>
        </w:tc>
        <w:tc>
          <w:tcPr>
            <w:tcW w:w="1560" w:type="dxa"/>
          </w:tcPr>
          <w:p w:rsidR="00F34694" w:rsidRPr="00DC4C97" w:rsidRDefault="00F34694" w:rsidP="00555EBC">
            <w:pPr>
              <w:pStyle w:val="ListParagraph"/>
              <w:ind w:left="262"/>
              <w:cnfStyle w:val="000000000000"/>
              <w:rPr>
                <w:sz w:val="20"/>
                <w:szCs w:val="20"/>
              </w:rPr>
            </w:pPr>
          </w:p>
        </w:tc>
        <w:tc>
          <w:tcPr>
            <w:tcW w:w="6662" w:type="dxa"/>
          </w:tcPr>
          <w:p w:rsidR="00F34694" w:rsidRDefault="00F34694" w:rsidP="00555EBC">
            <w:pPr>
              <w:pStyle w:val="ListParagraph"/>
              <w:numPr>
                <w:ilvl w:val="0"/>
                <w:numId w:val="1"/>
              </w:numPr>
              <w:spacing w:after="0" w:line="240" w:lineRule="auto"/>
              <w:ind w:left="262" w:hanging="262"/>
              <w:cnfStyle w:val="000000000000"/>
              <w:rPr>
                <w:sz w:val="20"/>
                <w:szCs w:val="20"/>
              </w:rPr>
            </w:pPr>
            <w:r w:rsidRPr="00F72658">
              <w:rPr>
                <w:sz w:val="20"/>
                <w:szCs w:val="20"/>
              </w:rPr>
              <w:t xml:space="preserve">Gender and HIV/AIDS mainstreamed </w:t>
            </w:r>
          </w:p>
          <w:p w:rsidR="00F34694" w:rsidRDefault="00F34694" w:rsidP="00555EBC">
            <w:pPr>
              <w:pStyle w:val="ListParagraph"/>
              <w:numPr>
                <w:ilvl w:val="0"/>
                <w:numId w:val="1"/>
              </w:numPr>
              <w:autoSpaceDE w:val="0"/>
              <w:autoSpaceDN w:val="0"/>
              <w:adjustRightInd w:val="0"/>
              <w:spacing w:after="0" w:line="240" w:lineRule="auto"/>
              <w:ind w:left="262" w:hanging="262"/>
              <w:cnfStyle w:val="000000000000"/>
              <w:rPr>
                <w:rFonts w:cs="Times-Roman"/>
                <w:sz w:val="20"/>
                <w:szCs w:val="20"/>
              </w:rPr>
            </w:pPr>
            <w:r w:rsidRPr="00F72658">
              <w:rPr>
                <w:rFonts w:cs="Times-Roman"/>
                <w:sz w:val="20"/>
                <w:szCs w:val="20"/>
              </w:rPr>
              <w:t>Proportion of vulnerable groups (men, women, girls, boys, orphans, widow(</w:t>
            </w:r>
            <w:proofErr w:type="spellStart"/>
            <w:r w:rsidRPr="00F72658">
              <w:rPr>
                <w:rFonts w:cs="Times-Roman"/>
                <w:sz w:val="20"/>
                <w:szCs w:val="20"/>
              </w:rPr>
              <w:t>er</w:t>
            </w:r>
            <w:proofErr w:type="spellEnd"/>
            <w:r w:rsidRPr="00F72658">
              <w:rPr>
                <w:rFonts w:cs="Times-Roman"/>
                <w:sz w:val="20"/>
                <w:szCs w:val="20"/>
              </w:rPr>
              <w:t>)s, etc. accessing agricultural inputs through the FISP increased from 47% to 50% by 2014</w:t>
            </w:r>
          </w:p>
          <w:p w:rsidR="00F34694" w:rsidRDefault="00F34694" w:rsidP="00555EBC">
            <w:pPr>
              <w:pStyle w:val="ListParagraph"/>
              <w:numPr>
                <w:ilvl w:val="0"/>
                <w:numId w:val="1"/>
              </w:numPr>
              <w:autoSpaceDE w:val="0"/>
              <w:autoSpaceDN w:val="0"/>
              <w:adjustRightInd w:val="0"/>
              <w:spacing w:after="0" w:line="240" w:lineRule="auto"/>
              <w:ind w:left="262" w:hanging="262"/>
              <w:cnfStyle w:val="000000000000"/>
              <w:rPr>
                <w:rFonts w:cs="Times-Roman"/>
                <w:sz w:val="20"/>
                <w:szCs w:val="20"/>
              </w:rPr>
            </w:pPr>
            <w:r w:rsidRPr="00F72658">
              <w:rPr>
                <w:rFonts w:cs="Times-Roman"/>
                <w:sz w:val="20"/>
                <w:szCs w:val="20"/>
              </w:rPr>
              <w:t>Proportion of vulnerable people involved in decision making, policy formulation and implementation processes increased from 30% to 50% by 2014.</w:t>
            </w:r>
          </w:p>
          <w:p w:rsidR="00F34694" w:rsidRPr="0086144C" w:rsidRDefault="00F34694" w:rsidP="00555EBC">
            <w:pPr>
              <w:pStyle w:val="ListParagraph"/>
              <w:numPr>
                <w:ilvl w:val="0"/>
                <w:numId w:val="1"/>
              </w:numPr>
              <w:autoSpaceDE w:val="0"/>
              <w:autoSpaceDN w:val="0"/>
              <w:adjustRightInd w:val="0"/>
              <w:spacing w:after="0" w:line="240" w:lineRule="auto"/>
              <w:ind w:left="262" w:hanging="262"/>
              <w:cnfStyle w:val="000000000000"/>
              <w:rPr>
                <w:rFonts w:cs="Times-Roman"/>
                <w:sz w:val="20"/>
                <w:szCs w:val="20"/>
              </w:rPr>
            </w:pPr>
            <w:r w:rsidRPr="0086144C">
              <w:rPr>
                <w:sz w:val="20"/>
                <w:szCs w:val="20"/>
              </w:rPr>
              <w:t>Indicators on nutrition include: proportion of households consuming diversified diet and micronutrient rich foods, number of vulnerable people accessing quality diets increased, and number of households accessing nutrition education increased</w:t>
            </w:r>
          </w:p>
        </w:tc>
      </w:tr>
    </w:tbl>
    <w:p w:rsidR="00F34694" w:rsidRDefault="00F34694" w:rsidP="00F34694">
      <w:r>
        <w:rPr>
          <w:b/>
          <w:bCs/>
        </w:rPr>
        <w:br w:type="page"/>
      </w:r>
    </w:p>
    <w:tbl>
      <w:tblPr>
        <w:tblStyle w:val="LightShading-Accent5"/>
        <w:tblW w:w="15877" w:type="dxa"/>
        <w:tblInd w:w="-743" w:type="dxa"/>
        <w:tblLook w:val="04A0"/>
      </w:tblPr>
      <w:tblGrid>
        <w:gridCol w:w="1702"/>
        <w:gridCol w:w="1417"/>
        <w:gridCol w:w="1560"/>
        <w:gridCol w:w="1559"/>
        <w:gridCol w:w="1417"/>
        <w:gridCol w:w="1560"/>
        <w:gridCol w:w="6662"/>
      </w:tblGrid>
      <w:tr w:rsidR="00F34694" w:rsidTr="00555EBC">
        <w:trPr>
          <w:cnfStyle w:val="100000000000"/>
        </w:trPr>
        <w:tc>
          <w:tcPr>
            <w:cnfStyle w:val="001000000000"/>
            <w:tcW w:w="1702" w:type="dxa"/>
          </w:tcPr>
          <w:p w:rsidR="00F34694" w:rsidRDefault="00F34694" w:rsidP="00555EBC">
            <w:pPr>
              <w:rPr>
                <w:sz w:val="20"/>
                <w:szCs w:val="20"/>
              </w:rPr>
            </w:pPr>
            <w:r>
              <w:rPr>
                <w:sz w:val="20"/>
                <w:szCs w:val="20"/>
              </w:rPr>
              <w:lastRenderedPageBreak/>
              <w:t>Nigeria</w:t>
            </w:r>
          </w:p>
          <w:p w:rsidR="00F34694" w:rsidRPr="00BF5714" w:rsidRDefault="00F34694" w:rsidP="00555EBC">
            <w:pPr>
              <w:rPr>
                <w:b w:val="0"/>
                <w:sz w:val="20"/>
                <w:szCs w:val="20"/>
              </w:rPr>
            </w:pPr>
            <w:r w:rsidRPr="00BF5714">
              <w:rPr>
                <w:b w:val="0"/>
                <w:sz w:val="20"/>
                <w:szCs w:val="20"/>
              </w:rPr>
              <w:t>(2011-2014)</w:t>
            </w:r>
          </w:p>
        </w:tc>
        <w:tc>
          <w:tcPr>
            <w:tcW w:w="1417" w:type="dxa"/>
          </w:tcPr>
          <w:p w:rsidR="00F34694" w:rsidRPr="00DC4C97" w:rsidRDefault="00F34694" w:rsidP="00555EBC">
            <w:pPr>
              <w:cnfStyle w:val="100000000000"/>
              <w:rPr>
                <w:sz w:val="20"/>
                <w:szCs w:val="20"/>
              </w:rPr>
            </w:pPr>
            <w:r w:rsidRPr="00272C1B">
              <w:rPr>
                <w:b w:val="0"/>
                <w:sz w:val="20"/>
                <w:szCs w:val="20"/>
              </w:rPr>
              <w:t>Not specified</w:t>
            </w:r>
            <w:r>
              <w:rPr>
                <w:rStyle w:val="FootnoteReference"/>
                <w:sz w:val="20"/>
                <w:szCs w:val="20"/>
              </w:rPr>
              <w:footnoteReference w:id="173"/>
            </w:r>
          </w:p>
        </w:tc>
        <w:tc>
          <w:tcPr>
            <w:tcW w:w="1560" w:type="dxa"/>
          </w:tcPr>
          <w:p w:rsidR="00F34694" w:rsidRPr="00DC4C97" w:rsidRDefault="00F34694" w:rsidP="00555EBC">
            <w:pPr>
              <w:cnfStyle w:val="100000000000"/>
              <w:rPr>
                <w:sz w:val="20"/>
                <w:szCs w:val="20"/>
              </w:rPr>
            </w:pPr>
            <w:r w:rsidRPr="00272C1B">
              <w:rPr>
                <w:b w:val="0"/>
                <w:sz w:val="20"/>
                <w:szCs w:val="20"/>
              </w:rPr>
              <w:t>Not specified</w:t>
            </w:r>
          </w:p>
        </w:tc>
        <w:tc>
          <w:tcPr>
            <w:tcW w:w="1559" w:type="dxa"/>
          </w:tcPr>
          <w:p w:rsidR="00F34694" w:rsidRPr="00DC4C97" w:rsidRDefault="00F34694" w:rsidP="00555EBC">
            <w:pPr>
              <w:cnfStyle w:val="100000000000"/>
              <w:rPr>
                <w:sz w:val="20"/>
                <w:szCs w:val="20"/>
              </w:rPr>
            </w:pPr>
            <w:r w:rsidRPr="00272C1B">
              <w:rPr>
                <w:b w:val="0"/>
                <w:sz w:val="20"/>
                <w:szCs w:val="20"/>
              </w:rPr>
              <w:t>Not specified</w:t>
            </w:r>
          </w:p>
        </w:tc>
        <w:tc>
          <w:tcPr>
            <w:tcW w:w="1417" w:type="dxa"/>
          </w:tcPr>
          <w:p w:rsidR="00F34694" w:rsidRPr="00DC4C97" w:rsidRDefault="00F34694" w:rsidP="00555EBC">
            <w:pPr>
              <w:cnfStyle w:val="100000000000"/>
              <w:rPr>
                <w:sz w:val="20"/>
                <w:szCs w:val="20"/>
              </w:rPr>
            </w:pPr>
            <w:r w:rsidRPr="00272C1B">
              <w:rPr>
                <w:b w:val="0"/>
                <w:sz w:val="20"/>
                <w:szCs w:val="20"/>
              </w:rPr>
              <w:t>Not specified</w:t>
            </w:r>
          </w:p>
        </w:tc>
        <w:tc>
          <w:tcPr>
            <w:tcW w:w="1560" w:type="dxa"/>
          </w:tcPr>
          <w:p w:rsidR="00F34694" w:rsidRPr="00A824AD" w:rsidRDefault="00F34694" w:rsidP="00555EBC">
            <w:pPr>
              <w:cnfStyle w:val="100000000000"/>
              <w:rPr>
                <w:rFonts w:cs="Century"/>
                <w:b w:val="0"/>
                <w:sz w:val="20"/>
                <w:szCs w:val="20"/>
              </w:rPr>
            </w:pPr>
            <w:r w:rsidRPr="00A824AD">
              <w:rPr>
                <w:rFonts w:cs="Century"/>
                <w:b w:val="0"/>
                <w:sz w:val="20"/>
                <w:szCs w:val="20"/>
              </w:rPr>
              <w:t>USD 1.6 billion</w:t>
            </w:r>
          </w:p>
          <w:p w:rsidR="00F34694" w:rsidRPr="00A824AD" w:rsidRDefault="00F34694" w:rsidP="00555EBC">
            <w:pPr>
              <w:autoSpaceDE w:val="0"/>
              <w:autoSpaceDN w:val="0"/>
              <w:adjustRightInd w:val="0"/>
              <w:cnfStyle w:val="100000000000"/>
              <w:rPr>
                <w:b w:val="0"/>
                <w:sz w:val="20"/>
                <w:szCs w:val="20"/>
              </w:rPr>
            </w:pPr>
          </w:p>
        </w:tc>
        <w:tc>
          <w:tcPr>
            <w:tcW w:w="6662" w:type="dxa"/>
          </w:tcPr>
          <w:p w:rsidR="00F34694" w:rsidRPr="00A824AD" w:rsidRDefault="00F34694" w:rsidP="00555EBC">
            <w:pPr>
              <w:cnfStyle w:val="100000000000"/>
              <w:rPr>
                <w:rFonts w:ascii="Arial" w:hAnsi="Arial" w:cs="Arial"/>
                <w:b w:val="0"/>
                <w:color w:val="333333"/>
                <w:sz w:val="20"/>
                <w:szCs w:val="20"/>
                <w:shd w:val="clear" w:color="auto" w:fill="FFFFFF"/>
              </w:rPr>
            </w:pPr>
            <w:r w:rsidRPr="00A824AD">
              <w:rPr>
                <w:rFonts w:cs="Century"/>
                <w:b w:val="0"/>
                <w:sz w:val="20"/>
                <w:szCs w:val="20"/>
              </w:rPr>
              <w:t>The NAIP notes the poverty impact to be: “Achieving 8% growth in the agriculture sector and 7% growth in the non-agriculture sector would lead to a GDP growth rate of about 7% during 2011 – 2013. Simulation analysis based on Nigeria’s CGE model suggests that these growth rates, if maintained, would allow the poverty rate to be reduced from 44% in 1990 to 29% by 2020 and 22% by 2025. This would imply that Nigeria would not be able to meet the MDG1 target even by 2020 but instead by 2025 at the envisaged growth rates. However, if the country successfully achieves an overall GDP growth rate of about 10% during 2011 – 2013, it is likely to half the 1990 poverty level by 2020. This latter scenario would require 8% growth in the agriculture sector and 10% growth in the non-agriculture sector.” (p.68)</w:t>
            </w:r>
          </w:p>
        </w:tc>
      </w:tr>
      <w:tr w:rsidR="00F34694" w:rsidTr="00555EBC">
        <w:trPr>
          <w:cnfStyle w:val="000000100000"/>
        </w:trPr>
        <w:tc>
          <w:tcPr>
            <w:cnfStyle w:val="001000000000"/>
            <w:tcW w:w="1702" w:type="dxa"/>
          </w:tcPr>
          <w:p w:rsidR="00F34694" w:rsidRDefault="00F34694" w:rsidP="00555EBC">
            <w:pPr>
              <w:rPr>
                <w:sz w:val="20"/>
                <w:szCs w:val="20"/>
              </w:rPr>
            </w:pPr>
            <w:r>
              <w:rPr>
                <w:b w:val="0"/>
                <w:bCs w:val="0"/>
                <w:color w:val="auto"/>
              </w:rPr>
              <w:br w:type="page"/>
            </w:r>
            <w:r>
              <w:rPr>
                <w:sz w:val="20"/>
                <w:szCs w:val="20"/>
              </w:rPr>
              <w:t>Rwanda</w:t>
            </w:r>
          </w:p>
          <w:p w:rsidR="00F34694" w:rsidRDefault="00F34694" w:rsidP="00555EBC">
            <w:pPr>
              <w:rPr>
                <w:sz w:val="20"/>
                <w:szCs w:val="20"/>
              </w:rPr>
            </w:pPr>
            <w:r>
              <w:rPr>
                <w:sz w:val="20"/>
                <w:szCs w:val="20"/>
              </w:rPr>
              <w:t>(2009-2012)</w:t>
            </w:r>
          </w:p>
        </w:tc>
        <w:tc>
          <w:tcPr>
            <w:tcW w:w="1417" w:type="dxa"/>
          </w:tcPr>
          <w:p w:rsidR="00F34694" w:rsidRPr="00371104" w:rsidRDefault="00F34694" w:rsidP="00555EBC">
            <w:pPr>
              <w:cnfStyle w:val="000000100000"/>
              <w:rPr>
                <w:sz w:val="20"/>
                <w:szCs w:val="20"/>
              </w:rPr>
            </w:pPr>
            <w:r w:rsidRPr="00371104">
              <w:rPr>
                <w:sz w:val="20"/>
                <w:szCs w:val="20"/>
              </w:rPr>
              <w:t>USD 848 million</w:t>
            </w:r>
          </w:p>
        </w:tc>
        <w:tc>
          <w:tcPr>
            <w:tcW w:w="1560" w:type="dxa"/>
          </w:tcPr>
          <w:p w:rsidR="00F34694" w:rsidRDefault="00F34694" w:rsidP="00555EBC">
            <w:pPr>
              <w:cnfStyle w:val="000000100000"/>
              <w:rPr>
                <w:sz w:val="20"/>
                <w:szCs w:val="20"/>
              </w:rPr>
            </w:pPr>
            <w:r w:rsidRPr="00371104">
              <w:rPr>
                <w:sz w:val="20"/>
                <w:szCs w:val="20"/>
              </w:rPr>
              <w:t>USD 256.12 million</w:t>
            </w:r>
          </w:p>
          <w:p w:rsidR="00F34694" w:rsidRPr="00371104" w:rsidRDefault="00F34694" w:rsidP="00555EBC">
            <w:pPr>
              <w:cnfStyle w:val="000000100000"/>
              <w:rPr>
                <w:sz w:val="20"/>
                <w:szCs w:val="20"/>
              </w:rPr>
            </w:pPr>
            <w:r>
              <w:rPr>
                <w:sz w:val="20"/>
                <w:szCs w:val="20"/>
              </w:rPr>
              <w:t>(30%)</w:t>
            </w:r>
          </w:p>
        </w:tc>
        <w:tc>
          <w:tcPr>
            <w:tcW w:w="1559" w:type="dxa"/>
          </w:tcPr>
          <w:p w:rsidR="00F34694" w:rsidRDefault="00F34694" w:rsidP="00555EBC">
            <w:pPr>
              <w:cnfStyle w:val="000000100000"/>
              <w:rPr>
                <w:sz w:val="20"/>
                <w:szCs w:val="20"/>
              </w:rPr>
            </w:pPr>
            <w:r w:rsidRPr="00371104">
              <w:rPr>
                <w:sz w:val="20"/>
                <w:szCs w:val="20"/>
              </w:rPr>
              <w:t>USD 245.61 million</w:t>
            </w:r>
          </w:p>
          <w:p w:rsidR="00F34694" w:rsidRPr="00371104" w:rsidRDefault="00F34694" w:rsidP="00555EBC">
            <w:pPr>
              <w:cnfStyle w:val="000000100000"/>
              <w:rPr>
                <w:sz w:val="20"/>
                <w:szCs w:val="20"/>
              </w:rPr>
            </w:pPr>
            <w:r>
              <w:rPr>
                <w:sz w:val="20"/>
                <w:szCs w:val="20"/>
              </w:rPr>
              <w:t>(29%)</w:t>
            </w:r>
          </w:p>
        </w:tc>
        <w:tc>
          <w:tcPr>
            <w:tcW w:w="1417" w:type="dxa"/>
          </w:tcPr>
          <w:p w:rsidR="00F34694" w:rsidRDefault="00F34694" w:rsidP="00555EBC">
            <w:pPr>
              <w:cnfStyle w:val="000000100000"/>
              <w:rPr>
                <w:sz w:val="20"/>
                <w:szCs w:val="20"/>
              </w:rPr>
            </w:pPr>
            <w:r w:rsidRPr="00371104">
              <w:rPr>
                <w:sz w:val="20"/>
                <w:szCs w:val="20"/>
              </w:rPr>
              <w:t>USD 18.3 million</w:t>
            </w:r>
          </w:p>
          <w:p w:rsidR="00F34694" w:rsidRPr="00371104" w:rsidRDefault="00F34694" w:rsidP="00555EBC">
            <w:pPr>
              <w:cnfStyle w:val="000000100000"/>
              <w:rPr>
                <w:sz w:val="20"/>
                <w:szCs w:val="20"/>
              </w:rPr>
            </w:pPr>
            <w:r>
              <w:rPr>
                <w:sz w:val="20"/>
                <w:szCs w:val="20"/>
              </w:rPr>
              <w:t>(2%)</w:t>
            </w:r>
          </w:p>
        </w:tc>
        <w:tc>
          <w:tcPr>
            <w:tcW w:w="1560" w:type="dxa"/>
          </w:tcPr>
          <w:p w:rsidR="00F34694" w:rsidRDefault="00F34694" w:rsidP="00555EBC">
            <w:pPr>
              <w:cnfStyle w:val="000000100000"/>
              <w:rPr>
                <w:sz w:val="20"/>
                <w:szCs w:val="20"/>
              </w:rPr>
            </w:pPr>
            <w:r w:rsidRPr="00371104">
              <w:rPr>
                <w:sz w:val="20"/>
                <w:szCs w:val="20"/>
              </w:rPr>
              <w:t xml:space="preserve">USD </w:t>
            </w:r>
            <w:r>
              <w:rPr>
                <w:sz w:val="20"/>
                <w:szCs w:val="20"/>
              </w:rPr>
              <w:t>325</w:t>
            </w:r>
            <w:r w:rsidRPr="00371104">
              <w:rPr>
                <w:sz w:val="20"/>
                <w:szCs w:val="20"/>
              </w:rPr>
              <w:t xml:space="preserve"> million</w:t>
            </w:r>
          </w:p>
          <w:p w:rsidR="00F34694" w:rsidRDefault="00F34694" w:rsidP="00555EBC">
            <w:pPr>
              <w:cnfStyle w:val="000000100000"/>
              <w:rPr>
                <w:rFonts w:ascii="Arial" w:hAnsi="Arial" w:cs="Arial"/>
                <w:color w:val="333333"/>
                <w:sz w:val="20"/>
                <w:szCs w:val="20"/>
                <w:shd w:val="clear" w:color="auto" w:fill="FFFFFF"/>
              </w:rPr>
            </w:pPr>
            <w:r>
              <w:rPr>
                <w:sz w:val="20"/>
                <w:szCs w:val="20"/>
              </w:rPr>
              <w:t>(38%)</w:t>
            </w:r>
          </w:p>
        </w:tc>
        <w:tc>
          <w:tcPr>
            <w:tcW w:w="6662" w:type="dxa"/>
          </w:tcPr>
          <w:p w:rsidR="00F34694" w:rsidRDefault="00F34694" w:rsidP="00555EBC">
            <w:pPr>
              <w:cnfStyle w:val="000000100000"/>
              <w:rPr>
                <w:sz w:val="20"/>
                <w:szCs w:val="20"/>
              </w:rPr>
            </w:pPr>
            <w:r>
              <w:rPr>
                <w:sz w:val="20"/>
                <w:szCs w:val="20"/>
              </w:rPr>
              <w:t>Outputs include</w:t>
            </w:r>
          </w:p>
          <w:p w:rsidR="00F34694" w:rsidRPr="006A32FF" w:rsidRDefault="00F34694" w:rsidP="00555EBC">
            <w:pPr>
              <w:pStyle w:val="ListParagraph"/>
              <w:numPr>
                <w:ilvl w:val="0"/>
                <w:numId w:val="2"/>
              </w:numPr>
              <w:autoSpaceDE w:val="0"/>
              <w:autoSpaceDN w:val="0"/>
              <w:adjustRightInd w:val="0"/>
              <w:spacing w:after="0" w:line="240" w:lineRule="auto"/>
              <w:ind w:left="317" w:hanging="284"/>
              <w:cnfStyle w:val="000000100000"/>
              <w:rPr>
                <w:rFonts w:cs="Century"/>
                <w:sz w:val="20"/>
                <w:szCs w:val="20"/>
              </w:rPr>
            </w:pPr>
            <w:r>
              <w:rPr>
                <w:rFonts w:cs="Century"/>
                <w:sz w:val="20"/>
                <w:szCs w:val="20"/>
              </w:rPr>
              <w:t>Nutrition: average availability per day increased from 1,734kcal (2007) to 2,150kcal, 49g to 55g of protein, and 8.8g to 23g of lipids</w:t>
            </w:r>
          </w:p>
        </w:tc>
      </w:tr>
      <w:tr w:rsidR="00F34694" w:rsidTr="00555EBC">
        <w:tc>
          <w:tcPr>
            <w:cnfStyle w:val="001000000000"/>
            <w:tcW w:w="1702" w:type="dxa"/>
          </w:tcPr>
          <w:p w:rsidR="00F34694" w:rsidRDefault="00F34694" w:rsidP="00555EBC">
            <w:pPr>
              <w:rPr>
                <w:sz w:val="20"/>
                <w:szCs w:val="20"/>
              </w:rPr>
            </w:pPr>
            <w:r>
              <w:rPr>
                <w:sz w:val="20"/>
                <w:szCs w:val="20"/>
              </w:rPr>
              <w:t>Sierra Leone</w:t>
            </w:r>
          </w:p>
          <w:p w:rsidR="00F34694" w:rsidRDefault="00F34694" w:rsidP="00555EBC">
            <w:pPr>
              <w:rPr>
                <w:rFonts w:ascii="Arial" w:hAnsi="Arial" w:cs="Arial"/>
                <w:color w:val="333333"/>
                <w:sz w:val="20"/>
                <w:szCs w:val="20"/>
                <w:shd w:val="clear" w:color="auto" w:fill="FFFFFF"/>
              </w:rPr>
            </w:pPr>
            <w:r w:rsidRPr="00D21740">
              <w:rPr>
                <w:b w:val="0"/>
                <w:sz w:val="20"/>
                <w:szCs w:val="20"/>
              </w:rPr>
              <w:t>(</w:t>
            </w:r>
            <w:r>
              <w:rPr>
                <w:b w:val="0"/>
                <w:sz w:val="20"/>
                <w:szCs w:val="20"/>
              </w:rPr>
              <w:t>2009-2015)</w:t>
            </w:r>
          </w:p>
        </w:tc>
        <w:tc>
          <w:tcPr>
            <w:tcW w:w="1417" w:type="dxa"/>
          </w:tcPr>
          <w:p w:rsidR="00F34694" w:rsidRDefault="00F34694" w:rsidP="00555EBC">
            <w:pPr>
              <w:cnfStyle w:val="000000000000"/>
              <w:rPr>
                <w:rFonts w:ascii="Arial" w:hAnsi="Arial" w:cs="Arial"/>
                <w:color w:val="333333"/>
                <w:sz w:val="20"/>
                <w:szCs w:val="20"/>
                <w:shd w:val="clear" w:color="auto" w:fill="FFFFFF"/>
              </w:rPr>
            </w:pPr>
            <w:r w:rsidRPr="00371104">
              <w:rPr>
                <w:sz w:val="20"/>
                <w:szCs w:val="20"/>
              </w:rPr>
              <w:t xml:space="preserve">USD </w:t>
            </w:r>
            <w:r>
              <w:rPr>
                <w:sz w:val="20"/>
                <w:szCs w:val="20"/>
              </w:rPr>
              <w:t xml:space="preserve">402.6 </w:t>
            </w:r>
            <w:r w:rsidRPr="00371104">
              <w:rPr>
                <w:sz w:val="20"/>
                <w:szCs w:val="20"/>
              </w:rPr>
              <w:t>million</w:t>
            </w:r>
          </w:p>
        </w:tc>
        <w:tc>
          <w:tcPr>
            <w:tcW w:w="1560" w:type="dxa"/>
          </w:tcPr>
          <w:p w:rsidR="00F34694" w:rsidRDefault="00F34694" w:rsidP="00555EBC">
            <w:pPr>
              <w:cnfStyle w:val="000000000000"/>
              <w:rPr>
                <w:rFonts w:ascii="Arial" w:hAnsi="Arial" w:cs="Arial"/>
                <w:color w:val="333333"/>
                <w:sz w:val="20"/>
                <w:szCs w:val="20"/>
                <w:shd w:val="clear" w:color="auto" w:fill="FFFFFF"/>
              </w:rPr>
            </w:pPr>
            <w:r>
              <w:rPr>
                <w:sz w:val="20"/>
                <w:szCs w:val="20"/>
              </w:rPr>
              <w:t>-</w:t>
            </w:r>
          </w:p>
        </w:tc>
        <w:tc>
          <w:tcPr>
            <w:tcW w:w="1559" w:type="dxa"/>
          </w:tcPr>
          <w:p w:rsidR="00F34694" w:rsidRDefault="00F34694" w:rsidP="00555EBC">
            <w:pPr>
              <w:cnfStyle w:val="000000000000"/>
              <w:rPr>
                <w:rFonts w:ascii="Arial" w:hAnsi="Arial" w:cs="Arial"/>
                <w:color w:val="333333"/>
                <w:sz w:val="20"/>
                <w:szCs w:val="20"/>
                <w:shd w:val="clear" w:color="auto" w:fill="FFFFFF"/>
              </w:rPr>
            </w:pPr>
            <w:r>
              <w:rPr>
                <w:sz w:val="20"/>
                <w:szCs w:val="20"/>
              </w:rPr>
              <w:t>-</w:t>
            </w:r>
          </w:p>
        </w:tc>
        <w:tc>
          <w:tcPr>
            <w:tcW w:w="1417" w:type="dxa"/>
          </w:tcPr>
          <w:p w:rsidR="00F34694" w:rsidRDefault="00F34694" w:rsidP="00555EBC">
            <w:pPr>
              <w:cnfStyle w:val="000000000000"/>
              <w:rPr>
                <w:rFonts w:ascii="Arial" w:hAnsi="Arial" w:cs="Arial"/>
                <w:color w:val="333333"/>
                <w:sz w:val="20"/>
                <w:szCs w:val="20"/>
                <w:shd w:val="clear" w:color="auto" w:fill="FFFFFF"/>
              </w:rPr>
            </w:pPr>
            <w:r>
              <w:rPr>
                <w:sz w:val="20"/>
                <w:szCs w:val="20"/>
              </w:rPr>
              <w:t>-</w:t>
            </w:r>
          </w:p>
        </w:tc>
        <w:tc>
          <w:tcPr>
            <w:tcW w:w="1560" w:type="dxa"/>
          </w:tcPr>
          <w:p w:rsidR="00F34694" w:rsidRDefault="00F34694" w:rsidP="00555EBC">
            <w:pPr>
              <w:cnfStyle w:val="000000000000"/>
              <w:rPr>
                <w:sz w:val="20"/>
                <w:szCs w:val="20"/>
              </w:rPr>
            </w:pPr>
            <w:r>
              <w:rPr>
                <w:sz w:val="20"/>
                <w:szCs w:val="20"/>
              </w:rPr>
              <w:t xml:space="preserve">USD 256 million </w:t>
            </w:r>
          </w:p>
          <w:p w:rsidR="00F34694" w:rsidRDefault="00F34694" w:rsidP="00555EBC">
            <w:pPr>
              <w:cnfStyle w:val="000000000000"/>
              <w:rPr>
                <w:rFonts w:ascii="Arial" w:hAnsi="Arial" w:cs="Arial"/>
                <w:color w:val="333333"/>
                <w:sz w:val="20"/>
                <w:szCs w:val="20"/>
                <w:shd w:val="clear" w:color="auto" w:fill="FFFFFF"/>
              </w:rPr>
            </w:pPr>
            <w:r>
              <w:rPr>
                <w:sz w:val="20"/>
                <w:szCs w:val="20"/>
              </w:rPr>
              <w:t>(64%)</w:t>
            </w:r>
          </w:p>
        </w:tc>
        <w:tc>
          <w:tcPr>
            <w:tcW w:w="6662" w:type="dxa"/>
          </w:tcPr>
          <w:p w:rsidR="00F34694" w:rsidRPr="00057C7B" w:rsidRDefault="00F34694" w:rsidP="00555EBC">
            <w:pPr>
              <w:cnfStyle w:val="000000000000"/>
              <w:rPr>
                <w:sz w:val="20"/>
                <w:szCs w:val="20"/>
              </w:rPr>
            </w:pPr>
            <w:r w:rsidRPr="00057C7B">
              <w:rPr>
                <w:sz w:val="20"/>
                <w:szCs w:val="20"/>
              </w:rPr>
              <w:t>The programme aims to:</w:t>
            </w:r>
          </w:p>
          <w:p w:rsidR="00F34694"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 xml:space="preserve">30% of food insecure households will be supported in meeting basic food security and nutritional needs </w:t>
            </w:r>
          </w:p>
          <w:p w:rsidR="00F34694"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180,000 persons will benefit from food/cash for work/training (each for 90 days annually)</w:t>
            </w:r>
          </w:p>
          <w:p w:rsidR="00F34694"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Targeted 114,000 malnourished children under 5 years will receive supplementary feeding support annually</w:t>
            </w:r>
          </w:p>
          <w:p w:rsidR="00F34694"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All children under 2 years (estimated at 83,570) will receive supplementary feeding on a seasonal basis – during lean months</w:t>
            </w:r>
          </w:p>
          <w:p w:rsidR="00F34694"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A target of about 36,000 of the most food insecure pregnant and lactating women will receive supplementary feeding rations annually</w:t>
            </w:r>
          </w:p>
          <w:p w:rsidR="00F34694" w:rsidRPr="00057C7B" w:rsidRDefault="00F34694" w:rsidP="00555EBC">
            <w:pPr>
              <w:pStyle w:val="ListParagraph"/>
              <w:numPr>
                <w:ilvl w:val="0"/>
                <w:numId w:val="2"/>
              </w:numPr>
              <w:autoSpaceDE w:val="0"/>
              <w:autoSpaceDN w:val="0"/>
              <w:adjustRightInd w:val="0"/>
              <w:spacing w:after="0" w:line="240" w:lineRule="auto"/>
              <w:ind w:left="317" w:hanging="284"/>
              <w:cnfStyle w:val="000000000000"/>
              <w:rPr>
                <w:rFonts w:cs="TimesNewRomanPSMT"/>
                <w:sz w:val="20"/>
                <w:szCs w:val="20"/>
              </w:rPr>
            </w:pPr>
            <w:r>
              <w:rPr>
                <w:rFonts w:cs="TimesNewRomanPSMT"/>
                <w:sz w:val="20"/>
                <w:szCs w:val="20"/>
              </w:rPr>
              <w:t>All primary school children (estimated at 384,500 students) will receive mid-day school meals on site and all primary schools will have gardens</w:t>
            </w:r>
          </w:p>
        </w:tc>
      </w:tr>
    </w:tbl>
    <w:p w:rsidR="00F34694" w:rsidRDefault="00F34694" w:rsidP="00F34694">
      <w:r>
        <w:rPr>
          <w:b/>
          <w:bCs/>
        </w:rPr>
        <w:br w:type="page"/>
      </w:r>
    </w:p>
    <w:tbl>
      <w:tblPr>
        <w:tblStyle w:val="LightShading-Accent5"/>
        <w:tblW w:w="15877" w:type="dxa"/>
        <w:tblInd w:w="-743" w:type="dxa"/>
        <w:tblLook w:val="04A0"/>
      </w:tblPr>
      <w:tblGrid>
        <w:gridCol w:w="1702"/>
        <w:gridCol w:w="1417"/>
        <w:gridCol w:w="1560"/>
        <w:gridCol w:w="1559"/>
        <w:gridCol w:w="1417"/>
        <w:gridCol w:w="1560"/>
        <w:gridCol w:w="6662"/>
      </w:tblGrid>
      <w:tr w:rsidR="00F34694" w:rsidTr="00555EBC">
        <w:trPr>
          <w:cnfStyle w:val="100000000000"/>
        </w:trPr>
        <w:tc>
          <w:tcPr>
            <w:cnfStyle w:val="001000000000"/>
            <w:tcW w:w="1702" w:type="dxa"/>
          </w:tcPr>
          <w:p w:rsidR="00F34694" w:rsidRDefault="00F34694" w:rsidP="00555EBC">
            <w:pPr>
              <w:rPr>
                <w:sz w:val="20"/>
                <w:szCs w:val="20"/>
              </w:rPr>
            </w:pPr>
            <w:r>
              <w:rPr>
                <w:sz w:val="20"/>
                <w:szCs w:val="20"/>
              </w:rPr>
              <w:lastRenderedPageBreak/>
              <w:t>Tanzania</w:t>
            </w:r>
          </w:p>
          <w:p w:rsidR="00F34694" w:rsidRDefault="00F34694" w:rsidP="00555EBC">
            <w:pPr>
              <w:rPr>
                <w:rFonts w:ascii="Arial" w:hAnsi="Arial" w:cs="Arial"/>
                <w:color w:val="333333"/>
                <w:sz w:val="20"/>
                <w:szCs w:val="20"/>
                <w:shd w:val="clear" w:color="auto" w:fill="FFFFFF"/>
              </w:rPr>
            </w:pPr>
            <w:r w:rsidRPr="00D21740">
              <w:rPr>
                <w:b w:val="0"/>
                <w:sz w:val="20"/>
                <w:szCs w:val="20"/>
              </w:rPr>
              <w:t>(</w:t>
            </w:r>
            <w:r>
              <w:rPr>
                <w:b w:val="0"/>
                <w:sz w:val="20"/>
                <w:szCs w:val="20"/>
              </w:rPr>
              <w:t>2010-2015)</w:t>
            </w:r>
          </w:p>
        </w:tc>
        <w:tc>
          <w:tcPr>
            <w:tcW w:w="1417" w:type="dxa"/>
          </w:tcPr>
          <w:p w:rsidR="00F34694" w:rsidRPr="004F0767" w:rsidRDefault="00F34694" w:rsidP="00555EBC">
            <w:pPr>
              <w:cnfStyle w:val="100000000000"/>
              <w:rPr>
                <w:rFonts w:ascii="Arial" w:hAnsi="Arial" w:cs="Arial"/>
                <w:b w:val="0"/>
                <w:color w:val="333333"/>
                <w:sz w:val="20"/>
                <w:szCs w:val="20"/>
                <w:shd w:val="clear" w:color="auto" w:fill="FFFFFF"/>
              </w:rPr>
            </w:pPr>
            <w:r w:rsidRPr="004F0767">
              <w:rPr>
                <w:b w:val="0"/>
                <w:sz w:val="20"/>
                <w:szCs w:val="20"/>
              </w:rPr>
              <w:t>USD 10 billion</w:t>
            </w:r>
            <w:r w:rsidRPr="004F0767">
              <w:rPr>
                <w:rFonts w:ascii="AGaramond-Regular" w:hAnsi="AGaramond-Regular" w:cs="AGaramond-Regular"/>
                <w:b w:val="0"/>
                <w:sz w:val="23"/>
                <w:szCs w:val="23"/>
              </w:rPr>
              <w:t xml:space="preserve"> </w:t>
            </w:r>
          </w:p>
        </w:tc>
        <w:tc>
          <w:tcPr>
            <w:tcW w:w="1560" w:type="dxa"/>
          </w:tcPr>
          <w:p w:rsidR="00F34694" w:rsidRPr="004F0767" w:rsidRDefault="00F34694" w:rsidP="00555EBC">
            <w:pPr>
              <w:cnfStyle w:val="100000000000"/>
              <w:rPr>
                <w:b w:val="0"/>
                <w:sz w:val="20"/>
                <w:szCs w:val="20"/>
              </w:rPr>
            </w:pPr>
            <w:r w:rsidRPr="004F0767">
              <w:rPr>
                <w:b w:val="0"/>
                <w:sz w:val="20"/>
                <w:szCs w:val="20"/>
              </w:rPr>
              <w:t>USD 4.5 billion</w:t>
            </w:r>
          </w:p>
          <w:p w:rsidR="00F34694" w:rsidRPr="004F0767" w:rsidRDefault="00F34694" w:rsidP="00555EBC">
            <w:pPr>
              <w:cnfStyle w:val="100000000000"/>
              <w:rPr>
                <w:rFonts w:ascii="Arial" w:hAnsi="Arial" w:cs="Arial"/>
                <w:b w:val="0"/>
                <w:color w:val="333333"/>
                <w:sz w:val="20"/>
                <w:szCs w:val="20"/>
                <w:shd w:val="clear" w:color="auto" w:fill="FFFFFF"/>
              </w:rPr>
            </w:pPr>
            <w:r w:rsidRPr="004F0767">
              <w:rPr>
                <w:b w:val="0"/>
                <w:sz w:val="20"/>
                <w:szCs w:val="20"/>
              </w:rPr>
              <w:t>(45%)</w:t>
            </w:r>
          </w:p>
        </w:tc>
        <w:tc>
          <w:tcPr>
            <w:tcW w:w="1559" w:type="dxa"/>
          </w:tcPr>
          <w:p w:rsidR="00F34694" w:rsidRPr="004F0767" w:rsidRDefault="00F34694" w:rsidP="00555EBC">
            <w:pPr>
              <w:cnfStyle w:val="100000000000"/>
              <w:rPr>
                <w:b w:val="0"/>
                <w:sz w:val="20"/>
                <w:szCs w:val="20"/>
              </w:rPr>
            </w:pPr>
            <w:r w:rsidRPr="004F0767">
              <w:rPr>
                <w:b w:val="0"/>
                <w:sz w:val="20"/>
                <w:szCs w:val="20"/>
              </w:rPr>
              <w:t>USD 191 million</w:t>
            </w:r>
          </w:p>
          <w:p w:rsidR="00F34694" w:rsidRPr="004F0767" w:rsidRDefault="00F34694" w:rsidP="00555EBC">
            <w:pPr>
              <w:cnfStyle w:val="100000000000"/>
              <w:rPr>
                <w:b w:val="0"/>
                <w:sz w:val="20"/>
                <w:szCs w:val="20"/>
              </w:rPr>
            </w:pPr>
            <w:r w:rsidRPr="004F0767">
              <w:rPr>
                <w:b w:val="0"/>
                <w:sz w:val="20"/>
                <w:szCs w:val="20"/>
              </w:rPr>
              <w:t>(2%)</w:t>
            </w:r>
            <w:r w:rsidRPr="004F0767">
              <w:rPr>
                <w:rStyle w:val="FootnoteReference"/>
                <w:b w:val="0"/>
                <w:sz w:val="20"/>
                <w:szCs w:val="20"/>
              </w:rPr>
              <w:footnoteReference w:id="174"/>
            </w:r>
          </w:p>
          <w:p w:rsidR="00F34694" w:rsidRPr="004F0767" w:rsidRDefault="00F34694" w:rsidP="00555EBC">
            <w:pPr>
              <w:cnfStyle w:val="100000000000"/>
              <w:rPr>
                <w:rFonts w:ascii="Arial" w:hAnsi="Arial" w:cs="Arial"/>
                <w:b w:val="0"/>
                <w:color w:val="333333"/>
                <w:sz w:val="20"/>
                <w:szCs w:val="20"/>
                <w:shd w:val="clear" w:color="auto" w:fill="FFFFFF"/>
              </w:rPr>
            </w:pPr>
          </w:p>
        </w:tc>
        <w:tc>
          <w:tcPr>
            <w:tcW w:w="1417" w:type="dxa"/>
          </w:tcPr>
          <w:p w:rsidR="00F34694" w:rsidRPr="004F0767" w:rsidRDefault="00F34694" w:rsidP="00555EBC">
            <w:pPr>
              <w:cnfStyle w:val="100000000000"/>
              <w:rPr>
                <w:b w:val="0"/>
                <w:sz w:val="20"/>
                <w:szCs w:val="20"/>
              </w:rPr>
            </w:pPr>
            <w:r w:rsidRPr="004F0767">
              <w:rPr>
                <w:b w:val="0"/>
                <w:sz w:val="20"/>
                <w:szCs w:val="20"/>
              </w:rPr>
              <w:t>USD 627 million</w:t>
            </w:r>
          </w:p>
          <w:p w:rsidR="00F34694" w:rsidRPr="004F0767" w:rsidRDefault="00F34694" w:rsidP="00555EBC">
            <w:pPr>
              <w:cnfStyle w:val="100000000000"/>
              <w:rPr>
                <w:rFonts w:ascii="Arial" w:hAnsi="Arial" w:cs="Arial"/>
                <w:b w:val="0"/>
                <w:color w:val="333333"/>
                <w:sz w:val="20"/>
                <w:szCs w:val="20"/>
                <w:shd w:val="clear" w:color="auto" w:fill="FFFFFF"/>
              </w:rPr>
            </w:pPr>
            <w:r w:rsidRPr="004F0767">
              <w:rPr>
                <w:b w:val="0"/>
                <w:sz w:val="20"/>
                <w:szCs w:val="20"/>
              </w:rPr>
              <w:t>(6%)</w:t>
            </w:r>
          </w:p>
        </w:tc>
        <w:tc>
          <w:tcPr>
            <w:tcW w:w="1560" w:type="dxa"/>
          </w:tcPr>
          <w:p w:rsidR="00F34694" w:rsidRPr="004F0767" w:rsidRDefault="00F34694" w:rsidP="00555EBC">
            <w:pPr>
              <w:cnfStyle w:val="100000000000"/>
              <w:rPr>
                <w:b w:val="0"/>
                <w:sz w:val="20"/>
                <w:szCs w:val="20"/>
              </w:rPr>
            </w:pPr>
            <w:r w:rsidRPr="004F0767">
              <w:rPr>
                <w:b w:val="0"/>
                <w:sz w:val="20"/>
                <w:szCs w:val="20"/>
              </w:rPr>
              <w:t>USD 5.1 billion</w:t>
            </w:r>
          </w:p>
          <w:p w:rsidR="00F34694" w:rsidRPr="004F0767" w:rsidRDefault="00F34694" w:rsidP="00555EBC">
            <w:pPr>
              <w:cnfStyle w:val="100000000000"/>
              <w:rPr>
                <w:rFonts w:ascii="Arial" w:hAnsi="Arial" w:cs="Arial"/>
                <w:b w:val="0"/>
                <w:color w:val="333333"/>
                <w:sz w:val="20"/>
                <w:szCs w:val="20"/>
                <w:shd w:val="clear" w:color="auto" w:fill="FFFFFF"/>
              </w:rPr>
            </w:pPr>
            <w:r w:rsidRPr="004F0767">
              <w:rPr>
                <w:b w:val="0"/>
                <w:sz w:val="20"/>
                <w:szCs w:val="20"/>
              </w:rPr>
              <w:t>(50%)</w:t>
            </w:r>
            <w:r w:rsidRPr="004F0767">
              <w:rPr>
                <w:rStyle w:val="FootnoteReference"/>
                <w:b w:val="0"/>
                <w:sz w:val="20"/>
                <w:szCs w:val="20"/>
              </w:rPr>
              <w:footnoteReference w:id="175"/>
            </w:r>
          </w:p>
        </w:tc>
        <w:tc>
          <w:tcPr>
            <w:tcW w:w="6662" w:type="dxa"/>
          </w:tcPr>
          <w:p w:rsidR="00F34694" w:rsidRPr="004F0767" w:rsidRDefault="00F34694" w:rsidP="00555EBC">
            <w:pPr>
              <w:autoSpaceDE w:val="0"/>
              <w:autoSpaceDN w:val="0"/>
              <w:adjustRightInd w:val="0"/>
              <w:cnfStyle w:val="100000000000"/>
              <w:rPr>
                <w:rFonts w:cs="AGaramond-Regular"/>
                <w:b w:val="0"/>
                <w:sz w:val="20"/>
                <w:szCs w:val="20"/>
              </w:rPr>
            </w:pPr>
            <w:r w:rsidRPr="004F0767">
              <w:rPr>
                <w:rFonts w:cs="AGaramond-Regular"/>
                <w:b w:val="0"/>
                <w:sz w:val="20"/>
                <w:szCs w:val="20"/>
              </w:rPr>
              <w:t xml:space="preserve">Strategic objectives on food security and nutrition include: </w:t>
            </w:r>
          </w:p>
          <w:p w:rsidR="00F34694" w:rsidRPr="004F0767" w:rsidRDefault="00F34694" w:rsidP="00555EBC">
            <w:pPr>
              <w:pStyle w:val="ListParagraph"/>
              <w:numPr>
                <w:ilvl w:val="0"/>
                <w:numId w:val="3"/>
              </w:numPr>
              <w:autoSpaceDE w:val="0"/>
              <w:autoSpaceDN w:val="0"/>
              <w:adjustRightInd w:val="0"/>
              <w:spacing w:after="0" w:line="240" w:lineRule="auto"/>
              <w:ind w:left="317" w:hanging="284"/>
              <w:cnfStyle w:val="100000000000"/>
              <w:rPr>
                <w:rFonts w:cs="AGaramond-Regular"/>
                <w:b w:val="0"/>
                <w:sz w:val="20"/>
                <w:szCs w:val="20"/>
              </w:rPr>
            </w:pPr>
            <w:r w:rsidRPr="004F0767">
              <w:rPr>
                <w:rFonts w:cs="AGaramond-Regular"/>
                <w:b w:val="0"/>
                <w:sz w:val="20"/>
                <w:szCs w:val="20"/>
              </w:rPr>
              <w:t>To promote sustainable food availability through increased production, productivity, trade and marketing;</w:t>
            </w:r>
          </w:p>
          <w:p w:rsidR="00F34694" w:rsidRPr="004F0767" w:rsidRDefault="00F34694" w:rsidP="00555EBC">
            <w:pPr>
              <w:pStyle w:val="ListParagraph"/>
              <w:numPr>
                <w:ilvl w:val="0"/>
                <w:numId w:val="3"/>
              </w:numPr>
              <w:autoSpaceDE w:val="0"/>
              <w:autoSpaceDN w:val="0"/>
              <w:adjustRightInd w:val="0"/>
              <w:spacing w:after="0" w:line="240" w:lineRule="auto"/>
              <w:ind w:left="317" w:hanging="284"/>
              <w:cnfStyle w:val="100000000000"/>
              <w:rPr>
                <w:rFonts w:cs="AGaramond-Regular"/>
                <w:b w:val="0"/>
                <w:sz w:val="20"/>
                <w:szCs w:val="20"/>
              </w:rPr>
            </w:pPr>
            <w:r w:rsidRPr="004F0767">
              <w:rPr>
                <w:rFonts w:cs="AGaramond-Regular"/>
                <w:b w:val="0"/>
                <w:sz w:val="20"/>
                <w:szCs w:val="20"/>
              </w:rPr>
              <w:t>To support mechanisms such as the safety nets for ensuring that all people have sustainable access to adequate food;</w:t>
            </w:r>
          </w:p>
          <w:p w:rsidR="00F34694" w:rsidRPr="004F0767" w:rsidRDefault="00F34694" w:rsidP="00555EBC">
            <w:pPr>
              <w:pStyle w:val="ListParagraph"/>
              <w:numPr>
                <w:ilvl w:val="0"/>
                <w:numId w:val="3"/>
              </w:numPr>
              <w:autoSpaceDE w:val="0"/>
              <w:autoSpaceDN w:val="0"/>
              <w:adjustRightInd w:val="0"/>
              <w:spacing w:after="0" w:line="240" w:lineRule="auto"/>
              <w:ind w:left="317" w:hanging="284"/>
              <w:cnfStyle w:val="100000000000"/>
              <w:rPr>
                <w:rFonts w:cs="AGaramond-Regular"/>
                <w:b w:val="0"/>
                <w:sz w:val="20"/>
                <w:szCs w:val="20"/>
              </w:rPr>
            </w:pPr>
            <w:r w:rsidRPr="004F0767">
              <w:rPr>
                <w:rFonts w:cs="AGaramond-Regular"/>
                <w:b w:val="0"/>
                <w:sz w:val="20"/>
                <w:szCs w:val="20"/>
              </w:rPr>
              <w:t>To uphold highest possible levels of health and nutritional status of the population at all levels through improved dietary diversification and utilization of food.</w:t>
            </w:r>
          </w:p>
        </w:tc>
      </w:tr>
      <w:tr w:rsidR="00F34694" w:rsidTr="00555EBC">
        <w:trPr>
          <w:cnfStyle w:val="000000100000"/>
        </w:trPr>
        <w:tc>
          <w:tcPr>
            <w:cnfStyle w:val="001000000000"/>
            <w:tcW w:w="1702" w:type="dxa"/>
          </w:tcPr>
          <w:p w:rsidR="00F34694" w:rsidRDefault="00F34694" w:rsidP="00555EBC">
            <w:pPr>
              <w:rPr>
                <w:sz w:val="20"/>
                <w:szCs w:val="20"/>
              </w:rPr>
            </w:pPr>
            <w:r>
              <w:rPr>
                <w:sz w:val="20"/>
                <w:szCs w:val="20"/>
              </w:rPr>
              <w:t>The Gambia</w:t>
            </w:r>
          </w:p>
          <w:p w:rsidR="00F34694" w:rsidRDefault="00F34694" w:rsidP="00555EBC">
            <w:pPr>
              <w:rPr>
                <w:rFonts w:ascii="Arial" w:hAnsi="Arial" w:cs="Arial"/>
                <w:color w:val="333333"/>
                <w:sz w:val="20"/>
                <w:szCs w:val="20"/>
                <w:shd w:val="clear" w:color="auto" w:fill="FFFFFF"/>
              </w:rPr>
            </w:pPr>
            <w:r w:rsidRPr="00D21740">
              <w:rPr>
                <w:b w:val="0"/>
                <w:sz w:val="20"/>
                <w:szCs w:val="20"/>
              </w:rPr>
              <w:t>(</w:t>
            </w:r>
            <w:r>
              <w:rPr>
                <w:b w:val="0"/>
                <w:sz w:val="20"/>
                <w:szCs w:val="20"/>
              </w:rPr>
              <w:t>2011-2015)</w:t>
            </w:r>
          </w:p>
        </w:tc>
        <w:tc>
          <w:tcPr>
            <w:tcW w:w="1417" w:type="dxa"/>
          </w:tcPr>
          <w:p w:rsidR="00F34694" w:rsidRPr="00CC65C8" w:rsidRDefault="00F34694" w:rsidP="00555EBC">
            <w:pPr>
              <w:cnfStyle w:val="000000100000"/>
              <w:rPr>
                <w:rFonts w:ascii="Arial" w:hAnsi="Arial" w:cs="Arial"/>
                <w:color w:val="333333"/>
                <w:sz w:val="20"/>
                <w:szCs w:val="20"/>
                <w:shd w:val="clear" w:color="auto" w:fill="FFFFFF"/>
              </w:rPr>
            </w:pPr>
            <w:r w:rsidRPr="00CC65C8">
              <w:rPr>
                <w:sz w:val="20"/>
                <w:szCs w:val="20"/>
              </w:rPr>
              <w:t xml:space="preserve">USD </w:t>
            </w:r>
            <w:r>
              <w:rPr>
                <w:sz w:val="20"/>
                <w:szCs w:val="20"/>
              </w:rPr>
              <w:t>297 m</w:t>
            </w:r>
            <w:r w:rsidRPr="00CC65C8">
              <w:rPr>
                <w:sz w:val="20"/>
                <w:szCs w:val="20"/>
              </w:rPr>
              <w:t>illion</w:t>
            </w:r>
          </w:p>
        </w:tc>
        <w:tc>
          <w:tcPr>
            <w:tcW w:w="1560" w:type="dxa"/>
          </w:tcPr>
          <w:p w:rsidR="00F34694" w:rsidRDefault="00F34694" w:rsidP="00555EBC">
            <w:pPr>
              <w:cnfStyle w:val="000000100000"/>
              <w:rPr>
                <w:sz w:val="20"/>
                <w:szCs w:val="20"/>
              </w:rPr>
            </w:pPr>
            <w:r w:rsidRPr="00CC65C8">
              <w:rPr>
                <w:sz w:val="20"/>
                <w:szCs w:val="20"/>
              </w:rPr>
              <w:t xml:space="preserve">USD </w:t>
            </w:r>
            <w:r>
              <w:rPr>
                <w:sz w:val="20"/>
                <w:szCs w:val="20"/>
              </w:rPr>
              <w:t>21 m</w:t>
            </w:r>
            <w:r w:rsidRPr="00CC65C8">
              <w:rPr>
                <w:sz w:val="20"/>
                <w:szCs w:val="20"/>
              </w:rPr>
              <w:t>illion</w:t>
            </w:r>
          </w:p>
          <w:p w:rsidR="00F34694" w:rsidRDefault="00F34694" w:rsidP="00555EBC">
            <w:pPr>
              <w:cnfStyle w:val="000000100000"/>
              <w:rPr>
                <w:rFonts w:ascii="Arial" w:hAnsi="Arial" w:cs="Arial"/>
                <w:color w:val="333333"/>
                <w:sz w:val="20"/>
                <w:szCs w:val="20"/>
                <w:shd w:val="clear" w:color="auto" w:fill="FFFFFF"/>
              </w:rPr>
            </w:pPr>
            <w:r>
              <w:rPr>
                <w:sz w:val="20"/>
                <w:szCs w:val="20"/>
              </w:rPr>
              <w:t>(7%)</w:t>
            </w:r>
          </w:p>
        </w:tc>
        <w:tc>
          <w:tcPr>
            <w:tcW w:w="1559" w:type="dxa"/>
          </w:tcPr>
          <w:p w:rsidR="00F34694" w:rsidRDefault="00F34694" w:rsidP="00555EBC">
            <w:pPr>
              <w:cnfStyle w:val="000000100000"/>
              <w:rPr>
                <w:sz w:val="20"/>
                <w:szCs w:val="20"/>
              </w:rPr>
            </w:pPr>
            <w:r w:rsidRPr="00CC65C8">
              <w:rPr>
                <w:sz w:val="20"/>
                <w:szCs w:val="20"/>
              </w:rPr>
              <w:t xml:space="preserve">USD </w:t>
            </w:r>
            <w:r>
              <w:rPr>
                <w:sz w:val="20"/>
                <w:szCs w:val="20"/>
              </w:rPr>
              <w:t>163 m</w:t>
            </w:r>
            <w:r w:rsidRPr="00CC65C8">
              <w:rPr>
                <w:sz w:val="20"/>
                <w:szCs w:val="20"/>
              </w:rPr>
              <w:t>illion</w:t>
            </w:r>
          </w:p>
          <w:p w:rsidR="00F34694" w:rsidRDefault="00F34694" w:rsidP="00555EBC">
            <w:pPr>
              <w:cnfStyle w:val="000000100000"/>
              <w:rPr>
                <w:rFonts w:ascii="Arial" w:hAnsi="Arial" w:cs="Arial"/>
                <w:color w:val="333333"/>
                <w:sz w:val="20"/>
                <w:szCs w:val="20"/>
                <w:shd w:val="clear" w:color="auto" w:fill="FFFFFF"/>
              </w:rPr>
            </w:pPr>
            <w:r>
              <w:rPr>
                <w:sz w:val="20"/>
                <w:szCs w:val="20"/>
              </w:rPr>
              <w:t>(55%)</w:t>
            </w:r>
          </w:p>
        </w:tc>
        <w:tc>
          <w:tcPr>
            <w:tcW w:w="1417" w:type="dxa"/>
          </w:tcPr>
          <w:p w:rsidR="00F34694" w:rsidRDefault="00F34694" w:rsidP="00555EBC">
            <w:pPr>
              <w:cnfStyle w:val="000000100000"/>
              <w:rPr>
                <w:sz w:val="20"/>
                <w:szCs w:val="20"/>
              </w:rPr>
            </w:pPr>
            <w:r w:rsidRPr="00CC65C8">
              <w:rPr>
                <w:sz w:val="20"/>
                <w:szCs w:val="20"/>
              </w:rPr>
              <w:t xml:space="preserve">USD </w:t>
            </w:r>
            <w:r>
              <w:rPr>
                <w:sz w:val="20"/>
                <w:szCs w:val="20"/>
              </w:rPr>
              <w:t>45 m</w:t>
            </w:r>
            <w:r w:rsidRPr="00CC65C8">
              <w:rPr>
                <w:sz w:val="20"/>
                <w:szCs w:val="20"/>
              </w:rPr>
              <w:t>illion</w:t>
            </w:r>
          </w:p>
          <w:p w:rsidR="00F34694" w:rsidRDefault="00F34694" w:rsidP="00555EBC">
            <w:pPr>
              <w:cnfStyle w:val="000000100000"/>
              <w:rPr>
                <w:rFonts w:ascii="Arial" w:hAnsi="Arial" w:cs="Arial"/>
                <w:color w:val="333333"/>
                <w:sz w:val="20"/>
                <w:szCs w:val="20"/>
                <w:shd w:val="clear" w:color="auto" w:fill="FFFFFF"/>
              </w:rPr>
            </w:pPr>
            <w:r>
              <w:rPr>
                <w:sz w:val="20"/>
                <w:szCs w:val="20"/>
              </w:rPr>
              <w:t>(15%)</w:t>
            </w:r>
          </w:p>
        </w:tc>
        <w:tc>
          <w:tcPr>
            <w:tcW w:w="1560" w:type="dxa"/>
          </w:tcPr>
          <w:p w:rsidR="00F34694" w:rsidRPr="00CC65C8" w:rsidRDefault="00F34694" w:rsidP="00555EBC">
            <w:pPr>
              <w:cnfStyle w:val="000000100000"/>
              <w:rPr>
                <w:rFonts w:ascii="Arial" w:hAnsi="Arial" w:cs="Arial"/>
                <w:color w:val="333333"/>
                <w:sz w:val="20"/>
                <w:szCs w:val="20"/>
                <w:shd w:val="clear" w:color="auto" w:fill="FFFFFF"/>
              </w:rPr>
            </w:pPr>
            <w:r>
              <w:rPr>
                <w:sz w:val="20"/>
                <w:szCs w:val="20"/>
              </w:rPr>
              <w:t>No gap – the rest of the estimated costs come from other actors</w:t>
            </w:r>
            <w:r>
              <w:rPr>
                <w:rStyle w:val="FootnoteReference"/>
                <w:sz w:val="20"/>
                <w:szCs w:val="20"/>
              </w:rPr>
              <w:footnoteReference w:id="176"/>
            </w:r>
          </w:p>
        </w:tc>
        <w:tc>
          <w:tcPr>
            <w:tcW w:w="6662" w:type="dxa"/>
          </w:tcPr>
          <w:p w:rsidR="00F34694" w:rsidRPr="004F2985" w:rsidRDefault="00F34694" w:rsidP="00555EBC">
            <w:pPr>
              <w:autoSpaceDE w:val="0"/>
              <w:autoSpaceDN w:val="0"/>
              <w:adjustRightInd w:val="0"/>
              <w:cnfStyle w:val="000000100000"/>
              <w:rPr>
                <w:rFonts w:cs="AGaramond-Regular"/>
                <w:sz w:val="20"/>
                <w:szCs w:val="20"/>
              </w:rPr>
            </w:pPr>
            <w:r>
              <w:rPr>
                <w:rFonts w:cs="AGaramond-Regular"/>
                <w:sz w:val="20"/>
                <w:szCs w:val="20"/>
              </w:rPr>
              <w:t>Key performance indicators include:</w:t>
            </w:r>
          </w:p>
          <w:p w:rsidR="00F34694" w:rsidRDefault="00F34694" w:rsidP="00555EBC">
            <w:pPr>
              <w:pStyle w:val="ListParagraph"/>
              <w:numPr>
                <w:ilvl w:val="0"/>
                <w:numId w:val="3"/>
              </w:numPr>
              <w:autoSpaceDE w:val="0"/>
              <w:autoSpaceDN w:val="0"/>
              <w:adjustRightInd w:val="0"/>
              <w:spacing w:after="0" w:line="240" w:lineRule="auto"/>
              <w:ind w:left="317" w:hanging="284"/>
              <w:cnfStyle w:val="000000100000"/>
              <w:rPr>
                <w:rFonts w:cs="AGaramond-Regular"/>
                <w:sz w:val="20"/>
                <w:szCs w:val="20"/>
              </w:rPr>
            </w:pPr>
            <w:r>
              <w:rPr>
                <w:rFonts w:cs="AGaramond-Regular"/>
                <w:sz w:val="20"/>
                <w:szCs w:val="20"/>
              </w:rPr>
              <w:t>Increase in national household incomes (reduction in number of people below poverty line from 61% in 2009 to 44.6% in 2015)</w:t>
            </w:r>
          </w:p>
          <w:p w:rsidR="00F34694" w:rsidRPr="004F2985" w:rsidRDefault="00F34694" w:rsidP="00555EBC">
            <w:pPr>
              <w:pStyle w:val="ListParagraph"/>
              <w:numPr>
                <w:ilvl w:val="0"/>
                <w:numId w:val="3"/>
              </w:numPr>
              <w:autoSpaceDE w:val="0"/>
              <w:autoSpaceDN w:val="0"/>
              <w:adjustRightInd w:val="0"/>
              <w:spacing w:after="0" w:line="240" w:lineRule="auto"/>
              <w:ind w:left="317" w:hanging="284"/>
              <w:cnfStyle w:val="000000100000"/>
              <w:rPr>
                <w:rFonts w:cs="AGaramond-Regular"/>
                <w:sz w:val="20"/>
                <w:szCs w:val="20"/>
              </w:rPr>
            </w:pPr>
            <w:r>
              <w:rPr>
                <w:rFonts w:cs="AGaramond-Regular"/>
                <w:sz w:val="20"/>
                <w:szCs w:val="20"/>
              </w:rPr>
              <w:t>Increase in overall national food and nutrition security through increasing sustainable levels of self-sufficiency in food production by 25% (from current 50% consumption requirements met).</w:t>
            </w:r>
          </w:p>
        </w:tc>
      </w:tr>
      <w:tr w:rsidR="00F34694" w:rsidTr="00555EBC">
        <w:tc>
          <w:tcPr>
            <w:cnfStyle w:val="001000000000"/>
            <w:tcW w:w="1702" w:type="dxa"/>
          </w:tcPr>
          <w:p w:rsidR="00F34694" w:rsidRDefault="00F34694" w:rsidP="00555EBC">
            <w:pPr>
              <w:rPr>
                <w:sz w:val="20"/>
                <w:szCs w:val="20"/>
              </w:rPr>
            </w:pPr>
            <w:r>
              <w:rPr>
                <w:sz w:val="20"/>
                <w:szCs w:val="20"/>
              </w:rPr>
              <w:t>Uganda</w:t>
            </w:r>
          </w:p>
          <w:p w:rsidR="00F34694" w:rsidRDefault="00F34694" w:rsidP="00555EBC">
            <w:pPr>
              <w:rPr>
                <w:rFonts w:ascii="Arial" w:hAnsi="Arial" w:cs="Arial"/>
                <w:color w:val="333333"/>
                <w:sz w:val="20"/>
                <w:szCs w:val="20"/>
                <w:shd w:val="clear" w:color="auto" w:fill="FFFFFF"/>
              </w:rPr>
            </w:pPr>
            <w:r w:rsidRPr="00D21740">
              <w:rPr>
                <w:b w:val="0"/>
                <w:sz w:val="20"/>
                <w:szCs w:val="20"/>
              </w:rPr>
              <w:t>(</w:t>
            </w:r>
            <w:r>
              <w:rPr>
                <w:b w:val="0"/>
                <w:sz w:val="20"/>
                <w:szCs w:val="20"/>
              </w:rPr>
              <w:t>2010-2015)</w:t>
            </w:r>
          </w:p>
        </w:tc>
        <w:tc>
          <w:tcPr>
            <w:tcW w:w="1417" w:type="dxa"/>
          </w:tcPr>
          <w:p w:rsidR="00F34694" w:rsidRDefault="00F34694" w:rsidP="00555EBC">
            <w:pPr>
              <w:cnfStyle w:val="000000000000"/>
              <w:rPr>
                <w:rFonts w:ascii="Arial" w:hAnsi="Arial" w:cs="Arial"/>
                <w:color w:val="333333"/>
                <w:sz w:val="20"/>
                <w:szCs w:val="20"/>
                <w:shd w:val="clear" w:color="auto" w:fill="FFFFFF"/>
              </w:rPr>
            </w:pPr>
            <w:r w:rsidRPr="00CC65C8">
              <w:rPr>
                <w:sz w:val="20"/>
                <w:szCs w:val="20"/>
              </w:rPr>
              <w:t xml:space="preserve">USD </w:t>
            </w:r>
            <w:r>
              <w:rPr>
                <w:sz w:val="20"/>
                <w:szCs w:val="20"/>
              </w:rPr>
              <w:t>775 m</w:t>
            </w:r>
            <w:r w:rsidRPr="00CC65C8">
              <w:rPr>
                <w:sz w:val="20"/>
                <w:szCs w:val="20"/>
              </w:rPr>
              <w:t>illion</w:t>
            </w:r>
          </w:p>
        </w:tc>
        <w:tc>
          <w:tcPr>
            <w:tcW w:w="1560" w:type="dxa"/>
          </w:tcPr>
          <w:p w:rsidR="00F34694" w:rsidRDefault="00F34694" w:rsidP="00555EBC">
            <w:pPr>
              <w:cnfStyle w:val="000000000000"/>
              <w:rPr>
                <w:rFonts w:ascii="Arial" w:hAnsi="Arial" w:cs="Arial"/>
                <w:color w:val="333333"/>
                <w:sz w:val="20"/>
                <w:szCs w:val="20"/>
                <w:shd w:val="clear" w:color="auto" w:fill="FFFFFF"/>
              </w:rPr>
            </w:pPr>
            <w:r>
              <w:rPr>
                <w:sz w:val="20"/>
                <w:szCs w:val="20"/>
              </w:rPr>
              <w:t>Not specified</w:t>
            </w:r>
          </w:p>
        </w:tc>
        <w:tc>
          <w:tcPr>
            <w:tcW w:w="1559" w:type="dxa"/>
          </w:tcPr>
          <w:p w:rsidR="00F34694" w:rsidRDefault="00F34694" w:rsidP="00555EBC">
            <w:pPr>
              <w:cnfStyle w:val="000000000000"/>
              <w:rPr>
                <w:rFonts w:ascii="Arial" w:hAnsi="Arial" w:cs="Arial"/>
                <w:color w:val="333333"/>
                <w:sz w:val="20"/>
                <w:szCs w:val="20"/>
                <w:shd w:val="clear" w:color="auto" w:fill="FFFFFF"/>
              </w:rPr>
            </w:pPr>
            <w:r>
              <w:rPr>
                <w:sz w:val="20"/>
                <w:szCs w:val="20"/>
              </w:rPr>
              <w:t>Not specified</w:t>
            </w:r>
          </w:p>
        </w:tc>
        <w:tc>
          <w:tcPr>
            <w:tcW w:w="1417" w:type="dxa"/>
          </w:tcPr>
          <w:p w:rsidR="00F34694" w:rsidRDefault="00F34694" w:rsidP="00555EBC">
            <w:pPr>
              <w:cnfStyle w:val="000000000000"/>
              <w:rPr>
                <w:rFonts w:ascii="Arial" w:hAnsi="Arial" w:cs="Arial"/>
                <w:color w:val="333333"/>
                <w:sz w:val="20"/>
                <w:szCs w:val="20"/>
                <w:shd w:val="clear" w:color="auto" w:fill="FFFFFF"/>
              </w:rPr>
            </w:pPr>
            <w:r>
              <w:rPr>
                <w:sz w:val="20"/>
                <w:szCs w:val="20"/>
              </w:rPr>
              <w:t>Not specified</w:t>
            </w:r>
          </w:p>
        </w:tc>
        <w:tc>
          <w:tcPr>
            <w:tcW w:w="1560" w:type="dxa"/>
          </w:tcPr>
          <w:p w:rsidR="00F34694" w:rsidRDefault="00F34694" w:rsidP="00555EBC">
            <w:pPr>
              <w:cnfStyle w:val="000000000000"/>
              <w:rPr>
                <w:rFonts w:ascii="Arial" w:hAnsi="Arial" w:cs="Arial"/>
                <w:color w:val="333333"/>
                <w:sz w:val="20"/>
                <w:szCs w:val="20"/>
                <w:shd w:val="clear" w:color="auto" w:fill="FFFFFF"/>
              </w:rPr>
            </w:pPr>
            <w:r>
              <w:rPr>
                <w:sz w:val="20"/>
                <w:szCs w:val="20"/>
              </w:rPr>
              <w:t>Not specified</w:t>
            </w:r>
          </w:p>
        </w:tc>
        <w:tc>
          <w:tcPr>
            <w:tcW w:w="6662" w:type="dxa"/>
          </w:tcPr>
          <w:p w:rsidR="00F34694" w:rsidRPr="00735117" w:rsidRDefault="00F34694" w:rsidP="00555EBC">
            <w:pPr>
              <w:autoSpaceDE w:val="0"/>
              <w:autoSpaceDN w:val="0"/>
              <w:adjustRightInd w:val="0"/>
              <w:cnfStyle w:val="000000000000"/>
              <w:rPr>
                <w:rFonts w:ascii="Calibri" w:hAnsi="Calibri" w:cs="Calibri"/>
                <w:sz w:val="20"/>
                <w:szCs w:val="20"/>
              </w:rPr>
            </w:pPr>
            <w:r w:rsidRPr="00735117">
              <w:rPr>
                <w:rFonts w:ascii="Calibri" w:hAnsi="Calibri" w:cs="Calibri"/>
                <w:sz w:val="20"/>
                <w:szCs w:val="20"/>
              </w:rPr>
              <w:t>Uganda’s Country Review Report (2010) notes that although Uganda is currently on track to achieve MDG1, achievement of the DSIP/CAADP scenario will reduce poverty even further:</w:t>
            </w:r>
          </w:p>
          <w:p w:rsidR="00F34694" w:rsidRDefault="00F34694" w:rsidP="00555EBC">
            <w:pPr>
              <w:pStyle w:val="ListParagraph"/>
              <w:numPr>
                <w:ilvl w:val="0"/>
                <w:numId w:val="4"/>
              </w:numPr>
              <w:autoSpaceDE w:val="0"/>
              <w:autoSpaceDN w:val="0"/>
              <w:adjustRightInd w:val="0"/>
              <w:spacing w:after="0" w:line="240" w:lineRule="auto"/>
              <w:ind w:left="317" w:hanging="284"/>
              <w:cnfStyle w:val="000000000000"/>
              <w:rPr>
                <w:rFonts w:ascii="Calibri" w:hAnsi="Calibri" w:cs="Calibri"/>
                <w:sz w:val="20"/>
                <w:szCs w:val="20"/>
              </w:rPr>
            </w:pPr>
            <w:r w:rsidRPr="00735117">
              <w:rPr>
                <w:rFonts w:ascii="Calibri" w:hAnsi="Calibri" w:cs="Calibri"/>
                <w:sz w:val="20"/>
                <w:szCs w:val="20"/>
              </w:rPr>
              <w:t>from the baseline scenario of 23.7% in 2015 to the DISP/CAADP scenario of 19.9%.</w:t>
            </w:r>
          </w:p>
          <w:p w:rsidR="00F34694" w:rsidRPr="00735117" w:rsidRDefault="00F34694" w:rsidP="00555EBC">
            <w:pPr>
              <w:pStyle w:val="ListParagraph"/>
              <w:numPr>
                <w:ilvl w:val="0"/>
                <w:numId w:val="4"/>
              </w:numPr>
              <w:autoSpaceDE w:val="0"/>
              <w:autoSpaceDN w:val="0"/>
              <w:adjustRightInd w:val="0"/>
              <w:spacing w:after="0" w:line="240" w:lineRule="auto"/>
              <w:ind w:left="317" w:hanging="284"/>
              <w:cnfStyle w:val="000000000000"/>
              <w:rPr>
                <w:rFonts w:ascii="Calibri" w:hAnsi="Calibri" w:cs="Calibri"/>
                <w:sz w:val="20"/>
                <w:szCs w:val="20"/>
              </w:rPr>
            </w:pPr>
            <w:r>
              <w:rPr>
                <w:rFonts w:ascii="Calibri" w:hAnsi="Calibri" w:cs="Calibri"/>
                <w:sz w:val="20"/>
                <w:szCs w:val="20"/>
              </w:rPr>
              <w:t>Rural</w:t>
            </w:r>
            <w:r w:rsidRPr="00735117">
              <w:rPr>
                <w:rFonts w:ascii="Calibri" w:hAnsi="Calibri" w:cs="Calibri"/>
                <w:sz w:val="20"/>
                <w:szCs w:val="20"/>
              </w:rPr>
              <w:t xml:space="preserve"> and farm populations stand to benefit the most from achieving the commodity-specific and overall agricultural growth rate targets </w:t>
            </w:r>
          </w:p>
        </w:tc>
      </w:tr>
    </w:tbl>
    <w:p w:rsidR="00F34694" w:rsidRDefault="00F34694" w:rsidP="00F34694"/>
    <w:p w:rsidR="00993056" w:rsidRDefault="00993056" w:rsidP="00F25724">
      <w:pPr>
        <w:jc w:val="center"/>
        <w:rPr>
          <w:rFonts w:asciiTheme="minorHAnsi" w:hAnsiTheme="minorHAnsi" w:cs="Arial"/>
          <w:b/>
          <w:color w:val="1F497D" w:themeColor="text2"/>
          <w:sz w:val="28"/>
          <w:szCs w:val="28"/>
        </w:rPr>
      </w:pPr>
    </w:p>
    <w:p w:rsidR="00F34694" w:rsidRDefault="00F34694" w:rsidP="00F25724">
      <w:pPr>
        <w:jc w:val="center"/>
        <w:rPr>
          <w:rFonts w:ascii="Arial" w:hAnsi="Arial" w:cs="Arial"/>
          <w:b/>
          <w:sz w:val="20"/>
        </w:rPr>
      </w:pPr>
    </w:p>
    <w:p w:rsidR="00A70A68" w:rsidRDefault="00A70A68">
      <w:pPr>
        <w:rPr>
          <w:rFonts w:ascii="Arial" w:hAnsi="Arial" w:cs="Arial"/>
          <w:b/>
          <w:sz w:val="20"/>
        </w:rPr>
      </w:pPr>
      <w:r>
        <w:rPr>
          <w:rFonts w:ascii="Arial" w:hAnsi="Arial" w:cs="Arial"/>
          <w:b/>
          <w:sz w:val="20"/>
        </w:rPr>
        <w:br w:type="page"/>
      </w:r>
    </w:p>
    <w:p w:rsidR="00324C71" w:rsidRDefault="00324C71" w:rsidP="00324C71">
      <w:pPr>
        <w:jc w:val="center"/>
        <w:rPr>
          <w:rFonts w:asciiTheme="minorHAnsi" w:hAnsiTheme="minorHAnsi" w:cs="Arial"/>
          <w:b/>
          <w:color w:val="1F497D" w:themeColor="text2"/>
          <w:sz w:val="28"/>
          <w:szCs w:val="28"/>
        </w:rPr>
      </w:pPr>
      <w:r>
        <w:rPr>
          <w:rFonts w:asciiTheme="minorHAnsi" w:hAnsiTheme="minorHAnsi" w:cs="Arial"/>
          <w:b/>
          <w:color w:val="1F497D" w:themeColor="text2"/>
          <w:sz w:val="28"/>
          <w:szCs w:val="28"/>
        </w:rPr>
        <w:lastRenderedPageBreak/>
        <w:t>ANNEX 5:</w:t>
      </w:r>
    </w:p>
    <w:p w:rsidR="00324C71" w:rsidRPr="00A70A68" w:rsidRDefault="00324C71" w:rsidP="00324C71">
      <w:pPr>
        <w:jc w:val="center"/>
        <w:rPr>
          <w:rFonts w:asciiTheme="minorHAnsi" w:hAnsiTheme="minorHAnsi" w:cs="Arial"/>
          <w:b/>
          <w:caps/>
          <w:sz w:val="22"/>
          <w:szCs w:val="22"/>
        </w:rPr>
      </w:pPr>
      <w:r w:rsidRPr="00A70A68">
        <w:rPr>
          <w:rFonts w:asciiTheme="minorHAnsi" w:hAnsiTheme="minorHAnsi" w:cs="Arial"/>
          <w:b/>
          <w:caps/>
          <w:sz w:val="22"/>
          <w:szCs w:val="22"/>
        </w:rPr>
        <w:t>Funding for Countries with Compacts / Investment Plans (March 2012)</w:t>
      </w:r>
    </w:p>
    <w:tbl>
      <w:tblPr>
        <w:tblStyle w:val="LightShading-Accent5"/>
        <w:tblW w:w="15310" w:type="dxa"/>
        <w:tblInd w:w="-601" w:type="dxa"/>
        <w:tblLayout w:type="fixed"/>
        <w:tblLook w:val="04A0"/>
      </w:tblPr>
      <w:tblGrid>
        <w:gridCol w:w="2238"/>
        <w:gridCol w:w="1401"/>
        <w:gridCol w:w="1272"/>
        <w:gridCol w:w="1265"/>
        <w:gridCol w:w="1621"/>
        <w:gridCol w:w="1701"/>
        <w:gridCol w:w="1417"/>
        <w:gridCol w:w="1134"/>
        <w:gridCol w:w="993"/>
        <w:gridCol w:w="850"/>
        <w:gridCol w:w="1418"/>
      </w:tblGrid>
      <w:tr w:rsidR="00324C71" w:rsidTr="00864B87">
        <w:trPr>
          <w:cnfStyle w:val="100000000000"/>
        </w:trPr>
        <w:tc>
          <w:tcPr>
            <w:cnfStyle w:val="001000000000"/>
            <w:tcW w:w="2238" w:type="dxa"/>
          </w:tcPr>
          <w:p w:rsidR="00324C71" w:rsidRPr="00FE199B" w:rsidRDefault="00324C71" w:rsidP="00864B87">
            <w:pPr>
              <w:autoSpaceDE w:val="0"/>
              <w:autoSpaceDN w:val="0"/>
              <w:adjustRightInd w:val="0"/>
              <w:rPr>
                <w:rFonts w:cs="Arial"/>
                <w:color w:val="1F497D" w:themeColor="text2"/>
                <w:sz w:val="20"/>
                <w:szCs w:val="20"/>
              </w:rPr>
            </w:pPr>
            <w:r w:rsidRPr="00FE199B">
              <w:rPr>
                <w:rFonts w:cs="Arial"/>
                <w:color w:val="1F497D" w:themeColor="text2"/>
                <w:sz w:val="20"/>
                <w:szCs w:val="20"/>
              </w:rPr>
              <w:t>Country</w:t>
            </w:r>
            <w:r>
              <w:rPr>
                <w:rStyle w:val="FootnoteReference"/>
                <w:rFonts w:cs="Arial"/>
                <w:color w:val="1F497D" w:themeColor="text2"/>
                <w:sz w:val="20"/>
                <w:szCs w:val="20"/>
              </w:rPr>
              <w:footnoteReference w:id="177"/>
            </w:r>
          </w:p>
        </w:tc>
        <w:tc>
          <w:tcPr>
            <w:tcW w:w="1401"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Date signed compact</w:t>
            </w:r>
          </w:p>
        </w:tc>
        <w:tc>
          <w:tcPr>
            <w:tcW w:w="1272"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Investment Plan</w:t>
            </w:r>
          </w:p>
        </w:tc>
        <w:tc>
          <w:tcPr>
            <w:tcW w:w="1265"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Pr>
                <w:rFonts w:cs="Arial"/>
                <w:color w:val="1F497D" w:themeColor="text2"/>
                <w:sz w:val="20"/>
                <w:szCs w:val="20"/>
              </w:rPr>
              <w:t>Business meeting held</w:t>
            </w:r>
          </w:p>
        </w:tc>
        <w:tc>
          <w:tcPr>
            <w:tcW w:w="1621"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201</w:t>
            </w:r>
            <w:r>
              <w:rPr>
                <w:rFonts w:cs="Arial"/>
                <w:color w:val="1F497D" w:themeColor="text2"/>
                <w:sz w:val="20"/>
                <w:szCs w:val="20"/>
              </w:rPr>
              <w:t>0</w:t>
            </w:r>
            <w:r w:rsidRPr="00FE199B">
              <w:rPr>
                <w:rFonts w:cs="Arial"/>
                <w:color w:val="1F497D" w:themeColor="text2"/>
                <w:sz w:val="20"/>
                <w:szCs w:val="20"/>
              </w:rPr>
              <w:t xml:space="preserve"> commitments (USD million)</w:t>
            </w:r>
          </w:p>
        </w:tc>
        <w:tc>
          <w:tcPr>
            <w:tcW w:w="1701" w:type="dxa"/>
          </w:tcPr>
          <w:p w:rsidR="00324C71"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201</w:t>
            </w:r>
            <w:r>
              <w:rPr>
                <w:rFonts w:cs="Arial"/>
                <w:color w:val="1F497D" w:themeColor="text2"/>
                <w:sz w:val="20"/>
                <w:szCs w:val="20"/>
              </w:rPr>
              <w:t>1</w:t>
            </w:r>
            <w:r w:rsidRPr="00FE199B">
              <w:rPr>
                <w:rFonts w:cs="Arial"/>
                <w:color w:val="1F497D" w:themeColor="text2"/>
                <w:sz w:val="20"/>
                <w:szCs w:val="20"/>
              </w:rPr>
              <w:t xml:space="preserve"> </w:t>
            </w:r>
          </w:p>
          <w:p w:rsidR="00324C71"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 xml:space="preserve">commitments </w:t>
            </w:r>
          </w:p>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(USD million)</w:t>
            </w:r>
          </w:p>
        </w:tc>
        <w:tc>
          <w:tcPr>
            <w:tcW w:w="1417"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Pr>
                <w:rFonts w:cs="Arial"/>
                <w:color w:val="1F497D" w:themeColor="text2"/>
                <w:sz w:val="20"/>
                <w:szCs w:val="20"/>
              </w:rPr>
              <w:t>GAFSP</w:t>
            </w:r>
          </w:p>
        </w:tc>
        <w:tc>
          <w:tcPr>
            <w:tcW w:w="1134"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 xml:space="preserve">Feed the Future </w:t>
            </w:r>
          </w:p>
        </w:tc>
        <w:tc>
          <w:tcPr>
            <w:tcW w:w="993" w:type="dxa"/>
          </w:tcPr>
          <w:p w:rsidR="00324C71" w:rsidRDefault="00324C71" w:rsidP="00864B87">
            <w:pPr>
              <w:autoSpaceDE w:val="0"/>
              <w:autoSpaceDN w:val="0"/>
              <w:adjustRightInd w:val="0"/>
              <w:jc w:val="center"/>
              <w:cnfStyle w:val="100000000000"/>
              <w:rPr>
                <w:rFonts w:cs="Arial"/>
                <w:color w:val="1F497D" w:themeColor="text2"/>
                <w:sz w:val="20"/>
                <w:szCs w:val="20"/>
              </w:rPr>
            </w:pPr>
            <w:r>
              <w:rPr>
                <w:rFonts w:cs="Arial"/>
                <w:color w:val="1F497D" w:themeColor="text2"/>
                <w:sz w:val="20"/>
                <w:szCs w:val="20"/>
              </w:rPr>
              <w:t>G8 ‘New Alliance’</w:t>
            </w:r>
          </w:p>
        </w:tc>
        <w:tc>
          <w:tcPr>
            <w:tcW w:w="850"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Pr>
                <w:rFonts w:cs="Arial"/>
                <w:color w:val="1F497D" w:themeColor="text2"/>
                <w:sz w:val="20"/>
                <w:szCs w:val="20"/>
              </w:rPr>
              <w:t>Grow Africa</w:t>
            </w:r>
          </w:p>
        </w:tc>
        <w:tc>
          <w:tcPr>
            <w:tcW w:w="1418" w:type="dxa"/>
          </w:tcPr>
          <w:p w:rsidR="00324C71" w:rsidRPr="00FE199B" w:rsidRDefault="00324C71" w:rsidP="00864B87">
            <w:pPr>
              <w:autoSpaceDE w:val="0"/>
              <w:autoSpaceDN w:val="0"/>
              <w:adjustRightInd w:val="0"/>
              <w:jc w:val="center"/>
              <w:cnfStyle w:val="100000000000"/>
              <w:rPr>
                <w:rFonts w:cs="Arial"/>
                <w:color w:val="1F497D" w:themeColor="text2"/>
                <w:sz w:val="20"/>
                <w:szCs w:val="20"/>
              </w:rPr>
            </w:pPr>
            <w:r w:rsidRPr="00FE199B">
              <w:rPr>
                <w:rFonts w:cs="Arial"/>
                <w:color w:val="1F497D" w:themeColor="text2"/>
                <w:sz w:val="20"/>
                <w:szCs w:val="20"/>
              </w:rPr>
              <w:t>% of labour force in agriculture</w:t>
            </w:r>
            <w:r>
              <w:rPr>
                <w:rStyle w:val="FootnoteReference"/>
                <w:rFonts w:cs="Arial"/>
                <w:color w:val="1F497D" w:themeColor="text2"/>
                <w:sz w:val="20"/>
                <w:szCs w:val="20"/>
              </w:rPr>
              <w:footnoteReference w:id="178"/>
            </w:r>
          </w:p>
        </w:tc>
      </w:tr>
      <w:tr w:rsidR="00324C71" w:rsidTr="00864B87">
        <w:trPr>
          <w:cnfStyle w:val="000000100000"/>
        </w:trPr>
        <w:tc>
          <w:tcPr>
            <w:cnfStyle w:val="001000000000"/>
            <w:tcW w:w="15310" w:type="dxa"/>
            <w:gridSpan w:val="11"/>
          </w:tcPr>
          <w:p w:rsidR="00324C71" w:rsidRPr="00FE199B" w:rsidRDefault="00324C71" w:rsidP="00864B87">
            <w:pPr>
              <w:autoSpaceDE w:val="0"/>
              <w:autoSpaceDN w:val="0"/>
              <w:adjustRightInd w:val="0"/>
              <w:rPr>
                <w:rFonts w:cs="Arial"/>
                <w:color w:val="1F497D" w:themeColor="text2"/>
                <w:sz w:val="20"/>
                <w:szCs w:val="20"/>
              </w:rPr>
            </w:pPr>
            <w:r w:rsidRPr="00FE199B">
              <w:rPr>
                <w:rFonts w:cs="Arial"/>
                <w:color w:val="1F497D" w:themeColor="text2"/>
                <w:sz w:val="20"/>
                <w:szCs w:val="20"/>
              </w:rPr>
              <w:t>Countries with Investment Plans</w:t>
            </w:r>
          </w:p>
        </w:tc>
      </w:tr>
      <w:tr w:rsidR="00324C71" w:rsidTr="00864B87">
        <w:tc>
          <w:tcPr>
            <w:cnfStyle w:val="001000000000"/>
            <w:tcW w:w="2238" w:type="dxa"/>
          </w:tcPr>
          <w:p w:rsidR="00324C71"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Benin</w:t>
            </w:r>
          </w:p>
        </w:tc>
        <w:tc>
          <w:tcPr>
            <w:tcW w:w="1401" w:type="dxa"/>
          </w:tcPr>
          <w:p w:rsidR="00324C71"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Oct 2009</w:t>
            </w:r>
          </w:p>
        </w:tc>
        <w:tc>
          <w:tcPr>
            <w:tcW w:w="1272" w:type="dxa"/>
          </w:tcPr>
          <w:p w:rsidR="00324C71"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June 2011</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24.0</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96.5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Burundi</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Aug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March 2011</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110.6 </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65.3</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94%</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Burkina Faso</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July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2010</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Nov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81.3 </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154.9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90%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Cape Verde</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Dec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Nov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4.0</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1.8</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Cote d’Ivoire</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July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Pending</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106.6</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60.8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68%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Ethiopia</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Sept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Sept 2010</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Dec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254.8 </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170.8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85%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Gambia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Oct 2009</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17.7 </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7.8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75%</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Ghana</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Oct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June 2010</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144.8</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186.6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56%</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Guinea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April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Pending</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9.2</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35.5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76%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Guinea Bissau</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Jan 2011</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Pending</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12.1</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8.8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82%</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Kenya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July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Sept 2010</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Sept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174.0 </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371.3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75%</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Liberia</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Oct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41.4 </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50.5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w:t>
            </w:r>
            <w:r w:rsidRPr="00FE199B">
              <w:rPr>
                <w:rFonts w:cs="Arial"/>
                <w:color w:val="1F497D" w:themeColor="text2"/>
                <w:sz w:val="20"/>
                <w:szCs w:val="20"/>
              </w:rPr>
              <w:t>es</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70%</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Malawi</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April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Sept 2010</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Sept 2011</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90.8</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105.1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90%</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Mali</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Oct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Sept 2010</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Nov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256.3</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201.8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80%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Mauritania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July 2011</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March 2012</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March 2012</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13.2</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34.0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50%</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Niger</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Sept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Dec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49.2</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81.4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90%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Nigeria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Oct 2009</w:t>
            </w:r>
          </w:p>
        </w:tc>
        <w:tc>
          <w:tcPr>
            <w:tcW w:w="1272" w:type="dxa"/>
          </w:tcPr>
          <w:p w:rsidR="00324C71"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79.4 </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22.1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70%</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Rwanda</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March 2007</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Dec </w:t>
            </w:r>
            <w:r w:rsidRPr="00FE199B">
              <w:rPr>
                <w:rFonts w:cs="Arial"/>
                <w:color w:val="1F497D" w:themeColor="text2"/>
                <w:sz w:val="20"/>
                <w:szCs w:val="20"/>
              </w:rPr>
              <w:t>2009</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Dec 2009</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78.6</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118.6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90%</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Senegal</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Feb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June 2010</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293.8</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107.7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77%</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Sierra Leone</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Sept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86.5</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41.2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r w:rsidRPr="00FE199B">
              <w:rPr>
                <w:rFonts w:cs="Arial"/>
                <w:color w:val="1F497D" w:themeColor="text2"/>
                <w:sz w:val="20"/>
                <w:szCs w:val="20"/>
              </w:rPr>
              <w:t>Yes</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Tanzania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July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Feb 2011</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Nov 2011</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151.2</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256.0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r w:rsidRPr="00FE199B">
              <w:rPr>
                <w:rFonts w:cs="Arial"/>
                <w:color w:val="1F497D" w:themeColor="text2"/>
                <w:sz w:val="20"/>
                <w:szCs w:val="20"/>
              </w:rPr>
              <w:t>Yes</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80%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Togo</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July 2009</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June 2010</w:t>
            </w:r>
          </w:p>
        </w:tc>
        <w:tc>
          <w:tcPr>
            <w:tcW w:w="1621"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41.7</w:t>
            </w:r>
          </w:p>
        </w:tc>
        <w:tc>
          <w:tcPr>
            <w:tcW w:w="1701"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37.3 </w:t>
            </w:r>
          </w:p>
        </w:tc>
        <w:tc>
          <w:tcPr>
            <w:tcW w:w="1417"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65%</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Uganda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March 2010</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Yes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Sept 2010</w:t>
            </w:r>
          </w:p>
        </w:tc>
        <w:tc>
          <w:tcPr>
            <w:tcW w:w="1621"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227.0</w:t>
            </w:r>
          </w:p>
        </w:tc>
        <w:tc>
          <w:tcPr>
            <w:tcW w:w="1701"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116.2 </w:t>
            </w:r>
          </w:p>
        </w:tc>
        <w:tc>
          <w:tcPr>
            <w:tcW w:w="1417"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1134"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82%</w:t>
            </w:r>
          </w:p>
        </w:tc>
      </w:tr>
    </w:tbl>
    <w:p w:rsidR="00324C71" w:rsidRDefault="00324C71" w:rsidP="00324C71">
      <w:r>
        <w:rPr>
          <w:b/>
          <w:bCs/>
        </w:rPr>
        <w:br w:type="page"/>
      </w:r>
    </w:p>
    <w:tbl>
      <w:tblPr>
        <w:tblStyle w:val="LightShading-Accent5"/>
        <w:tblW w:w="15310" w:type="dxa"/>
        <w:tblInd w:w="-601" w:type="dxa"/>
        <w:tblLayout w:type="fixed"/>
        <w:tblLook w:val="04A0"/>
      </w:tblPr>
      <w:tblGrid>
        <w:gridCol w:w="2238"/>
        <w:gridCol w:w="1401"/>
        <w:gridCol w:w="1272"/>
        <w:gridCol w:w="1265"/>
        <w:gridCol w:w="1427"/>
        <w:gridCol w:w="1895"/>
        <w:gridCol w:w="1559"/>
        <w:gridCol w:w="992"/>
        <w:gridCol w:w="993"/>
        <w:gridCol w:w="850"/>
        <w:gridCol w:w="1418"/>
      </w:tblGrid>
      <w:tr w:rsidR="00324C71" w:rsidTr="00864B87">
        <w:trPr>
          <w:cnfStyle w:val="100000000000"/>
        </w:trPr>
        <w:tc>
          <w:tcPr>
            <w:cnfStyle w:val="001000000000"/>
            <w:tcW w:w="15310" w:type="dxa"/>
            <w:gridSpan w:val="11"/>
          </w:tcPr>
          <w:p w:rsidR="00324C71" w:rsidRPr="00FE199B" w:rsidRDefault="00324C71" w:rsidP="00864B87">
            <w:pPr>
              <w:autoSpaceDE w:val="0"/>
              <w:autoSpaceDN w:val="0"/>
              <w:adjustRightInd w:val="0"/>
              <w:ind w:right="391"/>
              <w:rPr>
                <w:rFonts w:cs="Arial"/>
                <w:color w:val="1F497D" w:themeColor="text2"/>
                <w:sz w:val="20"/>
                <w:szCs w:val="20"/>
              </w:rPr>
            </w:pPr>
            <w:r w:rsidRPr="00FE199B">
              <w:rPr>
                <w:rFonts w:cs="Arial"/>
                <w:color w:val="1F497D" w:themeColor="text2"/>
                <w:sz w:val="20"/>
                <w:szCs w:val="20"/>
              </w:rPr>
              <w:lastRenderedPageBreak/>
              <w:t xml:space="preserve">Countries with </w:t>
            </w:r>
            <w:r>
              <w:rPr>
                <w:rFonts w:cs="Arial"/>
                <w:color w:val="1F497D" w:themeColor="text2"/>
                <w:sz w:val="20"/>
                <w:szCs w:val="20"/>
              </w:rPr>
              <w:t>signed compacts and working towards Investment Plans</w:t>
            </w:r>
          </w:p>
        </w:tc>
      </w:tr>
      <w:tr w:rsidR="00324C71" w:rsidTr="00864B87">
        <w:trPr>
          <w:cnfStyle w:val="000000100000"/>
        </w:trPr>
        <w:tc>
          <w:tcPr>
            <w:cnfStyle w:val="001000000000"/>
            <w:tcW w:w="2238" w:type="dxa"/>
          </w:tcPr>
          <w:p w:rsidR="00324C71"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 xml:space="preserve">Central African Republic </w:t>
            </w:r>
          </w:p>
        </w:tc>
        <w:tc>
          <w:tcPr>
            <w:tcW w:w="1401" w:type="dxa"/>
          </w:tcPr>
          <w:p w:rsidR="00324C71"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April 2011</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In process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3.0</w:t>
            </w:r>
          </w:p>
        </w:tc>
        <w:tc>
          <w:tcPr>
            <w:tcW w:w="1895" w:type="dxa"/>
          </w:tcPr>
          <w:p w:rsidR="00324C71" w:rsidRPr="00FE199B" w:rsidRDefault="00324C71" w:rsidP="00864B87">
            <w:pPr>
              <w:tabs>
                <w:tab w:val="left" w:pos="1233"/>
              </w:tabs>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47.1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Congo, Dem Republic</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March 2011</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In process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115.1</w:t>
            </w:r>
          </w:p>
        </w:tc>
        <w:tc>
          <w:tcPr>
            <w:tcW w:w="1895" w:type="dxa"/>
          </w:tcPr>
          <w:p w:rsidR="00324C71" w:rsidRPr="00FE199B" w:rsidRDefault="00324C71" w:rsidP="00864B87">
            <w:pPr>
              <w:tabs>
                <w:tab w:val="left" w:pos="1233"/>
              </w:tabs>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84.4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Mozambique</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Dec 2011</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In process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82.2</w:t>
            </w:r>
          </w:p>
        </w:tc>
        <w:tc>
          <w:tcPr>
            <w:tcW w:w="1895" w:type="dxa"/>
          </w:tcPr>
          <w:p w:rsidR="00324C71" w:rsidRPr="00FE199B" w:rsidRDefault="00324C71" w:rsidP="00864B87">
            <w:pPr>
              <w:tabs>
                <w:tab w:val="left" w:pos="1233"/>
              </w:tabs>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177.3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Yes</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81%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Seychelles</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Sept 2011</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In process</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1.2 </w:t>
            </w:r>
          </w:p>
        </w:tc>
        <w:tc>
          <w:tcPr>
            <w:tcW w:w="1895" w:type="dxa"/>
          </w:tcPr>
          <w:p w:rsidR="00324C71" w:rsidRPr="00FE199B" w:rsidRDefault="00324C71" w:rsidP="00864B87">
            <w:pPr>
              <w:tabs>
                <w:tab w:val="left" w:pos="1233"/>
              </w:tabs>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1.0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Swaziland</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March 2010</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In process</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6.4 </w:t>
            </w:r>
          </w:p>
        </w:tc>
        <w:tc>
          <w:tcPr>
            <w:tcW w:w="1895" w:type="dxa"/>
          </w:tcPr>
          <w:p w:rsidR="00324C71" w:rsidRPr="00FE199B" w:rsidRDefault="00324C71" w:rsidP="00864B87">
            <w:pPr>
              <w:tabs>
                <w:tab w:val="left" w:pos="1233"/>
              </w:tabs>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77.7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70%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sidRPr="00FE199B">
              <w:rPr>
                <w:rFonts w:cs="Arial"/>
                <w:b w:val="0"/>
                <w:color w:val="1F497D" w:themeColor="text2"/>
                <w:sz w:val="20"/>
                <w:szCs w:val="20"/>
              </w:rPr>
              <w:t>Zambia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Jan 2011</w:t>
            </w:r>
          </w:p>
        </w:tc>
        <w:tc>
          <w:tcPr>
            <w:tcW w:w="1272" w:type="dxa"/>
          </w:tcPr>
          <w:p w:rsidR="00324C71" w:rsidRPr="00663EE5" w:rsidRDefault="00324C71" w:rsidP="00864B87">
            <w:pPr>
              <w:autoSpaceDE w:val="0"/>
              <w:autoSpaceDN w:val="0"/>
              <w:adjustRightInd w:val="0"/>
              <w:jc w:val="center"/>
              <w:cnfStyle w:val="000000000000"/>
              <w:rPr>
                <w:rFonts w:cs="Arial"/>
                <w:color w:val="1F497D" w:themeColor="text2"/>
                <w:sz w:val="20"/>
                <w:szCs w:val="20"/>
              </w:rPr>
            </w:pPr>
            <w:r w:rsidRPr="00663EE5">
              <w:rPr>
                <w:rFonts w:cs="Arial"/>
                <w:color w:val="1F497D" w:themeColor="text2"/>
                <w:sz w:val="20"/>
                <w:szCs w:val="20"/>
              </w:rPr>
              <w:t>In process</w:t>
            </w:r>
          </w:p>
        </w:tc>
        <w:tc>
          <w:tcPr>
            <w:tcW w:w="1265" w:type="dxa"/>
          </w:tcPr>
          <w:p w:rsidR="00324C71" w:rsidRPr="00663EE5" w:rsidRDefault="00324C71" w:rsidP="00864B87">
            <w:pPr>
              <w:autoSpaceDE w:val="0"/>
              <w:autoSpaceDN w:val="0"/>
              <w:adjustRightInd w:val="0"/>
              <w:jc w:val="center"/>
              <w:cnfStyle w:val="000000000000"/>
              <w:rPr>
                <w:rFonts w:cs="Arial"/>
                <w:color w:val="1F497D" w:themeColor="text2"/>
                <w:sz w:val="20"/>
                <w:szCs w:val="20"/>
              </w:rPr>
            </w:pPr>
            <w:r w:rsidRPr="00663EE5">
              <w:rPr>
                <w:rFonts w:cs="Arial"/>
                <w:color w:val="1F497D" w:themeColor="text2"/>
                <w:sz w:val="20"/>
                <w:szCs w:val="20"/>
              </w:rPr>
              <w:t>Pending</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41.4 </w:t>
            </w:r>
          </w:p>
        </w:tc>
        <w:tc>
          <w:tcPr>
            <w:tcW w:w="1895" w:type="dxa"/>
          </w:tcPr>
          <w:p w:rsidR="00324C71" w:rsidRPr="00FE199B" w:rsidRDefault="00324C71" w:rsidP="00864B87">
            <w:pPr>
              <w:tabs>
                <w:tab w:val="left" w:pos="1233"/>
              </w:tabs>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171.0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Yes</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85% </w:t>
            </w:r>
          </w:p>
        </w:tc>
      </w:tr>
      <w:tr w:rsidR="00324C71" w:rsidTr="00864B87">
        <w:trPr>
          <w:cnfStyle w:val="000000100000"/>
        </w:trPr>
        <w:tc>
          <w:tcPr>
            <w:cnfStyle w:val="001000000000"/>
            <w:tcW w:w="15310" w:type="dxa"/>
            <w:gridSpan w:val="11"/>
          </w:tcPr>
          <w:p w:rsidR="00324C71" w:rsidRPr="00663EE5" w:rsidRDefault="00324C71" w:rsidP="00864B87">
            <w:pPr>
              <w:autoSpaceDE w:val="0"/>
              <w:autoSpaceDN w:val="0"/>
              <w:adjustRightInd w:val="0"/>
              <w:ind w:right="391"/>
              <w:rPr>
                <w:rFonts w:cs="Arial"/>
                <w:color w:val="1F497D" w:themeColor="text2"/>
                <w:sz w:val="20"/>
                <w:szCs w:val="20"/>
              </w:rPr>
            </w:pPr>
            <w:r w:rsidRPr="00663EE5">
              <w:rPr>
                <w:rFonts w:cs="Arial"/>
                <w:color w:val="1F497D" w:themeColor="text2"/>
                <w:sz w:val="20"/>
                <w:szCs w:val="20"/>
              </w:rPr>
              <w:t>Countries which have launched CAADP implementation and working towards signing compact</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Comoros</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1.8</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3.7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Congo-Brazzaville</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1.4 </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10.7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Djibouti</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1.5</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4.3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Lesotho</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0.3 </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20.4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South Africa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23.4</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21.2</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9%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Sudan</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167.0 </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291.5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80%</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Zimbabwe</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93.4</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60.5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66%</w:t>
            </w:r>
          </w:p>
        </w:tc>
      </w:tr>
      <w:tr w:rsidR="00324C71" w:rsidTr="00864B87">
        <w:trPr>
          <w:cnfStyle w:val="000000100000"/>
        </w:trPr>
        <w:tc>
          <w:tcPr>
            <w:cnfStyle w:val="001000000000"/>
            <w:tcW w:w="15310" w:type="dxa"/>
            <w:gridSpan w:val="11"/>
          </w:tcPr>
          <w:p w:rsidR="00324C71" w:rsidRPr="00663EE5" w:rsidRDefault="00324C71" w:rsidP="00864B87">
            <w:pPr>
              <w:autoSpaceDE w:val="0"/>
              <w:autoSpaceDN w:val="0"/>
              <w:adjustRightInd w:val="0"/>
              <w:ind w:right="391"/>
              <w:rPr>
                <w:rFonts w:cs="Arial"/>
                <w:color w:val="1F497D" w:themeColor="text2"/>
                <w:sz w:val="20"/>
                <w:szCs w:val="20"/>
              </w:rPr>
            </w:pPr>
            <w:r w:rsidRPr="00663EE5">
              <w:rPr>
                <w:rFonts w:cs="Arial"/>
                <w:color w:val="1F497D" w:themeColor="text2"/>
                <w:sz w:val="20"/>
                <w:szCs w:val="20"/>
              </w:rPr>
              <w:t xml:space="preserve">Countries already engaging and expected to formally launch CAADP implementation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Algeria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9.3</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4.5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14%</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Angola</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30.8</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5.3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85%</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Botswana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0.8 </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0.5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Cameroon</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71.3</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61.2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70%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Egypt</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152.7</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144.3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32%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Gabon</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31.9</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4.4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60%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Madagascar</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22.4</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51.9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Mauritius</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0.07</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0.05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9%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Namibia</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15.7</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30.4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 xml:space="preserve">Sao Tome &amp; Principe </w:t>
            </w:r>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 3.7</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9.5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r>
      <w:tr w:rsidR="00324C71" w:rsidTr="00864B87">
        <w:tc>
          <w:tcPr>
            <w:cnfStyle w:val="001000000000"/>
            <w:tcW w:w="2238" w:type="dxa"/>
          </w:tcPr>
          <w:p w:rsidR="00324C71" w:rsidRPr="00FE199B" w:rsidRDefault="00324C71" w:rsidP="00864B87">
            <w:pPr>
              <w:autoSpaceDE w:val="0"/>
              <w:autoSpaceDN w:val="0"/>
              <w:adjustRightInd w:val="0"/>
              <w:rPr>
                <w:rFonts w:cs="Arial"/>
                <w:b w:val="0"/>
                <w:color w:val="1F497D" w:themeColor="text2"/>
                <w:sz w:val="20"/>
                <w:szCs w:val="20"/>
              </w:rPr>
            </w:pPr>
            <w:r>
              <w:rPr>
                <w:rFonts w:cs="Arial"/>
                <w:b w:val="0"/>
                <w:color w:val="1F497D" w:themeColor="text2"/>
                <w:sz w:val="20"/>
                <w:szCs w:val="20"/>
              </w:rPr>
              <w:t>South Sudan – No info available</w:t>
            </w:r>
          </w:p>
        </w:tc>
        <w:tc>
          <w:tcPr>
            <w:tcW w:w="1401"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000000"/>
              <w:rPr>
                <w:rFonts w:cs="Arial"/>
                <w:color w:val="1F497D" w:themeColor="text2"/>
                <w:sz w:val="20"/>
                <w:szCs w:val="20"/>
              </w:rPr>
            </w:pPr>
            <w:r>
              <w:rPr>
                <w:rFonts w:cs="Arial"/>
                <w:color w:val="1F497D" w:themeColor="text2"/>
                <w:sz w:val="20"/>
                <w:szCs w:val="20"/>
              </w:rPr>
              <w:t xml:space="preserve"> -</w:t>
            </w:r>
          </w:p>
        </w:tc>
        <w:tc>
          <w:tcPr>
            <w:tcW w:w="1895" w:type="dxa"/>
          </w:tcPr>
          <w:p w:rsidR="00324C71" w:rsidRPr="00FE199B" w:rsidRDefault="00324C71" w:rsidP="00864B87">
            <w:pPr>
              <w:autoSpaceDE w:val="0"/>
              <w:autoSpaceDN w:val="0"/>
              <w:adjustRightInd w:val="0"/>
              <w:ind w:right="459"/>
              <w:jc w:val="right"/>
              <w:cnfStyle w:val="000000000000"/>
              <w:rPr>
                <w:rFonts w:cs="Arial"/>
                <w:color w:val="1F497D" w:themeColor="text2"/>
                <w:sz w:val="20"/>
                <w:szCs w:val="20"/>
              </w:rPr>
            </w:pPr>
            <w:r>
              <w:rPr>
                <w:rFonts w:cs="Arial"/>
                <w:color w:val="1F497D" w:themeColor="text2"/>
                <w:sz w:val="20"/>
                <w:szCs w:val="20"/>
              </w:rPr>
              <w:t xml:space="preserve">43.3 </w:t>
            </w:r>
          </w:p>
        </w:tc>
        <w:tc>
          <w:tcPr>
            <w:tcW w:w="1559"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000000"/>
              <w:rPr>
                <w:rFonts w:cs="Arial"/>
                <w:color w:val="1F497D" w:themeColor="text2"/>
                <w:sz w:val="20"/>
                <w:szCs w:val="20"/>
              </w:rPr>
            </w:pPr>
            <w:r>
              <w:rPr>
                <w:rFonts w:cs="Arial"/>
                <w:color w:val="1F497D" w:themeColor="text2"/>
                <w:sz w:val="20"/>
                <w:szCs w:val="20"/>
              </w:rPr>
              <w:t xml:space="preserve"> -</w:t>
            </w:r>
          </w:p>
        </w:tc>
      </w:tr>
      <w:tr w:rsidR="00324C71" w:rsidTr="00864B87">
        <w:trPr>
          <w:cnfStyle w:val="000000100000"/>
        </w:trPr>
        <w:tc>
          <w:tcPr>
            <w:cnfStyle w:val="001000000000"/>
            <w:tcW w:w="2238" w:type="dxa"/>
          </w:tcPr>
          <w:p w:rsidR="00324C71" w:rsidRDefault="00324C71" w:rsidP="00864B87">
            <w:pPr>
              <w:autoSpaceDE w:val="0"/>
              <w:autoSpaceDN w:val="0"/>
              <w:adjustRightInd w:val="0"/>
              <w:rPr>
                <w:rFonts w:cs="Arial"/>
                <w:b w:val="0"/>
                <w:color w:val="1F497D" w:themeColor="text2"/>
                <w:sz w:val="20"/>
                <w:szCs w:val="20"/>
              </w:rPr>
            </w:pPr>
            <w:proofErr w:type="spellStart"/>
            <w:r>
              <w:rPr>
                <w:rFonts w:cs="Arial"/>
                <w:b w:val="0"/>
                <w:color w:val="1F497D" w:themeColor="text2"/>
                <w:sz w:val="20"/>
                <w:szCs w:val="20"/>
              </w:rPr>
              <w:t>Tchad</w:t>
            </w:r>
            <w:proofErr w:type="spellEnd"/>
          </w:p>
        </w:tc>
        <w:tc>
          <w:tcPr>
            <w:tcW w:w="1401"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7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265"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sidRPr="00FE199B">
              <w:rPr>
                <w:rFonts w:cs="Arial"/>
                <w:color w:val="1F497D" w:themeColor="text2"/>
                <w:sz w:val="20"/>
                <w:szCs w:val="20"/>
              </w:rPr>
              <w:t>-</w:t>
            </w:r>
          </w:p>
        </w:tc>
        <w:tc>
          <w:tcPr>
            <w:tcW w:w="1427" w:type="dxa"/>
          </w:tcPr>
          <w:p w:rsidR="00324C71" w:rsidRPr="00FE199B" w:rsidRDefault="00324C71" w:rsidP="00864B87">
            <w:pPr>
              <w:autoSpaceDE w:val="0"/>
              <w:autoSpaceDN w:val="0"/>
              <w:adjustRightInd w:val="0"/>
              <w:ind w:right="391"/>
              <w:jc w:val="right"/>
              <w:cnfStyle w:val="000000100000"/>
              <w:rPr>
                <w:rFonts w:cs="Arial"/>
                <w:color w:val="1F497D" w:themeColor="text2"/>
                <w:sz w:val="20"/>
                <w:szCs w:val="20"/>
              </w:rPr>
            </w:pPr>
            <w:r>
              <w:rPr>
                <w:rFonts w:cs="Arial"/>
                <w:color w:val="1F497D" w:themeColor="text2"/>
                <w:sz w:val="20"/>
                <w:szCs w:val="20"/>
              </w:rPr>
              <w:t xml:space="preserve">10.1 </w:t>
            </w:r>
          </w:p>
        </w:tc>
        <w:tc>
          <w:tcPr>
            <w:tcW w:w="1895" w:type="dxa"/>
          </w:tcPr>
          <w:p w:rsidR="00324C71" w:rsidRPr="00FE199B" w:rsidRDefault="00324C71" w:rsidP="00864B87">
            <w:pPr>
              <w:autoSpaceDE w:val="0"/>
              <w:autoSpaceDN w:val="0"/>
              <w:adjustRightInd w:val="0"/>
              <w:ind w:right="459"/>
              <w:jc w:val="right"/>
              <w:cnfStyle w:val="000000100000"/>
              <w:rPr>
                <w:rFonts w:cs="Arial"/>
                <w:color w:val="1F497D" w:themeColor="text2"/>
                <w:sz w:val="20"/>
                <w:szCs w:val="20"/>
              </w:rPr>
            </w:pPr>
            <w:r>
              <w:rPr>
                <w:rFonts w:cs="Arial"/>
                <w:color w:val="1F497D" w:themeColor="text2"/>
                <w:sz w:val="20"/>
                <w:szCs w:val="20"/>
              </w:rPr>
              <w:t xml:space="preserve">36.8 </w:t>
            </w:r>
          </w:p>
        </w:tc>
        <w:tc>
          <w:tcPr>
            <w:tcW w:w="1559"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w:t>
            </w:r>
          </w:p>
        </w:tc>
        <w:tc>
          <w:tcPr>
            <w:tcW w:w="992"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993"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850" w:type="dxa"/>
          </w:tcPr>
          <w:p w:rsidR="00324C71" w:rsidRPr="00FE199B"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w:t>
            </w:r>
          </w:p>
        </w:tc>
        <w:tc>
          <w:tcPr>
            <w:tcW w:w="1418" w:type="dxa"/>
          </w:tcPr>
          <w:p w:rsidR="00324C71" w:rsidRPr="00287C38" w:rsidRDefault="00324C71" w:rsidP="00864B87">
            <w:pPr>
              <w:autoSpaceDE w:val="0"/>
              <w:autoSpaceDN w:val="0"/>
              <w:adjustRightInd w:val="0"/>
              <w:jc w:val="center"/>
              <w:cnfStyle w:val="000000100000"/>
              <w:rPr>
                <w:rFonts w:cs="Arial"/>
                <w:color w:val="1F497D" w:themeColor="text2"/>
                <w:sz w:val="20"/>
                <w:szCs w:val="20"/>
              </w:rPr>
            </w:pPr>
            <w:r>
              <w:rPr>
                <w:rFonts w:cs="Arial"/>
                <w:color w:val="1F497D" w:themeColor="text2"/>
                <w:sz w:val="20"/>
                <w:szCs w:val="20"/>
              </w:rPr>
              <w:t xml:space="preserve"> 80%</w:t>
            </w:r>
          </w:p>
        </w:tc>
      </w:tr>
    </w:tbl>
    <w:p w:rsidR="00324C71" w:rsidRDefault="00324C71" w:rsidP="00324C71">
      <w:pPr>
        <w:autoSpaceDE w:val="0"/>
        <w:autoSpaceDN w:val="0"/>
        <w:adjustRightInd w:val="0"/>
        <w:rPr>
          <w:rFonts w:ascii="Arial" w:hAnsi="Arial" w:cs="Arial"/>
          <w:b/>
          <w:color w:val="1F497D" w:themeColor="text2"/>
          <w:sz w:val="20"/>
        </w:rPr>
      </w:pPr>
    </w:p>
    <w:p w:rsidR="00324C71" w:rsidRPr="00324C71" w:rsidRDefault="00324C71" w:rsidP="00324C71">
      <w:pPr>
        <w:rPr>
          <w:rFonts w:ascii="Arial" w:hAnsi="Arial" w:cs="Arial"/>
          <w:sz w:val="20"/>
        </w:rPr>
      </w:pPr>
    </w:p>
    <w:p w:rsidR="00324C71" w:rsidRPr="00324C71" w:rsidRDefault="00324C71" w:rsidP="00324C71">
      <w:pPr>
        <w:rPr>
          <w:rFonts w:ascii="Arial" w:hAnsi="Arial" w:cs="Arial"/>
          <w:sz w:val="20"/>
        </w:rPr>
      </w:pPr>
    </w:p>
    <w:p w:rsidR="00324C71" w:rsidRPr="00324C71" w:rsidRDefault="00324C71" w:rsidP="00324C71">
      <w:pPr>
        <w:rPr>
          <w:rFonts w:ascii="Arial" w:hAnsi="Arial" w:cs="Arial"/>
          <w:sz w:val="20"/>
        </w:rPr>
      </w:pPr>
    </w:p>
    <w:p w:rsidR="00324C71" w:rsidRDefault="00324C71" w:rsidP="00324C71">
      <w:pPr>
        <w:rPr>
          <w:rFonts w:ascii="Arial" w:hAnsi="Arial" w:cs="Arial"/>
          <w:sz w:val="20"/>
        </w:rPr>
      </w:pPr>
    </w:p>
    <w:p w:rsidR="00324C71" w:rsidRDefault="00324C71" w:rsidP="00324C71">
      <w:pPr>
        <w:tabs>
          <w:tab w:val="left" w:pos="5700"/>
        </w:tabs>
        <w:rPr>
          <w:rFonts w:ascii="Arial" w:hAnsi="Arial" w:cs="Arial"/>
          <w:sz w:val="20"/>
        </w:rPr>
      </w:pPr>
      <w:r>
        <w:rPr>
          <w:rFonts w:ascii="Arial" w:hAnsi="Arial" w:cs="Arial"/>
          <w:sz w:val="20"/>
        </w:rPr>
        <w:tab/>
      </w:r>
    </w:p>
    <w:p w:rsidR="00324C71" w:rsidRDefault="00324C71" w:rsidP="00324C71">
      <w:pPr>
        <w:rPr>
          <w:rFonts w:ascii="Arial" w:hAnsi="Arial" w:cs="Arial"/>
          <w:sz w:val="20"/>
        </w:rPr>
      </w:pPr>
    </w:p>
    <w:p w:rsidR="00324C71" w:rsidRPr="00324C71" w:rsidRDefault="00324C71" w:rsidP="00324C71">
      <w:pPr>
        <w:rPr>
          <w:rFonts w:ascii="Arial" w:hAnsi="Arial" w:cs="Arial"/>
          <w:sz w:val="20"/>
        </w:rPr>
        <w:sectPr w:rsidR="00324C71" w:rsidRPr="00324C71" w:rsidSect="00AC0716">
          <w:headerReference w:type="even" r:id="rId73"/>
          <w:headerReference w:type="default" r:id="rId74"/>
          <w:footerReference w:type="even" r:id="rId75"/>
          <w:footerReference w:type="default" r:id="rId76"/>
          <w:headerReference w:type="first" r:id="rId77"/>
          <w:footerReference w:type="first" r:id="rId78"/>
          <w:pgSz w:w="16838" w:h="11899" w:orient="landscape"/>
          <w:pgMar w:top="1327" w:right="1440" w:bottom="1559" w:left="1440" w:header="709" w:footer="709" w:gutter="0"/>
          <w:pgNumType w:start="0"/>
          <w:cols w:space="708"/>
          <w:titlePg/>
        </w:sectPr>
      </w:pPr>
    </w:p>
    <w:p w:rsidR="00324C71" w:rsidRDefault="00324C71" w:rsidP="00324C71">
      <w:pPr>
        <w:jc w:val="center"/>
        <w:rPr>
          <w:rFonts w:asciiTheme="minorHAnsi" w:hAnsiTheme="minorHAnsi" w:cs="Arial"/>
          <w:b/>
          <w:color w:val="1F497D" w:themeColor="text2"/>
          <w:sz w:val="28"/>
          <w:szCs w:val="28"/>
        </w:rPr>
      </w:pPr>
      <w:r>
        <w:rPr>
          <w:rFonts w:asciiTheme="minorHAnsi" w:hAnsiTheme="minorHAnsi" w:cs="Arial"/>
          <w:b/>
          <w:color w:val="1F497D" w:themeColor="text2"/>
          <w:sz w:val="28"/>
          <w:szCs w:val="28"/>
        </w:rPr>
        <w:lastRenderedPageBreak/>
        <w:t>ANNEX 6:</w:t>
      </w:r>
    </w:p>
    <w:p w:rsidR="003F6C09" w:rsidRDefault="00324C71" w:rsidP="00324C71">
      <w:pPr>
        <w:jc w:val="center"/>
        <w:rPr>
          <w:rFonts w:asciiTheme="minorHAnsi" w:hAnsiTheme="minorHAnsi" w:cs="Arial"/>
          <w:b/>
          <w:caps/>
          <w:sz w:val="22"/>
          <w:szCs w:val="22"/>
        </w:rPr>
      </w:pPr>
      <w:r>
        <w:rPr>
          <w:rFonts w:asciiTheme="minorHAnsi" w:hAnsiTheme="minorHAnsi" w:cs="Arial"/>
          <w:b/>
          <w:caps/>
          <w:sz w:val="22"/>
          <w:szCs w:val="22"/>
        </w:rPr>
        <w:t>CORRELATION ANALYSIS</w:t>
      </w:r>
      <w:r w:rsidR="00CB4B90">
        <w:rPr>
          <w:rFonts w:asciiTheme="minorHAnsi" w:hAnsiTheme="minorHAnsi" w:cs="Arial"/>
          <w:b/>
          <w:caps/>
          <w:sz w:val="22"/>
          <w:szCs w:val="22"/>
        </w:rPr>
        <w:t xml:space="preserve"> OUTPUTS</w:t>
      </w:r>
      <w:r w:rsidR="00221F88">
        <w:rPr>
          <w:rStyle w:val="FootnoteReference"/>
          <w:rFonts w:asciiTheme="minorHAnsi" w:hAnsiTheme="minorHAnsi" w:cs="Arial"/>
          <w:b/>
          <w:caps/>
          <w:sz w:val="22"/>
          <w:szCs w:val="22"/>
        </w:rPr>
        <w:footnoteReference w:id="179"/>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50"/>
        <w:gridCol w:w="2169"/>
        <w:gridCol w:w="1589"/>
        <w:gridCol w:w="1589"/>
        <w:gridCol w:w="1589"/>
        <w:gridCol w:w="1589"/>
      </w:tblGrid>
      <w:tr w:rsidR="00CB4B90" w:rsidTr="00CB4B90">
        <w:trPr>
          <w:cantSplit/>
        </w:trPr>
        <w:tc>
          <w:tcPr>
            <w:tcW w:w="11175" w:type="dxa"/>
            <w:gridSpan w:val="6"/>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t>Correlations</w:t>
            </w:r>
          </w:p>
        </w:tc>
      </w:tr>
      <w:tr w:rsidR="00CB4B90" w:rsidTr="00CB4B90">
        <w:trPr>
          <w:cantSplit/>
        </w:trPr>
        <w:tc>
          <w:tcPr>
            <w:tcW w:w="4819"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2010</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2011</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Average OECD investment 2007-2011</w:t>
            </w:r>
          </w:p>
        </w:tc>
        <w:tc>
          <w:tcPr>
            <w:tcW w:w="1589"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2010</w:t>
            </w:r>
          </w:p>
        </w:tc>
      </w:tr>
      <w:tr w:rsidR="00CB4B90" w:rsidTr="00CB4B90">
        <w:trPr>
          <w:cantSplit/>
        </w:trPr>
        <w:tc>
          <w:tcPr>
            <w:tcW w:w="265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2010</w:t>
            </w:r>
          </w:p>
        </w:tc>
        <w:tc>
          <w:tcPr>
            <w:tcW w:w="2169"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.634</w:t>
            </w:r>
            <w:r>
              <w:rPr>
                <w:rFonts w:ascii="Arial" w:hAnsi="Arial" w:cs="Arial"/>
                <w:sz w:val="20"/>
                <w:vertAlign w:val="superscript"/>
              </w:rPr>
              <w:t>**</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.877</w:t>
            </w:r>
            <w:r>
              <w:rPr>
                <w:rFonts w:ascii="Arial" w:hAnsi="Arial" w:cs="Arial"/>
                <w:sz w:val="20"/>
                <w:vertAlign w:val="superscript"/>
              </w:rPr>
              <w:t>**</w:t>
            </w:r>
          </w:p>
        </w:tc>
        <w:tc>
          <w:tcPr>
            <w:tcW w:w="1589"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.453</w:t>
            </w:r>
            <w:r>
              <w:rPr>
                <w:rFonts w:ascii="Arial" w:hAnsi="Arial" w:cs="Arial"/>
                <w:sz w:val="20"/>
                <w:vertAlign w:val="superscript"/>
              </w:rPr>
              <w:t>**</w:t>
            </w:r>
          </w:p>
        </w:tc>
      </w:tr>
      <w:tr w:rsidR="00CB4B90" w:rsidTr="00CB4B90">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.001</w:t>
            </w:r>
          </w:p>
        </w:tc>
      </w:tr>
      <w:tr w:rsidR="00CB4B90" w:rsidTr="00CB4B90">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.634</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.820</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.340</w:t>
            </w:r>
            <w:r>
              <w:rPr>
                <w:rFonts w:ascii="Arial" w:hAnsi="Arial" w:cs="Arial"/>
                <w:sz w:val="20"/>
                <w:vertAlign w:val="superscript"/>
              </w:rPr>
              <w:t>*</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.012</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Average OECD investment 2007-2011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.877</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.820</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.419</w:t>
            </w:r>
            <w:r>
              <w:rPr>
                <w:rFonts w:ascii="Arial" w:hAnsi="Arial" w:cs="Arial"/>
                <w:sz w:val="20"/>
                <w:vertAlign w:val="superscript"/>
              </w:rPr>
              <w:t>**</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.002</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.453</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.340</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.419</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.002</w:t>
            </w:r>
          </w:p>
        </w:tc>
        <w:tc>
          <w:tcPr>
            <w:tcW w:w="1589"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265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.355</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.368</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.343</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CB4B90">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.006</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CB4B90">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620"/>
        <w:gridCol w:w="3783"/>
        <w:gridCol w:w="2772"/>
      </w:tblGrid>
      <w:tr w:rsidR="00CB4B90" w:rsidTr="00CB4B90">
        <w:trPr>
          <w:cantSplit/>
        </w:trPr>
        <w:tc>
          <w:tcPr>
            <w:tcW w:w="11175" w:type="dxa"/>
            <w:gridSpan w:val="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CB4B90">
        <w:trPr>
          <w:cantSplit/>
        </w:trPr>
        <w:tc>
          <w:tcPr>
            <w:tcW w:w="8403"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2772" w:type="dxa"/>
            <w:tcBorders>
              <w:top w:val="single" w:sz="18" w:space="0" w:color="000000"/>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2011</w:t>
            </w:r>
          </w:p>
        </w:tc>
      </w:tr>
      <w:tr w:rsidR="00CB4B90" w:rsidTr="00CB4B90">
        <w:trPr>
          <w:cantSplit/>
        </w:trPr>
        <w:tc>
          <w:tcPr>
            <w:tcW w:w="462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2010</w:t>
            </w:r>
          </w:p>
        </w:tc>
        <w:tc>
          <w:tcPr>
            <w:tcW w:w="3783"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single" w:sz="18" w:space="0" w:color="000000"/>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.355</w:t>
            </w:r>
          </w:p>
        </w:tc>
      </w:tr>
      <w:tr w:rsidR="00CB4B90" w:rsidTr="00CB4B90">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.009</w:t>
            </w:r>
          </w:p>
        </w:tc>
      </w:tr>
      <w:tr w:rsidR="00CB4B90" w:rsidTr="00CB4B90">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r>
      <w:tr w:rsidR="00CB4B90" w:rsidTr="00CB4B90">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.368</w:t>
            </w:r>
            <w:r>
              <w:rPr>
                <w:rFonts w:ascii="Arial" w:hAnsi="Arial" w:cs="Arial"/>
                <w:sz w:val="20"/>
                <w:vertAlign w:val="superscript"/>
              </w:rPr>
              <w:t>**</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.006</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Average OECD investment 2007-2011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.343</w:t>
            </w:r>
            <w:r>
              <w:rPr>
                <w:rFonts w:ascii="Arial" w:hAnsi="Arial" w:cs="Arial"/>
                <w:sz w:val="20"/>
                <w:vertAlign w:val="superscript"/>
              </w:rPr>
              <w:t>**</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.011</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CB4B90">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462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r>
              <w:rPr>
                <w:rFonts w:ascii="Arial" w:hAnsi="Arial" w:cs="Arial"/>
                <w:sz w:val="20"/>
                <w:vertAlign w:val="superscript"/>
              </w:rPr>
              <w:t>**</w:t>
            </w:r>
          </w:p>
        </w:tc>
      </w:tr>
      <w:tr w:rsidR="00CB4B90" w:rsidTr="00CB4B90">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CB4B90">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11175" w:type="dxa"/>
            <w:gridSpan w:val="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r w:rsidR="00CB4B90" w:rsidTr="00CB4B90">
        <w:trPr>
          <w:cantSplit/>
        </w:trPr>
        <w:tc>
          <w:tcPr>
            <w:tcW w:w="11175" w:type="dxa"/>
            <w:gridSpan w:val="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0.05 level (2-tailed).</w:t>
            </w:r>
          </w:p>
        </w:tc>
      </w:tr>
    </w:tbl>
    <w:p w:rsidR="00CB4B90" w:rsidRDefault="00CB4B90" w:rsidP="00CB4B90">
      <w:pPr>
        <w:spacing w:line="400" w:lineRule="atLeast"/>
        <w:rPr>
          <w:sz w:val="20"/>
        </w:rPr>
      </w:pPr>
    </w:p>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50"/>
        <w:gridCol w:w="2169"/>
        <w:gridCol w:w="1589"/>
        <w:gridCol w:w="1589"/>
        <w:gridCol w:w="1589"/>
        <w:gridCol w:w="1589"/>
      </w:tblGrid>
      <w:tr w:rsidR="00CB4B90" w:rsidTr="006A7866">
        <w:trPr>
          <w:cantSplit/>
        </w:trPr>
        <w:tc>
          <w:tcPr>
            <w:tcW w:w="11175" w:type="dxa"/>
            <w:gridSpan w:val="6"/>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6A7866">
        <w:trPr>
          <w:cantSplit/>
        </w:trPr>
        <w:tc>
          <w:tcPr>
            <w:tcW w:w="4819"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 Change in OECD investment 2009-2010</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 Change in OECD investment 2010-2011</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2010</w:t>
            </w:r>
          </w:p>
        </w:tc>
        <w:tc>
          <w:tcPr>
            <w:tcW w:w="1589"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2011</w:t>
            </w:r>
          </w:p>
        </w:tc>
      </w:tr>
      <w:tr w:rsidR="00CB4B90" w:rsidTr="006A7866">
        <w:trPr>
          <w:cantSplit/>
        </w:trPr>
        <w:tc>
          <w:tcPr>
            <w:tcW w:w="265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Change in OECD investment 2009-2010</w:t>
            </w:r>
          </w:p>
        </w:tc>
        <w:tc>
          <w:tcPr>
            <w:tcW w:w="2169"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-.137</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.167</w:t>
            </w:r>
          </w:p>
        </w:tc>
        <w:tc>
          <w:tcPr>
            <w:tcW w:w="1589"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.110</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.238</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.437</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Change in OECD investment 2010-2011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-.137</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-.222</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-.243</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.333</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.110</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.080</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.167</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.110</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265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.110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.437</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.080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175"/>
      </w:tblGrid>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bl>
    <w:p w:rsidR="00CB4B90" w:rsidRDefault="00CB4B90" w:rsidP="00CB4B90">
      <w:pPr>
        <w:spacing w:line="400" w:lineRule="atLeast"/>
        <w:rPr>
          <w:sz w:val="20"/>
        </w:rPr>
      </w:pPr>
    </w:p>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50"/>
        <w:gridCol w:w="2169"/>
        <w:gridCol w:w="1589"/>
        <w:gridCol w:w="1589"/>
        <w:gridCol w:w="1589"/>
        <w:gridCol w:w="1589"/>
      </w:tblGrid>
      <w:tr w:rsidR="00CB4B90" w:rsidTr="006A7866">
        <w:trPr>
          <w:cantSplit/>
        </w:trPr>
        <w:tc>
          <w:tcPr>
            <w:tcW w:w="11175" w:type="dxa"/>
            <w:gridSpan w:val="6"/>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6A7866">
        <w:trPr>
          <w:cantSplit/>
        </w:trPr>
        <w:tc>
          <w:tcPr>
            <w:tcW w:w="4819"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 of labour force employed in agriculture</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Agricultural labour force</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2010</w:t>
            </w:r>
          </w:p>
        </w:tc>
        <w:tc>
          <w:tcPr>
            <w:tcW w:w="1589"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2011</w:t>
            </w:r>
          </w:p>
        </w:tc>
      </w:tr>
      <w:tr w:rsidR="00CB4B90" w:rsidTr="006A7866">
        <w:trPr>
          <w:cantSplit/>
        </w:trPr>
        <w:tc>
          <w:tcPr>
            <w:tcW w:w="265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of labour force employed in agriculture</w:t>
            </w:r>
          </w:p>
        </w:tc>
        <w:tc>
          <w:tcPr>
            <w:tcW w:w="2169"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.457</w:t>
            </w:r>
            <w:r>
              <w:rPr>
                <w:rFonts w:ascii="Arial" w:hAnsi="Arial" w:cs="Arial"/>
                <w:sz w:val="20"/>
                <w:vertAlign w:val="superscript"/>
              </w:rPr>
              <w:t>**</w:t>
            </w:r>
          </w:p>
        </w:tc>
        <w:tc>
          <w:tcPr>
            <w:tcW w:w="1589"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.532</w:t>
            </w:r>
            <w:r>
              <w:rPr>
                <w:rFonts w:ascii="Arial" w:hAnsi="Arial" w:cs="Arial"/>
                <w:sz w:val="20"/>
                <w:vertAlign w:val="superscript"/>
              </w:rPr>
              <w:t>**</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.003</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Agricultural labour force</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.346</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.288</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.075</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.457</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.346</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.031</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265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.532</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.288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.075</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175"/>
      </w:tblGrid>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0.05 level (2-tailed).</w:t>
            </w:r>
          </w:p>
        </w:tc>
      </w:tr>
    </w:tbl>
    <w:p w:rsidR="00CB4B90" w:rsidRDefault="00CB4B90" w:rsidP="00CB4B90">
      <w:pPr>
        <w:spacing w:line="400" w:lineRule="atLeast"/>
        <w:rPr>
          <w:sz w:val="20"/>
        </w:rPr>
      </w:pPr>
    </w:p>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50"/>
        <w:gridCol w:w="2169"/>
        <w:gridCol w:w="1589"/>
        <w:gridCol w:w="1589"/>
        <w:gridCol w:w="1589"/>
        <w:gridCol w:w="1589"/>
      </w:tblGrid>
      <w:tr w:rsidR="00CB4B90" w:rsidTr="006A7866">
        <w:trPr>
          <w:cantSplit/>
        </w:trPr>
        <w:tc>
          <w:tcPr>
            <w:tcW w:w="11175" w:type="dxa"/>
            <w:gridSpan w:val="6"/>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6A7866">
        <w:trPr>
          <w:cantSplit/>
        </w:trPr>
        <w:tc>
          <w:tcPr>
            <w:tcW w:w="4819"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 of labour force employed in agriculture</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Agricultural labour force</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Average OECD investment 2007-2011</w:t>
            </w:r>
          </w:p>
        </w:tc>
        <w:tc>
          <w:tcPr>
            <w:tcW w:w="1589"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2011</w:t>
            </w:r>
          </w:p>
        </w:tc>
      </w:tr>
      <w:tr w:rsidR="00CB4B90" w:rsidTr="006A7866">
        <w:trPr>
          <w:cantSplit/>
        </w:trPr>
        <w:tc>
          <w:tcPr>
            <w:tcW w:w="265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of labour force employed in agriculture</w:t>
            </w:r>
          </w:p>
        </w:tc>
        <w:tc>
          <w:tcPr>
            <w:tcW w:w="2169"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.252</w:t>
            </w:r>
          </w:p>
        </w:tc>
        <w:tc>
          <w:tcPr>
            <w:tcW w:w="1589"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.335</w:t>
            </w:r>
            <w:r>
              <w:rPr>
                <w:rFonts w:ascii="Arial" w:hAnsi="Arial" w:cs="Arial"/>
                <w:sz w:val="20"/>
                <w:vertAlign w:val="superscript"/>
              </w:rPr>
              <w:t>*</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.122</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.037</w:t>
            </w:r>
          </w:p>
        </w:tc>
      </w:tr>
      <w:tr w:rsidR="00CB4B90" w:rsidTr="006A7866">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Agricultural labour force</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.529</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.366</w:t>
            </w:r>
            <w:r>
              <w:rPr>
                <w:rFonts w:ascii="Arial" w:hAnsi="Arial" w:cs="Arial"/>
                <w:sz w:val="20"/>
                <w:vertAlign w:val="superscript"/>
              </w:rPr>
              <w:t>*</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.022</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Average OECD investment 2007-2011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.252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.529</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.820</w:t>
            </w:r>
            <w:r>
              <w:rPr>
                <w:rFonts w:ascii="Arial" w:hAnsi="Arial" w:cs="Arial"/>
                <w:sz w:val="20"/>
                <w:vertAlign w:val="superscript"/>
              </w:rPr>
              <w:t>**</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.001</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265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.335</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.366</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.820</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.037</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.022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c>
          <w:tcPr>
            <w:tcW w:w="1589"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175"/>
      </w:tblGrid>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0.05 level (2-tailed).</w:t>
            </w:r>
          </w:p>
        </w:tc>
      </w:tr>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bl>
    <w:p w:rsidR="00CB4B90" w:rsidRDefault="00CB4B90" w:rsidP="00CB4B90">
      <w:pPr>
        <w:rPr>
          <w:szCs w:val="24"/>
          <w:lang w:val="en-US"/>
        </w:rPr>
      </w:pPr>
    </w:p>
    <w:p w:rsidR="00CB4B90" w:rsidRDefault="00CB4B90">
      <w:pPr>
        <w:rPr>
          <w:szCs w:val="24"/>
          <w:lang w:val="en-US"/>
        </w:rPr>
      </w:pPr>
      <w:r>
        <w:rPr>
          <w:szCs w:val="24"/>
          <w:lang w:val="en-US"/>
        </w:rPr>
        <w:br w:type="page"/>
      </w:r>
    </w:p>
    <w:p w:rsidR="00CB4B90" w:rsidRDefault="00CB4B90" w:rsidP="00CB4B90">
      <w:pPr>
        <w:rPr>
          <w:szCs w:val="24"/>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67"/>
        <w:gridCol w:w="383"/>
        <w:gridCol w:w="1176"/>
        <w:gridCol w:w="993"/>
        <w:gridCol w:w="566"/>
        <w:gridCol w:w="1023"/>
        <w:gridCol w:w="536"/>
        <w:gridCol w:w="1053"/>
        <w:gridCol w:w="506"/>
        <w:gridCol w:w="1083"/>
        <w:gridCol w:w="193"/>
        <w:gridCol w:w="1276"/>
        <w:gridCol w:w="120"/>
      </w:tblGrid>
      <w:tr w:rsidR="00CB4B90" w:rsidTr="006A7866">
        <w:trPr>
          <w:gridAfter w:val="1"/>
          <w:wAfter w:w="120" w:type="dxa"/>
          <w:cantSplit/>
        </w:trPr>
        <w:tc>
          <w:tcPr>
            <w:tcW w:w="11055" w:type="dxa"/>
            <w:gridSpan w:val="12"/>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t>Correlations</w:t>
            </w:r>
          </w:p>
        </w:tc>
      </w:tr>
      <w:tr w:rsidR="00CB4B90" w:rsidTr="006A7866">
        <w:trPr>
          <w:gridAfter w:val="1"/>
          <w:wAfter w:w="120" w:type="dxa"/>
          <w:cantSplit/>
        </w:trPr>
        <w:tc>
          <w:tcPr>
            <w:tcW w:w="3826" w:type="dxa"/>
            <w:gridSpan w:val="3"/>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59"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2009</w:t>
            </w:r>
          </w:p>
        </w:tc>
        <w:tc>
          <w:tcPr>
            <w:tcW w:w="1559"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2010</w:t>
            </w:r>
          </w:p>
        </w:tc>
        <w:tc>
          <w:tcPr>
            <w:tcW w:w="1559"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2011</w:t>
            </w:r>
          </w:p>
        </w:tc>
        <w:tc>
          <w:tcPr>
            <w:tcW w:w="1276"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 of labour force employed in agriculture</w:t>
            </w:r>
          </w:p>
        </w:tc>
        <w:tc>
          <w:tcPr>
            <w:tcW w:w="1276"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Agricultural labour force</w:t>
            </w:r>
          </w:p>
        </w:tc>
      </w:tr>
      <w:tr w:rsidR="00CB4B90" w:rsidTr="006A7866">
        <w:trPr>
          <w:gridAfter w:val="1"/>
          <w:wAfter w:w="120" w:type="dxa"/>
          <w:cantSplit/>
        </w:trPr>
        <w:tc>
          <w:tcPr>
            <w:tcW w:w="2267"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283"/>
              <w:rPr>
                <w:rFonts w:ascii="Arial" w:hAnsi="Arial" w:cs="Arial"/>
                <w:color w:val="000000"/>
                <w:sz w:val="20"/>
                <w:lang w:val="en-US"/>
              </w:rPr>
            </w:pPr>
            <w:r>
              <w:rPr>
                <w:rFonts w:ascii="Arial" w:hAnsi="Arial" w:cs="Arial"/>
                <w:sz w:val="20"/>
              </w:rPr>
              <w:t>OECD investment per agricultural capita 2009</w:t>
            </w:r>
          </w:p>
        </w:tc>
        <w:tc>
          <w:tcPr>
            <w:tcW w:w="1559" w:type="dxa"/>
            <w:gridSpan w:val="2"/>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59" w:type="dxa"/>
            <w:gridSpan w:val="2"/>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59" w:type="dxa"/>
            <w:gridSpan w:val="2"/>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.724</w:t>
            </w:r>
            <w:r>
              <w:rPr>
                <w:rFonts w:ascii="Arial" w:hAnsi="Arial" w:cs="Arial"/>
                <w:sz w:val="20"/>
                <w:vertAlign w:val="superscript"/>
              </w:rPr>
              <w:t>**</w:t>
            </w:r>
          </w:p>
        </w:tc>
        <w:tc>
          <w:tcPr>
            <w:tcW w:w="1559" w:type="dxa"/>
            <w:gridSpan w:val="2"/>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.535</w:t>
            </w:r>
            <w:r>
              <w:rPr>
                <w:rFonts w:ascii="Arial" w:hAnsi="Arial" w:cs="Arial"/>
                <w:sz w:val="20"/>
                <w:vertAlign w:val="superscript"/>
              </w:rPr>
              <w:t>**</w:t>
            </w:r>
          </w:p>
        </w:tc>
        <w:tc>
          <w:tcPr>
            <w:tcW w:w="1276" w:type="dxa"/>
            <w:gridSpan w:val="2"/>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.194</w:t>
            </w:r>
          </w:p>
        </w:tc>
        <w:tc>
          <w:tcPr>
            <w:tcW w:w="1276"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-.252</w:t>
            </w:r>
          </w:p>
        </w:tc>
      </w:tr>
      <w:tr w:rsidR="00CB4B90" w:rsidTr="006A7866">
        <w:trPr>
          <w:gridAfter w:val="1"/>
          <w:wAfter w:w="120" w:type="dxa"/>
          <w:cantSplit/>
        </w:trPr>
        <w:tc>
          <w:tcPr>
            <w:tcW w:w="2267"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59" w:type="dxa"/>
            <w:gridSpan w:val="2"/>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.236</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.122</w:t>
            </w:r>
          </w:p>
        </w:tc>
      </w:tr>
      <w:tr w:rsidR="00CB4B90" w:rsidTr="006A7866">
        <w:trPr>
          <w:gridAfter w:val="1"/>
          <w:wAfter w:w="120" w:type="dxa"/>
          <w:cantSplit/>
        </w:trPr>
        <w:tc>
          <w:tcPr>
            <w:tcW w:w="2267"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gridAfter w:val="1"/>
          <w:wAfter w:w="120" w:type="dxa"/>
          <w:cantSplit/>
        </w:trPr>
        <w:tc>
          <w:tcPr>
            <w:tcW w:w="2267"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2010</w:t>
            </w: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.724</w:t>
            </w:r>
            <w:r>
              <w:rPr>
                <w:rFonts w:ascii="Arial" w:hAnsi="Arial" w:cs="Arial"/>
                <w:sz w:val="20"/>
                <w:vertAlign w:val="superscript"/>
              </w:rPr>
              <w:t>**</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.196</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.131</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-.200</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59" w:type="dxa"/>
            <w:gridSpan w:val="2"/>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.233</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.426</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.223</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gridAfter w:val="1"/>
          <w:wAfter w:w="120" w:type="dxa"/>
          <w:cantSplit/>
        </w:trPr>
        <w:tc>
          <w:tcPr>
            <w:tcW w:w="2267"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2011</w:t>
            </w: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.535</w:t>
            </w:r>
            <w:r>
              <w:rPr>
                <w:rFonts w:ascii="Arial" w:hAnsi="Arial" w:cs="Arial"/>
                <w:sz w:val="20"/>
                <w:vertAlign w:val="superscript"/>
              </w:rPr>
              <w:t>**</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.196</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.008</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-.238</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.233</w:t>
            </w:r>
          </w:p>
        </w:tc>
        <w:tc>
          <w:tcPr>
            <w:tcW w:w="1559" w:type="dxa"/>
            <w:gridSpan w:val="2"/>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.960</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.145</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gridAfter w:val="1"/>
          <w:wAfter w:w="120" w:type="dxa"/>
          <w:cantSplit/>
        </w:trPr>
        <w:tc>
          <w:tcPr>
            <w:tcW w:w="2267"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of labour force employed in agriculture</w:t>
            </w: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.194</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.131</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.008</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.236</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.426</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.960</w:t>
            </w:r>
          </w:p>
        </w:tc>
        <w:tc>
          <w:tcPr>
            <w:tcW w:w="1276" w:type="dxa"/>
            <w:gridSpan w:val="2"/>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r>
      <w:tr w:rsidR="00CB4B90" w:rsidTr="006A7866">
        <w:trPr>
          <w:gridAfter w:val="1"/>
          <w:wAfter w:w="120" w:type="dxa"/>
          <w:cantSplit/>
        </w:trPr>
        <w:tc>
          <w:tcPr>
            <w:tcW w:w="2267"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gridAfter w:val="1"/>
          <w:wAfter w:w="120" w:type="dxa"/>
          <w:cantSplit/>
        </w:trPr>
        <w:tc>
          <w:tcPr>
            <w:tcW w:w="2267"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Agricultural labour force</w:t>
            </w: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-.252</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-.200</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-.238</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.248</w:t>
            </w:r>
          </w:p>
        </w:tc>
        <w:tc>
          <w:tcPr>
            <w:tcW w:w="1276"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gridAfter w:val="1"/>
          <w:wAfter w:w="120" w:type="dxa"/>
          <w:cantSplit/>
        </w:trPr>
        <w:tc>
          <w:tcPr>
            <w:tcW w:w="2267"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5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.122</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.223</w:t>
            </w:r>
          </w:p>
        </w:tc>
        <w:tc>
          <w:tcPr>
            <w:tcW w:w="155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.145</w:t>
            </w:r>
          </w:p>
        </w:tc>
        <w:tc>
          <w:tcPr>
            <w:tcW w:w="1276"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.128</w:t>
            </w:r>
          </w:p>
        </w:tc>
        <w:tc>
          <w:tcPr>
            <w:tcW w:w="1276"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gridAfter w:val="1"/>
          <w:wAfter w:w="120" w:type="dxa"/>
          <w:cantSplit/>
        </w:trPr>
        <w:tc>
          <w:tcPr>
            <w:tcW w:w="2267"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1559" w:type="dxa"/>
            <w:gridSpan w:val="2"/>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59" w:type="dxa"/>
            <w:gridSpan w:val="2"/>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59" w:type="dxa"/>
            <w:gridSpan w:val="2"/>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gridSpan w:val="2"/>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276"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gridAfter w:val="1"/>
          <w:wAfter w:w="120" w:type="dxa"/>
          <w:cantSplit/>
        </w:trPr>
        <w:tc>
          <w:tcPr>
            <w:tcW w:w="11055" w:type="dxa"/>
            <w:gridSpan w:val="12"/>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r w:rsidR="00CB4B90" w:rsidTr="006A7866">
        <w:trPr>
          <w:cantSplit/>
        </w:trPr>
        <w:tc>
          <w:tcPr>
            <w:tcW w:w="11175" w:type="dxa"/>
            <w:gridSpan w:val="1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sz w:val="20"/>
              </w:rPr>
              <w:lastRenderedPageBreak/>
              <w:br w:type="page"/>
            </w:r>
            <w:r>
              <w:rPr>
                <w:rFonts w:ascii="Arial" w:hAnsi="Arial" w:cs="Arial"/>
                <w:b/>
                <w:bCs/>
                <w:sz w:val="20"/>
              </w:rPr>
              <w:t>Correlations</w:t>
            </w:r>
          </w:p>
        </w:tc>
      </w:tr>
      <w:tr w:rsidR="00CB4B90" w:rsidTr="006A7866">
        <w:trPr>
          <w:cantSplit/>
        </w:trPr>
        <w:tc>
          <w:tcPr>
            <w:tcW w:w="4819" w:type="dxa"/>
            <w:gridSpan w:val="4"/>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2009</w:t>
            </w:r>
          </w:p>
        </w:tc>
        <w:tc>
          <w:tcPr>
            <w:tcW w:w="1589"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2010</w:t>
            </w:r>
          </w:p>
        </w:tc>
        <w:tc>
          <w:tcPr>
            <w:tcW w:w="1589"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agricultural capita 2011</w:t>
            </w:r>
          </w:p>
        </w:tc>
        <w:tc>
          <w:tcPr>
            <w:tcW w:w="1589" w:type="dxa"/>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2010</w:t>
            </w:r>
          </w:p>
        </w:tc>
      </w:tr>
      <w:tr w:rsidR="00CB4B90" w:rsidTr="006A7866">
        <w:trPr>
          <w:cantSplit/>
        </w:trPr>
        <w:tc>
          <w:tcPr>
            <w:tcW w:w="2650" w:type="dxa"/>
            <w:gridSpan w:val="2"/>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2009</w:t>
            </w:r>
          </w:p>
        </w:tc>
        <w:tc>
          <w:tcPr>
            <w:tcW w:w="2169" w:type="dxa"/>
            <w:gridSpan w:val="2"/>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gridSpan w:val="2"/>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gridSpan w:val="2"/>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.724</w:t>
            </w:r>
            <w:r>
              <w:rPr>
                <w:rFonts w:ascii="Arial" w:hAnsi="Arial" w:cs="Arial"/>
                <w:sz w:val="20"/>
                <w:vertAlign w:val="superscript"/>
              </w:rPr>
              <w:t>**</w:t>
            </w:r>
          </w:p>
        </w:tc>
        <w:tc>
          <w:tcPr>
            <w:tcW w:w="1589" w:type="dxa"/>
            <w:gridSpan w:val="2"/>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.535</w:t>
            </w:r>
            <w:r>
              <w:rPr>
                <w:rFonts w:ascii="Arial" w:hAnsi="Arial" w:cs="Arial"/>
                <w:sz w:val="20"/>
                <w:vertAlign w:val="superscript"/>
              </w:rPr>
              <w:t>**</w:t>
            </w:r>
          </w:p>
        </w:tc>
        <w:tc>
          <w:tcPr>
            <w:tcW w:w="1589" w:type="dxa"/>
            <w:gridSpan w:val="3"/>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.234</w:t>
            </w:r>
          </w:p>
        </w:tc>
      </w:tr>
      <w:tr w:rsidR="00CB4B90" w:rsidTr="006A7866">
        <w:trPr>
          <w:cantSplit/>
        </w:trPr>
        <w:tc>
          <w:tcPr>
            <w:tcW w:w="2650" w:type="dxa"/>
            <w:gridSpan w:val="2"/>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gridSpan w:val="2"/>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.152</w:t>
            </w:r>
          </w:p>
        </w:tc>
      </w:tr>
      <w:tr w:rsidR="00CB4B90" w:rsidTr="006A7866">
        <w:trPr>
          <w:cantSplit/>
        </w:trPr>
        <w:tc>
          <w:tcPr>
            <w:tcW w:w="2650" w:type="dxa"/>
            <w:gridSpan w:val="2"/>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gridSpan w:val="2"/>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2010</w:t>
            </w: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.724</w:t>
            </w:r>
            <w:r>
              <w:rPr>
                <w:rFonts w:ascii="Arial" w:hAnsi="Arial" w:cs="Arial"/>
                <w:sz w:val="20"/>
                <w:vertAlign w:val="superscript"/>
              </w:rPr>
              <w:t>**</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.196</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.249</w:t>
            </w: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gridSpan w:val="2"/>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.233</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.126</w:t>
            </w: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gridSpan w:val="2"/>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2011</w:t>
            </w: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.535</w:t>
            </w:r>
            <w:r>
              <w:rPr>
                <w:rFonts w:ascii="Arial" w:hAnsi="Arial" w:cs="Arial"/>
                <w:sz w:val="20"/>
                <w:vertAlign w:val="superscript"/>
              </w:rPr>
              <w:t>**</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.196</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.170</w:t>
            </w: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.233</w:t>
            </w:r>
          </w:p>
        </w:tc>
        <w:tc>
          <w:tcPr>
            <w:tcW w:w="1589" w:type="dxa"/>
            <w:gridSpan w:val="2"/>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.302</w:t>
            </w: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2650" w:type="dxa"/>
            <w:gridSpan w:val="2"/>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.234</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.249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.170</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.152</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.126</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.302</w:t>
            </w:r>
          </w:p>
        </w:tc>
        <w:tc>
          <w:tcPr>
            <w:tcW w:w="1589" w:type="dxa"/>
            <w:gridSpan w:val="3"/>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2650" w:type="dxa"/>
            <w:gridSpan w:val="2"/>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2650" w:type="dxa"/>
            <w:gridSpan w:val="2"/>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.197</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.207</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.200</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6A7866">
        <w:trPr>
          <w:cantSplit/>
        </w:trPr>
        <w:tc>
          <w:tcPr>
            <w:tcW w:w="2650" w:type="dxa"/>
            <w:gridSpan w:val="2"/>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gridSpan w:val="2"/>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.230</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.205</w:t>
            </w:r>
          </w:p>
        </w:tc>
        <w:tc>
          <w:tcPr>
            <w:tcW w:w="1589" w:type="dxa"/>
            <w:gridSpan w:val="2"/>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.221</w:t>
            </w:r>
          </w:p>
        </w:tc>
        <w:tc>
          <w:tcPr>
            <w:tcW w:w="1589" w:type="dxa"/>
            <w:gridSpan w:val="3"/>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2650" w:type="dxa"/>
            <w:gridSpan w:val="2"/>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gridSpan w:val="2"/>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gridSpan w:val="2"/>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2"/>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gridSpan w:val="3"/>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620"/>
        <w:gridCol w:w="3783"/>
        <w:gridCol w:w="2772"/>
      </w:tblGrid>
      <w:tr w:rsidR="00CB4B90" w:rsidTr="006A7866">
        <w:trPr>
          <w:cantSplit/>
        </w:trPr>
        <w:tc>
          <w:tcPr>
            <w:tcW w:w="11175" w:type="dxa"/>
            <w:gridSpan w:val="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6A7866">
        <w:trPr>
          <w:cantSplit/>
        </w:trPr>
        <w:tc>
          <w:tcPr>
            <w:tcW w:w="8403"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2772" w:type="dxa"/>
            <w:tcBorders>
              <w:top w:val="single" w:sz="18" w:space="0" w:color="000000"/>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2011</w:t>
            </w:r>
          </w:p>
        </w:tc>
      </w:tr>
      <w:tr w:rsidR="00CB4B90" w:rsidTr="006A7866">
        <w:trPr>
          <w:cantSplit/>
        </w:trPr>
        <w:tc>
          <w:tcPr>
            <w:tcW w:w="462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2009</w:t>
            </w:r>
          </w:p>
        </w:tc>
        <w:tc>
          <w:tcPr>
            <w:tcW w:w="3783"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single" w:sz="18" w:space="0" w:color="000000"/>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.197</w:t>
            </w:r>
          </w:p>
        </w:tc>
      </w:tr>
      <w:tr w:rsidR="00CB4B90" w:rsidTr="006A7866">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.230</w:t>
            </w:r>
          </w:p>
        </w:tc>
      </w:tr>
      <w:tr w:rsidR="00CB4B90" w:rsidTr="006A7866">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2010</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.207</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.205</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agricultural capita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.200</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.221</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462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6A7866">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175"/>
      </w:tblGrid>
      <w:tr w:rsidR="00CB4B90" w:rsidTr="00CB4B90">
        <w:trPr>
          <w:cantSplit/>
        </w:trPr>
        <w:tc>
          <w:tcPr>
            <w:tcW w:w="11175"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bl>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50"/>
        <w:gridCol w:w="2169"/>
        <w:gridCol w:w="1589"/>
        <w:gridCol w:w="1589"/>
        <w:gridCol w:w="1589"/>
        <w:gridCol w:w="1589"/>
      </w:tblGrid>
      <w:tr w:rsidR="00CB4B90" w:rsidTr="00CB4B90">
        <w:trPr>
          <w:cantSplit/>
        </w:trPr>
        <w:tc>
          <w:tcPr>
            <w:tcW w:w="11175" w:type="dxa"/>
            <w:gridSpan w:val="6"/>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CB4B90">
        <w:trPr>
          <w:cantSplit/>
        </w:trPr>
        <w:tc>
          <w:tcPr>
            <w:tcW w:w="4819"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single" w:sz="18" w:space="0" w:color="000000"/>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capita 2009</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capita 2010</w:t>
            </w:r>
          </w:p>
        </w:tc>
        <w:tc>
          <w:tcPr>
            <w:tcW w:w="1589" w:type="dxa"/>
            <w:tcBorders>
              <w:top w:val="single" w:sz="18" w:space="0" w:color="000000"/>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OECD investment per capita 2011</w:t>
            </w:r>
          </w:p>
        </w:tc>
        <w:tc>
          <w:tcPr>
            <w:tcW w:w="1589" w:type="dxa"/>
            <w:tcBorders>
              <w:top w:val="single" w:sz="18" w:space="0" w:color="000000"/>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2010</w:t>
            </w:r>
          </w:p>
        </w:tc>
      </w:tr>
      <w:tr w:rsidR="00CB4B90" w:rsidTr="00CB4B90">
        <w:trPr>
          <w:cantSplit/>
        </w:trPr>
        <w:tc>
          <w:tcPr>
            <w:tcW w:w="265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2009</w:t>
            </w:r>
          </w:p>
        </w:tc>
        <w:tc>
          <w:tcPr>
            <w:tcW w:w="2169"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single" w:sz="18" w:space="0" w:color="000000"/>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.654</w:t>
            </w:r>
            <w:r>
              <w:rPr>
                <w:rFonts w:ascii="Arial" w:hAnsi="Arial" w:cs="Arial"/>
                <w:sz w:val="20"/>
                <w:vertAlign w:val="superscript"/>
              </w:rPr>
              <w:t>**</w:t>
            </w:r>
          </w:p>
        </w:tc>
        <w:tc>
          <w:tcPr>
            <w:tcW w:w="1589" w:type="dxa"/>
            <w:tcBorders>
              <w:top w:val="single" w:sz="18" w:space="0" w:color="000000"/>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.585</w:t>
            </w:r>
            <w:r>
              <w:rPr>
                <w:rFonts w:ascii="Arial" w:hAnsi="Arial" w:cs="Arial"/>
                <w:sz w:val="20"/>
                <w:vertAlign w:val="superscript"/>
              </w:rPr>
              <w:t>**</w:t>
            </w:r>
          </w:p>
        </w:tc>
        <w:tc>
          <w:tcPr>
            <w:tcW w:w="1589" w:type="dxa"/>
            <w:tcBorders>
              <w:top w:val="single" w:sz="18" w:space="0" w:color="000000"/>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.379</w:t>
            </w:r>
            <w:r>
              <w:rPr>
                <w:rFonts w:ascii="Arial" w:hAnsi="Arial" w:cs="Arial"/>
                <w:sz w:val="20"/>
                <w:vertAlign w:val="superscript"/>
              </w:rPr>
              <w:t>*</w:t>
            </w:r>
          </w:p>
        </w:tc>
      </w:tr>
      <w:tr w:rsidR="00CB4B90" w:rsidTr="00CB4B90">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.017</w:t>
            </w:r>
          </w:p>
        </w:tc>
      </w:tr>
      <w:tr w:rsidR="00CB4B90" w:rsidTr="00CB4B90">
        <w:trPr>
          <w:cantSplit/>
        </w:trPr>
        <w:tc>
          <w:tcPr>
            <w:tcW w:w="265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2010</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.654</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.232</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.322</w:t>
            </w:r>
            <w:r>
              <w:rPr>
                <w:rFonts w:ascii="Arial" w:hAnsi="Arial" w:cs="Arial"/>
                <w:sz w:val="20"/>
                <w:vertAlign w:val="superscript"/>
              </w:rPr>
              <w:t>*</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.155</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.045</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.585</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.232</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.283</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.155</w:t>
            </w:r>
          </w:p>
        </w:tc>
        <w:tc>
          <w:tcPr>
            <w:tcW w:w="1589" w:type="dxa"/>
            <w:tcBorders>
              <w:top w:val="nil"/>
              <w:left w:val="single" w:sz="8" w:space="0" w:color="000000"/>
              <w:bottom w:val="nil"/>
              <w:right w:val="single" w:sz="8" w:space="0" w:color="000000"/>
            </w:tcBorders>
            <w:shd w:val="clear" w:color="auto" w:fill="FFFFFF"/>
          </w:tcPr>
          <w:p w:rsidR="00CB4B90" w:rsidRDefault="00CB4B90">
            <w:pPr>
              <w:widowControl w:val="0"/>
              <w:autoSpaceDE w:val="0"/>
              <w:autoSpaceDN w:val="0"/>
              <w:adjustRightInd w:val="0"/>
              <w:rPr>
                <w:sz w:val="20"/>
                <w:lang w:val="en-US"/>
              </w:rPr>
            </w:pP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.081</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CB4B90">
        <w:trPr>
          <w:cantSplit/>
        </w:trPr>
        <w:tc>
          <w:tcPr>
            <w:tcW w:w="265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.379</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.322</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.283</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.017</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.045</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.081</w:t>
            </w:r>
          </w:p>
        </w:tc>
        <w:tc>
          <w:tcPr>
            <w:tcW w:w="1589" w:type="dxa"/>
            <w:tcBorders>
              <w:top w:val="nil"/>
              <w:left w:val="single" w:sz="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CB4B90">
        <w:trPr>
          <w:cantSplit/>
        </w:trPr>
        <w:tc>
          <w:tcPr>
            <w:tcW w:w="265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CB4B90">
        <w:trPr>
          <w:cantSplit/>
        </w:trPr>
        <w:tc>
          <w:tcPr>
            <w:tcW w:w="265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.358</w:t>
            </w:r>
            <w:r>
              <w:rPr>
                <w:rFonts w:ascii="Arial" w:hAnsi="Arial" w:cs="Arial"/>
                <w:sz w:val="20"/>
                <w:vertAlign w:val="superscript"/>
              </w:rPr>
              <w:t>*</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.291</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.331</w:t>
            </w:r>
            <w:r>
              <w:rPr>
                <w:rFonts w:ascii="Arial" w:hAnsi="Arial" w:cs="Arial"/>
                <w:sz w:val="20"/>
                <w:vertAlign w:val="superscript"/>
              </w:rPr>
              <w:t>*</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CB4B90">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1589" w:type="dxa"/>
            <w:tcBorders>
              <w:top w:val="nil"/>
              <w:left w:val="single" w:sz="1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.025</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.073</w:t>
            </w:r>
          </w:p>
        </w:tc>
        <w:tc>
          <w:tcPr>
            <w:tcW w:w="1589" w:type="dxa"/>
            <w:tcBorders>
              <w:top w:val="nil"/>
              <w:left w:val="single" w:sz="8" w:space="0" w:color="000000"/>
              <w:bottom w:val="nil"/>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.039</w:t>
            </w:r>
          </w:p>
        </w:tc>
        <w:tc>
          <w:tcPr>
            <w:tcW w:w="1589" w:type="dxa"/>
            <w:tcBorders>
              <w:top w:val="nil"/>
              <w:left w:val="single" w:sz="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CB4B90">
        <w:trPr>
          <w:cantSplit/>
        </w:trPr>
        <w:tc>
          <w:tcPr>
            <w:tcW w:w="265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2169"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1589" w:type="dxa"/>
            <w:tcBorders>
              <w:top w:val="nil"/>
              <w:left w:val="single" w:sz="1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c>
          <w:tcPr>
            <w:tcW w:w="1589" w:type="dxa"/>
            <w:tcBorders>
              <w:top w:val="nil"/>
              <w:left w:val="single" w:sz="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p w:rsidR="006A7866" w:rsidRDefault="006A7866">
      <w:r>
        <w:br w:type="page"/>
      </w: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620"/>
        <w:gridCol w:w="3783"/>
        <w:gridCol w:w="2772"/>
      </w:tblGrid>
      <w:tr w:rsidR="00CB4B90" w:rsidTr="006A7866">
        <w:trPr>
          <w:cantSplit/>
        </w:trPr>
        <w:tc>
          <w:tcPr>
            <w:tcW w:w="11175" w:type="dxa"/>
            <w:gridSpan w:val="3"/>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b/>
                <w:bCs/>
                <w:sz w:val="20"/>
              </w:rPr>
              <w:lastRenderedPageBreak/>
              <w:t>Correlations</w:t>
            </w:r>
          </w:p>
        </w:tc>
      </w:tr>
      <w:tr w:rsidR="00CB4B90" w:rsidTr="006A7866">
        <w:trPr>
          <w:cantSplit/>
        </w:trPr>
        <w:tc>
          <w:tcPr>
            <w:tcW w:w="8403" w:type="dxa"/>
            <w:gridSpan w:val="2"/>
            <w:tcBorders>
              <w:top w:val="single" w:sz="18" w:space="0" w:color="000000"/>
              <w:left w:val="single" w:sz="18" w:space="0" w:color="000000"/>
              <w:bottom w:val="single" w:sz="18" w:space="0" w:color="000000"/>
              <w:right w:val="nil"/>
            </w:tcBorders>
            <w:shd w:val="clear" w:color="auto" w:fill="FFFFFF"/>
          </w:tcPr>
          <w:p w:rsidR="00CB4B90" w:rsidRDefault="00CB4B90">
            <w:pPr>
              <w:widowControl w:val="0"/>
              <w:autoSpaceDE w:val="0"/>
              <w:autoSpaceDN w:val="0"/>
              <w:adjustRightInd w:val="0"/>
              <w:rPr>
                <w:sz w:val="20"/>
                <w:lang w:val="en-US"/>
              </w:rPr>
            </w:pPr>
          </w:p>
        </w:tc>
        <w:tc>
          <w:tcPr>
            <w:tcW w:w="2772" w:type="dxa"/>
            <w:tcBorders>
              <w:top w:val="single" w:sz="18" w:space="0" w:color="000000"/>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center"/>
              <w:rPr>
                <w:rFonts w:ascii="Arial" w:hAnsi="Arial" w:cs="Arial"/>
                <w:color w:val="000000"/>
                <w:sz w:val="20"/>
                <w:lang w:val="en-US"/>
              </w:rPr>
            </w:pPr>
            <w:r>
              <w:rPr>
                <w:rFonts w:ascii="Arial" w:hAnsi="Arial" w:cs="Arial"/>
                <w:sz w:val="20"/>
              </w:rPr>
              <w:t>Whether has a CAADP Compact in 2011</w:t>
            </w:r>
          </w:p>
        </w:tc>
      </w:tr>
      <w:tr w:rsidR="00CB4B90" w:rsidTr="006A7866">
        <w:trPr>
          <w:cantSplit/>
        </w:trPr>
        <w:tc>
          <w:tcPr>
            <w:tcW w:w="4620" w:type="dxa"/>
            <w:vMerge w:val="restart"/>
            <w:tcBorders>
              <w:top w:val="single" w:sz="18" w:space="0" w:color="000000"/>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2009</w:t>
            </w:r>
          </w:p>
        </w:tc>
        <w:tc>
          <w:tcPr>
            <w:tcW w:w="3783" w:type="dxa"/>
            <w:tcBorders>
              <w:top w:val="single" w:sz="18" w:space="0" w:color="000000"/>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single" w:sz="18" w:space="0" w:color="000000"/>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.358</w:t>
            </w:r>
          </w:p>
        </w:tc>
      </w:tr>
      <w:tr w:rsidR="00CB4B90" w:rsidTr="006A7866">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.025</w:t>
            </w:r>
          </w:p>
        </w:tc>
      </w:tr>
      <w:tr w:rsidR="00CB4B90" w:rsidTr="006A7866">
        <w:trPr>
          <w:cantSplit/>
        </w:trPr>
        <w:tc>
          <w:tcPr>
            <w:tcW w:w="4620" w:type="dxa"/>
            <w:vMerge/>
            <w:tcBorders>
              <w:top w:val="single" w:sz="18" w:space="0" w:color="000000"/>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2010</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.291</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.073</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OECD investment per capita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.331</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.039</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39</w:t>
            </w:r>
          </w:p>
        </w:tc>
      </w:tr>
      <w:tr w:rsidR="00CB4B90" w:rsidTr="006A7866">
        <w:trPr>
          <w:cantSplit/>
        </w:trPr>
        <w:tc>
          <w:tcPr>
            <w:tcW w:w="4620" w:type="dxa"/>
            <w:vMerge w:val="restart"/>
            <w:tcBorders>
              <w:top w:val="nil"/>
              <w:left w:val="single" w:sz="18" w:space="0" w:color="000000"/>
              <w:bottom w:val="nil"/>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2010</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.770</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.000</w:t>
            </w:r>
          </w:p>
        </w:tc>
      </w:tr>
      <w:tr w:rsidR="00CB4B90" w:rsidTr="006A7866">
        <w:trPr>
          <w:cantSplit/>
        </w:trPr>
        <w:tc>
          <w:tcPr>
            <w:tcW w:w="4620" w:type="dxa"/>
            <w:vMerge/>
            <w:tcBorders>
              <w:top w:val="nil"/>
              <w:left w:val="single" w:sz="18" w:space="0" w:color="000000"/>
              <w:bottom w:val="nil"/>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r w:rsidR="00CB4B90" w:rsidTr="006A7866">
        <w:trPr>
          <w:cantSplit/>
        </w:trPr>
        <w:tc>
          <w:tcPr>
            <w:tcW w:w="4620" w:type="dxa"/>
            <w:vMerge w:val="restart"/>
            <w:tcBorders>
              <w:top w:val="nil"/>
              <w:left w:val="single" w:sz="18" w:space="0" w:color="000000"/>
              <w:bottom w:val="single" w:sz="18" w:space="0" w:color="000000"/>
              <w:right w:val="nil"/>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Whether has a CAADP Compact in 2011</w:t>
            </w: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Pearson Correlation</w:t>
            </w:r>
          </w:p>
        </w:tc>
        <w:tc>
          <w:tcPr>
            <w:tcW w:w="2772" w:type="dxa"/>
            <w:tcBorders>
              <w:top w:val="nil"/>
              <w:left w:val="single" w:sz="18" w:space="0" w:color="000000"/>
              <w:bottom w:val="nil"/>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1</w:t>
            </w:r>
            <w:r>
              <w:rPr>
                <w:rFonts w:ascii="Arial" w:hAnsi="Arial" w:cs="Arial"/>
                <w:sz w:val="20"/>
                <w:vertAlign w:val="superscript"/>
              </w:rPr>
              <w:t>*</w:t>
            </w:r>
          </w:p>
        </w:tc>
      </w:tr>
      <w:tr w:rsidR="00CB4B90" w:rsidTr="006A7866">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nil"/>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Sig. (2-tailed)</w:t>
            </w:r>
          </w:p>
        </w:tc>
        <w:tc>
          <w:tcPr>
            <w:tcW w:w="2772" w:type="dxa"/>
            <w:tcBorders>
              <w:top w:val="nil"/>
              <w:left w:val="single" w:sz="18" w:space="0" w:color="000000"/>
              <w:bottom w:val="nil"/>
              <w:right w:val="single" w:sz="18" w:space="0" w:color="000000"/>
            </w:tcBorders>
            <w:shd w:val="clear" w:color="auto" w:fill="FFFFFF"/>
          </w:tcPr>
          <w:p w:rsidR="00CB4B90" w:rsidRDefault="00CB4B90">
            <w:pPr>
              <w:widowControl w:val="0"/>
              <w:autoSpaceDE w:val="0"/>
              <w:autoSpaceDN w:val="0"/>
              <w:adjustRightInd w:val="0"/>
              <w:rPr>
                <w:sz w:val="20"/>
                <w:lang w:val="en-US"/>
              </w:rPr>
            </w:pPr>
          </w:p>
        </w:tc>
      </w:tr>
      <w:tr w:rsidR="00CB4B90" w:rsidTr="006A7866">
        <w:trPr>
          <w:cantSplit/>
        </w:trPr>
        <w:tc>
          <w:tcPr>
            <w:tcW w:w="4620" w:type="dxa"/>
            <w:vMerge/>
            <w:tcBorders>
              <w:top w:val="nil"/>
              <w:left w:val="single" w:sz="18" w:space="0" w:color="000000"/>
              <w:bottom w:val="single" w:sz="18" w:space="0" w:color="000000"/>
              <w:right w:val="nil"/>
            </w:tcBorders>
            <w:vAlign w:val="center"/>
            <w:hideMark/>
          </w:tcPr>
          <w:p w:rsidR="00CB4B90" w:rsidRDefault="00CB4B90">
            <w:pPr>
              <w:rPr>
                <w:rFonts w:ascii="Arial" w:hAnsi="Arial" w:cs="Arial"/>
                <w:color w:val="000000"/>
                <w:sz w:val="20"/>
                <w:lang w:val="en-US"/>
              </w:rPr>
            </w:pPr>
          </w:p>
        </w:tc>
        <w:tc>
          <w:tcPr>
            <w:tcW w:w="3783" w:type="dxa"/>
            <w:tcBorders>
              <w:top w:val="nil"/>
              <w:left w:val="nil"/>
              <w:bottom w:val="single" w:sz="18" w:space="0" w:color="000000"/>
              <w:right w:val="single" w:sz="18" w:space="0" w:color="000000"/>
            </w:tcBorders>
            <w:shd w:val="clear" w:color="auto" w:fill="FFFFFF"/>
            <w:vAlign w:val="center"/>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N</w:t>
            </w:r>
          </w:p>
        </w:tc>
        <w:tc>
          <w:tcPr>
            <w:tcW w:w="2772" w:type="dxa"/>
            <w:tcBorders>
              <w:top w:val="nil"/>
              <w:left w:val="single" w:sz="18" w:space="0" w:color="000000"/>
              <w:bottom w:val="single" w:sz="18" w:space="0" w:color="000000"/>
              <w:right w:val="single" w:sz="18" w:space="0" w:color="000000"/>
            </w:tcBorders>
            <w:shd w:val="clear" w:color="auto" w:fill="FFFFFF"/>
            <w:hideMark/>
          </w:tcPr>
          <w:p w:rsidR="00CB4B90" w:rsidRDefault="00CB4B90">
            <w:pPr>
              <w:widowControl w:val="0"/>
              <w:autoSpaceDE w:val="0"/>
              <w:autoSpaceDN w:val="0"/>
              <w:adjustRightInd w:val="0"/>
              <w:spacing w:line="320" w:lineRule="atLeast"/>
              <w:ind w:left="60" w:right="60"/>
              <w:jc w:val="right"/>
              <w:rPr>
                <w:rFonts w:ascii="Arial" w:hAnsi="Arial" w:cs="Arial"/>
                <w:color w:val="000000"/>
                <w:sz w:val="20"/>
                <w:lang w:val="en-US"/>
              </w:rPr>
            </w:pPr>
            <w:r>
              <w:rPr>
                <w:rFonts w:ascii="Arial" w:hAnsi="Arial" w:cs="Arial"/>
                <w:sz w:val="20"/>
              </w:rPr>
              <w:t>54</w:t>
            </w:r>
          </w:p>
        </w:tc>
      </w:tr>
    </w:tbl>
    <w:p w:rsidR="00CB4B90" w:rsidRDefault="00CB4B90" w:rsidP="00CB4B90">
      <w:pPr>
        <w:rPr>
          <w:rFonts w:ascii="Arial" w:hAnsi="Arial" w:cs="Arial"/>
          <w:color w:val="000000"/>
          <w:sz w:val="20"/>
          <w:lang w:val="en-US"/>
        </w:rPr>
      </w:pPr>
    </w:p>
    <w:tbl>
      <w:tblPr>
        <w:tblW w:w="1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175"/>
      </w:tblGrid>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0.01 level (2-tailed).</w:t>
            </w:r>
          </w:p>
        </w:tc>
      </w:tr>
      <w:tr w:rsidR="00CB4B90" w:rsidTr="00CB4B90">
        <w:trPr>
          <w:cantSplit/>
        </w:trPr>
        <w:tc>
          <w:tcPr>
            <w:tcW w:w="11179" w:type="dxa"/>
            <w:tcBorders>
              <w:top w:val="nil"/>
              <w:left w:val="nil"/>
              <w:bottom w:val="nil"/>
              <w:right w:val="nil"/>
            </w:tcBorders>
            <w:shd w:val="clear" w:color="auto" w:fill="FFFFFF"/>
            <w:hideMark/>
          </w:tcPr>
          <w:p w:rsidR="00CB4B90" w:rsidRDefault="00CB4B90">
            <w:pPr>
              <w:widowControl w:val="0"/>
              <w:autoSpaceDE w:val="0"/>
              <w:autoSpaceDN w:val="0"/>
              <w:adjustRightInd w:val="0"/>
              <w:spacing w:line="320" w:lineRule="atLeast"/>
              <w:ind w:left="60" w:right="60"/>
              <w:rPr>
                <w:rFonts w:ascii="Arial" w:hAnsi="Arial" w:cs="Arial"/>
                <w:color w:val="000000"/>
                <w:sz w:val="20"/>
                <w:lang w:val="en-US"/>
              </w:rPr>
            </w:pPr>
            <w:r>
              <w:rPr>
                <w:rFonts w:ascii="Arial" w:hAnsi="Arial" w:cs="Arial"/>
                <w:sz w:val="20"/>
              </w:rPr>
              <w:t>*. Correlation is significant at the 0.05 level (2-tailed).</w:t>
            </w:r>
          </w:p>
        </w:tc>
      </w:tr>
    </w:tbl>
    <w:p w:rsidR="006A7866" w:rsidRDefault="006A7866" w:rsidP="00CB4B90">
      <w:pPr>
        <w:spacing w:line="400" w:lineRule="atLeast"/>
        <w:rPr>
          <w:sz w:val="20"/>
          <w:lang w:val="en-US"/>
        </w:rPr>
        <w:sectPr w:rsidR="006A7866" w:rsidSect="006A7866">
          <w:headerReference w:type="even" r:id="rId79"/>
          <w:headerReference w:type="default" r:id="rId80"/>
          <w:footerReference w:type="even" r:id="rId81"/>
          <w:footerReference w:type="default" r:id="rId82"/>
          <w:headerReference w:type="first" r:id="rId83"/>
          <w:footerReference w:type="first" r:id="rId84"/>
          <w:pgSz w:w="16838" w:h="11899" w:orient="landscape"/>
          <w:pgMar w:top="1327" w:right="1134" w:bottom="1559" w:left="1440" w:header="709" w:footer="709" w:gutter="0"/>
          <w:pgNumType w:start="0"/>
          <w:cols w:space="708"/>
          <w:titlePg/>
        </w:sectPr>
      </w:pPr>
    </w:p>
    <w:p w:rsidR="00CB4B90" w:rsidRDefault="00CB4B90" w:rsidP="00CB4B90">
      <w:pPr>
        <w:spacing w:line="400" w:lineRule="atLeast"/>
        <w:rPr>
          <w:sz w:val="20"/>
          <w:lang w:val="en-US"/>
        </w:rPr>
      </w:pPr>
    </w:p>
    <w:p w:rsidR="00CB4B90" w:rsidRPr="00A709E8" w:rsidRDefault="00CB4B90" w:rsidP="00324C71">
      <w:pPr>
        <w:jc w:val="center"/>
      </w:pPr>
    </w:p>
    <w:sectPr w:rsidR="00CB4B90" w:rsidRPr="00A709E8" w:rsidSect="00CB4B90">
      <w:pgSz w:w="11899" w:h="16838"/>
      <w:pgMar w:top="1440" w:right="1325" w:bottom="1135" w:left="1560" w:header="708" w:footer="708"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B89" w:rsidRDefault="00834B89">
      <w:r>
        <w:separator/>
      </w:r>
    </w:p>
  </w:endnote>
  <w:endnote w:type="continuationSeparator" w:id="0">
    <w:p w:rsidR="00834B89" w:rsidRDefault="00834B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merican Typewriter">
    <w:altName w:val="American Typewriter"/>
    <w:panose1 w:val="00000000000000000000"/>
    <w:charset w:val="00"/>
    <w:family w:val="roman"/>
    <w:notTrueType/>
    <w:pitch w:val="default"/>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Meta Normal">
    <w:altName w:val="Meta Normal"/>
    <w:panose1 w:val="00000000000000000000"/>
    <w:charset w:val="00"/>
    <w:family w:val="roman"/>
    <w:notTrueType/>
    <w:pitch w:val="default"/>
    <w:sig w:usb0="00000003" w:usb1="00000000" w:usb2="00000000" w:usb3="00000000" w:csb0="00000001" w:csb1="00000000"/>
  </w:font>
  <w:font w:name="VistaSansReg">
    <w:panose1 w:val="00000000000000000000"/>
    <w:charset w:val="00"/>
    <w:family w:val="auto"/>
    <w:notTrueType/>
    <w:pitch w:val="default"/>
    <w:sig w:usb0="00000003" w:usb1="00000000" w:usb2="00000000" w:usb3="00000000" w:csb0="00000001" w:csb1="00000000"/>
  </w:font>
  <w:font w:name="VistaSansBold">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heSansBold-Plain">
    <w:panose1 w:val="00000000000000000000"/>
    <w:charset w:val="00"/>
    <w:family w:val="auto"/>
    <w:notTrueType/>
    <w:pitch w:val="default"/>
    <w:sig w:usb0="00000003" w:usb1="00000000" w:usb2="00000000" w:usb3="00000000" w:csb0="00000001" w:csb1="00000000"/>
  </w:font>
  <w:font w:name="TheSans-Plain">
    <w:panose1 w:val="00000000000000000000"/>
    <w:charset w:val="00"/>
    <w:family w:val="auto"/>
    <w:notTrueType/>
    <w:pitch w:val="default"/>
    <w:sig w:usb0="00000003" w:usb1="00000000" w:usb2="00000000" w:usb3="00000000" w:csb0="00000001" w:csb1="00000000"/>
  </w:font>
  <w:font w:name="TheSansLight-Plain">
    <w:panose1 w:val="00000000000000000000"/>
    <w:charset w:val="00"/>
    <w:family w:val="auto"/>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OxfamHeadline">
    <w:panose1 w:val="00000000000000000000"/>
    <w:charset w:val="00"/>
    <w:family w:val="swiss"/>
    <w:notTrueType/>
    <w:pitch w:val="default"/>
    <w:sig w:usb0="00000003" w:usb1="00000000" w:usb2="00000000" w:usb3="00000000" w:csb0="00000001" w:csb1="00000000"/>
  </w:font>
  <w:font w:name="FrutigerNextLT-BlackCond">
    <w:panose1 w:val="00000000000000000000"/>
    <w:charset w:val="00"/>
    <w:family w:val="auto"/>
    <w:notTrueType/>
    <w:pitch w:val="default"/>
    <w:sig w:usb0="00000003" w:usb1="00000000" w:usb2="00000000" w:usb3="00000000" w:csb0="00000001" w:csb1="00000000"/>
  </w:font>
  <w:font w:name="FrutigerNextLT-HeavyCond">
    <w:panose1 w:val="00000000000000000000"/>
    <w:charset w:val="00"/>
    <w:family w:val="auto"/>
    <w:notTrueType/>
    <w:pitch w:val="default"/>
    <w:sig w:usb0="00000003" w:usb1="00000000" w:usb2="00000000" w:usb3="00000000" w:csb0="00000001" w:csb1="00000000"/>
  </w:font>
  <w:font w:name="WarnockPro-SemiboldSubh">
    <w:altName w:val="Arial Unicode MS"/>
    <w:panose1 w:val="00000000000000000000"/>
    <w:charset w:val="88"/>
    <w:family w:val="auto"/>
    <w:notTrueType/>
    <w:pitch w:val="default"/>
    <w:sig w:usb0="00000000" w:usb1="08080000" w:usb2="00000010" w:usb3="00000000" w:csb0="00100000" w:csb1="00000000"/>
  </w:font>
  <w:font w:name="AkzidenzGroteskBE-Ligh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716266"/>
      <w:docPartObj>
        <w:docPartGallery w:val="Page Numbers (Bottom of Page)"/>
        <w:docPartUnique/>
      </w:docPartObj>
    </w:sdtPr>
    <w:sdtEndPr>
      <w:rPr>
        <w:noProof/>
      </w:rPr>
    </w:sdtEndPr>
    <w:sdtContent>
      <w:p w:rsidR="00956B35" w:rsidRDefault="00956B35">
        <w:pPr>
          <w:pStyle w:val="Footer"/>
          <w:jc w:val="right"/>
        </w:pPr>
        <w:fldSimple w:instr=" PAGE   \* MERGEFORMAT ">
          <w:r w:rsidR="005A7D3B">
            <w:rPr>
              <w:noProof/>
            </w:rPr>
            <w:t>6</w:t>
          </w:r>
        </w:fldSimple>
      </w:p>
    </w:sdtContent>
  </w:sdt>
  <w:p w:rsidR="00956B35" w:rsidRDefault="00956B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tabs>
        <w:tab w:val="clear" w:pos="8640"/>
        <w:tab w:val="right" w:pos="9214"/>
      </w:tabs>
      <w:rPr>
        <w:rFonts w:ascii="Arial" w:hAnsi="Arial"/>
        <w:sz w:val="22"/>
      </w:rPr>
    </w:pPr>
    <w:r>
      <w:rPr>
        <w:noProof/>
        <w:color w:val="091C5A"/>
        <w:sz w:val="22"/>
        <w:lang w:val="fr-FR" w:eastAsia="fr-FR"/>
      </w:rPr>
      <w:drawing>
        <wp:anchor distT="0" distB="0" distL="114300" distR="114300" simplePos="0" relativeHeight="251659776" behindDoc="1" locked="0" layoutInCell="1" allowOverlap="1">
          <wp:simplePos x="0" y="0"/>
          <wp:positionH relativeFrom="column">
            <wp:posOffset>4966335</wp:posOffset>
          </wp:positionH>
          <wp:positionV relativeFrom="paragraph">
            <wp:posOffset>-187325</wp:posOffset>
          </wp:positionV>
          <wp:extent cx="541655" cy="474345"/>
          <wp:effectExtent l="19050" t="0" r="0" b="0"/>
          <wp:wrapSquare wrapText="bothSides"/>
          <wp:docPr id="3" name="Picture 3" descr="corner_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er_men"/>
                  <pic:cNvPicPr>
                    <a:picLocks noChangeAspect="1" noChangeArrowheads="1"/>
                  </pic:cNvPicPr>
                </pic:nvPicPr>
                <pic:blipFill>
                  <a:blip r:embed="rId1"/>
                  <a:srcRect/>
                  <a:stretch>
                    <a:fillRect/>
                  </a:stretch>
                </pic:blipFill>
                <pic:spPr bwMode="auto">
                  <a:xfrm>
                    <a:off x="0" y="0"/>
                    <a:ext cx="541655" cy="474345"/>
                  </a:xfrm>
                  <a:prstGeom prst="rect">
                    <a:avLst/>
                  </a:prstGeom>
                  <a:noFill/>
                  <a:ln w="9525">
                    <a:noFill/>
                    <a:miter lim="800000"/>
                    <a:headEnd/>
                    <a:tailEnd/>
                  </a:ln>
                </pic:spPr>
              </pic:pic>
            </a:graphicData>
          </a:graphic>
        </wp:anchor>
      </w:drawing>
    </w:r>
    <w:r>
      <w:rPr>
        <w:rFonts w:ascii="Arial" w:hAnsi="Arial"/>
        <w:color w:val="091C5A"/>
        <w:sz w:val="22"/>
      </w:rPr>
      <w:t xml:space="preserve"> </w:t>
    </w:r>
    <w:r>
      <w:rPr>
        <w:rFonts w:ascii="Arial" w:hAnsi="Arial"/>
        <w:sz w:val="22"/>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tabs>
        <w:tab w:val="clear" w:pos="8640"/>
        <w:tab w:val="right" w:pos="9214"/>
      </w:tabs>
      <w:rPr>
        <w:rFonts w:ascii="Arial" w:hAnsi="Arial"/>
        <w:sz w:val="22"/>
      </w:rPr>
    </w:pPr>
    <w:r>
      <w:rPr>
        <w:noProof/>
        <w:color w:val="091C5A"/>
        <w:sz w:val="22"/>
        <w:lang w:val="fr-FR" w:eastAsia="fr-FR"/>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-187325</wp:posOffset>
          </wp:positionV>
          <wp:extent cx="541655" cy="474345"/>
          <wp:effectExtent l="19050" t="0" r="0" b="0"/>
          <wp:wrapSquare wrapText="bothSides"/>
          <wp:docPr id="21" name="Picture 21" descr="corner_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er_men"/>
                  <pic:cNvPicPr>
                    <a:picLocks noChangeAspect="1" noChangeArrowheads="1"/>
                  </pic:cNvPicPr>
                </pic:nvPicPr>
                <pic:blipFill>
                  <a:blip r:embed="rId1"/>
                  <a:srcRect/>
                  <a:stretch>
                    <a:fillRect/>
                  </a:stretch>
                </pic:blipFill>
                <pic:spPr bwMode="auto">
                  <a:xfrm>
                    <a:off x="0" y="0"/>
                    <a:ext cx="541655" cy="474345"/>
                  </a:xfrm>
                  <a:prstGeom prst="rect">
                    <a:avLst/>
                  </a:prstGeom>
                  <a:noFill/>
                  <a:ln w="9525">
                    <a:noFill/>
                    <a:miter lim="800000"/>
                    <a:headEnd/>
                    <a:tailEnd/>
                  </a:ln>
                </pic:spPr>
              </pic:pic>
            </a:graphicData>
          </a:graphic>
        </wp:anchor>
      </w:drawing>
    </w:r>
    <w:r>
      <w:rPr>
        <w:rFonts w:ascii="Arial" w:hAnsi="Arial"/>
        <w:color w:val="091C5A"/>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B89" w:rsidRDefault="00834B89">
      <w:r>
        <w:separator/>
      </w:r>
    </w:p>
  </w:footnote>
  <w:footnote w:type="continuationSeparator" w:id="0">
    <w:p w:rsidR="00834B89" w:rsidRDefault="00834B89">
      <w:r>
        <w:continuationSeparator/>
      </w:r>
    </w:p>
  </w:footnote>
  <w:footnote w:id="1">
    <w:p w:rsidR="00956B35" w:rsidRDefault="00956B35">
      <w:pPr>
        <w:pStyle w:val="FootnoteText"/>
      </w:pPr>
      <w:r>
        <w:rPr>
          <w:rStyle w:val="FootnoteReference"/>
        </w:rPr>
        <w:footnoteRef/>
      </w:r>
      <w:r>
        <w:t xml:space="preserve"> CAADP (2010)</w:t>
      </w:r>
    </w:p>
  </w:footnote>
  <w:footnote w:id="2">
    <w:p w:rsidR="00956B35" w:rsidRDefault="00956B35">
      <w:pPr>
        <w:pStyle w:val="FootnoteText"/>
      </w:pPr>
      <w:r>
        <w:rPr>
          <w:rStyle w:val="FootnoteReference"/>
        </w:rPr>
        <w:footnoteRef/>
      </w:r>
      <w:r>
        <w:t xml:space="preserve"> World Bank (2008)</w:t>
      </w:r>
    </w:p>
  </w:footnote>
  <w:footnote w:id="3">
    <w:p w:rsidR="00956B35" w:rsidRDefault="00956B35">
      <w:pPr>
        <w:pStyle w:val="FootnoteText"/>
      </w:pPr>
      <w:r>
        <w:rPr>
          <w:rStyle w:val="FootnoteReference"/>
        </w:rPr>
        <w:footnoteRef/>
      </w:r>
      <w:r>
        <w:t xml:space="preserve"> Source: </w:t>
      </w:r>
      <w:proofErr w:type="spellStart"/>
      <w:r>
        <w:t>Cabrall</w:t>
      </w:r>
      <w:proofErr w:type="spellEnd"/>
      <w:r>
        <w:t xml:space="preserve"> and Howell (2012), p.2.  AFF+ refers to programmes and projects that contribute to rural livelihoods and food security, such as those separately (purpose) coded as rural development, development food aid and emergency food aid.</w:t>
      </w:r>
    </w:p>
  </w:footnote>
  <w:footnote w:id="4">
    <w:p w:rsidR="00956B35" w:rsidRDefault="00956B35" w:rsidP="00DD2C4A">
      <w:pPr>
        <w:pStyle w:val="FootnoteText"/>
      </w:pPr>
      <w:r>
        <w:rPr>
          <w:rStyle w:val="FootnoteReference"/>
        </w:rPr>
        <w:footnoteRef/>
      </w:r>
      <w:r>
        <w:t xml:space="preserve"> World Bank (2008) </w:t>
      </w:r>
    </w:p>
  </w:footnote>
  <w:footnote w:id="5">
    <w:p w:rsidR="00956B35" w:rsidRPr="004C40D3" w:rsidRDefault="00956B35" w:rsidP="00467500">
      <w:pPr>
        <w:pStyle w:val="FootnoteText"/>
        <w:rPr>
          <w:i/>
        </w:rPr>
      </w:pPr>
      <w:r w:rsidRPr="004C40D3">
        <w:rPr>
          <w:rStyle w:val="FootnoteReference"/>
        </w:rPr>
        <w:footnoteRef/>
      </w:r>
      <w:r w:rsidRPr="004C40D3">
        <w:t xml:space="preserve"> </w:t>
      </w:r>
      <w:r w:rsidRPr="00D006E2">
        <w:t>CAADP MDTF</w:t>
      </w:r>
      <w:r>
        <w:t xml:space="preserve"> Mid-Term Review (2012), p.3</w:t>
      </w:r>
    </w:p>
  </w:footnote>
  <w:footnote w:id="6">
    <w:p w:rsidR="00956B35" w:rsidRDefault="00956B35">
      <w:pPr>
        <w:pStyle w:val="FootnoteText"/>
      </w:pPr>
      <w:r>
        <w:rPr>
          <w:rStyle w:val="FootnoteReference"/>
        </w:rPr>
        <w:footnoteRef/>
      </w:r>
      <w:r>
        <w:t xml:space="preserve"> See: </w:t>
      </w:r>
      <w:hyperlink r:id="rId1" w:history="1">
        <w:r w:rsidRPr="00D7632E">
          <w:rPr>
            <w:rStyle w:val="Hyperlink"/>
          </w:rPr>
          <w:t>http://stats.oecd.org/</w:t>
        </w:r>
      </w:hyperlink>
    </w:p>
  </w:footnote>
  <w:footnote w:id="7">
    <w:p w:rsidR="00956B35" w:rsidRDefault="00956B35">
      <w:pPr>
        <w:pStyle w:val="FootnoteText"/>
      </w:pPr>
      <w:r>
        <w:rPr>
          <w:rStyle w:val="FootnoteReference"/>
        </w:rPr>
        <w:footnoteRef/>
      </w:r>
      <w:r>
        <w:t xml:space="preserve"> Cabral et al (2011)</w:t>
      </w:r>
    </w:p>
  </w:footnote>
  <w:footnote w:id="8">
    <w:p w:rsidR="00956B35" w:rsidRDefault="00956B35">
      <w:pPr>
        <w:pStyle w:val="FootnoteText"/>
      </w:pPr>
      <w:r>
        <w:rPr>
          <w:rStyle w:val="FootnoteReference"/>
        </w:rPr>
        <w:footnoteRef/>
      </w:r>
      <w:r>
        <w:t xml:space="preserve"> DAC members are: Australia, Austria, Belgium, Canada, Denmark, European Union, Finland, France, Germany, Greece, Ireland, Italy, Japan, Luxembourg, Netherlands, New Zealand, Norway, Portugal, South Korea, Spain, Sweden, Switzerland, United Kingdom, United States</w:t>
      </w:r>
    </w:p>
  </w:footnote>
  <w:footnote w:id="9">
    <w:p w:rsidR="00956B35" w:rsidRDefault="00956B35">
      <w:pPr>
        <w:pStyle w:val="FootnoteText"/>
      </w:pPr>
      <w:r>
        <w:rPr>
          <w:rStyle w:val="FootnoteReference"/>
        </w:rPr>
        <w:footnoteRef/>
      </w:r>
      <w:r>
        <w:t xml:space="preserve"> See: </w:t>
      </w:r>
      <w:hyperlink r:id="rId2" w:history="1">
        <w:r w:rsidRPr="00D7632E">
          <w:rPr>
            <w:rStyle w:val="Hyperlink"/>
          </w:rPr>
          <w:t>www.aiddata.org</w:t>
        </w:r>
      </w:hyperlink>
      <w:r>
        <w:t xml:space="preserve"> </w:t>
      </w:r>
    </w:p>
  </w:footnote>
  <w:footnote w:id="10">
    <w:p w:rsidR="00956B35" w:rsidRDefault="00956B35" w:rsidP="003A1496">
      <w:pPr>
        <w:pStyle w:val="FootnoteText"/>
      </w:pPr>
      <w:r>
        <w:rPr>
          <w:rStyle w:val="FootnoteReference"/>
        </w:rPr>
        <w:footnoteRef/>
      </w:r>
      <w:r>
        <w:t xml:space="preserve"> </w:t>
      </w:r>
      <w:proofErr w:type="spellStart"/>
      <w:r>
        <w:t>Cabrall</w:t>
      </w:r>
      <w:proofErr w:type="spellEnd"/>
      <w:r>
        <w:t xml:space="preserve"> and Howell (2012), p.3.</w:t>
      </w:r>
    </w:p>
  </w:footnote>
  <w:footnote w:id="11">
    <w:p w:rsidR="00956B35" w:rsidRDefault="00956B35">
      <w:pPr>
        <w:pStyle w:val="FootnoteText"/>
      </w:pPr>
      <w:r>
        <w:rPr>
          <w:rStyle w:val="FootnoteReference"/>
        </w:rPr>
        <w:footnoteRef/>
      </w:r>
      <w:r>
        <w:t xml:space="preserve"> Ibid, (2012).</w:t>
      </w:r>
    </w:p>
  </w:footnote>
  <w:footnote w:id="12">
    <w:p w:rsidR="00956B35" w:rsidRDefault="00956B35">
      <w:pPr>
        <w:pStyle w:val="FootnoteText"/>
      </w:pPr>
      <w:r>
        <w:rPr>
          <w:rStyle w:val="FootnoteReference"/>
        </w:rPr>
        <w:footnoteRef/>
      </w:r>
      <w:r>
        <w:t xml:space="preserve"> Source: Brown, M. (2009), p.5.</w:t>
      </w:r>
    </w:p>
  </w:footnote>
  <w:footnote w:id="13">
    <w:p w:rsidR="00956B35" w:rsidRDefault="00956B35">
      <w:pPr>
        <w:pStyle w:val="FootnoteText"/>
      </w:pPr>
      <w:r>
        <w:rPr>
          <w:rStyle w:val="FootnoteReference"/>
        </w:rPr>
        <w:footnoteRef/>
      </w:r>
      <w:r>
        <w:t xml:space="preserve"> Source: OECD (data accessed January 2013)</w:t>
      </w:r>
    </w:p>
  </w:footnote>
  <w:footnote w:id="14">
    <w:p w:rsidR="00956B35" w:rsidRDefault="00956B35">
      <w:pPr>
        <w:pStyle w:val="FootnoteText"/>
      </w:pPr>
      <w:r>
        <w:rPr>
          <w:rStyle w:val="FootnoteReference"/>
        </w:rPr>
        <w:footnoteRef/>
      </w:r>
      <w:r>
        <w:t xml:space="preserve"> The International Development Association (IDA) – the part of the World Bank that helps the world’s poorest countries. </w:t>
      </w:r>
    </w:p>
  </w:footnote>
  <w:footnote w:id="15">
    <w:p w:rsidR="00956B35" w:rsidRDefault="00956B35">
      <w:pPr>
        <w:pStyle w:val="FootnoteText"/>
      </w:pPr>
      <w:r>
        <w:rPr>
          <w:rStyle w:val="FootnoteReference"/>
        </w:rPr>
        <w:footnoteRef/>
      </w:r>
      <w:r>
        <w:t xml:space="preserve"> Brown, M. (2009), p.7.</w:t>
      </w:r>
    </w:p>
  </w:footnote>
  <w:footnote w:id="16">
    <w:p w:rsidR="00956B35" w:rsidRDefault="00956B35">
      <w:pPr>
        <w:pStyle w:val="FootnoteText"/>
      </w:pPr>
      <w:r>
        <w:rPr>
          <w:rStyle w:val="FootnoteReference"/>
        </w:rPr>
        <w:footnoteRef/>
      </w:r>
      <w:r>
        <w:t xml:space="preserve"> Based on data from OECD Stats (accessed January 2013)</w:t>
      </w:r>
    </w:p>
  </w:footnote>
  <w:footnote w:id="17">
    <w:p w:rsidR="00956B35" w:rsidRDefault="00956B35" w:rsidP="003F6C09">
      <w:pPr>
        <w:pStyle w:val="FootnoteText"/>
      </w:pPr>
      <w:r>
        <w:rPr>
          <w:rStyle w:val="FootnoteReference"/>
        </w:rPr>
        <w:footnoteRef/>
      </w:r>
      <w:r>
        <w:t xml:space="preserve"> Source: OECD Statistics (accessed January 2013)</w:t>
      </w:r>
    </w:p>
  </w:footnote>
  <w:footnote w:id="18">
    <w:p w:rsidR="00956B35" w:rsidRDefault="00956B35" w:rsidP="00D91438">
      <w:pPr>
        <w:pStyle w:val="FootnoteText"/>
      </w:pPr>
      <w:r>
        <w:rPr>
          <w:rStyle w:val="FootnoteReference"/>
        </w:rPr>
        <w:footnoteRef/>
      </w:r>
      <w:r>
        <w:t xml:space="preserve"> Source: OECD Stats (accessed January 2013)</w:t>
      </w:r>
    </w:p>
  </w:footnote>
  <w:footnote w:id="19">
    <w:p w:rsidR="00956B35" w:rsidRDefault="00956B35" w:rsidP="003F6C09">
      <w:pPr>
        <w:autoSpaceDE w:val="0"/>
        <w:autoSpaceDN w:val="0"/>
        <w:adjustRightInd w:val="0"/>
      </w:pPr>
      <w:r w:rsidRPr="008744CB">
        <w:rPr>
          <w:rStyle w:val="FootnoteReference"/>
          <w:rFonts w:asciiTheme="minorHAnsi" w:hAnsiTheme="minorHAnsi"/>
        </w:rPr>
        <w:footnoteRef/>
      </w:r>
      <w:r w:rsidRPr="008744CB">
        <w:rPr>
          <w:rFonts w:asciiTheme="minorHAnsi" w:hAnsiTheme="minorHAnsi"/>
        </w:rPr>
        <w:t xml:space="preserve"> </w:t>
      </w:r>
      <w:r w:rsidRPr="008744CB">
        <w:rPr>
          <w:rFonts w:asciiTheme="minorHAnsi" w:hAnsiTheme="minorHAnsi" w:cs="VistaSansReg"/>
          <w:sz w:val="20"/>
        </w:rPr>
        <w:t>Agency for International Development, the U.S. Departments of Agriculture, Commerce, State and Treasury, the Millennium Challenge Corporation, the U.S. African Development Foundation, the Peace Corps, the Overseas Private Investment Corporation, and the Office of the U.S. Trade Representative.</w:t>
      </w:r>
    </w:p>
  </w:footnote>
  <w:footnote w:id="20">
    <w:p w:rsidR="00956B35" w:rsidRPr="008744CB" w:rsidRDefault="00956B35" w:rsidP="003F6C09">
      <w:pPr>
        <w:pStyle w:val="FootnoteText"/>
      </w:pPr>
      <w:r>
        <w:rPr>
          <w:rStyle w:val="FootnoteReference"/>
        </w:rPr>
        <w:footnoteRef/>
      </w:r>
      <w:r>
        <w:t xml:space="preserve"> </w:t>
      </w:r>
      <w:r w:rsidRPr="008744CB">
        <w:t xml:space="preserve">USAID (2012) </w:t>
      </w:r>
    </w:p>
  </w:footnote>
  <w:footnote w:id="21">
    <w:p w:rsidR="00956B35" w:rsidRPr="008744CB" w:rsidRDefault="00956B35" w:rsidP="003A633C">
      <w:pPr>
        <w:autoSpaceDE w:val="0"/>
        <w:autoSpaceDN w:val="0"/>
        <w:adjustRightInd w:val="0"/>
        <w:rPr>
          <w:rFonts w:asciiTheme="minorHAnsi" w:hAnsiTheme="minorHAnsi" w:cs="Arial"/>
          <w:sz w:val="20"/>
        </w:rPr>
      </w:pPr>
      <w:r>
        <w:rPr>
          <w:rStyle w:val="FootnoteReference"/>
        </w:rPr>
        <w:footnoteRef/>
      </w:r>
      <w:r>
        <w:t xml:space="preserve"> </w:t>
      </w:r>
      <w:r w:rsidRPr="008744CB">
        <w:rPr>
          <w:rFonts w:asciiTheme="minorHAnsi" w:hAnsiTheme="minorHAnsi"/>
          <w:sz w:val="20"/>
        </w:rPr>
        <w:t xml:space="preserve">GIZ ‘Securing Africa’s Food Production’ (project description) </w:t>
      </w:r>
      <w:hyperlink r:id="rId3" w:history="1">
        <w:r w:rsidRPr="008744CB">
          <w:rPr>
            <w:rStyle w:val="Hyperlink"/>
            <w:rFonts w:asciiTheme="minorHAnsi" w:hAnsiTheme="minorHAnsi"/>
            <w:sz w:val="20"/>
          </w:rPr>
          <w:t>http://www.giz.de/themen/en/24805.htm</w:t>
        </w:r>
      </w:hyperlink>
      <w:r w:rsidRPr="008744CB">
        <w:rPr>
          <w:rFonts w:asciiTheme="minorHAnsi" w:hAnsiTheme="minorHAnsi"/>
          <w:sz w:val="20"/>
        </w:rPr>
        <w:t xml:space="preserve"> and GIZ ‘</w:t>
      </w:r>
      <w:r w:rsidRPr="008744CB">
        <w:rPr>
          <w:rFonts w:asciiTheme="minorHAnsi" w:hAnsiTheme="minorHAnsi" w:cs="Arial"/>
          <w:sz w:val="20"/>
        </w:rPr>
        <w:t>Support to Pan-African reform Process in the Area of agribusiness</w:t>
      </w:r>
    </w:p>
    <w:p w:rsidR="00956B35" w:rsidRDefault="00956B35" w:rsidP="003A633C">
      <w:pPr>
        <w:pStyle w:val="FootnoteText"/>
      </w:pPr>
      <w:r w:rsidRPr="00B41DF2">
        <w:rPr>
          <w:rFonts w:cs="Arial"/>
        </w:rPr>
        <w:t>promotion in Africa (NEPAD/CAADP)’ (project description)</w:t>
      </w:r>
      <w:r w:rsidRPr="00B41DF2">
        <w:t xml:space="preserve"> </w:t>
      </w:r>
      <w:hyperlink r:id="rId4" w:history="1">
        <w:r w:rsidRPr="00B41DF2">
          <w:rPr>
            <w:rStyle w:val="Hyperlink"/>
          </w:rPr>
          <w:t>http://www.addis-abeba.diplo.de/contentblob/3379150/Daten/1835328/download_AU3Webseitenerffnung.pdf</w:t>
        </w:r>
      </w:hyperlink>
      <w:r>
        <w:t xml:space="preserve"> </w:t>
      </w:r>
    </w:p>
  </w:footnote>
  <w:footnote w:id="22">
    <w:p w:rsidR="00956B35" w:rsidRPr="008744CB" w:rsidRDefault="00956B35" w:rsidP="003F6C09">
      <w:pPr>
        <w:pStyle w:val="FootnoteText"/>
        <w:rPr>
          <w:rFonts w:cs="Arial"/>
        </w:rPr>
      </w:pPr>
      <w:r w:rsidRPr="008744CB">
        <w:rPr>
          <w:rStyle w:val="FootnoteReference"/>
        </w:rPr>
        <w:footnoteRef/>
      </w:r>
      <w:r w:rsidRPr="008744CB">
        <w:t xml:space="preserve"> Foreign Affairs and International Trade Canada (2012) </w:t>
      </w:r>
    </w:p>
  </w:footnote>
  <w:footnote w:id="23">
    <w:p w:rsidR="00956B35" w:rsidRPr="008744CB" w:rsidRDefault="00956B35" w:rsidP="003F6C09">
      <w:pPr>
        <w:pStyle w:val="FootnoteText"/>
      </w:pPr>
      <w:r w:rsidRPr="008744CB">
        <w:rPr>
          <w:rStyle w:val="FootnoteReference"/>
        </w:rPr>
        <w:footnoteRef/>
      </w:r>
      <w:r w:rsidRPr="008744CB">
        <w:t xml:space="preserve"> </w:t>
      </w:r>
      <w:r w:rsidRPr="008744CB">
        <w:rPr>
          <w:rFonts w:eastAsia="Times New Roman" w:cs="Times New Roman"/>
          <w:color w:val="000000"/>
          <w:lang w:eastAsia="en-GB"/>
        </w:rPr>
        <w:t>The focus will be on the needs of small-scale farmers and women producers. Among the innovations are new, more productive and nutritious varieties of beans and potatoes and increased weight for tilapia, a common fish.</w:t>
      </w:r>
    </w:p>
  </w:footnote>
  <w:footnote w:id="24">
    <w:p w:rsidR="00956B35" w:rsidRPr="008744CB" w:rsidRDefault="00956B35" w:rsidP="003F6C09">
      <w:pPr>
        <w:rPr>
          <w:rFonts w:asciiTheme="minorHAnsi" w:hAnsiTheme="minorHAnsi"/>
          <w:color w:val="000000"/>
          <w:lang w:eastAsia="en-GB"/>
        </w:rPr>
      </w:pPr>
      <w:r w:rsidRPr="008744CB">
        <w:rPr>
          <w:rStyle w:val="FootnoteReference"/>
          <w:rFonts w:asciiTheme="minorHAnsi" w:hAnsiTheme="minorHAnsi"/>
        </w:rPr>
        <w:footnoteRef/>
      </w:r>
      <w:r w:rsidRPr="008744CB">
        <w:rPr>
          <w:rFonts w:asciiTheme="minorHAnsi" w:hAnsiTheme="minorHAnsi"/>
        </w:rPr>
        <w:t xml:space="preserve"> </w:t>
      </w:r>
      <w:r w:rsidRPr="008744CB">
        <w:rPr>
          <w:rFonts w:asciiTheme="minorHAnsi" w:hAnsiTheme="minorHAnsi" w:cs="Arial"/>
          <w:sz w:val="20"/>
          <w:shd w:val="clear" w:color="auto" w:fill="FFFFFF"/>
        </w:rPr>
        <w:t xml:space="preserve">A competitive grants scheme, with the Australian International Food Security Centre (AIFSC) and Canada’s International Development Research Centre (IDRC) each contributing $7.5 million to fund research activities in areas vital to achieving long-term food security, including nutrition, post-harvest loss and water use.  Source: </w:t>
      </w:r>
      <w:hyperlink r:id="rId5" w:history="1">
        <w:r w:rsidRPr="008744CB">
          <w:rPr>
            <w:rStyle w:val="Hyperlink"/>
            <w:rFonts w:asciiTheme="minorHAnsi" w:hAnsiTheme="minorHAnsi"/>
            <w:sz w:val="20"/>
            <w:lang w:eastAsia="en-GB"/>
          </w:rPr>
          <w:t>http://aciar.gov.au/news/2012-12-03</w:t>
        </w:r>
      </w:hyperlink>
      <w:r w:rsidRPr="008744CB">
        <w:rPr>
          <w:rFonts w:asciiTheme="minorHAnsi" w:hAnsiTheme="minorHAnsi"/>
          <w:color w:val="000000"/>
          <w:lang w:eastAsia="en-GB"/>
        </w:rPr>
        <w:t xml:space="preserve"> </w:t>
      </w:r>
    </w:p>
  </w:footnote>
  <w:footnote w:id="25">
    <w:p w:rsidR="00956B35" w:rsidRDefault="00956B35" w:rsidP="003F6C09">
      <w:pPr>
        <w:pStyle w:val="FootnoteText"/>
      </w:pPr>
      <w:r>
        <w:rPr>
          <w:rStyle w:val="FootnoteReference"/>
        </w:rPr>
        <w:footnoteRef/>
      </w:r>
      <w:r>
        <w:t xml:space="preserve"> Source: Africa-EU Partnership website:</w:t>
      </w:r>
    </w:p>
    <w:p w:rsidR="00956B35" w:rsidRPr="00BA54EB" w:rsidRDefault="00956B35" w:rsidP="00BA54EB">
      <w:pPr>
        <w:pStyle w:val="Default"/>
        <w:rPr>
          <w:rFonts w:asciiTheme="minorHAnsi" w:hAnsiTheme="minorHAnsi" w:cs="Calibri"/>
          <w:sz w:val="20"/>
          <w:szCs w:val="20"/>
        </w:rPr>
      </w:pPr>
      <w:hyperlink r:id="rId6" w:history="1">
        <w:r w:rsidRPr="00F56935">
          <w:rPr>
            <w:rStyle w:val="Hyperlink"/>
            <w:rFonts w:asciiTheme="minorHAnsi" w:hAnsiTheme="minorHAnsi" w:cs="Calibri"/>
            <w:sz w:val="20"/>
            <w:szCs w:val="20"/>
          </w:rPr>
          <w:t>http://www.africa-eu-partnership.org/successstories/boosting-agriculture-eliminating-hunger</w:t>
        </w:r>
      </w:hyperlink>
      <w:r w:rsidRPr="00F56935">
        <w:rPr>
          <w:rFonts w:asciiTheme="minorHAnsi" w:hAnsiTheme="minorHAnsi" w:cs="Calibri"/>
          <w:sz w:val="20"/>
          <w:szCs w:val="20"/>
        </w:rPr>
        <w:t xml:space="preserve"> </w:t>
      </w:r>
    </w:p>
  </w:footnote>
  <w:footnote w:id="26">
    <w:p w:rsidR="00956B35" w:rsidRDefault="00956B35" w:rsidP="003F6C09">
      <w:pPr>
        <w:pStyle w:val="FootnoteText"/>
      </w:pPr>
      <w:r>
        <w:rPr>
          <w:rStyle w:val="FootnoteReference"/>
        </w:rPr>
        <w:footnoteRef/>
      </w:r>
      <w:r>
        <w:t xml:space="preserve"> An irrigation development programme in </w:t>
      </w:r>
      <w:proofErr w:type="spellStart"/>
      <w:r>
        <w:t>Bani</w:t>
      </w:r>
      <w:proofErr w:type="spellEnd"/>
      <w:r>
        <w:t xml:space="preserve"> </w:t>
      </w:r>
      <w:proofErr w:type="spellStart"/>
      <w:r>
        <w:t>Bassin</w:t>
      </w:r>
      <w:proofErr w:type="spellEnd"/>
      <w:r>
        <w:t xml:space="preserve"> and </w:t>
      </w:r>
      <w:proofErr w:type="spellStart"/>
      <w:r>
        <w:t>Selingue</w:t>
      </w:r>
      <w:proofErr w:type="spellEnd"/>
      <w:r>
        <w:t xml:space="preserve"> (Phase 1) </w:t>
      </w:r>
      <w:hyperlink r:id="rId7" w:history="1">
        <w:r w:rsidRPr="00987090">
          <w:rPr>
            <w:rStyle w:val="Hyperlink"/>
          </w:rPr>
          <w:t>http://www.aiddata.org/content/Project?id=40827616</w:t>
        </w:r>
      </w:hyperlink>
      <w:r>
        <w:t xml:space="preserve"> </w:t>
      </w:r>
    </w:p>
  </w:footnote>
  <w:footnote w:id="27">
    <w:p w:rsidR="00956B35" w:rsidRDefault="00956B35" w:rsidP="003F6C09">
      <w:pPr>
        <w:pStyle w:val="FootnoteText"/>
      </w:pPr>
      <w:r>
        <w:rPr>
          <w:rStyle w:val="FootnoteReference"/>
        </w:rPr>
        <w:footnoteRef/>
      </w:r>
      <w:r>
        <w:t xml:space="preserve"> Countries where Brazilian projects were located in 2010 include: Senegal, DRC, Tanzania, Cameroon, Cape Verde, Sao Tome &amp; Principe, Algeria, Chad, Mali, Sierra Leone, Nigeria, Gabon, South Africa, and Namibia.</w:t>
      </w:r>
    </w:p>
  </w:footnote>
  <w:footnote w:id="28">
    <w:p w:rsidR="00956B35" w:rsidRDefault="00956B35" w:rsidP="003F6C09">
      <w:pPr>
        <w:pStyle w:val="FootnoteText"/>
      </w:pPr>
      <w:r>
        <w:rPr>
          <w:rStyle w:val="FootnoteReference"/>
        </w:rPr>
        <w:footnoteRef/>
      </w:r>
      <w:r>
        <w:t xml:space="preserve"> Source: </w:t>
      </w:r>
      <w:proofErr w:type="spellStart"/>
      <w:r>
        <w:t>AidData</w:t>
      </w:r>
      <w:proofErr w:type="spellEnd"/>
      <w:r>
        <w:t xml:space="preserve"> (accessed December 2012).  </w:t>
      </w:r>
      <w:proofErr w:type="spellStart"/>
      <w:r>
        <w:t>AidData</w:t>
      </w:r>
      <w:proofErr w:type="spellEnd"/>
      <w:r>
        <w:t xml:space="preserve"> has information for the following non-DAC country donors:  South Africa, Cyprus, Czech Republic, Estonia, Hungary, Iceland, Latvia, Lithuania, Monaco, Romania, Slovak Republic, Brazil, Chile, Colombia, India, Israel, Kuwait, Qatar, Saudi Arabia, Taiwan, Thailand, UAE.</w:t>
      </w:r>
    </w:p>
  </w:footnote>
  <w:footnote w:id="29">
    <w:p w:rsidR="00956B35" w:rsidRDefault="00956B35" w:rsidP="003F6C09">
      <w:pPr>
        <w:pStyle w:val="FootnoteText"/>
      </w:pPr>
      <w:r>
        <w:rPr>
          <w:rStyle w:val="FootnoteReference"/>
        </w:rPr>
        <w:footnoteRef/>
      </w:r>
      <w:r>
        <w:t xml:space="preserve"> CATERAR (2010), cited in Lei Sun (2011).</w:t>
      </w:r>
    </w:p>
  </w:footnote>
  <w:footnote w:id="30">
    <w:p w:rsidR="00956B35" w:rsidRPr="00956B35" w:rsidRDefault="00956B35" w:rsidP="003F6C09">
      <w:pPr>
        <w:pStyle w:val="FootnoteText"/>
        <w:rPr>
          <w:lang w:val="es-ES"/>
        </w:rPr>
      </w:pPr>
      <w:r>
        <w:rPr>
          <w:rStyle w:val="FootnoteReference"/>
        </w:rPr>
        <w:footnoteRef/>
      </w:r>
      <w:r w:rsidRPr="00956B35">
        <w:rPr>
          <w:lang w:val="es-ES"/>
        </w:rPr>
        <w:t xml:space="preserve"> Baynton-Glen, R. (2012)</w:t>
      </w:r>
    </w:p>
  </w:footnote>
  <w:footnote w:id="31">
    <w:p w:rsidR="00956B35" w:rsidRPr="00956B35" w:rsidRDefault="00956B35" w:rsidP="003F6C09">
      <w:pPr>
        <w:pStyle w:val="FootnoteText"/>
        <w:rPr>
          <w:lang w:val="es-ES"/>
        </w:rPr>
      </w:pPr>
      <w:r>
        <w:rPr>
          <w:rStyle w:val="FootnoteReference"/>
        </w:rPr>
        <w:footnoteRef/>
      </w:r>
      <w:r w:rsidRPr="00956B35">
        <w:rPr>
          <w:lang w:val="es-ES"/>
        </w:rPr>
        <w:t xml:space="preserve"> Vidal, J. (2012)</w:t>
      </w:r>
    </w:p>
  </w:footnote>
  <w:footnote w:id="32">
    <w:p w:rsidR="00956B35" w:rsidRDefault="00956B35" w:rsidP="00170789">
      <w:pPr>
        <w:pStyle w:val="FootnoteText"/>
      </w:pPr>
      <w:r>
        <w:rPr>
          <w:rStyle w:val="FootnoteReference"/>
        </w:rPr>
        <w:footnoteRef/>
      </w:r>
      <w:r>
        <w:t xml:space="preserve"> Power et al. (2012)</w:t>
      </w:r>
    </w:p>
  </w:footnote>
  <w:footnote w:id="33">
    <w:p w:rsidR="00956B35" w:rsidRDefault="00956B35" w:rsidP="00170789">
      <w:pPr>
        <w:pStyle w:val="FootnoteText"/>
      </w:pPr>
      <w:r>
        <w:rPr>
          <w:rStyle w:val="FootnoteReference"/>
        </w:rPr>
        <w:footnoteRef/>
      </w:r>
      <w:r>
        <w:t xml:space="preserve"> Mohan and Lambert (2013 – forthcoming)</w:t>
      </w:r>
    </w:p>
  </w:footnote>
  <w:footnote w:id="34">
    <w:p w:rsidR="00956B35" w:rsidRDefault="00956B35" w:rsidP="00454B0B">
      <w:pPr>
        <w:pStyle w:val="FootnoteText"/>
      </w:pPr>
      <w:r>
        <w:rPr>
          <w:rStyle w:val="FootnoteReference"/>
        </w:rPr>
        <w:footnoteRef/>
      </w:r>
      <w:r>
        <w:t xml:space="preserve"> Barros (2008) and </w:t>
      </w:r>
      <w:proofErr w:type="spellStart"/>
      <w:r>
        <w:t>Stolte</w:t>
      </w:r>
      <w:proofErr w:type="spellEnd"/>
      <w:r>
        <w:t xml:space="preserve"> (2012)</w:t>
      </w:r>
    </w:p>
  </w:footnote>
  <w:footnote w:id="35">
    <w:p w:rsidR="00956B35" w:rsidRDefault="00956B35">
      <w:pPr>
        <w:pStyle w:val="FootnoteText"/>
      </w:pPr>
      <w:r>
        <w:rPr>
          <w:rStyle w:val="FootnoteReference"/>
        </w:rPr>
        <w:footnoteRef/>
      </w:r>
      <w:r>
        <w:t xml:space="preserve"> </w:t>
      </w:r>
      <w:proofErr w:type="spellStart"/>
      <w:r>
        <w:t>Dusi</w:t>
      </w:r>
      <w:proofErr w:type="spellEnd"/>
      <w:r>
        <w:t xml:space="preserve"> (2012)</w:t>
      </w:r>
    </w:p>
  </w:footnote>
  <w:footnote w:id="36">
    <w:p w:rsidR="00956B35" w:rsidRDefault="00956B35" w:rsidP="0094450D">
      <w:pPr>
        <w:pStyle w:val="FootnoteText"/>
      </w:pPr>
      <w:r>
        <w:rPr>
          <w:rStyle w:val="FootnoteReference"/>
        </w:rPr>
        <w:footnoteRef/>
      </w:r>
      <w:r>
        <w:t xml:space="preserve"> Source: </w:t>
      </w:r>
      <w:proofErr w:type="spellStart"/>
      <w:r>
        <w:t>AidData</w:t>
      </w:r>
      <w:proofErr w:type="spellEnd"/>
      <w:r>
        <w:t xml:space="preserve"> (accessed December 2012)</w:t>
      </w:r>
    </w:p>
  </w:footnote>
  <w:footnote w:id="37">
    <w:p w:rsidR="00956B35" w:rsidRDefault="00956B35">
      <w:pPr>
        <w:pStyle w:val="FootnoteText"/>
      </w:pPr>
      <w:r>
        <w:rPr>
          <w:rStyle w:val="FootnoteReference"/>
        </w:rPr>
        <w:footnoteRef/>
      </w:r>
      <w:r>
        <w:t xml:space="preserve"> Source: </w:t>
      </w:r>
      <w:proofErr w:type="spellStart"/>
      <w:r>
        <w:t>Embrapa</w:t>
      </w:r>
      <w:proofErr w:type="spellEnd"/>
      <w:r>
        <w:t xml:space="preserve"> (2011).  Countries where </w:t>
      </w:r>
      <w:proofErr w:type="spellStart"/>
      <w:r>
        <w:t>Embrapa</w:t>
      </w:r>
      <w:proofErr w:type="spellEnd"/>
      <w:r>
        <w:t xml:space="preserve"> has established technical cooperation include: Senegal, Guinea-Bissau, Mali, Burkina Faso, Ghana, Benin, Nigeria, Chad, Gabon, Sao Tome &amp; Principe, Angola, Zambia, Tanzania, Kenya, Mozambique</w:t>
      </w:r>
    </w:p>
  </w:footnote>
  <w:footnote w:id="38">
    <w:p w:rsidR="00956B35" w:rsidRDefault="00956B35">
      <w:pPr>
        <w:pStyle w:val="FootnoteText"/>
      </w:pPr>
      <w:r>
        <w:rPr>
          <w:rStyle w:val="FootnoteReference"/>
        </w:rPr>
        <w:footnoteRef/>
      </w:r>
      <w:r>
        <w:t xml:space="preserve"> </w:t>
      </w:r>
      <w:proofErr w:type="spellStart"/>
      <w:r>
        <w:t>Stolte</w:t>
      </w:r>
      <w:proofErr w:type="spellEnd"/>
      <w:r>
        <w:t>, C. (2012)</w:t>
      </w:r>
    </w:p>
  </w:footnote>
  <w:footnote w:id="39">
    <w:p w:rsidR="00956B35" w:rsidRDefault="00956B35" w:rsidP="00F34794">
      <w:pPr>
        <w:pStyle w:val="FootnoteText"/>
      </w:pPr>
      <w:r>
        <w:rPr>
          <w:rStyle w:val="FootnoteReference"/>
        </w:rPr>
        <w:footnoteRef/>
      </w:r>
      <w:r>
        <w:t xml:space="preserve"> An initiative of the Brazilian </w:t>
      </w:r>
      <w:proofErr w:type="spellStart"/>
      <w:r>
        <w:t>Embrapa</w:t>
      </w:r>
      <w:proofErr w:type="spellEnd"/>
      <w:r>
        <w:t xml:space="preserve"> and the Forum for Agricultural Research in Africa (FARA), with partners including the Brazilian Cooperation Agency of the Ministry of External Relations (ABC-MRE), the World Bank, DFID, IFAD, FAO, IDB, FUNARBE, CIAT, IICA and the Bill &amp; Melinda Gates Foundation.</w:t>
      </w:r>
    </w:p>
  </w:footnote>
  <w:footnote w:id="40">
    <w:p w:rsidR="00956B35" w:rsidRDefault="00956B35">
      <w:pPr>
        <w:pStyle w:val="FootnoteText"/>
      </w:pPr>
      <w:r>
        <w:rPr>
          <w:rStyle w:val="FootnoteReference"/>
        </w:rPr>
        <w:footnoteRef/>
      </w:r>
      <w:r>
        <w:t xml:space="preserve"> Project Statistics from the Africa-Brazil Agricultural Innovation Marketplace official website. </w:t>
      </w:r>
      <w:hyperlink r:id="rId8" w:history="1">
        <w:r w:rsidRPr="00881E8A">
          <w:rPr>
            <w:rStyle w:val="Hyperlink"/>
          </w:rPr>
          <w:t>http://www.mktplace.org/site/index.php/project-stats</w:t>
        </w:r>
      </w:hyperlink>
      <w:r>
        <w:t xml:space="preserve"> </w:t>
      </w:r>
    </w:p>
  </w:footnote>
  <w:footnote w:id="41">
    <w:p w:rsidR="00956B35" w:rsidRDefault="00956B35">
      <w:pPr>
        <w:pStyle w:val="FootnoteText"/>
      </w:pPr>
      <w:r>
        <w:rPr>
          <w:rStyle w:val="FootnoteReference"/>
        </w:rPr>
        <w:footnoteRef/>
      </w:r>
      <w:r>
        <w:t xml:space="preserve"> MKTPLACE Guidelines for Development and Submission of Pre-Proposals (2013) </w:t>
      </w:r>
    </w:p>
  </w:footnote>
  <w:footnote w:id="42">
    <w:p w:rsidR="00956B35" w:rsidRDefault="00956B35">
      <w:pPr>
        <w:pStyle w:val="FootnoteText"/>
      </w:pPr>
      <w:r>
        <w:rPr>
          <w:rStyle w:val="FootnoteReference"/>
        </w:rPr>
        <w:footnoteRef/>
      </w:r>
      <w:r>
        <w:t xml:space="preserve"> Source: </w:t>
      </w:r>
      <w:proofErr w:type="spellStart"/>
      <w:r>
        <w:t>AidData</w:t>
      </w:r>
      <w:proofErr w:type="spellEnd"/>
      <w:r>
        <w:t xml:space="preserve"> (accessed January 2013).  Projects included: Agriculture and Processing Plant in Mali (USD 15 million); Agriculture Experts to WA Region (USD 0.1m); Rice Production Programme in Cote d’Ivoire (USD 30 million); Supplier of Sprayers, Pesticide etc to Liberia (USD 0.06m); and Supply of tractors to Benin (USD 0.3m)</w:t>
      </w:r>
    </w:p>
  </w:footnote>
  <w:footnote w:id="43">
    <w:p w:rsidR="00956B35" w:rsidRDefault="00956B35">
      <w:pPr>
        <w:pStyle w:val="FootnoteText"/>
      </w:pPr>
      <w:r>
        <w:rPr>
          <w:rStyle w:val="FootnoteReference"/>
        </w:rPr>
        <w:footnoteRef/>
      </w:r>
      <w:r>
        <w:t xml:space="preserve"> Kumar, S. (2012)</w:t>
      </w:r>
    </w:p>
  </w:footnote>
  <w:footnote w:id="44">
    <w:p w:rsidR="00956B35" w:rsidRDefault="00956B35">
      <w:pPr>
        <w:pStyle w:val="FootnoteText"/>
      </w:pPr>
      <w:r>
        <w:rPr>
          <w:rStyle w:val="FootnoteReference"/>
        </w:rPr>
        <w:footnoteRef/>
      </w:r>
      <w:r>
        <w:t xml:space="preserve"> </w:t>
      </w:r>
      <w:proofErr w:type="spellStart"/>
      <w:r>
        <w:t>Modi</w:t>
      </w:r>
      <w:proofErr w:type="spellEnd"/>
      <w:r>
        <w:t>, R. (2011)</w:t>
      </w:r>
    </w:p>
  </w:footnote>
  <w:footnote w:id="45">
    <w:p w:rsidR="00956B35" w:rsidRDefault="00956B35">
      <w:pPr>
        <w:pStyle w:val="FootnoteText"/>
      </w:pPr>
      <w:r>
        <w:rPr>
          <w:rStyle w:val="FootnoteReference"/>
        </w:rPr>
        <w:footnoteRef/>
      </w:r>
      <w:r>
        <w:t xml:space="preserve"> </w:t>
      </w:r>
      <w:r w:rsidRPr="00D50751">
        <w:rPr>
          <w:rFonts w:cs="Arial"/>
          <w:lang w:eastAsia="en-GB"/>
        </w:rPr>
        <w:t xml:space="preserve">Ethiopian Agriculture Minister </w:t>
      </w:r>
      <w:proofErr w:type="spellStart"/>
      <w:r w:rsidRPr="00D50751">
        <w:rPr>
          <w:rFonts w:cs="Arial"/>
          <w:lang w:eastAsia="en-GB"/>
        </w:rPr>
        <w:t>Tefera</w:t>
      </w:r>
      <w:proofErr w:type="spellEnd"/>
      <w:r w:rsidRPr="00D50751">
        <w:rPr>
          <w:rFonts w:cs="Arial"/>
          <w:lang w:eastAsia="en-GB"/>
        </w:rPr>
        <w:t xml:space="preserve"> </w:t>
      </w:r>
      <w:proofErr w:type="spellStart"/>
      <w:r w:rsidRPr="00D50751">
        <w:rPr>
          <w:rFonts w:cs="Arial"/>
          <w:lang w:eastAsia="en-GB"/>
        </w:rPr>
        <w:t>Derbew</w:t>
      </w:r>
      <w:proofErr w:type="spellEnd"/>
      <w:r>
        <w:rPr>
          <w:rFonts w:cs="Arial"/>
          <w:lang w:eastAsia="en-GB"/>
        </w:rPr>
        <w:t xml:space="preserve">, cited in </w:t>
      </w:r>
      <w:proofErr w:type="spellStart"/>
      <w:r>
        <w:rPr>
          <w:rFonts w:cs="Arial"/>
          <w:lang w:eastAsia="en-GB"/>
        </w:rPr>
        <w:t>Rowden</w:t>
      </w:r>
      <w:proofErr w:type="spellEnd"/>
      <w:r>
        <w:rPr>
          <w:rFonts w:cs="Arial"/>
          <w:lang w:eastAsia="en-GB"/>
        </w:rPr>
        <w:t xml:space="preserve"> (2011)</w:t>
      </w:r>
    </w:p>
  </w:footnote>
  <w:footnote w:id="46">
    <w:p w:rsidR="00956B35" w:rsidRDefault="00956B35">
      <w:pPr>
        <w:pStyle w:val="FootnoteText"/>
      </w:pPr>
      <w:r>
        <w:rPr>
          <w:rStyle w:val="FootnoteReference"/>
        </w:rPr>
        <w:footnoteRef/>
      </w:r>
      <w:r>
        <w:t xml:space="preserve"> Indian Embassy (2013) </w:t>
      </w:r>
      <w:hyperlink r:id="rId9" w:history="1">
        <w:r w:rsidRPr="004105DE">
          <w:rPr>
            <w:rStyle w:val="Hyperlink"/>
            <w:rFonts w:cs="Arial"/>
            <w:lang w:eastAsia="en-GB"/>
          </w:rPr>
          <w:t>http://www.indianembassy.org/prdetail2087/u.s.-india-africa-triangular-partnership-to-improve-agricultural-productivity-and-innovation-in-african-countries</w:t>
        </w:r>
      </w:hyperlink>
    </w:p>
  </w:footnote>
  <w:footnote w:id="47">
    <w:p w:rsidR="00956B35" w:rsidRDefault="00956B35">
      <w:pPr>
        <w:pStyle w:val="FootnoteText"/>
      </w:pPr>
      <w:r>
        <w:rPr>
          <w:rStyle w:val="FootnoteReference"/>
        </w:rPr>
        <w:footnoteRef/>
      </w:r>
      <w:r>
        <w:t xml:space="preserve"> Source: OECD Statistics (accessed January 2013)</w:t>
      </w:r>
    </w:p>
  </w:footnote>
  <w:footnote w:id="48">
    <w:p w:rsidR="00956B35" w:rsidRDefault="00956B35">
      <w:pPr>
        <w:pStyle w:val="FootnoteText"/>
      </w:pPr>
      <w:r>
        <w:rPr>
          <w:rStyle w:val="FootnoteReference"/>
        </w:rPr>
        <w:footnoteRef/>
      </w:r>
      <w:r>
        <w:t xml:space="preserve"> It should be noted that there are inconsistencies between the total amounts from </w:t>
      </w:r>
      <w:proofErr w:type="spellStart"/>
      <w:r>
        <w:t>AidData</w:t>
      </w:r>
      <w:proofErr w:type="spellEnd"/>
      <w:r>
        <w:t xml:space="preserve"> and OECD Stats, as they use slightly different data sources.  See Annex 2.</w:t>
      </w:r>
    </w:p>
  </w:footnote>
  <w:footnote w:id="49">
    <w:p w:rsidR="00956B35" w:rsidRPr="00973A74" w:rsidRDefault="00956B35" w:rsidP="003F6C09">
      <w:pPr>
        <w:pStyle w:val="FootnoteText"/>
      </w:pPr>
      <w:r>
        <w:rPr>
          <w:rStyle w:val="FootnoteReference"/>
        </w:rPr>
        <w:footnoteRef/>
      </w:r>
      <w:r>
        <w:t xml:space="preserve"> The </w:t>
      </w:r>
      <w:r>
        <w:rPr>
          <w:iCs/>
        </w:rPr>
        <w:t xml:space="preserve">initiative </w:t>
      </w:r>
      <w:r w:rsidRPr="00973A74">
        <w:rPr>
          <w:iCs/>
        </w:rPr>
        <w:t>is endorsed by the G8 and by Algeria, Angola, Australia, Brazil, Denmark, Egypt, Ethiopia, India, Indonesia, Libya (Presidency of the African Union), Mexico, The Netherlands, Nigeria, People’s Republic of China, Republic of Korea, Senegal, Spain, South Africa, Turkey, Commission of the African Union, FAO, IEA, IFAD, ILO, IMF, OECD, The Secretary General’s UN High Level Task Force on the Global Food Security C</w:t>
      </w:r>
      <w:r>
        <w:rPr>
          <w:iCs/>
        </w:rPr>
        <w:t xml:space="preserve">risis, WFP, The World Bank, WTO, </w:t>
      </w:r>
      <w:r w:rsidRPr="00973A74">
        <w:rPr>
          <w:iCs/>
        </w:rPr>
        <w:t xml:space="preserve">and by the Alliance for a Green Revolution in Africa (AGRA), </w:t>
      </w:r>
      <w:proofErr w:type="spellStart"/>
      <w:r w:rsidRPr="00973A74">
        <w:rPr>
          <w:iCs/>
        </w:rPr>
        <w:t>Bioversity</w:t>
      </w:r>
      <w:proofErr w:type="spellEnd"/>
      <w:r>
        <w:rPr>
          <w:iCs/>
        </w:rPr>
        <w:t xml:space="preserve"> </w:t>
      </w:r>
      <w:r w:rsidRPr="00973A74">
        <w:rPr>
          <w:iCs/>
        </w:rPr>
        <w:t>/</w:t>
      </w:r>
      <w:r>
        <w:rPr>
          <w:iCs/>
        </w:rPr>
        <w:t xml:space="preserve"> </w:t>
      </w:r>
      <w:r w:rsidRPr="00973A74">
        <w:rPr>
          <w:iCs/>
        </w:rPr>
        <w:t>Consultative Group on International Agricultural Research (CGIAR), Global Donor Platform for Rural Development , Global Forum on Agricultural Research (GFAR).</w:t>
      </w:r>
    </w:p>
  </w:footnote>
  <w:footnote w:id="50">
    <w:p w:rsidR="00956B35" w:rsidRDefault="00956B35" w:rsidP="003F6C09">
      <w:pPr>
        <w:autoSpaceDE w:val="0"/>
        <w:autoSpaceDN w:val="0"/>
        <w:adjustRightInd w:val="0"/>
      </w:pPr>
      <w:r w:rsidRPr="002459BF">
        <w:rPr>
          <w:rStyle w:val="FootnoteReference"/>
          <w:rFonts w:asciiTheme="minorHAnsi" w:hAnsiTheme="minorHAnsi"/>
          <w:sz w:val="20"/>
        </w:rPr>
        <w:footnoteRef/>
      </w:r>
      <w:r>
        <w:t xml:space="preserve"> </w:t>
      </w:r>
      <w:r w:rsidRPr="002459BF">
        <w:rPr>
          <w:rFonts w:asciiTheme="minorHAnsi" w:hAnsiTheme="minorHAnsi"/>
          <w:sz w:val="20"/>
        </w:rPr>
        <w:t xml:space="preserve">Additional to previously-planned expenditures and representing spending plans above the baseline.  Source: 2012 Camp David Accountability Report </w:t>
      </w:r>
      <w:hyperlink r:id="rId10" w:history="1">
        <w:r w:rsidRPr="002459BF">
          <w:rPr>
            <w:rStyle w:val="Hyperlink"/>
            <w:rFonts w:asciiTheme="minorHAnsi" w:hAnsiTheme="minorHAnsi"/>
            <w:sz w:val="20"/>
          </w:rPr>
          <w:t>http://www.state.gov/documents/organization/189889.pdf</w:t>
        </w:r>
      </w:hyperlink>
      <w:r>
        <w:rPr>
          <w:sz w:val="20"/>
        </w:rPr>
        <w:t xml:space="preserve"> </w:t>
      </w:r>
    </w:p>
  </w:footnote>
  <w:footnote w:id="51">
    <w:p w:rsidR="00956B35" w:rsidRDefault="00956B35" w:rsidP="003F6C09">
      <w:pPr>
        <w:pStyle w:val="FootnoteText"/>
      </w:pPr>
      <w:r>
        <w:rPr>
          <w:rStyle w:val="FootnoteReference"/>
        </w:rPr>
        <w:footnoteRef/>
      </w:r>
      <w:r>
        <w:t xml:space="preserve"> Ibid. </w:t>
      </w:r>
    </w:p>
  </w:footnote>
  <w:footnote w:id="52">
    <w:p w:rsidR="00956B35" w:rsidRDefault="00956B35" w:rsidP="003F6C09">
      <w:pPr>
        <w:pStyle w:val="FootnoteText"/>
      </w:pPr>
      <w:r>
        <w:rPr>
          <w:rStyle w:val="FootnoteReference"/>
        </w:rPr>
        <w:footnoteRef/>
      </w:r>
      <w:r>
        <w:t xml:space="preserve"> Source: Ibid, page 7.</w:t>
      </w:r>
    </w:p>
  </w:footnote>
  <w:footnote w:id="53">
    <w:p w:rsidR="00956B35" w:rsidRDefault="00956B35" w:rsidP="003F6C09">
      <w:pPr>
        <w:pStyle w:val="FootnoteText"/>
      </w:pPr>
      <w:r>
        <w:rPr>
          <w:rStyle w:val="FootnoteReference"/>
        </w:rPr>
        <w:footnoteRef/>
      </w:r>
      <w:r>
        <w:t xml:space="preserve"> Source: Ibid</w:t>
      </w:r>
      <w:r>
        <w:rPr>
          <w:rFonts w:eastAsia="MyriadPro-Regular" w:cs="MyriadPro-Regular"/>
        </w:rPr>
        <w:t>, page 14.</w:t>
      </w:r>
    </w:p>
  </w:footnote>
  <w:footnote w:id="54">
    <w:p w:rsidR="00956B35" w:rsidRDefault="00956B35" w:rsidP="003F6C09">
      <w:pPr>
        <w:pStyle w:val="FootnoteText"/>
      </w:pPr>
      <w:r>
        <w:rPr>
          <w:rStyle w:val="FootnoteReference"/>
        </w:rPr>
        <w:footnoteRef/>
      </w:r>
      <w:r>
        <w:t xml:space="preserve"> Source: Ibid, page 16.</w:t>
      </w:r>
    </w:p>
  </w:footnote>
  <w:footnote w:id="55">
    <w:p w:rsidR="00956B35" w:rsidRDefault="00956B35" w:rsidP="003F6C09">
      <w:pPr>
        <w:pStyle w:val="FootnoteText"/>
      </w:pPr>
      <w:r>
        <w:rPr>
          <w:rStyle w:val="FootnoteReference"/>
        </w:rPr>
        <w:footnoteRef/>
      </w:r>
      <w:r>
        <w:t xml:space="preserve"> Source: Ibid, page 15.</w:t>
      </w:r>
    </w:p>
  </w:footnote>
  <w:footnote w:id="56">
    <w:p w:rsidR="00956B35" w:rsidRPr="00DA7BA4" w:rsidRDefault="00956B35" w:rsidP="003F6C09">
      <w:pPr>
        <w:pStyle w:val="FootnoteText"/>
      </w:pPr>
      <w:r w:rsidRPr="00DA7BA4">
        <w:rPr>
          <w:rStyle w:val="FootnoteReference"/>
        </w:rPr>
        <w:footnoteRef/>
      </w:r>
      <w:r w:rsidRPr="00DA7BA4">
        <w:t xml:space="preserve"> FAO (2010) </w:t>
      </w:r>
      <w:hyperlink r:id="rId11" w:history="1">
        <w:r w:rsidRPr="00DA7BA4">
          <w:rPr>
            <w:rStyle w:val="Hyperlink"/>
          </w:rPr>
          <w:t>http://www.un.org/africa/osaa/2010_un_system/FAO2010.pdf</w:t>
        </w:r>
      </w:hyperlink>
      <w:r w:rsidRPr="00DA7BA4">
        <w:t xml:space="preserve"> </w:t>
      </w:r>
    </w:p>
  </w:footnote>
  <w:footnote w:id="57">
    <w:p w:rsidR="00956B35" w:rsidRDefault="00956B35" w:rsidP="003F6C09">
      <w:pPr>
        <w:autoSpaceDE w:val="0"/>
        <w:autoSpaceDN w:val="0"/>
        <w:adjustRightInd w:val="0"/>
      </w:pPr>
      <w:r w:rsidRPr="00DA7BA4">
        <w:rPr>
          <w:rStyle w:val="FootnoteReference"/>
          <w:rFonts w:asciiTheme="minorHAnsi" w:hAnsiTheme="minorHAnsi"/>
          <w:sz w:val="20"/>
        </w:rPr>
        <w:footnoteRef/>
      </w:r>
      <w:r w:rsidRPr="00956B35">
        <w:rPr>
          <w:rFonts w:asciiTheme="minorHAnsi" w:hAnsiTheme="minorHAnsi"/>
          <w:lang w:val="fr-FR"/>
        </w:rPr>
        <w:t xml:space="preserve"> </w:t>
      </w:r>
      <w:r w:rsidRPr="00956B35">
        <w:rPr>
          <w:rFonts w:asciiTheme="minorHAnsi" w:hAnsiTheme="minorHAnsi"/>
          <w:sz w:val="20"/>
          <w:lang w:val="fr-FR"/>
        </w:rPr>
        <w:t xml:space="preserve">Source: </w:t>
      </w:r>
      <w:r>
        <w:fldChar w:fldCharType="begin"/>
      </w:r>
      <w:r w:rsidRPr="00956B35">
        <w:rPr>
          <w:lang w:val="fr-FR"/>
        </w:rPr>
        <w:instrText>HYPERLINK "http://www.gafspfund.org/gafsp/content/funding"</w:instrText>
      </w:r>
      <w:r>
        <w:fldChar w:fldCharType="separate"/>
      </w:r>
      <w:r w:rsidRPr="00956B35">
        <w:rPr>
          <w:rStyle w:val="Hyperlink"/>
          <w:rFonts w:asciiTheme="minorHAnsi" w:hAnsiTheme="minorHAnsi" w:cs="Arial"/>
          <w:sz w:val="20"/>
          <w:lang w:val="fr-FR"/>
        </w:rPr>
        <w:t>http://www.gafspfund.org/gafsp/content/funding</w:t>
      </w:r>
      <w:r>
        <w:fldChar w:fldCharType="end"/>
      </w:r>
      <w:r w:rsidRPr="00956B35">
        <w:rPr>
          <w:rFonts w:asciiTheme="minorHAnsi" w:hAnsiTheme="minorHAnsi" w:cs="Arial"/>
          <w:color w:val="1F497D" w:themeColor="text2"/>
          <w:sz w:val="20"/>
          <w:lang w:val="fr-FR"/>
        </w:rPr>
        <w:t>.</w:t>
      </w:r>
      <w:r w:rsidRPr="00956B35">
        <w:rPr>
          <w:rFonts w:asciiTheme="minorHAnsi" w:hAnsiTheme="minorHAnsi"/>
          <w:sz w:val="20"/>
          <w:lang w:val="fr-FR"/>
        </w:rPr>
        <w:t xml:space="preserve">  </w:t>
      </w:r>
      <w:r w:rsidRPr="00DA7BA4">
        <w:rPr>
          <w:rFonts w:asciiTheme="minorHAnsi" w:hAnsiTheme="minorHAnsi"/>
          <w:sz w:val="20"/>
        </w:rPr>
        <w:t>Please note that Ireland also pledged EUR 0.5 million, all of which has been received.</w:t>
      </w:r>
    </w:p>
  </w:footnote>
  <w:footnote w:id="58">
    <w:p w:rsidR="00956B35" w:rsidRDefault="00956B35" w:rsidP="003F6C09">
      <w:pPr>
        <w:pStyle w:val="FootnoteText"/>
      </w:pPr>
      <w:r>
        <w:rPr>
          <w:rStyle w:val="FootnoteReference"/>
        </w:rPr>
        <w:footnoteRef/>
      </w:r>
      <w:r>
        <w:t xml:space="preserve"> Including: adoption of an agricultural development strategy; signing of a CAADP compact; development of a country investment plan; and completion of a successful technical review by an external team of experts. </w:t>
      </w:r>
    </w:p>
  </w:footnote>
  <w:footnote w:id="59">
    <w:p w:rsidR="00956B35" w:rsidRDefault="00956B35" w:rsidP="00093348">
      <w:pPr>
        <w:pStyle w:val="FootnoteText"/>
      </w:pPr>
      <w:r>
        <w:rPr>
          <w:rStyle w:val="FootnoteReference"/>
        </w:rPr>
        <w:footnoteRef/>
      </w:r>
      <w:r>
        <w:t xml:space="preserve"> IFAD (2010).</w:t>
      </w:r>
    </w:p>
  </w:footnote>
  <w:footnote w:id="60">
    <w:p w:rsidR="00956B35" w:rsidRDefault="00956B35" w:rsidP="00093348">
      <w:pPr>
        <w:pStyle w:val="FootnoteText"/>
      </w:pPr>
      <w:r>
        <w:rPr>
          <w:rStyle w:val="FootnoteReference"/>
        </w:rPr>
        <w:footnoteRef/>
      </w:r>
      <w:r>
        <w:t xml:space="preserve"> Ibid.</w:t>
      </w:r>
    </w:p>
  </w:footnote>
  <w:footnote w:id="61">
    <w:p w:rsidR="00956B35" w:rsidRDefault="00956B35" w:rsidP="003F6C09">
      <w:pPr>
        <w:pStyle w:val="FootnoteText"/>
      </w:pPr>
      <w:r>
        <w:rPr>
          <w:rStyle w:val="FootnoteReference"/>
        </w:rPr>
        <w:footnoteRef/>
      </w:r>
      <w:r>
        <w:t xml:space="preserve"> Based on information from: </w:t>
      </w:r>
      <w:hyperlink r:id="rId12" w:history="1">
        <w:r w:rsidRPr="0086077B">
          <w:rPr>
            <w:rStyle w:val="Hyperlink"/>
          </w:rPr>
          <w:t>http://www.gafspfund.org/gafsp/content/recipient-countries</w:t>
        </w:r>
      </w:hyperlink>
      <w:r>
        <w:t xml:space="preserve"> </w:t>
      </w:r>
    </w:p>
  </w:footnote>
  <w:footnote w:id="62">
    <w:p w:rsidR="00956B35" w:rsidRDefault="00956B35" w:rsidP="003F6C09">
      <w:pPr>
        <w:pStyle w:val="FootnoteText"/>
      </w:pPr>
      <w:r>
        <w:rPr>
          <w:rStyle w:val="FootnoteReference"/>
        </w:rPr>
        <w:footnoteRef/>
      </w:r>
      <w:r>
        <w:t xml:space="preserve"> Source: USAID (2012) </w:t>
      </w:r>
      <w:r w:rsidRPr="003E20A3">
        <w:rPr>
          <w:i/>
        </w:rPr>
        <w:t>Factsheet: More than $3 billion in Private Sector Investment for the New Alliance for Food Security and Nutrition</w:t>
      </w:r>
      <w:r>
        <w:t xml:space="preserve">.  </w:t>
      </w:r>
      <w:hyperlink r:id="rId13" w:history="1">
        <w:r w:rsidRPr="005711A3">
          <w:rPr>
            <w:rStyle w:val="Hyperlink"/>
          </w:rPr>
          <w:t>http://transition.usaid.gov/press/factsheets/2012/fs120518_1.html</w:t>
        </w:r>
      </w:hyperlink>
    </w:p>
  </w:footnote>
  <w:footnote w:id="63">
    <w:p w:rsidR="00956B35" w:rsidRDefault="00956B35" w:rsidP="003F6C09">
      <w:pPr>
        <w:pStyle w:val="FootnoteText"/>
      </w:pPr>
      <w:r>
        <w:rPr>
          <w:rStyle w:val="FootnoteReference"/>
        </w:rPr>
        <w:footnoteRef/>
      </w:r>
      <w:r>
        <w:t xml:space="preserve"> As stated in the G8 (2012) Fact Sheet ‘G-8 Action on Food Security and Nutrition’ </w:t>
      </w:r>
      <w:hyperlink r:id="rId14" w:history="1">
        <w:r w:rsidRPr="007334A9">
          <w:rPr>
            <w:rStyle w:val="Hyperlink"/>
          </w:rPr>
          <w:t>http://www.state.gov/documents/organization/190494.pdf</w:t>
        </w:r>
      </w:hyperlink>
      <w:r>
        <w:t xml:space="preserve"> </w:t>
      </w:r>
    </w:p>
  </w:footnote>
  <w:footnote w:id="64">
    <w:p w:rsidR="00956B35" w:rsidRPr="008673BA" w:rsidRDefault="00956B35" w:rsidP="003F6C09">
      <w:pPr>
        <w:pStyle w:val="FootnoteText"/>
      </w:pPr>
      <w:r>
        <w:rPr>
          <w:rStyle w:val="FootnoteReference"/>
        </w:rPr>
        <w:footnoteRef/>
      </w:r>
      <w:r>
        <w:t xml:space="preserve"> USAID (2012) </w:t>
      </w:r>
    </w:p>
  </w:footnote>
  <w:footnote w:id="65">
    <w:p w:rsidR="00956B35" w:rsidRDefault="00956B35" w:rsidP="003F6C09">
      <w:pPr>
        <w:pStyle w:val="FootnoteText"/>
      </w:pPr>
      <w:r>
        <w:rPr>
          <w:rStyle w:val="FootnoteReference"/>
        </w:rPr>
        <w:footnoteRef/>
      </w:r>
      <w:r>
        <w:t xml:space="preserve"> Source: </w:t>
      </w:r>
      <w:hyperlink r:id="rId15" w:history="1">
        <w:r w:rsidRPr="0086077B">
          <w:rPr>
            <w:rStyle w:val="Hyperlink"/>
          </w:rPr>
          <w:t>http://blog.resakss.org/2012/05/25/new-alliance-for-food-security-and-nutrition/</w:t>
        </w:r>
      </w:hyperlink>
      <w:r>
        <w:t xml:space="preserve"> </w:t>
      </w:r>
    </w:p>
  </w:footnote>
  <w:footnote w:id="66">
    <w:p w:rsidR="00956B35" w:rsidRDefault="00956B35" w:rsidP="003F6C09">
      <w:pPr>
        <w:pStyle w:val="FootnoteText"/>
      </w:pPr>
      <w:r>
        <w:rPr>
          <w:rStyle w:val="FootnoteReference"/>
        </w:rPr>
        <w:footnoteRef/>
      </w:r>
      <w:r>
        <w:t xml:space="preserve"> </w:t>
      </w:r>
      <w:proofErr w:type="spellStart"/>
      <w:r>
        <w:rPr>
          <w:rFonts w:cs="Helvetica Neue LT Pro"/>
          <w:color w:val="000000"/>
          <w:sz w:val="19"/>
          <w:szCs w:val="19"/>
        </w:rPr>
        <w:t>AgCo</w:t>
      </w:r>
      <w:proofErr w:type="spellEnd"/>
      <w:r>
        <w:rPr>
          <w:rFonts w:cs="Helvetica Neue LT Pro"/>
          <w:color w:val="000000"/>
          <w:sz w:val="19"/>
          <w:szCs w:val="19"/>
        </w:rPr>
        <w:t xml:space="preserve">, Archer Daniels Midland, BASF, Bayer </w:t>
      </w:r>
      <w:proofErr w:type="spellStart"/>
      <w:r>
        <w:rPr>
          <w:rFonts w:cs="Helvetica Neue LT Pro"/>
          <w:color w:val="000000"/>
          <w:sz w:val="19"/>
          <w:szCs w:val="19"/>
        </w:rPr>
        <w:t>CropScience</w:t>
      </w:r>
      <w:proofErr w:type="spellEnd"/>
      <w:r>
        <w:rPr>
          <w:rFonts w:cs="Helvetica Neue LT Pro"/>
          <w:color w:val="000000"/>
          <w:sz w:val="19"/>
          <w:szCs w:val="19"/>
        </w:rPr>
        <w:t xml:space="preserve">, Bunge, Cargill, CF industries, The Coca-Cola Company, Diageo, DuPont, General Mills, Heineken, Kraft Foods, Louis Dreyfus, </w:t>
      </w:r>
      <w:proofErr w:type="spellStart"/>
      <w:r>
        <w:rPr>
          <w:rFonts w:cs="Helvetica Neue LT Pro"/>
          <w:color w:val="000000"/>
          <w:sz w:val="19"/>
          <w:szCs w:val="19"/>
        </w:rPr>
        <w:t>Maersk</w:t>
      </w:r>
      <w:proofErr w:type="spellEnd"/>
      <w:r>
        <w:rPr>
          <w:rFonts w:cs="Helvetica Neue LT Pro"/>
          <w:color w:val="000000"/>
          <w:sz w:val="19"/>
          <w:szCs w:val="19"/>
        </w:rPr>
        <w:t xml:space="preserve">, Metro, Monsanto Company, </w:t>
      </w:r>
      <w:proofErr w:type="spellStart"/>
      <w:r>
        <w:rPr>
          <w:rFonts w:cs="Helvetica Neue LT Pro"/>
          <w:color w:val="000000"/>
          <w:sz w:val="19"/>
          <w:szCs w:val="19"/>
        </w:rPr>
        <w:t>Maersk</w:t>
      </w:r>
      <w:proofErr w:type="spellEnd"/>
      <w:r>
        <w:rPr>
          <w:rFonts w:cs="Helvetica Neue LT Pro"/>
          <w:color w:val="000000"/>
          <w:sz w:val="19"/>
          <w:szCs w:val="19"/>
        </w:rPr>
        <w:t xml:space="preserve">, Mosaic, Nestlé, PepsiCo, </w:t>
      </w:r>
      <w:proofErr w:type="spellStart"/>
      <w:r>
        <w:rPr>
          <w:rFonts w:cs="Helvetica Neue LT Pro"/>
          <w:color w:val="000000"/>
          <w:sz w:val="19"/>
          <w:szCs w:val="19"/>
        </w:rPr>
        <w:t>Rabobank</w:t>
      </w:r>
      <w:proofErr w:type="spellEnd"/>
      <w:r>
        <w:rPr>
          <w:rFonts w:cs="Helvetica Neue LT Pro"/>
          <w:color w:val="000000"/>
          <w:sz w:val="19"/>
          <w:szCs w:val="19"/>
        </w:rPr>
        <w:t xml:space="preserve"> International, Royal DSM, SABMiller, Swiss Re, </w:t>
      </w:r>
      <w:proofErr w:type="spellStart"/>
      <w:r>
        <w:rPr>
          <w:rFonts w:cs="Helvetica Neue LT Pro"/>
          <w:color w:val="000000"/>
          <w:sz w:val="19"/>
          <w:szCs w:val="19"/>
        </w:rPr>
        <w:t>Syngenta</w:t>
      </w:r>
      <w:proofErr w:type="spellEnd"/>
      <w:r>
        <w:rPr>
          <w:rFonts w:cs="Helvetica Neue LT Pro"/>
          <w:color w:val="000000"/>
          <w:sz w:val="19"/>
          <w:szCs w:val="19"/>
        </w:rPr>
        <w:t xml:space="preserve">, The Mosaic Company, </w:t>
      </w:r>
      <w:proofErr w:type="spellStart"/>
      <w:r>
        <w:rPr>
          <w:rFonts w:cs="Helvetica Neue LT Pro"/>
          <w:color w:val="000000"/>
          <w:sz w:val="19"/>
          <w:szCs w:val="19"/>
        </w:rPr>
        <w:t>Teck</w:t>
      </w:r>
      <w:proofErr w:type="spellEnd"/>
      <w:r>
        <w:rPr>
          <w:rFonts w:cs="Helvetica Neue LT Pro"/>
          <w:color w:val="000000"/>
          <w:sz w:val="19"/>
          <w:szCs w:val="19"/>
        </w:rPr>
        <w:t xml:space="preserve"> Resources, Unilever, Vodafone, Wal-Mart Stores and </w:t>
      </w:r>
      <w:proofErr w:type="spellStart"/>
      <w:r>
        <w:rPr>
          <w:rFonts w:cs="Helvetica Neue LT Pro"/>
          <w:color w:val="000000"/>
          <w:sz w:val="19"/>
          <w:szCs w:val="19"/>
        </w:rPr>
        <w:t>Yara</w:t>
      </w:r>
      <w:proofErr w:type="spellEnd"/>
      <w:r>
        <w:rPr>
          <w:rFonts w:cs="Helvetica Neue LT Pro"/>
          <w:color w:val="000000"/>
          <w:sz w:val="19"/>
          <w:szCs w:val="19"/>
        </w:rPr>
        <w:t xml:space="preserve"> International.  Source: </w:t>
      </w:r>
      <w:hyperlink r:id="rId16" w:history="1">
        <w:r w:rsidRPr="00EF241D">
          <w:rPr>
            <w:rStyle w:val="Hyperlink"/>
            <w:rFonts w:cs="Helvetica Neue LT Pro"/>
            <w:sz w:val="19"/>
            <w:szCs w:val="19"/>
          </w:rPr>
          <w:t>http://www.weforum.org/issues/agriculture-and-food-security</w:t>
        </w:r>
      </w:hyperlink>
      <w:r>
        <w:rPr>
          <w:rFonts w:cs="Helvetica Neue LT Pro"/>
          <w:color w:val="000000"/>
          <w:sz w:val="19"/>
          <w:szCs w:val="19"/>
        </w:rPr>
        <w:t xml:space="preserve"> </w:t>
      </w:r>
      <w:r>
        <w:t xml:space="preserve">  </w:t>
      </w:r>
    </w:p>
  </w:footnote>
  <w:footnote w:id="67">
    <w:p w:rsidR="00956B35" w:rsidRDefault="00956B35" w:rsidP="003F6C09">
      <w:pPr>
        <w:pStyle w:val="FootnoteText"/>
      </w:pPr>
      <w:r>
        <w:rPr>
          <w:rStyle w:val="FootnoteReference"/>
        </w:rPr>
        <w:footnoteRef/>
      </w:r>
      <w:r>
        <w:t xml:space="preserve"> World Economic Forum (2012) </w:t>
      </w:r>
    </w:p>
  </w:footnote>
  <w:footnote w:id="68">
    <w:p w:rsidR="00956B35" w:rsidRDefault="00956B35" w:rsidP="003F6C09">
      <w:pPr>
        <w:pStyle w:val="FootnoteText"/>
      </w:pPr>
      <w:r>
        <w:rPr>
          <w:rStyle w:val="FootnoteReference"/>
        </w:rPr>
        <w:footnoteRef/>
      </w:r>
      <w:r>
        <w:t xml:space="preserve"> Ibid.</w:t>
      </w:r>
    </w:p>
  </w:footnote>
  <w:footnote w:id="69">
    <w:p w:rsidR="00956B35" w:rsidRDefault="00956B35" w:rsidP="003F6C09">
      <w:pPr>
        <w:pStyle w:val="FootnoteText"/>
      </w:pPr>
      <w:r>
        <w:rPr>
          <w:rStyle w:val="FootnoteReference"/>
        </w:rPr>
        <w:footnoteRef/>
      </w:r>
      <w:r>
        <w:t xml:space="preserve"> Source: Bill &amp; Melinda Gates Foundation (2011), p.7-8. </w:t>
      </w:r>
    </w:p>
  </w:footnote>
  <w:footnote w:id="70">
    <w:p w:rsidR="00956B35" w:rsidRDefault="00956B35" w:rsidP="003F6C09">
      <w:pPr>
        <w:pStyle w:val="FootnoteText"/>
      </w:pPr>
      <w:r>
        <w:rPr>
          <w:rStyle w:val="FootnoteReference"/>
        </w:rPr>
        <w:footnoteRef/>
      </w:r>
      <w:r>
        <w:t xml:space="preserve"> AGRA website: </w:t>
      </w:r>
      <w:hyperlink r:id="rId17" w:history="1">
        <w:r w:rsidRPr="00D952EB">
          <w:rPr>
            <w:rStyle w:val="Hyperlink"/>
          </w:rPr>
          <w:t>http://www.agra-alliance.org/who-we-are/about-the-alliance/</w:t>
        </w:r>
      </w:hyperlink>
      <w:r>
        <w:t xml:space="preserve"> </w:t>
      </w:r>
    </w:p>
  </w:footnote>
  <w:footnote w:id="71">
    <w:p w:rsidR="00956B35" w:rsidRDefault="00956B35" w:rsidP="003F6C09">
      <w:pPr>
        <w:pStyle w:val="FootnoteText"/>
      </w:pPr>
      <w:r>
        <w:rPr>
          <w:rStyle w:val="FootnoteReference"/>
        </w:rPr>
        <w:footnoteRef/>
      </w:r>
      <w:r>
        <w:t xml:space="preserve"> G20 Toronto Summit Declaration, Toronto, June 2010 </w:t>
      </w:r>
      <w:hyperlink r:id="rId18" w:history="1">
        <w:r w:rsidRPr="001C030A">
          <w:rPr>
            <w:rStyle w:val="Hyperlink"/>
          </w:rPr>
          <w:t>http://www.g20.utoronto.ca/2010/to-communique.html</w:t>
        </w:r>
      </w:hyperlink>
      <w:r>
        <w:t xml:space="preserve"> </w:t>
      </w:r>
    </w:p>
  </w:footnote>
  <w:footnote w:id="72">
    <w:p w:rsidR="00956B35" w:rsidRDefault="00956B35" w:rsidP="003F6C09">
      <w:pPr>
        <w:pStyle w:val="FootnoteText"/>
      </w:pPr>
      <w:r>
        <w:rPr>
          <w:rStyle w:val="FootnoteReference"/>
        </w:rPr>
        <w:footnoteRef/>
      </w:r>
      <w:r>
        <w:t xml:space="preserve"> Reuters, ‘African Agricultural Finance Under the Spotlight’, August 24 2010: </w:t>
      </w:r>
      <w:hyperlink r:id="rId19" w:history="1">
        <w:r w:rsidRPr="001C030A">
          <w:rPr>
            <w:rStyle w:val="Hyperlink"/>
          </w:rPr>
          <w:t>http://blogs.reuters.com/africanews/2010/08/24/african-agricultural-finance-under-the-spotlight/</w:t>
        </w:r>
      </w:hyperlink>
      <w:r>
        <w:t xml:space="preserve"> </w:t>
      </w:r>
    </w:p>
  </w:footnote>
  <w:footnote w:id="73">
    <w:p w:rsidR="00956B35" w:rsidRDefault="00956B35">
      <w:pPr>
        <w:pStyle w:val="FootnoteText"/>
      </w:pPr>
      <w:r>
        <w:rPr>
          <w:rStyle w:val="FootnoteReference"/>
        </w:rPr>
        <w:footnoteRef/>
      </w:r>
      <w:r>
        <w:t xml:space="preserve"> CAADP Meeting documents: </w:t>
      </w:r>
      <w:hyperlink r:id="rId20" w:history="1">
        <w:r w:rsidRPr="003347CA">
          <w:rPr>
            <w:rStyle w:val="Hyperlink"/>
          </w:rPr>
          <w:t>http://www.nepad-caadp.net/text-version/library-meeting-documents.php</w:t>
        </w:r>
      </w:hyperlink>
      <w:r>
        <w:t xml:space="preserve"> </w:t>
      </w:r>
    </w:p>
  </w:footnote>
  <w:footnote w:id="74">
    <w:p w:rsidR="00956B35" w:rsidRDefault="00956B35" w:rsidP="003F6C09">
      <w:pPr>
        <w:pStyle w:val="FootnoteText"/>
      </w:pPr>
      <w:r>
        <w:rPr>
          <w:rStyle w:val="FootnoteReference"/>
        </w:rPr>
        <w:footnoteRef/>
      </w:r>
      <w:r>
        <w:t xml:space="preserve"> Tibbett (2011) </w:t>
      </w:r>
    </w:p>
  </w:footnote>
  <w:footnote w:id="75">
    <w:p w:rsidR="00956B35" w:rsidRDefault="00956B35" w:rsidP="003F6C09">
      <w:pPr>
        <w:pStyle w:val="FootnoteText"/>
      </w:pPr>
      <w:r>
        <w:rPr>
          <w:rStyle w:val="FootnoteReference"/>
        </w:rPr>
        <w:footnoteRef/>
      </w:r>
      <w:r>
        <w:t xml:space="preserve"> Global Donor Platform for Rural Development (accessed December 2012) </w:t>
      </w:r>
      <w:hyperlink r:id="rId21" w:anchor="donor-support-to-caadp" w:history="1">
        <w:r w:rsidRPr="00F320D2">
          <w:rPr>
            <w:rStyle w:val="Hyperlink"/>
          </w:rPr>
          <w:t>https://www.donorplatform.org/caadp/work-stream.html?Itemid=380#donor-support-to-caadp</w:t>
        </w:r>
      </w:hyperlink>
      <w:r>
        <w:t xml:space="preserve"> </w:t>
      </w:r>
    </w:p>
  </w:footnote>
  <w:footnote w:id="76">
    <w:p w:rsidR="00956B35" w:rsidRDefault="00956B35" w:rsidP="003F6C09">
      <w:pPr>
        <w:pStyle w:val="FootnoteText"/>
      </w:pPr>
      <w:r>
        <w:rPr>
          <w:rStyle w:val="FootnoteReference"/>
        </w:rPr>
        <w:footnoteRef/>
      </w:r>
      <w:r>
        <w:t xml:space="preserve"> Tibbett (2011).</w:t>
      </w:r>
    </w:p>
  </w:footnote>
  <w:footnote w:id="77">
    <w:p w:rsidR="00956B35" w:rsidRPr="004C40D3" w:rsidRDefault="00956B35" w:rsidP="003F6C09">
      <w:pPr>
        <w:pStyle w:val="FootnoteText"/>
      </w:pPr>
      <w:r>
        <w:rPr>
          <w:rStyle w:val="FootnoteReference"/>
        </w:rPr>
        <w:footnoteRef/>
      </w:r>
      <w:r>
        <w:t xml:space="preserve"> </w:t>
      </w:r>
      <w:r w:rsidRPr="004C40D3">
        <w:t xml:space="preserve">Global Donor Platform for Rural Development (accessed December 2012) </w:t>
      </w:r>
      <w:hyperlink r:id="rId22" w:anchor="donor-support-to-caadp" w:history="1">
        <w:r w:rsidRPr="004C40D3">
          <w:rPr>
            <w:rStyle w:val="Hyperlink"/>
          </w:rPr>
          <w:t>http://www.donorplatform.org/caadp/work-stream.html?Itemid=380#donor-support-to-caadp</w:t>
        </w:r>
      </w:hyperlink>
      <w:r w:rsidRPr="004C40D3">
        <w:t xml:space="preserve"> </w:t>
      </w:r>
    </w:p>
  </w:footnote>
  <w:footnote w:id="78">
    <w:p w:rsidR="00956B35" w:rsidRPr="004C40D3" w:rsidRDefault="00956B35" w:rsidP="003F6C09">
      <w:pPr>
        <w:autoSpaceDE w:val="0"/>
        <w:autoSpaceDN w:val="0"/>
        <w:adjustRightInd w:val="0"/>
        <w:rPr>
          <w:rFonts w:asciiTheme="minorHAnsi" w:hAnsiTheme="minorHAnsi" w:cs="Arial"/>
          <w:sz w:val="20"/>
        </w:rPr>
      </w:pPr>
      <w:r w:rsidRPr="004C40D3">
        <w:rPr>
          <w:rStyle w:val="FootnoteReference"/>
          <w:rFonts w:asciiTheme="minorHAnsi" w:hAnsiTheme="minorHAnsi"/>
          <w:sz w:val="20"/>
        </w:rPr>
        <w:footnoteRef/>
      </w:r>
      <w:r w:rsidRPr="004C40D3">
        <w:rPr>
          <w:rFonts w:asciiTheme="minorHAnsi" w:hAnsiTheme="minorHAnsi"/>
          <w:sz w:val="20"/>
        </w:rPr>
        <w:t xml:space="preserve"> </w:t>
      </w:r>
      <w:r w:rsidRPr="004C40D3">
        <w:rPr>
          <w:rFonts w:asciiTheme="minorHAnsi" w:hAnsiTheme="minorHAnsi" w:cs="Cambria"/>
          <w:color w:val="000000"/>
          <w:sz w:val="20"/>
        </w:rPr>
        <w:t>AUC, NPCA, FAO, IFAD, WFP, ECA, UNWOMEN, IOM, the World Bank, IAEA, UNDP, UNIDO, UNCTAD, UNESCO, UNICEF, UNHCR, WIPO, WTO and OSAA</w:t>
      </w:r>
    </w:p>
  </w:footnote>
  <w:footnote w:id="79">
    <w:p w:rsidR="00956B35" w:rsidRPr="004C40D3" w:rsidRDefault="00956B35" w:rsidP="003F6C09">
      <w:pPr>
        <w:pStyle w:val="FootnoteText"/>
      </w:pPr>
      <w:r w:rsidRPr="004C40D3">
        <w:rPr>
          <w:rStyle w:val="FootnoteReference"/>
        </w:rPr>
        <w:footnoteRef/>
      </w:r>
      <w:r w:rsidRPr="004C40D3">
        <w:t xml:space="preserve"> </w:t>
      </w:r>
      <w:r w:rsidRPr="004C40D3">
        <w:rPr>
          <w:rStyle w:val="A1"/>
          <w:sz w:val="20"/>
          <w:szCs w:val="20"/>
        </w:rPr>
        <w:t>AFSRDC (2012)</w:t>
      </w:r>
    </w:p>
  </w:footnote>
  <w:footnote w:id="80">
    <w:p w:rsidR="00956B35" w:rsidRPr="004C40D3" w:rsidRDefault="00956B35" w:rsidP="003F6C09">
      <w:pPr>
        <w:pStyle w:val="FootnoteText"/>
      </w:pPr>
      <w:r w:rsidRPr="004C40D3">
        <w:rPr>
          <w:rStyle w:val="FootnoteReference"/>
        </w:rPr>
        <w:footnoteRef/>
      </w:r>
      <w:r w:rsidRPr="004C40D3">
        <w:t xml:space="preserve"> World Bank (2008) </w:t>
      </w:r>
    </w:p>
  </w:footnote>
  <w:footnote w:id="81">
    <w:p w:rsidR="00956B35" w:rsidRPr="00891903" w:rsidRDefault="00956B35" w:rsidP="003F6C09">
      <w:pPr>
        <w:pStyle w:val="FootnoteText"/>
      </w:pPr>
      <w:r w:rsidRPr="004C40D3">
        <w:rPr>
          <w:rStyle w:val="FootnoteReference"/>
        </w:rPr>
        <w:footnoteRef/>
      </w:r>
      <w:r w:rsidRPr="004C40D3">
        <w:t xml:space="preserve"> Nielson, D. (2012) </w:t>
      </w:r>
      <w:r w:rsidRPr="004C40D3">
        <w:rPr>
          <w:i/>
        </w:rPr>
        <w:t xml:space="preserve">CAADP Multi-donor Trust Fund Mid-Term Review Trust Fund Status Report, </w:t>
      </w:r>
      <w:r w:rsidRPr="004C40D3">
        <w:t xml:space="preserve">April 2012 </w:t>
      </w:r>
      <w:hyperlink r:id="rId23" w:history="1">
        <w:r w:rsidRPr="004C40D3">
          <w:rPr>
            <w:rStyle w:val="Hyperlink"/>
          </w:rPr>
          <w:t>http://www.nepad.org/system/files/CAADP%20MDTF%20Status%20Report%20Main%20Text%20FINAL.pdf</w:t>
        </w:r>
      </w:hyperlink>
      <w:r w:rsidRPr="004C40D3">
        <w:t xml:space="preserve"> </w:t>
      </w:r>
    </w:p>
  </w:footnote>
  <w:footnote w:id="82">
    <w:p w:rsidR="00956B35" w:rsidRDefault="00956B35" w:rsidP="003F6C09">
      <w:pPr>
        <w:pStyle w:val="FootnoteText"/>
      </w:pPr>
      <w:r w:rsidRPr="004C40D3">
        <w:rPr>
          <w:rStyle w:val="FootnoteReference"/>
        </w:rPr>
        <w:footnoteRef/>
      </w:r>
      <w:r w:rsidRPr="004C40D3">
        <w:t xml:space="preserve"> CAADP website – Implementing the CAADP agenda </w:t>
      </w:r>
      <w:hyperlink r:id="rId24" w:history="1">
        <w:r w:rsidRPr="004C40D3">
          <w:rPr>
            <w:rStyle w:val="Hyperlink"/>
          </w:rPr>
          <w:t>http://www.nepad-caadp.net/implementing-caadp-agenda.php</w:t>
        </w:r>
      </w:hyperlink>
      <w:r>
        <w:t xml:space="preserve"> </w:t>
      </w:r>
    </w:p>
  </w:footnote>
  <w:footnote w:id="83">
    <w:p w:rsidR="00956B35" w:rsidRDefault="00956B35" w:rsidP="003F6C09">
      <w:pPr>
        <w:pStyle w:val="FootnoteText"/>
      </w:pPr>
      <w:r>
        <w:rPr>
          <w:rStyle w:val="FootnoteReference"/>
        </w:rPr>
        <w:footnoteRef/>
      </w:r>
      <w:r>
        <w:t xml:space="preserve"> Source:  Presentation by David Neilson ‘CAADP Multi-donor Trust Fund’, Mid-term Review Workshop, Johannesburg, April 17-19, 2012. </w:t>
      </w:r>
      <w:hyperlink r:id="rId25" w:history="1">
        <w:r w:rsidRPr="00883F6D">
          <w:rPr>
            <w:rStyle w:val="Hyperlink"/>
          </w:rPr>
          <w:t>http://www.nepad.org/system/files/Component%20Intro.pdf</w:t>
        </w:r>
      </w:hyperlink>
      <w:r>
        <w:t xml:space="preserve"> </w:t>
      </w:r>
    </w:p>
  </w:footnote>
  <w:footnote w:id="84">
    <w:p w:rsidR="00956B35" w:rsidRDefault="00956B35" w:rsidP="003F6C09">
      <w:pPr>
        <w:pStyle w:val="FootnoteText"/>
      </w:pPr>
      <w:r>
        <w:rPr>
          <w:rStyle w:val="FootnoteReference"/>
        </w:rPr>
        <w:footnoteRef/>
      </w:r>
      <w:r>
        <w:t xml:space="preserve"> Source: Ibid.</w:t>
      </w:r>
    </w:p>
  </w:footnote>
  <w:footnote w:id="85">
    <w:p w:rsidR="00956B35" w:rsidRDefault="00956B35" w:rsidP="003F6C09">
      <w:pPr>
        <w:pStyle w:val="FootnoteText"/>
      </w:pPr>
      <w:r>
        <w:rPr>
          <w:rStyle w:val="FootnoteReference"/>
        </w:rPr>
        <w:footnoteRef/>
      </w:r>
      <w:r>
        <w:t xml:space="preserve"> As of December 2012, the CAADP MDTF is currently providing support to the RECS COMESA and ECCAS, and preparation has begun for </w:t>
      </w:r>
      <w:r w:rsidRPr="00437701">
        <w:t>the establishment of CTFs for SADC and ECOWAS</w:t>
      </w:r>
      <w:r>
        <w:t xml:space="preserve">. </w:t>
      </w:r>
    </w:p>
  </w:footnote>
  <w:footnote w:id="86">
    <w:p w:rsidR="00956B35" w:rsidRPr="00A06B93" w:rsidRDefault="00956B35" w:rsidP="003F6C09">
      <w:pPr>
        <w:pStyle w:val="FootnoteText"/>
      </w:pPr>
      <w:r>
        <w:rPr>
          <w:rStyle w:val="FootnoteReference"/>
        </w:rPr>
        <w:footnoteRef/>
      </w:r>
      <w:r>
        <w:t xml:space="preserve"> </w:t>
      </w:r>
      <w:proofErr w:type="spellStart"/>
      <w:r w:rsidRPr="00A06B93">
        <w:t>Rampa</w:t>
      </w:r>
      <w:proofErr w:type="spellEnd"/>
      <w:r w:rsidRPr="00A06B93">
        <w:t xml:space="preserve"> et  al. (2012)</w:t>
      </w:r>
    </w:p>
  </w:footnote>
  <w:footnote w:id="87">
    <w:p w:rsidR="00956B35" w:rsidRPr="00A06B93" w:rsidRDefault="00956B35" w:rsidP="003F6C09">
      <w:pPr>
        <w:rPr>
          <w:rFonts w:asciiTheme="minorHAnsi" w:hAnsiTheme="minorHAnsi"/>
          <w:i/>
        </w:rPr>
      </w:pPr>
      <w:r w:rsidRPr="00A06B93">
        <w:rPr>
          <w:rStyle w:val="FootnoteReference"/>
          <w:rFonts w:asciiTheme="minorHAnsi" w:hAnsiTheme="minorHAnsi"/>
        </w:rPr>
        <w:footnoteRef/>
      </w:r>
      <w:r w:rsidRPr="00A06B93">
        <w:rPr>
          <w:rFonts w:asciiTheme="minorHAnsi" w:hAnsiTheme="minorHAnsi"/>
        </w:rPr>
        <w:t xml:space="preserve"> </w:t>
      </w:r>
      <w:r w:rsidRPr="00A06B93">
        <w:rPr>
          <w:rFonts w:asciiTheme="minorHAnsi" w:hAnsiTheme="minorHAnsi"/>
          <w:sz w:val="20"/>
        </w:rPr>
        <w:t xml:space="preserve">AUC-DREA </w:t>
      </w:r>
      <w:r w:rsidRPr="00A06B93">
        <w:rPr>
          <w:rFonts w:asciiTheme="minorHAnsi" w:hAnsiTheme="minorHAnsi"/>
          <w:i/>
          <w:sz w:val="20"/>
        </w:rPr>
        <w:t>Strategic Plan 2010-2012.</w:t>
      </w:r>
    </w:p>
  </w:footnote>
  <w:footnote w:id="88">
    <w:p w:rsidR="00956B35" w:rsidRPr="00A06B93" w:rsidRDefault="00956B35" w:rsidP="003F6C09">
      <w:pPr>
        <w:pStyle w:val="FootnoteText"/>
      </w:pPr>
      <w:r w:rsidRPr="00A06B93">
        <w:rPr>
          <w:rStyle w:val="FootnoteReference"/>
        </w:rPr>
        <w:footnoteRef/>
      </w:r>
      <w:r w:rsidRPr="00A06B93">
        <w:t xml:space="preserve"> Source: AUC-DREA </w:t>
      </w:r>
      <w:r w:rsidRPr="00A06B93">
        <w:rPr>
          <w:i/>
        </w:rPr>
        <w:t>Strategic Plan 2010-2012</w:t>
      </w:r>
      <w:r w:rsidRPr="00A06B93">
        <w:t>, p.39.</w:t>
      </w:r>
    </w:p>
  </w:footnote>
  <w:footnote w:id="89">
    <w:p w:rsidR="00956B35" w:rsidRPr="00A06B93" w:rsidRDefault="00956B35" w:rsidP="003F6C09">
      <w:pPr>
        <w:jc w:val="both"/>
        <w:rPr>
          <w:rFonts w:asciiTheme="minorHAnsi" w:hAnsiTheme="minorHAnsi"/>
          <w:sz w:val="20"/>
          <w:shd w:val="clear" w:color="auto" w:fill="FFFFFF"/>
        </w:rPr>
      </w:pPr>
      <w:r w:rsidRPr="00A06B93">
        <w:rPr>
          <w:rStyle w:val="FootnoteReference"/>
          <w:rFonts w:asciiTheme="minorHAnsi" w:hAnsiTheme="minorHAnsi"/>
        </w:rPr>
        <w:footnoteRef/>
      </w:r>
      <w:r w:rsidRPr="00A06B93">
        <w:rPr>
          <w:rFonts w:asciiTheme="minorHAnsi" w:hAnsiTheme="minorHAnsi"/>
        </w:rPr>
        <w:t xml:space="preserve"> </w:t>
      </w:r>
      <w:r w:rsidRPr="00A06B93">
        <w:rPr>
          <w:rFonts w:asciiTheme="minorHAnsi" w:hAnsiTheme="minorHAnsi"/>
          <w:sz w:val="20"/>
        </w:rPr>
        <w:t xml:space="preserve">Former </w:t>
      </w:r>
      <w:r w:rsidRPr="00A06B93">
        <w:rPr>
          <w:rFonts w:asciiTheme="minorHAnsi" w:hAnsiTheme="minorHAnsi"/>
          <w:sz w:val="20"/>
          <w:shd w:val="clear" w:color="auto" w:fill="FFFFFF"/>
        </w:rPr>
        <w:t xml:space="preserve">Brazilian President </w:t>
      </w:r>
      <w:proofErr w:type="spellStart"/>
      <w:r w:rsidRPr="00A06B93">
        <w:rPr>
          <w:rFonts w:asciiTheme="minorHAnsi" w:hAnsiTheme="minorHAnsi"/>
          <w:sz w:val="20"/>
          <w:shd w:val="clear" w:color="auto" w:fill="FFFFFF"/>
        </w:rPr>
        <w:t>Luiz</w:t>
      </w:r>
      <w:proofErr w:type="spellEnd"/>
      <w:r w:rsidRPr="00A06B93">
        <w:rPr>
          <w:rFonts w:asciiTheme="minorHAnsi" w:hAnsiTheme="minorHAnsi"/>
          <w:sz w:val="20"/>
          <w:shd w:val="clear" w:color="auto" w:fill="FFFFFF"/>
        </w:rPr>
        <w:t xml:space="preserve"> </w:t>
      </w:r>
      <w:proofErr w:type="spellStart"/>
      <w:r w:rsidRPr="00A06B93">
        <w:rPr>
          <w:rFonts w:asciiTheme="minorHAnsi" w:hAnsiTheme="minorHAnsi"/>
          <w:sz w:val="20"/>
          <w:shd w:val="clear" w:color="auto" w:fill="FFFFFF"/>
        </w:rPr>
        <w:t>Inácio</w:t>
      </w:r>
      <w:proofErr w:type="spellEnd"/>
      <w:r w:rsidRPr="00A06B93">
        <w:rPr>
          <w:rFonts w:asciiTheme="minorHAnsi" w:hAnsiTheme="minorHAnsi"/>
          <w:sz w:val="20"/>
          <w:shd w:val="clear" w:color="auto" w:fill="FFFFFF"/>
        </w:rPr>
        <w:t xml:space="preserve"> Lula </w:t>
      </w:r>
      <w:proofErr w:type="spellStart"/>
      <w:r w:rsidRPr="00A06B93">
        <w:rPr>
          <w:rFonts w:asciiTheme="minorHAnsi" w:hAnsiTheme="minorHAnsi"/>
          <w:sz w:val="20"/>
          <w:shd w:val="clear" w:color="auto" w:fill="FFFFFF"/>
        </w:rPr>
        <w:t>da</w:t>
      </w:r>
      <w:proofErr w:type="spellEnd"/>
      <w:r w:rsidRPr="00A06B93">
        <w:rPr>
          <w:rFonts w:asciiTheme="minorHAnsi" w:hAnsiTheme="minorHAnsi"/>
          <w:sz w:val="20"/>
          <w:shd w:val="clear" w:color="auto" w:fill="FFFFFF"/>
        </w:rPr>
        <w:t xml:space="preserve"> Silva met with the FAO’s Director-General, José </w:t>
      </w:r>
      <w:proofErr w:type="spellStart"/>
      <w:r w:rsidRPr="00A06B93">
        <w:rPr>
          <w:rFonts w:asciiTheme="minorHAnsi" w:hAnsiTheme="minorHAnsi"/>
          <w:sz w:val="20"/>
          <w:shd w:val="clear" w:color="auto" w:fill="FFFFFF"/>
        </w:rPr>
        <w:t>Graziano</w:t>
      </w:r>
      <w:proofErr w:type="spellEnd"/>
      <w:r w:rsidRPr="00A06B93">
        <w:rPr>
          <w:rFonts w:asciiTheme="minorHAnsi" w:hAnsiTheme="minorHAnsi"/>
          <w:sz w:val="20"/>
          <w:shd w:val="clear" w:color="auto" w:fill="FFFFFF"/>
        </w:rPr>
        <w:t xml:space="preserve"> </w:t>
      </w:r>
      <w:proofErr w:type="spellStart"/>
      <w:r w:rsidRPr="00A06B93">
        <w:rPr>
          <w:rFonts w:asciiTheme="minorHAnsi" w:hAnsiTheme="minorHAnsi"/>
          <w:sz w:val="20"/>
          <w:shd w:val="clear" w:color="auto" w:fill="FFFFFF"/>
        </w:rPr>
        <w:t>da</w:t>
      </w:r>
      <w:proofErr w:type="spellEnd"/>
      <w:r w:rsidRPr="00A06B93">
        <w:rPr>
          <w:rFonts w:asciiTheme="minorHAnsi" w:hAnsiTheme="minorHAnsi"/>
          <w:sz w:val="20"/>
          <w:shd w:val="clear" w:color="auto" w:fill="FFFFFF"/>
        </w:rPr>
        <w:t xml:space="preserve"> Silva, and the Chairperson of the AU Commission, </w:t>
      </w:r>
      <w:proofErr w:type="spellStart"/>
      <w:r w:rsidRPr="00A06B93">
        <w:rPr>
          <w:rFonts w:asciiTheme="minorHAnsi" w:hAnsiTheme="minorHAnsi"/>
          <w:sz w:val="20"/>
          <w:shd w:val="clear" w:color="auto" w:fill="FFFFFF"/>
        </w:rPr>
        <w:t>Nkosazana</w:t>
      </w:r>
      <w:proofErr w:type="spellEnd"/>
      <w:r w:rsidRPr="00A06B93">
        <w:rPr>
          <w:rFonts w:asciiTheme="minorHAnsi" w:hAnsiTheme="minorHAnsi"/>
          <w:sz w:val="20"/>
          <w:shd w:val="clear" w:color="auto" w:fill="FFFFFF"/>
        </w:rPr>
        <w:t xml:space="preserve"> </w:t>
      </w:r>
      <w:proofErr w:type="spellStart"/>
      <w:r w:rsidRPr="00A06B93">
        <w:rPr>
          <w:rFonts w:asciiTheme="minorHAnsi" w:hAnsiTheme="minorHAnsi"/>
          <w:sz w:val="20"/>
          <w:shd w:val="clear" w:color="auto" w:fill="FFFFFF"/>
        </w:rPr>
        <w:t>Dlamini</w:t>
      </w:r>
      <w:proofErr w:type="spellEnd"/>
      <w:r w:rsidRPr="00A06B93">
        <w:rPr>
          <w:rFonts w:asciiTheme="minorHAnsi" w:hAnsiTheme="minorHAnsi"/>
          <w:sz w:val="20"/>
          <w:shd w:val="clear" w:color="auto" w:fill="FFFFFF"/>
        </w:rPr>
        <w:t xml:space="preserve"> </w:t>
      </w:r>
      <w:proofErr w:type="spellStart"/>
      <w:r w:rsidRPr="00A06B93">
        <w:rPr>
          <w:rFonts w:asciiTheme="minorHAnsi" w:hAnsiTheme="minorHAnsi"/>
          <w:sz w:val="20"/>
          <w:shd w:val="clear" w:color="auto" w:fill="FFFFFF"/>
        </w:rPr>
        <w:t>Zuma</w:t>
      </w:r>
      <w:proofErr w:type="spellEnd"/>
      <w:r w:rsidRPr="00A06B93">
        <w:rPr>
          <w:rFonts w:asciiTheme="minorHAnsi" w:hAnsiTheme="minorHAnsi"/>
          <w:sz w:val="20"/>
          <w:shd w:val="clear" w:color="auto" w:fill="FFFFFF"/>
        </w:rPr>
        <w:t xml:space="preserve">, and agreed on the need to scale up and build on already successful food-security initiatives, as well as promote knowledge-sharing between countries and facilitate political dialogue, including a high-level meeting with African and International Leaders on ‘New, unified approaches to end hunger in Africa’ to be held in Addis Ababa on 4-5 March 2013.  </w:t>
      </w:r>
      <w:r w:rsidRPr="00A06B93">
        <w:rPr>
          <w:rStyle w:val="apple-converted-space"/>
          <w:rFonts w:asciiTheme="minorHAnsi" w:hAnsiTheme="minorHAnsi" w:cs="Arial"/>
          <w:color w:val="000000"/>
          <w:sz w:val="20"/>
          <w:shd w:val="clear" w:color="auto" w:fill="FFFFFF"/>
        </w:rPr>
        <w:t> </w:t>
      </w:r>
    </w:p>
    <w:p w:rsidR="00956B35" w:rsidRPr="00956B35" w:rsidRDefault="00956B35" w:rsidP="003F6C09">
      <w:pPr>
        <w:jc w:val="both"/>
        <w:rPr>
          <w:rFonts w:asciiTheme="minorHAnsi" w:hAnsiTheme="minorHAnsi"/>
          <w:lang w:val="fr-FR"/>
        </w:rPr>
      </w:pPr>
      <w:r w:rsidRPr="00956B35">
        <w:rPr>
          <w:rFonts w:asciiTheme="minorHAnsi" w:hAnsiTheme="minorHAnsi"/>
          <w:sz w:val="20"/>
          <w:shd w:val="clear" w:color="auto" w:fill="FFFFFF"/>
          <w:lang w:val="fr-FR"/>
        </w:rPr>
        <w:t xml:space="preserve">Source: </w:t>
      </w:r>
      <w:r>
        <w:fldChar w:fldCharType="begin"/>
      </w:r>
      <w:r w:rsidRPr="00956B35">
        <w:rPr>
          <w:lang w:val="fr-FR"/>
        </w:rPr>
        <w:instrText>HYPERLINK "http://www.un.org/apps/news/story.asp?NewsID=43570" \l ".UMuU_2_eTAQ"</w:instrText>
      </w:r>
      <w:r>
        <w:fldChar w:fldCharType="separate"/>
      </w:r>
      <w:r w:rsidRPr="00956B35">
        <w:rPr>
          <w:rStyle w:val="Hyperlink"/>
          <w:rFonts w:asciiTheme="minorHAnsi" w:hAnsiTheme="minorHAnsi"/>
          <w:sz w:val="20"/>
          <w:shd w:val="clear" w:color="auto" w:fill="FFFFFF"/>
          <w:lang w:val="fr-FR"/>
        </w:rPr>
        <w:t>http://www.un.org/apps/news/story.asp?NewsID=43570#.UMuU_2_eTAQ</w:t>
      </w:r>
      <w:r>
        <w:fldChar w:fldCharType="end"/>
      </w:r>
      <w:r w:rsidRPr="00956B35">
        <w:rPr>
          <w:rFonts w:asciiTheme="minorHAnsi" w:hAnsiTheme="minorHAnsi"/>
          <w:sz w:val="20"/>
          <w:shd w:val="clear" w:color="auto" w:fill="FFFFFF"/>
          <w:lang w:val="fr-FR"/>
        </w:rPr>
        <w:t xml:space="preserve"> </w:t>
      </w:r>
    </w:p>
  </w:footnote>
  <w:footnote w:id="90">
    <w:p w:rsidR="00956B35" w:rsidRPr="00A06B93" w:rsidRDefault="00956B35" w:rsidP="003F6C09">
      <w:pPr>
        <w:pStyle w:val="FootnoteText"/>
      </w:pPr>
      <w:r>
        <w:rPr>
          <w:rStyle w:val="FootnoteReference"/>
        </w:rPr>
        <w:footnoteRef/>
      </w:r>
      <w:r>
        <w:t xml:space="preserve"> </w:t>
      </w:r>
      <w:proofErr w:type="spellStart"/>
      <w:r w:rsidRPr="00A06B93">
        <w:t>Rogerio</w:t>
      </w:r>
      <w:proofErr w:type="spellEnd"/>
      <w:r w:rsidRPr="00A06B93">
        <w:t xml:space="preserve"> (2012)</w:t>
      </w:r>
    </w:p>
  </w:footnote>
  <w:footnote w:id="91">
    <w:p w:rsidR="00956B35" w:rsidRPr="00A06B93" w:rsidRDefault="00956B35" w:rsidP="003F6C09">
      <w:pPr>
        <w:pStyle w:val="FootnoteText"/>
      </w:pPr>
      <w:r w:rsidRPr="00A06B93">
        <w:rPr>
          <w:rStyle w:val="FootnoteReference"/>
        </w:rPr>
        <w:footnoteRef/>
      </w:r>
      <w:r w:rsidRPr="00A06B93">
        <w:t xml:space="preserve"> NEPAD Secretariat </w:t>
      </w:r>
      <w:proofErr w:type="spellStart"/>
      <w:r w:rsidRPr="00A06B93">
        <w:t>Organogram</w:t>
      </w:r>
      <w:proofErr w:type="spellEnd"/>
      <w:r w:rsidRPr="00A06B93">
        <w:t xml:space="preserve"> </w:t>
      </w:r>
    </w:p>
    <w:p w:rsidR="00956B35" w:rsidRPr="00A06B93" w:rsidRDefault="00956B35" w:rsidP="003F6C09">
      <w:pPr>
        <w:pStyle w:val="FootnoteText"/>
      </w:pPr>
      <w:hyperlink r:id="rId26" w:history="1">
        <w:r w:rsidRPr="00A06B93">
          <w:rPr>
            <w:rStyle w:val="Hyperlink"/>
          </w:rPr>
          <w:t>http://www.nepad-caadp.net/pdf/CAADP%20Agriculture%20Unit%20Organogram.pdf</w:t>
        </w:r>
      </w:hyperlink>
      <w:r w:rsidRPr="00A06B93">
        <w:t xml:space="preserve"> </w:t>
      </w:r>
    </w:p>
  </w:footnote>
  <w:footnote w:id="92">
    <w:p w:rsidR="00956B35" w:rsidRPr="00A06B93" w:rsidRDefault="00956B35" w:rsidP="003F6C09">
      <w:pPr>
        <w:pStyle w:val="FootnoteText"/>
      </w:pPr>
      <w:r w:rsidRPr="00A06B93">
        <w:rPr>
          <w:rStyle w:val="FootnoteReference"/>
        </w:rPr>
        <w:footnoteRef/>
      </w:r>
      <w:r w:rsidRPr="00A06B93">
        <w:t xml:space="preserve"> FAO (2010)</w:t>
      </w:r>
    </w:p>
  </w:footnote>
  <w:footnote w:id="93">
    <w:p w:rsidR="00956B35" w:rsidRPr="00A06B93" w:rsidRDefault="00956B35" w:rsidP="003F6C09">
      <w:pPr>
        <w:pStyle w:val="NormalWeb"/>
        <w:shd w:val="clear" w:color="auto" w:fill="FFFFFF"/>
        <w:spacing w:before="0" w:beforeAutospacing="0" w:after="0" w:afterAutospacing="0"/>
        <w:rPr>
          <w:rFonts w:asciiTheme="minorHAnsi" w:hAnsiTheme="minorHAnsi"/>
        </w:rPr>
      </w:pPr>
      <w:r w:rsidRPr="00A06B93">
        <w:rPr>
          <w:rStyle w:val="FootnoteReference"/>
          <w:rFonts w:asciiTheme="minorHAnsi" w:hAnsiTheme="minorHAnsi"/>
          <w:sz w:val="20"/>
          <w:szCs w:val="20"/>
        </w:rPr>
        <w:footnoteRef/>
      </w:r>
      <w:r w:rsidRPr="00A06B93">
        <w:rPr>
          <w:rFonts w:asciiTheme="minorHAnsi" w:hAnsiTheme="minorHAnsi"/>
          <w:sz w:val="20"/>
          <w:szCs w:val="20"/>
        </w:rPr>
        <w:t xml:space="preserve"> The Spanish Fund runs for 5 years and </w:t>
      </w:r>
      <w:r w:rsidRPr="00A06B93">
        <w:rPr>
          <w:rFonts w:asciiTheme="minorHAnsi" w:hAnsiTheme="minorHAnsi" w:cs="Arial"/>
          <w:color w:val="000000"/>
          <w:sz w:val="20"/>
          <w:szCs w:val="20"/>
        </w:rPr>
        <w:t xml:space="preserve">contributes to poverty eradication and women’s economic empowerment through financial and technical assistance to projects that support gender equality and the improvement of women's economic, political and social empowerment. </w:t>
      </w:r>
      <w:hyperlink r:id="rId27" w:history="1">
        <w:r w:rsidRPr="00A06B93">
          <w:rPr>
            <w:rStyle w:val="Hyperlink"/>
            <w:rFonts w:asciiTheme="minorHAnsi" w:hAnsiTheme="minorHAnsi" w:cs="Arial"/>
            <w:sz w:val="20"/>
            <w:szCs w:val="20"/>
          </w:rPr>
          <w:t>http://www.nepad.org/crosscuttingissues/gender</w:t>
        </w:r>
      </w:hyperlink>
      <w:r w:rsidRPr="00A06B93">
        <w:rPr>
          <w:rFonts w:asciiTheme="minorHAnsi" w:hAnsiTheme="minorHAnsi" w:cs="Arial"/>
          <w:color w:val="000000"/>
          <w:sz w:val="20"/>
          <w:szCs w:val="20"/>
        </w:rPr>
        <w:t xml:space="preserve"> </w:t>
      </w:r>
    </w:p>
  </w:footnote>
  <w:footnote w:id="94">
    <w:p w:rsidR="00956B35" w:rsidRPr="00A06B93" w:rsidRDefault="00956B35" w:rsidP="003F6C09">
      <w:pPr>
        <w:rPr>
          <w:rFonts w:asciiTheme="minorHAnsi" w:hAnsiTheme="minorHAnsi"/>
        </w:rPr>
      </w:pPr>
      <w:r w:rsidRPr="00A06B93">
        <w:rPr>
          <w:rStyle w:val="FootnoteReference"/>
          <w:rFonts w:asciiTheme="minorHAnsi" w:hAnsiTheme="minorHAnsi"/>
        </w:rPr>
        <w:footnoteRef/>
      </w:r>
      <w:r w:rsidRPr="00A06B93">
        <w:rPr>
          <w:rFonts w:asciiTheme="minorHAnsi" w:hAnsiTheme="minorHAnsi"/>
        </w:rPr>
        <w:t xml:space="preserve"> </w:t>
      </w:r>
      <w:r w:rsidRPr="00A06B93">
        <w:rPr>
          <w:rFonts w:asciiTheme="minorHAnsi" w:hAnsiTheme="minorHAnsi"/>
          <w:sz w:val="20"/>
        </w:rPr>
        <w:t xml:space="preserve">Source: NEPAD website ‘Rural Women in West Africa get boost from a NEPAD-ECOWAS Spanish Fund’ </w:t>
      </w:r>
      <w:hyperlink r:id="rId28" w:history="1">
        <w:r w:rsidRPr="00A06B93">
          <w:rPr>
            <w:rStyle w:val="Hyperlink"/>
            <w:rFonts w:asciiTheme="minorHAnsi" w:hAnsiTheme="minorHAnsi"/>
            <w:sz w:val="20"/>
          </w:rPr>
          <w:t>http://www.nepad.org/crosscuttingissues/news/2751/rural-women-west-africa-get-boost-nepad-ecowas-spanish-fund</w:t>
        </w:r>
      </w:hyperlink>
    </w:p>
  </w:footnote>
  <w:footnote w:id="95">
    <w:p w:rsidR="00956B35" w:rsidRPr="00A06B93" w:rsidRDefault="00956B35" w:rsidP="003F6C09">
      <w:pPr>
        <w:pStyle w:val="FootnoteText"/>
      </w:pPr>
      <w:r w:rsidRPr="00A06B93">
        <w:rPr>
          <w:rStyle w:val="FootnoteReference"/>
        </w:rPr>
        <w:footnoteRef/>
      </w:r>
      <w:r w:rsidRPr="00A06B93">
        <w:t xml:space="preserve"> NEPAD website (accessed December 2012): </w:t>
      </w:r>
      <w:hyperlink r:id="rId29" w:history="1">
        <w:r w:rsidRPr="00A06B93">
          <w:rPr>
            <w:rStyle w:val="Hyperlink"/>
          </w:rPr>
          <w:t>http://www.nepad.org/foodsecurity/partnerships</w:t>
        </w:r>
      </w:hyperlink>
      <w:r w:rsidRPr="00A06B93">
        <w:t xml:space="preserve"> - No data provided on financial investments.</w:t>
      </w:r>
    </w:p>
  </w:footnote>
  <w:footnote w:id="96">
    <w:p w:rsidR="00956B35" w:rsidRPr="00A06B93" w:rsidRDefault="00956B35" w:rsidP="003F6C09">
      <w:pPr>
        <w:pStyle w:val="FootnoteText"/>
      </w:pPr>
      <w:r w:rsidRPr="00A06B93">
        <w:rPr>
          <w:rStyle w:val="FootnoteReference"/>
        </w:rPr>
        <w:footnoteRef/>
      </w:r>
      <w:r w:rsidRPr="00A06B93">
        <w:t xml:space="preserve"> James Morton &amp; Co (2010)</w:t>
      </w:r>
    </w:p>
  </w:footnote>
  <w:footnote w:id="97">
    <w:p w:rsidR="00956B35" w:rsidRDefault="00956B35" w:rsidP="003F6C09">
      <w:pPr>
        <w:pStyle w:val="FootnoteText"/>
      </w:pPr>
      <w:r w:rsidRPr="00A06B93">
        <w:rPr>
          <w:rStyle w:val="FootnoteReference"/>
        </w:rPr>
        <w:footnoteRef/>
      </w:r>
      <w:r w:rsidRPr="00A06B93">
        <w:t xml:space="preserve"> </w:t>
      </w:r>
      <w:proofErr w:type="spellStart"/>
      <w:r w:rsidRPr="00A06B93">
        <w:t>Calon</w:t>
      </w:r>
      <w:proofErr w:type="spellEnd"/>
      <w:r w:rsidRPr="00A06B93">
        <w:t xml:space="preserve"> and </w:t>
      </w:r>
      <w:proofErr w:type="spellStart"/>
      <w:r w:rsidRPr="00A06B93">
        <w:t>Blom</w:t>
      </w:r>
      <w:proofErr w:type="spellEnd"/>
      <w:r w:rsidRPr="00A06B93">
        <w:t xml:space="preserve"> (2012), p.1</w:t>
      </w:r>
    </w:p>
  </w:footnote>
  <w:footnote w:id="98">
    <w:p w:rsidR="00956B35" w:rsidRDefault="00956B35" w:rsidP="003F6C09">
      <w:pPr>
        <w:pStyle w:val="FootnoteText"/>
      </w:pPr>
      <w:r>
        <w:rPr>
          <w:rStyle w:val="FootnoteReference"/>
        </w:rPr>
        <w:footnoteRef/>
      </w:r>
      <w:r>
        <w:t xml:space="preserve"> COMESA Agricultural Projects (accessed December 2012): </w:t>
      </w:r>
      <w:hyperlink r:id="rId30" w:history="1">
        <w:r w:rsidRPr="007451E8">
          <w:rPr>
            <w:rStyle w:val="Hyperlink"/>
          </w:rPr>
          <w:t>http://programmes.comesa.int/index.php?option=com_content&amp;view=article&amp;id=94&amp;Itemid=111</w:t>
        </w:r>
      </w:hyperlink>
      <w:r>
        <w:t xml:space="preserve"> </w:t>
      </w:r>
    </w:p>
  </w:footnote>
  <w:footnote w:id="99">
    <w:p w:rsidR="00956B35" w:rsidRPr="005A194D" w:rsidRDefault="00956B35" w:rsidP="003F6C09">
      <w:pPr>
        <w:pStyle w:val="FootnoteText"/>
      </w:pPr>
      <w:r>
        <w:rPr>
          <w:rStyle w:val="FootnoteReference"/>
        </w:rPr>
        <w:footnoteRef/>
      </w:r>
      <w:r>
        <w:t xml:space="preserve"> COMESA Agricultural Projects (accessed December 2012): </w:t>
      </w:r>
      <w:hyperlink r:id="rId31" w:history="1">
        <w:r w:rsidRPr="007451E8">
          <w:rPr>
            <w:rStyle w:val="Hyperlink"/>
          </w:rPr>
          <w:t>http://programmes.comesa.int/index.php?option=com_content&amp;view=article&amp;id=94&amp;Itemid=111</w:t>
        </w:r>
      </w:hyperlink>
    </w:p>
  </w:footnote>
  <w:footnote w:id="100">
    <w:p w:rsidR="00956B35" w:rsidRPr="00956B35" w:rsidRDefault="00956B35" w:rsidP="003F6C09">
      <w:pPr>
        <w:pStyle w:val="FootnoteText"/>
        <w:rPr>
          <w:lang w:val="es-ES"/>
        </w:rPr>
      </w:pPr>
      <w:r>
        <w:rPr>
          <w:rStyle w:val="FootnoteReference"/>
        </w:rPr>
        <w:footnoteRef/>
      </w:r>
      <w:r w:rsidRPr="00956B35">
        <w:rPr>
          <w:lang w:val="es-ES"/>
        </w:rPr>
        <w:t xml:space="preserve"> </w:t>
      </w:r>
      <w:r w:rsidRPr="00956B35">
        <w:rPr>
          <w:rFonts w:cs="Arial"/>
          <w:iCs/>
          <w:color w:val="000000"/>
          <w:shd w:val="clear" w:color="auto" w:fill="FFFFFF"/>
          <w:lang w:val="es-ES"/>
        </w:rPr>
        <w:t>Afun-Odigan, D. (2012), p.1.</w:t>
      </w:r>
    </w:p>
  </w:footnote>
  <w:footnote w:id="101">
    <w:p w:rsidR="00956B35" w:rsidRPr="00956B35" w:rsidRDefault="00956B35" w:rsidP="003F6C09">
      <w:pPr>
        <w:pStyle w:val="FootnoteText"/>
        <w:rPr>
          <w:lang w:val="es-ES"/>
        </w:rPr>
      </w:pPr>
      <w:r>
        <w:rPr>
          <w:rStyle w:val="FootnoteReference"/>
        </w:rPr>
        <w:footnoteRef/>
      </w:r>
      <w:r w:rsidRPr="00956B35">
        <w:rPr>
          <w:lang w:val="es-ES"/>
        </w:rPr>
        <w:t xml:space="preserve"> Ibid.</w:t>
      </w:r>
    </w:p>
  </w:footnote>
  <w:footnote w:id="102">
    <w:p w:rsidR="00956B35" w:rsidRDefault="00956B35" w:rsidP="003F6C09">
      <w:pPr>
        <w:pStyle w:val="FootnoteText"/>
      </w:pPr>
      <w:r>
        <w:rPr>
          <w:rStyle w:val="FootnoteReference"/>
        </w:rPr>
        <w:footnoteRef/>
      </w:r>
      <w:r>
        <w:t xml:space="preserve"> </w:t>
      </w:r>
      <w:proofErr w:type="spellStart"/>
      <w:r>
        <w:t>Kingsmill</w:t>
      </w:r>
      <w:proofErr w:type="spellEnd"/>
      <w:r>
        <w:t xml:space="preserve"> et al. (2011), p.22.</w:t>
      </w:r>
    </w:p>
  </w:footnote>
  <w:footnote w:id="103">
    <w:p w:rsidR="00956B35" w:rsidRDefault="00956B35" w:rsidP="003F6C09">
      <w:pPr>
        <w:pStyle w:val="FootnoteText"/>
      </w:pPr>
      <w:r>
        <w:rPr>
          <w:rStyle w:val="FootnoteReference"/>
        </w:rPr>
        <w:footnoteRef/>
      </w:r>
      <w:r>
        <w:t xml:space="preserve"> ECOWAS Commission (2008)</w:t>
      </w:r>
    </w:p>
  </w:footnote>
  <w:footnote w:id="104">
    <w:p w:rsidR="00956B35" w:rsidRPr="00956B35" w:rsidRDefault="00956B35" w:rsidP="003F6C09">
      <w:pPr>
        <w:pStyle w:val="FootnoteText"/>
        <w:rPr>
          <w:lang w:val="es-ES"/>
        </w:rPr>
      </w:pPr>
      <w:r>
        <w:rPr>
          <w:rStyle w:val="FootnoteReference"/>
        </w:rPr>
        <w:footnoteRef/>
      </w:r>
      <w:r w:rsidRPr="00956B35">
        <w:rPr>
          <w:lang w:val="es-ES"/>
        </w:rPr>
        <w:t xml:space="preserve"> </w:t>
      </w:r>
      <w:r w:rsidRPr="00956B35">
        <w:rPr>
          <w:rFonts w:cs="Arial"/>
          <w:iCs/>
          <w:color w:val="000000"/>
          <w:shd w:val="clear" w:color="auto" w:fill="FFFFFF"/>
          <w:lang w:val="es-ES"/>
        </w:rPr>
        <w:t>Afun-Odigan, D. (2012), p.1.</w:t>
      </w:r>
    </w:p>
  </w:footnote>
  <w:footnote w:id="105">
    <w:p w:rsidR="00956B35" w:rsidRDefault="00956B35" w:rsidP="003F6C09">
      <w:pPr>
        <w:pStyle w:val="FootnoteText"/>
      </w:pPr>
      <w:r>
        <w:rPr>
          <w:rStyle w:val="FootnoteReference"/>
        </w:rPr>
        <w:footnoteRef/>
      </w:r>
      <w:r w:rsidRPr="00956B35">
        <w:rPr>
          <w:lang w:val="es-ES"/>
        </w:rPr>
        <w:t xml:space="preserve"> Ibid.   </w:t>
      </w:r>
      <w:r>
        <w:t>The DWG meets once a month and has adopted its own rules of procedure.  Staff members of ECOWAS’s Department of Agriculture and Rural Development often attend the DWG meetings.</w:t>
      </w:r>
    </w:p>
  </w:footnote>
  <w:footnote w:id="106">
    <w:p w:rsidR="00956B35" w:rsidRPr="00956B35" w:rsidRDefault="00956B35" w:rsidP="003F6C09">
      <w:pPr>
        <w:pStyle w:val="FootnoteText"/>
        <w:rPr>
          <w:lang w:val="fr-FR"/>
        </w:rPr>
      </w:pPr>
      <w:r>
        <w:rPr>
          <w:rStyle w:val="FootnoteReference"/>
        </w:rPr>
        <w:footnoteRef/>
      </w:r>
      <w:r w:rsidRPr="00956B35">
        <w:rPr>
          <w:lang w:val="fr-FR"/>
        </w:rPr>
        <w:t xml:space="preserve"> Kingsmill et al. (2011)</w:t>
      </w:r>
    </w:p>
  </w:footnote>
  <w:footnote w:id="107">
    <w:p w:rsidR="00956B35" w:rsidRPr="00956B35" w:rsidRDefault="00956B35" w:rsidP="003F6C09">
      <w:pPr>
        <w:pStyle w:val="FootnoteText"/>
        <w:rPr>
          <w:lang w:val="fr-FR"/>
        </w:rPr>
      </w:pPr>
      <w:r>
        <w:rPr>
          <w:rStyle w:val="FootnoteReference"/>
        </w:rPr>
        <w:footnoteRef/>
      </w:r>
      <w:r w:rsidRPr="00956B35">
        <w:rPr>
          <w:lang w:val="fr-FR"/>
        </w:rPr>
        <w:t xml:space="preserve"> SADC (2010)</w:t>
      </w:r>
    </w:p>
  </w:footnote>
  <w:footnote w:id="108">
    <w:p w:rsidR="00956B35" w:rsidRDefault="00956B35" w:rsidP="003F6C09">
      <w:pPr>
        <w:pStyle w:val="FootnoteText"/>
      </w:pPr>
      <w:r>
        <w:rPr>
          <w:rStyle w:val="FootnoteReference"/>
        </w:rPr>
        <w:footnoteRef/>
      </w:r>
      <w:r w:rsidRPr="00956B35">
        <w:rPr>
          <w:lang w:val="fr-FR"/>
        </w:rPr>
        <w:t xml:space="preserve"> Afun-Ogidan et al. </w:t>
      </w:r>
      <w:r>
        <w:t>(2012), p.9</w:t>
      </w:r>
    </w:p>
  </w:footnote>
  <w:footnote w:id="109">
    <w:p w:rsidR="00956B35" w:rsidRPr="00956B35" w:rsidRDefault="00956B35" w:rsidP="003F6C09">
      <w:pPr>
        <w:pStyle w:val="FootnoteText"/>
        <w:rPr>
          <w:lang w:val="fr-FR"/>
        </w:rPr>
      </w:pPr>
      <w:r>
        <w:rPr>
          <w:rStyle w:val="FootnoteReference"/>
        </w:rPr>
        <w:footnoteRef/>
      </w:r>
      <w:r>
        <w:t xml:space="preserve"> </w:t>
      </w:r>
      <w:r w:rsidRPr="00996FC4">
        <w:t xml:space="preserve">Priority areas for support </w:t>
      </w:r>
      <w:r w:rsidRPr="00996FC4">
        <w:rPr>
          <w:rFonts w:cs="Arial"/>
          <w:color w:val="000000"/>
          <w:shd w:val="clear" w:color="auto" w:fill="FFFFFF"/>
        </w:rPr>
        <w:t>for FY 2011/12 include: Support to implementation of Common Market Protocol, Customs and Trade; Support to Negotiations for Monetary Union; Support to EAC Institutions (CASSOA, IUCEA and LVFO); Support to key EAC sectors (Social, Productive, Infrastructure); Capacity strengthening of EAC; Support to EAC Communication, Publicity and Outreach Programme; and Support to Resource Mobilisation Office</w:t>
      </w:r>
      <w:r>
        <w:rPr>
          <w:rFonts w:cs="Arial"/>
          <w:color w:val="000000"/>
          <w:shd w:val="clear" w:color="auto" w:fill="FFFFFF"/>
        </w:rPr>
        <w:t xml:space="preserve">.  </w:t>
      </w:r>
      <w:r w:rsidRPr="00956B35">
        <w:rPr>
          <w:rFonts w:cs="Arial"/>
          <w:color w:val="000000"/>
          <w:shd w:val="clear" w:color="auto" w:fill="FFFFFF"/>
          <w:lang w:val="fr-FR"/>
        </w:rPr>
        <w:t xml:space="preserve">Source: </w:t>
      </w:r>
      <w:r>
        <w:fldChar w:fldCharType="begin"/>
      </w:r>
      <w:r w:rsidRPr="00956B35">
        <w:rPr>
          <w:lang w:val="fr-FR"/>
        </w:rPr>
        <w:instrText>HYPERLINK "http://www.eac.int/rmo/index.php?option=com_content&amp;view=article&amp;id=165&amp;Itemid=233"</w:instrText>
      </w:r>
      <w:r>
        <w:fldChar w:fldCharType="separate"/>
      </w:r>
      <w:r w:rsidRPr="00956B35">
        <w:rPr>
          <w:rStyle w:val="Hyperlink"/>
          <w:rFonts w:cs="Arial"/>
          <w:shd w:val="clear" w:color="auto" w:fill="FFFFFF"/>
          <w:lang w:val="fr-FR"/>
        </w:rPr>
        <w:t>http://www.eac.int/rmo/index.php?option=com_content&amp;view=article&amp;id=165&amp;Itemid=233</w:t>
      </w:r>
      <w:r>
        <w:fldChar w:fldCharType="end"/>
      </w:r>
      <w:r w:rsidRPr="00956B35">
        <w:rPr>
          <w:rFonts w:cs="Arial"/>
          <w:color w:val="000000"/>
          <w:shd w:val="clear" w:color="auto" w:fill="FFFFFF"/>
          <w:lang w:val="fr-FR"/>
        </w:rPr>
        <w:t xml:space="preserve"> </w:t>
      </w:r>
    </w:p>
  </w:footnote>
  <w:footnote w:id="110">
    <w:p w:rsidR="00956B35" w:rsidRPr="00956B35" w:rsidRDefault="00956B35" w:rsidP="003F6C09">
      <w:pPr>
        <w:pStyle w:val="FootnoteText"/>
        <w:rPr>
          <w:lang w:val="fr-FR"/>
        </w:rPr>
      </w:pPr>
      <w:r>
        <w:rPr>
          <w:rStyle w:val="FootnoteReference"/>
        </w:rPr>
        <w:footnoteRef/>
      </w:r>
      <w:r w:rsidRPr="00956B35">
        <w:rPr>
          <w:lang w:val="fr-FR"/>
        </w:rPr>
        <w:t xml:space="preserve"> Afun-Ogidan et al. (2012).</w:t>
      </w:r>
    </w:p>
  </w:footnote>
  <w:footnote w:id="111">
    <w:p w:rsidR="00956B35" w:rsidRPr="00956B35" w:rsidRDefault="00956B35" w:rsidP="003F6C09">
      <w:pPr>
        <w:pStyle w:val="FootnoteText"/>
        <w:rPr>
          <w:lang w:val="fr-FR"/>
        </w:rPr>
      </w:pPr>
      <w:r>
        <w:rPr>
          <w:rStyle w:val="FootnoteReference"/>
        </w:rPr>
        <w:footnoteRef/>
      </w:r>
      <w:r w:rsidRPr="00956B35">
        <w:rPr>
          <w:lang w:val="fr-FR"/>
        </w:rPr>
        <w:t xml:space="preserve"> </w:t>
      </w:r>
      <w:r w:rsidRPr="00956B35">
        <w:rPr>
          <w:rFonts w:cs="Arial"/>
          <w:color w:val="000000"/>
          <w:shd w:val="clear" w:color="auto" w:fill="FFFFFF"/>
          <w:lang w:val="fr-FR"/>
        </w:rPr>
        <w:t>French:</w:t>
      </w:r>
      <w:r w:rsidRPr="00956B35">
        <w:rPr>
          <w:rStyle w:val="apple-converted-space"/>
          <w:rFonts w:cs="Arial"/>
          <w:color w:val="000000"/>
          <w:shd w:val="clear" w:color="auto" w:fill="FFFFFF"/>
          <w:lang w:val="fr-FR"/>
        </w:rPr>
        <w:t> </w:t>
      </w:r>
      <w:r w:rsidRPr="00956B35">
        <w:rPr>
          <w:rFonts w:cs="Arial"/>
          <w:i/>
          <w:iCs/>
          <w:color w:val="000000"/>
          <w:shd w:val="clear" w:color="auto" w:fill="FFFFFF"/>
          <w:lang w:val="fr-FR"/>
        </w:rPr>
        <w:t>Comité permanent inter-État de lutte contre la sécheresse au Sahel</w:t>
      </w:r>
      <w:r w:rsidRPr="00956B35">
        <w:rPr>
          <w:rFonts w:cs="Arial"/>
          <w:color w:val="000000"/>
          <w:shd w:val="clear" w:color="auto" w:fill="FFFFFF"/>
          <w:lang w:val="fr-FR"/>
        </w:rPr>
        <w:t>, abbreviated as</w:t>
      </w:r>
      <w:r w:rsidRPr="00956B35">
        <w:rPr>
          <w:rStyle w:val="apple-converted-space"/>
          <w:rFonts w:cs="Arial"/>
          <w:color w:val="000000"/>
          <w:shd w:val="clear" w:color="auto" w:fill="FFFFFF"/>
          <w:lang w:val="fr-FR"/>
        </w:rPr>
        <w:t> </w:t>
      </w:r>
      <w:r w:rsidRPr="00956B35">
        <w:rPr>
          <w:rFonts w:cs="Arial"/>
          <w:i/>
          <w:iCs/>
          <w:color w:val="000000"/>
          <w:shd w:val="clear" w:color="auto" w:fill="FFFFFF"/>
          <w:lang w:val="fr-FR"/>
        </w:rPr>
        <w:t>CILSS</w:t>
      </w:r>
    </w:p>
  </w:footnote>
  <w:footnote w:id="112">
    <w:p w:rsidR="00956B35" w:rsidRDefault="00956B35" w:rsidP="003F6C09">
      <w:pPr>
        <w:pStyle w:val="FootnoteText"/>
      </w:pPr>
      <w:r>
        <w:rPr>
          <w:rStyle w:val="FootnoteReference"/>
        </w:rPr>
        <w:footnoteRef/>
      </w:r>
      <w:r>
        <w:t xml:space="preserve"> CILSS website: </w:t>
      </w:r>
      <w:hyperlink r:id="rId32" w:history="1">
        <w:r w:rsidRPr="002F235A">
          <w:rPr>
            <w:rStyle w:val="Hyperlink"/>
          </w:rPr>
          <w:t>http://www.cilss.bf/spip.php?rubrique41</w:t>
        </w:r>
      </w:hyperlink>
      <w:r>
        <w:t xml:space="preserve"> </w:t>
      </w:r>
    </w:p>
  </w:footnote>
  <w:footnote w:id="113">
    <w:p w:rsidR="00956B35" w:rsidRDefault="00956B35" w:rsidP="003F6C09">
      <w:pPr>
        <w:pStyle w:val="FootnoteText"/>
      </w:pPr>
      <w:r>
        <w:rPr>
          <w:rStyle w:val="FootnoteReference"/>
        </w:rPr>
        <w:footnoteRef/>
      </w:r>
      <w:r>
        <w:t xml:space="preserve"> For example: </w:t>
      </w:r>
      <w:r w:rsidRPr="00456F28">
        <w:rPr>
          <w:rFonts w:cs="Arial"/>
          <w:color w:val="000000"/>
          <w:shd w:val="clear" w:color="auto" w:fill="FFFFFF"/>
        </w:rPr>
        <w:t>European Commission, European Development Fund</w:t>
      </w:r>
      <w:r>
        <w:rPr>
          <w:rFonts w:cs="Arial"/>
          <w:color w:val="000000"/>
          <w:shd w:val="clear" w:color="auto" w:fill="FFFFFF"/>
        </w:rPr>
        <w:t xml:space="preserve">, Centre for International Cooperation in Agricultural Research for Development (CIRAD), </w:t>
      </w:r>
      <w:r w:rsidRPr="008A0A50">
        <w:rPr>
          <w:rFonts w:cs="Arial"/>
          <w:shd w:val="clear" w:color="auto" w:fill="FFFFFF"/>
        </w:rPr>
        <w:t xml:space="preserve">ECOWAS, Club du Sahel, African Commission on Forestry and Wildlife, </w:t>
      </w:r>
      <w:r>
        <w:rPr>
          <w:rFonts w:cs="Arial"/>
          <w:shd w:val="clear" w:color="auto" w:fill="FFFFFF"/>
        </w:rPr>
        <w:t>I</w:t>
      </w:r>
      <w:r w:rsidRPr="008A0A50">
        <w:rPr>
          <w:rFonts w:cs="Arial"/>
          <w:shd w:val="clear" w:color="auto" w:fill="FFFFFF"/>
        </w:rPr>
        <w:t xml:space="preserve">GAD, the OAU’s </w:t>
      </w:r>
      <w:r w:rsidRPr="008A0A50">
        <w:t xml:space="preserve">Commission Scientific, Technical and Research, Arab Maghreb Union (AMU), West African Development Bank, Commission of the Lake Chad Basin, Observatory of the Sahara and Sahel (OSS), </w:t>
      </w:r>
      <w:r w:rsidRPr="008A0A50">
        <w:rPr>
          <w:rFonts w:cs="Arial"/>
          <w:shd w:val="clear" w:color="auto" w:fill="FFFFFF"/>
        </w:rPr>
        <w:t xml:space="preserve">Committee of Islamic Solidarity with the Peoples of the Sahel, Economic and Monetary Union (WAEMU), </w:t>
      </w:r>
      <w:proofErr w:type="spellStart"/>
      <w:r w:rsidRPr="008A0A50">
        <w:rPr>
          <w:rFonts w:cs="Arial"/>
          <w:shd w:val="clear" w:color="auto" w:fill="FFFFFF"/>
        </w:rPr>
        <w:t>Liptako-Gourma</w:t>
      </w:r>
      <w:proofErr w:type="spellEnd"/>
      <w:r w:rsidRPr="008A0A50">
        <w:rPr>
          <w:rFonts w:cs="Arial"/>
          <w:shd w:val="clear" w:color="auto" w:fill="FFFFFF"/>
        </w:rPr>
        <w:t xml:space="preserve"> (ALG</w:t>
      </w:r>
      <w:r w:rsidRPr="008A0A50">
        <w:t xml:space="preserve"> ), West African Examinations Council</w:t>
      </w:r>
      <w:r>
        <w:t xml:space="preserve">, </w:t>
      </w:r>
      <w:r w:rsidRPr="008A0A50">
        <w:rPr>
          <w:rFonts w:cs="Arial"/>
          <w:shd w:val="clear" w:color="auto" w:fill="FFFFFF"/>
        </w:rPr>
        <w:t xml:space="preserve">FAO, UNESCO’s Programme on Man and the Biosphere, Office of the </w:t>
      </w:r>
      <w:r>
        <w:rPr>
          <w:rFonts w:cs="Arial"/>
          <w:shd w:val="clear" w:color="auto" w:fill="FFFFFF"/>
        </w:rPr>
        <w:t>UN</w:t>
      </w:r>
      <w:r w:rsidRPr="008A0A50">
        <w:rPr>
          <w:rFonts w:cs="Arial"/>
          <w:shd w:val="clear" w:color="auto" w:fill="FFFFFF"/>
        </w:rPr>
        <w:t xml:space="preserve"> </w:t>
      </w:r>
      <w:proofErr w:type="spellStart"/>
      <w:r w:rsidRPr="008A0A50">
        <w:rPr>
          <w:rFonts w:cs="Arial"/>
          <w:shd w:val="clear" w:color="auto" w:fill="FFFFFF"/>
        </w:rPr>
        <w:t>Sudano-Sahelian</w:t>
      </w:r>
      <w:proofErr w:type="spellEnd"/>
      <w:r w:rsidRPr="008A0A50">
        <w:rPr>
          <w:rFonts w:cs="Arial"/>
          <w:shd w:val="clear" w:color="auto" w:fill="FFFFFF"/>
        </w:rPr>
        <w:t xml:space="preserve"> Zone (UNSO), </w:t>
      </w:r>
      <w:r>
        <w:rPr>
          <w:rFonts w:cs="Arial"/>
          <w:shd w:val="clear" w:color="auto" w:fill="FFFFFF"/>
        </w:rPr>
        <w:t>UN</w:t>
      </w:r>
      <w:r w:rsidRPr="008A0A50">
        <w:rPr>
          <w:rFonts w:cs="Arial"/>
          <w:shd w:val="clear" w:color="auto" w:fill="FFFFFF"/>
        </w:rPr>
        <w:t xml:space="preserve"> Economic Commission for Africa (ECA), </w:t>
      </w:r>
      <w:r>
        <w:rPr>
          <w:rFonts w:cs="Arial"/>
          <w:shd w:val="clear" w:color="auto" w:fill="FFFFFF"/>
        </w:rPr>
        <w:t>WFP</w:t>
      </w:r>
      <w:r w:rsidRPr="008A0A50">
        <w:rPr>
          <w:rFonts w:cs="Arial"/>
          <w:shd w:val="clear" w:color="auto" w:fill="FFFFFF"/>
        </w:rPr>
        <w:t xml:space="preserve">, </w:t>
      </w:r>
      <w:r>
        <w:rPr>
          <w:rFonts w:cs="Arial"/>
          <w:shd w:val="clear" w:color="auto" w:fill="FFFFFF"/>
        </w:rPr>
        <w:t>WMO</w:t>
      </w:r>
      <w:r w:rsidRPr="008A0A50">
        <w:rPr>
          <w:rFonts w:cs="Arial"/>
          <w:shd w:val="clear" w:color="auto" w:fill="FFFFFF"/>
        </w:rPr>
        <w:t xml:space="preserve">, FAO’s Global Information and Early Warning System (FAO / GIEWS), </w:t>
      </w:r>
      <w:r w:rsidRPr="008A0A50">
        <w:t xml:space="preserve">Secretariat of the Convention against Desertification (CCD), </w:t>
      </w:r>
      <w:r w:rsidRPr="008A0A50">
        <w:rPr>
          <w:rFonts w:cs="Arial"/>
          <w:color w:val="000000"/>
          <w:shd w:val="clear" w:color="auto" w:fill="FFFFFF"/>
        </w:rPr>
        <w:t>Working Group Inter-Agency Desertification</w:t>
      </w:r>
      <w:r w:rsidRPr="008A0A50">
        <w:t xml:space="preserve"> International Fund for Agricultural Development</w:t>
      </w:r>
      <w:r>
        <w:t>.</w:t>
      </w:r>
    </w:p>
  </w:footnote>
  <w:footnote w:id="114">
    <w:p w:rsidR="00956B35" w:rsidRDefault="00956B35" w:rsidP="003F6C09">
      <w:pPr>
        <w:autoSpaceDE w:val="0"/>
        <w:autoSpaceDN w:val="0"/>
        <w:adjustRightInd w:val="0"/>
      </w:pPr>
      <w:r>
        <w:rPr>
          <w:rStyle w:val="FootnoteReference"/>
        </w:rPr>
        <w:footnoteRef/>
      </w:r>
      <w:r>
        <w:t xml:space="preserve"> </w:t>
      </w:r>
      <w:r w:rsidRPr="00A34A52">
        <w:rPr>
          <w:rFonts w:asciiTheme="minorHAnsi" w:hAnsiTheme="minorHAnsi"/>
          <w:sz w:val="20"/>
        </w:rPr>
        <w:t>CAADP Pillar II Expert Reference Group led by the CMAWCA (2009)</w:t>
      </w:r>
      <w:r>
        <w:rPr>
          <w:sz w:val="20"/>
        </w:rPr>
        <w:t xml:space="preserve"> </w:t>
      </w:r>
    </w:p>
  </w:footnote>
  <w:footnote w:id="115">
    <w:p w:rsidR="00956B35" w:rsidRPr="00A06B93" w:rsidRDefault="00956B35" w:rsidP="003F6C09">
      <w:pPr>
        <w:jc w:val="both"/>
        <w:rPr>
          <w:rFonts w:asciiTheme="minorHAnsi" w:hAnsiTheme="minorHAnsi"/>
        </w:rPr>
      </w:pPr>
      <w:r w:rsidRPr="008D6F48">
        <w:rPr>
          <w:rStyle w:val="FootnoteReference"/>
          <w:rFonts w:asciiTheme="minorHAnsi" w:hAnsiTheme="minorHAnsi"/>
          <w:sz w:val="20"/>
        </w:rPr>
        <w:footnoteRef/>
      </w:r>
      <w:r w:rsidRPr="008D6F48">
        <w:rPr>
          <w:rFonts w:asciiTheme="minorHAnsi" w:hAnsiTheme="minorHAnsi"/>
          <w:sz w:val="20"/>
        </w:rPr>
        <w:t xml:space="preserve"> </w:t>
      </w:r>
      <w:r w:rsidRPr="00A06B93">
        <w:rPr>
          <w:rFonts w:asciiTheme="minorHAnsi" w:hAnsiTheme="minorHAnsi"/>
          <w:sz w:val="20"/>
        </w:rPr>
        <w:t>UKZN Foundation (2011)</w:t>
      </w:r>
      <w:r w:rsidRPr="00A06B93">
        <w:rPr>
          <w:rFonts w:asciiTheme="minorHAnsi" w:hAnsiTheme="minorHAnsi"/>
        </w:rPr>
        <w:t xml:space="preserve"> </w:t>
      </w:r>
    </w:p>
  </w:footnote>
  <w:footnote w:id="116">
    <w:p w:rsidR="00956B35" w:rsidRPr="00A06B93" w:rsidRDefault="00956B35" w:rsidP="003F6C09">
      <w:pPr>
        <w:autoSpaceDE w:val="0"/>
        <w:autoSpaceDN w:val="0"/>
        <w:adjustRightInd w:val="0"/>
        <w:rPr>
          <w:rFonts w:asciiTheme="minorHAnsi" w:hAnsiTheme="minorHAnsi"/>
        </w:rPr>
      </w:pPr>
      <w:r w:rsidRPr="00A06B93">
        <w:rPr>
          <w:rStyle w:val="FootnoteReference"/>
          <w:rFonts w:asciiTheme="minorHAnsi" w:hAnsiTheme="minorHAnsi"/>
        </w:rPr>
        <w:footnoteRef/>
      </w:r>
      <w:r w:rsidRPr="00A06B93">
        <w:rPr>
          <w:rFonts w:asciiTheme="minorHAnsi" w:hAnsiTheme="minorHAnsi"/>
        </w:rPr>
        <w:t xml:space="preserve"> </w:t>
      </w:r>
      <w:r w:rsidRPr="00A06B93">
        <w:rPr>
          <w:rFonts w:asciiTheme="minorHAnsi" w:hAnsiTheme="minorHAnsi"/>
          <w:sz w:val="20"/>
        </w:rPr>
        <w:t>The mandated agencies for CAADP Pillar 4 are the Forum for Agricultural Research in Africa (FARA), as lead agency, and three sub-regional agricultural research organisations: the Association for Strengthening Agricultural Research in Eastern and Central Africa (ASARECA); the West and Central African Council for Agricultural Research and Development (CORAF/WECARD); and the Food, Agriculture and Natural Resources Directorate of the Southern African Development Community (SADC-FNAR).</w:t>
      </w:r>
    </w:p>
  </w:footnote>
  <w:footnote w:id="117">
    <w:p w:rsidR="00956B35" w:rsidRPr="00A06B93" w:rsidRDefault="00956B35" w:rsidP="003F6C09">
      <w:pPr>
        <w:pStyle w:val="FootnoteText"/>
      </w:pPr>
      <w:r w:rsidRPr="00A06B93">
        <w:rPr>
          <w:rStyle w:val="FootnoteReference"/>
        </w:rPr>
        <w:footnoteRef/>
      </w:r>
      <w:r w:rsidRPr="00A06B93">
        <w:t xml:space="preserve"> James Morton &amp; Co (2010)</w:t>
      </w:r>
    </w:p>
  </w:footnote>
  <w:footnote w:id="118">
    <w:p w:rsidR="00956B35" w:rsidRDefault="00956B35">
      <w:pPr>
        <w:pStyle w:val="FootnoteText"/>
      </w:pPr>
      <w:r>
        <w:rPr>
          <w:rStyle w:val="FootnoteReference"/>
        </w:rPr>
        <w:footnoteRef/>
      </w:r>
      <w:r>
        <w:t xml:space="preserve"> CGIAR (2011)</w:t>
      </w:r>
    </w:p>
  </w:footnote>
  <w:footnote w:id="119">
    <w:p w:rsidR="00956B35" w:rsidRDefault="00956B35">
      <w:pPr>
        <w:pStyle w:val="FootnoteText"/>
      </w:pPr>
      <w:r>
        <w:rPr>
          <w:rStyle w:val="FootnoteReference"/>
        </w:rPr>
        <w:footnoteRef/>
      </w:r>
      <w:r>
        <w:t xml:space="preserve"> James Morton &amp; Co (2010)</w:t>
      </w:r>
    </w:p>
  </w:footnote>
  <w:footnote w:id="120">
    <w:p w:rsidR="00956B35" w:rsidRDefault="00956B35" w:rsidP="003F6C09">
      <w:pPr>
        <w:pStyle w:val="FootnoteText"/>
      </w:pPr>
      <w:r w:rsidRPr="00A06B93">
        <w:rPr>
          <w:rStyle w:val="FootnoteReference"/>
        </w:rPr>
        <w:footnoteRef/>
      </w:r>
      <w:r w:rsidRPr="00A06B93">
        <w:t xml:space="preserve"> Ibid.</w:t>
      </w:r>
    </w:p>
  </w:footnote>
  <w:footnote w:id="121">
    <w:p w:rsidR="00956B35" w:rsidRDefault="00956B35" w:rsidP="003F6C09">
      <w:pPr>
        <w:pStyle w:val="FootnoteText"/>
      </w:pPr>
      <w:r>
        <w:rPr>
          <w:rStyle w:val="FootnoteReference"/>
        </w:rPr>
        <w:footnoteRef/>
      </w:r>
      <w:r>
        <w:t xml:space="preserve"> Source: </w:t>
      </w:r>
      <w:proofErr w:type="spellStart"/>
      <w:r>
        <w:t>Roseboom</w:t>
      </w:r>
      <w:proofErr w:type="spellEnd"/>
      <w:r>
        <w:t>, J. (2011), p.8</w:t>
      </w:r>
    </w:p>
  </w:footnote>
  <w:footnote w:id="122">
    <w:p w:rsidR="00956B35" w:rsidRDefault="00956B35" w:rsidP="003F6C09">
      <w:pPr>
        <w:pStyle w:val="FootnoteText"/>
      </w:pPr>
      <w:r>
        <w:rPr>
          <w:rStyle w:val="FootnoteReference"/>
        </w:rPr>
        <w:footnoteRef/>
      </w:r>
      <w:r>
        <w:t xml:space="preserve"> World Bank Project Overview – FARA Trust Fund: </w:t>
      </w:r>
      <w:hyperlink r:id="rId33" w:history="1">
        <w:r w:rsidRPr="00C40851">
          <w:rPr>
            <w:rStyle w:val="Hyperlink"/>
          </w:rPr>
          <w:t>http://www.worldbank.org/projects/P112684/forum-agricultural-research-africa-fara-trust-fund?lang=en</w:t>
        </w:r>
      </w:hyperlink>
      <w:r>
        <w:t xml:space="preserve"> </w:t>
      </w:r>
    </w:p>
  </w:footnote>
  <w:footnote w:id="123">
    <w:p w:rsidR="00956B35" w:rsidRDefault="00956B35" w:rsidP="003F6C09">
      <w:pPr>
        <w:pStyle w:val="FootnoteText"/>
      </w:pPr>
      <w:r>
        <w:rPr>
          <w:rStyle w:val="FootnoteReference"/>
        </w:rPr>
        <w:footnoteRef/>
      </w:r>
      <w:r>
        <w:t xml:space="preserve"> World Bank Project Overview – EAAPP: </w:t>
      </w:r>
      <w:hyperlink r:id="rId34" w:history="1">
        <w:r w:rsidRPr="00C40851">
          <w:rPr>
            <w:rStyle w:val="Hyperlink"/>
          </w:rPr>
          <w:t>http://www.worldbank.org/projects/P112688/east-africa-agricultural-productivity-program?lang=en</w:t>
        </w:r>
      </w:hyperlink>
      <w:r>
        <w:t xml:space="preserve"> </w:t>
      </w:r>
    </w:p>
  </w:footnote>
  <w:footnote w:id="124">
    <w:p w:rsidR="00956B35" w:rsidRDefault="00956B35" w:rsidP="003F6C09">
      <w:pPr>
        <w:pStyle w:val="FootnoteText"/>
      </w:pPr>
      <w:r>
        <w:rPr>
          <w:rStyle w:val="FootnoteReference"/>
        </w:rPr>
        <w:footnoteRef/>
      </w:r>
      <w:r>
        <w:t xml:space="preserve"> World Bank Project Overview – WAPP: </w:t>
      </w:r>
      <w:hyperlink r:id="rId35" w:history="1">
        <w:r w:rsidRPr="00C40851">
          <w:rPr>
            <w:rStyle w:val="Hyperlink"/>
          </w:rPr>
          <w:t>http://www.worldbank.org/projects/P094084/west-africa-agricultural-productivity-program-waapp?lang=en</w:t>
        </w:r>
      </w:hyperlink>
      <w:r>
        <w:t xml:space="preserve"> </w:t>
      </w:r>
    </w:p>
  </w:footnote>
  <w:footnote w:id="125">
    <w:p w:rsidR="00956B35" w:rsidRDefault="00956B35">
      <w:pPr>
        <w:pStyle w:val="FootnoteText"/>
      </w:pPr>
      <w:r>
        <w:rPr>
          <w:rStyle w:val="FootnoteReference"/>
        </w:rPr>
        <w:footnoteRef/>
      </w:r>
      <w:r>
        <w:t xml:space="preserve"> NEPAD (2010), p.15.</w:t>
      </w:r>
    </w:p>
  </w:footnote>
  <w:footnote w:id="126">
    <w:p w:rsidR="00956B35" w:rsidRDefault="00956B35" w:rsidP="003F6C09">
      <w:pPr>
        <w:pStyle w:val="FootnoteText"/>
      </w:pPr>
      <w:r>
        <w:rPr>
          <w:rStyle w:val="FootnoteReference"/>
        </w:rPr>
        <w:footnoteRef/>
      </w:r>
      <w:r>
        <w:t xml:space="preserve"> </w:t>
      </w:r>
      <w:r w:rsidRPr="00C122FC">
        <w:rPr>
          <w:rFonts w:eastAsia="Times New Roman" w:cs="Times New Roman"/>
          <w:color w:val="1A1A1A"/>
          <w:lang w:eastAsia="en-GB"/>
        </w:rPr>
        <w:t xml:space="preserve">Benin, Burkina Faso, Burundi, Cape Verde,  </w:t>
      </w:r>
      <w:r>
        <w:rPr>
          <w:rFonts w:eastAsia="Times New Roman" w:cs="Times New Roman"/>
          <w:color w:val="1A1A1A"/>
          <w:lang w:eastAsia="en-GB"/>
        </w:rPr>
        <w:t xml:space="preserve">Central African Republic, </w:t>
      </w:r>
      <w:r w:rsidRPr="00C122FC">
        <w:rPr>
          <w:rFonts w:eastAsia="Times New Roman" w:cs="Times New Roman"/>
          <w:color w:val="1A1A1A"/>
          <w:lang w:eastAsia="en-GB"/>
        </w:rPr>
        <w:t>Cote d'Ivoire, The Democratic Republic of Congo, Ethiopia, The Gambia, Ghana, Guinea, Guinea Bissau, Kenya, Liberia, Malawi, Mali, Mauritania, Mozambique, Niger, Nigeria, Rwanda, Senegal,</w:t>
      </w:r>
      <w:r>
        <w:rPr>
          <w:rFonts w:eastAsia="Times New Roman" w:cs="Times New Roman"/>
          <w:color w:val="1A1A1A"/>
          <w:lang w:eastAsia="en-GB"/>
        </w:rPr>
        <w:t xml:space="preserve"> Seychelles, </w:t>
      </w:r>
      <w:r w:rsidRPr="00C122FC">
        <w:rPr>
          <w:rFonts w:eastAsia="Times New Roman" w:cs="Times New Roman"/>
          <w:color w:val="1A1A1A"/>
          <w:lang w:eastAsia="en-GB"/>
        </w:rPr>
        <w:t xml:space="preserve"> Sierra Leone, Swaziland, Tanzania, Togo, Uganda, and Zambia </w:t>
      </w:r>
    </w:p>
  </w:footnote>
  <w:footnote w:id="127">
    <w:p w:rsidR="00956B35" w:rsidRPr="00184CE6" w:rsidRDefault="00956B35" w:rsidP="003F6C09">
      <w:pPr>
        <w:rPr>
          <w:rFonts w:asciiTheme="minorHAnsi" w:hAnsiTheme="minorHAnsi" w:cs="Arial"/>
          <w:color w:val="333333"/>
          <w:sz w:val="20"/>
          <w:shd w:val="clear" w:color="auto" w:fill="FFFFFF"/>
        </w:rPr>
      </w:pPr>
      <w:r w:rsidRPr="00184CE6">
        <w:rPr>
          <w:rStyle w:val="FootnoteReference"/>
          <w:rFonts w:asciiTheme="minorHAnsi" w:hAnsiTheme="minorHAnsi"/>
          <w:sz w:val="20"/>
        </w:rPr>
        <w:footnoteRef/>
      </w:r>
      <w:r w:rsidRPr="00184CE6">
        <w:rPr>
          <w:rFonts w:asciiTheme="minorHAnsi" w:hAnsiTheme="minorHAnsi"/>
          <w:sz w:val="20"/>
        </w:rPr>
        <w:t xml:space="preserve"> </w:t>
      </w:r>
      <w:hyperlink r:id="rId36" w:history="1">
        <w:r w:rsidRPr="00184CE6">
          <w:rPr>
            <w:rStyle w:val="Hyperlink"/>
            <w:rFonts w:asciiTheme="minorHAnsi" w:hAnsiTheme="minorHAnsi" w:cs="Arial"/>
            <w:sz w:val="20"/>
            <w:shd w:val="clear" w:color="auto" w:fill="FFFFFF"/>
          </w:rPr>
          <w:t>http://blog.resakss.org/2012/05/29/in-support-of-caadp-five-african-countries-awarded-160-5-million-grants-to-reduce-hunger-and-poverty/</w:t>
        </w:r>
      </w:hyperlink>
      <w:r w:rsidRPr="00184CE6">
        <w:rPr>
          <w:rFonts w:asciiTheme="minorHAnsi" w:hAnsiTheme="minorHAnsi" w:cs="Arial"/>
          <w:color w:val="333333"/>
          <w:sz w:val="20"/>
          <w:shd w:val="clear" w:color="auto" w:fill="FFFFFF"/>
        </w:rPr>
        <w:t xml:space="preserve"> </w:t>
      </w:r>
    </w:p>
  </w:footnote>
  <w:footnote w:id="128">
    <w:p w:rsidR="00956B35" w:rsidRDefault="00956B35" w:rsidP="003F6C09">
      <w:pPr>
        <w:pStyle w:val="FootnoteText"/>
      </w:pPr>
      <w:r>
        <w:rPr>
          <w:rStyle w:val="FootnoteReference"/>
        </w:rPr>
        <w:footnoteRef/>
      </w:r>
      <w:r>
        <w:t xml:space="preserve"> Interview with Martin </w:t>
      </w:r>
      <w:proofErr w:type="spellStart"/>
      <w:r>
        <w:t>Bwalya</w:t>
      </w:r>
      <w:proofErr w:type="spellEnd"/>
      <w:r>
        <w:t xml:space="preserve"> (June 2012) </w:t>
      </w:r>
      <w:hyperlink r:id="rId37" w:history="1">
        <w:r w:rsidRPr="00F320D2">
          <w:rPr>
            <w:rStyle w:val="Hyperlink"/>
          </w:rPr>
          <w:t>http://www.donorplatform.org/caadp/interviews/671-martin-bwalya-on-caadp-progress.html</w:t>
        </w:r>
      </w:hyperlink>
      <w:r>
        <w:t xml:space="preserve"> </w:t>
      </w:r>
    </w:p>
  </w:footnote>
  <w:footnote w:id="129">
    <w:p w:rsidR="00956B35" w:rsidRDefault="00956B35">
      <w:pPr>
        <w:pStyle w:val="FootnoteText"/>
      </w:pPr>
      <w:r>
        <w:rPr>
          <w:rStyle w:val="FootnoteReference"/>
        </w:rPr>
        <w:footnoteRef/>
      </w:r>
      <w:r>
        <w:t xml:space="preserve"> Based on analysis of Investment Plans (accessed from </w:t>
      </w:r>
      <w:proofErr w:type="spellStart"/>
      <w:r>
        <w:t>Resakss</w:t>
      </w:r>
      <w:proofErr w:type="spellEnd"/>
      <w:r>
        <w:t xml:space="preserve"> in December 2012) – see Annex 3.</w:t>
      </w:r>
    </w:p>
  </w:footnote>
  <w:footnote w:id="130">
    <w:p w:rsidR="00956B35" w:rsidRDefault="00956B35">
      <w:pPr>
        <w:pStyle w:val="FootnoteText"/>
      </w:pPr>
      <w:r>
        <w:rPr>
          <w:rStyle w:val="FootnoteReference"/>
        </w:rPr>
        <w:footnoteRef/>
      </w:r>
      <w:r>
        <w:t xml:space="preserve"> </w:t>
      </w:r>
      <w:r w:rsidRPr="0052661F">
        <w:rPr>
          <w:rFonts w:cs="Arial"/>
        </w:rPr>
        <w:t>The</w:t>
      </w:r>
      <w:r>
        <w:rPr>
          <w:rFonts w:cs="Arial"/>
        </w:rPr>
        <w:t xml:space="preserve"> OECD Stats database shows that the</w:t>
      </w:r>
      <w:r w:rsidRPr="0052661F">
        <w:rPr>
          <w:rFonts w:cs="Arial"/>
        </w:rPr>
        <w:t xml:space="preserve"> total amount of agricultural ODA commitments </w:t>
      </w:r>
      <w:r>
        <w:rPr>
          <w:rFonts w:cs="Arial"/>
        </w:rPr>
        <w:t>to Africa in 2011 was</w:t>
      </w:r>
      <w:r w:rsidRPr="0052661F">
        <w:rPr>
          <w:rFonts w:cs="Arial"/>
        </w:rPr>
        <w:t xml:space="preserve"> USD 4.025 billion</w:t>
      </w:r>
      <w:r>
        <w:rPr>
          <w:rFonts w:cs="Arial"/>
        </w:rPr>
        <w:t>.  Some of this commitment was for regional and pan-African projects and therefore the total amount of commitments to individual African countries (when totalled) is the lower figure of USD 3.6 billion.</w:t>
      </w:r>
    </w:p>
  </w:footnote>
  <w:footnote w:id="131">
    <w:p w:rsidR="00956B35" w:rsidRDefault="00956B35">
      <w:pPr>
        <w:pStyle w:val="FootnoteText"/>
      </w:pPr>
      <w:r>
        <w:rPr>
          <w:rStyle w:val="FootnoteReference"/>
        </w:rPr>
        <w:footnoteRef/>
      </w:r>
      <w:r>
        <w:t xml:space="preserve"> Based on data from OECD Stats (Accessed January 2013)</w:t>
      </w:r>
    </w:p>
  </w:footnote>
  <w:footnote w:id="132">
    <w:p w:rsidR="00956B35" w:rsidRDefault="00956B35" w:rsidP="00B81F0F">
      <w:pPr>
        <w:pStyle w:val="FootnoteText"/>
      </w:pPr>
      <w:r>
        <w:rPr>
          <w:rStyle w:val="FootnoteReference"/>
        </w:rPr>
        <w:footnoteRef/>
      </w:r>
      <w:r>
        <w:t xml:space="preserve"> Based on statistics on countries’ labour force available from the CIA World </w:t>
      </w:r>
      <w:proofErr w:type="spellStart"/>
      <w:r>
        <w:t>Factbook</w:t>
      </w:r>
      <w:proofErr w:type="spellEnd"/>
      <w:r w:rsidRPr="00C212BD">
        <w:t xml:space="preserve"> </w:t>
      </w:r>
      <w:hyperlink r:id="rId38" w:history="1">
        <w:r w:rsidRPr="00E748E8">
          <w:rPr>
            <w:rStyle w:val="Hyperlink"/>
          </w:rPr>
          <w:t>www.cia.gov/library/publications/the-world-factbook</w:t>
        </w:r>
      </w:hyperlink>
      <w:r>
        <w:t xml:space="preserve"> (Accessed January 2013).  </w:t>
      </w:r>
    </w:p>
  </w:footnote>
  <w:footnote w:id="133">
    <w:p w:rsidR="00956B35" w:rsidRDefault="00956B35" w:rsidP="008A7693">
      <w:pPr>
        <w:pStyle w:val="FootnoteText"/>
        <w:rPr>
          <w:lang w:val="en-US"/>
        </w:rPr>
      </w:pPr>
      <w:r>
        <w:rPr>
          <w:rStyle w:val="FootnoteReference"/>
        </w:rPr>
        <w:footnoteRef/>
      </w:r>
      <w:r>
        <w:t xml:space="preserve"> </w:t>
      </w:r>
      <w:r w:rsidRPr="00324C71">
        <w:t>The outputs from the correlation analysis appear in A</w:t>
      </w:r>
      <w:r>
        <w:t>nne</w:t>
      </w:r>
      <w:r w:rsidRPr="00324C71">
        <w:t>x</w:t>
      </w:r>
      <w:r>
        <w:t xml:space="preserve"> 6</w:t>
      </w:r>
    </w:p>
  </w:footnote>
  <w:footnote w:id="134">
    <w:p w:rsidR="00956B35" w:rsidRDefault="00956B35">
      <w:pPr>
        <w:pStyle w:val="FootnoteText"/>
      </w:pPr>
      <w:r>
        <w:rPr>
          <w:rStyle w:val="FootnoteReference"/>
        </w:rPr>
        <w:footnoteRef/>
      </w:r>
      <w:r>
        <w:t xml:space="preserve"> Using population data from CIA World </w:t>
      </w:r>
      <w:proofErr w:type="spellStart"/>
      <w:r>
        <w:t>Factbook</w:t>
      </w:r>
      <w:proofErr w:type="spellEnd"/>
      <w:r>
        <w:t xml:space="preserve"> (accessed January 2013).</w:t>
      </w:r>
    </w:p>
  </w:footnote>
  <w:footnote w:id="135">
    <w:p w:rsidR="00956B35" w:rsidRDefault="00956B35" w:rsidP="00BD7D11">
      <w:pPr>
        <w:pStyle w:val="FootnoteText"/>
      </w:pPr>
      <w:r>
        <w:rPr>
          <w:rStyle w:val="FootnoteReference"/>
        </w:rPr>
        <w:footnoteRef/>
      </w:r>
      <w:r>
        <w:t xml:space="preserve"> Based on analysis of OECD Statistics (both multilateral and bilateral commitments) – Accessed January 2013</w:t>
      </w:r>
    </w:p>
  </w:footnote>
  <w:footnote w:id="136">
    <w:p w:rsidR="00956B35" w:rsidRDefault="00956B35">
      <w:pPr>
        <w:pStyle w:val="FootnoteText"/>
      </w:pPr>
      <w:r>
        <w:rPr>
          <w:rStyle w:val="FootnoteReference"/>
        </w:rPr>
        <w:footnoteRef/>
      </w:r>
      <w:r>
        <w:t xml:space="preserve"> CIA World </w:t>
      </w:r>
      <w:proofErr w:type="spellStart"/>
      <w:r>
        <w:t>Factbook</w:t>
      </w:r>
      <w:proofErr w:type="spellEnd"/>
      <w:r>
        <w:t>, accessed January 2013.</w:t>
      </w:r>
    </w:p>
  </w:footnote>
  <w:footnote w:id="137">
    <w:p w:rsidR="00956B35" w:rsidRDefault="00956B35" w:rsidP="001F1B04">
      <w:pPr>
        <w:pStyle w:val="FootnoteText"/>
      </w:pPr>
      <w:r>
        <w:rPr>
          <w:rStyle w:val="FootnoteReference"/>
        </w:rPr>
        <w:footnoteRef/>
      </w:r>
      <w:r>
        <w:t xml:space="preserve"> Government of Ghana (2010), available at RESAKSS website: </w:t>
      </w:r>
      <w:hyperlink r:id="rId39" w:history="1">
        <w:r w:rsidRPr="0011248A">
          <w:rPr>
            <w:rStyle w:val="Hyperlink"/>
          </w:rPr>
          <w:t>http://www.resakss.org/</w:t>
        </w:r>
      </w:hyperlink>
      <w:r>
        <w:t xml:space="preserve"> </w:t>
      </w:r>
    </w:p>
  </w:footnote>
  <w:footnote w:id="138">
    <w:p w:rsidR="00956B35" w:rsidRPr="00956B35" w:rsidRDefault="00956B35">
      <w:pPr>
        <w:pStyle w:val="FootnoteText"/>
        <w:rPr>
          <w:lang w:val="fr-FR"/>
        </w:rPr>
      </w:pPr>
      <w:r>
        <w:rPr>
          <w:rStyle w:val="FootnoteReference"/>
        </w:rPr>
        <w:footnoteRef/>
      </w:r>
      <w:r w:rsidRPr="00956B35">
        <w:rPr>
          <w:lang w:val="fr-FR"/>
        </w:rPr>
        <w:t xml:space="preserve"> Kolavalli et al. (2010)</w:t>
      </w:r>
    </w:p>
  </w:footnote>
  <w:footnote w:id="139">
    <w:p w:rsidR="00956B35" w:rsidRPr="00956B35" w:rsidRDefault="00956B35" w:rsidP="001F1B04">
      <w:pPr>
        <w:autoSpaceDE w:val="0"/>
        <w:autoSpaceDN w:val="0"/>
        <w:adjustRightInd w:val="0"/>
        <w:rPr>
          <w:lang w:val="fr-FR"/>
        </w:rPr>
      </w:pPr>
      <w:r w:rsidRPr="00BE125A">
        <w:rPr>
          <w:rStyle w:val="FootnoteReference"/>
          <w:rFonts w:asciiTheme="minorHAnsi" w:hAnsiTheme="minorHAnsi"/>
          <w:sz w:val="20"/>
        </w:rPr>
        <w:footnoteRef/>
      </w:r>
      <w:r w:rsidRPr="00956B35">
        <w:rPr>
          <w:rFonts w:asciiTheme="minorHAnsi" w:hAnsiTheme="minorHAnsi"/>
          <w:sz w:val="20"/>
          <w:lang w:val="fr-FR"/>
        </w:rPr>
        <w:t xml:space="preserve"> Crola and </w:t>
      </w:r>
      <w:r w:rsidRPr="00956B35">
        <w:rPr>
          <w:rFonts w:asciiTheme="minorHAnsi" w:hAnsiTheme="minorHAnsi" w:cs="Arial"/>
          <w:bCs/>
          <w:sz w:val="20"/>
          <w:lang w:val="fr-FR"/>
        </w:rPr>
        <w:t>Saulière (2011)</w:t>
      </w:r>
    </w:p>
  </w:footnote>
  <w:footnote w:id="140">
    <w:p w:rsidR="00956B35" w:rsidRDefault="00956B35" w:rsidP="001F1B04">
      <w:pPr>
        <w:pStyle w:val="FootnoteText"/>
      </w:pPr>
      <w:r>
        <w:rPr>
          <w:rStyle w:val="FootnoteReference"/>
        </w:rPr>
        <w:footnoteRef/>
      </w:r>
      <w:r>
        <w:t xml:space="preserve"> GIZ/ODI (2011), p. 2.  The report also notes that: </w:t>
      </w:r>
      <w:r w:rsidRPr="00E022A7">
        <w:t>“</w:t>
      </w:r>
      <w:r w:rsidRPr="00E022A7">
        <w:rPr>
          <w:rFonts w:cs="Arial"/>
          <w:lang w:eastAsia="en-GB"/>
        </w:rPr>
        <w:t xml:space="preserve">This has been especially so in the import and distribution of agriculture sector inputs, such as fertiliser and farm machinery. A Private Sector Liaison Office has been created in the Ministry of Food and Agriculture to ensure a </w:t>
      </w:r>
      <w:proofErr w:type="spellStart"/>
      <w:r w:rsidRPr="00E022A7">
        <w:rPr>
          <w:rFonts w:cs="Arial"/>
          <w:lang w:eastAsia="en-GB"/>
        </w:rPr>
        <w:t>broadbased</w:t>
      </w:r>
      <w:proofErr w:type="spellEnd"/>
      <w:r w:rsidRPr="00E022A7">
        <w:rPr>
          <w:rFonts w:cs="Arial"/>
          <w:lang w:eastAsia="en-GB"/>
        </w:rPr>
        <w:t xml:space="preserve"> and transparent platform for private-sector involvement in policy research, debate and coordination with development partners”.</w:t>
      </w:r>
      <w:r>
        <w:rPr>
          <w:rFonts w:cs="Arial"/>
          <w:lang w:eastAsia="en-GB"/>
        </w:rPr>
        <w:t xml:space="preserve"> (p.2)</w:t>
      </w:r>
    </w:p>
  </w:footnote>
  <w:footnote w:id="141">
    <w:p w:rsidR="00956B35" w:rsidRDefault="00956B35" w:rsidP="001F1B04">
      <w:pPr>
        <w:pStyle w:val="FootnoteText"/>
      </w:pPr>
      <w:r>
        <w:rPr>
          <w:rStyle w:val="FootnoteReference"/>
        </w:rPr>
        <w:footnoteRef/>
      </w:r>
      <w:r>
        <w:t xml:space="preserve"> Ibid, p.2.</w:t>
      </w:r>
    </w:p>
  </w:footnote>
  <w:footnote w:id="142">
    <w:p w:rsidR="00956B35" w:rsidRDefault="00956B35" w:rsidP="00E33637">
      <w:pPr>
        <w:pStyle w:val="FootnoteText"/>
      </w:pPr>
      <w:r>
        <w:rPr>
          <w:rStyle w:val="FootnoteReference"/>
        </w:rPr>
        <w:footnoteRef/>
      </w:r>
      <w:r>
        <w:t xml:space="preserve"> Based on data from OECD Stats (accessed January 2013)</w:t>
      </w:r>
    </w:p>
  </w:footnote>
  <w:footnote w:id="143">
    <w:p w:rsidR="00956B35" w:rsidRDefault="00956B35" w:rsidP="001F1B04">
      <w:pPr>
        <w:pStyle w:val="FootnoteText"/>
      </w:pPr>
      <w:r>
        <w:rPr>
          <w:rStyle w:val="FootnoteReference"/>
        </w:rPr>
        <w:footnoteRef/>
      </w:r>
      <w:r>
        <w:t xml:space="preserve"> Government of Ghana (2011), p.94</w:t>
      </w:r>
    </w:p>
  </w:footnote>
  <w:footnote w:id="144">
    <w:p w:rsidR="00956B35" w:rsidRDefault="00956B35">
      <w:pPr>
        <w:pStyle w:val="FootnoteText"/>
      </w:pPr>
      <w:r>
        <w:rPr>
          <w:rStyle w:val="FootnoteReference"/>
        </w:rPr>
        <w:footnoteRef/>
      </w:r>
      <w:r>
        <w:t xml:space="preserve"> G8 (2012), p.2</w:t>
      </w:r>
    </w:p>
  </w:footnote>
  <w:footnote w:id="145">
    <w:p w:rsidR="00956B35" w:rsidRDefault="00956B35">
      <w:pPr>
        <w:pStyle w:val="FootnoteText"/>
      </w:pPr>
      <w:r>
        <w:rPr>
          <w:rStyle w:val="FootnoteReference"/>
        </w:rPr>
        <w:footnoteRef/>
      </w:r>
      <w:r>
        <w:t xml:space="preserve"> Ibid. Based on data in Annex 2.</w:t>
      </w:r>
    </w:p>
  </w:footnote>
  <w:footnote w:id="146">
    <w:p w:rsidR="00956B35" w:rsidRDefault="00956B35" w:rsidP="0089748E">
      <w:pPr>
        <w:pStyle w:val="FootnoteText"/>
      </w:pPr>
      <w:r>
        <w:rPr>
          <w:rStyle w:val="FootnoteReference"/>
        </w:rPr>
        <w:footnoteRef/>
      </w:r>
      <w:r>
        <w:t xml:space="preserve"> Kaminski, J. (2011)</w:t>
      </w:r>
    </w:p>
  </w:footnote>
  <w:footnote w:id="147">
    <w:p w:rsidR="00956B35" w:rsidRDefault="00956B35">
      <w:pPr>
        <w:pStyle w:val="FootnoteText"/>
      </w:pPr>
      <w:r>
        <w:rPr>
          <w:rStyle w:val="FootnoteReference"/>
        </w:rPr>
        <w:footnoteRef/>
      </w:r>
      <w:r>
        <w:t xml:space="preserve"> Ibid.</w:t>
      </w:r>
    </w:p>
  </w:footnote>
  <w:footnote w:id="148">
    <w:p w:rsidR="00956B35" w:rsidRDefault="00956B35" w:rsidP="005A582A">
      <w:pPr>
        <w:pStyle w:val="FootnoteText"/>
      </w:pPr>
      <w:r>
        <w:rPr>
          <w:rStyle w:val="FootnoteReference"/>
        </w:rPr>
        <w:footnoteRef/>
      </w:r>
      <w:r>
        <w:t xml:space="preserve"> </w:t>
      </w:r>
      <w:proofErr w:type="spellStart"/>
      <w:r w:rsidRPr="00BE125A">
        <w:t>Crola</w:t>
      </w:r>
      <w:proofErr w:type="spellEnd"/>
      <w:r w:rsidRPr="00BE125A">
        <w:t xml:space="preserve"> and </w:t>
      </w:r>
      <w:proofErr w:type="spellStart"/>
      <w:r w:rsidRPr="00BE125A">
        <w:rPr>
          <w:rFonts w:cs="Arial"/>
          <w:bCs/>
        </w:rPr>
        <w:t>Saulière</w:t>
      </w:r>
      <w:proofErr w:type="spellEnd"/>
      <w:r w:rsidRPr="00BE125A">
        <w:rPr>
          <w:rFonts w:cs="Arial"/>
          <w:bCs/>
        </w:rPr>
        <w:t xml:space="preserve"> (2011</w:t>
      </w:r>
      <w:r>
        <w:rPr>
          <w:rFonts w:cs="Arial"/>
          <w:bCs/>
        </w:rPr>
        <w:t>)</w:t>
      </w:r>
    </w:p>
  </w:footnote>
  <w:footnote w:id="149">
    <w:p w:rsidR="00956B35" w:rsidRDefault="00956B35">
      <w:pPr>
        <w:pStyle w:val="FootnoteText"/>
      </w:pPr>
      <w:r>
        <w:rPr>
          <w:rStyle w:val="FootnoteReference"/>
        </w:rPr>
        <w:footnoteRef/>
      </w:r>
      <w:r>
        <w:t xml:space="preserve"> Oxfam International (2011), p.2.</w:t>
      </w:r>
    </w:p>
  </w:footnote>
  <w:footnote w:id="150">
    <w:p w:rsidR="00956B35" w:rsidRDefault="00956B35" w:rsidP="009704A0">
      <w:pPr>
        <w:pStyle w:val="FootnoteText"/>
      </w:pPr>
      <w:r>
        <w:rPr>
          <w:rStyle w:val="FootnoteReference"/>
        </w:rPr>
        <w:footnoteRef/>
      </w:r>
      <w:r>
        <w:t xml:space="preserve"> </w:t>
      </w:r>
      <w:proofErr w:type="spellStart"/>
      <w:r>
        <w:t>Crola</w:t>
      </w:r>
      <w:proofErr w:type="spellEnd"/>
      <w:r>
        <w:t xml:space="preserve"> (2009), p.13</w:t>
      </w:r>
    </w:p>
  </w:footnote>
  <w:footnote w:id="151">
    <w:p w:rsidR="00956B35" w:rsidRDefault="00956B35" w:rsidP="009704A0">
      <w:pPr>
        <w:pStyle w:val="FootnoteText"/>
      </w:pPr>
      <w:r>
        <w:rPr>
          <w:rStyle w:val="FootnoteReference"/>
        </w:rPr>
        <w:footnoteRef/>
      </w:r>
      <w:r>
        <w:t xml:space="preserve"> Ibid.</w:t>
      </w:r>
    </w:p>
  </w:footnote>
  <w:footnote w:id="152">
    <w:p w:rsidR="00956B35" w:rsidRDefault="00956B35">
      <w:pPr>
        <w:pStyle w:val="FootnoteText"/>
      </w:pPr>
      <w:r>
        <w:rPr>
          <w:rStyle w:val="FootnoteReference"/>
        </w:rPr>
        <w:footnoteRef/>
      </w:r>
      <w:r>
        <w:t xml:space="preserve"> </w:t>
      </w:r>
      <w:proofErr w:type="spellStart"/>
      <w:r>
        <w:t>Crola</w:t>
      </w:r>
      <w:proofErr w:type="spellEnd"/>
      <w:r>
        <w:t xml:space="preserve"> (2009).  Specific actions promoting alignment included: support to develop a sector-wide training plan with the Ministries concerned; technical assistance in the formulation of sector-wide programmes; strengthening dialogue, decision making, and steering structures at national or regional levels; and carrying out a joint assessment of national funding channels.</w:t>
      </w:r>
    </w:p>
  </w:footnote>
  <w:footnote w:id="153">
    <w:p w:rsidR="00956B35" w:rsidRDefault="00956B35">
      <w:pPr>
        <w:pStyle w:val="FootnoteText"/>
      </w:pPr>
      <w:r>
        <w:rPr>
          <w:rStyle w:val="FootnoteReference"/>
        </w:rPr>
        <w:footnoteRef/>
      </w:r>
      <w:r>
        <w:t xml:space="preserve"> </w:t>
      </w:r>
      <w:proofErr w:type="spellStart"/>
      <w:r w:rsidRPr="00BE125A">
        <w:t>Crola</w:t>
      </w:r>
      <w:proofErr w:type="spellEnd"/>
      <w:r w:rsidRPr="00BE125A">
        <w:t xml:space="preserve"> and </w:t>
      </w:r>
      <w:proofErr w:type="spellStart"/>
      <w:r w:rsidRPr="00BE125A">
        <w:rPr>
          <w:rFonts w:cs="Arial"/>
          <w:bCs/>
        </w:rPr>
        <w:t>Saulière</w:t>
      </w:r>
      <w:proofErr w:type="spellEnd"/>
      <w:r w:rsidRPr="00BE125A">
        <w:rPr>
          <w:rFonts w:cs="Arial"/>
          <w:bCs/>
        </w:rPr>
        <w:t xml:space="preserve"> (2011</w:t>
      </w:r>
      <w:r>
        <w:rPr>
          <w:rFonts w:cs="Arial"/>
          <w:bCs/>
        </w:rPr>
        <w:t>)</w:t>
      </w:r>
      <w:r>
        <w:t>, p.15.</w:t>
      </w:r>
    </w:p>
  </w:footnote>
  <w:footnote w:id="154">
    <w:p w:rsidR="00956B35" w:rsidRDefault="00956B35">
      <w:pPr>
        <w:pStyle w:val="FootnoteText"/>
      </w:pPr>
      <w:r>
        <w:rPr>
          <w:rStyle w:val="FootnoteReference"/>
        </w:rPr>
        <w:footnoteRef/>
      </w:r>
      <w:r>
        <w:t xml:space="preserve"> Ibid, p.16.</w:t>
      </w:r>
    </w:p>
  </w:footnote>
  <w:footnote w:id="155">
    <w:p w:rsidR="00956B35" w:rsidRDefault="00956B35">
      <w:pPr>
        <w:pStyle w:val="FootnoteText"/>
      </w:pPr>
      <w:r>
        <w:rPr>
          <w:rStyle w:val="FootnoteReference"/>
        </w:rPr>
        <w:footnoteRef/>
      </w:r>
      <w:r>
        <w:t xml:space="preserve"> Ibid, p.22.</w:t>
      </w:r>
    </w:p>
  </w:footnote>
  <w:footnote w:id="156">
    <w:p w:rsidR="00956B35" w:rsidRDefault="00956B35">
      <w:pPr>
        <w:pStyle w:val="FootnoteText"/>
      </w:pPr>
      <w:r>
        <w:rPr>
          <w:rStyle w:val="FootnoteReference"/>
        </w:rPr>
        <w:footnoteRef/>
      </w:r>
      <w:r>
        <w:t xml:space="preserve"> Ibid.</w:t>
      </w:r>
    </w:p>
  </w:footnote>
  <w:footnote w:id="157">
    <w:p w:rsidR="00956B35" w:rsidRDefault="00956B35" w:rsidP="00771525">
      <w:pPr>
        <w:pStyle w:val="FootnoteText"/>
      </w:pPr>
      <w:r>
        <w:rPr>
          <w:rStyle w:val="FootnoteReference"/>
        </w:rPr>
        <w:footnoteRef/>
      </w:r>
      <w:r>
        <w:t xml:space="preserve"> Based on data from OECD Stats (accessed January 2013)</w:t>
      </w:r>
    </w:p>
  </w:footnote>
  <w:footnote w:id="158">
    <w:p w:rsidR="00956B35" w:rsidRDefault="00956B35" w:rsidP="009809F8">
      <w:pPr>
        <w:pStyle w:val="FootnoteText"/>
      </w:pPr>
      <w:r>
        <w:rPr>
          <w:rStyle w:val="FootnoteReference"/>
        </w:rPr>
        <w:footnoteRef/>
      </w:r>
      <w:r>
        <w:t xml:space="preserve"> Based on data from the CIA World </w:t>
      </w:r>
      <w:proofErr w:type="spellStart"/>
      <w:r>
        <w:t>Factbook</w:t>
      </w:r>
      <w:proofErr w:type="spellEnd"/>
      <w:r>
        <w:t>.</w:t>
      </w:r>
    </w:p>
  </w:footnote>
  <w:footnote w:id="159">
    <w:p w:rsidR="00956B35" w:rsidRPr="00956B35" w:rsidRDefault="00956B35" w:rsidP="009809F8">
      <w:pPr>
        <w:pStyle w:val="FootnoteText"/>
        <w:rPr>
          <w:lang w:val="es-ES"/>
        </w:rPr>
      </w:pPr>
      <w:r>
        <w:rPr>
          <w:rStyle w:val="FootnoteReference"/>
        </w:rPr>
        <w:footnoteRef/>
      </w:r>
      <w:r w:rsidRPr="00956B35">
        <w:rPr>
          <w:lang w:val="es-ES"/>
        </w:rPr>
        <w:t xml:space="preserve"> Ibid.</w:t>
      </w:r>
    </w:p>
  </w:footnote>
  <w:footnote w:id="160">
    <w:p w:rsidR="00956B35" w:rsidRPr="00956B35" w:rsidRDefault="00956B35" w:rsidP="002D674F">
      <w:pPr>
        <w:pStyle w:val="FootnoteText"/>
        <w:rPr>
          <w:lang w:val="es-ES"/>
        </w:rPr>
      </w:pPr>
      <w:r>
        <w:rPr>
          <w:rStyle w:val="FootnoteReference"/>
        </w:rPr>
        <w:footnoteRef/>
      </w:r>
      <w:r w:rsidRPr="00956B35">
        <w:rPr>
          <w:lang w:val="es-ES"/>
        </w:rPr>
        <w:t xml:space="preserve"> </w:t>
      </w:r>
      <w:r>
        <w:fldChar w:fldCharType="begin"/>
      </w:r>
      <w:r w:rsidRPr="00956B35">
        <w:rPr>
          <w:lang w:val="es-ES"/>
        </w:rPr>
        <w:instrText>HYPERLINK "http://www.fao.org/investment/newsandmeetings/news/detail/en/c/81459/"</w:instrText>
      </w:r>
      <w:r>
        <w:fldChar w:fldCharType="separate"/>
      </w:r>
      <w:r w:rsidRPr="00956B35">
        <w:rPr>
          <w:rStyle w:val="Hyperlink"/>
          <w:lang w:val="es-ES"/>
        </w:rPr>
        <w:t>http://www.fao.org/investment/newsandmeetings/news/detail/en/c/81459/</w:t>
      </w:r>
      <w:r>
        <w:fldChar w:fldCharType="end"/>
      </w:r>
      <w:r w:rsidRPr="00956B35">
        <w:rPr>
          <w:lang w:val="es-ES"/>
        </w:rPr>
        <w:t xml:space="preserve"> </w:t>
      </w:r>
    </w:p>
  </w:footnote>
  <w:footnote w:id="161">
    <w:p w:rsidR="00956B35" w:rsidRPr="00956B35" w:rsidRDefault="00956B35" w:rsidP="009809F8">
      <w:pPr>
        <w:pStyle w:val="FootnoteText"/>
        <w:rPr>
          <w:lang w:val="fr-FR"/>
        </w:rPr>
      </w:pPr>
      <w:r>
        <w:rPr>
          <w:rStyle w:val="FootnoteReference"/>
        </w:rPr>
        <w:footnoteRef/>
      </w:r>
      <w:r w:rsidRPr="00956B35">
        <w:rPr>
          <w:lang w:val="fr-FR"/>
        </w:rPr>
        <w:t xml:space="preserve"> CAADP, Revue Post-Compact, PDDAA, Dakar, Juin 2010</w:t>
      </w:r>
    </w:p>
  </w:footnote>
  <w:footnote w:id="162">
    <w:p w:rsidR="00956B35" w:rsidRDefault="00956B35">
      <w:pPr>
        <w:pStyle w:val="FootnoteText"/>
      </w:pPr>
      <w:r>
        <w:rPr>
          <w:rStyle w:val="FootnoteReference"/>
        </w:rPr>
        <w:footnoteRef/>
      </w:r>
      <w:r>
        <w:t xml:space="preserve"> </w:t>
      </w:r>
      <w:hyperlink r:id="rId40" w:history="1">
        <w:r w:rsidRPr="00583DCA">
          <w:rPr>
            <w:rStyle w:val="Hyperlink"/>
          </w:rPr>
          <w:t>www.resakss.org</w:t>
        </w:r>
      </w:hyperlink>
      <w:r>
        <w:t xml:space="preserve"> </w:t>
      </w:r>
    </w:p>
  </w:footnote>
  <w:footnote w:id="163">
    <w:p w:rsidR="00956B35" w:rsidRDefault="00956B35">
      <w:pPr>
        <w:pStyle w:val="FootnoteText"/>
      </w:pPr>
      <w:r>
        <w:rPr>
          <w:rStyle w:val="FootnoteReference"/>
        </w:rPr>
        <w:footnoteRef/>
      </w:r>
      <w:r>
        <w:t xml:space="preserve"> Based on data from OECD Stats (accessed January 2013)</w:t>
      </w:r>
    </w:p>
  </w:footnote>
  <w:footnote w:id="164">
    <w:p w:rsidR="00956B35" w:rsidRDefault="00956B35">
      <w:pPr>
        <w:pStyle w:val="FootnoteText"/>
      </w:pPr>
      <w:r>
        <w:rPr>
          <w:rStyle w:val="FootnoteReference"/>
        </w:rPr>
        <w:footnoteRef/>
      </w:r>
      <w:r>
        <w:t xml:space="preserve"> Based on information from: </w:t>
      </w:r>
      <w:hyperlink r:id="rId41" w:history="1">
        <w:r w:rsidRPr="0086077B">
          <w:rPr>
            <w:rStyle w:val="Hyperlink"/>
          </w:rPr>
          <w:t>http://www.gafspfund.org/gafsp/content/recipient-countries</w:t>
        </w:r>
      </w:hyperlink>
    </w:p>
  </w:footnote>
  <w:footnote w:id="165">
    <w:p w:rsidR="00956B35" w:rsidRDefault="00956B35">
      <w:pPr>
        <w:pStyle w:val="FootnoteText"/>
      </w:pPr>
      <w:r>
        <w:rPr>
          <w:rStyle w:val="FootnoteReference"/>
        </w:rPr>
        <w:footnoteRef/>
      </w:r>
      <w:r>
        <w:t xml:space="preserve"> Based on data from OECD Stats (accessed January 2013)</w:t>
      </w:r>
    </w:p>
  </w:footnote>
  <w:footnote w:id="166">
    <w:p w:rsidR="00956B35" w:rsidRPr="00D53A41" w:rsidRDefault="00956B35" w:rsidP="00D53A41">
      <w:pPr>
        <w:spacing w:after="120" w:line="276" w:lineRule="auto"/>
        <w:jc w:val="both"/>
        <w:rPr>
          <w:rFonts w:asciiTheme="minorHAnsi" w:hAnsiTheme="minorHAnsi"/>
          <w:sz w:val="20"/>
        </w:rPr>
      </w:pPr>
      <w:r w:rsidRPr="00D53A41">
        <w:rPr>
          <w:rStyle w:val="FootnoteReference"/>
          <w:sz w:val="20"/>
        </w:rPr>
        <w:footnoteRef/>
      </w:r>
      <w:r w:rsidRPr="00D53A41">
        <w:rPr>
          <w:sz w:val="20"/>
        </w:rPr>
        <w:t xml:space="preserve"> </w:t>
      </w:r>
      <w:r w:rsidRPr="00D53A41">
        <w:rPr>
          <w:rFonts w:asciiTheme="minorHAnsi" w:hAnsiTheme="minorHAnsi"/>
          <w:sz w:val="20"/>
        </w:rPr>
        <w:t xml:space="preserve">The CAADP MDTF </w:t>
      </w:r>
      <w:r>
        <w:rPr>
          <w:rFonts w:asciiTheme="minorHAnsi" w:hAnsiTheme="minorHAnsi"/>
          <w:sz w:val="20"/>
        </w:rPr>
        <w:t>is aligned to</w:t>
      </w:r>
      <w:r w:rsidRPr="00D53A41">
        <w:rPr>
          <w:rFonts w:asciiTheme="minorHAnsi" w:hAnsiTheme="minorHAnsi"/>
          <w:sz w:val="20"/>
        </w:rPr>
        <w:t xml:space="preserve"> the new thrust of the UK Government of ‘the Golden Thread; building the institutions, the governance, building democracies, the structures that give people the spaces to live and be heard and companies the certainty to invest’ (Justine Greening, Secretary of State, DFID</w:t>
      </w:r>
      <w:r w:rsidRPr="00D53A41">
        <w:rPr>
          <w:rStyle w:val="FootnoteReference"/>
          <w:rFonts w:asciiTheme="minorHAnsi" w:hAnsiTheme="minorHAnsi"/>
          <w:sz w:val="20"/>
        </w:rPr>
        <w:footnoteRef/>
      </w:r>
      <w:r w:rsidRPr="00D53A41">
        <w:rPr>
          <w:rFonts w:asciiTheme="minorHAnsi" w:hAnsiTheme="minorHAnsi"/>
          <w:sz w:val="20"/>
        </w:rPr>
        <w:t>: 7</w:t>
      </w:r>
      <w:r w:rsidRPr="00D53A41">
        <w:rPr>
          <w:rFonts w:asciiTheme="minorHAnsi" w:hAnsiTheme="minorHAnsi"/>
          <w:sz w:val="20"/>
          <w:vertAlign w:val="superscript"/>
        </w:rPr>
        <w:t>th</w:t>
      </w:r>
      <w:r w:rsidRPr="00D53A41">
        <w:rPr>
          <w:rFonts w:asciiTheme="minorHAnsi" w:hAnsiTheme="minorHAnsi"/>
          <w:sz w:val="20"/>
        </w:rPr>
        <w:t xml:space="preserve"> February, 2013).</w:t>
      </w:r>
    </w:p>
    <w:p w:rsidR="00956B35" w:rsidRDefault="00956B35">
      <w:pPr>
        <w:pStyle w:val="FootnoteText"/>
      </w:pPr>
    </w:p>
  </w:footnote>
  <w:footnote w:id="167">
    <w:p w:rsidR="00956B35" w:rsidRDefault="00956B35" w:rsidP="003407F2">
      <w:pPr>
        <w:pStyle w:val="FootnoteText"/>
      </w:pPr>
      <w:r>
        <w:rPr>
          <w:rStyle w:val="FootnoteReference"/>
        </w:rPr>
        <w:footnoteRef/>
      </w:r>
      <w:r>
        <w:t xml:space="preserve"> Source: </w:t>
      </w:r>
      <w:proofErr w:type="spellStart"/>
      <w:r>
        <w:t>Embrapa</w:t>
      </w:r>
      <w:proofErr w:type="spellEnd"/>
      <w:r>
        <w:t xml:space="preserve"> (2011)</w:t>
      </w:r>
    </w:p>
  </w:footnote>
  <w:footnote w:id="168">
    <w:p w:rsidR="00956B35" w:rsidRDefault="00956B35" w:rsidP="00520BA3">
      <w:pPr>
        <w:pStyle w:val="FootnoteText"/>
      </w:pPr>
      <w:r>
        <w:rPr>
          <w:rStyle w:val="FootnoteReference"/>
        </w:rPr>
        <w:footnoteRef/>
      </w:r>
      <w:r>
        <w:t xml:space="preserve"> Source: </w:t>
      </w:r>
      <w:proofErr w:type="spellStart"/>
      <w:r>
        <w:t>AidData</w:t>
      </w:r>
      <w:proofErr w:type="spellEnd"/>
      <w:r>
        <w:t xml:space="preserve"> (accessed December 2012)</w:t>
      </w:r>
    </w:p>
  </w:footnote>
  <w:footnote w:id="169">
    <w:p w:rsidR="00956B35" w:rsidRDefault="00956B35" w:rsidP="00993056">
      <w:pPr>
        <w:pStyle w:val="FootnoteText"/>
      </w:pPr>
      <w:r>
        <w:rPr>
          <w:rStyle w:val="FootnoteReference"/>
        </w:rPr>
        <w:footnoteRef/>
      </w:r>
      <w:r>
        <w:t xml:space="preserve"> Source: Reuters, ‘African Agricultural Finance Under the Spotlight’, August 24 2010: </w:t>
      </w:r>
      <w:hyperlink r:id="rId42" w:history="1">
        <w:r w:rsidRPr="001C030A">
          <w:rPr>
            <w:rStyle w:val="Hyperlink"/>
          </w:rPr>
          <w:t>http://blogs.reuters.com/africanews/2010/08/24/african-agricultural-finance-under-the-spotlight/</w:t>
        </w:r>
      </w:hyperlink>
    </w:p>
  </w:footnote>
  <w:footnote w:id="170">
    <w:p w:rsidR="00956B35" w:rsidRDefault="00956B35" w:rsidP="00F34694">
      <w:pPr>
        <w:pStyle w:val="FootnoteText"/>
      </w:pPr>
      <w:r>
        <w:rPr>
          <w:rStyle w:val="FootnoteReference"/>
        </w:rPr>
        <w:footnoteRef/>
      </w:r>
      <w:r>
        <w:t xml:space="preserve"> The 60% and 40% figures quoted come from the Ethiopia’s Investment Plan </w:t>
      </w:r>
    </w:p>
  </w:footnote>
  <w:footnote w:id="171">
    <w:p w:rsidR="00956B35" w:rsidRDefault="00956B35" w:rsidP="00F34694">
      <w:pPr>
        <w:pStyle w:val="FootnoteText"/>
      </w:pPr>
      <w:r>
        <w:rPr>
          <w:rStyle w:val="FootnoteReference"/>
        </w:rPr>
        <w:footnoteRef/>
      </w:r>
      <w:r>
        <w:t xml:space="preserve"> USD 533 million (GHC 1,015 million) identified in Ghana’s Medium Term Agricultural Sector Investment Plan (METASIP) as the ‘funding gap’ – not specifically allocated to development partners.</w:t>
      </w:r>
    </w:p>
  </w:footnote>
  <w:footnote w:id="172">
    <w:p w:rsidR="00956B35" w:rsidRDefault="00956B35" w:rsidP="00F34694">
      <w:pPr>
        <w:autoSpaceDE w:val="0"/>
        <w:autoSpaceDN w:val="0"/>
        <w:adjustRightInd w:val="0"/>
      </w:pPr>
      <w:r>
        <w:rPr>
          <w:rStyle w:val="FootnoteReference"/>
        </w:rPr>
        <w:footnoteRef/>
      </w:r>
      <w:r>
        <w:t xml:space="preserve"> </w:t>
      </w:r>
      <w:r w:rsidRPr="008A19C9">
        <w:rPr>
          <w:sz w:val="20"/>
        </w:rPr>
        <w:t>Liberia’s Investment Plan</w:t>
      </w:r>
      <w:r>
        <w:rPr>
          <w:sz w:val="20"/>
        </w:rPr>
        <w:t xml:space="preserve"> (LASIP, 2010)</w:t>
      </w:r>
      <w:r w:rsidRPr="008A19C9">
        <w:rPr>
          <w:sz w:val="20"/>
        </w:rPr>
        <w:t xml:space="preserve"> notes: “</w:t>
      </w:r>
      <w:r w:rsidRPr="008A19C9">
        <w:rPr>
          <w:rFonts w:cs="Arial"/>
          <w:sz w:val="20"/>
        </w:rPr>
        <w:t xml:space="preserve">Up to the present, the development of Liberia’s agriculture sector has been funded primarily by donors. These include international/regional organizations such as the European Union, </w:t>
      </w:r>
      <w:proofErr w:type="spellStart"/>
      <w:r w:rsidRPr="008A19C9">
        <w:rPr>
          <w:rFonts w:cs="Arial"/>
          <w:sz w:val="20"/>
        </w:rPr>
        <w:t>AfDB</w:t>
      </w:r>
      <w:proofErr w:type="spellEnd"/>
      <w:r w:rsidRPr="008A19C9">
        <w:rPr>
          <w:rFonts w:cs="Arial"/>
          <w:sz w:val="20"/>
        </w:rPr>
        <w:t>, and ECOWAS; agencies of the UN system including the World Bank; and bilateral donors such as China, Denmark, England, Germany, Japan, Sweden, and the USA.</w:t>
      </w:r>
      <w:r>
        <w:rPr>
          <w:rFonts w:cs="Arial"/>
          <w:sz w:val="20"/>
        </w:rPr>
        <w:t>” (p.41)</w:t>
      </w:r>
    </w:p>
  </w:footnote>
  <w:footnote w:id="173">
    <w:p w:rsidR="00956B35" w:rsidRDefault="00956B35" w:rsidP="00F34694">
      <w:pPr>
        <w:pStyle w:val="FootnoteText"/>
      </w:pPr>
      <w:r>
        <w:rPr>
          <w:rStyle w:val="FootnoteReference"/>
        </w:rPr>
        <w:footnoteRef/>
      </w:r>
      <w:r>
        <w:t xml:space="preserve"> The </w:t>
      </w:r>
      <w:r w:rsidRPr="007511A8">
        <w:t>CAADP Technical Review Panel (2010)</w:t>
      </w:r>
      <w:r>
        <w:t xml:space="preserve"> for Nigeria</w:t>
      </w:r>
      <w:r w:rsidRPr="007511A8">
        <w:t xml:space="preserve"> note</w:t>
      </w:r>
      <w:r>
        <w:t>s</w:t>
      </w:r>
      <w:r w:rsidRPr="007511A8">
        <w:t xml:space="preserve"> that “</w:t>
      </w:r>
      <w:r w:rsidRPr="007511A8">
        <w:rPr>
          <w:rFonts w:cs="Cambria"/>
        </w:rPr>
        <w:t>The rudimentary budget provided for the CAADP-required costing information is organized</w:t>
      </w:r>
      <w:r>
        <w:rPr>
          <w:rFonts w:cs="Cambria"/>
        </w:rPr>
        <w:t xml:space="preserve"> </w:t>
      </w:r>
      <w:r w:rsidRPr="007511A8">
        <w:rPr>
          <w:rFonts w:cs="Cambria"/>
        </w:rPr>
        <w:t>app</w:t>
      </w:r>
      <w:r>
        <w:rPr>
          <w:rFonts w:cs="Cambria"/>
        </w:rPr>
        <w:t>ropriately ...</w:t>
      </w:r>
      <w:r w:rsidRPr="007511A8">
        <w:rPr>
          <w:rFonts w:cs="Cambria"/>
        </w:rPr>
        <w:t xml:space="preserve"> but the</w:t>
      </w:r>
      <w:r>
        <w:rPr>
          <w:rFonts w:cs="Cambria"/>
        </w:rPr>
        <w:t xml:space="preserve"> </w:t>
      </w:r>
      <w:r w:rsidRPr="007511A8">
        <w:rPr>
          <w:rFonts w:cs="Cambria"/>
        </w:rPr>
        <w:t>information is incomplete. There is no … detailed information on existing government versus donor commitments for the programs</w:t>
      </w:r>
      <w:r>
        <w:rPr>
          <w:rFonts w:cs="Cambria"/>
        </w:rPr>
        <w:t xml:space="preserve"> </w:t>
      </w:r>
      <w:r w:rsidRPr="007511A8">
        <w:rPr>
          <w:rFonts w:cs="Cambria"/>
        </w:rPr>
        <w:t>comprising the CAADP investment plan; and detailed information on the financing gaps for the programs comprising the CAADP investment</w:t>
      </w:r>
      <w:r>
        <w:rPr>
          <w:rFonts w:cs="Cambria"/>
        </w:rPr>
        <w:t xml:space="preserve"> </w:t>
      </w:r>
      <w:r w:rsidRPr="007511A8">
        <w:rPr>
          <w:rFonts w:cs="Cambria"/>
        </w:rPr>
        <w:t>plan</w:t>
      </w:r>
      <w:r>
        <w:rPr>
          <w:rFonts w:cs="Cambria"/>
        </w:rPr>
        <w:t>” (pp.29-30)</w:t>
      </w:r>
      <w:r w:rsidRPr="007511A8">
        <w:rPr>
          <w:rFonts w:cs="Cambria"/>
        </w:rPr>
        <w:t>.</w:t>
      </w:r>
    </w:p>
  </w:footnote>
  <w:footnote w:id="174">
    <w:p w:rsidR="00956B35" w:rsidRDefault="00956B35" w:rsidP="00F34694">
      <w:pPr>
        <w:pStyle w:val="FootnoteText"/>
      </w:pPr>
      <w:r>
        <w:rPr>
          <w:rStyle w:val="FootnoteReference"/>
        </w:rPr>
        <w:footnoteRef/>
      </w:r>
      <w:r>
        <w:t xml:space="preserve"> Development Partner commitments only included for 2010/11 – 2012/13 – it is likely that the actual figure will be higher.</w:t>
      </w:r>
    </w:p>
  </w:footnote>
  <w:footnote w:id="175">
    <w:p w:rsidR="00956B35" w:rsidRDefault="00956B35" w:rsidP="00F34694">
      <w:pPr>
        <w:pStyle w:val="FootnoteText"/>
      </w:pPr>
      <w:r>
        <w:rPr>
          <w:rStyle w:val="FootnoteReference"/>
        </w:rPr>
        <w:footnoteRef/>
      </w:r>
      <w:r>
        <w:t xml:space="preserve"> The financing gap varies by year from 17% (2010/11) to 32% (2012/13)</w:t>
      </w:r>
    </w:p>
  </w:footnote>
  <w:footnote w:id="176">
    <w:p w:rsidR="00956B35" w:rsidRDefault="00956B35" w:rsidP="00F34694">
      <w:pPr>
        <w:pStyle w:val="FootnoteText"/>
      </w:pPr>
      <w:r>
        <w:rPr>
          <w:rStyle w:val="FootnoteReference"/>
        </w:rPr>
        <w:footnoteRef/>
      </w:r>
      <w:r>
        <w:t xml:space="preserve"> Microfinance institutions, commercial banks, non-bank financial institutions and beneficiaries</w:t>
      </w:r>
    </w:p>
  </w:footnote>
  <w:footnote w:id="177">
    <w:p w:rsidR="00956B35" w:rsidRPr="00EA3095" w:rsidRDefault="00956B35" w:rsidP="00324C71">
      <w:pPr>
        <w:autoSpaceDE w:val="0"/>
        <w:autoSpaceDN w:val="0"/>
        <w:adjustRightInd w:val="0"/>
        <w:rPr>
          <w:rFonts w:ascii="Arial" w:hAnsi="Arial" w:cs="Arial"/>
          <w:b/>
          <w:color w:val="1F497D" w:themeColor="text2"/>
          <w:sz w:val="20"/>
        </w:rPr>
      </w:pPr>
      <w:r w:rsidRPr="00EA3095">
        <w:rPr>
          <w:rStyle w:val="FootnoteReference"/>
          <w:rFonts w:asciiTheme="minorHAnsi" w:hAnsiTheme="minorHAnsi"/>
          <w:sz w:val="20"/>
        </w:rPr>
        <w:footnoteRef/>
      </w:r>
      <w:r>
        <w:t xml:space="preserve"> </w:t>
      </w:r>
      <w:r w:rsidRPr="00EA3095">
        <w:rPr>
          <w:rFonts w:asciiTheme="minorHAnsi" w:hAnsiTheme="minorHAnsi"/>
          <w:sz w:val="20"/>
        </w:rPr>
        <w:t xml:space="preserve">Source: </w:t>
      </w:r>
      <w:r>
        <w:rPr>
          <w:rFonts w:asciiTheme="minorHAnsi" w:hAnsiTheme="minorHAnsi"/>
          <w:sz w:val="20"/>
        </w:rPr>
        <w:t xml:space="preserve">CAADP Website (accessed December 2012) </w:t>
      </w:r>
      <w:hyperlink r:id="rId43" w:history="1">
        <w:r w:rsidRPr="00EA3095">
          <w:rPr>
            <w:rStyle w:val="Hyperlink"/>
            <w:rFonts w:asciiTheme="minorHAnsi" w:hAnsiTheme="minorHAnsi" w:cs="Arial"/>
            <w:sz w:val="20"/>
          </w:rPr>
          <w:t>http://www.caadp.net/library-country-status-updates.php</w:t>
        </w:r>
      </w:hyperlink>
      <w:r>
        <w:rPr>
          <w:rFonts w:ascii="Arial" w:hAnsi="Arial" w:cs="Arial"/>
          <w:b/>
          <w:color w:val="1F497D" w:themeColor="text2"/>
          <w:sz w:val="20"/>
        </w:rPr>
        <w:t xml:space="preserve"> </w:t>
      </w:r>
    </w:p>
  </w:footnote>
  <w:footnote w:id="178">
    <w:p w:rsidR="00956B35" w:rsidRDefault="00956B35" w:rsidP="00324C71">
      <w:pPr>
        <w:pStyle w:val="FootnoteText"/>
      </w:pPr>
      <w:r>
        <w:rPr>
          <w:rStyle w:val="FootnoteReference"/>
        </w:rPr>
        <w:footnoteRef/>
      </w:r>
      <w:r>
        <w:t xml:space="preserve"> CIA The World </w:t>
      </w:r>
      <w:proofErr w:type="spellStart"/>
      <w:r>
        <w:t>Factbook</w:t>
      </w:r>
      <w:proofErr w:type="spellEnd"/>
      <w:r>
        <w:t xml:space="preserve"> (accessed December 2012) </w:t>
      </w:r>
      <w:hyperlink r:id="rId44" w:anchor="et" w:history="1">
        <w:r w:rsidRPr="001A4DBE">
          <w:rPr>
            <w:rStyle w:val="Hyperlink"/>
          </w:rPr>
          <w:t>https://www.cia.gov/library/publications/the-world-factbook/fields/2048.html#et</w:t>
        </w:r>
      </w:hyperlink>
      <w:r>
        <w:t xml:space="preserve"> </w:t>
      </w:r>
    </w:p>
  </w:footnote>
  <w:footnote w:id="179">
    <w:p w:rsidR="00956B35" w:rsidRDefault="00956B35">
      <w:pPr>
        <w:pStyle w:val="FootnoteText"/>
      </w:pPr>
      <w:r>
        <w:rPr>
          <w:rStyle w:val="FootnoteReference"/>
        </w:rPr>
        <w:footnoteRef/>
      </w:r>
      <w:r>
        <w:t xml:space="preserve"> Statistical analysis undertaken by Mandy </w:t>
      </w:r>
      <w:proofErr w:type="spellStart"/>
      <w:r>
        <w:t>Littlewood</w:t>
      </w:r>
      <w:proofErr w:type="spellEnd"/>
      <w:r>
        <w:t xml:space="preserve">, Results team, </w:t>
      </w:r>
      <w:proofErr w:type="spellStart"/>
      <w:r>
        <w:t>SDDirect</w:t>
      </w:r>
      <w:proofErr w:type="spellEnd"/>
      <w:r>
        <w:t>, February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35" w:rsidRDefault="00956B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C80"/>
    <w:multiLevelType w:val="hybridMultilevel"/>
    <w:tmpl w:val="1988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B35D7"/>
    <w:multiLevelType w:val="hybridMultilevel"/>
    <w:tmpl w:val="83BA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95B78"/>
    <w:multiLevelType w:val="hybridMultilevel"/>
    <w:tmpl w:val="4F6C37BA"/>
    <w:lvl w:ilvl="0" w:tplc="26B077A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67A7A"/>
    <w:multiLevelType w:val="hybridMultilevel"/>
    <w:tmpl w:val="CB44A7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F195844"/>
    <w:multiLevelType w:val="hybridMultilevel"/>
    <w:tmpl w:val="02B2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D002E6"/>
    <w:multiLevelType w:val="hybridMultilevel"/>
    <w:tmpl w:val="B85C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BC35CB"/>
    <w:multiLevelType w:val="hybridMultilevel"/>
    <w:tmpl w:val="D934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A4D68"/>
    <w:multiLevelType w:val="hybridMultilevel"/>
    <w:tmpl w:val="C1346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9F55AFC"/>
    <w:multiLevelType w:val="hybridMultilevel"/>
    <w:tmpl w:val="69E6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8F50D1"/>
    <w:multiLevelType w:val="hybridMultilevel"/>
    <w:tmpl w:val="3264A59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305F6AB5"/>
    <w:multiLevelType w:val="hybridMultilevel"/>
    <w:tmpl w:val="CF64D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2F6507C"/>
    <w:multiLevelType w:val="multilevel"/>
    <w:tmpl w:val="CD4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AB235A"/>
    <w:multiLevelType w:val="hybridMultilevel"/>
    <w:tmpl w:val="F080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C0B40CA"/>
    <w:multiLevelType w:val="hybridMultilevel"/>
    <w:tmpl w:val="86F0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E56102"/>
    <w:multiLevelType w:val="multilevel"/>
    <w:tmpl w:val="BB4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94FCB"/>
    <w:multiLevelType w:val="hybridMultilevel"/>
    <w:tmpl w:val="CB865346"/>
    <w:lvl w:ilvl="0" w:tplc="0174F906">
      <w:start w:val="1"/>
      <w:numFmt w:val="bullet"/>
      <w:lvlText w:val="•"/>
      <w:lvlJc w:val="left"/>
      <w:pPr>
        <w:tabs>
          <w:tab w:val="num" w:pos="720"/>
        </w:tabs>
        <w:ind w:left="720" w:hanging="360"/>
      </w:pPr>
      <w:rPr>
        <w:rFonts w:ascii="Arial" w:hAnsi="Arial" w:hint="default"/>
      </w:rPr>
    </w:lvl>
    <w:lvl w:ilvl="1" w:tplc="DD8A7B26" w:tentative="1">
      <w:start w:val="1"/>
      <w:numFmt w:val="bullet"/>
      <w:lvlText w:val="•"/>
      <w:lvlJc w:val="left"/>
      <w:pPr>
        <w:tabs>
          <w:tab w:val="num" w:pos="1440"/>
        </w:tabs>
        <w:ind w:left="1440" w:hanging="360"/>
      </w:pPr>
      <w:rPr>
        <w:rFonts w:ascii="Arial" w:hAnsi="Arial" w:hint="default"/>
      </w:rPr>
    </w:lvl>
    <w:lvl w:ilvl="2" w:tplc="C428C80E" w:tentative="1">
      <w:start w:val="1"/>
      <w:numFmt w:val="bullet"/>
      <w:lvlText w:val="•"/>
      <w:lvlJc w:val="left"/>
      <w:pPr>
        <w:tabs>
          <w:tab w:val="num" w:pos="2160"/>
        </w:tabs>
        <w:ind w:left="2160" w:hanging="360"/>
      </w:pPr>
      <w:rPr>
        <w:rFonts w:ascii="Arial" w:hAnsi="Arial" w:hint="default"/>
      </w:rPr>
    </w:lvl>
    <w:lvl w:ilvl="3" w:tplc="44026CC0" w:tentative="1">
      <w:start w:val="1"/>
      <w:numFmt w:val="bullet"/>
      <w:lvlText w:val="•"/>
      <w:lvlJc w:val="left"/>
      <w:pPr>
        <w:tabs>
          <w:tab w:val="num" w:pos="2880"/>
        </w:tabs>
        <w:ind w:left="2880" w:hanging="360"/>
      </w:pPr>
      <w:rPr>
        <w:rFonts w:ascii="Arial" w:hAnsi="Arial" w:hint="default"/>
      </w:rPr>
    </w:lvl>
    <w:lvl w:ilvl="4" w:tplc="7FCC3BBC" w:tentative="1">
      <w:start w:val="1"/>
      <w:numFmt w:val="bullet"/>
      <w:lvlText w:val="•"/>
      <w:lvlJc w:val="left"/>
      <w:pPr>
        <w:tabs>
          <w:tab w:val="num" w:pos="3600"/>
        </w:tabs>
        <w:ind w:left="3600" w:hanging="360"/>
      </w:pPr>
      <w:rPr>
        <w:rFonts w:ascii="Arial" w:hAnsi="Arial" w:hint="default"/>
      </w:rPr>
    </w:lvl>
    <w:lvl w:ilvl="5" w:tplc="2698F0B8" w:tentative="1">
      <w:start w:val="1"/>
      <w:numFmt w:val="bullet"/>
      <w:lvlText w:val="•"/>
      <w:lvlJc w:val="left"/>
      <w:pPr>
        <w:tabs>
          <w:tab w:val="num" w:pos="4320"/>
        </w:tabs>
        <w:ind w:left="4320" w:hanging="360"/>
      </w:pPr>
      <w:rPr>
        <w:rFonts w:ascii="Arial" w:hAnsi="Arial" w:hint="default"/>
      </w:rPr>
    </w:lvl>
    <w:lvl w:ilvl="6" w:tplc="6F489EEA" w:tentative="1">
      <w:start w:val="1"/>
      <w:numFmt w:val="bullet"/>
      <w:lvlText w:val="•"/>
      <w:lvlJc w:val="left"/>
      <w:pPr>
        <w:tabs>
          <w:tab w:val="num" w:pos="5040"/>
        </w:tabs>
        <w:ind w:left="5040" w:hanging="360"/>
      </w:pPr>
      <w:rPr>
        <w:rFonts w:ascii="Arial" w:hAnsi="Arial" w:hint="default"/>
      </w:rPr>
    </w:lvl>
    <w:lvl w:ilvl="7" w:tplc="E76A8AD2" w:tentative="1">
      <w:start w:val="1"/>
      <w:numFmt w:val="bullet"/>
      <w:lvlText w:val="•"/>
      <w:lvlJc w:val="left"/>
      <w:pPr>
        <w:tabs>
          <w:tab w:val="num" w:pos="5760"/>
        </w:tabs>
        <w:ind w:left="5760" w:hanging="360"/>
      </w:pPr>
      <w:rPr>
        <w:rFonts w:ascii="Arial" w:hAnsi="Arial" w:hint="default"/>
      </w:rPr>
    </w:lvl>
    <w:lvl w:ilvl="8" w:tplc="24401530" w:tentative="1">
      <w:start w:val="1"/>
      <w:numFmt w:val="bullet"/>
      <w:lvlText w:val="•"/>
      <w:lvlJc w:val="left"/>
      <w:pPr>
        <w:tabs>
          <w:tab w:val="num" w:pos="6480"/>
        </w:tabs>
        <w:ind w:left="6480" w:hanging="360"/>
      </w:pPr>
      <w:rPr>
        <w:rFonts w:ascii="Arial" w:hAnsi="Arial" w:hint="default"/>
      </w:rPr>
    </w:lvl>
  </w:abstractNum>
  <w:abstractNum w:abstractNumId="16">
    <w:nsid w:val="4CD54AD5"/>
    <w:multiLevelType w:val="multilevel"/>
    <w:tmpl w:val="260A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275BD6"/>
    <w:multiLevelType w:val="hybridMultilevel"/>
    <w:tmpl w:val="FA54F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504DC8"/>
    <w:multiLevelType w:val="hybridMultilevel"/>
    <w:tmpl w:val="E2B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743F93"/>
    <w:multiLevelType w:val="hybridMultilevel"/>
    <w:tmpl w:val="7ADA68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57E0648A"/>
    <w:multiLevelType w:val="hybridMultilevel"/>
    <w:tmpl w:val="90FC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291F64"/>
    <w:multiLevelType w:val="hybridMultilevel"/>
    <w:tmpl w:val="138C5B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60D3445E"/>
    <w:multiLevelType w:val="multilevel"/>
    <w:tmpl w:val="05E6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3131D"/>
    <w:multiLevelType w:val="hybridMultilevel"/>
    <w:tmpl w:val="A2AAD4D4"/>
    <w:lvl w:ilvl="0" w:tplc="A952554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71731A3E"/>
    <w:multiLevelType w:val="hybridMultilevel"/>
    <w:tmpl w:val="0AF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647781"/>
    <w:multiLevelType w:val="hybridMultilevel"/>
    <w:tmpl w:val="A48E5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7039EB"/>
    <w:multiLevelType w:val="hybridMultilevel"/>
    <w:tmpl w:val="640C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61339A"/>
    <w:multiLevelType w:val="hybridMultilevel"/>
    <w:tmpl w:val="E4AE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0"/>
  </w:num>
  <w:num w:numId="4">
    <w:abstractNumId w:val="1"/>
  </w:num>
  <w:num w:numId="5">
    <w:abstractNumId w:val="17"/>
  </w:num>
  <w:num w:numId="6">
    <w:abstractNumId w:val="19"/>
  </w:num>
  <w:num w:numId="7">
    <w:abstractNumId w:val="14"/>
  </w:num>
  <w:num w:numId="8">
    <w:abstractNumId w:val="3"/>
  </w:num>
  <w:num w:numId="9">
    <w:abstractNumId w:val="5"/>
  </w:num>
  <w:num w:numId="10">
    <w:abstractNumId w:val="21"/>
  </w:num>
  <w:num w:numId="11">
    <w:abstractNumId w:val="13"/>
  </w:num>
  <w:num w:numId="12">
    <w:abstractNumId w:val="2"/>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8"/>
  </w:num>
  <w:num w:numId="17">
    <w:abstractNumId w:val="15"/>
  </w:num>
  <w:num w:numId="18">
    <w:abstractNumId w:val="12"/>
  </w:num>
  <w:num w:numId="19">
    <w:abstractNumId w:val="24"/>
  </w:num>
  <w:num w:numId="20">
    <w:abstractNumId w:val="9"/>
  </w:num>
  <w:num w:numId="21">
    <w:abstractNumId w:val="7"/>
  </w:num>
  <w:num w:numId="22">
    <w:abstractNumId w:val="16"/>
  </w:num>
  <w:num w:numId="23">
    <w:abstractNumId w:val="25"/>
  </w:num>
  <w:num w:numId="24">
    <w:abstractNumId w:val="11"/>
  </w:num>
  <w:num w:numId="25">
    <w:abstractNumId w:val="22"/>
  </w:num>
  <w:num w:numId="26">
    <w:abstractNumId w:val="10"/>
  </w:num>
  <w:num w:numId="27">
    <w:abstractNumId w:val="26"/>
  </w:num>
  <w:num w:numId="28">
    <w:abstractNumId w:val="10"/>
  </w:num>
  <w:num w:numId="29">
    <w:abstractNumId w:val="6"/>
  </w:num>
  <w:num w:numId="3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docVars>
    <w:docVar w:name="LW_DocType" w:val="NORMAL"/>
  </w:docVars>
  <w:rsids>
    <w:rsidRoot w:val="00A210D2"/>
    <w:rsid w:val="000003E8"/>
    <w:rsid w:val="000008DC"/>
    <w:rsid w:val="00003E50"/>
    <w:rsid w:val="00006CB5"/>
    <w:rsid w:val="000072CC"/>
    <w:rsid w:val="00010426"/>
    <w:rsid w:val="00014317"/>
    <w:rsid w:val="0002000E"/>
    <w:rsid w:val="00022BDF"/>
    <w:rsid w:val="000239D1"/>
    <w:rsid w:val="000262D6"/>
    <w:rsid w:val="0003204C"/>
    <w:rsid w:val="00033107"/>
    <w:rsid w:val="00033E1A"/>
    <w:rsid w:val="000347CB"/>
    <w:rsid w:val="00036864"/>
    <w:rsid w:val="00050F31"/>
    <w:rsid w:val="000519F7"/>
    <w:rsid w:val="00053E66"/>
    <w:rsid w:val="00056022"/>
    <w:rsid w:val="00061453"/>
    <w:rsid w:val="000645CE"/>
    <w:rsid w:val="000672BA"/>
    <w:rsid w:val="00067AC0"/>
    <w:rsid w:val="0007167D"/>
    <w:rsid w:val="0007549C"/>
    <w:rsid w:val="00077D0C"/>
    <w:rsid w:val="00080E83"/>
    <w:rsid w:val="00093348"/>
    <w:rsid w:val="000939FB"/>
    <w:rsid w:val="000947FE"/>
    <w:rsid w:val="00095449"/>
    <w:rsid w:val="00097482"/>
    <w:rsid w:val="000A0165"/>
    <w:rsid w:val="000A2A63"/>
    <w:rsid w:val="000A332B"/>
    <w:rsid w:val="000A5D30"/>
    <w:rsid w:val="000B140C"/>
    <w:rsid w:val="000B1EDB"/>
    <w:rsid w:val="000B5BCE"/>
    <w:rsid w:val="000C536F"/>
    <w:rsid w:val="000D1130"/>
    <w:rsid w:val="000D29FB"/>
    <w:rsid w:val="000D4DFB"/>
    <w:rsid w:val="000D7819"/>
    <w:rsid w:val="000E4EBA"/>
    <w:rsid w:val="000F2A42"/>
    <w:rsid w:val="000F483A"/>
    <w:rsid w:val="000F576F"/>
    <w:rsid w:val="001004C0"/>
    <w:rsid w:val="00110CC4"/>
    <w:rsid w:val="001130E6"/>
    <w:rsid w:val="001139FA"/>
    <w:rsid w:val="0012262E"/>
    <w:rsid w:val="00126C99"/>
    <w:rsid w:val="00127AEA"/>
    <w:rsid w:val="0013702D"/>
    <w:rsid w:val="0014543A"/>
    <w:rsid w:val="00146D7E"/>
    <w:rsid w:val="00150ACE"/>
    <w:rsid w:val="00155CEB"/>
    <w:rsid w:val="00165210"/>
    <w:rsid w:val="001657CF"/>
    <w:rsid w:val="00165E23"/>
    <w:rsid w:val="00167598"/>
    <w:rsid w:val="00170789"/>
    <w:rsid w:val="00173A36"/>
    <w:rsid w:val="00173E28"/>
    <w:rsid w:val="001749C4"/>
    <w:rsid w:val="00176D93"/>
    <w:rsid w:val="00177D44"/>
    <w:rsid w:val="00183D2E"/>
    <w:rsid w:val="00184CE6"/>
    <w:rsid w:val="001904C4"/>
    <w:rsid w:val="00194C7C"/>
    <w:rsid w:val="001A4E90"/>
    <w:rsid w:val="001A6CA0"/>
    <w:rsid w:val="001C1D9A"/>
    <w:rsid w:val="001C2728"/>
    <w:rsid w:val="001D189D"/>
    <w:rsid w:val="001D215B"/>
    <w:rsid w:val="001D3A74"/>
    <w:rsid w:val="001D4783"/>
    <w:rsid w:val="001D74FB"/>
    <w:rsid w:val="001E4F19"/>
    <w:rsid w:val="001E6347"/>
    <w:rsid w:val="001F1B04"/>
    <w:rsid w:val="001F6BE0"/>
    <w:rsid w:val="001F6D25"/>
    <w:rsid w:val="002003CE"/>
    <w:rsid w:val="00206D71"/>
    <w:rsid w:val="00213A4F"/>
    <w:rsid w:val="002212B3"/>
    <w:rsid w:val="00221F88"/>
    <w:rsid w:val="002226A2"/>
    <w:rsid w:val="002314D8"/>
    <w:rsid w:val="00231B9B"/>
    <w:rsid w:val="002347B9"/>
    <w:rsid w:val="00243FD9"/>
    <w:rsid w:val="002459BF"/>
    <w:rsid w:val="00245B3C"/>
    <w:rsid w:val="00251951"/>
    <w:rsid w:val="00257C20"/>
    <w:rsid w:val="0026295B"/>
    <w:rsid w:val="00263D5A"/>
    <w:rsid w:val="002657AB"/>
    <w:rsid w:val="00266E48"/>
    <w:rsid w:val="002677F8"/>
    <w:rsid w:val="00270994"/>
    <w:rsid w:val="00274918"/>
    <w:rsid w:val="002755ED"/>
    <w:rsid w:val="002812EF"/>
    <w:rsid w:val="00281E5F"/>
    <w:rsid w:val="00283307"/>
    <w:rsid w:val="00283BE5"/>
    <w:rsid w:val="00287C38"/>
    <w:rsid w:val="00292B8E"/>
    <w:rsid w:val="00294A47"/>
    <w:rsid w:val="0029623B"/>
    <w:rsid w:val="002A1457"/>
    <w:rsid w:val="002A356F"/>
    <w:rsid w:val="002A670C"/>
    <w:rsid w:val="002B6231"/>
    <w:rsid w:val="002B7557"/>
    <w:rsid w:val="002B7DCD"/>
    <w:rsid w:val="002C1560"/>
    <w:rsid w:val="002C22B6"/>
    <w:rsid w:val="002C349C"/>
    <w:rsid w:val="002C4F5E"/>
    <w:rsid w:val="002D0FF3"/>
    <w:rsid w:val="002D1D93"/>
    <w:rsid w:val="002D674F"/>
    <w:rsid w:val="002D6E28"/>
    <w:rsid w:val="002E195B"/>
    <w:rsid w:val="002E2084"/>
    <w:rsid w:val="002E24FE"/>
    <w:rsid w:val="002E4DAE"/>
    <w:rsid w:val="002F1BAC"/>
    <w:rsid w:val="00303B39"/>
    <w:rsid w:val="003047E1"/>
    <w:rsid w:val="00313878"/>
    <w:rsid w:val="003173D1"/>
    <w:rsid w:val="00324C71"/>
    <w:rsid w:val="003307BD"/>
    <w:rsid w:val="00330FDC"/>
    <w:rsid w:val="00332D5A"/>
    <w:rsid w:val="00336B86"/>
    <w:rsid w:val="00336FAC"/>
    <w:rsid w:val="003407F2"/>
    <w:rsid w:val="00340C26"/>
    <w:rsid w:val="00341865"/>
    <w:rsid w:val="00346779"/>
    <w:rsid w:val="00347364"/>
    <w:rsid w:val="00347999"/>
    <w:rsid w:val="00347EC0"/>
    <w:rsid w:val="00365649"/>
    <w:rsid w:val="00372DCD"/>
    <w:rsid w:val="00374F57"/>
    <w:rsid w:val="0038464F"/>
    <w:rsid w:val="00390B7B"/>
    <w:rsid w:val="0039246C"/>
    <w:rsid w:val="0039520D"/>
    <w:rsid w:val="003A1496"/>
    <w:rsid w:val="003A6314"/>
    <w:rsid w:val="003A633C"/>
    <w:rsid w:val="003A79F1"/>
    <w:rsid w:val="003A7EF0"/>
    <w:rsid w:val="003B2A35"/>
    <w:rsid w:val="003B5E15"/>
    <w:rsid w:val="003C2BAD"/>
    <w:rsid w:val="003C43B9"/>
    <w:rsid w:val="003C498F"/>
    <w:rsid w:val="003C6076"/>
    <w:rsid w:val="003D0366"/>
    <w:rsid w:val="003D7089"/>
    <w:rsid w:val="003E166E"/>
    <w:rsid w:val="003E6631"/>
    <w:rsid w:val="003F6C09"/>
    <w:rsid w:val="00400516"/>
    <w:rsid w:val="0040431B"/>
    <w:rsid w:val="00407D7B"/>
    <w:rsid w:val="0041049D"/>
    <w:rsid w:val="004105DE"/>
    <w:rsid w:val="00414A8E"/>
    <w:rsid w:val="0041559F"/>
    <w:rsid w:val="00415F09"/>
    <w:rsid w:val="0042125F"/>
    <w:rsid w:val="00423C3B"/>
    <w:rsid w:val="004254C2"/>
    <w:rsid w:val="00433F65"/>
    <w:rsid w:val="0043446E"/>
    <w:rsid w:val="0043475D"/>
    <w:rsid w:val="004373B5"/>
    <w:rsid w:val="004414FB"/>
    <w:rsid w:val="0044198F"/>
    <w:rsid w:val="00441CB1"/>
    <w:rsid w:val="004453B3"/>
    <w:rsid w:val="004526DF"/>
    <w:rsid w:val="00454B0B"/>
    <w:rsid w:val="0045510A"/>
    <w:rsid w:val="004605A4"/>
    <w:rsid w:val="00462043"/>
    <w:rsid w:val="004661D6"/>
    <w:rsid w:val="004665EC"/>
    <w:rsid w:val="00467500"/>
    <w:rsid w:val="00477210"/>
    <w:rsid w:val="00480AEA"/>
    <w:rsid w:val="00484FD9"/>
    <w:rsid w:val="00491280"/>
    <w:rsid w:val="004940A8"/>
    <w:rsid w:val="004966FE"/>
    <w:rsid w:val="004A5F9E"/>
    <w:rsid w:val="004B29DF"/>
    <w:rsid w:val="004B2A93"/>
    <w:rsid w:val="004C1EA4"/>
    <w:rsid w:val="004C40D3"/>
    <w:rsid w:val="004C51FD"/>
    <w:rsid w:val="004C5D5C"/>
    <w:rsid w:val="004C633C"/>
    <w:rsid w:val="004D2C04"/>
    <w:rsid w:val="004D3755"/>
    <w:rsid w:val="004E1851"/>
    <w:rsid w:val="004E1E25"/>
    <w:rsid w:val="004E3992"/>
    <w:rsid w:val="004E5158"/>
    <w:rsid w:val="004E641C"/>
    <w:rsid w:val="004E64FC"/>
    <w:rsid w:val="004F262D"/>
    <w:rsid w:val="004F3184"/>
    <w:rsid w:val="004F3EA8"/>
    <w:rsid w:val="00507172"/>
    <w:rsid w:val="00515C47"/>
    <w:rsid w:val="00520BA3"/>
    <w:rsid w:val="00521C94"/>
    <w:rsid w:val="005220E8"/>
    <w:rsid w:val="005226D8"/>
    <w:rsid w:val="005238D0"/>
    <w:rsid w:val="005263B4"/>
    <w:rsid w:val="0052661F"/>
    <w:rsid w:val="00533127"/>
    <w:rsid w:val="00533F4E"/>
    <w:rsid w:val="0053594A"/>
    <w:rsid w:val="005359D0"/>
    <w:rsid w:val="00545118"/>
    <w:rsid w:val="005455E5"/>
    <w:rsid w:val="005520E0"/>
    <w:rsid w:val="00555EBC"/>
    <w:rsid w:val="00561913"/>
    <w:rsid w:val="00563FC7"/>
    <w:rsid w:val="00567EB9"/>
    <w:rsid w:val="00571A6C"/>
    <w:rsid w:val="00573905"/>
    <w:rsid w:val="00574F97"/>
    <w:rsid w:val="00575C50"/>
    <w:rsid w:val="005766B2"/>
    <w:rsid w:val="005862B7"/>
    <w:rsid w:val="00587203"/>
    <w:rsid w:val="005915DF"/>
    <w:rsid w:val="0059239E"/>
    <w:rsid w:val="00593BD6"/>
    <w:rsid w:val="00597A2B"/>
    <w:rsid w:val="005A07CE"/>
    <w:rsid w:val="005A503D"/>
    <w:rsid w:val="005A582A"/>
    <w:rsid w:val="005A7D3B"/>
    <w:rsid w:val="005B34E4"/>
    <w:rsid w:val="005C09A7"/>
    <w:rsid w:val="005C376D"/>
    <w:rsid w:val="005C74C4"/>
    <w:rsid w:val="005D08EE"/>
    <w:rsid w:val="005D3580"/>
    <w:rsid w:val="005D4F8C"/>
    <w:rsid w:val="005D53B5"/>
    <w:rsid w:val="005E53EF"/>
    <w:rsid w:val="005E70D6"/>
    <w:rsid w:val="005F0EA4"/>
    <w:rsid w:val="005F2098"/>
    <w:rsid w:val="005F7E43"/>
    <w:rsid w:val="0060261F"/>
    <w:rsid w:val="00610949"/>
    <w:rsid w:val="006133DA"/>
    <w:rsid w:val="00617A5F"/>
    <w:rsid w:val="00617B23"/>
    <w:rsid w:val="00622FFA"/>
    <w:rsid w:val="00627338"/>
    <w:rsid w:val="00640A3B"/>
    <w:rsid w:val="006411A1"/>
    <w:rsid w:val="00646832"/>
    <w:rsid w:val="00650432"/>
    <w:rsid w:val="00654572"/>
    <w:rsid w:val="00660FC3"/>
    <w:rsid w:val="00662557"/>
    <w:rsid w:val="00663EE5"/>
    <w:rsid w:val="00666F35"/>
    <w:rsid w:val="00667FAB"/>
    <w:rsid w:val="00683570"/>
    <w:rsid w:val="006857FC"/>
    <w:rsid w:val="006918A7"/>
    <w:rsid w:val="00694115"/>
    <w:rsid w:val="0069657B"/>
    <w:rsid w:val="0069726A"/>
    <w:rsid w:val="006A0CDD"/>
    <w:rsid w:val="006A1644"/>
    <w:rsid w:val="006A5A45"/>
    <w:rsid w:val="006A7723"/>
    <w:rsid w:val="006A7866"/>
    <w:rsid w:val="006A7C75"/>
    <w:rsid w:val="006B0D4D"/>
    <w:rsid w:val="006B327C"/>
    <w:rsid w:val="006C48D5"/>
    <w:rsid w:val="006C7D71"/>
    <w:rsid w:val="006D0E2F"/>
    <w:rsid w:val="006D5270"/>
    <w:rsid w:val="006D7266"/>
    <w:rsid w:val="006E125A"/>
    <w:rsid w:val="006E1A4B"/>
    <w:rsid w:val="006E1DA2"/>
    <w:rsid w:val="006E4E80"/>
    <w:rsid w:val="006E6F5F"/>
    <w:rsid w:val="006F106E"/>
    <w:rsid w:val="006F3F53"/>
    <w:rsid w:val="006F4AFA"/>
    <w:rsid w:val="00703385"/>
    <w:rsid w:val="00711A50"/>
    <w:rsid w:val="007148EB"/>
    <w:rsid w:val="007179BA"/>
    <w:rsid w:val="00724190"/>
    <w:rsid w:val="00733214"/>
    <w:rsid w:val="00742054"/>
    <w:rsid w:val="00743CC6"/>
    <w:rsid w:val="007453EB"/>
    <w:rsid w:val="0074696E"/>
    <w:rsid w:val="00750F7B"/>
    <w:rsid w:val="00751031"/>
    <w:rsid w:val="00752058"/>
    <w:rsid w:val="00752FC1"/>
    <w:rsid w:val="0075392E"/>
    <w:rsid w:val="0076159D"/>
    <w:rsid w:val="0077068F"/>
    <w:rsid w:val="00771525"/>
    <w:rsid w:val="00776D04"/>
    <w:rsid w:val="007770A6"/>
    <w:rsid w:val="00780282"/>
    <w:rsid w:val="0078091D"/>
    <w:rsid w:val="00782FD9"/>
    <w:rsid w:val="007840F0"/>
    <w:rsid w:val="007841D8"/>
    <w:rsid w:val="00785642"/>
    <w:rsid w:val="007869C3"/>
    <w:rsid w:val="007874B1"/>
    <w:rsid w:val="00794805"/>
    <w:rsid w:val="00794B59"/>
    <w:rsid w:val="00794F8B"/>
    <w:rsid w:val="00795F09"/>
    <w:rsid w:val="007B0880"/>
    <w:rsid w:val="007B56B9"/>
    <w:rsid w:val="007C4097"/>
    <w:rsid w:val="007C53B3"/>
    <w:rsid w:val="007C7F23"/>
    <w:rsid w:val="007D26C1"/>
    <w:rsid w:val="007E1D51"/>
    <w:rsid w:val="007E2ECB"/>
    <w:rsid w:val="007E41FB"/>
    <w:rsid w:val="007E69F8"/>
    <w:rsid w:val="007F249A"/>
    <w:rsid w:val="007F6AAF"/>
    <w:rsid w:val="007F75A3"/>
    <w:rsid w:val="00802141"/>
    <w:rsid w:val="008044A6"/>
    <w:rsid w:val="00806A28"/>
    <w:rsid w:val="00806B69"/>
    <w:rsid w:val="0081450D"/>
    <w:rsid w:val="00814F9C"/>
    <w:rsid w:val="00816248"/>
    <w:rsid w:val="00825F85"/>
    <w:rsid w:val="00827893"/>
    <w:rsid w:val="00833699"/>
    <w:rsid w:val="00834B89"/>
    <w:rsid w:val="00840F9A"/>
    <w:rsid w:val="00842FB0"/>
    <w:rsid w:val="00844B93"/>
    <w:rsid w:val="008510AD"/>
    <w:rsid w:val="008546C6"/>
    <w:rsid w:val="008553E5"/>
    <w:rsid w:val="00860F10"/>
    <w:rsid w:val="00863251"/>
    <w:rsid w:val="00863ABF"/>
    <w:rsid w:val="00864B87"/>
    <w:rsid w:val="0086551D"/>
    <w:rsid w:val="00865B22"/>
    <w:rsid w:val="00870142"/>
    <w:rsid w:val="00871A8D"/>
    <w:rsid w:val="008744CB"/>
    <w:rsid w:val="00874A92"/>
    <w:rsid w:val="008762A7"/>
    <w:rsid w:val="008777EF"/>
    <w:rsid w:val="0088171C"/>
    <w:rsid w:val="00881AA0"/>
    <w:rsid w:val="00886BD9"/>
    <w:rsid w:val="00891903"/>
    <w:rsid w:val="00893287"/>
    <w:rsid w:val="0089748E"/>
    <w:rsid w:val="008A14F1"/>
    <w:rsid w:val="008A18A4"/>
    <w:rsid w:val="008A6E51"/>
    <w:rsid w:val="008A7693"/>
    <w:rsid w:val="008B0681"/>
    <w:rsid w:val="008B38F8"/>
    <w:rsid w:val="008B50E8"/>
    <w:rsid w:val="008B7F0F"/>
    <w:rsid w:val="008C0D90"/>
    <w:rsid w:val="008C22B8"/>
    <w:rsid w:val="008D0E85"/>
    <w:rsid w:val="008D1F1E"/>
    <w:rsid w:val="008D5FE9"/>
    <w:rsid w:val="008D6F48"/>
    <w:rsid w:val="008D74E2"/>
    <w:rsid w:val="008E0CE1"/>
    <w:rsid w:val="008E168A"/>
    <w:rsid w:val="008E2B1B"/>
    <w:rsid w:val="008E3C1D"/>
    <w:rsid w:val="008E4FA3"/>
    <w:rsid w:val="008E5077"/>
    <w:rsid w:val="008F04EA"/>
    <w:rsid w:val="008F7015"/>
    <w:rsid w:val="008F76C0"/>
    <w:rsid w:val="00905727"/>
    <w:rsid w:val="009102BA"/>
    <w:rsid w:val="009162C5"/>
    <w:rsid w:val="009234E7"/>
    <w:rsid w:val="009240CC"/>
    <w:rsid w:val="009255CC"/>
    <w:rsid w:val="009278A6"/>
    <w:rsid w:val="009309DB"/>
    <w:rsid w:val="00932A76"/>
    <w:rsid w:val="00932EAC"/>
    <w:rsid w:val="00933DE6"/>
    <w:rsid w:val="00940C7C"/>
    <w:rsid w:val="00941FC5"/>
    <w:rsid w:val="0094450D"/>
    <w:rsid w:val="009468D2"/>
    <w:rsid w:val="00956B35"/>
    <w:rsid w:val="00957D7B"/>
    <w:rsid w:val="0096046A"/>
    <w:rsid w:val="0096193A"/>
    <w:rsid w:val="00962505"/>
    <w:rsid w:val="009630C2"/>
    <w:rsid w:val="0096334F"/>
    <w:rsid w:val="0096518B"/>
    <w:rsid w:val="0096590C"/>
    <w:rsid w:val="009704A0"/>
    <w:rsid w:val="0097055C"/>
    <w:rsid w:val="009726DF"/>
    <w:rsid w:val="009730B9"/>
    <w:rsid w:val="009809F8"/>
    <w:rsid w:val="00985C7E"/>
    <w:rsid w:val="00987748"/>
    <w:rsid w:val="00991D0E"/>
    <w:rsid w:val="00993056"/>
    <w:rsid w:val="0099337D"/>
    <w:rsid w:val="0099481A"/>
    <w:rsid w:val="00995225"/>
    <w:rsid w:val="009A219F"/>
    <w:rsid w:val="009A40BD"/>
    <w:rsid w:val="009A4212"/>
    <w:rsid w:val="009C1B47"/>
    <w:rsid w:val="009C3B96"/>
    <w:rsid w:val="009C6D4C"/>
    <w:rsid w:val="009D13F9"/>
    <w:rsid w:val="009D154E"/>
    <w:rsid w:val="009D3072"/>
    <w:rsid w:val="009D3B04"/>
    <w:rsid w:val="009D541F"/>
    <w:rsid w:val="009D5A3E"/>
    <w:rsid w:val="009E0269"/>
    <w:rsid w:val="009E288C"/>
    <w:rsid w:val="009E63DB"/>
    <w:rsid w:val="009F007B"/>
    <w:rsid w:val="009F01A5"/>
    <w:rsid w:val="009F46C6"/>
    <w:rsid w:val="00A00531"/>
    <w:rsid w:val="00A026A9"/>
    <w:rsid w:val="00A06B93"/>
    <w:rsid w:val="00A11D79"/>
    <w:rsid w:val="00A17428"/>
    <w:rsid w:val="00A210D2"/>
    <w:rsid w:val="00A214C1"/>
    <w:rsid w:val="00A22D47"/>
    <w:rsid w:val="00A2591A"/>
    <w:rsid w:val="00A31035"/>
    <w:rsid w:val="00A33C63"/>
    <w:rsid w:val="00A34106"/>
    <w:rsid w:val="00A349E9"/>
    <w:rsid w:val="00A34A52"/>
    <w:rsid w:val="00A5195C"/>
    <w:rsid w:val="00A709E8"/>
    <w:rsid w:val="00A70A68"/>
    <w:rsid w:val="00A73736"/>
    <w:rsid w:val="00A77E21"/>
    <w:rsid w:val="00A805E4"/>
    <w:rsid w:val="00A91F79"/>
    <w:rsid w:val="00A97E28"/>
    <w:rsid w:val="00AA4B50"/>
    <w:rsid w:val="00AA52BB"/>
    <w:rsid w:val="00AA6694"/>
    <w:rsid w:val="00AB3CF5"/>
    <w:rsid w:val="00AC0716"/>
    <w:rsid w:val="00AC5197"/>
    <w:rsid w:val="00AC73F7"/>
    <w:rsid w:val="00AD2FF1"/>
    <w:rsid w:val="00AD3245"/>
    <w:rsid w:val="00AD430E"/>
    <w:rsid w:val="00AD44BB"/>
    <w:rsid w:val="00AE1DE0"/>
    <w:rsid w:val="00AE35F9"/>
    <w:rsid w:val="00AE3638"/>
    <w:rsid w:val="00AE40C3"/>
    <w:rsid w:val="00AF39E4"/>
    <w:rsid w:val="00AF54E4"/>
    <w:rsid w:val="00AF7329"/>
    <w:rsid w:val="00AF7E2E"/>
    <w:rsid w:val="00B012F1"/>
    <w:rsid w:val="00B03D27"/>
    <w:rsid w:val="00B13AE9"/>
    <w:rsid w:val="00B2024A"/>
    <w:rsid w:val="00B2096E"/>
    <w:rsid w:val="00B20DFE"/>
    <w:rsid w:val="00B2180B"/>
    <w:rsid w:val="00B30265"/>
    <w:rsid w:val="00B30AEB"/>
    <w:rsid w:val="00B318C5"/>
    <w:rsid w:val="00B32A1F"/>
    <w:rsid w:val="00B345B0"/>
    <w:rsid w:val="00B43EA9"/>
    <w:rsid w:val="00B45106"/>
    <w:rsid w:val="00B537F6"/>
    <w:rsid w:val="00B60E0C"/>
    <w:rsid w:val="00B64CD5"/>
    <w:rsid w:val="00B66A0D"/>
    <w:rsid w:val="00B671BD"/>
    <w:rsid w:val="00B70BFC"/>
    <w:rsid w:val="00B73A45"/>
    <w:rsid w:val="00B73D04"/>
    <w:rsid w:val="00B81878"/>
    <w:rsid w:val="00B81F0F"/>
    <w:rsid w:val="00B8249A"/>
    <w:rsid w:val="00B83E7E"/>
    <w:rsid w:val="00B86F8C"/>
    <w:rsid w:val="00B90398"/>
    <w:rsid w:val="00B91DF0"/>
    <w:rsid w:val="00B964AE"/>
    <w:rsid w:val="00BA54EB"/>
    <w:rsid w:val="00BA60AB"/>
    <w:rsid w:val="00BA7454"/>
    <w:rsid w:val="00BB0924"/>
    <w:rsid w:val="00BB0952"/>
    <w:rsid w:val="00BB0DD1"/>
    <w:rsid w:val="00BB2A9C"/>
    <w:rsid w:val="00BB34AE"/>
    <w:rsid w:val="00BB3E07"/>
    <w:rsid w:val="00BB44C2"/>
    <w:rsid w:val="00BC0B38"/>
    <w:rsid w:val="00BC375C"/>
    <w:rsid w:val="00BD2A4C"/>
    <w:rsid w:val="00BD7659"/>
    <w:rsid w:val="00BD7D11"/>
    <w:rsid w:val="00BE1207"/>
    <w:rsid w:val="00BE125A"/>
    <w:rsid w:val="00BE2063"/>
    <w:rsid w:val="00BE4A33"/>
    <w:rsid w:val="00BF1A84"/>
    <w:rsid w:val="00BF2D1A"/>
    <w:rsid w:val="00BF39D7"/>
    <w:rsid w:val="00BF3BD0"/>
    <w:rsid w:val="00BF41D2"/>
    <w:rsid w:val="00C05E7D"/>
    <w:rsid w:val="00C11C68"/>
    <w:rsid w:val="00C12017"/>
    <w:rsid w:val="00C154D4"/>
    <w:rsid w:val="00C212BD"/>
    <w:rsid w:val="00C249A8"/>
    <w:rsid w:val="00C25D32"/>
    <w:rsid w:val="00C27789"/>
    <w:rsid w:val="00C27A4B"/>
    <w:rsid w:val="00C34B99"/>
    <w:rsid w:val="00C34DF5"/>
    <w:rsid w:val="00C40692"/>
    <w:rsid w:val="00C40E70"/>
    <w:rsid w:val="00C43095"/>
    <w:rsid w:val="00C44ADA"/>
    <w:rsid w:val="00C44D25"/>
    <w:rsid w:val="00C47373"/>
    <w:rsid w:val="00C51BF2"/>
    <w:rsid w:val="00C52821"/>
    <w:rsid w:val="00C52B34"/>
    <w:rsid w:val="00C530F4"/>
    <w:rsid w:val="00C5676B"/>
    <w:rsid w:val="00C5690F"/>
    <w:rsid w:val="00C648FF"/>
    <w:rsid w:val="00C70002"/>
    <w:rsid w:val="00C71906"/>
    <w:rsid w:val="00C74312"/>
    <w:rsid w:val="00C81425"/>
    <w:rsid w:val="00C86A6D"/>
    <w:rsid w:val="00C87FEC"/>
    <w:rsid w:val="00C900DF"/>
    <w:rsid w:val="00C92164"/>
    <w:rsid w:val="00C950DE"/>
    <w:rsid w:val="00CA64FD"/>
    <w:rsid w:val="00CB4B90"/>
    <w:rsid w:val="00CB5619"/>
    <w:rsid w:val="00CB5F30"/>
    <w:rsid w:val="00CB6135"/>
    <w:rsid w:val="00CC0C39"/>
    <w:rsid w:val="00CC25D2"/>
    <w:rsid w:val="00CC30E2"/>
    <w:rsid w:val="00CC6D2E"/>
    <w:rsid w:val="00CC7839"/>
    <w:rsid w:val="00CD0E5E"/>
    <w:rsid w:val="00CD2F21"/>
    <w:rsid w:val="00CD4BAD"/>
    <w:rsid w:val="00CD5861"/>
    <w:rsid w:val="00CD6A57"/>
    <w:rsid w:val="00CD7D63"/>
    <w:rsid w:val="00CE4177"/>
    <w:rsid w:val="00CE55EE"/>
    <w:rsid w:val="00D006E2"/>
    <w:rsid w:val="00D02322"/>
    <w:rsid w:val="00D0474E"/>
    <w:rsid w:val="00D04B49"/>
    <w:rsid w:val="00D10BBE"/>
    <w:rsid w:val="00D12FE8"/>
    <w:rsid w:val="00D1383F"/>
    <w:rsid w:val="00D15F8E"/>
    <w:rsid w:val="00D21DF9"/>
    <w:rsid w:val="00D239FF"/>
    <w:rsid w:val="00D24750"/>
    <w:rsid w:val="00D25328"/>
    <w:rsid w:val="00D347A7"/>
    <w:rsid w:val="00D34C50"/>
    <w:rsid w:val="00D363B7"/>
    <w:rsid w:val="00D4279B"/>
    <w:rsid w:val="00D437C6"/>
    <w:rsid w:val="00D43CA7"/>
    <w:rsid w:val="00D458E7"/>
    <w:rsid w:val="00D50751"/>
    <w:rsid w:val="00D53A41"/>
    <w:rsid w:val="00D6229D"/>
    <w:rsid w:val="00D705C0"/>
    <w:rsid w:val="00D7147B"/>
    <w:rsid w:val="00D74B81"/>
    <w:rsid w:val="00D76DF9"/>
    <w:rsid w:val="00D8084E"/>
    <w:rsid w:val="00D83645"/>
    <w:rsid w:val="00D83945"/>
    <w:rsid w:val="00D87378"/>
    <w:rsid w:val="00D912D6"/>
    <w:rsid w:val="00D91438"/>
    <w:rsid w:val="00D91AE8"/>
    <w:rsid w:val="00D96FD5"/>
    <w:rsid w:val="00DA08C2"/>
    <w:rsid w:val="00DA32E7"/>
    <w:rsid w:val="00DA7BA4"/>
    <w:rsid w:val="00DB10AA"/>
    <w:rsid w:val="00DB2090"/>
    <w:rsid w:val="00DB52ED"/>
    <w:rsid w:val="00DB6429"/>
    <w:rsid w:val="00DB6CDD"/>
    <w:rsid w:val="00DC0882"/>
    <w:rsid w:val="00DC0EB5"/>
    <w:rsid w:val="00DC3702"/>
    <w:rsid w:val="00DC4229"/>
    <w:rsid w:val="00DC5E4A"/>
    <w:rsid w:val="00DD0CD5"/>
    <w:rsid w:val="00DD20EE"/>
    <w:rsid w:val="00DD2C4A"/>
    <w:rsid w:val="00DD6107"/>
    <w:rsid w:val="00DE17ED"/>
    <w:rsid w:val="00DE1A7B"/>
    <w:rsid w:val="00DE2739"/>
    <w:rsid w:val="00DE5243"/>
    <w:rsid w:val="00DF3200"/>
    <w:rsid w:val="00DF5970"/>
    <w:rsid w:val="00DF614D"/>
    <w:rsid w:val="00E015C7"/>
    <w:rsid w:val="00E022A7"/>
    <w:rsid w:val="00E047F8"/>
    <w:rsid w:val="00E04CE3"/>
    <w:rsid w:val="00E05C86"/>
    <w:rsid w:val="00E104A5"/>
    <w:rsid w:val="00E11123"/>
    <w:rsid w:val="00E13EA8"/>
    <w:rsid w:val="00E14D93"/>
    <w:rsid w:val="00E167C7"/>
    <w:rsid w:val="00E20713"/>
    <w:rsid w:val="00E24C66"/>
    <w:rsid w:val="00E25445"/>
    <w:rsid w:val="00E312E0"/>
    <w:rsid w:val="00E33637"/>
    <w:rsid w:val="00E40ACF"/>
    <w:rsid w:val="00E414C1"/>
    <w:rsid w:val="00E429D5"/>
    <w:rsid w:val="00E435B3"/>
    <w:rsid w:val="00E4735B"/>
    <w:rsid w:val="00E47849"/>
    <w:rsid w:val="00E50409"/>
    <w:rsid w:val="00E50E9B"/>
    <w:rsid w:val="00E52C3E"/>
    <w:rsid w:val="00E552B2"/>
    <w:rsid w:val="00E63177"/>
    <w:rsid w:val="00E66448"/>
    <w:rsid w:val="00E7184C"/>
    <w:rsid w:val="00E72EBA"/>
    <w:rsid w:val="00E7596D"/>
    <w:rsid w:val="00E764BA"/>
    <w:rsid w:val="00E77264"/>
    <w:rsid w:val="00E8060D"/>
    <w:rsid w:val="00E80A8A"/>
    <w:rsid w:val="00E81AE9"/>
    <w:rsid w:val="00E827ED"/>
    <w:rsid w:val="00E83378"/>
    <w:rsid w:val="00E87EF6"/>
    <w:rsid w:val="00E92FF0"/>
    <w:rsid w:val="00E934F1"/>
    <w:rsid w:val="00E95251"/>
    <w:rsid w:val="00EA1632"/>
    <w:rsid w:val="00EA3095"/>
    <w:rsid w:val="00EA5323"/>
    <w:rsid w:val="00EB0A8D"/>
    <w:rsid w:val="00EB4EE1"/>
    <w:rsid w:val="00EB583D"/>
    <w:rsid w:val="00EB6180"/>
    <w:rsid w:val="00EB7BB1"/>
    <w:rsid w:val="00EC0AA0"/>
    <w:rsid w:val="00EC1591"/>
    <w:rsid w:val="00EC1CAD"/>
    <w:rsid w:val="00EC5461"/>
    <w:rsid w:val="00EC60FF"/>
    <w:rsid w:val="00ED52EA"/>
    <w:rsid w:val="00EE085D"/>
    <w:rsid w:val="00EE3B91"/>
    <w:rsid w:val="00EE5B4B"/>
    <w:rsid w:val="00EF1139"/>
    <w:rsid w:val="00EF1989"/>
    <w:rsid w:val="00EF5C13"/>
    <w:rsid w:val="00F007DB"/>
    <w:rsid w:val="00F03BF5"/>
    <w:rsid w:val="00F05AB8"/>
    <w:rsid w:val="00F164EE"/>
    <w:rsid w:val="00F221C3"/>
    <w:rsid w:val="00F2428E"/>
    <w:rsid w:val="00F25724"/>
    <w:rsid w:val="00F3312D"/>
    <w:rsid w:val="00F3398D"/>
    <w:rsid w:val="00F345D4"/>
    <w:rsid w:val="00F34694"/>
    <w:rsid w:val="00F34794"/>
    <w:rsid w:val="00F35292"/>
    <w:rsid w:val="00F4133D"/>
    <w:rsid w:val="00F42A97"/>
    <w:rsid w:val="00F44EA1"/>
    <w:rsid w:val="00F5478A"/>
    <w:rsid w:val="00F574BB"/>
    <w:rsid w:val="00F60B38"/>
    <w:rsid w:val="00F61B75"/>
    <w:rsid w:val="00F62AAE"/>
    <w:rsid w:val="00F653EB"/>
    <w:rsid w:val="00F81D66"/>
    <w:rsid w:val="00F87BA9"/>
    <w:rsid w:val="00F93322"/>
    <w:rsid w:val="00FA0956"/>
    <w:rsid w:val="00FA103D"/>
    <w:rsid w:val="00FA7726"/>
    <w:rsid w:val="00FB0968"/>
    <w:rsid w:val="00FB3944"/>
    <w:rsid w:val="00FB5264"/>
    <w:rsid w:val="00FB6683"/>
    <w:rsid w:val="00FC59E5"/>
    <w:rsid w:val="00FC5ADE"/>
    <w:rsid w:val="00FD5DE4"/>
    <w:rsid w:val="00FE18E1"/>
    <w:rsid w:val="00FE3438"/>
    <w:rsid w:val="00FE3D27"/>
    <w:rsid w:val="00FE4467"/>
    <w:rsid w:val="00FE5809"/>
    <w:rsid w:val="00FF0EEC"/>
    <w:rsid w:val="00FF387C"/>
    <w:rsid w:val="00FF7C60"/>
    <w:rsid w:val="00FF7F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D2"/>
    <w:rPr>
      <w:sz w:val="24"/>
      <w:lang w:eastAsia="en-US"/>
    </w:rPr>
  </w:style>
  <w:style w:type="paragraph" w:styleId="Heading1">
    <w:name w:val="heading 1"/>
    <w:basedOn w:val="Normal"/>
    <w:next w:val="Normal"/>
    <w:link w:val="Heading1Char"/>
    <w:autoRedefine/>
    <w:uiPriority w:val="9"/>
    <w:qFormat/>
    <w:rsid w:val="00A210D2"/>
    <w:pPr>
      <w:keepNext/>
      <w:spacing w:before="240" w:after="60"/>
      <w:outlineLvl w:val="0"/>
    </w:pPr>
    <w:rPr>
      <w:rFonts w:ascii="Arial" w:hAnsi="Arial"/>
      <w:b/>
      <w:color w:val="091C5A"/>
      <w:kern w:val="32"/>
      <w:sz w:val="28"/>
    </w:rPr>
  </w:style>
  <w:style w:type="paragraph" w:styleId="Heading2">
    <w:name w:val="heading 2"/>
    <w:basedOn w:val="Normal"/>
    <w:next w:val="Normal"/>
    <w:link w:val="Heading2Char"/>
    <w:autoRedefine/>
    <w:uiPriority w:val="9"/>
    <w:qFormat/>
    <w:rsid w:val="00A210D2"/>
    <w:pPr>
      <w:keepNext/>
      <w:spacing w:before="240" w:after="60"/>
      <w:outlineLvl w:val="1"/>
    </w:pPr>
    <w:rPr>
      <w:rFonts w:ascii="Helvetica" w:hAnsi="Helvetica"/>
      <w:b/>
      <w:color w:val="091C5A"/>
      <w:sz w:val="22"/>
    </w:rPr>
  </w:style>
  <w:style w:type="paragraph" w:styleId="Heading3">
    <w:name w:val="heading 3"/>
    <w:aliases w:val="Shaded section heading"/>
    <w:basedOn w:val="Normal"/>
    <w:next w:val="Normal"/>
    <w:link w:val="Heading3Char"/>
    <w:uiPriority w:val="9"/>
    <w:qFormat/>
    <w:rsid w:val="00A210D2"/>
    <w:pPr>
      <w:keepNext/>
      <w:shd w:val="clear" w:color="auto" w:fill="B3DC1F"/>
      <w:spacing w:before="240" w:after="60"/>
      <w:outlineLvl w:val="2"/>
    </w:pPr>
    <w:rPr>
      <w:rFonts w:ascii="Arial" w:hAnsi="Arial"/>
      <w:b/>
      <w:color w:val="091C5A"/>
      <w:sz w:val="28"/>
      <w:lang w:val="en-US"/>
    </w:rPr>
  </w:style>
  <w:style w:type="paragraph" w:styleId="Heading4">
    <w:name w:val="heading 4"/>
    <w:basedOn w:val="Normal"/>
    <w:next w:val="Normal"/>
    <w:link w:val="Heading4Char"/>
    <w:uiPriority w:val="9"/>
    <w:semiHidden/>
    <w:unhideWhenUsed/>
    <w:qFormat/>
    <w:rsid w:val="003F6C0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0D2"/>
    <w:pPr>
      <w:tabs>
        <w:tab w:val="center" w:pos="4320"/>
        <w:tab w:val="right" w:pos="8640"/>
      </w:tabs>
    </w:pPr>
  </w:style>
  <w:style w:type="paragraph" w:styleId="Footer">
    <w:name w:val="footer"/>
    <w:basedOn w:val="Normal"/>
    <w:link w:val="FooterChar"/>
    <w:uiPriority w:val="99"/>
    <w:rsid w:val="00A210D2"/>
    <w:pPr>
      <w:tabs>
        <w:tab w:val="center" w:pos="4320"/>
        <w:tab w:val="right" w:pos="8640"/>
      </w:tabs>
    </w:pPr>
  </w:style>
  <w:style w:type="character" w:styleId="PageNumber">
    <w:name w:val="page number"/>
    <w:basedOn w:val="DefaultParagraphFont"/>
    <w:autoRedefine/>
    <w:rsid w:val="00A210D2"/>
    <w:rPr>
      <w:rFonts w:ascii="Arial" w:hAnsi="Arial"/>
      <w:color w:val="091C5A"/>
      <w:sz w:val="22"/>
    </w:rPr>
  </w:style>
  <w:style w:type="paragraph" w:styleId="BodyText">
    <w:name w:val="Body Text"/>
    <w:basedOn w:val="Normal"/>
    <w:rsid w:val="00A210D2"/>
    <w:rPr>
      <w:rFonts w:ascii="Arial" w:hAnsi="Arial"/>
      <w:color w:val="000000"/>
      <w:sz w:val="20"/>
    </w:rPr>
  </w:style>
  <w:style w:type="paragraph" w:styleId="BodyText2">
    <w:name w:val="Body Text 2"/>
    <w:basedOn w:val="Normal"/>
    <w:rsid w:val="00A210D2"/>
    <w:rPr>
      <w:rFonts w:ascii="Arial" w:hAnsi="Arial"/>
      <w:sz w:val="20"/>
    </w:rPr>
  </w:style>
  <w:style w:type="paragraph" w:customStyle="1" w:styleId="Coverpagetitle">
    <w:name w:val="Cover page title"/>
    <w:basedOn w:val="Normal"/>
    <w:rsid w:val="00A210D2"/>
    <w:rPr>
      <w:rFonts w:ascii="Arial" w:hAnsi="Arial"/>
      <w:b/>
      <w:color w:val="FFFFFF"/>
      <w:sz w:val="32"/>
    </w:rPr>
  </w:style>
  <w:style w:type="paragraph" w:customStyle="1" w:styleId="Coverpageclientname">
    <w:name w:val="Cover page client name"/>
    <w:basedOn w:val="Coverpagetitle"/>
    <w:rsid w:val="00A210D2"/>
    <w:rPr>
      <w:color w:val="B3DC1F"/>
      <w:sz w:val="28"/>
    </w:rPr>
  </w:style>
  <w:style w:type="paragraph" w:customStyle="1" w:styleId="Coverpagedate">
    <w:name w:val="Cover page date"/>
    <w:basedOn w:val="Coverpageclientname"/>
    <w:rsid w:val="00A210D2"/>
    <w:rPr>
      <w:b w:val="0"/>
      <w:color w:val="FFFFFF"/>
    </w:rPr>
  </w:style>
  <w:style w:type="character" w:customStyle="1" w:styleId="Heading4Char">
    <w:name w:val="Heading 4 Char"/>
    <w:basedOn w:val="DefaultParagraphFont"/>
    <w:link w:val="Heading4"/>
    <w:uiPriority w:val="9"/>
    <w:semiHidden/>
    <w:rsid w:val="003F6C09"/>
    <w:rPr>
      <w:rFonts w:asciiTheme="majorHAnsi" w:eastAsiaTheme="majorEastAsia" w:hAnsiTheme="majorHAnsi" w:cstheme="majorBidi"/>
      <w:b/>
      <w:bCs/>
      <w:i/>
      <w:iCs/>
      <w:color w:val="4F81BD" w:themeColor="accent1"/>
      <w:sz w:val="22"/>
      <w:szCs w:val="22"/>
      <w:lang w:eastAsia="en-US"/>
    </w:rPr>
  </w:style>
  <w:style w:type="paragraph" w:styleId="FootnoteText">
    <w:name w:val="footnote text"/>
    <w:aliases w:val="Geneva 9,Font: Geneva 9,Boston 10,f,Geneva 9 Char,Font: Geneva 9 Char,Boston 10 Char,f Char Char Char,f Char,Footnote,Footnote Text Char2,Footnote Text Char1 Char1,Footnote Text Char Char Char1,Footnote Text Char1 Char Char,ft,fn,A,ADB"/>
    <w:basedOn w:val="Normal"/>
    <w:link w:val="FootnoteTextChar"/>
    <w:uiPriority w:val="99"/>
    <w:unhideWhenUsed/>
    <w:rsid w:val="003F6C09"/>
    <w:rPr>
      <w:rFonts w:asciiTheme="minorHAnsi" w:eastAsiaTheme="minorHAnsi" w:hAnsiTheme="minorHAnsi" w:cstheme="minorBidi"/>
      <w:sz w:val="20"/>
    </w:rPr>
  </w:style>
  <w:style w:type="character" w:customStyle="1" w:styleId="FootnoteTextChar">
    <w:name w:val="Footnote Text Char"/>
    <w:aliases w:val="Geneva 9 Char1,Font: Geneva 9 Char1,Boston 10 Char1,f Char1,Geneva 9 Char Char,Font: Geneva 9 Char Char,Boston 10 Char Char,f Char Char Char Char,f Char Char,Footnote Char,Footnote Text Char2 Char,Footnote Text Char1 Char1 Char,A Char"/>
    <w:basedOn w:val="DefaultParagraphFont"/>
    <w:link w:val="FootnoteText"/>
    <w:uiPriority w:val="99"/>
    <w:rsid w:val="003F6C09"/>
    <w:rPr>
      <w:rFonts w:asciiTheme="minorHAnsi" w:eastAsiaTheme="minorHAnsi" w:hAnsiTheme="minorHAnsi" w:cstheme="minorBidi"/>
      <w:lang w:eastAsia="en-US"/>
    </w:rPr>
  </w:style>
  <w:style w:type="character" w:styleId="FootnoteReference">
    <w:name w:val="footnote reference"/>
    <w:aliases w:val="16 Point,Superscript 6 Point,ftref,Char Char Char Char Car Char"/>
    <w:basedOn w:val="DefaultParagraphFont"/>
    <w:uiPriority w:val="99"/>
    <w:semiHidden/>
    <w:unhideWhenUsed/>
    <w:rsid w:val="003F6C09"/>
    <w:rPr>
      <w:vertAlign w:val="superscript"/>
    </w:rPr>
  </w:style>
  <w:style w:type="table" w:styleId="TableGrid">
    <w:name w:val="Table Grid"/>
    <w:basedOn w:val="TableNormal"/>
    <w:uiPriority w:val="59"/>
    <w:rsid w:val="003F6C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F6C09"/>
    <w:rPr>
      <w:rFonts w:asciiTheme="minorHAnsi" w:eastAsiaTheme="minorHAnsi" w:hAnsiTheme="minorHAnsi" w:cstheme="minorBidi"/>
      <w:color w:val="31849B" w:themeColor="accent5" w:themeShade="BF"/>
      <w:sz w:val="22"/>
      <w:szCs w:val="22"/>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link w:val="ListParagraphChar"/>
    <w:uiPriority w:val="34"/>
    <w:qFormat/>
    <w:rsid w:val="003F6C09"/>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F6C09"/>
    <w:rPr>
      <w:color w:val="0000FF" w:themeColor="hyperlink"/>
      <w:u w:val="single"/>
    </w:rPr>
  </w:style>
  <w:style w:type="paragraph" w:customStyle="1" w:styleId="Default">
    <w:name w:val="Default"/>
    <w:rsid w:val="003F6C09"/>
    <w:pPr>
      <w:autoSpaceDE w:val="0"/>
      <w:autoSpaceDN w:val="0"/>
      <w:adjustRightInd w:val="0"/>
    </w:pPr>
    <w:rPr>
      <w:rFonts w:eastAsiaTheme="minorHAnsi"/>
      <w:color w:val="000000"/>
      <w:sz w:val="24"/>
      <w:szCs w:val="24"/>
      <w:lang w:eastAsia="en-US"/>
    </w:rPr>
  </w:style>
  <w:style w:type="paragraph" w:styleId="BalloonText">
    <w:name w:val="Balloon Text"/>
    <w:basedOn w:val="Normal"/>
    <w:link w:val="BalloonTextChar"/>
    <w:uiPriority w:val="99"/>
    <w:semiHidden/>
    <w:unhideWhenUsed/>
    <w:rsid w:val="003F6C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6C09"/>
    <w:rPr>
      <w:rFonts w:ascii="Tahoma" w:eastAsiaTheme="minorHAnsi" w:hAnsi="Tahoma" w:cs="Tahoma"/>
      <w:sz w:val="16"/>
      <w:szCs w:val="16"/>
      <w:lang w:eastAsia="en-US"/>
    </w:rPr>
  </w:style>
  <w:style w:type="paragraph" w:customStyle="1" w:styleId="rtejustify">
    <w:name w:val="rtejustify"/>
    <w:basedOn w:val="Normal"/>
    <w:rsid w:val="003F6C09"/>
    <w:pPr>
      <w:spacing w:before="100" w:beforeAutospacing="1" w:after="100" w:afterAutospacing="1"/>
    </w:pPr>
    <w:rPr>
      <w:szCs w:val="24"/>
      <w:lang w:eastAsia="en-GB"/>
    </w:rPr>
  </w:style>
  <w:style w:type="character" w:customStyle="1" w:styleId="Heading2Char">
    <w:name w:val="Heading 2 Char"/>
    <w:basedOn w:val="DefaultParagraphFont"/>
    <w:link w:val="Heading2"/>
    <w:uiPriority w:val="9"/>
    <w:rsid w:val="003F6C09"/>
    <w:rPr>
      <w:rFonts w:ascii="Helvetica" w:hAnsi="Helvetica"/>
      <w:b/>
      <w:color w:val="091C5A"/>
      <w:sz w:val="22"/>
      <w:lang w:eastAsia="en-US"/>
    </w:rPr>
  </w:style>
  <w:style w:type="character" w:styleId="Strong">
    <w:name w:val="Strong"/>
    <w:basedOn w:val="DefaultParagraphFont"/>
    <w:uiPriority w:val="22"/>
    <w:qFormat/>
    <w:rsid w:val="003F6C09"/>
    <w:rPr>
      <w:b/>
      <w:bCs/>
    </w:rPr>
  </w:style>
  <w:style w:type="paragraph" w:customStyle="1" w:styleId="rtecenter">
    <w:name w:val="rtecenter"/>
    <w:basedOn w:val="Normal"/>
    <w:rsid w:val="003F6C09"/>
    <w:pPr>
      <w:spacing w:before="100" w:beforeAutospacing="1" w:after="100" w:afterAutospacing="1"/>
    </w:pPr>
    <w:rPr>
      <w:szCs w:val="24"/>
      <w:lang w:eastAsia="en-GB"/>
    </w:rPr>
  </w:style>
  <w:style w:type="paragraph" w:styleId="NormalWeb">
    <w:name w:val="Normal (Web)"/>
    <w:basedOn w:val="Normal"/>
    <w:uiPriority w:val="99"/>
    <w:unhideWhenUsed/>
    <w:rsid w:val="003F6C09"/>
    <w:pPr>
      <w:spacing w:before="100" w:beforeAutospacing="1" w:after="100" w:afterAutospacing="1"/>
    </w:pPr>
    <w:rPr>
      <w:szCs w:val="24"/>
      <w:lang w:eastAsia="en-GB"/>
    </w:rPr>
  </w:style>
  <w:style w:type="character" w:customStyle="1" w:styleId="apple-converted-space">
    <w:name w:val="apple-converted-space"/>
    <w:basedOn w:val="DefaultParagraphFont"/>
    <w:rsid w:val="003F6C09"/>
  </w:style>
  <w:style w:type="character" w:styleId="FollowedHyperlink">
    <w:name w:val="FollowedHyperlink"/>
    <w:basedOn w:val="DefaultParagraphFont"/>
    <w:uiPriority w:val="99"/>
    <w:semiHidden/>
    <w:unhideWhenUsed/>
    <w:rsid w:val="003F6C09"/>
    <w:rPr>
      <w:color w:val="800080" w:themeColor="followedHyperlink"/>
      <w:u w:val="single"/>
    </w:rPr>
  </w:style>
  <w:style w:type="character" w:styleId="Emphasis">
    <w:name w:val="Emphasis"/>
    <w:basedOn w:val="DefaultParagraphFont"/>
    <w:uiPriority w:val="20"/>
    <w:qFormat/>
    <w:rsid w:val="003F6C09"/>
    <w:rPr>
      <w:i/>
      <w:iCs/>
    </w:rPr>
  </w:style>
  <w:style w:type="paragraph" w:customStyle="1" w:styleId="FootnoteJS">
    <w:name w:val="Footnote JS"/>
    <w:basedOn w:val="ListParagraph"/>
    <w:link w:val="FootnoteJSChar"/>
    <w:qFormat/>
    <w:rsid w:val="003F6C09"/>
    <w:pPr>
      <w:spacing w:before="60" w:after="60" w:line="240" w:lineRule="auto"/>
      <w:ind w:left="142" w:hanging="142"/>
      <w:contextualSpacing w:val="0"/>
      <w:jc w:val="both"/>
    </w:pPr>
    <w:rPr>
      <w:rFonts w:ascii="Arial Narrow" w:eastAsia="Times New Roman" w:hAnsi="Arial Narrow" w:cs="Times New Roman"/>
      <w:color w:val="008000"/>
      <w:sz w:val="18"/>
      <w:szCs w:val="24"/>
    </w:rPr>
  </w:style>
  <w:style w:type="character" w:customStyle="1" w:styleId="ListParagraphChar">
    <w:name w:val="List Paragraph Char"/>
    <w:link w:val="ListParagraph"/>
    <w:uiPriority w:val="34"/>
    <w:locked/>
    <w:rsid w:val="003F6C09"/>
    <w:rPr>
      <w:rFonts w:asciiTheme="minorHAnsi" w:eastAsiaTheme="minorHAnsi" w:hAnsiTheme="minorHAnsi" w:cstheme="minorBidi"/>
      <w:sz w:val="22"/>
      <w:szCs w:val="22"/>
      <w:lang w:eastAsia="en-US"/>
    </w:rPr>
  </w:style>
  <w:style w:type="character" w:customStyle="1" w:styleId="FootnoteJSChar">
    <w:name w:val="Footnote JS Char"/>
    <w:link w:val="FootnoteJS"/>
    <w:locked/>
    <w:rsid w:val="003F6C09"/>
    <w:rPr>
      <w:rFonts w:ascii="Arial Narrow" w:hAnsi="Arial Narrow"/>
      <w:color w:val="008000"/>
      <w:sz w:val="18"/>
      <w:szCs w:val="24"/>
      <w:lang w:eastAsia="en-US"/>
    </w:rPr>
  </w:style>
  <w:style w:type="character" w:customStyle="1" w:styleId="HeaderChar">
    <w:name w:val="Header Char"/>
    <w:basedOn w:val="DefaultParagraphFont"/>
    <w:link w:val="Header"/>
    <w:uiPriority w:val="99"/>
    <w:rsid w:val="003F6C09"/>
    <w:rPr>
      <w:sz w:val="24"/>
      <w:lang w:eastAsia="en-US"/>
    </w:rPr>
  </w:style>
  <w:style w:type="character" w:customStyle="1" w:styleId="FooterChar">
    <w:name w:val="Footer Char"/>
    <w:basedOn w:val="DefaultParagraphFont"/>
    <w:link w:val="Footer"/>
    <w:uiPriority w:val="99"/>
    <w:rsid w:val="003F6C09"/>
    <w:rPr>
      <w:sz w:val="24"/>
      <w:lang w:eastAsia="en-US"/>
    </w:rPr>
  </w:style>
  <w:style w:type="paragraph" w:customStyle="1" w:styleId="Pa5">
    <w:name w:val="Pa5"/>
    <w:basedOn w:val="Default"/>
    <w:next w:val="Default"/>
    <w:uiPriority w:val="99"/>
    <w:rsid w:val="003F6C09"/>
    <w:pPr>
      <w:spacing w:line="241" w:lineRule="atLeast"/>
    </w:pPr>
    <w:rPr>
      <w:rFonts w:ascii="American Typewriter" w:hAnsi="American Typewriter" w:cstheme="minorBidi"/>
      <w:color w:val="auto"/>
    </w:rPr>
  </w:style>
  <w:style w:type="character" w:customStyle="1" w:styleId="A2">
    <w:name w:val="A2"/>
    <w:uiPriority w:val="99"/>
    <w:rsid w:val="003F6C09"/>
    <w:rPr>
      <w:rFonts w:cs="American Typewriter"/>
      <w:color w:val="000000"/>
      <w:sz w:val="20"/>
      <w:szCs w:val="20"/>
    </w:rPr>
  </w:style>
  <w:style w:type="paragraph" w:customStyle="1" w:styleId="Pa7">
    <w:name w:val="Pa7"/>
    <w:basedOn w:val="Default"/>
    <w:next w:val="Default"/>
    <w:uiPriority w:val="99"/>
    <w:rsid w:val="003F6C09"/>
    <w:pPr>
      <w:spacing w:line="241" w:lineRule="atLeast"/>
    </w:pPr>
    <w:rPr>
      <w:rFonts w:ascii="American Typewriter" w:hAnsi="American Typewriter" w:cstheme="minorBidi"/>
      <w:color w:val="auto"/>
    </w:rPr>
  </w:style>
  <w:style w:type="character" w:customStyle="1" w:styleId="A9">
    <w:name w:val="A9"/>
    <w:uiPriority w:val="99"/>
    <w:rsid w:val="003F6C09"/>
    <w:rPr>
      <w:rFonts w:cs="American Typewriter"/>
      <w:color w:val="000000"/>
      <w:sz w:val="20"/>
      <w:szCs w:val="20"/>
    </w:rPr>
  </w:style>
  <w:style w:type="character" w:customStyle="1" w:styleId="Heading3Char">
    <w:name w:val="Heading 3 Char"/>
    <w:aliases w:val="Shaded section heading Char"/>
    <w:basedOn w:val="DefaultParagraphFont"/>
    <w:link w:val="Heading3"/>
    <w:uiPriority w:val="9"/>
    <w:rsid w:val="003F6C09"/>
    <w:rPr>
      <w:rFonts w:ascii="Arial" w:hAnsi="Arial"/>
      <w:b/>
      <w:color w:val="091C5A"/>
      <w:sz w:val="28"/>
      <w:shd w:val="clear" w:color="auto" w:fill="B3DC1F"/>
      <w:lang w:val="en-US" w:eastAsia="en-US"/>
    </w:rPr>
  </w:style>
  <w:style w:type="character" w:customStyle="1" w:styleId="Heading1Char">
    <w:name w:val="Heading 1 Char"/>
    <w:basedOn w:val="DefaultParagraphFont"/>
    <w:link w:val="Heading1"/>
    <w:uiPriority w:val="9"/>
    <w:rsid w:val="003F6C09"/>
    <w:rPr>
      <w:rFonts w:ascii="Arial" w:hAnsi="Arial"/>
      <w:b/>
      <w:color w:val="091C5A"/>
      <w:kern w:val="32"/>
      <w:sz w:val="28"/>
      <w:lang w:eastAsia="en-US"/>
    </w:rPr>
  </w:style>
  <w:style w:type="character" w:customStyle="1" w:styleId="itxtrst">
    <w:name w:val="itxtrst"/>
    <w:basedOn w:val="DefaultParagraphFont"/>
    <w:rsid w:val="003F6C09"/>
  </w:style>
  <w:style w:type="character" w:customStyle="1" w:styleId="caps">
    <w:name w:val="caps"/>
    <w:basedOn w:val="DefaultParagraphFont"/>
    <w:rsid w:val="003F6C09"/>
  </w:style>
  <w:style w:type="paragraph" w:styleId="PlainText">
    <w:name w:val="Plain Text"/>
    <w:basedOn w:val="Normal"/>
    <w:link w:val="PlainTextChar"/>
    <w:uiPriority w:val="99"/>
    <w:semiHidden/>
    <w:unhideWhenUsed/>
    <w:rsid w:val="003F6C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6C09"/>
    <w:rPr>
      <w:rFonts w:ascii="Calibri" w:eastAsiaTheme="minorHAnsi" w:hAnsi="Calibri" w:cstheme="minorBidi"/>
      <w:sz w:val="22"/>
      <w:szCs w:val="21"/>
      <w:lang w:eastAsia="en-US"/>
    </w:rPr>
  </w:style>
  <w:style w:type="character" w:customStyle="1" w:styleId="personname">
    <w:name w:val="person_name"/>
    <w:basedOn w:val="DefaultParagraphFont"/>
    <w:rsid w:val="003F6C09"/>
  </w:style>
  <w:style w:type="character" w:customStyle="1" w:styleId="Title1">
    <w:name w:val="Title1"/>
    <w:basedOn w:val="DefaultParagraphFont"/>
    <w:rsid w:val="003F6C09"/>
  </w:style>
  <w:style w:type="character" w:customStyle="1" w:styleId="A11">
    <w:name w:val="A11"/>
    <w:uiPriority w:val="99"/>
    <w:rsid w:val="003F6C09"/>
    <w:rPr>
      <w:rFonts w:ascii="Cambria" w:hAnsi="Cambria" w:cs="Cambria"/>
      <w:color w:val="000000"/>
      <w:sz w:val="11"/>
      <w:szCs w:val="11"/>
    </w:rPr>
  </w:style>
  <w:style w:type="character" w:customStyle="1" w:styleId="A7">
    <w:name w:val="A7"/>
    <w:uiPriority w:val="99"/>
    <w:rsid w:val="003F6C09"/>
    <w:rPr>
      <w:rFonts w:cs="Cambria"/>
      <w:color w:val="000000"/>
      <w:sz w:val="22"/>
      <w:szCs w:val="22"/>
    </w:rPr>
  </w:style>
  <w:style w:type="character" w:customStyle="1" w:styleId="A1">
    <w:name w:val="A1"/>
    <w:uiPriority w:val="99"/>
    <w:rsid w:val="003F6C09"/>
    <w:rPr>
      <w:rFonts w:cs="HelveticaNeue Condensed"/>
      <w:color w:val="000000"/>
      <w:sz w:val="36"/>
      <w:szCs w:val="36"/>
    </w:rPr>
  </w:style>
  <w:style w:type="paragraph" w:customStyle="1" w:styleId="Pa0">
    <w:name w:val="Pa0"/>
    <w:basedOn w:val="Default"/>
    <w:next w:val="Default"/>
    <w:uiPriority w:val="99"/>
    <w:rsid w:val="003F6C09"/>
    <w:pPr>
      <w:spacing w:line="241" w:lineRule="atLeast"/>
    </w:pPr>
    <w:rPr>
      <w:rFonts w:ascii="HelveticaNeue Condensed" w:hAnsi="HelveticaNeue Condensed" w:cstheme="minorBidi"/>
      <w:color w:val="auto"/>
    </w:rPr>
  </w:style>
  <w:style w:type="character" w:customStyle="1" w:styleId="A0">
    <w:name w:val="A0"/>
    <w:uiPriority w:val="99"/>
    <w:rsid w:val="003F6C09"/>
    <w:rPr>
      <w:rFonts w:cs="HelveticaNeue Condensed"/>
      <w:color w:val="000000"/>
      <w:sz w:val="20"/>
      <w:szCs w:val="20"/>
    </w:rPr>
  </w:style>
  <w:style w:type="paragraph" w:customStyle="1" w:styleId="spip">
    <w:name w:val="spip"/>
    <w:basedOn w:val="Normal"/>
    <w:rsid w:val="003F6C09"/>
    <w:pPr>
      <w:spacing w:before="100" w:beforeAutospacing="1" w:after="100" w:afterAutospacing="1"/>
    </w:pPr>
    <w:rPr>
      <w:szCs w:val="24"/>
      <w:lang w:eastAsia="en-GB"/>
    </w:rPr>
  </w:style>
  <w:style w:type="character" w:customStyle="1" w:styleId="flagicon">
    <w:name w:val="flagicon"/>
    <w:basedOn w:val="DefaultParagraphFont"/>
    <w:rsid w:val="005F0EA4"/>
  </w:style>
  <w:style w:type="table" w:styleId="LightShading-Accent1">
    <w:name w:val="Light Shading Accent 1"/>
    <w:basedOn w:val="TableNormal"/>
    <w:uiPriority w:val="60"/>
    <w:rsid w:val="008C0D9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6E1A4B"/>
    <w:rPr>
      <w:sz w:val="24"/>
      <w:lang w:eastAsia="en-US"/>
    </w:rPr>
  </w:style>
  <w:style w:type="character" w:styleId="CommentReference">
    <w:name w:val="annotation reference"/>
    <w:basedOn w:val="DefaultParagraphFont"/>
    <w:uiPriority w:val="99"/>
    <w:semiHidden/>
    <w:unhideWhenUsed/>
    <w:rsid w:val="0040431B"/>
    <w:rPr>
      <w:sz w:val="16"/>
      <w:szCs w:val="16"/>
    </w:rPr>
  </w:style>
  <w:style w:type="paragraph" w:styleId="CommentText">
    <w:name w:val="annotation text"/>
    <w:basedOn w:val="Normal"/>
    <w:link w:val="CommentTextChar"/>
    <w:uiPriority w:val="99"/>
    <w:semiHidden/>
    <w:unhideWhenUsed/>
    <w:rsid w:val="0040431B"/>
    <w:rPr>
      <w:sz w:val="20"/>
    </w:rPr>
  </w:style>
  <w:style w:type="character" w:customStyle="1" w:styleId="CommentTextChar">
    <w:name w:val="Comment Text Char"/>
    <w:basedOn w:val="DefaultParagraphFont"/>
    <w:link w:val="CommentText"/>
    <w:uiPriority w:val="99"/>
    <w:semiHidden/>
    <w:rsid w:val="0040431B"/>
    <w:rPr>
      <w:lang w:eastAsia="en-US"/>
    </w:rPr>
  </w:style>
  <w:style w:type="paragraph" w:styleId="CommentSubject">
    <w:name w:val="annotation subject"/>
    <w:basedOn w:val="CommentText"/>
    <w:next w:val="CommentText"/>
    <w:link w:val="CommentSubjectChar"/>
    <w:uiPriority w:val="99"/>
    <w:semiHidden/>
    <w:unhideWhenUsed/>
    <w:rsid w:val="0040431B"/>
    <w:rPr>
      <w:b/>
      <w:bCs/>
    </w:rPr>
  </w:style>
  <w:style w:type="character" w:customStyle="1" w:styleId="CommentSubjectChar">
    <w:name w:val="Comment Subject Char"/>
    <w:basedOn w:val="CommentTextChar"/>
    <w:link w:val="CommentSubject"/>
    <w:uiPriority w:val="99"/>
    <w:semiHidden/>
    <w:rsid w:val="0040431B"/>
    <w:rPr>
      <w:b/>
      <w:bCs/>
      <w:lang w:eastAsia="en-US"/>
    </w:rPr>
  </w:style>
  <w:style w:type="character" w:customStyle="1" w:styleId="FootnoteTextChar1">
    <w:name w:val="Footnote Text Char1"/>
    <w:aliases w:val="Geneva 9 Char2,Font: Geneva 9 Char2,Boston 10 Char2,f Char2,Geneva 9 Char Char1,Font: Geneva 9 Char Char1,Boston 10 Char Char1,f Char Char Char Char1,f Char Char1,Footnote Char1,Footnote Text Char2 Char1,ft Char,fn Char,A Char1"/>
    <w:basedOn w:val="DefaultParagraphFont"/>
    <w:uiPriority w:val="99"/>
    <w:semiHidden/>
    <w:locked/>
    <w:rsid w:val="00FA103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D2"/>
    <w:rPr>
      <w:sz w:val="24"/>
      <w:lang w:eastAsia="en-US"/>
    </w:rPr>
  </w:style>
  <w:style w:type="paragraph" w:styleId="Heading1">
    <w:name w:val="heading 1"/>
    <w:basedOn w:val="Normal"/>
    <w:next w:val="Normal"/>
    <w:link w:val="Heading1Char"/>
    <w:autoRedefine/>
    <w:uiPriority w:val="9"/>
    <w:qFormat/>
    <w:rsid w:val="00A210D2"/>
    <w:pPr>
      <w:keepNext/>
      <w:spacing w:before="240" w:after="60"/>
      <w:outlineLvl w:val="0"/>
    </w:pPr>
    <w:rPr>
      <w:rFonts w:ascii="Arial" w:hAnsi="Arial"/>
      <w:b/>
      <w:color w:val="091C5A"/>
      <w:kern w:val="32"/>
      <w:sz w:val="28"/>
    </w:rPr>
  </w:style>
  <w:style w:type="paragraph" w:styleId="Heading2">
    <w:name w:val="heading 2"/>
    <w:basedOn w:val="Normal"/>
    <w:next w:val="Normal"/>
    <w:link w:val="Heading2Char"/>
    <w:autoRedefine/>
    <w:uiPriority w:val="9"/>
    <w:qFormat/>
    <w:rsid w:val="00A210D2"/>
    <w:pPr>
      <w:keepNext/>
      <w:spacing w:before="240" w:after="60"/>
      <w:outlineLvl w:val="1"/>
    </w:pPr>
    <w:rPr>
      <w:rFonts w:ascii="Helvetica" w:hAnsi="Helvetica"/>
      <w:b/>
      <w:color w:val="091C5A"/>
      <w:sz w:val="22"/>
    </w:rPr>
  </w:style>
  <w:style w:type="paragraph" w:styleId="Heading3">
    <w:name w:val="heading 3"/>
    <w:aliases w:val="Shaded section heading"/>
    <w:basedOn w:val="Normal"/>
    <w:next w:val="Normal"/>
    <w:link w:val="Heading3Char"/>
    <w:uiPriority w:val="9"/>
    <w:qFormat/>
    <w:rsid w:val="00A210D2"/>
    <w:pPr>
      <w:keepNext/>
      <w:shd w:val="clear" w:color="auto" w:fill="B3DC1F"/>
      <w:spacing w:before="240" w:after="60"/>
      <w:outlineLvl w:val="2"/>
    </w:pPr>
    <w:rPr>
      <w:rFonts w:ascii="Arial" w:hAnsi="Arial"/>
      <w:b/>
      <w:color w:val="091C5A"/>
      <w:sz w:val="28"/>
      <w:lang w:val="en-US"/>
    </w:rPr>
  </w:style>
  <w:style w:type="paragraph" w:styleId="Heading4">
    <w:name w:val="heading 4"/>
    <w:basedOn w:val="Normal"/>
    <w:next w:val="Normal"/>
    <w:link w:val="Heading4Char"/>
    <w:uiPriority w:val="9"/>
    <w:semiHidden/>
    <w:unhideWhenUsed/>
    <w:qFormat/>
    <w:rsid w:val="003F6C0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0D2"/>
    <w:pPr>
      <w:tabs>
        <w:tab w:val="center" w:pos="4320"/>
        <w:tab w:val="right" w:pos="8640"/>
      </w:tabs>
    </w:pPr>
  </w:style>
  <w:style w:type="paragraph" w:styleId="Footer">
    <w:name w:val="footer"/>
    <w:basedOn w:val="Normal"/>
    <w:link w:val="FooterChar"/>
    <w:uiPriority w:val="99"/>
    <w:rsid w:val="00A210D2"/>
    <w:pPr>
      <w:tabs>
        <w:tab w:val="center" w:pos="4320"/>
        <w:tab w:val="right" w:pos="8640"/>
      </w:tabs>
    </w:pPr>
  </w:style>
  <w:style w:type="character" w:styleId="PageNumber">
    <w:name w:val="page number"/>
    <w:basedOn w:val="DefaultParagraphFont"/>
    <w:autoRedefine/>
    <w:rsid w:val="00A210D2"/>
    <w:rPr>
      <w:rFonts w:ascii="Arial" w:hAnsi="Arial"/>
      <w:color w:val="091C5A"/>
      <w:sz w:val="22"/>
    </w:rPr>
  </w:style>
  <w:style w:type="paragraph" w:styleId="BodyText">
    <w:name w:val="Body Text"/>
    <w:basedOn w:val="Normal"/>
    <w:rsid w:val="00A210D2"/>
    <w:rPr>
      <w:rFonts w:ascii="Arial" w:hAnsi="Arial"/>
      <w:color w:val="000000"/>
      <w:sz w:val="20"/>
    </w:rPr>
  </w:style>
  <w:style w:type="paragraph" w:styleId="BodyText2">
    <w:name w:val="Body Text 2"/>
    <w:basedOn w:val="Normal"/>
    <w:rsid w:val="00A210D2"/>
    <w:rPr>
      <w:rFonts w:ascii="Arial" w:hAnsi="Arial"/>
      <w:sz w:val="20"/>
    </w:rPr>
  </w:style>
  <w:style w:type="paragraph" w:customStyle="1" w:styleId="Coverpagetitle">
    <w:name w:val="Cover page title"/>
    <w:basedOn w:val="Normal"/>
    <w:rsid w:val="00A210D2"/>
    <w:rPr>
      <w:rFonts w:ascii="Arial" w:hAnsi="Arial"/>
      <w:b/>
      <w:color w:val="FFFFFF"/>
      <w:sz w:val="32"/>
    </w:rPr>
  </w:style>
  <w:style w:type="paragraph" w:customStyle="1" w:styleId="Coverpageclientname">
    <w:name w:val="Cover page client name"/>
    <w:basedOn w:val="Coverpagetitle"/>
    <w:rsid w:val="00A210D2"/>
    <w:rPr>
      <w:color w:val="B3DC1F"/>
      <w:sz w:val="28"/>
    </w:rPr>
  </w:style>
  <w:style w:type="paragraph" w:customStyle="1" w:styleId="Coverpagedate">
    <w:name w:val="Cover page date"/>
    <w:basedOn w:val="Coverpageclientname"/>
    <w:rsid w:val="00A210D2"/>
    <w:rPr>
      <w:b w:val="0"/>
      <w:color w:val="FFFFFF"/>
    </w:rPr>
  </w:style>
  <w:style w:type="character" w:customStyle="1" w:styleId="Heading4Char">
    <w:name w:val="Heading 4 Char"/>
    <w:basedOn w:val="DefaultParagraphFont"/>
    <w:link w:val="Heading4"/>
    <w:uiPriority w:val="9"/>
    <w:semiHidden/>
    <w:rsid w:val="003F6C09"/>
    <w:rPr>
      <w:rFonts w:asciiTheme="majorHAnsi" w:eastAsiaTheme="majorEastAsia" w:hAnsiTheme="majorHAnsi" w:cstheme="majorBidi"/>
      <w:b/>
      <w:bCs/>
      <w:i/>
      <w:iCs/>
      <w:color w:val="4F81BD" w:themeColor="accent1"/>
      <w:sz w:val="22"/>
      <w:szCs w:val="22"/>
      <w:lang w:eastAsia="en-US"/>
    </w:rPr>
  </w:style>
  <w:style w:type="paragraph" w:styleId="FootnoteText">
    <w:name w:val="footnote text"/>
    <w:aliases w:val="Geneva 9,Font: Geneva 9,Boston 10,f,Geneva 9 Char,Font: Geneva 9 Char,Boston 10 Char,f Char Char Char,f Char,Footnote,Footnote Text Char2,Footnote Text Char1 Char1,Footnote Text Char Char Char1,Footnote Text Char1 Char Char,ft,fn,A,ADB"/>
    <w:basedOn w:val="Normal"/>
    <w:link w:val="FootnoteTextChar"/>
    <w:uiPriority w:val="99"/>
    <w:unhideWhenUsed/>
    <w:rsid w:val="003F6C09"/>
    <w:rPr>
      <w:rFonts w:asciiTheme="minorHAnsi" w:eastAsiaTheme="minorHAnsi" w:hAnsiTheme="minorHAnsi" w:cstheme="minorBidi"/>
      <w:sz w:val="20"/>
    </w:rPr>
  </w:style>
  <w:style w:type="character" w:customStyle="1" w:styleId="FootnoteTextChar">
    <w:name w:val="Footnote Text Char"/>
    <w:aliases w:val="Geneva 9 Char1,Font: Geneva 9 Char1,Boston 10 Char1,f Char1,Geneva 9 Char Char,Font: Geneva 9 Char Char,Boston 10 Char Char,f Char Char Char Char,f Char Char,Footnote Char,Footnote Text Char2 Char,Footnote Text Char1 Char1 Char,A Char"/>
    <w:basedOn w:val="DefaultParagraphFont"/>
    <w:link w:val="FootnoteText"/>
    <w:uiPriority w:val="99"/>
    <w:rsid w:val="003F6C09"/>
    <w:rPr>
      <w:rFonts w:asciiTheme="minorHAnsi" w:eastAsiaTheme="minorHAnsi" w:hAnsiTheme="minorHAnsi" w:cstheme="minorBidi"/>
      <w:lang w:eastAsia="en-US"/>
    </w:rPr>
  </w:style>
  <w:style w:type="character" w:styleId="FootnoteReference">
    <w:name w:val="footnote reference"/>
    <w:aliases w:val="16 Point,Superscript 6 Point,ftref,Char Char Char Char Car Char"/>
    <w:basedOn w:val="DefaultParagraphFont"/>
    <w:uiPriority w:val="99"/>
    <w:semiHidden/>
    <w:unhideWhenUsed/>
    <w:rsid w:val="003F6C09"/>
    <w:rPr>
      <w:vertAlign w:val="superscript"/>
    </w:rPr>
  </w:style>
  <w:style w:type="table" w:styleId="TableGrid">
    <w:name w:val="Table Grid"/>
    <w:basedOn w:val="TableNormal"/>
    <w:uiPriority w:val="59"/>
    <w:rsid w:val="003F6C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F6C09"/>
    <w:rPr>
      <w:rFonts w:asciiTheme="minorHAnsi" w:eastAsiaTheme="minorHAnsi" w:hAnsiTheme="minorHAnsi" w:cstheme="minorBidi"/>
      <w:color w:val="31849B" w:themeColor="accent5" w:themeShade="BF"/>
      <w:sz w:val="22"/>
      <w:szCs w:val="22"/>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link w:val="ListParagraphChar"/>
    <w:uiPriority w:val="34"/>
    <w:qFormat/>
    <w:rsid w:val="003F6C09"/>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F6C09"/>
    <w:rPr>
      <w:color w:val="0000FF" w:themeColor="hyperlink"/>
      <w:u w:val="single"/>
    </w:rPr>
  </w:style>
  <w:style w:type="paragraph" w:customStyle="1" w:styleId="Default">
    <w:name w:val="Default"/>
    <w:rsid w:val="003F6C09"/>
    <w:pPr>
      <w:autoSpaceDE w:val="0"/>
      <w:autoSpaceDN w:val="0"/>
      <w:adjustRightInd w:val="0"/>
    </w:pPr>
    <w:rPr>
      <w:rFonts w:eastAsiaTheme="minorHAnsi"/>
      <w:color w:val="000000"/>
      <w:sz w:val="24"/>
      <w:szCs w:val="24"/>
      <w:lang w:eastAsia="en-US"/>
    </w:rPr>
  </w:style>
  <w:style w:type="paragraph" w:styleId="BalloonText">
    <w:name w:val="Balloon Text"/>
    <w:basedOn w:val="Normal"/>
    <w:link w:val="BalloonTextChar"/>
    <w:uiPriority w:val="99"/>
    <w:semiHidden/>
    <w:unhideWhenUsed/>
    <w:rsid w:val="003F6C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6C09"/>
    <w:rPr>
      <w:rFonts w:ascii="Tahoma" w:eastAsiaTheme="minorHAnsi" w:hAnsi="Tahoma" w:cs="Tahoma"/>
      <w:sz w:val="16"/>
      <w:szCs w:val="16"/>
      <w:lang w:eastAsia="en-US"/>
    </w:rPr>
  </w:style>
  <w:style w:type="paragraph" w:customStyle="1" w:styleId="rtejustify">
    <w:name w:val="rtejustify"/>
    <w:basedOn w:val="Normal"/>
    <w:rsid w:val="003F6C09"/>
    <w:pPr>
      <w:spacing w:before="100" w:beforeAutospacing="1" w:after="100" w:afterAutospacing="1"/>
    </w:pPr>
    <w:rPr>
      <w:szCs w:val="24"/>
      <w:lang w:eastAsia="en-GB"/>
    </w:rPr>
  </w:style>
  <w:style w:type="character" w:customStyle="1" w:styleId="Heading2Char">
    <w:name w:val="Heading 2 Char"/>
    <w:basedOn w:val="DefaultParagraphFont"/>
    <w:link w:val="Heading2"/>
    <w:uiPriority w:val="9"/>
    <w:rsid w:val="003F6C09"/>
    <w:rPr>
      <w:rFonts w:ascii="Helvetica" w:hAnsi="Helvetica"/>
      <w:b/>
      <w:color w:val="091C5A"/>
      <w:sz w:val="22"/>
      <w:lang w:eastAsia="en-US"/>
    </w:rPr>
  </w:style>
  <w:style w:type="character" w:styleId="Strong">
    <w:name w:val="Strong"/>
    <w:basedOn w:val="DefaultParagraphFont"/>
    <w:uiPriority w:val="22"/>
    <w:qFormat/>
    <w:rsid w:val="003F6C09"/>
    <w:rPr>
      <w:b/>
      <w:bCs/>
    </w:rPr>
  </w:style>
  <w:style w:type="paragraph" w:customStyle="1" w:styleId="rtecenter">
    <w:name w:val="rtecenter"/>
    <w:basedOn w:val="Normal"/>
    <w:rsid w:val="003F6C09"/>
    <w:pPr>
      <w:spacing w:before="100" w:beforeAutospacing="1" w:after="100" w:afterAutospacing="1"/>
    </w:pPr>
    <w:rPr>
      <w:szCs w:val="24"/>
      <w:lang w:eastAsia="en-GB"/>
    </w:rPr>
  </w:style>
  <w:style w:type="paragraph" w:styleId="NormalWeb">
    <w:name w:val="Normal (Web)"/>
    <w:basedOn w:val="Normal"/>
    <w:uiPriority w:val="99"/>
    <w:unhideWhenUsed/>
    <w:rsid w:val="003F6C09"/>
    <w:pPr>
      <w:spacing w:before="100" w:beforeAutospacing="1" w:after="100" w:afterAutospacing="1"/>
    </w:pPr>
    <w:rPr>
      <w:szCs w:val="24"/>
      <w:lang w:eastAsia="en-GB"/>
    </w:rPr>
  </w:style>
  <w:style w:type="character" w:customStyle="1" w:styleId="apple-converted-space">
    <w:name w:val="apple-converted-space"/>
    <w:basedOn w:val="DefaultParagraphFont"/>
    <w:rsid w:val="003F6C09"/>
  </w:style>
  <w:style w:type="character" w:styleId="FollowedHyperlink">
    <w:name w:val="FollowedHyperlink"/>
    <w:basedOn w:val="DefaultParagraphFont"/>
    <w:uiPriority w:val="99"/>
    <w:semiHidden/>
    <w:unhideWhenUsed/>
    <w:rsid w:val="003F6C09"/>
    <w:rPr>
      <w:color w:val="800080" w:themeColor="followedHyperlink"/>
      <w:u w:val="single"/>
    </w:rPr>
  </w:style>
  <w:style w:type="character" w:styleId="Emphasis">
    <w:name w:val="Emphasis"/>
    <w:basedOn w:val="DefaultParagraphFont"/>
    <w:uiPriority w:val="20"/>
    <w:qFormat/>
    <w:rsid w:val="003F6C09"/>
    <w:rPr>
      <w:i/>
      <w:iCs/>
    </w:rPr>
  </w:style>
  <w:style w:type="paragraph" w:customStyle="1" w:styleId="FootnoteJS">
    <w:name w:val="Footnote JS"/>
    <w:basedOn w:val="ListParagraph"/>
    <w:link w:val="FootnoteJSChar"/>
    <w:qFormat/>
    <w:rsid w:val="003F6C09"/>
    <w:pPr>
      <w:spacing w:before="60" w:after="60" w:line="240" w:lineRule="auto"/>
      <w:ind w:left="142" w:hanging="142"/>
      <w:contextualSpacing w:val="0"/>
      <w:jc w:val="both"/>
    </w:pPr>
    <w:rPr>
      <w:rFonts w:ascii="Arial Narrow" w:eastAsia="Times New Roman" w:hAnsi="Arial Narrow" w:cs="Times New Roman"/>
      <w:color w:val="008000"/>
      <w:sz w:val="18"/>
      <w:szCs w:val="24"/>
    </w:rPr>
  </w:style>
  <w:style w:type="character" w:customStyle="1" w:styleId="ListParagraphChar">
    <w:name w:val="List Paragraph Char"/>
    <w:link w:val="ListParagraph"/>
    <w:uiPriority w:val="34"/>
    <w:locked/>
    <w:rsid w:val="003F6C09"/>
    <w:rPr>
      <w:rFonts w:asciiTheme="minorHAnsi" w:eastAsiaTheme="minorHAnsi" w:hAnsiTheme="minorHAnsi" w:cstheme="minorBidi"/>
      <w:sz w:val="22"/>
      <w:szCs w:val="22"/>
      <w:lang w:eastAsia="en-US"/>
    </w:rPr>
  </w:style>
  <w:style w:type="character" w:customStyle="1" w:styleId="FootnoteJSChar">
    <w:name w:val="Footnote JS Char"/>
    <w:link w:val="FootnoteJS"/>
    <w:locked/>
    <w:rsid w:val="003F6C09"/>
    <w:rPr>
      <w:rFonts w:ascii="Arial Narrow" w:hAnsi="Arial Narrow"/>
      <w:color w:val="008000"/>
      <w:sz w:val="18"/>
      <w:szCs w:val="24"/>
      <w:lang w:eastAsia="en-US"/>
    </w:rPr>
  </w:style>
  <w:style w:type="character" w:customStyle="1" w:styleId="HeaderChar">
    <w:name w:val="Header Char"/>
    <w:basedOn w:val="DefaultParagraphFont"/>
    <w:link w:val="Header"/>
    <w:uiPriority w:val="99"/>
    <w:rsid w:val="003F6C09"/>
    <w:rPr>
      <w:sz w:val="24"/>
      <w:lang w:eastAsia="en-US"/>
    </w:rPr>
  </w:style>
  <w:style w:type="character" w:customStyle="1" w:styleId="FooterChar">
    <w:name w:val="Footer Char"/>
    <w:basedOn w:val="DefaultParagraphFont"/>
    <w:link w:val="Footer"/>
    <w:uiPriority w:val="99"/>
    <w:rsid w:val="003F6C09"/>
    <w:rPr>
      <w:sz w:val="24"/>
      <w:lang w:eastAsia="en-US"/>
    </w:rPr>
  </w:style>
  <w:style w:type="paragraph" w:customStyle="1" w:styleId="Pa5">
    <w:name w:val="Pa5"/>
    <w:basedOn w:val="Default"/>
    <w:next w:val="Default"/>
    <w:uiPriority w:val="99"/>
    <w:rsid w:val="003F6C09"/>
    <w:pPr>
      <w:spacing w:line="241" w:lineRule="atLeast"/>
    </w:pPr>
    <w:rPr>
      <w:rFonts w:ascii="American Typewriter" w:hAnsi="American Typewriter" w:cstheme="minorBidi"/>
      <w:color w:val="auto"/>
    </w:rPr>
  </w:style>
  <w:style w:type="character" w:customStyle="1" w:styleId="A2">
    <w:name w:val="A2"/>
    <w:uiPriority w:val="99"/>
    <w:rsid w:val="003F6C09"/>
    <w:rPr>
      <w:rFonts w:cs="American Typewriter"/>
      <w:color w:val="000000"/>
      <w:sz w:val="20"/>
      <w:szCs w:val="20"/>
    </w:rPr>
  </w:style>
  <w:style w:type="paragraph" w:customStyle="1" w:styleId="Pa7">
    <w:name w:val="Pa7"/>
    <w:basedOn w:val="Default"/>
    <w:next w:val="Default"/>
    <w:uiPriority w:val="99"/>
    <w:rsid w:val="003F6C09"/>
    <w:pPr>
      <w:spacing w:line="241" w:lineRule="atLeast"/>
    </w:pPr>
    <w:rPr>
      <w:rFonts w:ascii="American Typewriter" w:hAnsi="American Typewriter" w:cstheme="minorBidi"/>
      <w:color w:val="auto"/>
    </w:rPr>
  </w:style>
  <w:style w:type="character" w:customStyle="1" w:styleId="A9">
    <w:name w:val="A9"/>
    <w:uiPriority w:val="99"/>
    <w:rsid w:val="003F6C09"/>
    <w:rPr>
      <w:rFonts w:cs="American Typewriter"/>
      <w:color w:val="000000"/>
      <w:sz w:val="20"/>
      <w:szCs w:val="20"/>
    </w:rPr>
  </w:style>
  <w:style w:type="character" w:customStyle="1" w:styleId="Heading3Char">
    <w:name w:val="Heading 3 Char"/>
    <w:aliases w:val="Shaded section heading Char"/>
    <w:basedOn w:val="DefaultParagraphFont"/>
    <w:link w:val="Heading3"/>
    <w:uiPriority w:val="9"/>
    <w:rsid w:val="003F6C09"/>
    <w:rPr>
      <w:rFonts w:ascii="Arial" w:hAnsi="Arial"/>
      <w:b/>
      <w:color w:val="091C5A"/>
      <w:sz w:val="28"/>
      <w:shd w:val="clear" w:color="auto" w:fill="B3DC1F"/>
      <w:lang w:val="en-US" w:eastAsia="en-US"/>
    </w:rPr>
  </w:style>
  <w:style w:type="character" w:customStyle="1" w:styleId="Heading1Char">
    <w:name w:val="Heading 1 Char"/>
    <w:basedOn w:val="DefaultParagraphFont"/>
    <w:link w:val="Heading1"/>
    <w:uiPriority w:val="9"/>
    <w:rsid w:val="003F6C09"/>
    <w:rPr>
      <w:rFonts w:ascii="Arial" w:hAnsi="Arial"/>
      <w:b/>
      <w:color w:val="091C5A"/>
      <w:kern w:val="32"/>
      <w:sz w:val="28"/>
      <w:lang w:eastAsia="en-US"/>
    </w:rPr>
  </w:style>
  <w:style w:type="character" w:customStyle="1" w:styleId="itxtrst">
    <w:name w:val="itxtrst"/>
    <w:basedOn w:val="DefaultParagraphFont"/>
    <w:rsid w:val="003F6C09"/>
  </w:style>
  <w:style w:type="character" w:customStyle="1" w:styleId="caps">
    <w:name w:val="caps"/>
    <w:basedOn w:val="DefaultParagraphFont"/>
    <w:rsid w:val="003F6C09"/>
  </w:style>
  <w:style w:type="paragraph" w:styleId="PlainText">
    <w:name w:val="Plain Text"/>
    <w:basedOn w:val="Normal"/>
    <w:link w:val="PlainTextChar"/>
    <w:uiPriority w:val="99"/>
    <w:semiHidden/>
    <w:unhideWhenUsed/>
    <w:rsid w:val="003F6C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6C09"/>
    <w:rPr>
      <w:rFonts w:ascii="Calibri" w:eastAsiaTheme="minorHAnsi" w:hAnsi="Calibri" w:cstheme="minorBidi"/>
      <w:sz w:val="22"/>
      <w:szCs w:val="21"/>
      <w:lang w:eastAsia="en-US"/>
    </w:rPr>
  </w:style>
  <w:style w:type="character" w:customStyle="1" w:styleId="personname">
    <w:name w:val="person_name"/>
    <w:basedOn w:val="DefaultParagraphFont"/>
    <w:rsid w:val="003F6C09"/>
  </w:style>
  <w:style w:type="character" w:customStyle="1" w:styleId="Title1">
    <w:name w:val="Title1"/>
    <w:basedOn w:val="DefaultParagraphFont"/>
    <w:rsid w:val="003F6C09"/>
  </w:style>
  <w:style w:type="character" w:customStyle="1" w:styleId="A11">
    <w:name w:val="A11"/>
    <w:uiPriority w:val="99"/>
    <w:rsid w:val="003F6C09"/>
    <w:rPr>
      <w:rFonts w:ascii="Cambria" w:hAnsi="Cambria" w:cs="Cambria"/>
      <w:color w:val="000000"/>
      <w:sz w:val="11"/>
      <w:szCs w:val="11"/>
    </w:rPr>
  </w:style>
  <w:style w:type="character" w:customStyle="1" w:styleId="A7">
    <w:name w:val="A7"/>
    <w:uiPriority w:val="99"/>
    <w:rsid w:val="003F6C09"/>
    <w:rPr>
      <w:rFonts w:cs="Cambria"/>
      <w:color w:val="000000"/>
      <w:sz w:val="22"/>
      <w:szCs w:val="22"/>
    </w:rPr>
  </w:style>
  <w:style w:type="character" w:customStyle="1" w:styleId="A1">
    <w:name w:val="A1"/>
    <w:uiPriority w:val="99"/>
    <w:rsid w:val="003F6C09"/>
    <w:rPr>
      <w:rFonts w:cs="HelveticaNeue Condensed"/>
      <w:color w:val="000000"/>
      <w:sz w:val="36"/>
      <w:szCs w:val="36"/>
    </w:rPr>
  </w:style>
  <w:style w:type="paragraph" w:customStyle="1" w:styleId="Pa0">
    <w:name w:val="Pa0"/>
    <w:basedOn w:val="Default"/>
    <w:next w:val="Default"/>
    <w:uiPriority w:val="99"/>
    <w:rsid w:val="003F6C09"/>
    <w:pPr>
      <w:spacing w:line="241" w:lineRule="atLeast"/>
    </w:pPr>
    <w:rPr>
      <w:rFonts w:ascii="HelveticaNeue Condensed" w:hAnsi="HelveticaNeue Condensed" w:cstheme="minorBidi"/>
      <w:color w:val="auto"/>
    </w:rPr>
  </w:style>
  <w:style w:type="character" w:customStyle="1" w:styleId="A0">
    <w:name w:val="A0"/>
    <w:uiPriority w:val="99"/>
    <w:rsid w:val="003F6C09"/>
    <w:rPr>
      <w:rFonts w:cs="HelveticaNeue Condensed"/>
      <w:color w:val="000000"/>
      <w:sz w:val="20"/>
      <w:szCs w:val="20"/>
    </w:rPr>
  </w:style>
  <w:style w:type="paragraph" w:customStyle="1" w:styleId="spip">
    <w:name w:val="spip"/>
    <w:basedOn w:val="Normal"/>
    <w:rsid w:val="003F6C09"/>
    <w:pPr>
      <w:spacing w:before="100" w:beforeAutospacing="1" w:after="100" w:afterAutospacing="1"/>
    </w:pPr>
    <w:rPr>
      <w:szCs w:val="24"/>
      <w:lang w:eastAsia="en-GB"/>
    </w:rPr>
  </w:style>
  <w:style w:type="character" w:customStyle="1" w:styleId="flagicon">
    <w:name w:val="flagicon"/>
    <w:basedOn w:val="DefaultParagraphFont"/>
    <w:rsid w:val="005F0EA4"/>
  </w:style>
  <w:style w:type="table" w:styleId="LightShading-Accent1">
    <w:name w:val="Light Shading Accent 1"/>
    <w:basedOn w:val="TableNormal"/>
    <w:uiPriority w:val="60"/>
    <w:rsid w:val="008C0D9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6E1A4B"/>
    <w:rPr>
      <w:sz w:val="24"/>
      <w:lang w:eastAsia="en-US"/>
    </w:rPr>
  </w:style>
  <w:style w:type="character" w:styleId="CommentReference">
    <w:name w:val="annotation reference"/>
    <w:basedOn w:val="DefaultParagraphFont"/>
    <w:uiPriority w:val="99"/>
    <w:semiHidden/>
    <w:unhideWhenUsed/>
    <w:rsid w:val="0040431B"/>
    <w:rPr>
      <w:sz w:val="16"/>
      <w:szCs w:val="16"/>
    </w:rPr>
  </w:style>
  <w:style w:type="paragraph" w:styleId="CommentText">
    <w:name w:val="annotation text"/>
    <w:basedOn w:val="Normal"/>
    <w:link w:val="CommentTextChar"/>
    <w:uiPriority w:val="99"/>
    <w:semiHidden/>
    <w:unhideWhenUsed/>
    <w:rsid w:val="0040431B"/>
    <w:rPr>
      <w:sz w:val="20"/>
    </w:rPr>
  </w:style>
  <w:style w:type="character" w:customStyle="1" w:styleId="CommentTextChar">
    <w:name w:val="Comment Text Char"/>
    <w:basedOn w:val="DefaultParagraphFont"/>
    <w:link w:val="CommentText"/>
    <w:uiPriority w:val="99"/>
    <w:semiHidden/>
    <w:rsid w:val="0040431B"/>
    <w:rPr>
      <w:lang w:eastAsia="en-US"/>
    </w:rPr>
  </w:style>
  <w:style w:type="paragraph" w:styleId="CommentSubject">
    <w:name w:val="annotation subject"/>
    <w:basedOn w:val="CommentText"/>
    <w:next w:val="CommentText"/>
    <w:link w:val="CommentSubjectChar"/>
    <w:uiPriority w:val="99"/>
    <w:semiHidden/>
    <w:unhideWhenUsed/>
    <w:rsid w:val="0040431B"/>
    <w:rPr>
      <w:b/>
      <w:bCs/>
    </w:rPr>
  </w:style>
  <w:style w:type="character" w:customStyle="1" w:styleId="CommentSubjectChar">
    <w:name w:val="Comment Subject Char"/>
    <w:basedOn w:val="CommentTextChar"/>
    <w:link w:val="CommentSubject"/>
    <w:uiPriority w:val="99"/>
    <w:semiHidden/>
    <w:rsid w:val="0040431B"/>
    <w:rPr>
      <w:b/>
      <w:bCs/>
      <w:lang w:eastAsia="en-US"/>
    </w:rPr>
  </w:style>
  <w:style w:type="character" w:customStyle="1" w:styleId="FootnoteTextChar1">
    <w:name w:val="Footnote Text Char1"/>
    <w:aliases w:val="Geneva 9 Char2,Font: Geneva 9 Char2,Boston 10 Char2,f Char2,Geneva 9 Char Char1,Font: Geneva 9 Char Char1,Boston 10 Char Char1,f Char Char Char Char1,f Char Char1,Footnote Char1,Footnote Text Char2 Char1,ft Char,fn Char,A Char1"/>
    <w:basedOn w:val="DefaultParagraphFont"/>
    <w:uiPriority w:val="99"/>
    <w:semiHidden/>
    <w:locked/>
    <w:rsid w:val="00FA103D"/>
    <w:rPr>
      <w:rFonts w:ascii="Calibri" w:hAnsi="Calibri"/>
    </w:rPr>
  </w:style>
</w:styles>
</file>

<file path=word/webSettings.xml><?xml version="1.0" encoding="utf-8"?>
<w:webSettings xmlns:r="http://schemas.openxmlformats.org/officeDocument/2006/relationships" xmlns:w="http://schemas.openxmlformats.org/wordprocessingml/2006/main">
  <w:divs>
    <w:div w:id="33238752">
      <w:bodyDiv w:val="1"/>
      <w:marLeft w:val="0"/>
      <w:marRight w:val="0"/>
      <w:marTop w:val="0"/>
      <w:marBottom w:val="0"/>
      <w:divBdr>
        <w:top w:val="none" w:sz="0" w:space="0" w:color="auto"/>
        <w:left w:val="none" w:sz="0" w:space="0" w:color="auto"/>
        <w:bottom w:val="none" w:sz="0" w:space="0" w:color="auto"/>
        <w:right w:val="none" w:sz="0" w:space="0" w:color="auto"/>
      </w:divBdr>
    </w:div>
    <w:div w:id="74013305">
      <w:bodyDiv w:val="1"/>
      <w:marLeft w:val="0"/>
      <w:marRight w:val="0"/>
      <w:marTop w:val="0"/>
      <w:marBottom w:val="0"/>
      <w:divBdr>
        <w:top w:val="none" w:sz="0" w:space="0" w:color="auto"/>
        <w:left w:val="none" w:sz="0" w:space="0" w:color="auto"/>
        <w:bottom w:val="none" w:sz="0" w:space="0" w:color="auto"/>
        <w:right w:val="none" w:sz="0" w:space="0" w:color="auto"/>
      </w:divBdr>
    </w:div>
    <w:div w:id="94912232">
      <w:bodyDiv w:val="1"/>
      <w:marLeft w:val="0"/>
      <w:marRight w:val="0"/>
      <w:marTop w:val="0"/>
      <w:marBottom w:val="0"/>
      <w:divBdr>
        <w:top w:val="none" w:sz="0" w:space="0" w:color="auto"/>
        <w:left w:val="none" w:sz="0" w:space="0" w:color="auto"/>
        <w:bottom w:val="none" w:sz="0" w:space="0" w:color="auto"/>
        <w:right w:val="none" w:sz="0" w:space="0" w:color="auto"/>
      </w:divBdr>
    </w:div>
    <w:div w:id="134572044">
      <w:bodyDiv w:val="1"/>
      <w:marLeft w:val="0"/>
      <w:marRight w:val="0"/>
      <w:marTop w:val="0"/>
      <w:marBottom w:val="0"/>
      <w:divBdr>
        <w:top w:val="none" w:sz="0" w:space="0" w:color="auto"/>
        <w:left w:val="none" w:sz="0" w:space="0" w:color="auto"/>
        <w:bottom w:val="none" w:sz="0" w:space="0" w:color="auto"/>
        <w:right w:val="none" w:sz="0" w:space="0" w:color="auto"/>
      </w:divBdr>
    </w:div>
    <w:div w:id="135223443">
      <w:bodyDiv w:val="1"/>
      <w:marLeft w:val="0"/>
      <w:marRight w:val="0"/>
      <w:marTop w:val="0"/>
      <w:marBottom w:val="0"/>
      <w:divBdr>
        <w:top w:val="none" w:sz="0" w:space="0" w:color="auto"/>
        <w:left w:val="none" w:sz="0" w:space="0" w:color="auto"/>
        <w:bottom w:val="none" w:sz="0" w:space="0" w:color="auto"/>
        <w:right w:val="none" w:sz="0" w:space="0" w:color="auto"/>
      </w:divBdr>
    </w:div>
    <w:div w:id="170609700">
      <w:bodyDiv w:val="1"/>
      <w:marLeft w:val="0"/>
      <w:marRight w:val="0"/>
      <w:marTop w:val="0"/>
      <w:marBottom w:val="0"/>
      <w:divBdr>
        <w:top w:val="none" w:sz="0" w:space="0" w:color="auto"/>
        <w:left w:val="none" w:sz="0" w:space="0" w:color="auto"/>
        <w:bottom w:val="none" w:sz="0" w:space="0" w:color="auto"/>
        <w:right w:val="none" w:sz="0" w:space="0" w:color="auto"/>
      </w:divBdr>
    </w:div>
    <w:div w:id="193277424">
      <w:bodyDiv w:val="1"/>
      <w:marLeft w:val="0"/>
      <w:marRight w:val="0"/>
      <w:marTop w:val="0"/>
      <w:marBottom w:val="0"/>
      <w:divBdr>
        <w:top w:val="none" w:sz="0" w:space="0" w:color="auto"/>
        <w:left w:val="none" w:sz="0" w:space="0" w:color="auto"/>
        <w:bottom w:val="none" w:sz="0" w:space="0" w:color="auto"/>
        <w:right w:val="none" w:sz="0" w:space="0" w:color="auto"/>
      </w:divBdr>
    </w:div>
    <w:div w:id="271740713">
      <w:bodyDiv w:val="1"/>
      <w:marLeft w:val="0"/>
      <w:marRight w:val="0"/>
      <w:marTop w:val="0"/>
      <w:marBottom w:val="0"/>
      <w:divBdr>
        <w:top w:val="none" w:sz="0" w:space="0" w:color="auto"/>
        <w:left w:val="none" w:sz="0" w:space="0" w:color="auto"/>
        <w:bottom w:val="none" w:sz="0" w:space="0" w:color="auto"/>
        <w:right w:val="none" w:sz="0" w:space="0" w:color="auto"/>
      </w:divBdr>
    </w:div>
    <w:div w:id="297301908">
      <w:bodyDiv w:val="1"/>
      <w:marLeft w:val="0"/>
      <w:marRight w:val="0"/>
      <w:marTop w:val="0"/>
      <w:marBottom w:val="0"/>
      <w:divBdr>
        <w:top w:val="none" w:sz="0" w:space="0" w:color="auto"/>
        <w:left w:val="none" w:sz="0" w:space="0" w:color="auto"/>
        <w:bottom w:val="none" w:sz="0" w:space="0" w:color="auto"/>
        <w:right w:val="none" w:sz="0" w:space="0" w:color="auto"/>
      </w:divBdr>
    </w:div>
    <w:div w:id="304745562">
      <w:bodyDiv w:val="1"/>
      <w:marLeft w:val="0"/>
      <w:marRight w:val="0"/>
      <w:marTop w:val="0"/>
      <w:marBottom w:val="0"/>
      <w:divBdr>
        <w:top w:val="none" w:sz="0" w:space="0" w:color="auto"/>
        <w:left w:val="none" w:sz="0" w:space="0" w:color="auto"/>
        <w:bottom w:val="none" w:sz="0" w:space="0" w:color="auto"/>
        <w:right w:val="none" w:sz="0" w:space="0" w:color="auto"/>
      </w:divBdr>
    </w:div>
    <w:div w:id="442191407">
      <w:bodyDiv w:val="1"/>
      <w:marLeft w:val="0"/>
      <w:marRight w:val="0"/>
      <w:marTop w:val="0"/>
      <w:marBottom w:val="0"/>
      <w:divBdr>
        <w:top w:val="none" w:sz="0" w:space="0" w:color="auto"/>
        <w:left w:val="none" w:sz="0" w:space="0" w:color="auto"/>
        <w:bottom w:val="none" w:sz="0" w:space="0" w:color="auto"/>
        <w:right w:val="none" w:sz="0" w:space="0" w:color="auto"/>
      </w:divBdr>
    </w:div>
    <w:div w:id="538594315">
      <w:bodyDiv w:val="1"/>
      <w:marLeft w:val="0"/>
      <w:marRight w:val="0"/>
      <w:marTop w:val="0"/>
      <w:marBottom w:val="0"/>
      <w:divBdr>
        <w:top w:val="none" w:sz="0" w:space="0" w:color="auto"/>
        <w:left w:val="none" w:sz="0" w:space="0" w:color="auto"/>
        <w:bottom w:val="none" w:sz="0" w:space="0" w:color="auto"/>
        <w:right w:val="none" w:sz="0" w:space="0" w:color="auto"/>
      </w:divBdr>
    </w:div>
    <w:div w:id="553856180">
      <w:bodyDiv w:val="1"/>
      <w:marLeft w:val="0"/>
      <w:marRight w:val="0"/>
      <w:marTop w:val="0"/>
      <w:marBottom w:val="0"/>
      <w:divBdr>
        <w:top w:val="none" w:sz="0" w:space="0" w:color="auto"/>
        <w:left w:val="none" w:sz="0" w:space="0" w:color="auto"/>
        <w:bottom w:val="none" w:sz="0" w:space="0" w:color="auto"/>
        <w:right w:val="none" w:sz="0" w:space="0" w:color="auto"/>
      </w:divBdr>
    </w:div>
    <w:div w:id="562176861">
      <w:bodyDiv w:val="1"/>
      <w:marLeft w:val="0"/>
      <w:marRight w:val="0"/>
      <w:marTop w:val="0"/>
      <w:marBottom w:val="0"/>
      <w:divBdr>
        <w:top w:val="none" w:sz="0" w:space="0" w:color="auto"/>
        <w:left w:val="none" w:sz="0" w:space="0" w:color="auto"/>
        <w:bottom w:val="none" w:sz="0" w:space="0" w:color="auto"/>
        <w:right w:val="none" w:sz="0" w:space="0" w:color="auto"/>
      </w:divBdr>
    </w:div>
    <w:div w:id="694385701">
      <w:bodyDiv w:val="1"/>
      <w:marLeft w:val="0"/>
      <w:marRight w:val="0"/>
      <w:marTop w:val="0"/>
      <w:marBottom w:val="0"/>
      <w:divBdr>
        <w:top w:val="none" w:sz="0" w:space="0" w:color="auto"/>
        <w:left w:val="none" w:sz="0" w:space="0" w:color="auto"/>
        <w:bottom w:val="none" w:sz="0" w:space="0" w:color="auto"/>
        <w:right w:val="none" w:sz="0" w:space="0" w:color="auto"/>
      </w:divBdr>
    </w:div>
    <w:div w:id="791021453">
      <w:bodyDiv w:val="1"/>
      <w:marLeft w:val="0"/>
      <w:marRight w:val="0"/>
      <w:marTop w:val="0"/>
      <w:marBottom w:val="0"/>
      <w:divBdr>
        <w:top w:val="none" w:sz="0" w:space="0" w:color="auto"/>
        <w:left w:val="none" w:sz="0" w:space="0" w:color="auto"/>
        <w:bottom w:val="none" w:sz="0" w:space="0" w:color="auto"/>
        <w:right w:val="none" w:sz="0" w:space="0" w:color="auto"/>
      </w:divBdr>
    </w:div>
    <w:div w:id="791248047">
      <w:bodyDiv w:val="1"/>
      <w:marLeft w:val="0"/>
      <w:marRight w:val="0"/>
      <w:marTop w:val="0"/>
      <w:marBottom w:val="0"/>
      <w:divBdr>
        <w:top w:val="none" w:sz="0" w:space="0" w:color="auto"/>
        <w:left w:val="none" w:sz="0" w:space="0" w:color="auto"/>
        <w:bottom w:val="none" w:sz="0" w:space="0" w:color="auto"/>
        <w:right w:val="none" w:sz="0" w:space="0" w:color="auto"/>
      </w:divBdr>
    </w:div>
    <w:div w:id="891841248">
      <w:bodyDiv w:val="1"/>
      <w:marLeft w:val="0"/>
      <w:marRight w:val="0"/>
      <w:marTop w:val="0"/>
      <w:marBottom w:val="0"/>
      <w:divBdr>
        <w:top w:val="none" w:sz="0" w:space="0" w:color="auto"/>
        <w:left w:val="none" w:sz="0" w:space="0" w:color="auto"/>
        <w:bottom w:val="none" w:sz="0" w:space="0" w:color="auto"/>
        <w:right w:val="none" w:sz="0" w:space="0" w:color="auto"/>
      </w:divBdr>
    </w:div>
    <w:div w:id="976835997">
      <w:bodyDiv w:val="1"/>
      <w:marLeft w:val="0"/>
      <w:marRight w:val="0"/>
      <w:marTop w:val="0"/>
      <w:marBottom w:val="0"/>
      <w:divBdr>
        <w:top w:val="none" w:sz="0" w:space="0" w:color="auto"/>
        <w:left w:val="none" w:sz="0" w:space="0" w:color="auto"/>
        <w:bottom w:val="none" w:sz="0" w:space="0" w:color="auto"/>
        <w:right w:val="none" w:sz="0" w:space="0" w:color="auto"/>
      </w:divBdr>
    </w:div>
    <w:div w:id="1031154433">
      <w:bodyDiv w:val="1"/>
      <w:marLeft w:val="0"/>
      <w:marRight w:val="0"/>
      <w:marTop w:val="0"/>
      <w:marBottom w:val="0"/>
      <w:divBdr>
        <w:top w:val="none" w:sz="0" w:space="0" w:color="auto"/>
        <w:left w:val="none" w:sz="0" w:space="0" w:color="auto"/>
        <w:bottom w:val="none" w:sz="0" w:space="0" w:color="auto"/>
        <w:right w:val="none" w:sz="0" w:space="0" w:color="auto"/>
      </w:divBdr>
    </w:div>
    <w:div w:id="1050155217">
      <w:bodyDiv w:val="1"/>
      <w:marLeft w:val="0"/>
      <w:marRight w:val="0"/>
      <w:marTop w:val="0"/>
      <w:marBottom w:val="0"/>
      <w:divBdr>
        <w:top w:val="none" w:sz="0" w:space="0" w:color="auto"/>
        <w:left w:val="none" w:sz="0" w:space="0" w:color="auto"/>
        <w:bottom w:val="none" w:sz="0" w:space="0" w:color="auto"/>
        <w:right w:val="none" w:sz="0" w:space="0" w:color="auto"/>
      </w:divBdr>
    </w:div>
    <w:div w:id="1152674815">
      <w:bodyDiv w:val="1"/>
      <w:marLeft w:val="0"/>
      <w:marRight w:val="0"/>
      <w:marTop w:val="0"/>
      <w:marBottom w:val="0"/>
      <w:divBdr>
        <w:top w:val="none" w:sz="0" w:space="0" w:color="auto"/>
        <w:left w:val="none" w:sz="0" w:space="0" w:color="auto"/>
        <w:bottom w:val="none" w:sz="0" w:space="0" w:color="auto"/>
        <w:right w:val="none" w:sz="0" w:space="0" w:color="auto"/>
      </w:divBdr>
    </w:div>
    <w:div w:id="1222867935">
      <w:bodyDiv w:val="1"/>
      <w:marLeft w:val="0"/>
      <w:marRight w:val="0"/>
      <w:marTop w:val="0"/>
      <w:marBottom w:val="0"/>
      <w:divBdr>
        <w:top w:val="none" w:sz="0" w:space="0" w:color="auto"/>
        <w:left w:val="none" w:sz="0" w:space="0" w:color="auto"/>
        <w:bottom w:val="none" w:sz="0" w:space="0" w:color="auto"/>
        <w:right w:val="none" w:sz="0" w:space="0" w:color="auto"/>
      </w:divBdr>
    </w:div>
    <w:div w:id="1341080859">
      <w:bodyDiv w:val="1"/>
      <w:marLeft w:val="0"/>
      <w:marRight w:val="0"/>
      <w:marTop w:val="0"/>
      <w:marBottom w:val="0"/>
      <w:divBdr>
        <w:top w:val="none" w:sz="0" w:space="0" w:color="auto"/>
        <w:left w:val="none" w:sz="0" w:space="0" w:color="auto"/>
        <w:bottom w:val="none" w:sz="0" w:space="0" w:color="auto"/>
        <w:right w:val="none" w:sz="0" w:space="0" w:color="auto"/>
      </w:divBdr>
    </w:div>
    <w:div w:id="1358192788">
      <w:bodyDiv w:val="1"/>
      <w:marLeft w:val="0"/>
      <w:marRight w:val="0"/>
      <w:marTop w:val="0"/>
      <w:marBottom w:val="0"/>
      <w:divBdr>
        <w:top w:val="none" w:sz="0" w:space="0" w:color="auto"/>
        <w:left w:val="none" w:sz="0" w:space="0" w:color="auto"/>
        <w:bottom w:val="none" w:sz="0" w:space="0" w:color="auto"/>
        <w:right w:val="none" w:sz="0" w:space="0" w:color="auto"/>
      </w:divBdr>
    </w:div>
    <w:div w:id="1366709180">
      <w:bodyDiv w:val="1"/>
      <w:marLeft w:val="0"/>
      <w:marRight w:val="0"/>
      <w:marTop w:val="0"/>
      <w:marBottom w:val="0"/>
      <w:divBdr>
        <w:top w:val="none" w:sz="0" w:space="0" w:color="auto"/>
        <w:left w:val="none" w:sz="0" w:space="0" w:color="auto"/>
        <w:bottom w:val="none" w:sz="0" w:space="0" w:color="auto"/>
        <w:right w:val="none" w:sz="0" w:space="0" w:color="auto"/>
      </w:divBdr>
    </w:div>
    <w:div w:id="1443652058">
      <w:bodyDiv w:val="1"/>
      <w:marLeft w:val="0"/>
      <w:marRight w:val="0"/>
      <w:marTop w:val="0"/>
      <w:marBottom w:val="0"/>
      <w:divBdr>
        <w:top w:val="none" w:sz="0" w:space="0" w:color="auto"/>
        <w:left w:val="none" w:sz="0" w:space="0" w:color="auto"/>
        <w:bottom w:val="none" w:sz="0" w:space="0" w:color="auto"/>
        <w:right w:val="none" w:sz="0" w:space="0" w:color="auto"/>
      </w:divBdr>
    </w:div>
    <w:div w:id="1619333298">
      <w:bodyDiv w:val="1"/>
      <w:marLeft w:val="0"/>
      <w:marRight w:val="0"/>
      <w:marTop w:val="0"/>
      <w:marBottom w:val="0"/>
      <w:divBdr>
        <w:top w:val="none" w:sz="0" w:space="0" w:color="auto"/>
        <w:left w:val="none" w:sz="0" w:space="0" w:color="auto"/>
        <w:bottom w:val="none" w:sz="0" w:space="0" w:color="auto"/>
        <w:right w:val="none" w:sz="0" w:space="0" w:color="auto"/>
      </w:divBdr>
    </w:div>
    <w:div w:id="1695184929">
      <w:bodyDiv w:val="1"/>
      <w:marLeft w:val="0"/>
      <w:marRight w:val="0"/>
      <w:marTop w:val="0"/>
      <w:marBottom w:val="0"/>
      <w:divBdr>
        <w:top w:val="none" w:sz="0" w:space="0" w:color="auto"/>
        <w:left w:val="none" w:sz="0" w:space="0" w:color="auto"/>
        <w:bottom w:val="none" w:sz="0" w:space="0" w:color="auto"/>
        <w:right w:val="none" w:sz="0" w:space="0" w:color="auto"/>
      </w:divBdr>
    </w:div>
    <w:div w:id="1708144933">
      <w:bodyDiv w:val="1"/>
      <w:marLeft w:val="0"/>
      <w:marRight w:val="0"/>
      <w:marTop w:val="0"/>
      <w:marBottom w:val="0"/>
      <w:divBdr>
        <w:top w:val="none" w:sz="0" w:space="0" w:color="auto"/>
        <w:left w:val="none" w:sz="0" w:space="0" w:color="auto"/>
        <w:bottom w:val="none" w:sz="0" w:space="0" w:color="auto"/>
        <w:right w:val="none" w:sz="0" w:space="0" w:color="auto"/>
      </w:divBdr>
    </w:div>
    <w:div w:id="1712683042">
      <w:bodyDiv w:val="1"/>
      <w:marLeft w:val="0"/>
      <w:marRight w:val="0"/>
      <w:marTop w:val="0"/>
      <w:marBottom w:val="0"/>
      <w:divBdr>
        <w:top w:val="none" w:sz="0" w:space="0" w:color="auto"/>
        <w:left w:val="none" w:sz="0" w:space="0" w:color="auto"/>
        <w:bottom w:val="none" w:sz="0" w:space="0" w:color="auto"/>
        <w:right w:val="none" w:sz="0" w:space="0" w:color="auto"/>
      </w:divBdr>
    </w:div>
    <w:div w:id="1739668254">
      <w:bodyDiv w:val="1"/>
      <w:marLeft w:val="0"/>
      <w:marRight w:val="0"/>
      <w:marTop w:val="0"/>
      <w:marBottom w:val="0"/>
      <w:divBdr>
        <w:top w:val="none" w:sz="0" w:space="0" w:color="auto"/>
        <w:left w:val="none" w:sz="0" w:space="0" w:color="auto"/>
        <w:bottom w:val="none" w:sz="0" w:space="0" w:color="auto"/>
        <w:right w:val="none" w:sz="0" w:space="0" w:color="auto"/>
      </w:divBdr>
    </w:div>
    <w:div w:id="1766152640">
      <w:bodyDiv w:val="1"/>
      <w:marLeft w:val="0"/>
      <w:marRight w:val="0"/>
      <w:marTop w:val="0"/>
      <w:marBottom w:val="0"/>
      <w:divBdr>
        <w:top w:val="none" w:sz="0" w:space="0" w:color="auto"/>
        <w:left w:val="none" w:sz="0" w:space="0" w:color="auto"/>
        <w:bottom w:val="none" w:sz="0" w:space="0" w:color="auto"/>
        <w:right w:val="none" w:sz="0" w:space="0" w:color="auto"/>
      </w:divBdr>
    </w:div>
    <w:div w:id="1781297140">
      <w:bodyDiv w:val="1"/>
      <w:marLeft w:val="0"/>
      <w:marRight w:val="0"/>
      <w:marTop w:val="0"/>
      <w:marBottom w:val="0"/>
      <w:divBdr>
        <w:top w:val="none" w:sz="0" w:space="0" w:color="auto"/>
        <w:left w:val="none" w:sz="0" w:space="0" w:color="auto"/>
        <w:bottom w:val="none" w:sz="0" w:space="0" w:color="auto"/>
        <w:right w:val="none" w:sz="0" w:space="0" w:color="auto"/>
      </w:divBdr>
    </w:div>
    <w:div w:id="1813906587">
      <w:bodyDiv w:val="1"/>
      <w:marLeft w:val="0"/>
      <w:marRight w:val="0"/>
      <w:marTop w:val="0"/>
      <w:marBottom w:val="0"/>
      <w:divBdr>
        <w:top w:val="none" w:sz="0" w:space="0" w:color="auto"/>
        <w:left w:val="none" w:sz="0" w:space="0" w:color="auto"/>
        <w:bottom w:val="none" w:sz="0" w:space="0" w:color="auto"/>
        <w:right w:val="none" w:sz="0" w:space="0" w:color="auto"/>
      </w:divBdr>
    </w:div>
    <w:div w:id="1983072663">
      <w:bodyDiv w:val="1"/>
      <w:marLeft w:val="0"/>
      <w:marRight w:val="0"/>
      <w:marTop w:val="0"/>
      <w:marBottom w:val="0"/>
      <w:divBdr>
        <w:top w:val="none" w:sz="0" w:space="0" w:color="auto"/>
        <w:left w:val="none" w:sz="0" w:space="0" w:color="auto"/>
        <w:bottom w:val="none" w:sz="0" w:space="0" w:color="auto"/>
        <w:right w:val="none" w:sz="0" w:space="0" w:color="auto"/>
      </w:divBdr>
    </w:div>
    <w:div w:id="2019235119">
      <w:bodyDiv w:val="1"/>
      <w:marLeft w:val="0"/>
      <w:marRight w:val="0"/>
      <w:marTop w:val="0"/>
      <w:marBottom w:val="0"/>
      <w:divBdr>
        <w:top w:val="none" w:sz="0" w:space="0" w:color="auto"/>
        <w:left w:val="none" w:sz="0" w:space="0" w:color="auto"/>
        <w:bottom w:val="none" w:sz="0" w:space="0" w:color="auto"/>
        <w:right w:val="none" w:sz="0" w:space="0" w:color="auto"/>
      </w:divBdr>
    </w:div>
    <w:div w:id="21420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4.png"/><Relationship Id="rId26" Type="http://schemas.openxmlformats.org/officeDocument/2006/relationships/chart" Target="charts/chart12.xml"/><Relationship Id="rId39" Type="http://schemas.openxmlformats.org/officeDocument/2006/relationships/hyperlink" Target="http://www.oxfam.org/sites/www.oxfam.org/files/rr-aid-coordination-alignment-ecowas-090911-en.pdf" TargetMode="External"/><Relationship Id="rId21" Type="http://schemas.openxmlformats.org/officeDocument/2006/relationships/hyperlink" Target="http://www.nepad-caadp.net" TargetMode="External"/><Relationship Id="rId34" Type="http://schemas.openxmlformats.org/officeDocument/2006/relationships/hyperlink" Target="http://www.fao.org/docrep/012/al144e/al144e.pdf" TargetMode="External"/><Relationship Id="rId42" Type="http://schemas.openxmlformats.org/officeDocument/2006/relationships/hyperlink" Target="http://www.un.org/africa/osaa/2010_un_system/FAO2010.pdf" TargetMode="External"/><Relationship Id="rId47" Type="http://schemas.openxmlformats.org/officeDocument/2006/relationships/hyperlink" Target="http://www.resakss.org/" TargetMode="External"/><Relationship Id="rId50" Type="http://schemas.openxmlformats.org/officeDocument/2006/relationships/hyperlink" Target="http://www.un.org/africa/osaa/2010_un_system/IFAD2010.pdf" TargetMode="External"/><Relationship Id="rId55" Type="http://schemas.openxmlformats.org/officeDocument/2006/relationships/hyperlink" Target="http://www.africaindia.org/index.php?option=com_content&amp;view=category&amp;layout=blog&amp;id=34&amp;Itemid" TargetMode="External"/><Relationship Id="rId63" Type="http://schemas.openxmlformats.org/officeDocument/2006/relationships/hyperlink" Target="http://www.sadc.int/fanr/docs/rap/Combined%20Summary%20Country%20Reports%20-%2025%20July%202012.pdf" TargetMode="External"/><Relationship Id="rId68" Type="http://schemas.openxmlformats.org/officeDocument/2006/relationships/hyperlink" Target="http://www.guardian.co.uk/global-development/2012/may/10/chinese-food-security-investments-africa" TargetMode="External"/><Relationship Id="rId76" Type="http://schemas.openxmlformats.org/officeDocument/2006/relationships/footer" Target="footer3.xml"/><Relationship Id="rId84"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www.ecdpm.org/dp128c" TargetMode="Externa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hyperlink" Target="https://research.standardchartered.com/researchdocuments/Pages/ResearchArticle.aspx?&amp;R=93266" TargetMode="External"/><Relationship Id="rId37" Type="http://schemas.openxmlformats.org/officeDocument/2006/relationships/hyperlink" Target="http://www.odi.org.uk/sites/odi.org.uk/files/odi-assets/publications-opinion-files/7588.pdf" TargetMode="External"/><Relationship Id="rId40" Type="http://schemas.openxmlformats.org/officeDocument/2006/relationships/hyperlink" Target="http://www.ipc-undp.org/pub/IPCPovertyInFocus24.pdf" TargetMode="External"/><Relationship Id="rId45" Type="http://schemas.openxmlformats.org/officeDocument/2006/relationships/hyperlink" Target="http://reliefweb.int/sites/reliefweb.int/files/resources/190626.pdf" TargetMode="External"/><Relationship Id="rId53" Type="http://schemas.openxmlformats.org/officeDocument/2006/relationships/hyperlink" Target="http://www.ifpri.org/sites/default/files/publications/ifpridp01006.pdf" TargetMode="External"/><Relationship Id="rId58" Type="http://schemas.openxmlformats.org/officeDocument/2006/relationships/hyperlink" Target="http://www.nepad.org/system/files/CAADP%20MDTF%20Status%20Report%20Main%20Text%20FINAL.pdf" TargetMode="External"/><Relationship Id="rId66" Type="http://schemas.openxmlformats.org/officeDocument/2006/relationships/hyperlink" Target="http://www.ukzn.ac.za/publications/dbapril2011.pdf" TargetMode="External"/><Relationship Id="rId74" Type="http://schemas.openxmlformats.org/officeDocument/2006/relationships/header" Target="header2.xml"/><Relationship Id="rId79" Type="http://schemas.openxmlformats.org/officeDocument/2006/relationships/header" Target="header4.xml"/><Relationship Id="rId87"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asti.cgiar.org/pdf/conference/Theme4/Roseboom.pdf" TargetMode="External"/><Relationship Id="rId82" Type="http://schemas.openxmlformats.org/officeDocument/2006/relationships/footer" Target="footer6.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yperlink" Target="http://www.africafocus.org/docs11/aid1106.php" TargetMode="External"/><Relationship Id="rId35" Type="http://schemas.openxmlformats.org/officeDocument/2006/relationships/hyperlink" Target="http://www.caadp.net/pdf/CAADP%20Review%20-%20March%2020101.pdf" TargetMode="External"/><Relationship Id="rId43" Type="http://schemas.openxmlformats.org/officeDocument/2006/relationships/hyperlink" Target="http://www.international.gc.ca/ssa-ass/aap-paa/canada.aspx?lang=eng&amp;view=d" TargetMode="External"/><Relationship Id="rId48" Type="http://schemas.openxmlformats.org/officeDocument/2006/relationships/hyperlink" Target="https://docs.google.com/file/d/0B4fn1Fz6J8K9bW1pYXFMYWF3ZVk/edit?pli=1" TargetMode="External"/><Relationship Id="rId56" Type="http://schemas.openxmlformats.org/officeDocument/2006/relationships/hyperlink" Target="http://www.saiia.org.za/images/stories/pubs/occasional_papers_above_100/saia_sop_102_lei_sun_20111129.pdf" TargetMode="External"/><Relationship Id="rId64" Type="http://schemas.openxmlformats.org/officeDocument/2006/relationships/hyperlink" Target="http://www.chathamhouse.org/sites/default/files/public/Research/Africa/1112bp_brazilafrica.pdf" TargetMode="External"/><Relationship Id="rId69" Type="http://schemas.openxmlformats.org/officeDocument/2006/relationships/hyperlink" Target="http://www.jica.go.jp/uk/english/office/others/pdf/odi_201110.pdf"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eiard.org/media/uploads/File/documents/thematic_studies/EIARD%201.4%20Donor%20Support%20to%20CAADP%20Pillar%204%20-%20Phase%201%20report.pdf" TargetMode="External"/><Relationship Id="rId72" Type="http://schemas.openxmlformats.org/officeDocument/2006/relationships/hyperlink" Target="http://www.resakss.org" TargetMode="External"/><Relationship Id="rId80" Type="http://schemas.openxmlformats.org/officeDocument/2006/relationships/header" Target="header5.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1.xml"/><Relationship Id="rId33" Type="http://schemas.openxmlformats.org/officeDocument/2006/relationships/hyperlink" Target="http://www.gatesfoundation.org/agriculturaldevelopment/Documents/agricultural-development-strategy-overview.pdf" TargetMode="External"/><Relationship Id="rId38" Type="http://schemas.openxmlformats.org/officeDocument/2006/relationships/hyperlink" Target="http://library.cgiar.org/bitstream/handle/10947/2707/2011_CGIAR_Financial_Report.pdf?sequence=1" TargetMode="External"/><Relationship Id="rId46" Type="http://schemas.openxmlformats.org/officeDocument/2006/relationships/hyperlink" Target="http://www.nepad.org/system/files/2%20Ghana%20v2.0%20web.pdf" TargetMode="External"/><Relationship Id="rId59" Type="http://schemas.openxmlformats.org/officeDocument/2006/relationships/hyperlink" Target="http://www.ecdpm.org/dp128b" TargetMode="External"/><Relationship Id="rId67" Type="http://schemas.openxmlformats.org/officeDocument/2006/relationships/hyperlink" Target="http://reliefweb.int/sites/reliefweb.int/files/resources/ftf_progress_report_2012.pdf" TargetMode="External"/><Relationship Id="rId20" Type="http://schemas.openxmlformats.org/officeDocument/2006/relationships/image" Target="media/image5.png"/><Relationship Id="rId41" Type="http://schemas.openxmlformats.org/officeDocument/2006/relationships/hyperlink" Target="http://www.diplomatie.gouv.fr/fr/IMG/pdf/02_Progress-v_ang.pdf" TargetMode="External"/><Relationship Id="rId54" Type="http://schemas.openxmlformats.org/officeDocument/2006/relationships/hyperlink" Target="http://www.nepad.org/system/files/Final%20Independent%20Review%20Kingsmill%20et%20%20al%20%202011.pdf" TargetMode="External"/><Relationship Id="rId62" Type="http://schemas.openxmlformats.org/officeDocument/2006/relationships/hyperlink" Target="http://www.state.gov/documents/organization/189889.pdf" TargetMode="External"/><Relationship Id="rId70" Type="http://schemas.openxmlformats.org/officeDocument/2006/relationships/hyperlink" Target="http://www.weforum.org/reports/putting-new-vision-agriculture-action-transformation-happening" TargetMode="External"/><Relationship Id="rId75" Type="http://schemas.openxmlformats.org/officeDocument/2006/relationships/footer" Target="footer2.xm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hyperlink" Target="http://new.uneca.org/Portals/rcm/2012/Documents/RCM13_AFRD_Cluster-Annual-Progress-Report.pdf" TargetMode="External"/><Relationship Id="rId36" Type="http://schemas.openxmlformats.org/officeDocument/2006/relationships/hyperlink" Target="http://www.nepad-caadp.net/pdf/CAADP%20Pillar%20II%20FIMA%20Full%20Document.pdf" TargetMode="External"/><Relationship Id="rId49" Type="http://schemas.openxmlformats.org/officeDocument/2006/relationships/hyperlink" Target="https://workspace.imperial.ac.uk/africanagriculturaldevelopment/Public/Preliminary%20Analysis%20of%20European%20Assistance%20to%20Agriculture%20in%20SSA%20FINAL.pdf" TargetMode="External"/><Relationship Id="rId57" Type="http://schemas.openxmlformats.org/officeDocument/2006/relationships/hyperlink" Target="http://www.nepad.org/system/files/Highlighting%20the%20successes%20280611%20v3%200%20web.pdf" TargetMode="External"/><Relationship Id="rId10" Type="http://schemas.openxmlformats.org/officeDocument/2006/relationships/image" Target="media/image3.png"/><Relationship Id="rId31" Type="http://schemas.openxmlformats.org/officeDocument/2006/relationships/hyperlink" Target="http://www.brookings.edu/~/media/research/files/papers/2008/5/brazil%20agriculture%20barros/05_brazil_agriculture_barros.pdf" TargetMode="External"/><Relationship Id="rId44" Type="http://schemas.openxmlformats.org/officeDocument/2006/relationships/hyperlink" Target="http://www.gatewayhouse.in/publication/gateway-house/features/india-africa-project-partnership-creating-possibilities-delivering-values" TargetMode="External"/><Relationship Id="rId52" Type="http://schemas.openxmlformats.org/officeDocument/2006/relationships/hyperlink" Target="http://siteresources.worldbank.org/AFRICAEXT/Resources/258643-1271798012256/Burkina-cotton.pdf" TargetMode="External"/><Relationship Id="rId60" Type="http://schemas.openxmlformats.org/officeDocument/2006/relationships/hyperlink" Target="http://americasquarterly.org/brazil-and-the-african-union" TargetMode="External"/><Relationship Id="rId65" Type="http://schemas.openxmlformats.org/officeDocument/2006/relationships/hyperlink" Target="http://www.actionaid.org/sites/files/actionaid/caadp_toolkit_to_print.pdf" TargetMode="External"/><Relationship Id="rId73" Type="http://schemas.openxmlformats.org/officeDocument/2006/relationships/header" Target="header1.xml"/><Relationship Id="rId78" Type="http://schemas.openxmlformats.org/officeDocument/2006/relationships/footer" Target="footer4.xml"/><Relationship Id="rId81" Type="http://schemas.openxmlformats.org/officeDocument/2006/relationships/footer" Target="footer5.xml"/><Relationship Id="rId86"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www.mktplace.org/site/index.php/project-stats" TargetMode="External"/><Relationship Id="rId13" Type="http://schemas.openxmlformats.org/officeDocument/2006/relationships/hyperlink" Target="http://transition.usaid.gov/press/factsheets/2012/fs120518_1.html" TargetMode="External"/><Relationship Id="rId18" Type="http://schemas.openxmlformats.org/officeDocument/2006/relationships/hyperlink" Target="http://www.g20.utoronto.ca/2010/to-communique.html" TargetMode="External"/><Relationship Id="rId26" Type="http://schemas.openxmlformats.org/officeDocument/2006/relationships/hyperlink" Target="http://www.nepad-caadp.net/pdf/CAADP%20Agriculture%20Unit%20Organogram.pdf" TargetMode="External"/><Relationship Id="rId39" Type="http://schemas.openxmlformats.org/officeDocument/2006/relationships/hyperlink" Target="http://www.resakss.org/" TargetMode="External"/><Relationship Id="rId3" Type="http://schemas.openxmlformats.org/officeDocument/2006/relationships/hyperlink" Target="http://www.giz.de/themen/en/24805.htm" TargetMode="External"/><Relationship Id="rId21" Type="http://schemas.openxmlformats.org/officeDocument/2006/relationships/hyperlink" Target="https://www.donorplatform.org/caadp/work-stream.html?Itemid=380" TargetMode="External"/><Relationship Id="rId34" Type="http://schemas.openxmlformats.org/officeDocument/2006/relationships/hyperlink" Target="http://www.worldbank.org/projects/P112688/east-africa-agricultural-productivity-program?lang=en" TargetMode="External"/><Relationship Id="rId42" Type="http://schemas.openxmlformats.org/officeDocument/2006/relationships/hyperlink" Target="http://blogs.reuters.com/africanews/2010/08/24/african-agricultural-finance-under-the-spotlight/" TargetMode="External"/><Relationship Id="rId7" Type="http://schemas.openxmlformats.org/officeDocument/2006/relationships/hyperlink" Target="http://www.aiddata.org/content/Project?id=40827616" TargetMode="External"/><Relationship Id="rId12" Type="http://schemas.openxmlformats.org/officeDocument/2006/relationships/hyperlink" Target="http://www.gafspfund.org/gafsp/content/recipient-countries" TargetMode="External"/><Relationship Id="rId17" Type="http://schemas.openxmlformats.org/officeDocument/2006/relationships/hyperlink" Target="http://www.agra-alliance.org/who-we-are/about-the-alliance/" TargetMode="External"/><Relationship Id="rId25" Type="http://schemas.openxmlformats.org/officeDocument/2006/relationships/hyperlink" Target="http://www.nepad.org/system/files/Component%20Intro.pdf" TargetMode="External"/><Relationship Id="rId33" Type="http://schemas.openxmlformats.org/officeDocument/2006/relationships/hyperlink" Target="http://www.worldbank.org/projects/P112684/forum-agricultural-research-africa-fara-trust-fund?lang=en" TargetMode="External"/><Relationship Id="rId38" Type="http://schemas.openxmlformats.org/officeDocument/2006/relationships/hyperlink" Target="http://www.cia.gov/library/publications/the-world-factbook" TargetMode="External"/><Relationship Id="rId2" Type="http://schemas.openxmlformats.org/officeDocument/2006/relationships/hyperlink" Target="http://www.aiddata.org" TargetMode="External"/><Relationship Id="rId16" Type="http://schemas.openxmlformats.org/officeDocument/2006/relationships/hyperlink" Target="http://www.weforum.org/issues/agriculture-and-food-security" TargetMode="External"/><Relationship Id="rId20" Type="http://schemas.openxmlformats.org/officeDocument/2006/relationships/hyperlink" Target="http://www.nepad-caadp.net/text-version/library-meeting-documents.php" TargetMode="External"/><Relationship Id="rId29" Type="http://schemas.openxmlformats.org/officeDocument/2006/relationships/hyperlink" Target="http://www.nepad.org/foodsecurity/partnerships" TargetMode="External"/><Relationship Id="rId41" Type="http://schemas.openxmlformats.org/officeDocument/2006/relationships/hyperlink" Target="http://www.gafspfund.org/gafsp/content/recipient-countries" TargetMode="External"/><Relationship Id="rId1" Type="http://schemas.openxmlformats.org/officeDocument/2006/relationships/hyperlink" Target="http://stats.oecd.org/" TargetMode="External"/><Relationship Id="rId6" Type="http://schemas.openxmlformats.org/officeDocument/2006/relationships/hyperlink" Target="http://www.africa-eu-partnership.org/successstories/boosting-agriculture-eliminating-hunger" TargetMode="External"/><Relationship Id="rId11" Type="http://schemas.openxmlformats.org/officeDocument/2006/relationships/hyperlink" Target="http://www.un.org/africa/osaa/2010_un_system/FAO2010.pdf" TargetMode="External"/><Relationship Id="rId24" Type="http://schemas.openxmlformats.org/officeDocument/2006/relationships/hyperlink" Target="http://www.nepad-caadp.net/implementing-caadp-agenda.php" TargetMode="External"/><Relationship Id="rId32" Type="http://schemas.openxmlformats.org/officeDocument/2006/relationships/hyperlink" Target="http://www.cilss.bf/spip.php?rubrique41" TargetMode="External"/><Relationship Id="rId37" Type="http://schemas.openxmlformats.org/officeDocument/2006/relationships/hyperlink" Target="http://www.donorplatform.org/caadp/interviews/671-martin-bwalya-on-caadp-progress.html" TargetMode="External"/><Relationship Id="rId40" Type="http://schemas.openxmlformats.org/officeDocument/2006/relationships/hyperlink" Target="http://www.resakss.org" TargetMode="External"/><Relationship Id="rId5" Type="http://schemas.openxmlformats.org/officeDocument/2006/relationships/hyperlink" Target="http://aciar.gov.au/news/2012-12-03" TargetMode="External"/><Relationship Id="rId15" Type="http://schemas.openxmlformats.org/officeDocument/2006/relationships/hyperlink" Target="http://blog.resakss.org/2012/05/25/new-alliance-for-food-security-and-nutrition/" TargetMode="External"/><Relationship Id="rId23" Type="http://schemas.openxmlformats.org/officeDocument/2006/relationships/hyperlink" Target="http://www.nepad.org/system/files/CAADP%20MDTF%20Status%20Report%20Main%20Text%20FINAL.pdf" TargetMode="External"/><Relationship Id="rId28" Type="http://schemas.openxmlformats.org/officeDocument/2006/relationships/hyperlink" Target="http://www.nepad.org/crosscuttingissues/news/2751/rural-women-west-africa-get-boost-nepad-ecowas-spanish-fund" TargetMode="External"/><Relationship Id="rId36" Type="http://schemas.openxmlformats.org/officeDocument/2006/relationships/hyperlink" Target="http://blog.resakss.org/2012/05/29/in-support-of-caadp-five-african-countries-awarded-160-5-million-grants-to-reduce-hunger-and-poverty/" TargetMode="External"/><Relationship Id="rId10" Type="http://schemas.openxmlformats.org/officeDocument/2006/relationships/hyperlink" Target="http://www.state.gov/documents/organization/189889.pdf" TargetMode="External"/><Relationship Id="rId19" Type="http://schemas.openxmlformats.org/officeDocument/2006/relationships/hyperlink" Target="http://blogs.reuters.com/africanews/2010/08/24/african-agricultural-finance-under-the-spotlight/" TargetMode="External"/><Relationship Id="rId31" Type="http://schemas.openxmlformats.org/officeDocument/2006/relationships/hyperlink" Target="http://programmes.comesa.int/index.php?option=com_content&amp;view=article&amp;id=94&amp;Itemid=111" TargetMode="External"/><Relationship Id="rId44" Type="http://schemas.openxmlformats.org/officeDocument/2006/relationships/hyperlink" Target="https://www.cia.gov/library/publications/the-world-factbook/fields/2048.html" TargetMode="External"/><Relationship Id="rId4" Type="http://schemas.openxmlformats.org/officeDocument/2006/relationships/hyperlink" Target="http://www.addis-abeba.diplo.de/contentblob/3379150/Daten/1835328/download_AU3Webseitenerffnung.pdf" TargetMode="External"/><Relationship Id="rId9" Type="http://schemas.openxmlformats.org/officeDocument/2006/relationships/hyperlink" Target="http://www.indianembassy.org/prdetail2087/u.s.-india-africa-triangular-partnership-to-improve-agricultural-productivity-and-innovation-in-african-countries" TargetMode="External"/><Relationship Id="rId14" Type="http://schemas.openxmlformats.org/officeDocument/2006/relationships/hyperlink" Target="http://www.state.gov/documents/organization/190494.pdf" TargetMode="External"/><Relationship Id="rId22" Type="http://schemas.openxmlformats.org/officeDocument/2006/relationships/hyperlink" Target="http://www.donorplatform.org/caadp/work-stream.html?Itemid=380" TargetMode="External"/><Relationship Id="rId27" Type="http://schemas.openxmlformats.org/officeDocument/2006/relationships/hyperlink" Target="http://www.nepad.org/crosscuttingissues/gender" TargetMode="External"/><Relationship Id="rId30" Type="http://schemas.openxmlformats.org/officeDocument/2006/relationships/hyperlink" Target="http://programmes.comesa.int/index.php?option=com_content&amp;view=article&amp;id=94&amp;Itemid=111" TargetMode="External"/><Relationship Id="rId35" Type="http://schemas.openxmlformats.org/officeDocument/2006/relationships/hyperlink" Target="http://www.worldbank.org/projects/P094084/west-africa-agricultural-productivity-program-waapp?lang=en" TargetMode="External"/><Relationship Id="rId43" Type="http://schemas.openxmlformats.org/officeDocument/2006/relationships/hyperlink" Target="http://www.caadp.net/library-country-status-updates.php"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rika\Documents\SDDirect\CAADP\Mapping%20study\Trend%20analysis.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Erika\Documents\SDDirect\CAADP\Mapping%20study\Burkina%20Faso\Ghana.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Erika\Documents\SDDirect\CAADP\Mapping%20study\Burkina%20Faso\Burkina%20Fas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Erika\Documents\SDDirect\CAADP\Mapping%20study\Togo%20analys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rika\Documents\SDDirect\CAADP\Mapping%20study\Togo%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rika\Documents\SDDirect\CAADP\Mapping%20study\Trend%20analysi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rika\Documents\SDDirect\CAADP\Mapping%20study\Sector%20disaggregation%202007-2011%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rika\Documents\SDDirect\CAADP\Mapping%20study\Analysis%20of%20bilateral%20donors%2020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rika\Documents\SDDirect\CAADP\Mapping%20study\Non-bilateral%20donors%20to%20African%20agricultu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rika\Documents\SDDirect\CAADP\Mapping%20study\Non-bilateral%20donors%20to%20African%20agriculture.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Erika\Documents\SDDirect\CAADP\Mapping%20study\Multilateral%20analy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rika\Documents\SDDirect\CAADP\Mapping%20study\Erika's%20recent%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2"/>
          <c:order val="2"/>
          <c:tx>
            <c:strRef>
              <c:f>Sheet1!$A$4</c:f>
              <c:strCache>
                <c:ptCount val="1"/>
                <c:pt idx="0">
                  <c:v>% of ODA allocated to agriculture</c:v>
                </c:pt>
              </c:strCache>
            </c:strRef>
          </c:tx>
          <c:cat>
            <c:numRef>
              <c:f>Sheet1!$B$1:$R$1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Sheet1!$B$4:$R$4</c:f>
              <c:numCache>
                <c:formatCode>0.0%</c:formatCode>
                <c:ptCount val="17"/>
                <c:pt idx="0">
                  <c:v>0.11843200246315812</c:v>
                </c:pt>
                <c:pt idx="1">
                  <c:v>0.1080830089080301</c:v>
                </c:pt>
                <c:pt idx="2">
                  <c:v>7.9636340770482719E-2</c:v>
                </c:pt>
                <c:pt idx="3">
                  <c:v>6.6295855786082963E-2</c:v>
                </c:pt>
                <c:pt idx="4">
                  <c:v>7.8460551718264701E-2</c:v>
                </c:pt>
                <c:pt idx="5">
                  <c:v>7.0251724803349055E-2</c:v>
                </c:pt>
                <c:pt idx="6">
                  <c:v>6.42941925899677E-2</c:v>
                </c:pt>
                <c:pt idx="7">
                  <c:v>4.8758702930935434E-2</c:v>
                </c:pt>
                <c:pt idx="8">
                  <c:v>3.8342967333670812E-2</c:v>
                </c:pt>
                <c:pt idx="9">
                  <c:v>4.2962289828918185E-2</c:v>
                </c:pt>
                <c:pt idx="10">
                  <c:v>3.6822605640476215E-2</c:v>
                </c:pt>
                <c:pt idx="11">
                  <c:v>3.8948577362340898E-2</c:v>
                </c:pt>
                <c:pt idx="12">
                  <c:v>5.4878972982233355E-2</c:v>
                </c:pt>
                <c:pt idx="13">
                  <c:v>5.9495329801825161E-2</c:v>
                </c:pt>
                <c:pt idx="14">
                  <c:v>6.0833170617530824E-2</c:v>
                </c:pt>
                <c:pt idx="15">
                  <c:v>7.2913144933057256E-2</c:v>
                </c:pt>
                <c:pt idx="16">
                  <c:v>7.3846655428639732E-2</c:v>
                </c:pt>
              </c:numCache>
            </c:numRef>
          </c:val>
        </c:ser>
        <c:marker val="1"/>
        <c:axId val="107435520"/>
        <c:axId val="107437056"/>
      </c:lineChart>
      <c:lineChart>
        <c:grouping val="standard"/>
        <c:ser>
          <c:idx val="0"/>
          <c:order val="0"/>
          <c:tx>
            <c:strRef>
              <c:f>Sheet1!$A$2</c:f>
              <c:strCache>
                <c:ptCount val="1"/>
                <c:pt idx="0">
                  <c:v>ODA commitments in constant US$</c:v>
                </c:pt>
              </c:strCache>
            </c:strRef>
          </c:tx>
          <c:cat>
            <c:numRef>
              <c:f>Sheet1!$B$1:$R$1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Sheet1!$B$2:$R$2</c:f>
              <c:numCache>
                <c:formatCode>[$$-409]#,##0.00</c:formatCode>
                <c:ptCount val="17"/>
                <c:pt idx="0">
                  <c:v>15148.034000000007</c:v>
                </c:pt>
                <c:pt idx="1">
                  <c:v>15071.009</c:v>
                </c:pt>
                <c:pt idx="2">
                  <c:v>14074.165000000001</c:v>
                </c:pt>
                <c:pt idx="3">
                  <c:v>18293.601999999992</c:v>
                </c:pt>
                <c:pt idx="4">
                  <c:v>16462.858999999997</c:v>
                </c:pt>
                <c:pt idx="5">
                  <c:v>20272.455999999998</c:v>
                </c:pt>
                <c:pt idx="6">
                  <c:v>17733.499</c:v>
                </c:pt>
                <c:pt idx="7">
                  <c:v>22611.348000000009</c:v>
                </c:pt>
                <c:pt idx="8">
                  <c:v>30319.353999999996</c:v>
                </c:pt>
                <c:pt idx="9">
                  <c:v>34199.341</c:v>
                </c:pt>
                <c:pt idx="10">
                  <c:v>41503.907000000007</c:v>
                </c:pt>
                <c:pt idx="11">
                  <c:v>52341.578000000001</c:v>
                </c:pt>
                <c:pt idx="12">
                  <c:v>46790.544000000002</c:v>
                </c:pt>
                <c:pt idx="13">
                  <c:v>56545.245000000003</c:v>
                </c:pt>
                <c:pt idx="14">
                  <c:v>61077.862000000001</c:v>
                </c:pt>
                <c:pt idx="15">
                  <c:v>55574.547000000006</c:v>
                </c:pt>
                <c:pt idx="16">
                  <c:v>54516.687000000005</c:v>
                </c:pt>
              </c:numCache>
            </c:numRef>
          </c:val>
        </c:ser>
        <c:ser>
          <c:idx val="1"/>
          <c:order val="1"/>
          <c:tx>
            <c:strRef>
              <c:f>Sheet1!$A$3</c:f>
              <c:strCache>
                <c:ptCount val="1"/>
                <c:pt idx="0">
                  <c:v>Agricultural ODA commitments</c:v>
                </c:pt>
              </c:strCache>
            </c:strRef>
          </c:tx>
          <c:cat>
            <c:numRef>
              <c:f>Sheet1!$B$1:$R$1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Sheet1!$B$3:$R$3</c:f>
              <c:numCache>
                <c:formatCode>[$$-409]#,##0.00</c:formatCode>
                <c:ptCount val="17"/>
                <c:pt idx="0">
                  <c:v>1794.0119999999999</c:v>
                </c:pt>
                <c:pt idx="1">
                  <c:v>1628.92</c:v>
                </c:pt>
                <c:pt idx="2">
                  <c:v>1120.8150000000001</c:v>
                </c:pt>
                <c:pt idx="3">
                  <c:v>1212.79</c:v>
                </c:pt>
                <c:pt idx="4">
                  <c:v>1291.684999999999</c:v>
                </c:pt>
                <c:pt idx="5">
                  <c:v>1424.175</c:v>
                </c:pt>
                <c:pt idx="6">
                  <c:v>1140.1609999999998</c:v>
                </c:pt>
                <c:pt idx="7">
                  <c:v>1102.5</c:v>
                </c:pt>
                <c:pt idx="8">
                  <c:v>1162.5339999999999</c:v>
                </c:pt>
                <c:pt idx="9">
                  <c:v>1469.2819999999999</c:v>
                </c:pt>
                <c:pt idx="10">
                  <c:v>1528.2819999999999</c:v>
                </c:pt>
                <c:pt idx="11">
                  <c:v>2038.6299999999999</c:v>
                </c:pt>
                <c:pt idx="12">
                  <c:v>2567.8170000000018</c:v>
                </c:pt>
                <c:pt idx="13">
                  <c:v>3364.1779999999999</c:v>
                </c:pt>
                <c:pt idx="14">
                  <c:v>3715.56</c:v>
                </c:pt>
                <c:pt idx="15">
                  <c:v>4052.1149999999998</c:v>
                </c:pt>
                <c:pt idx="16">
                  <c:v>4025.8750000000018</c:v>
                </c:pt>
              </c:numCache>
            </c:numRef>
          </c:val>
        </c:ser>
        <c:marker val="1"/>
        <c:axId val="107444480"/>
        <c:axId val="107442944"/>
      </c:lineChart>
      <c:catAx>
        <c:axId val="107435520"/>
        <c:scaling>
          <c:orientation val="minMax"/>
        </c:scaling>
        <c:axPos val="b"/>
        <c:numFmt formatCode="General" sourceLinked="1"/>
        <c:tickLblPos val="nextTo"/>
        <c:txPr>
          <a:bodyPr/>
          <a:lstStyle/>
          <a:p>
            <a:pPr>
              <a:defRPr sz="800"/>
            </a:pPr>
            <a:endParaRPr lang="fr-FR"/>
          </a:p>
        </c:txPr>
        <c:crossAx val="107437056"/>
        <c:crosses val="autoZero"/>
        <c:auto val="1"/>
        <c:lblAlgn val="ctr"/>
        <c:lblOffset val="100"/>
      </c:catAx>
      <c:valAx>
        <c:axId val="107437056"/>
        <c:scaling>
          <c:orientation val="minMax"/>
        </c:scaling>
        <c:axPos val="l"/>
        <c:majorGridlines>
          <c:spPr>
            <a:ln>
              <a:noFill/>
            </a:ln>
          </c:spPr>
        </c:majorGridlines>
        <c:numFmt formatCode="0%" sourceLinked="0"/>
        <c:tickLblPos val="nextTo"/>
        <c:txPr>
          <a:bodyPr/>
          <a:lstStyle/>
          <a:p>
            <a:pPr>
              <a:defRPr sz="800"/>
            </a:pPr>
            <a:endParaRPr lang="fr-FR"/>
          </a:p>
        </c:txPr>
        <c:crossAx val="107435520"/>
        <c:crosses val="autoZero"/>
        <c:crossBetween val="between"/>
      </c:valAx>
      <c:valAx>
        <c:axId val="107442944"/>
        <c:scaling>
          <c:orientation val="minMax"/>
        </c:scaling>
        <c:axPos val="r"/>
        <c:numFmt formatCode="[$$-409]#,##0" sourceLinked="0"/>
        <c:tickLblPos val="nextTo"/>
        <c:txPr>
          <a:bodyPr/>
          <a:lstStyle/>
          <a:p>
            <a:pPr>
              <a:defRPr sz="800"/>
            </a:pPr>
            <a:endParaRPr lang="fr-FR"/>
          </a:p>
        </c:txPr>
        <c:crossAx val="107444480"/>
        <c:crosses val="max"/>
        <c:crossBetween val="between"/>
      </c:valAx>
      <c:catAx>
        <c:axId val="107444480"/>
        <c:scaling>
          <c:orientation val="minMax"/>
        </c:scaling>
        <c:delete val="1"/>
        <c:axPos val="b"/>
        <c:numFmt formatCode="General" sourceLinked="1"/>
        <c:tickLblPos val="none"/>
        <c:crossAx val="107442944"/>
        <c:crosses val="autoZero"/>
        <c:auto val="1"/>
        <c:lblAlgn val="ctr"/>
        <c:lblOffset val="100"/>
      </c:catAx>
    </c:plotArea>
    <c:plotVisOnly val="1"/>
    <c:dispBlanksAs val="gap"/>
  </c:chart>
  <c:spPr>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Sheet1!$A$2</c:f>
              <c:strCache>
                <c:ptCount val="1"/>
                <c:pt idx="0">
                  <c:v>All donors</c:v>
                </c:pt>
              </c:strCache>
            </c:strRef>
          </c:tx>
          <c:cat>
            <c:numRef>
              <c:f>Sheet1!$B$1:$R$1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Sheet1!$B$2:$R$2</c:f>
              <c:numCache>
                <c:formatCode>General</c:formatCode>
                <c:ptCount val="17"/>
                <c:pt idx="0">
                  <c:v>29.343</c:v>
                </c:pt>
                <c:pt idx="1">
                  <c:v>7.3609999999999953</c:v>
                </c:pt>
                <c:pt idx="2">
                  <c:v>64.167000000000002</c:v>
                </c:pt>
                <c:pt idx="3">
                  <c:v>31.151000000000014</c:v>
                </c:pt>
                <c:pt idx="4">
                  <c:v>69.073999999999998</c:v>
                </c:pt>
                <c:pt idx="5">
                  <c:v>109.611</c:v>
                </c:pt>
                <c:pt idx="6">
                  <c:v>42.953000000000003</c:v>
                </c:pt>
                <c:pt idx="7">
                  <c:v>5.3469999999999986</c:v>
                </c:pt>
                <c:pt idx="8">
                  <c:v>29.292000000000002</c:v>
                </c:pt>
                <c:pt idx="9">
                  <c:v>124.79</c:v>
                </c:pt>
                <c:pt idx="10">
                  <c:v>32.507000000000005</c:v>
                </c:pt>
                <c:pt idx="11">
                  <c:v>60.064</c:v>
                </c:pt>
                <c:pt idx="12">
                  <c:v>288.97899999999959</c:v>
                </c:pt>
                <c:pt idx="13">
                  <c:v>248.84399999999999</c:v>
                </c:pt>
                <c:pt idx="14">
                  <c:v>84.751999999999995</c:v>
                </c:pt>
                <c:pt idx="15">
                  <c:v>144.78399999999999</c:v>
                </c:pt>
                <c:pt idx="16">
                  <c:v>186.63</c:v>
                </c:pt>
              </c:numCache>
            </c:numRef>
          </c:val>
        </c:ser>
        <c:marker val="1"/>
        <c:axId val="115540736"/>
        <c:axId val="115542272"/>
      </c:lineChart>
      <c:catAx>
        <c:axId val="115540736"/>
        <c:scaling>
          <c:orientation val="minMax"/>
        </c:scaling>
        <c:axPos val="b"/>
        <c:numFmt formatCode="General" sourceLinked="1"/>
        <c:tickLblPos val="nextTo"/>
        <c:crossAx val="115542272"/>
        <c:crosses val="autoZero"/>
        <c:auto val="1"/>
        <c:lblAlgn val="ctr"/>
        <c:lblOffset val="100"/>
      </c:catAx>
      <c:valAx>
        <c:axId val="115542272"/>
        <c:scaling>
          <c:orientation val="minMax"/>
        </c:scaling>
        <c:axPos val="l"/>
        <c:majorGridlines>
          <c:spPr>
            <a:ln>
              <a:noFill/>
            </a:ln>
          </c:spPr>
        </c:majorGridlines>
        <c:title>
          <c:tx>
            <c:rich>
              <a:bodyPr rot="-5400000" vert="horz"/>
              <a:lstStyle/>
              <a:p>
                <a:pPr>
                  <a:defRPr/>
                </a:pPr>
                <a:r>
                  <a:rPr lang="en-US"/>
                  <a:t>USD millions</a:t>
                </a:r>
              </a:p>
            </c:rich>
          </c:tx>
        </c:title>
        <c:numFmt formatCode="General" sourceLinked="1"/>
        <c:tickLblPos val="nextTo"/>
        <c:crossAx val="115540736"/>
        <c:crosses val="autoZero"/>
        <c:crossBetween val="between"/>
      </c:valAx>
    </c:plotArea>
    <c:plotVisOnly val="1"/>
    <c:dispBlanksAs val="gap"/>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Sheet1!$A$2</c:f>
              <c:strCache>
                <c:ptCount val="1"/>
                <c:pt idx="0">
                  <c:v>All donors</c:v>
                </c:pt>
              </c:strCache>
            </c:strRef>
          </c:tx>
          <c:cat>
            <c:numRef>
              <c:f>Sheet1!$B$1:$R$1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Sheet1!$B$2:$R$2</c:f>
              <c:numCache>
                <c:formatCode>General</c:formatCode>
                <c:ptCount val="17"/>
                <c:pt idx="0">
                  <c:v>14.816000000000004</c:v>
                </c:pt>
                <c:pt idx="1">
                  <c:v>36.899000000000001</c:v>
                </c:pt>
                <c:pt idx="2">
                  <c:v>83.087000000000003</c:v>
                </c:pt>
                <c:pt idx="3">
                  <c:v>15.923</c:v>
                </c:pt>
                <c:pt idx="4">
                  <c:v>55.534000000000006</c:v>
                </c:pt>
                <c:pt idx="5">
                  <c:v>99.325999999999979</c:v>
                </c:pt>
                <c:pt idx="6">
                  <c:v>21.199000000000023</c:v>
                </c:pt>
                <c:pt idx="7">
                  <c:v>19.411999999999999</c:v>
                </c:pt>
                <c:pt idx="8">
                  <c:v>35.551000000000002</c:v>
                </c:pt>
                <c:pt idx="9">
                  <c:v>38.201000000000001</c:v>
                </c:pt>
                <c:pt idx="10">
                  <c:v>94.151999999999987</c:v>
                </c:pt>
                <c:pt idx="11">
                  <c:v>0</c:v>
                </c:pt>
                <c:pt idx="12">
                  <c:v>66.05</c:v>
                </c:pt>
                <c:pt idx="13">
                  <c:v>54.791000000000011</c:v>
                </c:pt>
                <c:pt idx="14">
                  <c:v>212.07</c:v>
                </c:pt>
                <c:pt idx="15">
                  <c:v>81.299000000000007</c:v>
                </c:pt>
                <c:pt idx="16">
                  <c:v>154.92700000000011</c:v>
                </c:pt>
              </c:numCache>
            </c:numRef>
          </c:val>
        </c:ser>
        <c:marker val="1"/>
        <c:axId val="115578752"/>
        <c:axId val="115580288"/>
      </c:lineChart>
      <c:catAx>
        <c:axId val="115578752"/>
        <c:scaling>
          <c:orientation val="minMax"/>
        </c:scaling>
        <c:axPos val="b"/>
        <c:numFmt formatCode="General" sourceLinked="1"/>
        <c:tickLblPos val="nextTo"/>
        <c:crossAx val="115580288"/>
        <c:crosses val="autoZero"/>
        <c:auto val="1"/>
        <c:lblAlgn val="ctr"/>
        <c:lblOffset val="100"/>
      </c:catAx>
      <c:valAx>
        <c:axId val="115580288"/>
        <c:scaling>
          <c:orientation val="minMax"/>
        </c:scaling>
        <c:axPos val="l"/>
        <c:majorGridlines>
          <c:spPr>
            <a:ln>
              <a:noFill/>
            </a:ln>
          </c:spPr>
        </c:majorGridlines>
        <c:title>
          <c:tx>
            <c:rich>
              <a:bodyPr rot="-5400000" vert="horz"/>
              <a:lstStyle/>
              <a:p>
                <a:pPr>
                  <a:defRPr/>
                </a:pPr>
                <a:r>
                  <a:rPr lang="en-US"/>
                  <a:t>USD millions</a:t>
                </a:r>
              </a:p>
            </c:rich>
          </c:tx>
        </c:title>
        <c:numFmt formatCode="General" sourceLinked="1"/>
        <c:tickLblPos val="nextTo"/>
        <c:crossAx val="115578752"/>
        <c:crosses val="autoZero"/>
        <c:crossBetween val="between"/>
      </c:valAx>
    </c:plotArea>
    <c:plotVisOnly val="1"/>
    <c:dispBlanksAs val="gap"/>
  </c:chart>
  <c:spPr>
    <a:ln>
      <a:noFill/>
    </a:ln>
  </c:sp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Sheet1!$A$23</c:f>
              <c:strCache>
                <c:ptCount val="1"/>
                <c:pt idx="0">
                  <c:v>All donors, total</c:v>
                </c:pt>
              </c:strCache>
            </c:strRef>
          </c:tx>
          <c:cat>
            <c:numRef>
              <c:f>Sheet1!$B$22:$R$22</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Sheet1!$B$23:$R$23</c:f>
              <c:numCache>
                <c:formatCode>General</c:formatCode>
                <c:ptCount val="17"/>
                <c:pt idx="0">
                  <c:v>13.453000000000008</c:v>
                </c:pt>
                <c:pt idx="1">
                  <c:v>18.387</c:v>
                </c:pt>
                <c:pt idx="2">
                  <c:v>29.248999999999981</c:v>
                </c:pt>
                <c:pt idx="3">
                  <c:v>9.0970000000000013</c:v>
                </c:pt>
                <c:pt idx="4">
                  <c:v>0.36900000000000027</c:v>
                </c:pt>
                <c:pt idx="5">
                  <c:v>4.3919999999999986</c:v>
                </c:pt>
                <c:pt idx="6">
                  <c:v>2.7480000000000002</c:v>
                </c:pt>
                <c:pt idx="7">
                  <c:v>0.23200000000000001</c:v>
                </c:pt>
                <c:pt idx="8">
                  <c:v>1.232</c:v>
                </c:pt>
                <c:pt idx="9">
                  <c:v>0.68100000000000005</c:v>
                </c:pt>
                <c:pt idx="10">
                  <c:v>1.216</c:v>
                </c:pt>
                <c:pt idx="11">
                  <c:v>0.94399999999999995</c:v>
                </c:pt>
                <c:pt idx="12">
                  <c:v>1.51</c:v>
                </c:pt>
                <c:pt idx="13">
                  <c:v>1.032999999999999</c:v>
                </c:pt>
                <c:pt idx="14">
                  <c:v>1.804999999999999</c:v>
                </c:pt>
                <c:pt idx="15">
                  <c:v>41.678000000000011</c:v>
                </c:pt>
                <c:pt idx="16">
                  <c:v>37.308</c:v>
                </c:pt>
              </c:numCache>
            </c:numRef>
          </c:val>
        </c:ser>
        <c:marker val="1"/>
        <c:axId val="115592192"/>
        <c:axId val="115884800"/>
      </c:lineChart>
      <c:catAx>
        <c:axId val="115592192"/>
        <c:scaling>
          <c:orientation val="minMax"/>
        </c:scaling>
        <c:axPos val="b"/>
        <c:numFmt formatCode="General" sourceLinked="1"/>
        <c:tickLblPos val="nextTo"/>
        <c:crossAx val="115884800"/>
        <c:crosses val="autoZero"/>
        <c:auto val="1"/>
        <c:lblAlgn val="ctr"/>
        <c:lblOffset val="100"/>
      </c:catAx>
      <c:valAx>
        <c:axId val="115884800"/>
        <c:scaling>
          <c:orientation val="minMax"/>
        </c:scaling>
        <c:axPos val="l"/>
        <c:majorGridlines>
          <c:spPr>
            <a:ln>
              <a:noFill/>
            </a:ln>
          </c:spPr>
        </c:majorGridlines>
        <c:title>
          <c:tx>
            <c:rich>
              <a:bodyPr rot="-5400000" vert="horz"/>
              <a:lstStyle/>
              <a:p>
                <a:pPr>
                  <a:defRPr/>
                </a:pPr>
                <a:r>
                  <a:rPr lang="en-US"/>
                  <a:t>USD millions</a:t>
                </a:r>
              </a:p>
            </c:rich>
          </c:tx>
        </c:title>
        <c:numFmt formatCode="General" sourceLinked="1"/>
        <c:tickLblPos val="nextTo"/>
        <c:crossAx val="115592192"/>
        <c:crosses val="autoZero"/>
        <c:crossBetween val="between"/>
      </c:valAx>
    </c:plotArea>
    <c:plotVisOnly val="1"/>
    <c:dispBlanksAs val="gap"/>
  </c:chart>
  <c:spPr>
    <a:ln>
      <a:noFill/>
    </a:ln>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Lbls>
            <c:showVal val="1"/>
          </c:dLbls>
          <c:cat>
            <c:strRef>
              <c:f>Sheet1!$I$42:$I$54</c:f>
              <c:strCache>
                <c:ptCount val="13"/>
                <c:pt idx="0">
                  <c:v>Germany</c:v>
                </c:pt>
                <c:pt idx="1">
                  <c:v>BADEA</c:v>
                </c:pt>
                <c:pt idx="2">
                  <c:v>Japan</c:v>
                </c:pt>
                <c:pt idx="3">
                  <c:v>Spain</c:v>
                </c:pt>
                <c:pt idx="4">
                  <c:v>France</c:v>
                </c:pt>
                <c:pt idx="5">
                  <c:v>Luxembourg</c:v>
                </c:pt>
                <c:pt idx="6">
                  <c:v>Italy</c:v>
                </c:pt>
                <c:pt idx="7">
                  <c:v>Belgium</c:v>
                </c:pt>
                <c:pt idx="8">
                  <c:v>GEF</c:v>
                </c:pt>
                <c:pt idx="9">
                  <c:v>IFAD</c:v>
                </c:pt>
                <c:pt idx="10">
                  <c:v>Isl. Dev Bank</c:v>
                </c:pt>
                <c:pt idx="11">
                  <c:v>Canada</c:v>
                </c:pt>
                <c:pt idx="12">
                  <c:v>World Bank</c:v>
                </c:pt>
              </c:strCache>
            </c:strRef>
          </c:cat>
          <c:val>
            <c:numRef>
              <c:f>Sheet1!$J$42:$J$54</c:f>
              <c:numCache>
                <c:formatCode>0.0</c:formatCode>
                <c:ptCount val="13"/>
                <c:pt idx="0">
                  <c:v>0.15100000000000011</c:v>
                </c:pt>
                <c:pt idx="1">
                  <c:v>0.19400000000000001</c:v>
                </c:pt>
                <c:pt idx="2">
                  <c:v>0.222</c:v>
                </c:pt>
                <c:pt idx="3">
                  <c:v>0.26900000000000002</c:v>
                </c:pt>
                <c:pt idx="4">
                  <c:v>0.3520000000000002</c:v>
                </c:pt>
                <c:pt idx="5">
                  <c:v>0.501</c:v>
                </c:pt>
                <c:pt idx="6">
                  <c:v>0.60500000000000043</c:v>
                </c:pt>
                <c:pt idx="7">
                  <c:v>1.167999999999999</c:v>
                </c:pt>
                <c:pt idx="8">
                  <c:v>5.4550000000000001</c:v>
                </c:pt>
                <c:pt idx="9">
                  <c:v>7.7370000000000001</c:v>
                </c:pt>
                <c:pt idx="10">
                  <c:v>10.319000000000004</c:v>
                </c:pt>
                <c:pt idx="11">
                  <c:v>21.773</c:v>
                </c:pt>
                <c:pt idx="12">
                  <c:v>30.24</c:v>
                </c:pt>
              </c:numCache>
            </c:numRef>
          </c:val>
        </c:ser>
        <c:axId val="115913088"/>
        <c:axId val="115914624"/>
      </c:barChart>
      <c:catAx>
        <c:axId val="115913088"/>
        <c:scaling>
          <c:orientation val="minMax"/>
        </c:scaling>
        <c:axPos val="l"/>
        <c:tickLblPos val="nextTo"/>
        <c:crossAx val="115914624"/>
        <c:crosses val="autoZero"/>
        <c:auto val="1"/>
        <c:lblAlgn val="ctr"/>
        <c:lblOffset val="100"/>
      </c:catAx>
      <c:valAx>
        <c:axId val="115914624"/>
        <c:scaling>
          <c:orientation val="minMax"/>
        </c:scaling>
        <c:axPos val="b"/>
        <c:majorGridlines>
          <c:spPr>
            <a:ln>
              <a:noFill/>
            </a:ln>
          </c:spPr>
        </c:majorGridlines>
        <c:title>
          <c:tx>
            <c:rich>
              <a:bodyPr/>
              <a:lstStyle/>
              <a:p>
                <a:pPr>
                  <a:defRPr/>
                </a:pPr>
                <a:r>
                  <a:rPr lang="en-US"/>
                  <a:t>USD millions</a:t>
                </a:r>
              </a:p>
            </c:rich>
          </c:tx>
        </c:title>
        <c:numFmt formatCode="0.0" sourceLinked="1"/>
        <c:tickLblPos val="nextTo"/>
        <c:crossAx val="115913088"/>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1"/>
          <c:order val="1"/>
          <c:tx>
            <c:strRef>
              <c:f>Sheet2!$A$28</c:f>
              <c:strCache>
                <c:ptCount val="1"/>
                <c:pt idx="0">
                  <c:v>EU Institutions</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Sheet2!$B$28:$R$28</c:f>
              <c:numCache>
                <c:formatCode>[$$-409]#,##0</c:formatCode>
                <c:ptCount val="17"/>
                <c:pt idx="0">
                  <c:v>100.989</c:v>
                </c:pt>
                <c:pt idx="1">
                  <c:v>50.645000000000003</c:v>
                </c:pt>
                <c:pt idx="2">
                  <c:v>22.779</c:v>
                </c:pt>
                <c:pt idx="3">
                  <c:v>47.106000000000002</c:v>
                </c:pt>
                <c:pt idx="4">
                  <c:v>136.285</c:v>
                </c:pt>
                <c:pt idx="5">
                  <c:v>158.26</c:v>
                </c:pt>
                <c:pt idx="6">
                  <c:v>83.86</c:v>
                </c:pt>
                <c:pt idx="7">
                  <c:v>75.672999999999988</c:v>
                </c:pt>
                <c:pt idx="8">
                  <c:v>123.515</c:v>
                </c:pt>
                <c:pt idx="9">
                  <c:v>137.97800000000001</c:v>
                </c:pt>
                <c:pt idx="10">
                  <c:v>99.745000000000005</c:v>
                </c:pt>
                <c:pt idx="11">
                  <c:v>179.92700000000011</c:v>
                </c:pt>
                <c:pt idx="12">
                  <c:v>194.869</c:v>
                </c:pt>
                <c:pt idx="13">
                  <c:v>215.85900000000001</c:v>
                </c:pt>
                <c:pt idx="14">
                  <c:v>362.78899999999953</c:v>
                </c:pt>
                <c:pt idx="15">
                  <c:v>436.01599999999979</c:v>
                </c:pt>
                <c:pt idx="16">
                  <c:v>429.79199999999958</c:v>
                </c:pt>
              </c:numCache>
            </c:numRef>
          </c:val>
        </c:ser>
        <c:ser>
          <c:idx val="2"/>
          <c:order val="2"/>
          <c:tx>
            <c:strRef>
              <c:f>Sheet2!$A$29</c:f>
              <c:strCache>
                <c:ptCount val="1"/>
                <c:pt idx="0">
                  <c:v>IFAD</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Sheet2!$B$29:$R$29</c:f>
              <c:numCache>
                <c:formatCode>[$$-409]#,##0</c:formatCode>
                <c:ptCount val="17"/>
                <c:pt idx="0">
                  <c:v>109.51400000000002</c:v>
                </c:pt>
                <c:pt idx="1">
                  <c:v>168.38100000000011</c:v>
                </c:pt>
                <c:pt idx="2">
                  <c:v>47.127000000000002</c:v>
                </c:pt>
                <c:pt idx="3">
                  <c:v>82.004000000000005</c:v>
                </c:pt>
                <c:pt idx="4">
                  <c:v>121.12799999999999</c:v>
                </c:pt>
                <c:pt idx="5">
                  <c:v>120.58499999999999</c:v>
                </c:pt>
                <c:pt idx="6">
                  <c:v>97.504000000000005</c:v>
                </c:pt>
                <c:pt idx="7">
                  <c:v>70.835999999999999</c:v>
                </c:pt>
                <c:pt idx="8">
                  <c:v>84.068000000000012</c:v>
                </c:pt>
                <c:pt idx="9">
                  <c:v>87.158999999999978</c:v>
                </c:pt>
                <c:pt idx="10">
                  <c:v>94.141999999999996</c:v>
                </c:pt>
                <c:pt idx="11">
                  <c:v>88.202000000000012</c:v>
                </c:pt>
                <c:pt idx="12">
                  <c:v>137.71899999999999</c:v>
                </c:pt>
                <c:pt idx="13">
                  <c:v>129.874</c:v>
                </c:pt>
                <c:pt idx="14">
                  <c:v>180.23</c:v>
                </c:pt>
                <c:pt idx="15">
                  <c:v>270.21799999999979</c:v>
                </c:pt>
                <c:pt idx="16">
                  <c:v>319.14800000000002</c:v>
                </c:pt>
              </c:numCache>
            </c:numRef>
          </c:val>
        </c:ser>
        <c:ser>
          <c:idx val="3"/>
          <c:order val="3"/>
          <c:tx>
            <c:strRef>
              <c:f>Sheet2!$A$30</c:f>
              <c:strCache>
                <c:ptCount val="1"/>
                <c:pt idx="0">
                  <c:v>IDA</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Sheet2!$B$30:$R$30</c:f>
              <c:numCache>
                <c:formatCode>[$$-409]#,##0</c:formatCode>
                <c:ptCount val="17"/>
                <c:pt idx="0">
                  <c:v>622.85999999999945</c:v>
                </c:pt>
                <c:pt idx="1">
                  <c:v>68.900000000000006</c:v>
                </c:pt>
                <c:pt idx="2">
                  <c:v>164.7</c:v>
                </c:pt>
                <c:pt idx="3">
                  <c:v>203.87</c:v>
                </c:pt>
                <c:pt idx="4">
                  <c:v>136.69999999999999</c:v>
                </c:pt>
                <c:pt idx="5">
                  <c:v>211.86600000000001</c:v>
                </c:pt>
                <c:pt idx="6">
                  <c:v>274.28099999999961</c:v>
                </c:pt>
                <c:pt idx="7">
                  <c:v>358.11</c:v>
                </c:pt>
                <c:pt idx="8">
                  <c:v>335.50299999999999</c:v>
                </c:pt>
                <c:pt idx="9">
                  <c:v>403.30500000000001</c:v>
                </c:pt>
                <c:pt idx="10">
                  <c:v>290.904</c:v>
                </c:pt>
                <c:pt idx="11">
                  <c:v>518.71199999999999</c:v>
                </c:pt>
                <c:pt idx="12">
                  <c:v>401.44400000000002</c:v>
                </c:pt>
                <c:pt idx="13">
                  <c:v>785.56699999999933</c:v>
                </c:pt>
                <c:pt idx="14">
                  <c:v>738.03</c:v>
                </c:pt>
                <c:pt idx="15">
                  <c:v>652.21600000000001</c:v>
                </c:pt>
                <c:pt idx="16">
                  <c:v>720.63099999999997</c:v>
                </c:pt>
              </c:numCache>
            </c:numRef>
          </c:val>
        </c:ser>
        <c:ser>
          <c:idx val="4"/>
          <c:order val="4"/>
          <c:tx>
            <c:strRef>
              <c:f>Sheet2!$A$31</c:f>
              <c:strCache>
                <c:ptCount val="1"/>
                <c:pt idx="0">
                  <c:v>AfDF</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Sheet2!$B$31:$R$31</c:f>
              <c:numCache>
                <c:formatCode>[$$-409]#,##0</c:formatCode>
                <c:ptCount val="17"/>
                <c:pt idx="0">
                  <c:v>41.104000000000006</c:v>
                </c:pt>
                <c:pt idx="1">
                  <c:v>64.854999999999976</c:v>
                </c:pt>
                <c:pt idx="2">
                  <c:v>91.203999999999994</c:v>
                </c:pt>
                <c:pt idx="3">
                  <c:v>100.45699999999999</c:v>
                </c:pt>
                <c:pt idx="4">
                  <c:v>89.185999999999979</c:v>
                </c:pt>
                <c:pt idx="5">
                  <c:v>116.221</c:v>
                </c:pt>
                <c:pt idx="6">
                  <c:v>0</c:v>
                </c:pt>
                <c:pt idx="7">
                  <c:v>0</c:v>
                </c:pt>
                <c:pt idx="8">
                  <c:v>0</c:v>
                </c:pt>
                <c:pt idx="9">
                  <c:v>0</c:v>
                </c:pt>
                <c:pt idx="10">
                  <c:v>219.839</c:v>
                </c:pt>
                <c:pt idx="11">
                  <c:v>236.11099999999999</c:v>
                </c:pt>
                <c:pt idx="12">
                  <c:v>235.654</c:v>
                </c:pt>
                <c:pt idx="13">
                  <c:v>0</c:v>
                </c:pt>
                <c:pt idx="14">
                  <c:v>269.82599999999979</c:v>
                </c:pt>
                <c:pt idx="15">
                  <c:v>9.1449999999999996</c:v>
                </c:pt>
                <c:pt idx="16">
                  <c:v>210.477</c:v>
                </c:pt>
              </c:numCache>
            </c:numRef>
          </c:val>
        </c:ser>
        <c:ser>
          <c:idx val="5"/>
          <c:order val="5"/>
          <c:tx>
            <c:strRef>
              <c:f>Sheet2!$A$32</c:f>
              <c:strCache>
                <c:ptCount val="1"/>
                <c:pt idx="0">
                  <c:v>Other multilaterals</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Sheet2!$B$32:$R$32</c:f>
              <c:numCache>
                <c:formatCode>[$$-409]#,##0</c:formatCode>
                <c:ptCount val="17"/>
                <c:pt idx="0">
                  <c:v>0</c:v>
                </c:pt>
                <c:pt idx="1">
                  <c:v>0</c:v>
                </c:pt>
                <c:pt idx="2">
                  <c:v>0</c:v>
                </c:pt>
                <c:pt idx="3">
                  <c:v>0</c:v>
                </c:pt>
                <c:pt idx="4">
                  <c:v>6.8970000000000455</c:v>
                </c:pt>
                <c:pt idx="5">
                  <c:v>0</c:v>
                </c:pt>
                <c:pt idx="6">
                  <c:v>0</c:v>
                </c:pt>
                <c:pt idx="7">
                  <c:v>0</c:v>
                </c:pt>
                <c:pt idx="8">
                  <c:v>0</c:v>
                </c:pt>
                <c:pt idx="9">
                  <c:v>0.11699999999996194</c:v>
                </c:pt>
                <c:pt idx="10">
                  <c:v>0.546000000000049</c:v>
                </c:pt>
                <c:pt idx="11">
                  <c:v>0.51800000000002899</c:v>
                </c:pt>
                <c:pt idx="12">
                  <c:v>0.10900000000003705</c:v>
                </c:pt>
                <c:pt idx="13">
                  <c:v>275.53799999999978</c:v>
                </c:pt>
                <c:pt idx="14">
                  <c:v>21.042999999999889</c:v>
                </c:pt>
                <c:pt idx="15">
                  <c:v>262.56400000000008</c:v>
                </c:pt>
                <c:pt idx="16">
                  <c:v>297.35400000000033</c:v>
                </c:pt>
              </c:numCache>
            </c:numRef>
          </c:val>
        </c:ser>
        <c:overlap val="100"/>
        <c:axId val="107728896"/>
        <c:axId val="107730432"/>
      </c:barChart>
      <c:lineChart>
        <c:grouping val="standard"/>
        <c:ser>
          <c:idx val="0"/>
          <c:order val="0"/>
          <c:tx>
            <c:strRef>
              <c:f>Sheet2!$A$27</c:f>
              <c:strCache>
                <c:ptCount val="1"/>
                <c:pt idx="0">
                  <c:v>Bilateral donors</c:v>
                </c:pt>
              </c:strCache>
            </c:strRef>
          </c:tx>
          <c:cat>
            <c:numRef>
              <c:f>Sheet2!$B$26:$R$26</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Sheet2!$B$27:$R$27</c:f>
              <c:numCache>
                <c:formatCode>[$$-409]#,##0</c:formatCode>
                <c:ptCount val="17"/>
                <c:pt idx="0">
                  <c:v>919.54499999999996</c:v>
                </c:pt>
                <c:pt idx="1">
                  <c:v>1276.1389999999999</c:v>
                </c:pt>
                <c:pt idx="2">
                  <c:v>795.00599999999997</c:v>
                </c:pt>
                <c:pt idx="3">
                  <c:v>779.35399999999947</c:v>
                </c:pt>
                <c:pt idx="4">
                  <c:v>801.48900000000003</c:v>
                </c:pt>
                <c:pt idx="5">
                  <c:v>817.24400000000003</c:v>
                </c:pt>
                <c:pt idx="6">
                  <c:v>684.51599999999996</c:v>
                </c:pt>
                <c:pt idx="7">
                  <c:v>597.88099999999997</c:v>
                </c:pt>
                <c:pt idx="8">
                  <c:v>619.44799999999918</c:v>
                </c:pt>
                <c:pt idx="9">
                  <c:v>840.72299999999996</c:v>
                </c:pt>
                <c:pt idx="10">
                  <c:v>823.10599999999999</c:v>
                </c:pt>
                <c:pt idx="11">
                  <c:v>1015.16</c:v>
                </c:pt>
                <c:pt idx="12">
                  <c:v>1598.0229999999999</c:v>
                </c:pt>
                <c:pt idx="13">
                  <c:v>1957.34</c:v>
                </c:pt>
                <c:pt idx="14">
                  <c:v>2143.6419999999998</c:v>
                </c:pt>
                <c:pt idx="15">
                  <c:v>2405.2019999999998</c:v>
                </c:pt>
                <c:pt idx="16">
                  <c:v>2038.002</c:v>
                </c:pt>
              </c:numCache>
            </c:numRef>
          </c:val>
        </c:ser>
        <c:marker val="1"/>
        <c:axId val="107728896"/>
        <c:axId val="107730432"/>
      </c:lineChart>
      <c:catAx>
        <c:axId val="107728896"/>
        <c:scaling>
          <c:orientation val="minMax"/>
        </c:scaling>
        <c:axPos val="b"/>
        <c:numFmt formatCode="General" sourceLinked="1"/>
        <c:tickLblPos val="nextTo"/>
        <c:txPr>
          <a:bodyPr/>
          <a:lstStyle/>
          <a:p>
            <a:pPr>
              <a:defRPr sz="800"/>
            </a:pPr>
            <a:endParaRPr lang="fr-FR"/>
          </a:p>
        </c:txPr>
        <c:crossAx val="107730432"/>
        <c:crosses val="autoZero"/>
        <c:auto val="1"/>
        <c:lblAlgn val="ctr"/>
        <c:lblOffset val="100"/>
      </c:catAx>
      <c:valAx>
        <c:axId val="107730432"/>
        <c:scaling>
          <c:orientation val="minMax"/>
          <c:max val="2500"/>
        </c:scaling>
        <c:axPos val="l"/>
        <c:majorGridlines/>
        <c:title>
          <c:tx>
            <c:rich>
              <a:bodyPr rot="-5400000" vert="horz"/>
              <a:lstStyle/>
              <a:p>
                <a:pPr>
                  <a:defRPr/>
                </a:pPr>
                <a:r>
                  <a:rPr lang="en-US"/>
                  <a:t>USD millions </a:t>
                </a:r>
              </a:p>
            </c:rich>
          </c:tx>
        </c:title>
        <c:numFmt formatCode="[$$-409]#,##0" sourceLinked="1"/>
        <c:tickLblPos val="nextTo"/>
        <c:txPr>
          <a:bodyPr/>
          <a:lstStyle/>
          <a:p>
            <a:pPr>
              <a:defRPr sz="800"/>
            </a:pPr>
            <a:endParaRPr lang="fr-FR"/>
          </a:p>
        </c:txPr>
        <c:crossAx val="107728896"/>
        <c:crosses val="autoZero"/>
        <c:crossBetween val="between"/>
      </c:valAx>
    </c:plotArea>
    <c:legend>
      <c:legendPos val="b"/>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stacked"/>
        <c:ser>
          <c:idx val="0"/>
          <c:order val="0"/>
          <c:tx>
            <c:strRef>
              <c:f>Analysis!$B$2</c:f>
              <c:strCache>
                <c:ptCount val="1"/>
                <c:pt idx="0">
                  <c:v>Forestry, total</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Analysis!$C$2:$G$2</c:f>
              <c:numCache>
                <c:formatCode>General</c:formatCode>
                <c:ptCount val="5"/>
                <c:pt idx="0">
                  <c:v>72.167000000000002</c:v>
                </c:pt>
                <c:pt idx="1">
                  <c:v>228.98200000000011</c:v>
                </c:pt>
                <c:pt idx="2">
                  <c:v>182.22499999999999</c:v>
                </c:pt>
                <c:pt idx="3">
                  <c:v>229.893</c:v>
                </c:pt>
                <c:pt idx="4">
                  <c:v>235.84300000000002</c:v>
                </c:pt>
              </c:numCache>
            </c:numRef>
          </c:val>
        </c:ser>
        <c:ser>
          <c:idx val="1"/>
          <c:order val="1"/>
          <c:tx>
            <c:strRef>
              <c:f>Analysis!$B$3</c:f>
              <c:strCache>
                <c:ptCount val="1"/>
                <c:pt idx="0">
                  <c:v>Fishing, total</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Analysis!$C$3:$G$3</c:f>
              <c:numCache>
                <c:formatCode>General</c:formatCode>
                <c:ptCount val="5"/>
                <c:pt idx="0">
                  <c:v>90.682999999999979</c:v>
                </c:pt>
                <c:pt idx="1">
                  <c:v>234.96700000000001</c:v>
                </c:pt>
                <c:pt idx="2">
                  <c:v>343.97699999999958</c:v>
                </c:pt>
                <c:pt idx="3">
                  <c:v>188.82800000000012</c:v>
                </c:pt>
                <c:pt idx="4">
                  <c:v>200.11199999999999</c:v>
                </c:pt>
              </c:numCache>
            </c:numRef>
          </c:val>
        </c:ser>
        <c:ser>
          <c:idx val="2"/>
          <c:order val="2"/>
          <c:tx>
            <c:strRef>
              <c:f>Analysis!$B$4</c:f>
              <c:strCache>
                <c:ptCount val="1"/>
                <c:pt idx="0">
                  <c:v>Agricultural, policy and admin mgmt</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Analysis!$C$4:$G$4</c:f>
              <c:numCache>
                <c:formatCode>General</c:formatCode>
                <c:ptCount val="5"/>
                <c:pt idx="0">
                  <c:v>504.70800000000003</c:v>
                </c:pt>
                <c:pt idx="1">
                  <c:v>558.87300000000005</c:v>
                </c:pt>
                <c:pt idx="2">
                  <c:v>424.48200000000003</c:v>
                </c:pt>
                <c:pt idx="3">
                  <c:v>565.44899999999996</c:v>
                </c:pt>
                <c:pt idx="4">
                  <c:v>752.13199999999949</c:v>
                </c:pt>
              </c:numCache>
            </c:numRef>
          </c:val>
        </c:ser>
        <c:ser>
          <c:idx val="3"/>
          <c:order val="3"/>
          <c:tx>
            <c:strRef>
              <c:f>Analysis!$B$5</c:f>
              <c:strCache>
                <c:ptCount val="1"/>
                <c:pt idx="0">
                  <c:v>Agricultural development</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Analysis!$C$5:$G$5</c:f>
              <c:numCache>
                <c:formatCode>General</c:formatCode>
                <c:ptCount val="5"/>
                <c:pt idx="0">
                  <c:v>317.90599999999961</c:v>
                </c:pt>
                <c:pt idx="1">
                  <c:v>373.23200000000003</c:v>
                </c:pt>
                <c:pt idx="2">
                  <c:v>877.01800000000003</c:v>
                </c:pt>
                <c:pt idx="3">
                  <c:v>1148.289</c:v>
                </c:pt>
                <c:pt idx="4">
                  <c:v>956.35699999999918</c:v>
                </c:pt>
              </c:numCache>
            </c:numRef>
          </c:val>
        </c:ser>
        <c:ser>
          <c:idx val="4"/>
          <c:order val="4"/>
          <c:tx>
            <c:strRef>
              <c:f>Analysis!$B$6</c:f>
              <c:strCache>
                <c:ptCount val="1"/>
                <c:pt idx="0">
                  <c:v>Agricultural land resources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Analysis!$C$6:$G$6</c:f>
              <c:numCache>
                <c:formatCode>General</c:formatCode>
                <c:ptCount val="5"/>
                <c:pt idx="0">
                  <c:v>35.942</c:v>
                </c:pt>
                <c:pt idx="1">
                  <c:v>133.08000000000001</c:v>
                </c:pt>
                <c:pt idx="2">
                  <c:v>65.191999999999993</c:v>
                </c:pt>
                <c:pt idx="3">
                  <c:v>78.290999999999997</c:v>
                </c:pt>
                <c:pt idx="4">
                  <c:v>83.72</c:v>
                </c:pt>
              </c:numCache>
            </c:numRef>
          </c:val>
        </c:ser>
        <c:ser>
          <c:idx val="5"/>
          <c:order val="5"/>
          <c:tx>
            <c:strRef>
              <c:f>Analysis!$B$7</c:f>
              <c:strCache>
                <c:ptCount val="1"/>
                <c:pt idx="0">
                  <c:v>Agricultural water resources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Analysis!$C$7:$G$7</c:f>
              <c:numCache>
                <c:formatCode>General</c:formatCode>
                <c:ptCount val="5"/>
                <c:pt idx="0">
                  <c:v>336.95599999999979</c:v>
                </c:pt>
                <c:pt idx="1">
                  <c:v>455.14299999999997</c:v>
                </c:pt>
                <c:pt idx="2">
                  <c:v>631.76300000000003</c:v>
                </c:pt>
                <c:pt idx="3">
                  <c:v>696.65300000000002</c:v>
                </c:pt>
                <c:pt idx="4">
                  <c:v>631.029</c:v>
                </c:pt>
              </c:numCache>
            </c:numRef>
          </c:val>
        </c:ser>
        <c:ser>
          <c:idx val="6"/>
          <c:order val="6"/>
          <c:tx>
            <c:strRef>
              <c:f>Analysis!$B$8</c:f>
              <c:strCache>
                <c:ptCount val="1"/>
                <c:pt idx="0">
                  <c:v>Agricultural inputs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Analysis!$C$8:$G$8</c:f>
              <c:numCache>
                <c:formatCode>General</c:formatCode>
                <c:ptCount val="5"/>
                <c:pt idx="0">
                  <c:v>89.679999999999978</c:v>
                </c:pt>
                <c:pt idx="1">
                  <c:v>327.09699999999947</c:v>
                </c:pt>
                <c:pt idx="2">
                  <c:v>106.727</c:v>
                </c:pt>
                <c:pt idx="3">
                  <c:v>73.881</c:v>
                </c:pt>
                <c:pt idx="4">
                  <c:v>104.86799999999999</c:v>
                </c:pt>
              </c:numCache>
            </c:numRef>
          </c:val>
        </c:ser>
        <c:ser>
          <c:idx val="7"/>
          <c:order val="7"/>
          <c:tx>
            <c:strRef>
              <c:f>Analysis!$B$9</c:f>
              <c:strCache>
                <c:ptCount val="1"/>
                <c:pt idx="0">
                  <c:v>Food crop production</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Analysis!$C$9:$G$9</c:f>
              <c:numCache>
                <c:formatCode>General</c:formatCode>
                <c:ptCount val="5"/>
                <c:pt idx="0">
                  <c:v>112.81100000000002</c:v>
                </c:pt>
                <c:pt idx="1">
                  <c:v>366.40299999999979</c:v>
                </c:pt>
                <c:pt idx="2">
                  <c:v>269.60000000000002</c:v>
                </c:pt>
                <c:pt idx="3">
                  <c:v>177.81900000000002</c:v>
                </c:pt>
                <c:pt idx="4">
                  <c:v>170.32500000000007</c:v>
                </c:pt>
              </c:numCache>
            </c:numRef>
          </c:val>
        </c:ser>
        <c:ser>
          <c:idx val="8"/>
          <c:order val="8"/>
          <c:tx>
            <c:strRef>
              <c:f>Analysis!$B$10</c:f>
              <c:strCache>
                <c:ptCount val="1"/>
                <c:pt idx="0">
                  <c:v>Industrial crops / export crops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Analysis!$C$10:$G$10</c:f>
              <c:numCache>
                <c:formatCode>General</c:formatCode>
                <c:ptCount val="5"/>
                <c:pt idx="0">
                  <c:v>175.80500000000001</c:v>
                </c:pt>
                <c:pt idx="1">
                  <c:v>165.048</c:v>
                </c:pt>
                <c:pt idx="2">
                  <c:v>98.474999999999994</c:v>
                </c:pt>
                <c:pt idx="3">
                  <c:v>232.18100000000001</c:v>
                </c:pt>
                <c:pt idx="4">
                  <c:v>157.19800000000001</c:v>
                </c:pt>
              </c:numCache>
            </c:numRef>
          </c:val>
        </c:ser>
        <c:ser>
          <c:idx val="9"/>
          <c:order val="9"/>
          <c:tx>
            <c:strRef>
              <c:f>Analysis!$B$11</c:f>
              <c:strCache>
                <c:ptCount val="1"/>
                <c:pt idx="0">
                  <c:v>Livestock</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Analysis!$C$11:$G$11</c:f>
              <c:numCache>
                <c:formatCode>General</c:formatCode>
                <c:ptCount val="5"/>
                <c:pt idx="0">
                  <c:v>89.494000000000057</c:v>
                </c:pt>
                <c:pt idx="1">
                  <c:v>31.565999999999981</c:v>
                </c:pt>
                <c:pt idx="2">
                  <c:v>59.354999999999997</c:v>
                </c:pt>
                <c:pt idx="3">
                  <c:v>60.49</c:v>
                </c:pt>
                <c:pt idx="4">
                  <c:v>24.487999999999989</c:v>
                </c:pt>
              </c:numCache>
            </c:numRef>
          </c:val>
        </c:ser>
        <c:ser>
          <c:idx val="10"/>
          <c:order val="10"/>
          <c:tx>
            <c:strRef>
              <c:f>Sheet1!#REF!</c:f>
              <c:strCache>
                <c:ptCount val="1"/>
                <c:pt idx="0">
                  <c:v>#REF!</c:v>
                </c:pt>
              </c:strCache>
            </c:strRef>
          </c:tx>
          <c:cat>
            <c:numRef>
              <c:f>Analysis!$C$1:$G$1</c:f>
              <c:numCache>
                <c:formatCode>General</c:formatCode>
                <c:ptCount val="5"/>
                <c:pt idx="0">
                  <c:v>2007</c:v>
                </c:pt>
                <c:pt idx="1">
                  <c:v>2008</c:v>
                </c:pt>
                <c:pt idx="2">
                  <c:v>2009</c:v>
                </c:pt>
                <c:pt idx="3">
                  <c:v>2010</c:v>
                </c:pt>
                <c:pt idx="4">
                  <c:v>2011</c:v>
                </c:pt>
              </c:numCache>
            </c:numRef>
          </c:cat>
          <c:val>
            <c:numRef>
              <c:f>Sheet1!#REF!</c:f>
              <c:numCache>
                <c:formatCode>General</c:formatCode>
                <c:ptCount val="1"/>
                <c:pt idx="0">
                  <c:v>1</c:v>
                </c:pt>
              </c:numCache>
            </c:numRef>
          </c:val>
        </c:ser>
        <c:ser>
          <c:idx val="11"/>
          <c:order val="11"/>
          <c:tx>
            <c:strRef>
              <c:f>Analysis!$B$12</c:f>
              <c:strCache>
                <c:ptCount val="1"/>
                <c:pt idx="0">
                  <c:v>Agricultural extension</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Analysis!$C$12:$G$12</c:f>
              <c:numCache>
                <c:formatCode>General</c:formatCode>
                <c:ptCount val="5"/>
                <c:pt idx="0">
                  <c:v>51.551000000000002</c:v>
                </c:pt>
                <c:pt idx="1">
                  <c:v>61.116</c:v>
                </c:pt>
                <c:pt idx="2">
                  <c:v>50.038000000000011</c:v>
                </c:pt>
                <c:pt idx="3">
                  <c:v>66.432000000000002</c:v>
                </c:pt>
                <c:pt idx="4">
                  <c:v>128.24299999999999</c:v>
                </c:pt>
              </c:numCache>
            </c:numRef>
          </c:val>
        </c:ser>
        <c:ser>
          <c:idx val="12"/>
          <c:order val="12"/>
          <c:tx>
            <c:strRef>
              <c:f>Analysis!$B$13</c:f>
              <c:strCache>
                <c:ptCount val="1"/>
                <c:pt idx="0">
                  <c:v>Agricultural education / training</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Analysis!$C$13:$G$13</c:f>
              <c:numCache>
                <c:formatCode>General</c:formatCode>
                <c:ptCount val="5"/>
                <c:pt idx="0">
                  <c:v>95.180999999999983</c:v>
                </c:pt>
                <c:pt idx="1">
                  <c:v>25.2</c:v>
                </c:pt>
                <c:pt idx="2">
                  <c:v>39.898000000000003</c:v>
                </c:pt>
                <c:pt idx="3">
                  <c:v>17.567999999999987</c:v>
                </c:pt>
                <c:pt idx="4">
                  <c:v>36.814999999999998</c:v>
                </c:pt>
              </c:numCache>
            </c:numRef>
          </c:val>
        </c:ser>
        <c:ser>
          <c:idx val="13"/>
          <c:order val="13"/>
          <c:tx>
            <c:strRef>
              <c:f>Analysis!$B$14</c:f>
              <c:strCache>
                <c:ptCount val="1"/>
                <c:pt idx="0">
                  <c:v>Agricultural research</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Analysis!$C$14:$G$14</c:f>
              <c:numCache>
                <c:formatCode>General</c:formatCode>
                <c:ptCount val="5"/>
                <c:pt idx="0">
                  <c:v>15.860000000000007</c:v>
                </c:pt>
                <c:pt idx="1">
                  <c:v>3.508</c:v>
                </c:pt>
                <c:pt idx="2">
                  <c:v>15.247</c:v>
                </c:pt>
                <c:pt idx="3">
                  <c:v>9.8680000000000003</c:v>
                </c:pt>
                <c:pt idx="4">
                  <c:v>43.653000000000006</c:v>
                </c:pt>
              </c:numCache>
            </c:numRef>
          </c:val>
        </c:ser>
        <c:ser>
          <c:idx val="14"/>
          <c:order val="14"/>
          <c:tx>
            <c:strRef>
              <c:f>Analysis!$B$15</c:f>
              <c:strCache>
                <c:ptCount val="1"/>
                <c:pt idx="0">
                  <c:v>Agricultural services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Analysis!$C$15:$G$15</c:f>
              <c:numCache>
                <c:formatCode>General</c:formatCode>
                <c:ptCount val="5"/>
                <c:pt idx="0">
                  <c:v>56.682000000000002</c:v>
                </c:pt>
                <c:pt idx="1">
                  <c:v>109.387</c:v>
                </c:pt>
                <c:pt idx="2">
                  <c:v>170.59700000000001</c:v>
                </c:pt>
                <c:pt idx="3">
                  <c:v>96.569000000000003</c:v>
                </c:pt>
                <c:pt idx="4">
                  <c:v>43.872</c:v>
                </c:pt>
              </c:numCache>
            </c:numRef>
          </c:val>
        </c:ser>
        <c:ser>
          <c:idx val="15"/>
          <c:order val="15"/>
          <c:tx>
            <c:strRef>
              <c:f>Analysis!$B$16</c:f>
              <c:strCache>
                <c:ptCount val="1"/>
                <c:pt idx="0">
                  <c:v>Agricultural financial services</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Analysis!$C$16:$G$16</c:f>
              <c:numCache>
                <c:formatCode>General</c:formatCode>
                <c:ptCount val="5"/>
                <c:pt idx="0">
                  <c:v>69.528999999999982</c:v>
                </c:pt>
                <c:pt idx="1">
                  <c:v>114.083</c:v>
                </c:pt>
                <c:pt idx="2">
                  <c:v>53.479000000000006</c:v>
                </c:pt>
                <c:pt idx="3">
                  <c:v>48.246000000000002</c:v>
                </c:pt>
                <c:pt idx="4">
                  <c:v>149.29900000000001</c:v>
                </c:pt>
              </c:numCache>
            </c:numRef>
          </c:val>
        </c:ser>
        <c:ser>
          <c:idx val="16"/>
          <c:order val="16"/>
          <c:tx>
            <c:strRef>
              <c:f>Analysis!$B$17</c:f>
              <c:strCache>
                <c:ptCount val="1"/>
                <c:pt idx="0">
                  <c:v>All other</c:v>
                </c:pt>
              </c:strCache>
            </c:strRef>
          </c:tx>
          <c:dLbls>
            <c:numFmt formatCode="#,##0" sourceLinked="0"/>
            <c:showVal val="1"/>
          </c:dLbls>
          <c:cat>
            <c:numRef>
              <c:f>Analysis!$C$1:$G$1</c:f>
              <c:numCache>
                <c:formatCode>General</c:formatCode>
                <c:ptCount val="5"/>
                <c:pt idx="0">
                  <c:v>2007</c:v>
                </c:pt>
                <c:pt idx="1">
                  <c:v>2008</c:v>
                </c:pt>
                <c:pt idx="2">
                  <c:v>2009</c:v>
                </c:pt>
                <c:pt idx="3">
                  <c:v>2010</c:v>
                </c:pt>
                <c:pt idx="4">
                  <c:v>2011</c:v>
                </c:pt>
              </c:numCache>
            </c:numRef>
          </c:cat>
          <c:val>
            <c:numRef>
              <c:f>Analysis!$C$17:$G$17</c:f>
              <c:numCache>
                <c:formatCode>General</c:formatCode>
                <c:ptCount val="5"/>
                <c:pt idx="0">
                  <c:v>104.6</c:v>
                </c:pt>
                <c:pt idx="1">
                  <c:v>86.4</c:v>
                </c:pt>
                <c:pt idx="2">
                  <c:v>162.4</c:v>
                </c:pt>
                <c:pt idx="3">
                  <c:v>112.6</c:v>
                </c:pt>
                <c:pt idx="4">
                  <c:v>63.1</c:v>
                </c:pt>
              </c:numCache>
            </c:numRef>
          </c:val>
        </c:ser>
        <c:overlap val="100"/>
        <c:axId val="107877120"/>
        <c:axId val="107878656"/>
      </c:barChart>
      <c:catAx>
        <c:axId val="107877120"/>
        <c:scaling>
          <c:orientation val="minMax"/>
        </c:scaling>
        <c:axPos val="b"/>
        <c:numFmt formatCode="General" sourceLinked="1"/>
        <c:tickLblPos val="nextTo"/>
        <c:crossAx val="107878656"/>
        <c:crosses val="autoZero"/>
        <c:auto val="1"/>
        <c:lblAlgn val="ctr"/>
        <c:lblOffset val="100"/>
      </c:catAx>
      <c:valAx>
        <c:axId val="107878656"/>
        <c:scaling>
          <c:orientation val="minMax"/>
        </c:scaling>
        <c:axPos val="l"/>
        <c:majorGridlines>
          <c:spPr>
            <a:ln>
              <a:noFill/>
            </a:ln>
          </c:spPr>
        </c:majorGridlines>
        <c:numFmt formatCode="General" sourceLinked="1"/>
        <c:tickLblPos val="nextTo"/>
        <c:crossAx val="107877120"/>
        <c:crosses val="autoZero"/>
        <c:crossBetween val="between"/>
      </c:valAx>
    </c:plotArea>
    <c:plotVisOnly val="1"/>
    <c:dispBlanksAs val="gap"/>
  </c:chart>
  <c:spPr>
    <a:ln>
      <a:noFill/>
    </a:ln>
  </c:spPr>
  <c:txPr>
    <a:bodyPr/>
    <a:lstStyle/>
    <a:p>
      <a:pPr>
        <a:defRPr sz="800"/>
      </a:pPr>
      <a:endParaRPr lang="fr-F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'Key bilateral donors'!$D$55</c:f>
              <c:strCache>
                <c:ptCount val="1"/>
                <c:pt idx="0">
                  <c:v>Bilateral ODA committed to AFF</c:v>
                </c:pt>
              </c:strCache>
            </c:strRef>
          </c:tx>
          <c:cat>
            <c:strRef>
              <c:f>'Key bilateral donors'!$C$56:$C$78</c:f>
              <c:strCache>
                <c:ptCount val="23"/>
                <c:pt idx="0">
                  <c:v>Greece</c:v>
                </c:pt>
                <c:pt idx="1">
                  <c:v>Portugal</c:v>
                </c:pt>
                <c:pt idx="2">
                  <c:v>New Zealand</c:v>
                </c:pt>
                <c:pt idx="3">
                  <c:v>Austria</c:v>
                </c:pt>
                <c:pt idx="4">
                  <c:v>Luxembourg</c:v>
                </c:pt>
                <c:pt idx="5">
                  <c:v>Italy</c:v>
                </c:pt>
                <c:pt idx="6">
                  <c:v>United Kingdom</c:v>
                </c:pt>
                <c:pt idx="7">
                  <c:v>Denmark</c:v>
                </c:pt>
                <c:pt idx="8">
                  <c:v>Switzerland</c:v>
                </c:pt>
                <c:pt idx="9">
                  <c:v>Australia</c:v>
                </c:pt>
                <c:pt idx="10">
                  <c:v>Ireland</c:v>
                </c:pt>
                <c:pt idx="11">
                  <c:v>Netherlands</c:v>
                </c:pt>
                <c:pt idx="12">
                  <c:v>Sweden</c:v>
                </c:pt>
                <c:pt idx="13">
                  <c:v>Spain</c:v>
                </c:pt>
                <c:pt idx="14">
                  <c:v>France</c:v>
                </c:pt>
                <c:pt idx="15">
                  <c:v>Korea</c:v>
                </c:pt>
                <c:pt idx="16">
                  <c:v>Japan</c:v>
                </c:pt>
                <c:pt idx="17">
                  <c:v>Norway</c:v>
                </c:pt>
                <c:pt idx="18">
                  <c:v>Finland</c:v>
                </c:pt>
                <c:pt idx="19">
                  <c:v>Canada</c:v>
                </c:pt>
                <c:pt idx="20">
                  <c:v>Belgium</c:v>
                </c:pt>
                <c:pt idx="21">
                  <c:v>Germany</c:v>
                </c:pt>
                <c:pt idx="22">
                  <c:v>United States</c:v>
                </c:pt>
              </c:strCache>
            </c:strRef>
          </c:cat>
          <c:val>
            <c:numRef>
              <c:f>'Key bilateral donors'!$D$56:$D$78</c:f>
              <c:numCache>
                <c:formatCode>#,##0</c:formatCode>
                <c:ptCount val="23"/>
                <c:pt idx="0">
                  <c:v>0</c:v>
                </c:pt>
                <c:pt idx="1">
                  <c:v>1.5680000000000001</c:v>
                </c:pt>
                <c:pt idx="2">
                  <c:v>1.907</c:v>
                </c:pt>
                <c:pt idx="3">
                  <c:v>3.2880000000000011</c:v>
                </c:pt>
                <c:pt idx="4">
                  <c:v>8.5090000000000003</c:v>
                </c:pt>
                <c:pt idx="5">
                  <c:v>19.841000000000001</c:v>
                </c:pt>
                <c:pt idx="6">
                  <c:v>28.5</c:v>
                </c:pt>
                <c:pt idx="7">
                  <c:v>33.564</c:v>
                </c:pt>
                <c:pt idx="8">
                  <c:v>34.341000000000001</c:v>
                </c:pt>
                <c:pt idx="9">
                  <c:v>42.015000000000001</c:v>
                </c:pt>
                <c:pt idx="10">
                  <c:v>45.216000000000001</c:v>
                </c:pt>
                <c:pt idx="11">
                  <c:v>49.883999999999993</c:v>
                </c:pt>
                <c:pt idx="12">
                  <c:v>64.299000000000007</c:v>
                </c:pt>
                <c:pt idx="13">
                  <c:v>71.488</c:v>
                </c:pt>
                <c:pt idx="14">
                  <c:v>77.724000000000004</c:v>
                </c:pt>
                <c:pt idx="15">
                  <c:v>92.783000000000001</c:v>
                </c:pt>
                <c:pt idx="16">
                  <c:v>108.255</c:v>
                </c:pt>
                <c:pt idx="17">
                  <c:v>110.495</c:v>
                </c:pt>
                <c:pt idx="18">
                  <c:v>118.589</c:v>
                </c:pt>
                <c:pt idx="19">
                  <c:v>158.05700000000004</c:v>
                </c:pt>
                <c:pt idx="20">
                  <c:v>162.27199999999999</c:v>
                </c:pt>
                <c:pt idx="21">
                  <c:v>296.1209999999997</c:v>
                </c:pt>
                <c:pt idx="22">
                  <c:v>509.28399999999954</c:v>
                </c:pt>
              </c:numCache>
            </c:numRef>
          </c:val>
        </c:ser>
        <c:axId val="107904384"/>
        <c:axId val="107910272"/>
      </c:barChart>
      <c:lineChart>
        <c:grouping val="standard"/>
        <c:ser>
          <c:idx val="1"/>
          <c:order val="1"/>
          <c:tx>
            <c:strRef>
              <c:f>'Key bilateral donors'!$E$55</c:f>
              <c:strCache>
                <c:ptCount val="1"/>
                <c:pt idx="0">
                  <c:v>Percentage of total ODA committed to AFF in Africa</c:v>
                </c:pt>
              </c:strCache>
            </c:strRef>
          </c:tx>
          <c:cat>
            <c:strRef>
              <c:f>'Key bilateral donors'!$C$56:$C$78</c:f>
              <c:strCache>
                <c:ptCount val="23"/>
                <c:pt idx="0">
                  <c:v>Greece</c:v>
                </c:pt>
                <c:pt idx="1">
                  <c:v>Portugal</c:v>
                </c:pt>
                <c:pt idx="2">
                  <c:v>New Zealand</c:v>
                </c:pt>
                <c:pt idx="3">
                  <c:v>Austria</c:v>
                </c:pt>
                <c:pt idx="4">
                  <c:v>Luxembourg</c:v>
                </c:pt>
                <c:pt idx="5">
                  <c:v>Italy</c:v>
                </c:pt>
                <c:pt idx="6">
                  <c:v>United Kingdom</c:v>
                </c:pt>
                <c:pt idx="7">
                  <c:v>Denmark</c:v>
                </c:pt>
                <c:pt idx="8">
                  <c:v>Switzerland</c:v>
                </c:pt>
                <c:pt idx="9">
                  <c:v>Australia</c:v>
                </c:pt>
                <c:pt idx="10">
                  <c:v>Ireland</c:v>
                </c:pt>
                <c:pt idx="11">
                  <c:v>Netherlands</c:v>
                </c:pt>
                <c:pt idx="12">
                  <c:v>Sweden</c:v>
                </c:pt>
                <c:pt idx="13">
                  <c:v>Spain</c:v>
                </c:pt>
                <c:pt idx="14">
                  <c:v>France</c:v>
                </c:pt>
                <c:pt idx="15">
                  <c:v>Korea</c:v>
                </c:pt>
                <c:pt idx="16">
                  <c:v>Japan</c:v>
                </c:pt>
                <c:pt idx="17">
                  <c:v>Norway</c:v>
                </c:pt>
                <c:pt idx="18">
                  <c:v>Finland</c:v>
                </c:pt>
                <c:pt idx="19">
                  <c:v>Canada</c:v>
                </c:pt>
                <c:pt idx="20">
                  <c:v>Belgium</c:v>
                </c:pt>
                <c:pt idx="21">
                  <c:v>Germany</c:v>
                </c:pt>
                <c:pt idx="22">
                  <c:v>United States</c:v>
                </c:pt>
              </c:strCache>
            </c:strRef>
          </c:cat>
          <c:val>
            <c:numRef>
              <c:f>'Key bilateral donors'!$E$56:$E$78</c:f>
              <c:numCache>
                <c:formatCode>0%</c:formatCode>
                <c:ptCount val="23"/>
                <c:pt idx="0">
                  <c:v>0</c:v>
                </c:pt>
                <c:pt idx="1">
                  <c:v>0</c:v>
                </c:pt>
                <c:pt idx="2">
                  <c:v>0.11</c:v>
                </c:pt>
                <c:pt idx="3">
                  <c:v>3.0000000000000002E-2</c:v>
                </c:pt>
                <c:pt idx="4">
                  <c:v>7.0000000000000021E-2</c:v>
                </c:pt>
                <c:pt idx="5">
                  <c:v>2.0000000000000011E-2</c:v>
                </c:pt>
                <c:pt idx="6">
                  <c:v>1.6975661535135005E-2</c:v>
                </c:pt>
                <c:pt idx="7">
                  <c:v>3.0000000000000002E-2</c:v>
                </c:pt>
                <c:pt idx="8">
                  <c:v>0</c:v>
                </c:pt>
                <c:pt idx="9">
                  <c:v>0.112856044647225</c:v>
                </c:pt>
                <c:pt idx="10">
                  <c:v>0.11</c:v>
                </c:pt>
                <c:pt idx="11">
                  <c:v>9.0000000000000024E-2</c:v>
                </c:pt>
                <c:pt idx="12">
                  <c:v>6.0000000000000032E-2</c:v>
                </c:pt>
                <c:pt idx="13">
                  <c:v>8.0000000000000043E-2</c:v>
                </c:pt>
                <c:pt idx="14">
                  <c:v>2.0000000000000011E-2</c:v>
                </c:pt>
                <c:pt idx="15">
                  <c:v>0.2100000000000001</c:v>
                </c:pt>
                <c:pt idx="16">
                  <c:v>0.05</c:v>
                </c:pt>
                <c:pt idx="17">
                  <c:v>0.1</c:v>
                </c:pt>
                <c:pt idx="18">
                  <c:v>0.23</c:v>
                </c:pt>
                <c:pt idx="19">
                  <c:v>9.0000000000000024E-2</c:v>
                </c:pt>
                <c:pt idx="20">
                  <c:v>0.17</c:v>
                </c:pt>
                <c:pt idx="21">
                  <c:v>1.7555584985970901E-2</c:v>
                </c:pt>
                <c:pt idx="22">
                  <c:v>5.0178096951897733E-2</c:v>
                </c:pt>
              </c:numCache>
            </c:numRef>
          </c:val>
        </c:ser>
        <c:marker val="1"/>
        <c:axId val="107922560"/>
        <c:axId val="107912192"/>
      </c:lineChart>
      <c:catAx>
        <c:axId val="107904384"/>
        <c:scaling>
          <c:orientation val="minMax"/>
        </c:scaling>
        <c:axPos val="b"/>
        <c:tickLblPos val="nextTo"/>
        <c:crossAx val="107910272"/>
        <c:crosses val="autoZero"/>
        <c:auto val="1"/>
        <c:lblAlgn val="ctr"/>
        <c:lblOffset val="100"/>
      </c:catAx>
      <c:valAx>
        <c:axId val="107910272"/>
        <c:scaling>
          <c:orientation val="minMax"/>
        </c:scaling>
        <c:axPos val="l"/>
        <c:majorGridlines/>
        <c:title>
          <c:tx>
            <c:rich>
              <a:bodyPr rot="-5400000" vert="horz"/>
              <a:lstStyle/>
              <a:p>
                <a:pPr>
                  <a:defRPr/>
                </a:pPr>
                <a:r>
                  <a:rPr lang="en-US"/>
                  <a:t>US$ millions in ODA commitments</a:t>
                </a:r>
              </a:p>
            </c:rich>
          </c:tx>
        </c:title>
        <c:numFmt formatCode="[$$-409]#,##0" sourceLinked="0"/>
        <c:tickLblPos val="nextTo"/>
        <c:crossAx val="107904384"/>
        <c:crosses val="autoZero"/>
        <c:crossBetween val="between"/>
      </c:valAx>
      <c:valAx>
        <c:axId val="107912192"/>
        <c:scaling>
          <c:orientation val="minMax"/>
        </c:scaling>
        <c:axPos val="r"/>
        <c:title>
          <c:tx>
            <c:rich>
              <a:bodyPr rot="-5400000" vert="horz"/>
              <a:lstStyle/>
              <a:p>
                <a:pPr>
                  <a:defRPr/>
                </a:pPr>
                <a:r>
                  <a:rPr lang="en-US"/>
                  <a:t>Percentage of total ODA committed to African AFF</a:t>
                </a:r>
              </a:p>
            </c:rich>
          </c:tx>
        </c:title>
        <c:numFmt formatCode="0%" sourceLinked="1"/>
        <c:tickLblPos val="nextTo"/>
        <c:crossAx val="107922560"/>
        <c:crosses val="max"/>
        <c:crossBetween val="between"/>
      </c:valAx>
      <c:catAx>
        <c:axId val="107922560"/>
        <c:scaling>
          <c:orientation val="minMax"/>
        </c:scaling>
        <c:delete val="1"/>
        <c:axPos val="b"/>
        <c:tickLblPos val="none"/>
        <c:crossAx val="107912192"/>
        <c:crosses val="autoZero"/>
        <c:auto val="1"/>
        <c:lblAlgn val="ctr"/>
        <c:lblOffset val="100"/>
      </c:cat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dLbls>
            <c:showVal val="1"/>
          </c:dLbls>
          <c:cat>
            <c:strRef>
              <c:f>Sheet2!$B$8:$B$13</c:f>
              <c:strCache>
                <c:ptCount val="6"/>
                <c:pt idx="0">
                  <c:v>Kuwait</c:v>
                </c:pt>
                <c:pt idx="1">
                  <c:v>Brazil</c:v>
                </c:pt>
                <c:pt idx="2">
                  <c:v>Taiwan</c:v>
                </c:pt>
                <c:pt idx="3">
                  <c:v>Slovak Republic</c:v>
                </c:pt>
                <c:pt idx="4">
                  <c:v>Thailand</c:v>
                </c:pt>
                <c:pt idx="5">
                  <c:v>Cyprus   </c:v>
                </c:pt>
              </c:strCache>
            </c:strRef>
          </c:cat>
          <c:val>
            <c:numRef>
              <c:f>Sheet2!$C$8:$C$13</c:f>
              <c:numCache>
                <c:formatCode>#,##0</c:formatCode>
                <c:ptCount val="6"/>
                <c:pt idx="0">
                  <c:v>14892000</c:v>
                </c:pt>
                <c:pt idx="1">
                  <c:v>6536000</c:v>
                </c:pt>
                <c:pt idx="2">
                  <c:v>3380000</c:v>
                </c:pt>
                <c:pt idx="3">
                  <c:v>514000</c:v>
                </c:pt>
                <c:pt idx="4">
                  <c:v>132000</c:v>
                </c:pt>
                <c:pt idx="5">
                  <c:v>13000</c:v>
                </c:pt>
              </c:numCache>
            </c:numRef>
          </c:val>
        </c:ser>
        <c:axId val="107933696"/>
        <c:axId val="107935232"/>
      </c:barChart>
      <c:catAx>
        <c:axId val="107933696"/>
        <c:scaling>
          <c:orientation val="minMax"/>
        </c:scaling>
        <c:axPos val="b"/>
        <c:tickLblPos val="nextTo"/>
        <c:crossAx val="107935232"/>
        <c:crosses val="autoZero"/>
        <c:auto val="1"/>
        <c:lblAlgn val="ctr"/>
        <c:lblOffset val="100"/>
      </c:catAx>
      <c:valAx>
        <c:axId val="107935232"/>
        <c:scaling>
          <c:orientation val="minMax"/>
        </c:scaling>
        <c:axPos val="l"/>
        <c:majorGridlines>
          <c:spPr>
            <a:ln>
              <a:noFill/>
            </a:ln>
          </c:spPr>
        </c:majorGridlines>
        <c:numFmt formatCode="#,##0" sourceLinked="1"/>
        <c:tickLblPos val="nextTo"/>
        <c:crossAx val="107933696"/>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dLbls>
            <c:dLbl>
              <c:idx val="3"/>
              <c:tx>
                <c:rich>
                  <a:bodyPr/>
                  <a:lstStyle/>
                  <a:p>
                    <a:r>
                      <a:rPr lang="en-US" sz="800"/>
                      <a:t>$28,968 (1)</a:t>
                    </a:r>
                    <a:endParaRPr lang="en-US"/>
                  </a:p>
                </c:rich>
              </c:tx>
              <c:showVal val="1"/>
            </c:dLbl>
            <c:dLbl>
              <c:idx val="6"/>
              <c:tx>
                <c:rich>
                  <a:bodyPr/>
                  <a:lstStyle/>
                  <a:p>
                    <a:r>
                      <a:rPr lang="en-US" sz="800"/>
                      <a:t>$58,650 (1)</a:t>
                    </a:r>
                    <a:endParaRPr lang="en-US"/>
                  </a:p>
                </c:rich>
              </c:tx>
              <c:showVal val="1"/>
            </c:dLbl>
            <c:dLbl>
              <c:idx val="8"/>
              <c:tx>
                <c:rich>
                  <a:bodyPr/>
                  <a:lstStyle/>
                  <a:p>
                    <a:r>
                      <a:rPr lang="en-US" sz="800"/>
                      <a:t>$92,331 (2)</a:t>
                    </a:r>
                    <a:endParaRPr lang="en-US"/>
                  </a:p>
                </c:rich>
              </c:tx>
              <c:showVal val="1"/>
            </c:dLbl>
            <c:dLbl>
              <c:idx val="10"/>
              <c:tx>
                <c:rich>
                  <a:bodyPr/>
                  <a:lstStyle/>
                  <a:p>
                    <a:r>
                      <a:rPr lang="en-US" sz="800"/>
                      <a:t>$186,578 (2)</a:t>
                    </a:r>
                    <a:endParaRPr lang="en-US"/>
                  </a:p>
                </c:rich>
              </c:tx>
              <c:showVal val="1"/>
            </c:dLbl>
            <c:dLbl>
              <c:idx val="11"/>
              <c:tx>
                <c:rich>
                  <a:bodyPr/>
                  <a:lstStyle/>
                  <a:p>
                    <a:r>
                      <a:rPr lang="en-US" sz="800"/>
                      <a:t>$203,448 (3)</a:t>
                    </a:r>
                    <a:endParaRPr lang="en-US"/>
                  </a:p>
                </c:rich>
              </c:tx>
              <c:showVal val="1"/>
            </c:dLbl>
            <c:dLbl>
              <c:idx val="12"/>
              <c:tx>
                <c:rich>
                  <a:bodyPr/>
                  <a:lstStyle/>
                  <a:p>
                    <a:r>
                      <a:rPr lang="en-US" sz="800"/>
                      <a:t>$228,926 (1)</a:t>
                    </a:r>
                    <a:endParaRPr lang="en-US"/>
                  </a:p>
                </c:rich>
              </c:tx>
              <c:showVal val="1"/>
            </c:dLbl>
            <c:dLbl>
              <c:idx val="13"/>
              <c:tx>
                <c:rich>
                  <a:bodyPr/>
                  <a:lstStyle/>
                  <a:p>
                    <a:r>
                      <a:rPr lang="en-US" sz="800"/>
                      <a:t>$235,091 (1)</a:t>
                    </a:r>
                    <a:endParaRPr lang="en-US"/>
                  </a:p>
                </c:rich>
              </c:tx>
              <c:showVal val="1"/>
            </c:dLbl>
            <c:dLbl>
              <c:idx val="14"/>
              <c:tx>
                <c:rich>
                  <a:bodyPr/>
                  <a:lstStyle/>
                  <a:p>
                    <a:r>
                      <a:rPr lang="en-US" sz="800"/>
                      <a:t>$235,091 (1)</a:t>
                    </a:r>
                    <a:endParaRPr lang="en-US"/>
                  </a:p>
                </c:rich>
              </c:tx>
              <c:showVal val="1"/>
            </c:dLbl>
            <c:dLbl>
              <c:idx val="15"/>
              <c:tx>
                <c:rich>
                  <a:bodyPr/>
                  <a:lstStyle/>
                  <a:p>
                    <a:r>
                      <a:rPr lang="en-US" sz="800"/>
                      <a:t>$241,937 (2)</a:t>
                    </a:r>
                    <a:endParaRPr lang="en-US"/>
                  </a:p>
                </c:rich>
              </c:tx>
              <c:showVal val="1"/>
            </c:dLbl>
            <c:dLbl>
              <c:idx val="16"/>
              <c:tx>
                <c:rich>
                  <a:bodyPr/>
                  <a:lstStyle/>
                  <a:p>
                    <a:r>
                      <a:rPr lang="en-US" sz="800"/>
                      <a:t>$268,289 (2)</a:t>
                    </a:r>
                    <a:endParaRPr lang="en-US"/>
                  </a:p>
                </c:rich>
              </c:tx>
              <c:showVal val="1"/>
            </c:dLbl>
            <c:dLbl>
              <c:idx val="17"/>
              <c:tx>
                <c:rich>
                  <a:bodyPr/>
                  <a:lstStyle/>
                  <a:p>
                    <a:r>
                      <a:rPr lang="en-US" sz="800"/>
                      <a:t>$281,575 (3)</a:t>
                    </a:r>
                    <a:endParaRPr lang="en-US"/>
                  </a:p>
                </c:rich>
              </c:tx>
              <c:showVal val="1"/>
            </c:dLbl>
            <c:dLbl>
              <c:idx val="18"/>
              <c:tx>
                <c:rich>
                  <a:bodyPr/>
                  <a:lstStyle/>
                  <a:p>
                    <a:r>
                      <a:rPr lang="en-US" sz="800"/>
                      <a:t>$293,475 (2)</a:t>
                    </a:r>
                    <a:endParaRPr lang="en-US"/>
                  </a:p>
                </c:rich>
              </c:tx>
              <c:showVal val="1"/>
            </c:dLbl>
            <c:dLbl>
              <c:idx val="19"/>
              <c:tx>
                <c:rich>
                  <a:bodyPr/>
                  <a:lstStyle/>
                  <a:p>
                    <a:r>
                      <a:rPr lang="en-US" sz="800"/>
                      <a:t>$335,506 (3)</a:t>
                    </a:r>
                    <a:endParaRPr lang="en-US"/>
                  </a:p>
                </c:rich>
              </c:tx>
              <c:showVal val="1"/>
            </c:dLbl>
            <c:dLbl>
              <c:idx val="20"/>
              <c:tx>
                <c:rich>
                  <a:bodyPr/>
                  <a:lstStyle/>
                  <a:p>
                    <a:r>
                      <a:rPr lang="en-US" sz="800"/>
                      <a:t>$343,574 (2)</a:t>
                    </a:r>
                    <a:endParaRPr lang="en-US"/>
                  </a:p>
                </c:rich>
              </c:tx>
              <c:showVal val="1"/>
            </c:dLbl>
            <c:dLbl>
              <c:idx val="21"/>
              <c:tx>
                <c:rich>
                  <a:bodyPr/>
                  <a:lstStyle/>
                  <a:p>
                    <a:r>
                      <a:rPr lang="en-US" sz="800"/>
                      <a:t>$908,459 (4)</a:t>
                    </a:r>
                    <a:endParaRPr lang="en-US"/>
                  </a:p>
                </c:rich>
              </c:tx>
              <c:showVal val="1"/>
            </c:dLbl>
            <c:dLbl>
              <c:idx val="22"/>
              <c:tx>
                <c:rich>
                  <a:bodyPr/>
                  <a:lstStyle/>
                  <a:p>
                    <a:r>
                      <a:rPr lang="en-US" sz="800"/>
                      <a:t>$2,247,465 (4)</a:t>
                    </a:r>
                    <a:endParaRPr lang="en-US"/>
                  </a:p>
                </c:rich>
              </c:tx>
              <c:showVal val="1"/>
            </c:dLbl>
            <c:txPr>
              <a:bodyPr/>
              <a:lstStyle/>
              <a:p>
                <a:pPr>
                  <a:defRPr sz="800"/>
                </a:pPr>
                <a:endParaRPr lang="fr-FR"/>
              </a:p>
            </c:txPr>
            <c:showVal val="1"/>
          </c:dLbls>
          <c:cat>
            <c:strRef>
              <c:f>Sheet4!$A$2:$A$24</c:f>
              <c:strCache>
                <c:ptCount val="23"/>
                <c:pt idx="0">
                  <c:v>Ethiopia</c:v>
                </c:pt>
                <c:pt idx="1">
                  <c:v>Gabon</c:v>
                </c:pt>
                <c:pt idx="2">
                  <c:v>Burkina Faso</c:v>
                </c:pt>
                <c:pt idx="3">
                  <c:v>Chad</c:v>
                </c:pt>
                <c:pt idx="4">
                  <c:v>Mali</c:v>
                </c:pt>
                <c:pt idx="5">
                  <c:v>Benin</c:v>
                </c:pt>
                <c:pt idx="6">
                  <c:v>Congo, Rep</c:v>
                </c:pt>
                <c:pt idx="7">
                  <c:v>Namibia</c:v>
                </c:pt>
                <c:pt idx="8">
                  <c:v>South Africa</c:v>
                </c:pt>
                <c:pt idx="9">
                  <c:v>Sao Tome &amp; Principe</c:v>
                </c:pt>
                <c:pt idx="10">
                  <c:v>Ghana</c:v>
                </c:pt>
                <c:pt idx="11">
                  <c:v>Cameroon</c:v>
                </c:pt>
                <c:pt idx="12">
                  <c:v>Zimbabwe</c:v>
                </c:pt>
                <c:pt idx="13">
                  <c:v>Liberia</c:v>
                </c:pt>
                <c:pt idx="14">
                  <c:v>Sierra Leone</c:v>
                </c:pt>
                <c:pt idx="15">
                  <c:v>Algeria</c:v>
                </c:pt>
                <c:pt idx="16">
                  <c:v>Cape Verde</c:v>
                </c:pt>
                <c:pt idx="17">
                  <c:v>Tanzania</c:v>
                </c:pt>
                <c:pt idx="18">
                  <c:v>Guinea-Bissau</c:v>
                </c:pt>
                <c:pt idx="19">
                  <c:v>Angola</c:v>
                </c:pt>
                <c:pt idx="20">
                  <c:v>Nigeria</c:v>
                </c:pt>
                <c:pt idx="21">
                  <c:v>Mozambique</c:v>
                </c:pt>
                <c:pt idx="22">
                  <c:v>Senegal</c:v>
                </c:pt>
              </c:strCache>
            </c:strRef>
          </c:cat>
          <c:val>
            <c:numRef>
              <c:f>Sheet4!$B$2:$B$24</c:f>
              <c:numCache>
                <c:formatCode>[$$-409]#,##0</c:formatCode>
                <c:ptCount val="23"/>
                <c:pt idx="0">
                  <c:v>20001</c:v>
                </c:pt>
                <c:pt idx="1">
                  <c:v>27870</c:v>
                </c:pt>
                <c:pt idx="2">
                  <c:v>28968</c:v>
                </c:pt>
                <c:pt idx="3">
                  <c:v>28968</c:v>
                </c:pt>
                <c:pt idx="4">
                  <c:v>28968</c:v>
                </c:pt>
                <c:pt idx="5">
                  <c:v>51097</c:v>
                </c:pt>
                <c:pt idx="6">
                  <c:v>58650</c:v>
                </c:pt>
                <c:pt idx="7">
                  <c:v>60363</c:v>
                </c:pt>
                <c:pt idx="8">
                  <c:v>92331</c:v>
                </c:pt>
                <c:pt idx="9">
                  <c:v>129759</c:v>
                </c:pt>
                <c:pt idx="10">
                  <c:v>186578</c:v>
                </c:pt>
                <c:pt idx="11">
                  <c:v>203448</c:v>
                </c:pt>
                <c:pt idx="12">
                  <c:v>228926</c:v>
                </c:pt>
                <c:pt idx="13">
                  <c:v>235091</c:v>
                </c:pt>
                <c:pt idx="14">
                  <c:v>235091</c:v>
                </c:pt>
                <c:pt idx="15">
                  <c:v>241937</c:v>
                </c:pt>
                <c:pt idx="16">
                  <c:v>268289</c:v>
                </c:pt>
                <c:pt idx="17">
                  <c:v>281575</c:v>
                </c:pt>
                <c:pt idx="18">
                  <c:v>293475</c:v>
                </c:pt>
                <c:pt idx="19">
                  <c:v>335506</c:v>
                </c:pt>
                <c:pt idx="20">
                  <c:v>343574</c:v>
                </c:pt>
                <c:pt idx="21">
                  <c:v>908459</c:v>
                </c:pt>
                <c:pt idx="22">
                  <c:v>2247465</c:v>
                </c:pt>
              </c:numCache>
            </c:numRef>
          </c:val>
        </c:ser>
        <c:axId val="111941888"/>
        <c:axId val="111984640"/>
      </c:barChart>
      <c:catAx>
        <c:axId val="111941888"/>
        <c:scaling>
          <c:orientation val="minMax"/>
        </c:scaling>
        <c:axPos val="l"/>
        <c:tickLblPos val="nextTo"/>
        <c:txPr>
          <a:bodyPr/>
          <a:lstStyle/>
          <a:p>
            <a:pPr>
              <a:defRPr sz="800"/>
            </a:pPr>
            <a:endParaRPr lang="fr-FR"/>
          </a:p>
        </c:txPr>
        <c:crossAx val="111984640"/>
        <c:crosses val="autoZero"/>
        <c:auto val="1"/>
        <c:lblAlgn val="ctr"/>
        <c:lblOffset val="100"/>
      </c:catAx>
      <c:valAx>
        <c:axId val="111984640"/>
        <c:scaling>
          <c:orientation val="minMax"/>
        </c:scaling>
        <c:axPos val="b"/>
        <c:numFmt formatCode="[$$-409]#,##0" sourceLinked="1"/>
        <c:tickLblPos val="nextTo"/>
        <c:txPr>
          <a:bodyPr/>
          <a:lstStyle/>
          <a:p>
            <a:pPr>
              <a:defRPr sz="800"/>
            </a:pPr>
            <a:endParaRPr lang="fr-FR"/>
          </a:p>
        </c:txPr>
        <c:crossAx val="111941888"/>
        <c:crosses val="autoZero"/>
        <c:crossBetween val="between"/>
      </c:valAx>
      <c:spPr>
        <a:ln>
          <a:noFill/>
        </a:ln>
      </c:spPr>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stacked"/>
        <c:ser>
          <c:idx val="0"/>
          <c:order val="0"/>
          <c:tx>
            <c:strRef>
              <c:f>Sheet1!$A$2</c:f>
              <c:strCache>
                <c:ptCount val="1"/>
                <c:pt idx="0">
                  <c:v>AfDB</c:v>
                </c:pt>
              </c:strCache>
            </c:strRef>
          </c:tx>
          <c:cat>
            <c:numRef>
              <c:f>Sheet1!$B$1:$F$1</c:f>
              <c:numCache>
                <c:formatCode>General</c:formatCode>
                <c:ptCount val="5"/>
                <c:pt idx="0">
                  <c:v>2007</c:v>
                </c:pt>
                <c:pt idx="1">
                  <c:v>2008</c:v>
                </c:pt>
                <c:pt idx="2">
                  <c:v>2009</c:v>
                </c:pt>
                <c:pt idx="3">
                  <c:v>2010</c:v>
                </c:pt>
                <c:pt idx="4">
                  <c:v>2011</c:v>
                </c:pt>
              </c:numCache>
            </c:numRef>
          </c:cat>
          <c:val>
            <c:numRef>
              <c:f>Sheet1!$B$2:$F$2</c:f>
              <c:numCache>
                <c:formatCode>General</c:formatCode>
                <c:ptCount val="5"/>
                <c:pt idx="0">
                  <c:v>0</c:v>
                </c:pt>
                <c:pt idx="1">
                  <c:v>0</c:v>
                </c:pt>
                <c:pt idx="2">
                  <c:v>0</c:v>
                </c:pt>
                <c:pt idx="3">
                  <c:v>0</c:v>
                </c:pt>
                <c:pt idx="4">
                  <c:v>1.7</c:v>
                </c:pt>
              </c:numCache>
            </c:numRef>
          </c:val>
        </c:ser>
        <c:ser>
          <c:idx val="1"/>
          <c:order val="1"/>
          <c:tx>
            <c:strRef>
              <c:f>Sheet1!$A$3</c:f>
              <c:strCache>
                <c:ptCount val="1"/>
                <c:pt idx="0">
                  <c:v>AfDF</c:v>
                </c:pt>
              </c:strCache>
            </c:strRef>
          </c:tx>
          <c:cat>
            <c:numRef>
              <c:f>Sheet1!$B$1:$F$1</c:f>
              <c:numCache>
                <c:formatCode>General</c:formatCode>
                <c:ptCount val="5"/>
                <c:pt idx="0">
                  <c:v>2007</c:v>
                </c:pt>
                <c:pt idx="1">
                  <c:v>2008</c:v>
                </c:pt>
                <c:pt idx="2">
                  <c:v>2009</c:v>
                </c:pt>
                <c:pt idx="3">
                  <c:v>2010</c:v>
                </c:pt>
                <c:pt idx="4">
                  <c:v>2011</c:v>
                </c:pt>
              </c:numCache>
            </c:numRef>
          </c:cat>
          <c:val>
            <c:numRef>
              <c:f>Sheet1!$B$3:$F$3</c:f>
              <c:numCache>
                <c:formatCode>General</c:formatCode>
                <c:ptCount val="5"/>
                <c:pt idx="0">
                  <c:v>235.7</c:v>
                </c:pt>
                <c:pt idx="1">
                  <c:v>0</c:v>
                </c:pt>
                <c:pt idx="2">
                  <c:v>269.8</c:v>
                </c:pt>
                <c:pt idx="3">
                  <c:v>9.1</c:v>
                </c:pt>
                <c:pt idx="4">
                  <c:v>210.5</c:v>
                </c:pt>
              </c:numCache>
            </c:numRef>
          </c:val>
        </c:ser>
        <c:ser>
          <c:idx val="2"/>
          <c:order val="2"/>
          <c:tx>
            <c:strRef>
              <c:f>Sheet1!$A$4</c:f>
              <c:strCache>
                <c:ptCount val="1"/>
                <c:pt idx="0">
                  <c:v>Arab Fund (AFESD)</c:v>
                </c:pt>
              </c:strCache>
            </c:strRef>
          </c:tx>
          <c:cat>
            <c:numRef>
              <c:f>Sheet1!$B$1:$F$1</c:f>
              <c:numCache>
                <c:formatCode>General</c:formatCode>
                <c:ptCount val="5"/>
                <c:pt idx="0">
                  <c:v>2007</c:v>
                </c:pt>
                <c:pt idx="1">
                  <c:v>2008</c:v>
                </c:pt>
                <c:pt idx="2">
                  <c:v>2009</c:v>
                </c:pt>
                <c:pt idx="3">
                  <c:v>2010</c:v>
                </c:pt>
                <c:pt idx="4">
                  <c:v>2011</c:v>
                </c:pt>
              </c:numCache>
            </c:numRef>
          </c:cat>
          <c:val>
            <c:numRef>
              <c:f>Sheet1!$B$4:$F$4</c:f>
              <c:numCache>
                <c:formatCode>General</c:formatCode>
                <c:ptCount val="5"/>
                <c:pt idx="0">
                  <c:v>0</c:v>
                </c:pt>
                <c:pt idx="1">
                  <c:v>274.39999999999969</c:v>
                </c:pt>
                <c:pt idx="2">
                  <c:v>1</c:v>
                </c:pt>
                <c:pt idx="3">
                  <c:v>146.6</c:v>
                </c:pt>
                <c:pt idx="4">
                  <c:v>181.6</c:v>
                </c:pt>
              </c:numCache>
            </c:numRef>
          </c:val>
        </c:ser>
        <c:ser>
          <c:idx val="3"/>
          <c:order val="3"/>
          <c:tx>
            <c:strRef>
              <c:f>Sheet1!$A$5</c:f>
              <c:strCache>
                <c:ptCount val="1"/>
                <c:pt idx="0">
                  <c:v>BADEA</c:v>
                </c:pt>
              </c:strCache>
            </c:strRef>
          </c:tx>
          <c:cat>
            <c:numRef>
              <c:f>Sheet1!$B$1:$F$1</c:f>
              <c:numCache>
                <c:formatCode>General</c:formatCode>
                <c:ptCount val="5"/>
                <c:pt idx="0">
                  <c:v>2007</c:v>
                </c:pt>
                <c:pt idx="1">
                  <c:v>2008</c:v>
                </c:pt>
                <c:pt idx="2">
                  <c:v>2009</c:v>
                </c:pt>
                <c:pt idx="3">
                  <c:v>2010</c:v>
                </c:pt>
                <c:pt idx="4">
                  <c:v>2011</c:v>
                </c:pt>
              </c:numCache>
            </c:numRef>
          </c:cat>
          <c:val>
            <c:numRef>
              <c:f>Sheet1!$B$5:$F$5</c:f>
              <c:numCache>
                <c:formatCode>General</c:formatCode>
                <c:ptCount val="5"/>
                <c:pt idx="0">
                  <c:v>0</c:v>
                </c:pt>
                <c:pt idx="1">
                  <c:v>0</c:v>
                </c:pt>
                <c:pt idx="2">
                  <c:v>0</c:v>
                </c:pt>
                <c:pt idx="3">
                  <c:v>0</c:v>
                </c:pt>
                <c:pt idx="4">
                  <c:v>11.5</c:v>
                </c:pt>
              </c:numCache>
            </c:numRef>
          </c:val>
        </c:ser>
        <c:ser>
          <c:idx val="4"/>
          <c:order val="4"/>
          <c:tx>
            <c:strRef>
              <c:f>Sheet1!$A$6</c:f>
              <c:strCache>
                <c:ptCount val="1"/>
                <c:pt idx="0">
                  <c:v>EU Institutions</c:v>
                </c:pt>
              </c:strCache>
            </c:strRef>
          </c:tx>
          <c:cat>
            <c:numRef>
              <c:f>Sheet1!$B$1:$F$1</c:f>
              <c:numCache>
                <c:formatCode>General</c:formatCode>
                <c:ptCount val="5"/>
                <c:pt idx="0">
                  <c:v>2007</c:v>
                </c:pt>
                <c:pt idx="1">
                  <c:v>2008</c:v>
                </c:pt>
                <c:pt idx="2">
                  <c:v>2009</c:v>
                </c:pt>
                <c:pt idx="3">
                  <c:v>2010</c:v>
                </c:pt>
                <c:pt idx="4">
                  <c:v>2011</c:v>
                </c:pt>
              </c:numCache>
            </c:numRef>
          </c:cat>
          <c:val>
            <c:numRef>
              <c:f>Sheet1!$B$6:$F$6</c:f>
              <c:numCache>
                <c:formatCode>General</c:formatCode>
                <c:ptCount val="5"/>
                <c:pt idx="0">
                  <c:v>194.9</c:v>
                </c:pt>
                <c:pt idx="1">
                  <c:v>215.9</c:v>
                </c:pt>
                <c:pt idx="2">
                  <c:v>362.8</c:v>
                </c:pt>
                <c:pt idx="3">
                  <c:v>436</c:v>
                </c:pt>
                <c:pt idx="4">
                  <c:v>429.8</c:v>
                </c:pt>
              </c:numCache>
            </c:numRef>
          </c:val>
        </c:ser>
        <c:ser>
          <c:idx val="5"/>
          <c:order val="5"/>
          <c:tx>
            <c:strRef>
              <c:f>Sheet1!$A$7</c:f>
              <c:strCache>
                <c:ptCount val="1"/>
                <c:pt idx="0">
                  <c:v>GEF</c:v>
                </c:pt>
              </c:strCache>
            </c:strRef>
          </c:tx>
          <c:cat>
            <c:numRef>
              <c:f>Sheet1!$B$1:$F$1</c:f>
              <c:numCache>
                <c:formatCode>General</c:formatCode>
                <c:ptCount val="5"/>
                <c:pt idx="0">
                  <c:v>2007</c:v>
                </c:pt>
                <c:pt idx="1">
                  <c:v>2008</c:v>
                </c:pt>
                <c:pt idx="2">
                  <c:v>2009</c:v>
                </c:pt>
                <c:pt idx="3">
                  <c:v>2010</c:v>
                </c:pt>
                <c:pt idx="4">
                  <c:v>2011</c:v>
                </c:pt>
              </c:numCache>
            </c:numRef>
          </c:cat>
          <c:val>
            <c:numRef>
              <c:f>Sheet1!$B$7:$F$7</c:f>
              <c:numCache>
                <c:formatCode>General</c:formatCode>
                <c:ptCount val="5"/>
                <c:pt idx="0">
                  <c:v>0</c:v>
                </c:pt>
                <c:pt idx="1">
                  <c:v>0</c:v>
                </c:pt>
                <c:pt idx="2">
                  <c:v>0</c:v>
                </c:pt>
                <c:pt idx="3">
                  <c:v>8.5</c:v>
                </c:pt>
                <c:pt idx="4">
                  <c:v>53.8</c:v>
                </c:pt>
              </c:numCache>
            </c:numRef>
          </c:val>
        </c:ser>
        <c:ser>
          <c:idx val="6"/>
          <c:order val="6"/>
          <c:tx>
            <c:strRef>
              <c:f>Sheet1!$A$8</c:f>
              <c:strCache>
                <c:ptCount val="1"/>
                <c:pt idx="0">
                  <c:v>IDA</c:v>
                </c:pt>
              </c:strCache>
            </c:strRef>
          </c:tx>
          <c:cat>
            <c:numRef>
              <c:f>Sheet1!$B$1:$F$1</c:f>
              <c:numCache>
                <c:formatCode>General</c:formatCode>
                <c:ptCount val="5"/>
                <c:pt idx="0">
                  <c:v>2007</c:v>
                </c:pt>
                <c:pt idx="1">
                  <c:v>2008</c:v>
                </c:pt>
                <c:pt idx="2">
                  <c:v>2009</c:v>
                </c:pt>
                <c:pt idx="3">
                  <c:v>2010</c:v>
                </c:pt>
                <c:pt idx="4">
                  <c:v>2011</c:v>
                </c:pt>
              </c:numCache>
            </c:numRef>
          </c:cat>
          <c:val>
            <c:numRef>
              <c:f>Sheet1!$B$8:$F$8</c:f>
              <c:numCache>
                <c:formatCode>General</c:formatCode>
                <c:ptCount val="5"/>
                <c:pt idx="0">
                  <c:v>401.4</c:v>
                </c:pt>
                <c:pt idx="1">
                  <c:v>785.6</c:v>
                </c:pt>
                <c:pt idx="2">
                  <c:v>738</c:v>
                </c:pt>
                <c:pt idx="3">
                  <c:v>652.20000000000005</c:v>
                </c:pt>
                <c:pt idx="4">
                  <c:v>720.6</c:v>
                </c:pt>
              </c:numCache>
            </c:numRef>
          </c:val>
        </c:ser>
        <c:ser>
          <c:idx val="7"/>
          <c:order val="7"/>
          <c:tx>
            <c:strRef>
              <c:f>Sheet1!$A$9</c:f>
              <c:strCache>
                <c:ptCount val="1"/>
                <c:pt idx="0">
                  <c:v>IFAD</c:v>
                </c:pt>
              </c:strCache>
            </c:strRef>
          </c:tx>
          <c:cat>
            <c:numRef>
              <c:f>Sheet1!$B$1:$F$1</c:f>
              <c:numCache>
                <c:formatCode>General</c:formatCode>
                <c:ptCount val="5"/>
                <c:pt idx="0">
                  <c:v>2007</c:v>
                </c:pt>
                <c:pt idx="1">
                  <c:v>2008</c:v>
                </c:pt>
                <c:pt idx="2">
                  <c:v>2009</c:v>
                </c:pt>
                <c:pt idx="3">
                  <c:v>2010</c:v>
                </c:pt>
                <c:pt idx="4">
                  <c:v>2011</c:v>
                </c:pt>
              </c:numCache>
            </c:numRef>
          </c:cat>
          <c:val>
            <c:numRef>
              <c:f>Sheet1!$B$9:$F$9</c:f>
              <c:numCache>
                <c:formatCode>General</c:formatCode>
                <c:ptCount val="5"/>
                <c:pt idx="0">
                  <c:v>137.69999999999999</c:v>
                </c:pt>
                <c:pt idx="1">
                  <c:v>129.9</c:v>
                </c:pt>
                <c:pt idx="2">
                  <c:v>180.2</c:v>
                </c:pt>
                <c:pt idx="3">
                  <c:v>270.2</c:v>
                </c:pt>
                <c:pt idx="4">
                  <c:v>319.10000000000002</c:v>
                </c:pt>
              </c:numCache>
            </c:numRef>
          </c:val>
        </c:ser>
        <c:ser>
          <c:idx val="8"/>
          <c:order val="8"/>
          <c:tx>
            <c:strRef>
              <c:f>Sheet1!$A$10</c:f>
              <c:strCache>
                <c:ptCount val="1"/>
                <c:pt idx="0">
                  <c:v>Isl.Dev Bank</c:v>
                </c:pt>
              </c:strCache>
            </c:strRef>
          </c:tx>
          <c:cat>
            <c:numRef>
              <c:f>Sheet1!$B$1:$F$1</c:f>
              <c:numCache>
                <c:formatCode>General</c:formatCode>
                <c:ptCount val="5"/>
                <c:pt idx="0">
                  <c:v>2007</c:v>
                </c:pt>
                <c:pt idx="1">
                  <c:v>2008</c:v>
                </c:pt>
                <c:pt idx="2">
                  <c:v>2009</c:v>
                </c:pt>
                <c:pt idx="3">
                  <c:v>2010</c:v>
                </c:pt>
                <c:pt idx="4">
                  <c:v>2011</c:v>
                </c:pt>
              </c:numCache>
            </c:numRef>
          </c:cat>
          <c:val>
            <c:numRef>
              <c:f>Sheet1!$B$10:$F$10</c:f>
              <c:numCache>
                <c:formatCode>General</c:formatCode>
                <c:ptCount val="5"/>
                <c:pt idx="0">
                  <c:v>0</c:v>
                </c:pt>
                <c:pt idx="1">
                  <c:v>0</c:v>
                </c:pt>
                <c:pt idx="2">
                  <c:v>0</c:v>
                </c:pt>
                <c:pt idx="3">
                  <c:v>65.7</c:v>
                </c:pt>
                <c:pt idx="4">
                  <c:v>0</c:v>
                </c:pt>
              </c:numCache>
            </c:numRef>
          </c:val>
        </c:ser>
        <c:ser>
          <c:idx val="9"/>
          <c:order val="9"/>
          <c:tx>
            <c:strRef>
              <c:f>Sheet1!$A$11</c:f>
              <c:strCache>
                <c:ptCount val="1"/>
                <c:pt idx="0">
                  <c:v>Nordic Dev.Fund</c:v>
                </c:pt>
              </c:strCache>
            </c:strRef>
          </c:tx>
          <c:cat>
            <c:numRef>
              <c:f>Sheet1!$B$1:$F$1</c:f>
              <c:numCache>
                <c:formatCode>General</c:formatCode>
                <c:ptCount val="5"/>
                <c:pt idx="0">
                  <c:v>2007</c:v>
                </c:pt>
                <c:pt idx="1">
                  <c:v>2008</c:v>
                </c:pt>
                <c:pt idx="2">
                  <c:v>2009</c:v>
                </c:pt>
                <c:pt idx="3">
                  <c:v>2010</c:v>
                </c:pt>
                <c:pt idx="4">
                  <c:v>2011</c:v>
                </c:pt>
              </c:numCache>
            </c:numRef>
          </c:cat>
          <c:val>
            <c:numRef>
              <c:f>Sheet1!$B$11:$F$11</c:f>
              <c:numCache>
                <c:formatCode>General</c:formatCode>
                <c:ptCount val="5"/>
                <c:pt idx="0">
                  <c:v>0</c:v>
                </c:pt>
                <c:pt idx="1">
                  <c:v>0</c:v>
                </c:pt>
                <c:pt idx="2">
                  <c:v>0</c:v>
                </c:pt>
                <c:pt idx="3">
                  <c:v>3.9</c:v>
                </c:pt>
                <c:pt idx="4">
                  <c:v>0</c:v>
                </c:pt>
              </c:numCache>
            </c:numRef>
          </c:val>
        </c:ser>
        <c:ser>
          <c:idx val="10"/>
          <c:order val="10"/>
          <c:tx>
            <c:strRef>
              <c:f>Sheet1!$A$12</c:f>
              <c:strCache>
                <c:ptCount val="1"/>
                <c:pt idx="0">
                  <c:v>OFID</c:v>
                </c:pt>
              </c:strCache>
            </c:strRef>
          </c:tx>
          <c:cat>
            <c:numRef>
              <c:f>Sheet1!$B$1:$F$1</c:f>
              <c:numCache>
                <c:formatCode>General</c:formatCode>
                <c:ptCount val="5"/>
                <c:pt idx="0">
                  <c:v>2007</c:v>
                </c:pt>
                <c:pt idx="1">
                  <c:v>2008</c:v>
                </c:pt>
                <c:pt idx="2">
                  <c:v>2009</c:v>
                </c:pt>
                <c:pt idx="3">
                  <c:v>2010</c:v>
                </c:pt>
                <c:pt idx="4">
                  <c:v>2011</c:v>
                </c:pt>
              </c:numCache>
            </c:numRef>
          </c:cat>
          <c:val>
            <c:numRef>
              <c:f>Sheet1!$B$12:$F$12</c:f>
              <c:numCache>
                <c:formatCode>General</c:formatCode>
                <c:ptCount val="5"/>
                <c:pt idx="0">
                  <c:v>0</c:v>
                </c:pt>
                <c:pt idx="1">
                  <c:v>0</c:v>
                </c:pt>
                <c:pt idx="2">
                  <c:v>17.2</c:v>
                </c:pt>
                <c:pt idx="3">
                  <c:v>32.5</c:v>
                </c:pt>
                <c:pt idx="4">
                  <c:v>45.9</c:v>
                </c:pt>
              </c:numCache>
            </c:numRef>
          </c:val>
        </c:ser>
        <c:ser>
          <c:idx val="11"/>
          <c:order val="11"/>
          <c:tx>
            <c:strRef>
              <c:f>Sheet1!$A$13</c:f>
              <c:strCache>
                <c:ptCount val="1"/>
                <c:pt idx="0">
                  <c:v>UNDP</c:v>
                </c:pt>
              </c:strCache>
            </c:strRef>
          </c:tx>
          <c:cat>
            <c:numRef>
              <c:f>Sheet1!$B$1:$F$1</c:f>
              <c:numCache>
                <c:formatCode>General</c:formatCode>
                <c:ptCount val="5"/>
                <c:pt idx="0">
                  <c:v>2007</c:v>
                </c:pt>
                <c:pt idx="1">
                  <c:v>2008</c:v>
                </c:pt>
                <c:pt idx="2">
                  <c:v>2009</c:v>
                </c:pt>
                <c:pt idx="3">
                  <c:v>2010</c:v>
                </c:pt>
                <c:pt idx="4">
                  <c:v>2011</c:v>
                </c:pt>
              </c:numCache>
            </c:numRef>
          </c:cat>
          <c:val>
            <c:numRef>
              <c:f>Sheet1!$B$13:$F$13</c:f>
              <c:numCache>
                <c:formatCode>General</c:formatCode>
                <c:ptCount val="5"/>
                <c:pt idx="0">
                  <c:v>0.1</c:v>
                </c:pt>
                <c:pt idx="1">
                  <c:v>0.05</c:v>
                </c:pt>
                <c:pt idx="2">
                  <c:v>2.8</c:v>
                </c:pt>
                <c:pt idx="3">
                  <c:v>3.5</c:v>
                </c:pt>
                <c:pt idx="4">
                  <c:v>3.3</c:v>
                </c:pt>
              </c:numCache>
            </c:numRef>
          </c:val>
        </c:ser>
        <c:ser>
          <c:idx val="12"/>
          <c:order val="12"/>
          <c:tx>
            <c:strRef>
              <c:f>Sheet1!$A$14</c:f>
              <c:strCache>
                <c:ptCount val="1"/>
                <c:pt idx="0">
                  <c:v>UNPBF</c:v>
                </c:pt>
              </c:strCache>
            </c:strRef>
          </c:tx>
          <c:cat>
            <c:numRef>
              <c:f>Sheet1!$B$1:$F$1</c:f>
              <c:numCache>
                <c:formatCode>General</c:formatCode>
                <c:ptCount val="5"/>
                <c:pt idx="0">
                  <c:v>2007</c:v>
                </c:pt>
                <c:pt idx="1">
                  <c:v>2008</c:v>
                </c:pt>
                <c:pt idx="2">
                  <c:v>2009</c:v>
                </c:pt>
                <c:pt idx="3">
                  <c:v>2010</c:v>
                </c:pt>
                <c:pt idx="4">
                  <c:v>2011</c:v>
                </c:pt>
              </c:numCache>
            </c:numRef>
          </c:cat>
          <c:val>
            <c:numRef>
              <c:f>Sheet1!$B$14:$F$14</c:f>
              <c:numCache>
                <c:formatCode>General</c:formatCode>
                <c:ptCount val="5"/>
                <c:pt idx="0">
                  <c:v>0</c:v>
                </c:pt>
                <c:pt idx="1">
                  <c:v>1.1000000000000001</c:v>
                </c:pt>
                <c:pt idx="2">
                  <c:v>0</c:v>
                </c:pt>
                <c:pt idx="3">
                  <c:v>1.8</c:v>
                </c:pt>
                <c:pt idx="4">
                  <c:v>0</c:v>
                </c:pt>
              </c:numCache>
            </c:numRef>
          </c:val>
        </c:ser>
        <c:gapWidth val="95"/>
        <c:overlap val="100"/>
        <c:axId val="115356800"/>
        <c:axId val="115358336"/>
      </c:barChart>
      <c:catAx>
        <c:axId val="115356800"/>
        <c:scaling>
          <c:orientation val="minMax"/>
        </c:scaling>
        <c:axPos val="b"/>
        <c:numFmt formatCode="General" sourceLinked="1"/>
        <c:majorTickMark val="none"/>
        <c:tickLblPos val="nextTo"/>
        <c:crossAx val="115358336"/>
        <c:crosses val="autoZero"/>
        <c:auto val="1"/>
        <c:lblAlgn val="ctr"/>
        <c:lblOffset val="100"/>
      </c:catAx>
      <c:valAx>
        <c:axId val="115358336"/>
        <c:scaling>
          <c:orientation val="minMax"/>
        </c:scaling>
        <c:axPos val="l"/>
        <c:majorGridlines>
          <c:spPr>
            <a:ln>
              <a:noFill/>
            </a:ln>
          </c:spPr>
        </c:majorGridlines>
        <c:title>
          <c:tx>
            <c:rich>
              <a:bodyPr/>
              <a:lstStyle/>
              <a:p>
                <a:pPr>
                  <a:defRPr/>
                </a:pPr>
                <a:r>
                  <a:rPr lang="en-GB"/>
                  <a:t>USD</a:t>
                </a:r>
                <a:r>
                  <a:rPr lang="en-GB" baseline="0"/>
                  <a:t> millions (2011)</a:t>
                </a:r>
                <a:endParaRPr lang="en-GB"/>
              </a:p>
            </c:rich>
          </c:tx>
          <c:layout>
            <c:manualLayout>
              <c:xMode val="edge"/>
              <c:yMode val="edge"/>
              <c:x val="8.4321475625823566E-2"/>
              <c:y val="0.15913959582944118"/>
            </c:manualLayout>
          </c:layout>
        </c:title>
        <c:numFmt formatCode="General" sourceLinked="1"/>
        <c:majorTickMark val="none"/>
        <c:tickLblPos val="nextTo"/>
        <c:txPr>
          <a:bodyPr/>
          <a:lstStyle/>
          <a:p>
            <a:pPr>
              <a:defRPr sz="900"/>
            </a:pPr>
            <a:endParaRPr lang="fr-FR"/>
          </a:p>
        </c:txPr>
        <c:crossAx val="115356800"/>
        <c:crosses val="autoZero"/>
        <c:crossBetween val="between"/>
      </c:valAx>
      <c:dTable>
        <c:showHorzBorder val="1"/>
        <c:showVertBorder val="1"/>
        <c:showOutline val="1"/>
        <c:showKeys val="1"/>
        <c:txPr>
          <a:bodyPr/>
          <a:lstStyle/>
          <a:p>
            <a:pPr rtl="0">
              <a:defRPr sz="900"/>
            </a:pPr>
            <a:endParaRPr lang="fr-FR"/>
          </a:p>
        </c:txPr>
      </c:dTable>
    </c:plotArea>
    <c:plotVisOnly val="1"/>
    <c:dispBlanksAs val="gap"/>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percentStacked"/>
        <c:ser>
          <c:idx val="0"/>
          <c:order val="0"/>
          <c:tx>
            <c:strRef>
              <c:f>Sheet1!$B$1</c:f>
              <c:strCache>
                <c:ptCount val="1"/>
                <c:pt idx="0">
                  <c:v>Government investment</c:v>
                </c:pt>
              </c:strCache>
            </c:strRef>
          </c:tx>
          <c:cat>
            <c:strRef>
              <c:f>Sheet1!$A$2:$A$9</c:f>
              <c:strCache>
                <c:ptCount val="8"/>
                <c:pt idx="0">
                  <c:v>Ethiopia </c:v>
                </c:pt>
                <c:pt idx="1">
                  <c:v>Malawi</c:v>
                </c:pt>
                <c:pt idx="2">
                  <c:v>Liberia</c:v>
                </c:pt>
                <c:pt idx="3">
                  <c:v>The Gambia</c:v>
                </c:pt>
                <c:pt idx="4">
                  <c:v>Kenya </c:v>
                </c:pt>
                <c:pt idx="5">
                  <c:v>Rwanda</c:v>
                </c:pt>
                <c:pt idx="6">
                  <c:v>Tanzania</c:v>
                </c:pt>
                <c:pt idx="7">
                  <c:v>Ghana </c:v>
                </c:pt>
              </c:strCache>
            </c:strRef>
          </c:cat>
          <c:val>
            <c:numRef>
              <c:f>Sheet1!$B$2:$B$9</c:f>
              <c:numCache>
                <c:formatCode>0%</c:formatCode>
                <c:ptCount val="8"/>
                <c:pt idx="0">
                  <c:v>0.60000000000000042</c:v>
                </c:pt>
                <c:pt idx="1">
                  <c:v>0.44</c:v>
                </c:pt>
                <c:pt idx="2">
                  <c:v>0.22</c:v>
                </c:pt>
                <c:pt idx="3">
                  <c:v>7.0000000000000021E-2</c:v>
                </c:pt>
                <c:pt idx="4">
                  <c:v>0.65000000000000058</c:v>
                </c:pt>
                <c:pt idx="5">
                  <c:v>0.30000000000000021</c:v>
                </c:pt>
                <c:pt idx="6">
                  <c:v>0.45</c:v>
                </c:pt>
                <c:pt idx="7">
                  <c:v>0.25</c:v>
                </c:pt>
              </c:numCache>
            </c:numRef>
          </c:val>
        </c:ser>
        <c:ser>
          <c:idx val="1"/>
          <c:order val="1"/>
          <c:tx>
            <c:strRef>
              <c:f>Sheet1!$C$1</c:f>
              <c:strCache>
                <c:ptCount val="1"/>
                <c:pt idx="0">
                  <c:v>Development partners’ investment</c:v>
                </c:pt>
              </c:strCache>
            </c:strRef>
          </c:tx>
          <c:cat>
            <c:strRef>
              <c:f>Sheet1!$A$2:$A$9</c:f>
              <c:strCache>
                <c:ptCount val="8"/>
                <c:pt idx="0">
                  <c:v>Ethiopia </c:v>
                </c:pt>
                <c:pt idx="1">
                  <c:v>Malawi</c:v>
                </c:pt>
                <c:pt idx="2">
                  <c:v>Liberia</c:v>
                </c:pt>
                <c:pt idx="3">
                  <c:v>The Gambia</c:v>
                </c:pt>
                <c:pt idx="4">
                  <c:v>Kenya </c:v>
                </c:pt>
                <c:pt idx="5">
                  <c:v>Rwanda</c:v>
                </c:pt>
                <c:pt idx="6">
                  <c:v>Tanzania</c:v>
                </c:pt>
                <c:pt idx="7">
                  <c:v>Ghana </c:v>
                </c:pt>
              </c:strCache>
            </c:strRef>
          </c:cat>
          <c:val>
            <c:numRef>
              <c:f>Sheet1!$C$2:$C$9</c:f>
              <c:numCache>
                <c:formatCode>0%</c:formatCode>
                <c:ptCount val="8"/>
                <c:pt idx="0">
                  <c:v>0.4</c:v>
                </c:pt>
                <c:pt idx="1">
                  <c:v>0.55000000000000004</c:v>
                </c:pt>
                <c:pt idx="2">
                  <c:v>0.78</c:v>
                </c:pt>
                <c:pt idx="3">
                  <c:v>0.55000000000000004</c:v>
                </c:pt>
                <c:pt idx="4">
                  <c:v>0.31000000000000022</c:v>
                </c:pt>
                <c:pt idx="5">
                  <c:v>0.2900000000000002</c:v>
                </c:pt>
                <c:pt idx="6">
                  <c:v>2.0000000000000011E-2</c:v>
                </c:pt>
                <c:pt idx="7">
                  <c:v>0</c:v>
                </c:pt>
              </c:numCache>
            </c:numRef>
          </c:val>
        </c:ser>
        <c:ser>
          <c:idx val="2"/>
          <c:order val="2"/>
          <c:tx>
            <c:strRef>
              <c:f>Sheet1!$D$1</c:f>
              <c:strCache>
                <c:ptCount val="1"/>
                <c:pt idx="0">
                  <c:v>Private sector and other actors</c:v>
                </c:pt>
              </c:strCache>
            </c:strRef>
          </c:tx>
          <c:cat>
            <c:strRef>
              <c:f>Sheet1!$A$2:$A$9</c:f>
              <c:strCache>
                <c:ptCount val="8"/>
                <c:pt idx="0">
                  <c:v>Ethiopia </c:v>
                </c:pt>
                <c:pt idx="1">
                  <c:v>Malawi</c:v>
                </c:pt>
                <c:pt idx="2">
                  <c:v>Liberia</c:v>
                </c:pt>
                <c:pt idx="3">
                  <c:v>The Gambia</c:v>
                </c:pt>
                <c:pt idx="4">
                  <c:v>Kenya </c:v>
                </c:pt>
                <c:pt idx="5">
                  <c:v>Rwanda</c:v>
                </c:pt>
                <c:pt idx="6">
                  <c:v>Tanzania</c:v>
                </c:pt>
                <c:pt idx="7">
                  <c:v>Ghana </c:v>
                </c:pt>
              </c:strCache>
            </c:strRef>
          </c:cat>
          <c:val>
            <c:numRef>
              <c:f>Sheet1!$D$2:$D$9</c:f>
              <c:numCache>
                <c:formatCode>0%</c:formatCode>
                <c:ptCount val="8"/>
                <c:pt idx="0">
                  <c:v>0</c:v>
                </c:pt>
                <c:pt idx="1">
                  <c:v>0</c:v>
                </c:pt>
                <c:pt idx="2">
                  <c:v>0</c:v>
                </c:pt>
                <c:pt idx="3">
                  <c:v>0.38000000000000023</c:v>
                </c:pt>
                <c:pt idx="4">
                  <c:v>1.0000000000000005E-2</c:v>
                </c:pt>
                <c:pt idx="5">
                  <c:v>2.0000000000000011E-2</c:v>
                </c:pt>
                <c:pt idx="6">
                  <c:v>6.0000000000000032E-2</c:v>
                </c:pt>
                <c:pt idx="7">
                  <c:v>9.0000000000000024E-2</c:v>
                </c:pt>
              </c:numCache>
            </c:numRef>
          </c:val>
        </c:ser>
        <c:ser>
          <c:idx val="3"/>
          <c:order val="3"/>
          <c:tx>
            <c:strRef>
              <c:f>Sheet1!$E$1</c:f>
              <c:strCache>
                <c:ptCount val="1"/>
                <c:pt idx="0">
                  <c:v>Funding gap</c:v>
                </c:pt>
              </c:strCache>
            </c:strRef>
          </c:tx>
          <c:cat>
            <c:strRef>
              <c:f>Sheet1!$A$2:$A$9</c:f>
              <c:strCache>
                <c:ptCount val="8"/>
                <c:pt idx="0">
                  <c:v>Ethiopia </c:v>
                </c:pt>
                <c:pt idx="1">
                  <c:v>Malawi</c:v>
                </c:pt>
                <c:pt idx="2">
                  <c:v>Liberia</c:v>
                </c:pt>
                <c:pt idx="3">
                  <c:v>The Gambia</c:v>
                </c:pt>
                <c:pt idx="4">
                  <c:v>Kenya </c:v>
                </c:pt>
                <c:pt idx="5">
                  <c:v>Rwanda</c:v>
                </c:pt>
                <c:pt idx="6">
                  <c:v>Tanzania</c:v>
                </c:pt>
                <c:pt idx="7">
                  <c:v>Ghana </c:v>
                </c:pt>
              </c:strCache>
            </c:strRef>
          </c:cat>
          <c:val>
            <c:numRef>
              <c:f>Sheet1!$E$2:$E$9</c:f>
              <c:numCache>
                <c:formatCode>0%</c:formatCode>
                <c:ptCount val="8"/>
                <c:pt idx="0">
                  <c:v>0</c:v>
                </c:pt>
                <c:pt idx="1">
                  <c:v>0</c:v>
                </c:pt>
                <c:pt idx="2">
                  <c:v>0</c:v>
                </c:pt>
                <c:pt idx="3">
                  <c:v>0</c:v>
                </c:pt>
                <c:pt idx="4" formatCode="0.00%">
                  <c:v>2.5000000000000001E-2</c:v>
                </c:pt>
                <c:pt idx="5">
                  <c:v>0.38000000000000023</c:v>
                </c:pt>
                <c:pt idx="6">
                  <c:v>0.5</c:v>
                </c:pt>
                <c:pt idx="7">
                  <c:v>0.66000000000000059</c:v>
                </c:pt>
              </c:numCache>
            </c:numRef>
          </c:val>
        </c:ser>
        <c:overlap val="100"/>
        <c:axId val="115407104"/>
        <c:axId val="115503104"/>
      </c:barChart>
      <c:catAx>
        <c:axId val="115407104"/>
        <c:scaling>
          <c:orientation val="minMax"/>
        </c:scaling>
        <c:axPos val="b"/>
        <c:tickLblPos val="nextTo"/>
        <c:crossAx val="115503104"/>
        <c:crosses val="autoZero"/>
        <c:auto val="1"/>
        <c:lblAlgn val="ctr"/>
        <c:lblOffset val="100"/>
      </c:catAx>
      <c:valAx>
        <c:axId val="115503104"/>
        <c:scaling>
          <c:orientation val="minMax"/>
        </c:scaling>
        <c:axPos val="l"/>
        <c:majorGridlines/>
        <c:numFmt formatCode="0%" sourceLinked="1"/>
        <c:tickLblPos val="nextTo"/>
        <c:crossAx val="115407104"/>
        <c:crosses val="autoZero"/>
        <c:crossBetween val="between"/>
      </c:valAx>
    </c:plotArea>
    <c:legend>
      <c:legendPos val="b"/>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dLbls>
            <c:numFmt formatCode="#,##0.0" sourceLinked="0"/>
            <c:showVal val="1"/>
          </c:dLbls>
          <c:cat>
            <c:strRef>
              <c:f>'[2011 OECD Data - Analysis.xlsx]Allyson analysis'!$O$38:$O$39</c:f>
              <c:strCache>
                <c:ptCount val="2"/>
                <c:pt idx="0">
                  <c:v>Countries with a CAADP Compact</c:v>
                </c:pt>
                <c:pt idx="1">
                  <c:v>Countries without a CAADP compact</c:v>
                </c:pt>
              </c:strCache>
            </c:strRef>
          </c:cat>
          <c:val>
            <c:numRef>
              <c:f>'[2011 OECD Data - Analysis.xlsx]Allyson analysis'!$P$38:$P$39</c:f>
              <c:numCache>
                <c:formatCode>General</c:formatCode>
                <c:ptCount val="2"/>
                <c:pt idx="0">
                  <c:v>89.693068965517227</c:v>
                </c:pt>
                <c:pt idx="1">
                  <c:v>39.001160000000006</c:v>
                </c:pt>
              </c:numCache>
            </c:numRef>
          </c:val>
        </c:ser>
        <c:axId val="115510656"/>
        <c:axId val="115524736"/>
      </c:barChart>
      <c:catAx>
        <c:axId val="115510656"/>
        <c:scaling>
          <c:orientation val="minMax"/>
        </c:scaling>
        <c:axPos val="b"/>
        <c:tickLblPos val="nextTo"/>
        <c:crossAx val="115524736"/>
        <c:crosses val="autoZero"/>
        <c:auto val="1"/>
        <c:lblAlgn val="ctr"/>
        <c:lblOffset val="100"/>
      </c:catAx>
      <c:valAx>
        <c:axId val="115524736"/>
        <c:scaling>
          <c:orientation val="minMax"/>
        </c:scaling>
        <c:axPos val="l"/>
        <c:majorGridlines>
          <c:spPr>
            <a:ln>
              <a:noFill/>
            </a:ln>
          </c:spPr>
        </c:majorGridlines>
        <c:title>
          <c:tx>
            <c:rich>
              <a:bodyPr rot="-5400000" vert="horz"/>
              <a:lstStyle/>
              <a:p>
                <a:pPr>
                  <a:defRPr/>
                </a:pPr>
                <a:r>
                  <a:rPr lang="en-US"/>
                  <a:t>USD millions (2011)</a:t>
                </a:r>
              </a:p>
            </c:rich>
          </c:tx>
        </c:title>
        <c:numFmt formatCode="General" sourceLinked="1"/>
        <c:tickLblPos val="nextTo"/>
        <c:crossAx val="115510656"/>
        <c:crosses val="autoZero"/>
        <c:crossBetween val="between"/>
      </c:valAx>
    </c:plotArea>
    <c:plotVisOnly val="1"/>
    <c:dispBlanksAs val="gap"/>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0.12796</cdr:x>
      <cdr:y>0.1172</cdr:y>
    </cdr:from>
    <cdr:to>
      <cdr:x>0.38888</cdr:x>
      <cdr:y>0.21951</cdr:y>
    </cdr:to>
    <cdr:sp macro="" textlink="">
      <cdr:nvSpPr>
        <cdr:cNvPr id="2" name="Text Box 1"/>
        <cdr:cNvSpPr txBox="1"/>
      </cdr:nvSpPr>
      <cdr:spPr>
        <a:xfrm xmlns:a="http://schemas.openxmlformats.org/drawingml/2006/main">
          <a:off x="733746" y="446536"/>
          <a:ext cx="1496088" cy="3897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a:t>% of</a:t>
          </a:r>
          <a:r>
            <a:rPr lang="en-GB" sz="800" baseline="0"/>
            <a:t> ODA allocated to African agriculture (left scale)</a:t>
          </a:r>
          <a:endParaRPr lang="en-GB" sz="800"/>
        </a:p>
      </cdr:txBody>
    </cdr:sp>
  </cdr:relSizeAnchor>
  <cdr:relSizeAnchor xmlns:cdr="http://schemas.openxmlformats.org/drawingml/2006/chartDrawing">
    <cdr:from>
      <cdr:x>0.15123</cdr:x>
      <cdr:y>0.20199</cdr:y>
    </cdr:from>
    <cdr:to>
      <cdr:x>0.17117</cdr:x>
      <cdr:y>0.23872</cdr:y>
    </cdr:to>
    <cdr:cxnSp macro="">
      <cdr:nvCxnSpPr>
        <cdr:cNvPr id="4" name="Straight Connector 3"/>
        <cdr:cNvCxnSpPr/>
      </cdr:nvCxnSpPr>
      <cdr:spPr>
        <a:xfrm xmlns:a="http://schemas.openxmlformats.org/drawingml/2006/main" flipH="1">
          <a:off x="866775" y="733425"/>
          <a:ext cx="114300" cy="133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0.13517</cdr:x>
      <cdr:y>0.12417</cdr:y>
    </cdr:from>
    <cdr:to>
      <cdr:x>0.39608</cdr:x>
      <cdr:y>0.22648</cdr:y>
    </cdr:to>
    <cdr:sp macro="" textlink="">
      <cdr:nvSpPr>
        <cdr:cNvPr id="5" name="Text Box 1"/>
        <cdr:cNvSpPr txBox="1"/>
      </cdr:nvSpPr>
      <cdr:spPr>
        <a:xfrm xmlns:a="http://schemas.openxmlformats.org/drawingml/2006/main">
          <a:off x="774700" y="450849"/>
          <a:ext cx="1495425" cy="371475"/>
        </a:xfrm>
        <a:prstGeom xmlns:a="http://schemas.openxmlformats.org/drawingml/2006/main" prst="rect">
          <a:avLst/>
        </a:prstGeom>
      </cdr:spPr>
    </cdr:sp>
  </cdr:relSizeAnchor>
  <cdr:relSizeAnchor xmlns:cdr="http://schemas.openxmlformats.org/drawingml/2006/chartDrawing">
    <cdr:from>
      <cdr:x>0.51906</cdr:x>
      <cdr:y>0.04028</cdr:y>
    </cdr:from>
    <cdr:to>
      <cdr:x>0.77997</cdr:x>
      <cdr:y>0.14259</cdr:y>
    </cdr:to>
    <cdr:sp macro="" textlink="">
      <cdr:nvSpPr>
        <cdr:cNvPr id="6" name="Text Box 1"/>
        <cdr:cNvSpPr txBox="1"/>
      </cdr:nvSpPr>
      <cdr:spPr>
        <a:xfrm xmlns:a="http://schemas.openxmlformats.org/drawingml/2006/main">
          <a:off x="2976289" y="153485"/>
          <a:ext cx="1496088" cy="38979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r"/>
          <a:r>
            <a:rPr lang="en-GB" sz="800"/>
            <a:t>ODA commitments in </a:t>
          </a:r>
        </a:p>
        <a:p xmlns:a="http://schemas.openxmlformats.org/drawingml/2006/main">
          <a:pPr algn="r"/>
          <a:r>
            <a:rPr lang="en-GB" sz="800"/>
            <a:t>constant US$</a:t>
          </a:r>
          <a:r>
            <a:rPr lang="en-GB" sz="800" baseline="0"/>
            <a:t> (right scale)</a:t>
          </a:r>
          <a:endParaRPr lang="en-GB" sz="800"/>
        </a:p>
      </cdr:txBody>
    </cdr:sp>
  </cdr:relSizeAnchor>
  <cdr:relSizeAnchor xmlns:cdr="http://schemas.openxmlformats.org/drawingml/2006/chartDrawing">
    <cdr:from>
      <cdr:x>0.73953</cdr:x>
      <cdr:y>0.12592</cdr:y>
    </cdr:from>
    <cdr:to>
      <cdr:x>0.75615</cdr:x>
      <cdr:y>0.1574</cdr:y>
    </cdr:to>
    <cdr:cxnSp macro="">
      <cdr:nvCxnSpPr>
        <cdr:cNvPr id="8" name="Straight Connector 7"/>
        <cdr:cNvCxnSpPr/>
      </cdr:nvCxnSpPr>
      <cdr:spPr>
        <a:xfrm xmlns:a="http://schemas.openxmlformats.org/drawingml/2006/main">
          <a:off x="4238625" y="457200"/>
          <a:ext cx="95250" cy="1143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0.62264</cdr:x>
      <cdr:y>0.74428</cdr:y>
    </cdr:from>
    <cdr:to>
      <cdr:x>0.88356</cdr:x>
      <cdr:y>0.84659</cdr:y>
    </cdr:to>
    <cdr:sp macro="" textlink="">
      <cdr:nvSpPr>
        <cdr:cNvPr id="9" name="Text Box 1"/>
        <cdr:cNvSpPr txBox="1"/>
      </cdr:nvSpPr>
      <cdr:spPr>
        <a:xfrm xmlns:a="http://schemas.openxmlformats.org/drawingml/2006/main">
          <a:off x="3570265" y="2835714"/>
          <a:ext cx="1496087" cy="38979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800"/>
            <a:t>Agriculture ODA commitments in constant US$ (right scale</a:t>
          </a:r>
          <a:r>
            <a:rPr lang="en-GB"/>
            <a:t>)</a:t>
          </a:r>
        </a:p>
      </cdr:txBody>
    </cdr:sp>
  </cdr:relSizeAnchor>
  <cdr:relSizeAnchor xmlns:cdr="http://schemas.openxmlformats.org/drawingml/2006/chartDrawing">
    <cdr:from>
      <cdr:x>0.74419</cdr:x>
      <cdr:y>0.8375</cdr:y>
    </cdr:from>
    <cdr:to>
      <cdr:x>0.76578</cdr:x>
      <cdr:y>0.8875</cdr:y>
    </cdr:to>
    <cdr:cxnSp macro="">
      <cdr:nvCxnSpPr>
        <cdr:cNvPr id="11" name="Straight Connector 10"/>
        <cdr:cNvCxnSpPr/>
      </cdr:nvCxnSpPr>
      <cdr:spPr>
        <a:xfrm xmlns:a="http://schemas.openxmlformats.org/drawingml/2006/main">
          <a:off x="4267200" y="3190875"/>
          <a:ext cx="123825" cy="1905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0.91729</cdr:x>
      <cdr:y>0.14286</cdr:y>
    </cdr:from>
    <cdr:to>
      <cdr:x>1</cdr:x>
      <cdr:y>0.14528</cdr:y>
    </cdr:to>
    <cdr:cxnSp macro="">
      <cdr:nvCxnSpPr>
        <cdr:cNvPr id="5" name="Straight Connector 4"/>
        <cdr:cNvCxnSpPr/>
      </cdr:nvCxnSpPr>
      <cdr:spPr>
        <a:xfrm xmlns:a="http://schemas.openxmlformats.org/drawingml/2006/main" flipH="1" flipV="1">
          <a:off x="4648200" y="1123951"/>
          <a:ext cx="419100" cy="1904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0.16223</cdr:y>
    </cdr:from>
    <cdr:to>
      <cdr:x>1</cdr:x>
      <cdr:y>0.16828</cdr:y>
    </cdr:to>
    <cdr:cxnSp macro="">
      <cdr:nvCxnSpPr>
        <cdr:cNvPr id="7" name="Straight Connector 6"/>
        <cdr:cNvCxnSpPr/>
      </cdr:nvCxnSpPr>
      <cdr:spPr>
        <a:xfrm xmlns:a="http://schemas.openxmlformats.org/drawingml/2006/main" flipH="1" flipV="1">
          <a:off x="4648200" y="1276350"/>
          <a:ext cx="419100" cy="476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0.20218</cdr:y>
    </cdr:from>
    <cdr:to>
      <cdr:x>1</cdr:x>
      <cdr:y>0.20944</cdr:y>
    </cdr:to>
    <cdr:cxnSp macro="">
      <cdr:nvCxnSpPr>
        <cdr:cNvPr id="8" name="Straight Connector 7"/>
        <cdr:cNvCxnSpPr/>
      </cdr:nvCxnSpPr>
      <cdr:spPr>
        <a:xfrm xmlns:a="http://schemas.openxmlformats.org/drawingml/2006/main" flipH="1" flipV="1">
          <a:off x="4648200" y="1590675"/>
          <a:ext cx="419100" cy="571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0.23366</cdr:y>
    </cdr:from>
    <cdr:to>
      <cdr:x>1</cdr:x>
      <cdr:y>0.23487</cdr:y>
    </cdr:to>
    <cdr:cxnSp macro="">
      <cdr:nvCxnSpPr>
        <cdr:cNvPr id="9" name="Straight Connector 8"/>
        <cdr:cNvCxnSpPr/>
      </cdr:nvCxnSpPr>
      <cdr:spPr>
        <a:xfrm xmlns:a="http://schemas.openxmlformats.org/drawingml/2006/main" flipH="1">
          <a:off x="4648200" y="1838325"/>
          <a:ext cx="419100" cy="9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0.27724</cdr:y>
    </cdr:from>
    <cdr:to>
      <cdr:x>1</cdr:x>
      <cdr:y>0.27724</cdr:y>
    </cdr:to>
    <cdr:cxnSp macro="">
      <cdr:nvCxnSpPr>
        <cdr:cNvPr id="11" name="Straight Connector 10"/>
        <cdr:cNvCxnSpPr/>
      </cdr:nvCxnSpPr>
      <cdr:spPr>
        <a:xfrm xmlns:a="http://schemas.openxmlformats.org/drawingml/2006/main" flipH="1">
          <a:off x="4648200" y="2181225"/>
          <a:ext cx="4191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0.44552</cdr:y>
    </cdr:from>
    <cdr:to>
      <cdr:x>1</cdr:x>
      <cdr:y>0.44552</cdr:y>
    </cdr:to>
    <cdr:cxnSp macro="">
      <cdr:nvCxnSpPr>
        <cdr:cNvPr id="12" name="Straight Connector 11"/>
        <cdr:cNvCxnSpPr/>
      </cdr:nvCxnSpPr>
      <cdr:spPr>
        <a:xfrm xmlns:a="http://schemas.openxmlformats.org/drawingml/2006/main" flipH="1">
          <a:off x="4648200" y="3505200"/>
          <a:ext cx="4191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0.56295</cdr:y>
    </cdr:from>
    <cdr:to>
      <cdr:x>1</cdr:x>
      <cdr:y>0.56538</cdr:y>
    </cdr:to>
    <cdr:cxnSp macro="">
      <cdr:nvCxnSpPr>
        <cdr:cNvPr id="13" name="Straight Connector 12"/>
        <cdr:cNvCxnSpPr/>
      </cdr:nvCxnSpPr>
      <cdr:spPr>
        <a:xfrm xmlns:a="http://schemas.openxmlformats.org/drawingml/2006/main" flipH="1">
          <a:off x="4648200" y="4429125"/>
          <a:ext cx="419100" cy="190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0.77845</cdr:y>
    </cdr:from>
    <cdr:to>
      <cdr:x>1</cdr:x>
      <cdr:y>0.77966</cdr:y>
    </cdr:to>
    <cdr:cxnSp macro="">
      <cdr:nvCxnSpPr>
        <cdr:cNvPr id="14" name="Straight Connector 13"/>
        <cdr:cNvCxnSpPr/>
      </cdr:nvCxnSpPr>
      <cdr:spPr>
        <a:xfrm xmlns:a="http://schemas.openxmlformats.org/drawingml/2006/main" flipH="1">
          <a:off x="4648200" y="6124575"/>
          <a:ext cx="419100" cy="9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0.88983</cdr:y>
    </cdr:from>
    <cdr:to>
      <cdr:x>0.99436</cdr:x>
      <cdr:y>0.88983</cdr:y>
    </cdr:to>
    <cdr:cxnSp macro="">
      <cdr:nvCxnSpPr>
        <cdr:cNvPr id="15" name="Straight Connector 14"/>
        <cdr:cNvCxnSpPr/>
      </cdr:nvCxnSpPr>
      <cdr:spPr>
        <a:xfrm xmlns:a="http://schemas.openxmlformats.org/drawingml/2006/main" flipH="1">
          <a:off x="4648200" y="7000875"/>
          <a:ext cx="390526"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0.91729</cdr:x>
      <cdr:y>0.94189</cdr:y>
    </cdr:from>
    <cdr:to>
      <cdr:x>0.99436</cdr:x>
      <cdr:y>0.9431</cdr:y>
    </cdr:to>
    <cdr:cxnSp macro="">
      <cdr:nvCxnSpPr>
        <cdr:cNvPr id="17" name="Straight Connector 16"/>
        <cdr:cNvCxnSpPr/>
      </cdr:nvCxnSpPr>
      <cdr:spPr>
        <a:xfrm xmlns:a="http://schemas.openxmlformats.org/drawingml/2006/main" flipH="1">
          <a:off x="4648200" y="7410450"/>
          <a:ext cx="390525" cy="9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0.25083</cdr:x>
      <cdr:y>0.24708</cdr:y>
    </cdr:from>
    <cdr:to>
      <cdr:x>0.34884</cdr:x>
      <cdr:y>0.29183</cdr:y>
    </cdr:to>
    <cdr:sp macro="" textlink="">
      <cdr:nvSpPr>
        <cdr:cNvPr id="2" name="Text Box 1"/>
        <cdr:cNvSpPr txBox="1"/>
      </cdr:nvSpPr>
      <cdr:spPr>
        <a:xfrm xmlns:a="http://schemas.openxmlformats.org/drawingml/2006/main">
          <a:off x="1438275" y="1209675"/>
          <a:ext cx="5619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$970m</a:t>
          </a:r>
        </a:p>
      </cdr:txBody>
    </cdr:sp>
  </cdr:relSizeAnchor>
  <cdr:relSizeAnchor xmlns:cdr="http://schemas.openxmlformats.org/drawingml/2006/chartDrawing">
    <cdr:from>
      <cdr:x>0.38926</cdr:x>
      <cdr:y>0.16796</cdr:y>
    </cdr:from>
    <cdr:to>
      <cdr:x>0.50554</cdr:x>
      <cdr:y>0.21271</cdr:y>
    </cdr:to>
    <cdr:sp macro="" textlink="">
      <cdr:nvSpPr>
        <cdr:cNvPr id="3" name="Text Box 1"/>
        <cdr:cNvSpPr txBox="1"/>
      </cdr:nvSpPr>
      <cdr:spPr>
        <a:xfrm xmlns:a="http://schemas.openxmlformats.org/drawingml/2006/main">
          <a:off x="2232025" y="822325"/>
          <a:ext cx="666750" cy="219075"/>
        </a:xfrm>
        <a:prstGeom xmlns:a="http://schemas.openxmlformats.org/drawingml/2006/main" prst="rect">
          <a:avLst/>
        </a:prstGeom>
      </cdr:spPr>
    </cdr:sp>
  </cdr:relSizeAnchor>
  <cdr:relSizeAnchor xmlns:cdr="http://schemas.openxmlformats.org/drawingml/2006/chartDrawing">
    <cdr:from>
      <cdr:x>0.39756</cdr:x>
      <cdr:y>0.16213</cdr:y>
    </cdr:from>
    <cdr:to>
      <cdr:x>0.51384</cdr:x>
      <cdr:y>0.20687</cdr:y>
    </cdr:to>
    <cdr:sp macro="" textlink="">
      <cdr:nvSpPr>
        <cdr:cNvPr id="4" name="Text Box 1"/>
        <cdr:cNvSpPr txBox="1"/>
      </cdr:nvSpPr>
      <cdr:spPr>
        <a:xfrm xmlns:a="http://schemas.openxmlformats.org/drawingml/2006/main">
          <a:off x="2279650" y="7937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t>$1,407m</a:t>
          </a:r>
        </a:p>
      </cdr:txBody>
    </cdr:sp>
  </cdr:relSizeAnchor>
  <cdr:relSizeAnchor xmlns:cdr="http://schemas.openxmlformats.org/drawingml/2006/chartDrawing">
    <cdr:from>
      <cdr:x>0.5443</cdr:x>
      <cdr:y>0.13943</cdr:y>
    </cdr:from>
    <cdr:to>
      <cdr:x>0.66058</cdr:x>
      <cdr:y>0.18418</cdr:y>
    </cdr:to>
    <cdr:sp macro="" textlink="">
      <cdr:nvSpPr>
        <cdr:cNvPr id="5" name="Text Box 1"/>
        <cdr:cNvSpPr txBox="1"/>
      </cdr:nvSpPr>
      <cdr:spPr>
        <a:xfrm xmlns:a="http://schemas.openxmlformats.org/drawingml/2006/main">
          <a:off x="3121025" y="682625"/>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t>$1,572m</a:t>
          </a:r>
        </a:p>
      </cdr:txBody>
    </cdr:sp>
  </cdr:relSizeAnchor>
  <cdr:relSizeAnchor xmlns:cdr="http://schemas.openxmlformats.org/drawingml/2006/chartDrawing">
    <cdr:from>
      <cdr:x>0.69767</cdr:x>
      <cdr:y>0.1284</cdr:y>
    </cdr:from>
    <cdr:to>
      <cdr:x>0.81395</cdr:x>
      <cdr:y>0.17315</cdr:y>
    </cdr:to>
    <cdr:sp macro="" textlink="">
      <cdr:nvSpPr>
        <cdr:cNvPr id="6" name="Text Box 1"/>
        <cdr:cNvSpPr txBox="1"/>
      </cdr:nvSpPr>
      <cdr:spPr>
        <a:xfrm xmlns:a="http://schemas.openxmlformats.org/drawingml/2006/main">
          <a:off x="4000500" y="6286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t>$1,630m</a:t>
          </a:r>
        </a:p>
      </cdr:txBody>
    </cdr:sp>
  </cdr:relSizeAnchor>
  <cdr:relSizeAnchor xmlns:cdr="http://schemas.openxmlformats.org/drawingml/2006/chartDrawing">
    <cdr:from>
      <cdr:x>0.84441</cdr:x>
      <cdr:y>0.07263</cdr:y>
    </cdr:from>
    <cdr:to>
      <cdr:x>0.96069</cdr:x>
      <cdr:y>0.11738</cdr:y>
    </cdr:to>
    <cdr:sp macro="" textlink="">
      <cdr:nvSpPr>
        <cdr:cNvPr id="7" name="Text Box 1"/>
        <cdr:cNvSpPr txBox="1"/>
      </cdr:nvSpPr>
      <cdr:spPr>
        <a:xfrm xmlns:a="http://schemas.openxmlformats.org/drawingml/2006/main">
          <a:off x="4841875" y="35560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t>$1,978m</a:t>
          </a:r>
        </a:p>
      </cdr:txBody>
    </cdr:sp>
  </cdr:relSizeAnchor>
</c:userShapes>
</file>

<file path=word/drawings/drawing4.xml><?xml version="1.0" encoding="utf-8"?>
<c:userShapes xmlns:c="http://schemas.openxmlformats.org/drawingml/2006/chart">
  <cdr:relSizeAnchor xmlns:cdr="http://schemas.openxmlformats.org/drawingml/2006/chartDrawing">
    <cdr:from>
      <cdr:x>0.81886</cdr:x>
      <cdr:y>0.17787</cdr:y>
    </cdr:from>
    <cdr:to>
      <cdr:x>1</cdr:x>
      <cdr:y>0.46245</cdr:y>
    </cdr:to>
    <cdr:sp macro="" textlink="">
      <cdr:nvSpPr>
        <cdr:cNvPr id="2" name="Text Box 1"/>
        <cdr:cNvSpPr txBox="1"/>
      </cdr:nvSpPr>
      <cdr:spPr>
        <a:xfrm xmlns:a="http://schemas.openxmlformats.org/drawingml/2006/main">
          <a:off x="4693285" y="285750"/>
          <a:ext cx="1038225"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October</a:t>
          </a:r>
          <a:r>
            <a:rPr lang="en-GB" sz="900" baseline="0"/>
            <a:t> 2009: signed Compact</a:t>
          </a:r>
          <a:endParaRPr lang="en-GB" sz="900"/>
        </a:p>
      </cdr:txBody>
    </cdr:sp>
  </cdr:relSizeAnchor>
  <cdr:relSizeAnchor xmlns:cdr="http://schemas.openxmlformats.org/drawingml/2006/chartDrawing">
    <cdr:from>
      <cdr:x>0.84921</cdr:x>
      <cdr:y>0.37352</cdr:y>
    </cdr:from>
    <cdr:to>
      <cdr:x>0.86417</cdr:x>
      <cdr:y>0.62253</cdr:y>
    </cdr:to>
    <cdr:cxnSp macro="">
      <cdr:nvCxnSpPr>
        <cdr:cNvPr id="3" name="Straight Arrow Connector 2"/>
        <cdr:cNvCxnSpPr/>
      </cdr:nvCxnSpPr>
      <cdr:spPr>
        <a:xfrm xmlns:a="http://schemas.openxmlformats.org/drawingml/2006/main" flipH="1">
          <a:off x="4867275" y="600075"/>
          <a:ext cx="85726" cy="40005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0.83415</cdr:x>
      <cdr:y>0.63462</cdr:y>
    </cdr:from>
    <cdr:to>
      <cdr:x>1</cdr:x>
      <cdr:y>0.85577</cdr:y>
    </cdr:to>
    <cdr:sp macro="" textlink="">
      <cdr:nvSpPr>
        <cdr:cNvPr id="2" name="Text Box 1"/>
        <cdr:cNvSpPr txBox="1"/>
      </cdr:nvSpPr>
      <cdr:spPr>
        <a:xfrm xmlns:a="http://schemas.openxmlformats.org/drawingml/2006/main">
          <a:off x="4783455" y="1257300"/>
          <a:ext cx="950595"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July</a:t>
          </a:r>
          <a:r>
            <a:rPr lang="en-GB" sz="900" baseline="0"/>
            <a:t> 2010: signed Compact</a:t>
          </a:r>
          <a:endParaRPr lang="en-GB" sz="900"/>
        </a:p>
      </cdr:txBody>
    </cdr:sp>
  </cdr:relSizeAnchor>
  <cdr:relSizeAnchor xmlns:cdr="http://schemas.openxmlformats.org/drawingml/2006/chartDrawing">
    <cdr:from>
      <cdr:x>0.86749</cdr:x>
      <cdr:y>0.60577</cdr:y>
    </cdr:from>
    <cdr:to>
      <cdr:x>0.89408</cdr:x>
      <cdr:y>0.65385</cdr:y>
    </cdr:to>
    <cdr:cxnSp macro="">
      <cdr:nvCxnSpPr>
        <cdr:cNvPr id="4" name="Straight Arrow Connector 3"/>
        <cdr:cNvCxnSpPr/>
      </cdr:nvCxnSpPr>
      <cdr:spPr>
        <a:xfrm xmlns:a="http://schemas.openxmlformats.org/drawingml/2006/main" flipV="1">
          <a:off x="4972050" y="1200150"/>
          <a:ext cx="152400" cy="9525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0.65976</cdr:x>
      <cdr:y>0.53231</cdr:y>
    </cdr:from>
    <cdr:to>
      <cdr:x>0.83924</cdr:x>
      <cdr:y>0.74824</cdr:y>
    </cdr:to>
    <cdr:sp macro="" textlink="">
      <cdr:nvSpPr>
        <cdr:cNvPr id="2" name="Text Box 1"/>
        <cdr:cNvSpPr txBox="1"/>
      </cdr:nvSpPr>
      <cdr:spPr>
        <a:xfrm xmlns:a="http://schemas.openxmlformats.org/drawingml/2006/main">
          <a:off x="3781425" y="1009650"/>
          <a:ext cx="1028700" cy="409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900"/>
            <a:t>July 2009:</a:t>
          </a:r>
        </a:p>
        <a:p xmlns:a="http://schemas.openxmlformats.org/drawingml/2006/main">
          <a:pPr algn="r"/>
          <a:r>
            <a:rPr lang="en-GB" sz="900"/>
            <a:t> signed compact</a:t>
          </a:r>
        </a:p>
      </cdr:txBody>
    </cdr:sp>
  </cdr:relSizeAnchor>
  <cdr:relSizeAnchor xmlns:cdr="http://schemas.openxmlformats.org/drawingml/2006/chartDrawing">
    <cdr:from>
      <cdr:x>0.81265</cdr:x>
      <cdr:y>0.70807</cdr:y>
    </cdr:from>
    <cdr:to>
      <cdr:x>0.84755</cdr:x>
      <cdr:y>0.78842</cdr:y>
    </cdr:to>
    <cdr:cxnSp macro="">
      <cdr:nvCxnSpPr>
        <cdr:cNvPr id="3" name="Straight Arrow Connector 2"/>
        <cdr:cNvCxnSpPr/>
      </cdr:nvCxnSpPr>
      <cdr:spPr>
        <a:xfrm xmlns:a="http://schemas.openxmlformats.org/drawingml/2006/main">
          <a:off x="4657725" y="1343025"/>
          <a:ext cx="200025" cy="15240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6C7C-593A-4BCD-AEA3-79A44D49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79</Pages>
  <Words>24818</Words>
  <Characters>136505</Characters>
  <Application>Microsoft Office Word</Application>
  <DocSecurity>0</DocSecurity>
  <Lines>1137</Lines>
  <Paragraphs>322</Paragraphs>
  <ScaleCrop>false</ScaleCrop>
  <HeadingPairs>
    <vt:vector size="2" baseType="variant">
      <vt:variant>
        <vt:lpstr>Title</vt:lpstr>
      </vt:variant>
      <vt:variant>
        <vt:i4>1</vt:i4>
      </vt:variant>
    </vt:vector>
  </HeadingPairs>
  <TitlesOfParts>
    <vt:vector size="1" baseType="lpstr">
      <vt:lpstr/>
    </vt:vector>
  </TitlesOfParts>
  <Company>Social Development Direct</Company>
  <LinksUpToDate>false</LinksUpToDate>
  <CharactersWithSpaces>161001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Hubert Cathala</cp:lastModifiedBy>
  <cp:revision>3</cp:revision>
  <cp:lastPrinted>2013-06-17T05:21:00Z</cp:lastPrinted>
  <dcterms:created xsi:type="dcterms:W3CDTF">2013-06-17T05:22:00Z</dcterms:created>
  <dcterms:modified xsi:type="dcterms:W3CDTF">2013-08-07T14:13:00Z</dcterms:modified>
</cp:coreProperties>
</file>