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75299" w14:textId="5FD65CDF" w:rsidR="005A6D0A" w:rsidRPr="00577A40" w:rsidRDefault="005A6D0A" w:rsidP="00577A40">
      <w:pPr>
        <w:pStyle w:val="ECDPMHeading2numbered"/>
        <w:numPr>
          <w:ilvl w:val="0"/>
          <w:numId w:val="0"/>
        </w:numPr>
        <w:ind w:left="432" w:hanging="432"/>
        <w:jc w:val="center"/>
        <w:rPr>
          <w:b/>
        </w:rPr>
      </w:pPr>
      <w:r w:rsidRPr="00CC67E1">
        <w:rPr>
          <w:b/>
        </w:rPr>
        <w:t xml:space="preserve">REGIONAL EU </w:t>
      </w:r>
      <w:r w:rsidR="00D21234" w:rsidRPr="00CC67E1">
        <w:rPr>
          <w:b/>
        </w:rPr>
        <w:t xml:space="preserve">SEMINAR </w:t>
      </w:r>
      <w:r w:rsidRPr="00CC67E1">
        <w:rPr>
          <w:b/>
        </w:rPr>
        <w:t>(</w:t>
      </w:r>
      <w:r w:rsidR="00D21234" w:rsidRPr="00CC67E1">
        <w:rPr>
          <w:b/>
        </w:rPr>
        <w:t>Nairobi</w:t>
      </w:r>
      <w:r w:rsidR="00561667" w:rsidRPr="00CC67E1">
        <w:rPr>
          <w:b/>
        </w:rPr>
        <w:t>, 11-14</w:t>
      </w:r>
      <w:r w:rsidRPr="00CC67E1">
        <w:rPr>
          <w:b/>
        </w:rPr>
        <w:t xml:space="preserve"> </w:t>
      </w:r>
      <w:r w:rsidR="00561667" w:rsidRPr="00CC67E1">
        <w:rPr>
          <w:b/>
        </w:rPr>
        <w:t>November</w:t>
      </w:r>
      <w:r w:rsidRPr="00CC67E1">
        <w:rPr>
          <w:b/>
        </w:rPr>
        <w:t xml:space="preserve"> 2013)</w:t>
      </w:r>
    </w:p>
    <w:p w14:paraId="1B4D9BA9" w14:textId="3DB5C48F" w:rsidR="00653266" w:rsidRPr="00577A40" w:rsidRDefault="00E94879" w:rsidP="00577A40">
      <w:pPr>
        <w:pStyle w:val="ECDPMHeading2numbered"/>
        <w:numPr>
          <w:ilvl w:val="0"/>
          <w:numId w:val="0"/>
        </w:numPr>
        <w:jc w:val="center"/>
      </w:pPr>
      <w:r w:rsidRPr="00CC67E1">
        <w:rPr>
          <w:bCs/>
          <w:caps/>
        </w:rPr>
        <w:t>Decentralisation &amp; Local Governance In Anglophone and Lusophone Africa</w:t>
      </w:r>
      <w:r w:rsidR="00CC67E1">
        <w:rPr>
          <w:bCs/>
          <w:caps/>
        </w:rPr>
        <w:t xml:space="preserve"> – </w:t>
      </w:r>
      <w:r w:rsidRPr="00E94879">
        <w:t>Exploring relevant EU response strategies</w:t>
      </w:r>
      <w:r w:rsidR="00CC67E1">
        <w:t xml:space="preserve"> i</w:t>
      </w:r>
      <w:r w:rsidRPr="00E94879">
        <w:t>n a rapidly evolving African and international environment</w:t>
      </w:r>
    </w:p>
    <w:tbl>
      <w:tblPr>
        <w:tblStyle w:val="TableGrid"/>
        <w:tblW w:w="0" w:type="auto"/>
        <w:tblInd w:w="2093" w:type="dxa"/>
        <w:tblLook w:val="04A0" w:firstRow="1" w:lastRow="0" w:firstColumn="1" w:lastColumn="0" w:noHBand="0" w:noVBand="1"/>
      </w:tblPr>
      <w:tblGrid>
        <w:gridCol w:w="5103"/>
      </w:tblGrid>
      <w:tr w:rsidR="008E7058" w:rsidRPr="002F205A" w14:paraId="562ADDA3" w14:textId="77777777" w:rsidTr="008E7058">
        <w:tc>
          <w:tcPr>
            <w:tcW w:w="5103" w:type="dxa"/>
          </w:tcPr>
          <w:p w14:paraId="5AD2704B" w14:textId="71C0AE10" w:rsidR="008E7058" w:rsidRPr="002F205A" w:rsidRDefault="008E7058" w:rsidP="00653266">
            <w:pPr>
              <w:pStyle w:val="ECDPMHeading3"/>
              <w:spacing w:before="0"/>
              <w:jc w:val="center"/>
            </w:pPr>
            <w:r w:rsidRPr="002F205A">
              <w:t>SUMMARY OF THE MAIN MESSAGES</w:t>
            </w:r>
          </w:p>
        </w:tc>
      </w:tr>
    </w:tbl>
    <w:p w14:paraId="39E714E5" w14:textId="77777777" w:rsidR="005D5BBB" w:rsidRDefault="005D5BBB" w:rsidP="00127B24">
      <w:pPr>
        <w:pStyle w:val="ECDPMnormal"/>
        <w:rPr>
          <w:rFonts w:asciiTheme="minorHAnsi" w:hAnsiTheme="minorHAnsi"/>
          <w:b/>
          <w:color w:val="800000"/>
          <w:sz w:val="22"/>
          <w:szCs w:val="22"/>
        </w:rPr>
      </w:pPr>
    </w:p>
    <w:p w14:paraId="5854FC57" w14:textId="5F7F04B6" w:rsidR="00C36105" w:rsidRPr="002F205A" w:rsidRDefault="00682C2C" w:rsidP="00E50CC1">
      <w:pPr>
        <w:pStyle w:val="ECDPMnormal"/>
        <w:jc w:val="both"/>
        <w:rPr>
          <w:rFonts w:asciiTheme="minorHAnsi" w:hAnsiTheme="minorHAnsi"/>
          <w:i/>
          <w:szCs w:val="20"/>
        </w:rPr>
      </w:pPr>
      <w:r w:rsidRPr="002F205A">
        <w:rPr>
          <w:rFonts w:asciiTheme="minorHAnsi" w:hAnsiTheme="minorHAnsi"/>
          <w:i/>
          <w:szCs w:val="20"/>
        </w:rPr>
        <w:t xml:space="preserve">The regional seminar in </w:t>
      </w:r>
      <w:r w:rsidR="007101EA">
        <w:rPr>
          <w:rFonts w:asciiTheme="minorHAnsi" w:hAnsiTheme="minorHAnsi"/>
          <w:i/>
          <w:szCs w:val="20"/>
        </w:rPr>
        <w:t>Nairobi</w:t>
      </w:r>
      <w:r w:rsidRPr="002F205A">
        <w:rPr>
          <w:rFonts w:asciiTheme="minorHAnsi" w:hAnsiTheme="minorHAnsi"/>
          <w:i/>
          <w:szCs w:val="20"/>
        </w:rPr>
        <w:t xml:space="preserve"> took place in the context of </w:t>
      </w:r>
      <w:r w:rsidR="007101EA">
        <w:rPr>
          <w:rFonts w:asciiTheme="minorHAnsi" w:hAnsiTheme="minorHAnsi"/>
          <w:i/>
          <w:szCs w:val="20"/>
        </w:rPr>
        <w:t>a rapidly evolvi</w:t>
      </w:r>
      <w:r w:rsidRPr="002F205A">
        <w:rPr>
          <w:rFonts w:asciiTheme="minorHAnsi" w:hAnsiTheme="minorHAnsi"/>
          <w:i/>
          <w:szCs w:val="20"/>
        </w:rPr>
        <w:t xml:space="preserve">ng </w:t>
      </w:r>
      <w:r w:rsidR="007101EA">
        <w:rPr>
          <w:rFonts w:asciiTheme="minorHAnsi" w:hAnsiTheme="minorHAnsi"/>
          <w:i/>
          <w:szCs w:val="20"/>
        </w:rPr>
        <w:t xml:space="preserve">African context </w:t>
      </w:r>
      <w:r w:rsidRPr="002F205A">
        <w:rPr>
          <w:rFonts w:asciiTheme="minorHAnsi" w:hAnsiTheme="minorHAnsi"/>
          <w:i/>
          <w:szCs w:val="20"/>
        </w:rPr>
        <w:t xml:space="preserve">and major policy changes in EU cooperation. These changes require a fresh look </w:t>
      </w:r>
      <w:r w:rsidR="00E50CC1" w:rsidRPr="002F205A">
        <w:rPr>
          <w:rFonts w:asciiTheme="minorHAnsi" w:hAnsiTheme="minorHAnsi"/>
          <w:i/>
          <w:szCs w:val="20"/>
        </w:rPr>
        <w:t xml:space="preserve">at how to better </w:t>
      </w:r>
      <w:r w:rsidR="001D3B34" w:rsidRPr="002F205A">
        <w:rPr>
          <w:rFonts w:asciiTheme="minorHAnsi" w:hAnsiTheme="minorHAnsi"/>
          <w:i/>
          <w:szCs w:val="20"/>
        </w:rPr>
        <w:t>integrate the local level in the developme</w:t>
      </w:r>
      <w:r w:rsidR="00E50CC1" w:rsidRPr="002F205A">
        <w:rPr>
          <w:rFonts w:asciiTheme="minorHAnsi" w:hAnsiTheme="minorHAnsi"/>
          <w:i/>
          <w:szCs w:val="20"/>
        </w:rPr>
        <w:t xml:space="preserve">nt process; </w:t>
      </w:r>
      <w:r w:rsidR="00C9089A" w:rsidRPr="002F205A">
        <w:rPr>
          <w:rFonts w:asciiTheme="minorHAnsi" w:hAnsiTheme="minorHAnsi"/>
          <w:i/>
          <w:szCs w:val="20"/>
        </w:rPr>
        <w:t xml:space="preserve">how to engage in a </w:t>
      </w:r>
      <w:r w:rsidR="001D3B34" w:rsidRPr="002F205A">
        <w:rPr>
          <w:rFonts w:asciiTheme="minorHAnsi" w:hAnsiTheme="minorHAnsi"/>
          <w:i/>
          <w:szCs w:val="20"/>
        </w:rPr>
        <w:t>strat</w:t>
      </w:r>
      <w:r w:rsidR="00E50CC1" w:rsidRPr="002F205A">
        <w:rPr>
          <w:rFonts w:asciiTheme="minorHAnsi" w:hAnsiTheme="minorHAnsi"/>
          <w:i/>
          <w:szCs w:val="20"/>
        </w:rPr>
        <w:t xml:space="preserve">egic way with local authorities; and </w:t>
      </w:r>
      <w:r w:rsidR="001D3B34" w:rsidRPr="002F205A">
        <w:rPr>
          <w:rFonts w:asciiTheme="minorHAnsi" w:hAnsiTheme="minorHAnsi"/>
          <w:i/>
          <w:szCs w:val="20"/>
        </w:rPr>
        <w:t xml:space="preserve">how decentralisation can be </w:t>
      </w:r>
      <w:r w:rsidR="00E50CC1" w:rsidRPr="002F205A">
        <w:rPr>
          <w:rFonts w:asciiTheme="minorHAnsi" w:hAnsiTheme="minorHAnsi"/>
          <w:i/>
          <w:szCs w:val="20"/>
        </w:rPr>
        <w:t>used as an instrument to foster improved development and governance outcomes. Through highly interactive exchanges, participants to the seminar (EU Delegations, experts and local level actors</w:t>
      </w:r>
      <w:r w:rsidR="00E50CC1" w:rsidRPr="002F205A">
        <w:rPr>
          <w:rStyle w:val="FootnoteReference"/>
          <w:rFonts w:asciiTheme="minorHAnsi" w:hAnsiTheme="minorHAnsi"/>
          <w:i/>
          <w:szCs w:val="20"/>
        </w:rPr>
        <w:footnoteReference w:id="1"/>
      </w:r>
      <w:r w:rsidR="004E596E" w:rsidRPr="002F205A">
        <w:rPr>
          <w:rFonts w:asciiTheme="minorHAnsi" w:hAnsiTheme="minorHAnsi"/>
          <w:i/>
          <w:szCs w:val="20"/>
        </w:rPr>
        <w:t>)</w:t>
      </w:r>
      <w:r w:rsidR="007C6F59">
        <w:rPr>
          <w:rFonts w:asciiTheme="minorHAnsi" w:hAnsiTheme="minorHAnsi"/>
          <w:i/>
          <w:szCs w:val="20"/>
        </w:rPr>
        <w:t xml:space="preserve"> identified a set of </w:t>
      </w:r>
      <w:r w:rsidR="004E596E" w:rsidRPr="002F205A">
        <w:rPr>
          <w:rFonts w:asciiTheme="minorHAnsi" w:hAnsiTheme="minorHAnsi"/>
          <w:i/>
          <w:szCs w:val="20"/>
        </w:rPr>
        <w:t>key messages presented below</w:t>
      </w:r>
      <w:r w:rsidR="00C36105">
        <w:rPr>
          <w:rFonts w:asciiTheme="minorHAnsi" w:hAnsiTheme="minorHAnsi"/>
          <w:i/>
          <w:szCs w:val="20"/>
        </w:rPr>
        <w:t xml:space="preserve"> which carry important strategic and operational messages for EU development practitioners across the board.</w:t>
      </w:r>
    </w:p>
    <w:p w14:paraId="60CE76F0" w14:textId="77777777" w:rsidR="00640C93" w:rsidRPr="00640C93" w:rsidRDefault="00640C93" w:rsidP="00640C93">
      <w:pPr>
        <w:pStyle w:val="ECDPMnormal"/>
        <w:jc w:val="both"/>
        <w:rPr>
          <w:rFonts w:asciiTheme="minorHAnsi" w:hAnsiTheme="minorHAnsi"/>
          <w:szCs w:val="20"/>
        </w:rPr>
      </w:pPr>
    </w:p>
    <w:p w14:paraId="0ACABADF" w14:textId="1A0DBAFA" w:rsidR="00FE3EFD" w:rsidRDefault="00551E3C" w:rsidP="00FE3EFD">
      <w:pPr>
        <w:pStyle w:val="ECDPMnormal"/>
        <w:numPr>
          <w:ilvl w:val="0"/>
          <w:numId w:val="13"/>
        </w:numPr>
        <w:jc w:val="both"/>
        <w:rPr>
          <w:rFonts w:asciiTheme="minorHAnsi" w:hAnsiTheme="minorHAnsi"/>
          <w:szCs w:val="20"/>
        </w:rPr>
      </w:pPr>
      <w:r w:rsidRPr="00682277">
        <w:rPr>
          <w:rFonts w:asciiTheme="minorHAnsi" w:hAnsiTheme="minorHAnsi"/>
          <w:szCs w:val="20"/>
        </w:rPr>
        <w:t xml:space="preserve">The exchange seminar proved a very </w:t>
      </w:r>
      <w:r w:rsidRPr="00682277">
        <w:rPr>
          <w:rFonts w:asciiTheme="minorHAnsi" w:hAnsiTheme="minorHAnsi"/>
          <w:b/>
          <w:i/>
          <w:szCs w:val="20"/>
        </w:rPr>
        <w:t>timely event</w:t>
      </w:r>
      <w:r w:rsidR="00841AF1" w:rsidRPr="00682277">
        <w:rPr>
          <w:rFonts w:asciiTheme="minorHAnsi" w:hAnsiTheme="minorHAnsi"/>
          <w:szCs w:val="20"/>
        </w:rPr>
        <w:t xml:space="preserve">, mainly for </w:t>
      </w:r>
      <w:r w:rsidR="00841AF1" w:rsidRPr="00F372E4">
        <w:rPr>
          <w:rFonts w:asciiTheme="minorHAnsi" w:hAnsiTheme="minorHAnsi"/>
          <w:b/>
          <w:i/>
          <w:szCs w:val="20"/>
        </w:rPr>
        <w:t>two reasons</w:t>
      </w:r>
      <w:r w:rsidR="00841AF1" w:rsidRPr="00682277">
        <w:rPr>
          <w:rFonts w:asciiTheme="minorHAnsi" w:hAnsiTheme="minorHAnsi"/>
          <w:szCs w:val="20"/>
        </w:rPr>
        <w:t>.</w:t>
      </w:r>
      <w:r w:rsidRPr="00682277">
        <w:rPr>
          <w:rFonts w:asciiTheme="minorHAnsi" w:hAnsiTheme="minorHAnsi"/>
          <w:szCs w:val="20"/>
        </w:rPr>
        <w:t xml:space="preserve"> </w:t>
      </w:r>
      <w:r w:rsidRPr="00682277">
        <w:rPr>
          <w:rFonts w:asciiTheme="minorHAnsi" w:hAnsiTheme="minorHAnsi"/>
          <w:szCs w:val="20"/>
          <w:u w:val="single"/>
        </w:rPr>
        <w:t>F</w:t>
      </w:r>
      <w:r w:rsidR="00841AF1" w:rsidRPr="00682277">
        <w:rPr>
          <w:rFonts w:asciiTheme="minorHAnsi" w:hAnsiTheme="minorHAnsi"/>
          <w:szCs w:val="20"/>
          <w:u w:val="single"/>
        </w:rPr>
        <w:t>irst</w:t>
      </w:r>
      <w:r w:rsidR="00841AF1" w:rsidRPr="00682277">
        <w:rPr>
          <w:rFonts w:asciiTheme="minorHAnsi" w:hAnsiTheme="minorHAnsi"/>
          <w:szCs w:val="20"/>
        </w:rPr>
        <w:t xml:space="preserve">, since </w:t>
      </w:r>
      <w:r w:rsidR="002F4683" w:rsidRPr="00682277">
        <w:rPr>
          <w:rFonts w:asciiTheme="minorHAnsi" w:hAnsiTheme="minorHAnsi"/>
          <w:szCs w:val="20"/>
        </w:rPr>
        <w:t xml:space="preserve">the </w:t>
      </w:r>
      <w:r w:rsidR="007F1C97">
        <w:rPr>
          <w:rFonts w:asciiTheme="minorHAnsi" w:hAnsiTheme="minorHAnsi"/>
          <w:szCs w:val="20"/>
        </w:rPr>
        <w:t>late</w:t>
      </w:r>
      <w:r w:rsidR="002F4683" w:rsidRPr="00682277">
        <w:rPr>
          <w:rFonts w:asciiTheme="minorHAnsi" w:hAnsiTheme="minorHAnsi"/>
          <w:szCs w:val="20"/>
        </w:rPr>
        <w:t xml:space="preserve"> </w:t>
      </w:r>
      <w:r w:rsidRPr="00682277">
        <w:rPr>
          <w:rFonts w:asciiTheme="minorHAnsi" w:hAnsiTheme="minorHAnsi"/>
          <w:szCs w:val="20"/>
        </w:rPr>
        <w:t xml:space="preserve">1980s, </w:t>
      </w:r>
      <w:r w:rsidR="00560C42">
        <w:rPr>
          <w:rFonts w:asciiTheme="minorHAnsi" w:hAnsiTheme="minorHAnsi"/>
          <w:szCs w:val="20"/>
        </w:rPr>
        <w:t xml:space="preserve">a new generation of </w:t>
      </w:r>
      <w:r w:rsidRPr="00682277">
        <w:rPr>
          <w:rFonts w:asciiTheme="minorHAnsi" w:hAnsiTheme="minorHAnsi"/>
          <w:szCs w:val="20"/>
        </w:rPr>
        <w:t xml:space="preserve">decentralisation processes </w:t>
      </w:r>
      <w:r w:rsidR="00560C42">
        <w:rPr>
          <w:rFonts w:asciiTheme="minorHAnsi" w:hAnsiTheme="minorHAnsi"/>
          <w:szCs w:val="20"/>
        </w:rPr>
        <w:t xml:space="preserve">have been unfolding across the </w:t>
      </w:r>
      <w:r w:rsidRPr="00682277">
        <w:rPr>
          <w:rFonts w:asciiTheme="minorHAnsi" w:hAnsiTheme="minorHAnsi"/>
          <w:szCs w:val="20"/>
        </w:rPr>
        <w:t xml:space="preserve">region. </w:t>
      </w:r>
      <w:r w:rsidR="00E31778" w:rsidRPr="00682277">
        <w:rPr>
          <w:rFonts w:asciiTheme="minorHAnsi" w:hAnsiTheme="minorHAnsi"/>
          <w:szCs w:val="20"/>
        </w:rPr>
        <w:t xml:space="preserve">Discussion of country contexts quickly highlighted the wide array of </w:t>
      </w:r>
      <w:r w:rsidR="00E16B0D" w:rsidRPr="00682277">
        <w:rPr>
          <w:rFonts w:asciiTheme="minorHAnsi" w:hAnsiTheme="minorHAnsi"/>
          <w:szCs w:val="20"/>
        </w:rPr>
        <w:t xml:space="preserve">contexts and types of reforms aimed at </w:t>
      </w:r>
      <w:r w:rsidR="00560C42">
        <w:rPr>
          <w:rFonts w:asciiTheme="minorHAnsi" w:hAnsiTheme="minorHAnsi"/>
          <w:szCs w:val="20"/>
        </w:rPr>
        <w:t xml:space="preserve">various key </w:t>
      </w:r>
      <w:bookmarkStart w:id="0" w:name="_GoBack"/>
      <w:bookmarkEnd w:id="0"/>
      <w:r w:rsidR="00560C42">
        <w:rPr>
          <w:rFonts w:asciiTheme="minorHAnsi" w:hAnsiTheme="minorHAnsi"/>
          <w:szCs w:val="20"/>
        </w:rPr>
        <w:t xml:space="preserve">objectives such as local </w:t>
      </w:r>
      <w:r w:rsidR="00E16B0D" w:rsidRPr="00682277">
        <w:rPr>
          <w:rFonts w:asciiTheme="minorHAnsi" w:hAnsiTheme="minorHAnsi"/>
          <w:szCs w:val="20"/>
        </w:rPr>
        <w:t xml:space="preserve">governance, development, service delivery, stability, </w:t>
      </w:r>
      <w:r w:rsidR="005C00C8">
        <w:rPr>
          <w:rFonts w:asciiTheme="minorHAnsi" w:hAnsiTheme="minorHAnsi"/>
          <w:szCs w:val="20"/>
        </w:rPr>
        <w:t>equity, etc…</w:t>
      </w:r>
      <w:r w:rsidR="00C14A9D" w:rsidRPr="00682277">
        <w:rPr>
          <w:rFonts w:asciiTheme="minorHAnsi" w:hAnsiTheme="minorHAnsi"/>
          <w:szCs w:val="20"/>
        </w:rPr>
        <w:t xml:space="preserve"> </w:t>
      </w:r>
      <w:r w:rsidR="005D5BBB">
        <w:rPr>
          <w:rFonts w:asciiTheme="minorHAnsi" w:hAnsiTheme="minorHAnsi"/>
          <w:szCs w:val="20"/>
        </w:rPr>
        <w:t>Yet the</w:t>
      </w:r>
      <w:r w:rsidR="005D5BBB" w:rsidRPr="005D5BBB">
        <w:rPr>
          <w:rFonts w:asciiTheme="minorHAnsi" w:hAnsiTheme="minorHAnsi"/>
          <w:szCs w:val="20"/>
        </w:rPr>
        <w:t xml:space="preserve"> </w:t>
      </w:r>
      <w:r w:rsidR="005D5BBB" w:rsidRPr="007605AD">
        <w:rPr>
          <w:rFonts w:asciiTheme="minorHAnsi" w:hAnsiTheme="minorHAnsi"/>
          <w:b/>
          <w:i/>
          <w:szCs w:val="20"/>
        </w:rPr>
        <w:t>overall track record and impact of the reforms has been mixed</w:t>
      </w:r>
      <w:r w:rsidR="005D5BBB" w:rsidRPr="005D5BBB">
        <w:rPr>
          <w:rFonts w:asciiTheme="minorHAnsi" w:hAnsiTheme="minorHAnsi"/>
          <w:szCs w:val="20"/>
        </w:rPr>
        <w:t>. At the macro level</w:t>
      </w:r>
      <w:r w:rsidR="005D5BBB">
        <w:rPr>
          <w:rFonts w:asciiTheme="minorHAnsi" w:hAnsiTheme="minorHAnsi"/>
          <w:szCs w:val="20"/>
        </w:rPr>
        <w:t>,</w:t>
      </w:r>
      <w:r w:rsidR="005D5BBB" w:rsidRPr="005D5BBB">
        <w:rPr>
          <w:rFonts w:asciiTheme="minorHAnsi" w:hAnsiTheme="minorHAnsi"/>
          <w:szCs w:val="20"/>
        </w:rPr>
        <w:t xml:space="preserve"> countries have a</w:t>
      </w:r>
      <w:r w:rsidR="007C6F59">
        <w:rPr>
          <w:rFonts w:asciiTheme="minorHAnsi" w:hAnsiTheme="minorHAnsi"/>
          <w:szCs w:val="20"/>
        </w:rPr>
        <w:t xml:space="preserve">dopted constitutions and </w:t>
      </w:r>
      <w:r w:rsidR="005D5BBB" w:rsidRPr="005D5BBB">
        <w:rPr>
          <w:rFonts w:asciiTheme="minorHAnsi" w:hAnsiTheme="minorHAnsi"/>
          <w:szCs w:val="20"/>
        </w:rPr>
        <w:t xml:space="preserve">decentralisation frameworks, providing for subnational elections, some degree of autonomy and revenue sharing (with varying conditionality).  </w:t>
      </w:r>
      <w:r w:rsidR="00FE3EFD">
        <w:rPr>
          <w:rFonts w:asciiTheme="minorHAnsi" w:hAnsiTheme="minorHAnsi"/>
          <w:szCs w:val="20"/>
        </w:rPr>
        <w:t xml:space="preserve">In practice, </w:t>
      </w:r>
      <w:r w:rsidR="005D5BBB" w:rsidRPr="005D5BBB">
        <w:rPr>
          <w:rFonts w:asciiTheme="minorHAnsi" w:hAnsiTheme="minorHAnsi"/>
          <w:szCs w:val="20"/>
        </w:rPr>
        <w:t xml:space="preserve">the implementation of the </w:t>
      </w:r>
      <w:r w:rsidR="00FE3EFD">
        <w:rPr>
          <w:rFonts w:asciiTheme="minorHAnsi" w:hAnsiTheme="minorHAnsi"/>
          <w:szCs w:val="20"/>
        </w:rPr>
        <w:t xml:space="preserve">decentralisation </w:t>
      </w:r>
      <w:r w:rsidR="005D5BBB" w:rsidRPr="005D5BBB">
        <w:rPr>
          <w:rFonts w:asciiTheme="minorHAnsi" w:hAnsiTheme="minorHAnsi"/>
          <w:szCs w:val="20"/>
        </w:rPr>
        <w:t>frameworks</w:t>
      </w:r>
      <w:r w:rsidR="00FE3EFD">
        <w:rPr>
          <w:rFonts w:asciiTheme="minorHAnsi" w:hAnsiTheme="minorHAnsi"/>
          <w:szCs w:val="20"/>
        </w:rPr>
        <w:t xml:space="preserve"> has often been stalled</w:t>
      </w:r>
      <w:r w:rsidR="00BC64D9">
        <w:rPr>
          <w:rFonts w:asciiTheme="minorHAnsi" w:hAnsiTheme="minorHAnsi"/>
          <w:szCs w:val="20"/>
        </w:rPr>
        <w:t xml:space="preserve">. </w:t>
      </w:r>
      <w:r w:rsidR="003C29D1">
        <w:rPr>
          <w:rFonts w:asciiTheme="minorHAnsi" w:hAnsiTheme="minorHAnsi"/>
          <w:szCs w:val="20"/>
        </w:rPr>
        <w:t xml:space="preserve">Devolution has been often imposed (as a condition of structural adjustment programmes) rather than demanded. </w:t>
      </w:r>
      <w:r w:rsidR="00FE3EFD">
        <w:rPr>
          <w:rFonts w:asciiTheme="minorHAnsi" w:hAnsiTheme="minorHAnsi"/>
          <w:szCs w:val="20"/>
        </w:rPr>
        <w:t xml:space="preserve">Revenue collection powers have remained limited at the local level. While </w:t>
      </w:r>
      <w:r w:rsidR="005D5BBB" w:rsidRPr="005D5BBB">
        <w:rPr>
          <w:rFonts w:asciiTheme="minorHAnsi" w:hAnsiTheme="minorHAnsi"/>
          <w:szCs w:val="20"/>
        </w:rPr>
        <w:t>there has been a distinct increase in range and quantity of services provided at the local level but less is known on quality.</w:t>
      </w:r>
      <w:r w:rsidR="00FE3EFD">
        <w:rPr>
          <w:rFonts w:asciiTheme="minorHAnsi" w:hAnsiTheme="minorHAnsi"/>
          <w:szCs w:val="20"/>
        </w:rPr>
        <w:t xml:space="preserve"> </w:t>
      </w:r>
      <w:r w:rsidR="00BC64D9">
        <w:rPr>
          <w:rFonts w:asciiTheme="minorHAnsi" w:hAnsiTheme="minorHAnsi"/>
          <w:szCs w:val="20"/>
        </w:rPr>
        <w:t xml:space="preserve">Governance gains have been uneven. </w:t>
      </w:r>
      <w:r w:rsidR="008C65E0">
        <w:rPr>
          <w:rFonts w:asciiTheme="minorHAnsi" w:hAnsiTheme="minorHAnsi"/>
          <w:szCs w:val="20"/>
        </w:rPr>
        <w:t xml:space="preserve">Recentralisation trends are noticeable in several countries. </w:t>
      </w:r>
      <w:r w:rsidR="003C29D1" w:rsidRPr="007605AD">
        <w:rPr>
          <w:rFonts w:asciiTheme="minorHAnsi" w:hAnsiTheme="minorHAnsi"/>
          <w:b/>
          <w:i/>
          <w:szCs w:val="20"/>
        </w:rPr>
        <w:t>At the same time, new challenges are arising</w:t>
      </w:r>
      <w:r w:rsidR="003C29D1">
        <w:rPr>
          <w:rFonts w:asciiTheme="minorHAnsi" w:hAnsiTheme="minorHAnsi"/>
          <w:szCs w:val="20"/>
        </w:rPr>
        <w:t xml:space="preserve"> </w:t>
      </w:r>
      <w:proofErr w:type="gramStart"/>
      <w:r w:rsidR="003C29D1">
        <w:rPr>
          <w:rFonts w:asciiTheme="minorHAnsi" w:hAnsiTheme="minorHAnsi"/>
          <w:szCs w:val="20"/>
        </w:rPr>
        <w:t>which</w:t>
      </w:r>
      <w:proofErr w:type="gramEnd"/>
      <w:r w:rsidR="003C29D1">
        <w:rPr>
          <w:rFonts w:asciiTheme="minorHAnsi" w:hAnsiTheme="minorHAnsi"/>
          <w:szCs w:val="20"/>
        </w:rPr>
        <w:t xml:space="preserve"> need local responses (e.g. climate change). </w:t>
      </w:r>
      <w:r w:rsidR="00FE3EFD">
        <w:rPr>
          <w:rFonts w:asciiTheme="minorHAnsi" w:hAnsiTheme="minorHAnsi"/>
          <w:szCs w:val="20"/>
        </w:rPr>
        <w:t xml:space="preserve">All these elements </w:t>
      </w:r>
      <w:r w:rsidR="007C6F59">
        <w:rPr>
          <w:rFonts w:asciiTheme="minorHAnsi" w:hAnsiTheme="minorHAnsi"/>
          <w:szCs w:val="20"/>
        </w:rPr>
        <w:t xml:space="preserve">suggest </w:t>
      </w:r>
      <w:r w:rsidR="00FE3EFD" w:rsidRPr="007605AD">
        <w:rPr>
          <w:rFonts w:asciiTheme="minorHAnsi" w:hAnsiTheme="minorHAnsi"/>
          <w:b/>
          <w:i/>
          <w:szCs w:val="20"/>
        </w:rPr>
        <w:t>new policy responses may be required</w:t>
      </w:r>
      <w:r w:rsidR="00FE3EFD">
        <w:rPr>
          <w:rFonts w:asciiTheme="minorHAnsi" w:hAnsiTheme="minorHAnsi"/>
          <w:szCs w:val="20"/>
        </w:rPr>
        <w:t xml:space="preserve"> to better tap the potential of decentralisation for promoting development and governance. </w:t>
      </w:r>
    </w:p>
    <w:p w14:paraId="3BECB2F0" w14:textId="77777777" w:rsidR="00FE3EFD" w:rsidRDefault="00FE3EFD" w:rsidP="00F372E4">
      <w:pPr>
        <w:pStyle w:val="ECDPMnormal"/>
        <w:ind w:left="360"/>
        <w:jc w:val="both"/>
        <w:rPr>
          <w:rFonts w:asciiTheme="minorHAnsi" w:hAnsiTheme="minorHAnsi"/>
          <w:szCs w:val="20"/>
        </w:rPr>
      </w:pPr>
    </w:p>
    <w:p w14:paraId="43285C47" w14:textId="66679F10" w:rsidR="002F4683" w:rsidRPr="00FE3EFD" w:rsidRDefault="002F4683" w:rsidP="00FE3EFD">
      <w:pPr>
        <w:pStyle w:val="ECDPMnormal"/>
        <w:numPr>
          <w:ilvl w:val="0"/>
          <w:numId w:val="13"/>
        </w:numPr>
        <w:jc w:val="both"/>
        <w:rPr>
          <w:rFonts w:asciiTheme="minorHAnsi" w:hAnsiTheme="minorHAnsi"/>
          <w:szCs w:val="20"/>
        </w:rPr>
      </w:pPr>
      <w:r w:rsidRPr="00FE3EFD">
        <w:rPr>
          <w:rFonts w:asciiTheme="minorHAnsi" w:hAnsiTheme="minorHAnsi"/>
          <w:i/>
          <w:szCs w:val="20"/>
          <w:u w:val="single"/>
        </w:rPr>
        <w:t>Second,</w:t>
      </w:r>
      <w:r w:rsidRPr="00FE3EFD">
        <w:rPr>
          <w:rFonts w:asciiTheme="minorHAnsi" w:hAnsiTheme="minorHAnsi"/>
          <w:szCs w:val="20"/>
        </w:rPr>
        <w:t xml:space="preserve"> </w:t>
      </w:r>
      <w:r w:rsidRPr="00FE3EFD">
        <w:rPr>
          <w:rFonts w:asciiTheme="minorHAnsi" w:eastAsia="Calibri" w:hAnsiTheme="minorHAnsi" w:cs="Times New Roman"/>
          <w:szCs w:val="20"/>
          <w:lang w:eastAsia="en-US"/>
        </w:rPr>
        <w:t xml:space="preserve">because the </w:t>
      </w:r>
      <w:r w:rsidRPr="007605AD">
        <w:rPr>
          <w:rFonts w:asciiTheme="minorHAnsi" w:eastAsia="Calibri" w:hAnsiTheme="minorHAnsi" w:cs="Times New Roman"/>
          <w:b/>
          <w:i/>
          <w:szCs w:val="20"/>
          <w:lang w:eastAsia="en-US"/>
        </w:rPr>
        <w:t>EU is currently seeking to redefine its overall approach towards decentralisation and local governance</w:t>
      </w:r>
      <w:r w:rsidRPr="00FE3EFD">
        <w:rPr>
          <w:rFonts w:asciiTheme="minorHAnsi" w:eastAsia="Calibri" w:hAnsiTheme="minorHAnsi" w:cs="Times New Roman"/>
          <w:szCs w:val="20"/>
          <w:lang w:eastAsia="en-US"/>
        </w:rPr>
        <w:t xml:space="preserve"> following (</w:t>
      </w:r>
      <w:proofErr w:type="spellStart"/>
      <w:r w:rsidRPr="00FE3EFD">
        <w:rPr>
          <w:rFonts w:asciiTheme="minorHAnsi" w:eastAsia="Calibri" w:hAnsiTheme="minorHAnsi" w:cs="Times New Roman"/>
          <w:szCs w:val="20"/>
          <w:lang w:eastAsia="en-US"/>
        </w:rPr>
        <w:t>i</w:t>
      </w:r>
      <w:proofErr w:type="spellEnd"/>
      <w:r w:rsidRPr="00FE3EFD">
        <w:rPr>
          <w:rFonts w:asciiTheme="minorHAnsi" w:eastAsia="Calibri" w:hAnsiTheme="minorHAnsi" w:cs="Times New Roman"/>
          <w:szCs w:val="20"/>
          <w:lang w:eastAsia="en-US"/>
        </w:rPr>
        <w:t xml:space="preserve">) the policy orientations defined in the Agenda for Change; (ii) the outcome of the recently concluded Thematic Evaluation of EC support to decentralisation and (iii) the new political ambitions expressed in the May 2013 Communication on </w:t>
      </w:r>
      <w:r w:rsidRPr="007C6F59">
        <w:rPr>
          <w:rFonts w:asciiTheme="minorHAnsi" w:eastAsia="Calibri" w:hAnsiTheme="minorHAnsi" w:cs="Times New Roman"/>
          <w:i/>
          <w:szCs w:val="20"/>
          <w:lang w:eastAsia="en-US"/>
        </w:rPr>
        <w:t>“Empowering Local Authorities</w:t>
      </w:r>
      <w:r w:rsidR="00FE3EFD">
        <w:rPr>
          <w:rFonts w:asciiTheme="minorHAnsi" w:eastAsia="Calibri" w:hAnsiTheme="minorHAnsi" w:cs="Times New Roman"/>
          <w:i/>
          <w:szCs w:val="20"/>
          <w:lang w:eastAsia="en-US"/>
        </w:rPr>
        <w:t xml:space="preserve"> (LAs)</w:t>
      </w:r>
      <w:r w:rsidRPr="00FE3EFD">
        <w:rPr>
          <w:rFonts w:asciiTheme="minorHAnsi" w:eastAsia="Calibri" w:hAnsiTheme="minorHAnsi" w:cs="Times New Roman"/>
          <w:i/>
          <w:szCs w:val="20"/>
          <w:lang w:eastAsia="en-US"/>
        </w:rPr>
        <w:t xml:space="preserve"> in partner countries for enhanced governance and more effective development outcomes”.</w:t>
      </w:r>
      <w:r w:rsidR="00A94F61" w:rsidRPr="00FE3EFD">
        <w:rPr>
          <w:rFonts w:asciiTheme="minorHAnsi" w:eastAsia="Calibri" w:hAnsiTheme="minorHAnsi" w:cs="Times New Roman"/>
          <w:szCs w:val="20"/>
          <w:lang w:eastAsia="en-US"/>
        </w:rPr>
        <w:t xml:space="preserve"> The Communication provides </w:t>
      </w:r>
      <w:r w:rsidR="00D74BB4" w:rsidRPr="00FE3EFD">
        <w:rPr>
          <w:rFonts w:asciiTheme="minorHAnsi" w:eastAsia="Calibri" w:hAnsiTheme="minorHAnsi" w:cs="Times New Roman"/>
          <w:szCs w:val="20"/>
          <w:lang w:eastAsia="en-US"/>
        </w:rPr>
        <w:t>practitioners with a clear political vision on why to engage strategically with LAs.</w:t>
      </w:r>
      <w:r w:rsidRPr="00FE3EFD">
        <w:rPr>
          <w:rFonts w:asciiTheme="minorHAnsi" w:eastAsia="Calibri" w:hAnsiTheme="minorHAnsi" w:cs="Times New Roman"/>
          <w:i/>
          <w:szCs w:val="20"/>
          <w:lang w:eastAsia="en-US"/>
        </w:rPr>
        <w:t xml:space="preserve"> </w:t>
      </w:r>
      <w:r w:rsidR="00FE3EFD">
        <w:rPr>
          <w:rFonts w:asciiTheme="minorHAnsi" w:eastAsia="Calibri" w:hAnsiTheme="minorHAnsi" w:cs="Times New Roman"/>
          <w:szCs w:val="20"/>
          <w:lang w:eastAsia="en-US"/>
        </w:rPr>
        <w:t xml:space="preserve">To this should be added the September 2012 Communication on </w:t>
      </w:r>
      <w:r w:rsidR="00FE3EFD" w:rsidRPr="00F372E4">
        <w:rPr>
          <w:rFonts w:asciiTheme="minorHAnsi" w:eastAsia="Calibri" w:hAnsiTheme="minorHAnsi" w:cs="Times New Roman"/>
          <w:i/>
          <w:szCs w:val="20"/>
          <w:lang w:eastAsia="en-US"/>
        </w:rPr>
        <w:t>“The roots to democracy and sustainable development: Europe’s engagement with civil society in external action”</w:t>
      </w:r>
      <w:r w:rsidR="00FE3EFD">
        <w:rPr>
          <w:rFonts w:asciiTheme="minorHAnsi" w:eastAsia="Calibri" w:hAnsiTheme="minorHAnsi" w:cs="Times New Roman"/>
          <w:szCs w:val="20"/>
          <w:lang w:eastAsia="en-US"/>
        </w:rPr>
        <w:t xml:space="preserve"> </w:t>
      </w:r>
      <w:r w:rsidR="007C6F59">
        <w:rPr>
          <w:rFonts w:asciiTheme="minorHAnsi" w:eastAsia="Calibri" w:hAnsiTheme="minorHAnsi" w:cs="Times New Roman"/>
          <w:szCs w:val="20"/>
          <w:lang w:eastAsia="en-US"/>
        </w:rPr>
        <w:t>which emphasizes the critical importance of effective state-society relations, including at local level. T</w:t>
      </w:r>
      <w:r w:rsidRPr="00FE3EFD">
        <w:rPr>
          <w:rFonts w:asciiTheme="minorHAnsi" w:eastAsia="Calibri" w:hAnsiTheme="minorHAnsi" w:cs="Times New Roman"/>
          <w:szCs w:val="20"/>
          <w:lang w:eastAsia="en-US"/>
        </w:rPr>
        <w:t xml:space="preserve">he </w:t>
      </w:r>
      <w:r w:rsidR="001C5B27" w:rsidRPr="00FE3EFD">
        <w:rPr>
          <w:rFonts w:asciiTheme="minorHAnsi" w:eastAsia="Calibri" w:hAnsiTheme="minorHAnsi" w:cs="Times New Roman"/>
          <w:szCs w:val="20"/>
          <w:lang w:eastAsia="en-US"/>
        </w:rPr>
        <w:t>Nairobi</w:t>
      </w:r>
      <w:r w:rsidRPr="00FE3EFD">
        <w:rPr>
          <w:rFonts w:asciiTheme="minorHAnsi" w:eastAsia="Calibri" w:hAnsiTheme="minorHAnsi" w:cs="Times New Roman"/>
          <w:szCs w:val="20"/>
          <w:lang w:eastAsia="en-US"/>
        </w:rPr>
        <w:t xml:space="preserve"> seminar</w:t>
      </w:r>
      <w:r w:rsidR="00D74BB4" w:rsidRPr="00FE3EFD">
        <w:rPr>
          <w:rFonts w:asciiTheme="minorHAnsi" w:eastAsia="Calibri" w:hAnsiTheme="minorHAnsi" w:cs="Times New Roman"/>
          <w:szCs w:val="20"/>
          <w:lang w:eastAsia="en-US"/>
        </w:rPr>
        <w:t>, part of a series of regional seminars,</w:t>
      </w:r>
      <w:r w:rsidRPr="00FE3EFD">
        <w:rPr>
          <w:rFonts w:asciiTheme="minorHAnsi" w:eastAsia="Calibri" w:hAnsiTheme="minorHAnsi" w:cs="Times New Roman"/>
          <w:szCs w:val="20"/>
          <w:lang w:eastAsia="en-US"/>
        </w:rPr>
        <w:t xml:space="preserve"> provided an opportunity to </w:t>
      </w:r>
      <w:r w:rsidR="00E60162" w:rsidRPr="00FE3EFD">
        <w:rPr>
          <w:rFonts w:asciiTheme="minorHAnsi" w:eastAsia="Calibri" w:hAnsiTheme="minorHAnsi" w:cs="Times New Roman"/>
          <w:szCs w:val="20"/>
          <w:lang w:eastAsia="en-US"/>
        </w:rPr>
        <w:t xml:space="preserve">discuss how to </w:t>
      </w:r>
      <w:r w:rsidRPr="00FE3EFD">
        <w:rPr>
          <w:rFonts w:asciiTheme="minorHAnsi" w:eastAsia="Calibri" w:hAnsiTheme="minorHAnsi" w:cs="Times New Roman"/>
          <w:b/>
          <w:i/>
          <w:szCs w:val="20"/>
          <w:lang w:eastAsia="en-US"/>
        </w:rPr>
        <w:t>translate this new global EU vision at regional level</w:t>
      </w:r>
      <w:r w:rsidR="00E60162" w:rsidRPr="00FE3EFD">
        <w:rPr>
          <w:rFonts w:asciiTheme="minorHAnsi" w:eastAsia="Calibri" w:hAnsiTheme="minorHAnsi" w:cs="Times New Roman"/>
          <w:szCs w:val="20"/>
          <w:lang w:eastAsia="en-US"/>
        </w:rPr>
        <w:t xml:space="preserve"> into practice</w:t>
      </w:r>
      <w:r w:rsidRPr="00FE3EFD">
        <w:rPr>
          <w:rFonts w:asciiTheme="minorHAnsi" w:eastAsia="Calibri" w:hAnsiTheme="minorHAnsi" w:cs="Times New Roman"/>
          <w:szCs w:val="20"/>
          <w:lang w:eastAsia="en-US"/>
        </w:rPr>
        <w:t xml:space="preserve"> </w:t>
      </w:r>
      <w:r w:rsidR="001C5B27" w:rsidRPr="00FE3EFD">
        <w:rPr>
          <w:rFonts w:asciiTheme="minorHAnsi" w:eastAsia="Calibri" w:hAnsiTheme="minorHAnsi" w:cs="Times New Roman"/>
          <w:szCs w:val="20"/>
          <w:lang w:eastAsia="en-US"/>
        </w:rPr>
        <w:t xml:space="preserve">in Anglophone and </w:t>
      </w:r>
      <w:proofErr w:type="spellStart"/>
      <w:r w:rsidR="001C5B27" w:rsidRPr="00FE3EFD">
        <w:rPr>
          <w:rFonts w:asciiTheme="minorHAnsi" w:eastAsia="Calibri" w:hAnsiTheme="minorHAnsi" w:cs="Times New Roman"/>
          <w:szCs w:val="20"/>
          <w:lang w:eastAsia="en-US"/>
        </w:rPr>
        <w:t>Lusophone</w:t>
      </w:r>
      <w:proofErr w:type="spellEnd"/>
      <w:r w:rsidR="001C5B27" w:rsidRPr="00FE3EFD">
        <w:rPr>
          <w:rFonts w:asciiTheme="minorHAnsi" w:eastAsia="Calibri" w:hAnsiTheme="minorHAnsi" w:cs="Times New Roman"/>
          <w:szCs w:val="20"/>
          <w:lang w:eastAsia="en-US"/>
        </w:rPr>
        <w:t xml:space="preserve"> Africa.</w:t>
      </w:r>
    </w:p>
    <w:p w14:paraId="5B28B158" w14:textId="77777777" w:rsidR="002F4683" w:rsidRDefault="002F4683" w:rsidP="002F4683">
      <w:pPr>
        <w:pStyle w:val="ECDPMnormal"/>
        <w:jc w:val="both"/>
        <w:rPr>
          <w:rFonts w:asciiTheme="minorHAnsi" w:hAnsiTheme="minorHAnsi"/>
          <w:szCs w:val="20"/>
        </w:rPr>
      </w:pPr>
    </w:p>
    <w:p w14:paraId="37EF2829" w14:textId="38A10E27" w:rsidR="00702DDC" w:rsidRDefault="00867BE4" w:rsidP="00E03C3C">
      <w:pPr>
        <w:pStyle w:val="ECDPMnormal"/>
        <w:numPr>
          <w:ilvl w:val="0"/>
          <w:numId w:val="13"/>
        </w:numPr>
        <w:jc w:val="both"/>
        <w:rPr>
          <w:rFonts w:asciiTheme="minorHAnsi" w:hAnsiTheme="minorHAnsi"/>
          <w:szCs w:val="20"/>
        </w:rPr>
      </w:pPr>
      <w:r>
        <w:rPr>
          <w:rFonts w:asciiTheme="minorHAnsi" w:hAnsiTheme="minorHAnsi"/>
          <w:szCs w:val="20"/>
        </w:rPr>
        <w:t xml:space="preserve">The </w:t>
      </w:r>
      <w:r w:rsidR="007C6F59">
        <w:rPr>
          <w:rFonts w:asciiTheme="minorHAnsi" w:hAnsiTheme="minorHAnsi"/>
          <w:szCs w:val="20"/>
        </w:rPr>
        <w:t xml:space="preserve">strong </w:t>
      </w:r>
      <w:r>
        <w:rPr>
          <w:rFonts w:asciiTheme="minorHAnsi" w:hAnsiTheme="minorHAnsi"/>
          <w:szCs w:val="20"/>
        </w:rPr>
        <w:t>message that came ou</w:t>
      </w:r>
      <w:r w:rsidR="00FD7046">
        <w:rPr>
          <w:rFonts w:asciiTheme="minorHAnsi" w:hAnsiTheme="minorHAnsi"/>
          <w:szCs w:val="20"/>
        </w:rPr>
        <w:t xml:space="preserve">t of the seminars discussions is the </w:t>
      </w:r>
      <w:r w:rsidR="00BC64D9" w:rsidRPr="007605AD">
        <w:rPr>
          <w:rFonts w:asciiTheme="minorHAnsi" w:hAnsiTheme="minorHAnsi"/>
          <w:b/>
          <w:i/>
          <w:szCs w:val="20"/>
        </w:rPr>
        <w:t>critical importance</w:t>
      </w:r>
      <w:r w:rsidR="00FD7046" w:rsidRPr="007605AD">
        <w:rPr>
          <w:rFonts w:asciiTheme="minorHAnsi" w:hAnsiTheme="minorHAnsi"/>
          <w:b/>
          <w:i/>
          <w:szCs w:val="20"/>
        </w:rPr>
        <w:t xml:space="preserve"> of the</w:t>
      </w:r>
      <w:r w:rsidR="008C65E0" w:rsidRPr="007605AD">
        <w:rPr>
          <w:rFonts w:asciiTheme="minorHAnsi" w:hAnsiTheme="minorHAnsi"/>
          <w:b/>
          <w:i/>
          <w:szCs w:val="20"/>
        </w:rPr>
        <w:t xml:space="preserve"> </w:t>
      </w:r>
      <w:r w:rsidR="00FD7046" w:rsidRPr="007605AD">
        <w:rPr>
          <w:rFonts w:asciiTheme="minorHAnsi" w:hAnsiTheme="minorHAnsi"/>
          <w:b/>
          <w:i/>
          <w:szCs w:val="20"/>
        </w:rPr>
        <w:t>‘local dimen</w:t>
      </w:r>
      <w:r w:rsidR="00CB2CCC" w:rsidRPr="007605AD">
        <w:rPr>
          <w:rFonts w:asciiTheme="minorHAnsi" w:hAnsiTheme="minorHAnsi"/>
          <w:b/>
          <w:i/>
          <w:szCs w:val="20"/>
        </w:rPr>
        <w:t>sion’ in development processes</w:t>
      </w:r>
      <w:r w:rsidR="00CB2CCC">
        <w:rPr>
          <w:rFonts w:asciiTheme="minorHAnsi" w:hAnsiTheme="minorHAnsi"/>
          <w:szCs w:val="20"/>
        </w:rPr>
        <w:t xml:space="preserve">, which therefore can no longer be neglected. </w:t>
      </w:r>
      <w:r w:rsidR="007C6F59">
        <w:rPr>
          <w:rFonts w:asciiTheme="minorHAnsi" w:hAnsiTheme="minorHAnsi"/>
          <w:szCs w:val="20"/>
        </w:rPr>
        <w:t xml:space="preserve"> </w:t>
      </w:r>
      <w:r w:rsidR="005F2F69">
        <w:rPr>
          <w:rFonts w:asciiTheme="minorHAnsi" w:hAnsiTheme="minorHAnsi" w:cs="Arial"/>
          <w:szCs w:val="20"/>
        </w:rPr>
        <w:t xml:space="preserve">Examples were given </w:t>
      </w:r>
      <w:r w:rsidR="005F2F69">
        <w:rPr>
          <w:rFonts w:asciiTheme="minorHAnsi" w:hAnsiTheme="minorHAnsi" w:cs="Arial"/>
          <w:szCs w:val="20"/>
        </w:rPr>
        <w:lastRenderedPageBreak/>
        <w:t xml:space="preserve">of local level dynamics impacting positively on </w:t>
      </w:r>
      <w:r w:rsidR="005F2F69" w:rsidRPr="002F205A">
        <w:rPr>
          <w:rFonts w:asciiTheme="minorHAnsi" w:hAnsiTheme="minorHAnsi" w:cs="Arial"/>
          <w:szCs w:val="20"/>
        </w:rPr>
        <w:t xml:space="preserve">the delivery of public services, the creation of wealth and jobs, the equitable management of natural resources, </w:t>
      </w:r>
      <w:r w:rsidR="007C6F59">
        <w:rPr>
          <w:rFonts w:asciiTheme="minorHAnsi" w:hAnsiTheme="minorHAnsi" w:cs="Arial"/>
          <w:szCs w:val="20"/>
        </w:rPr>
        <w:t xml:space="preserve">improved accountability, etc. </w:t>
      </w:r>
      <w:r w:rsidR="0001179F">
        <w:rPr>
          <w:rFonts w:asciiTheme="minorHAnsi" w:hAnsiTheme="minorHAnsi"/>
          <w:szCs w:val="20"/>
        </w:rPr>
        <w:t xml:space="preserve">but </w:t>
      </w:r>
      <w:r w:rsidR="00E40A1B">
        <w:rPr>
          <w:rFonts w:asciiTheme="minorHAnsi" w:hAnsiTheme="minorHAnsi"/>
          <w:szCs w:val="20"/>
        </w:rPr>
        <w:t xml:space="preserve">these are </w:t>
      </w:r>
      <w:r w:rsidR="0001179F">
        <w:rPr>
          <w:rFonts w:asciiTheme="minorHAnsi" w:hAnsiTheme="minorHAnsi"/>
          <w:szCs w:val="20"/>
        </w:rPr>
        <w:t xml:space="preserve">not very generalizable. </w:t>
      </w:r>
      <w:r w:rsidR="003C29D1">
        <w:rPr>
          <w:rFonts w:asciiTheme="minorHAnsi" w:hAnsiTheme="minorHAnsi"/>
          <w:szCs w:val="20"/>
        </w:rPr>
        <w:t xml:space="preserve">Giving power to local people may help to overcome the structural inefficiencies of the central state. </w:t>
      </w:r>
      <w:r w:rsidR="00E03C3C">
        <w:rPr>
          <w:rFonts w:asciiTheme="minorHAnsi" w:hAnsiTheme="minorHAnsi"/>
          <w:szCs w:val="20"/>
        </w:rPr>
        <w:t>The d</w:t>
      </w:r>
      <w:r w:rsidR="00752BBC">
        <w:rPr>
          <w:rFonts w:asciiTheme="minorHAnsi" w:hAnsiTheme="minorHAnsi"/>
          <w:szCs w:val="20"/>
        </w:rPr>
        <w:t>iversity</w:t>
      </w:r>
      <w:r w:rsidR="00E03C3C">
        <w:rPr>
          <w:rFonts w:asciiTheme="minorHAnsi" w:hAnsiTheme="minorHAnsi"/>
          <w:szCs w:val="20"/>
        </w:rPr>
        <w:t xml:space="preserve"> of contexts in which the EUDs operate</w:t>
      </w:r>
      <w:r w:rsidR="00752BBC">
        <w:rPr>
          <w:rFonts w:asciiTheme="minorHAnsi" w:hAnsiTheme="minorHAnsi"/>
          <w:szCs w:val="20"/>
        </w:rPr>
        <w:t xml:space="preserve"> should raise caution about “best practice” reform; a country can learn from but rarely directly replicate what </w:t>
      </w:r>
      <w:r w:rsidR="00E03C3C">
        <w:rPr>
          <w:rFonts w:asciiTheme="minorHAnsi" w:hAnsiTheme="minorHAnsi"/>
          <w:szCs w:val="20"/>
        </w:rPr>
        <w:t xml:space="preserve">has been done in another has </w:t>
      </w:r>
      <w:r w:rsidR="00752BBC">
        <w:rPr>
          <w:rFonts w:asciiTheme="minorHAnsi" w:hAnsiTheme="minorHAnsi"/>
          <w:szCs w:val="20"/>
        </w:rPr>
        <w:t>one.</w:t>
      </w:r>
      <w:r w:rsidR="00E03C3C">
        <w:rPr>
          <w:rFonts w:asciiTheme="minorHAnsi" w:hAnsiTheme="minorHAnsi"/>
          <w:szCs w:val="20"/>
        </w:rPr>
        <w:t xml:space="preserve"> </w:t>
      </w:r>
      <w:r w:rsidR="007C6F59">
        <w:rPr>
          <w:rFonts w:asciiTheme="minorHAnsi" w:hAnsiTheme="minorHAnsi"/>
          <w:szCs w:val="20"/>
        </w:rPr>
        <w:t xml:space="preserve"> A</w:t>
      </w:r>
      <w:r w:rsidR="0001179F">
        <w:rPr>
          <w:rFonts w:asciiTheme="minorHAnsi" w:hAnsiTheme="minorHAnsi"/>
          <w:szCs w:val="20"/>
        </w:rPr>
        <w:t xml:space="preserve">ttaining benefits depends on context and </w:t>
      </w:r>
      <w:r w:rsidR="0001179F" w:rsidRPr="00E40A1B">
        <w:rPr>
          <w:rFonts w:asciiTheme="minorHAnsi" w:hAnsiTheme="minorHAnsi"/>
          <w:i/>
          <w:szCs w:val="20"/>
        </w:rPr>
        <w:t>how</w:t>
      </w:r>
      <w:r w:rsidR="0001179F">
        <w:rPr>
          <w:rFonts w:asciiTheme="minorHAnsi" w:hAnsiTheme="minorHAnsi"/>
          <w:szCs w:val="20"/>
        </w:rPr>
        <w:t xml:space="preserve"> </w:t>
      </w:r>
      <w:r w:rsidR="00E40A1B">
        <w:rPr>
          <w:rFonts w:asciiTheme="minorHAnsi" w:hAnsiTheme="minorHAnsi"/>
          <w:szCs w:val="20"/>
        </w:rPr>
        <w:t xml:space="preserve">rather than </w:t>
      </w:r>
      <w:r w:rsidR="00E40A1B">
        <w:rPr>
          <w:rFonts w:asciiTheme="minorHAnsi" w:hAnsiTheme="minorHAnsi"/>
          <w:i/>
          <w:szCs w:val="20"/>
        </w:rPr>
        <w:t xml:space="preserve">what </w:t>
      </w:r>
      <w:r w:rsidR="00E40A1B">
        <w:rPr>
          <w:rFonts w:asciiTheme="minorHAnsi" w:hAnsiTheme="minorHAnsi"/>
          <w:szCs w:val="20"/>
        </w:rPr>
        <w:t>implementation.</w:t>
      </w:r>
      <w:r w:rsidR="00466B3C">
        <w:rPr>
          <w:rFonts w:asciiTheme="minorHAnsi" w:hAnsiTheme="minorHAnsi"/>
          <w:szCs w:val="20"/>
        </w:rPr>
        <w:t xml:space="preserve"> </w:t>
      </w:r>
    </w:p>
    <w:p w14:paraId="39822703" w14:textId="77777777" w:rsidR="007C6F59" w:rsidRDefault="007C6F59" w:rsidP="00F372E4">
      <w:pPr>
        <w:pStyle w:val="ECDPMnormal"/>
        <w:jc w:val="both"/>
        <w:rPr>
          <w:rFonts w:asciiTheme="minorHAnsi" w:hAnsiTheme="minorHAnsi"/>
          <w:szCs w:val="20"/>
        </w:rPr>
      </w:pPr>
    </w:p>
    <w:p w14:paraId="649DB591" w14:textId="117FCA9E" w:rsidR="00AC0058" w:rsidRPr="00253369" w:rsidRDefault="00BC64D9" w:rsidP="00253369">
      <w:pPr>
        <w:pStyle w:val="ECDPMnormal"/>
        <w:numPr>
          <w:ilvl w:val="0"/>
          <w:numId w:val="13"/>
        </w:numPr>
        <w:jc w:val="both"/>
        <w:rPr>
          <w:rFonts w:asciiTheme="minorHAnsi" w:hAnsiTheme="minorHAnsi"/>
          <w:szCs w:val="20"/>
        </w:rPr>
      </w:pPr>
      <w:r>
        <w:rPr>
          <w:rFonts w:asciiTheme="minorHAnsi" w:hAnsiTheme="minorHAnsi"/>
          <w:szCs w:val="20"/>
        </w:rPr>
        <w:t xml:space="preserve">The </w:t>
      </w:r>
      <w:r w:rsidRPr="007605AD">
        <w:rPr>
          <w:rFonts w:asciiTheme="minorHAnsi" w:hAnsiTheme="minorHAnsi"/>
          <w:b/>
          <w:i/>
          <w:szCs w:val="20"/>
        </w:rPr>
        <w:t>main challenge encountered by decentralisation reforms in the region has been the lack of a strategic approach</w:t>
      </w:r>
      <w:r>
        <w:rPr>
          <w:rFonts w:asciiTheme="minorHAnsi" w:hAnsiTheme="minorHAnsi"/>
          <w:szCs w:val="20"/>
        </w:rPr>
        <w:t>. T</w:t>
      </w:r>
      <w:r w:rsidR="00253369">
        <w:rPr>
          <w:rFonts w:asciiTheme="minorHAnsi" w:hAnsiTheme="minorHAnsi"/>
          <w:szCs w:val="20"/>
        </w:rPr>
        <w:t>he</w:t>
      </w:r>
      <w:r w:rsidR="005D09E6" w:rsidRPr="00253369">
        <w:rPr>
          <w:rFonts w:asciiTheme="minorHAnsi" w:hAnsiTheme="minorHAnsi"/>
          <w:szCs w:val="20"/>
        </w:rPr>
        <w:t xml:space="preserve"> focus </w:t>
      </w:r>
      <w:r w:rsidR="00253369">
        <w:rPr>
          <w:rFonts w:asciiTheme="minorHAnsi" w:hAnsiTheme="minorHAnsi"/>
          <w:szCs w:val="20"/>
        </w:rPr>
        <w:t xml:space="preserve">has been </w:t>
      </w:r>
      <w:r w:rsidR="005D09E6" w:rsidRPr="00253369">
        <w:rPr>
          <w:rFonts w:asciiTheme="minorHAnsi" w:hAnsiTheme="minorHAnsi"/>
          <w:szCs w:val="20"/>
        </w:rPr>
        <w:t>on decentralisation from the top down, building the state’s technocratic capacity while largely neglecting the bottom-up through effective civic engagement</w:t>
      </w:r>
      <w:r>
        <w:rPr>
          <w:rFonts w:asciiTheme="minorHAnsi" w:hAnsiTheme="minorHAnsi"/>
          <w:szCs w:val="20"/>
        </w:rPr>
        <w:t xml:space="preserve"> and the synergies between both set of dynamics</w:t>
      </w:r>
      <w:r w:rsidR="005D09E6" w:rsidRPr="00253369">
        <w:rPr>
          <w:rFonts w:asciiTheme="minorHAnsi" w:hAnsiTheme="minorHAnsi"/>
          <w:szCs w:val="20"/>
        </w:rPr>
        <w:t>.</w:t>
      </w:r>
      <w:r w:rsidR="00253369">
        <w:rPr>
          <w:rFonts w:asciiTheme="minorHAnsi" w:hAnsiTheme="minorHAnsi"/>
          <w:szCs w:val="20"/>
        </w:rPr>
        <w:t xml:space="preserve"> </w:t>
      </w:r>
      <w:r w:rsidR="008C65E0">
        <w:rPr>
          <w:rFonts w:asciiTheme="minorHAnsi" w:hAnsiTheme="minorHAnsi"/>
          <w:szCs w:val="20"/>
        </w:rPr>
        <w:t xml:space="preserve">Decentralisation was compromised by </w:t>
      </w:r>
      <w:r w:rsidR="00F8380E">
        <w:rPr>
          <w:rFonts w:asciiTheme="minorHAnsi" w:hAnsiTheme="minorHAnsi"/>
          <w:szCs w:val="20"/>
        </w:rPr>
        <w:t>the simultaneous introduction of other</w:t>
      </w:r>
      <w:r w:rsidR="008C65E0">
        <w:rPr>
          <w:rFonts w:asciiTheme="minorHAnsi" w:hAnsiTheme="minorHAnsi"/>
          <w:szCs w:val="20"/>
        </w:rPr>
        <w:t xml:space="preserve"> reforms </w:t>
      </w:r>
      <w:r w:rsidR="00F8380E">
        <w:rPr>
          <w:rFonts w:asciiTheme="minorHAnsi" w:hAnsiTheme="minorHAnsi"/>
          <w:szCs w:val="20"/>
        </w:rPr>
        <w:t xml:space="preserve">(such as structural adjustment policies, multi-party democracy). </w:t>
      </w:r>
      <w:r w:rsidR="00AC0058" w:rsidRPr="00253369">
        <w:rPr>
          <w:rFonts w:asciiTheme="minorHAnsi" w:hAnsiTheme="minorHAnsi"/>
          <w:szCs w:val="20"/>
        </w:rPr>
        <w:t>Participants particularly noted that a ‘sink or swim’ approach had often been used</w:t>
      </w:r>
      <w:r w:rsidR="00C8753F" w:rsidRPr="00253369">
        <w:rPr>
          <w:rFonts w:asciiTheme="minorHAnsi" w:hAnsiTheme="minorHAnsi"/>
          <w:szCs w:val="20"/>
        </w:rPr>
        <w:t xml:space="preserve"> towards</w:t>
      </w:r>
      <w:r>
        <w:rPr>
          <w:rFonts w:asciiTheme="minorHAnsi" w:hAnsiTheme="minorHAnsi"/>
          <w:szCs w:val="20"/>
        </w:rPr>
        <w:t xml:space="preserve"> LAs.  Decentralisation too often takes the form of “dumping responsibilities” to the local level. </w:t>
      </w:r>
      <w:r w:rsidR="00C8753F" w:rsidRPr="00253369">
        <w:rPr>
          <w:rFonts w:asciiTheme="minorHAnsi" w:hAnsiTheme="minorHAnsi"/>
          <w:szCs w:val="20"/>
        </w:rPr>
        <w:t xml:space="preserve">Allowing LAs to develop their own mandates rather than only </w:t>
      </w:r>
      <w:r w:rsidR="00072191" w:rsidRPr="00253369">
        <w:rPr>
          <w:rFonts w:asciiTheme="minorHAnsi" w:hAnsiTheme="minorHAnsi"/>
          <w:szCs w:val="20"/>
        </w:rPr>
        <w:t xml:space="preserve">transferring central government responsibilities will be </w:t>
      </w:r>
      <w:proofErr w:type="gramStart"/>
      <w:r w:rsidR="00072191" w:rsidRPr="00253369">
        <w:rPr>
          <w:rFonts w:asciiTheme="minorHAnsi" w:hAnsiTheme="minorHAnsi"/>
          <w:szCs w:val="20"/>
        </w:rPr>
        <w:t>key</w:t>
      </w:r>
      <w:proofErr w:type="gramEnd"/>
      <w:r w:rsidR="00072191" w:rsidRPr="00253369">
        <w:rPr>
          <w:rFonts w:asciiTheme="minorHAnsi" w:hAnsiTheme="minorHAnsi"/>
          <w:szCs w:val="20"/>
        </w:rPr>
        <w:t xml:space="preserve"> </w:t>
      </w:r>
      <w:r w:rsidR="00A46230" w:rsidRPr="00253369">
        <w:rPr>
          <w:rFonts w:asciiTheme="minorHAnsi" w:hAnsiTheme="minorHAnsi"/>
          <w:szCs w:val="20"/>
        </w:rPr>
        <w:t>in</w:t>
      </w:r>
      <w:r w:rsidR="00072191" w:rsidRPr="00253369">
        <w:rPr>
          <w:rFonts w:asciiTheme="minorHAnsi" w:hAnsiTheme="minorHAnsi"/>
          <w:szCs w:val="20"/>
        </w:rPr>
        <w:t xml:space="preserve"> this.</w:t>
      </w:r>
      <w:r>
        <w:rPr>
          <w:rFonts w:asciiTheme="minorHAnsi" w:hAnsiTheme="minorHAnsi"/>
          <w:szCs w:val="20"/>
        </w:rPr>
        <w:t xml:space="preserve"> However, </w:t>
      </w:r>
      <w:r w:rsidRPr="007605AD">
        <w:rPr>
          <w:rFonts w:asciiTheme="minorHAnsi" w:hAnsiTheme="minorHAnsi"/>
          <w:b/>
          <w:i/>
          <w:szCs w:val="20"/>
        </w:rPr>
        <w:t>LAs are also partly to be blamed. They have often been “too passive”, accepting tutelage from the central government while neglecting to develop their own strategies.</w:t>
      </w:r>
      <w:r>
        <w:rPr>
          <w:rFonts w:asciiTheme="minorHAnsi" w:hAnsiTheme="minorHAnsi"/>
          <w:szCs w:val="20"/>
        </w:rPr>
        <w:t xml:space="preserve">  </w:t>
      </w:r>
      <w:r w:rsidR="003C29D1">
        <w:rPr>
          <w:rFonts w:asciiTheme="minorHAnsi" w:hAnsiTheme="minorHAnsi"/>
          <w:szCs w:val="20"/>
        </w:rPr>
        <w:t xml:space="preserve">This suggests that for decentralisation to succeed deeper behavioural changes will be required at central, local and individual level. </w:t>
      </w:r>
    </w:p>
    <w:p w14:paraId="19B09304" w14:textId="77777777" w:rsidR="00072191" w:rsidRPr="00347E86" w:rsidRDefault="00072191" w:rsidP="005D09E6">
      <w:pPr>
        <w:pStyle w:val="ECDPMnormal"/>
        <w:jc w:val="both"/>
        <w:rPr>
          <w:rFonts w:asciiTheme="minorHAnsi" w:hAnsiTheme="minorHAnsi"/>
          <w:szCs w:val="20"/>
        </w:rPr>
      </w:pPr>
    </w:p>
    <w:p w14:paraId="47AD278C" w14:textId="33266A95" w:rsidR="00F8380E" w:rsidRPr="00F372E4" w:rsidRDefault="00347E86" w:rsidP="00F372E4">
      <w:pPr>
        <w:pStyle w:val="ECDPMnormal"/>
        <w:numPr>
          <w:ilvl w:val="0"/>
          <w:numId w:val="13"/>
        </w:numPr>
        <w:jc w:val="both"/>
        <w:rPr>
          <w:rFonts w:asciiTheme="minorHAnsi" w:hAnsiTheme="minorHAnsi"/>
          <w:szCs w:val="20"/>
        </w:rPr>
      </w:pPr>
      <w:r w:rsidRPr="00347E86">
        <w:rPr>
          <w:rFonts w:asciiTheme="minorHAnsi" w:hAnsiTheme="minorHAnsi" w:cs="Arial"/>
          <w:szCs w:val="20"/>
        </w:rPr>
        <w:t>Th</w:t>
      </w:r>
      <w:r w:rsidR="003C29D1">
        <w:rPr>
          <w:rFonts w:asciiTheme="minorHAnsi" w:hAnsiTheme="minorHAnsi" w:cs="Arial"/>
          <w:szCs w:val="20"/>
        </w:rPr>
        <w:t xml:space="preserve">is provided a link with the </w:t>
      </w:r>
      <w:r w:rsidRPr="007605AD">
        <w:rPr>
          <w:rFonts w:asciiTheme="minorHAnsi" w:hAnsiTheme="minorHAnsi" w:cs="Arial"/>
          <w:b/>
          <w:i/>
          <w:szCs w:val="20"/>
        </w:rPr>
        <w:t>highly political nature of decentralisation processes</w:t>
      </w:r>
      <w:r w:rsidR="003C29D1">
        <w:rPr>
          <w:rFonts w:asciiTheme="minorHAnsi" w:hAnsiTheme="minorHAnsi" w:cs="Arial"/>
          <w:szCs w:val="20"/>
        </w:rPr>
        <w:t xml:space="preserve">, which led to lively debates. </w:t>
      </w:r>
      <w:r w:rsidRPr="00842965">
        <w:rPr>
          <w:rFonts w:ascii="Cambria" w:hAnsi="Cambria"/>
        </w:rPr>
        <w:t>As a multi-dimensional process of</w:t>
      </w:r>
      <w:r>
        <w:rPr>
          <w:rFonts w:ascii="Cambria" w:hAnsi="Cambria"/>
        </w:rPr>
        <w:t xml:space="preserve"> state reform, the trajectory </w:t>
      </w:r>
      <w:r w:rsidRPr="00842965">
        <w:rPr>
          <w:rFonts w:ascii="Cambria" w:hAnsi="Cambria"/>
        </w:rPr>
        <w:t xml:space="preserve">of decentralization in a given country (including its timing and sequencing) is primarily determined by the intergovernmental balance of power between the different stakeholders involved and their relative ability to bargain and shape policy design and </w:t>
      </w:r>
      <w:r w:rsidRPr="00E0339D">
        <w:rPr>
          <w:rFonts w:ascii="Cambria" w:hAnsi="Cambria"/>
        </w:rPr>
        <w:t xml:space="preserve">implementation. </w:t>
      </w:r>
      <w:r>
        <w:rPr>
          <w:rFonts w:ascii="Cambria" w:hAnsi="Cambria"/>
        </w:rPr>
        <w:t xml:space="preserve">In many </w:t>
      </w:r>
      <w:r w:rsidRPr="00836853">
        <w:rPr>
          <w:rFonts w:ascii="Cambria" w:hAnsi="Cambria"/>
        </w:rPr>
        <w:t>countries</w:t>
      </w:r>
      <w:r w:rsidR="00C8626E">
        <w:rPr>
          <w:rFonts w:ascii="Cambria" w:hAnsi="Cambria"/>
        </w:rPr>
        <w:t xml:space="preserve"> in the region</w:t>
      </w:r>
      <w:r w:rsidRPr="00836853">
        <w:rPr>
          <w:rFonts w:ascii="Cambria" w:hAnsi="Cambria"/>
        </w:rPr>
        <w:t>, the coalition of interests is such that decentrali</w:t>
      </w:r>
      <w:r w:rsidR="00C8626E">
        <w:rPr>
          <w:rFonts w:ascii="Cambria" w:hAnsi="Cambria"/>
        </w:rPr>
        <w:t>s</w:t>
      </w:r>
      <w:r w:rsidRPr="00836853">
        <w:rPr>
          <w:rFonts w:ascii="Cambria" w:hAnsi="Cambria"/>
        </w:rPr>
        <w:t xml:space="preserve">ation –understood as the granting of effective autonomy </w:t>
      </w:r>
      <w:r>
        <w:rPr>
          <w:rFonts w:ascii="Cambria" w:hAnsi="Cambria"/>
        </w:rPr>
        <w:t xml:space="preserve">to local authorities to fulfil </w:t>
      </w:r>
      <w:r w:rsidRPr="00836853">
        <w:rPr>
          <w:rFonts w:ascii="Cambria" w:hAnsi="Cambria"/>
        </w:rPr>
        <w:t>their general mandate- is blocked rather than genuinely promoted.</w:t>
      </w:r>
      <w:r w:rsidR="008C65E0">
        <w:rPr>
          <w:rFonts w:ascii="Cambria" w:hAnsi="Cambria"/>
        </w:rPr>
        <w:t xml:space="preserve"> </w:t>
      </w:r>
      <w:r w:rsidR="00F8380E">
        <w:rPr>
          <w:rFonts w:ascii="Cambria" w:hAnsi="Cambria"/>
        </w:rPr>
        <w:t xml:space="preserve">This explains why </w:t>
      </w:r>
      <w:r w:rsidR="008C65E0" w:rsidRPr="008C65E0">
        <w:rPr>
          <w:rFonts w:ascii="Cambria" w:hAnsi="Cambria" w:cs="Arial"/>
          <w:szCs w:val="20"/>
        </w:rPr>
        <w:t xml:space="preserve">decentralization reforms </w:t>
      </w:r>
      <w:r w:rsidR="00F8380E">
        <w:rPr>
          <w:rFonts w:ascii="Cambria" w:hAnsi="Cambria" w:cs="Arial"/>
          <w:szCs w:val="20"/>
        </w:rPr>
        <w:t>have generally not le</w:t>
      </w:r>
      <w:r w:rsidR="008C65E0" w:rsidRPr="008C65E0">
        <w:rPr>
          <w:rFonts w:ascii="Cambria" w:hAnsi="Cambria" w:cs="Arial"/>
          <w:szCs w:val="20"/>
        </w:rPr>
        <w:t>d to more autonomous local authorities</w:t>
      </w:r>
      <w:r w:rsidR="008C65E0">
        <w:rPr>
          <w:rFonts w:ascii="Cambria" w:hAnsi="Cambria" w:cs="Arial"/>
          <w:szCs w:val="20"/>
        </w:rPr>
        <w:t xml:space="preserve">. </w:t>
      </w:r>
      <w:r w:rsidR="00F8380E">
        <w:rPr>
          <w:rFonts w:ascii="Cambria" w:hAnsi="Cambria" w:cs="Arial"/>
          <w:szCs w:val="20"/>
        </w:rPr>
        <w:t>A political economy analysis is also required to understand other potential benefits of decentralisation, such as reducing corruption (this will only happen if accountability mechanisms are put in place at local level) or building citizenship (this will only occur if local populations see an interest in participating in local affairs).</w:t>
      </w:r>
    </w:p>
    <w:p w14:paraId="320163B1" w14:textId="77777777" w:rsidR="00F8380E" w:rsidRPr="00F372E4" w:rsidRDefault="00F8380E" w:rsidP="00F372E4">
      <w:pPr>
        <w:pStyle w:val="ECDPMnormal"/>
        <w:ind w:left="360"/>
        <w:jc w:val="both"/>
        <w:rPr>
          <w:rFonts w:asciiTheme="minorHAnsi" w:hAnsiTheme="minorHAnsi"/>
          <w:szCs w:val="20"/>
        </w:rPr>
      </w:pPr>
    </w:p>
    <w:p w14:paraId="612B1EA3" w14:textId="4A9CB411" w:rsidR="00581783" w:rsidRDefault="008C65E0" w:rsidP="00F8380E">
      <w:pPr>
        <w:pStyle w:val="ECDPMnormal"/>
        <w:numPr>
          <w:ilvl w:val="0"/>
          <w:numId w:val="13"/>
        </w:numPr>
        <w:jc w:val="both"/>
        <w:rPr>
          <w:rFonts w:asciiTheme="minorHAnsi" w:hAnsiTheme="minorHAnsi"/>
          <w:szCs w:val="20"/>
        </w:rPr>
      </w:pPr>
      <w:r w:rsidRPr="00F8380E">
        <w:rPr>
          <w:rFonts w:asciiTheme="minorHAnsi" w:hAnsiTheme="minorHAnsi"/>
          <w:szCs w:val="20"/>
        </w:rPr>
        <w:t>Experts at the seminar suggested t</w:t>
      </w:r>
      <w:r w:rsidR="009072A8">
        <w:rPr>
          <w:rFonts w:asciiTheme="minorHAnsi" w:hAnsiTheme="minorHAnsi"/>
          <w:szCs w:val="20"/>
        </w:rPr>
        <w:t>hose interested in pushing for better decentralisation</w:t>
      </w:r>
      <w:r w:rsidR="00581783">
        <w:rPr>
          <w:rFonts w:asciiTheme="minorHAnsi" w:hAnsiTheme="minorHAnsi"/>
          <w:szCs w:val="20"/>
        </w:rPr>
        <w:t xml:space="preserve"> to:</w:t>
      </w:r>
    </w:p>
    <w:p w14:paraId="0765873D" w14:textId="77777777" w:rsidR="00581783" w:rsidRDefault="00581783" w:rsidP="00F372E4">
      <w:pPr>
        <w:pStyle w:val="ECDPMnormal"/>
        <w:jc w:val="both"/>
        <w:rPr>
          <w:rFonts w:asciiTheme="minorHAnsi" w:hAnsiTheme="minorHAnsi"/>
          <w:szCs w:val="20"/>
        </w:rPr>
      </w:pPr>
    </w:p>
    <w:p w14:paraId="52BE6324" w14:textId="6EC11662"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 xml:space="preserve">Be realistic in terms of expectations (e.g. in terms of the time required to expand local autonomy or build accountability mechanism). </w:t>
      </w:r>
    </w:p>
    <w:p w14:paraId="33C792BF" w14:textId="6CEE4174"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P</w:t>
      </w:r>
      <w:r w:rsidR="009072A8">
        <w:rPr>
          <w:rFonts w:asciiTheme="minorHAnsi" w:hAnsiTheme="minorHAnsi"/>
          <w:szCs w:val="20"/>
        </w:rPr>
        <w:t xml:space="preserve">rimarily </w:t>
      </w:r>
      <w:r w:rsidR="008C65E0" w:rsidRPr="00F8380E">
        <w:rPr>
          <w:rFonts w:asciiTheme="minorHAnsi" w:hAnsiTheme="minorHAnsi"/>
          <w:szCs w:val="20"/>
        </w:rPr>
        <w:t xml:space="preserve">work with the “willing partners” at the early stages to allow the creation of a decentralisation </w:t>
      </w:r>
      <w:r>
        <w:rPr>
          <w:rFonts w:asciiTheme="minorHAnsi" w:hAnsiTheme="minorHAnsi"/>
          <w:szCs w:val="20"/>
        </w:rPr>
        <w:t>“</w:t>
      </w:r>
      <w:r w:rsidR="008C65E0" w:rsidRPr="00F8380E">
        <w:rPr>
          <w:rFonts w:asciiTheme="minorHAnsi" w:hAnsiTheme="minorHAnsi"/>
          <w:szCs w:val="20"/>
        </w:rPr>
        <w:t>mo</w:t>
      </w:r>
      <w:r>
        <w:rPr>
          <w:rFonts w:asciiTheme="minorHAnsi" w:hAnsiTheme="minorHAnsi"/>
          <w:szCs w:val="20"/>
        </w:rPr>
        <w:t xml:space="preserve">mentum” that </w:t>
      </w:r>
      <w:r w:rsidR="008C65E0" w:rsidRPr="00F8380E">
        <w:rPr>
          <w:rFonts w:asciiTheme="minorHAnsi" w:hAnsiTheme="minorHAnsi"/>
          <w:szCs w:val="20"/>
        </w:rPr>
        <w:t xml:space="preserve">may </w:t>
      </w:r>
      <w:r>
        <w:rPr>
          <w:rFonts w:asciiTheme="minorHAnsi" w:hAnsiTheme="minorHAnsi"/>
          <w:szCs w:val="20"/>
        </w:rPr>
        <w:t xml:space="preserve">subsequently </w:t>
      </w:r>
      <w:r w:rsidR="008C65E0" w:rsidRPr="00F8380E">
        <w:rPr>
          <w:rFonts w:asciiTheme="minorHAnsi" w:hAnsiTheme="minorHAnsi"/>
          <w:szCs w:val="20"/>
        </w:rPr>
        <w:t>contamina</w:t>
      </w:r>
      <w:r w:rsidR="00F8380E">
        <w:rPr>
          <w:rFonts w:asciiTheme="minorHAnsi" w:hAnsiTheme="minorHAnsi"/>
          <w:szCs w:val="20"/>
        </w:rPr>
        <w:t xml:space="preserve">te other actors. </w:t>
      </w:r>
    </w:p>
    <w:p w14:paraId="54559BA1" w14:textId="2E445B2C"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Ch</w:t>
      </w:r>
      <w:r w:rsidR="00FF2FB7" w:rsidRPr="00F8380E">
        <w:rPr>
          <w:rFonts w:asciiTheme="minorHAnsi" w:hAnsiTheme="minorHAnsi"/>
          <w:szCs w:val="20"/>
        </w:rPr>
        <w:t>oos</w:t>
      </w:r>
      <w:r>
        <w:rPr>
          <w:rFonts w:asciiTheme="minorHAnsi" w:hAnsiTheme="minorHAnsi"/>
          <w:szCs w:val="20"/>
        </w:rPr>
        <w:t xml:space="preserve">e </w:t>
      </w:r>
      <w:r w:rsidR="00FF2FB7" w:rsidRPr="00F8380E">
        <w:rPr>
          <w:rFonts w:asciiTheme="minorHAnsi" w:hAnsiTheme="minorHAnsi"/>
          <w:szCs w:val="20"/>
        </w:rPr>
        <w:t>the right entry points and sequencing of reform</w:t>
      </w:r>
      <w:r>
        <w:rPr>
          <w:rFonts w:asciiTheme="minorHAnsi" w:hAnsiTheme="minorHAnsi"/>
          <w:szCs w:val="20"/>
        </w:rPr>
        <w:t xml:space="preserve"> by </w:t>
      </w:r>
      <w:r w:rsidR="00FF2FB7" w:rsidRPr="00F8380E">
        <w:rPr>
          <w:rFonts w:asciiTheme="minorHAnsi" w:hAnsiTheme="minorHAnsi"/>
          <w:szCs w:val="20"/>
        </w:rPr>
        <w:t>building on the positive aspects of the system where success is more likely</w:t>
      </w:r>
      <w:r>
        <w:rPr>
          <w:rFonts w:asciiTheme="minorHAnsi" w:hAnsiTheme="minorHAnsi"/>
          <w:szCs w:val="20"/>
        </w:rPr>
        <w:t>.</w:t>
      </w:r>
    </w:p>
    <w:p w14:paraId="2248CD18" w14:textId="37618DDA"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I</w:t>
      </w:r>
      <w:r w:rsidR="00FF2FB7" w:rsidRPr="00F8380E">
        <w:rPr>
          <w:rFonts w:asciiTheme="minorHAnsi" w:hAnsiTheme="minorHAnsi"/>
          <w:szCs w:val="20"/>
        </w:rPr>
        <w:t>ntegrat</w:t>
      </w:r>
      <w:r>
        <w:rPr>
          <w:rFonts w:asciiTheme="minorHAnsi" w:hAnsiTheme="minorHAnsi"/>
          <w:szCs w:val="20"/>
        </w:rPr>
        <w:t xml:space="preserve">e </w:t>
      </w:r>
      <w:r w:rsidR="00FF2FB7" w:rsidRPr="00F8380E">
        <w:rPr>
          <w:rFonts w:asciiTheme="minorHAnsi" w:hAnsiTheme="minorHAnsi"/>
          <w:szCs w:val="20"/>
        </w:rPr>
        <w:t xml:space="preserve">the different aspects of </w:t>
      </w:r>
      <w:r w:rsidR="00E77E0A">
        <w:rPr>
          <w:rFonts w:asciiTheme="minorHAnsi" w:hAnsiTheme="minorHAnsi"/>
          <w:szCs w:val="20"/>
        </w:rPr>
        <w:t>decentralisation</w:t>
      </w:r>
      <w:r w:rsidR="00FF2FB7" w:rsidRPr="00F8380E">
        <w:rPr>
          <w:rFonts w:asciiTheme="minorHAnsi" w:hAnsiTheme="minorHAnsi"/>
          <w:szCs w:val="20"/>
        </w:rPr>
        <w:t xml:space="preserve"> (</w:t>
      </w:r>
      <w:r>
        <w:rPr>
          <w:rFonts w:asciiTheme="minorHAnsi" w:hAnsiTheme="minorHAnsi"/>
          <w:szCs w:val="20"/>
        </w:rPr>
        <w:t xml:space="preserve">i.e. </w:t>
      </w:r>
      <w:r w:rsidR="00FF2FB7" w:rsidRPr="00F8380E">
        <w:rPr>
          <w:rFonts w:asciiTheme="minorHAnsi" w:hAnsiTheme="minorHAnsi"/>
          <w:szCs w:val="20"/>
        </w:rPr>
        <w:t xml:space="preserve">administrative, fiscal and political) </w:t>
      </w:r>
      <w:r w:rsidR="008C65E0" w:rsidRPr="00F8380E">
        <w:rPr>
          <w:rFonts w:asciiTheme="minorHAnsi" w:hAnsiTheme="minorHAnsi"/>
          <w:szCs w:val="20"/>
        </w:rPr>
        <w:t xml:space="preserve">right </w:t>
      </w:r>
      <w:r w:rsidR="00FF2FB7" w:rsidRPr="00F8380E">
        <w:rPr>
          <w:rFonts w:asciiTheme="minorHAnsi" w:hAnsiTheme="minorHAnsi"/>
          <w:szCs w:val="20"/>
        </w:rPr>
        <w:t xml:space="preserve">from the onset even if </w:t>
      </w:r>
      <w:r w:rsidR="008C65E0" w:rsidRPr="00F8380E">
        <w:rPr>
          <w:rFonts w:asciiTheme="minorHAnsi" w:hAnsiTheme="minorHAnsi"/>
          <w:szCs w:val="20"/>
        </w:rPr>
        <w:t xml:space="preserve">in a </w:t>
      </w:r>
      <w:r w:rsidR="00FF2FB7" w:rsidRPr="00F8380E">
        <w:rPr>
          <w:rFonts w:asciiTheme="minorHAnsi" w:hAnsiTheme="minorHAnsi"/>
          <w:szCs w:val="20"/>
        </w:rPr>
        <w:t xml:space="preserve">basic </w:t>
      </w:r>
      <w:r w:rsidR="008C65E0" w:rsidRPr="00F8380E">
        <w:rPr>
          <w:rFonts w:asciiTheme="minorHAnsi" w:hAnsiTheme="minorHAnsi"/>
          <w:szCs w:val="20"/>
        </w:rPr>
        <w:t xml:space="preserve">form </w:t>
      </w:r>
      <w:r w:rsidR="00FF2FB7" w:rsidRPr="00F8380E">
        <w:rPr>
          <w:rFonts w:asciiTheme="minorHAnsi" w:hAnsiTheme="minorHAnsi"/>
          <w:szCs w:val="20"/>
        </w:rPr>
        <w:t xml:space="preserve">at first. </w:t>
      </w:r>
      <w:r>
        <w:rPr>
          <w:rFonts w:asciiTheme="minorHAnsi" w:hAnsiTheme="minorHAnsi"/>
          <w:szCs w:val="20"/>
        </w:rPr>
        <w:t xml:space="preserve"> </w:t>
      </w:r>
    </w:p>
    <w:p w14:paraId="358DDCC9" w14:textId="100DA59A"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Devolve actual r</w:t>
      </w:r>
      <w:r w:rsidR="00752BBC" w:rsidRPr="00F8380E">
        <w:rPr>
          <w:rFonts w:asciiTheme="minorHAnsi" w:hAnsiTheme="minorHAnsi"/>
          <w:szCs w:val="20"/>
        </w:rPr>
        <w:t>esponsibilities</w:t>
      </w:r>
      <w:r w:rsidR="00FF2FB7" w:rsidRPr="00F8380E">
        <w:rPr>
          <w:rFonts w:asciiTheme="minorHAnsi" w:hAnsiTheme="minorHAnsi"/>
          <w:szCs w:val="20"/>
        </w:rPr>
        <w:t xml:space="preserve"> progressive</w:t>
      </w:r>
      <w:r w:rsidR="006F77B2" w:rsidRPr="00F8380E">
        <w:rPr>
          <w:rFonts w:asciiTheme="minorHAnsi" w:hAnsiTheme="minorHAnsi"/>
          <w:szCs w:val="20"/>
        </w:rPr>
        <w:t xml:space="preserve">ly according to clear criteria. </w:t>
      </w:r>
    </w:p>
    <w:p w14:paraId="21E13468" w14:textId="53FBFC93"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C</w:t>
      </w:r>
      <w:r w:rsidR="006F77B2" w:rsidRPr="00DE0BFA">
        <w:rPr>
          <w:rFonts w:asciiTheme="minorHAnsi" w:hAnsiTheme="minorHAnsi"/>
          <w:szCs w:val="20"/>
        </w:rPr>
        <w:t>areful</w:t>
      </w:r>
      <w:r>
        <w:rPr>
          <w:rFonts w:asciiTheme="minorHAnsi" w:hAnsiTheme="minorHAnsi"/>
          <w:szCs w:val="20"/>
        </w:rPr>
        <w:t>ly</w:t>
      </w:r>
      <w:r w:rsidR="006F77B2" w:rsidRPr="00DE0BFA">
        <w:rPr>
          <w:rFonts w:asciiTheme="minorHAnsi" w:hAnsiTheme="minorHAnsi"/>
          <w:szCs w:val="20"/>
        </w:rPr>
        <w:t xml:space="preserve"> balanc</w:t>
      </w:r>
      <w:r>
        <w:rPr>
          <w:rFonts w:asciiTheme="minorHAnsi" w:hAnsiTheme="minorHAnsi"/>
          <w:szCs w:val="20"/>
        </w:rPr>
        <w:t xml:space="preserve">e </w:t>
      </w:r>
      <w:r w:rsidR="006F77B2" w:rsidRPr="00DE0BFA">
        <w:rPr>
          <w:rFonts w:asciiTheme="minorHAnsi" w:hAnsiTheme="minorHAnsi"/>
          <w:szCs w:val="20"/>
        </w:rPr>
        <w:t>the technical and political needs of decentralisation reform</w:t>
      </w:r>
      <w:r>
        <w:rPr>
          <w:rFonts w:asciiTheme="minorHAnsi" w:hAnsiTheme="minorHAnsi"/>
          <w:szCs w:val="20"/>
        </w:rPr>
        <w:t>s</w:t>
      </w:r>
      <w:r w:rsidR="006F77B2" w:rsidRPr="00DE0BFA">
        <w:rPr>
          <w:rFonts w:asciiTheme="minorHAnsi" w:hAnsiTheme="minorHAnsi"/>
          <w:szCs w:val="20"/>
        </w:rPr>
        <w:t xml:space="preserve">, especially regarding </w:t>
      </w:r>
      <w:r w:rsidR="008C65E0" w:rsidRPr="00DE0BFA">
        <w:rPr>
          <w:rFonts w:asciiTheme="minorHAnsi" w:hAnsiTheme="minorHAnsi"/>
          <w:szCs w:val="20"/>
        </w:rPr>
        <w:t xml:space="preserve">adequate </w:t>
      </w:r>
      <w:r w:rsidR="00F8380E">
        <w:rPr>
          <w:rFonts w:asciiTheme="minorHAnsi" w:hAnsiTheme="minorHAnsi"/>
          <w:szCs w:val="20"/>
        </w:rPr>
        <w:t>l</w:t>
      </w:r>
      <w:r w:rsidR="006F77B2" w:rsidRPr="00F8380E">
        <w:rPr>
          <w:rFonts w:asciiTheme="minorHAnsi" w:hAnsiTheme="minorHAnsi"/>
          <w:szCs w:val="20"/>
        </w:rPr>
        <w:t>evels of central control and local autonomy</w:t>
      </w:r>
      <w:r w:rsidR="00F8380E">
        <w:rPr>
          <w:rFonts w:asciiTheme="minorHAnsi" w:hAnsiTheme="minorHAnsi"/>
          <w:szCs w:val="20"/>
        </w:rPr>
        <w:t xml:space="preserve">. </w:t>
      </w:r>
    </w:p>
    <w:p w14:paraId="1A657294" w14:textId="6CA52639"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Invest in processes that gradually ensure greater autonomy and build effective accountability systems</w:t>
      </w:r>
    </w:p>
    <w:p w14:paraId="5A675443" w14:textId="1282BA2C" w:rsidR="00E304F2" w:rsidRPr="00E304F2" w:rsidRDefault="00E304F2" w:rsidP="00F372E4">
      <w:pPr>
        <w:pStyle w:val="ECDPMnormal"/>
        <w:numPr>
          <w:ilvl w:val="0"/>
          <w:numId w:val="25"/>
        </w:numPr>
        <w:jc w:val="both"/>
        <w:rPr>
          <w:rFonts w:asciiTheme="minorHAnsi" w:hAnsiTheme="minorHAnsi"/>
          <w:szCs w:val="20"/>
        </w:rPr>
      </w:pPr>
      <w:r>
        <w:rPr>
          <w:rFonts w:asciiTheme="minorHAnsi" w:hAnsiTheme="minorHAnsi"/>
          <w:szCs w:val="20"/>
        </w:rPr>
        <w:t>Make use of traditional systems where they have an added value (e.g. in terms of ensuring transparency and accountability)</w:t>
      </w:r>
    </w:p>
    <w:p w14:paraId="26086E7D" w14:textId="77777777" w:rsidR="00E304F2" w:rsidRDefault="00E304F2" w:rsidP="00F372E4">
      <w:pPr>
        <w:pStyle w:val="ECDPMnormal"/>
        <w:jc w:val="both"/>
        <w:rPr>
          <w:rFonts w:asciiTheme="minorHAnsi" w:hAnsiTheme="minorHAnsi"/>
          <w:szCs w:val="20"/>
        </w:rPr>
      </w:pPr>
    </w:p>
    <w:p w14:paraId="5D4A1633" w14:textId="503D86A2" w:rsidR="00E304F2" w:rsidRPr="00E304F2"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Address t</w:t>
      </w:r>
      <w:r w:rsidR="00095155" w:rsidRPr="00F8380E">
        <w:rPr>
          <w:rFonts w:asciiTheme="minorHAnsi" w:hAnsiTheme="minorHAnsi"/>
          <w:szCs w:val="20"/>
        </w:rPr>
        <w:t>he twin drivers of decentralisation reforms</w:t>
      </w:r>
      <w:r>
        <w:rPr>
          <w:rFonts w:asciiTheme="minorHAnsi" w:hAnsiTheme="minorHAnsi"/>
          <w:szCs w:val="20"/>
        </w:rPr>
        <w:t xml:space="preserve"> (</w:t>
      </w:r>
      <w:r w:rsidR="00095155" w:rsidRPr="00F8380E">
        <w:rPr>
          <w:rFonts w:asciiTheme="minorHAnsi" w:hAnsiTheme="minorHAnsi"/>
          <w:szCs w:val="20"/>
        </w:rPr>
        <w:t>the devolution of power from the central level and capacity building at the local level</w:t>
      </w:r>
      <w:r>
        <w:rPr>
          <w:rFonts w:asciiTheme="minorHAnsi" w:hAnsiTheme="minorHAnsi"/>
          <w:szCs w:val="20"/>
        </w:rPr>
        <w:t>)</w:t>
      </w:r>
      <w:r w:rsidR="00095155" w:rsidRPr="00F8380E">
        <w:rPr>
          <w:rFonts w:asciiTheme="minorHAnsi" w:hAnsiTheme="minorHAnsi"/>
          <w:szCs w:val="20"/>
        </w:rPr>
        <w:t xml:space="preserve"> simultaneously</w:t>
      </w:r>
      <w:r w:rsidR="008C2C9E" w:rsidRPr="00DE0BFA">
        <w:rPr>
          <w:rFonts w:asciiTheme="minorHAnsi" w:hAnsiTheme="minorHAnsi"/>
          <w:szCs w:val="20"/>
        </w:rPr>
        <w:t xml:space="preserve"> and reassess</w:t>
      </w:r>
      <w:r>
        <w:rPr>
          <w:rFonts w:asciiTheme="minorHAnsi" w:hAnsiTheme="minorHAnsi"/>
          <w:szCs w:val="20"/>
        </w:rPr>
        <w:t xml:space="preserve"> progress achieved</w:t>
      </w:r>
      <w:r w:rsidR="008C2C9E" w:rsidRPr="00DE0BFA">
        <w:rPr>
          <w:rFonts w:asciiTheme="minorHAnsi" w:hAnsiTheme="minorHAnsi"/>
          <w:szCs w:val="20"/>
        </w:rPr>
        <w:t xml:space="preserve"> over time.</w:t>
      </w:r>
    </w:p>
    <w:p w14:paraId="0BFD71DE" w14:textId="77777777" w:rsidR="00E304F2" w:rsidRDefault="00E304F2" w:rsidP="00E304F2">
      <w:pPr>
        <w:pStyle w:val="ECDPMnormal"/>
        <w:jc w:val="both"/>
        <w:rPr>
          <w:rFonts w:asciiTheme="minorHAnsi" w:hAnsiTheme="minorHAnsi"/>
          <w:szCs w:val="20"/>
        </w:rPr>
      </w:pPr>
    </w:p>
    <w:p w14:paraId="15060953" w14:textId="77777777" w:rsidR="00E304F2" w:rsidRDefault="00E304F2" w:rsidP="00E304F2">
      <w:pPr>
        <w:pStyle w:val="ECDPMnormal"/>
        <w:numPr>
          <w:ilvl w:val="0"/>
          <w:numId w:val="13"/>
        </w:numPr>
        <w:jc w:val="both"/>
        <w:rPr>
          <w:rFonts w:asciiTheme="minorHAnsi" w:hAnsiTheme="minorHAnsi"/>
          <w:szCs w:val="20"/>
        </w:rPr>
      </w:pPr>
      <w:r>
        <w:rPr>
          <w:rFonts w:asciiTheme="minorHAnsi" w:hAnsiTheme="minorHAnsi"/>
          <w:szCs w:val="20"/>
        </w:rPr>
        <w:t xml:space="preserve">Arising from this debate on the political dimensions of decentralisation, some interesting pointers for donors were also identified. First, </w:t>
      </w:r>
      <w:r w:rsidRPr="007605AD">
        <w:rPr>
          <w:rFonts w:asciiTheme="minorHAnsi" w:hAnsiTheme="minorHAnsi"/>
          <w:b/>
          <w:i/>
          <w:szCs w:val="20"/>
        </w:rPr>
        <w:t>be prepared to think and act politically</w:t>
      </w:r>
      <w:r>
        <w:rPr>
          <w:rFonts w:asciiTheme="minorHAnsi" w:hAnsiTheme="minorHAnsi"/>
          <w:szCs w:val="20"/>
        </w:rPr>
        <w:t xml:space="preserve">. This should not be equated with “meddling” in domestic affairs but rather seen as a precondition to understand change dynamics and engage meaningfully over a longer period of time. Second, </w:t>
      </w:r>
      <w:r w:rsidRPr="007605AD">
        <w:rPr>
          <w:rFonts w:asciiTheme="minorHAnsi" w:hAnsiTheme="minorHAnsi"/>
          <w:b/>
          <w:i/>
          <w:szCs w:val="20"/>
        </w:rPr>
        <w:t>avoid parallel actions</w:t>
      </w:r>
      <w:r>
        <w:rPr>
          <w:rFonts w:asciiTheme="minorHAnsi" w:hAnsiTheme="minorHAnsi"/>
          <w:szCs w:val="20"/>
        </w:rPr>
        <w:t xml:space="preserve"> that may undermine the construction of a viable local public sector as well as legitimate LAs. This is particularly important regarding civil society (= avoid funding CSOs for functions legally due to be performed by LAs) and in sector operations (= avoid vertical approaches that exclude LAs and neglect territorial realities). Third, put aid money in “building systems” both within state institutions, at the level of civil society (e.g. in terms of ensuring their participation in the budget process) and towards citizens (even if in some countries a large majority are illiterate).</w:t>
      </w:r>
    </w:p>
    <w:p w14:paraId="314C3261" w14:textId="77777777" w:rsidR="00581783" w:rsidRDefault="00581783" w:rsidP="00F372E4">
      <w:pPr>
        <w:pStyle w:val="ECDPMnormal"/>
        <w:ind w:left="360"/>
        <w:jc w:val="both"/>
        <w:rPr>
          <w:rFonts w:asciiTheme="minorHAnsi" w:hAnsiTheme="minorHAnsi"/>
          <w:szCs w:val="20"/>
        </w:rPr>
      </w:pPr>
    </w:p>
    <w:p w14:paraId="59569A50" w14:textId="54AA6671" w:rsidR="00FF2FB7" w:rsidRPr="00DE0BFA" w:rsidRDefault="00DE0BFA" w:rsidP="00F8380E">
      <w:pPr>
        <w:pStyle w:val="ECDPMnormal"/>
        <w:numPr>
          <w:ilvl w:val="0"/>
          <w:numId w:val="13"/>
        </w:numPr>
        <w:jc w:val="both"/>
        <w:rPr>
          <w:rFonts w:asciiTheme="minorHAnsi" w:hAnsiTheme="minorHAnsi"/>
          <w:szCs w:val="20"/>
        </w:rPr>
      </w:pPr>
      <w:r>
        <w:rPr>
          <w:rFonts w:asciiTheme="minorHAnsi" w:hAnsiTheme="minorHAnsi"/>
          <w:szCs w:val="20"/>
        </w:rPr>
        <w:t xml:space="preserve">The need to link decentralisation to concrete development challenges (e.g. job creation) was </w:t>
      </w:r>
      <w:r w:rsidR="00581783">
        <w:rPr>
          <w:rFonts w:asciiTheme="minorHAnsi" w:hAnsiTheme="minorHAnsi"/>
          <w:szCs w:val="20"/>
        </w:rPr>
        <w:t xml:space="preserve">also </w:t>
      </w:r>
      <w:r>
        <w:rPr>
          <w:rFonts w:asciiTheme="minorHAnsi" w:hAnsiTheme="minorHAnsi"/>
          <w:szCs w:val="20"/>
        </w:rPr>
        <w:t xml:space="preserve">emphasized. This </w:t>
      </w:r>
      <w:r w:rsidRPr="007605AD">
        <w:rPr>
          <w:rFonts w:asciiTheme="minorHAnsi" w:hAnsiTheme="minorHAnsi"/>
          <w:b/>
          <w:i/>
          <w:szCs w:val="20"/>
        </w:rPr>
        <w:t>mainstreaming of decentralisation would make it “mo</w:t>
      </w:r>
      <w:r w:rsidR="00581783" w:rsidRPr="007605AD">
        <w:rPr>
          <w:rFonts w:asciiTheme="minorHAnsi" w:hAnsiTheme="minorHAnsi"/>
          <w:b/>
          <w:i/>
          <w:szCs w:val="20"/>
        </w:rPr>
        <w:t xml:space="preserve">re sellable” to elites and </w:t>
      </w:r>
      <w:r w:rsidRPr="007605AD">
        <w:rPr>
          <w:rFonts w:asciiTheme="minorHAnsi" w:hAnsiTheme="minorHAnsi"/>
          <w:b/>
          <w:i/>
          <w:szCs w:val="20"/>
        </w:rPr>
        <w:t>mobilise societal interest</w:t>
      </w:r>
      <w:r>
        <w:rPr>
          <w:rFonts w:asciiTheme="minorHAnsi" w:hAnsiTheme="minorHAnsi"/>
          <w:szCs w:val="20"/>
        </w:rPr>
        <w:t xml:space="preserve">. </w:t>
      </w:r>
      <w:r w:rsidR="00581783">
        <w:rPr>
          <w:rFonts w:asciiTheme="minorHAnsi" w:hAnsiTheme="minorHAnsi"/>
          <w:szCs w:val="20"/>
        </w:rPr>
        <w:t xml:space="preserve">Particularly interesting dynamics can be observed across the region in terms of ensuring a better ‘local’ control of natural resources –with the help of specialised agencies and civil society actors. </w:t>
      </w:r>
      <w:r w:rsidR="00E304F2">
        <w:rPr>
          <w:rFonts w:asciiTheme="minorHAnsi" w:hAnsiTheme="minorHAnsi"/>
          <w:szCs w:val="20"/>
        </w:rPr>
        <w:t>They are based on ensuring greater transparency and a more balance distribution of benefits through multi-actor dialogue processes at various levels (e.g. translating the EITI- initiative at local level). A key challenge in this respect is the empowerment of LAs to play a catalyst role in these processes as representatives of local communities and in brokering deals that are beneficial for the territory involved.</w:t>
      </w:r>
    </w:p>
    <w:p w14:paraId="03888507" w14:textId="77777777" w:rsidR="004E4283" w:rsidRDefault="004E4283" w:rsidP="004E4283">
      <w:pPr>
        <w:pStyle w:val="ECDPMnormal"/>
        <w:jc w:val="both"/>
        <w:rPr>
          <w:rFonts w:asciiTheme="minorHAnsi" w:hAnsiTheme="minorHAnsi"/>
          <w:szCs w:val="20"/>
        </w:rPr>
      </w:pPr>
    </w:p>
    <w:p w14:paraId="60640DD6" w14:textId="59414954" w:rsidR="00253475" w:rsidRPr="007605AD" w:rsidRDefault="00095155" w:rsidP="007605AD">
      <w:pPr>
        <w:pStyle w:val="ECDPMnormal"/>
        <w:numPr>
          <w:ilvl w:val="0"/>
          <w:numId w:val="13"/>
        </w:numPr>
        <w:jc w:val="both"/>
        <w:rPr>
          <w:rFonts w:asciiTheme="minorHAnsi" w:hAnsiTheme="minorHAnsi"/>
          <w:szCs w:val="20"/>
        </w:rPr>
      </w:pPr>
      <w:r>
        <w:rPr>
          <w:rFonts w:asciiTheme="minorHAnsi" w:hAnsiTheme="minorHAnsi"/>
          <w:szCs w:val="20"/>
        </w:rPr>
        <w:t xml:space="preserve">With regards to </w:t>
      </w:r>
      <w:r w:rsidRPr="007605AD">
        <w:rPr>
          <w:rFonts w:asciiTheme="minorHAnsi" w:hAnsiTheme="minorHAnsi"/>
          <w:b/>
          <w:i/>
          <w:szCs w:val="20"/>
        </w:rPr>
        <w:t>b</w:t>
      </w:r>
      <w:r w:rsidR="00C72C98" w:rsidRPr="007605AD">
        <w:rPr>
          <w:rFonts w:asciiTheme="minorHAnsi" w:hAnsiTheme="minorHAnsi"/>
          <w:b/>
          <w:i/>
          <w:szCs w:val="20"/>
        </w:rPr>
        <w:t>uilding the capacity</w:t>
      </w:r>
      <w:r w:rsidR="00C72C98" w:rsidRPr="00A6154D">
        <w:rPr>
          <w:rFonts w:asciiTheme="minorHAnsi" w:hAnsiTheme="minorHAnsi"/>
          <w:szCs w:val="20"/>
        </w:rPr>
        <w:t xml:space="preserve"> of Local Authorities </w:t>
      </w:r>
      <w:r w:rsidR="002E229B">
        <w:rPr>
          <w:rFonts w:asciiTheme="minorHAnsi" w:hAnsiTheme="minorHAnsi"/>
          <w:szCs w:val="20"/>
        </w:rPr>
        <w:t>these should be</w:t>
      </w:r>
      <w:r w:rsidR="00253475">
        <w:rPr>
          <w:rFonts w:asciiTheme="minorHAnsi" w:hAnsiTheme="minorHAnsi"/>
          <w:szCs w:val="20"/>
        </w:rPr>
        <w:t xml:space="preserve"> </w:t>
      </w:r>
      <w:proofErr w:type="gramStart"/>
      <w:r w:rsidR="00253475">
        <w:rPr>
          <w:rFonts w:asciiTheme="minorHAnsi" w:hAnsiTheme="minorHAnsi"/>
          <w:szCs w:val="20"/>
        </w:rPr>
        <w:t xml:space="preserve">primarily </w:t>
      </w:r>
      <w:r w:rsidR="002E229B">
        <w:rPr>
          <w:rFonts w:asciiTheme="minorHAnsi" w:hAnsiTheme="minorHAnsi"/>
          <w:szCs w:val="20"/>
        </w:rPr>
        <w:t xml:space="preserve"> </w:t>
      </w:r>
      <w:r w:rsidR="00253475" w:rsidRPr="007605AD">
        <w:rPr>
          <w:rFonts w:asciiTheme="minorHAnsi" w:hAnsiTheme="minorHAnsi"/>
          <w:b/>
          <w:i/>
          <w:szCs w:val="20"/>
        </w:rPr>
        <w:t>“</w:t>
      </w:r>
      <w:proofErr w:type="gramEnd"/>
      <w:r w:rsidR="00253475" w:rsidRPr="007605AD">
        <w:rPr>
          <w:rFonts w:asciiTheme="minorHAnsi" w:hAnsiTheme="minorHAnsi"/>
          <w:b/>
          <w:i/>
          <w:szCs w:val="20"/>
        </w:rPr>
        <w:t>on the job”,</w:t>
      </w:r>
      <w:r w:rsidR="00253475">
        <w:rPr>
          <w:rFonts w:asciiTheme="minorHAnsi" w:hAnsiTheme="minorHAnsi"/>
          <w:szCs w:val="20"/>
        </w:rPr>
        <w:t xml:space="preserve"> </w:t>
      </w:r>
      <w:r w:rsidR="002E229B">
        <w:rPr>
          <w:rFonts w:asciiTheme="minorHAnsi" w:hAnsiTheme="minorHAnsi"/>
          <w:szCs w:val="20"/>
        </w:rPr>
        <w:t xml:space="preserve">linked to </w:t>
      </w:r>
      <w:r w:rsidR="00C72C98" w:rsidRPr="00A6154D">
        <w:rPr>
          <w:rFonts w:asciiTheme="minorHAnsi" w:hAnsiTheme="minorHAnsi"/>
          <w:szCs w:val="20"/>
        </w:rPr>
        <w:t>concrete functions and tasks rather than gen</w:t>
      </w:r>
      <w:r w:rsidR="00A6154D" w:rsidRPr="00A6154D">
        <w:rPr>
          <w:rFonts w:asciiTheme="minorHAnsi" w:hAnsiTheme="minorHAnsi"/>
          <w:szCs w:val="20"/>
        </w:rPr>
        <w:t>eric classroom based trainings (if possible followed by periodic on-site follow-up).</w:t>
      </w:r>
      <w:r w:rsidR="00253475">
        <w:rPr>
          <w:rFonts w:asciiTheme="minorHAnsi" w:hAnsiTheme="minorHAnsi"/>
          <w:szCs w:val="20"/>
        </w:rPr>
        <w:t xml:space="preserve"> </w:t>
      </w:r>
      <w:r w:rsidR="00C55802">
        <w:rPr>
          <w:rFonts w:asciiTheme="minorHAnsi" w:hAnsiTheme="minorHAnsi"/>
          <w:szCs w:val="20"/>
        </w:rPr>
        <w:t>When considering how best to provide capacity support, a number of critical choices must be made (depending on the country) to elaborate a relevant mix. In this context, it is useful to keep in mind different forms of c</w:t>
      </w:r>
      <w:r w:rsidR="00253475">
        <w:rPr>
          <w:rFonts w:asciiTheme="minorHAnsi" w:hAnsiTheme="minorHAnsi"/>
          <w:szCs w:val="20"/>
        </w:rPr>
        <w:t xml:space="preserve">apacity </w:t>
      </w:r>
      <w:r w:rsidR="00253475" w:rsidRPr="007605AD">
        <w:rPr>
          <w:rFonts w:asciiTheme="minorHAnsi" w:hAnsiTheme="minorHAnsi"/>
          <w:szCs w:val="20"/>
        </w:rPr>
        <w:t>building</w:t>
      </w:r>
      <w:r w:rsidR="00C55802" w:rsidRPr="007605AD">
        <w:rPr>
          <w:rFonts w:asciiTheme="minorHAnsi" w:hAnsiTheme="minorHAnsi"/>
          <w:szCs w:val="20"/>
        </w:rPr>
        <w:t xml:space="preserve">.  The support can </w:t>
      </w:r>
      <w:proofErr w:type="gramStart"/>
      <w:r w:rsidR="00C55802" w:rsidRPr="007605AD">
        <w:rPr>
          <w:rFonts w:asciiTheme="minorHAnsi" w:hAnsiTheme="minorHAnsi"/>
          <w:szCs w:val="20"/>
        </w:rPr>
        <w:t>be</w:t>
      </w:r>
      <w:r w:rsidR="00C55802" w:rsidRPr="00FC6989">
        <w:rPr>
          <w:rFonts w:ascii="Cambria" w:hAnsi="Cambria" w:cs="Cambria"/>
          <w:color w:val="000080"/>
        </w:rPr>
        <w:t xml:space="preserve"> </w:t>
      </w:r>
      <w:r w:rsidR="00253475" w:rsidRPr="007605AD">
        <w:rPr>
          <w:rFonts w:ascii="Cambria" w:hAnsi="Cambria" w:cs="Cambria"/>
          <w:color w:val="000080"/>
        </w:rPr>
        <w:t xml:space="preserve"> </w:t>
      </w:r>
      <w:r w:rsidR="00253475" w:rsidRPr="007605AD">
        <w:rPr>
          <w:rFonts w:asciiTheme="minorHAnsi" w:hAnsiTheme="minorHAnsi"/>
          <w:b/>
          <w:i/>
          <w:szCs w:val="20"/>
        </w:rPr>
        <w:t>“</w:t>
      </w:r>
      <w:proofErr w:type="gramEnd"/>
      <w:r w:rsidR="00253475" w:rsidRPr="007605AD">
        <w:rPr>
          <w:rFonts w:asciiTheme="minorHAnsi" w:hAnsiTheme="minorHAnsi"/>
          <w:b/>
          <w:i/>
          <w:szCs w:val="20"/>
        </w:rPr>
        <w:t>supply-driven”</w:t>
      </w:r>
      <w:r w:rsidR="00253475" w:rsidRPr="007605AD">
        <w:rPr>
          <w:rFonts w:ascii="Cambria" w:hAnsi="Cambria" w:cs="Cambria"/>
          <w:color w:val="000080"/>
        </w:rPr>
        <w:t xml:space="preserve"> (</w:t>
      </w:r>
      <w:r w:rsidR="00253475" w:rsidRPr="007605AD">
        <w:rPr>
          <w:rFonts w:asciiTheme="minorHAnsi" w:hAnsiTheme="minorHAnsi"/>
          <w:szCs w:val="20"/>
        </w:rPr>
        <w:t>largely managed and provided by the central government or its agents) or</w:t>
      </w:r>
      <w:r w:rsidR="00253475" w:rsidRPr="007605AD">
        <w:rPr>
          <w:rFonts w:ascii="Cambria" w:hAnsi="Cambria" w:cs="Cambria"/>
          <w:color w:val="000080"/>
        </w:rPr>
        <w:t xml:space="preserve"> </w:t>
      </w:r>
      <w:r w:rsidR="00253475" w:rsidRPr="007605AD">
        <w:rPr>
          <w:rFonts w:asciiTheme="minorHAnsi" w:hAnsiTheme="minorHAnsi"/>
          <w:b/>
          <w:i/>
          <w:szCs w:val="20"/>
        </w:rPr>
        <w:t>“demand driven”</w:t>
      </w:r>
      <w:r w:rsidR="00253475" w:rsidRPr="007605AD">
        <w:rPr>
          <w:rFonts w:ascii="Cambria" w:hAnsi="Cambria" w:cs="Cambria"/>
          <w:color w:val="000080"/>
        </w:rPr>
        <w:t xml:space="preserve"> (</w:t>
      </w:r>
      <w:r w:rsidR="00253475" w:rsidRPr="007605AD">
        <w:rPr>
          <w:rFonts w:asciiTheme="minorHAnsi" w:hAnsiTheme="minorHAnsi"/>
          <w:szCs w:val="20"/>
        </w:rPr>
        <w:t xml:space="preserve">tailored to the specific needs and requests of DLG actors).  </w:t>
      </w:r>
      <w:r w:rsidR="00A6154D" w:rsidRPr="00253475">
        <w:rPr>
          <w:rFonts w:asciiTheme="minorHAnsi" w:hAnsiTheme="minorHAnsi"/>
          <w:szCs w:val="20"/>
        </w:rPr>
        <w:t xml:space="preserve"> </w:t>
      </w:r>
      <w:r w:rsidR="00253475" w:rsidRPr="00253475">
        <w:rPr>
          <w:rFonts w:asciiTheme="minorHAnsi" w:hAnsiTheme="minorHAnsi"/>
          <w:szCs w:val="20"/>
        </w:rPr>
        <w:t xml:space="preserve">There is also a need to recognize a </w:t>
      </w:r>
      <w:r w:rsidR="00854795" w:rsidRPr="00253475">
        <w:rPr>
          <w:rFonts w:asciiTheme="minorHAnsi" w:hAnsiTheme="minorHAnsi"/>
          <w:szCs w:val="20"/>
        </w:rPr>
        <w:t xml:space="preserve">dual track capacity building on both the </w:t>
      </w:r>
      <w:r w:rsidR="00854795" w:rsidRPr="007605AD">
        <w:rPr>
          <w:rFonts w:asciiTheme="minorHAnsi" w:hAnsiTheme="minorHAnsi"/>
          <w:b/>
          <w:i/>
          <w:szCs w:val="20"/>
        </w:rPr>
        <w:t xml:space="preserve">technical </w:t>
      </w:r>
      <w:r w:rsidR="00854795" w:rsidRPr="00253475">
        <w:rPr>
          <w:rFonts w:asciiTheme="minorHAnsi" w:hAnsiTheme="minorHAnsi"/>
          <w:szCs w:val="20"/>
        </w:rPr>
        <w:t xml:space="preserve">(training </w:t>
      </w:r>
      <w:r w:rsidR="008A6361" w:rsidRPr="00253475">
        <w:rPr>
          <w:rFonts w:asciiTheme="minorHAnsi" w:hAnsiTheme="minorHAnsi"/>
          <w:szCs w:val="20"/>
        </w:rPr>
        <w:t>for LAs to meet their responsibilities) a</w:t>
      </w:r>
      <w:r w:rsidR="00376F4C" w:rsidRPr="00253475">
        <w:rPr>
          <w:rFonts w:asciiTheme="minorHAnsi" w:hAnsiTheme="minorHAnsi"/>
          <w:szCs w:val="20"/>
        </w:rPr>
        <w:t>nd</w:t>
      </w:r>
      <w:r w:rsidR="008A6361" w:rsidRPr="00253475">
        <w:rPr>
          <w:rFonts w:asciiTheme="minorHAnsi" w:hAnsiTheme="minorHAnsi"/>
          <w:szCs w:val="20"/>
        </w:rPr>
        <w:t xml:space="preserve"> </w:t>
      </w:r>
      <w:r w:rsidR="008A6361" w:rsidRPr="007605AD">
        <w:rPr>
          <w:rFonts w:asciiTheme="minorHAnsi" w:hAnsiTheme="minorHAnsi"/>
          <w:b/>
          <w:i/>
          <w:szCs w:val="20"/>
        </w:rPr>
        <w:t>governance</w:t>
      </w:r>
      <w:r w:rsidR="008A6361" w:rsidRPr="00253475">
        <w:rPr>
          <w:rFonts w:asciiTheme="minorHAnsi" w:hAnsiTheme="minorHAnsi"/>
          <w:szCs w:val="20"/>
        </w:rPr>
        <w:t xml:space="preserve"> </w:t>
      </w:r>
      <w:r w:rsidR="00376F4C" w:rsidRPr="00253475">
        <w:rPr>
          <w:rFonts w:asciiTheme="minorHAnsi" w:hAnsiTheme="minorHAnsi"/>
          <w:szCs w:val="20"/>
        </w:rPr>
        <w:t>(facilitating citizen participation, cooperation b</w:t>
      </w:r>
      <w:r w:rsidR="005A249D" w:rsidRPr="00253475">
        <w:rPr>
          <w:rFonts w:asciiTheme="minorHAnsi" w:hAnsiTheme="minorHAnsi"/>
          <w:szCs w:val="20"/>
        </w:rPr>
        <w:t xml:space="preserve">etween elected officials and local staff) </w:t>
      </w:r>
      <w:r w:rsidR="00376F4C" w:rsidRPr="00253475">
        <w:rPr>
          <w:rFonts w:asciiTheme="minorHAnsi" w:hAnsiTheme="minorHAnsi"/>
          <w:szCs w:val="20"/>
        </w:rPr>
        <w:t>aspects</w:t>
      </w:r>
      <w:r w:rsidR="005A249D" w:rsidRPr="00253475">
        <w:rPr>
          <w:rFonts w:asciiTheme="minorHAnsi" w:hAnsiTheme="minorHAnsi"/>
          <w:szCs w:val="20"/>
        </w:rPr>
        <w:t>.</w:t>
      </w:r>
      <w:r w:rsidR="00A6154D" w:rsidRPr="00253475">
        <w:rPr>
          <w:rFonts w:asciiTheme="minorHAnsi" w:hAnsiTheme="minorHAnsi"/>
          <w:szCs w:val="20"/>
        </w:rPr>
        <w:t xml:space="preserve"> </w:t>
      </w:r>
      <w:r w:rsidR="00E304F2" w:rsidRPr="00253475">
        <w:rPr>
          <w:rFonts w:asciiTheme="minorHAnsi" w:hAnsiTheme="minorHAnsi"/>
          <w:szCs w:val="20"/>
        </w:rPr>
        <w:t xml:space="preserve">Strengthening the capacity for resource mobilisation at local level and representation at national/global level (through legitimate and strong national associations) was also seen as a priority. </w:t>
      </w:r>
      <w:r w:rsidR="00DD329A" w:rsidRPr="00C55802">
        <w:rPr>
          <w:rFonts w:asciiTheme="minorHAnsi" w:hAnsiTheme="minorHAnsi"/>
          <w:szCs w:val="20"/>
        </w:rPr>
        <w:t>Reforms should address these at the individual, institutional and systemic level.</w:t>
      </w:r>
      <w:r w:rsidR="002E229B" w:rsidRPr="00C55802">
        <w:rPr>
          <w:rFonts w:asciiTheme="minorHAnsi" w:hAnsiTheme="minorHAnsi"/>
          <w:szCs w:val="20"/>
        </w:rPr>
        <w:t xml:space="preserve"> </w:t>
      </w:r>
      <w:r w:rsidR="00DE0BFA" w:rsidRPr="00C55802">
        <w:rPr>
          <w:rFonts w:asciiTheme="minorHAnsi" w:hAnsiTheme="minorHAnsi"/>
          <w:szCs w:val="20"/>
        </w:rPr>
        <w:t xml:space="preserve"> </w:t>
      </w:r>
      <w:r w:rsidR="00DE0BFA" w:rsidRPr="007605AD">
        <w:rPr>
          <w:rFonts w:asciiTheme="minorHAnsi" w:hAnsiTheme="minorHAnsi"/>
          <w:b/>
          <w:i/>
          <w:szCs w:val="20"/>
        </w:rPr>
        <w:t>Incentives</w:t>
      </w:r>
      <w:r w:rsidR="00DE0BFA" w:rsidRPr="00C55802">
        <w:rPr>
          <w:rFonts w:asciiTheme="minorHAnsi" w:hAnsiTheme="minorHAnsi"/>
          <w:szCs w:val="20"/>
        </w:rPr>
        <w:t xml:space="preserve"> could be created to make the local career more attractive. </w:t>
      </w:r>
      <w:r w:rsidR="00253475">
        <w:rPr>
          <w:rFonts w:asciiTheme="minorHAnsi" w:hAnsiTheme="minorHAnsi"/>
          <w:szCs w:val="20"/>
        </w:rPr>
        <w:t xml:space="preserve"> </w:t>
      </w:r>
      <w:r w:rsidR="00253475" w:rsidRPr="007605AD">
        <w:rPr>
          <w:rFonts w:asciiTheme="minorHAnsi" w:hAnsiTheme="minorHAnsi"/>
          <w:szCs w:val="20"/>
        </w:rPr>
        <w:t xml:space="preserve">Finally, capacity building can be </w:t>
      </w:r>
      <w:r w:rsidR="00253475" w:rsidRPr="007605AD">
        <w:rPr>
          <w:rFonts w:asciiTheme="minorHAnsi" w:hAnsiTheme="minorHAnsi"/>
          <w:b/>
          <w:i/>
          <w:szCs w:val="20"/>
        </w:rPr>
        <w:t>directed solely to government entities</w:t>
      </w:r>
      <w:r w:rsidR="00253475" w:rsidRPr="007605AD">
        <w:rPr>
          <w:rFonts w:ascii="Cambria" w:hAnsi="Cambria" w:cs="Cambria"/>
          <w:color w:val="000080"/>
        </w:rPr>
        <w:t xml:space="preserve"> </w:t>
      </w:r>
      <w:r w:rsidR="00253475" w:rsidRPr="007605AD">
        <w:rPr>
          <w:rFonts w:asciiTheme="minorHAnsi" w:hAnsiTheme="minorHAnsi"/>
          <w:szCs w:val="20"/>
        </w:rPr>
        <w:t>(elected and appointed officials) or also to civil society (to empower citizens to hold their local governments accountable) and</w:t>
      </w:r>
      <w:r w:rsidR="00253475" w:rsidRPr="007605AD">
        <w:rPr>
          <w:rFonts w:ascii="Cambria" w:hAnsi="Cambria" w:cs="Cambria"/>
          <w:color w:val="000080"/>
        </w:rPr>
        <w:t xml:space="preserve"> </w:t>
      </w:r>
      <w:r w:rsidR="00253475" w:rsidRPr="007605AD">
        <w:rPr>
          <w:rFonts w:asciiTheme="minorHAnsi" w:hAnsiTheme="minorHAnsi"/>
          <w:b/>
          <w:i/>
          <w:szCs w:val="20"/>
        </w:rPr>
        <w:t xml:space="preserve">national actors </w:t>
      </w:r>
      <w:r w:rsidR="00253475" w:rsidRPr="007605AD">
        <w:rPr>
          <w:rFonts w:asciiTheme="minorHAnsi" w:hAnsiTheme="minorHAnsi"/>
          <w:szCs w:val="20"/>
        </w:rPr>
        <w:t>(to help them to assume new roles under D</w:t>
      </w:r>
      <w:r w:rsidR="00C55802" w:rsidRPr="007605AD">
        <w:rPr>
          <w:rFonts w:asciiTheme="minorHAnsi" w:hAnsiTheme="minorHAnsi"/>
          <w:szCs w:val="20"/>
        </w:rPr>
        <w:t xml:space="preserve">LG reforms). </w:t>
      </w:r>
      <w:r w:rsidR="00253475" w:rsidRPr="007605AD">
        <w:rPr>
          <w:rFonts w:asciiTheme="minorHAnsi" w:hAnsiTheme="minorHAnsi"/>
          <w:szCs w:val="20"/>
        </w:rPr>
        <w:t>Efforts to build the capacity of central government staff in decentralizing environments to help them to modify the role they have played—often from oversight and control to facilitation and support—have also been neglected but are receiving more attention in recent years)</w:t>
      </w:r>
    </w:p>
    <w:p w14:paraId="7FBF7665" w14:textId="77777777" w:rsidR="00E77E0A" w:rsidRDefault="00E77E0A" w:rsidP="00F372E4">
      <w:pPr>
        <w:pStyle w:val="ECDPMnormal"/>
        <w:jc w:val="both"/>
        <w:rPr>
          <w:rFonts w:asciiTheme="minorHAnsi" w:hAnsiTheme="minorHAnsi"/>
          <w:szCs w:val="20"/>
        </w:rPr>
      </w:pPr>
    </w:p>
    <w:p w14:paraId="4E4758C0" w14:textId="5433FCF7" w:rsidR="00E77E0A" w:rsidRPr="00E304F2" w:rsidRDefault="00E77E0A" w:rsidP="00E304F2">
      <w:pPr>
        <w:pStyle w:val="ECDPMnormal"/>
        <w:numPr>
          <w:ilvl w:val="0"/>
          <w:numId w:val="13"/>
        </w:numPr>
        <w:jc w:val="both"/>
        <w:rPr>
          <w:rFonts w:asciiTheme="minorHAnsi" w:hAnsiTheme="minorHAnsi"/>
          <w:szCs w:val="20"/>
        </w:rPr>
      </w:pPr>
      <w:r w:rsidRPr="00E304F2">
        <w:rPr>
          <w:rFonts w:asciiTheme="minorHAnsi" w:hAnsiTheme="minorHAnsi"/>
          <w:szCs w:val="20"/>
        </w:rPr>
        <w:t xml:space="preserve">Discussions also covered the </w:t>
      </w:r>
      <w:r w:rsidRPr="007605AD">
        <w:rPr>
          <w:rFonts w:asciiTheme="minorHAnsi" w:hAnsiTheme="minorHAnsi"/>
          <w:b/>
          <w:i/>
          <w:szCs w:val="20"/>
        </w:rPr>
        <w:t>different aid modalities available to support decentralisation processes</w:t>
      </w:r>
      <w:r w:rsidRPr="00E304F2">
        <w:rPr>
          <w:rFonts w:asciiTheme="minorHAnsi" w:hAnsiTheme="minorHAnsi"/>
          <w:szCs w:val="20"/>
        </w:rPr>
        <w:t xml:space="preserve">. EU </w:t>
      </w:r>
      <w:proofErr w:type="gramStart"/>
      <w:r w:rsidRPr="00E304F2">
        <w:rPr>
          <w:rFonts w:asciiTheme="minorHAnsi" w:hAnsiTheme="minorHAnsi"/>
          <w:szCs w:val="20"/>
        </w:rPr>
        <w:t>staff were</w:t>
      </w:r>
      <w:proofErr w:type="gramEnd"/>
      <w:r w:rsidRPr="00E304F2">
        <w:rPr>
          <w:rFonts w:asciiTheme="minorHAnsi" w:hAnsiTheme="minorHAnsi"/>
          <w:szCs w:val="20"/>
        </w:rPr>
        <w:t xml:space="preserve"> reminded that before looking for suitable modalities they sho</w:t>
      </w:r>
      <w:r w:rsidRPr="00124283">
        <w:rPr>
          <w:rFonts w:asciiTheme="minorHAnsi" w:hAnsiTheme="minorHAnsi"/>
          <w:szCs w:val="20"/>
        </w:rPr>
        <w:t>uld think about what the EC wants to achieve in the local context. Then the most appropriate modality (or mix of modalities) can be selecte</w:t>
      </w:r>
      <w:r w:rsidRPr="0088529A">
        <w:rPr>
          <w:rFonts w:asciiTheme="minorHAnsi" w:hAnsiTheme="minorHAnsi"/>
          <w:szCs w:val="20"/>
        </w:rPr>
        <w:t xml:space="preserve">d. </w:t>
      </w:r>
      <w:r w:rsidRPr="004E07AC">
        <w:rPr>
          <w:rFonts w:asciiTheme="minorHAnsi" w:hAnsiTheme="minorHAnsi"/>
          <w:szCs w:val="20"/>
        </w:rPr>
        <w:t>The development outcome should always be the main focus (not just local governance) while simultaneously trying to increase local autonomy. Initiall</w:t>
      </w:r>
      <w:r w:rsidRPr="00032069">
        <w:rPr>
          <w:rFonts w:asciiTheme="minorHAnsi" w:hAnsiTheme="minorHAnsi"/>
          <w:szCs w:val="20"/>
        </w:rPr>
        <w:t xml:space="preserve">y, depending on the level of expectations, </w:t>
      </w:r>
      <w:proofErr w:type="gramStart"/>
      <w:r w:rsidR="00153518">
        <w:rPr>
          <w:rFonts w:asciiTheme="minorHAnsi" w:hAnsiTheme="minorHAnsi"/>
          <w:szCs w:val="20"/>
        </w:rPr>
        <w:t>Though</w:t>
      </w:r>
      <w:proofErr w:type="gramEnd"/>
      <w:r w:rsidR="00153518">
        <w:rPr>
          <w:rFonts w:asciiTheme="minorHAnsi" w:hAnsiTheme="minorHAnsi"/>
          <w:szCs w:val="20"/>
        </w:rPr>
        <w:t xml:space="preserve"> </w:t>
      </w:r>
      <w:r w:rsidR="00153518">
        <w:rPr>
          <w:rFonts w:asciiTheme="minorHAnsi" w:hAnsiTheme="minorHAnsi"/>
          <w:szCs w:val="20"/>
        </w:rPr>
        <w:lastRenderedPageBreak/>
        <w:t>many operational questions were raised, there was broad consensus on the need to explore ways and means to better integrate the ‘local dimension’ and its key actors (i.e. LAs, the local public sector and civil society) into (sector) budget operations. The EU and other donors should not become “prisoners” of the aid modality</w:t>
      </w:r>
      <w:r w:rsidR="004E07AC">
        <w:rPr>
          <w:rFonts w:asciiTheme="minorHAnsi" w:hAnsiTheme="minorHAnsi"/>
          <w:szCs w:val="20"/>
        </w:rPr>
        <w:t xml:space="preserve">. The challenge at stake is rather to promote a multi-actor and multi-level dialogue on how to construct effective synergies between central and local actors in getting better development and governance outcomes. A brief presentation was also made of </w:t>
      </w:r>
      <w:r w:rsidR="00032069">
        <w:rPr>
          <w:rFonts w:asciiTheme="minorHAnsi" w:hAnsiTheme="minorHAnsi"/>
          <w:szCs w:val="20"/>
        </w:rPr>
        <w:t>new guidance prepared by DEVCO on how to use ‘smart projects’ in support of decentralisation  ‘from the bottom-up’ and through ‘scaling-up’ n countries where the conditions are not conducive for centrally-led reforms and related budget support.</w:t>
      </w:r>
    </w:p>
    <w:p w14:paraId="1E83C41F" w14:textId="77777777" w:rsidR="00DD329A" w:rsidRDefault="00DD329A" w:rsidP="00DD329A">
      <w:pPr>
        <w:pStyle w:val="ECDPMnormal"/>
        <w:jc w:val="both"/>
        <w:rPr>
          <w:rFonts w:asciiTheme="minorHAnsi" w:hAnsiTheme="minorHAnsi"/>
          <w:szCs w:val="20"/>
        </w:rPr>
      </w:pPr>
    </w:p>
    <w:p w14:paraId="6DC9CD92" w14:textId="30326B69" w:rsidR="00124283" w:rsidRDefault="00D90F13" w:rsidP="00F372E4">
      <w:pPr>
        <w:pStyle w:val="ECDPMnormal"/>
        <w:numPr>
          <w:ilvl w:val="0"/>
          <w:numId w:val="13"/>
        </w:numPr>
        <w:jc w:val="both"/>
        <w:rPr>
          <w:rFonts w:asciiTheme="minorHAnsi" w:hAnsiTheme="minorHAnsi"/>
          <w:szCs w:val="20"/>
        </w:rPr>
      </w:pPr>
      <w:r w:rsidRPr="007605AD">
        <w:rPr>
          <w:rFonts w:asciiTheme="minorHAnsi" w:hAnsiTheme="minorHAnsi"/>
          <w:b/>
          <w:i/>
          <w:szCs w:val="20"/>
        </w:rPr>
        <w:t xml:space="preserve">Local Economic Development </w:t>
      </w:r>
      <w:r w:rsidR="004E07AC">
        <w:rPr>
          <w:rFonts w:asciiTheme="minorHAnsi" w:hAnsiTheme="minorHAnsi"/>
          <w:szCs w:val="20"/>
        </w:rPr>
        <w:t xml:space="preserve">(LED) is not a new topic yet it is gaining again a </w:t>
      </w:r>
      <w:r w:rsidR="004E07AC" w:rsidRPr="007605AD">
        <w:rPr>
          <w:rFonts w:asciiTheme="minorHAnsi" w:hAnsiTheme="minorHAnsi"/>
          <w:b/>
          <w:i/>
          <w:szCs w:val="20"/>
        </w:rPr>
        <w:t>high profile</w:t>
      </w:r>
      <w:r w:rsidR="004E07AC">
        <w:rPr>
          <w:rFonts w:asciiTheme="minorHAnsi" w:hAnsiTheme="minorHAnsi"/>
          <w:szCs w:val="20"/>
        </w:rPr>
        <w:t xml:space="preserve">. The issue is also closely linked to the EU’s priority of promoting ‘inclusive growth’. It is a complex field, yet LED </w:t>
      </w:r>
      <w:r w:rsidRPr="00E304F2">
        <w:rPr>
          <w:rFonts w:asciiTheme="minorHAnsi" w:hAnsiTheme="minorHAnsi"/>
          <w:szCs w:val="20"/>
        </w:rPr>
        <w:t>was highlighted as one of the areas where decentralisation can efficie</w:t>
      </w:r>
      <w:r w:rsidR="000826D8" w:rsidRPr="00E304F2">
        <w:rPr>
          <w:rFonts w:asciiTheme="minorHAnsi" w:hAnsiTheme="minorHAnsi"/>
          <w:szCs w:val="20"/>
        </w:rPr>
        <w:t xml:space="preserve">ntly be used as </w:t>
      </w:r>
      <w:r w:rsidR="00E304F2" w:rsidRPr="00124283">
        <w:rPr>
          <w:rFonts w:asciiTheme="minorHAnsi" w:hAnsiTheme="minorHAnsi"/>
          <w:szCs w:val="20"/>
        </w:rPr>
        <w:t>a tool to</w:t>
      </w:r>
      <w:r w:rsidR="000826D8" w:rsidRPr="00124283">
        <w:rPr>
          <w:rFonts w:asciiTheme="minorHAnsi" w:hAnsiTheme="minorHAnsi"/>
          <w:szCs w:val="20"/>
        </w:rPr>
        <w:t xml:space="preserve"> </w:t>
      </w:r>
      <w:r w:rsidR="004E07AC">
        <w:rPr>
          <w:rFonts w:asciiTheme="minorHAnsi" w:hAnsiTheme="minorHAnsi"/>
          <w:szCs w:val="20"/>
        </w:rPr>
        <w:t xml:space="preserve">foster </w:t>
      </w:r>
      <w:r w:rsidR="000826D8" w:rsidRPr="00124283">
        <w:rPr>
          <w:rFonts w:asciiTheme="minorHAnsi" w:hAnsiTheme="minorHAnsi"/>
          <w:szCs w:val="20"/>
        </w:rPr>
        <w:t>(</w:t>
      </w:r>
      <w:proofErr w:type="spellStart"/>
      <w:r w:rsidR="000826D8" w:rsidRPr="00124283">
        <w:rPr>
          <w:rFonts w:asciiTheme="minorHAnsi" w:hAnsiTheme="minorHAnsi"/>
          <w:szCs w:val="20"/>
        </w:rPr>
        <w:t>i</w:t>
      </w:r>
      <w:proofErr w:type="spellEnd"/>
      <w:r w:rsidR="000826D8" w:rsidRPr="00124283">
        <w:rPr>
          <w:rFonts w:asciiTheme="minorHAnsi" w:hAnsiTheme="minorHAnsi"/>
          <w:szCs w:val="20"/>
        </w:rPr>
        <w:t xml:space="preserve">) </w:t>
      </w:r>
      <w:r w:rsidRPr="00124283">
        <w:rPr>
          <w:rFonts w:asciiTheme="minorHAnsi" w:hAnsiTheme="minorHAnsi"/>
          <w:szCs w:val="20"/>
        </w:rPr>
        <w:t xml:space="preserve">wealth creation, </w:t>
      </w:r>
      <w:r w:rsidR="000826D8" w:rsidRPr="00124283">
        <w:rPr>
          <w:rFonts w:asciiTheme="minorHAnsi" w:hAnsiTheme="minorHAnsi"/>
          <w:szCs w:val="20"/>
        </w:rPr>
        <w:t xml:space="preserve">(ii) social &amp; economic development, (iii) local revenue generation and </w:t>
      </w:r>
      <w:proofErr w:type="gramStart"/>
      <w:r w:rsidR="000826D8" w:rsidRPr="00124283">
        <w:rPr>
          <w:rFonts w:asciiTheme="minorHAnsi" w:hAnsiTheme="minorHAnsi"/>
          <w:szCs w:val="20"/>
        </w:rPr>
        <w:t>(iv) the</w:t>
      </w:r>
      <w:proofErr w:type="gramEnd"/>
      <w:r w:rsidR="000826D8" w:rsidRPr="00124283">
        <w:rPr>
          <w:rFonts w:asciiTheme="minorHAnsi" w:hAnsiTheme="minorHAnsi"/>
          <w:szCs w:val="20"/>
        </w:rPr>
        <w:t xml:space="preserve"> implementation of national policies promot</w:t>
      </w:r>
      <w:r w:rsidR="00480CD9" w:rsidRPr="00124283">
        <w:rPr>
          <w:rFonts w:asciiTheme="minorHAnsi" w:hAnsiTheme="minorHAnsi"/>
          <w:szCs w:val="20"/>
        </w:rPr>
        <w:t>ing local economic development.</w:t>
      </w:r>
      <w:r w:rsidR="004E07AC">
        <w:rPr>
          <w:rFonts w:asciiTheme="minorHAnsi" w:hAnsiTheme="minorHAnsi"/>
          <w:szCs w:val="20"/>
        </w:rPr>
        <w:t xml:space="preserve"> Key challenges include the need to further explore (</w:t>
      </w:r>
      <w:proofErr w:type="spellStart"/>
      <w:r w:rsidR="004E07AC">
        <w:rPr>
          <w:rFonts w:asciiTheme="minorHAnsi" w:hAnsiTheme="minorHAnsi"/>
          <w:szCs w:val="20"/>
        </w:rPr>
        <w:t>i</w:t>
      </w:r>
      <w:proofErr w:type="spellEnd"/>
      <w:r w:rsidR="004E07AC">
        <w:rPr>
          <w:rFonts w:asciiTheme="minorHAnsi" w:hAnsiTheme="minorHAnsi"/>
          <w:szCs w:val="20"/>
        </w:rPr>
        <w:t xml:space="preserve">) how LED can be promoted when the macro-economic policies rely on the central government;?(ii) what LAs can really do to promote LED? (iii) </w:t>
      </w:r>
      <w:proofErr w:type="gramStart"/>
      <w:r w:rsidR="004E07AC">
        <w:rPr>
          <w:rFonts w:asciiTheme="minorHAnsi" w:hAnsiTheme="minorHAnsi"/>
          <w:szCs w:val="20"/>
        </w:rPr>
        <w:t>how</w:t>
      </w:r>
      <w:proofErr w:type="gramEnd"/>
      <w:r w:rsidR="004E07AC">
        <w:rPr>
          <w:rFonts w:asciiTheme="minorHAnsi" w:hAnsiTheme="minorHAnsi"/>
          <w:szCs w:val="20"/>
        </w:rPr>
        <w:t xml:space="preserve"> to create an enabling environment for LED?(iv) how LED can be linked to a territorial development approach? (v) </w:t>
      </w:r>
      <w:proofErr w:type="gramStart"/>
      <w:r w:rsidR="004E07AC">
        <w:rPr>
          <w:rFonts w:asciiTheme="minorHAnsi" w:hAnsiTheme="minorHAnsi"/>
          <w:szCs w:val="20"/>
        </w:rPr>
        <w:t>how</w:t>
      </w:r>
      <w:proofErr w:type="gramEnd"/>
      <w:r w:rsidR="004E07AC">
        <w:rPr>
          <w:rFonts w:asciiTheme="minorHAnsi" w:hAnsiTheme="minorHAnsi"/>
          <w:szCs w:val="20"/>
        </w:rPr>
        <w:t xml:space="preserve"> to address the issue of land reform –which in this part of the world is closely linked to LED?</w:t>
      </w:r>
    </w:p>
    <w:p w14:paraId="0E4CB495" w14:textId="77777777" w:rsidR="00124283" w:rsidRDefault="00124283" w:rsidP="00124283">
      <w:pPr>
        <w:pStyle w:val="ECDPMnormal"/>
        <w:jc w:val="both"/>
        <w:rPr>
          <w:rFonts w:asciiTheme="minorHAnsi" w:hAnsiTheme="minorHAnsi"/>
          <w:szCs w:val="20"/>
        </w:rPr>
      </w:pPr>
    </w:p>
    <w:p w14:paraId="0D838431" w14:textId="5B84B0D3" w:rsidR="00032069" w:rsidRDefault="00032069" w:rsidP="00F372E4">
      <w:pPr>
        <w:pStyle w:val="ECDPMnormal"/>
        <w:numPr>
          <w:ilvl w:val="0"/>
          <w:numId w:val="13"/>
        </w:numPr>
        <w:jc w:val="both"/>
        <w:rPr>
          <w:rFonts w:asciiTheme="minorHAnsi" w:hAnsiTheme="minorHAnsi"/>
          <w:szCs w:val="20"/>
        </w:rPr>
      </w:pPr>
      <w:r>
        <w:rPr>
          <w:rFonts w:asciiTheme="minorHAnsi" w:hAnsiTheme="minorHAnsi"/>
          <w:szCs w:val="20"/>
        </w:rPr>
        <w:t>There was quite some interest to better understand the ‘</w:t>
      </w:r>
      <w:r w:rsidRPr="007605AD">
        <w:rPr>
          <w:rFonts w:asciiTheme="minorHAnsi" w:hAnsiTheme="minorHAnsi"/>
          <w:b/>
          <w:i/>
          <w:szCs w:val="20"/>
        </w:rPr>
        <w:t>paradigm shift’ of the EU regarding civil society</w:t>
      </w:r>
      <w:r>
        <w:rPr>
          <w:rFonts w:asciiTheme="minorHAnsi" w:hAnsiTheme="minorHAnsi"/>
          <w:szCs w:val="20"/>
        </w:rPr>
        <w:t>, as announced in the above Communication on ‘the roots of democracy and sustainable development’. The main changes include a focus on civil society as a governance actor, the need to focus on improving state-society relations (rather than merely supporting civil society as a self-standing actor) and the preparedness of the EU to help creating an enabling environment for civil society to thrive as an actor with the necessary legitimacy, power, capacity and outreach to effectively push for reforms at national and local levels. This shift could create new opportunities for CSOs to engage in the process of building the state ‘from below’.</w:t>
      </w:r>
      <w:r w:rsidR="00386AFA">
        <w:rPr>
          <w:rFonts w:asciiTheme="minorHAnsi" w:hAnsiTheme="minorHAnsi"/>
          <w:szCs w:val="20"/>
        </w:rPr>
        <w:t xml:space="preserve"> There was demand for better understanding how the two recent EU Communications (on CSOs and LAs) could be practically combined in the field and what the implications are for the use of the various financial and non-financial instruments of the Commission.</w:t>
      </w:r>
    </w:p>
    <w:p w14:paraId="31B09783" w14:textId="77777777" w:rsidR="00386AFA" w:rsidRDefault="00386AFA" w:rsidP="007605AD">
      <w:pPr>
        <w:pStyle w:val="ECDPMnormal"/>
        <w:jc w:val="both"/>
        <w:rPr>
          <w:rFonts w:asciiTheme="minorHAnsi" w:hAnsiTheme="minorHAnsi"/>
          <w:szCs w:val="20"/>
        </w:rPr>
      </w:pPr>
    </w:p>
    <w:p w14:paraId="27F35129" w14:textId="646EC679" w:rsidR="00386AFA" w:rsidRDefault="00803507" w:rsidP="00F372E4">
      <w:pPr>
        <w:pStyle w:val="ECDPMnormal"/>
        <w:numPr>
          <w:ilvl w:val="0"/>
          <w:numId w:val="13"/>
        </w:numPr>
        <w:jc w:val="both"/>
        <w:rPr>
          <w:rFonts w:asciiTheme="minorHAnsi" w:hAnsiTheme="minorHAnsi"/>
          <w:szCs w:val="20"/>
        </w:rPr>
      </w:pPr>
      <w:r>
        <w:rPr>
          <w:rFonts w:asciiTheme="minorHAnsi" w:hAnsiTheme="minorHAnsi"/>
          <w:szCs w:val="20"/>
        </w:rPr>
        <w:t xml:space="preserve">The issue of </w:t>
      </w:r>
      <w:r w:rsidRPr="007605AD">
        <w:rPr>
          <w:rFonts w:asciiTheme="minorHAnsi" w:hAnsiTheme="minorHAnsi"/>
          <w:b/>
          <w:i/>
          <w:szCs w:val="20"/>
        </w:rPr>
        <w:t>fiscal decentralisation</w:t>
      </w:r>
      <w:r>
        <w:rPr>
          <w:rFonts w:asciiTheme="minorHAnsi" w:hAnsiTheme="minorHAnsi"/>
          <w:szCs w:val="20"/>
        </w:rPr>
        <w:t xml:space="preserve"> would have merited more time. The subject </w:t>
      </w:r>
      <w:r w:rsidRPr="007605AD">
        <w:rPr>
          <w:rFonts w:asciiTheme="minorHAnsi" w:hAnsiTheme="minorHAnsi"/>
          <w:b/>
          <w:i/>
          <w:szCs w:val="20"/>
        </w:rPr>
        <w:t>increasingly comes to the surface</w:t>
      </w:r>
      <w:r>
        <w:rPr>
          <w:rFonts w:asciiTheme="minorHAnsi" w:hAnsiTheme="minorHAnsi"/>
          <w:szCs w:val="20"/>
        </w:rPr>
        <w:t xml:space="preserve">, as EU Delegations seek to integrate the local level dimension in their various (budget support) operations and work more with the local public sector (including the Las) in delivering the goods and services. Discussions underlined the </w:t>
      </w:r>
      <w:r w:rsidRPr="007605AD">
        <w:rPr>
          <w:rFonts w:asciiTheme="minorHAnsi" w:hAnsiTheme="minorHAnsi"/>
          <w:b/>
          <w:i/>
          <w:szCs w:val="20"/>
        </w:rPr>
        <w:t>need to take fiscal decentralisation out of its technical remit</w:t>
      </w:r>
      <w:r>
        <w:rPr>
          <w:rFonts w:asciiTheme="minorHAnsi" w:hAnsiTheme="minorHAnsi"/>
          <w:szCs w:val="20"/>
        </w:rPr>
        <w:t xml:space="preserve">; to explore its </w:t>
      </w:r>
      <w:r w:rsidRPr="007605AD">
        <w:rPr>
          <w:rFonts w:asciiTheme="minorHAnsi" w:hAnsiTheme="minorHAnsi"/>
          <w:b/>
          <w:i/>
          <w:szCs w:val="20"/>
        </w:rPr>
        <w:t>practical relevance for</w:t>
      </w:r>
      <w:r w:rsidR="00FD0C12" w:rsidRPr="007605AD">
        <w:rPr>
          <w:rFonts w:asciiTheme="minorHAnsi" w:hAnsiTheme="minorHAnsi"/>
          <w:b/>
          <w:i/>
          <w:szCs w:val="20"/>
        </w:rPr>
        <w:t xml:space="preserve"> a wider set of development constituencies</w:t>
      </w:r>
      <w:r w:rsidR="00FD0C12">
        <w:rPr>
          <w:rFonts w:asciiTheme="minorHAnsi" w:hAnsiTheme="minorHAnsi"/>
          <w:szCs w:val="20"/>
        </w:rPr>
        <w:t xml:space="preserve"> (</w:t>
      </w:r>
      <w:proofErr w:type="spellStart"/>
      <w:r w:rsidR="00FD0C12">
        <w:rPr>
          <w:rFonts w:asciiTheme="minorHAnsi" w:hAnsiTheme="minorHAnsi"/>
          <w:szCs w:val="20"/>
        </w:rPr>
        <w:t>eg</w:t>
      </w:r>
      <w:proofErr w:type="spellEnd"/>
      <w:r w:rsidR="00FD0C12">
        <w:rPr>
          <w:rFonts w:asciiTheme="minorHAnsi" w:hAnsiTheme="minorHAnsi"/>
          <w:szCs w:val="20"/>
        </w:rPr>
        <w:t xml:space="preserve"> at </w:t>
      </w:r>
      <w:proofErr w:type="spellStart"/>
      <w:r w:rsidR="00FD0C12">
        <w:rPr>
          <w:rFonts w:asciiTheme="minorHAnsi" w:hAnsiTheme="minorHAnsi"/>
          <w:szCs w:val="20"/>
        </w:rPr>
        <w:t>sectoral</w:t>
      </w:r>
      <w:proofErr w:type="spellEnd"/>
      <w:r w:rsidR="00FD0C12">
        <w:rPr>
          <w:rFonts w:asciiTheme="minorHAnsi" w:hAnsiTheme="minorHAnsi"/>
          <w:szCs w:val="20"/>
        </w:rPr>
        <w:t xml:space="preserve"> level); to clarify the links between fiscal decentralisation and ensuring greater autonomy and accountability of LAs; or to find intelligent ways for donors to fund LAs directly while strengthening the intergovernmental fiscal system. </w:t>
      </w:r>
    </w:p>
    <w:p w14:paraId="072F3600" w14:textId="77777777" w:rsidR="007605AD" w:rsidRDefault="007605AD" w:rsidP="007605AD">
      <w:pPr>
        <w:pStyle w:val="ECDPMnormal"/>
        <w:ind w:left="360"/>
        <w:jc w:val="both"/>
        <w:rPr>
          <w:rFonts w:asciiTheme="minorHAnsi" w:hAnsiTheme="minorHAnsi"/>
          <w:szCs w:val="20"/>
        </w:rPr>
      </w:pPr>
    </w:p>
    <w:p w14:paraId="5CDF8CF3" w14:textId="77777777" w:rsidR="007605AD" w:rsidRDefault="007605AD" w:rsidP="007605AD">
      <w:pPr>
        <w:pStyle w:val="ECDPMnormal"/>
        <w:numPr>
          <w:ilvl w:val="0"/>
          <w:numId w:val="13"/>
        </w:numPr>
        <w:jc w:val="both"/>
        <w:rPr>
          <w:rFonts w:asciiTheme="minorHAnsi" w:hAnsiTheme="minorHAnsi"/>
          <w:szCs w:val="20"/>
        </w:rPr>
      </w:pPr>
      <w:r w:rsidRPr="00184613">
        <w:rPr>
          <w:rFonts w:asciiTheme="minorHAnsi" w:hAnsiTheme="minorHAnsi"/>
          <w:szCs w:val="20"/>
        </w:rPr>
        <w:t>Looking towards the future</w:t>
      </w:r>
      <w:r>
        <w:rPr>
          <w:rFonts w:asciiTheme="minorHAnsi" w:hAnsiTheme="minorHAnsi"/>
          <w:szCs w:val="20"/>
        </w:rPr>
        <w:t>,</w:t>
      </w:r>
      <w:r w:rsidRPr="00184613">
        <w:rPr>
          <w:rFonts w:asciiTheme="minorHAnsi" w:hAnsiTheme="minorHAnsi"/>
          <w:szCs w:val="20"/>
        </w:rPr>
        <w:t xml:space="preserve"> participants and panellists during various sessions identified </w:t>
      </w:r>
      <w:r>
        <w:rPr>
          <w:rFonts w:asciiTheme="minorHAnsi" w:hAnsiTheme="minorHAnsi"/>
          <w:szCs w:val="20"/>
        </w:rPr>
        <w:t xml:space="preserve">possible drivers that would help to </w:t>
      </w:r>
      <w:r w:rsidRPr="00184613">
        <w:rPr>
          <w:rFonts w:asciiTheme="minorHAnsi" w:hAnsiTheme="minorHAnsi"/>
          <w:szCs w:val="20"/>
        </w:rPr>
        <w:t xml:space="preserve"> </w:t>
      </w:r>
      <w:r w:rsidRPr="007605AD">
        <w:rPr>
          <w:rFonts w:asciiTheme="minorHAnsi" w:hAnsiTheme="minorHAnsi"/>
          <w:b/>
          <w:i/>
          <w:szCs w:val="20"/>
        </w:rPr>
        <w:t>expand the real demand for decentralisation</w:t>
      </w:r>
      <w:r w:rsidRPr="00184613">
        <w:rPr>
          <w:rFonts w:asciiTheme="minorHAnsi" w:hAnsiTheme="minorHAnsi"/>
          <w:szCs w:val="20"/>
        </w:rPr>
        <w:t xml:space="preserve"> in 2014: (</w:t>
      </w:r>
      <w:proofErr w:type="spellStart"/>
      <w:r w:rsidRPr="00184613">
        <w:rPr>
          <w:rFonts w:asciiTheme="minorHAnsi" w:hAnsiTheme="minorHAnsi"/>
          <w:szCs w:val="20"/>
        </w:rPr>
        <w:t>i</w:t>
      </w:r>
      <w:proofErr w:type="spellEnd"/>
      <w:r w:rsidRPr="00184613">
        <w:rPr>
          <w:rFonts w:asciiTheme="minorHAnsi" w:hAnsiTheme="minorHAnsi"/>
          <w:szCs w:val="20"/>
        </w:rPr>
        <w:t>) democratisation trends which create space for contestation, however the re-emergence of traditional leaders/authorities needs to be taken into account</w:t>
      </w:r>
      <w:r>
        <w:rPr>
          <w:rFonts w:asciiTheme="minorHAnsi" w:hAnsiTheme="minorHAnsi"/>
          <w:szCs w:val="20"/>
        </w:rPr>
        <w:t xml:space="preserve">, (ii) </w:t>
      </w:r>
      <w:r w:rsidRPr="00184613">
        <w:rPr>
          <w:rFonts w:asciiTheme="minorHAnsi" w:hAnsiTheme="minorHAnsi"/>
          <w:szCs w:val="20"/>
        </w:rPr>
        <w:t xml:space="preserve">Globalisation </w:t>
      </w:r>
      <w:r>
        <w:rPr>
          <w:rFonts w:asciiTheme="minorHAnsi" w:hAnsiTheme="minorHAnsi"/>
          <w:szCs w:val="20"/>
        </w:rPr>
        <w:t xml:space="preserve">which </w:t>
      </w:r>
      <w:r w:rsidRPr="00184613">
        <w:rPr>
          <w:rFonts w:asciiTheme="minorHAnsi" w:hAnsiTheme="minorHAnsi"/>
          <w:szCs w:val="20"/>
        </w:rPr>
        <w:t>has limited central governments claims of complete sove</w:t>
      </w:r>
      <w:r>
        <w:rPr>
          <w:rFonts w:asciiTheme="minorHAnsi" w:hAnsiTheme="minorHAnsi"/>
          <w:szCs w:val="20"/>
        </w:rPr>
        <w:t>reignty over their territories, (iii) the increased use of incentives to make LAs more interesting as career options</w:t>
      </w:r>
    </w:p>
    <w:p w14:paraId="7792FC22" w14:textId="77777777" w:rsidR="007605AD" w:rsidRDefault="007605AD" w:rsidP="007605AD">
      <w:pPr>
        <w:pStyle w:val="ECDPMnormal"/>
        <w:ind w:left="360"/>
        <w:jc w:val="both"/>
        <w:rPr>
          <w:rFonts w:asciiTheme="minorHAnsi" w:hAnsiTheme="minorHAnsi"/>
          <w:szCs w:val="20"/>
        </w:rPr>
      </w:pPr>
    </w:p>
    <w:p w14:paraId="52E74678" w14:textId="790B2DA5" w:rsidR="00303748" w:rsidRDefault="00303748" w:rsidP="0049497B">
      <w:pPr>
        <w:pStyle w:val="ECDPMnormal"/>
        <w:jc w:val="both"/>
        <w:rPr>
          <w:rFonts w:asciiTheme="minorHAnsi" w:hAnsiTheme="minorHAnsi"/>
          <w:szCs w:val="20"/>
        </w:rPr>
      </w:pPr>
    </w:p>
    <w:p w14:paraId="2D180B54" w14:textId="77777777" w:rsidR="00053903" w:rsidRDefault="00053903" w:rsidP="00053903">
      <w:pPr>
        <w:pStyle w:val="ECDPMnormal"/>
        <w:jc w:val="both"/>
        <w:rPr>
          <w:rFonts w:asciiTheme="minorHAnsi" w:hAnsiTheme="minorHAnsi"/>
          <w:szCs w:val="20"/>
        </w:rPr>
      </w:pPr>
    </w:p>
    <w:p w14:paraId="64A36802" w14:textId="77777777" w:rsidR="00053903" w:rsidRDefault="00053903" w:rsidP="00053903">
      <w:pPr>
        <w:pStyle w:val="ECDPMnormal"/>
        <w:jc w:val="both"/>
        <w:rPr>
          <w:rFonts w:asciiTheme="minorHAnsi" w:hAnsiTheme="minorHAnsi"/>
          <w:szCs w:val="20"/>
        </w:rPr>
      </w:pPr>
    </w:p>
    <w:p w14:paraId="3D9C37DE" w14:textId="77777777" w:rsidR="00053903" w:rsidRPr="0049497B" w:rsidRDefault="00053903" w:rsidP="0049497B">
      <w:pPr>
        <w:pStyle w:val="ECDPMnormal"/>
        <w:jc w:val="both"/>
        <w:rPr>
          <w:rFonts w:asciiTheme="minorHAnsi" w:hAnsiTheme="minorHAnsi"/>
          <w:szCs w:val="20"/>
        </w:rPr>
      </w:pPr>
    </w:p>
    <w:sectPr w:rsidR="00053903" w:rsidRPr="0049497B" w:rsidSect="00127B24">
      <w:footerReference w:type="even" r:id="rId8"/>
      <w:footerReference w:type="default" r:id="rId9"/>
      <w:pgSz w:w="11900" w:h="16840"/>
      <w:pgMar w:top="1701" w:right="1134" w:bottom="1440"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4CB13" w14:textId="77777777" w:rsidR="00803507" w:rsidRDefault="00803507">
      <w:pPr>
        <w:spacing w:line="240" w:lineRule="auto"/>
      </w:pPr>
      <w:r>
        <w:separator/>
      </w:r>
    </w:p>
  </w:endnote>
  <w:endnote w:type="continuationSeparator" w:id="0">
    <w:p w14:paraId="4D8C1A8A" w14:textId="77777777" w:rsidR="00803507" w:rsidRDefault="0080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Bold">
    <w:charset w:val="00"/>
    <w:family w:val="auto"/>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1D54E" w14:textId="77777777" w:rsidR="00803507" w:rsidRDefault="00803507" w:rsidP="00F4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5AD">
      <w:rPr>
        <w:rStyle w:val="PageNumber"/>
        <w:noProof/>
      </w:rPr>
      <w:t>2</w:t>
    </w:r>
    <w:r>
      <w:rPr>
        <w:rStyle w:val="PageNumber"/>
      </w:rPr>
      <w:fldChar w:fldCharType="end"/>
    </w:r>
  </w:p>
  <w:p w14:paraId="1460F91F" w14:textId="77777777" w:rsidR="00803507" w:rsidRDefault="00803507" w:rsidP="008E705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8CC4" w14:textId="77777777" w:rsidR="00803507" w:rsidRDefault="00803507" w:rsidP="00F4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5AD">
      <w:rPr>
        <w:rStyle w:val="PageNumber"/>
        <w:noProof/>
      </w:rPr>
      <w:t>1</w:t>
    </w:r>
    <w:r>
      <w:rPr>
        <w:rStyle w:val="PageNumber"/>
      </w:rPr>
      <w:fldChar w:fldCharType="end"/>
    </w:r>
  </w:p>
  <w:p w14:paraId="302E663A" w14:textId="77777777" w:rsidR="00803507" w:rsidRDefault="00803507" w:rsidP="008E705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5932" w14:textId="77777777" w:rsidR="00803507" w:rsidRDefault="00803507">
      <w:pPr>
        <w:spacing w:line="240" w:lineRule="auto"/>
      </w:pPr>
      <w:r>
        <w:separator/>
      </w:r>
    </w:p>
  </w:footnote>
  <w:footnote w:type="continuationSeparator" w:id="0">
    <w:p w14:paraId="24875B12" w14:textId="77777777" w:rsidR="00803507" w:rsidRDefault="00803507">
      <w:pPr>
        <w:spacing w:line="240" w:lineRule="auto"/>
      </w:pPr>
      <w:r>
        <w:continuationSeparator/>
      </w:r>
    </w:p>
  </w:footnote>
  <w:footnote w:id="1">
    <w:p w14:paraId="6A27E4AD" w14:textId="6F069420" w:rsidR="00803507" w:rsidRPr="004712DF" w:rsidRDefault="00803507" w:rsidP="004712DF">
      <w:pPr>
        <w:pStyle w:val="FootnoteText"/>
      </w:pPr>
      <w:r w:rsidRPr="004712DF">
        <w:rPr>
          <w:rStyle w:val="FootnoteReference"/>
        </w:rPr>
        <w:footnoteRef/>
      </w:r>
      <w:r w:rsidRPr="004712DF">
        <w:t xml:space="preserve">  The seminar was attended by EU Delegations </w:t>
      </w:r>
      <w:r>
        <w:t xml:space="preserve">from Eastern and Southern Africa, West Africa as well as from Palestine, India and Palestine.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147"/>
    <w:multiLevelType w:val="hybridMultilevel"/>
    <w:tmpl w:val="C050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96701"/>
    <w:multiLevelType w:val="hybridMultilevel"/>
    <w:tmpl w:val="D4AA2F00"/>
    <w:lvl w:ilvl="0" w:tplc="18221DE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1C364D"/>
    <w:multiLevelType w:val="hybridMultilevel"/>
    <w:tmpl w:val="380EE81A"/>
    <w:lvl w:ilvl="0" w:tplc="56A8CB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62F18"/>
    <w:multiLevelType w:val="hybridMultilevel"/>
    <w:tmpl w:val="EE64FC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24E358D6"/>
    <w:multiLevelType w:val="hybridMultilevel"/>
    <w:tmpl w:val="A2BA5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9F5BFE"/>
    <w:multiLevelType w:val="multilevel"/>
    <w:tmpl w:val="D81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80BCD"/>
    <w:multiLevelType w:val="hybridMultilevel"/>
    <w:tmpl w:val="E444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1752A"/>
    <w:multiLevelType w:val="hybridMultilevel"/>
    <w:tmpl w:val="4656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421029"/>
    <w:multiLevelType w:val="hybridMultilevel"/>
    <w:tmpl w:val="459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92B25"/>
    <w:multiLevelType w:val="multilevel"/>
    <w:tmpl w:val="CF06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044CC"/>
    <w:multiLevelType w:val="multilevel"/>
    <w:tmpl w:val="020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13BCE"/>
    <w:multiLevelType w:val="multilevel"/>
    <w:tmpl w:val="377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56DC0"/>
    <w:multiLevelType w:val="hybridMultilevel"/>
    <w:tmpl w:val="D1B0C7E8"/>
    <w:lvl w:ilvl="0" w:tplc="5CBE5EE4">
      <w:start w:val="1"/>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6"/>
  </w:num>
  <w:num w:numId="2">
    <w:abstractNumId w:val="13"/>
  </w:num>
  <w:num w:numId="3">
    <w:abstractNumId w:val="17"/>
  </w:num>
  <w:num w:numId="4">
    <w:abstractNumId w:val="2"/>
  </w:num>
  <w:num w:numId="5">
    <w:abstractNumId w:val="8"/>
  </w:num>
  <w:num w:numId="6">
    <w:abstractNumId w:val="16"/>
  </w:num>
  <w:num w:numId="7">
    <w:abstractNumId w:val="16"/>
  </w:num>
  <w:num w:numId="8">
    <w:abstractNumId w:val="16"/>
  </w:num>
  <w:num w:numId="9">
    <w:abstractNumId w:val="13"/>
  </w:num>
  <w:num w:numId="10">
    <w:abstractNumId w:val="17"/>
  </w:num>
  <w:num w:numId="11">
    <w:abstractNumId w:val="2"/>
  </w:num>
  <w:num w:numId="12">
    <w:abstractNumId w:val="8"/>
  </w:num>
  <w:num w:numId="13">
    <w:abstractNumId w:val="5"/>
  </w:num>
  <w:num w:numId="14">
    <w:abstractNumId w:val="9"/>
  </w:num>
  <w:num w:numId="15">
    <w:abstractNumId w:val="15"/>
  </w:num>
  <w:num w:numId="16">
    <w:abstractNumId w:val="3"/>
  </w:num>
  <w:num w:numId="17">
    <w:abstractNumId w:val="1"/>
  </w:num>
  <w:num w:numId="18">
    <w:abstractNumId w:val="7"/>
  </w:num>
  <w:num w:numId="19">
    <w:abstractNumId w:val="10"/>
  </w:num>
  <w:num w:numId="20">
    <w:abstractNumId w:val="6"/>
  </w:num>
  <w:num w:numId="21">
    <w:abstractNumId w:val="12"/>
  </w:num>
  <w:num w:numId="22">
    <w:abstractNumId w:val="11"/>
  </w:num>
  <w:num w:numId="23">
    <w:abstractNumId w:val="1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7B24"/>
    <w:rsid w:val="000059AD"/>
    <w:rsid w:val="00007B0D"/>
    <w:rsid w:val="0001179F"/>
    <w:rsid w:val="00032069"/>
    <w:rsid w:val="00053903"/>
    <w:rsid w:val="00072191"/>
    <w:rsid w:val="000723F5"/>
    <w:rsid w:val="000826D8"/>
    <w:rsid w:val="00095155"/>
    <w:rsid w:val="000A6980"/>
    <w:rsid w:val="000B4995"/>
    <w:rsid w:val="000C18E7"/>
    <w:rsid w:val="000E48A9"/>
    <w:rsid w:val="00103BC0"/>
    <w:rsid w:val="00124283"/>
    <w:rsid w:val="00127B24"/>
    <w:rsid w:val="0014500E"/>
    <w:rsid w:val="00151859"/>
    <w:rsid w:val="00152577"/>
    <w:rsid w:val="00153518"/>
    <w:rsid w:val="001719AA"/>
    <w:rsid w:val="001824B5"/>
    <w:rsid w:val="00184613"/>
    <w:rsid w:val="001A17B8"/>
    <w:rsid w:val="001C48F1"/>
    <w:rsid w:val="001C5B27"/>
    <w:rsid w:val="001D3B34"/>
    <w:rsid w:val="001D6AE9"/>
    <w:rsid w:val="00205850"/>
    <w:rsid w:val="00220EF2"/>
    <w:rsid w:val="00253369"/>
    <w:rsid w:val="00253475"/>
    <w:rsid w:val="00266BFC"/>
    <w:rsid w:val="002739C5"/>
    <w:rsid w:val="00274B91"/>
    <w:rsid w:val="00294900"/>
    <w:rsid w:val="002B59A7"/>
    <w:rsid w:val="002D1ED2"/>
    <w:rsid w:val="002D29EE"/>
    <w:rsid w:val="002E229B"/>
    <w:rsid w:val="002E5F6C"/>
    <w:rsid w:val="002F205A"/>
    <w:rsid w:val="002F4683"/>
    <w:rsid w:val="002F6551"/>
    <w:rsid w:val="00303748"/>
    <w:rsid w:val="00304AB4"/>
    <w:rsid w:val="00313FE4"/>
    <w:rsid w:val="00327E27"/>
    <w:rsid w:val="00347E86"/>
    <w:rsid w:val="003625B1"/>
    <w:rsid w:val="00366211"/>
    <w:rsid w:val="00376F4C"/>
    <w:rsid w:val="00386AFA"/>
    <w:rsid w:val="003A503A"/>
    <w:rsid w:val="003B2BB8"/>
    <w:rsid w:val="003B3677"/>
    <w:rsid w:val="003B39A0"/>
    <w:rsid w:val="003C29D1"/>
    <w:rsid w:val="003C650A"/>
    <w:rsid w:val="003D046A"/>
    <w:rsid w:val="003D2229"/>
    <w:rsid w:val="003F0A31"/>
    <w:rsid w:val="003F2DBC"/>
    <w:rsid w:val="00405E68"/>
    <w:rsid w:val="00412CD4"/>
    <w:rsid w:val="00416F6F"/>
    <w:rsid w:val="0041748C"/>
    <w:rsid w:val="00426C09"/>
    <w:rsid w:val="0045040D"/>
    <w:rsid w:val="004577BC"/>
    <w:rsid w:val="00466B3C"/>
    <w:rsid w:val="004712DF"/>
    <w:rsid w:val="00480CD9"/>
    <w:rsid w:val="0049497B"/>
    <w:rsid w:val="00494E92"/>
    <w:rsid w:val="004B6B84"/>
    <w:rsid w:val="004B7308"/>
    <w:rsid w:val="004C6E2D"/>
    <w:rsid w:val="004D3107"/>
    <w:rsid w:val="004E07AC"/>
    <w:rsid w:val="004E4283"/>
    <w:rsid w:val="004E596E"/>
    <w:rsid w:val="004F130A"/>
    <w:rsid w:val="00501271"/>
    <w:rsid w:val="00547892"/>
    <w:rsid w:val="00551E3C"/>
    <w:rsid w:val="00560C42"/>
    <w:rsid w:val="00560E86"/>
    <w:rsid w:val="00561667"/>
    <w:rsid w:val="005719DE"/>
    <w:rsid w:val="005745E8"/>
    <w:rsid w:val="00577A40"/>
    <w:rsid w:val="00581783"/>
    <w:rsid w:val="005905D3"/>
    <w:rsid w:val="00591AF0"/>
    <w:rsid w:val="00597F86"/>
    <w:rsid w:val="00597FF5"/>
    <w:rsid w:val="005A249D"/>
    <w:rsid w:val="005A6D0A"/>
    <w:rsid w:val="005B1CE0"/>
    <w:rsid w:val="005C00C8"/>
    <w:rsid w:val="005D09E6"/>
    <w:rsid w:val="005D5BBB"/>
    <w:rsid w:val="005D755A"/>
    <w:rsid w:val="005E5888"/>
    <w:rsid w:val="005F084F"/>
    <w:rsid w:val="005F2F69"/>
    <w:rsid w:val="00634FFF"/>
    <w:rsid w:val="00640C93"/>
    <w:rsid w:val="00653266"/>
    <w:rsid w:val="0066113E"/>
    <w:rsid w:val="00677C1F"/>
    <w:rsid w:val="00682277"/>
    <w:rsid w:val="00682C2C"/>
    <w:rsid w:val="006871D5"/>
    <w:rsid w:val="006948B6"/>
    <w:rsid w:val="006B42D7"/>
    <w:rsid w:val="006B5304"/>
    <w:rsid w:val="006C2C34"/>
    <w:rsid w:val="006C4A15"/>
    <w:rsid w:val="006D70FB"/>
    <w:rsid w:val="006E218E"/>
    <w:rsid w:val="006F60E2"/>
    <w:rsid w:val="006F77B2"/>
    <w:rsid w:val="00702DDC"/>
    <w:rsid w:val="007101EA"/>
    <w:rsid w:val="00716735"/>
    <w:rsid w:val="0073497F"/>
    <w:rsid w:val="00752BBC"/>
    <w:rsid w:val="007605AD"/>
    <w:rsid w:val="00776B8A"/>
    <w:rsid w:val="007879B6"/>
    <w:rsid w:val="007B0A53"/>
    <w:rsid w:val="007C0480"/>
    <w:rsid w:val="007C6F59"/>
    <w:rsid w:val="007F1C97"/>
    <w:rsid w:val="007F5231"/>
    <w:rsid w:val="00803507"/>
    <w:rsid w:val="00806549"/>
    <w:rsid w:val="00814BD6"/>
    <w:rsid w:val="00833C7B"/>
    <w:rsid w:val="00836853"/>
    <w:rsid w:val="00837B32"/>
    <w:rsid w:val="00840ABF"/>
    <w:rsid w:val="00841AF1"/>
    <w:rsid w:val="00842965"/>
    <w:rsid w:val="008432CB"/>
    <w:rsid w:val="00854795"/>
    <w:rsid w:val="00854D78"/>
    <w:rsid w:val="00862DB1"/>
    <w:rsid w:val="00867BE4"/>
    <w:rsid w:val="0088529A"/>
    <w:rsid w:val="008A3B9E"/>
    <w:rsid w:val="008A6361"/>
    <w:rsid w:val="008A6739"/>
    <w:rsid w:val="008A6CCC"/>
    <w:rsid w:val="008B2FAC"/>
    <w:rsid w:val="008C2C9E"/>
    <w:rsid w:val="008C65E0"/>
    <w:rsid w:val="008E7058"/>
    <w:rsid w:val="009072A8"/>
    <w:rsid w:val="00926A5B"/>
    <w:rsid w:val="00927732"/>
    <w:rsid w:val="00941C79"/>
    <w:rsid w:val="009433C0"/>
    <w:rsid w:val="009663B6"/>
    <w:rsid w:val="00971FBD"/>
    <w:rsid w:val="00975768"/>
    <w:rsid w:val="009817AF"/>
    <w:rsid w:val="00985088"/>
    <w:rsid w:val="009A3E63"/>
    <w:rsid w:val="009B3056"/>
    <w:rsid w:val="009B60E4"/>
    <w:rsid w:val="009C0BA0"/>
    <w:rsid w:val="009D3D67"/>
    <w:rsid w:val="009E085E"/>
    <w:rsid w:val="009E67CD"/>
    <w:rsid w:val="009F23EF"/>
    <w:rsid w:val="00A05675"/>
    <w:rsid w:val="00A13EEB"/>
    <w:rsid w:val="00A150C7"/>
    <w:rsid w:val="00A27A48"/>
    <w:rsid w:val="00A46230"/>
    <w:rsid w:val="00A47F95"/>
    <w:rsid w:val="00A56EB5"/>
    <w:rsid w:val="00A6154D"/>
    <w:rsid w:val="00A63920"/>
    <w:rsid w:val="00A649E1"/>
    <w:rsid w:val="00A74395"/>
    <w:rsid w:val="00A82453"/>
    <w:rsid w:val="00A84A58"/>
    <w:rsid w:val="00A94F61"/>
    <w:rsid w:val="00AA2EF7"/>
    <w:rsid w:val="00AB5C77"/>
    <w:rsid w:val="00AC0058"/>
    <w:rsid w:val="00AC4260"/>
    <w:rsid w:val="00B00DF0"/>
    <w:rsid w:val="00B01897"/>
    <w:rsid w:val="00B042E1"/>
    <w:rsid w:val="00B153E1"/>
    <w:rsid w:val="00B30A1D"/>
    <w:rsid w:val="00B44D2F"/>
    <w:rsid w:val="00B460CC"/>
    <w:rsid w:val="00B52466"/>
    <w:rsid w:val="00B67D59"/>
    <w:rsid w:val="00BA25C6"/>
    <w:rsid w:val="00BB0D31"/>
    <w:rsid w:val="00BC005B"/>
    <w:rsid w:val="00BC23DE"/>
    <w:rsid w:val="00BC64D9"/>
    <w:rsid w:val="00C04FC3"/>
    <w:rsid w:val="00C11A1A"/>
    <w:rsid w:val="00C14A9D"/>
    <w:rsid w:val="00C24436"/>
    <w:rsid w:val="00C27A99"/>
    <w:rsid w:val="00C36105"/>
    <w:rsid w:val="00C55802"/>
    <w:rsid w:val="00C61F25"/>
    <w:rsid w:val="00C72C98"/>
    <w:rsid w:val="00C8626E"/>
    <w:rsid w:val="00C8753F"/>
    <w:rsid w:val="00C9089A"/>
    <w:rsid w:val="00CA173B"/>
    <w:rsid w:val="00CB2CCC"/>
    <w:rsid w:val="00CC67E1"/>
    <w:rsid w:val="00CE11B3"/>
    <w:rsid w:val="00CE589C"/>
    <w:rsid w:val="00D03BDD"/>
    <w:rsid w:val="00D15B86"/>
    <w:rsid w:val="00D21234"/>
    <w:rsid w:val="00D25C1F"/>
    <w:rsid w:val="00D35793"/>
    <w:rsid w:val="00D419DF"/>
    <w:rsid w:val="00D52C1E"/>
    <w:rsid w:val="00D5650F"/>
    <w:rsid w:val="00D6228A"/>
    <w:rsid w:val="00D62753"/>
    <w:rsid w:val="00D70379"/>
    <w:rsid w:val="00D73977"/>
    <w:rsid w:val="00D74BB4"/>
    <w:rsid w:val="00D83682"/>
    <w:rsid w:val="00D90F13"/>
    <w:rsid w:val="00DB6178"/>
    <w:rsid w:val="00DC170B"/>
    <w:rsid w:val="00DC6B8D"/>
    <w:rsid w:val="00DC6D55"/>
    <w:rsid w:val="00DD329A"/>
    <w:rsid w:val="00DE0BFA"/>
    <w:rsid w:val="00E0339D"/>
    <w:rsid w:val="00E03C3C"/>
    <w:rsid w:val="00E14F3D"/>
    <w:rsid w:val="00E1691F"/>
    <w:rsid w:val="00E16B0D"/>
    <w:rsid w:val="00E17289"/>
    <w:rsid w:val="00E304F2"/>
    <w:rsid w:val="00E31778"/>
    <w:rsid w:val="00E40A1B"/>
    <w:rsid w:val="00E42400"/>
    <w:rsid w:val="00E45B03"/>
    <w:rsid w:val="00E50CC1"/>
    <w:rsid w:val="00E60162"/>
    <w:rsid w:val="00E62FE3"/>
    <w:rsid w:val="00E77E0A"/>
    <w:rsid w:val="00E825A3"/>
    <w:rsid w:val="00E94879"/>
    <w:rsid w:val="00EE187C"/>
    <w:rsid w:val="00F17153"/>
    <w:rsid w:val="00F241E6"/>
    <w:rsid w:val="00F372E4"/>
    <w:rsid w:val="00F42A1E"/>
    <w:rsid w:val="00F444D6"/>
    <w:rsid w:val="00F8380E"/>
    <w:rsid w:val="00FB4126"/>
    <w:rsid w:val="00FC6989"/>
    <w:rsid w:val="00FC79EB"/>
    <w:rsid w:val="00FD0C12"/>
    <w:rsid w:val="00FD7046"/>
    <w:rsid w:val="00FE3EFD"/>
    <w:rsid w:val="00FE5579"/>
    <w:rsid w:val="00FF1D19"/>
    <w:rsid w:val="00FF2FB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96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4712DF"/>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4712DF"/>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paragraph" w:styleId="BalloonText">
    <w:name w:val="Balloon Text"/>
    <w:basedOn w:val="Normal"/>
    <w:link w:val="BalloonTextChar"/>
    <w:rsid w:val="00560C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60C42"/>
    <w:rPr>
      <w:rFonts w:ascii="Lucida Grande" w:hAnsi="Lucida Grande" w:cs="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4712DF"/>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4712DF"/>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paragraph" w:styleId="BalloonText">
    <w:name w:val="Balloon Text"/>
    <w:basedOn w:val="Normal"/>
    <w:link w:val="BalloonTextChar"/>
    <w:rsid w:val="00560C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60C42"/>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68795">
      <w:bodyDiv w:val="1"/>
      <w:marLeft w:val="0"/>
      <w:marRight w:val="0"/>
      <w:marTop w:val="0"/>
      <w:marBottom w:val="0"/>
      <w:divBdr>
        <w:top w:val="none" w:sz="0" w:space="0" w:color="auto"/>
        <w:left w:val="none" w:sz="0" w:space="0" w:color="auto"/>
        <w:bottom w:val="none" w:sz="0" w:space="0" w:color="auto"/>
        <w:right w:val="none" w:sz="0" w:space="0" w:color="auto"/>
      </w:divBdr>
      <w:divsChild>
        <w:div w:id="1711953300">
          <w:marLeft w:val="0"/>
          <w:marRight w:val="0"/>
          <w:marTop w:val="0"/>
          <w:marBottom w:val="0"/>
          <w:divBdr>
            <w:top w:val="none" w:sz="0" w:space="0" w:color="auto"/>
            <w:left w:val="none" w:sz="0" w:space="0" w:color="auto"/>
            <w:bottom w:val="none" w:sz="0" w:space="0" w:color="auto"/>
            <w:right w:val="none" w:sz="0" w:space="0" w:color="auto"/>
          </w:divBdr>
        </w:div>
        <w:div w:id="1016688053">
          <w:marLeft w:val="0"/>
          <w:marRight w:val="0"/>
          <w:marTop w:val="0"/>
          <w:marBottom w:val="0"/>
          <w:divBdr>
            <w:top w:val="none" w:sz="0" w:space="0" w:color="auto"/>
            <w:left w:val="none" w:sz="0" w:space="0" w:color="auto"/>
            <w:bottom w:val="none" w:sz="0" w:space="0" w:color="auto"/>
            <w:right w:val="none" w:sz="0" w:space="0" w:color="auto"/>
          </w:divBdr>
        </w:div>
        <w:div w:id="1582449523">
          <w:marLeft w:val="0"/>
          <w:marRight w:val="0"/>
          <w:marTop w:val="0"/>
          <w:marBottom w:val="0"/>
          <w:divBdr>
            <w:top w:val="none" w:sz="0" w:space="0" w:color="auto"/>
            <w:left w:val="none" w:sz="0" w:space="0" w:color="auto"/>
            <w:bottom w:val="none" w:sz="0" w:space="0" w:color="auto"/>
            <w:right w:val="none" w:sz="0" w:space="0" w:color="auto"/>
          </w:divBdr>
        </w:div>
        <w:div w:id="1166944615">
          <w:marLeft w:val="0"/>
          <w:marRight w:val="0"/>
          <w:marTop w:val="0"/>
          <w:marBottom w:val="0"/>
          <w:divBdr>
            <w:top w:val="none" w:sz="0" w:space="0" w:color="auto"/>
            <w:left w:val="none" w:sz="0" w:space="0" w:color="auto"/>
            <w:bottom w:val="none" w:sz="0" w:space="0" w:color="auto"/>
            <w:right w:val="none" w:sz="0" w:space="0" w:color="auto"/>
          </w:divBdr>
        </w:div>
        <w:div w:id="1601526444">
          <w:marLeft w:val="0"/>
          <w:marRight w:val="0"/>
          <w:marTop w:val="120"/>
          <w:marBottom w:val="120"/>
          <w:divBdr>
            <w:top w:val="none" w:sz="0" w:space="0" w:color="auto"/>
            <w:left w:val="none" w:sz="0" w:space="0" w:color="auto"/>
            <w:bottom w:val="none" w:sz="0" w:space="0" w:color="auto"/>
            <w:right w:val="none" w:sz="0" w:space="0" w:color="auto"/>
          </w:divBdr>
        </w:div>
        <w:div w:id="245891992">
          <w:marLeft w:val="0"/>
          <w:marRight w:val="0"/>
          <w:marTop w:val="120"/>
          <w:marBottom w:val="120"/>
          <w:divBdr>
            <w:top w:val="none" w:sz="0" w:space="0" w:color="auto"/>
            <w:left w:val="none" w:sz="0" w:space="0" w:color="auto"/>
            <w:bottom w:val="none" w:sz="0" w:space="0" w:color="auto"/>
            <w:right w:val="none" w:sz="0" w:space="0" w:color="auto"/>
          </w:divBdr>
        </w:div>
        <w:div w:id="1515418314">
          <w:marLeft w:val="0"/>
          <w:marRight w:val="0"/>
          <w:marTop w:val="120"/>
          <w:marBottom w:val="120"/>
          <w:divBdr>
            <w:top w:val="none" w:sz="0" w:space="0" w:color="auto"/>
            <w:left w:val="none" w:sz="0" w:space="0" w:color="auto"/>
            <w:bottom w:val="none" w:sz="0" w:space="0" w:color="auto"/>
            <w:right w:val="none" w:sz="0" w:space="0" w:color="auto"/>
          </w:divBdr>
        </w:div>
        <w:div w:id="1755123102">
          <w:marLeft w:val="0"/>
          <w:marRight w:val="0"/>
          <w:marTop w:val="0"/>
          <w:marBottom w:val="0"/>
          <w:divBdr>
            <w:top w:val="none" w:sz="0" w:space="0" w:color="auto"/>
            <w:left w:val="none" w:sz="0" w:space="0" w:color="auto"/>
            <w:bottom w:val="none" w:sz="0" w:space="0" w:color="auto"/>
            <w:right w:val="none" w:sz="0" w:space="0" w:color="auto"/>
          </w:divBdr>
        </w:div>
        <w:div w:id="8068360">
          <w:marLeft w:val="0"/>
          <w:marRight w:val="0"/>
          <w:marTop w:val="0"/>
          <w:marBottom w:val="0"/>
          <w:divBdr>
            <w:top w:val="none" w:sz="0" w:space="0" w:color="auto"/>
            <w:left w:val="none" w:sz="0" w:space="0" w:color="auto"/>
            <w:bottom w:val="none" w:sz="0" w:space="0" w:color="auto"/>
            <w:right w:val="none" w:sz="0" w:space="0" w:color="auto"/>
          </w:divBdr>
        </w:div>
        <w:div w:id="599142756">
          <w:marLeft w:val="0"/>
          <w:marRight w:val="0"/>
          <w:marTop w:val="0"/>
          <w:marBottom w:val="0"/>
          <w:divBdr>
            <w:top w:val="none" w:sz="0" w:space="0" w:color="auto"/>
            <w:left w:val="none" w:sz="0" w:space="0" w:color="auto"/>
            <w:bottom w:val="none" w:sz="0" w:space="0" w:color="auto"/>
            <w:right w:val="none" w:sz="0" w:space="0" w:color="auto"/>
          </w:divBdr>
        </w:div>
        <w:div w:id="1863202638">
          <w:marLeft w:val="0"/>
          <w:marRight w:val="0"/>
          <w:marTop w:val="120"/>
          <w:marBottom w:val="120"/>
          <w:divBdr>
            <w:top w:val="none" w:sz="0" w:space="0" w:color="auto"/>
            <w:left w:val="none" w:sz="0" w:space="0" w:color="auto"/>
            <w:bottom w:val="none" w:sz="0" w:space="0" w:color="auto"/>
            <w:right w:val="none" w:sz="0" w:space="0" w:color="auto"/>
          </w:divBdr>
        </w:div>
        <w:div w:id="687364999">
          <w:marLeft w:val="0"/>
          <w:marRight w:val="0"/>
          <w:marTop w:val="120"/>
          <w:marBottom w:val="120"/>
          <w:divBdr>
            <w:top w:val="none" w:sz="0" w:space="0" w:color="auto"/>
            <w:left w:val="none" w:sz="0" w:space="0" w:color="auto"/>
            <w:bottom w:val="none" w:sz="0" w:space="0" w:color="auto"/>
            <w:right w:val="none" w:sz="0" w:space="0" w:color="auto"/>
          </w:divBdr>
        </w:div>
        <w:div w:id="1569999326">
          <w:marLeft w:val="0"/>
          <w:marRight w:val="0"/>
          <w:marTop w:val="120"/>
          <w:marBottom w:val="120"/>
          <w:divBdr>
            <w:top w:val="none" w:sz="0" w:space="0" w:color="auto"/>
            <w:left w:val="none" w:sz="0" w:space="0" w:color="auto"/>
            <w:bottom w:val="none" w:sz="0" w:space="0" w:color="auto"/>
            <w:right w:val="none" w:sz="0" w:space="0" w:color="auto"/>
          </w:divBdr>
        </w:div>
        <w:div w:id="1226406204">
          <w:marLeft w:val="0"/>
          <w:marRight w:val="0"/>
          <w:marTop w:val="0"/>
          <w:marBottom w:val="0"/>
          <w:divBdr>
            <w:top w:val="none" w:sz="0" w:space="0" w:color="auto"/>
            <w:left w:val="none" w:sz="0" w:space="0" w:color="auto"/>
            <w:bottom w:val="none" w:sz="0" w:space="0" w:color="auto"/>
            <w:right w:val="none" w:sz="0" w:space="0" w:color="auto"/>
          </w:divBdr>
        </w:div>
        <w:div w:id="461771456">
          <w:marLeft w:val="0"/>
          <w:marRight w:val="0"/>
          <w:marTop w:val="0"/>
          <w:marBottom w:val="0"/>
          <w:divBdr>
            <w:top w:val="none" w:sz="0" w:space="0" w:color="auto"/>
            <w:left w:val="none" w:sz="0" w:space="0" w:color="auto"/>
            <w:bottom w:val="none" w:sz="0" w:space="0" w:color="auto"/>
            <w:right w:val="none" w:sz="0" w:space="0" w:color="auto"/>
          </w:divBdr>
        </w:div>
        <w:div w:id="1632712564">
          <w:marLeft w:val="0"/>
          <w:marRight w:val="0"/>
          <w:marTop w:val="0"/>
          <w:marBottom w:val="0"/>
          <w:divBdr>
            <w:top w:val="none" w:sz="0" w:space="0" w:color="auto"/>
            <w:left w:val="none" w:sz="0" w:space="0" w:color="auto"/>
            <w:bottom w:val="none" w:sz="0" w:space="0" w:color="auto"/>
            <w:right w:val="none" w:sz="0" w:space="0" w:color="auto"/>
          </w:divBdr>
        </w:div>
        <w:div w:id="1698582883">
          <w:marLeft w:val="0"/>
          <w:marRight w:val="0"/>
          <w:marTop w:val="0"/>
          <w:marBottom w:val="0"/>
          <w:divBdr>
            <w:top w:val="none" w:sz="0" w:space="0" w:color="auto"/>
            <w:left w:val="none" w:sz="0" w:space="0" w:color="auto"/>
            <w:bottom w:val="none" w:sz="0" w:space="0" w:color="auto"/>
            <w:right w:val="none" w:sz="0" w:space="0" w:color="auto"/>
          </w:divBdr>
        </w:div>
        <w:div w:id="1831554995">
          <w:marLeft w:val="0"/>
          <w:marRight w:val="0"/>
          <w:marTop w:val="0"/>
          <w:marBottom w:val="0"/>
          <w:divBdr>
            <w:top w:val="none" w:sz="0" w:space="0" w:color="auto"/>
            <w:left w:val="none" w:sz="0" w:space="0" w:color="auto"/>
            <w:bottom w:val="none" w:sz="0" w:space="0" w:color="auto"/>
            <w:right w:val="none" w:sz="0" w:space="0" w:color="auto"/>
          </w:divBdr>
        </w:div>
        <w:div w:id="529925746">
          <w:marLeft w:val="0"/>
          <w:marRight w:val="0"/>
          <w:marTop w:val="0"/>
          <w:marBottom w:val="0"/>
          <w:divBdr>
            <w:top w:val="none" w:sz="0" w:space="0" w:color="auto"/>
            <w:left w:val="none" w:sz="0" w:space="0" w:color="auto"/>
            <w:bottom w:val="none" w:sz="0" w:space="0" w:color="auto"/>
            <w:right w:val="none" w:sz="0" w:space="0" w:color="auto"/>
          </w:divBdr>
        </w:div>
        <w:div w:id="1506243419">
          <w:marLeft w:val="0"/>
          <w:marRight w:val="0"/>
          <w:marTop w:val="0"/>
          <w:marBottom w:val="0"/>
          <w:divBdr>
            <w:top w:val="none" w:sz="0" w:space="0" w:color="auto"/>
            <w:left w:val="none" w:sz="0" w:space="0" w:color="auto"/>
            <w:bottom w:val="none" w:sz="0" w:space="0" w:color="auto"/>
            <w:right w:val="none" w:sz="0" w:space="0" w:color="auto"/>
          </w:divBdr>
        </w:div>
      </w:divsChild>
    </w:div>
    <w:div w:id="1770008568">
      <w:bodyDiv w:val="1"/>
      <w:marLeft w:val="0"/>
      <w:marRight w:val="0"/>
      <w:marTop w:val="0"/>
      <w:marBottom w:val="0"/>
      <w:divBdr>
        <w:top w:val="none" w:sz="0" w:space="0" w:color="auto"/>
        <w:left w:val="none" w:sz="0" w:space="0" w:color="auto"/>
        <w:bottom w:val="none" w:sz="0" w:space="0" w:color="auto"/>
        <w:right w:val="none" w:sz="0" w:space="0" w:color="auto"/>
      </w:divBdr>
      <w:divsChild>
        <w:div w:id="1737705419">
          <w:marLeft w:val="0"/>
          <w:marRight w:val="0"/>
          <w:marTop w:val="0"/>
          <w:marBottom w:val="0"/>
          <w:divBdr>
            <w:top w:val="none" w:sz="0" w:space="0" w:color="auto"/>
            <w:left w:val="none" w:sz="0" w:space="0" w:color="auto"/>
            <w:bottom w:val="none" w:sz="0" w:space="0" w:color="auto"/>
            <w:right w:val="none" w:sz="0" w:space="0" w:color="auto"/>
          </w:divBdr>
        </w:div>
        <w:div w:id="1097360701">
          <w:marLeft w:val="0"/>
          <w:marRight w:val="0"/>
          <w:marTop w:val="0"/>
          <w:marBottom w:val="0"/>
          <w:divBdr>
            <w:top w:val="none" w:sz="0" w:space="0" w:color="auto"/>
            <w:left w:val="none" w:sz="0" w:space="0" w:color="auto"/>
            <w:bottom w:val="none" w:sz="0" w:space="0" w:color="auto"/>
            <w:right w:val="none" w:sz="0" w:space="0" w:color="auto"/>
          </w:divBdr>
        </w:div>
        <w:div w:id="31883025">
          <w:marLeft w:val="0"/>
          <w:marRight w:val="0"/>
          <w:marTop w:val="0"/>
          <w:marBottom w:val="0"/>
          <w:divBdr>
            <w:top w:val="none" w:sz="0" w:space="0" w:color="auto"/>
            <w:left w:val="none" w:sz="0" w:space="0" w:color="auto"/>
            <w:bottom w:val="none" w:sz="0" w:space="0" w:color="auto"/>
            <w:right w:val="none" w:sz="0" w:space="0" w:color="auto"/>
          </w:divBdr>
        </w:div>
        <w:div w:id="1324772673">
          <w:marLeft w:val="0"/>
          <w:marRight w:val="0"/>
          <w:marTop w:val="0"/>
          <w:marBottom w:val="0"/>
          <w:divBdr>
            <w:top w:val="none" w:sz="0" w:space="0" w:color="auto"/>
            <w:left w:val="none" w:sz="0" w:space="0" w:color="auto"/>
            <w:bottom w:val="none" w:sz="0" w:space="0" w:color="auto"/>
            <w:right w:val="none" w:sz="0" w:space="0" w:color="auto"/>
          </w:divBdr>
        </w:div>
        <w:div w:id="260456442">
          <w:marLeft w:val="0"/>
          <w:marRight w:val="0"/>
          <w:marTop w:val="120"/>
          <w:marBottom w:val="120"/>
          <w:divBdr>
            <w:top w:val="none" w:sz="0" w:space="0" w:color="auto"/>
            <w:left w:val="none" w:sz="0" w:space="0" w:color="auto"/>
            <w:bottom w:val="none" w:sz="0" w:space="0" w:color="auto"/>
            <w:right w:val="none" w:sz="0" w:space="0" w:color="auto"/>
          </w:divBdr>
        </w:div>
        <w:div w:id="1905676766">
          <w:marLeft w:val="0"/>
          <w:marRight w:val="0"/>
          <w:marTop w:val="120"/>
          <w:marBottom w:val="120"/>
          <w:divBdr>
            <w:top w:val="none" w:sz="0" w:space="0" w:color="auto"/>
            <w:left w:val="none" w:sz="0" w:space="0" w:color="auto"/>
            <w:bottom w:val="none" w:sz="0" w:space="0" w:color="auto"/>
            <w:right w:val="none" w:sz="0" w:space="0" w:color="auto"/>
          </w:divBdr>
        </w:div>
        <w:div w:id="1074864306">
          <w:marLeft w:val="0"/>
          <w:marRight w:val="0"/>
          <w:marTop w:val="120"/>
          <w:marBottom w:val="120"/>
          <w:divBdr>
            <w:top w:val="none" w:sz="0" w:space="0" w:color="auto"/>
            <w:left w:val="none" w:sz="0" w:space="0" w:color="auto"/>
            <w:bottom w:val="none" w:sz="0" w:space="0" w:color="auto"/>
            <w:right w:val="none" w:sz="0" w:space="0" w:color="auto"/>
          </w:divBdr>
        </w:div>
        <w:div w:id="1834028263">
          <w:marLeft w:val="0"/>
          <w:marRight w:val="0"/>
          <w:marTop w:val="0"/>
          <w:marBottom w:val="0"/>
          <w:divBdr>
            <w:top w:val="none" w:sz="0" w:space="0" w:color="auto"/>
            <w:left w:val="none" w:sz="0" w:space="0" w:color="auto"/>
            <w:bottom w:val="none" w:sz="0" w:space="0" w:color="auto"/>
            <w:right w:val="none" w:sz="0" w:space="0" w:color="auto"/>
          </w:divBdr>
        </w:div>
        <w:div w:id="1940599805">
          <w:marLeft w:val="0"/>
          <w:marRight w:val="0"/>
          <w:marTop w:val="0"/>
          <w:marBottom w:val="0"/>
          <w:divBdr>
            <w:top w:val="none" w:sz="0" w:space="0" w:color="auto"/>
            <w:left w:val="none" w:sz="0" w:space="0" w:color="auto"/>
            <w:bottom w:val="none" w:sz="0" w:space="0" w:color="auto"/>
            <w:right w:val="none" w:sz="0" w:space="0" w:color="auto"/>
          </w:divBdr>
        </w:div>
        <w:div w:id="510418838">
          <w:marLeft w:val="0"/>
          <w:marRight w:val="0"/>
          <w:marTop w:val="0"/>
          <w:marBottom w:val="0"/>
          <w:divBdr>
            <w:top w:val="none" w:sz="0" w:space="0" w:color="auto"/>
            <w:left w:val="none" w:sz="0" w:space="0" w:color="auto"/>
            <w:bottom w:val="none" w:sz="0" w:space="0" w:color="auto"/>
            <w:right w:val="none" w:sz="0" w:space="0" w:color="auto"/>
          </w:divBdr>
        </w:div>
        <w:div w:id="448858597">
          <w:marLeft w:val="0"/>
          <w:marRight w:val="0"/>
          <w:marTop w:val="120"/>
          <w:marBottom w:val="120"/>
          <w:divBdr>
            <w:top w:val="none" w:sz="0" w:space="0" w:color="auto"/>
            <w:left w:val="none" w:sz="0" w:space="0" w:color="auto"/>
            <w:bottom w:val="none" w:sz="0" w:space="0" w:color="auto"/>
            <w:right w:val="none" w:sz="0" w:space="0" w:color="auto"/>
          </w:divBdr>
        </w:div>
        <w:div w:id="1373964118">
          <w:marLeft w:val="0"/>
          <w:marRight w:val="0"/>
          <w:marTop w:val="120"/>
          <w:marBottom w:val="120"/>
          <w:divBdr>
            <w:top w:val="none" w:sz="0" w:space="0" w:color="auto"/>
            <w:left w:val="none" w:sz="0" w:space="0" w:color="auto"/>
            <w:bottom w:val="none" w:sz="0" w:space="0" w:color="auto"/>
            <w:right w:val="none" w:sz="0" w:space="0" w:color="auto"/>
          </w:divBdr>
        </w:div>
        <w:div w:id="4331507">
          <w:marLeft w:val="0"/>
          <w:marRight w:val="0"/>
          <w:marTop w:val="120"/>
          <w:marBottom w:val="120"/>
          <w:divBdr>
            <w:top w:val="none" w:sz="0" w:space="0" w:color="auto"/>
            <w:left w:val="none" w:sz="0" w:space="0" w:color="auto"/>
            <w:bottom w:val="none" w:sz="0" w:space="0" w:color="auto"/>
            <w:right w:val="none" w:sz="0" w:space="0" w:color="auto"/>
          </w:divBdr>
        </w:div>
        <w:div w:id="1373267236">
          <w:marLeft w:val="0"/>
          <w:marRight w:val="0"/>
          <w:marTop w:val="0"/>
          <w:marBottom w:val="0"/>
          <w:divBdr>
            <w:top w:val="none" w:sz="0" w:space="0" w:color="auto"/>
            <w:left w:val="none" w:sz="0" w:space="0" w:color="auto"/>
            <w:bottom w:val="none" w:sz="0" w:space="0" w:color="auto"/>
            <w:right w:val="none" w:sz="0" w:space="0" w:color="auto"/>
          </w:divBdr>
        </w:div>
        <w:div w:id="863862470">
          <w:marLeft w:val="0"/>
          <w:marRight w:val="0"/>
          <w:marTop w:val="0"/>
          <w:marBottom w:val="0"/>
          <w:divBdr>
            <w:top w:val="none" w:sz="0" w:space="0" w:color="auto"/>
            <w:left w:val="none" w:sz="0" w:space="0" w:color="auto"/>
            <w:bottom w:val="none" w:sz="0" w:space="0" w:color="auto"/>
            <w:right w:val="none" w:sz="0" w:space="0" w:color="auto"/>
          </w:divBdr>
        </w:div>
        <w:div w:id="692616225">
          <w:marLeft w:val="0"/>
          <w:marRight w:val="0"/>
          <w:marTop w:val="0"/>
          <w:marBottom w:val="0"/>
          <w:divBdr>
            <w:top w:val="none" w:sz="0" w:space="0" w:color="auto"/>
            <w:left w:val="none" w:sz="0" w:space="0" w:color="auto"/>
            <w:bottom w:val="none" w:sz="0" w:space="0" w:color="auto"/>
            <w:right w:val="none" w:sz="0" w:space="0" w:color="auto"/>
          </w:divBdr>
        </w:div>
        <w:div w:id="681202064">
          <w:marLeft w:val="0"/>
          <w:marRight w:val="0"/>
          <w:marTop w:val="0"/>
          <w:marBottom w:val="0"/>
          <w:divBdr>
            <w:top w:val="none" w:sz="0" w:space="0" w:color="auto"/>
            <w:left w:val="none" w:sz="0" w:space="0" w:color="auto"/>
            <w:bottom w:val="none" w:sz="0" w:space="0" w:color="auto"/>
            <w:right w:val="none" w:sz="0" w:space="0" w:color="auto"/>
          </w:divBdr>
        </w:div>
        <w:div w:id="268582522">
          <w:marLeft w:val="0"/>
          <w:marRight w:val="0"/>
          <w:marTop w:val="0"/>
          <w:marBottom w:val="0"/>
          <w:divBdr>
            <w:top w:val="none" w:sz="0" w:space="0" w:color="auto"/>
            <w:left w:val="none" w:sz="0" w:space="0" w:color="auto"/>
            <w:bottom w:val="none" w:sz="0" w:space="0" w:color="auto"/>
            <w:right w:val="none" w:sz="0" w:space="0" w:color="auto"/>
          </w:divBdr>
        </w:div>
        <w:div w:id="1613126329">
          <w:marLeft w:val="0"/>
          <w:marRight w:val="0"/>
          <w:marTop w:val="0"/>
          <w:marBottom w:val="0"/>
          <w:divBdr>
            <w:top w:val="none" w:sz="0" w:space="0" w:color="auto"/>
            <w:left w:val="none" w:sz="0" w:space="0" w:color="auto"/>
            <w:bottom w:val="none" w:sz="0" w:space="0" w:color="auto"/>
            <w:right w:val="none" w:sz="0" w:space="0" w:color="auto"/>
          </w:divBdr>
        </w:div>
        <w:div w:id="4261996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2399</Words>
  <Characters>13631</Characters>
  <Application>Microsoft Office Word</Application>
  <DocSecurity>4</DocSecurity>
  <Lines>189</Lines>
  <Paragraphs>31</Paragraphs>
  <ScaleCrop>false</ScaleCrop>
  <HeadingPairs>
    <vt:vector size="2" baseType="variant">
      <vt:variant>
        <vt:lpstr>Title</vt:lpstr>
      </vt:variant>
      <vt:variant>
        <vt:i4>1</vt:i4>
      </vt:variant>
    </vt:vector>
  </HeadingPairs>
  <TitlesOfParts>
    <vt:vector size="1" baseType="lpstr">
      <vt:lpstr/>
    </vt:vector>
  </TitlesOfParts>
  <Company>ECDPM</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RODRIGUEZ BILBAO Jorge (DEVCO)</cp:lastModifiedBy>
  <cp:revision>2</cp:revision>
  <cp:lastPrinted>2014-01-14T13:46:00Z</cp:lastPrinted>
  <dcterms:created xsi:type="dcterms:W3CDTF">2014-01-22T09:37:00Z</dcterms:created>
  <dcterms:modified xsi:type="dcterms:W3CDTF">2014-01-22T09:37:00Z</dcterms:modified>
</cp:coreProperties>
</file>