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2184"/>
        <w:gridCol w:w="7229"/>
      </w:tblGrid>
      <w:tr w:rsidR="00B03E40" w:rsidRPr="008A30C2" w:rsidTr="00D2264E">
        <w:tc>
          <w:tcPr>
            <w:tcW w:w="2184" w:type="dxa"/>
            <w:shd w:val="pct5" w:color="auto" w:fill="auto"/>
          </w:tcPr>
          <w:p w:rsidR="00B03E40" w:rsidRPr="008A30C2" w:rsidRDefault="00B03E40" w:rsidP="008A78BD">
            <w:pPr>
              <w:spacing w:before="60" w:after="60"/>
              <w:rPr>
                <w:rFonts w:ascii="Arial" w:hAnsi="Arial" w:cs="Arial"/>
                <w:b/>
                <w:sz w:val="20"/>
              </w:rPr>
            </w:pPr>
            <w:r w:rsidRPr="008A30C2">
              <w:rPr>
                <w:rFonts w:ascii="Arial" w:hAnsi="Arial" w:cs="Arial"/>
                <w:sz w:val="20"/>
                <w:lang w:val="pt-BR"/>
              </w:rPr>
              <w:br w:type="page"/>
            </w:r>
            <w:r w:rsidRPr="008A30C2">
              <w:rPr>
                <w:rFonts w:ascii="Arial" w:hAnsi="Arial" w:cs="Arial"/>
                <w:sz w:val="20"/>
                <w:lang w:val="pt-BR"/>
              </w:rPr>
              <w:br w:type="page"/>
            </w:r>
            <w:r w:rsidRPr="008A30C2">
              <w:rPr>
                <w:rFonts w:ascii="Arial" w:hAnsi="Arial" w:cs="Arial"/>
                <w:b/>
                <w:sz w:val="20"/>
              </w:rPr>
              <w:t>Course Title</w:t>
            </w:r>
          </w:p>
        </w:tc>
        <w:tc>
          <w:tcPr>
            <w:tcW w:w="7229" w:type="dxa"/>
            <w:shd w:val="pct5" w:color="auto" w:fill="auto"/>
            <w:vAlign w:val="center"/>
          </w:tcPr>
          <w:p w:rsidR="00B03E40" w:rsidRPr="007C72D3" w:rsidRDefault="00E655AD" w:rsidP="00D2264E">
            <w:pPr>
              <w:pStyle w:val="Heading2"/>
              <w:spacing w:before="60" w:after="60"/>
              <w:jc w:val="center"/>
              <w:rPr>
                <w:rFonts w:ascii="Arial" w:hAnsi="Arial" w:cs="Arial"/>
                <w:i/>
                <w:sz w:val="20"/>
              </w:rPr>
            </w:pPr>
            <w:r w:rsidRPr="00E655AD">
              <w:rPr>
                <w:rFonts w:ascii="Arial" w:hAnsi="Arial" w:cs="Arial"/>
                <w:i/>
                <w:sz w:val="20"/>
              </w:rPr>
              <w:t>Water, Energy, Environment and Climate change Mainstreaming Seminar</w:t>
            </w:r>
          </w:p>
        </w:tc>
      </w:tr>
      <w:tr w:rsidR="00B03E40" w:rsidRPr="008A30C2" w:rsidTr="00D2264E">
        <w:tc>
          <w:tcPr>
            <w:tcW w:w="2184" w:type="dxa"/>
            <w:shd w:val="pct5" w:color="auto" w:fill="auto"/>
          </w:tcPr>
          <w:p w:rsidR="00B03E40" w:rsidRPr="008A30C2" w:rsidRDefault="00B03E40" w:rsidP="008A78BD">
            <w:pPr>
              <w:spacing w:before="60" w:after="60" w:line="360" w:lineRule="auto"/>
              <w:rPr>
                <w:rFonts w:ascii="Arial" w:hAnsi="Arial" w:cs="Arial"/>
                <w:b/>
                <w:sz w:val="20"/>
              </w:rPr>
            </w:pPr>
            <w:r w:rsidRPr="008A30C2">
              <w:rPr>
                <w:rFonts w:ascii="Arial" w:hAnsi="Arial" w:cs="Arial"/>
                <w:b/>
                <w:sz w:val="20"/>
              </w:rPr>
              <w:t>Objectives</w:t>
            </w:r>
          </w:p>
        </w:tc>
        <w:tc>
          <w:tcPr>
            <w:tcW w:w="7229" w:type="dxa"/>
            <w:vAlign w:val="center"/>
          </w:tcPr>
          <w:p w:rsidR="001A3981" w:rsidRDefault="001A3981" w:rsidP="001A3981">
            <w:pPr>
              <w:numPr>
                <w:ilvl w:val="0"/>
                <w:numId w:val="1"/>
              </w:numPr>
              <w:shd w:val="clear" w:color="auto" w:fill="FFFFFF"/>
              <w:spacing w:line="312" w:lineRule="atLeast"/>
              <w:jc w:val="left"/>
              <w:rPr>
                <w:rFonts w:ascii="Arial" w:hAnsi="Arial" w:cs="Arial"/>
                <w:sz w:val="20"/>
                <w:lang w:eastAsia="fr-BE"/>
              </w:rPr>
            </w:pPr>
            <w:r>
              <w:rPr>
                <w:rFonts w:ascii="Arial" w:hAnsi="Arial" w:cs="Arial"/>
                <w:sz w:val="20"/>
                <w:lang w:eastAsia="fr-BE"/>
              </w:rPr>
              <w:t>Better understand</w:t>
            </w:r>
            <w:r w:rsidR="007D41B6">
              <w:rPr>
                <w:rFonts w:ascii="Arial" w:hAnsi="Arial" w:cs="Arial"/>
                <w:sz w:val="20"/>
                <w:lang w:eastAsia="fr-BE"/>
              </w:rPr>
              <w:t>ing of</w:t>
            </w:r>
            <w:r>
              <w:rPr>
                <w:rFonts w:ascii="Arial" w:hAnsi="Arial" w:cs="Arial"/>
                <w:sz w:val="20"/>
                <w:lang w:eastAsia="fr-BE"/>
              </w:rPr>
              <w:t xml:space="preserve"> sanitation and wastewater interventions and options;</w:t>
            </w:r>
          </w:p>
          <w:p w:rsidR="001A3981" w:rsidRDefault="001A3981" w:rsidP="001A3981">
            <w:pPr>
              <w:pStyle w:val="ListParagraph1"/>
              <w:numPr>
                <w:ilvl w:val="0"/>
                <w:numId w:val="1"/>
              </w:numPr>
              <w:jc w:val="both"/>
              <w:rPr>
                <w:rFonts w:ascii="Arial" w:eastAsia="Times New Roman" w:hAnsi="Arial" w:cs="Arial"/>
                <w:sz w:val="20"/>
                <w:szCs w:val="20"/>
                <w:lang w:eastAsia="fr-BE"/>
              </w:rPr>
            </w:pPr>
            <w:r>
              <w:rPr>
                <w:rFonts w:ascii="Arial" w:eastAsia="Times New Roman" w:hAnsi="Arial" w:cs="Arial"/>
                <w:sz w:val="20"/>
                <w:szCs w:val="20"/>
                <w:lang w:eastAsia="fr-BE"/>
              </w:rPr>
              <w:t xml:space="preserve">A better understanding of the new context of the EU water development policies and programmes (Agenda for change, EU Water regulations and Programmes, SWIM etc.).  </w:t>
            </w:r>
          </w:p>
          <w:p w:rsidR="001A3981" w:rsidRDefault="001A3981" w:rsidP="001A3981">
            <w:pPr>
              <w:numPr>
                <w:ilvl w:val="0"/>
                <w:numId w:val="1"/>
              </w:numPr>
              <w:shd w:val="clear" w:color="auto" w:fill="FFFFFF"/>
              <w:spacing w:line="312" w:lineRule="atLeast"/>
              <w:jc w:val="left"/>
              <w:rPr>
                <w:rFonts w:ascii="Arial" w:hAnsi="Arial" w:cs="Arial"/>
                <w:sz w:val="20"/>
                <w:lang w:eastAsia="fr-BE"/>
              </w:rPr>
            </w:pPr>
            <w:r>
              <w:rPr>
                <w:rFonts w:ascii="Arial" w:hAnsi="Arial" w:cs="Arial"/>
                <w:sz w:val="20"/>
                <w:lang w:eastAsia="fr-BE"/>
              </w:rPr>
              <w:t>Improved understanding of economic opportunities, main challenges and constraints linked to transformation towards a greener economy in particular focused on concrete examples in the water</w:t>
            </w:r>
            <w:bookmarkStart w:id="0" w:name="_GoBack"/>
            <w:r>
              <w:rPr>
                <w:rFonts w:ascii="Arial" w:hAnsi="Arial" w:cs="Arial"/>
                <w:sz w:val="20"/>
                <w:lang w:eastAsia="fr-BE"/>
              </w:rPr>
              <w:t xml:space="preserve"> and </w:t>
            </w:r>
            <w:bookmarkEnd w:id="0"/>
            <w:r>
              <w:rPr>
                <w:rFonts w:ascii="Arial" w:hAnsi="Arial" w:cs="Arial"/>
                <w:sz w:val="20"/>
                <w:lang w:eastAsia="fr-BE"/>
              </w:rPr>
              <w:t>energy sector.</w:t>
            </w:r>
          </w:p>
          <w:p w:rsidR="00D2264E" w:rsidRDefault="00D2264E" w:rsidP="00D2264E">
            <w:pPr>
              <w:numPr>
                <w:ilvl w:val="0"/>
                <w:numId w:val="1"/>
              </w:numPr>
              <w:shd w:val="clear" w:color="auto" w:fill="FFFFFF"/>
              <w:spacing w:line="312" w:lineRule="atLeast"/>
              <w:jc w:val="left"/>
              <w:rPr>
                <w:rFonts w:ascii="Arial" w:hAnsi="Arial" w:cs="Arial"/>
                <w:sz w:val="20"/>
                <w:lang w:eastAsia="fr-BE"/>
              </w:rPr>
            </w:pPr>
            <w:r>
              <w:rPr>
                <w:rFonts w:ascii="Arial" w:hAnsi="Arial" w:cs="Arial"/>
                <w:sz w:val="20"/>
                <w:lang w:eastAsia="fr-BE"/>
              </w:rPr>
              <w:t xml:space="preserve">Better understanding of the nexus water-agriculture-energy </w:t>
            </w:r>
          </w:p>
          <w:p w:rsidR="00D2264E" w:rsidRDefault="00D2264E" w:rsidP="00D2264E">
            <w:pPr>
              <w:numPr>
                <w:ilvl w:val="0"/>
                <w:numId w:val="1"/>
              </w:numPr>
              <w:shd w:val="clear" w:color="auto" w:fill="FFFFFF"/>
              <w:spacing w:line="312" w:lineRule="atLeast"/>
              <w:jc w:val="left"/>
              <w:rPr>
                <w:rFonts w:ascii="Arial" w:hAnsi="Arial" w:cs="Arial"/>
                <w:sz w:val="20"/>
                <w:lang w:eastAsia="fr-BE"/>
              </w:rPr>
            </w:pPr>
            <w:r>
              <w:rPr>
                <w:rFonts w:ascii="Arial" w:hAnsi="Arial" w:cs="Arial"/>
                <w:sz w:val="20"/>
                <w:lang w:eastAsia="fr-BE"/>
              </w:rPr>
              <w:t>Link between the nexus and other cross-cutting issues like governance in the sector;</w:t>
            </w:r>
          </w:p>
          <w:p w:rsidR="003007E9" w:rsidRPr="003007E9" w:rsidRDefault="003007E9" w:rsidP="003007E9">
            <w:pPr>
              <w:numPr>
                <w:ilvl w:val="0"/>
                <w:numId w:val="1"/>
              </w:numPr>
              <w:shd w:val="clear" w:color="auto" w:fill="FFFFFF"/>
              <w:spacing w:line="312" w:lineRule="atLeast"/>
              <w:jc w:val="left"/>
              <w:rPr>
                <w:rFonts w:ascii="Arial" w:hAnsi="Arial" w:cs="Arial"/>
                <w:sz w:val="20"/>
                <w:lang w:eastAsia="fr-BE"/>
              </w:rPr>
            </w:pPr>
            <w:r w:rsidRPr="003007E9">
              <w:rPr>
                <w:rFonts w:ascii="Arial" w:hAnsi="Arial" w:cs="Arial"/>
                <w:sz w:val="20"/>
                <w:lang w:eastAsia="fr-BE"/>
              </w:rPr>
              <w:t>Be able to explain why environment and climate change are not stand alone sector issues but affect all areas of development co-operation</w:t>
            </w:r>
          </w:p>
          <w:p w:rsidR="003007E9" w:rsidRPr="003007E9" w:rsidRDefault="003007E9" w:rsidP="003007E9">
            <w:pPr>
              <w:numPr>
                <w:ilvl w:val="0"/>
                <w:numId w:val="1"/>
              </w:numPr>
              <w:shd w:val="clear" w:color="auto" w:fill="FFFFFF"/>
              <w:spacing w:line="312" w:lineRule="atLeast"/>
              <w:jc w:val="left"/>
              <w:rPr>
                <w:rFonts w:ascii="Arial" w:hAnsi="Arial" w:cs="Arial"/>
                <w:sz w:val="20"/>
                <w:lang w:eastAsia="fr-BE"/>
              </w:rPr>
            </w:pPr>
            <w:r w:rsidRPr="003007E9">
              <w:rPr>
                <w:rFonts w:ascii="Arial" w:hAnsi="Arial" w:cs="Arial"/>
                <w:sz w:val="20"/>
                <w:lang w:eastAsia="fr-BE"/>
              </w:rPr>
              <w:t>Understand the benefits and challenges of integrating environment and climate change in EU development cooperation</w:t>
            </w:r>
          </w:p>
          <w:p w:rsidR="003007E9" w:rsidRPr="003007E9" w:rsidRDefault="003007E9" w:rsidP="003007E9">
            <w:pPr>
              <w:numPr>
                <w:ilvl w:val="0"/>
                <w:numId w:val="1"/>
              </w:numPr>
              <w:shd w:val="clear" w:color="auto" w:fill="FFFFFF"/>
              <w:spacing w:line="312" w:lineRule="atLeast"/>
              <w:jc w:val="left"/>
              <w:rPr>
                <w:rFonts w:ascii="Arial" w:hAnsi="Arial" w:cs="Arial"/>
                <w:sz w:val="20"/>
                <w:lang w:eastAsia="fr-BE"/>
              </w:rPr>
            </w:pPr>
            <w:r w:rsidRPr="003007E9">
              <w:rPr>
                <w:rFonts w:ascii="Arial" w:hAnsi="Arial" w:cs="Arial"/>
                <w:sz w:val="20"/>
                <w:lang w:eastAsia="fr-BE"/>
              </w:rPr>
              <w:t xml:space="preserve">Become acquainted through practical examples with the tools (e.g. political economy analysis, EIA and SEA) and approaches (e.g. policy dialogue, awareness raising) to integrate environment and climate change at the various stages of the operations cycle </w:t>
            </w:r>
          </w:p>
          <w:p w:rsidR="001A3981" w:rsidRDefault="00D2264E" w:rsidP="001A3981">
            <w:pPr>
              <w:numPr>
                <w:ilvl w:val="0"/>
                <w:numId w:val="1"/>
              </w:numPr>
              <w:shd w:val="clear" w:color="auto" w:fill="FFFFFF"/>
              <w:spacing w:line="312" w:lineRule="atLeast"/>
              <w:jc w:val="left"/>
              <w:rPr>
                <w:rFonts w:ascii="Arial" w:hAnsi="Arial" w:cs="Arial"/>
                <w:sz w:val="20"/>
                <w:lang w:eastAsia="fr-BE"/>
              </w:rPr>
            </w:pPr>
            <w:r>
              <w:rPr>
                <w:rFonts w:ascii="Arial" w:hAnsi="Arial" w:cs="Arial"/>
                <w:sz w:val="20"/>
                <w:lang w:eastAsia="fr-BE"/>
              </w:rPr>
              <w:t>Consolida</w:t>
            </w:r>
            <w:r w:rsidR="007D41B6">
              <w:rPr>
                <w:rFonts w:ascii="Arial" w:hAnsi="Arial" w:cs="Arial"/>
                <w:sz w:val="20"/>
                <w:lang w:eastAsia="fr-BE"/>
              </w:rPr>
              <w:t xml:space="preserve">tion of </w:t>
            </w:r>
            <w:r w:rsidR="001A3981">
              <w:rPr>
                <w:rFonts w:ascii="Arial" w:hAnsi="Arial" w:cs="Arial"/>
                <w:sz w:val="20"/>
                <w:lang w:eastAsia="fr-BE"/>
              </w:rPr>
              <w:t>experience by exchanging with colleagues from other Delegation</w:t>
            </w:r>
            <w:r w:rsidR="007D41B6">
              <w:rPr>
                <w:rFonts w:ascii="Arial" w:hAnsi="Arial" w:cs="Arial"/>
                <w:sz w:val="20"/>
                <w:lang w:eastAsia="fr-BE"/>
              </w:rPr>
              <w:t>s</w:t>
            </w:r>
            <w:r w:rsidR="001A3981">
              <w:rPr>
                <w:rFonts w:ascii="Arial" w:hAnsi="Arial" w:cs="Arial"/>
                <w:sz w:val="20"/>
                <w:lang w:eastAsia="fr-BE"/>
              </w:rPr>
              <w:t xml:space="preserve"> on specific issues (to be determined with the Delegations)</w:t>
            </w:r>
          </w:p>
          <w:p w:rsidR="00B03E40" w:rsidRDefault="001A3981" w:rsidP="001A3981">
            <w:pPr>
              <w:widowControl w:val="0"/>
              <w:numPr>
                <w:ilvl w:val="0"/>
                <w:numId w:val="1"/>
              </w:numPr>
              <w:overflowPunct w:val="0"/>
              <w:autoSpaceDE w:val="0"/>
              <w:autoSpaceDN w:val="0"/>
              <w:adjustRightInd w:val="0"/>
              <w:spacing w:before="60" w:after="60" w:line="360" w:lineRule="auto"/>
              <w:contextualSpacing/>
              <w:jc w:val="left"/>
              <w:rPr>
                <w:rFonts w:ascii="Arial" w:hAnsi="Arial" w:cs="Arial"/>
                <w:sz w:val="20"/>
              </w:rPr>
            </w:pPr>
            <w:r>
              <w:rPr>
                <w:rFonts w:ascii="Arial" w:hAnsi="Arial" w:cs="Arial"/>
                <w:sz w:val="20"/>
                <w:lang w:eastAsia="fr-BE"/>
              </w:rPr>
              <w:t>Greater insight on strategies for how development partners in general and staff from Delegations in particular, can support and contribute to the establishment of public policies for water management and sanitation, based on experiences exchange between participants coming from different Delegations.</w:t>
            </w:r>
          </w:p>
          <w:p w:rsidR="001A3981" w:rsidRPr="008A30C2" w:rsidRDefault="001A3981" w:rsidP="001A3981">
            <w:pPr>
              <w:widowControl w:val="0"/>
              <w:numPr>
                <w:ilvl w:val="0"/>
                <w:numId w:val="1"/>
              </w:numPr>
              <w:overflowPunct w:val="0"/>
              <w:autoSpaceDE w:val="0"/>
              <w:autoSpaceDN w:val="0"/>
              <w:adjustRightInd w:val="0"/>
              <w:spacing w:before="60" w:after="60" w:line="360" w:lineRule="auto"/>
              <w:contextualSpacing/>
              <w:jc w:val="left"/>
              <w:rPr>
                <w:rFonts w:ascii="Arial" w:hAnsi="Arial" w:cs="Arial"/>
                <w:sz w:val="20"/>
              </w:rPr>
            </w:pPr>
            <w:r>
              <w:rPr>
                <w:rFonts w:ascii="Arial" w:hAnsi="Arial" w:cs="Arial"/>
                <w:sz w:val="20"/>
                <w:lang w:eastAsia="fr-BE"/>
              </w:rPr>
              <w:t>Better understanding of the blending mechanism.</w:t>
            </w:r>
          </w:p>
        </w:tc>
      </w:tr>
      <w:tr w:rsidR="00B03E40" w:rsidRPr="008A30C2" w:rsidTr="00D2264E">
        <w:tc>
          <w:tcPr>
            <w:tcW w:w="2184" w:type="dxa"/>
            <w:shd w:val="pct5" w:color="auto" w:fill="auto"/>
          </w:tcPr>
          <w:p w:rsidR="00B03E40" w:rsidRPr="008A30C2" w:rsidRDefault="00B03E40" w:rsidP="008A78BD">
            <w:pPr>
              <w:spacing w:before="60" w:after="60" w:line="360" w:lineRule="auto"/>
              <w:rPr>
                <w:rFonts w:ascii="Arial" w:hAnsi="Arial" w:cs="Arial"/>
                <w:b/>
                <w:sz w:val="20"/>
              </w:rPr>
            </w:pPr>
            <w:r w:rsidRPr="008A30C2">
              <w:rPr>
                <w:rFonts w:ascii="Arial" w:hAnsi="Arial" w:cs="Arial"/>
                <w:b/>
                <w:sz w:val="20"/>
              </w:rPr>
              <w:t>Target audience</w:t>
            </w:r>
          </w:p>
        </w:tc>
        <w:tc>
          <w:tcPr>
            <w:tcW w:w="7229" w:type="dxa"/>
            <w:vAlign w:val="center"/>
          </w:tcPr>
          <w:p w:rsidR="001A3981" w:rsidRDefault="001A3981" w:rsidP="001A3981">
            <w:pPr>
              <w:spacing w:before="60" w:after="60" w:line="360" w:lineRule="auto"/>
              <w:ind w:left="2"/>
              <w:jc w:val="left"/>
              <w:rPr>
                <w:rFonts w:ascii="Arial" w:hAnsi="Arial" w:cs="Arial"/>
                <w:color w:val="000000"/>
                <w:sz w:val="20"/>
              </w:rPr>
            </w:pPr>
            <w:r>
              <w:rPr>
                <w:rFonts w:ascii="Arial" w:hAnsi="Arial" w:cs="Arial"/>
                <w:color w:val="000000"/>
                <w:sz w:val="20"/>
              </w:rPr>
              <w:t>Staff and contractual agents from Delegations working directly in the water and sanitation and energy sector</w:t>
            </w:r>
            <w:r w:rsidR="007D41B6">
              <w:rPr>
                <w:rFonts w:ascii="Arial" w:hAnsi="Arial" w:cs="Arial"/>
                <w:color w:val="000000"/>
                <w:sz w:val="20"/>
              </w:rPr>
              <w:t>,</w:t>
            </w:r>
            <w:r>
              <w:rPr>
                <w:rFonts w:ascii="Arial" w:hAnsi="Arial" w:cs="Arial"/>
                <w:color w:val="000000"/>
                <w:sz w:val="20"/>
              </w:rPr>
              <w:t xml:space="preserve"> representatives of national water administrations (NWA), ministries responsible for water supply and sanitation issues, national water agencies and implementing partners.</w:t>
            </w:r>
          </w:p>
          <w:p w:rsidR="001A3981" w:rsidRDefault="001A3981" w:rsidP="001A3981">
            <w:pPr>
              <w:rPr>
                <w:rFonts w:ascii="Arial" w:hAnsi="Arial" w:cs="Arial"/>
                <w:color w:val="000000"/>
                <w:sz w:val="20"/>
              </w:rPr>
            </w:pPr>
            <w:r>
              <w:rPr>
                <w:rFonts w:ascii="Arial" w:hAnsi="Arial" w:cs="Arial"/>
                <w:color w:val="000000"/>
                <w:sz w:val="20"/>
              </w:rPr>
              <w:t>Kindly note that the registration in Syslog is not a guarantee to be invited. Please check your participation and invitation with the host delegation.</w:t>
            </w:r>
          </w:p>
          <w:p w:rsidR="00B03E40" w:rsidRPr="008A30C2" w:rsidRDefault="00B03E40" w:rsidP="00474BD3">
            <w:pPr>
              <w:spacing w:before="60" w:after="60" w:line="360" w:lineRule="auto"/>
              <w:ind w:left="2"/>
              <w:jc w:val="left"/>
              <w:rPr>
                <w:rFonts w:ascii="Arial" w:hAnsi="Arial" w:cs="Arial"/>
                <w:sz w:val="20"/>
              </w:rPr>
            </w:pPr>
          </w:p>
        </w:tc>
      </w:tr>
      <w:tr w:rsidR="00B03E40" w:rsidRPr="008A30C2" w:rsidTr="00D2264E">
        <w:tc>
          <w:tcPr>
            <w:tcW w:w="2184" w:type="dxa"/>
            <w:shd w:val="pct5" w:color="auto" w:fill="auto"/>
          </w:tcPr>
          <w:p w:rsidR="00B03E40" w:rsidRPr="008A30C2" w:rsidRDefault="00B03E40" w:rsidP="008A78BD">
            <w:pPr>
              <w:spacing w:before="60" w:after="60" w:line="360" w:lineRule="auto"/>
              <w:rPr>
                <w:rFonts w:ascii="Arial" w:hAnsi="Arial" w:cs="Arial"/>
                <w:b/>
                <w:sz w:val="20"/>
              </w:rPr>
            </w:pPr>
            <w:r w:rsidRPr="008A30C2">
              <w:rPr>
                <w:rFonts w:ascii="Arial" w:hAnsi="Arial" w:cs="Arial"/>
                <w:b/>
                <w:sz w:val="20"/>
              </w:rPr>
              <w:t>Content</w:t>
            </w:r>
          </w:p>
        </w:tc>
        <w:tc>
          <w:tcPr>
            <w:tcW w:w="7229" w:type="dxa"/>
            <w:vAlign w:val="center"/>
          </w:tcPr>
          <w:p w:rsidR="001A3981" w:rsidRDefault="001A3981" w:rsidP="001A3981">
            <w:pPr>
              <w:rPr>
                <w:rFonts w:ascii="Arial" w:hAnsi="Arial" w:cs="Arial"/>
                <w:color w:val="000000"/>
                <w:sz w:val="20"/>
                <w:u w:val="single"/>
              </w:rPr>
            </w:pPr>
            <w:r>
              <w:rPr>
                <w:rFonts w:ascii="Arial" w:hAnsi="Arial" w:cs="Arial"/>
                <w:color w:val="000000"/>
                <w:sz w:val="20"/>
                <w:u w:val="single"/>
              </w:rPr>
              <w:t>Content:</w:t>
            </w:r>
          </w:p>
          <w:p w:rsidR="001A3981" w:rsidRDefault="001A3981" w:rsidP="001A3981">
            <w:pPr>
              <w:rPr>
                <w:rFonts w:ascii="Arial" w:hAnsi="Arial" w:cs="Arial"/>
                <w:color w:val="000000"/>
                <w:sz w:val="20"/>
              </w:rPr>
            </w:pPr>
            <w:r>
              <w:rPr>
                <w:rFonts w:ascii="Arial" w:hAnsi="Arial" w:cs="Arial"/>
                <w:color w:val="000000"/>
                <w:sz w:val="20"/>
              </w:rPr>
              <w:t>The seminar will address the following topics (the list is not exhaustive)</w:t>
            </w:r>
            <w:r>
              <w:rPr>
                <w:rFonts w:ascii="Arial" w:hAnsi="Arial" w:cs="Arial"/>
                <w:color w:val="000000"/>
                <w:sz w:val="20"/>
              </w:rPr>
              <w:br/>
            </w:r>
          </w:p>
          <w:p w:rsidR="001A3981" w:rsidRDefault="001A3981" w:rsidP="001A3981">
            <w:pPr>
              <w:numPr>
                <w:ilvl w:val="0"/>
                <w:numId w:val="3"/>
              </w:numPr>
              <w:ind w:left="357" w:hanging="357"/>
              <w:jc w:val="left"/>
              <w:rPr>
                <w:rFonts w:ascii="Arial" w:hAnsi="Arial" w:cs="Arial"/>
                <w:color w:val="000000"/>
                <w:sz w:val="20"/>
              </w:rPr>
            </w:pPr>
            <w:r>
              <w:rPr>
                <w:rFonts w:ascii="Arial" w:hAnsi="Arial" w:cs="Arial"/>
                <w:color w:val="000000"/>
                <w:sz w:val="20"/>
              </w:rPr>
              <w:t>EU water policies and programmes: Agenda for Change, SWIM etc.</w:t>
            </w:r>
          </w:p>
          <w:p w:rsidR="001A3981" w:rsidRDefault="001A3981" w:rsidP="001A3981">
            <w:pPr>
              <w:numPr>
                <w:ilvl w:val="0"/>
                <w:numId w:val="3"/>
              </w:numPr>
              <w:ind w:left="357" w:hanging="357"/>
              <w:jc w:val="left"/>
              <w:rPr>
                <w:rFonts w:ascii="Arial" w:hAnsi="Arial" w:cs="Arial"/>
                <w:color w:val="000000"/>
                <w:sz w:val="20"/>
              </w:rPr>
            </w:pPr>
            <w:r>
              <w:rPr>
                <w:rFonts w:ascii="Arial" w:hAnsi="Arial" w:cs="Arial"/>
                <w:color w:val="000000"/>
                <w:sz w:val="20"/>
              </w:rPr>
              <w:t>Water for economic growth: opportunities and challenges for a greener economy</w:t>
            </w:r>
          </w:p>
          <w:p w:rsidR="001A3981" w:rsidRDefault="001A3981" w:rsidP="001A3981">
            <w:pPr>
              <w:numPr>
                <w:ilvl w:val="0"/>
                <w:numId w:val="3"/>
              </w:numPr>
              <w:ind w:left="357" w:hanging="357"/>
              <w:jc w:val="left"/>
              <w:rPr>
                <w:rFonts w:ascii="Arial" w:hAnsi="Arial" w:cs="Arial"/>
                <w:color w:val="000000"/>
                <w:sz w:val="20"/>
              </w:rPr>
            </w:pPr>
            <w:r>
              <w:rPr>
                <w:rFonts w:ascii="Arial" w:hAnsi="Arial" w:cs="Arial"/>
                <w:color w:val="000000"/>
                <w:sz w:val="20"/>
              </w:rPr>
              <w:t>Water-energy-agriculture nexus</w:t>
            </w:r>
          </w:p>
          <w:p w:rsidR="003007E9" w:rsidRDefault="003007E9" w:rsidP="001A3981">
            <w:pPr>
              <w:numPr>
                <w:ilvl w:val="0"/>
                <w:numId w:val="3"/>
              </w:numPr>
              <w:ind w:left="357" w:hanging="357"/>
              <w:jc w:val="left"/>
              <w:rPr>
                <w:rFonts w:ascii="Arial" w:hAnsi="Arial" w:cs="Arial"/>
                <w:color w:val="000000"/>
                <w:sz w:val="20"/>
              </w:rPr>
            </w:pPr>
            <w:r>
              <w:rPr>
                <w:rFonts w:ascii="Arial" w:hAnsi="Arial" w:cs="Arial"/>
                <w:color w:val="000000"/>
                <w:sz w:val="20"/>
              </w:rPr>
              <w:t>Mainstreaming climate change and environment in development projects</w:t>
            </w:r>
          </w:p>
          <w:p w:rsidR="003007E9" w:rsidRDefault="003007E9" w:rsidP="001A3981">
            <w:pPr>
              <w:numPr>
                <w:ilvl w:val="0"/>
                <w:numId w:val="3"/>
              </w:numPr>
              <w:ind w:left="357" w:hanging="357"/>
              <w:jc w:val="left"/>
              <w:rPr>
                <w:rFonts w:ascii="Arial" w:hAnsi="Arial" w:cs="Arial"/>
                <w:color w:val="000000"/>
                <w:sz w:val="20"/>
              </w:rPr>
            </w:pPr>
            <w:r>
              <w:rPr>
                <w:rFonts w:ascii="Arial" w:hAnsi="Arial" w:cs="Arial"/>
                <w:color w:val="000000"/>
                <w:sz w:val="20"/>
              </w:rPr>
              <w:t>Identify and support opportunities for Green Economy in development projects</w:t>
            </w:r>
          </w:p>
          <w:p w:rsidR="001A3981" w:rsidRDefault="001A3981" w:rsidP="001A3981">
            <w:pPr>
              <w:numPr>
                <w:ilvl w:val="0"/>
                <w:numId w:val="3"/>
              </w:numPr>
              <w:ind w:left="357" w:hanging="357"/>
              <w:jc w:val="left"/>
              <w:rPr>
                <w:rFonts w:ascii="Arial" w:hAnsi="Arial" w:cs="Arial"/>
                <w:color w:val="000000"/>
                <w:sz w:val="20"/>
              </w:rPr>
            </w:pPr>
            <w:r>
              <w:rPr>
                <w:rFonts w:ascii="Arial" w:hAnsi="Arial" w:cs="Arial"/>
                <w:color w:val="000000"/>
                <w:sz w:val="20"/>
              </w:rPr>
              <w:lastRenderedPageBreak/>
              <w:t>Presentations and subjects submitted by Delegations</w:t>
            </w:r>
          </w:p>
          <w:p w:rsidR="001A3981" w:rsidRDefault="001A3981" w:rsidP="001A3981">
            <w:pPr>
              <w:numPr>
                <w:ilvl w:val="0"/>
                <w:numId w:val="3"/>
              </w:numPr>
              <w:ind w:left="357" w:hanging="357"/>
              <w:jc w:val="left"/>
              <w:rPr>
                <w:rFonts w:ascii="Arial" w:hAnsi="Arial" w:cs="Arial"/>
                <w:color w:val="000000"/>
                <w:sz w:val="20"/>
              </w:rPr>
            </w:pPr>
            <w:r>
              <w:rPr>
                <w:rFonts w:ascii="Arial" w:hAnsi="Arial" w:cs="Arial"/>
                <w:color w:val="000000"/>
                <w:sz w:val="20"/>
              </w:rPr>
              <w:t xml:space="preserve">Blending Mechanism – Pacific Investment Facility for </w:t>
            </w:r>
            <w:proofErr w:type="spellStart"/>
            <w:r>
              <w:rPr>
                <w:rFonts w:ascii="Arial" w:hAnsi="Arial" w:cs="Arial"/>
                <w:color w:val="000000"/>
                <w:sz w:val="20"/>
              </w:rPr>
              <w:t>WatSan</w:t>
            </w:r>
            <w:proofErr w:type="spellEnd"/>
            <w:r>
              <w:rPr>
                <w:rFonts w:ascii="Arial" w:hAnsi="Arial" w:cs="Arial"/>
                <w:color w:val="000000"/>
                <w:sz w:val="20"/>
              </w:rPr>
              <w:t xml:space="preserve"> and Energy intervention</w:t>
            </w:r>
          </w:p>
          <w:p w:rsidR="001A3981" w:rsidRDefault="001A3981" w:rsidP="001A3981">
            <w:pPr>
              <w:numPr>
                <w:ilvl w:val="0"/>
                <w:numId w:val="3"/>
              </w:numPr>
              <w:ind w:left="357" w:hanging="357"/>
              <w:jc w:val="left"/>
              <w:rPr>
                <w:rFonts w:ascii="Arial" w:hAnsi="Arial" w:cs="Arial"/>
                <w:color w:val="000000"/>
                <w:sz w:val="20"/>
              </w:rPr>
            </w:pPr>
            <w:r>
              <w:rPr>
                <w:rFonts w:ascii="Arial" w:hAnsi="Arial" w:cs="Arial"/>
                <w:color w:val="000000"/>
                <w:sz w:val="20"/>
              </w:rPr>
              <w:t>Field visit of EC funded projects and innovative experiences in the region</w:t>
            </w:r>
          </w:p>
          <w:p w:rsidR="001A3981" w:rsidRDefault="001A3981" w:rsidP="001A3981">
            <w:pPr>
              <w:numPr>
                <w:ilvl w:val="0"/>
                <w:numId w:val="3"/>
              </w:numPr>
              <w:ind w:left="357" w:hanging="357"/>
              <w:jc w:val="left"/>
              <w:rPr>
                <w:rFonts w:ascii="Arial" w:hAnsi="Arial" w:cs="Arial"/>
                <w:color w:val="000000"/>
                <w:sz w:val="20"/>
              </w:rPr>
            </w:pPr>
            <w:r>
              <w:rPr>
                <w:rFonts w:ascii="Arial" w:hAnsi="Arial" w:cs="Arial"/>
                <w:color w:val="000000"/>
                <w:sz w:val="20"/>
              </w:rPr>
              <w:t>Renewable Energy</w:t>
            </w:r>
          </w:p>
          <w:p w:rsidR="001A3981" w:rsidRDefault="001A3981" w:rsidP="001A3981">
            <w:pPr>
              <w:rPr>
                <w:rFonts w:ascii="Arial" w:hAnsi="Arial" w:cs="Arial"/>
                <w:color w:val="000000"/>
                <w:sz w:val="20"/>
              </w:rPr>
            </w:pPr>
          </w:p>
          <w:p w:rsidR="001A3981" w:rsidRDefault="001A3981" w:rsidP="001A3981">
            <w:pPr>
              <w:rPr>
                <w:rFonts w:ascii="Arial" w:hAnsi="Arial" w:cs="Arial"/>
                <w:color w:val="000000"/>
                <w:sz w:val="20"/>
              </w:rPr>
            </w:pPr>
            <w:r>
              <w:rPr>
                <w:rFonts w:ascii="Arial" w:hAnsi="Arial" w:cs="Arial"/>
                <w:color w:val="000000"/>
                <w:sz w:val="20"/>
              </w:rPr>
              <w:t>The course will be based on cross-cutting and comparative analysis of the political support in different countries</w:t>
            </w:r>
          </w:p>
          <w:p w:rsidR="00B03E40" w:rsidRPr="008A30C2" w:rsidRDefault="00B03E40" w:rsidP="008A78BD">
            <w:pPr>
              <w:widowControl w:val="0"/>
              <w:overflowPunct w:val="0"/>
              <w:autoSpaceDE w:val="0"/>
              <w:autoSpaceDN w:val="0"/>
              <w:adjustRightInd w:val="0"/>
              <w:spacing w:before="60" w:after="60" w:line="360" w:lineRule="auto"/>
              <w:ind w:left="2"/>
              <w:contextualSpacing/>
              <w:jc w:val="left"/>
              <w:rPr>
                <w:rFonts w:ascii="Arial" w:hAnsi="Arial" w:cs="Arial"/>
                <w:sz w:val="20"/>
              </w:rPr>
            </w:pPr>
          </w:p>
        </w:tc>
      </w:tr>
      <w:tr w:rsidR="00B03E40" w:rsidRPr="008A30C2" w:rsidTr="00D2264E">
        <w:tc>
          <w:tcPr>
            <w:tcW w:w="2184" w:type="dxa"/>
            <w:shd w:val="pct5" w:color="auto" w:fill="auto"/>
          </w:tcPr>
          <w:p w:rsidR="00B03E40" w:rsidRPr="008A30C2" w:rsidRDefault="00B03E40" w:rsidP="008A78BD">
            <w:pPr>
              <w:spacing w:before="60" w:after="60" w:line="360" w:lineRule="auto"/>
              <w:rPr>
                <w:rFonts w:ascii="Arial" w:hAnsi="Arial" w:cs="Arial"/>
                <w:b/>
                <w:sz w:val="20"/>
              </w:rPr>
            </w:pPr>
            <w:r w:rsidRPr="008A30C2">
              <w:rPr>
                <w:rFonts w:ascii="Arial" w:hAnsi="Arial" w:cs="Arial"/>
                <w:b/>
                <w:sz w:val="20"/>
              </w:rPr>
              <w:lastRenderedPageBreak/>
              <w:t>Method</w:t>
            </w:r>
          </w:p>
        </w:tc>
        <w:tc>
          <w:tcPr>
            <w:tcW w:w="7229" w:type="dxa"/>
            <w:vAlign w:val="center"/>
          </w:tcPr>
          <w:p w:rsidR="001A3981" w:rsidRDefault="001A3981" w:rsidP="001A3981">
            <w:pPr>
              <w:rPr>
                <w:rFonts w:ascii="Arial" w:hAnsi="Arial" w:cs="Arial"/>
                <w:color w:val="000000"/>
                <w:sz w:val="20"/>
                <w:u w:val="single"/>
              </w:rPr>
            </w:pPr>
            <w:r>
              <w:rPr>
                <w:rFonts w:ascii="Arial" w:hAnsi="Arial" w:cs="Arial"/>
                <w:color w:val="000000"/>
                <w:sz w:val="20"/>
                <w:u w:val="single"/>
              </w:rPr>
              <w:t>Methodology:</w:t>
            </w:r>
          </w:p>
          <w:p w:rsidR="001A3981" w:rsidRDefault="001A3981" w:rsidP="001A3981">
            <w:pPr>
              <w:numPr>
                <w:ilvl w:val="0"/>
                <w:numId w:val="4"/>
              </w:numPr>
              <w:spacing w:line="276" w:lineRule="auto"/>
              <w:ind w:left="284" w:hanging="284"/>
              <w:jc w:val="left"/>
              <w:rPr>
                <w:rFonts w:ascii="Arial" w:hAnsi="Arial" w:cs="Arial"/>
                <w:color w:val="000000"/>
                <w:sz w:val="20"/>
              </w:rPr>
            </w:pPr>
            <w:r>
              <w:rPr>
                <w:rFonts w:ascii="Arial" w:hAnsi="Arial" w:cs="Arial"/>
                <w:color w:val="000000"/>
                <w:sz w:val="20"/>
              </w:rPr>
              <w:t>Introduction to key concepts through the method of "teaching and discussions"</w:t>
            </w:r>
          </w:p>
          <w:p w:rsidR="001A3981" w:rsidRDefault="001A3981" w:rsidP="001A3981">
            <w:pPr>
              <w:numPr>
                <w:ilvl w:val="0"/>
                <w:numId w:val="4"/>
              </w:numPr>
              <w:spacing w:line="276" w:lineRule="auto"/>
              <w:ind w:left="284" w:hanging="284"/>
              <w:jc w:val="left"/>
              <w:rPr>
                <w:rFonts w:ascii="Arial" w:hAnsi="Arial" w:cs="Arial"/>
                <w:color w:val="000000"/>
                <w:sz w:val="20"/>
              </w:rPr>
            </w:pPr>
            <w:r>
              <w:rPr>
                <w:rFonts w:ascii="Arial" w:hAnsi="Arial" w:cs="Arial"/>
                <w:color w:val="000000"/>
                <w:sz w:val="20"/>
              </w:rPr>
              <w:t>Examples from countries having different experiences will be used to illustrate the topic presented by the trainer. Participants will be requested to present the situation of their country regarding the various topics to be discussed and compared.</w:t>
            </w:r>
          </w:p>
          <w:p w:rsidR="001A3981" w:rsidRDefault="001A3981" w:rsidP="001A3981">
            <w:pPr>
              <w:numPr>
                <w:ilvl w:val="0"/>
                <w:numId w:val="4"/>
              </w:numPr>
              <w:spacing w:line="276" w:lineRule="auto"/>
              <w:ind w:left="284" w:hanging="284"/>
              <w:jc w:val="left"/>
              <w:rPr>
                <w:rFonts w:ascii="Arial" w:hAnsi="Arial" w:cs="Arial"/>
                <w:color w:val="000000"/>
                <w:sz w:val="20"/>
              </w:rPr>
            </w:pPr>
            <w:r>
              <w:rPr>
                <w:rFonts w:ascii="Arial" w:hAnsi="Arial" w:cs="Arial"/>
                <w:color w:val="000000"/>
                <w:sz w:val="20"/>
              </w:rPr>
              <w:t>Group work</w:t>
            </w:r>
          </w:p>
          <w:p w:rsidR="001A3981" w:rsidRDefault="001A3981" w:rsidP="001A3981">
            <w:pPr>
              <w:numPr>
                <w:ilvl w:val="0"/>
                <w:numId w:val="4"/>
              </w:numPr>
              <w:spacing w:line="276" w:lineRule="auto"/>
              <w:ind w:left="284" w:hanging="284"/>
              <w:jc w:val="left"/>
              <w:rPr>
                <w:rFonts w:ascii="Arial" w:hAnsi="Arial" w:cs="Arial"/>
                <w:color w:val="000000"/>
                <w:sz w:val="20"/>
              </w:rPr>
            </w:pPr>
            <w:r>
              <w:rPr>
                <w:rFonts w:ascii="Arial" w:hAnsi="Arial" w:cs="Arial"/>
                <w:color w:val="000000"/>
                <w:sz w:val="20"/>
              </w:rPr>
              <w:t>Session questions and answers</w:t>
            </w:r>
          </w:p>
          <w:p w:rsidR="001A3981" w:rsidRDefault="001A3981" w:rsidP="001A3981">
            <w:pPr>
              <w:numPr>
                <w:ilvl w:val="0"/>
                <w:numId w:val="4"/>
              </w:numPr>
              <w:spacing w:line="276" w:lineRule="auto"/>
              <w:ind w:left="284" w:hanging="284"/>
              <w:jc w:val="left"/>
              <w:rPr>
                <w:rFonts w:ascii="Arial" w:hAnsi="Arial" w:cs="Arial"/>
                <w:color w:val="000000"/>
                <w:sz w:val="20"/>
              </w:rPr>
            </w:pPr>
            <w:r>
              <w:rPr>
                <w:rFonts w:ascii="Arial" w:hAnsi="Arial" w:cs="Arial"/>
                <w:color w:val="000000"/>
                <w:sz w:val="20"/>
              </w:rPr>
              <w:t xml:space="preserve">Course evaluation </w:t>
            </w:r>
          </w:p>
          <w:p w:rsidR="00B03E40" w:rsidRPr="001A3981" w:rsidRDefault="001A3981" w:rsidP="008A78BD">
            <w:pPr>
              <w:pStyle w:val="Header"/>
              <w:spacing w:before="60" w:after="60" w:line="360" w:lineRule="auto"/>
              <w:rPr>
                <w:rFonts w:ascii="Arial" w:hAnsi="Arial" w:cs="Arial"/>
                <w:sz w:val="20"/>
                <w:lang w:val="en-GB"/>
              </w:rPr>
            </w:pPr>
            <w:r w:rsidRPr="001A3981">
              <w:rPr>
                <w:rFonts w:ascii="Arial" w:hAnsi="Arial" w:cs="Arial"/>
                <w:color w:val="000000"/>
                <w:sz w:val="20"/>
                <w:lang w:val="en-GB"/>
              </w:rPr>
              <w:t>References will be provided for further learning</w:t>
            </w:r>
          </w:p>
        </w:tc>
      </w:tr>
      <w:tr w:rsidR="00B03E40" w:rsidRPr="008A30C2" w:rsidTr="00D2264E">
        <w:tc>
          <w:tcPr>
            <w:tcW w:w="2184" w:type="dxa"/>
            <w:shd w:val="pct5" w:color="auto" w:fill="auto"/>
          </w:tcPr>
          <w:p w:rsidR="00B03E40" w:rsidRPr="008A30C2" w:rsidRDefault="00B03E40" w:rsidP="008A78BD">
            <w:pPr>
              <w:spacing w:before="60" w:after="60" w:line="360" w:lineRule="auto"/>
              <w:rPr>
                <w:rFonts w:ascii="Arial" w:hAnsi="Arial" w:cs="Arial"/>
                <w:b/>
                <w:sz w:val="20"/>
              </w:rPr>
            </w:pPr>
            <w:r w:rsidRPr="008A30C2">
              <w:rPr>
                <w:rFonts w:ascii="Arial" w:hAnsi="Arial" w:cs="Arial"/>
                <w:b/>
                <w:sz w:val="20"/>
              </w:rPr>
              <w:t>Duration</w:t>
            </w:r>
          </w:p>
        </w:tc>
        <w:tc>
          <w:tcPr>
            <w:tcW w:w="7229" w:type="dxa"/>
            <w:vAlign w:val="center"/>
          </w:tcPr>
          <w:p w:rsidR="00B03E40" w:rsidRPr="001A3981" w:rsidRDefault="001A3981" w:rsidP="008A78BD">
            <w:pPr>
              <w:pStyle w:val="Header"/>
              <w:spacing w:before="60" w:after="60"/>
              <w:rPr>
                <w:rFonts w:ascii="Arial" w:hAnsi="Arial" w:cs="Arial"/>
                <w:sz w:val="20"/>
                <w:lang w:val="en-GB"/>
              </w:rPr>
            </w:pPr>
            <w:r>
              <w:rPr>
                <w:rFonts w:ascii="Arial" w:hAnsi="Arial" w:cs="Arial"/>
                <w:sz w:val="20"/>
                <w:lang w:val="en-GB"/>
              </w:rPr>
              <w:t>4 days advanced course</w:t>
            </w:r>
          </w:p>
        </w:tc>
      </w:tr>
      <w:tr w:rsidR="00B03E40" w:rsidRPr="008A30C2" w:rsidTr="00D2264E">
        <w:tc>
          <w:tcPr>
            <w:tcW w:w="2184" w:type="dxa"/>
            <w:shd w:val="pct5" w:color="auto" w:fill="auto"/>
          </w:tcPr>
          <w:p w:rsidR="00B03E40" w:rsidRPr="001A3981" w:rsidRDefault="00B03E40" w:rsidP="008A78BD">
            <w:pPr>
              <w:pStyle w:val="Header"/>
              <w:spacing w:before="60" w:after="60"/>
              <w:rPr>
                <w:rFonts w:ascii="Arial" w:hAnsi="Arial" w:cs="Arial"/>
                <w:b/>
                <w:sz w:val="20"/>
                <w:lang w:val="en-GB"/>
              </w:rPr>
            </w:pPr>
            <w:r w:rsidRPr="001A3981">
              <w:rPr>
                <w:rFonts w:ascii="Arial" w:hAnsi="Arial" w:cs="Arial"/>
                <w:b/>
                <w:sz w:val="20"/>
                <w:lang w:val="en-GB"/>
              </w:rPr>
              <w:t>Participants (max.)</w:t>
            </w:r>
          </w:p>
        </w:tc>
        <w:tc>
          <w:tcPr>
            <w:tcW w:w="7229" w:type="dxa"/>
            <w:vAlign w:val="center"/>
          </w:tcPr>
          <w:p w:rsidR="00B03E40" w:rsidRPr="001A3981" w:rsidRDefault="001A3981" w:rsidP="008A78BD">
            <w:pPr>
              <w:pStyle w:val="Header"/>
              <w:spacing w:before="60" w:after="60"/>
              <w:rPr>
                <w:rFonts w:ascii="Arial" w:hAnsi="Arial" w:cs="Arial"/>
                <w:sz w:val="20"/>
                <w:lang w:val="en-GB"/>
              </w:rPr>
            </w:pPr>
            <w:r>
              <w:rPr>
                <w:rFonts w:ascii="Arial" w:hAnsi="Arial" w:cs="Arial"/>
                <w:sz w:val="20"/>
                <w:lang w:val="en-GB"/>
              </w:rPr>
              <w:t>20</w:t>
            </w:r>
          </w:p>
        </w:tc>
      </w:tr>
      <w:tr w:rsidR="00B03E40" w:rsidRPr="008A30C2" w:rsidTr="00D2264E">
        <w:tc>
          <w:tcPr>
            <w:tcW w:w="2184" w:type="dxa"/>
            <w:shd w:val="pct5" w:color="auto" w:fill="auto"/>
          </w:tcPr>
          <w:p w:rsidR="00B03E40" w:rsidRPr="001A3981" w:rsidRDefault="00B03E40" w:rsidP="008A78BD">
            <w:pPr>
              <w:pStyle w:val="Header"/>
              <w:spacing w:before="60" w:after="60"/>
              <w:rPr>
                <w:rFonts w:ascii="Arial" w:hAnsi="Arial" w:cs="Arial"/>
                <w:b/>
                <w:sz w:val="20"/>
                <w:lang w:val="en-GB"/>
              </w:rPr>
            </w:pPr>
            <w:r w:rsidRPr="001A3981">
              <w:rPr>
                <w:rFonts w:ascii="Arial" w:hAnsi="Arial" w:cs="Arial"/>
                <w:b/>
                <w:sz w:val="20"/>
                <w:lang w:val="en-GB"/>
              </w:rPr>
              <w:t>Documentation</w:t>
            </w:r>
          </w:p>
        </w:tc>
        <w:tc>
          <w:tcPr>
            <w:tcW w:w="7229" w:type="dxa"/>
            <w:vAlign w:val="center"/>
          </w:tcPr>
          <w:p w:rsidR="00B03E40" w:rsidRPr="001A3981" w:rsidRDefault="001A3981" w:rsidP="008A78BD">
            <w:pPr>
              <w:pStyle w:val="Header"/>
              <w:spacing w:before="60" w:after="60"/>
              <w:rPr>
                <w:rFonts w:ascii="Arial" w:hAnsi="Arial" w:cs="Arial"/>
                <w:sz w:val="20"/>
                <w:lang w:val="en-GB"/>
              </w:rPr>
            </w:pPr>
            <w:r>
              <w:rPr>
                <w:rFonts w:ascii="Arial" w:hAnsi="Arial" w:cs="Arial"/>
                <w:sz w:val="20"/>
                <w:lang w:val="en-GB"/>
              </w:rPr>
              <w:t>N/A</w:t>
            </w:r>
          </w:p>
        </w:tc>
      </w:tr>
    </w:tbl>
    <w:p w:rsidR="00BD0B4E" w:rsidRDefault="00BD0B4E"/>
    <w:sectPr w:rsidR="00BD0B4E" w:rsidSect="00BD0B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C5D54"/>
    <w:multiLevelType w:val="hybridMultilevel"/>
    <w:tmpl w:val="31B65850"/>
    <w:lvl w:ilvl="0" w:tplc="08090001">
      <w:start w:val="1"/>
      <w:numFmt w:val="bullet"/>
      <w:lvlText w:val=""/>
      <w:lvlJc w:val="left"/>
      <w:pPr>
        <w:ind w:left="-708" w:hanging="360"/>
      </w:pPr>
      <w:rPr>
        <w:rFonts w:ascii="Symbol" w:hAnsi="Symbol" w:hint="default"/>
      </w:rPr>
    </w:lvl>
    <w:lvl w:ilvl="1" w:tplc="08090003">
      <w:start w:val="1"/>
      <w:numFmt w:val="bullet"/>
      <w:lvlText w:val="o"/>
      <w:lvlJc w:val="left"/>
      <w:pPr>
        <w:ind w:left="12" w:hanging="360"/>
      </w:pPr>
      <w:rPr>
        <w:rFonts w:ascii="Courier New" w:hAnsi="Courier New" w:cs="Courier New" w:hint="default"/>
      </w:rPr>
    </w:lvl>
    <w:lvl w:ilvl="2" w:tplc="08090005">
      <w:start w:val="1"/>
      <w:numFmt w:val="bullet"/>
      <w:lvlText w:val=""/>
      <w:lvlJc w:val="left"/>
      <w:pPr>
        <w:ind w:left="732" w:hanging="360"/>
      </w:pPr>
      <w:rPr>
        <w:rFonts w:ascii="Wingdings" w:hAnsi="Wingdings" w:hint="default"/>
      </w:rPr>
    </w:lvl>
    <w:lvl w:ilvl="3" w:tplc="08090001">
      <w:start w:val="1"/>
      <w:numFmt w:val="bullet"/>
      <w:lvlText w:val=""/>
      <w:lvlJc w:val="left"/>
      <w:pPr>
        <w:ind w:left="1452" w:hanging="360"/>
      </w:pPr>
      <w:rPr>
        <w:rFonts w:ascii="Symbol" w:hAnsi="Symbol" w:hint="default"/>
      </w:rPr>
    </w:lvl>
    <w:lvl w:ilvl="4" w:tplc="08090003">
      <w:start w:val="1"/>
      <w:numFmt w:val="bullet"/>
      <w:lvlText w:val="o"/>
      <w:lvlJc w:val="left"/>
      <w:pPr>
        <w:ind w:left="2172" w:hanging="360"/>
      </w:pPr>
      <w:rPr>
        <w:rFonts w:ascii="Courier New" w:hAnsi="Courier New" w:cs="Courier New" w:hint="default"/>
      </w:rPr>
    </w:lvl>
    <w:lvl w:ilvl="5" w:tplc="08090005">
      <w:start w:val="1"/>
      <w:numFmt w:val="bullet"/>
      <w:lvlText w:val=""/>
      <w:lvlJc w:val="left"/>
      <w:pPr>
        <w:ind w:left="2892" w:hanging="360"/>
      </w:pPr>
      <w:rPr>
        <w:rFonts w:ascii="Wingdings" w:hAnsi="Wingdings" w:hint="default"/>
      </w:rPr>
    </w:lvl>
    <w:lvl w:ilvl="6" w:tplc="08090001">
      <w:start w:val="1"/>
      <w:numFmt w:val="bullet"/>
      <w:lvlText w:val=""/>
      <w:lvlJc w:val="left"/>
      <w:pPr>
        <w:ind w:left="3612" w:hanging="360"/>
      </w:pPr>
      <w:rPr>
        <w:rFonts w:ascii="Symbol" w:hAnsi="Symbol" w:hint="default"/>
      </w:rPr>
    </w:lvl>
    <w:lvl w:ilvl="7" w:tplc="08090003">
      <w:start w:val="1"/>
      <w:numFmt w:val="bullet"/>
      <w:lvlText w:val="o"/>
      <w:lvlJc w:val="left"/>
      <w:pPr>
        <w:ind w:left="4332" w:hanging="360"/>
      </w:pPr>
      <w:rPr>
        <w:rFonts w:ascii="Courier New" w:hAnsi="Courier New" w:cs="Courier New" w:hint="default"/>
      </w:rPr>
    </w:lvl>
    <w:lvl w:ilvl="8" w:tplc="08090005">
      <w:start w:val="1"/>
      <w:numFmt w:val="bullet"/>
      <w:lvlText w:val=""/>
      <w:lvlJc w:val="left"/>
      <w:pPr>
        <w:ind w:left="5052" w:hanging="360"/>
      </w:pPr>
      <w:rPr>
        <w:rFonts w:ascii="Wingdings" w:hAnsi="Wingdings" w:hint="default"/>
      </w:rPr>
    </w:lvl>
  </w:abstractNum>
  <w:abstractNum w:abstractNumId="1">
    <w:nsid w:val="197014C6"/>
    <w:multiLevelType w:val="hybridMultilevel"/>
    <w:tmpl w:val="2474BFCE"/>
    <w:lvl w:ilvl="0" w:tplc="802C8468">
      <w:start w:val="1"/>
      <w:numFmt w:val="bullet"/>
      <w:lvlText w:val=""/>
      <w:lvlJc w:val="left"/>
      <w:pPr>
        <w:tabs>
          <w:tab w:val="num" w:pos="284"/>
        </w:tabs>
        <w:ind w:left="284" w:hanging="284"/>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5AB22BAD"/>
    <w:multiLevelType w:val="hybridMultilevel"/>
    <w:tmpl w:val="6720B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Wingdings"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Wingdings" w:hint="default"/>
      </w:rPr>
    </w:lvl>
    <w:lvl w:ilvl="8" w:tplc="08090005">
      <w:start w:val="1"/>
      <w:numFmt w:val="bullet"/>
      <w:lvlText w:val=""/>
      <w:lvlJc w:val="left"/>
      <w:pPr>
        <w:ind w:left="6120" w:hanging="360"/>
      </w:pPr>
      <w:rPr>
        <w:rFonts w:ascii="Wingdings" w:hAnsi="Wingdings" w:hint="default"/>
      </w:rPr>
    </w:lvl>
  </w:abstractNum>
  <w:abstractNum w:abstractNumId="3">
    <w:nsid w:val="772E5FC9"/>
    <w:multiLevelType w:val="hybridMultilevel"/>
    <w:tmpl w:val="CD30547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docVars>
    <w:docVar w:name="LW_DocType" w:val="NORMAL"/>
  </w:docVars>
  <w:rsids>
    <w:rsidRoot w:val="00B03E40"/>
    <w:rsid w:val="001A3981"/>
    <w:rsid w:val="002702C7"/>
    <w:rsid w:val="002B0039"/>
    <w:rsid w:val="003007E9"/>
    <w:rsid w:val="003B7DDF"/>
    <w:rsid w:val="00474BD3"/>
    <w:rsid w:val="004F7FCA"/>
    <w:rsid w:val="00544ECF"/>
    <w:rsid w:val="00632E65"/>
    <w:rsid w:val="007D41B6"/>
    <w:rsid w:val="008334DB"/>
    <w:rsid w:val="00B03E40"/>
    <w:rsid w:val="00BD0B4E"/>
    <w:rsid w:val="00D2264E"/>
    <w:rsid w:val="00E655AD"/>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line="276" w:lineRule="auto"/>
        <w:ind w:left="284" w:right="5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40"/>
    <w:pPr>
      <w:spacing w:line="240" w:lineRule="auto"/>
      <w:ind w:left="0" w:right="0"/>
      <w:jc w:val="both"/>
    </w:pPr>
    <w:rPr>
      <w:rFonts w:ascii="Garamond" w:eastAsia="Times New Roman" w:hAnsi="Garamond" w:cs="Times New Roman"/>
      <w:sz w:val="24"/>
      <w:szCs w:val="20"/>
      <w:lang w:val="en-GB" w:eastAsia="fr-FR"/>
    </w:rPr>
  </w:style>
  <w:style w:type="paragraph" w:styleId="Heading2">
    <w:name w:val="heading 2"/>
    <w:next w:val="Normal"/>
    <w:link w:val="Heading2Char"/>
    <w:qFormat/>
    <w:rsid w:val="00B03E40"/>
    <w:pPr>
      <w:spacing w:before="360" w:after="240" w:line="240" w:lineRule="auto"/>
      <w:ind w:left="0" w:right="0"/>
      <w:jc w:val="left"/>
      <w:outlineLvl w:val="1"/>
    </w:pPr>
    <w:rPr>
      <w:rFonts w:ascii="Arial Black" w:eastAsia="Times New Roman" w:hAnsi="Arial Black" w:cs="Times New Roman"/>
      <w:b/>
      <w:sz w:val="24"/>
      <w:szCs w:val="20"/>
      <w:lang w:val="en-GB" w:eastAsia="fr-FR"/>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3E40"/>
    <w:rPr>
      <w:rFonts w:ascii="Arial Black" w:eastAsia="Times New Roman" w:hAnsi="Arial Black" w:cs="Times New Roman"/>
      <w:b/>
      <w:sz w:val="24"/>
      <w:szCs w:val="20"/>
      <w:lang w:val="en-GB" w:eastAsia="fr-FR"/>
    </w:rPr>
  </w:style>
  <w:style w:type="paragraph" w:styleId="Header">
    <w:name w:val="header"/>
    <w:basedOn w:val="Normal"/>
    <w:link w:val="HeaderChar"/>
    <w:rsid w:val="00B03E40"/>
    <w:pPr>
      <w:tabs>
        <w:tab w:val="center" w:pos="4536"/>
        <w:tab w:val="right" w:pos="9072"/>
      </w:tabs>
    </w:pPr>
    <w:rPr>
      <w:lang w:val="fr-FR"/>
    </w:rPr>
  </w:style>
  <w:style w:type="character" w:customStyle="1" w:styleId="HeaderChar">
    <w:name w:val="Header Char"/>
    <w:basedOn w:val="DefaultParagraphFont"/>
    <w:link w:val="Header"/>
    <w:rsid w:val="00B03E40"/>
    <w:rPr>
      <w:rFonts w:ascii="Garamond" w:eastAsia="Times New Roman" w:hAnsi="Garamond" w:cs="Times New Roman"/>
      <w:sz w:val="24"/>
      <w:szCs w:val="20"/>
      <w:lang w:val="fr-FR" w:eastAsia="fr-FR"/>
    </w:rPr>
  </w:style>
  <w:style w:type="paragraph" w:customStyle="1" w:styleId="ListParagraph1">
    <w:name w:val="List Paragraph1"/>
    <w:basedOn w:val="Normal"/>
    <w:qFormat/>
    <w:rsid w:val="001A3981"/>
    <w:pPr>
      <w:spacing w:line="276" w:lineRule="auto"/>
      <w:ind w:left="720"/>
      <w:contextualSpacing/>
      <w:jc w:val="right"/>
    </w:pPr>
    <w:rPr>
      <w:rFonts w:ascii="Calibri" w:eastAsia="Calibri" w:hAnsi="Calibri"/>
      <w:sz w:val="22"/>
      <w:szCs w:val="22"/>
      <w:lang w:eastAsia="en-US"/>
    </w:rPr>
  </w:style>
  <w:style w:type="character" w:styleId="CommentReference">
    <w:name w:val="annotation reference"/>
    <w:basedOn w:val="DefaultParagraphFont"/>
    <w:uiPriority w:val="99"/>
    <w:semiHidden/>
    <w:unhideWhenUsed/>
    <w:rsid w:val="007D41B6"/>
    <w:rPr>
      <w:sz w:val="16"/>
      <w:szCs w:val="16"/>
    </w:rPr>
  </w:style>
  <w:style w:type="paragraph" w:styleId="CommentText">
    <w:name w:val="annotation text"/>
    <w:basedOn w:val="Normal"/>
    <w:link w:val="CommentTextChar"/>
    <w:uiPriority w:val="99"/>
    <w:semiHidden/>
    <w:unhideWhenUsed/>
    <w:rsid w:val="007D41B6"/>
    <w:rPr>
      <w:sz w:val="20"/>
    </w:rPr>
  </w:style>
  <w:style w:type="character" w:customStyle="1" w:styleId="CommentTextChar">
    <w:name w:val="Comment Text Char"/>
    <w:basedOn w:val="DefaultParagraphFont"/>
    <w:link w:val="CommentText"/>
    <w:uiPriority w:val="99"/>
    <w:semiHidden/>
    <w:rsid w:val="007D41B6"/>
    <w:rPr>
      <w:rFonts w:ascii="Garamond" w:eastAsia="Times New Roman" w:hAnsi="Garamond" w:cs="Times New Roman"/>
      <w:sz w:val="20"/>
      <w:szCs w:val="20"/>
      <w:lang w:val="en-GB" w:eastAsia="fr-FR"/>
    </w:rPr>
  </w:style>
  <w:style w:type="paragraph" w:styleId="CommentSubject">
    <w:name w:val="annotation subject"/>
    <w:basedOn w:val="CommentText"/>
    <w:next w:val="CommentText"/>
    <w:link w:val="CommentSubjectChar"/>
    <w:uiPriority w:val="99"/>
    <w:semiHidden/>
    <w:unhideWhenUsed/>
    <w:rsid w:val="007D41B6"/>
    <w:rPr>
      <w:b/>
      <w:bCs/>
    </w:rPr>
  </w:style>
  <w:style w:type="character" w:customStyle="1" w:styleId="CommentSubjectChar">
    <w:name w:val="Comment Subject Char"/>
    <w:basedOn w:val="CommentTextChar"/>
    <w:link w:val="CommentSubject"/>
    <w:uiPriority w:val="99"/>
    <w:semiHidden/>
    <w:rsid w:val="007D41B6"/>
    <w:rPr>
      <w:rFonts w:ascii="Garamond" w:eastAsia="Times New Roman" w:hAnsi="Garamond" w:cs="Times New Roman"/>
      <w:b/>
      <w:bCs/>
      <w:sz w:val="20"/>
      <w:szCs w:val="20"/>
      <w:lang w:val="en-GB" w:eastAsia="fr-FR"/>
    </w:rPr>
  </w:style>
  <w:style w:type="paragraph" w:styleId="BalloonText">
    <w:name w:val="Balloon Text"/>
    <w:basedOn w:val="Normal"/>
    <w:link w:val="BalloonTextChar"/>
    <w:uiPriority w:val="99"/>
    <w:semiHidden/>
    <w:unhideWhenUsed/>
    <w:rsid w:val="007D41B6"/>
    <w:rPr>
      <w:rFonts w:ascii="Tahoma" w:hAnsi="Tahoma" w:cs="Tahoma"/>
      <w:sz w:val="16"/>
      <w:szCs w:val="16"/>
    </w:rPr>
  </w:style>
  <w:style w:type="character" w:customStyle="1" w:styleId="BalloonTextChar">
    <w:name w:val="Balloon Text Char"/>
    <w:basedOn w:val="DefaultParagraphFont"/>
    <w:link w:val="BalloonText"/>
    <w:uiPriority w:val="99"/>
    <w:semiHidden/>
    <w:rsid w:val="007D41B6"/>
    <w:rPr>
      <w:rFonts w:ascii="Tahoma" w:eastAsia="Times New Roman" w:hAnsi="Tahoma" w:cs="Tahoma"/>
      <w:sz w:val="16"/>
      <w:szCs w:val="16"/>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line="276" w:lineRule="auto"/>
        <w:ind w:left="284" w:right="5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40"/>
    <w:pPr>
      <w:spacing w:line="240" w:lineRule="auto"/>
      <w:ind w:left="0" w:right="0"/>
      <w:jc w:val="both"/>
    </w:pPr>
    <w:rPr>
      <w:rFonts w:ascii="Garamond" w:eastAsia="Times New Roman" w:hAnsi="Garamond" w:cs="Times New Roman"/>
      <w:sz w:val="24"/>
      <w:szCs w:val="20"/>
      <w:lang w:val="en-GB" w:eastAsia="fr-FR"/>
    </w:rPr>
  </w:style>
  <w:style w:type="paragraph" w:styleId="Heading2">
    <w:name w:val="heading 2"/>
    <w:next w:val="Normal"/>
    <w:link w:val="Heading2Char"/>
    <w:qFormat/>
    <w:rsid w:val="00B03E40"/>
    <w:pPr>
      <w:spacing w:before="360" w:after="240" w:line="240" w:lineRule="auto"/>
      <w:ind w:left="0" w:right="0"/>
      <w:jc w:val="left"/>
      <w:outlineLvl w:val="1"/>
    </w:pPr>
    <w:rPr>
      <w:rFonts w:ascii="Arial Black" w:eastAsia="Times New Roman" w:hAnsi="Arial Black" w:cs="Times New Roman"/>
      <w:b/>
      <w:sz w:val="24"/>
      <w:szCs w:val="20"/>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3E40"/>
    <w:rPr>
      <w:rFonts w:ascii="Arial Black" w:eastAsia="Times New Roman" w:hAnsi="Arial Black" w:cs="Times New Roman"/>
      <w:b/>
      <w:sz w:val="24"/>
      <w:szCs w:val="20"/>
      <w:lang w:val="en-GB" w:eastAsia="fr-FR"/>
    </w:rPr>
  </w:style>
  <w:style w:type="paragraph" w:styleId="Header">
    <w:name w:val="header"/>
    <w:basedOn w:val="Normal"/>
    <w:link w:val="HeaderChar"/>
    <w:rsid w:val="00B03E40"/>
    <w:pPr>
      <w:tabs>
        <w:tab w:val="center" w:pos="4536"/>
        <w:tab w:val="right" w:pos="9072"/>
      </w:tabs>
    </w:pPr>
    <w:rPr>
      <w:lang w:val="fr-FR"/>
    </w:rPr>
  </w:style>
  <w:style w:type="character" w:customStyle="1" w:styleId="HeaderChar">
    <w:name w:val="Header Char"/>
    <w:basedOn w:val="DefaultParagraphFont"/>
    <w:link w:val="Header"/>
    <w:rsid w:val="00B03E40"/>
    <w:rPr>
      <w:rFonts w:ascii="Garamond" w:eastAsia="Times New Roman" w:hAnsi="Garamond" w:cs="Times New Roman"/>
      <w:sz w:val="24"/>
      <w:szCs w:val="20"/>
      <w:lang w:val="fr-FR" w:eastAsia="fr-FR"/>
    </w:rPr>
  </w:style>
  <w:style w:type="paragraph" w:customStyle="1" w:styleId="ListParagraph1">
    <w:name w:val="List Paragraph1"/>
    <w:basedOn w:val="Normal"/>
    <w:qFormat/>
    <w:rsid w:val="001A3981"/>
    <w:pPr>
      <w:spacing w:line="276" w:lineRule="auto"/>
      <w:ind w:left="720"/>
      <w:contextualSpacing/>
      <w:jc w:val="right"/>
    </w:pPr>
    <w:rPr>
      <w:rFonts w:ascii="Calibri" w:eastAsia="Calibri" w:hAnsi="Calibri"/>
      <w:sz w:val="22"/>
      <w:szCs w:val="22"/>
      <w:lang w:eastAsia="en-US"/>
    </w:rPr>
  </w:style>
  <w:style w:type="character" w:styleId="CommentReference">
    <w:name w:val="annotation reference"/>
    <w:basedOn w:val="DefaultParagraphFont"/>
    <w:uiPriority w:val="99"/>
    <w:semiHidden/>
    <w:unhideWhenUsed/>
    <w:rsid w:val="007D41B6"/>
    <w:rPr>
      <w:sz w:val="16"/>
      <w:szCs w:val="16"/>
    </w:rPr>
  </w:style>
  <w:style w:type="paragraph" w:styleId="CommentText">
    <w:name w:val="annotation text"/>
    <w:basedOn w:val="Normal"/>
    <w:link w:val="CommentTextChar"/>
    <w:uiPriority w:val="99"/>
    <w:semiHidden/>
    <w:unhideWhenUsed/>
    <w:rsid w:val="007D41B6"/>
    <w:rPr>
      <w:sz w:val="20"/>
    </w:rPr>
  </w:style>
  <w:style w:type="character" w:customStyle="1" w:styleId="CommentTextChar">
    <w:name w:val="Comment Text Char"/>
    <w:basedOn w:val="DefaultParagraphFont"/>
    <w:link w:val="CommentText"/>
    <w:uiPriority w:val="99"/>
    <w:semiHidden/>
    <w:rsid w:val="007D41B6"/>
    <w:rPr>
      <w:rFonts w:ascii="Garamond" w:eastAsia="Times New Roman" w:hAnsi="Garamond" w:cs="Times New Roman"/>
      <w:sz w:val="20"/>
      <w:szCs w:val="20"/>
      <w:lang w:val="en-GB" w:eastAsia="fr-FR"/>
    </w:rPr>
  </w:style>
  <w:style w:type="paragraph" w:styleId="CommentSubject">
    <w:name w:val="annotation subject"/>
    <w:basedOn w:val="CommentText"/>
    <w:next w:val="CommentText"/>
    <w:link w:val="CommentSubjectChar"/>
    <w:uiPriority w:val="99"/>
    <w:semiHidden/>
    <w:unhideWhenUsed/>
    <w:rsid w:val="007D41B6"/>
    <w:rPr>
      <w:b/>
      <w:bCs/>
    </w:rPr>
  </w:style>
  <w:style w:type="character" w:customStyle="1" w:styleId="CommentSubjectChar">
    <w:name w:val="Comment Subject Char"/>
    <w:basedOn w:val="CommentTextChar"/>
    <w:link w:val="CommentSubject"/>
    <w:uiPriority w:val="99"/>
    <w:semiHidden/>
    <w:rsid w:val="007D41B6"/>
    <w:rPr>
      <w:rFonts w:ascii="Garamond" w:eastAsia="Times New Roman" w:hAnsi="Garamond" w:cs="Times New Roman"/>
      <w:b/>
      <w:bCs/>
      <w:sz w:val="20"/>
      <w:szCs w:val="20"/>
      <w:lang w:val="en-GB" w:eastAsia="fr-FR"/>
    </w:rPr>
  </w:style>
  <w:style w:type="paragraph" w:styleId="BalloonText">
    <w:name w:val="Balloon Text"/>
    <w:basedOn w:val="Normal"/>
    <w:link w:val="BalloonTextChar"/>
    <w:uiPriority w:val="99"/>
    <w:semiHidden/>
    <w:unhideWhenUsed/>
    <w:rsid w:val="007D41B6"/>
    <w:rPr>
      <w:rFonts w:ascii="Tahoma" w:hAnsi="Tahoma" w:cs="Tahoma"/>
      <w:sz w:val="16"/>
      <w:szCs w:val="16"/>
    </w:rPr>
  </w:style>
  <w:style w:type="character" w:customStyle="1" w:styleId="BalloonTextChar">
    <w:name w:val="Balloon Text Char"/>
    <w:basedOn w:val="DefaultParagraphFont"/>
    <w:link w:val="BalloonText"/>
    <w:uiPriority w:val="99"/>
    <w:semiHidden/>
    <w:rsid w:val="007D41B6"/>
    <w:rPr>
      <w:rFonts w:ascii="Tahoma" w:eastAsia="Times New Roman" w:hAnsi="Tahoma" w:cs="Tahoma"/>
      <w:sz w:val="16"/>
      <w:szCs w:val="16"/>
      <w:lang w:val="en-GB" w:eastAsia="fr-FR"/>
    </w:rPr>
  </w:style>
</w:styles>
</file>

<file path=word/webSettings.xml><?xml version="1.0" encoding="utf-8"?>
<w:webSettings xmlns:r="http://schemas.openxmlformats.org/officeDocument/2006/relationships" xmlns:w="http://schemas.openxmlformats.org/wordprocessingml/2006/main">
  <w:divs>
    <w:div w:id="379017734">
      <w:bodyDiv w:val="1"/>
      <w:marLeft w:val="0"/>
      <w:marRight w:val="0"/>
      <w:marTop w:val="0"/>
      <w:marBottom w:val="0"/>
      <w:divBdr>
        <w:top w:val="none" w:sz="0" w:space="0" w:color="auto"/>
        <w:left w:val="none" w:sz="0" w:space="0" w:color="auto"/>
        <w:bottom w:val="none" w:sz="0" w:space="0" w:color="auto"/>
        <w:right w:val="none" w:sz="0" w:space="0" w:color="auto"/>
      </w:divBdr>
    </w:div>
    <w:div w:id="1406147331">
      <w:bodyDiv w:val="1"/>
      <w:marLeft w:val="0"/>
      <w:marRight w:val="0"/>
      <w:marTop w:val="0"/>
      <w:marBottom w:val="0"/>
      <w:divBdr>
        <w:top w:val="none" w:sz="0" w:space="0" w:color="auto"/>
        <w:left w:val="none" w:sz="0" w:space="0" w:color="auto"/>
        <w:bottom w:val="none" w:sz="0" w:space="0" w:color="auto"/>
        <w:right w:val="none" w:sz="0" w:space="0" w:color="auto"/>
      </w:divBdr>
    </w:div>
    <w:div w:id="1722828863">
      <w:bodyDiv w:val="1"/>
      <w:marLeft w:val="0"/>
      <w:marRight w:val="0"/>
      <w:marTop w:val="0"/>
      <w:marBottom w:val="0"/>
      <w:divBdr>
        <w:top w:val="none" w:sz="0" w:space="0" w:color="auto"/>
        <w:left w:val="none" w:sz="0" w:space="0" w:color="auto"/>
        <w:bottom w:val="none" w:sz="0" w:space="0" w:color="auto"/>
        <w:right w:val="none" w:sz="0" w:space="0" w:color="auto"/>
      </w:divBdr>
    </w:div>
    <w:div w:id="20947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2901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SAINTRAINT Antoine (DEVCO)</dc:creator>
  <cp:lastModifiedBy>chloe</cp:lastModifiedBy>
  <cp:revision>2</cp:revision>
  <dcterms:created xsi:type="dcterms:W3CDTF">2014-02-18T11:30:00Z</dcterms:created>
  <dcterms:modified xsi:type="dcterms:W3CDTF">2014-02-18T11:30:00Z</dcterms:modified>
</cp:coreProperties>
</file>