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24" w:rsidRPr="00733CAC" w:rsidRDefault="00D17433" w:rsidP="00D17433">
      <w:pPr>
        <w:spacing w:after="120"/>
        <w:jc w:val="center"/>
        <w:rPr>
          <w:b/>
          <w:u w:val="single"/>
        </w:rPr>
      </w:pPr>
      <w:r w:rsidRPr="00733CAC">
        <w:rPr>
          <w:b/>
          <w:u w:val="single"/>
        </w:rPr>
        <w:t>Key messages from Development Partner</w:t>
      </w:r>
      <w:r w:rsidR="009C02B2" w:rsidRPr="00733CAC">
        <w:rPr>
          <w:b/>
          <w:u w:val="single"/>
        </w:rPr>
        <w:t xml:space="preserve"> participants following the “CAADP 10 years on: Dialogue to improve implementation, coordination and alignment with national agriculture investment plans (NAIP)”</w:t>
      </w:r>
      <w:r w:rsidR="009D4FAB" w:rsidRPr="00733CAC">
        <w:rPr>
          <w:b/>
          <w:u w:val="single"/>
        </w:rPr>
        <w:t xml:space="preserve"> held in Addis Ab</w:t>
      </w:r>
      <w:r w:rsidR="00C9288A" w:rsidRPr="00733CAC">
        <w:rPr>
          <w:b/>
          <w:u w:val="single"/>
        </w:rPr>
        <w:t>a</w:t>
      </w:r>
      <w:r w:rsidR="009D4FAB" w:rsidRPr="00733CAC">
        <w:rPr>
          <w:b/>
          <w:u w:val="single"/>
        </w:rPr>
        <w:t>ba, 11-13th February 2014</w:t>
      </w:r>
    </w:p>
    <w:p w:rsidR="00FD4370" w:rsidRPr="00733CAC" w:rsidRDefault="00FD4370" w:rsidP="00A20540">
      <w:pPr>
        <w:spacing w:before="240" w:after="120"/>
        <w:jc w:val="both"/>
      </w:pPr>
      <w:r w:rsidRPr="00733CAC">
        <w:t>The “CAADP 10 years on: Dialogue to improve implementation, coordination and alignment with national agriculture investment plans (NAIP)”</w:t>
      </w:r>
      <w:r w:rsidR="007F11FA" w:rsidRPr="00733CAC">
        <w:t xml:space="preserve"> has brought together </w:t>
      </w:r>
      <w:r w:rsidR="00065DAA" w:rsidRPr="00733CAC">
        <w:t xml:space="preserve">a significant number of </w:t>
      </w:r>
      <w:r w:rsidR="00360438" w:rsidRPr="00733CAC">
        <w:t xml:space="preserve">key </w:t>
      </w:r>
      <w:r w:rsidR="00065DAA" w:rsidRPr="00733CAC">
        <w:t>country and regional level officers that manage the implementation of national agricultural investment plans and CAADP processes on a day to day basis.</w:t>
      </w:r>
    </w:p>
    <w:p w:rsidR="00FD4370" w:rsidRPr="00733CAC" w:rsidRDefault="00FF30B8" w:rsidP="00D17433">
      <w:pPr>
        <w:spacing w:after="120"/>
        <w:jc w:val="both"/>
      </w:pPr>
      <w:r w:rsidRPr="00733CAC">
        <w:t xml:space="preserve">The level of participation and engagement and the quality of the discussion has been commendable. </w:t>
      </w:r>
      <w:r w:rsidR="00FD4370" w:rsidRPr="00733CAC">
        <w:t>So as to capitalise</w:t>
      </w:r>
      <w:r w:rsidR="007F11FA" w:rsidRPr="00733CAC">
        <w:t xml:space="preserve"> on the momentum created by the</w:t>
      </w:r>
      <w:r w:rsidR="00FD4370" w:rsidRPr="00733CAC">
        <w:t xml:space="preserve"> event</w:t>
      </w:r>
      <w:r w:rsidR="007F11FA" w:rsidRPr="00733CAC">
        <w:t>,</w:t>
      </w:r>
      <w:r w:rsidR="00D17433" w:rsidRPr="00733CAC">
        <w:t xml:space="preserve"> Development P</w:t>
      </w:r>
      <w:r w:rsidR="00FD4370" w:rsidRPr="00733CAC">
        <w:t>artners</w:t>
      </w:r>
      <w:r w:rsidR="00D17433" w:rsidRPr="00733CAC">
        <w:t xml:space="preserve"> (DP)</w:t>
      </w:r>
      <w:r w:rsidR="00FD4370" w:rsidRPr="00733CAC">
        <w:t xml:space="preserve"> wish to</w:t>
      </w:r>
      <w:r w:rsidR="00A20540" w:rsidRPr="00733CAC">
        <w:t xml:space="preserve"> highlight and</w:t>
      </w:r>
      <w:r w:rsidR="00FD4370" w:rsidRPr="00733CAC">
        <w:t xml:space="preserve"> </w:t>
      </w:r>
      <w:r w:rsidR="00217AB7" w:rsidRPr="00733CAC">
        <w:t xml:space="preserve">share </w:t>
      </w:r>
      <w:r w:rsidR="003612D3" w:rsidRPr="00733CAC">
        <w:t>the following</w:t>
      </w:r>
      <w:r w:rsidR="00217AB7" w:rsidRPr="00733CAC">
        <w:t xml:space="preserve"> </w:t>
      </w:r>
      <w:r w:rsidR="000878F5" w:rsidRPr="00733CAC">
        <w:t>messages</w:t>
      </w:r>
      <w:r w:rsidR="00FD4370" w:rsidRPr="00733CAC">
        <w:t>:</w:t>
      </w:r>
    </w:p>
    <w:p w:rsidR="00FD4370" w:rsidRPr="00733CAC" w:rsidRDefault="00FD4370" w:rsidP="00D17433">
      <w:pPr>
        <w:spacing w:after="120"/>
        <w:jc w:val="both"/>
      </w:pPr>
      <w:r w:rsidRPr="00733CAC">
        <w:rPr>
          <w:bdr w:val="single" w:sz="4" w:space="0" w:color="auto"/>
        </w:rPr>
        <w:t>1.</w:t>
      </w:r>
      <w:r w:rsidRPr="00733CAC">
        <w:t xml:space="preserve"> AU Year of Agriculture 2014 </w:t>
      </w:r>
      <w:r w:rsidR="00D2238C" w:rsidRPr="00733CAC">
        <w:t>offers a series of opportunities which must be seized to</w:t>
      </w:r>
      <w:r w:rsidRPr="00733CAC">
        <w:t xml:space="preserve"> enable CAADP t</w:t>
      </w:r>
      <w:r w:rsidR="00D2238C" w:rsidRPr="00733CAC">
        <w:t xml:space="preserve">o </w:t>
      </w:r>
      <w:r w:rsidR="000878F5" w:rsidRPr="00733CAC">
        <w:t xml:space="preserve">effectively </w:t>
      </w:r>
      <w:r w:rsidR="00D2238C" w:rsidRPr="00733CAC">
        <w:t xml:space="preserve">translate into </w:t>
      </w:r>
      <w:r w:rsidR="004B6281" w:rsidRPr="00733CAC">
        <w:t>results</w:t>
      </w:r>
      <w:r w:rsidR="00D2238C" w:rsidRPr="00733CAC">
        <w:t xml:space="preserve"> at coun</w:t>
      </w:r>
      <w:r w:rsidRPr="00733CAC">
        <w:t xml:space="preserve">try </w:t>
      </w:r>
      <w:r w:rsidR="00782755" w:rsidRPr="00733CAC">
        <w:t xml:space="preserve">and regional </w:t>
      </w:r>
      <w:r w:rsidRPr="00733CAC">
        <w:t>level</w:t>
      </w:r>
      <w:r w:rsidR="002B2B7F" w:rsidRPr="00733CAC">
        <w:t>.</w:t>
      </w:r>
    </w:p>
    <w:p w:rsidR="00FD4370" w:rsidRPr="00733CAC" w:rsidRDefault="00D2238C" w:rsidP="00D17433">
      <w:pPr>
        <w:spacing w:after="120"/>
        <w:jc w:val="both"/>
      </w:pPr>
      <w:r w:rsidRPr="00733CAC">
        <w:rPr>
          <w:bdr w:val="single" w:sz="4" w:space="0" w:color="auto"/>
        </w:rPr>
        <w:t>2.</w:t>
      </w:r>
      <w:r w:rsidRPr="00733CAC">
        <w:t xml:space="preserve"> For this to materialise, DPs commit to support the elaboration of a common partnership agreement</w:t>
      </w:r>
      <w:r w:rsidR="00FF30B8" w:rsidRPr="00733CAC">
        <w:t>,</w:t>
      </w:r>
      <w:r w:rsidR="0023674A" w:rsidRPr="00733CAC">
        <w:t xml:space="preserve"> </w:t>
      </w:r>
      <w:r w:rsidR="00FF30B8" w:rsidRPr="00733CAC">
        <w:t xml:space="preserve">led by AUC/NPCA, </w:t>
      </w:r>
      <w:r w:rsidR="0023674A" w:rsidRPr="00733CAC">
        <w:t xml:space="preserve">which, by </w:t>
      </w:r>
      <w:r w:rsidRPr="00733CAC">
        <w:t>lay</w:t>
      </w:r>
      <w:r w:rsidR="0023674A" w:rsidRPr="00733CAC">
        <w:t>ing</w:t>
      </w:r>
      <w:r w:rsidRPr="00733CAC">
        <w:t xml:space="preserve"> out clear roles and responsibilities for each C</w:t>
      </w:r>
      <w:r w:rsidR="0023674A" w:rsidRPr="00733CAC">
        <w:t>AADP stakeholder, describing</w:t>
      </w:r>
      <w:r w:rsidRPr="00733CAC">
        <w:t xml:space="preserve"> relations</w:t>
      </w:r>
      <w:r w:rsidR="003F21BA" w:rsidRPr="00733CAC">
        <w:t>hip</w:t>
      </w:r>
      <w:r w:rsidR="0023674A" w:rsidRPr="00733CAC">
        <w:t>s</w:t>
      </w:r>
      <w:r w:rsidRPr="00733CAC">
        <w:t xml:space="preserve"> and related decisional structures</w:t>
      </w:r>
      <w:r w:rsidR="003F21BA" w:rsidRPr="00733CAC">
        <w:t>, as well as</w:t>
      </w:r>
      <w:r w:rsidRPr="00733CAC">
        <w:t xml:space="preserve"> </w:t>
      </w:r>
      <w:r w:rsidR="003F21BA" w:rsidRPr="00733CAC">
        <w:t>functioning</w:t>
      </w:r>
      <w:r w:rsidRPr="00733CAC">
        <w:t xml:space="preserve"> </w:t>
      </w:r>
      <w:r w:rsidR="003F21BA" w:rsidRPr="00733CAC">
        <w:t xml:space="preserve">principles and </w:t>
      </w:r>
      <w:r w:rsidR="0023674A" w:rsidRPr="00733CAC">
        <w:t>modalities</w:t>
      </w:r>
      <w:r w:rsidR="00FF30B8" w:rsidRPr="00733CAC">
        <w:t xml:space="preserve"> at the continental level</w:t>
      </w:r>
      <w:r w:rsidR="0023674A" w:rsidRPr="00733CAC">
        <w:t>, will support coordination and efficiency</w:t>
      </w:r>
      <w:r w:rsidR="00FF30B8" w:rsidRPr="00733CAC">
        <w:t xml:space="preserve"> in delivering CAADP support aligned to national priorities</w:t>
      </w:r>
      <w:r w:rsidR="0023674A" w:rsidRPr="00733CAC">
        <w:t>.</w:t>
      </w:r>
    </w:p>
    <w:p w:rsidR="00FD4370" w:rsidRPr="00733CAC" w:rsidRDefault="003F21BA" w:rsidP="00D17433">
      <w:pPr>
        <w:spacing w:after="120"/>
        <w:jc w:val="both"/>
      </w:pPr>
      <w:r w:rsidRPr="00733CAC">
        <w:rPr>
          <w:bdr w:val="single" w:sz="4" w:space="0" w:color="auto"/>
        </w:rPr>
        <w:t>3.</w:t>
      </w:r>
      <w:r w:rsidRPr="00733CAC">
        <w:t xml:space="preserve"> </w:t>
      </w:r>
      <w:r w:rsidR="008E16EB" w:rsidRPr="00733CAC">
        <w:t>The CAADP continental</w:t>
      </w:r>
      <w:r w:rsidRPr="00733CAC">
        <w:t xml:space="preserve"> Results Framework</w:t>
      </w:r>
      <w:r w:rsidR="008E16EB" w:rsidRPr="00733CAC">
        <w:t>,</w:t>
      </w:r>
      <w:r w:rsidRPr="00733CAC">
        <w:t xml:space="preserve"> </w:t>
      </w:r>
      <w:r w:rsidR="008E16EB" w:rsidRPr="00733CAC">
        <w:t xml:space="preserve">underlying the new CAADP Strategy for 2014-2023 (CAADP: Sustaining the Momentum), </w:t>
      </w:r>
      <w:r w:rsidR="006E4779" w:rsidRPr="00733CAC">
        <w:t xml:space="preserve">will clarify the goals and objectives of </w:t>
      </w:r>
      <w:r w:rsidR="008E16EB" w:rsidRPr="00733CAC">
        <w:t>CAADP in the next decade</w:t>
      </w:r>
      <w:r w:rsidR="006E4779" w:rsidRPr="00733CAC">
        <w:t xml:space="preserve"> and</w:t>
      </w:r>
      <w:r w:rsidRPr="00733CAC">
        <w:t xml:space="preserve"> </w:t>
      </w:r>
      <w:r w:rsidR="008E16EB" w:rsidRPr="00733CAC">
        <w:t>guide</w:t>
      </w:r>
      <w:r w:rsidRPr="00733CAC">
        <w:t xml:space="preserve"> </w:t>
      </w:r>
      <w:r w:rsidR="0023674A" w:rsidRPr="00733CAC">
        <w:t xml:space="preserve">harmonisation, </w:t>
      </w:r>
      <w:r w:rsidRPr="00733CAC">
        <w:t>alignment and mutual accountability of all CAADP partners.</w:t>
      </w:r>
    </w:p>
    <w:p w:rsidR="003F21BA" w:rsidRPr="00733CAC" w:rsidRDefault="003F21BA" w:rsidP="00D17433">
      <w:pPr>
        <w:spacing w:after="120"/>
        <w:jc w:val="both"/>
      </w:pPr>
      <w:r w:rsidRPr="00733CAC">
        <w:rPr>
          <w:bdr w:val="single" w:sz="4" w:space="0" w:color="auto"/>
        </w:rPr>
        <w:t>4.</w:t>
      </w:r>
      <w:r w:rsidR="00D17433" w:rsidRPr="00733CAC">
        <w:t xml:space="preserve"> DPs are</w:t>
      </w:r>
      <w:r w:rsidRPr="00733CAC">
        <w:t xml:space="preserve"> supportive of an ambitious AU summit declaration in Malabo in June</w:t>
      </w:r>
      <w:r w:rsidR="008E16EB" w:rsidRPr="00733CAC">
        <w:t xml:space="preserve"> 2014</w:t>
      </w:r>
      <w:r w:rsidR="0023674A" w:rsidRPr="00733CAC">
        <w:t xml:space="preserve"> </w:t>
      </w:r>
      <w:r w:rsidR="00A82F97" w:rsidRPr="00733CAC">
        <w:t xml:space="preserve">that demonstrates </w:t>
      </w:r>
      <w:r w:rsidR="00681FAD" w:rsidRPr="00733CAC">
        <w:t>renewed</w:t>
      </w:r>
      <w:r w:rsidR="0023674A" w:rsidRPr="00733CAC">
        <w:t xml:space="preserve"> high level African commitment towards CAADP</w:t>
      </w:r>
      <w:r w:rsidR="008E16EB" w:rsidRPr="00733CAC">
        <w:t>, including supporting common continental priorities for transformation of the agriculture sector in the continent</w:t>
      </w:r>
      <w:r w:rsidR="0023674A" w:rsidRPr="00733CAC">
        <w:t>.</w:t>
      </w:r>
    </w:p>
    <w:p w:rsidR="003F21BA" w:rsidRPr="00733CAC" w:rsidRDefault="007F11FA" w:rsidP="00D17433">
      <w:pPr>
        <w:spacing w:after="120"/>
        <w:jc w:val="both"/>
      </w:pPr>
      <w:r w:rsidRPr="00733CAC">
        <w:rPr>
          <w:bdr w:val="single" w:sz="4" w:space="0" w:color="auto"/>
        </w:rPr>
        <w:t>5.</w:t>
      </w:r>
      <w:r w:rsidRPr="00733CAC">
        <w:t xml:space="preserve"> </w:t>
      </w:r>
      <w:r w:rsidR="00D17433" w:rsidRPr="00733CAC">
        <w:t>Within such a context</w:t>
      </w:r>
      <w:r w:rsidR="003F21BA" w:rsidRPr="00733CAC">
        <w:t xml:space="preserve">, Development Partners </w:t>
      </w:r>
      <w:r w:rsidR="00D17433" w:rsidRPr="00733CAC">
        <w:t xml:space="preserve">specifically </w:t>
      </w:r>
      <w:r w:rsidR="006E4779" w:rsidRPr="00733CAC">
        <w:t xml:space="preserve">will </w:t>
      </w:r>
      <w:r w:rsidR="00217AB7" w:rsidRPr="00733CAC">
        <w:t xml:space="preserve">endeavour </w:t>
      </w:r>
      <w:r w:rsidR="003F21BA" w:rsidRPr="00733CAC">
        <w:t>to:</w:t>
      </w:r>
    </w:p>
    <w:p w:rsidR="00DE4F8B" w:rsidRPr="00733CAC" w:rsidRDefault="007F11FA" w:rsidP="00D17433">
      <w:pPr>
        <w:spacing w:after="120"/>
        <w:ind w:left="426"/>
        <w:jc w:val="both"/>
      </w:pPr>
      <w:r w:rsidRPr="00733CAC">
        <w:t>a)</w:t>
      </w:r>
      <w:r w:rsidR="008140BD" w:rsidRPr="00733CAC">
        <w:t xml:space="preserve"> H</w:t>
      </w:r>
      <w:r w:rsidR="00355C17" w:rsidRPr="00733CAC">
        <w:t xml:space="preserve">armonise their </w:t>
      </w:r>
      <w:r w:rsidR="0028083E" w:rsidRPr="00733CAC">
        <w:t xml:space="preserve">approaches, </w:t>
      </w:r>
      <w:r w:rsidR="00355C17" w:rsidRPr="00733CAC">
        <w:t>practices</w:t>
      </w:r>
      <w:r w:rsidR="0028083E" w:rsidRPr="00733CAC">
        <w:t xml:space="preserve"> and procedures,</w:t>
      </w:r>
      <w:r w:rsidR="00355C17" w:rsidRPr="00733CAC">
        <w:t xml:space="preserve"> and coordinate</w:t>
      </w:r>
      <w:r w:rsidR="008140BD" w:rsidRPr="00733CAC">
        <w:t xml:space="preserve"> at country </w:t>
      </w:r>
      <w:r w:rsidR="00AA1BED" w:rsidRPr="00733CAC">
        <w:t xml:space="preserve">and regional </w:t>
      </w:r>
      <w:r w:rsidR="008140BD" w:rsidRPr="00733CAC">
        <w:t>level</w:t>
      </w:r>
      <w:r w:rsidR="00AA1BED" w:rsidRPr="00733CAC">
        <w:t>,</w:t>
      </w:r>
      <w:r w:rsidR="008140BD" w:rsidRPr="00733CAC">
        <w:t xml:space="preserve"> both between themselves and</w:t>
      </w:r>
      <w:r w:rsidR="00355C17" w:rsidRPr="00733CAC">
        <w:t xml:space="preserve"> with high level authorities</w:t>
      </w:r>
      <w:r w:rsidR="008140BD" w:rsidRPr="00733CAC">
        <w:t>,</w:t>
      </w:r>
      <w:r w:rsidR="00355C17" w:rsidRPr="00733CAC">
        <w:t xml:space="preserve"> so as to increase further alignment and aid efficiency</w:t>
      </w:r>
      <w:r w:rsidR="00E923FA" w:rsidRPr="00733CAC">
        <w:t xml:space="preserve"> (</w:t>
      </w:r>
      <w:r w:rsidR="00AA1BED" w:rsidRPr="00733CAC">
        <w:t xml:space="preserve">through Agricultural Sector Working Groups (ASWG) and </w:t>
      </w:r>
      <w:r w:rsidR="00975E64" w:rsidRPr="00733CAC">
        <w:t>including</w:t>
      </w:r>
      <w:r w:rsidR="00E923FA" w:rsidRPr="00733CAC">
        <w:t xml:space="preserve"> multi</w:t>
      </w:r>
      <w:r w:rsidR="00975E64" w:rsidRPr="00733CAC">
        <w:t>-</w:t>
      </w:r>
      <w:r w:rsidR="00E923FA" w:rsidRPr="00733CAC">
        <w:t>donor basket funds</w:t>
      </w:r>
      <w:r w:rsidR="00A7035D" w:rsidRPr="00733CAC">
        <w:t xml:space="preserve"> and sector</w:t>
      </w:r>
      <w:r w:rsidR="008C0BFD" w:rsidRPr="00733CAC">
        <w:t xml:space="preserve"> budget support</w:t>
      </w:r>
      <w:r w:rsidR="006E4779" w:rsidRPr="00733CAC">
        <w:t xml:space="preserve"> whenever possible</w:t>
      </w:r>
      <w:r w:rsidRPr="00733CAC">
        <w:t>);</w:t>
      </w:r>
    </w:p>
    <w:p w:rsidR="00A95AB7" w:rsidRPr="00733CAC" w:rsidRDefault="007F11FA" w:rsidP="00D17433">
      <w:pPr>
        <w:spacing w:after="120"/>
        <w:ind w:left="426"/>
        <w:jc w:val="both"/>
      </w:pPr>
      <w:r w:rsidRPr="00733CAC">
        <w:t>b)</w:t>
      </w:r>
      <w:r w:rsidR="00A95AB7" w:rsidRPr="00733CAC">
        <w:t xml:space="preserve"> </w:t>
      </w:r>
      <w:r w:rsidR="00DB1EA4" w:rsidRPr="00733CAC">
        <w:t xml:space="preserve">Promote programme approaches </w:t>
      </w:r>
      <w:r w:rsidR="00733CAC">
        <w:t>and</w:t>
      </w:r>
      <w:r w:rsidR="00DB1EA4" w:rsidRPr="00733CAC">
        <w:t xml:space="preserve"> avoid competing initiatives and parallel bilateral financing</w:t>
      </w:r>
      <w:r w:rsidR="00733CAC">
        <w:t>;</w:t>
      </w:r>
    </w:p>
    <w:p w:rsidR="003F21BA" w:rsidRPr="00733CAC" w:rsidRDefault="007F11FA" w:rsidP="00D17433">
      <w:pPr>
        <w:spacing w:after="120"/>
        <w:ind w:left="426"/>
        <w:jc w:val="both"/>
      </w:pPr>
      <w:r w:rsidRPr="00733CAC">
        <w:t>c)</w:t>
      </w:r>
      <w:r w:rsidR="00BF435F" w:rsidRPr="00733CAC">
        <w:t xml:space="preserve"> </w:t>
      </w:r>
      <w:r w:rsidR="00DE4F8B" w:rsidRPr="00733CAC">
        <w:t>M</w:t>
      </w:r>
      <w:r w:rsidR="00BF435F" w:rsidRPr="00733CAC">
        <w:t>obilise</w:t>
      </w:r>
      <w:r w:rsidR="003F21BA" w:rsidRPr="00733CAC">
        <w:t xml:space="preserve"> high level commitment at the level of individual countries</w:t>
      </w:r>
      <w:r w:rsidRPr="00733CAC">
        <w:t>;</w:t>
      </w:r>
    </w:p>
    <w:p w:rsidR="00047D37" w:rsidRPr="00733CAC" w:rsidRDefault="00047D37" w:rsidP="00D17433">
      <w:pPr>
        <w:spacing w:after="120"/>
        <w:ind w:left="426"/>
        <w:jc w:val="both"/>
      </w:pPr>
      <w:r w:rsidRPr="00733CAC">
        <w:t>d) Step up CAADP support whilst remaining vigilant to absorption capacity;</w:t>
      </w:r>
    </w:p>
    <w:p w:rsidR="00E923FA" w:rsidRPr="00733CAC" w:rsidRDefault="00047D37" w:rsidP="00D17433">
      <w:pPr>
        <w:spacing w:after="120"/>
        <w:ind w:left="426"/>
        <w:jc w:val="both"/>
      </w:pPr>
      <w:r w:rsidRPr="00733CAC">
        <w:t>e</w:t>
      </w:r>
      <w:r w:rsidR="007F11FA" w:rsidRPr="00733CAC">
        <w:t>)</w:t>
      </w:r>
      <w:r w:rsidR="00E923FA" w:rsidRPr="00733CAC">
        <w:t xml:space="preserve"> </w:t>
      </w:r>
      <w:r w:rsidRPr="00733CAC">
        <w:t>Contribute to clos</w:t>
      </w:r>
      <w:r w:rsidR="00733CAC">
        <w:t>e</w:t>
      </w:r>
      <w:r w:rsidR="008C0BFD" w:rsidRPr="00733CAC">
        <w:t xml:space="preserve"> financing gap</w:t>
      </w:r>
      <w:r w:rsidR="00C700C4" w:rsidRPr="00733CAC">
        <w:t>s</w:t>
      </w:r>
      <w:r w:rsidR="008C0BFD" w:rsidRPr="00733CAC">
        <w:t xml:space="preserve"> </w:t>
      </w:r>
      <w:r w:rsidR="00E923FA" w:rsidRPr="00733CAC">
        <w:t>at national level</w:t>
      </w:r>
      <w:r w:rsidR="00975E64" w:rsidRPr="00733CAC">
        <w:t>,</w:t>
      </w:r>
      <w:r w:rsidRPr="00733CAC">
        <w:t xml:space="preserve"> but only when government</w:t>
      </w:r>
      <w:r w:rsidR="00975E64" w:rsidRPr="00733CAC">
        <w:t>s</w:t>
      </w:r>
      <w:r w:rsidRPr="00733CAC">
        <w:t xml:space="preserve"> </w:t>
      </w:r>
      <w:r w:rsidR="0054023E" w:rsidRPr="00733CAC">
        <w:t>are providing leadership and showing responsibility in filling the</w:t>
      </w:r>
      <w:r w:rsidR="00733CAC">
        <w:t>m</w:t>
      </w:r>
      <w:r w:rsidRPr="00733CAC">
        <w:t>, so as to reduce</w:t>
      </w:r>
      <w:r w:rsidR="00E923FA" w:rsidRPr="00733CAC">
        <w:t xml:space="preserve"> dependence</w:t>
      </w:r>
      <w:r w:rsidR="008C0BFD" w:rsidRPr="00733CAC">
        <w:t xml:space="preserve"> on external support</w:t>
      </w:r>
      <w:r w:rsidR="007F11FA" w:rsidRPr="00733CAC">
        <w:t>;</w:t>
      </w:r>
    </w:p>
    <w:p w:rsidR="008140BD" w:rsidRPr="00733CAC" w:rsidRDefault="00047D37" w:rsidP="00D17433">
      <w:pPr>
        <w:spacing w:after="120"/>
        <w:ind w:left="426"/>
        <w:jc w:val="both"/>
      </w:pPr>
      <w:r w:rsidRPr="00733CAC">
        <w:t>f</w:t>
      </w:r>
      <w:r w:rsidR="007F11FA" w:rsidRPr="00733CAC">
        <w:t>)</w:t>
      </w:r>
      <w:r w:rsidR="008140BD" w:rsidRPr="00733CAC">
        <w:t xml:space="preserve"> Support improved engagement </w:t>
      </w:r>
      <w:r w:rsidR="0028083E" w:rsidRPr="00733CAC">
        <w:t xml:space="preserve">and coordination </w:t>
      </w:r>
      <w:r w:rsidR="008140BD" w:rsidRPr="00733CAC">
        <w:t>of donor teams at regional level</w:t>
      </w:r>
      <w:r w:rsidR="007F11FA" w:rsidRPr="00733CAC">
        <w:t>;</w:t>
      </w:r>
    </w:p>
    <w:p w:rsidR="0054023E" w:rsidRPr="00733CAC" w:rsidRDefault="0054023E" w:rsidP="00D17433">
      <w:pPr>
        <w:spacing w:after="120"/>
        <w:ind w:left="426"/>
        <w:jc w:val="both"/>
      </w:pPr>
      <w:r w:rsidRPr="00733CAC">
        <w:t>g) Support increased efforts at the HQ level to align with continental, regional and country systems to oversee and track performance of CAADP</w:t>
      </w:r>
      <w:r w:rsidR="00975E64" w:rsidRPr="00733CAC">
        <w:t>;</w:t>
      </w:r>
    </w:p>
    <w:p w:rsidR="008140BD" w:rsidRPr="00733CAC" w:rsidRDefault="0054023E" w:rsidP="00D17433">
      <w:pPr>
        <w:spacing w:after="120"/>
        <w:ind w:left="426"/>
        <w:jc w:val="both"/>
      </w:pPr>
      <w:r w:rsidRPr="00733CAC">
        <w:t>h</w:t>
      </w:r>
      <w:r w:rsidR="007F11FA" w:rsidRPr="00733CAC">
        <w:t>)</w:t>
      </w:r>
      <w:r w:rsidR="007D3D01" w:rsidRPr="00733CAC">
        <w:t xml:space="preserve"> Strengthen</w:t>
      </w:r>
      <w:r w:rsidR="008140BD" w:rsidRPr="00733CAC">
        <w:t xml:space="preserve"> dialog</w:t>
      </w:r>
      <w:r w:rsidR="0028083E" w:rsidRPr="00733CAC">
        <w:t xml:space="preserve"> and coordination</w:t>
      </w:r>
      <w:r w:rsidR="008140BD" w:rsidRPr="00733CAC">
        <w:t xml:space="preserve"> between </w:t>
      </w:r>
      <w:r w:rsidR="00A20540" w:rsidRPr="00733CAC">
        <w:t>h</w:t>
      </w:r>
      <w:r w:rsidR="007D3D01" w:rsidRPr="00733CAC">
        <w:t>eadquarters and country teams around</w:t>
      </w:r>
      <w:r w:rsidR="008140BD" w:rsidRPr="00733CAC">
        <w:t xml:space="preserve"> agricultural development processes</w:t>
      </w:r>
      <w:r w:rsidR="00856641" w:rsidRPr="00733CAC">
        <w:t xml:space="preserve"> and programmes </w:t>
      </w:r>
      <w:r w:rsidR="008140BD" w:rsidRPr="00733CAC">
        <w:t>at wider geographical levels</w:t>
      </w:r>
      <w:r w:rsidR="007F11FA" w:rsidRPr="00733CAC">
        <w:t>;</w:t>
      </w:r>
    </w:p>
    <w:p w:rsidR="003F21BA" w:rsidRPr="00733CAC" w:rsidRDefault="00975E64" w:rsidP="00D17433">
      <w:pPr>
        <w:spacing w:after="120"/>
        <w:ind w:left="426"/>
        <w:jc w:val="both"/>
      </w:pPr>
      <w:r w:rsidRPr="00733CAC">
        <w:lastRenderedPageBreak/>
        <w:t>i</w:t>
      </w:r>
      <w:r w:rsidR="007F11FA" w:rsidRPr="00733CAC">
        <w:t>)</w:t>
      </w:r>
      <w:r w:rsidR="00DE4F8B" w:rsidRPr="00733CAC">
        <w:t xml:space="preserve"> </w:t>
      </w:r>
      <w:r w:rsidR="00217AB7" w:rsidRPr="00733CAC">
        <w:t>Involve</w:t>
      </w:r>
      <w:r w:rsidR="003F21BA" w:rsidRPr="00733CAC">
        <w:t xml:space="preserve"> Senior </w:t>
      </w:r>
      <w:r w:rsidR="00217AB7" w:rsidRPr="00733CAC">
        <w:t>Officers</w:t>
      </w:r>
      <w:r w:rsidR="00047D37" w:rsidRPr="00733CAC">
        <w:t xml:space="preserve"> </w:t>
      </w:r>
      <w:r w:rsidR="003F21BA" w:rsidRPr="00733CAC">
        <w:t>to mobilise high level commitment towards CAADP</w:t>
      </w:r>
      <w:r w:rsidR="00047D37" w:rsidRPr="00733CAC">
        <w:t>, maximise</w:t>
      </w:r>
      <w:r w:rsidR="003F21BA" w:rsidRPr="00733CAC">
        <w:t xml:space="preserve"> alignment and contribute to scaling up CAADP support, particularly</w:t>
      </w:r>
      <w:r w:rsidR="007F11FA" w:rsidRPr="00733CAC">
        <w:t xml:space="preserve"> at national levels;</w:t>
      </w:r>
    </w:p>
    <w:p w:rsidR="00975E64" w:rsidRPr="00733CAC" w:rsidRDefault="00975E64" w:rsidP="00D17433">
      <w:pPr>
        <w:spacing w:after="120"/>
        <w:ind w:left="426"/>
        <w:jc w:val="both"/>
      </w:pPr>
      <w:r w:rsidRPr="00733CAC">
        <w:t>j) A</w:t>
      </w:r>
      <w:r w:rsidR="007D3D01" w:rsidRPr="00733CAC">
        <w:t>lign</w:t>
      </w:r>
      <w:r w:rsidRPr="00733CAC">
        <w:t xml:space="preserve"> wherever possible new and old support measures to continental (Results Framework), regional (RAIPs) and national (NAIPs, rural development strategies)</w:t>
      </w:r>
      <w:r w:rsidR="007D3D01" w:rsidRPr="00733CAC">
        <w:t xml:space="preserve"> priorities</w:t>
      </w:r>
      <w:r w:rsidRPr="00733CAC">
        <w:t>;</w:t>
      </w:r>
    </w:p>
    <w:p w:rsidR="00C32A6D" w:rsidRPr="00733CAC" w:rsidRDefault="00975E64" w:rsidP="00D17433">
      <w:pPr>
        <w:spacing w:after="120"/>
        <w:ind w:left="426"/>
        <w:jc w:val="both"/>
      </w:pPr>
      <w:r w:rsidRPr="00733CAC">
        <w:t>k</w:t>
      </w:r>
      <w:r w:rsidR="007F11FA" w:rsidRPr="00733CAC">
        <w:t>) Continue</w:t>
      </w:r>
      <w:r w:rsidR="0023674A" w:rsidRPr="00733CAC">
        <w:t xml:space="preserve"> to support institutional strengthening</w:t>
      </w:r>
      <w:r w:rsidR="0054023E" w:rsidRPr="00733CAC">
        <w:t xml:space="preserve"> and reform</w:t>
      </w:r>
      <w:r w:rsidR="0023674A" w:rsidRPr="00733CAC">
        <w:t xml:space="preserve"> at continental, regional, national and local level</w:t>
      </w:r>
      <w:r w:rsidR="007F11FA" w:rsidRPr="00733CAC">
        <w:t>,</w:t>
      </w:r>
      <w:r w:rsidR="0023674A" w:rsidRPr="00733CAC">
        <w:t xml:space="preserve"> both for state and non state </w:t>
      </w:r>
      <w:r w:rsidR="001B2D32" w:rsidRPr="00733CAC">
        <w:t>actors supportive of CAADP</w:t>
      </w:r>
      <w:r w:rsidR="007F11FA" w:rsidRPr="00733CAC">
        <w:t>; and</w:t>
      </w:r>
    </w:p>
    <w:p w:rsidR="0023674A" w:rsidRPr="00733CAC" w:rsidRDefault="00975E64" w:rsidP="00D17433">
      <w:pPr>
        <w:spacing w:after="120"/>
        <w:ind w:left="426"/>
        <w:jc w:val="both"/>
      </w:pPr>
      <w:r w:rsidRPr="00733CAC">
        <w:t>l</w:t>
      </w:r>
      <w:r w:rsidR="007F11FA" w:rsidRPr="00733CAC">
        <w:t>) Improve</w:t>
      </w:r>
      <w:r w:rsidR="0023674A" w:rsidRPr="00733CAC">
        <w:t xml:space="preserve"> CAADP support flow tracking</w:t>
      </w:r>
      <w:r w:rsidR="003C3380" w:rsidRPr="00733CAC">
        <w:t>, increase</w:t>
      </w:r>
      <w:r w:rsidR="0000370E" w:rsidRPr="00733CAC">
        <w:t xml:space="preserve"> </w:t>
      </w:r>
      <w:r w:rsidR="003C3380" w:rsidRPr="00733CAC">
        <w:t xml:space="preserve">levels of </w:t>
      </w:r>
      <w:r w:rsidR="0000370E" w:rsidRPr="00733CAC">
        <w:t>coordination</w:t>
      </w:r>
      <w:r w:rsidR="00E923FA" w:rsidRPr="00733CAC">
        <w:t xml:space="preserve"> </w:t>
      </w:r>
      <w:r w:rsidR="0028083E" w:rsidRPr="00733CAC">
        <w:t>and provide clearer information on future budgetary orientations</w:t>
      </w:r>
      <w:r w:rsidR="003C3380" w:rsidRPr="00733CAC">
        <w:t>.</w:t>
      </w:r>
    </w:p>
    <w:p w:rsidR="00C32A6D" w:rsidRPr="00733CAC" w:rsidRDefault="007F11FA" w:rsidP="00D17433">
      <w:pPr>
        <w:spacing w:after="120"/>
        <w:jc w:val="both"/>
      </w:pPr>
      <w:r w:rsidRPr="00733CAC">
        <w:rPr>
          <w:bdr w:val="single" w:sz="4" w:space="0" w:color="auto"/>
        </w:rPr>
        <w:t>6.</w:t>
      </w:r>
      <w:r w:rsidRPr="00733CAC">
        <w:t xml:space="preserve"> </w:t>
      </w:r>
      <w:r w:rsidR="00C32A6D" w:rsidRPr="00733CAC">
        <w:t xml:space="preserve">So as to align and coordinate </w:t>
      </w:r>
      <w:r w:rsidR="00733CAC">
        <w:t>better</w:t>
      </w:r>
      <w:r w:rsidR="00C32A6D" w:rsidRPr="00733CAC">
        <w:t xml:space="preserve">, </w:t>
      </w:r>
      <w:r w:rsidR="00DB1EA4" w:rsidRPr="00733CAC">
        <w:t>Development Partners</w:t>
      </w:r>
      <w:r w:rsidR="00C32A6D" w:rsidRPr="00733CAC">
        <w:t xml:space="preserve"> en</w:t>
      </w:r>
      <w:r w:rsidR="00FF762B" w:rsidRPr="00733CAC">
        <w:t>courage</w:t>
      </w:r>
      <w:r w:rsidR="00C32A6D" w:rsidRPr="00733CAC">
        <w:t xml:space="preserve"> African governments to:</w:t>
      </w:r>
    </w:p>
    <w:p w:rsidR="0023674A" w:rsidRPr="00733CAC" w:rsidRDefault="007F11FA" w:rsidP="00D17433">
      <w:pPr>
        <w:spacing w:after="120"/>
        <w:ind w:left="426"/>
        <w:jc w:val="both"/>
      </w:pPr>
      <w:r w:rsidRPr="00733CAC">
        <w:t>a)</w:t>
      </w:r>
      <w:r w:rsidR="00C32A6D" w:rsidRPr="00733CAC">
        <w:t xml:space="preserve"> M</w:t>
      </w:r>
      <w:r w:rsidR="0023674A" w:rsidRPr="00733CAC">
        <w:t>aintain and strengthen their level of leadership and ownership through the elaboration of clear, consistent and</w:t>
      </w:r>
      <w:r w:rsidR="00C32A6D" w:rsidRPr="00733CAC">
        <w:t xml:space="preserve"> long term</w:t>
      </w:r>
      <w:r w:rsidR="0000370E" w:rsidRPr="00733CAC">
        <w:t xml:space="preserve"> policies, strategies and work plans,</w:t>
      </w:r>
      <w:r w:rsidR="00C32A6D" w:rsidRPr="00733CAC">
        <w:t xml:space="preserve"> fully integrated</w:t>
      </w:r>
      <w:r w:rsidRPr="00733CAC">
        <w:t xml:space="preserve"> </w:t>
      </w:r>
      <w:r w:rsidR="00733CAC">
        <w:t>to</w:t>
      </w:r>
      <w:r w:rsidRPr="00733CAC">
        <w:t xml:space="preserve"> </w:t>
      </w:r>
      <w:r w:rsidR="00217AB7" w:rsidRPr="00733CAC">
        <w:t>national budgets</w:t>
      </w:r>
      <w:r w:rsidRPr="00733CAC">
        <w:t>;</w:t>
      </w:r>
    </w:p>
    <w:p w:rsidR="00FF762B" w:rsidRPr="00733CAC" w:rsidRDefault="00FF762B" w:rsidP="00D17433">
      <w:pPr>
        <w:spacing w:after="120"/>
        <w:ind w:left="426"/>
        <w:jc w:val="both"/>
      </w:pPr>
      <w:r w:rsidRPr="00733CAC">
        <w:t>b) Actively engage in defini</w:t>
      </w:r>
      <w:r w:rsidR="007C142A" w:rsidRPr="00733CAC">
        <w:t>ng</w:t>
      </w:r>
      <w:r w:rsidRPr="00733CAC">
        <w:t xml:space="preserve"> a few common continental priorities for agricultur</w:t>
      </w:r>
      <w:r w:rsidR="007C142A" w:rsidRPr="00733CAC">
        <w:t>al</w:t>
      </w:r>
      <w:r w:rsidRPr="00733CAC">
        <w:t xml:space="preserve"> transformation as part of the process to finali</w:t>
      </w:r>
      <w:r w:rsidR="007C142A" w:rsidRPr="00733CAC">
        <w:t>s</w:t>
      </w:r>
      <w:r w:rsidRPr="00733CAC">
        <w:t>e the Sustaining CAADP Momentum continental results framework and clarify their commitment to such priorities in the run up to next AU Summit</w:t>
      </w:r>
      <w:r w:rsidR="00465D37" w:rsidRPr="00733CAC">
        <w:t>;</w:t>
      </w:r>
    </w:p>
    <w:p w:rsidR="003F21BA" w:rsidRPr="00733CAC" w:rsidRDefault="00FF762B" w:rsidP="00D17433">
      <w:pPr>
        <w:spacing w:after="120"/>
        <w:ind w:left="426"/>
        <w:jc w:val="both"/>
      </w:pPr>
      <w:r w:rsidRPr="00733CAC">
        <w:t>c</w:t>
      </w:r>
      <w:r w:rsidR="007F11FA" w:rsidRPr="00733CAC">
        <w:t>)</w:t>
      </w:r>
      <w:r w:rsidR="00C32A6D" w:rsidRPr="00733CAC">
        <w:t xml:space="preserve"> Maintain and strengthen strong and transparent levels of communication and consultation involving FOs, CSOs and private sector representatives</w:t>
      </w:r>
      <w:r w:rsidR="007F11FA" w:rsidRPr="00733CAC">
        <w:t>;</w:t>
      </w:r>
    </w:p>
    <w:p w:rsidR="00C32A6D" w:rsidRPr="00733CAC" w:rsidRDefault="00FF762B" w:rsidP="00D17433">
      <w:pPr>
        <w:spacing w:after="120"/>
        <w:ind w:left="426"/>
        <w:jc w:val="both"/>
      </w:pPr>
      <w:r w:rsidRPr="00733CAC">
        <w:t>d</w:t>
      </w:r>
      <w:r w:rsidR="007F11FA" w:rsidRPr="00733CAC">
        <w:t>)</w:t>
      </w:r>
      <w:r w:rsidR="00C32A6D" w:rsidRPr="00733CAC">
        <w:t xml:space="preserve"> Ensure CAADP structures and mechanisms for dialog,</w:t>
      </w:r>
      <w:r w:rsidR="0000370E" w:rsidRPr="00733CAC">
        <w:t xml:space="preserve"> harmonisation,</w:t>
      </w:r>
      <w:r w:rsidR="00C32A6D" w:rsidRPr="00733CAC">
        <w:t xml:space="preserve"> implementation and review are in place</w:t>
      </w:r>
      <w:r w:rsidR="003C3380" w:rsidRPr="00733CAC">
        <w:t>,</w:t>
      </w:r>
      <w:r w:rsidR="00C32A6D" w:rsidRPr="00733CAC">
        <w:t xml:space="preserve"> with adequate resources</w:t>
      </w:r>
      <w:r w:rsidR="007F11FA" w:rsidRPr="00733CAC">
        <w:t>;</w:t>
      </w:r>
    </w:p>
    <w:p w:rsidR="003C3380" w:rsidRPr="00733CAC" w:rsidRDefault="00FF762B" w:rsidP="00D17433">
      <w:pPr>
        <w:spacing w:after="120"/>
        <w:ind w:left="426"/>
        <w:jc w:val="both"/>
      </w:pPr>
      <w:r w:rsidRPr="00733CAC">
        <w:t>e</w:t>
      </w:r>
      <w:r w:rsidR="005C79AF" w:rsidRPr="00733CAC">
        <w:t>)</w:t>
      </w:r>
      <w:r w:rsidR="003C3380" w:rsidRPr="00733CAC">
        <w:t xml:space="preserve"> Respect commitments to CAADP in a timely way;</w:t>
      </w:r>
    </w:p>
    <w:p w:rsidR="005C79AF" w:rsidRPr="00733CAC" w:rsidRDefault="00FF762B" w:rsidP="00D17433">
      <w:pPr>
        <w:spacing w:after="120"/>
        <w:ind w:left="426"/>
        <w:jc w:val="both"/>
      </w:pPr>
      <w:r w:rsidRPr="00733CAC">
        <w:t>f</w:t>
      </w:r>
      <w:r w:rsidR="003C3380" w:rsidRPr="00733CAC">
        <w:t>) Ensure harmonisation and consistency of messages from CAADP institutions;</w:t>
      </w:r>
    </w:p>
    <w:p w:rsidR="00FF762B" w:rsidRPr="00733CAC" w:rsidRDefault="00FF762B" w:rsidP="00D17433">
      <w:pPr>
        <w:spacing w:after="120"/>
        <w:ind w:left="426"/>
        <w:jc w:val="both"/>
        <w:rPr>
          <w:lang w:val="en-US"/>
        </w:rPr>
      </w:pPr>
      <w:r w:rsidRPr="00733CAC">
        <w:t>g</w:t>
      </w:r>
      <w:r w:rsidR="007F11FA" w:rsidRPr="00733CAC">
        <w:rPr>
          <w:lang w:val="en-US"/>
        </w:rPr>
        <w:t>)</w:t>
      </w:r>
      <w:r w:rsidRPr="00733CAC">
        <w:rPr>
          <w:lang w:val="en-US"/>
        </w:rPr>
        <w:t xml:space="preserve"> Support the creation of a harmonized data collection and monitoring system that allows </w:t>
      </w:r>
      <w:bookmarkStart w:id="0" w:name="_GoBack"/>
      <w:bookmarkEnd w:id="0"/>
      <w:r w:rsidRPr="00733CAC">
        <w:rPr>
          <w:lang w:val="en-US"/>
        </w:rPr>
        <w:t>CAADP implementation</w:t>
      </w:r>
      <w:r w:rsidR="0071129F" w:rsidRPr="00733CAC">
        <w:rPr>
          <w:lang w:val="en-US"/>
        </w:rPr>
        <w:t xml:space="preserve"> to be tracked</w:t>
      </w:r>
      <w:r w:rsidR="00CE401D" w:rsidRPr="00733CAC">
        <w:rPr>
          <w:lang w:val="en-US"/>
        </w:rPr>
        <w:t>.</w:t>
      </w:r>
    </w:p>
    <w:p w:rsidR="00C700C4" w:rsidRPr="00733CAC" w:rsidRDefault="007F11FA" w:rsidP="00D17433">
      <w:pPr>
        <w:spacing w:after="120"/>
        <w:jc w:val="both"/>
      </w:pPr>
      <w:r w:rsidRPr="00733CAC">
        <w:rPr>
          <w:bdr w:val="single" w:sz="4" w:space="0" w:color="auto"/>
        </w:rPr>
        <w:t>7.</w:t>
      </w:r>
      <w:r w:rsidRPr="00733CAC">
        <w:t xml:space="preserve"> </w:t>
      </w:r>
      <w:r w:rsidR="00C700C4" w:rsidRPr="00733CAC">
        <w:t>More generally they suggest:</w:t>
      </w:r>
    </w:p>
    <w:p w:rsidR="00C700C4" w:rsidRPr="00733CAC" w:rsidRDefault="007F11FA" w:rsidP="00D17433">
      <w:pPr>
        <w:spacing w:after="120"/>
        <w:ind w:left="426"/>
        <w:jc w:val="both"/>
      </w:pPr>
      <w:r w:rsidRPr="00733CAC">
        <w:t>a)</w:t>
      </w:r>
      <w:r w:rsidR="00C700C4" w:rsidRPr="00733CAC">
        <w:t xml:space="preserve"> Amplifying a holistic approach to CAADP by</w:t>
      </w:r>
      <w:r w:rsidR="00570378" w:rsidRPr="00733CAC">
        <w:t xml:space="preserve"> further encourag</w:t>
      </w:r>
      <w:r w:rsidR="00C700C4" w:rsidRPr="00733CAC">
        <w:t xml:space="preserve">ing </w:t>
      </w:r>
      <w:r w:rsidR="00570378" w:rsidRPr="00733CAC">
        <w:t xml:space="preserve">inter institutional </w:t>
      </w:r>
      <w:r w:rsidR="00C700C4" w:rsidRPr="00733CAC">
        <w:t>information sharing</w:t>
      </w:r>
      <w:r w:rsidR="00570378" w:rsidRPr="00733CAC">
        <w:t>, multi</w:t>
      </w:r>
      <w:r w:rsidR="00465D37" w:rsidRPr="00733CAC">
        <w:t>-</w:t>
      </w:r>
      <w:r w:rsidR="00570378" w:rsidRPr="00733CAC">
        <w:t>se</w:t>
      </w:r>
      <w:r w:rsidR="00A7035D" w:rsidRPr="00733CAC">
        <w:t>ctor</w:t>
      </w:r>
      <w:r w:rsidR="00570378" w:rsidRPr="00733CAC">
        <w:t xml:space="preserve"> coordination, multidisciplinary team formation and cross</w:t>
      </w:r>
      <w:r w:rsidR="00465D37" w:rsidRPr="00733CAC">
        <w:t>-</w:t>
      </w:r>
      <w:r w:rsidR="00570378" w:rsidRPr="00733CAC">
        <w:t>ministerial consultation and planning</w:t>
      </w:r>
      <w:r w:rsidRPr="00733CAC">
        <w:t xml:space="preserve"> at national and </w:t>
      </w:r>
      <w:r w:rsidR="004524D4" w:rsidRPr="00733CAC">
        <w:t>decentralis</w:t>
      </w:r>
      <w:r w:rsidR="00217AB7" w:rsidRPr="00733CAC">
        <w:t xml:space="preserve">ed </w:t>
      </w:r>
      <w:r w:rsidRPr="00733CAC">
        <w:t>level;</w:t>
      </w:r>
    </w:p>
    <w:p w:rsidR="00570378" w:rsidRPr="00733CAC" w:rsidRDefault="007F11FA" w:rsidP="00D17433">
      <w:pPr>
        <w:spacing w:after="120"/>
        <w:ind w:left="426"/>
        <w:jc w:val="both"/>
      </w:pPr>
      <w:r w:rsidRPr="00733CAC">
        <w:t>b)</w:t>
      </w:r>
      <w:r w:rsidR="00570378" w:rsidRPr="00733CAC">
        <w:t xml:space="preserve"> Developing a </w:t>
      </w:r>
      <w:r w:rsidR="00465D37" w:rsidRPr="00733CAC">
        <w:t xml:space="preserve">systemic </w:t>
      </w:r>
      <w:r w:rsidR="00570378" w:rsidRPr="00733CAC">
        <w:t xml:space="preserve">approach beyond agricultural production and trade, integrating </w:t>
      </w:r>
      <w:r w:rsidR="00217AB7" w:rsidRPr="00733CAC">
        <w:t xml:space="preserve">sustainable </w:t>
      </w:r>
      <w:r w:rsidR="00CA2B63" w:rsidRPr="00733CAC">
        <w:t xml:space="preserve">agriculture </w:t>
      </w:r>
      <w:r w:rsidR="00217AB7" w:rsidRPr="00733CAC">
        <w:t xml:space="preserve">practices, </w:t>
      </w:r>
      <w:r w:rsidR="00570378" w:rsidRPr="00733CAC">
        <w:t>nutrition, resilience</w:t>
      </w:r>
      <w:r w:rsidR="00CA2B63" w:rsidRPr="00733CAC">
        <w:t xml:space="preserve">, </w:t>
      </w:r>
      <w:r w:rsidR="00CE401D" w:rsidRPr="00733CAC">
        <w:t xml:space="preserve">adaptation to </w:t>
      </w:r>
      <w:r w:rsidR="00CA2B63" w:rsidRPr="00733CAC">
        <w:t>climate change</w:t>
      </w:r>
      <w:r w:rsidR="00570378" w:rsidRPr="00733CAC">
        <w:t xml:space="preserve"> and organisational development</w:t>
      </w:r>
      <w:r w:rsidR="00CE401D" w:rsidRPr="00733CAC">
        <w:t>,</w:t>
      </w:r>
      <w:r w:rsidR="00570378" w:rsidRPr="00733CAC">
        <w:t xml:space="preserve"> to strengthen the inclusive dimension and socio</w:t>
      </w:r>
      <w:r w:rsidR="00CE401D" w:rsidRPr="00733CAC">
        <w:t>-</w:t>
      </w:r>
      <w:r w:rsidR="00570378" w:rsidRPr="00733CAC">
        <w:t>economic drive of CAADP</w:t>
      </w:r>
      <w:r w:rsidRPr="00733CAC">
        <w:t>;</w:t>
      </w:r>
    </w:p>
    <w:p w:rsidR="00C700C4" w:rsidRPr="00733CAC" w:rsidRDefault="007F11FA" w:rsidP="00D17433">
      <w:pPr>
        <w:spacing w:after="120"/>
        <w:ind w:left="426"/>
        <w:jc w:val="both"/>
      </w:pPr>
      <w:r w:rsidRPr="00733CAC">
        <w:t>c)</w:t>
      </w:r>
      <w:r w:rsidR="00C700C4" w:rsidRPr="00733CAC">
        <w:t xml:space="preserve"> Further developing and harmonising national data collection systems</w:t>
      </w:r>
      <w:r w:rsidR="0028083E" w:rsidRPr="00733CAC">
        <w:t>, studies</w:t>
      </w:r>
      <w:r w:rsidR="00C700C4" w:rsidRPr="00733CAC">
        <w:t xml:space="preserve"> and results</w:t>
      </w:r>
      <w:r w:rsidR="00CE401D" w:rsidRPr="00733CAC">
        <w:t>-</w:t>
      </w:r>
      <w:r w:rsidR="00C700C4" w:rsidRPr="00733CAC">
        <w:t xml:space="preserve">based monitoring and evaluation </w:t>
      </w:r>
      <w:r w:rsidR="0028083E" w:rsidRPr="00733CAC">
        <w:t xml:space="preserve">(based on key performance indicators) </w:t>
      </w:r>
      <w:r w:rsidR="00C700C4" w:rsidRPr="00733CAC">
        <w:t>to support evidence based planning</w:t>
      </w:r>
      <w:r w:rsidR="00570378" w:rsidRPr="00733CAC">
        <w:t xml:space="preserve"> (building on SAKSS nodes</w:t>
      </w:r>
      <w:r w:rsidR="00A7035D" w:rsidRPr="00733CAC">
        <w:t xml:space="preserve"> and Joint Sector R</w:t>
      </w:r>
      <w:r w:rsidR="0028083E" w:rsidRPr="00733CAC">
        <w:t>eview</w:t>
      </w:r>
      <w:r w:rsidRPr="00733CAC">
        <w:t>s</w:t>
      </w:r>
      <w:r w:rsidR="00A7035D" w:rsidRPr="00733CAC">
        <w:t xml:space="preserve"> or JSR)</w:t>
      </w:r>
      <w:r w:rsidRPr="00733CAC">
        <w:t>;</w:t>
      </w:r>
    </w:p>
    <w:p w:rsidR="00FF762B" w:rsidRPr="00733CAC" w:rsidRDefault="00CE401D" w:rsidP="00D17433">
      <w:pPr>
        <w:spacing w:after="120"/>
        <w:ind w:left="426"/>
        <w:jc w:val="both"/>
      </w:pPr>
      <w:r w:rsidRPr="00733CAC">
        <w:t xml:space="preserve">d) </w:t>
      </w:r>
      <w:r w:rsidR="00FF762B" w:rsidRPr="00733CAC">
        <w:rPr>
          <w:lang w:val="en-US"/>
        </w:rPr>
        <w:t>Set</w:t>
      </w:r>
      <w:r w:rsidRPr="00733CAC">
        <w:rPr>
          <w:lang w:val="en-US"/>
        </w:rPr>
        <w:t>ting up and coordinating</w:t>
      </w:r>
      <w:r w:rsidR="00FF762B" w:rsidRPr="00733CAC">
        <w:rPr>
          <w:lang w:val="en-US"/>
        </w:rPr>
        <w:t xml:space="preserve"> a global CAADP support flow mapping system </w:t>
      </w:r>
      <w:r w:rsidR="00DB1EA4" w:rsidRPr="00733CAC">
        <w:rPr>
          <w:lang w:val="en-US"/>
        </w:rPr>
        <w:t>to which</w:t>
      </w:r>
      <w:r w:rsidR="00FF762B" w:rsidRPr="00733CAC">
        <w:rPr>
          <w:lang w:val="en-US"/>
        </w:rPr>
        <w:t xml:space="preserve"> development partners can </w:t>
      </w:r>
      <w:r w:rsidR="00DB1EA4" w:rsidRPr="00733CAC">
        <w:rPr>
          <w:lang w:val="en-US"/>
        </w:rPr>
        <w:t>contribute,</w:t>
      </w:r>
      <w:r w:rsidR="00FF762B" w:rsidRPr="00733CAC">
        <w:rPr>
          <w:lang w:val="en-US"/>
        </w:rPr>
        <w:t xml:space="preserve"> along with other CAADP stakeholders</w:t>
      </w:r>
      <w:r w:rsidRPr="00733CAC">
        <w:rPr>
          <w:lang w:val="en-US"/>
        </w:rPr>
        <w:t>;</w:t>
      </w:r>
    </w:p>
    <w:p w:rsidR="00E923FA" w:rsidRPr="00733CAC" w:rsidRDefault="00CE401D" w:rsidP="00D17433">
      <w:pPr>
        <w:spacing w:after="120"/>
        <w:ind w:left="426"/>
        <w:jc w:val="both"/>
      </w:pPr>
      <w:r w:rsidRPr="00733CAC">
        <w:t>e</w:t>
      </w:r>
      <w:r w:rsidR="007F11FA" w:rsidRPr="00733CAC">
        <w:t>)</w:t>
      </w:r>
      <w:r w:rsidR="00C700C4" w:rsidRPr="00733CAC">
        <w:t xml:space="preserve"> C</w:t>
      </w:r>
      <w:r w:rsidR="00E923FA" w:rsidRPr="00733CAC">
        <w:t>ontinuing to create a</w:t>
      </w:r>
      <w:r w:rsidRPr="00733CAC">
        <w:t xml:space="preserve"> conducive</w:t>
      </w:r>
      <w:r w:rsidR="00E923FA" w:rsidRPr="00733CAC">
        <w:t xml:space="preserve"> environment for private sector investment</w:t>
      </w:r>
      <w:r w:rsidRPr="00733CAC">
        <w:t xml:space="preserve"> (from small-scale to large scale farmers and agribusiness operators)</w:t>
      </w:r>
      <w:r w:rsidR="00E923FA" w:rsidRPr="00733CAC">
        <w:t>.</w:t>
      </w:r>
    </w:p>
    <w:p w:rsidR="009D4FAB" w:rsidRPr="00733CAC" w:rsidRDefault="009D4FAB" w:rsidP="00D17433">
      <w:pPr>
        <w:spacing w:after="120"/>
        <w:ind w:left="426"/>
        <w:jc w:val="both"/>
      </w:pPr>
    </w:p>
    <w:p w:rsidR="009D4FAB" w:rsidRPr="00733CAC" w:rsidRDefault="009D4FAB" w:rsidP="009D4FAB">
      <w:pPr>
        <w:spacing w:after="120"/>
        <w:ind w:left="426"/>
        <w:jc w:val="right"/>
      </w:pPr>
      <w:r w:rsidRPr="00733CAC">
        <w:t>Development Partners Task Team (DPTT), Monday 17th February 2014</w:t>
      </w:r>
    </w:p>
    <w:sectPr w:rsidR="009D4FAB" w:rsidRPr="00733CAC" w:rsidSect="00B052F2">
      <w:headerReference w:type="default" r:id="rId7"/>
      <w:footerReference w:type="default" r:id="rId8"/>
      <w:pgSz w:w="11906" w:h="16838" w:code="9"/>
      <w:pgMar w:top="1247" w:right="1247" w:bottom="1247" w:left="124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A0" w:rsidRDefault="00C022A0" w:rsidP="009D4FAB">
      <w:pPr>
        <w:spacing w:after="0" w:line="240" w:lineRule="auto"/>
      </w:pPr>
      <w:r>
        <w:separator/>
      </w:r>
    </w:p>
  </w:endnote>
  <w:endnote w:type="continuationSeparator" w:id="1">
    <w:p w:rsidR="00C022A0" w:rsidRDefault="00C022A0" w:rsidP="009D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0308"/>
      <w:docPartObj>
        <w:docPartGallery w:val="Page Numbers (Bottom of Page)"/>
        <w:docPartUnique/>
      </w:docPartObj>
    </w:sdtPr>
    <w:sdtContent>
      <w:p w:rsidR="00941529" w:rsidRDefault="00FA7BFC">
        <w:pPr>
          <w:pStyle w:val="Footer"/>
          <w:jc w:val="center"/>
        </w:pPr>
        <w:r>
          <w:fldChar w:fldCharType="begin"/>
        </w:r>
        <w:r w:rsidR="00F1048B">
          <w:instrText xml:space="preserve"> PAGE   \* MERGEFORMAT </w:instrText>
        </w:r>
        <w:r>
          <w:fldChar w:fldCharType="separate"/>
        </w:r>
        <w:r w:rsidR="00846E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A0" w:rsidRDefault="00C022A0" w:rsidP="009D4FAB">
      <w:pPr>
        <w:spacing w:after="0" w:line="240" w:lineRule="auto"/>
      </w:pPr>
      <w:r>
        <w:separator/>
      </w:r>
    </w:p>
  </w:footnote>
  <w:footnote w:type="continuationSeparator" w:id="1">
    <w:p w:rsidR="00C022A0" w:rsidRDefault="00C022A0" w:rsidP="009D4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AB" w:rsidRPr="009D4FAB" w:rsidRDefault="009D4FAB">
    <w:pPr>
      <w:pStyle w:val="Header"/>
      <w:rPr>
        <w:sz w:val="18"/>
        <w:szCs w:val="18"/>
      </w:rPr>
    </w:pPr>
    <w:r w:rsidRPr="009D4FAB">
      <w:rPr>
        <w:sz w:val="18"/>
        <w:szCs w:val="18"/>
      </w:rPr>
      <w:t>Key messages from Development Partners following Dialogue on CAADP implementation, 11-13th February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36F"/>
    <w:multiLevelType w:val="hybridMultilevel"/>
    <w:tmpl w:val="F8CE7E72"/>
    <w:lvl w:ilvl="0" w:tplc="60D06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F6E64E">
      <w:start w:val="71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086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F46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05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54D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C4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5A9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C4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F973AE"/>
    <w:multiLevelType w:val="hybridMultilevel"/>
    <w:tmpl w:val="69BE0082"/>
    <w:lvl w:ilvl="0" w:tplc="EB641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A62D4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888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4C9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C2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EF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64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46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964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8321B1"/>
    <w:multiLevelType w:val="hybridMultilevel"/>
    <w:tmpl w:val="C4D26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D58D7"/>
    <w:multiLevelType w:val="hybridMultilevel"/>
    <w:tmpl w:val="E5743E54"/>
    <w:lvl w:ilvl="0" w:tplc="A0F8C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A3C2A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B87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9CC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20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65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5CA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C2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C3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68B6721"/>
    <w:multiLevelType w:val="hybridMultilevel"/>
    <w:tmpl w:val="5EC2D09A"/>
    <w:lvl w:ilvl="0" w:tplc="5EECE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63A7A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81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A2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788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66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AC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40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EF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7997ABA"/>
    <w:multiLevelType w:val="hybridMultilevel"/>
    <w:tmpl w:val="2DAA39CC"/>
    <w:lvl w:ilvl="0" w:tplc="94785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0A2F7E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0A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E5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4F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0A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C3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FCB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CE8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DAD3BC2"/>
    <w:multiLevelType w:val="hybridMultilevel"/>
    <w:tmpl w:val="8828D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330F2"/>
    <w:multiLevelType w:val="hybridMultilevel"/>
    <w:tmpl w:val="EBDE3D78"/>
    <w:lvl w:ilvl="0" w:tplc="7E644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16C432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0C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06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8E1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C5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2A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4D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EA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E6711F6"/>
    <w:multiLevelType w:val="hybridMultilevel"/>
    <w:tmpl w:val="5B402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LW_DocType" w:val="NORMAL"/>
  </w:docVars>
  <w:rsids>
    <w:rsidRoot w:val="009C02B2"/>
    <w:rsid w:val="0000370E"/>
    <w:rsid w:val="00027802"/>
    <w:rsid w:val="00047D37"/>
    <w:rsid w:val="00055B7C"/>
    <w:rsid w:val="00065DAA"/>
    <w:rsid w:val="000878F5"/>
    <w:rsid w:val="00094301"/>
    <w:rsid w:val="000C5F85"/>
    <w:rsid w:val="00193744"/>
    <w:rsid w:val="0019513E"/>
    <w:rsid w:val="001B2D32"/>
    <w:rsid w:val="00217AB7"/>
    <w:rsid w:val="0023628B"/>
    <w:rsid w:val="0023674A"/>
    <w:rsid w:val="0028083E"/>
    <w:rsid w:val="002808A2"/>
    <w:rsid w:val="002B2B7F"/>
    <w:rsid w:val="002C6D15"/>
    <w:rsid w:val="0032015E"/>
    <w:rsid w:val="00355C17"/>
    <w:rsid w:val="003574DE"/>
    <w:rsid w:val="00360438"/>
    <w:rsid w:val="003612D3"/>
    <w:rsid w:val="00361542"/>
    <w:rsid w:val="003C3380"/>
    <w:rsid w:val="003F21BA"/>
    <w:rsid w:val="003F26E3"/>
    <w:rsid w:val="00422D5F"/>
    <w:rsid w:val="00427BAE"/>
    <w:rsid w:val="004524D4"/>
    <w:rsid w:val="00465D37"/>
    <w:rsid w:val="004815C1"/>
    <w:rsid w:val="004B6281"/>
    <w:rsid w:val="00523901"/>
    <w:rsid w:val="0054023E"/>
    <w:rsid w:val="00552247"/>
    <w:rsid w:val="00570378"/>
    <w:rsid w:val="005B4B65"/>
    <w:rsid w:val="005C79AF"/>
    <w:rsid w:val="005E347B"/>
    <w:rsid w:val="00642624"/>
    <w:rsid w:val="00681FAD"/>
    <w:rsid w:val="006E4779"/>
    <w:rsid w:val="0071129F"/>
    <w:rsid w:val="00733CAC"/>
    <w:rsid w:val="00782755"/>
    <w:rsid w:val="007B0388"/>
    <w:rsid w:val="007B612F"/>
    <w:rsid w:val="007C142A"/>
    <w:rsid w:val="007D3D01"/>
    <w:rsid w:val="007F11FA"/>
    <w:rsid w:val="008140BD"/>
    <w:rsid w:val="00834449"/>
    <w:rsid w:val="00846ED6"/>
    <w:rsid w:val="00856641"/>
    <w:rsid w:val="008C0BFD"/>
    <w:rsid w:val="008E16EB"/>
    <w:rsid w:val="008F57C3"/>
    <w:rsid w:val="00941529"/>
    <w:rsid w:val="00944EB3"/>
    <w:rsid w:val="0095502F"/>
    <w:rsid w:val="00975E64"/>
    <w:rsid w:val="009866BC"/>
    <w:rsid w:val="009C02B2"/>
    <w:rsid w:val="009D4FAB"/>
    <w:rsid w:val="009E14B2"/>
    <w:rsid w:val="00A101FE"/>
    <w:rsid w:val="00A20540"/>
    <w:rsid w:val="00A37E25"/>
    <w:rsid w:val="00A476E1"/>
    <w:rsid w:val="00A525E0"/>
    <w:rsid w:val="00A67290"/>
    <w:rsid w:val="00A7035D"/>
    <w:rsid w:val="00A80948"/>
    <w:rsid w:val="00A82F97"/>
    <w:rsid w:val="00A95AB7"/>
    <w:rsid w:val="00AA11AF"/>
    <w:rsid w:val="00AA1BED"/>
    <w:rsid w:val="00B052F2"/>
    <w:rsid w:val="00B629A3"/>
    <w:rsid w:val="00BF435F"/>
    <w:rsid w:val="00C022A0"/>
    <w:rsid w:val="00C21B55"/>
    <w:rsid w:val="00C229AF"/>
    <w:rsid w:val="00C32A6D"/>
    <w:rsid w:val="00C700C4"/>
    <w:rsid w:val="00C9288A"/>
    <w:rsid w:val="00CA2B63"/>
    <w:rsid w:val="00CB18D1"/>
    <w:rsid w:val="00CB72F6"/>
    <w:rsid w:val="00CE401D"/>
    <w:rsid w:val="00D17433"/>
    <w:rsid w:val="00D219FB"/>
    <w:rsid w:val="00D2238C"/>
    <w:rsid w:val="00D232F2"/>
    <w:rsid w:val="00DB1EA4"/>
    <w:rsid w:val="00DC5E64"/>
    <w:rsid w:val="00DE4F8B"/>
    <w:rsid w:val="00E162C0"/>
    <w:rsid w:val="00E21B77"/>
    <w:rsid w:val="00E80E27"/>
    <w:rsid w:val="00E923FA"/>
    <w:rsid w:val="00EA3AE7"/>
    <w:rsid w:val="00EE7A8C"/>
    <w:rsid w:val="00F1048B"/>
    <w:rsid w:val="00F71894"/>
    <w:rsid w:val="00FA7BFC"/>
    <w:rsid w:val="00FC1E65"/>
    <w:rsid w:val="00FD4370"/>
    <w:rsid w:val="00FF30B8"/>
    <w:rsid w:val="00FF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7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A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FAB"/>
  </w:style>
  <w:style w:type="paragraph" w:styleId="Footer">
    <w:name w:val="footer"/>
    <w:basedOn w:val="Normal"/>
    <w:link w:val="FooterChar"/>
    <w:uiPriority w:val="99"/>
    <w:unhideWhenUsed/>
    <w:rsid w:val="009D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7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A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FAB"/>
  </w:style>
  <w:style w:type="paragraph" w:styleId="Footer">
    <w:name w:val="footer"/>
    <w:basedOn w:val="Normal"/>
    <w:link w:val="FooterChar"/>
    <w:uiPriority w:val="99"/>
    <w:unhideWhenUsed/>
    <w:rsid w:val="009D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5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5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9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3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6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67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4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9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6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75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6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3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5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4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0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4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65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4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2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0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1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6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5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16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73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7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9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91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4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7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07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69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4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9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2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9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3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6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951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11</cp:revision>
  <cp:lastPrinted>2014-02-17T06:33:00Z</cp:lastPrinted>
  <dcterms:created xsi:type="dcterms:W3CDTF">2014-02-20T17:38:00Z</dcterms:created>
  <dcterms:modified xsi:type="dcterms:W3CDTF">2014-02-24T00:22:00Z</dcterms:modified>
</cp:coreProperties>
</file>