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31A6" w14:textId="77777777" w:rsidR="00394026" w:rsidRPr="00A46177" w:rsidRDefault="00394026">
      <w:pPr>
        <w:pStyle w:val="Body1"/>
        <w:tabs>
          <w:tab w:val="left" w:pos="2600"/>
          <w:tab w:val="center" w:pos="4150"/>
        </w:tabs>
        <w:jc w:val="center"/>
        <w:rPr>
          <w:rFonts w:ascii="Arial" w:hAnsi="Arial"/>
          <w:b/>
        </w:rPr>
      </w:pPr>
      <w:bookmarkStart w:id="0" w:name="_GoBack"/>
      <w:bookmarkEnd w:id="0"/>
      <w:r w:rsidRPr="00A46177">
        <w:rPr>
          <w:rFonts w:ascii="Arial" w:hAnsi="Arial Unicode MS"/>
          <w:b/>
        </w:rPr>
        <w:t>Joint EU</w:t>
      </w:r>
      <w:r w:rsidR="005242EB">
        <w:rPr>
          <w:rFonts w:ascii="Arial" w:hAnsi="Arial Unicode MS"/>
          <w:b/>
        </w:rPr>
        <w:t xml:space="preserve"> Development Partners</w:t>
      </w:r>
      <w:r w:rsidR="00DF53AF">
        <w:rPr>
          <w:rFonts w:ascii="Arial" w:hAnsi="Arial Unicode MS"/>
          <w:b/>
        </w:rPr>
        <w:t>’</w:t>
      </w:r>
      <w:r w:rsidR="005242EB">
        <w:rPr>
          <w:rFonts w:ascii="Arial" w:hAnsi="Arial Unicode MS"/>
          <w:b/>
        </w:rPr>
        <w:t xml:space="preserve"> Transitional </w:t>
      </w:r>
      <w:r w:rsidRPr="00A46177">
        <w:rPr>
          <w:rFonts w:ascii="Arial" w:hAnsi="Arial Unicode MS"/>
          <w:b/>
        </w:rPr>
        <w:t xml:space="preserve">Strategy for Myanmar </w:t>
      </w:r>
    </w:p>
    <w:p w14:paraId="010683B4" w14:textId="77777777" w:rsidR="00394026" w:rsidRPr="00702258" w:rsidRDefault="00394026">
      <w:pPr>
        <w:pStyle w:val="Body1"/>
        <w:tabs>
          <w:tab w:val="left" w:pos="2600"/>
          <w:tab w:val="center" w:pos="4150"/>
        </w:tabs>
        <w:jc w:val="center"/>
        <w:rPr>
          <w:rFonts w:ascii="Arial" w:hAnsi="Arial"/>
          <w:b/>
        </w:rPr>
      </w:pPr>
      <w:r w:rsidRPr="00702258">
        <w:rPr>
          <w:rFonts w:ascii="Arial" w:hAnsi="Arial Unicode MS"/>
          <w:b/>
        </w:rPr>
        <w:t>2014-1</w:t>
      </w:r>
      <w:r w:rsidR="00D60F16" w:rsidRPr="00702258">
        <w:rPr>
          <w:rFonts w:ascii="Arial" w:hAnsi="Arial Unicode MS"/>
          <w:b/>
        </w:rPr>
        <w:t>6</w:t>
      </w:r>
    </w:p>
    <w:p w14:paraId="71F72E0F" w14:textId="77777777" w:rsidR="00394026" w:rsidRDefault="00394026">
      <w:pPr>
        <w:pStyle w:val="Body1"/>
        <w:rPr>
          <w:rFonts w:ascii="Arial" w:hAnsi="Arial Unicode MS"/>
          <w:i/>
          <w:sz w:val="22"/>
          <w:u w:val="single"/>
        </w:rPr>
      </w:pPr>
    </w:p>
    <w:p w14:paraId="32AEF2F5" w14:textId="77777777" w:rsidR="008C27BA" w:rsidRPr="00A46177" w:rsidRDefault="008C27BA">
      <w:pPr>
        <w:pStyle w:val="Body1"/>
        <w:rPr>
          <w:rFonts w:ascii="Arial" w:hAnsi="Arial"/>
          <w:b/>
          <w:sz w:val="22"/>
        </w:rPr>
      </w:pPr>
    </w:p>
    <w:p w14:paraId="7CAB699B" w14:textId="77777777" w:rsidR="00394026" w:rsidRPr="00A46177" w:rsidRDefault="00551736">
      <w:pPr>
        <w:pStyle w:val="Body1"/>
        <w:jc w:val="center"/>
        <w:rPr>
          <w:rFonts w:ascii="Arial" w:hAnsi="Arial Unicode MS"/>
          <w:b/>
          <w:sz w:val="22"/>
        </w:rPr>
      </w:pPr>
      <w:r>
        <w:rPr>
          <w:rFonts w:ascii="Arial" w:hAnsi="Arial Unicode MS"/>
          <w:b/>
          <w:sz w:val="22"/>
        </w:rPr>
        <w:t>1</w:t>
      </w:r>
      <w:r w:rsidR="00394026" w:rsidRPr="00A46177">
        <w:rPr>
          <w:rFonts w:ascii="Arial" w:hAnsi="Arial Unicode MS"/>
          <w:b/>
          <w:sz w:val="22"/>
        </w:rPr>
        <w:t>. Introduction</w:t>
      </w:r>
    </w:p>
    <w:p w14:paraId="56FF5FE2" w14:textId="77777777" w:rsidR="005B73AF" w:rsidRPr="00A46177" w:rsidRDefault="005B73AF" w:rsidP="005B73AF">
      <w:pPr>
        <w:autoSpaceDE w:val="0"/>
        <w:autoSpaceDN w:val="0"/>
        <w:adjustRightInd w:val="0"/>
        <w:jc w:val="both"/>
        <w:rPr>
          <w:lang w:val="en-GB"/>
        </w:rPr>
      </w:pPr>
      <w:r w:rsidRPr="00A46177">
        <w:rPr>
          <w:lang w:val="en-GB"/>
        </w:rPr>
        <w:t xml:space="preserve">The civilian government headed by President U Thein </w:t>
      </w:r>
      <w:proofErr w:type="spellStart"/>
      <w:r w:rsidRPr="00A46177">
        <w:rPr>
          <w:lang w:val="en-GB"/>
        </w:rPr>
        <w:t>Sein</w:t>
      </w:r>
      <w:proofErr w:type="spellEnd"/>
      <w:r w:rsidRPr="00A46177">
        <w:rPr>
          <w:lang w:val="en-GB"/>
        </w:rPr>
        <w:t xml:space="preserve"> that came to power in March 2011 has embarked </w:t>
      </w:r>
      <w:r w:rsidR="00A46177" w:rsidRPr="00A46177">
        <w:rPr>
          <w:lang w:val="en-GB"/>
        </w:rPr>
        <w:t>upon</w:t>
      </w:r>
      <w:r w:rsidRPr="00A46177">
        <w:rPr>
          <w:lang w:val="en-GB"/>
        </w:rPr>
        <w:t xml:space="preserve"> a remarkable transition process </w:t>
      </w:r>
      <w:r w:rsidR="00A46177" w:rsidRPr="00A46177">
        <w:rPr>
          <w:lang w:val="en-GB"/>
        </w:rPr>
        <w:t>and launched</w:t>
      </w:r>
      <w:r w:rsidRPr="00A46177">
        <w:rPr>
          <w:lang w:val="en-GB"/>
        </w:rPr>
        <w:t xml:space="preserve"> a comprehensive reform agenda which has ended the country’s isolation from the wider world. </w:t>
      </w:r>
      <w:r w:rsidR="00D144FB" w:rsidRPr="00D144FB">
        <w:rPr>
          <w:lang w:val="en-GB"/>
        </w:rPr>
        <w:t>Myanmar aims to achieve democratisation, domestic peace, and sustainable and inclusive growth, but is challenged by a</w:t>
      </w:r>
      <w:r w:rsidR="00965A67">
        <w:rPr>
          <w:lang w:val="en-GB"/>
        </w:rPr>
        <w:t>n</w:t>
      </w:r>
      <w:r w:rsidR="00D144FB" w:rsidRPr="00D144FB">
        <w:rPr>
          <w:lang w:val="en-GB"/>
        </w:rPr>
        <w:t xml:space="preserve"> historical legacy that includes a weak democratic culture and a poor human rights record, ethnic conflict</w:t>
      </w:r>
      <w:r w:rsidR="00965A67">
        <w:rPr>
          <w:lang w:val="en-GB"/>
        </w:rPr>
        <w:t>s</w:t>
      </w:r>
      <w:r w:rsidR="00D144FB" w:rsidRPr="00D144FB">
        <w:rPr>
          <w:lang w:val="en-GB"/>
        </w:rPr>
        <w:t>, deep-rooted poverty, and fragile state institutions.</w:t>
      </w:r>
    </w:p>
    <w:p w14:paraId="1E0E559E" w14:textId="77777777" w:rsidR="005B73AF" w:rsidRPr="00A46177" w:rsidRDefault="005B73AF" w:rsidP="005B73AF">
      <w:pPr>
        <w:autoSpaceDE w:val="0"/>
        <w:autoSpaceDN w:val="0"/>
        <w:adjustRightInd w:val="0"/>
        <w:jc w:val="both"/>
        <w:rPr>
          <w:lang w:val="en-GB"/>
        </w:rPr>
      </w:pPr>
    </w:p>
    <w:p w14:paraId="26F7532F" w14:textId="16B04250" w:rsidR="005B73AF" w:rsidRPr="00A46177" w:rsidRDefault="005B73AF" w:rsidP="005B73AF">
      <w:pPr>
        <w:autoSpaceDE w:val="0"/>
        <w:autoSpaceDN w:val="0"/>
        <w:adjustRightInd w:val="0"/>
        <w:jc w:val="both"/>
        <w:rPr>
          <w:lang w:val="en-GB"/>
        </w:rPr>
      </w:pPr>
      <w:r w:rsidRPr="00A46177">
        <w:rPr>
          <w:lang w:val="en-GB"/>
        </w:rPr>
        <w:t>The rapprochement between the government</w:t>
      </w:r>
      <w:r w:rsidR="00B55E20">
        <w:rPr>
          <w:lang w:val="en-GB"/>
        </w:rPr>
        <w:t xml:space="preserve"> </w:t>
      </w:r>
      <w:r w:rsidRPr="00A46177">
        <w:rPr>
          <w:lang w:val="en-GB"/>
        </w:rPr>
        <w:t xml:space="preserve">and Daw Aung San Suu Kyi has been remarkable. Her party, the National League for Democracy (NLD), ran and won most of the seats in the April 2012 by-elections, a ballot </w:t>
      </w:r>
      <w:r w:rsidR="00A46177">
        <w:rPr>
          <w:lang w:val="en-GB"/>
        </w:rPr>
        <w:t>deemed to be</w:t>
      </w:r>
      <w:r w:rsidRPr="00A46177">
        <w:rPr>
          <w:lang w:val="en-GB"/>
        </w:rPr>
        <w:t xml:space="preserve"> free and fair, and a significant improvement over the 2010 elections. </w:t>
      </w:r>
      <w:r w:rsidR="00CC4C0B" w:rsidRPr="00CC4C0B">
        <w:rPr>
          <w:lang w:val="en-GB"/>
        </w:rPr>
        <w:t xml:space="preserve">The current Government has </w:t>
      </w:r>
      <w:r w:rsidR="00CC4C0B">
        <w:rPr>
          <w:lang w:val="en-GB"/>
        </w:rPr>
        <w:t xml:space="preserve">also </w:t>
      </w:r>
      <w:r w:rsidR="00CC4C0B" w:rsidRPr="00CC4C0B">
        <w:rPr>
          <w:lang w:val="en-GB"/>
        </w:rPr>
        <w:t>identified concluding comprehensive settlements to end all armed conflict in the country as a national priority. Since August 2011, it has successfully negotiated bila</w:t>
      </w:r>
      <w:r w:rsidR="00CC4C0B">
        <w:rPr>
          <w:lang w:val="en-GB"/>
        </w:rPr>
        <w:t xml:space="preserve">teral ceasefire agreements </w:t>
      </w:r>
      <w:r w:rsidR="00CC4C0B" w:rsidRPr="00CC4C0B">
        <w:rPr>
          <w:lang w:val="en-GB"/>
        </w:rPr>
        <w:t>with 14</w:t>
      </w:r>
      <w:r w:rsidR="00CC4C0B">
        <w:rPr>
          <w:lang w:val="en-GB"/>
        </w:rPr>
        <w:t xml:space="preserve"> out of 16 ethnic armed groups. </w:t>
      </w:r>
      <w:r w:rsidR="00CC4C0B" w:rsidRPr="00CC4C0B">
        <w:rPr>
          <w:lang w:val="en-GB"/>
        </w:rPr>
        <w:t>The expected signing of a nationwide ceasefire agreement later this year is scheduled to be followed by a national political dialogue addressing the concerns of ethnic groups who are seeking greater political and economic autonomy for their regions.</w:t>
      </w:r>
      <w:r w:rsidR="00CC4C0B">
        <w:rPr>
          <w:lang w:val="en-GB"/>
        </w:rPr>
        <w:t xml:space="preserve"> </w:t>
      </w:r>
      <w:r w:rsidRPr="00A46177">
        <w:rPr>
          <w:lang w:val="en-GB"/>
        </w:rPr>
        <w:t xml:space="preserve">These reconciliatory steps boosted confidence in the Government's commitment to political reform, both domestically and internationally. </w:t>
      </w:r>
    </w:p>
    <w:p w14:paraId="793F022B" w14:textId="77777777" w:rsidR="005B73AF" w:rsidRPr="00A46177" w:rsidRDefault="005B73AF" w:rsidP="005B73AF">
      <w:pPr>
        <w:autoSpaceDE w:val="0"/>
        <w:autoSpaceDN w:val="0"/>
        <w:adjustRightInd w:val="0"/>
        <w:jc w:val="both"/>
        <w:rPr>
          <w:lang w:val="en-GB"/>
        </w:rPr>
      </w:pPr>
    </w:p>
    <w:p w14:paraId="0143327F" w14:textId="7E7627B7" w:rsidR="004C3070" w:rsidRDefault="005B73AF" w:rsidP="005B73AF">
      <w:pPr>
        <w:autoSpaceDE w:val="0"/>
        <w:autoSpaceDN w:val="0"/>
        <w:adjustRightInd w:val="0"/>
        <w:jc w:val="both"/>
        <w:rPr>
          <w:lang w:val="en-GB"/>
        </w:rPr>
      </w:pPr>
      <w:r w:rsidRPr="00A46177">
        <w:rPr>
          <w:lang w:val="en-GB"/>
        </w:rPr>
        <w:t>The EU</w:t>
      </w:r>
      <w:r w:rsidR="00965A67">
        <w:rPr>
          <w:lang w:val="en-GB"/>
        </w:rPr>
        <w:t xml:space="preserve"> and Member States</w:t>
      </w:r>
      <w:r w:rsidRPr="00A46177">
        <w:rPr>
          <w:lang w:val="en-GB"/>
        </w:rPr>
        <w:t xml:space="preserve"> ha</w:t>
      </w:r>
      <w:r w:rsidR="00965A67">
        <w:rPr>
          <w:lang w:val="en-GB"/>
        </w:rPr>
        <w:t>ve</w:t>
      </w:r>
      <w:r w:rsidRPr="00A46177">
        <w:rPr>
          <w:lang w:val="en-GB"/>
        </w:rPr>
        <w:t xml:space="preserve"> responded in a </w:t>
      </w:r>
      <w:r w:rsidR="00C07227">
        <w:rPr>
          <w:lang w:val="en-GB"/>
        </w:rPr>
        <w:t>gradual</w:t>
      </w:r>
      <w:r w:rsidR="00C07227" w:rsidRPr="00A46177">
        <w:rPr>
          <w:lang w:val="en-GB"/>
        </w:rPr>
        <w:t xml:space="preserve"> </w:t>
      </w:r>
      <w:r w:rsidR="00C07227">
        <w:rPr>
          <w:lang w:val="en-GB"/>
        </w:rPr>
        <w:t xml:space="preserve">and </w:t>
      </w:r>
      <w:r w:rsidRPr="00A46177">
        <w:rPr>
          <w:lang w:val="en-GB"/>
        </w:rPr>
        <w:t>measure</w:t>
      </w:r>
      <w:r w:rsidR="00A46177">
        <w:rPr>
          <w:lang w:val="en-GB"/>
        </w:rPr>
        <w:t xml:space="preserve">d </w:t>
      </w:r>
      <w:r w:rsidRPr="00A46177">
        <w:rPr>
          <w:lang w:val="en-GB"/>
        </w:rPr>
        <w:t xml:space="preserve">way to the </w:t>
      </w:r>
      <w:r w:rsidR="00A46177">
        <w:rPr>
          <w:lang w:val="en-GB"/>
        </w:rPr>
        <w:t>opening and reforms</w:t>
      </w:r>
      <w:r w:rsidR="000432E2" w:rsidRPr="00A46177">
        <w:rPr>
          <w:lang w:val="en-GB"/>
        </w:rPr>
        <w:t xml:space="preserve">. </w:t>
      </w:r>
      <w:r w:rsidR="00A46177">
        <w:rPr>
          <w:lang w:val="en-GB"/>
        </w:rPr>
        <w:t>Based upon the progress made in 2011 and early 2012, t</w:t>
      </w:r>
      <w:r w:rsidR="000432E2" w:rsidRPr="00A46177">
        <w:rPr>
          <w:lang w:val="en-GB"/>
        </w:rPr>
        <w:t>he Council of the European Union suspended EU sanctions in April 2012</w:t>
      </w:r>
      <w:r w:rsidR="00A46177">
        <w:rPr>
          <w:lang w:val="en-GB"/>
        </w:rPr>
        <w:t xml:space="preserve">. This was </w:t>
      </w:r>
      <w:r w:rsidR="000432E2" w:rsidRPr="00A46177">
        <w:rPr>
          <w:lang w:val="en-GB"/>
        </w:rPr>
        <w:t xml:space="preserve">followed by </w:t>
      </w:r>
      <w:r w:rsidR="00A46177">
        <w:rPr>
          <w:lang w:val="en-GB"/>
        </w:rPr>
        <w:t xml:space="preserve">period of </w:t>
      </w:r>
      <w:r w:rsidR="000432E2" w:rsidRPr="00A46177">
        <w:rPr>
          <w:lang w:val="en-GB"/>
        </w:rPr>
        <w:t>increasing engagement</w:t>
      </w:r>
      <w:r w:rsidR="00A46177">
        <w:rPr>
          <w:lang w:val="en-GB"/>
        </w:rPr>
        <w:t xml:space="preserve"> at all levels</w:t>
      </w:r>
      <w:r w:rsidR="000432E2" w:rsidRPr="00A46177">
        <w:rPr>
          <w:lang w:val="en-GB"/>
        </w:rPr>
        <w:t xml:space="preserve"> in response to further political and economic reforms</w:t>
      </w:r>
      <w:r w:rsidR="00181676">
        <w:rPr>
          <w:lang w:val="en-GB"/>
        </w:rPr>
        <w:t xml:space="preserve">, and in April 2013 EU sanctions </w:t>
      </w:r>
      <w:r w:rsidR="00E57E53">
        <w:rPr>
          <w:lang w:val="en-GB"/>
        </w:rPr>
        <w:t xml:space="preserve">apart from the arms embargo </w:t>
      </w:r>
      <w:r w:rsidR="00181676">
        <w:rPr>
          <w:lang w:val="en-GB"/>
        </w:rPr>
        <w:t>were lifted altogether</w:t>
      </w:r>
      <w:r w:rsidR="00A46177">
        <w:rPr>
          <w:lang w:val="en-GB"/>
        </w:rPr>
        <w:t xml:space="preserve">. </w:t>
      </w:r>
      <w:r w:rsidR="00181676" w:rsidRPr="00181676">
        <w:rPr>
          <w:lang w:val="en-GB"/>
        </w:rPr>
        <w:t xml:space="preserve">The suspension of EU restrictive measures enabled the EU </w:t>
      </w:r>
      <w:r w:rsidR="00965A67">
        <w:rPr>
          <w:lang w:val="en-GB"/>
        </w:rPr>
        <w:t xml:space="preserve">and Member States </w:t>
      </w:r>
      <w:r w:rsidR="00181676" w:rsidRPr="00181676">
        <w:rPr>
          <w:lang w:val="en-GB"/>
        </w:rPr>
        <w:t>to engage directly with the Government for the first time.</w:t>
      </w:r>
      <w:r w:rsidR="00181676">
        <w:rPr>
          <w:lang w:val="en-GB"/>
        </w:rPr>
        <w:t xml:space="preserve"> </w:t>
      </w:r>
      <w:r w:rsidR="000432E2" w:rsidRPr="00A46177">
        <w:rPr>
          <w:lang w:val="en-GB"/>
        </w:rPr>
        <w:t xml:space="preserve">The Council </w:t>
      </w:r>
      <w:r w:rsidR="00B55E20">
        <w:rPr>
          <w:lang w:val="en-GB"/>
        </w:rPr>
        <w:t>C</w:t>
      </w:r>
      <w:r w:rsidR="000432E2" w:rsidRPr="00A46177">
        <w:rPr>
          <w:lang w:val="en-GB"/>
        </w:rPr>
        <w:t xml:space="preserve">onclusions of July 2013 set out a </w:t>
      </w:r>
      <w:r w:rsidR="00A46177">
        <w:rPr>
          <w:lang w:val="en-GB"/>
        </w:rPr>
        <w:t>Comprehensive Framework</w:t>
      </w:r>
      <w:r w:rsidR="004C3070">
        <w:rPr>
          <w:lang w:val="en-GB"/>
        </w:rPr>
        <w:t xml:space="preserve"> for the European Union</w:t>
      </w:r>
      <w:r w:rsidR="00965A67">
        <w:rPr>
          <w:lang w:val="en-GB"/>
        </w:rPr>
        <w:t xml:space="preserve"> and Member States</w:t>
      </w:r>
      <w:r w:rsidR="004C3070">
        <w:rPr>
          <w:lang w:val="en-GB"/>
        </w:rPr>
        <w:t>' policy and support to Myanmar/Burma</w:t>
      </w:r>
      <w:r w:rsidR="00C07227">
        <w:rPr>
          <w:lang w:val="en-GB"/>
        </w:rPr>
        <w:t xml:space="preserve"> for the next three years</w:t>
      </w:r>
      <w:r w:rsidR="004C3070">
        <w:rPr>
          <w:lang w:val="en-GB"/>
        </w:rPr>
        <w:t>.</w:t>
      </w:r>
    </w:p>
    <w:p w14:paraId="09F4E3D1" w14:textId="77777777" w:rsidR="004C3070" w:rsidRDefault="004C3070" w:rsidP="005B73AF">
      <w:pPr>
        <w:autoSpaceDE w:val="0"/>
        <w:autoSpaceDN w:val="0"/>
        <w:adjustRightInd w:val="0"/>
        <w:jc w:val="both"/>
        <w:rPr>
          <w:lang w:val="en-GB"/>
        </w:rPr>
      </w:pPr>
    </w:p>
    <w:p w14:paraId="12D48CD1" w14:textId="77777777" w:rsidR="005B73AF" w:rsidRDefault="004C3070" w:rsidP="005B73AF">
      <w:pPr>
        <w:autoSpaceDE w:val="0"/>
        <w:autoSpaceDN w:val="0"/>
        <w:adjustRightInd w:val="0"/>
        <w:jc w:val="both"/>
        <w:rPr>
          <w:lang w:val="en-GB"/>
        </w:rPr>
      </w:pPr>
      <w:r>
        <w:rPr>
          <w:lang w:val="en-GB"/>
        </w:rPr>
        <w:t>The EU Comprehensive Framework sets out the EU</w:t>
      </w:r>
      <w:r w:rsidR="00965A67">
        <w:rPr>
          <w:lang w:val="en-GB"/>
        </w:rPr>
        <w:t xml:space="preserve"> and Member State</w:t>
      </w:r>
      <w:r>
        <w:rPr>
          <w:lang w:val="en-GB"/>
        </w:rPr>
        <w:t>s</w:t>
      </w:r>
      <w:r w:rsidR="00965A67">
        <w:rPr>
          <w:lang w:val="en-GB"/>
        </w:rPr>
        <w:t>’</w:t>
      </w:r>
      <w:r>
        <w:rPr>
          <w:lang w:val="en-GB"/>
        </w:rPr>
        <w:t xml:space="preserve"> goals and </w:t>
      </w:r>
      <w:r w:rsidR="00965A67">
        <w:rPr>
          <w:lang w:val="en-GB"/>
        </w:rPr>
        <w:t xml:space="preserve">priorities </w:t>
      </w:r>
      <w:r>
        <w:rPr>
          <w:lang w:val="en-GB"/>
        </w:rPr>
        <w:t>towards building a lasting partnership and promoting closer engagement. The goals are to support political, social and economic development, while fostering respect for human rights and assisting the government in building its place in the international community. It is a collective effort involving actions by EU Member States and EU institutions to support peace, democracy, development and trade.</w:t>
      </w:r>
    </w:p>
    <w:p w14:paraId="7F2ADC44" w14:textId="77777777" w:rsidR="00F62D48" w:rsidRDefault="00F62D48" w:rsidP="005B73AF">
      <w:pPr>
        <w:autoSpaceDE w:val="0"/>
        <w:autoSpaceDN w:val="0"/>
        <w:adjustRightInd w:val="0"/>
        <w:jc w:val="both"/>
        <w:rPr>
          <w:lang w:val="en-GB"/>
        </w:rPr>
      </w:pPr>
    </w:p>
    <w:p w14:paraId="2A5116F3" w14:textId="77777777" w:rsidR="004A279B" w:rsidRDefault="004C3070" w:rsidP="005B73AF">
      <w:pPr>
        <w:autoSpaceDE w:val="0"/>
        <w:autoSpaceDN w:val="0"/>
        <w:adjustRightInd w:val="0"/>
        <w:jc w:val="both"/>
        <w:rPr>
          <w:lang w:val="en-GB"/>
        </w:rPr>
      </w:pPr>
      <w:r>
        <w:rPr>
          <w:lang w:val="en-GB"/>
        </w:rPr>
        <w:t>The Comprehensive Framework s</w:t>
      </w:r>
      <w:r w:rsidR="00C07227">
        <w:rPr>
          <w:lang w:val="en-GB"/>
        </w:rPr>
        <w:t>tates that authori</w:t>
      </w:r>
      <w:r>
        <w:rPr>
          <w:lang w:val="en-GB"/>
        </w:rPr>
        <w:t xml:space="preserve">ties in Member States and EU Institutions will work together to plan their programmes of assistance </w:t>
      </w:r>
      <w:r w:rsidR="00C07227">
        <w:rPr>
          <w:lang w:val="en-GB"/>
        </w:rPr>
        <w:t xml:space="preserve">and will </w:t>
      </w:r>
      <w:r>
        <w:rPr>
          <w:lang w:val="en-GB"/>
        </w:rPr>
        <w:t xml:space="preserve">be guided by the Framework. In this context the EU is fully engaged in </w:t>
      </w:r>
      <w:r w:rsidR="00EA26E2">
        <w:rPr>
          <w:lang w:val="en-GB"/>
        </w:rPr>
        <w:t>development partner</w:t>
      </w:r>
      <w:r>
        <w:rPr>
          <w:lang w:val="en-GB"/>
        </w:rPr>
        <w:t xml:space="preserve"> coordination efforts locally in the framework of the Nay Pyi Taw Accord agreed in </w:t>
      </w:r>
      <w:r w:rsidR="0086760A">
        <w:rPr>
          <w:lang w:val="en-GB"/>
        </w:rPr>
        <w:t>January 2013</w:t>
      </w:r>
      <w:r w:rsidR="004A279B">
        <w:rPr>
          <w:lang w:val="en-GB"/>
        </w:rPr>
        <w:t xml:space="preserve"> and are proceeding towards Joint Programming of EU and Member States development aid, as </w:t>
      </w:r>
      <w:r w:rsidR="00911943">
        <w:rPr>
          <w:lang w:val="en-GB"/>
        </w:rPr>
        <w:t>agreed by</w:t>
      </w:r>
      <w:r w:rsidR="004A279B">
        <w:rPr>
          <w:lang w:val="en-GB"/>
        </w:rPr>
        <w:t xml:space="preserve"> the Heads of EU Missions in Myanmar.</w:t>
      </w:r>
    </w:p>
    <w:p w14:paraId="03EA3C47" w14:textId="77777777" w:rsidR="004A279B" w:rsidRDefault="004A279B" w:rsidP="005B73AF">
      <w:pPr>
        <w:autoSpaceDE w:val="0"/>
        <w:autoSpaceDN w:val="0"/>
        <w:adjustRightInd w:val="0"/>
        <w:jc w:val="both"/>
        <w:rPr>
          <w:lang w:val="en-GB"/>
        </w:rPr>
      </w:pPr>
    </w:p>
    <w:p w14:paraId="4C1714A8" w14:textId="44CCDB93" w:rsidR="004C3070" w:rsidRDefault="004A279B" w:rsidP="005B73AF">
      <w:pPr>
        <w:autoSpaceDE w:val="0"/>
        <w:autoSpaceDN w:val="0"/>
        <w:adjustRightInd w:val="0"/>
        <w:jc w:val="both"/>
        <w:rPr>
          <w:lang w:val="en-GB"/>
        </w:rPr>
      </w:pPr>
      <w:r>
        <w:rPr>
          <w:lang w:val="en-GB"/>
        </w:rPr>
        <w:lastRenderedPageBreak/>
        <w:t xml:space="preserve">In November 2013, </w:t>
      </w:r>
      <w:r w:rsidR="00B55E20">
        <w:rPr>
          <w:lang w:val="en-GB"/>
        </w:rPr>
        <w:t xml:space="preserve">the </w:t>
      </w:r>
      <w:r>
        <w:rPr>
          <w:lang w:val="en-GB"/>
        </w:rPr>
        <w:t xml:space="preserve">EU-Myanmar Task Force </w:t>
      </w:r>
      <w:r w:rsidR="00B55E20">
        <w:rPr>
          <w:lang w:val="en-GB"/>
        </w:rPr>
        <w:t xml:space="preserve">gave </w:t>
      </w:r>
      <w:r>
        <w:rPr>
          <w:lang w:val="en-GB"/>
        </w:rPr>
        <w:t>a visible signal</w:t>
      </w:r>
      <w:r w:rsidR="00B55E20">
        <w:rPr>
          <w:lang w:val="en-GB"/>
        </w:rPr>
        <w:t>,</w:t>
      </w:r>
      <w:r>
        <w:rPr>
          <w:lang w:val="en-GB"/>
        </w:rPr>
        <w:t xml:space="preserve"> offer</w:t>
      </w:r>
      <w:r w:rsidR="00B55E20">
        <w:rPr>
          <w:lang w:val="en-GB"/>
        </w:rPr>
        <w:t>ing</w:t>
      </w:r>
      <w:r>
        <w:rPr>
          <w:lang w:val="en-GB"/>
        </w:rPr>
        <w:t xml:space="preserve"> a high level platform to pull together EU resources to help the transition move forward</w:t>
      </w:r>
      <w:r w:rsidR="00B55E20">
        <w:rPr>
          <w:lang w:val="en-GB"/>
        </w:rPr>
        <w:t xml:space="preserve"> while</w:t>
      </w:r>
      <w:r>
        <w:rPr>
          <w:lang w:val="en-GB"/>
        </w:rPr>
        <w:t xml:space="preserve"> taking into account the priorities set out in the Comprehensive Framework for the European Union'</w:t>
      </w:r>
      <w:r w:rsidR="00F2482D">
        <w:rPr>
          <w:lang w:val="en-GB"/>
        </w:rPr>
        <w:t>s policy and support to Myanmar</w:t>
      </w:r>
      <w:r>
        <w:rPr>
          <w:lang w:val="en-GB"/>
        </w:rPr>
        <w:t>.</w:t>
      </w:r>
      <w:r w:rsidR="004C3070">
        <w:rPr>
          <w:lang w:val="en-GB"/>
        </w:rPr>
        <w:t xml:space="preserve"> </w:t>
      </w:r>
    </w:p>
    <w:p w14:paraId="2C8058F5" w14:textId="77777777" w:rsidR="004C3070" w:rsidRPr="00A46177" w:rsidRDefault="004C3070" w:rsidP="005B73AF">
      <w:pPr>
        <w:autoSpaceDE w:val="0"/>
        <w:autoSpaceDN w:val="0"/>
        <w:adjustRightInd w:val="0"/>
        <w:jc w:val="both"/>
        <w:rPr>
          <w:lang w:val="en-GB"/>
        </w:rPr>
      </w:pPr>
    </w:p>
    <w:p w14:paraId="52E1865F" w14:textId="77777777" w:rsidR="00394026" w:rsidRDefault="00C07227" w:rsidP="00C07227">
      <w:pPr>
        <w:autoSpaceDE w:val="0"/>
        <w:autoSpaceDN w:val="0"/>
        <w:adjustRightInd w:val="0"/>
        <w:jc w:val="both"/>
        <w:rPr>
          <w:lang w:val="en-GB"/>
        </w:rPr>
      </w:pPr>
      <w:r w:rsidRPr="00C07227">
        <w:rPr>
          <w:lang w:val="en-GB"/>
        </w:rPr>
        <w:t>Against this background, this Joint EU Strategy for Myanmar</w:t>
      </w:r>
      <w:r w:rsidR="00394026" w:rsidRPr="00C07227">
        <w:rPr>
          <w:lang w:val="en-GB"/>
        </w:rPr>
        <w:t xml:space="preserve"> has been </w:t>
      </w:r>
      <w:r w:rsidRPr="00C07227">
        <w:rPr>
          <w:lang w:val="en-GB"/>
        </w:rPr>
        <w:t xml:space="preserve">prepared </w:t>
      </w:r>
      <w:r>
        <w:rPr>
          <w:lang w:val="en-GB"/>
        </w:rPr>
        <w:t>and</w:t>
      </w:r>
      <w:r w:rsidRPr="00C07227">
        <w:rPr>
          <w:lang w:val="en-GB"/>
        </w:rPr>
        <w:t xml:space="preserve"> </w:t>
      </w:r>
      <w:r w:rsidR="00394026" w:rsidRPr="00C07227">
        <w:rPr>
          <w:lang w:val="en-GB"/>
        </w:rPr>
        <w:t xml:space="preserve">agreed </w:t>
      </w:r>
      <w:r w:rsidR="00F2482D">
        <w:rPr>
          <w:lang w:val="en-GB"/>
        </w:rPr>
        <w:t>at the</w:t>
      </w:r>
      <w:r w:rsidR="004973B5">
        <w:rPr>
          <w:lang w:val="en-GB"/>
        </w:rPr>
        <w:t xml:space="preserve"> local level by the following </w:t>
      </w:r>
      <w:r w:rsidR="00394026" w:rsidRPr="00C07227">
        <w:rPr>
          <w:lang w:val="en-GB"/>
        </w:rPr>
        <w:t xml:space="preserve">European Union Member States </w:t>
      </w:r>
      <w:r w:rsidR="00B76A40">
        <w:rPr>
          <w:lang w:val="en-GB"/>
        </w:rPr>
        <w:t xml:space="preserve">delegations </w:t>
      </w:r>
      <w:r>
        <w:rPr>
          <w:lang w:val="en-GB"/>
        </w:rPr>
        <w:t xml:space="preserve">and EU </w:t>
      </w:r>
      <w:r w:rsidR="004973B5">
        <w:rPr>
          <w:lang w:val="en-GB"/>
        </w:rPr>
        <w:t>Institutions</w:t>
      </w:r>
      <w:r w:rsidR="00B76A40">
        <w:rPr>
          <w:lang w:val="en-GB"/>
        </w:rPr>
        <w:t xml:space="preserve"> and bodies</w:t>
      </w:r>
      <w:r>
        <w:rPr>
          <w:lang w:val="en-GB"/>
        </w:rPr>
        <w:t xml:space="preserve"> </w:t>
      </w:r>
      <w:r w:rsidR="00394026" w:rsidRPr="00C07227">
        <w:rPr>
          <w:lang w:val="en-GB"/>
        </w:rPr>
        <w:t>with ongoing and planned development cooperation in Myanmar:</w:t>
      </w:r>
    </w:p>
    <w:p w14:paraId="30ECBC69" w14:textId="77777777" w:rsidR="00B76A40" w:rsidRPr="00C07227" w:rsidRDefault="00B76A40" w:rsidP="00C07227">
      <w:pPr>
        <w:autoSpaceDE w:val="0"/>
        <w:autoSpaceDN w:val="0"/>
        <w:adjustRightInd w:val="0"/>
        <w:jc w:val="both"/>
        <w:rPr>
          <w:lang w:val="en-GB"/>
        </w:rPr>
      </w:pPr>
    </w:p>
    <w:p w14:paraId="24AF5121"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Czech Republic</w:t>
      </w:r>
    </w:p>
    <w:p w14:paraId="74C82BDD"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Denmark</w:t>
      </w:r>
    </w:p>
    <w:p w14:paraId="3E47A510" w14:textId="77777777" w:rsidR="00394026"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EU</w:t>
      </w:r>
      <w:r w:rsidR="00B76A40">
        <w:rPr>
          <w:rFonts w:ascii="Times New Roman" w:hAnsi="Times New Roman"/>
          <w:szCs w:val="24"/>
        </w:rPr>
        <w:t xml:space="preserve"> (EEAS and European Commission)</w:t>
      </w:r>
    </w:p>
    <w:p w14:paraId="5D942051"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Finland</w:t>
      </w:r>
      <w:r w:rsidRPr="00C07227">
        <w:rPr>
          <w:rFonts w:ascii="Times New Roman" w:hAnsi="Times New Roman"/>
          <w:szCs w:val="24"/>
        </w:rPr>
        <w:tab/>
      </w:r>
    </w:p>
    <w:p w14:paraId="16A8A489"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France</w:t>
      </w:r>
    </w:p>
    <w:p w14:paraId="5EBCDED4"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 xml:space="preserve">Germany </w:t>
      </w:r>
    </w:p>
    <w:p w14:paraId="0EBD5AAA"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Hungary</w:t>
      </w:r>
    </w:p>
    <w:p w14:paraId="114BD19A"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Ireland</w:t>
      </w:r>
    </w:p>
    <w:p w14:paraId="24B4AA02" w14:textId="77777777" w:rsidR="00394026"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Italy</w:t>
      </w:r>
    </w:p>
    <w:p w14:paraId="41EAD6E2" w14:textId="77777777" w:rsidR="00A530E1" w:rsidRPr="00C07227" w:rsidRDefault="00A530E1">
      <w:pPr>
        <w:pStyle w:val="Body1"/>
        <w:numPr>
          <w:ilvl w:val="0"/>
          <w:numId w:val="3"/>
        </w:numPr>
        <w:tabs>
          <w:tab w:val="num" w:pos="714"/>
        </w:tabs>
        <w:spacing w:after="0"/>
        <w:ind w:left="714" w:hanging="357"/>
        <w:rPr>
          <w:rFonts w:ascii="Times New Roman" w:hAnsi="Times New Roman"/>
          <w:szCs w:val="24"/>
        </w:rPr>
      </w:pPr>
      <w:r>
        <w:rPr>
          <w:rFonts w:ascii="Times New Roman" w:hAnsi="Times New Roman"/>
          <w:szCs w:val="24"/>
        </w:rPr>
        <w:t>Luxembourg</w:t>
      </w:r>
    </w:p>
    <w:p w14:paraId="694272DE"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Netherlands</w:t>
      </w:r>
    </w:p>
    <w:p w14:paraId="353D9587"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Poland</w:t>
      </w:r>
    </w:p>
    <w:p w14:paraId="169E1E95"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Sweden</w:t>
      </w:r>
    </w:p>
    <w:p w14:paraId="4B07F8FE" w14:textId="77777777" w:rsidR="00394026" w:rsidRPr="00C07227" w:rsidRDefault="00394026">
      <w:pPr>
        <w:pStyle w:val="Body1"/>
        <w:numPr>
          <w:ilvl w:val="0"/>
          <w:numId w:val="3"/>
        </w:numPr>
        <w:tabs>
          <w:tab w:val="num" w:pos="714"/>
        </w:tabs>
        <w:spacing w:after="0"/>
        <w:ind w:left="714" w:hanging="357"/>
        <w:rPr>
          <w:rFonts w:ascii="Times New Roman" w:hAnsi="Times New Roman"/>
          <w:szCs w:val="24"/>
        </w:rPr>
      </w:pPr>
      <w:r w:rsidRPr="00C07227">
        <w:rPr>
          <w:rFonts w:ascii="Times New Roman" w:hAnsi="Times New Roman"/>
          <w:szCs w:val="24"/>
        </w:rPr>
        <w:t xml:space="preserve">UK </w:t>
      </w:r>
    </w:p>
    <w:p w14:paraId="0BE81154" w14:textId="77777777" w:rsidR="00B76A40" w:rsidRDefault="00B76A40">
      <w:pPr>
        <w:pStyle w:val="Body1"/>
        <w:jc w:val="both"/>
        <w:rPr>
          <w:rFonts w:ascii="Times New Roman" w:hAnsi="Times New Roman"/>
          <w:szCs w:val="24"/>
        </w:rPr>
      </w:pPr>
    </w:p>
    <w:p w14:paraId="60ED69F4" w14:textId="77777777" w:rsidR="00D60F16" w:rsidRDefault="00D60F16">
      <w:pPr>
        <w:pStyle w:val="Body1"/>
        <w:jc w:val="both"/>
        <w:rPr>
          <w:rFonts w:ascii="Times New Roman" w:hAnsi="Times New Roman"/>
          <w:szCs w:val="24"/>
        </w:rPr>
      </w:pPr>
      <w:r>
        <w:rPr>
          <w:rFonts w:ascii="Times New Roman" w:hAnsi="Times New Roman"/>
          <w:szCs w:val="24"/>
        </w:rPr>
        <w:t>The period of this first, Transitional Strategy has been set at 2014-16 to allow the subsequent strategy to align with the next Government’s presumed planning cycle</w:t>
      </w:r>
      <w:r w:rsidR="00B8083D">
        <w:rPr>
          <w:rFonts w:ascii="Times New Roman" w:hAnsi="Times New Roman"/>
          <w:szCs w:val="24"/>
        </w:rPr>
        <w:t xml:space="preserve"> and elections expected in late 2015</w:t>
      </w:r>
      <w:r>
        <w:rPr>
          <w:rFonts w:ascii="Times New Roman" w:hAnsi="Times New Roman"/>
          <w:szCs w:val="24"/>
        </w:rPr>
        <w:t xml:space="preserve">. </w:t>
      </w:r>
    </w:p>
    <w:p w14:paraId="0F069674" w14:textId="77777777" w:rsidR="00B8083D" w:rsidRDefault="00394026">
      <w:pPr>
        <w:pStyle w:val="Body1"/>
        <w:jc w:val="both"/>
        <w:rPr>
          <w:rFonts w:ascii="Times New Roman" w:hAnsi="Times New Roman"/>
          <w:szCs w:val="24"/>
        </w:rPr>
      </w:pPr>
      <w:r w:rsidRPr="00B76A40">
        <w:rPr>
          <w:rFonts w:ascii="Times New Roman" w:hAnsi="Times New Roman"/>
          <w:szCs w:val="24"/>
        </w:rPr>
        <w:t xml:space="preserve">It should be taken into account that all financial information provided in this Strategy document is in the form of indicative estimates only and does not represent a formal commitment by any of the </w:t>
      </w:r>
      <w:r w:rsidR="00EA26E2" w:rsidRPr="00B76A40">
        <w:rPr>
          <w:rFonts w:ascii="Times New Roman" w:hAnsi="Times New Roman"/>
          <w:szCs w:val="24"/>
        </w:rPr>
        <w:t>d</w:t>
      </w:r>
      <w:r w:rsidR="00EA26E2">
        <w:rPr>
          <w:rFonts w:ascii="Times New Roman" w:hAnsi="Times New Roman"/>
          <w:szCs w:val="24"/>
        </w:rPr>
        <w:t>evelopment partners</w:t>
      </w:r>
      <w:r w:rsidR="00EA26E2" w:rsidRPr="00B76A40">
        <w:rPr>
          <w:rFonts w:ascii="Times New Roman" w:hAnsi="Times New Roman"/>
          <w:szCs w:val="24"/>
        </w:rPr>
        <w:t xml:space="preserve"> </w:t>
      </w:r>
      <w:r w:rsidRPr="00B76A40">
        <w:rPr>
          <w:rFonts w:ascii="Times New Roman" w:hAnsi="Times New Roman"/>
          <w:szCs w:val="24"/>
        </w:rPr>
        <w:t xml:space="preserve">concerned. These figures will subsequently be revised on an annual basis. It should also be recognised that this Strategy focuses on setting out the main lines of European Union </w:t>
      </w:r>
      <w:r w:rsidR="00B76A40">
        <w:rPr>
          <w:rFonts w:ascii="Times New Roman" w:hAnsi="Times New Roman"/>
          <w:szCs w:val="24"/>
        </w:rPr>
        <w:t xml:space="preserve">and Member States' </w:t>
      </w:r>
      <w:r w:rsidR="00017F9A">
        <w:rPr>
          <w:rFonts w:ascii="Times New Roman" w:hAnsi="Times New Roman"/>
          <w:szCs w:val="24"/>
        </w:rPr>
        <w:t xml:space="preserve">future </w:t>
      </w:r>
      <w:r w:rsidRPr="00B76A40">
        <w:rPr>
          <w:rFonts w:ascii="Times New Roman" w:hAnsi="Times New Roman"/>
          <w:szCs w:val="24"/>
        </w:rPr>
        <w:t>support</w:t>
      </w:r>
      <w:r w:rsidR="00B8083D">
        <w:rPr>
          <w:rFonts w:ascii="Times New Roman" w:hAnsi="Times New Roman"/>
          <w:szCs w:val="24"/>
        </w:rPr>
        <w:t xml:space="preserve"> for 2014-16</w:t>
      </w:r>
      <w:r w:rsidRPr="00B76A40">
        <w:rPr>
          <w:rFonts w:ascii="Times New Roman" w:hAnsi="Times New Roman"/>
          <w:szCs w:val="24"/>
        </w:rPr>
        <w:t>. It does not seek to go into details of how individual European Union d</w:t>
      </w:r>
      <w:r w:rsidR="00EA26E2">
        <w:rPr>
          <w:rFonts w:ascii="Times New Roman" w:hAnsi="Times New Roman"/>
          <w:szCs w:val="24"/>
        </w:rPr>
        <w:t>evelopment partners</w:t>
      </w:r>
      <w:r w:rsidRPr="00B76A40">
        <w:rPr>
          <w:rFonts w:ascii="Times New Roman" w:hAnsi="Times New Roman"/>
          <w:szCs w:val="24"/>
        </w:rPr>
        <w:t xml:space="preserve"> will carry out their work in the agreed sectors and areas, </w:t>
      </w:r>
      <w:r w:rsidR="00017F9A">
        <w:rPr>
          <w:rFonts w:ascii="Times New Roman" w:hAnsi="Times New Roman"/>
          <w:szCs w:val="24"/>
        </w:rPr>
        <w:t>whether through trust funds,</w:t>
      </w:r>
      <w:r w:rsidRPr="00B76A40">
        <w:rPr>
          <w:rFonts w:ascii="Times New Roman" w:hAnsi="Times New Roman"/>
          <w:szCs w:val="24"/>
        </w:rPr>
        <w:t xml:space="preserve"> individual </w:t>
      </w:r>
      <w:r w:rsidR="00017F9A">
        <w:rPr>
          <w:rFonts w:ascii="Times New Roman" w:hAnsi="Times New Roman"/>
          <w:szCs w:val="24"/>
        </w:rPr>
        <w:t>programmes</w:t>
      </w:r>
      <w:r w:rsidRPr="00B76A40">
        <w:rPr>
          <w:rFonts w:ascii="Times New Roman" w:hAnsi="Times New Roman"/>
          <w:szCs w:val="24"/>
        </w:rPr>
        <w:t xml:space="preserve">, </w:t>
      </w:r>
      <w:r w:rsidR="00B8083D">
        <w:rPr>
          <w:rFonts w:ascii="Times New Roman" w:hAnsi="Times New Roman"/>
          <w:szCs w:val="24"/>
        </w:rPr>
        <w:t>what</w:t>
      </w:r>
      <w:r w:rsidR="00017F9A">
        <w:rPr>
          <w:rFonts w:ascii="Times New Roman" w:hAnsi="Times New Roman"/>
          <w:szCs w:val="24"/>
        </w:rPr>
        <w:t xml:space="preserve"> </w:t>
      </w:r>
      <w:r w:rsidRPr="00B76A40">
        <w:rPr>
          <w:rFonts w:ascii="Times New Roman" w:hAnsi="Times New Roman"/>
          <w:szCs w:val="24"/>
        </w:rPr>
        <w:t xml:space="preserve">modalities or </w:t>
      </w:r>
      <w:r w:rsidR="00B8083D">
        <w:rPr>
          <w:rFonts w:ascii="Times New Roman" w:hAnsi="Times New Roman"/>
          <w:szCs w:val="24"/>
        </w:rPr>
        <w:t xml:space="preserve">which </w:t>
      </w:r>
      <w:r w:rsidRPr="00B76A40">
        <w:rPr>
          <w:rFonts w:ascii="Times New Roman" w:hAnsi="Times New Roman"/>
          <w:szCs w:val="24"/>
        </w:rPr>
        <w:t>implement</w:t>
      </w:r>
      <w:r w:rsidR="00B8083D">
        <w:rPr>
          <w:rFonts w:ascii="Times New Roman" w:hAnsi="Times New Roman"/>
          <w:szCs w:val="24"/>
        </w:rPr>
        <w:t>ing</w:t>
      </w:r>
      <w:r w:rsidRPr="00B76A40">
        <w:rPr>
          <w:rFonts w:ascii="Times New Roman" w:hAnsi="Times New Roman"/>
          <w:szCs w:val="24"/>
        </w:rPr>
        <w:t xml:space="preserve"> partners</w:t>
      </w:r>
      <w:r w:rsidR="00017F9A">
        <w:rPr>
          <w:rFonts w:ascii="Times New Roman" w:hAnsi="Times New Roman"/>
          <w:szCs w:val="24"/>
        </w:rPr>
        <w:t>, for example</w:t>
      </w:r>
      <w:r w:rsidRPr="00B76A40">
        <w:rPr>
          <w:rFonts w:ascii="Times New Roman" w:hAnsi="Times New Roman"/>
          <w:szCs w:val="24"/>
        </w:rPr>
        <w:t>. Such issues will instead be left to the bilateral</w:t>
      </w:r>
      <w:r w:rsidR="00B76A40">
        <w:rPr>
          <w:rFonts w:ascii="Times New Roman" w:hAnsi="Times New Roman"/>
          <w:szCs w:val="24"/>
        </w:rPr>
        <w:t xml:space="preserve"> formulation and</w:t>
      </w:r>
      <w:r w:rsidRPr="00B76A40">
        <w:rPr>
          <w:rFonts w:ascii="Times New Roman" w:hAnsi="Times New Roman"/>
          <w:szCs w:val="24"/>
        </w:rPr>
        <w:t xml:space="preserve"> implementation plans that each will develop according to their internal rules and pr</w:t>
      </w:r>
      <w:r w:rsidR="00B8083D">
        <w:rPr>
          <w:rFonts w:ascii="Times New Roman" w:hAnsi="Times New Roman"/>
          <w:szCs w:val="24"/>
        </w:rPr>
        <w:t>ocedures</w:t>
      </w:r>
      <w:r w:rsidRPr="00B76A40">
        <w:rPr>
          <w:rFonts w:ascii="Times New Roman" w:hAnsi="Times New Roman"/>
          <w:szCs w:val="24"/>
        </w:rPr>
        <w:t xml:space="preserve">. These plans will nevertheless be guided by </w:t>
      </w:r>
      <w:r w:rsidR="00B8083D">
        <w:rPr>
          <w:rFonts w:ascii="Times New Roman" w:hAnsi="Times New Roman"/>
          <w:szCs w:val="24"/>
        </w:rPr>
        <w:t xml:space="preserve">the </w:t>
      </w:r>
      <w:r w:rsidR="00B8083D" w:rsidRPr="00AD3825">
        <w:rPr>
          <w:rFonts w:ascii="Times New Roman" w:hAnsi="Times New Roman"/>
        </w:rPr>
        <w:t>EU Comprehensive Framewor</w:t>
      </w:r>
      <w:r w:rsidR="00B8083D" w:rsidRPr="00B8083D">
        <w:rPr>
          <w:rFonts w:ascii="Times New Roman" w:hAnsi="Times New Roman"/>
        </w:rPr>
        <w:t xml:space="preserve">k and </w:t>
      </w:r>
      <w:r w:rsidRPr="00B76A40">
        <w:rPr>
          <w:rFonts w:ascii="Times New Roman" w:hAnsi="Times New Roman"/>
          <w:szCs w:val="24"/>
        </w:rPr>
        <w:t>this</w:t>
      </w:r>
      <w:r w:rsidR="00B76A40">
        <w:rPr>
          <w:rFonts w:ascii="Times New Roman" w:hAnsi="Times New Roman"/>
          <w:szCs w:val="24"/>
        </w:rPr>
        <w:t xml:space="preserve"> </w:t>
      </w:r>
      <w:r w:rsidR="00B8083D">
        <w:rPr>
          <w:rFonts w:ascii="Times New Roman" w:hAnsi="Times New Roman"/>
          <w:szCs w:val="24"/>
        </w:rPr>
        <w:t>Joint Transition S</w:t>
      </w:r>
      <w:r w:rsidRPr="00B76A40">
        <w:rPr>
          <w:rFonts w:ascii="Times New Roman" w:hAnsi="Times New Roman"/>
          <w:szCs w:val="24"/>
        </w:rPr>
        <w:t>trategy</w:t>
      </w:r>
      <w:r w:rsidR="00B8083D">
        <w:rPr>
          <w:rFonts w:ascii="Times New Roman" w:hAnsi="Times New Roman"/>
          <w:szCs w:val="24"/>
        </w:rPr>
        <w:t>,</w:t>
      </w:r>
      <w:r w:rsidRPr="00B76A40">
        <w:rPr>
          <w:rFonts w:ascii="Times New Roman" w:hAnsi="Times New Roman"/>
          <w:szCs w:val="24"/>
        </w:rPr>
        <w:t xml:space="preserve"> in terms of sector focus, financing and duration.</w:t>
      </w:r>
    </w:p>
    <w:p w14:paraId="0AC68755" w14:textId="77777777" w:rsidR="00394026" w:rsidRPr="00B76A40" w:rsidRDefault="00F7767E" w:rsidP="00414C27">
      <w:pPr>
        <w:pStyle w:val="Body1"/>
        <w:jc w:val="both"/>
        <w:rPr>
          <w:rFonts w:ascii="Times New Roman" w:hAnsi="Times New Roman"/>
          <w:szCs w:val="24"/>
        </w:rPr>
      </w:pPr>
      <w:r>
        <w:rPr>
          <w:rFonts w:ascii="Times New Roman" w:hAnsi="Times New Roman"/>
          <w:szCs w:val="24"/>
        </w:rPr>
        <w:t xml:space="preserve">It should be noted that </w:t>
      </w:r>
      <w:r w:rsidR="00B8083D">
        <w:rPr>
          <w:rFonts w:ascii="Times New Roman" w:hAnsi="Times New Roman"/>
          <w:szCs w:val="24"/>
        </w:rPr>
        <w:t xml:space="preserve">this Joint Transition Strategy includes new </w:t>
      </w:r>
      <w:r w:rsidR="00C76B2F">
        <w:rPr>
          <w:rFonts w:ascii="Times New Roman" w:hAnsi="Times New Roman"/>
          <w:szCs w:val="24"/>
        </w:rPr>
        <w:t xml:space="preserve">financial </w:t>
      </w:r>
      <w:r w:rsidR="00B8083D">
        <w:rPr>
          <w:rFonts w:ascii="Times New Roman" w:hAnsi="Times New Roman"/>
          <w:szCs w:val="24"/>
        </w:rPr>
        <w:t>commitments to be made by the EU and its Member States for the 2014-20 period</w:t>
      </w:r>
      <w:r w:rsidR="00C76B2F">
        <w:rPr>
          <w:rFonts w:ascii="Times New Roman" w:hAnsi="Times New Roman"/>
          <w:szCs w:val="24"/>
        </w:rPr>
        <w:t>. It does not include financial commitments made in 2013 and before which have begun implem</w:t>
      </w:r>
      <w:r w:rsidR="00414C27">
        <w:rPr>
          <w:rFonts w:ascii="Times New Roman" w:hAnsi="Times New Roman"/>
          <w:szCs w:val="24"/>
        </w:rPr>
        <w:t xml:space="preserve">entation and which will continue to be implemented in 2014 onwards. These previous commitments represent the ongoing portfolio of EU and Member States projects and programmes which amount to some </w:t>
      </w:r>
      <w:r w:rsidR="00781E3A" w:rsidRPr="006118A6">
        <w:rPr>
          <w:rFonts w:ascii="Times New Roman" w:hAnsi="Times New Roman"/>
          <w:szCs w:val="24"/>
        </w:rPr>
        <w:t>EUR 480  million (USD 648 million)</w:t>
      </w:r>
      <w:r w:rsidR="00781E3A">
        <w:rPr>
          <w:rFonts w:ascii="Times New Roman" w:hAnsi="Times New Roman"/>
          <w:szCs w:val="24"/>
        </w:rPr>
        <w:t xml:space="preserve"> </w:t>
      </w:r>
      <w:r w:rsidR="00414C27">
        <w:rPr>
          <w:rFonts w:ascii="Times New Roman" w:hAnsi="Times New Roman"/>
          <w:szCs w:val="24"/>
        </w:rPr>
        <w:t>as of the end of 2013.</w:t>
      </w:r>
    </w:p>
    <w:p w14:paraId="7D427B47" w14:textId="77777777" w:rsidR="00394026" w:rsidRDefault="00394026">
      <w:pPr>
        <w:pStyle w:val="Body1"/>
        <w:rPr>
          <w:rFonts w:ascii="Arial" w:hAnsi="Arial"/>
          <w:i/>
          <w:sz w:val="22"/>
        </w:rPr>
      </w:pPr>
    </w:p>
    <w:p w14:paraId="7A8043DB" w14:textId="77777777" w:rsidR="008C27BA" w:rsidRDefault="008C27BA">
      <w:pPr>
        <w:pStyle w:val="Body1"/>
        <w:rPr>
          <w:rFonts w:ascii="Arial" w:hAnsi="Arial"/>
          <w:i/>
          <w:sz w:val="22"/>
        </w:rPr>
      </w:pPr>
    </w:p>
    <w:p w14:paraId="25B82C82" w14:textId="77777777" w:rsidR="008C27BA" w:rsidRDefault="008C27BA">
      <w:pPr>
        <w:pStyle w:val="Body1"/>
        <w:rPr>
          <w:rFonts w:ascii="Arial" w:hAnsi="Arial"/>
          <w:i/>
          <w:sz w:val="22"/>
        </w:rPr>
      </w:pPr>
    </w:p>
    <w:p w14:paraId="25904C1F" w14:textId="77777777" w:rsidR="008C27BA" w:rsidRDefault="008C27BA">
      <w:pPr>
        <w:pStyle w:val="Body1"/>
        <w:rPr>
          <w:rFonts w:ascii="Arial" w:hAnsi="Arial"/>
          <w:i/>
          <w:sz w:val="22"/>
        </w:rPr>
      </w:pPr>
    </w:p>
    <w:p w14:paraId="2BC51362" w14:textId="77777777" w:rsidR="008C27BA" w:rsidRDefault="008C27BA">
      <w:pPr>
        <w:pStyle w:val="Body1"/>
        <w:rPr>
          <w:rFonts w:ascii="Arial" w:hAnsi="Arial"/>
          <w:i/>
          <w:sz w:val="22"/>
        </w:rPr>
      </w:pPr>
    </w:p>
    <w:p w14:paraId="42857370" w14:textId="77777777" w:rsidR="008C27BA" w:rsidRPr="00A46177" w:rsidRDefault="008C27BA">
      <w:pPr>
        <w:pStyle w:val="Body1"/>
        <w:rPr>
          <w:rFonts w:ascii="Arial" w:hAnsi="Arial"/>
          <w:i/>
          <w:sz w:val="22"/>
        </w:rPr>
      </w:pPr>
    </w:p>
    <w:p w14:paraId="14AA6B8D" w14:textId="77777777" w:rsidR="00394026" w:rsidRPr="00A46177" w:rsidRDefault="000401D8">
      <w:pPr>
        <w:pStyle w:val="Body1"/>
        <w:jc w:val="center"/>
        <w:rPr>
          <w:rFonts w:ascii="Arial" w:hAnsi="Arial"/>
          <w:b/>
          <w:sz w:val="22"/>
        </w:rPr>
      </w:pPr>
      <w:r>
        <w:rPr>
          <w:rFonts w:ascii="Arial" w:hAnsi="Arial Unicode MS"/>
          <w:b/>
          <w:sz w:val="22"/>
        </w:rPr>
        <w:t>2</w:t>
      </w:r>
      <w:r w:rsidR="00394026" w:rsidRPr="00A46177">
        <w:rPr>
          <w:rFonts w:ascii="Arial" w:hAnsi="Arial Unicode MS"/>
          <w:b/>
          <w:sz w:val="22"/>
        </w:rPr>
        <w:t>. Summary of Country Analysis</w:t>
      </w:r>
    </w:p>
    <w:p w14:paraId="68ECCE39" w14:textId="77777777" w:rsidR="009767C1" w:rsidRPr="009767C1" w:rsidRDefault="00394026">
      <w:pPr>
        <w:pStyle w:val="Body1"/>
        <w:jc w:val="both"/>
        <w:rPr>
          <w:rFonts w:ascii="Times New Roman" w:hAnsi="Times New Roman"/>
          <w:szCs w:val="24"/>
        </w:rPr>
      </w:pPr>
      <w:r w:rsidRPr="009767C1">
        <w:rPr>
          <w:rFonts w:ascii="Times New Roman" w:hAnsi="Times New Roman"/>
          <w:szCs w:val="24"/>
        </w:rPr>
        <w:t>The</w:t>
      </w:r>
      <w:r w:rsidR="009767C1" w:rsidRPr="009767C1">
        <w:rPr>
          <w:rFonts w:ascii="Times New Roman" w:hAnsi="Times New Roman"/>
          <w:szCs w:val="24"/>
        </w:rPr>
        <w:t xml:space="preserve"> country analysis builds upon, and is informed by, the experience and knowledge of European </w:t>
      </w:r>
      <w:r w:rsidR="00EA26E2">
        <w:rPr>
          <w:rFonts w:ascii="Times New Roman" w:hAnsi="Times New Roman"/>
          <w:szCs w:val="24"/>
        </w:rPr>
        <w:t xml:space="preserve">Union </w:t>
      </w:r>
      <w:r w:rsidR="009767C1" w:rsidRPr="009767C1">
        <w:rPr>
          <w:rFonts w:ascii="Times New Roman" w:hAnsi="Times New Roman"/>
          <w:szCs w:val="24"/>
        </w:rPr>
        <w:t>d</w:t>
      </w:r>
      <w:r w:rsidR="00EA26E2">
        <w:rPr>
          <w:rFonts w:ascii="Times New Roman" w:hAnsi="Times New Roman"/>
          <w:szCs w:val="24"/>
        </w:rPr>
        <w:t>evelopment partners</w:t>
      </w:r>
      <w:r w:rsidR="009767C1" w:rsidRPr="009767C1">
        <w:rPr>
          <w:rFonts w:ascii="Times New Roman" w:hAnsi="Times New Roman"/>
          <w:szCs w:val="24"/>
        </w:rPr>
        <w:t xml:space="preserve"> present in the country, as well as from a</w:t>
      </w:r>
      <w:r w:rsidRPr="009767C1">
        <w:rPr>
          <w:rFonts w:ascii="Times New Roman" w:hAnsi="Times New Roman"/>
          <w:szCs w:val="24"/>
        </w:rPr>
        <w:t xml:space="preserve"> Political Economy Analysis </w:t>
      </w:r>
      <w:r w:rsidR="009767C1" w:rsidRPr="009767C1">
        <w:rPr>
          <w:rFonts w:ascii="Times New Roman" w:hAnsi="Times New Roman"/>
          <w:szCs w:val="24"/>
        </w:rPr>
        <w:t xml:space="preserve">commissioned jointly by the EU and its Member States </w:t>
      </w:r>
      <w:r w:rsidRPr="009767C1">
        <w:rPr>
          <w:rFonts w:ascii="Times New Roman" w:hAnsi="Times New Roman"/>
          <w:szCs w:val="24"/>
        </w:rPr>
        <w:t xml:space="preserve">which was completed in February 2013. </w:t>
      </w:r>
    </w:p>
    <w:p w14:paraId="5FB03DEB" w14:textId="77777777"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Myanmar has suffered from an extended period of authoritarian rule, long-term ethnic strife, fragile state institutions, and deep-rooted structural poverty. Decades of military control eroded the rule of law and severely weakened the judiciary and state institutions. The country has not enjoyed domestic peace since independence in 1948. Ethnic areas along the borders with Thailand, China, India and Bangladesh have been plagued by internal armed conflict, with Government forces fighting a wide array of groups including communist insurgents, ethnic armies and narcotics militias. Myanmar moved from being one of the leading regional economies in the 1960s to having the lowest GDP per capita in Southeast Asia by 2010. More recent growth of 4-5% per annum has been mainly driven by the extractive industries and favoured investors close to the regime. </w:t>
      </w:r>
    </w:p>
    <w:p w14:paraId="074438B7" w14:textId="0210671B"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Under the new civilian Government that came to power in March 2011, Myanmar has embarked on an ambitious and comprehensive reform agenda. This seeks to transform the country by securing peace, entrenching democracy and reviving a stagnant economy. The new Government moved quickly to address long-standing conflicts and has signed deals with most of the major armed groups. Rapprochement has also been sought with Daw Aung San Suu Kyi, the chairperson of the National League for Democracy (NLD), who had previously been under long-term house arrest. Her release was followed by elections to the lower house of Parliament that saw the NLD win 43 out of the 45 available seats. Most political prisoners have now been released, a National Human Rights </w:t>
      </w:r>
      <w:r w:rsidR="00B55E20">
        <w:rPr>
          <w:rFonts w:ascii="Times New Roman" w:hAnsi="Times New Roman"/>
          <w:szCs w:val="24"/>
        </w:rPr>
        <w:t>Commission</w:t>
      </w:r>
      <w:r w:rsidR="00B55E20" w:rsidRPr="009767C1">
        <w:rPr>
          <w:rFonts w:ascii="Times New Roman" w:hAnsi="Times New Roman"/>
          <w:szCs w:val="24"/>
        </w:rPr>
        <w:t xml:space="preserve"> </w:t>
      </w:r>
      <w:r w:rsidRPr="009767C1">
        <w:rPr>
          <w:rFonts w:ascii="Times New Roman" w:hAnsi="Times New Roman"/>
          <w:szCs w:val="24"/>
        </w:rPr>
        <w:t>has been set up, and significant progress has been made in areas such as freedom of assembly, association and expression, forced labour, and child soldiers. In the economic sphere, the national currency has been floated and parallel exchange rates removed. The Government has also begun to dismantle state monopolies, ending the near-stranglehold that the Union of Myanmar Economic Holdings Limited - a military holding company - had had on the fuel, vehicle, cigarette and beer markets.</w:t>
      </w:r>
    </w:p>
    <w:p w14:paraId="5F407DE0" w14:textId="55EEB1E8"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These wide ranging reforms have undoubtedly improved the distribution of political and economic power, but more work remains to be done to lock the country into a path of equitable and inclusive growth. The current key priorities for the Government include (1) ensuring lasting peace in ethnic areas, (2) improving state-society relations and (3) maintaining a trajectory of economic growth that is both sustainable and pro-poor. For the first, existing ceasefire agreements need to be succeeded by political processes that address long-standing grievances, offer </w:t>
      </w:r>
      <w:r w:rsidR="00CC4C0B">
        <w:rPr>
          <w:rFonts w:ascii="Times New Roman" w:hAnsi="Times New Roman"/>
          <w:szCs w:val="24"/>
        </w:rPr>
        <w:t xml:space="preserve">greater </w:t>
      </w:r>
      <w:r w:rsidR="001D4710">
        <w:rPr>
          <w:rFonts w:ascii="Times New Roman" w:hAnsi="Times New Roman"/>
          <w:szCs w:val="24"/>
        </w:rPr>
        <w:t>self-determination</w:t>
      </w:r>
      <w:r w:rsidRPr="009767C1">
        <w:rPr>
          <w:rFonts w:ascii="Times New Roman" w:hAnsi="Times New Roman"/>
          <w:szCs w:val="24"/>
        </w:rPr>
        <w:t xml:space="preserve"> and provide an equitable allocation of natural resources. For the second, a new relationship between government and citizens needs to be institutionalised that entrenches responsiveness and accountability. For the third, a number of constraints need to be addressed including the legacy of decades of </w:t>
      </w:r>
      <w:proofErr w:type="gramStart"/>
      <w:r w:rsidRPr="009767C1">
        <w:rPr>
          <w:rFonts w:ascii="Times New Roman" w:hAnsi="Times New Roman"/>
          <w:szCs w:val="24"/>
        </w:rPr>
        <w:t>rent-seeking</w:t>
      </w:r>
      <w:proofErr w:type="gramEnd"/>
      <w:r w:rsidRPr="009767C1">
        <w:rPr>
          <w:rFonts w:ascii="Times New Roman" w:hAnsi="Times New Roman"/>
          <w:szCs w:val="24"/>
        </w:rPr>
        <w:t xml:space="preserve"> over production, poor health and education systems, a chronic lack of investment in infrastructure and technology, and international isolation. </w:t>
      </w:r>
    </w:p>
    <w:p w14:paraId="4829D975" w14:textId="7E4DFCE4" w:rsidR="00394026" w:rsidRPr="009767C1" w:rsidRDefault="00394026">
      <w:pPr>
        <w:pStyle w:val="Body1"/>
        <w:jc w:val="both"/>
        <w:rPr>
          <w:rFonts w:ascii="Times New Roman" w:hAnsi="Times New Roman"/>
          <w:szCs w:val="24"/>
        </w:rPr>
      </w:pPr>
      <w:r w:rsidRPr="009767C1">
        <w:rPr>
          <w:rFonts w:ascii="Times New Roman" w:hAnsi="Times New Roman"/>
          <w:szCs w:val="24"/>
        </w:rPr>
        <w:lastRenderedPageBreak/>
        <w:t xml:space="preserve">The national development strategy is constituted by the Framework for Economic and Social Reforms (FESR) which runs from 2012 to 2015. This serves as a precursor to the 20-year National Comprehensive Development Plan that is currently under development and will subsequently be implemented by a series of five year plans. The FESR sets out priorities and sequencing along with outlines of sector plans and a number of quick wins. Priorities include peace building, the achievement of the MDGs, pro-poor growth and an equitable sharing of resources, LDC graduation, moving towards a stable and market-driven economy, promotion of FDI, and economic integration with ASEAN. Emphasis has been placed on strengthening good governance and transparency along with moving from top-down to bottom-up planning and promoting people-centred development. The FESR also highlights Myanmar’s intentions to exploit a late-comer’s advantage, building on lessons learned from other transitional countries’ transitions and ensuring national ownership of aid. Most immediate priorities/deliverables include actions on governance, health, education, rural development, infrastructure, trade and private sector development. For the first time in recent history Government policy is therefore centred on sustainable pro-poor development and may be considered to serve as a sound basis for </w:t>
      </w:r>
      <w:r w:rsidR="00EA26E2">
        <w:rPr>
          <w:rFonts w:ascii="Times New Roman" w:hAnsi="Times New Roman"/>
          <w:szCs w:val="24"/>
        </w:rPr>
        <w:t>European Union</w:t>
      </w:r>
      <w:r w:rsidRPr="009767C1">
        <w:rPr>
          <w:rFonts w:ascii="Times New Roman" w:hAnsi="Times New Roman"/>
          <w:szCs w:val="24"/>
        </w:rPr>
        <w:t xml:space="preserve"> </w:t>
      </w:r>
      <w:r w:rsidR="00711870">
        <w:rPr>
          <w:rFonts w:ascii="Times New Roman" w:hAnsi="Times New Roman"/>
          <w:szCs w:val="24"/>
        </w:rPr>
        <w:t xml:space="preserve">and Member States’ </w:t>
      </w:r>
      <w:r w:rsidRPr="009767C1">
        <w:rPr>
          <w:rFonts w:ascii="Times New Roman" w:hAnsi="Times New Roman"/>
          <w:szCs w:val="24"/>
        </w:rPr>
        <w:t xml:space="preserve">support to the country.  </w:t>
      </w:r>
    </w:p>
    <w:p w14:paraId="08884A9A" w14:textId="77777777" w:rsidR="00394026" w:rsidRPr="00A46177" w:rsidRDefault="00394026">
      <w:pPr>
        <w:pStyle w:val="Body1"/>
        <w:jc w:val="both"/>
        <w:rPr>
          <w:rFonts w:ascii="Arial" w:hAnsi="Arial"/>
          <w:i/>
          <w:sz w:val="22"/>
        </w:rPr>
      </w:pPr>
    </w:p>
    <w:p w14:paraId="6FA2BB67" w14:textId="77777777" w:rsidR="00394026" w:rsidRPr="00A46177" w:rsidRDefault="000401D8">
      <w:pPr>
        <w:pStyle w:val="Body1"/>
        <w:jc w:val="center"/>
        <w:rPr>
          <w:rFonts w:ascii="Arial" w:hAnsi="Arial"/>
          <w:b/>
          <w:sz w:val="22"/>
        </w:rPr>
      </w:pPr>
      <w:r>
        <w:rPr>
          <w:rFonts w:ascii="Arial" w:hAnsi="Arial Unicode MS"/>
          <w:b/>
          <w:sz w:val="22"/>
        </w:rPr>
        <w:t>3</w:t>
      </w:r>
      <w:r w:rsidR="00394026" w:rsidRPr="00A46177">
        <w:rPr>
          <w:rFonts w:ascii="Arial" w:hAnsi="Arial Unicode MS"/>
          <w:b/>
          <w:sz w:val="22"/>
        </w:rPr>
        <w:t>. Lessons Learned from Previous Cooperation</w:t>
      </w:r>
    </w:p>
    <w:p w14:paraId="50FC46DE" w14:textId="77777777"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Up until 2011, the majority of aid to Myanmar was provided outside of Government structures and systems with development partners working on a relatively ad-hoc basis. Communication and coordination between agencies was </w:t>
      </w:r>
      <w:r w:rsidR="00D837B1">
        <w:rPr>
          <w:rFonts w:ascii="Times New Roman" w:hAnsi="Times New Roman"/>
          <w:szCs w:val="24"/>
        </w:rPr>
        <w:t>limited</w:t>
      </w:r>
      <w:r w:rsidRPr="009767C1">
        <w:rPr>
          <w:rFonts w:ascii="Times New Roman" w:hAnsi="Times New Roman"/>
          <w:szCs w:val="24"/>
        </w:rPr>
        <w:t xml:space="preserve"> with no single coordination structure grouping </w:t>
      </w:r>
      <w:r w:rsidR="00EA26E2" w:rsidRPr="009767C1">
        <w:rPr>
          <w:rFonts w:ascii="Times New Roman" w:hAnsi="Times New Roman"/>
          <w:szCs w:val="24"/>
        </w:rPr>
        <w:t>d</w:t>
      </w:r>
      <w:r w:rsidR="00EA26E2">
        <w:rPr>
          <w:rFonts w:ascii="Times New Roman" w:hAnsi="Times New Roman"/>
          <w:szCs w:val="24"/>
        </w:rPr>
        <w:t>evelopment partners</w:t>
      </w:r>
      <w:r w:rsidR="00EA26E2" w:rsidRPr="009767C1">
        <w:rPr>
          <w:rFonts w:ascii="Times New Roman" w:hAnsi="Times New Roman"/>
          <w:szCs w:val="24"/>
        </w:rPr>
        <w:t xml:space="preserve"> </w:t>
      </w:r>
      <w:r w:rsidRPr="009767C1">
        <w:rPr>
          <w:rFonts w:ascii="Times New Roman" w:hAnsi="Times New Roman"/>
          <w:szCs w:val="24"/>
        </w:rPr>
        <w:t>together, no system of sector working groups, and no catch-all aid information management system. However, a series of multi-donor trust funds functioned well and were used by the majority of d</w:t>
      </w:r>
      <w:r w:rsidR="00EA26E2">
        <w:rPr>
          <w:rFonts w:ascii="Times New Roman" w:hAnsi="Times New Roman"/>
          <w:szCs w:val="24"/>
        </w:rPr>
        <w:t>evelopment partners</w:t>
      </w:r>
      <w:r w:rsidRPr="009767C1">
        <w:rPr>
          <w:rFonts w:ascii="Times New Roman" w:hAnsi="Times New Roman"/>
          <w:szCs w:val="24"/>
        </w:rPr>
        <w:t xml:space="preserve">. These continue to provide a valuable vehicle for aid coordination in the country today. </w:t>
      </w:r>
    </w:p>
    <w:p w14:paraId="79379494" w14:textId="77777777" w:rsidR="00394026" w:rsidRPr="009767C1" w:rsidRDefault="00394026">
      <w:pPr>
        <w:spacing w:after="200"/>
        <w:jc w:val="both"/>
        <w:outlineLvl w:val="0"/>
        <w:rPr>
          <w:rFonts w:eastAsia="Arial Unicode MS"/>
          <w:color w:val="000000"/>
          <w:u w:color="000000"/>
          <w:lang w:val="en-GB"/>
        </w:rPr>
      </w:pPr>
      <w:r w:rsidRPr="009767C1">
        <w:rPr>
          <w:rFonts w:eastAsia="Arial Unicode MS"/>
          <w:color w:val="000000"/>
          <w:u w:color="000000"/>
          <w:lang w:val="en-GB"/>
        </w:rPr>
        <w:t>The reforms that began in 2011 along with the accompanying suspension of sanctions led many existing d</w:t>
      </w:r>
      <w:r w:rsidR="00EA26E2">
        <w:rPr>
          <w:rFonts w:eastAsia="Arial Unicode MS"/>
          <w:color w:val="000000"/>
          <w:u w:color="000000"/>
          <w:lang w:val="en-GB"/>
        </w:rPr>
        <w:t>evelopment partners</w:t>
      </w:r>
      <w:r w:rsidRPr="009767C1">
        <w:rPr>
          <w:rFonts w:eastAsia="Arial Unicode MS"/>
          <w:color w:val="000000"/>
          <w:u w:color="000000"/>
          <w:lang w:val="en-GB"/>
        </w:rPr>
        <w:t xml:space="preserve"> to boost their aid while new </w:t>
      </w:r>
      <w:r w:rsidR="00EA26E2">
        <w:rPr>
          <w:rFonts w:eastAsia="Arial Unicode MS"/>
          <w:color w:val="000000"/>
          <w:u w:color="000000"/>
          <w:lang w:val="en-GB"/>
        </w:rPr>
        <w:t>development partners</w:t>
      </w:r>
      <w:r w:rsidRPr="009767C1">
        <w:rPr>
          <w:rFonts w:eastAsia="Arial Unicode MS"/>
          <w:color w:val="000000"/>
          <w:u w:color="000000"/>
          <w:lang w:val="en-GB"/>
        </w:rPr>
        <w:t xml:space="preserve"> began to enter the country, creating a proliferation of projects, programmes and studies accompanied by a sharp increase in the number of missions. This has invoked considerable transaction costs on a Government that was already facing substantial capacity challenges</w:t>
      </w:r>
      <w:r w:rsidR="00D837B1">
        <w:rPr>
          <w:rFonts w:eastAsia="Arial Unicode MS"/>
          <w:color w:val="000000"/>
          <w:u w:color="000000"/>
          <w:lang w:val="en-GB"/>
        </w:rPr>
        <w:t>, as well as on development partners</w:t>
      </w:r>
      <w:r w:rsidRPr="009767C1">
        <w:rPr>
          <w:rFonts w:eastAsia="Arial Unicode MS"/>
          <w:color w:val="000000"/>
          <w:u w:color="000000"/>
          <w:lang w:val="en-GB"/>
        </w:rPr>
        <w:t xml:space="preserve">. Officials in the civil service have very little experience of managing development partners and aid flows while development partners operating in the country have not been accustomed to receiving guidance from Government. Both sides have realised the importance of tackling these issues and learning from the experiences of other countries. </w:t>
      </w:r>
    </w:p>
    <w:p w14:paraId="644BDB1D" w14:textId="78A90A4D" w:rsidR="008C27BA" w:rsidRPr="009767C1" w:rsidRDefault="00394026">
      <w:pPr>
        <w:pStyle w:val="Body1"/>
        <w:jc w:val="both"/>
        <w:rPr>
          <w:rFonts w:ascii="Times New Roman" w:hAnsi="Times New Roman"/>
          <w:szCs w:val="24"/>
        </w:rPr>
      </w:pPr>
      <w:r w:rsidRPr="009767C1">
        <w:rPr>
          <w:rFonts w:ascii="Times New Roman" w:hAnsi="Times New Roman"/>
          <w:szCs w:val="24"/>
        </w:rPr>
        <w:t xml:space="preserve">In January 2013, the Government convened the first Myanmar Development Cooperation Forum. This brought together a wide range of senior officials from both traditional and </w:t>
      </w:r>
      <w:r w:rsidR="009B5BB5">
        <w:rPr>
          <w:rFonts w:ascii="Times New Roman" w:hAnsi="Times New Roman"/>
          <w:szCs w:val="24"/>
        </w:rPr>
        <w:t>emerging</w:t>
      </w:r>
      <w:r w:rsidRPr="009767C1">
        <w:rPr>
          <w:rFonts w:ascii="Times New Roman" w:hAnsi="Times New Roman"/>
          <w:szCs w:val="24"/>
        </w:rPr>
        <w:t xml:space="preserve"> development partners to discuss the reform process with Government officials and how it could be best supported. The Forum concluded with agreement on the Nay Pyi Taw Accord for Effective Development Cooperation that sets out how Government and development partners will work together to support the country, building on experiences and lessons learned from elsewhere. European Union </w:t>
      </w:r>
      <w:r w:rsidR="00EA26E2">
        <w:rPr>
          <w:rFonts w:ascii="Times New Roman" w:hAnsi="Times New Roman"/>
          <w:szCs w:val="24"/>
        </w:rPr>
        <w:t>development partners</w:t>
      </w:r>
      <w:r w:rsidRPr="009767C1">
        <w:rPr>
          <w:rFonts w:ascii="Times New Roman" w:hAnsi="Times New Roman"/>
          <w:szCs w:val="24"/>
        </w:rPr>
        <w:t xml:space="preserve"> put </w:t>
      </w:r>
      <w:r w:rsidR="006D4E61" w:rsidRPr="009767C1">
        <w:rPr>
          <w:rFonts w:ascii="Times New Roman" w:hAnsi="Times New Roman"/>
          <w:szCs w:val="24"/>
        </w:rPr>
        <w:t>forward a</w:t>
      </w:r>
      <w:r w:rsidRPr="009767C1">
        <w:rPr>
          <w:rFonts w:ascii="Times New Roman" w:hAnsi="Times New Roman"/>
          <w:szCs w:val="24"/>
        </w:rPr>
        <w:t xml:space="preserve"> </w:t>
      </w:r>
      <w:r w:rsidR="00D837B1">
        <w:rPr>
          <w:rFonts w:ascii="Times New Roman" w:hAnsi="Times New Roman"/>
          <w:szCs w:val="24"/>
        </w:rPr>
        <w:t>J</w:t>
      </w:r>
      <w:r w:rsidRPr="009767C1">
        <w:rPr>
          <w:rFonts w:ascii="Times New Roman" w:hAnsi="Times New Roman"/>
          <w:szCs w:val="24"/>
        </w:rPr>
        <w:t xml:space="preserve">oint Response at the Forum with specific commitments on how </w:t>
      </w:r>
      <w:r w:rsidR="008B114D" w:rsidRPr="009767C1">
        <w:rPr>
          <w:rFonts w:ascii="Times New Roman" w:hAnsi="Times New Roman"/>
          <w:szCs w:val="24"/>
        </w:rPr>
        <w:t xml:space="preserve">the EU </w:t>
      </w:r>
      <w:r w:rsidR="00D837B1">
        <w:rPr>
          <w:rFonts w:ascii="Times New Roman" w:hAnsi="Times New Roman"/>
          <w:szCs w:val="24"/>
        </w:rPr>
        <w:t xml:space="preserve">and Member States </w:t>
      </w:r>
      <w:r w:rsidRPr="009767C1">
        <w:rPr>
          <w:rFonts w:ascii="Times New Roman" w:hAnsi="Times New Roman"/>
          <w:szCs w:val="24"/>
        </w:rPr>
        <w:t xml:space="preserve">will seek to support the implementation of the Accord. </w:t>
      </w:r>
    </w:p>
    <w:p w14:paraId="4D21D05C" w14:textId="77777777"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During 2013, substantial efforts have been made by Government and development partners to put the principles of the Accord into practice. Highlights include: </w:t>
      </w:r>
    </w:p>
    <w:p w14:paraId="254337AF" w14:textId="77777777" w:rsidR="00654567" w:rsidRDefault="00394026" w:rsidP="00654567">
      <w:pPr>
        <w:numPr>
          <w:ilvl w:val="0"/>
          <w:numId w:val="5"/>
        </w:numPr>
        <w:tabs>
          <w:tab w:val="num" w:pos="720"/>
        </w:tabs>
        <w:spacing w:after="200"/>
        <w:ind w:left="720" w:hanging="360"/>
        <w:jc w:val="both"/>
        <w:outlineLvl w:val="0"/>
        <w:rPr>
          <w:rFonts w:eastAsia="Arial Unicode MS"/>
          <w:color w:val="000000"/>
          <w:u w:color="000000"/>
          <w:lang w:val="en-GB"/>
        </w:rPr>
      </w:pPr>
      <w:r w:rsidRPr="00654567">
        <w:rPr>
          <w:rFonts w:eastAsia="Arial Unicode MS"/>
          <w:color w:val="000000"/>
          <w:u w:color="000000"/>
          <w:lang w:val="en-GB"/>
        </w:rPr>
        <w:lastRenderedPageBreak/>
        <w:t>The establishment of sixteen Sector Working Groups</w:t>
      </w:r>
      <w:r w:rsidR="00D837B1">
        <w:rPr>
          <w:rFonts w:eastAsia="Arial Unicode MS"/>
          <w:color w:val="000000"/>
          <w:u w:color="000000"/>
          <w:lang w:val="en-GB"/>
        </w:rPr>
        <w:t xml:space="preserve"> (SWG)</w:t>
      </w:r>
      <w:r w:rsidRPr="00654567">
        <w:rPr>
          <w:rFonts w:eastAsia="Arial Unicode MS"/>
          <w:color w:val="000000"/>
          <w:u w:color="000000"/>
          <w:lang w:val="en-GB"/>
        </w:rPr>
        <w:t xml:space="preserve"> to </w:t>
      </w:r>
      <w:r w:rsidR="00D837B1">
        <w:rPr>
          <w:rFonts w:eastAsia="Arial Unicode MS"/>
          <w:color w:val="000000"/>
          <w:u w:color="000000"/>
          <w:lang w:val="en-GB"/>
        </w:rPr>
        <w:t xml:space="preserve">provide advice and </w:t>
      </w:r>
      <w:r w:rsidRPr="00654567">
        <w:rPr>
          <w:rFonts w:eastAsia="Arial Unicode MS"/>
          <w:color w:val="000000"/>
          <w:u w:color="000000"/>
          <w:lang w:val="en-GB"/>
        </w:rPr>
        <w:t xml:space="preserve">line up external support behind </w:t>
      </w:r>
      <w:proofErr w:type="gramStart"/>
      <w:r w:rsidRPr="00654567">
        <w:rPr>
          <w:rFonts w:eastAsia="Arial Unicode MS"/>
          <w:color w:val="000000"/>
          <w:u w:color="000000"/>
          <w:lang w:val="en-GB"/>
        </w:rPr>
        <w:t>nationally-owned</w:t>
      </w:r>
      <w:proofErr w:type="gramEnd"/>
      <w:r w:rsidRPr="00654567">
        <w:rPr>
          <w:rFonts w:eastAsia="Arial Unicode MS"/>
          <w:color w:val="000000"/>
          <w:u w:color="000000"/>
          <w:lang w:val="en-GB"/>
        </w:rPr>
        <w:t xml:space="preserve"> strategies and </w:t>
      </w:r>
      <w:r w:rsidR="00D837B1">
        <w:rPr>
          <w:rFonts w:eastAsia="Arial Unicode MS"/>
          <w:color w:val="000000"/>
          <w:u w:color="000000"/>
          <w:lang w:val="en-GB"/>
        </w:rPr>
        <w:t>avoid</w:t>
      </w:r>
      <w:r w:rsidRPr="00654567">
        <w:rPr>
          <w:rFonts w:eastAsia="Arial Unicode MS"/>
          <w:color w:val="000000"/>
          <w:u w:color="000000"/>
          <w:lang w:val="en-GB"/>
        </w:rPr>
        <w:t xml:space="preserve"> gaps and overlaps. These are chaired by Line Ministries supported by development partner co-leads. </w:t>
      </w:r>
    </w:p>
    <w:p w14:paraId="1EBBFB62" w14:textId="77777777" w:rsidR="00394026" w:rsidRPr="00654567" w:rsidRDefault="00394026" w:rsidP="00654567">
      <w:pPr>
        <w:numPr>
          <w:ilvl w:val="0"/>
          <w:numId w:val="5"/>
        </w:numPr>
        <w:tabs>
          <w:tab w:val="num" w:pos="720"/>
        </w:tabs>
        <w:spacing w:after="200"/>
        <w:ind w:left="720" w:hanging="360"/>
        <w:jc w:val="both"/>
        <w:outlineLvl w:val="0"/>
        <w:rPr>
          <w:rFonts w:eastAsia="Arial Unicode MS"/>
          <w:color w:val="000000"/>
          <w:u w:color="000000"/>
          <w:lang w:val="en-GB"/>
        </w:rPr>
      </w:pPr>
      <w:r w:rsidRPr="00654567">
        <w:rPr>
          <w:rFonts w:eastAsia="Arial Unicode MS"/>
          <w:color w:val="000000"/>
          <w:u w:color="000000"/>
          <w:lang w:val="en-GB"/>
        </w:rPr>
        <w:t xml:space="preserve">The creation of a Development Partners Group that brings together all </w:t>
      </w:r>
      <w:r w:rsidR="00EA26E2">
        <w:rPr>
          <w:rFonts w:eastAsia="Arial Unicode MS"/>
          <w:color w:val="000000"/>
          <w:u w:color="000000"/>
          <w:lang w:val="en-GB"/>
        </w:rPr>
        <w:t>development partner</w:t>
      </w:r>
      <w:r w:rsidRPr="00654567">
        <w:rPr>
          <w:rFonts w:eastAsia="Arial Unicode MS"/>
          <w:color w:val="000000"/>
          <w:u w:color="000000"/>
          <w:lang w:val="en-GB"/>
        </w:rPr>
        <w:t xml:space="preserve"> Heads of Agency. A Working Committee of the eight main </w:t>
      </w:r>
      <w:r w:rsidR="00EA26E2">
        <w:rPr>
          <w:rFonts w:eastAsia="Arial Unicode MS"/>
          <w:color w:val="000000"/>
          <w:u w:color="000000"/>
          <w:lang w:val="en-GB"/>
        </w:rPr>
        <w:t>development partners</w:t>
      </w:r>
      <w:r w:rsidRPr="00654567">
        <w:rPr>
          <w:rFonts w:eastAsia="Arial Unicode MS"/>
          <w:color w:val="000000"/>
          <w:u w:color="000000"/>
          <w:lang w:val="en-GB"/>
        </w:rPr>
        <w:t xml:space="preserve"> in the country (including the </w:t>
      </w:r>
      <w:r w:rsidR="006720FE">
        <w:rPr>
          <w:rFonts w:eastAsia="Arial Unicode MS"/>
          <w:color w:val="000000"/>
          <w:u w:color="000000"/>
          <w:lang w:val="en-GB"/>
        </w:rPr>
        <w:t>EU</w:t>
      </w:r>
      <w:r w:rsidRPr="00654567">
        <w:rPr>
          <w:rFonts w:eastAsia="Arial Unicode MS"/>
          <w:color w:val="000000"/>
          <w:u w:color="000000"/>
          <w:lang w:val="en-GB"/>
        </w:rPr>
        <w:t xml:space="preserve"> and the UK) heads this and meets regularly with Government to ensure overall coordination and </w:t>
      </w:r>
      <w:r w:rsidR="00D837B1">
        <w:rPr>
          <w:rFonts w:eastAsia="Arial Unicode MS"/>
          <w:color w:val="000000"/>
          <w:u w:color="000000"/>
          <w:lang w:val="en-GB"/>
        </w:rPr>
        <w:t xml:space="preserve">to </w:t>
      </w:r>
      <w:r w:rsidRPr="00654567">
        <w:rPr>
          <w:rFonts w:eastAsia="Arial Unicode MS"/>
          <w:color w:val="000000"/>
          <w:u w:color="000000"/>
          <w:lang w:val="en-GB"/>
        </w:rPr>
        <w:t xml:space="preserve">take forward policy dialogue. </w:t>
      </w:r>
    </w:p>
    <w:p w14:paraId="2CA7AB08" w14:textId="77777777" w:rsidR="00394026" w:rsidRPr="009767C1" w:rsidRDefault="00394026" w:rsidP="006118A6">
      <w:pPr>
        <w:numPr>
          <w:ilvl w:val="0"/>
          <w:numId w:val="5"/>
        </w:numPr>
        <w:tabs>
          <w:tab w:val="num" w:pos="720"/>
        </w:tabs>
        <w:spacing w:after="200"/>
        <w:ind w:left="720" w:hanging="360"/>
        <w:jc w:val="both"/>
        <w:outlineLvl w:val="0"/>
        <w:rPr>
          <w:rFonts w:eastAsia="Arial Unicode MS"/>
          <w:color w:val="000000"/>
          <w:u w:color="000000"/>
          <w:lang w:val="en-GB"/>
        </w:rPr>
      </w:pPr>
      <w:r w:rsidRPr="009767C1">
        <w:rPr>
          <w:rFonts w:eastAsia="Arial Unicode MS"/>
          <w:color w:val="000000"/>
          <w:u w:color="000000"/>
          <w:lang w:val="en-GB"/>
        </w:rPr>
        <w:t xml:space="preserve">The development of an Aid Information Management System. </w:t>
      </w:r>
    </w:p>
    <w:p w14:paraId="37590FDF" w14:textId="07FD1986" w:rsidR="00394026" w:rsidRPr="009767C1" w:rsidRDefault="00394026">
      <w:pPr>
        <w:pStyle w:val="Body1"/>
        <w:jc w:val="both"/>
        <w:rPr>
          <w:rFonts w:ascii="Times New Roman" w:hAnsi="Times New Roman"/>
          <w:szCs w:val="24"/>
        </w:rPr>
      </w:pPr>
      <w:r w:rsidRPr="009767C1">
        <w:rPr>
          <w:rFonts w:ascii="Times New Roman" w:hAnsi="Times New Roman"/>
          <w:szCs w:val="24"/>
        </w:rPr>
        <w:t xml:space="preserve">An Aid Policy and accompanying management procedures are also under preparation. Development partners now need to invest in these new structures and systems to ensure that they </w:t>
      </w:r>
      <w:r w:rsidR="00D837B1">
        <w:rPr>
          <w:rFonts w:ascii="Times New Roman" w:hAnsi="Times New Roman"/>
          <w:szCs w:val="24"/>
        </w:rPr>
        <w:t>gain</w:t>
      </w:r>
      <w:r w:rsidR="00D837B1" w:rsidRPr="009767C1">
        <w:rPr>
          <w:rFonts w:ascii="Times New Roman" w:hAnsi="Times New Roman"/>
          <w:szCs w:val="24"/>
        </w:rPr>
        <w:t xml:space="preserve"> </w:t>
      </w:r>
      <w:r w:rsidRPr="009767C1">
        <w:rPr>
          <w:rFonts w:ascii="Times New Roman" w:hAnsi="Times New Roman"/>
          <w:szCs w:val="24"/>
        </w:rPr>
        <w:t xml:space="preserve">legitimacy and momentum and are fully inclusive, especially as regards </w:t>
      </w:r>
      <w:r w:rsidR="009B5BB5">
        <w:rPr>
          <w:rFonts w:ascii="Times New Roman" w:hAnsi="Times New Roman"/>
          <w:szCs w:val="24"/>
        </w:rPr>
        <w:t>emerging</w:t>
      </w:r>
      <w:r w:rsidRPr="009767C1">
        <w:rPr>
          <w:rFonts w:ascii="Times New Roman" w:hAnsi="Times New Roman"/>
          <w:szCs w:val="24"/>
        </w:rPr>
        <w:t xml:space="preserve"> development partners. The EU is working to support this process through the provision of dedicated technical assistance to Government and </w:t>
      </w:r>
      <w:r w:rsidR="00EA26E2">
        <w:rPr>
          <w:rFonts w:ascii="Times New Roman" w:hAnsi="Times New Roman"/>
          <w:szCs w:val="24"/>
        </w:rPr>
        <w:t>development partners</w:t>
      </w:r>
      <w:r w:rsidRPr="009767C1">
        <w:rPr>
          <w:rFonts w:ascii="Times New Roman" w:hAnsi="Times New Roman"/>
          <w:szCs w:val="24"/>
        </w:rPr>
        <w:t xml:space="preserve">. </w:t>
      </w:r>
    </w:p>
    <w:p w14:paraId="6EC2C02A" w14:textId="77777777" w:rsidR="00F7767E" w:rsidRDefault="00F7767E">
      <w:pPr>
        <w:pStyle w:val="Body1"/>
        <w:jc w:val="center"/>
        <w:rPr>
          <w:rFonts w:ascii="Arial" w:hAnsi="Arial Unicode MS"/>
          <w:b/>
          <w:sz w:val="22"/>
        </w:rPr>
      </w:pPr>
    </w:p>
    <w:p w14:paraId="40530983" w14:textId="77777777" w:rsidR="00394026" w:rsidRPr="00A46177" w:rsidRDefault="000401D8">
      <w:pPr>
        <w:pStyle w:val="Body1"/>
        <w:jc w:val="center"/>
        <w:rPr>
          <w:rFonts w:ascii="Arial" w:hAnsi="Arial"/>
          <w:b/>
          <w:sz w:val="22"/>
        </w:rPr>
      </w:pPr>
      <w:r>
        <w:rPr>
          <w:rFonts w:ascii="Arial" w:hAnsi="Arial Unicode MS"/>
          <w:b/>
          <w:sz w:val="22"/>
        </w:rPr>
        <w:t>4</w:t>
      </w:r>
      <w:r w:rsidR="00394026" w:rsidRPr="00A46177">
        <w:rPr>
          <w:rFonts w:ascii="Arial" w:hAnsi="Arial Unicode MS"/>
          <w:b/>
          <w:sz w:val="22"/>
        </w:rPr>
        <w:t>. The EU Approach</w:t>
      </w:r>
    </w:p>
    <w:p w14:paraId="4CA0C2FA" w14:textId="77777777" w:rsidR="00394026" w:rsidRPr="001C2908" w:rsidRDefault="001C2908" w:rsidP="001C2908">
      <w:pPr>
        <w:pStyle w:val="Body1"/>
        <w:spacing w:after="0"/>
        <w:jc w:val="both"/>
        <w:outlineLvl w:val="9"/>
        <w:rPr>
          <w:rFonts w:ascii="Times New Roman" w:hAnsi="Times New Roman"/>
          <w:szCs w:val="24"/>
        </w:rPr>
      </w:pPr>
      <w:r w:rsidRPr="001C2908">
        <w:rPr>
          <w:rFonts w:ascii="Times New Roman" w:hAnsi="Times New Roman"/>
          <w:szCs w:val="24"/>
        </w:rPr>
        <w:t>The Treaty of Lisbon established the reduction and eradication of poverty as the primary objective of the European Union's development cooperation policy</w:t>
      </w:r>
      <w:r w:rsidR="00B71107">
        <w:rPr>
          <w:rFonts w:ascii="Times New Roman" w:hAnsi="Times New Roman"/>
          <w:szCs w:val="24"/>
        </w:rPr>
        <w:t xml:space="preserve"> and has anchored development policy within EU external action</w:t>
      </w:r>
      <w:r w:rsidRPr="001C2908">
        <w:rPr>
          <w:rFonts w:ascii="Times New Roman" w:hAnsi="Times New Roman"/>
          <w:szCs w:val="24"/>
        </w:rPr>
        <w:t>. The European C</w:t>
      </w:r>
      <w:r w:rsidR="00394026" w:rsidRPr="001C2908">
        <w:rPr>
          <w:rFonts w:ascii="Times New Roman" w:hAnsi="Times New Roman"/>
          <w:szCs w:val="24"/>
        </w:rPr>
        <w:t>onsensus on Development</w:t>
      </w:r>
      <w:r w:rsidR="00394026" w:rsidRPr="001C2908">
        <w:rPr>
          <w:rFonts w:ascii="Times New Roman" w:hAnsi="Times New Roman"/>
          <w:szCs w:val="24"/>
          <w:vertAlign w:val="superscript"/>
        </w:rPr>
        <w:footnoteReference w:id="1"/>
      </w:r>
      <w:r w:rsidR="00394026" w:rsidRPr="001C2908">
        <w:rPr>
          <w:rFonts w:ascii="Times New Roman" w:hAnsi="Times New Roman"/>
          <w:szCs w:val="24"/>
        </w:rPr>
        <w:t xml:space="preserve"> recognises that developing countries are mainly responsible for their own development based on national strategies to which EU aid should be aligned. The Consensus furthermore sets out a specifically European set of values that should underpin development work, namely respect for human rights, democracy, fundamental freedoms and the rule of law, good governance, gender equality, solidarity, and social justice. </w:t>
      </w:r>
    </w:p>
    <w:p w14:paraId="4E64C93C" w14:textId="77777777" w:rsidR="001C2908" w:rsidRPr="00BB2D7C" w:rsidRDefault="001C2908" w:rsidP="001C2908">
      <w:pPr>
        <w:pStyle w:val="Body1"/>
        <w:spacing w:after="0"/>
        <w:jc w:val="both"/>
        <w:outlineLvl w:val="9"/>
        <w:rPr>
          <w:rFonts w:ascii="Times New Roman" w:hAnsi="Times New Roman"/>
          <w:szCs w:val="24"/>
        </w:rPr>
      </w:pPr>
    </w:p>
    <w:p w14:paraId="0B88E987" w14:textId="77777777" w:rsidR="00394026" w:rsidRPr="00BB2D7C" w:rsidRDefault="00394026">
      <w:pPr>
        <w:pStyle w:val="Body1"/>
        <w:jc w:val="both"/>
        <w:rPr>
          <w:rFonts w:ascii="Times New Roman" w:hAnsi="Times New Roman"/>
          <w:szCs w:val="24"/>
        </w:rPr>
      </w:pPr>
      <w:r w:rsidRPr="00BB2D7C">
        <w:rPr>
          <w:rFonts w:ascii="Times New Roman" w:hAnsi="Times New Roman"/>
          <w:szCs w:val="24"/>
        </w:rPr>
        <w:t>The 2012 EU Agenda for Change</w:t>
      </w:r>
      <w:r w:rsidR="00B71107" w:rsidRPr="00BB2D7C">
        <w:rPr>
          <w:rFonts w:ascii="Times New Roman" w:hAnsi="Times New Roman"/>
          <w:szCs w:val="24"/>
        </w:rPr>
        <w:t>,</w:t>
      </w:r>
      <w:r w:rsidRPr="00BB2D7C">
        <w:rPr>
          <w:rFonts w:ascii="Times New Roman" w:hAnsi="Times New Roman"/>
          <w:szCs w:val="24"/>
          <w:vertAlign w:val="superscript"/>
        </w:rPr>
        <w:footnoteReference w:id="2"/>
      </w:r>
      <w:r w:rsidRPr="00BB2D7C">
        <w:rPr>
          <w:rFonts w:ascii="Times New Roman" w:hAnsi="Times New Roman"/>
          <w:szCs w:val="24"/>
        </w:rPr>
        <w:t xml:space="preserve"> </w:t>
      </w:r>
      <w:r w:rsidR="00B71107" w:rsidRPr="00BB2D7C">
        <w:rPr>
          <w:rFonts w:ascii="Times New Roman" w:hAnsi="Times New Roman"/>
          <w:szCs w:val="24"/>
        </w:rPr>
        <w:t xml:space="preserve">endorsed by Member States, sets out EU development policy and </w:t>
      </w:r>
      <w:r w:rsidRPr="00BB2D7C">
        <w:rPr>
          <w:rFonts w:ascii="Times New Roman" w:hAnsi="Times New Roman"/>
          <w:szCs w:val="24"/>
        </w:rPr>
        <w:t>reinforce</w:t>
      </w:r>
      <w:r w:rsidR="00B71107" w:rsidRPr="00BB2D7C">
        <w:rPr>
          <w:rFonts w:ascii="Times New Roman" w:hAnsi="Times New Roman"/>
          <w:szCs w:val="24"/>
        </w:rPr>
        <w:t>s these messages, emphasising the EU as a key partner, coordinator, convener and policy maker. It notes that to be fully effective the EU and its Member States must speak and act as one to achieve better results and to improve EU's visibility. The two pillars of the Agenda for Change argue for a concentration of support to</w:t>
      </w:r>
      <w:r w:rsidR="00BB2D7C" w:rsidRPr="00BB2D7C">
        <w:rPr>
          <w:rFonts w:ascii="Times New Roman" w:hAnsi="Times New Roman"/>
          <w:szCs w:val="24"/>
        </w:rPr>
        <w:t>wards</w:t>
      </w:r>
      <w:r w:rsidR="00B71107" w:rsidRPr="00BB2D7C">
        <w:rPr>
          <w:rFonts w:ascii="Times New Roman" w:hAnsi="Times New Roman"/>
          <w:szCs w:val="24"/>
        </w:rPr>
        <w:t xml:space="preserve"> inclusive and sustainable growth and</w:t>
      </w:r>
      <w:r w:rsidR="00BB2D7C" w:rsidRPr="00BB2D7C">
        <w:rPr>
          <w:rFonts w:ascii="Times New Roman" w:hAnsi="Times New Roman"/>
          <w:szCs w:val="24"/>
        </w:rPr>
        <w:t xml:space="preserve"> towards</w:t>
      </w:r>
      <w:r w:rsidR="00B71107" w:rsidRPr="00BB2D7C">
        <w:rPr>
          <w:rFonts w:ascii="Times New Roman" w:hAnsi="Times New Roman"/>
          <w:szCs w:val="24"/>
        </w:rPr>
        <w:t xml:space="preserve"> human rights, democracy and good governance.</w:t>
      </w:r>
      <w:r w:rsidR="00BB2D7C" w:rsidRPr="00BB2D7C">
        <w:rPr>
          <w:rFonts w:ascii="Times New Roman" w:hAnsi="Times New Roman"/>
          <w:szCs w:val="24"/>
        </w:rPr>
        <w:t xml:space="preserve"> It notes the need </w:t>
      </w:r>
      <w:r w:rsidRPr="00BB2D7C">
        <w:rPr>
          <w:rFonts w:ascii="Times New Roman" w:hAnsi="Times New Roman"/>
          <w:szCs w:val="24"/>
        </w:rPr>
        <w:t xml:space="preserve">to use aid as effectively as possible, particularly by formulating joint strategies and establishing division of labour between </w:t>
      </w:r>
      <w:r w:rsidR="00EA26E2">
        <w:rPr>
          <w:rFonts w:ascii="Times New Roman" w:hAnsi="Times New Roman"/>
          <w:szCs w:val="24"/>
        </w:rPr>
        <w:t>development partners</w:t>
      </w:r>
      <w:r w:rsidRPr="00BB2D7C">
        <w:rPr>
          <w:rFonts w:ascii="Times New Roman" w:hAnsi="Times New Roman"/>
          <w:szCs w:val="24"/>
        </w:rPr>
        <w:t>. The latter concept is expanded upon in the EU Code of Conduct on Division of Labour</w:t>
      </w:r>
      <w:r w:rsidRPr="00BB2D7C">
        <w:rPr>
          <w:rFonts w:ascii="Times New Roman" w:hAnsi="Times New Roman"/>
          <w:szCs w:val="24"/>
          <w:vertAlign w:val="superscript"/>
        </w:rPr>
        <w:footnoteReference w:id="3"/>
      </w:r>
      <w:r w:rsidRPr="00BB2D7C">
        <w:rPr>
          <w:rFonts w:ascii="Times New Roman" w:hAnsi="Times New Roman"/>
          <w:szCs w:val="24"/>
        </w:rPr>
        <w:t xml:space="preserve"> which recommends that each </w:t>
      </w:r>
      <w:r w:rsidR="00EA26E2">
        <w:rPr>
          <w:rFonts w:ascii="Times New Roman" w:hAnsi="Times New Roman"/>
          <w:szCs w:val="24"/>
        </w:rPr>
        <w:t>European Union</w:t>
      </w:r>
      <w:r w:rsidRPr="00BB2D7C">
        <w:rPr>
          <w:rFonts w:ascii="Times New Roman" w:hAnsi="Times New Roman"/>
          <w:szCs w:val="24"/>
        </w:rPr>
        <w:t xml:space="preserve"> d</w:t>
      </w:r>
      <w:r w:rsidR="00EA26E2">
        <w:rPr>
          <w:rFonts w:ascii="Times New Roman" w:hAnsi="Times New Roman"/>
          <w:szCs w:val="24"/>
        </w:rPr>
        <w:t>evelopment partner</w:t>
      </w:r>
      <w:r w:rsidRPr="00BB2D7C">
        <w:rPr>
          <w:rFonts w:ascii="Times New Roman" w:hAnsi="Times New Roman"/>
          <w:szCs w:val="24"/>
        </w:rPr>
        <w:t xml:space="preserve"> focuses their support on a limited number of sectors in order to increase impact. </w:t>
      </w:r>
      <w:r w:rsidR="00296BEC">
        <w:rPr>
          <w:rFonts w:ascii="Times New Roman" w:hAnsi="Times New Roman"/>
          <w:szCs w:val="24"/>
        </w:rPr>
        <w:t xml:space="preserve">Accordingly, the </w:t>
      </w:r>
      <w:r w:rsidR="006720FE">
        <w:rPr>
          <w:rFonts w:ascii="Times New Roman" w:hAnsi="Times New Roman"/>
          <w:szCs w:val="24"/>
        </w:rPr>
        <w:t>EU</w:t>
      </w:r>
      <w:r w:rsidR="00296BEC">
        <w:rPr>
          <w:rFonts w:ascii="Times New Roman" w:hAnsi="Times New Roman"/>
          <w:szCs w:val="24"/>
        </w:rPr>
        <w:t xml:space="preserve"> will focus its bilateral cooperation activities on four focal sectors, while other sectors may be supported through its regional and thematic instruments.</w:t>
      </w:r>
    </w:p>
    <w:p w14:paraId="1E7394A5" w14:textId="77777777" w:rsidR="001338F0" w:rsidRDefault="00D837B1">
      <w:pPr>
        <w:pStyle w:val="Body1"/>
        <w:jc w:val="both"/>
        <w:rPr>
          <w:rFonts w:ascii="Times New Roman" w:hAnsi="Times New Roman"/>
          <w:szCs w:val="24"/>
        </w:rPr>
      </w:pPr>
      <w:r>
        <w:rPr>
          <w:rFonts w:ascii="Times New Roman" w:hAnsi="Times New Roman"/>
          <w:szCs w:val="24"/>
        </w:rPr>
        <w:t>T</w:t>
      </w:r>
      <w:r w:rsidR="00BB2D7C" w:rsidRPr="00BB2D7C">
        <w:rPr>
          <w:rFonts w:ascii="Times New Roman" w:hAnsi="Times New Roman"/>
          <w:szCs w:val="24"/>
        </w:rPr>
        <w:t xml:space="preserve">hese global commitments have been translated </w:t>
      </w:r>
      <w:r w:rsidR="00394026" w:rsidRPr="00BB2D7C">
        <w:rPr>
          <w:rFonts w:ascii="Times New Roman" w:hAnsi="Times New Roman"/>
          <w:szCs w:val="24"/>
        </w:rPr>
        <w:t>to the</w:t>
      </w:r>
      <w:r w:rsidR="00BB2D7C" w:rsidRPr="00BB2D7C">
        <w:rPr>
          <w:rFonts w:ascii="Times New Roman" w:hAnsi="Times New Roman"/>
          <w:szCs w:val="24"/>
        </w:rPr>
        <w:t xml:space="preserve"> present-day context of Myanmar by</w:t>
      </w:r>
      <w:r w:rsidR="00394026" w:rsidRPr="00BB2D7C">
        <w:rPr>
          <w:rFonts w:ascii="Times New Roman" w:hAnsi="Times New Roman"/>
          <w:szCs w:val="24"/>
        </w:rPr>
        <w:t xml:space="preserve"> the Foreign Affairs Council of the European Union </w:t>
      </w:r>
      <w:r w:rsidR="00BB2D7C" w:rsidRPr="00BB2D7C">
        <w:rPr>
          <w:rFonts w:ascii="Times New Roman" w:hAnsi="Times New Roman"/>
          <w:szCs w:val="24"/>
        </w:rPr>
        <w:t>which adopted the</w:t>
      </w:r>
      <w:r w:rsidR="00394026" w:rsidRPr="00BB2D7C">
        <w:rPr>
          <w:rFonts w:ascii="Times New Roman" w:hAnsi="Times New Roman"/>
          <w:szCs w:val="24"/>
        </w:rPr>
        <w:t xml:space="preserve"> </w:t>
      </w:r>
      <w:r w:rsidR="00BB2D7C" w:rsidRPr="00BB2D7C">
        <w:rPr>
          <w:rFonts w:ascii="Times New Roman" w:hAnsi="Times New Roman"/>
          <w:szCs w:val="24"/>
        </w:rPr>
        <w:t>'</w:t>
      </w:r>
      <w:r w:rsidR="00394026" w:rsidRPr="00BB2D7C">
        <w:rPr>
          <w:rFonts w:ascii="Times New Roman" w:hAnsi="Times New Roman"/>
          <w:szCs w:val="24"/>
        </w:rPr>
        <w:t>Comprehensive Framework</w:t>
      </w:r>
      <w:r w:rsidR="00BB2D7C" w:rsidRPr="00BB2D7C">
        <w:rPr>
          <w:rFonts w:ascii="Times New Roman" w:hAnsi="Times New Roman"/>
          <w:szCs w:val="24"/>
        </w:rPr>
        <w:t xml:space="preserve"> for the European Union's policy and support to Myanmar/Burma'</w:t>
      </w:r>
      <w:r w:rsidR="00394026" w:rsidRPr="00BB2D7C">
        <w:rPr>
          <w:rFonts w:ascii="Times New Roman" w:hAnsi="Times New Roman"/>
          <w:szCs w:val="24"/>
        </w:rPr>
        <w:t xml:space="preserve"> in July 2013</w:t>
      </w:r>
      <w:r w:rsidR="00394026" w:rsidRPr="00BB2D7C">
        <w:rPr>
          <w:rFonts w:ascii="Times New Roman" w:hAnsi="Times New Roman"/>
          <w:szCs w:val="24"/>
          <w:vertAlign w:val="superscript"/>
        </w:rPr>
        <w:footnoteReference w:id="4"/>
      </w:r>
      <w:r w:rsidR="00394026" w:rsidRPr="00BB2D7C">
        <w:rPr>
          <w:rFonts w:ascii="Times New Roman" w:hAnsi="Times New Roman"/>
          <w:szCs w:val="24"/>
        </w:rPr>
        <w:t xml:space="preserve">. </w:t>
      </w:r>
      <w:r w:rsidR="00394026" w:rsidRPr="00BB2D7C">
        <w:rPr>
          <w:rFonts w:ascii="Times New Roman" w:hAnsi="Times New Roman"/>
          <w:szCs w:val="24"/>
        </w:rPr>
        <w:lastRenderedPageBreak/>
        <w:t>This prioritises support to peace, democracy, social and economic development and trade, thereby also reflecting the goals of the FESR.</w:t>
      </w:r>
    </w:p>
    <w:p w14:paraId="531A450C" w14:textId="77777777" w:rsidR="00394026" w:rsidRPr="00BB2D7C" w:rsidRDefault="00394026">
      <w:pPr>
        <w:pStyle w:val="Body1"/>
        <w:jc w:val="both"/>
        <w:rPr>
          <w:rFonts w:ascii="Times New Roman" w:hAnsi="Times New Roman"/>
          <w:szCs w:val="24"/>
        </w:rPr>
      </w:pPr>
      <w:r w:rsidRPr="00BB2D7C">
        <w:rPr>
          <w:rFonts w:ascii="Times New Roman" w:hAnsi="Times New Roman"/>
          <w:szCs w:val="24"/>
        </w:rPr>
        <w:t xml:space="preserve">The Comprehensive Framework has been used as the basis for the present Strategy which focuses European </w:t>
      </w:r>
      <w:r w:rsidR="00D661E0">
        <w:rPr>
          <w:rFonts w:ascii="Times New Roman" w:hAnsi="Times New Roman"/>
          <w:szCs w:val="24"/>
        </w:rPr>
        <w:t xml:space="preserve">Union </w:t>
      </w:r>
      <w:r w:rsidRPr="00BB2D7C">
        <w:rPr>
          <w:rFonts w:ascii="Times New Roman" w:hAnsi="Times New Roman"/>
          <w:szCs w:val="24"/>
        </w:rPr>
        <w:t xml:space="preserve">support on six main areas: </w:t>
      </w:r>
    </w:p>
    <w:p w14:paraId="31D7C5A9"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Peace Building</w:t>
      </w:r>
    </w:p>
    <w:p w14:paraId="3DC6B83D"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Governance</w:t>
      </w:r>
    </w:p>
    <w:p w14:paraId="0B96DFD1"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 xml:space="preserve">Rural development </w:t>
      </w:r>
    </w:p>
    <w:p w14:paraId="36151EBB"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Health</w:t>
      </w:r>
    </w:p>
    <w:p w14:paraId="6348C28D"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 xml:space="preserve">Education </w:t>
      </w:r>
    </w:p>
    <w:p w14:paraId="795C7429" w14:textId="77777777" w:rsidR="00394026" w:rsidRPr="00BB2D7C" w:rsidRDefault="00394026">
      <w:pPr>
        <w:pStyle w:val="Body1"/>
        <w:numPr>
          <w:ilvl w:val="0"/>
          <w:numId w:val="10"/>
        </w:numPr>
        <w:tabs>
          <w:tab w:val="num" w:pos="714"/>
        </w:tabs>
        <w:spacing w:after="120"/>
        <w:ind w:left="714" w:hanging="357"/>
        <w:jc w:val="both"/>
        <w:rPr>
          <w:rFonts w:ascii="Times New Roman" w:hAnsi="Times New Roman"/>
          <w:szCs w:val="24"/>
        </w:rPr>
      </w:pPr>
      <w:r w:rsidRPr="00BB2D7C">
        <w:rPr>
          <w:rFonts w:ascii="Times New Roman" w:hAnsi="Times New Roman"/>
          <w:szCs w:val="24"/>
        </w:rPr>
        <w:t>Trade and Private Sector Development</w:t>
      </w:r>
    </w:p>
    <w:p w14:paraId="6AE13A09" w14:textId="77777777" w:rsidR="00702258" w:rsidRPr="00897ACB" w:rsidRDefault="00394026" w:rsidP="00702258">
      <w:pPr>
        <w:pStyle w:val="NormalWeb"/>
        <w:jc w:val="both"/>
        <w:rPr>
          <w:rFonts w:eastAsia="Arial Unicode MS"/>
          <w:color w:val="000000"/>
          <w:u w:color="000000"/>
        </w:rPr>
      </w:pPr>
      <w:r w:rsidRPr="00BB2D7C">
        <w:rPr>
          <w:rFonts w:eastAsia="Arial Unicode MS"/>
          <w:color w:val="000000"/>
          <w:u w:color="000000"/>
        </w:rPr>
        <w:t xml:space="preserve">This will be accompanied by work on the </w:t>
      </w:r>
      <w:r w:rsidR="008949BB">
        <w:rPr>
          <w:rFonts w:eastAsia="Arial Unicode MS"/>
          <w:color w:val="000000"/>
          <w:u w:color="000000"/>
        </w:rPr>
        <w:t xml:space="preserve">important </w:t>
      </w:r>
      <w:r w:rsidRPr="00BB2D7C">
        <w:rPr>
          <w:rFonts w:eastAsia="Arial Unicode MS"/>
          <w:color w:val="000000"/>
          <w:u w:color="000000"/>
        </w:rPr>
        <w:t>cross-cutting issues of civil society, gender</w:t>
      </w:r>
      <w:r w:rsidR="008949BB">
        <w:rPr>
          <w:rFonts w:eastAsia="Arial Unicode MS"/>
          <w:color w:val="000000"/>
          <w:u w:color="000000"/>
        </w:rPr>
        <w:t>,</w:t>
      </w:r>
      <w:r w:rsidRPr="00BB2D7C">
        <w:rPr>
          <w:rFonts w:eastAsia="Arial Unicode MS"/>
          <w:color w:val="000000"/>
          <w:u w:color="000000"/>
        </w:rPr>
        <w:t xml:space="preserve"> environment</w:t>
      </w:r>
      <w:r w:rsidR="00D60F16">
        <w:rPr>
          <w:rFonts w:eastAsia="Arial Unicode MS"/>
          <w:color w:val="000000"/>
          <w:u w:color="000000"/>
        </w:rPr>
        <w:t xml:space="preserve"> and human rights</w:t>
      </w:r>
      <w:r w:rsidRPr="00BB2D7C">
        <w:rPr>
          <w:rFonts w:eastAsia="Arial Unicode MS"/>
          <w:color w:val="000000"/>
          <w:u w:color="000000"/>
        </w:rPr>
        <w:t>.</w:t>
      </w:r>
      <w:r w:rsidR="00D60F16">
        <w:rPr>
          <w:rFonts w:eastAsia="Arial Unicode MS"/>
          <w:color w:val="000000"/>
          <w:u w:color="000000"/>
        </w:rPr>
        <w:t xml:space="preserve"> The latter in particular is an issue of fundamental </w:t>
      </w:r>
      <w:r w:rsidR="00D60F16" w:rsidRPr="00897ACB">
        <w:rPr>
          <w:rFonts w:eastAsia="Arial Unicode MS"/>
          <w:color w:val="000000"/>
          <w:u w:color="000000"/>
        </w:rPr>
        <w:t xml:space="preserve">concern to European </w:t>
      </w:r>
      <w:r w:rsidR="00ED1C9E" w:rsidRPr="00897ACB">
        <w:rPr>
          <w:rFonts w:eastAsia="Arial Unicode MS"/>
          <w:color w:val="000000"/>
          <w:u w:color="000000"/>
        </w:rPr>
        <w:t xml:space="preserve">Union </w:t>
      </w:r>
      <w:r w:rsidR="00D60F16" w:rsidRPr="00897ACB">
        <w:rPr>
          <w:rFonts w:eastAsia="Arial Unicode MS"/>
          <w:color w:val="000000"/>
          <w:u w:color="000000"/>
        </w:rPr>
        <w:t>d</w:t>
      </w:r>
      <w:r w:rsidR="00ED1C9E" w:rsidRPr="00897ACB">
        <w:rPr>
          <w:rFonts w:eastAsia="Arial Unicode MS"/>
          <w:color w:val="000000"/>
          <w:u w:color="000000"/>
        </w:rPr>
        <w:t>evelopment partner</w:t>
      </w:r>
      <w:r w:rsidR="008949BB" w:rsidRPr="00897ACB">
        <w:rPr>
          <w:rFonts w:eastAsia="Arial Unicode MS"/>
          <w:color w:val="000000"/>
          <w:u w:color="000000"/>
        </w:rPr>
        <w:t>s</w:t>
      </w:r>
      <w:r w:rsidR="00D60F16" w:rsidRPr="00897ACB">
        <w:rPr>
          <w:rFonts w:eastAsia="Arial Unicode MS"/>
          <w:color w:val="000000"/>
          <w:u w:color="000000"/>
        </w:rPr>
        <w:t>.</w:t>
      </w:r>
      <w:r w:rsidR="008949BB" w:rsidRPr="00897ACB">
        <w:rPr>
          <w:rFonts w:eastAsia="Arial Unicode MS"/>
          <w:color w:val="000000"/>
          <w:u w:color="000000"/>
        </w:rPr>
        <w:t xml:space="preserve"> These cross-cutting issues also receive substantial funding from EU Development partners.</w:t>
      </w:r>
      <w:r w:rsidR="00D60F16" w:rsidRPr="00897ACB">
        <w:rPr>
          <w:rFonts w:eastAsia="Arial Unicode MS"/>
          <w:color w:val="000000"/>
          <w:u w:color="000000"/>
        </w:rPr>
        <w:t xml:space="preserve"> Also key will be to help ensure an equitable distribution of the benefits of Myanmar’s future development, including for example in the area of natural resources management. </w:t>
      </w:r>
    </w:p>
    <w:p w14:paraId="5D7C4FE6" w14:textId="77777777" w:rsidR="00394026" w:rsidRPr="00897ACB" w:rsidRDefault="00394026">
      <w:pPr>
        <w:spacing w:after="200"/>
        <w:jc w:val="both"/>
        <w:outlineLvl w:val="0"/>
        <w:rPr>
          <w:rFonts w:eastAsia="Arial Unicode MS"/>
          <w:color w:val="000000"/>
          <w:u w:color="000000"/>
          <w:lang w:val="en-GB"/>
        </w:rPr>
      </w:pPr>
      <w:r w:rsidRPr="00897ACB">
        <w:rPr>
          <w:rFonts w:eastAsia="Arial Unicode MS"/>
          <w:color w:val="000000"/>
          <w:u w:color="000000"/>
          <w:lang w:val="en-GB"/>
        </w:rPr>
        <w:t xml:space="preserve">A division of labour between </w:t>
      </w:r>
      <w:r w:rsidR="00BB2D7C" w:rsidRPr="00897ACB">
        <w:rPr>
          <w:rFonts w:eastAsia="Arial Unicode MS"/>
          <w:color w:val="000000"/>
          <w:u w:color="000000"/>
          <w:lang w:val="en-GB"/>
        </w:rPr>
        <w:t xml:space="preserve">the EU </w:t>
      </w:r>
      <w:r w:rsidR="00D661E0" w:rsidRPr="00897ACB">
        <w:rPr>
          <w:rFonts w:eastAsia="Arial Unicode MS"/>
          <w:color w:val="000000"/>
          <w:u w:color="000000"/>
          <w:lang w:val="en-GB"/>
        </w:rPr>
        <w:t>development partners</w:t>
      </w:r>
      <w:r w:rsidRPr="00897ACB">
        <w:rPr>
          <w:rFonts w:eastAsia="Arial Unicode MS"/>
          <w:color w:val="000000"/>
          <w:u w:color="000000"/>
          <w:lang w:val="en-GB"/>
        </w:rPr>
        <w:t xml:space="preserve"> along with indicative financial allocations to each sector are set out below. </w:t>
      </w:r>
      <w:r w:rsidR="00A71361" w:rsidRPr="00897ACB">
        <w:rPr>
          <w:rFonts w:eastAsia="Arial Unicode MS"/>
          <w:color w:val="000000"/>
          <w:u w:color="000000"/>
          <w:lang w:val="en-GB"/>
        </w:rPr>
        <w:t xml:space="preserve">Each European </w:t>
      </w:r>
      <w:r w:rsidR="00ED1C9E" w:rsidRPr="00897ACB">
        <w:rPr>
          <w:rFonts w:eastAsia="Arial Unicode MS"/>
          <w:color w:val="000000"/>
          <w:u w:color="000000"/>
          <w:lang w:val="en-GB"/>
        </w:rPr>
        <w:t xml:space="preserve">Union </w:t>
      </w:r>
      <w:r w:rsidR="00A71361" w:rsidRPr="00897ACB">
        <w:rPr>
          <w:rFonts w:eastAsia="Arial Unicode MS"/>
          <w:color w:val="000000"/>
          <w:u w:color="000000"/>
          <w:lang w:val="en-GB"/>
        </w:rPr>
        <w:t>d</w:t>
      </w:r>
      <w:r w:rsidR="00ED1C9E" w:rsidRPr="00897ACB">
        <w:rPr>
          <w:rFonts w:eastAsia="Arial Unicode MS"/>
          <w:color w:val="000000"/>
          <w:u w:color="000000"/>
          <w:lang w:val="en-GB"/>
        </w:rPr>
        <w:t>evelopment partner</w:t>
      </w:r>
      <w:r w:rsidR="00A71361" w:rsidRPr="00897ACB">
        <w:rPr>
          <w:rFonts w:eastAsia="Arial Unicode MS"/>
          <w:color w:val="000000"/>
          <w:u w:color="000000"/>
          <w:lang w:val="en-GB"/>
        </w:rPr>
        <w:t xml:space="preserve"> endeavours to specialise in their area of comparative advantage, taking into account the existing activities and capacities of other d</w:t>
      </w:r>
      <w:r w:rsidR="00ED1C9E" w:rsidRPr="00897ACB">
        <w:rPr>
          <w:rFonts w:eastAsia="Arial Unicode MS"/>
          <w:color w:val="000000"/>
          <w:u w:color="000000"/>
          <w:lang w:val="en-GB"/>
        </w:rPr>
        <w:t>evelopment partners</w:t>
      </w:r>
      <w:r w:rsidR="00F56055" w:rsidRPr="00897ACB">
        <w:rPr>
          <w:rFonts w:eastAsia="Arial Unicode MS"/>
          <w:color w:val="000000"/>
          <w:u w:color="000000"/>
          <w:lang w:val="en-GB"/>
        </w:rPr>
        <w:t xml:space="preserve"> and in support of national policies and strategies</w:t>
      </w:r>
      <w:r w:rsidR="00A71361" w:rsidRPr="00897ACB">
        <w:rPr>
          <w:rFonts w:eastAsia="Arial Unicode MS"/>
          <w:color w:val="000000"/>
          <w:u w:color="000000"/>
          <w:lang w:val="en-GB"/>
        </w:rPr>
        <w:t>.</w:t>
      </w:r>
      <w:r w:rsidR="00296BEC" w:rsidRPr="00897ACB">
        <w:rPr>
          <w:rFonts w:eastAsia="Arial Unicode MS"/>
          <w:color w:val="000000"/>
          <w:u w:color="000000"/>
          <w:lang w:val="en-GB"/>
        </w:rPr>
        <w:t xml:space="preserve"> These commitments have notably resulted in enhanced division of labour in the social sectors; for instance the </w:t>
      </w:r>
      <w:r w:rsidR="006720FE" w:rsidRPr="00897ACB">
        <w:rPr>
          <w:rFonts w:eastAsia="Arial Unicode MS"/>
          <w:color w:val="000000"/>
          <w:u w:color="000000"/>
          <w:lang w:val="en-GB"/>
        </w:rPr>
        <w:t>EU</w:t>
      </w:r>
      <w:r w:rsidR="00296BEC" w:rsidRPr="00897ACB">
        <w:rPr>
          <w:rFonts w:eastAsia="Arial Unicode MS"/>
          <w:color w:val="000000"/>
          <w:u w:color="000000"/>
          <w:lang w:val="en-GB"/>
        </w:rPr>
        <w:t xml:space="preserve"> is proposing to focus its support onto the Education sector</w:t>
      </w:r>
      <w:r w:rsidR="00702258" w:rsidRPr="00897ACB">
        <w:rPr>
          <w:rFonts w:eastAsia="Arial Unicode MS"/>
          <w:color w:val="000000"/>
          <w:u w:color="000000"/>
          <w:lang w:val="en-GB"/>
        </w:rPr>
        <w:t>, due to the stro</w:t>
      </w:r>
      <w:r w:rsidR="00296BEC" w:rsidRPr="00897ACB">
        <w:rPr>
          <w:rFonts w:eastAsia="Arial Unicode MS"/>
          <w:color w:val="000000"/>
          <w:u w:color="000000"/>
          <w:lang w:val="en-GB"/>
        </w:rPr>
        <w:t xml:space="preserve">ng presence of some </w:t>
      </w:r>
      <w:r w:rsidR="00702258" w:rsidRPr="00897ACB">
        <w:rPr>
          <w:rFonts w:eastAsia="Arial Unicode MS"/>
          <w:color w:val="000000"/>
          <w:u w:color="000000"/>
          <w:lang w:val="en-GB"/>
        </w:rPr>
        <w:t>Member States in Health.</w:t>
      </w:r>
    </w:p>
    <w:p w14:paraId="0512024D" w14:textId="77777777" w:rsidR="001824E9" w:rsidRPr="00897ACB" w:rsidRDefault="001824E9" w:rsidP="001824E9">
      <w:pPr>
        <w:pStyle w:val="Body1"/>
        <w:jc w:val="both"/>
        <w:rPr>
          <w:rFonts w:ascii="Times New Roman" w:hAnsi="Times New Roman"/>
          <w:szCs w:val="24"/>
        </w:rPr>
      </w:pPr>
      <w:r w:rsidRPr="00897ACB">
        <w:rPr>
          <w:rFonts w:ascii="Times New Roman" w:hAnsi="Times New Roman"/>
          <w:szCs w:val="24"/>
        </w:rPr>
        <w:t xml:space="preserve">At a local level these </w:t>
      </w:r>
      <w:r w:rsidR="00ED1C9E" w:rsidRPr="00897ACB">
        <w:rPr>
          <w:rFonts w:ascii="Times New Roman" w:hAnsi="Times New Roman"/>
          <w:szCs w:val="24"/>
        </w:rPr>
        <w:t xml:space="preserve">development partner </w:t>
      </w:r>
      <w:r w:rsidRPr="00897ACB">
        <w:rPr>
          <w:rFonts w:ascii="Times New Roman" w:hAnsi="Times New Roman"/>
          <w:szCs w:val="24"/>
        </w:rPr>
        <w:t>principles have been taken forward through the Joint EU Response to the Nay Pyi Taw Accord, presented at the Myanmar Development Cooperation Forum in January 2013 and which sets out EU and Member State commitments</w:t>
      </w:r>
      <w:r w:rsidR="00654567" w:rsidRPr="00897ACB">
        <w:rPr>
          <w:rFonts w:ascii="Times New Roman" w:hAnsi="Times New Roman"/>
          <w:szCs w:val="24"/>
        </w:rPr>
        <w:t>. This was</w:t>
      </w:r>
      <w:r w:rsidRPr="00897ACB">
        <w:rPr>
          <w:rFonts w:ascii="Times New Roman" w:hAnsi="Times New Roman"/>
          <w:szCs w:val="24"/>
        </w:rPr>
        <w:t xml:space="preserve"> </w:t>
      </w:r>
      <w:r w:rsidR="00654567" w:rsidRPr="00897ACB">
        <w:rPr>
          <w:rFonts w:ascii="Times New Roman" w:hAnsi="Times New Roman"/>
          <w:szCs w:val="24"/>
        </w:rPr>
        <w:t>followed by an agreement of EU</w:t>
      </w:r>
      <w:r w:rsidRPr="00897ACB">
        <w:rPr>
          <w:rFonts w:ascii="Times New Roman" w:hAnsi="Times New Roman"/>
          <w:szCs w:val="24"/>
        </w:rPr>
        <w:t xml:space="preserve"> Heads of Mission </w:t>
      </w:r>
      <w:r w:rsidR="00654567" w:rsidRPr="00897ACB">
        <w:rPr>
          <w:rFonts w:ascii="Times New Roman" w:hAnsi="Times New Roman"/>
          <w:szCs w:val="24"/>
        </w:rPr>
        <w:t>in Myanmar to pursue</w:t>
      </w:r>
      <w:r w:rsidRPr="00897ACB">
        <w:rPr>
          <w:rFonts w:ascii="Times New Roman" w:hAnsi="Times New Roman"/>
          <w:szCs w:val="24"/>
        </w:rPr>
        <w:t xml:space="preserve"> Joint Programming </w:t>
      </w:r>
      <w:r w:rsidR="00654567" w:rsidRPr="00897ACB">
        <w:rPr>
          <w:rFonts w:ascii="Times New Roman" w:hAnsi="Times New Roman"/>
          <w:szCs w:val="24"/>
        </w:rPr>
        <w:t>and to adopt a</w:t>
      </w:r>
      <w:r w:rsidRPr="00897ACB">
        <w:rPr>
          <w:rFonts w:ascii="Times New Roman" w:hAnsi="Times New Roman"/>
          <w:szCs w:val="24"/>
        </w:rPr>
        <w:t xml:space="preserve"> Joint</w:t>
      </w:r>
      <w:r w:rsidR="00654567" w:rsidRPr="00897ACB">
        <w:rPr>
          <w:rFonts w:ascii="Times New Roman" w:hAnsi="Times New Roman"/>
          <w:szCs w:val="24"/>
        </w:rPr>
        <w:t xml:space="preserve"> EU</w:t>
      </w:r>
      <w:r w:rsidRPr="00897ACB">
        <w:rPr>
          <w:rFonts w:ascii="Times New Roman" w:hAnsi="Times New Roman"/>
          <w:szCs w:val="24"/>
        </w:rPr>
        <w:t xml:space="preserve"> Strategy</w:t>
      </w:r>
      <w:r w:rsidR="00654567" w:rsidRPr="00897ACB">
        <w:rPr>
          <w:rFonts w:ascii="Times New Roman" w:hAnsi="Times New Roman"/>
          <w:szCs w:val="24"/>
        </w:rPr>
        <w:t xml:space="preserve"> for Myanmar</w:t>
      </w:r>
      <w:r w:rsidRPr="00897ACB">
        <w:rPr>
          <w:rFonts w:ascii="Times New Roman" w:hAnsi="Times New Roman"/>
          <w:szCs w:val="24"/>
        </w:rPr>
        <w:t>.</w:t>
      </w:r>
    </w:p>
    <w:p w14:paraId="1EEEEBFD" w14:textId="77777777" w:rsidR="00394026" w:rsidRPr="00897ACB" w:rsidRDefault="00394026">
      <w:pPr>
        <w:pStyle w:val="Body1"/>
        <w:jc w:val="both"/>
        <w:rPr>
          <w:rFonts w:ascii="Arial" w:hAnsi="Arial"/>
          <w:i/>
          <w:sz w:val="22"/>
        </w:rPr>
      </w:pPr>
    </w:p>
    <w:p w14:paraId="4EDFFC3C" w14:textId="77777777" w:rsidR="00394026" w:rsidRPr="00897ACB" w:rsidRDefault="000401D8">
      <w:pPr>
        <w:pStyle w:val="Body1"/>
        <w:jc w:val="center"/>
        <w:rPr>
          <w:rFonts w:ascii="Times New Roman" w:hAnsi="Times New Roman"/>
          <w:b/>
          <w:szCs w:val="24"/>
        </w:rPr>
      </w:pPr>
      <w:r w:rsidRPr="00897ACB">
        <w:rPr>
          <w:rFonts w:ascii="Times New Roman" w:hAnsi="Times New Roman"/>
          <w:b/>
          <w:szCs w:val="24"/>
        </w:rPr>
        <w:t>5</w:t>
      </w:r>
      <w:r w:rsidR="00394026" w:rsidRPr="00897ACB">
        <w:rPr>
          <w:rFonts w:ascii="Times New Roman" w:hAnsi="Times New Roman"/>
          <w:b/>
          <w:szCs w:val="24"/>
        </w:rPr>
        <w:t>. EU Focal Areas and Financing</w:t>
      </w:r>
    </w:p>
    <w:p w14:paraId="01DC73E6"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Briefs on the six focal areas are provided below along with the broad lines that European</w:t>
      </w:r>
      <w:r w:rsidR="00D661E0" w:rsidRPr="00897ACB">
        <w:rPr>
          <w:rFonts w:ascii="Times New Roman" w:hAnsi="Times New Roman"/>
          <w:szCs w:val="24"/>
        </w:rPr>
        <w:t xml:space="preserve"> Union</w:t>
      </w:r>
      <w:r w:rsidRPr="00897ACB">
        <w:rPr>
          <w:rFonts w:ascii="Times New Roman" w:hAnsi="Times New Roman"/>
          <w:szCs w:val="24"/>
        </w:rPr>
        <w:t xml:space="preserve"> support will take and the indicative financial allocations for each. </w:t>
      </w:r>
    </w:p>
    <w:p w14:paraId="0156F9D4" w14:textId="77777777" w:rsidR="00394026" w:rsidRPr="00897ACB" w:rsidRDefault="00394026">
      <w:pPr>
        <w:pStyle w:val="Body1"/>
        <w:jc w:val="both"/>
        <w:rPr>
          <w:rFonts w:ascii="Times New Roman" w:hAnsi="Times New Roman"/>
          <w:szCs w:val="24"/>
          <w:u w:val="single"/>
        </w:rPr>
      </w:pPr>
      <w:r w:rsidRPr="00897ACB">
        <w:rPr>
          <w:rFonts w:ascii="Times New Roman" w:hAnsi="Times New Roman"/>
          <w:szCs w:val="24"/>
          <w:u w:val="single"/>
        </w:rPr>
        <w:t xml:space="preserve">Peace Building </w:t>
      </w:r>
    </w:p>
    <w:p w14:paraId="00BAE122" w14:textId="6B95D95E"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ultimate success and sustainability of Myanmar’s transition towards democracy will be highly dependent on the evolution of the situation in the ethnic states. As stated in the FESR and made clear in various speeches by President U Thein </w:t>
      </w:r>
      <w:proofErr w:type="spellStart"/>
      <w:r w:rsidRPr="00897ACB">
        <w:rPr>
          <w:rFonts w:ascii="Times New Roman" w:hAnsi="Times New Roman"/>
          <w:szCs w:val="24"/>
        </w:rPr>
        <w:t>Sein</w:t>
      </w:r>
      <w:proofErr w:type="spellEnd"/>
      <w:r w:rsidRPr="00897ACB">
        <w:rPr>
          <w:rFonts w:ascii="Times New Roman" w:hAnsi="Times New Roman"/>
          <w:szCs w:val="24"/>
        </w:rPr>
        <w:t xml:space="preserve">, ethnic peace is recognised as a high priority by Government. A comprehensive peace effort is well underway and aims for a permanent settlement that will fully integrate ethnic groups into the political system in line with the 2008 Constitution. Substantial progress has already been made in Mon, Kayin and Kayah states but in other areas the situation remains volatile and has recently deteriorated in the areas of Kachin and Rakhine. In addition, inter-communal violence has recently flared </w:t>
      </w:r>
      <w:r w:rsidRPr="00897ACB">
        <w:rPr>
          <w:rFonts w:ascii="Times New Roman" w:hAnsi="Times New Roman"/>
          <w:szCs w:val="24"/>
        </w:rPr>
        <w:lastRenderedPageBreak/>
        <w:t>between Buddhist and Muslim communitie</w:t>
      </w:r>
      <w:r w:rsidR="00DA0741">
        <w:rPr>
          <w:rFonts w:ascii="Times New Roman" w:hAnsi="Times New Roman"/>
          <w:szCs w:val="24"/>
        </w:rPr>
        <w:t>s</w:t>
      </w:r>
      <w:r w:rsidRPr="00897ACB">
        <w:rPr>
          <w:rFonts w:ascii="Times New Roman" w:hAnsi="Times New Roman"/>
          <w:szCs w:val="24"/>
        </w:rPr>
        <w:t xml:space="preserve">. A further escalation of such violence could have a highly disruptive effect on the country’s transition towards peace, reconciliation and development. </w:t>
      </w:r>
    </w:p>
    <w:p w14:paraId="1C5B98C9"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The President has established a Union Peace Making Central Committee and Working Committee to take forward peace negotiations. The Myanmar Peace Centre – established with EU support</w:t>
      </w:r>
      <w:r w:rsidR="00600983" w:rsidRPr="00897ACB">
        <w:rPr>
          <w:rFonts w:ascii="Times New Roman" w:hAnsi="Times New Roman"/>
          <w:szCs w:val="24"/>
        </w:rPr>
        <w:t xml:space="preserve"> </w:t>
      </w:r>
      <w:r w:rsidRPr="00897ACB">
        <w:rPr>
          <w:rFonts w:ascii="Times New Roman" w:hAnsi="Times New Roman"/>
          <w:szCs w:val="24"/>
        </w:rPr>
        <w:t>– provides a platform for peace building activities and a focal point for interaction with the international community and civil society organisations. It also serves as the secretariat for the afore-mentioned Committees.</w:t>
      </w:r>
      <w:r w:rsidRPr="00897ACB">
        <w:rPr>
          <w:rFonts w:ascii="Times New Roman" w:hAnsi="Times New Roman"/>
          <w:b/>
          <w:szCs w:val="24"/>
        </w:rPr>
        <w:t xml:space="preserve"> </w:t>
      </w:r>
    </w:p>
    <w:p w14:paraId="010109A8"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Myanmar Peace Support Initiative (MPSI), set up in January 2012 seeks to provide immediate support in areas where ceasefires have been agreed. MPSI is currently engaged in the development of pilot projects in Chin, Karen, Mon, Rakhine and Shan States that aim to build trust and stimulate dialogue in support of ceasefires as a precursor to providing development aid. The latter will be key in order to lock in peace and should encompass providing communities with access to health and education services along with income generating opportunities. </w:t>
      </w:r>
    </w:p>
    <w:p w14:paraId="1FDC2549"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We encourage the immediate end of hostilities across the country, including in Kachin State, and support the early launch of inclusive political negotiations aimed at lasting peace settlements. We believe that negotiations should involve all stakeholders, including Government, political parties, non-state actors, and local community organisations, providing them with capacity building support where necessary.  We also believe that the police force needs to be further reformed to provide a fully accountable and responsive service that can build trust among all communities and is able to respond effectively to future instances of public insecurity. </w:t>
      </w:r>
    </w:p>
    <w:p w14:paraId="5B8F1E49" w14:textId="510AF1F9" w:rsidR="00897ACB" w:rsidRPr="00897ACB" w:rsidRDefault="00897ACB" w:rsidP="00897ACB">
      <w:pPr>
        <w:pStyle w:val="Body1"/>
        <w:jc w:val="both"/>
        <w:rPr>
          <w:rFonts w:ascii="Times New Roman" w:hAnsi="Times New Roman"/>
          <w:szCs w:val="24"/>
        </w:rPr>
      </w:pPr>
      <w:r w:rsidRPr="00897ACB">
        <w:rPr>
          <w:rFonts w:ascii="Times New Roman" w:hAnsi="Times New Roman"/>
          <w:szCs w:val="24"/>
        </w:rPr>
        <w:t xml:space="preserve">European Union and Member States' work on peace building will include support to on-going peace and reconciliation processes, including testing new approaches and capacity building, and tackling unexploded ordinance (UXOs). This area will be supported by </w:t>
      </w:r>
      <w:r w:rsidR="00992ABB">
        <w:rPr>
          <w:rFonts w:ascii="Times New Roman" w:hAnsi="Times New Roman"/>
          <w:szCs w:val="24"/>
        </w:rPr>
        <w:t xml:space="preserve">Denmark, </w:t>
      </w:r>
      <w:r w:rsidRPr="00897ACB">
        <w:rPr>
          <w:rFonts w:ascii="Times New Roman" w:hAnsi="Times New Roman"/>
          <w:szCs w:val="24"/>
        </w:rPr>
        <w:t xml:space="preserve">the EU, Finland, </w:t>
      </w:r>
      <w:r w:rsidR="003F4103">
        <w:rPr>
          <w:rFonts w:ascii="Times New Roman" w:hAnsi="Times New Roman"/>
          <w:szCs w:val="24"/>
        </w:rPr>
        <w:t xml:space="preserve">Germany, </w:t>
      </w:r>
      <w:r w:rsidRPr="00897ACB">
        <w:rPr>
          <w:rFonts w:ascii="Times New Roman" w:hAnsi="Times New Roman"/>
          <w:szCs w:val="24"/>
        </w:rPr>
        <w:t xml:space="preserve">Ireland, </w:t>
      </w:r>
      <w:r w:rsidR="00E05ECD">
        <w:rPr>
          <w:rFonts w:ascii="Times New Roman" w:hAnsi="Times New Roman"/>
          <w:szCs w:val="24"/>
        </w:rPr>
        <w:t xml:space="preserve">the Netherlands, </w:t>
      </w:r>
      <w:r w:rsidRPr="00897ACB">
        <w:rPr>
          <w:rFonts w:ascii="Times New Roman" w:hAnsi="Times New Roman"/>
          <w:szCs w:val="24"/>
        </w:rPr>
        <w:t xml:space="preserve">Sweden and the UK. The indicative annual financial contributions of European Union development partners are as follows: </w:t>
      </w:r>
    </w:p>
    <w:p w14:paraId="1C89C7C7" w14:textId="6EC0EA13" w:rsidR="00C656F1" w:rsidRDefault="00897ACB" w:rsidP="00897ACB">
      <w:pPr>
        <w:pStyle w:val="Body1"/>
        <w:jc w:val="both"/>
        <w:rPr>
          <w:rFonts w:ascii="Times New Roman" w:hAnsi="Times New Roman"/>
          <w:szCs w:val="24"/>
        </w:rPr>
      </w:pPr>
      <w:r w:rsidRPr="00897ACB">
        <w:rPr>
          <w:rFonts w:ascii="Times New Roman" w:hAnsi="Times New Roman"/>
          <w:szCs w:val="24"/>
        </w:rPr>
        <w:t>•</w:t>
      </w:r>
      <w:r w:rsidRPr="00897ACB">
        <w:rPr>
          <w:rFonts w:ascii="Times New Roman" w:hAnsi="Times New Roman"/>
          <w:szCs w:val="24"/>
        </w:rPr>
        <w:tab/>
      </w:r>
      <w:r w:rsidR="00C656F1">
        <w:rPr>
          <w:rFonts w:ascii="Times New Roman" w:hAnsi="Times New Roman"/>
          <w:szCs w:val="24"/>
        </w:rPr>
        <w:t>Denmark: €</w:t>
      </w:r>
      <w:r w:rsidR="00B456B1">
        <w:rPr>
          <w:rFonts w:ascii="Times New Roman" w:hAnsi="Times New Roman"/>
          <w:szCs w:val="24"/>
        </w:rPr>
        <w:t xml:space="preserve"> </w:t>
      </w:r>
      <w:r w:rsidR="006F0D35">
        <w:rPr>
          <w:rFonts w:ascii="Times New Roman" w:hAnsi="Times New Roman"/>
          <w:szCs w:val="24"/>
        </w:rPr>
        <w:t>2,000</w:t>
      </w:r>
      <w:r w:rsidR="00B456B1">
        <w:rPr>
          <w:rFonts w:ascii="Times New Roman" w:hAnsi="Times New Roman"/>
          <w:szCs w:val="24"/>
        </w:rPr>
        <w:t>,000</w:t>
      </w:r>
      <w:r w:rsidR="00C656F1">
        <w:rPr>
          <w:rFonts w:ascii="Times New Roman" w:hAnsi="Times New Roman"/>
          <w:szCs w:val="24"/>
        </w:rPr>
        <w:t xml:space="preserve"> / year.</w:t>
      </w:r>
    </w:p>
    <w:p w14:paraId="6CC1D2A4" w14:textId="77777777" w:rsidR="00897ACB" w:rsidRPr="00897ACB" w:rsidRDefault="00C656F1" w:rsidP="00897ACB">
      <w:pPr>
        <w:pStyle w:val="Body1"/>
        <w:jc w:val="both"/>
        <w:rPr>
          <w:rFonts w:ascii="Times New Roman" w:hAnsi="Times New Roman"/>
          <w:szCs w:val="24"/>
        </w:rPr>
      </w:pPr>
      <w:r w:rsidRPr="00897ACB">
        <w:rPr>
          <w:rFonts w:ascii="Times New Roman" w:hAnsi="Times New Roman"/>
          <w:szCs w:val="24"/>
        </w:rPr>
        <w:t>•</w:t>
      </w:r>
      <w:r>
        <w:rPr>
          <w:rFonts w:ascii="Times New Roman" w:hAnsi="Times New Roman"/>
          <w:szCs w:val="24"/>
        </w:rPr>
        <w:tab/>
      </w:r>
      <w:r w:rsidR="00897ACB" w:rsidRPr="00897ACB">
        <w:rPr>
          <w:rFonts w:ascii="Times New Roman" w:hAnsi="Times New Roman"/>
          <w:szCs w:val="24"/>
        </w:rPr>
        <w:t>EU:  €12,000,000 to €20,000,000 / year.</w:t>
      </w:r>
    </w:p>
    <w:p w14:paraId="62BAC401" w14:textId="6AF8F986" w:rsidR="00897ACB" w:rsidRDefault="00897ACB" w:rsidP="005432EE">
      <w:pPr>
        <w:pStyle w:val="Body1"/>
        <w:jc w:val="both"/>
        <w:rPr>
          <w:rFonts w:ascii="Times New Roman" w:hAnsi="Times New Roman"/>
          <w:szCs w:val="24"/>
        </w:rPr>
      </w:pPr>
      <w:r w:rsidRPr="00897ACB">
        <w:rPr>
          <w:rFonts w:ascii="Times New Roman" w:hAnsi="Times New Roman"/>
          <w:szCs w:val="24"/>
        </w:rPr>
        <w:t>•</w:t>
      </w:r>
      <w:r w:rsidRPr="00897ACB">
        <w:rPr>
          <w:rFonts w:ascii="Times New Roman" w:hAnsi="Times New Roman"/>
          <w:szCs w:val="24"/>
        </w:rPr>
        <w:tab/>
        <w:t>Finland: €1,000,000 / year.</w:t>
      </w:r>
    </w:p>
    <w:p w14:paraId="0E954903" w14:textId="72A918CF" w:rsidR="005432EE" w:rsidRPr="00897ACB" w:rsidRDefault="005432EE" w:rsidP="005432EE">
      <w:pPr>
        <w:pStyle w:val="Body1"/>
        <w:jc w:val="both"/>
        <w:rPr>
          <w:rFonts w:ascii="Times New Roman" w:hAnsi="Times New Roman"/>
          <w:szCs w:val="24"/>
        </w:rPr>
      </w:pPr>
      <w:r>
        <w:rPr>
          <w:rFonts w:ascii="Times New Roman" w:hAnsi="Times New Roman"/>
          <w:szCs w:val="24"/>
        </w:rPr>
        <w:t>•</w:t>
      </w:r>
      <w:r>
        <w:rPr>
          <w:rFonts w:ascii="Times New Roman" w:hAnsi="Times New Roman"/>
          <w:szCs w:val="24"/>
        </w:rPr>
        <w:tab/>
        <w:t xml:space="preserve">France: €1,300,000 / year </w:t>
      </w:r>
    </w:p>
    <w:p w14:paraId="686FA9E2" w14:textId="6F0A6AE9" w:rsidR="005432EE" w:rsidRDefault="003F4103" w:rsidP="00897ACB">
      <w:pPr>
        <w:pStyle w:val="Body1"/>
        <w:jc w:val="both"/>
        <w:rPr>
          <w:rFonts w:ascii="Times New Roman" w:hAnsi="Times New Roman"/>
          <w:szCs w:val="24"/>
        </w:rPr>
      </w:pPr>
      <w:r>
        <w:rPr>
          <w:rFonts w:ascii="Times New Roman" w:hAnsi="Times New Roman"/>
          <w:szCs w:val="24"/>
        </w:rPr>
        <w:t>•</w:t>
      </w:r>
      <w:r>
        <w:rPr>
          <w:rFonts w:ascii="Times New Roman" w:hAnsi="Times New Roman"/>
          <w:szCs w:val="24"/>
        </w:rPr>
        <w:tab/>
        <w:t xml:space="preserve">Germany: </w:t>
      </w:r>
      <w:r w:rsidR="00DA0741">
        <w:rPr>
          <w:rFonts w:ascii="Times New Roman" w:hAnsi="Times New Roman"/>
          <w:szCs w:val="24"/>
        </w:rPr>
        <w:t>to be confirmed</w:t>
      </w:r>
      <w:r w:rsidR="005432EE">
        <w:rPr>
          <w:rFonts w:ascii="Times New Roman" w:hAnsi="Times New Roman"/>
          <w:szCs w:val="24"/>
        </w:rPr>
        <w:t xml:space="preserve"> </w:t>
      </w:r>
    </w:p>
    <w:p w14:paraId="3BDFA663" w14:textId="5C8A673F" w:rsidR="003F4103" w:rsidRDefault="003F4103" w:rsidP="003F4103">
      <w:pPr>
        <w:pStyle w:val="Body1"/>
        <w:jc w:val="both"/>
        <w:rPr>
          <w:rFonts w:ascii="Times New Roman" w:hAnsi="Times New Roman"/>
          <w:szCs w:val="24"/>
        </w:rPr>
      </w:pPr>
      <w:r w:rsidRPr="003F4103">
        <w:rPr>
          <w:rFonts w:ascii="Times New Roman" w:hAnsi="Times New Roman"/>
          <w:szCs w:val="24"/>
        </w:rPr>
        <w:t>•</w:t>
      </w:r>
      <w:r w:rsidRPr="003F4103">
        <w:rPr>
          <w:rFonts w:ascii="Times New Roman" w:hAnsi="Times New Roman"/>
          <w:szCs w:val="24"/>
        </w:rPr>
        <w:tab/>
        <w:t>Ireland: € 100,000 / year.</w:t>
      </w:r>
    </w:p>
    <w:p w14:paraId="0F124D3A" w14:textId="558D3889" w:rsidR="00E05ECD" w:rsidRPr="00897ACB" w:rsidRDefault="003F4103" w:rsidP="003F4103">
      <w:pPr>
        <w:pStyle w:val="Body1"/>
        <w:jc w:val="both"/>
        <w:rPr>
          <w:rFonts w:ascii="Times New Roman" w:hAnsi="Times New Roman"/>
          <w:szCs w:val="24"/>
        </w:rPr>
      </w:pPr>
      <w:r>
        <w:rPr>
          <w:rFonts w:ascii="Times New Roman" w:hAnsi="Times New Roman"/>
          <w:szCs w:val="24"/>
        </w:rPr>
        <w:t>•</w:t>
      </w:r>
      <w:r>
        <w:rPr>
          <w:rFonts w:ascii="Times New Roman" w:hAnsi="Times New Roman"/>
          <w:szCs w:val="24"/>
        </w:rPr>
        <w:tab/>
      </w:r>
      <w:r w:rsidR="00E05ECD">
        <w:rPr>
          <w:rFonts w:ascii="Times New Roman" w:hAnsi="Times New Roman"/>
          <w:szCs w:val="24"/>
        </w:rPr>
        <w:t>Netherlands: to be confirmed</w:t>
      </w:r>
      <w:r w:rsidR="003832C9">
        <w:rPr>
          <w:rFonts w:ascii="Times New Roman" w:hAnsi="Times New Roman"/>
          <w:szCs w:val="24"/>
        </w:rPr>
        <w:t>.</w:t>
      </w:r>
    </w:p>
    <w:p w14:paraId="01E5EC64" w14:textId="77777777" w:rsidR="00897ACB" w:rsidRPr="00897ACB" w:rsidRDefault="0002155F" w:rsidP="00897ACB">
      <w:pPr>
        <w:pStyle w:val="Body1"/>
        <w:jc w:val="both"/>
        <w:rPr>
          <w:rFonts w:ascii="Times New Roman" w:hAnsi="Times New Roman"/>
          <w:szCs w:val="24"/>
        </w:rPr>
      </w:pPr>
      <w:r w:rsidRPr="00EA01E1">
        <w:rPr>
          <w:rFonts w:ascii="Times New Roman" w:hAnsi="Times New Roman"/>
          <w:szCs w:val="24"/>
        </w:rPr>
        <w:t>•</w:t>
      </w:r>
      <w:r w:rsidRPr="00EA01E1">
        <w:rPr>
          <w:rFonts w:ascii="Times New Roman" w:hAnsi="Times New Roman"/>
          <w:szCs w:val="24"/>
        </w:rPr>
        <w:tab/>
        <w:t>Sweden: €2,500,000</w:t>
      </w:r>
      <w:r w:rsidR="00897ACB" w:rsidRPr="00EA01E1">
        <w:rPr>
          <w:rFonts w:ascii="Times New Roman" w:hAnsi="Times New Roman"/>
          <w:szCs w:val="24"/>
        </w:rPr>
        <w:t xml:space="preserve"> / year.</w:t>
      </w:r>
    </w:p>
    <w:p w14:paraId="6CAA74A5" w14:textId="06C03803" w:rsidR="00E678B3" w:rsidRDefault="00897ACB" w:rsidP="008C27BA">
      <w:pPr>
        <w:pStyle w:val="Body1"/>
        <w:jc w:val="both"/>
        <w:rPr>
          <w:rFonts w:ascii="Times New Roman" w:hAnsi="Times New Roman"/>
          <w:szCs w:val="24"/>
        </w:rPr>
      </w:pPr>
      <w:r w:rsidRPr="00897ACB">
        <w:rPr>
          <w:rFonts w:ascii="Times New Roman" w:hAnsi="Times New Roman"/>
          <w:szCs w:val="24"/>
        </w:rPr>
        <w:t>•</w:t>
      </w:r>
      <w:r w:rsidRPr="00897ACB">
        <w:rPr>
          <w:rFonts w:ascii="Times New Roman" w:hAnsi="Times New Roman"/>
          <w:szCs w:val="24"/>
        </w:rPr>
        <w:tab/>
        <w:t>UK: €</w:t>
      </w:r>
      <w:r w:rsidR="00790CE1">
        <w:rPr>
          <w:rFonts w:ascii="Times New Roman" w:hAnsi="Times New Roman"/>
          <w:szCs w:val="24"/>
        </w:rPr>
        <w:t>3</w:t>
      </w:r>
      <w:r w:rsidR="00D901A2">
        <w:rPr>
          <w:rFonts w:ascii="Times New Roman" w:hAnsi="Times New Roman"/>
          <w:szCs w:val="24"/>
        </w:rPr>
        <w:t>,</w:t>
      </w:r>
      <w:r w:rsidR="00790CE1">
        <w:rPr>
          <w:rFonts w:ascii="Times New Roman" w:hAnsi="Times New Roman"/>
          <w:szCs w:val="24"/>
        </w:rPr>
        <w:t>00</w:t>
      </w:r>
      <w:r w:rsidR="00D901A2">
        <w:rPr>
          <w:rFonts w:ascii="Times New Roman" w:hAnsi="Times New Roman"/>
          <w:szCs w:val="24"/>
        </w:rPr>
        <w:t>0,000</w:t>
      </w:r>
      <w:r w:rsidRPr="00897ACB">
        <w:rPr>
          <w:rFonts w:ascii="Times New Roman" w:hAnsi="Times New Roman"/>
          <w:szCs w:val="24"/>
        </w:rPr>
        <w:t xml:space="preserve"> / year.</w:t>
      </w:r>
    </w:p>
    <w:p w14:paraId="6249C03F" w14:textId="77777777" w:rsidR="008C27BA" w:rsidRDefault="008C27BA" w:rsidP="008C27BA">
      <w:pPr>
        <w:pStyle w:val="Body1"/>
        <w:jc w:val="both"/>
        <w:rPr>
          <w:rFonts w:ascii="Times New Roman" w:hAnsi="Times New Roman"/>
          <w:szCs w:val="24"/>
        </w:rPr>
      </w:pPr>
    </w:p>
    <w:p w14:paraId="2AC0E0D0" w14:textId="77777777" w:rsidR="00DE009C" w:rsidRDefault="00DE009C" w:rsidP="008C27BA">
      <w:pPr>
        <w:pStyle w:val="Body1"/>
        <w:jc w:val="both"/>
        <w:rPr>
          <w:rFonts w:ascii="Times New Roman" w:hAnsi="Times New Roman"/>
          <w:szCs w:val="24"/>
        </w:rPr>
      </w:pPr>
    </w:p>
    <w:p w14:paraId="447D599A" w14:textId="77777777" w:rsidR="00DE009C" w:rsidRPr="00897ACB" w:rsidRDefault="00DE009C" w:rsidP="008C27BA">
      <w:pPr>
        <w:pStyle w:val="Body1"/>
        <w:jc w:val="both"/>
        <w:rPr>
          <w:rFonts w:ascii="Times New Roman" w:hAnsi="Times New Roman"/>
          <w:szCs w:val="24"/>
        </w:rPr>
      </w:pPr>
    </w:p>
    <w:p w14:paraId="42612DCB" w14:textId="77777777" w:rsidR="00394026" w:rsidRPr="00897ACB" w:rsidRDefault="00394026">
      <w:pPr>
        <w:pStyle w:val="Body1"/>
        <w:jc w:val="both"/>
        <w:rPr>
          <w:rFonts w:ascii="Times New Roman" w:hAnsi="Times New Roman"/>
          <w:szCs w:val="24"/>
          <w:u w:val="single"/>
        </w:rPr>
      </w:pPr>
      <w:r w:rsidRPr="00897ACB">
        <w:rPr>
          <w:rFonts w:ascii="Times New Roman" w:hAnsi="Times New Roman"/>
          <w:szCs w:val="24"/>
          <w:u w:val="single"/>
        </w:rPr>
        <w:lastRenderedPageBreak/>
        <w:t>Governance</w:t>
      </w:r>
    </w:p>
    <w:p w14:paraId="252696B8"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recent rapprochement between the Government, led by President U Thein </w:t>
      </w:r>
      <w:proofErr w:type="spellStart"/>
      <w:r w:rsidRPr="00897ACB">
        <w:rPr>
          <w:rFonts w:ascii="Times New Roman" w:hAnsi="Times New Roman"/>
          <w:szCs w:val="24"/>
        </w:rPr>
        <w:t>Sein</w:t>
      </w:r>
      <w:proofErr w:type="spellEnd"/>
      <w:r w:rsidRPr="00897ACB">
        <w:rPr>
          <w:rFonts w:ascii="Times New Roman" w:hAnsi="Times New Roman"/>
          <w:szCs w:val="24"/>
        </w:rPr>
        <w:t xml:space="preserve">, and the National League for Democracy (NLD), led by Daw Aung San Suu Kyi, has been remarkable. The previous regime had refused to recognise the parliamentary majority won by the NLD in the 1990 general elections and declared the party illegal in 2010. In December 2011 however, the NLD was able to successfully register with the Union Election Commission and subsequently won 43 out of 44 contested seats in the 2012 by-elections. The Government’s recognition of the result significantly boosted local and international confidence in their commitment to political reform. These positive steps have been accompanied by the emergence of a vigorous Parliament that engages in dynamic debates and subjects Ministers to robust scrutiny. </w:t>
      </w:r>
    </w:p>
    <w:p w14:paraId="5470DFBE"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Good governance, accountability and transparency feature strongly in the FESR and have made regular appearances in speeches by the President.  The Government has prioritised streamlining existing institutions and creating new ones where necessary, promoting the rule of law, enhancing citizen participation, tackling corruption, introducing results-based management, creating a culture of meritocracy, and improving public access to information. An overall strategy for public administration reform is currently under development.  </w:t>
      </w:r>
    </w:p>
    <w:p w14:paraId="09446022" w14:textId="77777777" w:rsidR="00394026" w:rsidRPr="00897ACB" w:rsidRDefault="00394026">
      <w:pPr>
        <w:pStyle w:val="Body1"/>
        <w:jc w:val="both"/>
        <w:rPr>
          <w:rFonts w:ascii="Times New Roman" w:hAnsi="Times New Roman"/>
          <w:szCs w:val="24"/>
        </w:rPr>
      </w:pPr>
      <w:r w:rsidRPr="004B7736">
        <w:rPr>
          <w:rFonts w:ascii="Times New Roman" w:hAnsi="Times New Roman"/>
          <w:szCs w:val="24"/>
        </w:rPr>
        <w:t>While there is strong political will to take these reforms forward, it is clear that ingrained management styles, attitudes and behaviours will not change overnight. Nevertheless, a new political environment is already in evidence that expects and rewards reform, there is increasing legislative and media scrutiny of Government and overall an increasing willingness of the population to air their grievances can be observed. Together these trends are highly likely to increase the pressure for further positive change in future.</w:t>
      </w:r>
      <w:r w:rsidRPr="00897ACB">
        <w:rPr>
          <w:rFonts w:ascii="Times New Roman" w:hAnsi="Times New Roman"/>
          <w:szCs w:val="24"/>
        </w:rPr>
        <w:t xml:space="preserve"> </w:t>
      </w:r>
    </w:p>
    <w:p w14:paraId="1F289F3E" w14:textId="5E836688" w:rsidR="00394026" w:rsidRPr="00DE009C" w:rsidRDefault="00394026">
      <w:pPr>
        <w:pStyle w:val="Body1"/>
        <w:jc w:val="both"/>
        <w:rPr>
          <w:rFonts w:ascii="Times New Roman" w:hAnsi="Times New Roman"/>
          <w:szCs w:val="24"/>
        </w:rPr>
      </w:pPr>
      <w:r w:rsidRPr="00DE009C">
        <w:rPr>
          <w:rFonts w:ascii="Times New Roman" w:hAnsi="Times New Roman"/>
          <w:szCs w:val="24"/>
        </w:rPr>
        <w:t xml:space="preserve">European </w:t>
      </w:r>
      <w:r w:rsidR="00F85B76" w:rsidRPr="00DE009C">
        <w:rPr>
          <w:rFonts w:ascii="Times New Roman" w:hAnsi="Times New Roman"/>
          <w:szCs w:val="24"/>
        </w:rPr>
        <w:t>Union</w:t>
      </w:r>
      <w:r w:rsidR="00600983" w:rsidRPr="00DE009C">
        <w:rPr>
          <w:rFonts w:ascii="Times New Roman" w:hAnsi="Times New Roman"/>
          <w:szCs w:val="24"/>
        </w:rPr>
        <w:t xml:space="preserve"> and Member States'</w:t>
      </w:r>
      <w:r w:rsidR="00F85B76" w:rsidRPr="00DE009C">
        <w:rPr>
          <w:rFonts w:ascii="Times New Roman" w:hAnsi="Times New Roman"/>
          <w:szCs w:val="24"/>
        </w:rPr>
        <w:t xml:space="preserve"> </w:t>
      </w:r>
      <w:r w:rsidRPr="00DE009C">
        <w:rPr>
          <w:rFonts w:ascii="Times New Roman" w:hAnsi="Times New Roman"/>
          <w:szCs w:val="24"/>
        </w:rPr>
        <w:t>work on governance will include the promotion of democratisation, support to Parliament</w:t>
      </w:r>
      <w:r w:rsidR="005242EB" w:rsidRPr="00DE009C">
        <w:rPr>
          <w:rFonts w:ascii="Times New Roman" w:hAnsi="Times New Roman"/>
          <w:szCs w:val="24"/>
        </w:rPr>
        <w:t>, the Union Election Commission</w:t>
      </w:r>
      <w:r w:rsidRPr="00DE009C">
        <w:rPr>
          <w:rFonts w:ascii="Times New Roman" w:hAnsi="Times New Roman"/>
          <w:szCs w:val="24"/>
        </w:rPr>
        <w:t xml:space="preserve"> and the 2015 elections, actions to entrench the rule of law and establish a professional judiciary, initiatives to strengthen transparency and accountability, capacity building support to civil servants, improvement of public finance management</w:t>
      </w:r>
      <w:r w:rsidR="00D60F16" w:rsidRPr="00DE009C">
        <w:rPr>
          <w:rFonts w:ascii="Times New Roman" w:hAnsi="Times New Roman"/>
          <w:szCs w:val="24"/>
        </w:rPr>
        <w:t xml:space="preserve"> and statistical capacity</w:t>
      </w:r>
      <w:r w:rsidRPr="00DE009C">
        <w:rPr>
          <w:rFonts w:ascii="Times New Roman" w:hAnsi="Times New Roman"/>
          <w:szCs w:val="24"/>
        </w:rPr>
        <w:t xml:space="preserve">, reinforcement of the media, </w:t>
      </w:r>
      <w:r w:rsidR="00D60F16" w:rsidRPr="00DE009C">
        <w:rPr>
          <w:rFonts w:ascii="Times New Roman" w:hAnsi="Times New Roman"/>
          <w:szCs w:val="24"/>
        </w:rPr>
        <w:t xml:space="preserve">support to the national census, </w:t>
      </w:r>
      <w:r w:rsidRPr="00DE009C">
        <w:rPr>
          <w:rFonts w:ascii="Times New Roman" w:hAnsi="Times New Roman"/>
          <w:szCs w:val="24"/>
        </w:rPr>
        <w:t xml:space="preserve">technical assistance to assist with aid and </w:t>
      </w:r>
      <w:r w:rsidR="00EA26E2" w:rsidRPr="00DE009C">
        <w:rPr>
          <w:rFonts w:ascii="Times New Roman" w:hAnsi="Times New Roman"/>
          <w:szCs w:val="24"/>
        </w:rPr>
        <w:t>development partner</w:t>
      </w:r>
      <w:r w:rsidRPr="00DE009C">
        <w:rPr>
          <w:rFonts w:ascii="Times New Roman" w:hAnsi="Times New Roman"/>
          <w:szCs w:val="24"/>
        </w:rPr>
        <w:t xml:space="preserve"> management, and support for Myanmar’s ASEAN chairmanship. This area will be supported by the Czech Republic, Denmark, the </w:t>
      </w:r>
      <w:r w:rsidR="006720FE" w:rsidRPr="00DE009C">
        <w:rPr>
          <w:rFonts w:ascii="Times New Roman" w:hAnsi="Times New Roman"/>
          <w:szCs w:val="24"/>
        </w:rPr>
        <w:t>EU</w:t>
      </w:r>
      <w:r w:rsidRPr="00DE009C">
        <w:rPr>
          <w:rFonts w:ascii="Times New Roman" w:hAnsi="Times New Roman"/>
          <w:szCs w:val="24"/>
        </w:rPr>
        <w:t xml:space="preserve">, Finland, France, </w:t>
      </w:r>
      <w:r w:rsidR="003F4103" w:rsidRPr="00DE009C">
        <w:rPr>
          <w:rFonts w:ascii="Times New Roman" w:hAnsi="Times New Roman"/>
          <w:szCs w:val="24"/>
        </w:rPr>
        <w:t xml:space="preserve">Germany, </w:t>
      </w:r>
      <w:r w:rsidRPr="00DE009C">
        <w:rPr>
          <w:rFonts w:ascii="Times New Roman" w:hAnsi="Times New Roman"/>
          <w:szCs w:val="24"/>
        </w:rPr>
        <w:t xml:space="preserve">Hungary, Ireland, Italy, </w:t>
      </w:r>
      <w:r w:rsidR="00E05ECD" w:rsidRPr="00DE009C">
        <w:rPr>
          <w:rFonts w:ascii="Times New Roman" w:hAnsi="Times New Roman"/>
          <w:szCs w:val="24"/>
        </w:rPr>
        <w:t xml:space="preserve">the Netherlands (focusing on capacity building in the water sector), </w:t>
      </w:r>
      <w:r w:rsidRPr="00DE009C">
        <w:rPr>
          <w:rFonts w:ascii="Times New Roman" w:hAnsi="Times New Roman"/>
          <w:szCs w:val="24"/>
        </w:rPr>
        <w:t xml:space="preserve">Sweden, and the UK. The indicative annual financial contributions of </w:t>
      </w:r>
      <w:r w:rsidR="00EA26E2" w:rsidRPr="00DE009C">
        <w:rPr>
          <w:rFonts w:ascii="Times New Roman" w:hAnsi="Times New Roman"/>
          <w:szCs w:val="24"/>
        </w:rPr>
        <w:t>European Union</w:t>
      </w:r>
      <w:r w:rsidRPr="00DE009C">
        <w:rPr>
          <w:rFonts w:ascii="Times New Roman" w:hAnsi="Times New Roman"/>
          <w:szCs w:val="24"/>
        </w:rPr>
        <w:t xml:space="preserve"> </w:t>
      </w:r>
      <w:r w:rsidR="00EA26E2" w:rsidRPr="00DE009C">
        <w:rPr>
          <w:rFonts w:ascii="Times New Roman" w:hAnsi="Times New Roman"/>
          <w:szCs w:val="24"/>
        </w:rPr>
        <w:t>development partners</w:t>
      </w:r>
      <w:r w:rsidRPr="00DE009C">
        <w:rPr>
          <w:rFonts w:ascii="Times New Roman" w:hAnsi="Times New Roman"/>
          <w:szCs w:val="24"/>
        </w:rPr>
        <w:t xml:space="preserve"> are as follows: </w:t>
      </w:r>
    </w:p>
    <w:p w14:paraId="7471CB69" w14:textId="77777777" w:rsidR="00394026" w:rsidRPr="004B7736" w:rsidRDefault="00394026" w:rsidP="004B7736">
      <w:pPr>
        <w:pStyle w:val="Body1"/>
        <w:numPr>
          <w:ilvl w:val="0"/>
          <w:numId w:val="7"/>
        </w:numPr>
        <w:ind w:left="720" w:hanging="360"/>
        <w:jc w:val="both"/>
        <w:rPr>
          <w:rFonts w:ascii="Times New Roman" w:hAnsi="Times New Roman"/>
          <w:szCs w:val="24"/>
        </w:rPr>
      </w:pPr>
      <w:r w:rsidRPr="004B7736">
        <w:rPr>
          <w:rFonts w:ascii="Times New Roman" w:hAnsi="Times New Roman"/>
          <w:szCs w:val="24"/>
        </w:rPr>
        <w:t>Czech Republic: €</w:t>
      </w:r>
      <w:r w:rsidR="00D86970" w:rsidRPr="004B7736">
        <w:rPr>
          <w:rFonts w:ascii="Times New Roman" w:hAnsi="Times New Roman"/>
          <w:szCs w:val="24"/>
        </w:rPr>
        <w:t xml:space="preserve">150,000 </w:t>
      </w:r>
      <w:r w:rsidRPr="004B7736">
        <w:rPr>
          <w:rFonts w:ascii="Times New Roman" w:hAnsi="Times New Roman"/>
          <w:szCs w:val="24"/>
        </w:rPr>
        <w:t>/ year.</w:t>
      </w:r>
    </w:p>
    <w:p w14:paraId="4C957CB2" w14:textId="77777777" w:rsidR="00394026" w:rsidRPr="00F54E19" w:rsidRDefault="00394026" w:rsidP="004B7736">
      <w:pPr>
        <w:pStyle w:val="Body1"/>
        <w:numPr>
          <w:ilvl w:val="0"/>
          <w:numId w:val="7"/>
        </w:numPr>
        <w:ind w:left="720" w:hanging="360"/>
        <w:jc w:val="both"/>
        <w:rPr>
          <w:rFonts w:ascii="Times New Roman" w:hAnsi="Times New Roman"/>
          <w:szCs w:val="24"/>
        </w:rPr>
      </w:pPr>
      <w:r w:rsidRPr="00F54E19">
        <w:rPr>
          <w:rFonts w:ascii="Times New Roman" w:hAnsi="Times New Roman"/>
          <w:szCs w:val="24"/>
        </w:rPr>
        <w:t>Denmark: €</w:t>
      </w:r>
      <w:r w:rsidR="00B456B1" w:rsidRPr="00F54E19">
        <w:rPr>
          <w:rFonts w:ascii="Times New Roman" w:hAnsi="Times New Roman"/>
          <w:szCs w:val="24"/>
        </w:rPr>
        <w:t xml:space="preserve">4,500,000 </w:t>
      </w:r>
      <w:r w:rsidRPr="00F54E19">
        <w:rPr>
          <w:rFonts w:ascii="Times New Roman" w:hAnsi="Times New Roman"/>
          <w:szCs w:val="24"/>
        </w:rPr>
        <w:t>/ year.</w:t>
      </w:r>
    </w:p>
    <w:p w14:paraId="1DDD94C1" w14:textId="77777777" w:rsidR="007533A8" w:rsidRPr="004B7736" w:rsidRDefault="007533A8" w:rsidP="004B7736">
      <w:pPr>
        <w:pStyle w:val="Body1"/>
        <w:numPr>
          <w:ilvl w:val="0"/>
          <w:numId w:val="7"/>
        </w:numPr>
        <w:ind w:left="720" w:hanging="360"/>
        <w:jc w:val="both"/>
        <w:rPr>
          <w:rFonts w:ascii="Times New Roman" w:hAnsi="Times New Roman"/>
          <w:szCs w:val="24"/>
        </w:rPr>
      </w:pPr>
      <w:r w:rsidRPr="004B7736">
        <w:rPr>
          <w:rFonts w:ascii="Times New Roman" w:hAnsi="Times New Roman"/>
          <w:szCs w:val="24"/>
        </w:rPr>
        <w:t>EU:  €8,000,000 to €12,000,000 / year.</w:t>
      </w:r>
    </w:p>
    <w:p w14:paraId="58A06CA7" w14:textId="17E33676" w:rsidR="00394026" w:rsidRPr="004B7736" w:rsidRDefault="00394026" w:rsidP="004B7736">
      <w:pPr>
        <w:pStyle w:val="Body1"/>
        <w:numPr>
          <w:ilvl w:val="0"/>
          <w:numId w:val="7"/>
        </w:numPr>
        <w:ind w:left="720" w:hanging="360"/>
        <w:jc w:val="both"/>
        <w:rPr>
          <w:rFonts w:ascii="Times New Roman" w:hAnsi="Times New Roman"/>
          <w:szCs w:val="24"/>
        </w:rPr>
      </w:pPr>
      <w:r w:rsidRPr="004B7736">
        <w:rPr>
          <w:rFonts w:ascii="Times New Roman" w:hAnsi="Times New Roman"/>
          <w:szCs w:val="24"/>
        </w:rPr>
        <w:t>Finland: €</w:t>
      </w:r>
      <w:r w:rsidR="0002155F">
        <w:rPr>
          <w:rFonts w:ascii="Times New Roman" w:hAnsi="Times New Roman"/>
          <w:szCs w:val="24"/>
        </w:rPr>
        <w:t>2</w:t>
      </w:r>
      <w:r w:rsidR="00D86970" w:rsidRPr="004B7736">
        <w:rPr>
          <w:rFonts w:ascii="Times New Roman" w:hAnsi="Times New Roman"/>
          <w:szCs w:val="24"/>
        </w:rPr>
        <w:t xml:space="preserve">,000,000 </w:t>
      </w:r>
      <w:r w:rsidRPr="004B7736">
        <w:rPr>
          <w:rFonts w:ascii="Times New Roman" w:hAnsi="Times New Roman"/>
          <w:szCs w:val="24"/>
        </w:rPr>
        <w:t>/ year</w:t>
      </w:r>
      <w:r w:rsidR="00DE009C">
        <w:rPr>
          <w:rFonts w:ascii="Times New Roman" w:hAnsi="Times New Roman"/>
          <w:szCs w:val="24"/>
        </w:rPr>
        <w:t xml:space="preserve"> (to be confirmed)</w:t>
      </w:r>
      <w:r w:rsidRPr="004B7736">
        <w:rPr>
          <w:rFonts w:ascii="Times New Roman" w:hAnsi="Times New Roman"/>
          <w:szCs w:val="24"/>
        </w:rPr>
        <w:t>.</w:t>
      </w:r>
    </w:p>
    <w:p w14:paraId="1D7539E2" w14:textId="17F94E4B" w:rsidR="00394026" w:rsidRDefault="00394026" w:rsidP="004B7736">
      <w:pPr>
        <w:pStyle w:val="Body1"/>
        <w:numPr>
          <w:ilvl w:val="0"/>
          <w:numId w:val="7"/>
        </w:numPr>
        <w:ind w:left="720" w:hanging="360"/>
        <w:jc w:val="both"/>
        <w:rPr>
          <w:rFonts w:ascii="Times New Roman" w:hAnsi="Times New Roman"/>
          <w:szCs w:val="24"/>
        </w:rPr>
      </w:pPr>
      <w:r w:rsidRPr="00C64D13">
        <w:rPr>
          <w:rFonts w:ascii="Times New Roman" w:hAnsi="Times New Roman"/>
          <w:szCs w:val="24"/>
        </w:rPr>
        <w:t>France</w:t>
      </w:r>
      <w:r w:rsidRPr="00961969">
        <w:rPr>
          <w:rFonts w:ascii="Times New Roman" w:hAnsi="Times New Roman"/>
          <w:szCs w:val="24"/>
        </w:rPr>
        <w:t xml:space="preserve">: </w:t>
      </w:r>
      <w:r w:rsidR="005432EE">
        <w:rPr>
          <w:rFonts w:ascii="Times New Roman" w:hAnsi="Times New Roman"/>
          <w:szCs w:val="24"/>
        </w:rPr>
        <w:t>€270,000 / year</w:t>
      </w:r>
    </w:p>
    <w:p w14:paraId="50187DDF" w14:textId="0B2F7438" w:rsidR="003F4103" w:rsidRPr="004B7736" w:rsidRDefault="00084A52" w:rsidP="004B7736">
      <w:pPr>
        <w:pStyle w:val="Body1"/>
        <w:numPr>
          <w:ilvl w:val="0"/>
          <w:numId w:val="7"/>
        </w:numPr>
        <w:ind w:left="720" w:hanging="360"/>
        <w:jc w:val="both"/>
        <w:rPr>
          <w:rFonts w:ascii="Times New Roman" w:hAnsi="Times New Roman"/>
          <w:szCs w:val="24"/>
        </w:rPr>
      </w:pPr>
      <w:r>
        <w:rPr>
          <w:rFonts w:ascii="Times New Roman" w:hAnsi="Times New Roman"/>
          <w:szCs w:val="24"/>
        </w:rPr>
        <w:t xml:space="preserve">Germany: </w:t>
      </w:r>
      <w:r w:rsidR="005161DB">
        <w:rPr>
          <w:rFonts w:ascii="Times New Roman" w:hAnsi="Times New Roman"/>
          <w:szCs w:val="24"/>
        </w:rPr>
        <w:t xml:space="preserve"> to be confirmed</w:t>
      </w:r>
    </w:p>
    <w:p w14:paraId="353A4634" w14:textId="77777777" w:rsidR="00394026" w:rsidRPr="00F54E19" w:rsidRDefault="00394026" w:rsidP="004B7736">
      <w:pPr>
        <w:pStyle w:val="Body1"/>
        <w:numPr>
          <w:ilvl w:val="0"/>
          <w:numId w:val="7"/>
        </w:numPr>
        <w:ind w:left="720" w:hanging="360"/>
        <w:jc w:val="both"/>
        <w:rPr>
          <w:rFonts w:ascii="Times New Roman" w:hAnsi="Times New Roman"/>
          <w:szCs w:val="24"/>
        </w:rPr>
      </w:pPr>
      <w:r w:rsidRPr="00F54E19">
        <w:rPr>
          <w:rFonts w:ascii="Times New Roman" w:hAnsi="Times New Roman"/>
          <w:szCs w:val="24"/>
        </w:rPr>
        <w:t xml:space="preserve">Hungary: </w:t>
      </w:r>
      <w:r w:rsidR="00BD5B10" w:rsidRPr="00F54E19">
        <w:rPr>
          <w:rFonts w:ascii="Times New Roman" w:hAnsi="Times New Roman"/>
          <w:szCs w:val="24"/>
        </w:rPr>
        <w:t>to be confirmed</w:t>
      </w:r>
    </w:p>
    <w:p w14:paraId="17A40E16" w14:textId="46266DE6" w:rsidR="00394026" w:rsidRPr="00C64D13" w:rsidRDefault="00394026" w:rsidP="004B7736">
      <w:pPr>
        <w:pStyle w:val="Body1"/>
        <w:numPr>
          <w:ilvl w:val="0"/>
          <w:numId w:val="7"/>
        </w:numPr>
        <w:ind w:left="720" w:hanging="360"/>
        <w:jc w:val="both"/>
        <w:rPr>
          <w:rFonts w:ascii="Times New Roman" w:hAnsi="Times New Roman"/>
          <w:szCs w:val="24"/>
        </w:rPr>
      </w:pPr>
      <w:r w:rsidRPr="00C64D13">
        <w:rPr>
          <w:rFonts w:ascii="Times New Roman" w:hAnsi="Times New Roman"/>
          <w:szCs w:val="24"/>
        </w:rPr>
        <w:t xml:space="preserve">Ireland: € </w:t>
      </w:r>
      <w:r w:rsidR="00E115E3" w:rsidRPr="00C64D13">
        <w:rPr>
          <w:rFonts w:ascii="Times New Roman" w:hAnsi="Times New Roman"/>
          <w:szCs w:val="24"/>
        </w:rPr>
        <w:t xml:space="preserve">50,000 </w:t>
      </w:r>
      <w:r w:rsidRPr="00C64D13">
        <w:rPr>
          <w:rFonts w:ascii="Times New Roman" w:hAnsi="Times New Roman"/>
          <w:szCs w:val="24"/>
        </w:rPr>
        <w:t>/ year.</w:t>
      </w:r>
    </w:p>
    <w:p w14:paraId="0BBD29A1" w14:textId="6260E05F" w:rsidR="00394026" w:rsidRPr="00C64D13" w:rsidRDefault="00C32BD6" w:rsidP="004B7736">
      <w:pPr>
        <w:pStyle w:val="Body1"/>
        <w:numPr>
          <w:ilvl w:val="0"/>
          <w:numId w:val="7"/>
        </w:numPr>
        <w:ind w:left="720" w:hanging="360"/>
        <w:jc w:val="both"/>
        <w:rPr>
          <w:rFonts w:ascii="Times New Roman" w:hAnsi="Times New Roman"/>
          <w:szCs w:val="24"/>
        </w:rPr>
      </w:pPr>
      <w:r w:rsidRPr="00C64D13">
        <w:rPr>
          <w:rFonts w:ascii="Times New Roman" w:hAnsi="Times New Roman"/>
          <w:szCs w:val="24"/>
        </w:rPr>
        <w:lastRenderedPageBreak/>
        <w:t>Italy</w:t>
      </w:r>
      <w:r w:rsidR="00394026" w:rsidRPr="00C64D13">
        <w:rPr>
          <w:rFonts w:ascii="Times New Roman" w:hAnsi="Times New Roman"/>
          <w:szCs w:val="24"/>
        </w:rPr>
        <w:t>:</w:t>
      </w:r>
      <w:r w:rsidR="00B06E2A" w:rsidRPr="00C64D13">
        <w:rPr>
          <w:rFonts w:ascii="Times New Roman" w:hAnsi="Times New Roman"/>
          <w:szCs w:val="24"/>
        </w:rPr>
        <w:t xml:space="preserve"> </w:t>
      </w:r>
      <w:r w:rsidR="001B7C75">
        <w:rPr>
          <w:rFonts w:ascii="Times New Roman" w:hAnsi="Times New Roman"/>
          <w:szCs w:val="24"/>
        </w:rPr>
        <w:t>€ 930,000 / 2014</w:t>
      </w:r>
    </w:p>
    <w:p w14:paraId="06623E1F" w14:textId="6D64FE51" w:rsidR="00E05ECD" w:rsidRPr="00C64D13" w:rsidRDefault="00E05ECD" w:rsidP="004B7736">
      <w:pPr>
        <w:pStyle w:val="Body1"/>
        <w:numPr>
          <w:ilvl w:val="0"/>
          <w:numId w:val="7"/>
        </w:numPr>
        <w:ind w:left="720" w:hanging="360"/>
        <w:jc w:val="both"/>
        <w:rPr>
          <w:rFonts w:ascii="Times New Roman" w:hAnsi="Times New Roman"/>
          <w:szCs w:val="24"/>
        </w:rPr>
      </w:pPr>
      <w:r w:rsidRPr="00C64D13">
        <w:rPr>
          <w:rFonts w:ascii="Times New Roman" w:hAnsi="Times New Roman"/>
          <w:szCs w:val="24"/>
        </w:rPr>
        <w:t>Netherlands: to be confirmed</w:t>
      </w:r>
      <w:r w:rsidR="003832C9">
        <w:rPr>
          <w:rFonts w:ascii="Times New Roman" w:hAnsi="Times New Roman"/>
          <w:szCs w:val="24"/>
        </w:rPr>
        <w:t>.</w:t>
      </w:r>
    </w:p>
    <w:p w14:paraId="72F2AB79" w14:textId="77777777" w:rsidR="00394026" w:rsidRPr="0002155F" w:rsidRDefault="00394026" w:rsidP="004B7736">
      <w:pPr>
        <w:pStyle w:val="Body1"/>
        <w:numPr>
          <w:ilvl w:val="0"/>
          <w:numId w:val="7"/>
        </w:numPr>
        <w:ind w:left="720" w:hanging="360"/>
        <w:jc w:val="both"/>
        <w:rPr>
          <w:rFonts w:ascii="Times New Roman" w:hAnsi="Times New Roman"/>
          <w:szCs w:val="24"/>
        </w:rPr>
      </w:pPr>
      <w:r w:rsidRPr="0002155F">
        <w:rPr>
          <w:rFonts w:ascii="Times New Roman" w:hAnsi="Times New Roman"/>
          <w:szCs w:val="24"/>
        </w:rPr>
        <w:t>Sweden: €</w:t>
      </w:r>
      <w:r w:rsidR="0002155F" w:rsidRPr="0002155F">
        <w:rPr>
          <w:rFonts w:ascii="Times New Roman" w:hAnsi="Times New Roman"/>
          <w:szCs w:val="24"/>
        </w:rPr>
        <w:t>3,500,000</w:t>
      </w:r>
      <w:r w:rsidRPr="0002155F">
        <w:rPr>
          <w:rFonts w:ascii="Times New Roman" w:hAnsi="Times New Roman"/>
          <w:szCs w:val="24"/>
        </w:rPr>
        <w:t xml:space="preserve"> / year.</w:t>
      </w:r>
    </w:p>
    <w:p w14:paraId="62A944AE" w14:textId="77777777" w:rsidR="00394026" w:rsidRPr="00897ACB" w:rsidRDefault="00E678B3" w:rsidP="00E678B3">
      <w:pPr>
        <w:pStyle w:val="Body1"/>
        <w:numPr>
          <w:ilvl w:val="0"/>
          <w:numId w:val="7"/>
        </w:numPr>
        <w:ind w:left="720" w:hanging="360"/>
        <w:jc w:val="both"/>
        <w:rPr>
          <w:rFonts w:ascii="Times New Roman" w:hAnsi="Times New Roman"/>
          <w:szCs w:val="24"/>
        </w:rPr>
      </w:pPr>
      <w:r w:rsidRPr="00897ACB">
        <w:rPr>
          <w:rFonts w:ascii="Times New Roman" w:hAnsi="Times New Roman"/>
          <w:szCs w:val="24"/>
        </w:rPr>
        <w:t xml:space="preserve">UK: </w:t>
      </w:r>
      <w:r w:rsidRPr="00897ACB">
        <w:rPr>
          <w:rFonts w:ascii="Times New Roman" w:hAnsi="Times New Roman"/>
          <w:szCs w:val="24"/>
          <w:lang w:val="en-US"/>
        </w:rPr>
        <w:t>€</w:t>
      </w:r>
      <w:r w:rsidR="00D901A2">
        <w:rPr>
          <w:rFonts w:ascii="Times New Roman" w:hAnsi="Times New Roman"/>
          <w:szCs w:val="24"/>
        </w:rPr>
        <w:t>7</w:t>
      </w:r>
      <w:r w:rsidRPr="00897ACB">
        <w:rPr>
          <w:rFonts w:ascii="Times New Roman" w:hAnsi="Times New Roman"/>
          <w:szCs w:val="24"/>
        </w:rPr>
        <w:t>,</w:t>
      </w:r>
      <w:r w:rsidR="00D901A2">
        <w:rPr>
          <w:rFonts w:ascii="Times New Roman" w:hAnsi="Times New Roman"/>
          <w:szCs w:val="24"/>
        </w:rPr>
        <w:t>75</w:t>
      </w:r>
      <w:r w:rsidRPr="00897ACB">
        <w:rPr>
          <w:rFonts w:ascii="Times New Roman" w:hAnsi="Times New Roman"/>
          <w:szCs w:val="24"/>
        </w:rPr>
        <w:t>0,000 / year.</w:t>
      </w:r>
    </w:p>
    <w:p w14:paraId="6B5E2BAA" w14:textId="444BC69D" w:rsidR="00394026" w:rsidRPr="00897ACB" w:rsidRDefault="00DE009C">
      <w:pPr>
        <w:pStyle w:val="Body1"/>
        <w:jc w:val="both"/>
        <w:rPr>
          <w:rFonts w:ascii="Times New Roman" w:hAnsi="Times New Roman"/>
          <w:szCs w:val="24"/>
          <w:u w:val="single"/>
        </w:rPr>
      </w:pPr>
      <w:r>
        <w:rPr>
          <w:rFonts w:ascii="Times New Roman" w:hAnsi="Times New Roman"/>
          <w:szCs w:val="24"/>
        </w:rPr>
        <w:br/>
      </w:r>
      <w:r w:rsidR="00394026" w:rsidRPr="00897ACB">
        <w:rPr>
          <w:rFonts w:ascii="Times New Roman" w:hAnsi="Times New Roman"/>
          <w:szCs w:val="24"/>
          <w:u w:val="single"/>
        </w:rPr>
        <w:t>Rural Development</w:t>
      </w:r>
    </w:p>
    <w:p w14:paraId="16BE16B7"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Agriculture remains dominant in Myanmar’s economy, accounting for 40% of GDP and providing employment for over 60% of the labour force. Most farmers are smallholders who combine a mix of crops, livestock, fishery and off-farm income-generating activities in order to diversify risk. The food crop sub-sector represents 80% of agricultural production with rice, pulses and beans as the main outputs and export commodities. Productive potential is not currently fully utilised with the result that yields remain below average and inferior to their historical highs. </w:t>
      </w:r>
    </w:p>
    <w:p w14:paraId="157A2AFF"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livestock sub-sector is characterised by small-scale production at the household level and plays an important role in supplementing incomes and improving nutrition. Aquaculture and inland fisheries have grown rapidly in recent years with medium to large production units emerging that offer significant employment potential. Small-scale fishery production however remains obstructed by an opaque administrative system of fishing rights and licenses. For marine fisheries, over-exploitation is perceived as a risk although no recent reliable estimate of resources and sustainable yields is currently available. </w:t>
      </w:r>
    </w:p>
    <w:p w14:paraId="0AD03B2D"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Overall, agricultural productivity has suffered from a lack of basic infrastructure to connect rural areas to population centres meaning that transport and marketing costs have remained high. The lack of financial services has further hampered growth with only an estimated 10% of financing needs currently met by existing institutions. Research and extension services are also largely absent, leading to poor input quality and sub-standard management practices.  </w:t>
      </w:r>
    </w:p>
    <w:p w14:paraId="717AEC36"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Government has however prioritised rural development in its reform agenda and is currently development a Rural Development Strategy which we will seek to align to. </w:t>
      </w:r>
    </w:p>
    <w:p w14:paraId="13C4BCAB" w14:textId="7675C939" w:rsidR="00394026" w:rsidRPr="00897ACB" w:rsidRDefault="00600983">
      <w:pPr>
        <w:pStyle w:val="Body1"/>
        <w:jc w:val="both"/>
        <w:rPr>
          <w:rFonts w:ascii="Times New Roman" w:hAnsi="Times New Roman"/>
          <w:szCs w:val="24"/>
        </w:rPr>
      </w:pPr>
      <w:r w:rsidRPr="004B7736">
        <w:rPr>
          <w:rFonts w:ascii="Times New Roman" w:hAnsi="Times New Roman"/>
          <w:szCs w:val="24"/>
        </w:rPr>
        <w:t xml:space="preserve">European Union and Member States' </w:t>
      </w:r>
      <w:r w:rsidR="00394026" w:rsidRPr="004B7736">
        <w:rPr>
          <w:rFonts w:ascii="Times New Roman" w:hAnsi="Times New Roman"/>
          <w:szCs w:val="24"/>
        </w:rPr>
        <w:t>work on rural development will be supported by Denmark, the EU, France</w:t>
      </w:r>
      <w:r w:rsidR="007B4191">
        <w:rPr>
          <w:rFonts w:ascii="Times New Roman" w:hAnsi="Times New Roman"/>
          <w:szCs w:val="24"/>
        </w:rPr>
        <w:t xml:space="preserve"> (incl. AFD)</w:t>
      </w:r>
      <w:r w:rsidR="00394026" w:rsidRPr="004B7736">
        <w:rPr>
          <w:rFonts w:ascii="Times New Roman" w:hAnsi="Times New Roman"/>
          <w:szCs w:val="24"/>
        </w:rPr>
        <w:t>,</w:t>
      </w:r>
      <w:r w:rsidR="003F4103">
        <w:rPr>
          <w:rFonts w:ascii="Times New Roman" w:hAnsi="Times New Roman"/>
          <w:szCs w:val="24"/>
        </w:rPr>
        <w:t xml:space="preserve"> Germany,</w:t>
      </w:r>
      <w:r w:rsidR="00394026" w:rsidRPr="004B7736">
        <w:rPr>
          <w:rFonts w:ascii="Times New Roman" w:hAnsi="Times New Roman"/>
          <w:szCs w:val="24"/>
        </w:rPr>
        <w:t xml:space="preserve"> I</w:t>
      </w:r>
      <w:r w:rsidR="0002155F">
        <w:rPr>
          <w:rFonts w:ascii="Times New Roman" w:hAnsi="Times New Roman"/>
          <w:szCs w:val="24"/>
        </w:rPr>
        <w:t xml:space="preserve">reland, Italy, the Netherlands </w:t>
      </w:r>
      <w:r w:rsidR="00394026" w:rsidRPr="004B7736">
        <w:rPr>
          <w:rFonts w:ascii="Times New Roman" w:hAnsi="Times New Roman"/>
          <w:szCs w:val="24"/>
        </w:rPr>
        <w:t xml:space="preserve">and the UK. Work will include </w:t>
      </w:r>
      <w:r w:rsidR="00F97C07" w:rsidRPr="004B7736">
        <w:rPr>
          <w:rFonts w:ascii="Times New Roman" w:hAnsi="Times New Roman"/>
          <w:szCs w:val="24"/>
        </w:rPr>
        <w:t>support</w:t>
      </w:r>
      <w:r w:rsidR="00ED1C9E" w:rsidRPr="004B7736">
        <w:rPr>
          <w:rFonts w:ascii="Times New Roman" w:hAnsi="Times New Roman"/>
          <w:szCs w:val="24"/>
        </w:rPr>
        <w:t xml:space="preserve"> to</w:t>
      </w:r>
      <w:r w:rsidR="00F97C07" w:rsidRPr="004B7736">
        <w:rPr>
          <w:rFonts w:ascii="Times New Roman" w:hAnsi="Times New Roman"/>
          <w:szCs w:val="24"/>
        </w:rPr>
        <w:t xml:space="preserve"> </w:t>
      </w:r>
      <w:r w:rsidR="00ED1C9E" w:rsidRPr="004B7736">
        <w:rPr>
          <w:rFonts w:ascii="Times New Roman" w:hAnsi="Times New Roman"/>
          <w:szCs w:val="24"/>
        </w:rPr>
        <w:t>l</w:t>
      </w:r>
      <w:r w:rsidR="00F97C07" w:rsidRPr="004B7736">
        <w:rPr>
          <w:rFonts w:ascii="Times New Roman" w:hAnsi="Times New Roman"/>
          <w:szCs w:val="24"/>
        </w:rPr>
        <w:t xml:space="preserve">ivelihoods and </w:t>
      </w:r>
      <w:r w:rsidR="00ED1C9E" w:rsidRPr="004B7736">
        <w:rPr>
          <w:rFonts w:ascii="Times New Roman" w:hAnsi="Times New Roman"/>
          <w:szCs w:val="24"/>
        </w:rPr>
        <w:t>f</w:t>
      </w:r>
      <w:r w:rsidR="00F97C07" w:rsidRPr="004B7736">
        <w:rPr>
          <w:rFonts w:ascii="Times New Roman" w:hAnsi="Times New Roman"/>
          <w:szCs w:val="24"/>
        </w:rPr>
        <w:t xml:space="preserve">ood </w:t>
      </w:r>
      <w:r w:rsidR="00ED1C9E" w:rsidRPr="004B7736">
        <w:rPr>
          <w:rFonts w:ascii="Times New Roman" w:hAnsi="Times New Roman"/>
          <w:szCs w:val="24"/>
        </w:rPr>
        <w:t>s</w:t>
      </w:r>
      <w:r w:rsidR="00F97C07" w:rsidRPr="004B7736">
        <w:rPr>
          <w:rFonts w:ascii="Times New Roman" w:hAnsi="Times New Roman"/>
          <w:szCs w:val="24"/>
        </w:rPr>
        <w:t xml:space="preserve">ecurity, </w:t>
      </w:r>
      <w:r w:rsidR="00394026" w:rsidRPr="004B7736">
        <w:rPr>
          <w:rFonts w:ascii="Times New Roman" w:hAnsi="Times New Roman"/>
          <w:szCs w:val="24"/>
        </w:rPr>
        <w:t xml:space="preserve">tackling hunger and promoting good nutrition, supporting employment and income generating activities, </w:t>
      </w:r>
      <w:r w:rsidR="00F97C07" w:rsidRPr="004B7736">
        <w:rPr>
          <w:rFonts w:ascii="Times New Roman" w:hAnsi="Times New Roman"/>
          <w:szCs w:val="24"/>
        </w:rPr>
        <w:t xml:space="preserve">enhancing agricultural productivity, </w:t>
      </w:r>
      <w:r w:rsidR="00394026" w:rsidRPr="004B7736">
        <w:rPr>
          <w:rFonts w:ascii="Times New Roman" w:hAnsi="Times New Roman"/>
          <w:szCs w:val="24"/>
        </w:rPr>
        <w:t>promoting access to financial services for the poor,</w:t>
      </w:r>
      <w:r w:rsidR="00F97C07" w:rsidRPr="004B7736">
        <w:rPr>
          <w:rFonts w:ascii="Times New Roman" w:hAnsi="Times New Roman"/>
          <w:szCs w:val="24"/>
        </w:rPr>
        <w:t xml:space="preserve"> </w:t>
      </w:r>
      <w:r w:rsidR="00394026" w:rsidRPr="004B7736">
        <w:rPr>
          <w:rFonts w:ascii="Times New Roman" w:hAnsi="Times New Roman"/>
          <w:szCs w:val="24"/>
        </w:rPr>
        <w:t>and activities to support integrated water resources management and irrigation.</w:t>
      </w:r>
      <w:r w:rsidR="00394026" w:rsidRPr="00897ACB">
        <w:rPr>
          <w:rFonts w:ascii="Times New Roman" w:hAnsi="Times New Roman"/>
          <w:szCs w:val="24"/>
        </w:rPr>
        <w:t xml:space="preserve"> </w:t>
      </w:r>
      <w:r w:rsidR="00394026" w:rsidRPr="004B7736">
        <w:rPr>
          <w:rFonts w:ascii="Times New Roman" w:hAnsi="Times New Roman"/>
          <w:szCs w:val="24"/>
        </w:rPr>
        <w:t xml:space="preserve">The indicative annual financial contributions of European </w:t>
      </w:r>
      <w:r w:rsidR="00F85B76" w:rsidRPr="004B7736">
        <w:rPr>
          <w:rFonts w:ascii="Times New Roman" w:hAnsi="Times New Roman"/>
          <w:szCs w:val="24"/>
        </w:rPr>
        <w:t xml:space="preserve">Union </w:t>
      </w:r>
      <w:r w:rsidR="00ED1C9E" w:rsidRPr="004B7736">
        <w:rPr>
          <w:rFonts w:ascii="Times New Roman" w:hAnsi="Times New Roman"/>
          <w:szCs w:val="24"/>
        </w:rPr>
        <w:t xml:space="preserve">development partners </w:t>
      </w:r>
      <w:r w:rsidR="00394026" w:rsidRPr="004B7736">
        <w:rPr>
          <w:rFonts w:ascii="Times New Roman" w:hAnsi="Times New Roman"/>
          <w:szCs w:val="24"/>
        </w:rPr>
        <w:t>are as follows:</w:t>
      </w:r>
      <w:r w:rsidR="00394026" w:rsidRPr="00897ACB">
        <w:rPr>
          <w:rFonts w:ascii="Times New Roman" w:hAnsi="Times New Roman"/>
          <w:szCs w:val="24"/>
        </w:rPr>
        <w:t xml:space="preserve"> </w:t>
      </w:r>
    </w:p>
    <w:p w14:paraId="3476D649" w14:textId="5CF8889E" w:rsidR="00394026" w:rsidRPr="00F54E19" w:rsidRDefault="00394026" w:rsidP="00DE009C">
      <w:pPr>
        <w:pStyle w:val="Body1"/>
        <w:numPr>
          <w:ilvl w:val="0"/>
          <w:numId w:val="14"/>
        </w:numPr>
        <w:spacing w:after="240"/>
        <w:ind w:left="720" w:hanging="360"/>
        <w:jc w:val="both"/>
        <w:rPr>
          <w:rFonts w:ascii="Times New Roman" w:hAnsi="Times New Roman"/>
          <w:szCs w:val="24"/>
        </w:rPr>
      </w:pPr>
      <w:r w:rsidRPr="00F54E19">
        <w:rPr>
          <w:rFonts w:ascii="Times New Roman" w:hAnsi="Times New Roman"/>
          <w:szCs w:val="24"/>
        </w:rPr>
        <w:t xml:space="preserve">Denmark: € </w:t>
      </w:r>
      <w:r w:rsidR="006F0D35">
        <w:rPr>
          <w:rFonts w:ascii="Times New Roman" w:hAnsi="Times New Roman"/>
          <w:szCs w:val="24"/>
        </w:rPr>
        <w:t>4</w:t>
      </w:r>
      <w:r w:rsidR="00B456B1" w:rsidRPr="00F54E19">
        <w:rPr>
          <w:rFonts w:ascii="Times New Roman" w:hAnsi="Times New Roman"/>
          <w:szCs w:val="24"/>
        </w:rPr>
        <w:t>,</w:t>
      </w:r>
      <w:r w:rsidR="006F0D35">
        <w:rPr>
          <w:rFonts w:ascii="Times New Roman" w:hAnsi="Times New Roman"/>
          <w:szCs w:val="24"/>
        </w:rPr>
        <w:t>5</w:t>
      </w:r>
      <w:r w:rsidR="00B456B1" w:rsidRPr="00F54E19">
        <w:rPr>
          <w:rFonts w:ascii="Times New Roman" w:hAnsi="Times New Roman"/>
          <w:szCs w:val="24"/>
        </w:rPr>
        <w:t xml:space="preserve">00,000 </w:t>
      </w:r>
      <w:r w:rsidRPr="00F54E19">
        <w:rPr>
          <w:rFonts w:ascii="Times New Roman" w:hAnsi="Times New Roman"/>
          <w:szCs w:val="24"/>
        </w:rPr>
        <w:t>/ year.</w:t>
      </w:r>
    </w:p>
    <w:p w14:paraId="4E0773FA" w14:textId="77777777" w:rsidR="00394026" w:rsidRPr="004B7736" w:rsidRDefault="006720FE" w:rsidP="00DE009C">
      <w:pPr>
        <w:pStyle w:val="Body1"/>
        <w:numPr>
          <w:ilvl w:val="0"/>
          <w:numId w:val="14"/>
        </w:numPr>
        <w:spacing w:after="240"/>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AD2FA0" w:rsidRPr="004B7736">
        <w:rPr>
          <w:rFonts w:ascii="Times New Roman" w:hAnsi="Times New Roman"/>
          <w:szCs w:val="24"/>
        </w:rPr>
        <w:t>30,000,000 to €38</w:t>
      </w:r>
      <w:r w:rsidR="0074000C" w:rsidRPr="006118A6">
        <w:rPr>
          <w:rFonts w:ascii="Times New Roman" w:hAnsi="Times New Roman"/>
          <w:szCs w:val="24"/>
        </w:rPr>
        <w:t>,000,000 / year</w:t>
      </w:r>
      <w:r w:rsidR="0074000C" w:rsidRPr="004B7736">
        <w:rPr>
          <w:rFonts w:ascii="Times New Roman" w:hAnsi="Times New Roman"/>
          <w:szCs w:val="24"/>
        </w:rPr>
        <w:t>.</w:t>
      </w:r>
    </w:p>
    <w:p w14:paraId="0EF92646" w14:textId="6F77F9EA" w:rsidR="00394026" w:rsidRPr="003F4103" w:rsidRDefault="00394026" w:rsidP="00DE009C">
      <w:pPr>
        <w:pStyle w:val="Body1"/>
        <w:numPr>
          <w:ilvl w:val="0"/>
          <w:numId w:val="14"/>
        </w:numPr>
        <w:spacing w:after="240"/>
        <w:ind w:left="720" w:hanging="360"/>
        <w:jc w:val="both"/>
        <w:rPr>
          <w:rFonts w:ascii="Times New Roman" w:hAnsi="Times New Roman"/>
          <w:szCs w:val="24"/>
        </w:rPr>
      </w:pPr>
      <w:r w:rsidRPr="004B7736">
        <w:rPr>
          <w:rFonts w:ascii="Times New Roman" w:hAnsi="Times New Roman"/>
          <w:szCs w:val="24"/>
        </w:rPr>
        <w:t xml:space="preserve">France: </w:t>
      </w:r>
      <w:r w:rsidR="005432EE">
        <w:rPr>
          <w:rFonts w:ascii="Times New Roman" w:hAnsi="Times New Roman"/>
        </w:rPr>
        <w:t>€4,000,000 / year</w:t>
      </w:r>
    </w:p>
    <w:p w14:paraId="1FB57E87" w14:textId="368A2DCF" w:rsidR="003F4103" w:rsidRPr="004B7736" w:rsidRDefault="003F4103" w:rsidP="00DE009C">
      <w:pPr>
        <w:pStyle w:val="Body1"/>
        <w:numPr>
          <w:ilvl w:val="0"/>
          <w:numId w:val="14"/>
        </w:numPr>
        <w:spacing w:after="240"/>
        <w:ind w:left="720" w:hanging="360"/>
        <w:jc w:val="both"/>
        <w:rPr>
          <w:rFonts w:ascii="Times New Roman" w:hAnsi="Times New Roman"/>
          <w:szCs w:val="24"/>
        </w:rPr>
      </w:pPr>
      <w:r>
        <w:rPr>
          <w:rFonts w:ascii="Times New Roman" w:hAnsi="Times New Roman"/>
        </w:rPr>
        <w:t xml:space="preserve">Germany: </w:t>
      </w:r>
      <w:r w:rsidR="005161DB">
        <w:rPr>
          <w:rFonts w:ascii="Times New Roman" w:hAnsi="Times New Roman"/>
        </w:rPr>
        <w:t xml:space="preserve"> to be confirmed</w:t>
      </w:r>
    </w:p>
    <w:p w14:paraId="073E06DA" w14:textId="28B1999F" w:rsidR="00394026" w:rsidRPr="00C64D13" w:rsidRDefault="00394026" w:rsidP="00DE009C">
      <w:pPr>
        <w:pStyle w:val="Body1"/>
        <w:numPr>
          <w:ilvl w:val="0"/>
          <w:numId w:val="14"/>
        </w:numPr>
        <w:spacing w:after="240"/>
        <w:ind w:left="720" w:hanging="360"/>
        <w:jc w:val="both"/>
        <w:rPr>
          <w:rFonts w:ascii="Times New Roman" w:hAnsi="Times New Roman"/>
          <w:szCs w:val="24"/>
        </w:rPr>
      </w:pPr>
      <w:r w:rsidRPr="00C64D13">
        <w:rPr>
          <w:rFonts w:ascii="Times New Roman" w:hAnsi="Times New Roman"/>
          <w:szCs w:val="24"/>
        </w:rPr>
        <w:t>Ireland: €</w:t>
      </w:r>
      <w:r w:rsidR="00E115E3" w:rsidRPr="00C64D13">
        <w:rPr>
          <w:rFonts w:ascii="Times New Roman" w:hAnsi="Times New Roman"/>
          <w:szCs w:val="24"/>
        </w:rPr>
        <w:t xml:space="preserve">100,000 </w:t>
      </w:r>
      <w:r w:rsidRPr="00C64D13">
        <w:rPr>
          <w:rFonts w:ascii="Times New Roman" w:hAnsi="Times New Roman"/>
          <w:szCs w:val="24"/>
        </w:rPr>
        <w:t>/ year.</w:t>
      </w:r>
    </w:p>
    <w:p w14:paraId="71998E3E" w14:textId="459DEA5E" w:rsidR="00394026" w:rsidRPr="00C64D13" w:rsidRDefault="00C32BD6" w:rsidP="00DE009C">
      <w:pPr>
        <w:pStyle w:val="Body1"/>
        <w:numPr>
          <w:ilvl w:val="0"/>
          <w:numId w:val="14"/>
        </w:numPr>
        <w:spacing w:after="240"/>
        <w:ind w:left="720" w:hanging="360"/>
        <w:jc w:val="both"/>
        <w:rPr>
          <w:rFonts w:ascii="Times New Roman" w:hAnsi="Times New Roman"/>
          <w:szCs w:val="24"/>
        </w:rPr>
      </w:pPr>
      <w:r w:rsidRPr="00C64D13">
        <w:rPr>
          <w:rFonts w:ascii="Times New Roman" w:hAnsi="Times New Roman"/>
          <w:szCs w:val="24"/>
        </w:rPr>
        <w:t xml:space="preserve">Italy: </w:t>
      </w:r>
      <w:r w:rsidR="001B7C75">
        <w:rPr>
          <w:rFonts w:ascii="Times New Roman" w:hAnsi="Times New Roman"/>
          <w:szCs w:val="24"/>
        </w:rPr>
        <w:t>€ 23,500,000 / 2014-2016</w:t>
      </w:r>
      <w:r w:rsidR="00394026" w:rsidRPr="00C64D13">
        <w:rPr>
          <w:rFonts w:ascii="Times New Roman" w:hAnsi="Times New Roman"/>
          <w:szCs w:val="24"/>
        </w:rPr>
        <w:t>.</w:t>
      </w:r>
    </w:p>
    <w:p w14:paraId="2AF2D171" w14:textId="720DC9DA" w:rsidR="00394026" w:rsidRPr="00C64D13" w:rsidRDefault="00394026" w:rsidP="00DE009C">
      <w:pPr>
        <w:pStyle w:val="Body1"/>
        <w:numPr>
          <w:ilvl w:val="0"/>
          <w:numId w:val="14"/>
        </w:numPr>
        <w:spacing w:after="240"/>
        <w:ind w:left="720" w:hanging="360"/>
        <w:jc w:val="both"/>
        <w:rPr>
          <w:rFonts w:ascii="Times New Roman" w:hAnsi="Times New Roman"/>
          <w:szCs w:val="24"/>
        </w:rPr>
      </w:pPr>
      <w:r w:rsidRPr="00C64D13">
        <w:rPr>
          <w:rFonts w:ascii="Times New Roman" w:hAnsi="Times New Roman"/>
          <w:szCs w:val="24"/>
        </w:rPr>
        <w:lastRenderedPageBreak/>
        <w:t xml:space="preserve">Netherlands: </w:t>
      </w:r>
      <w:r w:rsidR="00E05ECD" w:rsidRPr="00C64D13">
        <w:rPr>
          <w:rFonts w:ascii="Times New Roman" w:hAnsi="Times New Roman"/>
          <w:szCs w:val="24"/>
        </w:rPr>
        <w:t>to be confirmed</w:t>
      </w:r>
      <w:r w:rsidRPr="00C64D13">
        <w:rPr>
          <w:rFonts w:ascii="Times New Roman" w:hAnsi="Times New Roman"/>
          <w:szCs w:val="24"/>
        </w:rPr>
        <w:t>.</w:t>
      </w:r>
    </w:p>
    <w:p w14:paraId="4059ABB3" w14:textId="77777777" w:rsidR="00394026" w:rsidRPr="00897ACB" w:rsidRDefault="00145CD4" w:rsidP="00DE009C">
      <w:pPr>
        <w:pStyle w:val="Body1"/>
        <w:numPr>
          <w:ilvl w:val="0"/>
          <w:numId w:val="14"/>
        </w:numPr>
        <w:spacing w:after="240"/>
        <w:ind w:left="720" w:hanging="360"/>
        <w:jc w:val="both"/>
        <w:rPr>
          <w:rFonts w:ascii="Times New Roman" w:hAnsi="Times New Roman"/>
          <w:szCs w:val="24"/>
        </w:rPr>
      </w:pPr>
      <w:r w:rsidRPr="00897ACB">
        <w:rPr>
          <w:rFonts w:ascii="Times New Roman" w:hAnsi="Times New Roman"/>
          <w:szCs w:val="24"/>
        </w:rPr>
        <w:t xml:space="preserve">UK: </w:t>
      </w:r>
      <w:r w:rsidRPr="00897ACB">
        <w:rPr>
          <w:rFonts w:ascii="Times New Roman" w:hAnsi="Times New Roman"/>
          <w:szCs w:val="24"/>
          <w:lang w:val="en-US"/>
        </w:rPr>
        <w:t>€</w:t>
      </w:r>
      <w:r w:rsidR="00D901A2">
        <w:rPr>
          <w:rFonts w:ascii="Times New Roman" w:hAnsi="Times New Roman"/>
          <w:szCs w:val="24"/>
          <w:lang w:val="en-US"/>
        </w:rPr>
        <w:t>15</w:t>
      </w:r>
      <w:r w:rsidRPr="00897ACB">
        <w:rPr>
          <w:rFonts w:ascii="Times New Roman" w:hAnsi="Times New Roman"/>
          <w:szCs w:val="24"/>
          <w:lang w:val="en-US"/>
        </w:rPr>
        <w:t>,</w:t>
      </w:r>
      <w:r w:rsidR="00D901A2">
        <w:rPr>
          <w:rFonts w:ascii="Times New Roman" w:hAnsi="Times New Roman"/>
          <w:szCs w:val="24"/>
          <w:lang w:val="en-US"/>
        </w:rPr>
        <w:t>5</w:t>
      </w:r>
      <w:r w:rsidRPr="00897ACB">
        <w:rPr>
          <w:rFonts w:ascii="Times New Roman" w:hAnsi="Times New Roman"/>
          <w:szCs w:val="24"/>
          <w:lang w:val="en-US"/>
        </w:rPr>
        <w:t xml:space="preserve">00,000 / year. </w:t>
      </w:r>
    </w:p>
    <w:p w14:paraId="4B1CCF17" w14:textId="77777777" w:rsidR="00D86970" w:rsidRPr="00897ACB" w:rsidRDefault="00D86970" w:rsidP="00DE009C">
      <w:pPr>
        <w:pStyle w:val="Body1"/>
        <w:jc w:val="both"/>
        <w:rPr>
          <w:rFonts w:ascii="Times New Roman" w:hAnsi="Times New Roman"/>
          <w:szCs w:val="24"/>
        </w:rPr>
      </w:pPr>
    </w:p>
    <w:p w14:paraId="2B416FC3" w14:textId="77777777" w:rsidR="00394026" w:rsidRPr="00897ACB" w:rsidRDefault="00394026">
      <w:pPr>
        <w:pStyle w:val="Body1"/>
        <w:jc w:val="both"/>
        <w:rPr>
          <w:rFonts w:ascii="Times New Roman" w:hAnsi="Times New Roman"/>
          <w:szCs w:val="24"/>
          <w:u w:val="single"/>
        </w:rPr>
      </w:pPr>
      <w:r w:rsidRPr="00897ACB">
        <w:rPr>
          <w:rFonts w:ascii="Times New Roman" w:hAnsi="Times New Roman"/>
          <w:szCs w:val="24"/>
          <w:u w:val="single"/>
        </w:rPr>
        <w:t>Health</w:t>
      </w:r>
    </w:p>
    <w:p w14:paraId="08694D7B" w14:textId="77777777" w:rsidR="00394026" w:rsidRPr="00897ACB" w:rsidRDefault="00394026">
      <w:pPr>
        <w:pStyle w:val="Body1"/>
        <w:jc w:val="both"/>
        <w:rPr>
          <w:rFonts w:ascii="Times New Roman" w:hAnsi="Times New Roman"/>
          <w:szCs w:val="24"/>
          <w:vertAlign w:val="superscript"/>
        </w:rPr>
      </w:pPr>
      <w:r w:rsidRPr="00897ACB">
        <w:rPr>
          <w:rFonts w:ascii="Times New Roman" w:hAnsi="Times New Roman"/>
          <w:szCs w:val="24"/>
        </w:rPr>
        <w:t xml:space="preserve">Myanmar’s health system faces many challenges in service delivery including inadequate funding, weak planning and management, a shortage of human resources, high turnover of health staff in rural areas, poor health infrastructure, and a lack of essential drugs and supplies. </w:t>
      </w:r>
    </w:p>
    <w:p w14:paraId="4ACE1FA8"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The leading causes of death and illness in the country are tuberculosis, malaria and</w:t>
      </w:r>
      <w:r w:rsidRPr="00897ACB">
        <w:rPr>
          <w:rFonts w:ascii="Times New Roman" w:hAnsi="Times New Roman"/>
          <w:b/>
          <w:szCs w:val="24"/>
        </w:rPr>
        <w:t xml:space="preserve"> </w:t>
      </w:r>
      <w:r w:rsidRPr="00897ACB">
        <w:rPr>
          <w:rFonts w:ascii="Times New Roman" w:hAnsi="Times New Roman"/>
          <w:szCs w:val="24"/>
        </w:rPr>
        <w:t>HIV/AIDS. Tuberculosis prevalence is at 525/100,000 while estimates of the number of malaria cases range from 4.2 to 8.6 million a year with 76% of the population living in malaria-endemic areas</w:t>
      </w:r>
      <w:r w:rsidRPr="00897ACB">
        <w:rPr>
          <w:rFonts w:ascii="Times New Roman" w:hAnsi="Times New Roman"/>
          <w:szCs w:val="24"/>
          <w:vertAlign w:val="superscript"/>
        </w:rPr>
        <w:footnoteReference w:id="5"/>
      </w:r>
      <w:r w:rsidRPr="00897ACB">
        <w:rPr>
          <w:rFonts w:ascii="Times New Roman" w:hAnsi="Times New Roman"/>
          <w:szCs w:val="24"/>
        </w:rPr>
        <w:t>. There is a concentrated HIV epidemic among most-at-risk groups. The maternal mortality rate is estimated to be 240/100,000 live births</w:t>
      </w:r>
      <w:r w:rsidRPr="00897ACB">
        <w:rPr>
          <w:rFonts w:ascii="Times New Roman" w:hAnsi="Times New Roman"/>
          <w:szCs w:val="24"/>
          <w:vertAlign w:val="superscript"/>
        </w:rPr>
        <w:footnoteReference w:id="6"/>
      </w:r>
      <w:r w:rsidRPr="00897ACB">
        <w:rPr>
          <w:rFonts w:ascii="Times New Roman" w:hAnsi="Times New Roman"/>
          <w:szCs w:val="24"/>
        </w:rPr>
        <w:t xml:space="preserve"> and the under-five mortality rate to be 71/1,000 live births</w:t>
      </w:r>
      <w:r w:rsidRPr="00897ACB">
        <w:rPr>
          <w:rFonts w:ascii="Times New Roman" w:hAnsi="Times New Roman"/>
          <w:szCs w:val="24"/>
          <w:vertAlign w:val="superscript"/>
        </w:rPr>
        <w:footnoteReference w:id="7"/>
      </w:r>
      <w:r w:rsidRPr="00897ACB">
        <w:rPr>
          <w:rFonts w:ascii="Times New Roman" w:hAnsi="Times New Roman"/>
          <w:szCs w:val="24"/>
        </w:rPr>
        <w:t>, meaning that at least 2,400 pregnant women and 70,000 children die every year from largely preventable causes. The proportion of children with moderate or severe stunting is 48% while 28%</w:t>
      </w:r>
      <w:r w:rsidRPr="00897ACB">
        <w:rPr>
          <w:rFonts w:ascii="Times New Roman" w:hAnsi="Times New Roman"/>
          <w:szCs w:val="24"/>
          <w:vertAlign w:val="superscript"/>
        </w:rPr>
        <w:footnoteReference w:id="8"/>
      </w:r>
      <w:r w:rsidRPr="00897ACB">
        <w:rPr>
          <w:rFonts w:ascii="Times New Roman" w:hAnsi="Times New Roman"/>
          <w:szCs w:val="24"/>
        </w:rPr>
        <w:t xml:space="preserve"> are moderately or severely underweight. </w:t>
      </w:r>
    </w:p>
    <w:p w14:paraId="60A13DCE"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The Myanmar National Health Plan prioritises increasing the availability of essential services for the most vulnerable groups (mothers, babies and children) and preventing and treating communicable diseases such as tuberculosis, malaria and HIV/AIDS. </w:t>
      </w:r>
    </w:p>
    <w:p w14:paraId="24CCF682" w14:textId="339011BB" w:rsidR="00394026" w:rsidRPr="004B7736" w:rsidRDefault="00600983">
      <w:pPr>
        <w:pStyle w:val="Body1"/>
        <w:jc w:val="both"/>
        <w:rPr>
          <w:rFonts w:ascii="Times New Roman" w:hAnsi="Times New Roman"/>
          <w:szCs w:val="24"/>
        </w:rPr>
      </w:pPr>
      <w:r w:rsidRPr="004B7736">
        <w:rPr>
          <w:rFonts w:ascii="Times New Roman" w:hAnsi="Times New Roman"/>
          <w:szCs w:val="24"/>
        </w:rPr>
        <w:t xml:space="preserve">European Union and Member States' </w:t>
      </w:r>
      <w:r w:rsidR="00394026" w:rsidRPr="004B7736">
        <w:rPr>
          <w:rFonts w:ascii="Times New Roman" w:hAnsi="Times New Roman"/>
          <w:szCs w:val="24"/>
        </w:rPr>
        <w:t xml:space="preserve">work on health will be supported by </w:t>
      </w:r>
      <w:r w:rsidR="00D86970" w:rsidRPr="004B7736">
        <w:rPr>
          <w:rFonts w:ascii="Times New Roman" w:hAnsi="Times New Roman"/>
          <w:szCs w:val="24"/>
        </w:rPr>
        <w:t xml:space="preserve">the Czech Republic, </w:t>
      </w:r>
      <w:r w:rsidR="00394026" w:rsidRPr="004B7736">
        <w:rPr>
          <w:rFonts w:ascii="Times New Roman" w:hAnsi="Times New Roman"/>
          <w:szCs w:val="24"/>
        </w:rPr>
        <w:t xml:space="preserve">Denmark, the </w:t>
      </w:r>
      <w:r w:rsidR="006720FE" w:rsidRPr="004B7736">
        <w:rPr>
          <w:rFonts w:ascii="Times New Roman" w:hAnsi="Times New Roman"/>
          <w:szCs w:val="24"/>
        </w:rPr>
        <w:t>EU</w:t>
      </w:r>
      <w:r w:rsidR="00394026" w:rsidRPr="004B7736">
        <w:rPr>
          <w:rFonts w:ascii="Times New Roman" w:hAnsi="Times New Roman"/>
          <w:szCs w:val="24"/>
        </w:rPr>
        <w:t>, France,</w:t>
      </w:r>
      <w:r w:rsidR="00D93DF0">
        <w:rPr>
          <w:rFonts w:ascii="Times New Roman" w:hAnsi="Times New Roman"/>
          <w:szCs w:val="24"/>
        </w:rPr>
        <w:t xml:space="preserve"> Germany,</w:t>
      </w:r>
      <w:r w:rsidR="00394026" w:rsidRPr="004B7736">
        <w:rPr>
          <w:rFonts w:ascii="Times New Roman" w:hAnsi="Times New Roman"/>
          <w:szCs w:val="24"/>
        </w:rPr>
        <w:t xml:space="preserve"> Italy, </w:t>
      </w:r>
      <w:r w:rsidR="00E05ECD">
        <w:rPr>
          <w:rFonts w:ascii="Times New Roman" w:hAnsi="Times New Roman"/>
          <w:szCs w:val="24"/>
        </w:rPr>
        <w:t xml:space="preserve">the Netherlands, </w:t>
      </w:r>
      <w:r w:rsidR="00394026" w:rsidRPr="004B7736">
        <w:rPr>
          <w:rFonts w:ascii="Times New Roman" w:hAnsi="Times New Roman"/>
          <w:szCs w:val="24"/>
        </w:rPr>
        <w:t xml:space="preserve">Sweden and the UK. </w:t>
      </w:r>
      <w:r w:rsidR="00F97C07" w:rsidRPr="004B7736">
        <w:rPr>
          <w:rFonts w:ascii="Times New Roman" w:hAnsi="Times New Roman"/>
          <w:szCs w:val="24"/>
        </w:rPr>
        <w:t xml:space="preserve">Work will include support to </w:t>
      </w:r>
      <w:r w:rsidR="00D86970" w:rsidRPr="004B7736">
        <w:rPr>
          <w:rFonts w:ascii="Times New Roman" w:hAnsi="Times New Roman"/>
          <w:szCs w:val="24"/>
        </w:rPr>
        <w:t xml:space="preserve">interventions on basic health, </w:t>
      </w:r>
      <w:r w:rsidR="00F97C07" w:rsidRPr="004B7736">
        <w:rPr>
          <w:rFonts w:ascii="Times New Roman" w:hAnsi="Times New Roman"/>
          <w:szCs w:val="24"/>
        </w:rPr>
        <w:t xml:space="preserve">training of medical professionals, capacity building for institutions and activities </w:t>
      </w:r>
      <w:r w:rsidR="00E05ECD">
        <w:rPr>
          <w:rFonts w:ascii="Times New Roman" w:hAnsi="Times New Roman"/>
          <w:szCs w:val="24"/>
        </w:rPr>
        <w:t xml:space="preserve">targeting sexual and reproductive rights and </w:t>
      </w:r>
      <w:r w:rsidR="00F97C07" w:rsidRPr="004B7736">
        <w:rPr>
          <w:rFonts w:ascii="Times New Roman" w:hAnsi="Times New Roman"/>
          <w:szCs w:val="24"/>
        </w:rPr>
        <w:t xml:space="preserve">sanitation. </w:t>
      </w:r>
      <w:r w:rsidR="00394026" w:rsidRPr="004B7736">
        <w:rPr>
          <w:rFonts w:ascii="Times New Roman" w:hAnsi="Times New Roman"/>
          <w:szCs w:val="24"/>
        </w:rPr>
        <w:t>The indicative annual financial contributions of European</w:t>
      </w:r>
      <w:r w:rsidR="00F85B76" w:rsidRPr="004B7736">
        <w:rPr>
          <w:rFonts w:ascii="Times New Roman" w:hAnsi="Times New Roman"/>
          <w:szCs w:val="24"/>
        </w:rPr>
        <w:t xml:space="preserve"> Union</w:t>
      </w:r>
      <w:r w:rsidR="00394026" w:rsidRPr="004B7736">
        <w:rPr>
          <w:rFonts w:ascii="Times New Roman" w:hAnsi="Times New Roman"/>
          <w:szCs w:val="24"/>
        </w:rPr>
        <w:t xml:space="preserve"> </w:t>
      </w:r>
      <w:r w:rsidR="00EA26E2" w:rsidRPr="004B7736">
        <w:rPr>
          <w:rFonts w:ascii="Times New Roman" w:hAnsi="Times New Roman"/>
          <w:szCs w:val="24"/>
        </w:rPr>
        <w:t>development partners</w:t>
      </w:r>
      <w:r w:rsidR="00394026" w:rsidRPr="004B7736">
        <w:rPr>
          <w:rFonts w:ascii="Times New Roman" w:hAnsi="Times New Roman"/>
          <w:szCs w:val="24"/>
        </w:rPr>
        <w:t xml:space="preserve"> are as follows:</w:t>
      </w:r>
    </w:p>
    <w:p w14:paraId="7ED8744F" w14:textId="77777777" w:rsidR="00D86970" w:rsidRPr="004B7736" w:rsidRDefault="00D86970" w:rsidP="004B7736">
      <w:pPr>
        <w:pStyle w:val="Body1"/>
        <w:numPr>
          <w:ilvl w:val="0"/>
          <w:numId w:val="16"/>
        </w:numPr>
        <w:ind w:left="720" w:hanging="360"/>
        <w:jc w:val="both"/>
        <w:rPr>
          <w:rFonts w:ascii="Times New Roman" w:hAnsi="Times New Roman"/>
          <w:szCs w:val="24"/>
        </w:rPr>
      </w:pPr>
      <w:r w:rsidRPr="004B7736">
        <w:rPr>
          <w:rFonts w:ascii="Times New Roman" w:hAnsi="Times New Roman"/>
          <w:szCs w:val="24"/>
        </w:rPr>
        <w:t xml:space="preserve">Czech Republic: €120,000 / year.  </w:t>
      </w:r>
    </w:p>
    <w:p w14:paraId="50F2E459" w14:textId="481789E0" w:rsidR="00394026" w:rsidRPr="00F54E19" w:rsidRDefault="00394026" w:rsidP="004B7736">
      <w:pPr>
        <w:pStyle w:val="Body1"/>
        <w:numPr>
          <w:ilvl w:val="0"/>
          <w:numId w:val="16"/>
        </w:numPr>
        <w:ind w:left="720" w:hanging="360"/>
        <w:jc w:val="both"/>
        <w:rPr>
          <w:rFonts w:ascii="Times New Roman" w:hAnsi="Times New Roman"/>
          <w:szCs w:val="24"/>
        </w:rPr>
      </w:pPr>
      <w:r w:rsidRPr="00F54E19">
        <w:rPr>
          <w:rFonts w:ascii="Times New Roman" w:hAnsi="Times New Roman"/>
          <w:szCs w:val="24"/>
        </w:rPr>
        <w:t>Denmark: €</w:t>
      </w:r>
      <w:r w:rsidR="006F0D35">
        <w:rPr>
          <w:rFonts w:ascii="Times New Roman" w:hAnsi="Times New Roman"/>
          <w:szCs w:val="24"/>
        </w:rPr>
        <w:t>2</w:t>
      </w:r>
      <w:r w:rsidR="00B456B1" w:rsidRPr="00F54E19">
        <w:rPr>
          <w:rFonts w:ascii="Times New Roman" w:hAnsi="Times New Roman"/>
          <w:szCs w:val="24"/>
        </w:rPr>
        <w:t>,</w:t>
      </w:r>
      <w:r w:rsidR="006F0D35">
        <w:rPr>
          <w:rFonts w:ascii="Times New Roman" w:hAnsi="Times New Roman"/>
          <w:szCs w:val="24"/>
        </w:rPr>
        <w:t>6</w:t>
      </w:r>
      <w:r w:rsidR="00B456B1" w:rsidRPr="00F54E19">
        <w:rPr>
          <w:rFonts w:ascii="Times New Roman" w:hAnsi="Times New Roman"/>
          <w:szCs w:val="24"/>
        </w:rPr>
        <w:t xml:space="preserve">00,000 </w:t>
      </w:r>
      <w:r w:rsidRPr="00F54E19">
        <w:rPr>
          <w:rFonts w:ascii="Times New Roman" w:hAnsi="Times New Roman"/>
          <w:szCs w:val="24"/>
        </w:rPr>
        <w:t>/ year</w:t>
      </w:r>
      <w:r w:rsidR="006F0D35">
        <w:rPr>
          <w:rFonts w:ascii="Times New Roman" w:hAnsi="Times New Roman"/>
          <w:szCs w:val="24"/>
        </w:rPr>
        <w:t xml:space="preserve"> until 2016</w:t>
      </w:r>
      <w:r w:rsidRPr="00F54E19">
        <w:rPr>
          <w:rFonts w:ascii="Times New Roman" w:hAnsi="Times New Roman"/>
          <w:szCs w:val="24"/>
        </w:rPr>
        <w:t>.</w:t>
      </w:r>
    </w:p>
    <w:p w14:paraId="112F08AC" w14:textId="4B1D47C9" w:rsidR="00394026" w:rsidRDefault="00394026" w:rsidP="004B7736">
      <w:pPr>
        <w:pStyle w:val="Body1"/>
        <w:numPr>
          <w:ilvl w:val="0"/>
          <w:numId w:val="16"/>
        </w:numPr>
        <w:ind w:left="720" w:hanging="360"/>
        <w:jc w:val="both"/>
        <w:rPr>
          <w:rFonts w:ascii="Times New Roman" w:hAnsi="Times New Roman"/>
          <w:szCs w:val="24"/>
        </w:rPr>
      </w:pPr>
      <w:r w:rsidRPr="004B7736">
        <w:rPr>
          <w:rFonts w:ascii="Times New Roman" w:hAnsi="Times New Roman"/>
          <w:szCs w:val="24"/>
        </w:rPr>
        <w:t xml:space="preserve">France: </w:t>
      </w:r>
      <w:r w:rsidR="005432EE">
        <w:rPr>
          <w:rFonts w:ascii="Times New Roman" w:hAnsi="Times New Roman"/>
          <w:szCs w:val="24"/>
        </w:rPr>
        <w:t>€2,800,000 / year</w:t>
      </w:r>
      <w:r w:rsidR="00E05ECD">
        <w:rPr>
          <w:rFonts w:ascii="Times New Roman" w:hAnsi="Times New Roman"/>
          <w:szCs w:val="24"/>
        </w:rPr>
        <w:t>.</w:t>
      </w:r>
    </w:p>
    <w:p w14:paraId="3904F04D" w14:textId="10CF7B84" w:rsidR="00D93DF0" w:rsidRPr="004B7736" w:rsidRDefault="00D93DF0" w:rsidP="004B7736">
      <w:pPr>
        <w:pStyle w:val="Body1"/>
        <w:numPr>
          <w:ilvl w:val="0"/>
          <w:numId w:val="16"/>
        </w:numPr>
        <w:ind w:left="720" w:hanging="360"/>
        <w:jc w:val="both"/>
        <w:rPr>
          <w:rFonts w:ascii="Times New Roman" w:hAnsi="Times New Roman"/>
          <w:szCs w:val="24"/>
        </w:rPr>
      </w:pPr>
      <w:r>
        <w:rPr>
          <w:rFonts w:ascii="Times New Roman" w:hAnsi="Times New Roman"/>
          <w:szCs w:val="24"/>
        </w:rPr>
        <w:t xml:space="preserve">Germany: </w:t>
      </w:r>
      <w:r w:rsidR="00DA0741">
        <w:rPr>
          <w:rFonts w:ascii="Times New Roman" w:hAnsi="Times New Roman"/>
          <w:szCs w:val="24"/>
        </w:rPr>
        <w:t>to be confirmed</w:t>
      </w:r>
    </w:p>
    <w:p w14:paraId="546C55E5" w14:textId="13AEE268" w:rsidR="00394026" w:rsidRPr="00C64D13" w:rsidRDefault="00C32BD6" w:rsidP="004B7736">
      <w:pPr>
        <w:pStyle w:val="Body1"/>
        <w:numPr>
          <w:ilvl w:val="0"/>
          <w:numId w:val="16"/>
        </w:numPr>
        <w:ind w:left="720" w:hanging="360"/>
        <w:jc w:val="both"/>
        <w:rPr>
          <w:rFonts w:ascii="Times New Roman" w:hAnsi="Times New Roman"/>
          <w:szCs w:val="24"/>
        </w:rPr>
      </w:pPr>
      <w:r w:rsidRPr="00C64D13">
        <w:rPr>
          <w:rFonts w:ascii="Times New Roman" w:hAnsi="Times New Roman"/>
          <w:szCs w:val="24"/>
        </w:rPr>
        <w:t xml:space="preserve">Italy: </w:t>
      </w:r>
      <w:r w:rsidR="00B06E2A" w:rsidRPr="00C64D13">
        <w:rPr>
          <w:rFonts w:ascii="Times New Roman" w:hAnsi="Times New Roman"/>
          <w:szCs w:val="24"/>
        </w:rPr>
        <w:t>to be confirmed</w:t>
      </w:r>
      <w:r w:rsidR="003832C9">
        <w:rPr>
          <w:rFonts w:ascii="Times New Roman" w:hAnsi="Times New Roman"/>
          <w:szCs w:val="24"/>
        </w:rPr>
        <w:t>.</w:t>
      </w:r>
    </w:p>
    <w:p w14:paraId="20A2D416" w14:textId="283E2831" w:rsidR="00E05ECD" w:rsidRPr="00C64D13" w:rsidRDefault="00E05ECD" w:rsidP="004B7736">
      <w:pPr>
        <w:pStyle w:val="Body1"/>
        <w:numPr>
          <w:ilvl w:val="0"/>
          <w:numId w:val="16"/>
        </w:numPr>
        <w:ind w:left="720" w:hanging="360"/>
        <w:jc w:val="both"/>
        <w:rPr>
          <w:rFonts w:ascii="Times New Roman" w:hAnsi="Times New Roman"/>
          <w:szCs w:val="24"/>
        </w:rPr>
      </w:pPr>
      <w:r w:rsidRPr="00C64D13">
        <w:rPr>
          <w:rFonts w:ascii="Times New Roman" w:hAnsi="Times New Roman"/>
          <w:szCs w:val="24"/>
        </w:rPr>
        <w:t xml:space="preserve">Netherlands: </w:t>
      </w:r>
      <w:r w:rsidRPr="00E05ECD">
        <w:rPr>
          <w:rFonts w:ascii="Times New Roman" w:hAnsi="Times New Roman"/>
          <w:szCs w:val="24"/>
        </w:rPr>
        <w:t>€</w:t>
      </w:r>
      <w:r w:rsidRPr="00C64D13">
        <w:rPr>
          <w:rFonts w:ascii="Times New Roman" w:hAnsi="Times New Roman"/>
          <w:szCs w:val="24"/>
        </w:rPr>
        <w:t>2,300,000</w:t>
      </w:r>
      <w:r w:rsidR="003832C9">
        <w:rPr>
          <w:rFonts w:ascii="Times New Roman" w:hAnsi="Times New Roman"/>
          <w:szCs w:val="24"/>
        </w:rPr>
        <w:t xml:space="preserve"> / year</w:t>
      </w:r>
      <w:proofErr w:type="gramStart"/>
      <w:r w:rsidR="003832C9">
        <w:rPr>
          <w:rFonts w:ascii="Times New Roman" w:hAnsi="Times New Roman"/>
          <w:szCs w:val="24"/>
        </w:rPr>
        <w:t>.</w:t>
      </w:r>
      <w:r w:rsidRPr="00C64D13">
        <w:rPr>
          <w:rFonts w:ascii="Times New Roman" w:hAnsi="Times New Roman"/>
          <w:szCs w:val="24"/>
        </w:rPr>
        <w:t>.</w:t>
      </w:r>
      <w:proofErr w:type="gramEnd"/>
    </w:p>
    <w:p w14:paraId="5B2820DC" w14:textId="77777777" w:rsidR="00394026" w:rsidRPr="0002155F" w:rsidRDefault="00394026" w:rsidP="004B7736">
      <w:pPr>
        <w:pStyle w:val="Body1"/>
        <w:numPr>
          <w:ilvl w:val="0"/>
          <w:numId w:val="16"/>
        </w:numPr>
        <w:ind w:left="720" w:hanging="360"/>
        <w:jc w:val="both"/>
        <w:rPr>
          <w:rFonts w:ascii="Times New Roman" w:hAnsi="Times New Roman"/>
          <w:szCs w:val="24"/>
        </w:rPr>
      </w:pPr>
      <w:r w:rsidRPr="0002155F">
        <w:rPr>
          <w:rFonts w:ascii="Times New Roman" w:hAnsi="Times New Roman"/>
          <w:szCs w:val="24"/>
        </w:rPr>
        <w:t>Sweden: €</w:t>
      </w:r>
      <w:r w:rsidR="0002155F" w:rsidRPr="0002155F">
        <w:rPr>
          <w:rFonts w:ascii="Times New Roman" w:hAnsi="Times New Roman"/>
          <w:szCs w:val="24"/>
        </w:rPr>
        <w:t>6,500,000</w:t>
      </w:r>
      <w:r w:rsidRPr="0002155F">
        <w:rPr>
          <w:rFonts w:ascii="Times New Roman" w:hAnsi="Times New Roman"/>
          <w:szCs w:val="24"/>
        </w:rPr>
        <w:t xml:space="preserve"> / year.</w:t>
      </w:r>
    </w:p>
    <w:p w14:paraId="2D817CA0" w14:textId="710D2B29" w:rsidR="00394026" w:rsidRPr="00897ACB" w:rsidRDefault="00145CD4" w:rsidP="00145CD4">
      <w:pPr>
        <w:pStyle w:val="Body1"/>
        <w:numPr>
          <w:ilvl w:val="0"/>
          <w:numId w:val="16"/>
        </w:numPr>
        <w:ind w:left="720" w:hanging="360"/>
        <w:jc w:val="both"/>
        <w:rPr>
          <w:rFonts w:ascii="Times New Roman" w:hAnsi="Times New Roman"/>
          <w:szCs w:val="24"/>
        </w:rPr>
      </w:pPr>
      <w:r w:rsidRPr="00897ACB">
        <w:rPr>
          <w:rFonts w:ascii="Times New Roman" w:hAnsi="Times New Roman"/>
          <w:szCs w:val="24"/>
        </w:rPr>
        <w:t xml:space="preserve">UK: </w:t>
      </w:r>
      <w:r w:rsidRPr="00897ACB">
        <w:rPr>
          <w:rFonts w:ascii="Times New Roman" w:hAnsi="Times New Roman"/>
          <w:szCs w:val="24"/>
          <w:lang w:val="en-US"/>
        </w:rPr>
        <w:t>€</w:t>
      </w:r>
      <w:r w:rsidR="00D901A2">
        <w:rPr>
          <w:rFonts w:ascii="Times New Roman" w:hAnsi="Times New Roman"/>
          <w:szCs w:val="24"/>
          <w:lang w:val="en-US"/>
        </w:rPr>
        <w:t>2</w:t>
      </w:r>
      <w:r w:rsidR="00790CE1">
        <w:rPr>
          <w:rFonts w:ascii="Times New Roman" w:hAnsi="Times New Roman"/>
          <w:szCs w:val="24"/>
          <w:lang w:val="en-US"/>
        </w:rPr>
        <w:t>5</w:t>
      </w:r>
      <w:r w:rsidR="00D901A2">
        <w:rPr>
          <w:rFonts w:ascii="Times New Roman" w:hAnsi="Times New Roman"/>
          <w:szCs w:val="24"/>
          <w:lang w:val="en-US"/>
        </w:rPr>
        <w:t>,</w:t>
      </w:r>
      <w:r w:rsidR="00790CE1">
        <w:rPr>
          <w:rFonts w:ascii="Times New Roman" w:hAnsi="Times New Roman"/>
          <w:szCs w:val="24"/>
          <w:lang w:val="en-US"/>
        </w:rPr>
        <w:t>0</w:t>
      </w:r>
      <w:r w:rsidRPr="00897ACB">
        <w:rPr>
          <w:rFonts w:ascii="Times New Roman" w:hAnsi="Times New Roman"/>
          <w:szCs w:val="24"/>
          <w:lang w:val="en-US"/>
        </w:rPr>
        <w:t xml:space="preserve">00,000 / year. </w:t>
      </w:r>
    </w:p>
    <w:p w14:paraId="5B96E4C2" w14:textId="77777777" w:rsidR="00145CD4" w:rsidRDefault="00145CD4" w:rsidP="00145CD4">
      <w:pPr>
        <w:pStyle w:val="Body1"/>
        <w:ind w:left="720"/>
        <w:jc w:val="both"/>
        <w:rPr>
          <w:rFonts w:ascii="Times New Roman" w:hAnsi="Times New Roman"/>
          <w:szCs w:val="24"/>
        </w:rPr>
      </w:pPr>
    </w:p>
    <w:p w14:paraId="46D2D020" w14:textId="77777777" w:rsidR="00394026" w:rsidRPr="00897ACB" w:rsidRDefault="00394026">
      <w:pPr>
        <w:pStyle w:val="Body1"/>
        <w:jc w:val="both"/>
        <w:rPr>
          <w:rFonts w:ascii="Times New Roman" w:hAnsi="Times New Roman"/>
          <w:szCs w:val="24"/>
          <w:u w:val="single"/>
        </w:rPr>
      </w:pPr>
      <w:r w:rsidRPr="00897ACB">
        <w:rPr>
          <w:rFonts w:ascii="Times New Roman" w:hAnsi="Times New Roman"/>
          <w:szCs w:val="24"/>
          <w:u w:val="single"/>
        </w:rPr>
        <w:lastRenderedPageBreak/>
        <w:t xml:space="preserve">Education </w:t>
      </w:r>
    </w:p>
    <w:p w14:paraId="208739D0" w14:textId="77777777" w:rsidR="00394026" w:rsidRPr="00897ACB" w:rsidRDefault="00394026">
      <w:pPr>
        <w:pStyle w:val="Body1"/>
        <w:jc w:val="both"/>
        <w:rPr>
          <w:rFonts w:ascii="Times New Roman" w:hAnsi="Times New Roman"/>
          <w:szCs w:val="24"/>
          <w:shd w:val="clear" w:color="auto" w:fill="FFFF00"/>
        </w:rPr>
      </w:pPr>
      <w:r w:rsidRPr="00897ACB">
        <w:rPr>
          <w:rFonts w:ascii="Times New Roman" w:hAnsi="Times New Roman"/>
          <w:szCs w:val="24"/>
        </w:rPr>
        <w:t>As with health, Myanmar’s education sector has suffered from years of insufficient public expenditure. The Primary Completion Rate</w:t>
      </w:r>
      <w:r w:rsidRPr="00897ACB">
        <w:rPr>
          <w:rFonts w:ascii="Times New Roman" w:hAnsi="Times New Roman"/>
          <w:szCs w:val="24"/>
          <w:vertAlign w:val="superscript"/>
        </w:rPr>
        <w:footnoteReference w:id="9"/>
      </w:r>
      <w:r w:rsidRPr="00897ACB">
        <w:rPr>
          <w:rFonts w:ascii="Times New Roman" w:hAnsi="Times New Roman"/>
          <w:szCs w:val="24"/>
        </w:rPr>
        <w:t xml:space="preserve"> was estimated by the Government to be 75.1% in 2008/09</w:t>
      </w:r>
      <w:r w:rsidRPr="00897ACB">
        <w:rPr>
          <w:rFonts w:ascii="Times New Roman" w:hAnsi="Times New Roman"/>
          <w:szCs w:val="24"/>
          <w:vertAlign w:val="superscript"/>
        </w:rPr>
        <w:footnoteReference w:id="10"/>
      </w:r>
      <w:r w:rsidRPr="00897ACB">
        <w:rPr>
          <w:rFonts w:ascii="Times New Roman" w:hAnsi="Times New Roman"/>
          <w:szCs w:val="24"/>
        </w:rPr>
        <w:t xml:space="preserve"> but the 2010 Multiple Indicator Cluster Survey indicated that it could in fact be as low as 54.2%. There is a significant dropout problem with around 900,000 primary aged children out of school as well as high repetition rates and large numbers of over-age entrants into primary school. The quality of teaching also needs substantial improvement.  Estimates of the secondary Net Enrolment Rate indicate that access to education also remains constrained at this level. Public universities have generally been neglected during recent decades and facilities are often run-down. There has however been progress in enrolment and the achievement of gender parity and education is high on Myanmar's reform agenda. </w:t>
      </w:r>
    </w:p>
    <w:p w14:paraId="7EC1A066" w14:textId="533969DE" w:rsidR="00394026" w:rsidRPr="004B7736" w:rsidRDefault="00600983">
      <w:pPr>
        <w:pStyle w:val="Body1"/>
        <w:jc w:val="both"/>
        <w:rPr>
          <w:rFonts w:ascii="Times New Roman" w:hAnsi="Times New Roman"/>
          <w:szCs w:val="24"/>
        </w:rPr>
      </w:pPr>
      <w:r w:rsidRPr="004B7736">
        <w:rPr>
          <w:rFonts w:ascii="Times New Roman" w:hAnsi="Times New Roman"/>
          <w:szCs w:val="24"/>
        </w:rPr>
        <w:t xml:space="preserve">European Union and Member States' </w:t>
      </w:r>
      <w:r w:rsidR="00394026" w:rsidRPr="004B7736">
        <w:rPr>
          <w:rFonts w:ascii="Times New Roman" w:hAnsi="Times New Roman"/>
          <w:szCs w:val="24"/>
        </w:rPr>
        <w:t xml:space="preserve">work on education will be supported by </w:t>
      </w:r>
      <w:r w:rsidR="00D86970" w:rsidRPr="004B7736">
        <w:rPr>
          <w:rFonts w:ascii="Times New Roman" w:hAnsi="Times New Roman"/>
          <w:szCs w:val="24"/>
        </w:rPr>
        <w:t xml:space="preserve">the Czech Republic, </w:t>
      </w:r>
      <w:r w:rsidR="00394026" w:rsidRPr="004B7736">
        <w:rPr>
          <w:rFonts w:ascii="Times New Roman" w:hAnsi="Times New Roman"/>
          <w:szCs w:val="24"/>
        </w:rPr>
        <w:t xml:space="preserve">Denmark, the </w:t>
      </w:r>
      <w:r w:rsidR="006720FE" w:rsidRPr="004B7736">
        <w:rPr>
          <w:rFonts w:ascii="Times New Roman" w:hAnsi="Times New Roman"/>
          <w:szCs w:val="24"/>
        </w:rPr>
        <w:t>EU</w:t>
      </w:r>
      <w:r w:rsidR="00394026" w:rsidRPr="004B7736">
        <w:rPr>
          <w:rFonts w:ascii="Times New Roman" w:hAnsi="Times New Roman"/>
          <w:szCs w:val="24"/>
        </w:rPr>
        <w:t xml:space="preserve">, France, </w:t>
      </w:r>
      <w:r w:rsidR="003F4103">
        <w:rPr>
          <w:rFonts w:ascii="Times New Roman" w:hAnsi="Times New Roman"/>
          <w:szCs w:val="24"/>
        </w:rPr>
        <w:t xml:space="preserve">Germany, </w:t>
      </w:r>
      <w:r w:rsidR="00992ABB">
        <w:rPr>
          <w:rFonts w:ascii="Times New Roman" w:hAnsi="Times New Roman"/>
          <w:szCs w:val="24"/>
        </w:rPr>
        <w:t xml:space="preserve">Hungary, </w:t>
      </w:r>
      <w:r w:rsidR="00E05ECD">
        <w:rPr>
          <w:rFonts w:ascii="Times New Roman" w:hAnsi="Times New Roman"/>
          <w:szCs w:val="24"/>
        </w:rPr>
        <w:t>the Netherlands</w:t>
      </w:r>
      <w:r w:rsidR="0091314B">
        <w:rPr>
          <w:rFonts w:ascii="Times New Roman" w:hAnsi="Times New Roman"/>
          <w:szCs w:val="24"/>
        </w:rPr>
        <w:t xml:space="preserve"> </w:t>
      </w:r>
      <w:r w:rsidR="00394026" w:rsidRPr="004B7736">
        <w:rPr>
          <w:rFonts w:ascii="Times New Roman" w:hAnsi="Times New Roman"/>
          <w:szCs w:val="24"/>
        </w:rPr>
        <w:t xml:space="preserve">and the UK. </w:t>
      </w:r>
      <w:r w:rsidR="00F97C07" w:rsidRPr="004B7736">
        <w:rPr>
          <w:rFonts w:ascii="Times New Roman" w:hAnsi="Times New Roman"/>
          <w:szCs w:val="24"/>
        </w:rPr>
        <w:t xml:space="preserve">Work will include support </w:t>
      </w:r>
      <w:r w:rsidR="005E52B0" w:rsidRPr="004B7736">
        <w:rPr>
          <w:rFonts w:ascii="Times New Roman" w:hAnsi="Times New Roman"/>
          <w:szCs w:val="24"/>
        </w:rPr>
        <w:t xml:space="preserve">to the Comprehensive Education Sector Review, promoting access to primary education, </w:t>
      </w:r>
      <w:r w:rsidR="00D86970" w:rsidRPr="004B7736">
        <w:rPr>
          <w:rFonts w:ascii="Times New Roman" w:hAnsi="Times New Roman"/>
          <w:szCs w:val="24"/>
        </w:rPr>
        <w:t xml:space="preserve">supporting basic education facilities and teachers, </w:t>
      </w:r>
      <w:r w:rsidR="005E52B0" w:rsidRPr="004B7736">
        <w:rPr>
          <w:rFonts w:ascii="Times New Roman" w:hAnsi="Times New Roman"/>
          <w:szCs w:val="24"/>
        </w:rPr>
        <w:t xml:space="preserve">building the capacity of complementary education systems, </w:t>
      </w:r>
      <w:r w:rsidR="00F97C07" w:rsidRPr="004B7736">
        <w:rPr>
          <w:rFonts w:ascii="Times New Roman" w:hAnsi="Times New Roman"/>
          <w:szCs w:val="24"/>
        </w:rPr>
        <w:t xml:space="preserve">university partnering and the provision of scholarships for study in Europe. </w:t>
      </w:r>
      <w:r w:rsidR="00394026" w:rsidRPr="004B7736">
        <w:rPr>
          <w:rFonts w:ascii="Times New Roman" w:hAnsi="Times New Roman"/>
          <w:szCs w:val="24"/>
        </w:rPr>
        <w:t xml:space="preserve">The indicative annual financial contributions of </w:t>
      </w:r>
      <w:r w:rsidR="00EA26E2" w:rsidRPr="004B7736">
        <w:rPr>
          <w:rFonts w:ascii="Times New Roman" w:hAnsi="Times New Roman"/>
          <w:szCs w:val="24"/>
        </w:rPr>
        <w:t>European Union</w:t>
      </w:r>
      <w:r w:rsidR="00394026" w:rsidRPr="004B7736">
        <w:rPr>
          <w:rFonts w:ascii="Times New Roman" w:hAnsi="Times New Roman"/>
          <w:szCs w:val="24"/>
        </w:rPr>
        <w:t xml:space="preserve"> </w:t>
      </w:r>
      <w:r w:rsidR="00EA26E2" w:rsidRPr="004B7736">
        <w:rPr>
          <w:rFonts w:ascii="Times New Roman" w:hAnsi="Times New Roman"/>
          <w:szCs w:val="24"/>
        </w:rPr>
        <w:t>development partners</w:t>
      </w:r>
      <w:r w:rsidR="00394026" w:rsidRPr="004B7736">
        <w:rPr>
          <w:rFonts w:ascii="Times New Roman" w:hAnsi="Times New Roman"/>
          <w:szCs w:val="24"/>
        </w:rPr>
        <w:t xml:space="preserve"> are as follows:</w:t>
      </w:r>
    </w:p>
    <w:p w14:paraId="65335FF7" w14:textId="34027E14" w:rsidR="00D86970" w:rsidRPr="004B7736" w:rsidRDefault="00D86970" w:rsidP="004B7736">
      <w:pPr>
        <w:pStyle w:val="Body1"/>
        <w:numPr>
          <w:ilvl w:val="0"/>
          <w:numId w:val="14"/>
        </w:numPr>
        <w:ind w:left="720" w:hanging="360"/>
        <w:jc w:val="both"/>
        <w:rPr>
          <w:rFonts w:ascii="Times New Roman" w:hAnsi="Times New Roman"/>
          <w:szCs w:val="24"/>
        </w:rPr>
      </w:pPr>
      <w:r w:rsidRPr="004B7736">
        <w:rPr>
          <w:rFonts w:ascii="Times New Roman" w:hAnsi="Times New Roman"/>
          <w:szCs w:val="24"/>
        </w:rPr>
        <w:t xml:space="preserve">Czech Republic: €40,000 </w:t>
      </w:r>
      <w:r w:rsidR="0029768D">
        <w:rPr>
          <w:rFonts w:ascii="Times New Roman" w:hAnsi="Times New Roman"/>
          <w:szCs w:val="24"/>
        </w:rPr>
        <w:t>/ year</w:t>
      </w:r>
    </w:p>
    <w:p w14:paraId="7EF56AC2" w14:textId="18BE715B" w:rsidR="00394026" w:rsidRPr="00F54E19" w:rsidRDefault="00394026" w:rsidP="004B7736">
      <w:pPr>
        <w:pStyle w:val="Body1"/>
        <w:numPr>
          <w:ilvl w:val="0"/>
          <w:numId w:val="14"/>
        </w:numPr>
        <w:ind w:left="720" w:hanging="360"/>
        <w:jc w:val="both"/>
        <w:rPr>
          <w:rFonts w:ascii="Times New Roman" w:hAnsi="Times New Roman"/>
          <w:szCs w:val="24"/>
        </w:rPr>
      </w:pPr>
      <w:r w:rsidRPr="00F54E19">
        <w:rPr>
          <w:rFonts w:ascii="Times New Roman" w:hAnsi="Times New Roman"/>
          <w:szCs w:val="24"/>
        </w:rPr>
        <w:t>Denmark: €</w:t>
      </w:r>
      <w:r w:rsidR="00B456B1" w:rsidRPr="00F54E19">
        <w:rPr>
          <w:rFonts w:ascii="Times New Roman" w:hAnsi="Times New Roman"/>
          <w:szCs w:val="24"/>
        </w:rPr>
        <w:t>2,</w:t>
      </w:r>
      <w:r w:rsidR="006F0D35">
        <w:rPr>
          <w:rFonts w:ascii="Times New Roman" w:hAnsi="Times New Roman"/>
          <w:szCs w:val="24"/>
        </w:rPr>
        <w:t>6</w:t>
      </w:r>
      <w:r w:rsidR="00B456B1" w:rsidRPr="00F54E19">
        <w:rPr>
          <w:rFonts w:ascii="Times New Roman" w:hAnsi="Times New Roman"/>
          <w:szCs w:val="24"/>
        </w:rPr>
        <w:t xml:space="preserve">00,000 </w:t>
      </w:r>
      <w:r w:rsidR="0029768D">
        <w:rPr>
          <w:rFonts w:ascii="Times New Roman" w:hAnsi="Times New Roman"/>
          <w:szCs w:val="24"/>
        </w:rPr>
        <w:t>/ year</w:t>
      </w:r>
    </w:p>
    <w:p w14:paraId="280D8120" w14:textId="151093D7" w:rsidR="00394026" w:rsidRDefault="006720FE" w:rsidP="004B7736">
      <w:pPr>
        <w:pStyle w:val="Body1"/>
        <w:numPr>
          <w:ilvl w:val="0"/>
          <w:numId w:val="14"/>
        </w:numPr>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AD2FA0" w:rsidRPr="004B7736">
        <w:rPr>
          <w:rFonts w:ascii="Times New Roman" w:hAnsi="Times New Roman"/>
          <w:szCs w:val="24"/>
        </w:rPr>
        <w:t>30,000,000 to €38</w:t>
      </w:r>
      <w:r w:rsidR="0074000C" w:rsidRPr="004B7736">
        <w:rPr>
          <w:rFonts w:ascii="Times New Roman" w:hAnsi="Times New Roman"/>
          <w:szCs w:val="24"/>
        </w:rPr>
        <w:t>,000,000 / year</w:t>
      </w:r>
    </w:p>
    <w:p w14:paraId="20EE4BB4" w14:textId="70DAF4DB" w:rsidR="0029768D" w:rsidRPr="004B7736" w:rsidRDefault="0029768D" w:rsidP="004B7736">
      <w:pPr>
        <w:pStyle w:val="Body1"/>
        <w:numPr>
          <w:ilvl w:val="0"/>
          <w:numId w:val="14"/>
        </w:numPr>
        <w:ind w:left="720" w:hanging="360"/>
        <w:jc w:val="both"/>
        <w:rPr>
          <w:rFonts w:ascii="Times New Roman" w:hAnsi="Times New Roman"/>
          <w:szCs w:val="24"/>
        </w:rPr>
      </w:pPr>
      <w:r>
        <w:rPr>
          <w:rFonts w:ascii="Times New Roman" w:hAnsi="Times New Roman"/>
          <w:szCs w:val="24"/>
        </w:rPr>
        <w:t>Finland: to be confirmed</w:t>
      </w:r>
    </w:p>
    <w:p w14:paraId="291F6ACA" w14:textId="5257308D" w:rsidR="00394026" w:rsidRDefault="00394026" w:rsidP="004B7736">
      <w:pPr>
        <w:pStyle w:val="Body1"/>
        <w:numPr>
          <w:ilvl w:val="0"/>
          <w:numId w:val="14"/>
        </w:numPr>
        <w:ind w:left="720" w:hanging="360"/>
        <w:jc w:val="both"/>
        <w:rPr>
          <w:rFonts w:ascii="Times New Roman" w:hAnsi="Times New Roman"/>
          <w:szCs w:val="24"/>
        </w:rPr>
      </w:pPr>
      <w:r w:rsidRPr="004B7736">
        <w:rPr>
          <w:rFonts w:ascii="Times New Roman" w:hAnsi="Times New Roman"/>
          <w:szCs w:val="24"/>
        </w:rPr>
        <w:t xml:space="preserve">France: </w:t>
      </w:r>
      <w:r w:rsidR="005432EE">
        <w:rPr>
          <w:rFonts w:ascii="Times New Roman" w:hAnsi="Times New Roman"/>
          <w:szCs w:val="24"/>
        </w:rPr>
        <w:t>€350,000</w:t>
      </w:r>
    </w:p>
    <w:p w14:paraId="5B9EAD84" w14:textId="64C63533" w:rsidR="003F4103" w:rsidRDefault="003F4103" w:rsidP="004B7736">
      <w:pPr>
        <w:pStyle w:val="Body1"/>
        <w:numPr>
          <w:ilvl w:val="0"/>
          <w:numId w:val="14"/>
        </w:numPr>
        <w:ind w:left="720" w:hanging="360"/>
        <w:jc w:val="both"/>
        <w:rPr>
          <w:rFonts w:ascii="Times New Roman" w:hAnsi="Times New Roman"/>
          <w:szCs w:val="24"/>
        </w:rPr>
      </w:pPr>
      <w:r>
        <w:rPr>
          <w:rFonts w:ascii="Times New Roman" w:hAnsi="Times New Roman"/>
          <w:szCs w:val="24"/>
        </w:rPr>
        <w:t>Germany</w:t>
      </w:r>
      <w:r w:rsidR="00DA0741">
        <w:rPr>
          <w:rFonts w:ascii="Times New Roman" w:hAnsi="Times New Roman"/>
          <w:szCs w:val="24"/>
        </w:rPr>
        <w:t>:</w:t>
      </w:r>
      <w:r w:rsidR="005161DB">
        <w:rPr>
          <w:rFonts w:ascii="Times New Roman" w:hAnsi="Times New Roman"/>
          <w:szCs w:val="24"/>
        </w:rPr>
        <w:t xml:space="preserve"> to be confirmed</w:t>
      </w:r>
    </w:p>
    <w:p w14:paraId="355089C5" w14:textId="777CB211" w:rsidR="00BD5B10" w:rsidRPr="00E115E3" w:rsidRDefault="0029768D" w:rsidP="004B7736">
      <w:pPr>
        <w:pStyle w:val="Body1"/>
        <w:numPr>
          <w:ilvl w:val="0"/>
          <w:numId w:val="14"/>
        </w:numPr>
        <w:ind w:left="720" w:hanging="360"/>
        <w:jc w:val="both"/>
        <w:rPr>
          <w:rFonts w:ascii="Times New Roman" w:hAnsi="Times New Roman"/>
          <w:szCs w:val="24"/>
        </w:rPr>
      </w:pPr>
      <w:r>
        <w:rPr>
          <w:rFonts w:ascii="Times New Roman" w:hAnsi="Times New Roman"/>
          <w:szCs w:val="24"/>
        </w:rPr>
        <w:t>Hungary: €250,000 / year</w:t>
      </w:r>
    </w:p>
    <w:p w14:paraId="390E7D40" w14:textId="6A8AD3A0" w:rsidR="00E05ECD" w:rsidRPr="00C64D13" w:rsidRDefault="0029768D" w:rsidP="0091314B">
      <w:pPr>
        <w:pStyle w:val="Body1"/>
        <w:numPr>
          <w:ilvl w:val="0"/>
          <w:numId w:val="14"/>
        </w:numPr>
        <w:ind w:left="720" w:hanging="360"/>
        <w:jc w:val="both"/>
        <w:rPr>
          <w:rFonts w:ascii="Times New Roman" w:hAnsi="Times New Roman"/>
          <w:szCs w:val="24"/>
        </w:rPr>
      </w:pPr>
      <w:r>
        <w:rPr>
          <w:rFonts w:ascii="Times New Roman" w:hAnsi="Times New Roman"/>
          <w:szCs w:val="24"/>
        </w:rPr>
        <w:t>Netherlands: to be confirmed</w:t>
      </w:r>
      <w:r w:rsidR="00E05ECD" w:rsidRPr="00C64D13">
        <w:rPr>
          <w:rFonts w:ascii="Times New Roman" w:hAnsi="Times New Roman"/>
          <w:szCs w:val="24"/>
        </w:rPr>
        <w:t xml:space="preserve"> </w:t>
      </w:r>
    </w:p>
    <w:p w14:paraId="4B99BFDA" w14:textId="1AED6953" w:rsidR="00394026" w:rsidRPr="00897ACB" w:rsidRDefault="00145CD4" w:rsidP="00145CD4">
      <w:pPr>
        <w:pStyle w:val="Body1"/>
        <w:numPr>
          <w:ilvl w:val="0"/>
          <w:numId w:val="14"/>
        </w:numPr>
        <w:ind w:left="720" w:hanging="360"/>
        <w:jc w:val="both"/>
        <w:rPr>
          <w:rFonts w:ascii="Times New Roman" w:hAnsi="Times New Roman"/>
          <w:szCs w:val="24"/>
        </w:rPr>
      </w:pPr>
      <w:r w:rsidRPr="00897ACB">
        <w:rPr>
          <w:rFonts w:ascii="Times New Roman" w:hAnsi="Times New Roman"/>
          <w:szCs w:val="24"/>
        </w:rPr>
        <w:t xml:space="preserve">UK: </w:t>
      </w:r>
      <w:r w:rsidRPr="00897ACB">
        <w:rPr>
          <w:rFonts w:ascii="Times New Roman" w:hAnsi="Times New Roman"/>
          <w:szCs w:val="24"/>
          <w:lang w:val="en-US"/>
        </w:rPr>
        <w:t>€</w:t>
      </w:r>
      <w:r w:rsidR="00D901A2">
        <w:rPr>
          <w:rFonts w:ascii="Times New Roman" w:hAnsi="Times New Roman"/>
          <w:szCs w:val="24"/>
          <w:lang w:val="en-US"/>
        </w:rPr>
        <w:t>2,</w:t>
      </w:r>
      <w:r w:rsidR="00790CE1">
        <w:rPr>
          <w:rFonts w:ascii="Times New Roman" w:hAnsi="Times New Roman"/>
          <w:szCs w:val="24"/>
          <w:lang w:val="en-US"/>
        </w:rPr>
        <w:t>0</w:t>
      </w:r>
      <w:r w:rsidR="00D901A2">
        <w:rPr>
          <w:rFonts w:ascii="Times New Roman" w:hAnsi="Times New Roman"/>
          <w:szCs w:val="24"/>
          <w:lang w:val="en-US"/>
        </w:rPr>
        <w:t>0</w:t>
      </w:r>
      <w:r w:rsidR="0029768D">
        <w:rPr>
          <w:rFonts w:ascii="Times New Roman" w:hAnsi="Times New Roman"/>
          <w:szCs w:val="24"/>
          <w:lang w:val="en-US"/>
        </w:rPr>
        <w:t>0,000 / year</w:t>
      </w:r>
    </w:p>
    <w:p w14:paraId="6461DA3F" w14:textId="77777777" w:rsidR="00145CD4" w:rsidRPr="00897ACB" w:rsidRDefault="00145CD4" w:rsidP="00145CD4">
      <w:pPr>
        <w:pStyle w:val="Body1"/>
        <w:jc w:val="both"/>
        <w:rPr>
          <w:rFonts w:ascii="Times New Roman" w:hAnsi="Times New Roman"/>
          <w:szCs w:val="24"/>
        </w:rPr>
      </w:pPr>
    </w:p>
    <w:p w14:paraId="18FE8ABD" w14:textId="77777777" w:rsidR="00394026" w:rsidRPr="00897ACB" w:rsidRDefault="00394026">
      <w:pPr>
        <w:pStyle w:val="Body1"/>
        <w:jc w:val="both"/>
        <w:rPr>
          <w:rFonts w:ascii="Times New Roman" w:hAnsi="Times New Roman"/>
          <w:szCs w:val="24"/>
          <w:u w:val="single"/>
        </w:rPr>
      </w:pPr>
      <w:r w:rsidRPr="00897ACB">
        <w:rPr>
          <w:rFonts w:ascii="Times New Roman" w:hAnsi="Times New Roman"/>
          <w:szCs w:val="24"/>
          <w:u w:val="single"/>
        </w:rPr>
        <w:t xml:space="preserve">Trade and Private Sector Development </w:t>
      </w:r>
    </w:p>
    <w:p w14:paraId="781D450E" w14:textId="77777777" w:rsidR="00394026" w:rsidRPr="00897ACB" w:rsidRDefault="00394026">
      <w:pPr>
        <w:pStyle w:val="Body1"/>
        <w:jc w:val="both"/>
        <w:rPr>
          <w:rFonts w:ascii="Times New Roman" w:hAnsi="Times New Roman"/>
          <w:szCs w:val="24"/>
        </w:rPr>
      </w:pPr>
      <w:r w:rsidRPr="00897ACB">
        <w:rPr>
          <w:rFonts w:ascii="Times New Roman" w:hAnsi="Times New Roman"/>
          <w:szCs w:val="24"/>
        </w:rPr>
        <w:t xml:space="preserve">Myanmar’s current economic growth remains narrow-based with the country largely dependent on energy and agriculture. Extractive industries predominate including oil, gas, mining and timber. Manufacturing, tourism and services have seen mediocre growth, largely due to Western sanctions, inadequate infrastructure and technology, distorting trade policies, and a lack of skilled labour. Recent positive developments in terms of political and economic reform, followed by a suspension of EU sanctions, are however providing a more favourable environment for trade and investment in the country. Trade between the EU and Myanmar has been further enhanced by the June 2013 reinstatement of the Generalised System of </w:t>
      </w:r>
      <w:r w:rsidRPr="00897ACB">
        <w:rPr>
          <w:rFonts w:ascii="Times New Roman" w:hAnsi="Times New Roman"/>
          <w:szCs w:val="24"/>
        </w:rPr>
        <w:lastRenderedPageBreak/>
        <w:t>Preferences under the Everything But Arms initiative, offering duty-free access to the EU market.</w:t>
      </w:r>
    </w:p>
    <w:p w14:paraId="15EF2678" w14:textId="77777777" w:rsidR="009958D6" w:rsidRPr="00897ACB" w:rsidRDefault="00CC4563">
      <w:pPr>
        <w:pStyle w:val="Body1"/>
        <w:jc w:val="both"/>
        <w:rPr>
          <w:rFonts w:ascii="Times New Roman" w:hAnsi="Times New Roman"/>
          <w:szCs w:val="24"/>
        </w:rPr>
      </w:pPr>
      <w:r w:rsidRPr="00897ACB">
        <w:rPr>
          <w:rFonts w:ascii="Times New Roman" w:hAnsi="Times New Roman"/>
          <w:szCs w:val="24"/>
        </w:rPr>
        <w:t xml:space="preserve">The "Agenda for Change" </w:t>
      </w:r>
      <w:r w:rsidR="00FB181F" w:rsidRPr="00897ACB">
        <w:rPr>
          <w:rFonts w:ascii="Times New Roman" w:hAnsi="Times New Roman"/>
          <w:szCs w:val="24"/>
        </w:rPr>
        <w:t xml:space="preserve">commits to </w:t>
      </w:r>
      <w:r w:rsidRPr="00897ACB">
        <w:rPr>
          <w:rFonts w:ascii="Times New Roman" w:hAnsi="Times New Roman"/>
          <w:szCs w:val="24"/>
        </w:rPr>
        <w:t xml:space="preserve">greater support to </w:t>
      </w:r>
      <w:r w:rsidR="00FB181F" w:rsidRPr="00897ACB">
        <w:rPr>
          <w:rFonts w:ascii="Times New Roman" w:hAnsi="Times New Roman"/>
          <w:szCs w:val="24"/>
        </w:rPr>
        <w:t xml:space="preserve">partner countries to </w:t>
      </w:r>
      <w:r w:rsidRPr="00897ACB">
        <w:rPr>
          <w:rFonts w:ascii="Times New Roman" w:hAnsi="Times New Roman"/>
          <w:szCs w:val="24"/>
        </w:rPr>
        <w:t xml:space="preserve">enhance the business environment, to promote regional integration and to help harness the opportunities that world markets offer, as a driver for inclusive growth and sustainable development. </w:t>
      </w:r>
      <w:r w:rsidR="00A923A8" w:rsidRPr="00897ACB">
        <w:rPr>
          <w:rFonts w:ascii="Times New Roman" w:hAnsi="Times New Roman"/>
          <w:szCs w:val="24"/>
        </w:rPr>
        <w:t xml:space="preserve">Support in this area will be provided in line with the </w:t>
      </w:r>
      <w:r w:rsidR="009958D6" w:rsidRPr="00897ACB">
        <w:rPr>
          <w:rFonts w:ascii="Times New Roman" w:hAnsi="Times New Roman"/>
          <w:szCs w:val="24"/>
        </w:rPr>
        <w:t xml:space="preserve">EU Aid for Trade </w:t>
      </w:r>
      <w:r w:rsidRPr="00897ACB">
        <w:rPr>
          <w:rFonts w:ascii="Times New Roman" w:hAnsi="Times New Roman"/>
          <w:szCs w:val="24"/>
        </w:rPr>
        <w:t>(</w:t>
      </w:r>
      <w:proofErr w:type="spellStart"/>
      <w:r w:rsidRPr="00897ACB">
        <w:rPr>
          <w:rFonts w:ascii="Times New Roman" w:hAnsi="Times New Roman"/>
          <w:szCs w:val="24"/>
        </w:rPr>
        <w:t>AfT</w:t>
      </w:r>
      <w:proofErr w:type="spellEnd"/>
      <w:r w:rsidRPr="00897ACB">
        <w:rPr>
          <w:rFonts w:ascii="Times New Roman" w:hAnsi="Times New Roman"/>
          <w:szCs w:val="24"/>
        </w:rPr>
        <w:t xml:space="preserve">) </w:t>
      </w:r>
      <w:r w:rsidR="009958D6" w:rsidRPr="00897ACB">
        <w:rPr>
          <w:rFonts w:ascii="Times New Roman" w:hAnsi="Times New Roman"/>
          <w:szCs w:val="24"/>
        </w:rPr>
        <w:t>Strategy</w:t>
      </w:r>
      <w:r w:rsidR="00A923A8" w:rsidRPr="00897ACB">
        <w:rPr>
          <w:rFonts w:ascii="Times New Roman" w:hAnsi="Times New Roman"/>
          <w:szCs w:val="24"/>
        </w:rPr>
        <w:t xml:space="preserve"> and will </w:t>
      </w:r>
      <w:r w:rsidR="006D4E61" w:rsidRPr="00897ACB">
        <w:rPr>
          <w:rFonts w:ascii="Times New Roman" w:hAnsi="Times New Roman"/>
          <w:szCs w:val="24"/>
        </w:rPr>
        <w:t>be designed</w:t>
      </w:r>
      <w:r w:rsidR="009958D6" w:rsidRPr="00897ACB">
        <w:rPr>
          <w:rFonts w:ascii="Times New Roman" w:hAnsi="Times New Roman"/>
          <w:szCs w:val="24"/>
        </w:rPr>
        <w:t xml:space="preserve"> to help </w:t>
      </w:r>
      <w:r w:rsidR="00A923A8" w:rsidRPr="00897ACB">
        <w:rPr>
          <w:rFonts w:ascii="Times New Roman" w:hAnsi="Times New Roman"/>
          <w:szCs w:val="24"/>
        </w:rPr>
        <w:t xml:space="preserve">Myanmar </w:t>
      </w:r>
      <w:r w:rsidR="009958D6" w:rsidRPr="00897ACB">
        <w:rPr>
          <w:rFonts w:ascii="Times New Roman" w:hAnsi="Times New Roman"/>
          <w:szCs w:val="24"/>
        </w:rPr>
        <w:t>integrate into the rules-based world trading system and to use trade more effectively in promoting the overarching ob</w:t>
      </w:r>
      <w:r w:rsidR="00A923A8" w:rsidRPr="00897ACB">
        <w:rPr>
          <w:rFonts w:ascii="Times New Roman" w:hAnsi="Times New Roman"/>
          <w:szCs w:val="24"/>
        </w:rPr>
        <w:t>jective of eradicating poverty.</w:t>
      </w:r>
    </w:p>
    <w:p w14:paraId="12A39127" w14:textId="7F328BC9" w:rsidR="00394026" w:rsidRPr="004B7736" w:rsidRDefault="00600983">
      <w:pPr>
        <w:pStyle w:val="Body1"/>
        <w:jc w:val="both"/>
        <w:rPr>
          <w:rFonts w:ascii="Times New Roman" w:hAnsi="Times New Roman"/>
          <w:szCs w:val="24"/>
        </w:rPr>
      </w:pPr>
      <w:r w:rsidRPr="004B7736">
        <w:rPr>
          <w:rFonts w:ascii="Times New Roman" w:hAnsi="Times New Roman"/>
          <w:szCs w:val="24"/>
        </w:rPr>
        <w:t xml:space="preserve">European Union and Member States' </w:t>
      </w:r>
      <w:r w:rsidR="00394026" w:rsidRPr="004B7736">
        <w:rPr>
          <w:rFonts w:ascii="Times New Roman" w:hAnsi="Times New Roman"/>
          <w:szCs w:val="24"/>
        </w:rPr>
        <w:t>work on trade and private sector development will be supported by</w:t>
      </w:r>
      <w:r w:rsidR="00B06E2A">
        <w:rPr>
          <w:rFonts w:ascii="Times New Roman" w:hAnsi="Times New Roman"/>
          <w:szCs w:val="24"/>
        </w:rPr>
        <w:t xml:space="preserve"> </w:t>
      </w:r>
      <w:r w:rsidR="00992ABB">
        <w:rPr>
          <w:rFonts w:ascii="Times New Roman" w:hAnsi="Times New Roman"/>
          <w:szCs w:val="24"/>
        </w:rPr>
        <w:t xml:space="preserve">Denmark, </w:t>
      </w:r>
      <w:r w:rsidR="00394026" w:rsidRPr="004B7736">
        <w:rPr>
          <w:rFonts w:ascii="Times New Roman" w:hAnsi="Times New Roman"/>
          <w:szCs w:val="24"/>
        </w:rPr>
        <w:t xml:space="preserve">the </w:t>
      </w:r>
      <w:r w:rsidR="006720FE" w:rsidRPr="004B7736">
        <w:rPr>
          <w:rFonts w:ascii="Times New Roman" w:hAnsi="Times New Roman"/>
          <w:szCs w:val="24"/>
        </w:rPr>
        <w:t>EU</w:t>
      </w:r>
      <w:r w:rsidR="00F85B76" w:rsidRPr="004B7736">
        <w:rPr>
          <w:rFonts w:ascii="Times New Roman" w:hAnsi="Times New Roman"/>
          <w:szCs w:val="24"/>
        </w:rPr>
        <w:t xml:space="preserve"> </w:t>
      </w:r>
      <w:r w:rsidR="00992ABB">
        <w:rPr>
          <w:rFonts w:ascii="Times New Roman" w:hAnsi="Times New Roman"/>
          <w:szCs w:val="24"/>
        </w:rPr>
        <w:t>(</w:t>
      </w:r>
      <w:r w:rsidR="00F85B76" w:rsidRPr="004B7736">
        <w:rPr>
          <w:rFonts w:ascii="Times New Roman" w:hAnsi="Times New Roman"/>
          <w:szCs w:val="24"/>
        </w:rPr>
        <w:t>through its regional instruments</w:t>
      </w:r>
      <w:r w:rsidR="00992ABB">
        <w:rPr>
          <w:rFonts w:ascii="Times New Roman" w:hAnsi="Times New Roman"/>
          <w:szCs w:val="24"/>
        </w:rPr>
        <w:t>)</w:t>
      </w:r>
      <w:r w:rsidR="00394026" w:rsidRPr="004B7736">
        <w:rPr>
          <w:rFonts w:ascii="Times New Roman" w:hAnsi="Times New Roman"/>
          <w:szCs w:val="24"/>
        </w:rPr>
        <w:t xml:space="preserve">, </w:t>
      </w:r>
      <w:r w:rsidR="009958D6" w:rsidRPr="004B7736">
        <w:rPr>
          <w:rFonts w:ascii="Times New Roman" w:hAnsi="Times New Roman"/>
          <w:szCs w:val="24"/>
        </w:rPr>
        <w:t xml:space="preserve">France, </w:t>
      </w:r>
      <w:r w:rsidR="00394026" w:rsidRPr="004B7736">
        <w:rPr>
          <w:rFonts w:ascii="Times New Roman" w:hAnsi="Times New Roman"/>
          <w:szCs w:val="24"/>
        </w:rPr>
        <w:t>Germany</w:t>
      </w:r>
      <w:r w:rsidR="00CC5381" w:rsidRPr="004B7736">
        <w:rPr>
          <w:rFonts w:ascii="Times New Roman" w:hAnsi="Times New Roman"/>
          <w:szCs w:val="24"/>
        </w:rPr>
        <w:t>, Italy</w:t>
      </w:r>
      <w:r w:rsidR="00746493" w:rsidRPr="004B7736">
        <w:rPr>
          <w:rFonts w:ascii="Times New Roman" w:hAnsi="Times New Roman"/>
          <w:szCs w:val="24"/>
        </w:rPr>
        <w:t>, Luxembourg</w:t>
      </w:r>
      <w:r w:rsidR="00E05ECD">
        <w:rPr>
          <w:rFonts w:ascii="Times New Roman" w:hAnsi="Times New Roman"/>
          <w:szCs w:val="24"/>
        </w:rPr>
        <w:t>, the Netherlands</w:t>
      </w:r>
      <w:r w:rsidR="00394026" w:rsidRPr="004B7736">
        <w:rPr>
          <w:rFonts w:ascii="Times New Roman" w:hAnsi="Times New Roman"/>
          <w:szCs w:val="24"/>
        </w:rPr>
        <w:t xml:space="preserve"> and the UK. Work will include the promotion of responsible investment, support to the financial services</w:t>
      </w:r>
      <w:r w:rsidR="00E05ECD">
        <w:rPr>
          <w:rFonts w:ascii="Times New Roman" w:hAnsi="Times New Roman"/>
          <w:szCs w:val="24"/>
        </w:rPr>
        <w:t>, seafood, textile</w:t>
      </w:r>
      <w:r w:rsidR="00394026" w:rsidRPr="004B7736">
        <w:rPr>
          <w:rFonts w:ascii="Times New Roman" w:hAnsi="Times New Roman"/>
          <w:szCs w:val="24"/>
        </w:rPr>
        <w:t xml:space="preserve"> </w:t>
      </w:r>
      <w:r w:rsidR="00D60F16" w:rsidRPr="004B7736">
        <w:rPr>
          <w:rFonts w:ascii="Times New Roman" w:hAnsi="Times New Roman"/>
          <w:szCs w:val="24"/>
        </w:rPr>
        <w:t xml:space="preserve">and tourism </w:t>
      </w:r>
      <w:r w:rsidR="00394026" w:rsidRPr="004B7736">
        <w:rPr>
          <w:rFonts w:ascii="Times New Roman" w:hAnsi="Times New Roman"/>
          <w:szCs w:val="24"/>
        </w:rPr>
        <w:t>sector</w:t>
      </w:r>
      <w:r w:rsidR="00D60F16" w:rsidRPr="004B7736">
        <w:rPr>
          <w:rFonts w:ascii="Times New Roman" w:hAnsi="Times New Roman"/>
          <w:szCs w:val="24"/>
        </w:rPr>
        <w:t>s</w:t>
      </w:r>
      <w:r w:rsidR="00394026" w:rsidRPr="004B7736">
        <w:rPr>
          <w:rFonts w:ascii="Times New Roman" w:hAnsi="Times New Roman"/>
          <w:szCs w:val="24"/>
        </w:rPr>
        <w:t>, support to SMEs</w:t>
      </w:r>
      <w:r w:rsidR="00D86970" w:rsidRPr="004B7736">
        <w:rPr>
          <w:rFonts w:ascii="Times New Roman" w:hAnsi="Times New Roman"/>
          <w:szCs w:val="24"/>
        </w:rPr>
        <w:t xml:space="preserve"> and pro-poor business</w:t>
      </w:r>
      <w:r w:rsidR="00394026" w:rsidRPr="004B7736">
        <w:rPr>
          <w:rFonts w:ascii="Times New Roman" w:hAnsi="Times New Roman"/>
          <w:szCs w:val="24"/>
        </w:rPr>
        <w:t xml:space="preserve">, </w:t>
      </w:r>
      <w:r w:rsidR="009958D6" w:rsidRPr="004B7736">
        <w:rPr>
          <w:rFonts w:ascii="Times New Roman" w:hAnsi="Times New Roman"/>
          <w:szCs w:val="24"/>
        </w:rPr>
        <w:t xml:space="preserve">Public-Private Partnerships, </w:t>
      </w:r>
      <w:r w:rsidR="00394026" w:rsidRPr="004B7736">
        <w:rPr>
          <w:rFonts w:ascii="Times New Roman" w:hAnsi="Times New Roman"/>
          <w:szCs w:val="24"/>
        </w:rPr>
        <w:t xml:space="preserve">labour rights and vocational training. The indicative annual financial contributions of European </w:t>
      </w:r>
      <w:r w:rsidR="00F85B76" w:rsidRPr="004B7736">
        <w:rPr>
          <w:rFonts w:ascii="Times New Roman" w:hAnsi="Times New Roman"/>
          <w:szCs w:val="24"/>
        </w:rPr>
        <w:t xml:space="preserve">Union </w:t>
      </w:r>
      <w:r w:rsidR="00EA26E2" w:rsidRPr="004B7736">
        <w:rPr>
          <w:rFonts w:ascii="Times New Roman" w:hAnsi="Times New Roman"/>
          <w:szCs w:val="24"/>
        </w:rPr>
        <w:t>development partners</w:t>
      </w:r>
      <w:r w:rsidR="00394026" w:rsidRPr="004B7736">
        <w:rPr>
          <w:rFonts w:ascii="Times New Roman" w:hAnsi="Times New Roman"/>
          <w:szCs w:val="24"/>
        </w:rPr>
        <w:t xml:space="preserve"> are as follows:</w:t>
      </w:r>
    </w:p>
    <w:p w14:paraId="47ACE4B4" w14:textId="254AEADC" w:rsidR="00B456B1" w:rsidRPr="00F54E19" w:rsidRDefault="00B456B1" w:rsidP="00B456B1">
      <w:pPr>
        <w:pStyle w:val="Body1"/>
        <w:numPr>
          <w:ilvl w:val="0"/>
          <w:numId w:val="18"/>
        </w:numPr>
        <w:ind w:left="720" w:hanging="360"/>
        <w:jc w:val="both"/>
        <w:rPr>
          <w:rFonts w:ascii="Times New Roman" w:hAnsi="Times New Roman"/>
          <w:szCs w:val="24"/>
        </w:rPr>
      </w:pPr>
      <w:r w:rsidRPr="00F54E19">
        <w:rPr>
          <w:rFonts w:ascii="Times New Roman" w:hAnsi="Times New Roman"/>
          <w:szCs w:val="24"/>
        </w:rPr>
        <w:t>Denmark: €2,</w:t>
      </w:r>
      <w:r w:rsidR="006F0D35">
        <w:rPr>
          <w:rFonts w:ascii="Times New Roman" w:hAnsi="Times New Roman"/>
          <w:szCs w:val="24"/>
        </w:rPr>
        <w:t>5</w:t>
      </w:r>
      <w:r w:rsidRPr="00F54E19">
        <w:rPr>
          <w:rFonts w:ascii="Times New Roman" w:hAnsi="Times New Roman"/>
          <w:szCs w:val="24"/>
        </w:rPr>
        <w:t>00,000 / year.</w:t>
      </w:r>
    </w:p>
    <w:p w14:paraId="4ECEB34B" w14:textId="77777777" w:rsidR="00394026" w:rsidRDefault="006720FE" w:rsidP="004B7736">
      <w:pPr>
        <w:pStyle w:val="Body1"/>
        <w:numPr>
          <w:ilvl w:val="0"/>
          <w:numId w:val="18"/>
        </w:numPr>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781E3A">
        <w:rPr>
          <w:rFonts w:ascii="Times New Roman" w:hAnsi="Times New Roman"/>
          <w:szCs w:val="24"/>
        </w:rPr>
        <w:t>1,000,000</w:t>
      </w:r>
      <w:r w:rsidR="00394026" w:rsidRPr="004B7736">
        <w:rPr>
          <w:rFonts w:ascii="Times New Roman" w:hAnsi="Times New Roman"/>
          <w:szCs w:val="24"/>
        </w:rPr>
        <w:t xml:space="preserve"> / year.</w:t>
      </w:r>
    </w:p>
    <w:p w14:paraId="75EE60DE" w14:textId="0E992B4F" w:rsidR="005432EE" w:rsidRPr="004B7736" w:rsidRDefault="005432EE" w:rsidP="004B7736">
      <w:pPr>
        <w:pStyle w:val="Body1"/>
        <w:numPr>
          <w:ilvl w:val="0"/>
          <w:numId w:val="18"/>
        </w:numPr>
        <w:ind w:left="720" w:hanging="360"/>
        <w:jc w:val="both"/>
        <w:rPr>
          <w:rFonts w:ascii="Times New Roman" w:hAnsi="Times New Roman"/>
          <w:szCs w:val="24"/>
        </w:rPr>
      </w:pPr>
      <w:r>
        <w:rPr>
          <w:rFonts w:ascii="Times New Roman" w:hAnsi="Times New Roman"/>
          <w:szCs w:val="24"/>
        </w:rPr>
        <w:t>France: €2,000,000 / year</w:t>
      </w:r>
    </w:p>
    <w:p w14:paraId="6AC11F48" w14:textId="32499E8D" w:rsidR="00394026" w:rsidRPr="00C64D13" w:rsidRDefault="00394026" w:rsidP="004B7736">
      <w:pPr>
        <w:pStyle w:val="Body1"/>
        <w:numPr>
          <w:ilvl w:val="0"/>
          <w:numId w:val="18"/>
        </w:numPr>
        <w:ind w:left="720" w:hanging="360"/>
        <w:jc w:val="both"/>
        <w:rPr>
          <w:rFonts w:ascii="Times New Roman" w:hAnsi="Times New Roman"/>
          <w:szCs w:val="24"/>
        </w:rPr>
      </w:pPr>
      <w:r w:rsidRPr="00C64D13">
        <w:rPr>
          <w:rFonts w:ascii="Times New Roman" w:hAnsi="Times New Roman"/>
          <w:szCs w:val="24"/>
        </w:rPr>
        <w:t xml:space="preserve">Germany: </w:t>
      </w:r>
      <w:r w:rsidR="005161DB">
        <w:rPr>
          <w:rFonts w:ascii="Times New Roman" w:hAnsi="Times New Roman"/>
          <w:szCs w:val="24"/>
        </w:rPr>
        <w:t xml:space="preserve"> to be confirmed</w:t>
      </w:r>
    </w:p>
    <w:p w14:paraId="0DDA0199" w14:textId="6FC866CB" w:rsidR="00746493" w:rsidRPr="00C64D13" w:rsidRDefault="00CC5381" w:rsidP="004B7736">
      <w:pPr>
        <w:pStyle w:val="Body1"/>
        <w:numPr>
          <w:ilvl w:val="0"/>
          <w:numId w:val="18"/>
        </w:numPr>
        <w:ind w:left="720" w:hanging="360"/>
        <w:jc w:val="both"/>
        <w:rPr>
          <w:rFonts w:ascii="Times New Roman" w:hAnsi="Times New Roman"/>
          <w:szCs w:val="24"/>
        </w:rPr>
      </w:pPr>
      <w:r w:rsidRPr="00C64D13">
        <w:rPr>
          <w:rFonts w:ascii="Times New Roman" w:hAnsi="Times New Roman"/>
          <w:szCs w:val="24"/>
        </w:rPr>
        <w:t xml:space="preserve">Italy: </w:t>
      </w:r>
      <w:r w:rsidR="001B7C75">
        <w:rPr>
          <w:rFonts w:ascii="Times New Roman" w:hAnsi="Times New Roman"/>
          <w:szCs w:val="24"/>
        </w:rPr>
        <w:t>€1,800,000 / 2014</w:t>
      </w:r>
    </w:p>
    <w:p w14:paraId="7F7C0865" w14:textId="2CDEF9FF" w:rsidR="00746493" w:rsidRDefault="00746493" w:rsidP="004B7736">
      <w:pPr>
        <w:pStyle w:val="Body1"/>
        <w:numPr>
          <w:ilvl w:val="0"/>
          <w:numId w:val="18"/>
        </w:numPr>
        <w:ind w:left="720" w:hanging="360"/>
        <w:jc w:val="both"/>
        <w:rPr>
          <w:rFonts w:ascii="Times New Roman" w:hAnsi="Times New Roman"/>
          <w:szCs w:val="24"/>
        </w:rPr>
      </w:pPr>
      <w:r w:rsidRPr="004B7736">
        <w:rPr>
          <w:rFonts w:ascii="Times New Roman" w:hAnsi="Times New Roman"/>
          <w:szCs w:val="24"/>
        </w:rPr>
        <w:t>Luxembourg: €1,000,000 / year</w:t>
      </w:r>
      <w:r w:rsidR="009744CB">
        <w:rPr>
          <w:rFonts w:ascii="Times New Roman" w:hAnsi="Times New Roman"/>
          <w:szCs w:val="24"/>
        </w:rPr>
        <w:t>.</w:t>
      </w:r>
    </w:p>
    <w:p w14:paraId="36F828AE" w14:textId="01297645" w:rsidR="00E05ECD" w:rsidRPr="004B7736" w:rsidRDefault="00E05ECD" w:rsidP="004B7736">
      <w:pPr>
        <w:pStyle w:val="Body1"/>
        <w:numPr>
          <w:ilvl w:val="0"/>
          <w:numId w:val="18"/>
        </w:numPr>
        <w:ind w:left="720" w:hanging="360"/>
        <w:jc w:val="both"/>
        <w:rPr>
          <w:rFonts w:ascii="Times New Roman" w:hAnsi="Times New Roman"/>
          <w:szCs w:val="24"/>
        </w:rPr>
      </w:pPr>
      <w:r>
        <w:rPr>
          <w:rFonts w:ascii="Times New Roman" w:hAnsi="Times New Roman"/>
          <w:szCs w:val="24"/>
        </w:rPr>
        <w:t xml:space="preserve">Netherlands: </w:t>
      </w:r>
      <w:r w:rsidRPr="004B7736">
        <w:rPr>
          <w:rFonts w:ascii="Times New Roman" w:hAnsi="Times New Roman"/>
          <w:szCs w:val="24"/>
        </w:rPr>
        <w:t>€</w:t>
      </w:r>
      <w:r>
        <w:rPr>
          <w:rFonts w:ascii="Times New Roman" w:hAnsi="Times New Roman"/>
          <w:szCs w:val="24"/>
        </w:rPr>
        <w:t>2,000,000 / year</w:t>
      </w:r>
      <w:r w:rsidR="009744CB">
        <w:rPr>
          <w:rFonts w:ascii="Times New Roman" w:hAnsi="Times New Roman"/>
          <w:szCs w:val="24"/>
        </w:rPr>
        <w:t>.</w:t>
      </w:r>
    </w:p>
    <w:p w14:paraId="545B0546" w14:textId="761C5D06" w:rsidR="00145CD4" w:rsidRPr="00897ACB" w:rsidRDefault="00145CD4" w:rsidP="00145CD4">
      <w:pPr>
        <w:pStyle w:val="Body1"/>
        <w:numPr>
          <w:ilvl w:val="0"/>
          <w:numId w:val="18"/>
        </w:numPr>
        <w:ind w:left="720" w:hanging="360"/>
        <w:jc w:val="both"/>
        <w:rPr>
          <w:rFonts w:ascii="Times New Roman" w:hAnsi="Times New Roman"/>
          <w:szCs w:val="24"/>
        </w:rPr>
      </w:pPr>
      <w:r w:rsidRPr="00897ACB">
        <w:rPr>
          <w:rFonts w:ascii="Times New Roman" w:hAnsi="Times New Roman"/>
          <w:szCs w:val="24"/>
        </w:rPr>
        <w:t xml:space="preserve">UK: </w:t>
      </w:r>
      <w:r w:rsidRPr="00897ACB">
        <w:rPr>
          <w:rFonts w:ascii="Times New Roman" w:hAnsi="Times New Roman"/>
          <w:szCs w:val="24"/>
          <w:lang w:val="en-US"/>
        </w:rPr>
        <w:t>€</w:t>
      </w:r>
      <w:r w:rsidR="00790CE1">
        <w:rPr>
          <w:rFonts w:ascii="Times New Roman" w:hAnsi="Times New Roman"/>
          <w:szCs w:val="24"/>
          <w:lang w:val="en-US"/>
        </w:rPr>
        <w:t>3</w:t>
      </w:r>
      <w:r w:rsidRPr="00897ACB">
        <w:rPr>
          <w:rFonts w:ascii="Times New Roman" w:hAnsi="Times New Roman"/>
          <w:szCs w:val="24"/>
          <w:lang w:val="en-US"/>
        </w:rPr>
        <w:t>,</w:t>
      </w:r>
      <w:r w:rsidR="00D901A2">
        <w:rPr>
          <w:rFonts w:ascii="Times New Roman" w:hAnsi="Times New Roman"/>
          <w:szCs w:val="24"/>
          <w:lang w:val="en-US"/>
        </w:rPr>
        <w:t>8</w:t>
      </w:r>
      <w:r w:rsidRPr="00897ACB">
        <w:rPr>
          <w:rFonts w:ascii="Times New Roman" w:hAnsi="Times New Roman"/>
          <w:szCs w:val="24"/>
          <w:lang w:val="en-US"/>
        </w:rPr>
        <w:t xml:space="preserve">00,000 / year. </w:t>
      </w:r>
    </w:p>
    <w:p w14:paraId="42E62E90" w14:textId="77777777" w:rsidR="00CC4563" w:rsidRPr="00897ACB" w:rsidRDefault="00CC4563" w:rsidP="00654567">
      <w:pPr>
        <w:pStyle w:val="Body1"/>
        <w:jc w:val="both"/>
        <w:rPr>
          <w:rFonts w:ascii="Times New Roman" w:hAnsi="Times New Roman"/>
          <w:szCs w:val="24"/>
        </w:rPr>
      </w:pPr>
      <w:r w:rsidRPr="00897ACB">
        <w:rPr>
          <w:rFonts w:ascii="Times New Roman" w:hAnsi="Times New Roman"/>
          <w:szCs w:val="24"/>
        </w:rPr>
        <w:t>In addition to the support that will be provided through development cooperation resources, the European Union and Member States will continue to pursue:</w:t>
      </w:r>
    </w:p>
    <w:p w14:paraId="139525E1" w14:textId="77777777" w:rsidR="00394026" w:rsidRPr="00897ACB" w:rsidRDefault="00CC4563" w:rsidP="00E92CEC">
      <w:pPr>
        <w:pStyle w:val="Body1"/>
        <w:numPr>
          <w:ilvl w:val="0"/>
          <w:numId w:val="23"/>
        </w:numPr>
        <w:jc w:val="both"/>
        <w:rPr>
          <w:rFonts w:ascii="Times New Roman" w:hAnsi="Times New Roman"/>
          <w:szCs w:val="24"/>
        </w:rPr>
      </w:pPr>
      <w:r w:rsidRPr="00897ACB">
        <w:rPr>
          <w:rFonts w:ascii="Times New Roman" w:hAnsi="Times New Roman"/>
          <w:szCs w:val="24"/>
        </w:rPr>
        <w:t>A more transparent investment environment that can reduce the risk of corruption and tax avoidance</w:t>
      </w:r>
      <w:r w:rsidR="005716C5" w:rsidRPr="00897ACB">
        <w:rPr>
          <w:rFonts w:ascii="Times New Roman" w:hAnsi="Times New Roman"/>
          <w:szCs w:val="24"/>
        </w:rPr>
        <w:t xml:space="preserve"> by improving transparency throughout the supply chain. This will include support to initiatives such as t</w:t>
      </w:r>
      <w:r w:rsidRPr="00897ACB">
        <w:rPr>
          <w:rFonts w:ascii="Times New Roman" w:hAnsi="Times New Roman"/>
          <w:szCs w:val="24"/>
        </w:rPr>
        <w:t>he Extractive Industries Transparency Initiative (EITI),</w:t>
      </w:r>
      <w:r w:rsidR="005716C5" w:rsidRPr="00897ACB">
        <w:rPr>
          <w:rFonts w:ascii="Times New Roman" w:hAnsi="Times New Roman"/>
          <w:szCs w:val="24"/>
        </w:rPr>
        <w:t xml:space="preserve"> </w:t>
      </w:r>
      <w:r w:rsidRPr="00897ACB">
        <w:rPr>
          <w:rFonts w:ascii="Times New Roman" w:hAnsi="Times New Roman"/>
          <w:szCs w:val="24"/>
        </w:rPr>
        <w:t>the Forest Law Enforcement, Governance and Trade (FLEGT) and the Timber</w:t>
      </w:r>
      <w:r w:rsidR="005716C5" w:rsidRPr="00897ACB">
        <w:rPr>
          <w:rFonts w:ascii="Times New Roman" w:hAnsi="Times New Roman"/>
          <w:szCs w:val="24"/>
        </w:rPr>
        <w:t xml:space="preserve"> </w:t>
      </w:r>
      <w:r w:rsidRPr="00897ACB">
        <w:rPr>
          <w:rFonts w:ascii="Times New Roman" w:hAnsi="Times New Roman"/>
          <w:szCs w:val="24"/>
        </w:rPr>
        <w:t>Regulation.</w:t>
      </w:r>
    </w:p>
    <w:p w14:paraId="5BDADADD" w14:textId="77777777" w:rsidR="00CC4563" w:rsidRPr="00897ACB" w:rsidRDefault="005716C5" w:rsidP="00E92CEC">
      <w:pPr>
        <w:pStyle w:val="Body1"/>
        <w:numPr>
          <w:ilvl w:val="0"/>
          <w:numId w:val="23"/>
        </w:numPr>
        <w:jc w:val="both"/>
        <w:rPr>
          <w:rFonts w:ascii="Times New Roman" w:hAnsi="Times New Roman"/>
          <w:szCs w:val="24"/>
        </w:rPr>
      </w:pPr>
      <w:r w:rsidRPr="00897ACB">
        <w:rPr>
          <w:rFonts w:ascii="Times New Roman" w:hAnsi="Times New Roman"/>
          <w:szCs w:val="24"/>
        </w:rPr>
        <w:t xml:space="preserve">The realization of a greater FDI potential </w:t>
      </w:r>
      <w:r w:rsidR="00FB181F" w:rsidRPr="00897ACB">
        <w:rPr>
          <w:rFonts w:ascii="Times New Roman" w:hAnsi="Times New Roman"/>
          <w:szCs w:val="24"/>
        </w:rPr>
        <w:t>through</w:t>
      </w:r>
      <w:r w:rsidRPr="00897ACB">
        <w:rPr>
          <w:rFonts w:ascii="Times New Roman" w:hAnsi="Times New Roman"/>
          <w:szCs w:val="24"/>
        </w:rPr>
        <w:t xml:space="preserve"> the negotiation of a Bilateral Investment Treaty (BIT</w:t>
      </w:r>
      <w:r w:rsidR="00CC4563" w:rsidRPr="00897ACB">
        <w:rPr>
          <w:rFonts w:ascii="Times New Roman" w:hAnsi="Times New Roman"/>
          <w:szCs w:val="24"/>
        </w:rPr>
        <w:t>).</w:t>
      </w:r>
    </w:p>
    <w:p w14:paraId="760B3DFA" w14:textId="77777777" w:rsidR="00D86970" w:rsidRPr="00897ACB" w:rsidRDefault="00D86970" w:rsidP="00AD3825">
      <w:pPr>
        <w:pStyle w:val="Body1"/>
        <w:ind w:left="720"/>
        <w:jc w:val="both"/>
        <w:rPr>
          <w:rFonts w:ascii="Times New Roman" w:hAnsi="Times New Roman"/>
          <w:szCs w:val="24"/>
        </w:rPr>
      </w:pPr>
    </w:p>
    <w:p w14:paraId="28559D07" w14:textId="77777777" w:rsidR="00394026" w:rsidRPr="00897ACB" w:rsidRDefault="000401D8">
      <w:pPr>
        <w:spacing w:after="240"/>
        <w:jc w:val="center"/>
        <w:outlineLvl w:val="0"/>
        <w:rPr>
          <w:rFonts w:eastAsia="Arial Unicode MS"/>
          <w:b/>
          <w:color w:val="000000"/>
          <w:u w:color="000000"/>
          <w:lang w:val="en-GB"/>
        </w:rPr>
      </w:pPr>
      <w:r w:rsidRPr="00897ACB">
        <w:rPr>
          <w:rFonts w:eastAsia="Arial Unicode MS"/>
          <w:b/>
          <w:color w:val="000000"/>
          <w:u w:color="000000"/>
          <w:lang w:val="en-GB"/>
        </w:rPr>
        <w:t>6</w:t>
      </w:r>
      <w:r w:rsidR="00394026" w:rsidRPr="00897ACB">
        <w:rPr>
          <w:rFonts w:eastAsia="Arial Unicode MS"/>
          <w:b/>
          <w:color w:val="000000"/>
          <w:u w:color="000000"/>
          <w:lang w:val="en-GB"/>
        </w:rPr>
        <w:t>. EU Actions on Cross-Cutting Issues</w:t>
      </w:r>
    </w:p>
    <w:p w14:paraId="7775DD19" w14:textId="77777777" w:rsidR="00394026" w:rsidRPr="00897ACB" w:rsidRDefault="00394026">
      <w:pPr>
        <w:pStyle w:val="Body1"/>
        <w:spacing w:after="240"/>
        <w:jc w:val="both"/>
        <w:rPr>
          <w:rFonts w:ascii="Times New Roman" w:hAnsi="Times New Roman"/>
          <w:szCs w:val="24"/>
        </w:rPr>
      </w:pPr>
      <w:r w:rsidRPr="00897ACB">
        <w:rPr>
          <w:rFonts w:ascii="Times New Roman" w:hAnsi="Times New Roman"/>
          <w:szCs w:val="24"/>
        </w:rPr>
        <w:t xml:space="preserve">We will work together to provide support on the key cross-cutting issues of human rights, civil society, gender and environment. We have agreed a Human Rights Country Strategy for Myanmar and a Gender Action Plan, while a Roadmap for Engagement with Civil Society is currently under development. </w:t>
      </w:r>
      <w:r w:rsidR="00A71361" w:rsidRPr="00897ACB">
        <w:rPr>
          <w:rFonts w:ascii="Times New Roman" w:hAnsi="Times New Roman"/>
          <w:szCs w:val="24"/>
        </w:rPr>
        <w:t xml:space="preserve">Such issues are fundamental to the European </w:t>
      </w:r>
      <w:r w:rsidR="00ED1C9E" w:rsidRPr="00897ACB">
        <w:rPr>
          <w:rFonts w:ascii="Times New Roman" w:hAnsi="Times New Roman"/>
          <w:szCs w:val="24"/>
        </w:rPr>
        <w:t xml:space="preserve">Union </w:t>
      </w:r>
      <w:r w:rsidR="00A71361" w:rsidRPr="00897ACB">
        <w:rPr>
          <w:rFonts w:ascii="Times New Roman" w:hAnsi="Times New Roman"/>
          <w:szCs w:val="24"/>
        </w:rPr>
        <w:t xml:space="preserve">approach to development and are key drivers for Myanmar’s development. </w:t>
      </w:r>
    </w:p>
    <w:p w14:paraId="7FAFF3D3" w14:textId="77777777" w:rsidR="00A71361" w:rsidRPr="00897ACB" w:rsidRDefault="00A71361">
      <w:pPr>
        <w:pStyle w:val="Body1"/>
        <w:spacing w:after="240"/>
        <w:jc w:val="both"/>
        <w:rPr>
          <w:rFonts w:ascii="Times New Roman" w:hAnsi="Times New Roman"/>
          <w:szCs w:val="24"/>
        </w:rPr>
      </w:pPr>
      <w:r w:rsidRPr="00897ACB">
        <w:rPr>
          <w:rFonts w:ascii="Times New Roman" w:hAnsi="Times New Roman"/>
          <w:szCs w:val="24"/>
        </w:rPr>
        <w:lastRenderedPageBreak/>
        <w:t xml:space="preserve">By definition, support for cross-cutting issues is often embedded in larger programmes, for example in the case of gender mainstreaming. In these cases, the exact support provided by each European </w:t>
      </w:r>
      <w:r w:rsidR="00ED1C9E" w:rsidRPr="00897ACB">
        <w:rPr>
          <w:rFonts w:ascii="Times New Roman" w:hAnsi="Times New Roman"/>
          <w:szCs w:val="24"/>
        </w:rPr>
        <w:t xml:space="preserve">Union </w:t>
      </w:r>
      <w:r w:rsidRPr="00897ACB">
        <w:rPr>
          <w:rFonts w:ascii="Times New Roman" w:hAnsi="Times New Roman"/>
          <w:szCs w:val="24"/>
        </w:rPr>
        <w:t>d</w:t>
      </w:r>
      <w:r w:rsidR="00ED1C9E" w:rsidRPr="00897ACB">
        <w:rPr>
          <w:rFonts w:ascii="Times New Roman" w:hAnsi="Times New Roman"/>
          <w:szCs w:val="24"/>
        </w:rPr>
        <w:t>evelopment partner</w:t>
      </w:r>
      <w:r w:rsidRPr="00897ACB">
        <w:rPr>
          <w:rFonts w:ascii="Times New Roman" w:hAnsi="Times New Roman"/>
          <w:szCs w:val="24"/>
        </w:rPr>
        <w:t xml:space="preserve"> to each issue can be difficult to extract from the larger programme. Below therefore, only stand-alone </w:t>
      </w:r>
      <w:r w:rsidR="00AD2FA0" w:rsidRPr="00897ACB">
        <w:rPr>
          <w:rFonts w:ascii="Times New Roman" w:hAnsi="Times New Roman"/>
          <w:szCs w:val="24"/>
        </w:rPr>
        <w:t xml:space="preserve">and programmable </w:t>
      </w:r>
      <w:r w:rsidRPr="00897ACB">
        <w:rPr>
          <w:rFonts w:ascii="Times New Roman" w:hAnsi="Times New Roman"/>
          <w:szCs w:val="24"/>
        </w:rPr>
        <w:t xml:space="preserve">support initiatives to cross-cutting issues and their financing are detailed. The </w:t>
      </w:r>
      <w:r w:rsidR="00F7767E" w:rsidRPr="00897ACB">
        <w:rPr>
          <w:rFonts w:ascii="Times New Roman" w:hAnsi="Times New Roman"/>
          <w:szCs w:val="24"/>
        </w:rPr>
        <w:t>total</w:t>
      </w:r>
      <w:r w:rsidRPr="00897ACB">
        <w:rPr>
          <w:rFonts w:ascii="Times New Roman" w:hAnsi="Times New Roman"/>
          <w:szCs w:val="24"/>
        </w:rPr>
        <w:t xml:space="preserve"> support provided by European</w:t>
      </w:r>
      <w:r w:rsidR="00ED1C9E" w:rsidRPr="00897ACB">
        <w:rPr>
          <w:rFonts w:ascii="Times New Roman" w:hAnsi="Times New Roman"/>
          <w:szCs w:val="24"/>
        </w:rPr>
        <w:t xml:space="preserve"> Union</w:t>
      </w:r>
      <w:r w:rsidRPr="00897ACB">
        <w:rPr>
          <w:rFonts w:ascii="Times New Roman" w:hAnsi="Times New Roman"/>
          <w:szCs w:val="24"/>
        </w:rPr>
        <w:t xml:space="preserve"> d</w:t>
      </w:r>
      <w:r w:rsidR="00ED1C9E" w:rsidRPr="00897ACB">
        <w:rPr>
          <w:rFonts w:ascii="Times New Roman" w:hAnsi="Times New Roman"/>
          <w:szCs w:val="24"/>
        </w:rPr>
        <w:t>evelopment partners</w:t>
      </w:r>
      <w:r w:rsidRPr="00897ACB">
        <w:rPr>
          <w:rFonts w:ascii="Times New Roman" w:hAnsi="Times New Roman"/>
          <w:szCs w:val="24"/>
        </w:rPr>
        <w:t xml:space="preserve"> </w:t>
      </w:r>
      <w:r w:rsidR="00F7767E" w:rsidRPr="00897ACB">
        <w:rPr>
          <w:rFonts w:ascii="Times New Roman" w:hAnsi="Times New Roman"/>
          <w:szCs w:val="24"/>
        </w:rPr>
        <w:t xml:space="preserve">to each issue </w:t>
      </w:r>
      <w:r w:rsidRPr="00897ACB">
        <w:rPr>
          <w:rFonts w:ascii="Times New Roman" w:hAnsi="Times New Roman"/>
          <w:szCs w:val="24"/>
        </w:rPr>
        <w:t xml:space="preserve">is naturally much larger. </w:t>
      </w:r>
    </w:p>
    <w:p w14:paraId="1C29EDA6" w14:textId="0C1095BD" w:rsidR="008C27BA" w:rsidRPr="004B7736" w:rsidRDefault="00394026">
      <w:pPr>
        <w:pStyle w:val="Body1"/>
        <w:jc w:val="both"/>
        <w:rPr>
          <w:rFonts w:ascii="Times New Roman" w:hAnsi="Times New Roman"/>
          <w:szCs w:val="24"/>
        </w:rPr>
      </w:pPr>
      <w:r w:rsidRPr="00897ACB">
        <w:rPr>
          <w:rFonts w:ascii="Times New Roman" w:hAnsi="Times New Roman"/>
          <w:szCs w:val="24"/>
        </w:rPr>
        <w:t xml:space="preserve">We believe that strengthening human rights will be key to securing a successful reform process in Myanmar. This should encompass political, civil, social, economic and cultural rights as well as support to minorities. We believe that the Government should follow-up on its commitments to facilitate the opening of an OHCHR country office and that the national Human Rights Commission should be granted the status, mandate and means to perform its duties effectively and independently in accordance with the Paris Principles. </w:t>
      </w:r>
      <w:r w:rsidRPr="004B7736">
        <w:rPr>
          <w:rFonts w:ascii="Times New Roman" w:hAnsi="Times New Roman"/>
          <w:szCs w:val="24"/>
        </w:rPr>
        <w:t xml:space="preserve">European </w:t>
      </w:r>
      <w:r w:rsidR="00F85B76" w:rsidRPr="004B7736">
        <w:rPr>
          <w:rFonts w:ascii="Times New Roman" w:hAnsi="Times New Roman"/>
          <w:szCs w:val="24"/>
        </w:rPr>
        <w:t xml:space="preserve">Union </w:t>
      </w:r>
      <w:r w:rsidRPr="004B7736">
        <w:rPr>
          <w:rFonts w:ascii="Times New Roman" w:hAnsi="Times New Roman"/>
          <w:szCs w:val="24"/>
        </w:rPr>
        <w:t>work on human rights will be s</w:t>
      </w:r>
      <w:r w:rsidR="00390F8A">
        <w:rPr>
          <w:rFonts w:ascii="Times New Roman" w:hAnsi="Times New Roman"/>
          <w:szCs w:val="24"/>
        </w:rPr>
        <w:t>upported by the Czech Republic,</w:t>
      </w:r>
      <w:r w:rsidRPr="004B7736">
        <w:rPr>
          <w:rFonts w:ascii="Times New Roman" w:hAnsi="Times New Roman"/>
          <w:szCs w:val="24"/>
        </w:rPr>
        <w:t xml:space="preserve"> the </w:t>
      </w:r>
      <w:r w:rsidR="006720FE" w:rsidRPr="004B7736">
        <w:rPr>
          <w:rFonts w:ascii="Times New Roman" w:hAnsi="Times New Roman"/>
          <w:szCs w:val="24"/>
        </w:rPr>
        <w:t>EU</w:t>
      </w:r>
      <w:r w:rsidR="002B6694" w:rsidRPr="004B7736">
        <w:rPr>
          <w:rFonts w:ascii="Times New Roman" w:hAnsi="Times New Roman"/>
          <w:szCs w:val="24"/>
        </w:rPr>
        <w:t xml:space="preserve"> </w:t>
      </w:r>
      <w:r w:rsidR="008C27BA">
        <w:rPr>
          <w:rFonts w:ascii="Times New Roman" w:hAnsi="Times New Roman"/>
          <w:szCs w:val="24"/>
        </w:rPr>
        <w:t>(</w:t>
      </w:r>
      <w:r w:rsidR="002B6694" w:rsidRPr="004B7736">
        <w:rPr>
          <w:rFonts w:ascii="Times New Roman" w:hAnsi="Times New Roman"/>
          <w:szCs w:val="24"/>
        </w:rPr>
        <w:t>through its thematic instruments</w:t>
      </w:r>
      <w:r w:rsidR="008C27BA">
        <w:rPr>
          <w:rFonts w:ascii="Times New Roman" w:hAnsi="Times New Roman"/>
          <w:szCs w:val="24"/>
        </w:rPr>
        <w:t>)</w:t>
      </w:r>
      <w:r w:rsidR="00CC5381" w:rsidRPr="004B7736">
        <w:rPr>
          <w:rFonts w:ascii="Times New Roman" w:hAnsi="Times New Roman"/>
          <w:szCs w:val="24"/>
        </w:rPr>
        <w:t xml:space="preserve">, </w:t>
      </w:r>
      <w:r w:rsidR="00E05ECD">
        <w:rPr>
          <w:rFonts w:ascii="Times New Roman" w:hAnsi="Times New Roman"/>
          <w:szCs w:val="24"/>
        </w:rPr>
        <w:t xml:space="preserve">the Netherlands, </w:t>
      </w:r>
      <w:r w:rsidRPr="004B7736">
        <w:rPr>
          <w:rFonts w:ascii="Times New Roman" w:hAnsi="Times New Roman"/>
          <w:szCs w:val="24"/>
        </w:rPr>
        <w:t>Sweden</w:t>
      </w:r>
      <w:r w:rsidR="00CC5381" w:rsidRPr="004B7736">
        <w:rPr>
          <w:rFonts w:ascii="Times New Roman" w:hAnsi="Times New Roman"/>
          <w:szCs w:val="24"/>
        </w:rPr>
        <w:t xml:space="preserve"> and the UK</w:t>
      </w:r>
      <w:r w:rsidRPr="004B7736">
        <w:rPr>
          <w:rFonts w:ascii="Times New Roman" w:hAnsi="Times New Roman"/>
          <w:szCs w:val="24"/>
        </w:rPr>
        <w:t>. Work will include the establishment of an EU-Myanmar Human Rights Dialogue to promote constructive and open discussions on issues of mutual interest and concern, based on the principles of equality and cooperation. This will allow the highlighting of concerns and the exchange of best practices and expertise.</w:t>
      </w:r>
      <w:r w:rsidR="00974AD1" w:rsidRPr="004B7736">
        <w:rPr>
          <w:rFonts w:ascii="Times New Roman" w:hAnsi="Times New Roman"/>
          <w:szCs w:val="24"/>
        </w:rPr>
        <w:t xml:space="preserve"> Other work will support responsible investment policies and practices that respect human rights.</w:t>
      </w:r>
      <w:r w:rsidRPr="004B7736">
        <w:rPr>
          <w:rFonts w:ascii="Times New Roman" w:hAnsi="Times New Roman"/>
          <w:szCs w:val="24"/>
        </w:rPr>
        <w:t xml:space="preserve"> The indicative annual financial contributions of </w:t>
      </w:r>
      <w:r w:rsidR="00600983" w:rsidRPr="004B7736">
        <w:rPr>
          <w:rFonts w:ascii="Times New Roman" w:hAnsi="Times New Roman"/>
          <w:szCs w:val="24"/>
        </w:rPr>
        <w:t xml:space="preserve">European Union </w:t>
      </w:r>
      <w:r w:rsidR="00EA26E2" w:rsidRPr="004B7736">
        <w:rPr>
          <w:rFonts w:ascii="Times New Roman" w:hAnsi="Times New Roman"/>
          <w:szCs w:val="24"/>
        </w:rPr>
        <w:t>and Member State's development partners</w:t>
      </w:r>
      <w:r w:rsidRPr="004B7736">
        <w:rPr>
          <w:rFonts w:ascii="Times New Roman" w:hAnsi="Times New Roman"/>
          <w:szCs w:val="24"/>
        </w:rPr>
        <w:t xml:space="preserve"> </w:t>
      </w:r>
      <w:r w:rsidR="008C27BA">
        <w:rPr>
          <w:rFonts w:ascii="Times New Roman" w:hAnsi="Times New Roman"/>
          <w:szCs w:val="24"/>
        </w:rPr>
        <w:t xml:space="preserve">for support to </w:t>
      </w:r>
      <w:r w:rsidR="008C27BA" w:rsidRPr="008C27BA">
        <w:rPr>
          <w:rFonts w:ascii="Times New Roman" w:hAnsi="Times New Roman"/>
          <w:b/>
          <w:szCs w:val="24"/>
        </w:rPr>
        <w:t>human rights</w:t>
      </w:r>
      <w:r w:rsidR="008C27BA">
        <w:rPr>
          <w:rFonts w:ascii="Times New Roman" w:hAnsi="Times New Roman"/>
          <w:szCs w:val="24"/>
        </w:rPr>
        <w:t xml:space="preserve"> </w:t>
      </w:r>
      <w:r w:rsidRPr="004B7736">
        <w:rPr>
          <w:rFonts w:ascii="Times New Roman" w:hAnsi="Times New Roman"/>
          <w:szCs w:val="24"/>
        </w:rPr>
        <w:t>are as follows:</w:t>
      </w:r>
    </w:p>
    <w:p w14:paraId="0F8EC6DC" w14:textId="3C12B660" w:rsidR="00394026" w:rsidRPr="004B7736" w:rsidRDefault="00394026">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Czech Republic: €</w:t>
      </w:r>
      <w:r w:rsidR="00D86970" w:rsidRPr="004B7736">
        <w:rPr>
          <w:rFonts w:ascii="Times New Roman" w:hAnsi="Times New Roman"/>
          <w:szCs w:val="24"/>
        </w:rPr>
        <w:t xml:space="preserve">60,000 </w:t>
      </w:r>
      <w:r w:rsidR="0029768D">
        <w:rPr>
          <w:rFonts w:ascii="Times New Roman" w:hAnsi="Times New Roman"/>
          <w:szCs w:val="24"/>
        </w:rPr>
        <w:t>/ year</w:t>
      </w:r>
    </w:p>
    <w:p w14:paraId="736F9952" w14:textId="6E78DF44" w:rsidR="00394026" w:rsidRDefault="006720FE">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2B6694" w:rsidRPr="004B7736">
        <w:rPr>
          <w:rFonts w:ascii="Times New Roman" w:hAnsi="Times New Roman"/>
          <w:szCs w:val="24"/>
        </w:rPr>
        <w:t xml:space="preserve">1,500,000 </w:t>
      </w:r>
      <w:r w:rsidR="0029768D">
        <w:rPr>
          <w:rFonts w:ascii="Times New Roman" w:hAnsi="Times New Roman"/>
          <w:szCs w:val="24"/>
        </w:rPr>
        <w:t>/ year</w:t>
      </w:r>
    </w:p>
    <w:p w14:paraId="251F3757" w14:textId="0041478C" w:rsidR="005432EE" w:rsidRDefault="005432EE">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France: €200,000 / year</w:t>
      </w:r>
    </w:p>
    <w:p w14:paraId="2119279F" w14:textId="0D53E44A" w:rsidR="001B7C75" w:rsidRDefault="001B7C75">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Italy: € 500,000 / 2014</w:t>
      </w:r>
    </w:p>
    <w:p w14:paraId="734D3538" w14:textId="7ABC1445" w:rsidR="00E05ECD" w:rsidRPr="004B7736" w:rsidRDefault="00E05ECD">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 xml:space="preserve">Netherlands: </w:t>
      </w:r>
      <w:r w:rsidR="000C6FE9">
        <w:rPr>
          <w:rFonts w:ascii="Times New Roman" w:hAnsi="Times New Roman"/>
          <w:szCs w:val="24"/>
        </w:rPr>
        <w:t>€ 200,000 / year</w:t>
      </w:r>
    </w:p>
    <w:p w14:paraId="1B59CFDC" w14:textId="454E8148" w:rsidR="00394026" w:rsidRPr="00EA01E1" w:rsidRDefault="0002155F">
      <w:pPr>
        <w:pStyle w:val="Body1"/>
        <w:numPr>
          <w:ilvl w:val="0"/>
          <w:numId w:val="18"/>
        </w:numPr>
        <w:tabs>
          <w:tab w:val="clear" w:pos="360"/>
          <w:tab w:val="num" w:pos="720"/>
        </w:tabs>
        <w:ind w:left="720" w:hanging="360"/>
        <w:jc w:val="both"/>
        <w:rPr>
          <w:rFonts w:ascii="Times New Roman" w:hAnsi="Times New Roman"/>
          <w:szCs w:val="24"/>
        </w:rPr>
      </w:pPr>
      <w:r w:rsidRPr="00EA01E1">
        <w:rPr>
          <w:rFonts w:ascii="Times New Roman" w:hAnsi="Times New Roman"/>
          <w:szCs w:val="24"/>
        </w:rPr>
        <w:t xml:space="preserve">Sweden: €1,500,000 </w:t>
      </w:r>
      <w:r w:rsidR="0029768D">
        <w:rPr>
          <w:rFonts w:ascii="Times New Roman" w:hAnsi="Times New Roman"/>
          <w:szCs w:val="24"/>
        </w:rPr>
        <w:t>/ year</w:t>
      </w:r>
    </w:p>
    <w:p w14:paraId="203AC372" w14:textId="11C2007F" w:rsidR="001B7C75" w:rsidRPr="001B7C75" w:rsidRDefault="0029768D" w:rsidP="001B7C75">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UK: €700,000 / year</w:t>
      </w:r>
    </w:p>
    <w:p w14:paraId="7AFB7A42" w14:textId="4FAA371E" w:rsidR="00394026" w:rsidRPr="004B7736" w:rsidRDefault="00394026">
      <w:pPr>
        <w:pStyle w:val="Body1"/>
        <w:jc w:val="both"/>
        <w:rPr>
          <w:rFonts w:ascii="Times New Roman" w:hAnsi="Times New Roman"/>
          <w:szCs w:val="24"/>
        </w:rPr>
      </w:pPr>
      <w:r w:rsidRPr="00897ACB">
        <w:rPr>
          <w:rFonts w:ascii="Times New Roman" w:hAnsi="Times New Roman"/>
          <w:szCs w:val="24"/>
        </w:rPr>
        <w:t>We attach great importance to the involvement of civil society in building the institutions that are necessary for a modern inclusive democracy</w:t>
      </w:r>
      <w:r w:rsidR="00E42D9A" w:rsidRPr="00897ACB">
        <w:rPr>
          <w:rFonts w:ascii="Times New Roman" w:hAnsi="Times New Roman"/>
          <w:szCs w:val="24"/>
        </w:rPr>
        <w:t>. Civil society has a critical role to play for the success of Myanmar’s social and political transition as well as for ethnic conflict resolution</w:t>
      </w:r>
      <w:r w:rsidRPr="00897ACB">
        <w:rPr>
          <w:rFonts w:ascii="Times New Roman" w:hAnsi="Times New Roman"/>
          <w:szCs w:val="24"/>
        </w:rPr>
        <w:t xml:space="preserve">.  </w:t>
      </w:r>
      <w:r w:rsidR="00600983" w:rsidRPr="004B7736">
        <w:rPr>
          <w:rFonts w:ascii="Times New Roman" w:hAnsi="Times New Roman"/>
          <w:szCs w:val="24"/>
        </w:rPr>
        <w:t xml:space="preserve">European Union and Member States' </w:t>
      </w:r>
      <w:r w:rsidRPr="004B7736">
        <w:rPr>
          <w:rFonts w:ascii="Times New Roman" w:hAnsi="Times New Roman"/>
          <w:szCs w:val="24"/>
        </w:rPr>
        <w:t xml:space="preserve">work with civil society will be supported by the </w:t>
      </w:r>
      <w:r w:rsidR="00D86970" w:rsidRPr="004B7736">
        <w:rPr>
          <w:rFonts w:ascii="Times New Roman" w:hAnsi="Times New Roman"/>
          <w:szCs w:val="24"/>
        </w:rPr>
        <w:t xml:space="preserve">Czech Republic, the </w:t>
      </w:r>
      <w:r w:rsidR="006720FE" w:rsidRPr="004B7736">
        <w:rPr>
          <w:rFonts w:ascii="Times New Roman" w:hAnsi="Times New Roman"/>
          <w:szCs w:val="24"/>
        </w:rPr>
        <w:t>EU</w:t>
      </w:r>
      <w:r w:rsidR="002B6694" w:rsidRPr="004B7736">
        <w:rPr>
          <w:rFonts w:ascii="Times New Roman" w:hAnsi="Times New Roman"/>
          <w:szCs w:val="24"/>
        </w:rPr>
        <w:t xml:space="preserve"> </w:t>
      </w:r>
      <w:r w:rsidR="008C27BA">
        <w:rPr>
          <w:rFonts w:ascii="Times New Roman" w:hAnsi="Times New Roman"/>
          <w:szCs w:val="24"/>
        </w:rPr>
        <w:t>(</w:t>
      </w:r>
      <w:r w:rsidR="002B6694" w:rsidRPr="004B7736">
        <w:rPr>
          <w:rFonts w:ascii="Times New Roman" w:hAnsi="Times New Roman"/>
          <w:szCs w:val="24"/>
        </w:rPr>
        <w:t>through its thematic instruments</w:t>
      </w:r>
      <w:r w:rsidR="008C27BA">
        <w:rPr>
          <w:rFonts w:ascii="Times New Roman" w:hAnsi="Times New Roman"/>
          <w:szCs w:val="24"/>
        </w:rPr>
        <w:t xml:space="preserve">), France, Ireland, </w:t>
      </w:r>
      <w:r w:rsidR="00E05ECD">
        <w:rPr>
          <w:rFonts w:ascii="Times New Roman" w:hAnsi="Times New Roman"/>
          <w:szCs w:val="24"/>
        </w:rPr>
        <w:t xml:space="preserve">the Netherlands, </w:t>
      </w:r>
      <w:r w:rsidR="008C27BA">
        <w:rPr>
          <w:rFonts w:ascii="Times New Roman" w:hAnsi="Times New Roman"/>
          <w:szCs w:val="24"/>
        </w:rPr>
        <w:t>Poland,</w:t>
      </w:r>
      <w:r w:rsidRPr="004B7736">
        <w:rPr>
          <w:rFonts w:ascii="Times New Roman" w:hAnsi="Times New Roman"/>
          <w:szCs w:val="24"/>
        </w:rPr>
        <w:t xml:space="preserve"> Sweden</w:t>
      </w:r>
      <w:r w:rsidR="008C27BA">
        <w:rPr>
          <w:rFonts w:ascii="Times New Roman" w:hAnsi="Times New Roman"/>
          <w:szCs w:val="24"/>
        </w:rPr>
        <w:t xml:space="preserve"> and the UK</w:t>
      </w:r>
      <w:r w:rsidRPr="004B7736">
        <w:rPr>
          <w:rFonts w:ascii="Times New Roman" w:hAnsi="Times New Roman"/>
          <w:szCs w:val="24"/>
        </w:rPr>
        <w:t xml:space="preserve">. Work will include promoting the establishment of an enabling environment and the protection of civil society’s rights, facilitating engagement with Government, exposing local organisations to international best practice, ensuring their involvement in our own planning processes, and channelling part of our support to the country through them. The indicative annual financial contributions of </w:t>
      </w:r>
      <w:r w:rsidR="00600983" w:rsidRPr="004B7736">
        <w:rPr>
          <w:rFonts w:ascii="Times New Roman" w:hAnsi="Times New Roman"/>
          <w:szCs w:val="24"/>
        </w:rPr>
        <w:t xml:space="preserve">European Union and Member States' </w:t>
      </w:r>
      <w:r w:rsidR="00EA26E2" w:rsidRPr="004B7736">
        <w:rPr>
          <w:rFonts w:ascii="Times New Roman" w:hAnsi="Times New Roman"/>
          <w:szCs w:val="24"/>
        </w:rPr>
        <w:t>development partners</w:t>
      </w:r>
      <w:r w:rsidRPr="004B7736">
        <w:rPr>
          <w:rFonts w:ascii="Times New Roman" w:hAnsi="Times New Roman"/>
          <w:szCs w:val="24"/>
        </w:rPr>
        <w:t xml:space="preserve"> </w:t>
      </w:r>
      <w:r w:rsidR="008C27BA">
        <w:rPr>
          <w:rFonts w:ascii="Times New Roman" w:hAnsi="Times New Roman"/>
          <w:szCs w:val="24"/>
        </w:rPr>
        <w:t xml:space="preserve">in support to </w:t>
      </w:r>
      <w:r w:rsidR="008C27BA" w:rsidRPr="008C27BA">
        <w:rPr>
          <w:rFonts w:ascii="Times New Roman" w:hAnsi="Times New Roman"/>
          <w:b/>
          <w:szCs w:val="24"/>
        </w:rPr>
        <w:t>Civil Society</w:t>
      </w:r>
      <w:r w:rsidR="008C27BA">
        <w:rPr>
          <w:rFonts w:ascii="Times New Roman" w:hAnsi="Times New Roman"/>
          <w:szCs w:val="24"/>
        </w:rPr>
        <w:t xml:space="preserve"> </w:t>
      </w:r>
      <w:r w:rsidRPr="004B7736">
        <w:rPr>
          <w:rFonts w:ascii="Times New Roman" w:hAnsi="Times New Roman"/>
          <w:szCs w:val="24"/>
        </w:rPr>
        <w:t>are as follows:</w:t>
      </w:r>
    </w:p>
    <w:p w14:paraId="1C8E277F" w14:textId="77777777" w:rsidR="00D86970" w:rsidRPr="004B7736" w:rsidRDefault="00D86970">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 xml:space="preserve">Czech Republic: €310,000 / year. </w:t>
      </w:r>
    </w:p>
    <w:p w14:paraId="636267CD" w14:textId="6C5EA459" w:rsidR="005432EE" w:rsidRPr="005432EE" w:rsidRDefault="006720FE" w:rsidP="005432EE">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AD2FA0" w:rsidRPr="004B7736">
        <w:rPr>
          <w:rFonts w:ascii="Times New Roman" w:hAnsi="Times New Roman"/>
          <w:szCs w:val="24"/>
        </w:rPr>
        <w:t xml:space="preserve">5,000,000 </w:t>
      </w:r>
      <w:r w:rsidR="0029768D">
        <w:rPr>
          <w:rFonts w:ascii="Times New Roman" w:hAnsi="Times New Roman"/>
          <w:szCs w:val="24"/>
        </w:rPr>
        <w:t>/ year</w:t>
      </w:r>
    </w:p>
    <w:p w14:paraId="48B2EB4F" w14:textId="12FA0953" w:rsidR="0029768D" w:rsidRPr="004B7736" w:rsidRDefault="0029768D">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Finland: to be confirmed</w:t>
      </w:r>
    </w:p>
    <w:p w14:paraId="23E8DA4B" w14:textId="4A717759" w:rsidR="00394026" w:rsidRPr="004B7736" w:rsidRDefault="00394026">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 xml:space="preserve">France: </w:t>
      </w:r>
      <w:r w:rsidR="005432EE">
        <w:rPr>
          <w:rFonts w:ascii="Times New Roman" w:hAnsi="Times New Roman"/>
          <w:szCs w:val="24"/>
        </w:rPr>
        <w:t>€2,300,000 / year</w:t>
      </w:r>
    </w:p>
    <w:p w14:paraId="370B3CA6" w14:textId="7FDCE207" w:rsidR="00394026" w:rsidRPr="00C64D13" w:rsidRDefault="00394026">
      <w:pPr>
        <w:pStyle w:val="Body1"/>
        <w:numPr>
          <w:ilvl w:val="0"/>
          <w:numId w:val="18"/>
        </w:numPr>
        <w:tabs>
          <w:tab w:val="clear" w:pos="360"/>
          <w:tab w:val="num" w:pos="720"/>
        </w:tabs>
        <w:ind w:left="720" w:hanging="360"/>
        <w:jc w:val="both"/>
        <w:rPr>
          <w:rFonts w:ascii="Times New Roman" w:hAnsi="Times New Roman"/>
          <w:szCs w:val="24"/>
        </w:rPr>
      </w:pPr>
      <w:r w:rsidRPr="00C64D13">
        <w:rPr>
          <w:rFonts w:ascii="Times New Roman" w:hAnsi="Times New Roman"/>
          <w:szCs w:val="24"/>
        </w:rPr>
        <w:lastRenderedPageBreak/>
        <w:t>Ireland: €</w:t>
      </w:r>
      <w:r w:rsidR="00E115E3">
        <w:rPr>
          <w:rFonts w:ascii="Times New Roman" w:hAnsi="Times New Roman"/>
          <w:szCs w:val="24"/>
        </w:rPr>
        <w:t>1</w:t>
      </w:r>
      <w:r w:rsidR="00E115E3" w:rsidRPr="00C64D13">
        <w:rPr>
          <w:rFonts w:ascii="Times New Roman" w:hAnsi="Times New Roman"/>
          <w:szCs w:val="24"/>
        </w:rPr>
        <w:t xml:space="preserve">00,000 </w:t>
      </w:r>
      <w:r w:rsidRPr="00C64D13">
        <w:rPr>
          <w:rFonts w:ascii="Times New Roman" w:hAnsi="Times New Roman"/>
          <w:szCs w:val="24"/>
        </w:rPr>
        <w:t>/ year.</w:t>
      </w:r>
    </w:p>
    <w:p w14:paraId="501156CF" w14:textId="36BBFE24" w:rsidR="00E05ECD" w:rsidRPr="00C64D13" w:rsidRDefault="00E05ECD">
      <w:pPr>
        <w:pStyle w:val="Body1"/>
        <w:numPr>
          <w:ilvl w:val="0"/>
          <w:numId w:val="18"/>
        </w:numPr>
        <w:tabs>
          <w:tab w:val="clear" w:pos="360"/>
          <w:tab w:val="num" w:pos="720"/>
        </w:tabs>
        <w:ind w:left="720" w:hanging="360"/>
        <w:jc w:val="both"/>
        <w:rPr>
          <w:rFonts w:ascii="Times New Roman" w:hAnsi="Times New Roman"/>
          <w:szCs w:val="24"/>
        </w:rPr>
      </w:pPr>
      <w:r w:rsidRPr="00C64D13">
        <w:rPr>
          <w:rFonts w:ascii="Times New Roman" w:hAnsi="Times New Roman"/>
          <w:szCs w:val="24"/>
        </w:rPr>
        <w:t>Netherlands: to be confirmed.</w:t>
      </w:r>
    </w:p>
    <w:p w14:paraId="45227822" w14:textId="1AC639F7" w:rsidR="00394026" w:rsidRPr="00C64D13" w:rsidRDefault="00394026">
      <w:pPr>
        <w:pStyle w:val="Body1"/>
        <w:numPr>
          <w:ilvl w:val="0"/>
          <w:numId w:val="18"/>
        </w:numPr>
        <w:tabs>
          <w:tab w:val="clear" w:pos="360"/>
          <w:tab w:val="num" w:pos="720"/>
        </w:tabs>
        <w:ind w:left="720" w:hanging="360"/>
        <w:jc w:val="both"/>
        <w:rPr>
          <w:rFonts w:ascii="Times New Roman" w:hAnsi="Times New Roman"/>
          <w:szCs w:val="24"/>
        </w:rPr>
      </w:pPr>
      <w:r w:rsidRPr="00C64D13">
        <w:rPr>
          <w:rFonts w:ascii="Times New Roman" w:hAnsi="Times New Roman"/>
          <w:szCs w:val="24"/>
        </w:rPr>
        <w:t xml:space="preserve">Poland: </w:t>
      </w:r>
      <w:r w:rsidR="00B06E2A" w:rsidRPr="00C64D13">
        <w:rPr>
          <w:rFonts w:ascii="Times New Roman" w:hAnsi="Times New Roman"/>
          <w:szCs w:val="24"/>
        </w:rPr>
        <w:t>to be confirmed</w:t>
      </w:r>
      <w:r w:rsidRPr="00C64D13">
        <w:rPr>
          <w:rFonts w:ascii="Times New Roman" w:hAnsi="Times New Roman"/>
          <w:szCs w:val="24"/>
        </w:rPr>
        <w:t>.</w:t>
      </w:r>
    </w:p>
    <w:p w14:paraId="5667834C" w14:textId="77777777" w:rsidR="00394026" w:rsidRPr="00EA01E1" w:rsidRDefault="0002155F" w:rsidP="006118A6">
      <w:pPr>
        <w:pStyle w:val="Body1"/>
        <w:numPr>
          <w:ilvl w:val="0"/>
          <w:numId w:val="18"/>
        </w:numPr>
        <w:tabs>
          <w:tab w:val="clear" w:pos="360"/>
          <w:tab w:val="num" w:pos="720"/>
        </w:tabs>
        <w:ind w:left="720" w:hanging="360"/>
        <w:jc w:val="both"/>
        <w:rPr>
          <w:rFonts w:ascii="Times New Roman" w:hAnsi="Times New Roman"/>
          <w:szCs w:val="24"/>
        </w:rPr>
      </w:pPr>
      <w:r w:rsidRPr="00EA01E1">
        <w:rPr>
          <w:rFonts w:ascii="Times New Roman" w:hAnsi="Times New Roman"/>
          <w:szCs w:val="24"/>
        </w:rPr>
        <w:t xml:space="preserve">Sweden: €5,000,000 </w:t>
      </w:r>
      <w:r w:rsidR="00394026" w:rsidRPr="00EA01E1">
        <w:rPr>
          <w:rFonts w:ascii="Times New Roman" w:hAnsi="Times New Roman"/>
          <w:szCs w:val="24"/>
        </w:rPr>
        <w:t>/ year.</w:t>
      </w:r>
    </w:p>
    <w:p w14:paraId="5C24D75F" w14:textId="77777777" w:rsidR="00394026" w:rsidRPr="008C27BA" w:rsidRDefault="00D901A2" w:rsidP="008C27BA">
      <w:pPr>
        <w:pStyle w:val="Body1"/>
        <w:numPr>
          <w:ilvl w:val="0"/>
          <w:numId w:val="18"/>
        </w:numPr>
        <w:tabs>
          <w:tab w:val="clear" w:pos="360"/>
          <w:tab w:val="num" w:pos="720"/>
        </w:tabs>
        <w:ind w:left="720" w:hanging="360"/>
        <w:jc w:val="both"/>
        <w:rPr>
          <w:rFonts w:ascii="Times New Roman" w:hAnsi="Times New Roman"/>
          <w:szCs w:val="24"/>
        </w:rPr>
      </w:pPr>
      <w:r w:rsidRPr="008C27BA">
        <w:rPr>
          <w:rFonts w:ascii="Times New Roman" w:hAnsi="Times New Roman"/>
          <w:szCs w:val="24"/>
        </w:rPr>
        <w:t>UK: €3,000,000 / year.</w:t>
      </w:r>
    </w:p>
    <w:p w14:paraId="0C672C69" w14:textId="77777777" w:rsidR="00394026" w:rsidRPr="004B7736" w:rsidRDefault="00EA26E2">
      <w:pPr>
        <w:pStyle w:val="Body1"/>
        <w:jc w:val="both"/>
        <w:rPr>
          <w:rFonts w:ascii="Times New Roman" w:hAnsi="Times New Roman"/>
          <w:szCs w:val="24"/>
        </w:rPr>
      </w:pPr>
      <w:r w:rsidRPr="00B103A2">
        <w:rPr>
          <w:rFonts w:ascii="Times New Roman" w:hAnsi="Times New Roman"/>
          <w:szCs w:val="24"/>
        </w:rPr>
        <w:t>European Union</w:t>
      </w:r>
      <w:r w:rsidR="00394026" w:rsidRPr="00B103A2">
        <w:rPr>
          <w:rFonts w:ascii="Times New Roman" w:hAnsi="Times New Roman"/>
          <w:szCs w:val="24"/>
        </w:rPr>
        <w:t xml:space="preserve"> </w:t>
      </w:r>
      <w:r w:rsidR="00B103A2">
        <w:rPr>
          <w:rFonts w:ascii="Times New Roman" w:hAnsi="Times New Roman"/>
          <w:szCs w:val="24"/>
        </w:rPr>
        <w:t xml:space="preserve">and Member States' </w:t>
      </w:r>
      <w:r w:rsidR="00394026" w:rsidRPr="00B103A2">
        <w:rPr>
          <w:rFonts w:ascii="Times New Roman" w:hAnsi="Times New Roman"/>
          <w:szCs w:val="24"/>
        </w:rPr>
        <w:t xml:space="preserve">work on environment will </w:t>
      </w:r>
      <w:r w:rsidR="007A65C9" w:rsidRPr="00B103A2">
        <w:rPr>
          <w:rFonts w:ascii="Times New Roman" w:hAnsi="Times New Roman"/>
          <w:szCs w:val="24"/>
        </w:rPr>
        <w:t xml:space="preserve">focus on sustainable management and access to environmental resources as well as mitigation of the effect of climate changes. This will be funded by dedicated thematic instruments and mainstreamed in relevant EU cooperation activities, i.e. rural development, trade and private sector, governance. Particular attention will be dedicated to assessing the environmental impact of our cooperation activities. </w:t>
      </w:r>
      <w:r w:rsidR="00394026" w:rsidRPr="004B7736">
        <w:rPr>
          <w:rFonts w:ascii="Times New Roman" w:hAnsi="Times New Roman"/>
          <w:szCs w:val="24"/>
        </w:rPr>
        <w:t xml:space="preserve">The indicative annual financial contribution of </w:t>
      </w:r>
      <w:r w:rsidR="00781E3A">
        <w:rPr>
          <w:rFonts w:ascii="Times New Roman" w:hAnsi="Times New Roman"/>
          <w:szCs w:val="24"/>
        </w:rPr>
        <w:t xml:space="preserve">the </w:t>
      </w:r>
      <w:r w:rsidR="00E92CEC">
        <w:rPr>
          <w:rFonts w:ascii="Times New Roman" w:hAnsi="Times New Roman"/>
          <w:szCs w:val="24"/>
        </w:rPr>
        <w:t>EU</w:t>
      </w:r>
      <w:r w:rsidR="00394026" w:rsidRPr="004B7736">
        <w:rPr>
          <w:rFonts w:ascii="Times New Roman" w:hAnsi="Times New Roman"/>
          <w:szCs w:val="24"/>
        </w:rPr>
        <w:t xml:space="preserve"> </w:t>
      </w:r>
      <w:r w:rsidR="008C27BA">
        <w:rPr>
          <w:rFonts w:ascii="Times New Roman" w:hAnsi="Times New Roman"/>
          <w:szCs w:val="24"/>
        </w:rPr>
        <w:t xml:space="preserve">towards </w:t>
      </w:r>
      <w:r w:rsidR="008C27BA" w:rsidRPr="008C27BA">
        <w:rPr>
          <w:rFonts w:ascii="Times New Roman" w:hAnsi="Times New Roman"/>
          <w:b/>
          <w:szCs w:val="24"/>
        </w:rPr>
        <w:t xml:space="preserve">environment </w:t>
      </w:r>
      <w:r w:rsidR="00781E3A">
        <w:rPr>
          <w:rFonts w:ascii="Times New Roman" w:hAnsi="Times New Roman"/>
          <w:szCs w:val="24"/>
        </w:rPr>
        <w:t>is</w:t>
      </w:r>
      <w:r w:rsidR="00394026" w:rsidRPr="004B7736">
        <w:rPr>
          <w:rFonts w:ascii="Times New Roman" w:hAnsi="Times New Roman"/>
          <w:szCs w:val="24"/>
        </w:rPr>
        <w:t xml:space="preserve"> as follows:</w:t>
      </w:r>
    </w:p>
    <w:p w14:paraId="6D1F63E6" w14:textId="62C54D4C" w:rsidR="00600983" w:rsidRDefault="006720FE">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EU</w:t>
      </w:r>
      <w:r w:rsidR="00394026" w:rsidRPr="004B7736">
        <w:rPr>
          <w:rFonts w:ascii="Times New Roman" w:hAnsi="Times New Roman"/>
          <w:szCs w:val="24"/>
        </w:rPr>
        <w:t>: €</w:t>
      </w:r>
      <w:r w:rsidR="00AD2FA0" w:rsidRPr="004B7736">
        <w:rPr>
          <w:rFonts w:ascii="Times New Roman" w:hAnsi="Times New Roman"/>
          <w:szCs w:val="24"/>
        </w:rPr>
        <w:t xml:space="preserve">1,000,000 </w:t>
      </w:r>
      <w:r w:rsidR="00394026" w:rsidRPr="004B7736">
        <w:rPr>
          <w:rFonts w:ascii="Times New Roman" w:hAnsi="Times New Roman"/>
          <w:szCs w:val="24"/>
        </w:rPr>
        <w:t>/</w:t>
      </w:r>
      <w:r w:rsidR="0029768D">
        <w:rPr>
          <w:rFonts w:ascii="Times New Roman" w:hAnsi="Times New Roman"/>
          <w:szCs w:val="24"/>
        </w:rPr>
        <w:t xml:space="preserve"> year</w:t>
      </w:r>
    </w:p>
    <w:p w14:paraId="2C12B09A" w14:textId="77777777" w:rsidR="00DE009C" w:rsidRPr="004B7736" w:rsidRDefault="00DE009C" w:rsidP="00DE009C">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Finland: to be confirmed</w:t>
      </w:r>
    </w:p>
    <w:p w14:paraId="7DFC7967" w14:textId="463AC5A6" w:rsidR="005432EE" w:rsidRDefault="005432EE">
      <w:pPr>
        <w:pStyle w:val="Body1"/>
        <w:numPr>
          <w:ilvl w:val="0"/>
          <w:numId w:val="18"/>
        </w:numPr>
        <w:tabs>
          <w:tab w:val="clear" w:pos="360"/>
          <w:tab w:val="num" w:pos="720"/>
        </w:tabs>
        <w:ind w:left="720" w:hanging="360"/>
        <w:jc w:val="both"/>
        <w:rPr>
          <w:rFonts w:ascii="Times New Roman" w:hAnsi="Times New Roman"/>
          <w:szCs w:val="24"/>
        </w:rPr>
      </w:pPr>
      <w:r>
        <w:rPr>
          <w:rFonts w:ascii="Times New Roman" w:hAnsi="Times New Roman"/>
          <w:szCs w:val="24"/>
        </w:rPr>
        <w:t>France: €5,300,000 / year</w:t>
      </w:r>
    </w:p>
    <w:p w14:paraId="684871C1" w14:textId="77777777" w:rsidR="008C27BA" w:rsidRPr="004B7736" w:rsidRDefault="00D60F16" w:rsidP="00D60F16">
      <w:pPr>
        <w:pStyle w:val="Body1"/>
        <w:jc w:val="both"/>
        <w:rPr>
          <w:rFonts w:ascii="Times New Roman" w:hAnsi="Times New Roman"/>
          <w:szCs w:val="24"/>
        </w:rPr>
      </w:pPr>
      <w:r w:rsidRPr="004B7736">
        <w:rPr>
          <w:rFonts w:ascii="Times New Roman" w:hAnsi="Times New Roman"/>
          <w:szCs w:val="24"/>
        </w:rPr>
        <w:t xml:space="preserve">Finally, European </w:t>
      </w:r>
      <w:r w:rsidR="002B6694" w:rsidRPr="004B7736">
        <w:rPr>
          <w:rFonts w:ascii="Times New Roman" w:hAnsi="Times New Roman"/>
          <w:szCs w:val="24"/>
        </w:rPr>
        <w:t xml:space="preserve">Union </w:t>
      </w:r>
      <w:r w:rsidRPr="004B7736">
        <w:rPr>
          <w:rFonts w:ascii="Times New Roman" w:hAnsi="Times New Roman"/>
          <w:szCs w:val="24"/>
        </w:rPr>
        <w:t>d</w:t>
      </w:r>
      <w:r w:rsidR="002B6694" w:rsidRPr="004B7736">
        <w:rPr>
          <w:rFonts w:ascii="Times New Roman" w:hAnsi="Times New Roman"/>
          <w:szCs w:val="24"/>
        </w:rPr>
        <w:t>evelopment partners</w:t>
      </w:r>
      <w:r w:rsidRPr="004B7736">
        <w:rPr>
          <w:rFonts w:ascii="Times New Roman" w:hAnsi="Times New Roman"/>
          <w:szCs w:val="24"/>
        </w:rPr>
        <w:t xml:space="preserve"> will </w:t>
      </w:r>
      <w:r w:rsidR="00181676" w:rsidRPr="004B7736">
        <w:rPr>
          <w:rFonts w:ascii="Times New Roman" w:hAnsi="Times New Roman"/>
          <w:szCs w:val="24"/>
        </w:rPr>
        <w:t>work on</w:t>
      </w:r>
      <w:r w:rsidRPr="004B7736">
        <w:rPr>
          <w:rFonts w:ascii="Times New Roman" w:hAnsi="Times New Roman"/>
          <w:szCs w:val="24"/>
        </w:rPr>
        <w:t xml:space="preserve"> cultural </w:t>
      </w:r>
      <w:r w:rsidR="00181676" w:rsidRPr="004B7736">
        <w:rPr>
          <w:rFonts w:ascii="Times New Roman" w:hAnsi="Times New Roman"/>
          <w:szCs w:val="24"/>
        </w:rPr>
        <w:t>cooperation</w:t>
      </w:r>
      <w:r w:rsidRPr="004B7736">
        <w:rPr>
          <w:rFonts w:ascii="Times New Roman" w:hAnsi="Times New Roman"/>
          <w:szCs w:val="24"/>
        </w:rPr>
        <w:t xml:space="preserve">. This will include both cultural heritage activities, those more directly linked to development and the promotion of European culture. </w:t>
      </w:r>
      <w:r w:rsidR="00EA26E2" w:rsidRPr="004B7736">
        <w:rPr>
          <w:rFonts w:ascii="Times New Roman" w:hAnsi="Times New Roman"/>
          <w:szCs w:val="24"/>
        </w:rPr>
        <w:t>European Union</w:t>
      </w:r>
      <w:r w:rsidRPr="004B7736">
        <w:rPr>
          <w:rFonts w:ascii="Times New Roman" w:hAnsi="Times New Roman"/>
          <w:szCs w:val="24"/>
        </w:rPr>
        <w:t xml:space="preserve"> work on </w:t>
      </w:r>
      <w:r w:rsidR="00A71361" w:rsidRPr="004B7736">
        <w:rPr>
          <w:rFonts w:ascii="Times New Roman" w:hAnsi="Times New Roman"/>
          <w:szCs w:val="24"/>
        </w:rPr>
        <w:t>culture</w:t>
      </w:r>
      <w:r w:rsidRPr="004B7736">
        <w:rPr>
          <w:rFonts w:ascii="Times New Roman" w:hAnsi="Times New Roman"/>
          <w:szCs w:val="24"/>
        </w:rPr>
        <w:t xml:space="preserve"> will be supported by </w:t>
      </w:r>
      <w:r w:rsidR="00E92CEC">
        <w:rPr>
          <w:rFonts w:ascii="Times New Roman" w:hAnsi="Times New Roman"/>
          <w:szCs w:val="24"/>
        </w:rPr>
        <w:t>Italy and</w:t>
      </w:r>
      <w:r w:rsidR="00181676" w:rsidRPr="004B7736">
        <w:rPr>
          <w:rFonts w:ascii="Times New Roman" w:hAnsi="Times New Roman"/>
          <w:szCs w:val="24"/>
        </w:rPr>
        <w:t xml:space="preserve"> France.</w:t>
      </w:r>
      <w:r w:rsidRPr="004B7736">
        <w:rPr>
          <w:rFonts w:ascii="Times New Roman" w:hAnsi="Times New Roman"/>
          <w:szCs w:val="24"/>
        </w:rPr>
        <w:t xml:space="preserve"> The indicative annual financial contributions of European </w:t>
      </w:r>
      <w:r w:rsidR="00181676" w:rsidRPr="004B7736">
        <w:rPr>
          <w:rFonts w:ascii="Times New Roman" w:hAnsi="Times New Roman"/>
          <w:szCs w:val="24"/>
        </w:rPr>
        <w:t xml:space="preserve">Union </w:t>
      </w:r>
      <w:r w:rsidRPr="004B7736">
        <w:rPr>
          <w:rFonts w:ascii="Times New Roman" w:hAnsi="Times New Roman"/>
          <w:szCs w:val="24"/>
        </w:rPr>
        <w:t>d</w:t>
      </w:r>
      <w:r w:rsidR="00181676" w:rsidRPr="004B7736">
        <w:rPr>
          <w:rFonts w:ascii="Times New Roman" w:hAnsi="Times New Roman"/>
          <w:szCs w:val="24"/>
        </w:rPr>
        <w:t>evelopment partners</w:t>
      </w:r>
      <w:r w:rsidRPr="004B7736">
        <w:rPr>
          <w:rFonts w:ascii="Times New Roman" w:hAnsi="Times New Roman"/>
          <w:szCs w:val="24"/>
        </w:rPr>
        <w:t xml:space="preserve"> </w:t>
      </w:r>
      <w:r w:rsidR="008C27BA">
        <w:rPr>
          <w:rFonts w:ascii="Times New Roman" w:hAnsi="Times New Roman"/>
          <w:szCs w:val="24"/>
        </w:rPr>
        <w:t xml:space="preserve">towards </w:t>
      </w:r>
      <w:r w:rsidR="008C27BA" w:rsidRPr="008C27BA">
        <w:rPr>
          <w:rFonts w:ascii="Times New Roman" w:hAnsi="Times New Roman"/>
          <w:b/>
          <w:szCs w:val="24"/>
        </w:rPr>
        <w:t>cultural cooperation</w:t>
      </w:r>
      <w:r w:rsidR="008C27BA">
        <w:rPr>
          <w:rFonts w:ascii="Times New Roman" w:hAnsi="Times New Roman"/>
          <w:szCs w:val="24"/>
        </w:rPr>
        <w:t xml:space="preserve"> </w:t>
      </w:r>
      <w:r w:rsidRPr="004B7736">
        <w:rPr>
          <w:rFonts w:ascii="Times New Roman" w:hAnsi="Times New Roman"/>
          <w:szCs w:val="24"/>
        </w:rPr>
        <w:t>are as follows:</w:t>
      </w:r>
    </w:p>
    <w:p w14:paraId="3E40D50D" w14:textId="27CFDCE4" w:rsidR="00CC5381" w:rsidRPr="004B7736" w:rsidRDefault="00CC5381" w:rsidP="00CC5381">
      <w:pPr>
        <w:pStyle w:val="Body1"/>
        <w:numPr>
          <w:ilvl w:val="0"/>
          <w:numId w:val="18"/>
        </w:numPr>
        <w:tabs>
          <w:tab w:val="clear" w:pos="360"/>
          <w:tab w:val="num" w:pos="720"/>
        </w:tabs>
        <w:ind w:left="720" w:hanging="360"/>
        <w:jc w:val="both"/>
        <w:rPr>
          <w:rFonts w:ascii="Times New Roman" w:hAnsi="Times New Roman"/>
          <w:szCs w:val="24"/>
        </w:rPr>
      </w:pPr>
      <w:r w:rsidRPr="004B7736">
        <w:rPr>
          <w:rFonts w:ascii="Times New Roman" w:hAnsi="Times New Roman"/>
          <w:szCs w:val="24"/>
        </w:rPr>
        <w:t xml:space="preserve">France: </w:t>
      </w:r>
      <w:r w:rsidR="005432EE">
        <w:rPr>
          <w:rFonts w:ascii="Times New Roman" w:hAnsi="Times New Roman"/>
          <w:szCs w:val="24"/>
        </w:rPr>
        <w:t>€300,000 / year</w:t>
      </w:r>
      <w:r w:rsidR="009744CB">
        <w:rPr>
          <w:rFonts w:ascii="Times New Roman" w:hAnsi="Times New Roman"/>
          <w:szCs w:val="24"/>
        </w:rPr>
        <w:t>.</w:t>
      </w:r>
    </w:p>
    <w:p w14:paraId="583A28B1" w14:textId="7592A0BE" w:rsidR="00CC5381" w:rsidRPr="00C64D13" w:rsidRDefault="00CC5381" w:rsidP="00CC5381">
      <w:pPr>
        <w:pStyle w:val="Body1"/>
        <w:numPr>
          <w:ilvl w:val="0"/>
          <w:numId w:val="18"/>
        </w:numPr>
        <w:tabs>
          <w:tab w:val="clear" w:pos="360"/>
          <w:tab w:val="num" w:pos="720"/>
        </w:tabs>
        <w:ind w:left="720" w:hanging="360"/>
        <w:jc w:val="both"/>
        <w:rPr>
          <w:rFonts w:ascii="Times New Roman" w:hAnsi="Times New Roman"/>
          <w:szCs w:val="24"/>
        </w:rPr>
      </w:pPr>
      <w:r w:rsidRPr="00C64D13">
        <w:rPr>
          <w:rFonts w:ascii="Times New Roman" w:hAnsi="Times New Roman"/>
          <w:szCs w:val="24"/>
        </w:rPr>
        <w:t>Italy:</w:t>
      </w:r>
      <w:r w:rsidR="00B06E2A" w:rsidRPr="00C64D13">
        <w:rPr>
          <w:rFonts w:ascii="Times New Roman" w:hAnsi="Times New Roman"/>
          <w:szCs w:val="24"/>
        </w:rPr>
        <w:t xml:space="preserve"> </w:t>
      </w:r>
      <w:r w:rsidR="001B7C75">
        <w:rPr>
          <w:rFonts w:ascii="Times New Roman" w:hAnsi="Times New Roman"/>
          <w:szCs w:val="24"/>
        </w:rPr>
        <w:t>€1,000,000 / 2014</w:t>
      </w:r>
    </w:p>
    <w:p w14:paraId="0B50C3A0" w14:textId="77777777" w:rsidR="00234020" w:rsidRDefault="00234020" w:rsidP="00D00B90">
      <w:pPr>
        <w:pStyle w:val="Body1"/>
        <w:ind w:firstLine="360"/>
        <w:rPr>
          <w:rFonts w:ascii="Times New Roman" w:hAnsi="Times New Roman"/>
          <w:szCs w:val="24"/>
          <w:shd w:val="clear" w:color="auto" w:fill="FFFF00"/>
        </w:rPr>
      </w:pPr>
    </w:p>
    <w:p w14:paraId="4A37E764" w14:textId="4D65CFA9" w:rsidR="00394026" w:rsidRPr="00F11AB0" w:rsidRDefault="000401D8" w:rsidP="00D00B90">
      <w:pPr>
        <w:pStyle w:val="Body1"/>
        <w:ind w:firstLine="720"/>
        <w:rPr>
          <w:rFonts w:ascii="Times New Roman" w:hAnsi="Times New Roman"/>
          <w:b/>
          <w:szCs w:val="24"/>
        </w:rPr>
      </w:pPr>
      <w:r>
        <w:rPr>
          <w:rFonts w:ascii="Times New Roman" w:hAnsi="Times New Roman"/>
          <w:b/>
          <w:szCs w:val="24"/>
        </w:rPr>
        <w:t>7</w:t>
      </w:r>
      <w:r w:rsidR="00394026" w:rsidRPr="00F11AB0">
        <w:rPr>
          <w:rFonts w:ascii="Times New Roman" w:hAnsi="Times New Roman"/>
          <w:b/>
          <w:szCs w:val="24"/>
        </w:rPr>
        <w:t>. Risk Assessment</w:t>
      </w:r>
    </w:p>
    <w:p w14:paraId="5DB4C00B" w14:textId="77777777" w:rsidR="00394026" w:rsidRPr="00F11AB0" w:rsidRDefault="00394026">
      <w:pPr>
        <w:pStyle w:val="Body1"/>
        <w:jc w:val="both"/>
        <w:rPr>
          <w:rFonts w:ascii="Times New Roman" w:hAnsi="Times New Roman"/>
          <w:szCs w:val="24"/>
        </w:rPr>
      </w:pPr>
      <w:r w:rsidRPr="00F11AB0">
        <w:rPr>
          <w:rFonts w:ascii="Times New Roman" w:hAnsi="Times New Roman"/>
          <w:szCs w:val="24"/>
        </w:rPr>
        <w:t>The above-mentioned Political Economy Analysis identified a number of risks to the reform process going forward. These are summarised in the following matrix:</w:t>
      </w:r>
    </w:p>
    <w:tbl>
      <w:tblPr>
        <w:tblW w:w="0" w:type="auto"/>
        <w:tblInd w:w="5" w:type="dxa"/>
        <w:shd w:val="clear" w:color="auto" w:fill="FFFFFF"/>
        <w:tblLayout w:type="fixed"/>
        <w:tblLook w:val="0000" w:firstRow="0" w:lastRow="0" w:firstColumn="0" w:lastColumn="0" w:noHBand="0" w:noVBand="0"/>
      </w:tblPr>
      <w:tblGrid>
        <w:gridCol w:w="3078"/>
        <w:gridCol w:w="3078"/>
        <w:gridCol w:w="3079"/>
      </w:tblGrid>
      <w:tr w:rsidR="00394026" w:rsidRPr="00F11AB0" w14:paraId="3A177103"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E0E0E0"/>
            <w:tcMar>
              <w:top w:w="80" w:type="dxa"/>
              <w:left w:w="0" w:type="dxa"/>
              <w:bottom w:w="80" w:type="dxa"/>
              <w:right w:w="0" w:type="dxa"/>
            </w:tcMar>
            <w:vAlign w:val="center"/>
          </w:tcPr>
          <w:p w14:paraId="7A38423B" w14:textId="77777777" w:rsidR="00394026" w:rsidRPr="00F11AB0" w:rsidRDefault="00394026">
            <w:pPr>
              <w:jc w:val="center"/>
              <w:outlineLvl w:val="0"/>
              <w:rPr>
                <w:rFonts w:eastAsia="Arial Unicode MS"/>
                <w:color w:val="000000"/>
                <w:u w:color="000000"/>
                <w:lang w:val="en-GB"/>
              </w:rPr>
            </w:pPr>
            <w:r w:rsidRPr="00F11AB0">
              <w:rPr>
                <w:rFonts w:eastAsia="Arial Unicode MS"/>
                <w:color w:val="000000"/>
                <w:u w:color="000000"/>
                <w:lang w:val="en-GB"/>
              </w:rPr>
              <w:t>Risk</w:t>
            </w:r>
          </w:p>
        </w:tc>
        <w:tc>
          <w:tcPr>
            <w:tcW w:w="3078" w:type="dxa"/>
            <w:tcBorders>
              <w:top w:val="single" w:sz="4" w:space="0" w:color="000000"/>
              <w:left w:val="single" w:sz="4" w:space="0" w:color="000000"/>
              <w:bottom w:val="single" w:sz="4" w:space="0" w:color="000000"/>
              <w:right w:val="single" w:sz="4" w:space="0" w:color="000000"/>
            </w:tcBorders>
            <w:shd w:val="clear" w:color="auto" w:fill="E0E0E0"/>
            <w:tcMar>
              <w:top w:w="80" w:type="dxa"/>
              <w:left w:w="0" w:type="dxa"/>
              <w:bottom w:w="80" w:type="dxa"/>
              <w:right w:w="0" w:type="dxa"/>
            </w:tcMar>
            <w:vAlign w:val="center"/>
          </w:tcPr>
          <w:p w14:paraId="5B51C246" w14:textId="77777777" w:rsidR="00394026" w:rsidRPr="00F11AB0" w:rsidRDefault="00394026">
            <w:pPr>
              <w:jc w:val="center"/>
              <w:outlineLvl w:val="0"/>
              <w:rPr>
                <w:rFonts w:eastAsia="Arial Unicode MS"/>
                <w:color w:val="000000"/>
                <w:u w:color="000000"/>
                <w:lang w:val="en-GB"/>
              </w:rPr>
            </w:pPr>
            <w:r w:rsidRPr="00F11AB0">
              <w:rPr>
                <w:rFonts w:eastAsia="Arial Unicode MS"/>
                <w:color w:val="000000"/>
                <w:u w:color="000000"/>
                <w:lang w:val="en-GB"/>
              </w:rPr>
              <w:t>Probability</w:t>
            </w:r>
          </w:p>
        </w:tc>
        <w:tc>
          <w:tcPr>
            <w:tcW w:w="3079" w:type="dxa"/>
            <w:tcBorders>
              <w:top w:val="single" w:sz="4" w:space="0" w:color="000000"/>
              <w:left w:val="single" w:sz="4" w:space="0" w:color="000000"/>
              <w:bottom w:val="single" w:sz="4" w:space="0" w:color="000000"/>
              <w:right w:val="single" w:sz="4" w:space="0" w:color="000000"/>
            </w:tcBorders>
            <w:shd w:val="clear" w:color="auto" w:fill="E0E0E0"/>
            <w:tcMar>
              <w:top w:w="80" w:type="dxa"/>
              <w:left w:w="0" w:type="dxa"/>
              <w:bottom w:w="80" w:type="dxa"/>
              <w:right w:w="0" w:type="dxa"/>
            </w:tcMar>
            <w:vAlign w:val="center"/>
          </w:tcPr>
          <w:p w14:paraId="6A96E68C" w14:textId="77777777" w:rsidR="00394026" w:rsidRPr="00F11AB0" w:rsidRDefault="00394026">
            <w:pPr>
              <w:jc w:val="center"/>
              <w:outlineLvl w:val="0"/>
              <w:rPr>
                <w:rFonts w:eastAsia="Arial Unicode MS"/>
                <w:color w:val="000000"/>
                <w:u w:color="000000"/>
                <w:lang w:val="en-GB"/>
              </w:rPr>
            </w:pPr>
            <w:r w:rsidRPr="00F11AB0">
              <w:rPr>
                <w:rFonts w:eastAsia="Arial Unicode MS"/>
                <w:color w:val="000000"/>
                <w:u w:color="000000"/>
                <w:lang w:val="en-GB"/>
              </w:rPr>
              <w:t>Impact</w:t>
            </w:r>
          </w:p>
        </w:tc>
      </w:tr>
      <w:tr w:rsidR="00394026" w:rsidRPr="00F11AB0" w14:paraId="5CF31C21"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574600" w14:textId="77777777" w:rsidR="00394026" w:rsidRPr="00F11AB0" w:rsidRDefault="00394026">
            <w:pPr>
              <w:widowControl w:val="0"/>
              <w:spacing w:before="120"/>
              <w:outlineLvl w:val="0"/>
              <w:rPr>
                <w:rFonts w:eastAsia="Arial Unicode MS"/>
                <w:color w:val="000000"/>
                <w:u w:color="000000"/>
                <w:lang w:val="en-GB"/>
              </w:rPr>
            </w:pPr>
          </w:p>
          <w:p w14:paraId="1F253389"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Continuation or resumption of serious armed conflict</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36D7D2" w14:textId="77777777" w:rsidR="00394026" w:rsidRPr="00F11AB0" w:rsidRDefault="00394026">
            <w:pPr>
              <w:widowControl w:val="0"/>
              <w:spacing w:before="120"/>
              <w:outlineLvl w:val="0"/>
              <w:rPr>
                <w:rFonts w:eastAsia="Arial Unicode MS"/>
                <w:color w:val="000000"/>
                <w:u w:color="000000"/>
                <w:lang w:val="en-GB"/>
              </w:rPr>
            </w:pPr>
          </w:p>
          <w:p w14:paraId="60029750"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High (in Kachin)</w:t>
            </w:r>
          </w:p>
          <w:p w14:paraId="5E73B3FF" w14:textId="77777777" w:rsidR="00394026" w:rsidRPr="00F11AB0" w:rsidRDefault="00394026">
            <w:pPr>
              <w:widowControl w:val="0"/>
              <w:spacing w:before="120"/>
              <w:outlineLvl w:val="0"/>
              <w:rPr>
                <w:rFonts w:eastAsia="Arial Unicode MS"/>
                <w:color w:val="000000"/>
                <w:u w:color="000000"/>
                <w:lang w:val="en-GB"/>
              </w:rPr>
            </w:pPr>
          </w:p>
          <w:p w14:paraId="17CD38F9"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 (elsewhere)</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70F5B2F" w14:textId="77777777" w:rsidR="00394026" w:rsidRPr="00F11AB0" w:rsidRDefault="00394026">
            <w:pPr>
              <w:widowControl w:val="0"/>
              <w:spacing w:before="120"/>
              <w:outlineLvl w:val="0"/>
              <w:rPr>
                <w:rFonts w:eastAsia="Arial Unicode MS"/>
                <w:color w:val="000000"/>
                <w:u w:color="000000"/>
                <w:lang w:val="en-GB"/>
              </w:rPr>
            </w:pPr>
          </w:p>
          <w:p w14:paraId="6329F2CA"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Medium </w:t>
            </w:r>
          </w:p>
          <w:p w14:paraId="5B540B9E" w14:textId="77777777" w:rsidR="00394026" w:rsidRPr="00F11AB0" w:rsidRDefault="00394026">
            <w:pPr>
              <w:widowControl w:val="0"/>
              <w:spacing w:before="120"/>
              <w:outlineLvl w:val="0"/>
              <w:rPr>
                <w:rFonts w:eastAsia="Arial Unicode MS"/>
                <w:color w:val="000000"/>
                <w:u w:color="000000"/>
                <w:lang w:val="en-GB"/>
              </w:rPr>
            </w:pPr>
          </w:p>
          <w:p w14:paraId="424E9D3E"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High </w:t>
            </w:r>
          </w:p>
        </w:tc>
      </w:tr>
      <w:tr w:rsidR="00394026" w:rsidRPr="00F11AB0" w14:paraId="18A97F9B"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8AF833" w14:textId="77777777" w:rsidR="00394026" w:rsidRPr="00F11AB0" w:rsidRDefault="00394026">
            <w:pPr>
              <w:widowControl w:val="0"/>
              <w:spacing w:before="120"/>
              <w:outlineLvl w:val="0"/>
              <w:rPr>
                <w:rFonts w:eastAsia="Arial Unicode MS"/>
                <w:color w:val="000000"/>
                <w:u w:color="000000"/>
                <w:lang w:val="en-GB"/>
              </w:rPr>
            </w:pPr>
          </w:p>
          <w:p w14:paraId="6F60B10A"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Further outbreaks of serious inter-communal violence</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74B7DA" w14:textId="77777777" w:rsidR="00394026" w:rsidRPr="00F11AB0" w:rsidRDefault="00394026">
            <w:pPr>
              <w:widowControl w:val="0"/>
              <w:spacing w:before="120"/>
              <w:outlineLvl w:val="0"/>
              <w:rPr>
                <w:rFonts w:eastAsia="Arial Unicode MS"/>
                <w:color w:val="000000"/>
                <w:u w:color="000000"/>
                <w:lang w:val="en-GB"/>
              </w:rPr>
            </w:pPr>
          </w:p>
          <w:p w14:paraId="77BE23B2"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High (in Rakhine)</w:t>
            </w:r>
          </w:p>
          <w:p w14:paraId="546C6D75" w14:textId="77777777" w:rsidR="00394026" w:rsidRPr="00F11AB0" w:rsidRDefault="00394026">
            <w:pPr>
              <w:widowControl w:val="0"/>
              <w:spacing w:before="120"/>
              <w:outlineLvl w:val="0"/>
              <w:rPr>
                <w:rFonts w:eastAsia="Arial Unicode MS"/>
                <w:color w:val="000000"/>
                <w:u w:color="000000"/>
                <w:lang w:val="en-GB"/>
              </w:rPr>
            </w:pPr>
          </w:p>
          <w:p w14:paraId="5EAFFCD7"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Medium-Low (elsewhere)</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83AE0E" w14:textId="77777777" w:rsidR="00394026" w:rsidRPr="00F11AB0" w:rsidRDefault="00394026">
            <w:pPr>
              <w:widowControl w:val="0"/>
              <w:spacing w:before="120"/>
              <w:outlineLvl w:val="0"/>
              <w:rPr>
                <w:rFonts w:eastAsia="Arial Unicode MS"/>
                <w:color w:val="000000"/>
                <w:u w:color="000000"/>
                <w:lang w:val="en-GB"/>
              </w:rPr>
            </w:pPr>
          </w:p>
          <w:p w14:paraId="76B922C7"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Medium-High </w:t>
            </w:r>
          </w:p>
          <w:p w14:paraId="37782860" w14:textId="77777777" w:rsidR="00394026" w:rsidRPr="00F11AB0" w:rsidRDefault="00394026">
            <w:pPr>
              <w:widowControl w:val="0"/>
              <w:spacing w:before="120"/>
              <w:outlineLvl w:val="0"/>
              <w:rPr>
                <w:rFonts w:eastAsia="Arial Unicode MS"/>
                <w:color w:val="000000"/>
                <w:u w:color="000000"/>
                <w:lang w:val="en-GB"/>
              </w:rPr>
            </w:pPr>
          </w:p>
          <w:p w14:paraId="17B1BCED"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 xml:space="preserve">High </w:t>
            </w:r>
          </w:p>
        </w:tc>
      </w:tr>
      <w:tr w:rsidR="00394026" w:rsidRPr="00F11AB0" w14:paraId="79B38889"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9116EE" w14:textId="77777777" w:rsidR="00394026" w:rsidRPr="00F11AB0" w:rsidRDefault="00394026">
            <w:pPr>
              <w:widowControl w:val="0"/>
              <w:spacing w:before="120"/>
              <w:outlineLvl w:val="0"/>
              <w:rPr>
                <w:rFonts w:eastAsia="Arial Unicode MS"/>
                <w:color w:val="000000"/>
                <w:u w:color="000000"/>
                <w:lang w:val="en-GB"/>
              </w:rPr>
            </w:pPr>
          </w:p>
          <w:p w14:paraId="0E297617"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Reform progress vs. expectations gap leading to public protest and instability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A40AB9" w14:textId="77777777" w:rsidR="00394026" w:rsidRPr="00F11AB0" w:rsidRDefault="00394026">
            <w:pPr>
              <w:spacing w:before="120"/>
              <w:jc w:val="both"/>
              <w:outlineLvl w:val="0"/>
              <w:rPr>
                <w:rFonts w:eastAsia="Arial Unicode MS"/>
                <w:color w:val="000000"/>
                <w:u w:color="000000"/>
                <w:lang w:val="en-GB"/>
              </w:rPr>
            </w:pPr>
          </w:p>
          <w:p w14:paraId="1B3C4828"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A8DE0D" w14:textId="77777777" w:rsidR="00394026" w:rsidRPr="00F11AB0" w:rsidRDefault="00394026">
            <w:pPr>
              <w:spacing w:before="120"/>
              <w:jc w:val="both"/>
              <w:outlineLvl w:val="0"/>
              <w:rPr>
                <w:rFonts w:eastAsia="Arial Unicode MS"/>
                <w:color w:val="000000"/>
                <w:u w:color="000000"/>
                <w:lang w:val="en-GB"/>
              </w:rPr>
            </w:pPr>
          </w:p>
          <w:p w14:paraId="535B896A"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Medium-High</w:t>
            </w:r>
          </w:p>
        </w:tc>
      </w:tr>
      <w:tr w:rsidR="00394026" w:rsidRPr="00F11AB0" w14:paraId="1219DCD5"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89F896" w14:textId="77777777" w:rsidR="00394026" w:rsidRPr="00F11AB0" w:rsidRDefault="00394026">
            <w:pPr>
              <w:widowControl w:val="0"/>
              <w:spacing w:before="120"/>
              <w:outlineLvl w:val="0"/>
              <w:rPr>
                <w:rFonts w:eastAsia="Arial Unicode MS"/>
                <w:color w:val="000000"/>
                <w:u w:color="000000"/>
                <w:lang w:val="en-GB"/>
              </w:rPr>
            </w:pPr>
          </w:p>
          <w:p w14:paraId="03128669"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Economic shocks negatively impacting on livelihoods (e.g. high exchange rate / inflation)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BB1D9E" w14:textId="77777777" w:rsidR="00394026" w:rsidRPr="00F11AB0" w:rsidRDefault="00394026">
            <w:pPr>
              <w:spacing w:before="120"/>
              <w:jc w:val="both"/>
              <w:outlineLvl w:val="0"/>
              <w:rPr>
                <w:rFonts w:eastAsia="Arial Unicode MS"/>
                <w:color w:val="000000"/>
                <w:u w:color="000000"/>
                <w:lang w:val="en-GB"/>
              </w:rPr>
            </w:pPr>
          </w:p>
          <w:p w14:paraId="3D6C2E70"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3E48CA" w14:textId="77777777" w:rsidR="00394026" w:rsidRPr="00F11AB0" w:rsidRDefault="00394026">
            <w:pPr>
              <w:spacing w:before="120"/>
              <w:jc w:val="both"/>
              <w:outlineLvl w:val="0"/>
              <w:rPr>
                <w:rFonts w:eastAsia="Arial Unicode MS"/>
                <w:color w:val="000000"/>
                <w:u w:color="000000"/>
                <w:lang w:val="en-GB"/>
              </w:rPr>
            </w:pPr>
          </w:p>
          <w:p w14:paraId="427B5FE0"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Medium-High</w:t>
            </w:r>
          </w:p>
        </w:tc>
      </w:tr>
      <w:tr w:rsidR="00394026" w:rsidRPr="00F11AB0" w14:paraId="3ADEFAD5"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39A3A9" w14:textId="77777777" w:rsidR="00394026" w:rsidRPr="00F11AB0" w:rsidRDefault="00394026">
            <w:pPr>
              <w:widowControl w:val="0"/>
              <w:spacing w:before="120"/>
              <w:outlineLvl w:val="0"/>
              <w:rPr>
                <w:rFonts w:eastAsia="Arial Unicode MS"/>
                <w:color w:val="000000"/>
                <w:u w:color="000000"/>
                <w:lang w:val="en-GB"/>
              </w:rPr>
            </w:pPr>
          </w:p>
          <w:p w14:paraId="0F483A6D"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Rise in equality that further entrenches the elite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F62BA2" w14:textId="77777777" w:rsidR="00394026" w:rsidRPr="00F11AB0" w:rsidRDefault="00394026">
            <w:pPr>
              <w:spacing w:before="120"/>
              <w:jc w:val="both"/>
              <w:outlineLvl w:val="0"/>
              <w:rPr>
                <w:rFonts w:eastAsia="Arial Unicode MS"/>
                <w:color w:val="000000"/>
                <w:u w:color="000000"/>
                <w:lang w:val="en-GB"/>
              </w:rPr>
            </w:pPr>
          </w:p>
          <w:p w14:paraId="5EF4BCFE"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033FA0" w14:textId="77777777" w:rsidR="00394026" w:rsidRPr="00F11AB0" w:rsidRDefault="00394026">
            <w:pPr>
              <w:spacing w:before="120"/>
              <w:jc w:val="both"/>
              <w:outlineLvl w:val="0"/>
              <w:rPr>
                <w:rFonts w:eastAsia="Arial Unicode MS"/>
                <w:color w:val="000000"/>
                <w:u w:color="000000"/>
                <w:lang w:val="en-GB"/>
              </w:rPr>
            </w:pPr>
          </w:p>
          <w:p w14:paraId="0DACD7C9"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Medium-High</w:t>
            </w:r>
          </w:p>
        </w:tc>
      </w:tr>
      <w:tr w:rsidR="00394026" w:rsidRPr="00F11AB0" w14:paraId="7CA1C00B"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499BCB" w14:textId="77777777" w:rsidR="00394026" w:rsidRPr="00F11AB0" w:rsidRDefault="00394026">
            <w:pPr>
              <w:widowControl w:val="0"/>
              <w:spacing w:before="120"/>
              <w:outlineLvl w:val="0"/>
              <w:rPr>
                <w:rFonts w:eastAsia="Arial Unicode MS"/>
                <w:color w:val="000000"/>
                <w:u w:color="000000"/>
                <w:lang w:val="en-GB"/>
              </w:rPr>
            </w:pPr>
          </w:p>
          <w:p w14:paraId="7DEA6920"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Rise in social tensions leading to state-society</w:t>
            </w:r>
          </w:p>
          <w:p w14:paraId="24CFDB2D"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conflict (e.g. radicalisation of social or labour movements)</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180C36" w14:textId="77777777" w:rsidR="00394026" w:rsidRPr="00F11AB0" w:rsidRDefault="00394026">
            <w:pPr>
              <w:spacing w:before="120"/>
              <w:jc w:val="both"/>
              <w:outlineLvl w:val="0"/>
              <w:rPr>
                <w:rFonts w:eastAsia="Arial Unicode MS"/>
                <w:color w:val="000000"/>
                <w:u w:color="000000"/>
                <w:lang w:val="en-GB"/>
              </w:rPr>
            </w:pPr>
          </w:p>
          <w:p w14:paraId="16995CAB"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84D8ED" w14:textId="77777777" w:rsidR="00394026" w:rsidRPr="00F11AB0" w:rsidRDefault="00394026">
            <w:pPr>
              <w:spacing w:before="120"/>
              <w:jc w:val="both"/>
              <w:outlineLvl w:val="0"/>
              <w:rPr>
                <w:rFonts w:eastAsia="Arial Unicode MS"/>
                <w:color w:val="000000"/>
                <w:u w:color="000000"/>
                <w:lang w:val="en-GB"/>
              </w:rPr>
            </w:pPr>
          </w:p>
          <w:p w14:paraId="4782B68B"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w:t>
            </w:r>
          </w:p>
        </w:tc>
      </w:tr>
      <w:tr w:rsidR="00394026" w:rsidRPr="00F11AB0" w14:paraId="7078B154"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451661F" w14:textId="77777777" w:rsidR="00394026" w:rsidRPr="00F11AB0" w:rsidRDefault="00394026">
            <w:pPr>
              <w:widowControl w:val="0"/>
              <w:spacing w:before="120"/>
              <w:outlineLvl w:val="0"/>
              <w:rPr>
                <w:rFonts w:eastAsia="Arial Unicode MS"/>
                <w:color w:val="000000"/>
                <w:u w:color="000000"/>
                <w:lang w:val="en-GB"/>
              </w:rPr>
            </w:pPr>
          </w:p>
          <w:p w14:paraId="21C7A47B"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Political tensions around 2015 elections that undermine a smooth transition</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FDC7C6" w14:textId="77777777" w:rsidR="00394026" w:rsidRPr="00F11AB0" w:rsidRDefault="00394026">
            <w:pPr>
              <w:spacing w:before="120"/>
              <w:jc w:val="both"/>
              <w:outlineLvl w:val="0"/>
              <w:rPr>
                <w:rFonts w:eastAsia="Arial Unicode MS"/>
                <w:color w:val="000000"/>
                <w:u w:color="000000"/>
                <w:lang w:val="en-GB"/>
              </w:rPr>
            </w:pPr>
          </w:p>
          <w:p w14:paraId="5CE5962C"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Medium-Low</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BF0C5F" w14:textId="77777777" w:rsidR="00394026" w:rsidRPr="00F11AB0" w:rsidRDefault="00394026">
            <w:pPr>
              <w:spacing w:before="120"/>
              <w:jc w:val="both"/>
              <w:outlineLvl w:val="0"/>
              <w:rPr>
                <w:rFonts w:eastAsia="Arial Unicode MS"/>
                <w:color w:val="000000"/>
                <w:u w:color="000000"/>
                <w:lang w:val="en-GB"/>
              </w:rPr>
            </w:pPr>
          </w:p>
          <w:p w14:paraId="324A890E"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High</w:t>
            </w:r>
          </w:p>
        </w:tc>
      </w:tr>
      <w:tr w:rsidR="00394026" w:rsidRPr="00F11AB0" w14:paraId="03827B82" w14:textId="77777777">
        <w:trPr>
          <w:cantSplit/>
          <w:trHeight w:val="350"/>
        </w:trPr>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37DC26" w14:textId="77777777" w:rsidR="00394026" w:rsidRPr="00F11AB0" w:rsidRDefault="00394026">
            <w:pPr>
              <w:widowControl w:val="0"/>
              <w:spacing w:before="120"/>
              <w:outlineLvl w:val="0"/>
              <w:rPr>
                <w:rFonts w:eastAsia="Arial Unicode MS"/>
                <w:color w:val="000000"/>
                <w:u w:color="000000"/>
                <w:lang w:val="en-GB"/>
              </w:rPr>
            </w:pPr>
          </w:p>
          <w:p w14:paraId="370588BA"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Declining rural livelihoods catalysing urbanisation and social dislocation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5B2920" w14:textId="77777777" w:rsidR="00394026" w:rsidRPr="00F11AB0" w:rsidRDefault="00394026">
            <w:pPr>
              <w:widowControl w:val="0"/>
              <w:spacing w:before="120"/>
              <w:outlineLvl w:val="0"/>
              <w:rPr>
                <w:rFonts w:eastAsia="Arial Unicode MS"/>
                <w:color w:val="000000"/>
                <w:u w:color="000000"/>
                <w:lang w:val="en-GB"/>
              </w:rPr>
            </w:pPr>
          </w:p>
          <w:p w14:paraId="46459D7F" w14:textId="77777777" w:rsidR="00394026" w:rsidRPr="00F11AB0" w:rsidRDefault="00394026">
            <w:pPr>
              <w:widowControl w:val="0"/>
              <w:spacing w:before="120"/>
              <w:outlineLvl w:val="0"/>
              <w:rPr>
                <w:rFonts w:eastAsia="Arial Unicode MS"/>
                <w:color w:val="000000"/>
                <w:u w:color="000000"/>
                <w:lang w:val="en-GB"/>
              </w:rPr>
            </w:pPr>
            <w:r w:rsidRPr="00F11AB0">
              <w:rPr>
                <w:rFonts w:eastAsia="Arial Unicode MS"/>
                <w:color w:val="000000"/>
                <w:u w:color="000000"/>
                <w:lang w:val="en-GB"/>
              </w:rPr>
              <w:t xml:space="preserve">Medium-Low </w:t>
            </w:r>
          </w:p>
        </w:tc>
        <w:tc>
          <w:tcPr>
            <w:tcW w:w="30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7B7E80D" w14:textId="77777777" w:rsidR="00394026" w:rsidRPr="00F11AB0" w:rsidRDefault="00394026">
            <w:pPr>
              <w:spacing w:before="120"/>
              <w:jc w:val="both"/>
              <w:outlineLvl w:val="0"/>
              <w:rPr>
                <w:rFonts w:eastAsia="Arial Unicode MS"/>
                <w:color w:val="000000"/>
                <w:u w:color="000000"/>
                <w:lang w:val="en-GB"/>
              </w:rPr>
            </w:pPr>
          </w:p>
          <w:p w14:paraId="654E2F89" w14:textId="77777777" w:rsidR="00394026" w:rsidRPr="00F11AB0" w:rsidRDefault="00394026">
            <w:pPr>
              <w:spacing w:before="120"/>
              <w:jc w:val="both"/>
              <w:outlineLvl w:val="0"/>
              <w:rPr>
                <w:rFonts w:eastAsia="Arial Unicode MS"/>
                <w:color w:val="000000"/>
                <w:u w:color="000000"/>
                <w:lang w:val="en-GB"/>
              </w:rPr>
            </w:pPr>
            <w:r w:rsidRPr="00F11AB0">
              <w:rPr>
                <w:rFonts w:eastAsia="Arial Unicode MS"/>
                <w:color w:val="000000"/>
                <w:u w:color="000000"/>
                <w:lang w:val="en-GB"/>
              </w:rPr>
              <w:t>Medium-High</w:t>
            </w:r>
          </w:p>
        </w:tc>
      </w:tr>
    </w:tbl>
    <w:p w14:paraId="3FC8CA72" w14:textId="77777777" w:rsidR="00394026" w:rsidRPr="00F11AB0" w:rsidRDefault="00394026">
      <w:pPr>
        <w:pStyle w:val="Body1"/>
        <w:jc w:val="both"/>
        <w:rPr>
          <w:rFonts w:ascii="Times New Roman" w:hAnsi="Times New Roman"/>
          <w:szCs w:val="24"/>
        </w:rPr>
      </w:pPr>
    </w:p>
    <w:p w14:paraId="150B554D" w14:textId="77777777" w:rsidR="00394026" w:rsidRPr="00F11AB0" w:rsidRDefault="00394026">
      <w:pPr>
        <w:pStyle w:val="Body1"/>
        <w:jc w:val="both"/>
        <w:rPr>
          <w:rFonts w:ascii="Times New Roman" w:hAnsi="Times New Roman"/>
          <w:i/>
          <w:szCs w:val="24"/>
        </w:rPr>
      </w:pPr>
    </w:p>
    <w:p w14:paraId="6ED4354D" w14:textId="77777777" w:rsidR="00394026" w:rsidRPr="00F11AB0" w:rsidRDefault="00394026">
      <w:pPr>
        <w:pStyle w:val="Body1"/>
        <w:jc w:val="both"/>
        <w:rPr>
          <w:rFonts w:ascii="Times New Roman" w:hAnsi="Times New Roman"/>
          <w:szCs w:val="24"/>
        </w:rPr>
      </w:pPr>
      <w:r w:rsidRPr="00F11AB0">
        <w:rPr>
          <w:rFonts w:ascii="Times New Roman" w:hAnsi="Times New Roman"/>
          <w:szCs w:val="24"/>
        </w:rPr>
        <w:t xml:space="preserve">It is to be expected that the successful implementation of the present Strategy will help to </w:t>
      </w:r>
      <w:proofErr w:type="gramStart"/>
      <w:r w:rsidRPr="00F11AB0">
        <w:rPr>
          <w:rFonts w:ascii="Times New Roman" w:hAnsi="Times New Roman"/>
          <w:szCs w:val="24"/>
        </w:rPr>
        <w:t>mitigate</w:t>
      </w:r>
      <w:proofErr w:type="gramEnd"/>
      <w:r w:rsidRPr="00F11AB0">
        <w:rPr>
          <w:rFonts w:ascii="Times New Roman" w:hAnsi="Times New Roman"/>
          <w:szCs w:val="24"/>
        </w:rPr>
        <w:t xml:space="preserve"> against these risks. Nevertheless, along with other development partners, </w:t>
      </w:r>
      <w:r w:rsidR="00EA26E2">
        <w:rPr>
          <w:rFonts w:ascii="Times New Roman" w:hAnsi="Times New Roman"/>
          <w:szCs w:val="24"/>
        </w:rPr>
        <w:t>European Union</w:t>
      </w:r>
      <w:r w:rsidRPr="00F11AB0">
        <w:rPr>
          <w:rFonts w:ascii="Times New Roman" w:hAnsi="Times New Roman"/>
          <w:szCs w:val="24"/>
        </w:rPr>
        <w:t xml:space="preserve"> </w:t>
      </w:r>
      <w:r w:rsidR="00EA26E2">
        <w:rPr>
          <w:rFonts w:ascii="Times New Roman" w:hAnsi="Times New Roman"/>
          <w:szCs w:val="24"/>
        </w:rPr>
        <w:t>development partners</w:t>
      </w:r>
      <w:r w:rsidRPr="00F11AB0">
        <w:rPr>
          <w:rFonts w:ascii="Times New Roman" w:hAnsi="Times New Roman"/>
          <w:szCs w:val="24"/>
        </w:rPr>
        <w:t xml:space="preserve"> will continue to monitor the situation on the ground and be prepared to take additional actions where necessary. </w:t>
      </w:r>
    </w:p>
    <w:p w14:paraId="5E0DAC01" w14:textId="77777777" w:rsidR="00394026" w:rsidRPr="00F11AB0" w:rsidRDefault="00394026">
      <w:pPr>
        <w:pStyle w:val="Body1"/>
        <w:jc w:val="both"/>
        <w:rPr>
          <w:rFonts w:ascii="Times New Roman" w:hAnsi="Times New Roman"/>
          <w:b/>
          <w:szCs w:val="24"/>
        </w:rPr>
      </w:pPr>
    </w:p>
    <w:p w14:paraId="4D8C84E5" w14:textId="77777777" w:rsidR="00394026" w:rsidRPr="00F11AB0" w:rsidRDefault="000401D8">
      <w:pPr>
        <w:pStyle w:val="Body1"/>
        <w:jc w:val="center"/>
        <w:rPr>
          <w:rFonts w:ascii="Times New Roman" w:hAnsi="Times New Roman"/>
          <w:szCs w:val="24"/>
        </w:rPr>
      </w:pPr>
      <w:r>
        <w:rPr>
          <w:rFonts w:ascii="Times New Roman" w:hAnsi="Times New Roman"/>
          <w:b/>
          <w:szCs w:val="24"/>
        </w:rPr>
        <w:t>8</w:t>
      </w:r>
      <w:r w:rsidR="00394026" w:rsidRPr="00F11AB0">
        <w:rPr>
          <w:rFonts w:ascii="Times New Roman" w:hAnsi="Times New Roman"/>
          <w:b/>
          <w:szCs w:val="24"/>
        </w:rPr>
        <w:t>. Monitoring &amp; Evaluation</w:t>
      </w:r>
    </w:p>
    <w:p w14:paraId="22D31990" w14:textId="77777777" w:rsidR="00394026" w:rsidRPr="00F11AB0" w:rsidRDefault="00394026">
      <w:pPr>
        <w:pStyle w:val="Body1"/>
        <w:jc w:val="both"/>
        <w:rPr>
          <w:rFonts w:ascii="Times New Roman" w:hAnsi="Times New Roman"/>
          <w:szCs w:val="24"/>
        </w:rPr>
      </w:pPr>
      <w:r w:rsidRPr="00F11AB0">
        <w:rPr>
          <w:rFonts w:ascii="Times New Roman" w:hAnsi="Times New Roman"/>
          <w:szCs w:val="24"/>
        </w:rPr>
        <w:t xml:space="preserve">The FESR includes a commitment to establish a dedicated monitoring committee within the Ministry of National Planning and Economic Development. Respecting the principles of ownership and alignment, </w:t>
      </w:r>
      <w:r w:rsidR="00EA26E2">
        <w:rPr>
          <w:rFonts w:ascii="Times New Roman" w:hAnsi="Times New Roman"/>
          <w:szCs w:val="24"/>
        </w:rPr>
        <w:t>European Union</w:t>
      </w:r>
      <w:r w:rsidRPr="00F11AB0">
        <w:rPr>
          <w:rFonts w:ascii="Times New Roman" w:hAnsi="Times New Roman"/>
          <w:szCs w:val="24"/>
        </w:rPr>
        <w:t xml:space="preserve"> </w:t>
      </w:r>
      <w:r w:rsidR="00EA26E2">
        <w:rPr>
          <w:rFonts w:ascii="Times New Roman" w:hAnsi="Times New Roman"/>
          <w:szCs w:val="24"/>
        </w:rPr>
        <w:t>development partners</w:t>
      </w:r>
      <w:r w:rsidRPr="00F11AB0">
        <w:rPr>
          <w:rFonts w:ascii="Times New Roman" w:hAnsi="Times New Roman"/>
          <w:szCs w:val="24"/>
        </w:rPr>
        <w:t xml:space="preserve"> </w:t>
      </w:r>
      <w:r w:rsidR="00F56055">
        <w:rPr>
          <w:rFonts w:ascii="Times New Roman" w:hAnsi="Times New Roman"/>
          <w:szCs w:val="24"/>
        </w:rPr>
        <w:t xml:space="preserve">support the prompt establishment of the monitoring committee and </w:t>
      </w:r>
      <w:r w:rsidRPr="00F11AB0">
        <w:rPr>
          <w:rFonts w:ascii="Times New Roman" w:hAnsi="Times New Roman"/>
          <w:szCs w:val="24"/>
        </w:rPr>
        <w:t xml:space="preserve">will look to this body to provide monitoring and evaluation data, given that the present Strategy is designed to support the implementation of national reform plans. Reference will also be made to the monitoring of the Action Plan of </w:t>
      </w:r>
      <w:r w:rsidRPr="00F11AB0">
        <w:rPr>
          <w:rFonts w:ascii="Times New Roman" w:hAnsi="Times New Roman"/>
          <w:szCs w:val="24"/>
        </w:rPr>
        <w:lastRenderedPageBreak/>
        <w:t xml:space="preserve">the Nay Pyi Taw Accord for Effective Development Cooperation, given its coverage of an extensive range of reform and development effectiveness indicators and its endorsement by Government and all development partners. In this way we will not seek to create a parallel track of </w:t>
      </w:r>
      <w:r w:rsidR="00EA26E2">
        <w:rPr>
          <w:rFonts w:ascii="Times New Roman" w:hAnsi="Times New Roman"/>
          <w:szCs w:val="24"/>
        </w:rPr>
        <w:t>European Union</w:t>
      </w:r>
      <w:r w:rsidRPr="00F11AB0">
        <w:rPr>
          <w:rFonts w:ascii="Times New Roman" w:hAnsi="Times New Roman"/>
          <w:szCs w:val="24"/>
        </w:rPr>
        <w:t xml:space="preserve"> monitoring and evaluation but rather to reinforce the legitimacy of national processes. Supplementary information may however be obtained from relevant international processes such as: </w:t>
      </w:r>
    </w:p>
    <w:p w14:paraId="17887106"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 xml:space="preserve">Millennium Development Goals  </w:t>
      </w:r>
    </w:p>
    <w:p w14:paraId="6864A022"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Human Development Index</w:t>
      </w:r>
    </w:p>
    <w:p w14:paraId="776037F4"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GNI per capita</w:t>
      </w:r>
    </w:p>
    <w:p w14:paraId="414F724B"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Tax to GDP ratio</w:t>
      </w:r>
    </w:p>
    <w:p w14:paraId="1FE07B65"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 xml:space="preserve">Gini Index  </w:t>
      </w:r>
    </w:p>
    <w:p w14:paraId="01EA847F"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Poverty rate</w:t>
      </w:r>
    </w:p>
    <w:p w14:paraId="1CE9B576"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Life expectancy</w:t>
      </w:r>
    </w:p>
    <w:p w14:paraId="4CE3219F"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Public Expenditure and Financial Accountability (PEFA) assessments</w:t>
      </w:r>
    </w:p>
    <w:p w14:paraId="408DB29E"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The World Bank’s Country Policy and Institutional Assessment (CPIA)</w:t>
      </w:r>
    </w:p>
    <w:p w14:paraId="170A39C8"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 xml:space="preserve">The World Bank’s “Doing Business” report </w:t>
      </w:r>
    </w:p>
    <w:p w14:paraId="7E577416"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 xml:space="preserve">Transparency International’s Corruption Perception Index (CPI) </w:t>
      </w:r>
    </w:p>
    <w:p w14:paraId="7C0D664D" w14:textId="77777777" w:rsidR="00394026" w:rsidRPr="00F11AB0" w:rsidRDefault="00394026">
      <w:pPr>
        <w:pStyle w:val="Body1"/>
        <w:numPr>
          <w:ilvl w:val="0"/>
          <w:numId w:val="20"/>
        </w:numPr>
        <w:tabs>
          <w:tab w:val="num" w:pos="720"/>
        </w:tabs>
        <w:ind w:left="720" w:hanging="360"/>
        <w:jc w:val="both"/>
        <w:rPr>
          <w:rFonts w:ascii="Times New Roman" w:hAnsi="Times New Roman"/>
          <w:szCs w:val="24"/>
        </w:rPr>
      </w:pPr>
      <w:r w:rsidRPr="00F11AB0">
        <w:rPr>
          <w:rFonts w:ascii="Times New Roman" w:hAnsi="Times New Roman"/>
          <w:szCs w:val="24"/>
        </w:rPr>
        <w:t xml:space="preserve">Relevant aid effectiveness indicators, drawn from the monitoring framework of the Global Partnership for Effective Development Cooperation  </w:t>
      </w:r>
    </w:p>
    <w:p w14:paraId="291A90FC" w14:textId="77777777" w:rsidR="00394026" w:rsidRPr="00654567" w:rsidRDefault="00394026">
      <w:pPr>
        <w:pStyle w:val="Body1"/>
        <w:jc w:val="both"/>
        <w:rPr>
          <w:rFonts w:ascii="Times New Roman" w:eastAsia="Times New Roman" w:hAnsi="Times New Roman"/>
          <w:color w:val="auto"/>
          <w:szCs w:val="24"/>
          <w:lang w:eastAsia="en-US" w:bidi="x-none"/>
        </w:rPr>
      </w:pPr>
      <w:r w:rsidRPr="00F11AB0">
        <w:rPr>
          <w:rFonts w:ascii="Times New Roman" w:hAnsi="Times New Roman"/>
          <w:szCs w:val="24"/>
        </w:rPr>
        <w:t xml:space="preserve">Finally, each European </w:t>
      </w:r>
      <w:r w:rsidR="00E42D9A" w:rsidRPr="00F11AB0">
        <w:rPr>
          <w:rFonts w:ascii="Times New Roman" w:hAnsi="Times New Roman"/>
          <w:szCs w:val="24"/>
        </w:rPr>
        <w:t xml:space="preserve">Union </w:t>
      </w:r>
      <w:r w:rsidR="00EA26E2">
        <w:rPr>
          <w:rFonts w:ascii="Times New Roman" w:hAnsi="Times New Roman"/>
          <w:szCs w:val="24"/>
        </w:rPr>
        <w:t>development partner</w:t>
      </w:r>
      <w:r w:rsidRPr="00F11AB0">
        <w:rPr>
          <w:rFonts w:ascii="Times New Roman" w:hAnsi="Times New Roman"/>
          <w:szCs w:val="24"/>
        </w:rPr>
        <w:t xml:space="preserve"> may also pursue discreet monitoring and evaluation activities for their individual project and programme portfolios, as set out in their respective bilateral implementation plans. </w:t>
      </w:r>
    </w:p>
    <w:sectPr w:rsidR="00394026" w:rsidRPr="00654567" w:rsidSect="00393F5B">
      <w:footerReference w:type="default" r:id="rId9"/>
      <w:pgSz w:w="11900" w:h="16840"/>
      <w:pgMar w:top="1077" w:right="1440" w:bottom="1440"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7590D" w14:textId="77777777" w:rsidR="00517DD4" w:rsidRDefault="00517DD4">
      <w:r>
        <w:separator/>
      </w:r>
    </w:p>
  </w:endnote>
  <w:endnote w:type="continuationSeparator" w:id="0">
    <w:p w14:paraId="36ED6405" w14:textId="77777777" w:rsidR="00517DD4" w:rsidRDefault="0051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ＭＳ 明朝">
    <w:charset w:val="4E"/>
    <w:family w:val="auto"/>
    <w:pitch w:val="variable"/>
    <w:sig w:usb0="E00002FF" w:usb1="6AC7FDFB" w:usb2="00000012" w:usb3="00000000" w:csb0="0002009F"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866159"/>
      <w:docPartObj>
        <w:docPartGallery w:val="Page Numbers (Bottom of Page)"/>
        <w:docPartUnique/>
      </w:docPartObj>
    </w:sdtPr>
    <w:sdtEndPr>
      <w:rPr>
        <w:noProof/>
      </w:rPr>
    </w:sdtEndPr>
    <w:sdtContent>
      <w:p w14:paraId="2263CD31" w14:textId="77777777" w:rsidR="003832C9" w:rsidRDefault="003832C9">
        <w:pPr>
          <w:pStyle w:val="Footer"/>
          <w:jc w:val="center"/>
        </w:pPr>
        <w:r>
          <w:fldChar w:fldCharType="begin"/>
        </w:r>
        <w:r>
          <w:instrText xml:space="preserve"> PAGE   \* MERGEFORMAT </w:instrText>
        </w:r>
        <w:r>
          <w:fldChar w:fldCharType="separate"/>
        </w:r>
        <w:r w:rsidR="0064778E">
          <w:rPr>
            <w:noProof/>
          </w:rPr>
          <w:t>16</w:t>
        </w:r>
        <w:r>
          <w:rPr>
            <w:noProof/>
          </w:rPr>
          <w:fldChar w:fldCharType="end"/>
        </w:r>
      </w:p>
    </w:sdtContent>
  </w:sdt>
  <w:p w14:paraId="69C38579" w14:textId="77777777" w:rsidR="003832C9" w:rsidRDefault="003832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31ACC" w14:textId="77777777" w:rsidR="00517DD4" w:rsidRDefault="00517DD4">
      <w:r>
        <w:separator/>
      </w:r>
    </w:p>
  </w:footnote>
  <w:footnote w:type="continuationSeparator" w:id="0">
    <w:p w14:paraId="2EB8382A" w14:textId="77777777" w:rsidR="00517DD4" w:rsidRDefault="00517DD4">
      <w:r>
        <w:continuationSeparator/>
      </w:r>
    </w:p>
  </w:footnote>
  <w:footnote w:id="1">
    <w:p w14:paraId="051A39D9" w14:textId="77777777" w:rsidR="003832C9" w:rsidRPr="00275FB8" w:rsidRDefault="003832C9">
      <w:pPr>
        <w:outlineLvl w:val="0"/>
        <w:rPr>
          <w:rFonts w:ascii="Calibri" w:hAnsi="Calibri" w:cs="Calibri"/>
          <w:sz w:val="16"/>
          <w:szCs w:val="16"/>
          <w:lang w:bidi="x-none"/>
        </w:rPr>
      </w:pPr>
      <w:r w:rsidRPr="00275FB8">
        <w:rPr>
          <w:rFonts w:ascii="Calibri" w:eastAsia="Arial Unicode MS" w:hAnsi="Calibri" w:cs="Calibri"/>
          <w:color w:val="000000"/>
          <w:sz w:val="16"/>
          <w:szCs w:val="16"/>
          <w:u w:color="000000"/>
          <w:vertAlign w:val="superscript"/>
        </w:rPr>
        <w:footnoteRef/>
      </w:r>
      <w:r w:rsidRPr="00275FB8">
        <w:rPr>
          <w:rFonts w:ascii="Calibri" w:eastAsia="Arial Unicode MS" w:hAnsi="Calibri" w:cs="Calibri"/>
          <w:color w:val="000000"/>
          <w:sz w:val="16"/>
          <w:szCs w:val="16"/>
          <w:u w:color="000000"/>
        </w:rPr>
        <w:t xml:space="preserve"> </w:t>
      </w:r>
      <w:hyperlink r:id="rId1" w:history="1">
        <w:r w:rsidRPr="00275FB8">
          <w:rPr>
            <w:rStyle w:val="Hyperlink"/>
            <w:rFonts w:ascii="Calibri" w:hAnsi="Calibri" w:cs="Calibri"/>
            <w:color w:val="000000"/>
            <w:sz w:val="16"/>
            <w:szCs w:val="16"/>
            <w:u w:val="none" w:color="000000"/>
          </w:rPr>
          <w:t>http://ec.europa.eu/development/icenter/repository/european_consensus_2005_en.pdf</w:t>
        </w:r>
      </w:hyperlink>
      <w:r w:rsidRPr="00275FB8">
        <w:rPr>
          <w:rFonts w:ascii="Calibri" w:eastAsia="Arial Unicode MS" w:hAnsi="Calibri" w:cs="Calibri"/>
          <w:color w:val="000000"/>
          <w:sz w:val="16"/>
          <w:szCs w:val="16"/>
          <w:u w:color="000000"/>
        </w:rPr>
        <w:t xml:space="preserve"> </w:t>
      </w:r>
    </w:p>
  </w:footnote>
  <w:footnote w:id="2">
    <w:p w14:paraId="5A29DAF3" w14:textId="77777777" w:rsidR="003832C9" w:rsidRPr="00275FB8" w:rsidRDefault="003832C9">
      <w:pPr>
        <w:outlineLvl w:val="0"/>
        <w:rPr>
          <w:rFonts w:ascii="Calibri" w:hAnsi="Calibri" w:cs="Calibri"/>
          <w:sz w:val="16"/>
          <w:szCs w:val="16"/>
          <w:lang w:bidi="x-none"/>
        </w:rPr>
      </w:pPr>
      <w:r w:rsidRPr="00275FB8">
        <w:rPr>
          <w:rFonts w:ascii="Calibri" w:eastAsia="Arial Unicode MS" w:hAnsi="Calibri" w:cs="Calibri"/>
          <w:color w:val="000000"/>
          <w:sz w:val="16"/>
          <w:szCs w:val="16"/>
          <w:u w:color="000000"/>
          <w:vertAlign w:val="superscript"/>
        </w:rPr>
        <w:footnoteRef/>
      </w:r>
      <w:r w:rsidRPr="00275FB8">
        <w:rPr>
          <w:rFonts w:ascii="Calibri" w:eastAsia="Arial Unicode MS" w:hAnsi="Calibri" w:cs="Calibri"/>
          <w:color w:val="000000"/>
          <w:sz w:val="16"/>
          <w:szCs w:val="16"/>
          <w:u w:color="000000"/>
        </w:rPr>
        <w:t xml:space="preserve"> </w:t>
      </w:r>
      <w:hyperlink r:id="rId2" w:history="1">
        <w:r w:rsidRPr="00275FB8">
          <w:rPr>
            <w:rStyle w:val="Hyperlink"/>
            <w:rFonts w:ascii="Calibri" w:hAnsi="Calibri" w:cs="Calibri"/>
            <w:color w:val="000000"/>
            <w:sz w:val="16"/>
            <w:szCs w:val="16"/>
            <w:u w:val="none" w:color="000000"/>
          </w:rPr>
          <w:t>http://ec.europa.eu/europeaid/what/development-policies/documents/agenda_for_change_en.pdf</w:t>
        </w:r>
      </w:hyperlink>
      <w:r w:rsidRPr="00275FB8">
        <w:rPr>
          <w:rFonts w:ascii="Calibri" w:eastAsia="Arial Unicode MS" w:hAnsi="Calibri" w:cs="Calibri"/>
          <w:color w:val="000000"/>
          <w:sz w:val="16"/>
          <w:szCs w:val="16"/>
          <w:u w:color="000000"/>
        </w:rPr>
        <w:t xml:space="preserve"> </w:t>
      </w:r>
    </w:p>
  </w:footnote>
  <w:footnote w:id="3">
    <w:p w14:paraId="12C1810F" w14:textId="77777777" w:rsidR="003832C9" w:rsidRPr="00275FB8" w:rsidRDefault="003832C9">
      <w:pPr>
        <w:outlineLvl w:val="0"/>
        <w:rPr>
          <w:rFonts w:ascii="Calibri" w:hAnsi="Calibri" w:cs="Calibri"/>
          <w:sz w:val="16"/>
          <w:szCs w:val="16"/>
          <w:lang w:bidi="x-none"/>
        </w:rPr>
      </w:pPr>
      <w:r w:rsidRPr="00275FB8">
        <w:rPr>
          <w:rFonts w:ascii="Calibri" w:eastAsia="Arial Unicode MS" w:hAnsi="Calibri" w:cs="Calibri"/>
          <w:color w:val="000000"/>
          <w:sz w:val="16"/>
          <w:szCs w:val="16"/>
          <w:u w:color="000000"/>
          <w:vertAlign w:val="superscript"/>
        </w:rPr>
        <w:footnoteRef/>
      </w:r>
      <w:r w:rsidRPr="00275FB8">
        <w:rPr>
          <w:rFonts w:ascii="Calibri" w:eastAsia="Arial Unicode MS" w:hAnsi="Calibri" w:cs="Calibri"/>
          <w:color w:val="000000"/>
          <w:sz w:val="16"/>
          <w:szCs w:val="16"/>
          <w:u w:color="000000"/>
        </w:rPr>
        <w:t xml:space="preserve"> </w:t>
      </w:r>
      <w:hyperlink r:id="rId3" w:history="1">
        <w:r w:rsidRPr="00275FB8">
          <w:rPr>
            <w:rStyle w:val="Hyperlink"/>
            <w:rFonts w:ascii="Calibri" w:hAnsi="Calibri" w:cs="Calibri"/>
            <w:color w:val="000000"/>
            <w:sz w:val="16"/>
            <w:szCs w:val="16"/>
            <w:u w:val="none" w:color="000000"/>
          </w:rPr>
          <w:t>http://europa.eu/legislation_summaries/development/general_development_framework/r13003_en.htm</w:t>
        </w:r>
      </w:hyperlink>
      <w:r w:rsidRPr="00275FB8">
        <w:rPr>
          <w:rFonts w:ascii="Calibri" w:eastAsia="Arial Unicode MS" w:hAnsi="Calibri" w:cs="Calibri"/>
          <w:color w:val="000000"/>
          <w:sz w:val="16"/>
          <w:szCs w:val="16"/>
          <w:u w:color="000000"/>
        </w:rPr>
        <w:t xml:space="preserve"> </w:t>
      </w:r>
    </w:p>
  </w:footnote>
  <w:footnote w:id="4">
    <w:p w14:paraId="2480DBB1" w14:textId="77777777" w:rsidR="003832C9" w:rsidRPr="00275FB8" w:rsidRDefault="003832C9">
      <w:pPr>
        <w:outlineLvl w:val="0"/>
        <w:rPr>
          <w:rFonts w:ascii="Calibri" w:hAnsi="Calibri" w:cs="Calibri"/>
          <w:sz w:val="16"/>
          <w:szCs w:val="16"/>
          <w:lang w:bidi="x-none"/>
        </w:rPr>
      </w:pPr>
      <w:r w:rsidRPr="00275FB8">
        <w:rPr>
          <w:rFonts w:ascii="Calibri" w:eastAsia="Arial Unicode MS" w:hAnsi="Calibri" w:cs="Calibri"/>
          <w:color w:val="000000"/>
          <w:sz w:val="16"/>
          <w:szCs w:val="16"/>
          <w:u w:color="000000"/>
          <w:vertAlign w:val="superscript"/>
        </w:rPr>
        <w:footnoteRef/>
      </w:r>
      <w:r w:rsidRPr="00275FB8">
        <w:rPr>
          <w:rFonts w:ascii="Calibri" w:eastAsia="Arial Unicode MS" w:hAnsi="Calibri" w:cs="Calibri"/>
          <w:color w:val="000000"/>
          <w:sz w:val="16"/>
          <w:szCs w:val="16"/>
          <w:u w:color="000000"/>
        </w:rPr>
        <w:t xml:space="preserve"> </w:t>
      </w:r>
      <w:hyperlink r:id="rId4" w:history="1">
        <w:r w:rsidRPr="00275FB8">
          <w:rPr>
            <w:rStyle w:val="Hyperlink"/>
            <w:rFonts w:ascii="Calibri" w:hAnsi="Calibri" w:cs="Calibri"/>
            <w:sz w:val="16"/>
            <w:szCs w:val="16"/>
          </w:rPr>
          <w:t>http://www.consilium.europa.eu/uedocs/cms_data/docs/pressdata/EN/foraff/138272.pdf</w:t>
        </w:r>
      </w:hyperlink>
      <w:r w:rsidRPr="00275FB8">
        <w:rPr>
          <w:rFonts w:ascii="Calibri" w:eastAsia="Arial Unicode MS" w:hAnsi="Calibri" w:cs="Calibri"/>
          <w:color w:val="000000"/>
          <w:sz w:val="16"/>
          <w:szCs w:val="16"/>
          <w:u w:color="000000"/>
        </w:rPr>
        <w:t xml:space="preserve"> </w:t>
      </w:r>
    </w:p>
  </w:footnote>
  <w:footnote w:id="5">
    <w:p w14:paraId="7E78D476" w14:textId="77777777" w:rsidR="003832C9" w:rsidRDefault="003832C9">
      <w:pPr>
        <w:outlineLvl w:val="0"/>
        <w:rPr>
          <w:sz w:val="20"/>
          <w:lang w:bidi="x-none"/>
        </w:rPr>
      </w:pPr>
      <w:r>
        <w:rPr>
          <w:rFonts w:ascii="Arial" w:eastAsia="Arial Unicode MS" w:hAnsi="Arial"/>
          <w:color w:val="000000"/>
          <w:sz w:val="22"/>
          <w:u w:color="000000"/>
          <w:vertAlign w:val="superscript"/>
        </w:rPr>
        <w:footnoteRef/>
      </w:r>
      <w:r>
        <w:rPr>
          <w:rFonts w:ascii="Helvetica" w:eastAsia="Arial Unicode MS" w:hAnsi="Arial Unicode MS"/>
          <w:color w:val="000000"/>
          <w:sz w:val="18"/>
          <w:u w:color="000000"/>
        </w:rPr>
        <w:t xml:space="preserve"> M&amp;E Reference Group. Roll Back Malaria. 2009</w:t>
      </w:r>
    </w:p>
  </w:footnote>
  <w:footnote w:id="6">
    <w:p w14:paraId="7C7BB7C9" w14:textId="77777777" w:rsidR="003832C9" w:rsidRDefault="003832C9">
      <w:pPr>
        <w:outlineLvl w:val="0"/>
        <w:rPr>
          <w:sz w:val="20"/>
          <w:lang w:bidi="x-none"/>
        </w:rPr>
      </w:pPr>
      <w:r>
        <w:rPr>
          <w:rFonts w:ascii="Arial" w:eastAsia="Arial Unicode MS" w:hAnsi="Arial"/>
          <w:color w:val="000000"/>
          <w:sz w:val="22"/>
          <w:u w:color="000000"/>
          <w:vertAlign w:val="superscript"/>
        </w:rPr>
        <w:footnoteRef/>
      </w:r>
      <w:r>
        <w:rPr>
          <w:rFonts w:ascii="Helvetica" w:eastAsia="Arial Unicode MS" w:hAnsi="Arial Unicode MS"/>
          <w:color w:val="000000"/>
          <w:sz w:val="18"/>
          <w:u w:color="000000"/>
        </w:rPr>
        <w:t xml:space="preserve"> Trends in maternal mortality, 1990-2008, H4</w:t>
      </w:r>
    </w:p>
  </w:footnote>
  <w:footnote w:id="7">
    <w:p w14:paraId="3146A337" w14:textId="77777777" w:rsidR="003832C9" w:rsidRDefault="003832C9">
      <w:pPr>
        <w:outlineLvl w:val="0"/>
        <w:rPr>
          <w:sz w:val="20"/>
          <w:lang w:bidi="x-none"/>
        </w:rPr>
      </w:pPr>
      <w:r>
        <w:rPr>
          <w:rFonts w:ascii="Arial" w:eastAsia="Arial Unicode MS" w:hAnsi="Arial"/>
          <w:color w:val="000000"/>
          <w:sz w:val="22"/>
          <w:u w:color="000000"/>
          <w:vertAlign w:val="superscript"/>
        </w:rPr>
        <w:footnoteRef/>
      </w:r>
      <w:r>
        <w:rPr>
          <w:rFonts w:ascii="Helvetica" w:eastAsia="Arial Unicode MS" w:hAnsi="Arial Unicode MS"/>
          <w:color w:val="000000"/>
          <w:sz w:val="18"/>
          <w:u w:color="000000"/>
        </w:rPr>
        <w:t xml:space="preserve"> </w:t>
      </w:r>
      <w:proofErr w:type="gramStart"/>
      <w:r>
        <w:rPr>
          <w:rFonts w:ascii="Helvetica" w:eastAsia="Arial Unicode MS" w:hAnsi="Arial Unicode MS"/>
          <w:color w:val="000000"/>
          <w:sz w:val="18"/>
          <w:u w:color="000000"/>
        </w:rPr>
        <w:t>UNICEF, 2010.</w:t>
      </w:r>
      <w:proofErr w:type="gramEnd"/>
      <w:r>
        <w:rPr>
          <w:rFonts w:ascii="Helvetica" w:eastAsia="Arial Unicode MS" w:hAnsi="Arial Unicode MS"/>
          <w:color w:val="000000"/>
          <w:sz w:val="18"/>
          <w:u w:color="000000"/>
        </w:rPr>
        <w:t xml:space="preserve"> </w:t>
      </w:r>
      <w:proofErr w:type="gramStart"/>
      <w:r>
        <w:rPr>
          <w:rFonts w:ascii="Helvetica" w:eastAsia="Arial Unicode MS" w:hAnsi="Arial Unicode MS"/>
          <w:color w:val="000000"/>
          <w:sz w:val="18"/>
          <w:u w:color="000000"/>
        </w:rPr>
        <w:t>Levels and trends in child mortality.</w:t>
      </w:r>
      <w:proofErr w:type="gramEnd"/>
      <w:r>
        <w:rPr>
          <w:rFonts w:ascii="Helvetica" w:eastAsia="Arial Unicode MS" w:hAnsi="Arial Unicode MS"/>
          <w:color w:val="000000"/>
          <w:sz w:val="18"/>
          <w:u w:color="000000"/>
        </w:rPr>
        <w:t xml:space="preserve"> Estimates developed by the UN inter-agency group for mortality estimates </w:t>
      </w:r>
    </w:p>
  </w:footnote>
  <w:footnote w:id="8">
    <w:p w14:paraId="7DF03EEE" w14:textId="77777777" w:rsidR="003832C9" w:rsidRDefault="003832C9">
      <w:pPr>
        <w:outlineLvl w:val="0"/>
        <w:rPr>
          <w:sz w:val="20"/>
          <w:lang w:bidi="x-none"/>
        </w:rPr>
      </w:pPr>
      <w:r>
        <w:rPr>
          <w:rFonts w:ascii="Arial" w:eastAsia="Arial Unicode MS" w:hAnsi="Arial"/>
          <w:color w:val="000000"/>
          <w:sz w:val="22"/>
          <w:u w:color="000000"/>
          <w:vertAlign w:val="superscript"/>
        </w:rPr>
        <w:footnoteRef/>
      </w:r>
      <w:r>
        <w:rPr>
          <w:rFonts w:ascii="Helvetica" w:eastAsia="Arial Unicode MS" w:hAnsi="Arial Unicode MS"/>
          <w:color w:val="000000"/>
          <w:sz w:val="18"/>
          <w:u w:color="000000"/>
        </w:rPr>
        <w:t xml:space="preserve"> MICS, 2009-2010</w:t>
      </w:r>
    </w:p>
  </w:footnote>
  <w:footnote w:id="9">
    <w:p w14:paraId="04AB3B62" w14:textId="77777777" w:rsidR="003832C9" w:rsidRDefault="003832C9">
      <w:pPr>
        <w:pStyle w:val="Body1"/>
        <w:rPr>
          <w:rFonts w:ascii="Times New Roman" w:eastAsia="Times New Roman" w:hAnsi="Times New Roman"/>
          <w:color w:val="auto"/>
          <w:sz w:val="20"/>
          <w:lang w:val="en-US" w:eastAsia="en-US" w:bidi="x-none"/>
        </w:rPr>
      </w:pPr>
      <w:r>
        <w:rPr>
          <w:rFonts w:ascii="Arial" w:hAnsi="Arial"/>
          <w:sz w:val="22"/>
          <w:vertAlign w:val="superscript"/>
        </w:rPr>
        <w:footnoteRef/>
      </w:r>
      <w:r>
        <w:rPr>
          <w:rFonts w:hAnsi="Arial Unicode MS"/>
          <w:sz w:val="18"/>
        </w:rPr>
        <w:t xml:space="preserve"> </w:t>
      </w:r>
      <w:proofErr w:type="gramStart"/>
      <w:r>
        <w:rPr>
          <w:rFonts w:hAnsi="Arial Unicode MS"/>
          <w:sz w:val="18"/>
        </w:rPr>
        <w:t>I.e. for those completing Grade 5, or at least taking the end of year examination.</w:t>
      </w:r>
      <w:proofErr w:type="gramEnd"/>
    </w:p>
  </w:footnote>
  <w:footnote w:id="10">
    <w:p w14:paraId="3811C916" w14:textId="77777777" w:rsidR="003832C9" w:rsidRDefault="003832C9">
      <w:pPr>
        <w:pStyle w:val="Body1"/>
        <w:rPr>
          <w:rFonts w:ascii="Times New Roman" w:eastAsia="Times New Roman" w:hAnsi="Times New Roman"/>
          <w:color w:val="auto"/>
          <w:sz w:val="20"/>
          <w:lang w:val="en-US" w:eastAsia="en-US" w:bidi="x-none"/>
        </w:rPr>
      </w:pPr>
      <w:r>
        <w:rPr>
          <w:rFonts w:ascii="Arial" w:hAnsi="Arial"/>
          <w:sz w:val="22"/>
          <w:vertAlign w:val="superscript"/>
        </w:rPr>
        <w:footnoteRef/>
      </w:r>
      <w:r>
        <w:rPr>
          <w:rFonts w:hAnsi="Arial Unicode MS"/>
          <w:sz w:val="18"/>
        </w:rPr>
        <w:t xml:space="preserve"> Ministry of Education, Myanmar.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DAD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pStyle w:val="List0"/>
      <w:lvlText w:val="•"/>
      <w:lvlJc w:val="left"/>
      <w:pPr>
        <w:tabs>
          <w:tab w:val="num" w:pos="357"/>
        </w:tabs>
        <w:ind w:left="357" w:firstLine="357"/>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nsid w:val="00000002"/>
    <w:multiLevelType w:val="multilevel"/>
    <w:tmpl w:val="894EE874"/>
    <w:lvl w:ilvl="0">
      <w:start w:val="1"/>
      <w:numFmt w:val="bullet"/>
      <w:pStyle w:val="ImportWordListStyleDefinition29"/>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5"/>
    <w:multiLevelType w:val="multilevel"/>
    <w:tmpl w:val="65A62A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6"/>
    <w:multiLevelType w:val="multilevel"/>
    <w:tmpl w:val="894EE878"/>
    <w:lvl w:ilvl="0">
      <w:start w:val="1"/>
      <w:numFmt w:val="bullet"/>
      <w:pStyle w:val="ImportWordListStyleDefinition31"/>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nsid w:val="00000007"/>
    <w:multiLevelType w:val="multilevel"/>
    <w:tmpl w:val="894EE879"/>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nsid w:val="00000008"/>
    <w:multiLevelType w:val="multilevel"/>
    <w:tmpl w:val="894EE87A"/>
    <w:lvl w:ilvl="0">
      <w:start w:val="1"/>
      <w:numFmt w:val="bullet"/>
      <w:pStyle w:val="List1"/>
      <w:lvlText w:val="•"/>
      <w:lvlJc w:val="left"/>
      <w:pPr>
        <w:tabs>
          <w:tab w:val="num" w:pos="357"/>
        </w:tabs>
        <w:ind w:left="357" w:firstLine="357"/>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9">
    <w:nsid w:val="00000009"/>
    <w:multiLevelType w:val="multilevel"/>
    <w:tmpl w:val="894EE87B"/>
    <w:lvl w:ilvl="0">
      <w:start w:val="1"/>
      <w:numFmt w:val="bullet"/>
      <w:pStyle w:val="ImportWordListStyleDefinition39"/>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B"/>
    <w:multiLevelType w:val="multilevel"/>
    <w:tmpl w:val="894EE87D"/>
    <w:lvl w:ilvl="0">
      <w:start w:val="1"/>
      <w:numFmt w:val="bullet"/>
      <w:pStyle w:val="ImportWordListStyleDefinition27"/>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nsid w:val="0000000C"/>
    <w:multiLevelType w:val="multilevel"/>
    <w:tmpl w:val="894EE87E"/>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nsid w:val="0000000D"/>
    <w:multiLevelType w:val="multilevel"/>
    <w:tmpl w:val="894EE87F"/>
    <w:lvl w:ilvl="0">
      <w:start w:val="1"/>
      <w:numFmt w:val="bullet"/>
      <w:pStyle w:val="ImportWordListStyleDefinition5"/>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nsid w:val="0000000E"/>
    <w:multiLevelType w:val="multilevel"/>
    <w:tmpl w:val="894EE880"/>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nsid w:val="0000000F"/>
    <w:multiLevelType w:val="multilevel"/>
    <w:tmpl w:val="894EE881"/>
    <w:lvl w:ilvl="0">
      <w:start w:val="1"/>
      <w:numFmt w:val="bullet"/>
      <w:pStyle w:val="ImportWordListStyleDefinition26"/>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nsid w:val="00000010"/>
    <w:multiLevelType w:val="multilevel"/>
    <w:tmpl w:val="894EE882"/>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7">
    <w:nsid w:val="00000011"/>
    <w:multiLevelType w:val="multilevel"/>
    <w:tmpl w:val="894EE883"/>
    <w:lvl w:ilvl="0">
      <w:start w:val="1"/>
      <w:numFmt w:val="bullet"/>
      <w:pStyle w:val="ImportWordListStyleDefinition35"/>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8">
    <w:nsid w:val="00000012"/>
    <w:multiLevelType w:val="multilevel"/>
    <w:tmpl w:val="894EE884"/>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9">
    <w:nsid w:val="00000013"/>
    <w:multiLevelType w:val="multilevel"/>
    <w:tmpl w:val="894EE885"/>
    <w:lvl w:ilvl="0">
      <w:start w:val="1"/>
      <w:numFmt w:val="bullet"/>
      <w:pStyle w:val="ImportWordListStyleDefinition2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4CD49BC"/>
    <w:multiLevelType w:val="hybridMultilevel"/>
    <w:tmpl w:val="CE60E16C"/>
    <w:lvl w:ilvl="0" w:tplc="BA7A86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0DFE0AF6"/>
    <w:multiLevelType w:val="hybridMultilevel"/>
    <w:tmpl w:val="73ECB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B632947"/>
    <w:multiLevelType w:val="hybridMultilevel"/>
    <w:tmpl w:val="8E6C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03349E"/>
    <w:multiLevelType w:val="hybridMultilevel"/>
    <w:tmpl w:val="7E72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95D3632"/>
    <w:multiLevelType w:val="hybridMultilevel"/>
    <w:tmpl w:val="CED66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5"/>
  </w:num>
  <w:num w:numId="22">
    <w:abstractNumId w:val="0"/>
  </w:num>
  <w:num w:numId="23">
    <w:abstractNumId w:val="21"/>
  </w:num>
  <w:num w:numId="24">
    <w:abstractNumId w:val="23"/>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B114D"/>
    <w:rsid w:val="00017F9A"/>
    <w:rsid w:val="0002155F"/>
    <w:rsid w:val="000401D8"/>
    <w:rsid w:val="0004314E"/>
    <w:rsid w:val="000432E2"/>
    <w:rsid w:val="00072856"/>
    <w:rsid w:val="00084A52"/>
    <w:rsid w:val="000C3412"/>
    <w:rsid w:val="000C6FE9"/>
    <w:rsid w:val="000D691E"/>
    <w:rsid w:val="000E07DE"/>
    <w:rsid w:val="000F62D5"/>
    <w:rsid w:val="001151AE"/>
    <w:rsid w:val="001338F0"/>
    <w:rsid w:val="00145CD4"/>
    <w:rsid w:val="00160216"/>
    <w:rsid w:val="00181024"/>
    <w:rsid w:val="00181676"/>
    <w:rsid w:val="001824E9"/>
    <w:rsid w:val="001A2A77"/>
    <w:rsid w:val="001B7C75"/>
    <w:rsid w:val="001C2908"/>
    <w:rsid w:val="001D4710"/>
    <w:rsid w:val="00234020"/>
    <w:rsid w:val="00275FB8"/>
    <w:rsid w:val="00285250"/>
    <w:rsid w:val="00296BEC"/>
    <w:rsid w:val="0029768D"/>
    <w:rsid w:val="002B6694"/>
    <w:rsid w:val="002F35A0"/>
    <w:rsid w:val="0036797B"/>
    <w:rsid w:val="00380068"/>
    <w:rsid w:val="003832C9"/>
    <w:rsid w:val="00385FF8"/>
    <w:rsid w:val="00390F8A"/>
    <w:rsid w:val="00393F5B"/>
    <w:rsid w:val="00394026"/>
    <w:rsid w:val="003C23A5"/>
    <w:rsid w:val="003C6B02"/>
    <w:rsid w:val="003D52C3"/>
    <w:rsid w:val="003F4103"/>
    <w:rsid w:val="00414C27"/>
    <w:rsid w:val="00414D37"/>
    <w:rsid w:val="00425E56"/>
    <w:rsid w:val="00471591"/>
    <w:rsid w:val="00496096"/>
    <w:rsid w:val="004973B5"/>
    <w:rsid w:val="004979C4"/>
    <w:rsid w:val="004A279B"/>
    <w:rsid w:val="004A472F"/>
    <w:rsid w:val="004B7736"/>
    <w:rsid w:val="004C3070"/>
    <w:rsid w:val="004E4FB4"/>
    <w:rsid w:val="005161DB"/>
    <w:rsid w:val="00517DD4"/>
    <w:rsid w:val="005242EB"/>
    <w:rsid w:val="005430BC"/>
    <w:rsid w:val="005432EE"/>
    <w:rsid w:val="00551736"/>
    <w:rsid w:val="005716C5"/>
    <w:rsid w:val="005A31B5"/>
    <w:rsid w:val="005B73AF"/>
    <w:rsid w:val="005C512D"/>
    <w:rsid w:val="005C71CD"/>
    <w:rsid w:val="005E52B0"/>
    <w:rsid w:val="00600983"/>
    <w:rsid w:val="006118A6"/>
    <w:rsid w:val="0064778E"/>
    <w:rsid w:val="00654567"/>
    <w:rsid w:val="006720FE"/>
    <w:rsid w:val="006737BA"/>
    <w:rsid w:val="0068340D"/>
    <w:rsid w:val="006D4E61"/>
    <w:rsid w:val="006F0D35"/>
    <w:rsid w:val="00702258"/>
    <w:rsid w:val="00711870"/>
    <w:rsid w:val="007165C3"/>
    <w:rsid w:val="0074000C"/>
    <w:rsid w:val="00746493"/>
    <w:rsid w:val="007533A8"/>
    <w:rsid w:val="007571D3"/>
    <w:rsid w:val="0076214A"/>
    <w:rsid w:val="00770FF6"/>
    <w:rsid w:val="0077164E"/>
    <w:rsid w:val="00781E3A"/>
    <w:rsid w:val="00790CE1"/>
    <w:rsid w:val="007A65C9"/>
    <w:rsid w:val="007B1FAF"/>
    <w:rsid w:val="007B4191"/>
    <w:rsid w:val="008017A9"/>
    <w:rsid w:val="00806FAA"/>
    <w:rsid w:val="00807A48"/>
    <w:rsid w:val="008273E5"/>
    <w:rsid w:val="00827E67"/>
    <w:rsid w:val="0086760A"/>
    <w:rsid w:val="008863A8"/>
    <w:rsid w:val="00886F24"/>
    <w:rsid w:val="008949BB"/>
    <w:rsid w:val="00897ACB"/>
    <w:rsid w:val="008A7BC5"/>
    <w:rsid w:val="008B114D"/>
    <w:rsid w:val="008C27BA"/>
    <w:rsid w:val="008C7249"/>
    <w:rsid w:val="008E4EFB"/>
    <w:rsid w:val="00911943"/>
    <w:rsid w:val="0091314B"/>
    <w:rsid w:val="00915BDA"/>
    <w:rsid w:val="00961969"/>
    <w:rsid w:val="00965A67"/>
    <w:rsid w:val="009744CB"/>
    <w:rsid w:val="00974AD1"/>
    <w:rsid w:val="009767C1"/>
    <w:rsid w:val="00992ABB"/>
    <w:rsid w:val="009958D6"/>
    <w:rsid w:val="009B5BB5"/>
    <w:rsid w:val="009B7B29"/>
    <w:rsid w:val="009C6A47"/>
    <w:rsid w:val="00A46177"/>
    <w:rsid w:val="00A530E1"/>
    <w:rsid w:val="00A71361"/>
    <w:rsid w:val="00A923A8"/>
    <w:rsid w:val="00AD2FA0"/>
    <w:rsid w:val="00AD3825"/>
    <w:rsid w:val="00AE5784"/>
    <w:rsid w:val="00AF4686"/>
    <w:rsid w:val="00B06E2A"/>
    <w:rsid w:val="00B103A2"/>
    <w:rsid w:val="00B171FB"/>
    <w:rsid w:val="00B456B1"/>
    <w:rsid w:val="00B55E20"/>
    <w:rsid w:val="00B71107"/>
    <w:rsid w:val="00B76A40"/>
    <w:rsid w:val="00B8083D"/>
    <w:rsid w:val="00BA653B"/>
    <w:rsid w:val="00BB2D7C"/>
    <w:rsid w:val="00BB5109"/>
    <w:rsid w:val="00BD5B10"/>
    <w:rsid w:val="00BF14AA"/>
    <w:rsid w:val="00C02BFE"/>
    <w:rsid w:val="00C07227"/>
    <w:rsid w:val="00C32BD6"/>
    <w:rsid w:val="00C560A8"/>
    <w:rsid w:val="00C64D13"/>
    <w:rsid w:val="00C656F1"/>
    <w:rsid w:val="00C76B2F"/>
    <w:rsid w:val="00CA4FF5"/>
    <w:rsid w:val="00CC4563"/>
    <w:rsid w:val="00CC4C0B"/>
    <w:rsid w:val="00CC5381"/>
    <w:rsid w:val="00CC5646"/>
    <w:rsid w:val="00D00B90"/>
    <w:rsid w:val="00D144FB"/>
    <w:rsid w:val="00D32D46"/>
    <w:rsid w:val="00D534CC"/>
    <w:rsid w:val="00D60F16"/>
    <w:rsid w:val="00D661E0"/>
    <w:rsid w:val="00D837B1"/>
    <w:rsid w:val="00D86970"/>
    <w:rsid w:val="00D901A2"/>
    <w:rsid w:val="00D93DF0"/>
    <w:rsid w:val="00DA0741"/>
    <w:rsid w:val="00DD0B97"/>
    <w:rsid w:val="00DE009C"/>
    <w:rsid w:val="00DF53AF"/>
    <w:rsid w:val="00E05ECD"/>
    <w:rsid w:val="00E115E3"/>
    <w:rsid w:val="00E42D9A"/>
    <w:rsid w:val="00E57E53"/>
    <w:rsid w:val="00E678B3"/>
    <w:rsid w:val="00E8622F"/>
    <w:rsid w:val="00E92CEC"/>
    <w:rsid w:val="00EA01E1"/>
    <w:rsid w:val="00EA26E2"/>
    <w:rsid w:val="00ED1C9E"/>
    <w:rsid w:val="00F11AB0"/>
    <w:rsid w:val="00F2482D"/>
    <w:rsid w:val="00F54E19"/>
    <w:rsid w:val="00F56055"/>
    <w:rsid w:val="00F62D48"/>
    <w:rsid w:val="00F7767E"/>
    <w:rsid w:val="00F85B76"/>
    <w:rsid w:val="00F97C07"/>
    <w:rsid w:val="00FB181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v:stroke weight="0" endcap="round"/>
      <v:textbox inset="0,0,0,0"/>
    </o:shapedefaults>
    <o:shapelayout v:ext="edit">
      <o:idmap v:ext="edit" data="1"/>
    </o:shapelayout>
  </w:shapeDefaults>
  <w:doNotEmbedSmartTags/>
  <w:decimalSymbol w:val="."/>
  <w:listSeparator w:val=","/>
  <w14:docId w14:val="655C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outlineLvl w:val="0"/>
    </w:pPr>
    <w:rPr>
      <w:rFonts w:ascii="Helvetica" w:eastAsia="Arial Unicode MS" w:hAnsi="Helvetica"/>
      <w:color w:val="000000"/>
      <w:sz w:val="24"/>
      <w:u w:color="000000"/>
      <w:lang w:val="en-GB" w:eastAsia="en-GB"/>
    </w:rPr>
  </w:style>
  <w:style w:type="character" w:styleId="Hyperlink">
    <w:name w:val="Hyperlink"/>
    <w:rPr>
      <w:rFonts w:ascii="Arial" w:eastAsia="Arial Unicode MS" w:hAnsi="Arial"/>
      <w:color w:val="0000FF"/>
      <w:sz w:val="18"/>
      <w:u w:val="single" w:color="0000FF"/>
    </w:rPr>
  </w:style>
  <w:style w:type="paragraph" w:customStyle="1" w:styleId="List0">
    <w:name w:val="List 0"/>
    <w:basedOn w:val="ImportWordListStyleDefinition29"/>
    <w:semiHidden/>
    <w:pPr>
      <w:numPr>
        <w:numId w:val="1"/>
      </w:numPr>
    </w:pPr>
  </w:style>
  <w:style w:type="paragraph" w:customStyle="1" w:styleId="ImportWordListStyleDefinition29">
    <w:name w:val="Import Word List Style Definition 29"/>
    <w:pPr>
      <w:numPr>
        <w:numId w:val="2"/>
      </w:numPr>
    </w:pPr>
    <w:rPr>
      <w:lang w:val="en-GB" w:eastAsia="en-GB"/>
    </w:rPr>
  </w:style>
  <w:style w:type="paragraph" w:customStyle="1" w:styleId="ImportWordListStyleDefinition31">
    <w:name w:val="Import Word List Style Definition 31"/>
    <w:pPr>
      <w:numPr>
        <w:numId w:val="6"/>
      </w:numPr>
    </w:pPr>
    <w:rPr>
      <w:lang w:val="en-GB" w:eastAsia="en-GB"/>
    </w:rPr>
  </w:style>
  <w:style w:type="paragraph" w:customStyle="1" w:styleId="List1">
    <w:name w:val="List 1"/>
    <w:basedOn w:val="ImportWordListStyleDefinition39"/>
    <w:autoRedefine/>
    <w:semiHidden/>
    <w:pPr>
      <w:numPr>
        <w:numId w:val="8"/>
      </w:numPr>
    </w:pPr>
  </w:style>
  <w:style w:type="paragraph" w:customStyle="1" w:styleId="ImportWordListStyleDefinition39">
    <w:name w:val="Import Word List Style Definition 39"/>
    <w:pPr>
      <w:numPr>
        <w:numId w:val="9"/>
      </w:numPr>
    </w:pPr>
    <w:rPr>
      <w:lang w:val="en-GB" w:eastAsia="en-GB"/>
    </w:rPr>
  </w:style>
  <w:style w:type="paragraph" w:customStyle="1" w:styleId="ImportWordListStyleDefinition27">
    <w:name w:val="Import Word List Style Definition 27"/>
    <w:pPr>
      <w:numPr>
        <w:numId w:val="11"/>
      </w:numPr>
    </w:pPr>
    <w:rPr>
      <w:lang w:val="en-GB" w:eastAsia="en-GB"/>
    </w:rPr>
  </w:style>
  <w:style w:type="paragraph" w:customStyle="1" w:styleId="ImportWordListStyleDefinition5">
    <w:name w:val="Import Word List Style Definition 5"/>
    <w:pPr>
      <w:numPr>
        <w:numId w:val="13"/>
      </w:numPr>
    </w:pPr>
    <w:rPr>
      <w:lang w:val="en-GB" w:eastAsia="en-GB"/>
    </w:rPr>
  </w:style>
  <w:style w:type="paragraph" w:customStyle="1" w:styleId="ImportWordListStyleDefinition26">
    <w:name w:val="Import Word List Style Definition 26"/>
    <w:pPr>
      <w:numPr>
        <w:numId w:val="15"/>
      </w:numPr>
    </w:pPr>
    <w:rPr>
      <w:lang w:val="en-GB" w:eastAsia="en-GB"/>
    </w:rPr>
  </w:style>
  <w:style w:type="paragraph" w:customStyle="1" w:styleId="ImportWordListStyleDefinition35">
    <w:name w:val="Import Word List Style Definition 35"/>
    <w:pPr>
      <w:numPr>
        <w:numId w:val="17"/>
      </w:numPr>
    </w:pPr>
    <w:rPr>
      <w:lang w:val="en-GB" w:eastAsia="en-GB"/>
    </w:rPr>
  </w:style>
  <w:style w:type="paragraph" w:customStyle="1" w:styleId="ImportWordListStyleDefinition24">
    <w:name w:val="Import Word List Style Definition 24"/>
    <w:pPr>
      <w:numPr>
        <w:numId w:val="19"/>
      </w:numPr>
    </w:pPr>
    <w:rPr>
      <w:lang w:val="en-GB" w:eastAsia="en-GB"/>
    </w:rPr>
  </w:style>
  <w:style w:type="paragraph" w:styleId="BalloonText">
    <w:name w:val="Balloon Text"/>
    <w:basedOn w:val="Normal"/>
    <w:link w:val="BalloonTextChar"/>
    <w:locked/>
    <w:rsid w:val="008B114D"/>
    <w:rPr>
      <w:rFonts w:ascii="Tahoma" w:hAnsi="Tahoma" w:cs="Tahoma"/>
      <w:sz w:val="16"/>
      <w:szCs w:val="16"/>
    </w:rPr>
  </w:style>
  <w:style w:type="character" w:customStyle="1" w:styleId="BalloonTextChar">
    <w:name w:val="Balloon Text Char"/>
    <w:link w:val="BalloonText"/>
    <w:rsid w:val="008B114D"/>
    <w:rPr>
      <w:rFonts w:ascii="Tahoma" w:hAnsi="Tahoma" w:cs="Tahoma"/>
      <w:sz w:val="16"/>
      <w:szCs w:val="16"/>
      <w:lang w:val="en-US" w:eastAsia="en-US"/>
    </w:rPr>
  </w:style>
  <w:style w:type="character" w:styleId="CommentReference">
    <w:name w:val="annotation reference"/>
    <w:locked/>
    <w:rsid w:val="008B114D"/>
    <w:rPr>
      <w:sz w:val="16"/>
      <w:szCs w:val="16"/>
    </w:rPr>
  </w:style>
  <w:style w:type="paragraph" w:styleId="CommentText">
    <w:name w:val="annotation text"/>
    <w:basedOn w:val="Normal"/>
    <w:link w:val="CommentTextChar"/>
    <w:locked/>
    <w:rsid w:val="008B114D"/>
    <w:rPr>
      <w:sz w:val="20"/>
      <w:szCs w:val="20"/>
    </w:rPr>
  </w:style>
  <w:style w:type="character" w:customStyle="1" w:styleId="CommentTextChar">
    <w:name w:val="Comment Text Char"/>
    <w:link w:val="CommentText"/>
    <w:rsid w:val="008B114D"/>
    <w:rPr>
      <w:lang w:val="en-US" w:eastAsia="en-US"/>
    </w:rPr>
  </w:style>
  <w:style w:type="paragraph" w:styleId="CommentSubject">
    <w:name w:val="annotation subject"/>
    <w:basedOn w:val="CommentText"/>
    <w:next w:val="CommentText"/>
    <w:link w:val="CommentSubjectChar"/>
    <w:locked/>
    <w:rsid w:val="008B114D"/>
    <w:rPr>
      <w:b/>
      <w:bCs/>
    </w:rPr>
  </w:style>
  <w:style w:type="character" w:customStyle="1" w:styleId="CommentSubjectChar">
    <w:name w:val="Comment Subject Char"/>
    <w:link w:val="CommentSubject"/>
    <w:rsid w:val="008B114D"/>
    <w:rPr>
      <w:b/>
      <w:bCs/>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t,single space,f,FOOTNOTES,fn,ft2"/>
    <w:basedOn w:val="Normal"/>
    <w:link w:val="FootnoteTextChar"/>
    <w:locked/>
    <w:rsid w:val="005B73AF"/>
    <w:rPr>
      <w:sz w:val="20"/>
      <w:szCs w:val="20"/>
      <w:lang w:val="en-GB"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t Char,single space Char,f Char"/>
    <w:basedOn w:val="DefaultParagraphFont"/>
    <w:link w:val="FootnoteText"/>
    <w:rsid w:val="005B73AF"/>
  </w:style>
  <w:style w:type="character" w:styleId="FootnoteReference">
    <w:name w:val="footnote reference"/>
    <w:aliases w:val="ftref,BVI fnr, BVI fnr, BVI fnr Car Car,BVI fnr Car, BVI fnr Car Car Car Car, BVI fnr Car Car Car Car Char,16 Point,Superscript 6 Point,Superscript 6 Point + 11 pt,BVI fnr Car Car,BVI fnr Car Car Car Car,Footnote text,-E Fußnotenzeich"/>
    <w:locked/>
    <w:rsid w:val="005B73AF"/>
    <w:rPr>
      <w:rFonts w:cs="Times New Roman"/>
      <w:vertAlign w:val="superscript"/>
    </w:rPr>
  </w:style>
  <w:style w:type="paragraph" w:customStyle="1" w:styleId="a3520normalp9">
    <w:name w:val="a__35__20_normal_p9"/>
    <w:basedOn w:val="Normal"/>
    <w:rsid w:val="009958D6"/>
    <w:pPr>
      <w:spacing w:after="120"/>
      <w:ind w:right="57"/>
      <w:jc w:val="both"/>
    </w:pPr>
    <w:rPr>
      <w:lang w:val="en-GB" w:eastAsia="en-GB"/>
    </w:rPr>
  </w:style>
  <w:style w:type="paragraph" w:styleId="Header">
    <w:name w:val="header"/>
    <w:basedOn w:val="Normal"/>
    <w:link w:val="HeaderChar"/>
    <w:locked/>
    <w:rsid w:val="00393F5B"/>
    <w:pPr>
      <w:tabs>
        <w:tab w:val="center" w:pos="4320"/>
        <w:tab w:val="right" w:pos="8640"/>
      </w:tabs>
    </w:pPr>
  </w:style>
  <w:style w:type="character" w:customStyle="1" w:styleId="HeaderChar">
    <w:name w:val="Header Char"/>
    <w:link w:val="Header"/>
    <w:rsid w:val="00393F5B"/>
    <w:rPr>
      <w:sz w:val="24"/>
      <w:szCs w:val="24"/>
    </w:rPr>
  </w:style>
  <w:style w:type="paragraph" w:styleId="Footer">
    <w:name w:val="footer"/>
    <w:basedOn w:val="Normal"/>
    <w:link w:val="FooterChar"/>
    <w:uiPriority w:val="99"/>
    <w:locked/>
    <w:rsid w:val="00393F5B"/>
    <w:pPr>
      <w:tabs>
        <w:tab w:val="center" w:pos="4320"/>
        <w:tab w:val="right" w:pos="8640"/>
      </w:tabs>
    </w:pPr>
  </w:style>
  <w:style w:type="character" w:customStyle="1" w:styleId="FooterChar">
    <w:name w:val="Footer Char"/>
    <w:link w:val="Footer"/>
    <w:uiPriority w:val="99"/>
    <w:rsid w:val="00393F5B"/>
    <w:rPr>
      <w:sz w:val="24"/>
      <w:szCs w:val="24"/>
    </w:rPr>
  </w:style>
  <w:style w:type="paragraph" w:styleId="NormalWeb">
    <w:name w:val="Normal (Web)"/>
    <w:basedOn w:val="Normal"/>
    <w:uiPriority w:val="99"/>
    <w:unhideWhenUsed/>
    <w:locked/>
    <w:rsid w:val="00702258"/>
    <w:pPr>
      <w:spacing w:before="100" w:beforeAutospacing="1" w:after="100" w:afterAutospacing="1"/>
    </w:pPr>
    <w:rPr>
      <w:rFonts w:eastAsiaTheme="minorHAnsi"/>
      <w:lang w:val="en-GB" w:eastAsia="en-GB"/>
    </w:rPr>
  </w:style>
  <w:style w:type="paragraph" w:styleId="ListParagraph">
    <w:name w:val="List Paragraph"/>
    <w:basedOn w:val="Normal"/>
    <w:uiPriority w:val="72"/>
    <w:rsid w:val="002976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outlineLvl w:val="0"/>
    </w:pPr>
    <w:rPr>
      <w:rFonts w:ascii="Helvetica" w:eastAsia="Arial Unicode MS" w:hAnsi="Helvetica"/>
      <w:color w:val="000000"/>
      <w:sz w:val="24"/>
      <w:u w:color="000000"/>
      <w:lang w:val="en-GB" w:eastAsia="en-GB"/>
    </w:rPr>
  </w:style>
  <w:style w:type="character" w:styleId="Hyperlink">
    <w:name w:val="Hyperlink"/>
    <w:rPr>
      <w:rFonts w:ascii="Arial" w:eastAsia="Arial Unicode MS" w:hAnsi="Arial"/>
      <w:color w:val="0000FF"/>
      <w:sz w:val="18"/>
      <w:u w:val="single" w:color="0000FF"/>
    </w:rPr>
  </w:style>
  <w:style w:type="paragraph" w:customStyle="1" w:styleId="List0">
    <w:name w:val="List 0"/>
    <w:basedOn w:val="ImportWordListStyleDefinition29"/>
    <w:semiHidden/>
    <w:pPr>
      <w:numPr>
        <w:numId w:val="1"/>
      </w:numPr>
    </w:pPr>
  </w:style>
  <w:style w:type="paragraph" w:customStyle="1" w:styleId="ImportWordListStyleDefinition29">
    <w:name w:val="Import Word List Style Definition 29"/>
    <w:pPr>
      <w:numPr>
        <w:numId w:val="2"/>
      </w:numPr>
    </w:pPr>
    <w:rPr>
      <w:lang w:val="en-GB" w:eastAsia="en-GB"/>
    </w:rPr>
  </w:style>
  <w:style w:type="paragraph" w:customStyle="1" w:styleId="ImportWordListStyleDefinition31">
    <w:name w:val="Import Word List Style Definition 31"/>
    <w:pPr>
      <w:numPr>
        <w:numId w:val="6"/>
      </w:numPr>
    </w:pPr>
    <w:rPr>
      <w:lang w:val="en-GB" w:eastAsia="en-GB"/>
    </w:rPr>
  </w:style>
  <w:style w:type="paragraph" w:customStyle="1" w:styleId="List1">
    <w:name w:val="List 1"/>
    <w:basedOn w:val="ImportWordListStyleDefinition39"/>
    <w:autoRedefine/>
    <w:semiHidden/>
    <w:pPr>
      <w:numPr>
        <w:numId w:val="8"/>
      </w:numPr>
    </w:pPr>
  </w:style>
  <w:style w:type="paragraph" w:customStyle="1" w:styleId="ImportWordListStyleDefinition39">
    <w:name w:val="Import Word List Style Definition 39"/>
    <w:pPr>
      <w:numPr>
        <w:numId w:val="9"/>
      </w:numPr>
    </w:pPr>
    <w:rPr>
      <w:lang w:val="en-GB" w:eastAsia="en-GB"/>
    </w:rPr>
  </w:style>
  <w:style w:type="paragraph" w:customStyle="1" w:styleId="ImportWordListStyleDefinition27">
    <w:name w:val="Import Word List Style Definition 27"/>
    <w:pPr>
      <w:numPr>
        <w:numId w:val="11"/>
      </w:numPr>
    </w:pPr>
    <w:rPr>
      <w:lang w:val="en-GB" w:eastAsia="en-GB"/>
    </w:rPr>
  </w:style>
  <w:style w:type="paragraph" w:customStyle="1" w:styleId="ImportWordListStyleDefinition5">
    <w:name w:val="Import Word List Style Definition 5"/>
    <w:pPr>
      <w:numPr>
        <w:numId w:val="13"/>
      </w:numPr>
    </w:pPr>
    <w:rPr>
      <w:lang w:val="en-GB" w:eastAsia="en-GB"/>
    </w:rPr>
  </w:style>
  <w:style w:type="paragraph" w:customStyle="1" w:styleId="ImportWordListStyleDefinition26">
    <w:name w:val="Import Word List Style Definition 26"/>
    <w:pPr>
      <w:numPr>
        <w:numId w:val="15"/>
      </w:numPr>
    </w:pPr>
    <w:rPr>
      <w:lang w:val="en-GB" w:eastAsia="en-GB"/>
    </w:rPr>
  </w:style>
  <w:style w:type="paragraph" w:customStyle="1" w:styleId="ImportWordListStyleDefinition35">
    <w:name w:val="Import Word List Style Definition 35"/>
    <w:pPr>
      <w:numPr>
        <w:numId w:val="17"/>
      </w:numPr>
    </w:pPr>
    <w:rPr>
      <w:lang w:val="en-GB" w:eastAsia="en-GB"/>
    </w:rPr>
  </w:style>
  <w:style w:type="paragraph" w:customStyle="1" w:styleId="ImportWordListStyleDefinition24">
    <w:name w:val="Import Word List Style Definition 24"/>
    <w:pPr>
      <w:numPr>
        <w:numId w:val="19"/>
      </w:numPr>
    </w:pPr>
    <w:rPr>
      <w:lang w:val="en-GB" w:eastAsia="en-GB"/>
    </w:rPr>
  </w:style>
  <w:style w:type="paragraph" w:styleId="BalloonText">
    <w:name w:val="Balloon Text"/>
    <w:basedOn w:val="Normal"/>
    <w:link w:val="BalloonTextChar"/>
    <w:locked/>
    <w:rsid w:val="008B114D"/>
    <w:rPr>
      <w:rFonts w:ascii="Tahoma" w:hAnsi="Tahoma" w:cs="Tahoma"/>
      <w:sz w:val="16"/>
      <w:szCs w:val="16"/>
    </w:rPr>
  </w:style>
  <w:style w:type="character" w:customStyle="1" w:styleId="BalloonTextChar">
    <w:name w:val="Balloon Text Char"/>
    <w:link w:val="BalloonText"/>
    <w:rsid w:val="008B114D"/>
    <w:rPr>
      <w:rFonts w:ascii="Tahoma" w:hAnsi="Tahoma" w:cs="Tahoma"/>
      <w:sz w:val="16"/>
      <w:szCs w:val="16"/>
      <w:lang w:val="en-US" w:eastAsia="en-US"/>
    </w:rPr>
  </w:style>
  <w:style w:type="character" w:styleId="CommentReference">
    <w:name w:val="annotation reference"/>
    <w:locked/>
    <w:rsid w:val="008B114D"/>
    <w:rPr>
      <w:sz w:val="16"/>
      <w:szCs w:val="16"/>
    </w:rPr>
  </w:style>
  <w:style w:type="paragraph" w:styleId="CommentText">
    <w:name w:val="annotation text"/>
    <w:basedOn w:val="Normal"/>
    <w:link w:val="CommentTextChar"/>
    <w:locked/>
    <w:rsid w:val="008B114D"/>
    <w:rPr>
      <w:sz w:val="20"/>
      <w:szCs w:val="20"/>
    </w:rPr>
  </w:style>
  <w:style w:type="character" w:customStyle="1" w:styleId="CommentTextChar">
    <w:name w:val="Comment Text Char"/>
    <w:link w:val="CommentText"/>
    <w:rsid w:val="008B114D"/>
    <w:rPr>
      <w:lang w:val="en-US" w:eastAsia="en-US"/>
    </w:rPr>
  </w:style>
  <w:style w:type="paragraph" w:styleId="CommentSubject">
    <w:name w:val="annotation subject"/>
    <w:basedOn w:val="CommentText"/>
    <w:next w:val="CommentText"/>
    <w:link w:val="CommentSubjectChar"/>
    <w:locked/>
    <w:rsid w:val="008B114D"/>
    <w:rPr>
      <w:b/>
      <w:bCs/>
    </w:rPr>
  </w:style>
  <w:style w:type="character" w:customStyle="1" w:styleId="CommentSubjectChar">
    <w:name w:val="Comment Subject Char"/>
    <w:link w:val="CommentSubject"/>
    <w:rsid w:val="008B114D"/>
    <w:rPr>
      <w:b/>
      <w:bCs/>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t,single space,f,FOOTNOTES,fn,ft2"/>
    <w:basedOn w:val="Normal"/>
    <w:link w:val="FootnoteTextChar"/>
    <w:locked/>
    <w:rsid w:val="005B73AF"/>
    <w:rPr>
      <w:sz w:val="20"/>
      <w:szCs w:val="20"/>
      <w:lang w:val="en-GB"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t Char,single space Char,f Char"/>
    <w:basedOn w:val="DefaultParagraphFont"/>
    <w:link w:val="FootnoteText"/>
    <w:rsid w:val="005B73AF"/>
  </w:style>
  <w:style w:type="character" w:styleId="FootnoteReference">
    <w:name w:val="footnote reference"/>
    <w:aliases w:val="ftref,BVI fnr, BVI fnr, BVI fnr Car Car,BVI fnr Car, BVI fnr Car Car Car Car, BVI fnr Car Car Car Car Char,16 Point,Superscript 6 Point,Superscript 6 Point + 11 pt,BVI fnr Car Car,BVI fnr Car Car Car Car,Footnote text,-E Fußnotenzeich"/>
    <w:locked/>
    <w:rsid w:val="005B73AF"/>
    <w:rPr>
      <w:rFonts w:cs="Times New Roman"/>
      <w:vertAlign w:val="superscript"/>
    </w:rPr>
  </w:style>
  <w:style w:type="paragraph" w:customStyle="1" w:styleId="a3520normalp9">
    <w:name w:val="a__35__20_normal_p9"/>
    <w:basedOn w:val="Normal"/>
    <w:rsid w:val="009958D6"/>
    <w:pPr>
      <w:spacing w:after="120"/>
      <w:ind w:right="57"/>
      <w:jc w:val="both"/>
    </w:pPr>
    <w:rPr>
      <w:lang w:val="en-GB" w:eastAsia="en-GB"/>
    </w:rPr>
  </w:style>
  <w:style w:type="paragraph" w:styleId="Header">
    <w:name w:val="header"/>
    <w:basedOn w:val="Normal"/>
    <w:link w:val="HeaderChar"/>
    <w:locked/>
    <w:rsid w:val="00393F5B"/>
    <w:pPr>
      <w:tabs>
        <w:tab w:val="center" w:pos="4320"/>
        <w:tab w:val="right" w:pos="8640"/>
      </w:tabs>
    </w:pPr>
  </w:style>
  <w:style w:type="character" w:customStyle="1" w:styleId="HeaderChar">
    <w:name w:val="Header Char"/>
    <w:link w:val="Header"/>
    <w:rsid w:val="00393F5B"/>
    <w:rPr>
      <w:sz w:val="24"/>
      <w:szCs w:val="24"/>
    </w:rPr>
  </w:style>
  <w:style w:type="paragraph" w:styleId="Footer">
    <w:name w:val="footer"/>
    <w:basedOn w:val="Normal"/>
    <w:link w:val="FooterChar"/>
    <w:uiPriority w:val="99"/>
    <w:locked/>
    <w:rsid w:val="00393F5B"/>
    <w:pPr>
      <w:tabs>
        <w:tab w:val="center" w:pos="4320"/>
        <w:tab w:val="right" w:pos="8640"/>
      </w:tabs>
    </w:pPr>
  </w:style>
  <w:style w:type="character" w:customStyle="1" w:styleId="FooterChar">
    <w:name w:val="Footer Char"/>
    <w:link w:val="Footer"/>
    <w:uiPriority w:val="99"/>
    <w:rsid w:val="00393F5B"/>
    <w:rPr>
      <w:sz w:val="24"/>
      <w:szCs w:val="24"/>
    </w:rPr>
  </w:style>
  <w:style w:type="paragraph" w:styleId="NormalWeb">
    <w:name w:val="Normal (Web)"/>
    <w:basedOn w:val="Normal"/>
    <w:uiPriority w:val="99"/>
    <w:unhideWhenUsed/>
    <w:locked/>
    <w:rsid w:val="00702258"/>
    <w:pPr>
      <w:spacing w:before="100" w:beforeAutospacing="1" w:after="100" w:afterAutospacing="1"/>
    </w:pPr>
    <w:rPr>
      <w:rFonts w:eastAsiaTheme="minorHAnsi"/>
      <w:lang w:val="en-GB" w:eastAsia="en-GB"/>
    </w:rPr>
  </w:style>
  <w:style w:type="paragraph" w:styleId="ListParagraph">
    <w:name w:val="List Paragraph"/>
    <w:basedOn w:val="Normal"/>
    <w:uiPriority w:val="72"/>
    <w:rsid w:val="00297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159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europa.eu/legislation_summaries/development/general_development_framework/r13003_en.htm" TargetMode="External"/><Relationship Id="rId4" Type="http://schemas.openxmlformats.org/officeDocument/2006/relationships/hyperlink" Target="http://www.consilium.europa.eu/uedocs/cms_data/docs/pressdata/en/foraff/138272.pdf" TargetMode="External"/><Relationship Id="rId1" Type="http://schemas.openxmlformats.org/officeDocument/2006/relationships/hyperlink" Target="http://ec.europa.eu/development/icenter/repository/european_consensus_2005_en.pdf" TargetMode="External"/><Relationship Id="rId2" Type="http://schemas.openxmlformats.org/officeDocument/2006/relationships/hyperlink" Target="http://ec.europa.eu/europeaid/what/development-policies/documents/agenda_for_chang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1321-8970-9545-81DF-C3E1DBE8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6203</Words>
  <Characters>35361</Characters>
  <Application>Microsoft Macintosh Word</Application>
  <DocSecurity>0</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EU Strategy for Myanmar</vt:lpstr>
      <vt:lpstr>Joint EU Strategy for Myanmar</vt:lpstr>
    </vt:vector>
  </TitlesOfParts>
  <Company>European Commission</Company>
  <LinksUpToDate>false</LinksUpToDate>
  <CharactersWithSpaces>41482</CharactersWithSpaces>
  <SharedDoc>false</SharedDoc>
  <HLinks>
    <vt:vector size="24" baseType="variant">
      <vt:variant>
        <vt:i4>1572912</vt:i4>
      </vt:variant>
      <vt:variant>
        <vt:i4>9</vt:i4>
      </vt:variant>
      <vt:variant>
        <vt:i4>0</vt:i4>
      </vt:variant>
      <vt:variant>
        <vt:i4>5</vt:i4>
      </vt:variant>
      <vt:variant>
        <vt:lpwstr>http://www.consilium.europa.eu/uedocs/cms_data/docs/pressdata/en/foraff/138272.pdf</vt:lpwstr>
      </vt:variant>
      <vt:variant>
        <vt:lpwstr/>
      </vt:variant>
      <vt:variant>
        <vt:i4>5767242</vt:i4>
      </vt:variant>
      <vt:variant>
        <vt:i4>6</vt:i4>
      </vt:variant>
      <vt:variant>
        <vt:i4>0</vt:i4>
      </vt:variant>
      <vt:variant>
        <vt:i4>5</vt:i4>
      </vt:variant>
      <vt:variant>
        <vt:lpwstr>http://europa.eu/legislation_summaries/development/general_development_framework/r13003_en.htm</vt:lpwstr>
      </vt:variant>
      <vt:variant>
        <vt:lpwstr/>
      </vt:variant>
      <vt:variant>
        <vt:i4>4456548</vt:i4>
      </vt:variant>
      <vt:variant>
        <vt:i4>3</vt:i4>
      </vt:variant>
      <vt:variant>
        <vt:i4>0</vt:i4>
      </vt:variant>
      <vt:variant>
        <vt:i4>5</vt:i4>
      </vt:variant>
      <vt:variant>
        <vt:lpwstr>http://ec.europa.eu/europeaid/what/development-policies/documents/agenda_for_change_en.pdf</vt:lpwstr>
      </vt:variant>
      <vt:variant>
        <vt:lpwstr/>
      </vt:variant>
      <vt:variant>
        <vt:i4>720929</vt:i4>
      </vt:variant>
      <vt:variant>
        <vt:i4>0</vt:i4>
      </vt:variant>
      <vt:variant>
        <vt:i4>0</vt:i4>
      </vt:variant>
      <vt:variant>
        <vt:i4>5</vt:i4>
      </vt:variant>
      <vt:variant>
        <vt:lpwstr>http://ec.europa.eu/development/icenter/repository/european_consensus_2005_en.pdf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EU Strategy for Myanmar</dc:title>
  <dc:creator>SVEJDA Vaclav (EEAS-BANGKOK)</dc:creator>
  <cp:lastModifiedBy>Andy Benfield</cp:lastModifiedBy>
  <cp:revision>2</cp:revision>
  <dcterms:created xsi:type="dcterms:W3CDTF">2014-08-25T11:05:00Z</dcterms:created>
  <dcterms:modified xsi:type="dcterms:W3CDTF">2014-08-25T11:05:00Z</dcterms:modified>
</cp:coreProperties>
</file>