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63" w:rsidRPr="006F6944" w:rsidRDefault="008B5963">
      <w:pPr>
        <w:pStyle w:val="Heading1"/>
        <w:jc w:val="right"/>
        <w:rPr>
          <w:b w:val="0"/>
          <w:i/>
          <w:color w:val="999999"/>
          <w:sz w:val="18"/>
          <w:lang w:val="en-GB"/>
        </w:rPr>
      </w:pPr>
      <w:bookmarkStart w:id="0" w:name="OLE_LINK1"/>
      <w:bookmarkStart w:id="1" w:name="OLE_LINK2"/>
      <w:r>
        <w:rPr>
          <w:noProof/>
          <w:lang w:eastAsia="fr-FR"/>
        </w:rPr>
        <w:pict>
          <v:group id="Group 2" o:spid="_x0000_s1026" style="position:absolute;left:0;text-align:left;margin-left:-56.7pt;margin-top:-17pt;width:76.55pt;height:756.85pt;z-index:-251658240" coordorigin="851,907" coordsize="1531,1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">
            <v:rect id="Rectangle 3" o:spid="_x0000_s1027" style="position:absolute;left:851;top:907;width:567;height:1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kW8MA&#10;AADaAAAADwAAAGRycy9kb3ducmV2LnhtbESPT2sCMRTE70K/Q3iF3txsRcSuRikWQXoQ/xS8Pjev&#10;m8XNy7KJGv30plDwOMzMb5jpPNpGXKjztWMF71kOgrh0uuZKwc9+2R+D8AFZY+OYFNzIw3z20pti&#10;od2Vt3TZhUokCPsCFZgQ2kJKXxqy6DPXEifv13UWQ5JdJXWH1wS3jRzk+UharDktGGxpYag87c5W&#10;AVbH73Vc1Mvb5jD8Wh/v8bT6MEq9vcbPCYhAMTzD/+2VVjCAvyvpBs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GkW8MAAADaAAAADwAAAAAAAAAAAAAAAACYAgAAZHJzL2Rv&#10;d25yZXYueG1sUEsFBgAAAAAEAAQA9QAAAIgDAAAAAA==&#10;" fillcolor="#103c72" stroked="f"/>
            <v:group id="Group 4" o:spid="_x0000_s1028" style="position:absolute;left:851;top:2835;width:1531;height:2211" coordorigin="851,2835" coordsize="1531,2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29" style="position:absolute;left:851;top:2835;width:153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632MIA&#10;AADaAAAADwAAAGRycy9kb3ducmV2LnhtbESPT4vCMBTE7wt+h/AEb2vqdrdINYoIirfin4u3R/Ns&#10;i81LTbJav71ZEPY4zMxvmPmyN624k/ONZQWTcQKCuLS64UrB6bj5nILwAVlja5kUPMnDcjH4mGOu&#10;7YP3dD+ESkQI+xwV1CF0uZS+rMmgH9uOOHoX6wyGKF0ltcNHhJtWfiVJJg02HBdq7GhdU3k9/BoF&#10;qTsXx2I1SXbpbftdpDZ7XnWm1GjYr2YgAvXhP/xu77SCH/i7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rfYwgAAANoAAAAPAAAAAAAAAAAAAAAAAJgCAABkcnMvZG93&#10;bnJldi54bWxQSwUGAAAAAAQABAD1AAAAhwMAAAAA&#10;" fillcolor="#e2a600" stroked="f">
                <v:textbox inset="0,0,0,0">
                  <w:txbxContent>
                    <w:p w:rsidR="008B5963" w:rsidRDefault="008B5963">
                      <w:pPr>
                        <w:pStyle w:val="Heading3"/>
                        <w:rPr>
                          <w:spacing w:val="10"/>
                        </w:rPr>
                      </w:pPr>
                      <w:r>
                        <w:rPr>
                          <w:spacing w:val="10"/>
                        </w:rPr>
                        <w:t>EuropeAid</w:t>
                      </w:r>
                    </w:p>
                    <w:p w:rsidR="008B5963" w:rsidRDefault="008B5963"/>
                  </w:txbxContent>
                </v:textbox>
              </v:rect>
              <v:rect id="Rectangle 6" o:spid="_x0000_s1030" style="position:absolute;left:851;top:3685;width:153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Sr0A&#10;AADaAAAADwAAAGRycy9kb3ducmV2LnhtbESPSwvCMBCE74L/IazgTVNFVKpRVBC9+gKPS7N9YLMp&#10;TbT13xtB8DjMzDfMct2aUryodoVlBaNhBII4sbrgTMH1sh/MQTiPrLG0TAre5GC96naWGGvb8Ile&#10;Z5+JAGEXo4Lc+yqW0iU5GXRDWxEHL7W1QR9knUldYxPgppTjKJpKgwWHhRwr2uWUPM5Po+Bwncxu&#10;Gzylh/FtlMrt9p75xirV77WbBQhPrf+Hf+2jVjCF75V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9n+Sr0AAADaAAAADwAAAAAAAAAAAAAAAACYAgAAZHJzL2Rvd25yZXYu&#10;eG1sUEsFBgAAAAAEAAQA9QAAAIIDAAAAAA==&#10;" fillcolor="#e2a600" stroked="f"/>
              <v:rect id="Rectangle 7" o:spid="_x0000_s1031" style="position:absolute;left:851;top:4536;width:153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b0b0A&#10;AADaAAAADwAAAGRycy9kb3ducmV2LnhtbESPSwvCMBCE74L/IazgTVNFVKpRVBC9+gKPS7N9YLMp&#10;TbT13xtB8DjMzDfMct2aUryodoVlBaNhBII4sbrgTMH1sh/MQTiPrLG0TAre5GC96naWGGvb8Ile&#10;Z5+JAGEXo4Lc+yqW0iU5GXRDWxEHL7W1QR9knUldYxPgppTjKJpKgwWHhRwr2uWUPM5Po+Bwncxu&#10;Gzylh/FtlMrt9p75xirV77WbBQhPrf+Hf+2jVjCD75V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JVb0b0AAADaAAAADwAAAAAAAAAAAAAAAACYAgAAZHJzL2Rvd25yZXYu&#10;eG1sUEsFBgAAAAAEAAQA9QAAAIIDAAAAAA==&#10;" fillcolor="#e2a600" stroked="f"/>
            </v:group>
          </v:group>
        </w:pict>
      </w:r>
    </w:p>
    <w:p w:rsidR="008B5963" w:rsidRPr="00EE3687" w:rsidRDefault="008B5963" w:rsidP="00EE3687">
      <w:pPr>
        <w:pStyle w:val="Heading1"/>
        <w:spacing w:line="240" w:lineRule="auto"/>
        <w:jc w:val="right"/>
        <w:rPr>
          <w:b w:val="0"/>
          <w:sz w:val="96"/>
          <w:szCs w:val="96"/>
          <w:lang w:val="en-GB"/>
        </w:rPr>
      </w:pPr>
    </w:p>
    <w:p w:rsidR="008B5963" w:rsidRDefault="008B5963" w:rsidP="002A0630">
      <w:pPr>
        <w:pStyle w:val="Heading1"/>
        <w:spacing w:line="240" w:lineRule="auto"/>
        <w:rPr>
          <w:b w:val="0"/>
          <w:sz w:val="144"/>
          <w:szCs w:val="144"/>
          <w:lang w:val="en-GB"/>
        </w:rPr>
      </w:pPr>
      <w:r>
        <w:rPr>
          <w:b w:val="0"/>
          <w:sz w:val="144"/>
          <w:szCs w:val="144"/>
          <w:lang w:val="en-GB"/>
        </w:rPr>
        <w:t xml:space="preserve">  </w:t>
      </w:r>
    </w:p>
    <w:p w:rsidR="008B5963" w:rsidRPr="00D35DA5" w:rsidRDefault="008B5963" w:rsidP="00EE3687">
      <w:pPr>
        <w:pStyle w:val="Heading1"/>
        <w:spacing w:line="240" w:lineRule="auto"/>
        <w:jc w:val="center"/>
        <w:rPr>
          <w:b w:val="0"/>
          <w:sz w:val="96"/>
          <w:szCs w:val="96"/>
        </w:rPr>
      </w:pPr>
      <w:r w:rsidRPr="00D35DA5">
        <w:rPr>
          <w:b w:val="0"/>
          <w:sz w:val="96"/>
          <w:szCs w:val="96"/>
        </w:rPr>
        <w:t>Glossaire</w:t>
      </w:r>
    </w:p>
    <w:p w:rsidR="008B5963" w:rsidRPr="00D35DA5" w:rsidRDefault="008B5963" w:rsidP="005E17A4">
      <w:pPr>
        <w:ind w:left="709"/>
        <w:jc w:val="center"/>
        <w:rPr>
          <w:sz w:val="32"/>
          <w:szCs w:val="32"/>
        </w:rPr>
      </w:pPr>
      <w:r w:rsidRPr="00D35DA5">
        <w:rPr>
          <w:sz w:val="32"/>
          <w:szCs w:val="32"/>
        </w:rPr>
        <w:t>Travail en cours</w:t>
      </w:r>
    </w:p>
    <w:p w:rsidR="008B5963" w:rsidRPr="00D35DA5" w:rsidRDefault="008B5963" w:rsidP="00EE3687">
      <w:pPr>
        <w:spacing w:after="120" w:line="240" w:lineRule="auto"/>
        <w:jc w:val="center"/>
        <w:rPr>
          <w:sz w:val="44"/>
          <w:szCs w:val="44"/>
        </w:rPr>
      </w:pPr>
    </w:p>
    <w:p w:rsidR="008B5963" w:rsidRPr="00D35DA5" w:rsidRDefault="008B5963" w:rsidP="005E17A4">
      <w:pPr>
        <w:spacing w:after="120" w:line="240" w:lineRule="auto"/>
        <w:rPr>
          <w:sz w:val="60"/>
          <w:szCs w:val="60"/>
        </w:rPr>
      </w:pPr>
      <w:r w:rsidRPr="00D35DA5">
        <w:rPr>
          <w:sz w:val="60"/>
          <w:szCs w:val="60"/>
        </w:rPr>
        <w:t>Macro I</w:t>
      </w:r>
    </w:p>
    <w:bookmarkEnd w:id="0"/>
    <w:bookmarkEnd w:id="1"/>
    <w:p w:rsidR="008B5963" w:rsidRPr="00D35DA5" w:rsidRDefault="008B5963" w:rsidP="005E17A4">
      <w:pPr>
        <w:spacing w:after="120" w:line="240" w:lineRule="auto"/>
        <w:rPr>
          <w:sz w:val="60"/>
          <w:szCs w:val="60"/>
        </w:rPr>
      </w:pPr>
      <w:r w:rsidRPr="00D35DA5">
        <w:rPr>
          <w:sz w:val="60"/>
          <w:szCs w:val="60"/>
        </w:rPr>
        <w:t>Macroéconomie appliquée</w:t>
      </w:r>
    </w:p>
    <w:p w:rsidR="008B5963" w:rsidRPr="00D35DA5" w:rsidRDefault="008B5963" w:rsidP="005E17A4">
      <w:pPr>
        <w:widowControl/>
        <w:spacing w:before="0" w:line="240" w:lineRule="auto"/>
        <w:rPr>
          <w:sz w:val="36"/>
          <w:szCs w:val="36"/>
        </w:rPr>
      </w:pPr>
    </w:p>
    <w:p w:rsidR="008B5963" w:rsidRPr="00D35DA5" w:rsidRDefault="008B5963" w:rsidP="005E17A4">
      <w:pPr>
        <w:widowControl/>
        <w:spacing w:before="0" w:line="240" w:lineRule="auto"/>
        <w:rPr>
          <w:sz w:val="36"/>
          <w:szCs w:val="36"/>
        </w:rPr>
      </w:pPr>
      <w:r w:rsidRPr="00D35DA5">
        <w:rPr>
          <w:sz w:val="36"/>
          <w:szCs w:val="36"/>
        </w:rPr>
        <w:t>Arthur SILVE</w:t>
      </w:r>
    </w:p>
    <w:p w:rsidR="008B5963" w:rsidRPr="00D35DA5" w:rsidRDefault="008B5963" w:rsidP="005E17A4">
      <w:pPr>
        <w:widowControl/>
        <w:spacing w:before="0" w:line="240" w:lineRule="auto"/>
        <w:rPr>
          <w:sz w:val="36"/>
          <w:szCs w:val="36"/>
        </w:rPr>
      </w:pPr>
      <w:r w:rsidRPr="00D35DA5">
        <w:rPr>
          <w:sz w:val="36"/>
          <w:szCs w:val="36"/>
        </w:rPr>
        <w:t>arthur.silve@m4x.org</w:t>
      </w:r>
    </w:p>
    <w:p w:rsidR="008B5963" w:rsidRPr="00D35DA5" w:rsidRDefault="008B5963">
      <w:pPr>
        <w:widowControl/>
        <w:spacing w:before="0" w:line="240" w:lineRule="auto"/>
        <w:rPr>
          <w:sz w:val="44"/>
          <w:szCs w:val="44"/>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style="position:absolute;margin-left:364.05pt;margin-top:621.2pt;width:156.2pt;height:108pt;z-index:251659264;visibility:visible;mso-position-horizontal-relative:page;mso-position-vertical-relative:page">
            <v:imagedata r:id="rId7" o:title=""/>
            <w10:wrap anchorx="page" anchory="page"/>
          </v:shape>
        </w:pict>
      </w:r>
      <w:r w:rsidRPr="00D35DA5">
        <w:rPr>
          <w:sz w:val="44"/>
          <w:szCs w:val="44"/>
        </w:rPr>
        <w:br w:type="page"/>
      </w:r>
    </w:p>
    <w:p w:rsidR="008B5963" w:rsidRPr="00B401D1" w:rsidRDefault="008B5963" w:rsidP="00EE3687">
      <w:pPr>
        <w:spacing w:before="120" w:after="120"/>
        <w:rPr>
          <w:b/>
          <w:u w:val="single"/>
        </w:rPr>
      </w:pPr>
      <w:r w:rsidRPr="00B401D1">
        <w:rPr>
          <w:b/>
          <w:u w:val="single"/>
        </w:rPr>
        <w:t>A</w:t>
      </w:r>
    </w:p>
    <w:p w:rsidR="008B5963" w:rsidRPr="001F0AF3" w:rsidRDefault="008B5963" w:rsidP="00EE3687">
      <w:pPr>
        <w:spacing w:before="120" w:after="120"/>
      </w:pPr>
      <w:r w:rsidRPr="001F0AF3">
        <w:rPr>
          <w:u w:val="single"/>
        </w:rPr>
        <w:t>Accord de confirmation </w:t>
      </w:r>
      <w:r>
        <w:rPr>
          <w:u w:val="single"/>
        </w:rPr>
        <w:t xml:space="preserve">(stand-by arrangement) </w:t>
      </w:r>
      <w:r w:rsidRPr="001F0AF3">
        <w:t xml:space="preserve">: programme non-concessionnel du FMI </w:t>
      </w:r>
      <w:r>
        <w:t xml:space="preserve">pour </w:t>
      </w:r>
      <w:r w:rsidRPr="001F0AF3">
        <w:t>aider les pays à surmonter leurs problèmes de balance des paiements à court terme. C'est la cheville ouvrière des concours financiers du FMI aux pays émergents et avancés.</w:t>
      </w:r>
    </w:p>
    <w:p w:rsidR="008B5963" w:rsidRPr="001F0AF3" w:rsidRDefault="008B5963" w:rsidP="00EE3687">
      <w:pPr>
        <w:spacing w:before="120" w:after="120"/>
      </w:pPr>
      <w:r w:rsidRPr="001F0AF3">
        <w:rPr>
          <w:u w:val="single"/>
        </w:rPr>
        <w:t>Actifs </w:t>
      </w:r>
      <w:r>
        <w:rPr>
          <w:u w:val="single"/>
        </w:rPr>
        <w:t xml:space="preserve">(asset) </w:t>
      </w:r>
      <w:r w:rsidRPr="001F0AF3">
        <w:t xml:space="preserve">: ressource économique capable de générer de la valeur. Fait souvent référence au travail, au capital, ou au capital humain. </w:t>
      </w:r>
    </w:p>
    <w:p w:rsidR="008B5963" w:rsidRPr="001F0AF3" w:rsidRDefault="008B5963" w:rsidP="00EE3687">
      <w:pPr>
        <w:spacing w:before="120" w:after="120"/>
      </w:pPr>
      <w:r w:rsidRPr="001F0AF3">
        <w:rPr>
          <w:u w:val="single"/>
        </w:rPr>
        <w:t>Action </w:t>
      </w:r>
      <w:r>
        <w:rPr>
          <w:u w:val="single"/>
        </w:rPr>
        <w:t xml:space="preserve">(equity) </w:t>
      </w:r>
      <w:r w:rsidRPr="001F0AF3">
        <w:t xml:space="preserve">: droit résiduel sur les actifs d’une compagnie ou d’un investissement, souvent associé à </w:t>
      </w:r>
      <w:r>
        <w:t>un droit de propriété</w:t>
      </w:r>
    </w:p>
    <w:p w:rsidR="008B5963" w:rsidRPr="001F0AF3" w:rsidRDefault="008B5963" w:rsidP="00EE3687">
      <w:pPr>
        <w:spacing w:before="120" w:after="120"/>
      </w:pPr>
      <w:r w:rsidRPr="001F0AF3">
        <w:rPr>
          <w:u w:val="single"/>
        </w:rPr>
        <w:t>Adéquation des fonds propres </w:t>
      </w:r>
      <w:r>
        <w:rPr>
          <w:u w:val="single"/>
        </w:rPr>
        <w:t xml:space="preserve">(capital adequacy ratio) </w:t>
      </w:r>
      <w:r w:rsidRPr="001F0AF3">
        <w:t xml:space="preserve">: ratio du capital d’une banque sur ses crédits en cours, établi et requis par les régulations nationales. </w:t>
      </w:r>
    </w:p>
    <w:p w:rsidR="008B5963" w:rsidRPr="001F0AF3" w:rsidRDefault="008B5963" w:rsidP="00EE3687">
      <w:pPr>
        <w:spacing w:before="120" w:after="120"/>
      </w:pPr>
      <w:r w:rsidRPr="001F0AF3">
        <w:rPr>
          <w:u w:val="single"/>
        </w:rPr>
        <w:t>AID (Association Internationale de Développement) </w:t>
      </w:r>
      <w:r>
        <w:rPr>
          <w:u w:val="single"/>
        </w:rPr>
        <w:t xml:space="preserve">(IDA) </w:t>
      </w:r>
      <w:r w:rsidRPr="001F0AF3">
        <w:t xml:space="preserve">: troisième des cinq instituions du Groupe de </w:t>
      </w:r>
      <w:smartTag w:uri="urn:schemas-microsoft-com:office:smarttags" w:element="PersonName">
        <w:smartTagPr>
          <w:attr w:name="ProductID" w:val="la Banque Mondiale"/>
        </w:smartTagPr>
        <w:r w:rsidRPr="001F0AF3">
          <w:t>la Banque Mondiale</w:t>
        </w:r>
      </w:smartTag>
      <w:r w:rsidRPr="001F0AF3">
        <w:t xml:space="preserve">, elle a pour but d’accorder des prêts concessionnels et des dons aux pays les plus pauvres. </w:t>
      </w:r>
    </w:p>
    <w:p w:rsidR="008B5963" w:rsidRPr="001F0AF3" w:rsidRDefault="008B5963" w:rsidP="00EE3687">
      <w:pPr>
        <w:spacing w:before="120" w:after="120"/>
      </w:pPr>
      <w:r w:rsidRPr="001F0AF3">
        <w:rPr>
          <w:u w:val="single"/>
        </w:rPr>
        <w:t>Aléa moral </w:t>
      </w:r>
      <w:r>
        <w:rPr>
          <w:u w:val="single"/>
        </w:rPr>
        <w:t xml:space="preserve">(moral hazard) </w:t>
      </w:r>
      <w:r w:rsidRPr="001F0AF3">
        <w:t>: inclination des acteurs à prendre des risques excessifs lorsqu’ils n’en su</w:t>
      </w:r>
      <w:r>
        <w:t>pport</w:t>
      </w:r>
      <w:r w:rsidRPr="001F0AF3">
        <w:t xml:space="preserve">ent pas </w:t>
      </w:r>
      <w:r>
        <w:t>tout le coût social</w:t>
      </w:r>
    </w:p>
    <w:p w:rsidR="008B5963" w:rsidRPr="001F0AF3" w:rsidRDefault="008B5963" w:rsidP="00EE3687">
      <w:pPr>
        <w:spacing w:before="120" w:after="120"/>
      </w:pPr>
      <w:r w:rsidRPr="001F0AF3">
        <w:rPr>
          <w:u w:val="single"/>
        </w:rPr>
        <w:t>Ancrage à crémaillère </w:t>
      </w:r>
      <w:r>
        <w:rPr>
          <w:u w:val="single"/>
        </w:rPr>
        <w:t xml:space="preserve">(crawling peg) </w:t>
      </w:r>
      <w:r w:rsidRPr="001F0AF3">
        <w:t xml:space="preserve">: ancrage fixe du taux de change avec une dépréciation progressive et contrôlée de la monnaie. </w:t>
      </w:r>
    </w:p>
    <w:p w:rsidR="008B5963" w:rsidRPr="00B401D1" w:rsidRDefault="008B5963" w:rsidP="005D5010">
      <w:pPr>
        <w:spacing w:before="120" w:after="120"/>
      </w:pPr>
      <w:r w:rsidRPr="001F0AF3">
        <w:rPr>
          <w:u w:val="single"/>
        </w:rPr>
        <w:t>APD (Aide publique au développement) </w:t>
      </w:r>
      <w:r w:rsidRPr="001F0AF3">
        <w:t xml:space="preserve">: « On entend par «aide publique au développement» tous les apports de ressources qui sont fournis aux pays et territoires sur </w:t>
      </w:r>
      <w:smartTag w:uri="urn:schemas-microsoft-com:office:smarttags" w:element="PersonName">
        <w:smartTagPr>
          <w:attr w:name="ProductID" w:val="la Liste"/>
        </w:smartTagPr>
        <w:r w:rsidRPr="001F0AF3">
          <w:t>la Liste</w:t>
        </w:r>
      </w:smartTag>
      <w:r w:rsidRPr="001F0AF3">
        <w:t xml:space="preserve"> des bénéficiaires de l’APD, ou à des institutions multilatérales, et qui répondent aux critères suivants : (i) émaner d'organismes publics, y compris les états et les collectivités locales, ou d'organismes agissant pour le compte d'organismes publics ; et (ii) sachant que chaque opération doit en outre : (a) avoir pour but essentiel de favoriser le développement économique et l'amélioration du niveau de vie des pays en développement ; et (b) entre assortie de conditions favorables et comporter un élément de libéralité́ au moins égal à 25 pour cent11 (sur la base d'un taux d'actualisation de 10 pour cent). » </w:t>
      </w:r>
      <w:r w:rsidRPr="00B401D1">
        <w:t>(Définition du CAD)</w:t>
      </w:r>
    </w:p>
    <w:p w:rsidR="008B5963" w:rsidRPr="001F0AF3" w:rsidRDefault="008B5963" w:rsidP="00EE3687">
      <w:pPr>
        <w:spacing w:before="120" w:after="120"/>
      </w:pPr>
      <w:r w:rsidRPr="001F0AF3">
        <w:rPr>
          <w:u w:val="single"/>
        </w:rPr>
        <w:t>Argument des industries naissantes </w:t>
      </w:r>
      <w:r>
        <w:rPr>
          <w:u w:val="single"/>
        </w:rPr>
        <w:t xml:space="preserve">(infant industries) </w:t>
      </w:r>
      <w:r w:rsidRPr="001F0AF3">
        <w:t xml:space="preserve">: l’existence de rendements d’échelle croissants peut justifier une période de protectionnisme, puisque celle-ci peut permettre à l’industrie d’atteindre une masse critique avant d’être soumise à la </w:t>
      </w:r>
      <w:r>
        <w:t>concurrence</w:t>
      </w:r>
      <w:r w:rsidRPr="001F0AF3">
        <w:t xml:space="preserve"> internationale. </w:t>
      </w:r>
    </w:p>
    <w:p w:rsidR="008B5963" w:rsidRPr="001F0AF3" w:rsidRDefault="008B5963" w:rsidP="00EE3687">
      <w:pPr>
        <w:spacing w:before="120" w:after="120"/>
      </w:pPr>
      <w:r w:rsidRPr="001F0AF3">
        <w:rPr>
          <w:u w:val="single"/>
        </w:rPr>
        <w:t>Asymétries d’information</w:t>
      </w:r>
      <w:r>
        <w:rPr>
          <w:u w:val="single"/>
        </w:rPr>
        <w:t xml:space="preserve"> </w:t>
      </w:r>
      <w:r w:rsidRPr="001F0AF3">
        <w:t xml:space="preserve">: sélection adverse et aléa moral. </w:t>
      </w:r>
    </w:p>
    <w:p w:rsidR="008B5963" w:rsidRPr="001F0AF3" w:rsidRDefault="008B5963" w:rsidP="00EE3687">
      <w:pPr>
        <w:spacing w:before="120" w:after="120"/>
      </w:pPr>
      <w:r w:rsidRPr="001F0AF3">
        <w:rPr>
          <w:u w:val="single"/>
        </w:rPr>
        <w:t>Avantage comparatif </w:t>
      </w:r>
      <w:r w:rsidRPr="001F0AF3">
        <w:t xml:space="preserve">: modèle qui rend compte des avantages au commerce pour des pays qui présentent des </w:t>
      </w:r>
      <w:r>
        <w:t>niveaux de productivité sectorielle relative différents</w:t>
      </w:r>
      <w:r w:rsidRPr="001F0AF3">
        <w:t xml:space="preserve">, quand bien même un pays disposerait d’un avantage absolu dans tous les secteurs. </w:t>
      </w:r>
    </w:p>
    <w:p w:rsidR="008B5963" w:rsidRPr="00B401D1" w:rsidRDefault="008B5963" w:rsidP="00EE3687">
      <w:pPr>
        <w:spacing w:before="120" w:after="120"/>
        <w:rPr>
          <w:b/>
          <w:u w:val="single"/>
        </w:rPr>
      </w:pPr>
      <w:r w:rsidRPr="00B401D1">
        <w:rPr>
          <w:b/>
          <w:u w:val="single"/>
        </w:rPr>
        <w:t>B</w:t>
      </w:r>
    </w:p>
    <w:p w:rsidR="008B5963" w:rsidRPr="001F0AF3" w:rsidRDefault="008B5963" w:rsidP="00EE3687">
      <w:pPr>
        <w:spacing w:before="120" w:after="120"/>
      </w:pPr>
      <w:r w:rsidRPr="001F0AF3">
        <w:rPr>
          <w:u w:val="single"/>
        </w:rPr>
        <w:t>Balance des paiements</w:t>
      </w:r>
      <w:r>
        <w:rPr>
          <w:u w:val="single"/>
        </w:rPr>
        <w:t xml:space="preserve"> </w:t>
      </w:r>
      <w:r w:rsidRPr="001F0AF3">
        <w:t xml:space="preserve">: relevé de toutes transactions entre un pays et le reste du monde. Comprend le compte courant et le compte de capital. </w:t>
      </w:r>
    </w:p>
    <w:p w:rsidR="008B5963" w:rsidRPr="001F0AF3" w:rsidRDefault="008B5963" w:rsidP="00EE3687">
      <w:pPr>
        <w:spacing w:before="120" w:after="120"/>
      </w:pPr>
      <w:r w:rsidRPr="001F0AF3">
        <w:rPr>
          <w:u w:val="single"/>
        </w:rPr>
        <w:t>Banque d’investissement </w:t>
      </w:r>
      <w:r w:rsidRPr="001F0AF3">
        <w:t xml:space="preserve">: institution financière dédiée à la mobilisation de capitaux pour le compte de ses clients et à la </w:t>
      </w:r>
      <w:r>
        <w:t>fourniture</w:t>
      </w:r>
      <w:r w:rsidRPr="001F0AF3">
        <w:t xml:space="preserve"> des services qui y sont liés. </w:t>
      </w:r>
    </w:p>
    <w:p w:rsidR="008B5963" w:rsidRPr="001F0AF3" w:rsidRDefault="008B5963" w:rsidP="00EE3687">
      <w:pPr>
        <w:spacing w:before="120" w:after="120"/>
      </w:pPr>
      <w:r w:rsidRPr="001F0AF3">
        <w:rPr>
          <w:u w:val="single"/>
        </w:rPr>
        <w:t>Banques commerciales </w:t>
      </w:r>
      <w:r w:rsidRPr="001F0AF3">
        <w:t xml:space="preserve">: banques spécialisées dans la collecte de fonds privés et la création monétaire via des prêts commerciaux à des particuliers et des sociétés. </w:t>
      </w:r>
    </w:p>
    <w:p w:rsidR="008B5963" w:rsidRPr="001F0AF3" w:rsidRDefault="008B5963" w:rsidP="00EE3687">
      <w:pPr>
        <w:spacing w:before="120" w:after="120"/>
      </w:pPr>
      <w:r w:rsidRPr="001F0AF3">
        <w:rPr>
          <w:u w:val="single"/>
        </w:rPr>
        <w:t>Bien public </w:t>
      </w:r>
      <w:r w:rsidRPr="001F0AF3">
        <w:t>: bien dont l’utilisation est à a fois non-rivale et non-exclusive. La consommation du bien par un agent ne diminue pas sa disponibilité pour les autres, et</w:t>
      </w:r>
      <w:r>
        <w:t xml:space="preserve"> </w:t>
      </w:r>
      <w:r w:rsidRPr="001F0AF3">
        <w:t xml:space="preserve">aucun agent ne peut être exclu de son utilisation. </w:t>
      </w:r>
    </w:p>
    <w:p w:rsidR="008B5963" w:rsidRPr="001F0AF3" w:rsidRDefault="008B5963" w:rsidP="00EE3687">
      <w:pPr>
        <w:spacing w:before="120" w:after="120"/>
      </w:pPr>
      <w:r w:rsidRPr="001F0AF3">
        <w:rPr>
          <w:u w:val="single"/>
        </w:rPr>
        <w:t xml:space="preserve">BIRD (Banque Internationale pour </w:t>
      </w:r>
      <w:smartTag w:uri="urn:schemas-microsoft-com:office:smarttags" w:element="PersonName">
        <w:smartTagPr>
          <w:attr w:name="ProductID" w:val="la Reconstruction"/>
        </w:smartTagPr>
        <w:r w:rsidRPr="001F0AF3">
          <w:rPr>
            <w:u w:val="single"/>
          </w:rPr>
          <w:t>la Reconstruction</w:t>
        </w:r>
      </w:smartTag>
      <w:r w:rsidRPr="001F0AF3">
        <w:rPr>
          <w:u w:val="single"/>
        </w:rPr>
        <w:t xml:space="preserve"> et le Développement) </w:t>
      </w:r>
      <w:r>
        <w:rPr>
          <w:u w:val="single"/>
        </w:rPr>
        <w:t xml:space="preserve">(IBRD) </w:t>
      </w:r>
      <w:r w:rsidRPr="001F0AF3">
        <w:t xml:space="preserve">: première des cinq instituions du Groupe de </w:t>
      </w:r>
      <w:smartTag w:uri="urn:schemas-microsoft-com:office:smarttags" w:element="PersonName">
        <w:smartTagPr>
          <w:attr w:name="ProductID" w:val="la Banque Mondiale"/>
        </w:smartTagPr>
        <w:r w:rsidRPr="001F0AF3">
          <w:t>la Banque Mondiale</w:t>
        </w:r>
      </w:smartTag>
      <w:r w:rsidRPr="001F0AF3">
        <w:t xml:space="preserve">, elle a pour but de prêter aux pays à revenu intermédiaire et aux pays plus pauvres mais solvables. Un prêt classique de </w:t>
      </w:r>
      <w:smartTag w:uri="urn:schemas-microsoft-com:office:smarttags" w:element="PersonName">
        <w:smartTagPr>
          <w:attr w:name="ProductID" w:val="la BIRD"/>
        </w:smartTagPr>
        <w:r w:rsidRPr="001F0AF3">
          <w:t>la BIRD</w:t>
        </w:r>
      </w:smartTag>
      <w:r w:rsidRPr="001F0AF3">
        <w:t xml:space="preserve"> se basera sur le taux LIBOR à 6 mois auquel s’ajoutera un taux spécifique calculé en fonction des risques propres au pays. </w:t>
      </w:r>
    </w:p>
    <w:p w:rsidR="008B5963" w:rsidRPr="001F0AF3" w:rsidRDefault="008B5963" w:rsidP="00EE3687">
      <w:pPr>
        <w:spacing w:before="120" w:after="120"/>
      </w:pPr>
      <w:r>
        <w:rPr>
          <w:u w:val="single"/>
        </w:rPr>
        <w:t>Blend</w:t>
      </w:r>
      <w:r w:rsidRPr="001F0AF3">
        <w:rPr>
          <w:u w:val="single"/>
        </w:rPr>
        <w:t xml:space="preserve"> / A financement mixtes </w:t>
      </w:r>
      <w:r w:rsidRPr="001F0AF3">
        <w:t xml:space="preserve">: </w:t>
      </w:r>
      <w:r>
        <w:t xml:space="preserve">se </w:t>
      </w:r>
      <w:r w:rsidRPr="001F0AF3">
        <w:t xml:space="preserve">dit des pays ayant accès à des lignes de financement de </w:t>
      </w:r>
      <w:smartTag w:uri="urn:schemas-microsoft-com:office:smarttags" w:element="PersonName">
        <w:smartTagPr>
          <w:attr w:name="ProductID" w:val="la BIRD"/>
        </w:smartTagPr>
        <w:r w:rsidRPr="001F0AF3">
          <w:t>la BIRD</w:t>
        </w:r>
      </w:smartTag>
      <w:r w:rsidRPr="001F0AF3">
        <w:t xml:space="preserve"> et de l’AID. Ces pays sont donc à la fois relativement pauvres et solvables. </w:t>
      </w:r>
    </w:p>
    <w:p w:rsidR="008B5963" w:rsidRPr="001F0AF3" w:rsidRDefault="008B5963" w:rsidP="00EE3687">
      <w:pPr>
        <w:spacing w:before="120" w:after="120"/>
      </w:pPr>
      <w:r w:rsidRPr="001F0AF3">
        <w:rPr>
          <w:u w:val="single"/>
        </w:rPr>
        <w:t>Bon du Trésor </w:t>
      </w:r>
      <w:r>
        <w:rPr>
          <w:u w:val="single"/>
        </w:rPr>
        <w:t xml:space="preserve">(T-bill) </w:t>
      </w:r>
      <w:r w:rsidRPr="001F0AF3">
        <w:t xml:space="preserve">: obligation à coupon zéro arrivant à échéance au plus un an après son émission, vendue à une valeur inférieure à sa valeur nominale afin de générer un rendement positif à échéance. </w:t>
      </w:r>
    </w:p>
    <w:p w:rsidR="008B5963" w:rsidRPr="001F0AF3" w:rsidRDefault="008B5963" w:rsidP="00EE3687">
      <w:pPr>
        <w:spacing w:before="120" w:after="120"/>
      </w:pPr>
      <w:r w:rsidRPr="001F0AF3">
        <w:rPr>
          <w:u w:val="single"/>
        </w:rPr>
        <w:t>Bulle </w:t>
      </w:r>
      <w:r w:rsidRPr="001F0AF3">
        <w:t xml:space="preserve">: hausse excessive de la valeur d’une certaine catégorie d’actifs. Il n’existe malheureusement pas de théorie économique </w:t>
      </w:r>
      <w:r>
        <w:t xml:space="preserve">consensuelle </w:t>
      </w:r>
      <w:r w:rsidRPr="001F0AF3">
        <w:t xml:space="preserve">explicitant ce que pourrait signifier « hausse excessive ». </w:t>
      </w:r>
    </w:p>
    <w:p w:rsidR="008B5963" w:rsidRPr="00B401D1" w:rsidRDefault="008B5963" w:rsidP="00EE3687">
      <w:pPr>
        <w:spacing w:before="120" w:after="120"/>
        <w:rPr>
          <w:b/>
          <w:u w:val="single"/>
        </w:rPr>
      </w:pPr>
      <w:r w:rsidRPr="00B401D1">
        <w:rPr>
          <w:b/>
          <w:u w:val="single"/>
        </w:rPr>
        <w:t>C</w:t>
      </w:r>
    </w:p>
    <w:p w:rsidR="008B5963" w:rsidRPr="001F0AF3" w:rsidRDefault="008B5963" w:rsidP="00EE3687">
      <w:pPr>
        <w:spacing w:before="120" w:after="120"/>
        <w:rPr>
          <w:u w:val="single"/>
        </w:rPr>
      </w:pPr>
      <w:r w:rsidRPr="001F0AF3">
        <w:rPr>
          <w:u w:val="single"/>
        </w:rPr>
        <w:t>CAD (Comité d’Assistance au Développement)</w:t>
      </w:r>
      <w:r w:rsidRPr="001F0AF3">
        <w:t> </w:t>
      </w:r>
      <w:r>
        <w:t xml:space="preserve">(DAC) </w:t>
      </w:r>
      <w:r w:rsidRPr="001F0AF3">
        <w:t xml:space="preserve">: forum de discussion organisé par l’OCDE autour d’enjeux majeurs de développement, de l’APD et de la réduction de la pauvreté. </w:t>
      </w:r>
    </w:p>
    <w:p w:rsidR="008B5963" w:rsidRPr="001F0AF3" w:rsidRDefault="008B5963" w:rsidP="00EE3687">
      <w:pPr>
        <w:spacing w:before="120" w:after="120"/>
      </w:pPr>
      <w:r w:rsidRPr="001F0AF3">
        <w:rPr>
          <w:u w:val="single"/>
        </w:rPr>
        <w:t>Cadre de viabilité de la dette (CVD)</w:t>
      </w:r>
      <w:r>
        <w:rPr>
          <w:u w:val="single"/>
        </w:rPr>
        <w:t xml:space="preserve"> (DSF)</w:t>
      </w:r>
      <w:r w:rsidRPr="001F0AF3">
        <w:rPr>
          <w:u w:val="single"/>
        </w:rPr>
        <w:t> </w:t>
      </w:r>
      <w:r w:rsidRPr="001F0AF3">
        <w:t xml:space="preserve">: cadre d’analyse de la dynamique de la dette des pays à revenus faible et intermédiaire, établi conjointement par le FMI et </w:t>
      </w:r>
      <w:smartTag w:uri="urn:schemas-microsoft-com:office:smarttags" w:element="PersonName">
        <w:smartTagPr>
          <w:attr w:name="ProductID" w:val="la Banque Mondiale"/>
        </w:smartTagPr>
        <w:r w:rsidRPr="001F0AF3">
          <w:t>la Banque Mondiale</w:t>
        </w:r>
      </w:smartTag>
      <w:r w:rsidRPr="001F0AF3">
        <w:t xml:space="preserve"> dans le cadre des initiatives I-PPTE et I-ADM. </w:t>
      </w:r>
    </w:p>
    <w:p w:rsidR="008B5963" w:rsidRPr="001F0AF3" w:rsidRDefault="008B5963" w:rsidP="00EE3687">
      <w:pPr>
        <w:spacing w:before="120" w:after="120"/>
      </w:pPr>
      <w:r w:rsidRPr="001F0AF3">
        <w:rPr>
          <w:u w:val="single"/>
        </w:rPr>
        <w:t>Caisse d’émission </w:t>
      </w:r>
      <w:r>
        <w:rPr>
          <w:u w:val="single"/>
        </w:rPr>
        <w:t xml:space="preserve">(currency board) </w:t>
      </w:r>
      <w:r w:rsidRPr="001F0AF3">
        <w:t xml:space="preserve">: institution chargée de maintenir un taux de change fixe ancré sur une autre monnaie qui domine souvent sur les autres objectifs monétaires. C’est ainsi une version « forte » du régime de change fixe. </w:t>
      </w:r>
    </w:p>
    <w:p w:rsidR="008B5963" w:rsidRPr="001F0AF3" w:rsidRDefault="008B5963" w:rsidP="00EE3687">
      <w:pPr>
        <w:spacing w:before="120" w:after="120"/>
      </w:pPr>
      <w:r w:rsidRPr="001F0AF3">
        <w:rPr>
          <w:u w:val="single"/>
        </w:rPr>
        <w:t>Canal du crédit </w:t>
      </w:r>
      <w:r w:rsidRPr="001F0AF3">
        <w:t xml:space="preserve">: deux mécanismes de transmission de la politique monétaire à l’économie. Le canal étroit du crédit concerne la provision de crédit tandis que le canal large du crédit concerne les réallocations de fonds internationaux entre pays caractérisés par des taux d’intérêts différents. </w:t>
      </w:r>
    </w:p>
    <w:p w:rsidR="008B5963" w:rsidRPr="001F0AF3" w:rsidRDefault="008B5963" w:rsidP="00EE3687">
      <w:pPr>
        <w:spacing w:before="120" w:after="120"/>
      </w:pPr>
      <w:r w:rsidRPr="001F0AF3">
        <w:rPr>
          <w:u w:val="single"/>
        </w:rPr>
        <w:t>Canal du taux d’intérêt </w:t>
      </w:r>
      <w:r w:rsidRPr="001F0AF3">
        <w:t xml:space="preserve">: mécanisme à travers lequel un changement du taux d’intérêt appliqué par </w:t>
      </w:r>
      <w:smartTag w:uri="urn:schemas-microsoft-com:office:smarttags" w:element="PersonName">
        <w:smartTagPr>
          <w:attr w:name="ProductID" w:val="la Banque Centrale"/>
        </w:smartTagPr>
        <w:r w:rsidRPr="001F0AF3">
          <w:t>la Banque Centrale</w:t>
        </w:r>
      </w:smartTag>
      <w:r w:rsidRPr="001F0AF3">
        <w:t xml:space="preserve"> à ses dépôts se traduit par un changement dans la distribution des ressources entre actifs et épargne. </w:t>
      </w:r>
    </w:p>
    <w:p w:rsidR="008B5963" w:rsidRPr="001F0AF3" w:rsidRDefault="008B5963" w:rsidP="00EE3687">
      <w:pPr>
        <w:spacing w:before="120" w:after="120"/>
      </w:pPr>
      <w:r w:rsidRPr="001F0AF3">
        <w:rPr>
          <w:u w:val="single"/>
        </w:rPr>
        <w:t xml:space="preserve">Capture de rente </w:t>
      </w:r>
      <w:r>
        <w:rPr>
          <w:u w:val="single"/>
        </w:rPr>
        <w:t>(Rent-seeking</w:t>
      </w:r>
      <w:r w:rsidRPr="001F0AF3">
        <w:rPr>
          <w:u w:val="single"/>
        </w:rPr>
        <w:t>) </w:t>
      </w:r>
      <w:r w:rsidRPr="001F0AF3">
        <w:t xml:space="preserve">: comportement consistant à corrompre l’environnement économique ou politique dans le but de générer une situation de rente et de se l’approprier. Désigne particulièrement les conflits pour l’appropriation de terres ou de ressources non-renouvelables, ainsi que </w:t>
      </w:r>
      <w:r>
        <w:t>l</w:t>
      </w:r>
      <w:r w:rsidRPr="001F0AF3">
        <w:t xml:space="preserve">es distorsions de la concurrence. </w:t>
      </w:r>
    </w:p>
    <w:p w:rsidR="008B5963" w:rsidRPr="001F0AF3" w:rsidRDefault="008B5963" w:rsidP="00EE3687">
      <w:pPr>
        <w:spacing w:before="120" w:after="120"/>
      </w:pPr>
      <w:r w:rsidRPr="001F0AF3">
        <w:rPr>
          <w:u w:val="single"/>
        </w:rPr>
        <w:t>Ciblage de l’inflation </w:t>
      </w:r>
      <w:r>
        <w:rPr>
          <w:u w:val="single"/>
        </w:rPr>
        <w:t xml:space="preserve">(inflation targeting) </w:t>
      </w:r>
      <w:r w:rsidRPr="001F0AF3">
        <w:t xml:space="preserve">: politique monétaire où un taux d’inflation cible est fixé par </w:t>
      </w:r>
      <w:smartTag w:uri="urn:schemas-microsoft-com:office:smarttags" w:element="PersonName">
        <w:smartTagPr>
          <w:attr w:name="ProductID" w:val="la Banque Centrale"/>
        </w:smartTagPr>
        <w:r w:rsidRPr="001F0AF3">
          <w:t>la Banque Centrale</w:t>
        </w:r>
      </w:smartTag>
      <w:r w:rsidRPr="001F0AF3">
        <w:t xml:space="preserve">, qui utilise pour l’atteindre, parmi d’autres outils, un taux directeur. </w:t>
      </w:r>
    </w:p>
    <w:p w:rsidR="008B5963" w:rsidRPr="001F0AF3" w:rsidRDefault="008B5963" w:rsidP="00EE3687">
      <w:pPr>
        <w:spacing w:before="120" w:after="120"/>
      </w:pPr>
      <w:r w:rsidRPr="001F0AF3">
        <w:rPr>
          <w:u w:val="single"/>
        </w:rPr>
        <w:t>Club de Londres </w:t>
      </w:r>
      <w:r w:rsidRPr="001F0AF3">
        <w:t>: groupe informel de créanciers bancaires privés créé en 1976 dans le but de coordonner l’action des cré</w:t>
      </w:r>
      <w:r>
        <w:t>anciers</w:t>
      </w:r>
      <w:r w:rsidRPr="001F0AF3">
        <w:t xml:space="preserve"> privés déte</w:t>
      </w:r>
      <w:r>
        <w:t>teurs</w:t>
      </w:r>
      <w:r w:rsidRPr="001F0AF3">
        <w:t xml:space="preserve"> de </w:t>
      </w:r>
      <w:r>
        <w:t>papiers de</w:t>
      </w:r>
      <w:r w:rsidRPr="001F0AF3">
        <w:t xml:space="preserve"> dette publique de pays </w:t>
      </w:r>
      <w:r>
        <w:t>en</w:t>
      </w:r>
      <w:r w:rsidRPr="001F0AF3">
        <w:t xml:space="preserve"> défaut. </w:t>
      </w:r>
    </w:p>
    <w:p w:rsidR="008B5963" w:rsidRPr="001F0AF3" w:rsidRDefault="008B5963" w:rsidP="00EE3687">
      <w:pPr>
        <w:spacing w:before="120" w:after="120"/>
      </w:pPr>
      <w:r w:rsidRPr="001F0AF3">
        <w:rPr>
          <w:u w:val="single"/>
        </w:rPr>
        <w:t>Club de Paris </w:t>
      </w:r>
      <w:r w:rsidRPr="001F0AF3">
        <w:t xml:space="preserve">: groupe informel de créanciers </w:t>
      </w:r>
      <w:r>
        <w:t xml:space="preserve">publics </w:t>
      </w:r>
      <w:r w:rsidRPr="001F0AF3">
        <w:t>(nationaux, bilatéraux ou multilatéraux)</w:t>
      </w:r>
      <w:r>
        <w:t xml:space="preserve"> </w:t>
      </w:r>
      <w:r w:rsidRPr="001F0AF3">
        <w:t xml:space="preserve">créé en 1956 au ministère français des Finances dans le but de coordonner </w:t>
      </w:r>
      <w:r>
        <w:t>leur action</w:t>
      </w:r>
      <w:r w:rsidRPr="001F0AF3">
        <w:t xml:space="preserve"> face aux pays en situation de défaut sur leur dette extérieure. </w:t>
      </w:r>
    </w:p>
    <w:p w:rsidR="008B5963" w:rsidRPr="001F0AF3" w:rsidRDefault="008B5963" w:rsidP="000210EB">
      <w:pPr>
        <w:spacing w:before="120" w:after="120"/>
      </w:pPr>
      <w:r w:rsidRPr="001F0AF3">
        <w:rPr>
          <w:u w:val="single"/>
        </w:rPr>
        <w:t>Cobb-Doublas</w:t>
      </w:r>
      <w:r w:rsidRPr="001F0AF3">
        <w:t xml:space="preserve"> : fonction de production classique qui fait intervenir deux actifs de productifs substituables et </w:t>
      </w:r>
      <w:smartTag w:uri="urn:schemas-microsoft-com:office:smarttags" w:element="PersonName">
        <w:smartTagPr>
          <w:attr w:name="ProductID" w:val="la PGF"/>
        </w:smartTagPr>
        <w:r w:rsidRPr="001F0AF3">
          <w:t>la PGF</w:t>
        </w:r>
      </w:smartTag>
      <w:r w:rsidRPr="001F0AF3">
        <w:t xml:space="preserve"> (Productivité Globale des Facteurs). </w:t>
      </w:r>
    </w:p>
    <w:p w:rsidR="008B5963" w:rsidRPr="001F0AF3" w:rsidRDefault="008B5963" w:rsidP="00EE3687">
      <w:pPr>
        <w:spacing w:before="120" w:after="120"/>
      </w:pPr>
      <w:r w:rsidRPr="001F0AF3">
        <w:rPr>
          <w:u w:val="single"/>
        </w:rPr>
        <w:t>Coefficient de Gini </w:t>
      </w:r>
      <w:r w:rsidRPr="001F0AF3">
        <w:t>: indicateur de l’inégalité des revenus au sein d’un pays, sur une échelle de 0 à 1.</w:t>
      </w:r>
    </w:p>
    <w:p w:rsidR="008B5963" w:rsidRPr="001F0AF3" w:rsidRDefault="008B5963" w:rsidP="00EE3687">
      <w:pPr>
        <w:spacing w:before="120" w:after="120"/>
      </w:pPr>
      <w:r w:rsidRPr="001F0AF3">
        <w:rPr>
          <w:u w:val="single"/>
        </w:rPr>
        <w:t>Compétitivité </w:t>
      </w:r>
      <w:r w:rsidRPr="001F0AF3">
        <w:t>: on différencie généralement la compétitivité-prix de la compétitivité-coût. La première a rapport à la valeur externe d’une monnaie, qui a un impact direct sur le prix des produits nationaux relati</w:t>
      </w:r>
      <w:r>
        <w:t>vement</w:t>
      </w:r>
      <w:r w:rsidRPr="001F0AF3">
        <w:t xml:space="preserve"> à ceux de leurs compétiteurs. La seconde a rapport aux coûts de production, coûts de main-d’œuvre, coûts administratifs, etc. </w:t>
      </w:r>
    </w:p>
    <w:p w:rsidR="008B5963" w:rsidRPr="001F0AF3" w:rsidRDefault="008B5963" w:rsidP="00EE3687">
      <w:pPr>
        <w:spacing w:before="120" w:after="120"/>
      </w:pPr>
      <w:r w:rsidRPr="001F0AF3">
        <w:rPr>
          <w:u w:val="single"/>
        </w:rPr>
        <w:t>Comportement grégaire </w:t>
      </w:r>
      <w:r>
        <w:rPr>
          <w:u w:val="single"/>
        </w:rPr>
        <w:t xml:space="preserve">(herding behavior) </w:t>
      </w:r>
      <w:r w:rsidRPr="001F0AF3">
        <w:t xml:space="preserve">: tendance d’un groupe à agir de manière coordonnée malgré l’absence d’instance coordinatrice. Caractérise souvent le comportement des investisseurs agissant sur les marchés financiers. </w:t>
      </w:r>
    </w:p>
    <w:p w:rsidR="008B5963" w:rsidRPr="00B401D1" w:rsidRDefault="008B5963" w:rsidP="00EE3687">
      <w:pPr>
        <w:spacing w:before="120" w:after="120"/>
      </w:pPr>
      <w:r w:rsidRPr="001F0AF3">
        <w:rPr>
          <w:u w:val="single"/>
        </w:rPr>
        <w:t>Compte courant </w:t>
      </w:r>
      <w:r w:rsidRPr="001F0AF3">
        <w:t>: relevé de toutes les transactions entre un pays et le reste du monde impliquant des marchandises, des services, du revenu et des transferts courants (APD,</w:t>
      </w:r>
      <w:r>
        <w:t xml:space="preserve"> …</w:t>
      </w:r>
      <w:r w:rsidRPr="001F0AF3">
        <w:t>)</w:t>
      </w:r>
      <w:r>
        <w:t xml:space="preserve"> –</w:t>
      </w:r>
      <w:r w:rsidRPr="001F0AF3">
        <w:t xml:space="preserve"> </w:t>
      </w:r>
      <w:r>
        <w:t>i</w:t>
      </w:r>
      <w:r w:rsidRPr="001F0AF3">
        <w:t xml:space="preserve">ci, le revenu est compris comme le solde du revenu des facteurs en dehors des frontières. </w:t>
      </w:r>
      <w:r w:rsidRPr="00B401D1">
        <w:t xml:space="preserve">C’est le premier compte de la balance des paiements. </w:t>
      </w:r>
    </w:p>
    <w:p w:rsidR="008B5963" w:rsidRPr="001F0AF3" w:rsidRDefault="008B5963" w:rsidP="00EE3687">
      <w:pPr>
        <w:spacing w:before="120" w:after="120"/>
      </w:pPr>
      <w:r w:rsidRPr="001F0AF3">
        <w:rPr>
          <w:u w:val="single"/>
        </w:rPr>
        <w:t>Compte de capital </w:t>
      </w:r>
      <w:r w:rsidRPr="001F0AF3">
        <w:t xml:space="preserve">: relevé de toutes les transactions impliquant un transfert de propriété d’actifs entre un pays et le reste du monde. Second compte de la balance des paiements. Le FMI le désigne sous le nom de compte financier, et ne parle de compte de capital que dans le cas d’un transfert impliquant un transfert de propriété sans contrepartie, tel une remise de dette. </w:t>
      </w:r>
    </w:p>
    <w:p w:rsidR="008B5963" w:rsidRPr="001F0AF3" w:rsidRDefault="008B5963" w:rsidP="00EE3687">
      <w:pPr>
        <w:spacing w:before="120" w:after="120"/>
      </w:pPr>
      <w:r w:rsidRPr="001F0AF3">
        <w:rPr>
          <w:u w:val="single"/>
        </w:rPr>
        <w:t>Compte financier </w:t>
      </w:r>
      <w:r w:rsidRPr="001F0AF3">
        <w:t xml:space="preserve">: terme utilisé par le FMI pour désigner le compte de capital. </w:t>
      </w:r>
    </w:p>
    <w:p w:rsidR="008B5963" w:rsidRPr="001F0AF3" w:rsidRDefault="008B5963" w:rsidP="00EE3687">
      <w:pPr>
        <w:spacing w:before="120" w:after="120"/>
      </w:pPr>
      <w:r w:rsidRPr="001F0AF3">
        <w:rPr>
          <w:u w:val="single"/>
        </w:rPr>
        <w:t>Concession</w:t>
      </w:r>
      <w:r>
        <w:rPr>
          <w:u w:val="single"/>
        </w:rPr>
        <w:t>n</w:t>
      </w:r>
      <w:r w:rsidRPr="001F0AF3">
        <w:rPr>
          <w:u w:val="single"/>
        </w:rPr>
        <w:t>alité </w:t>
      </w:r>
      <w:r w:rsidRPr="001F0AF3">
        <w:t xml:space="preserve">: un prêt est considéré concessionnel par le FMI s’il comporte un élément-don d’au moins 35%, à un taux d’escompte basé sur le TICR. Un prêt est considéré concessionnel par le CAD s’il comporte un élément-don d’au moins 25% à un taux d’escompte de 10%. </w:t>
      </w:r>
    </w:p>
    <w:p w:rsidR="008B5963" w:rsidRPr="001F0AF3" w:rsidRDefault="008B5963" w:rsidP="00EE3687">
      <w:pPr>
        <w:spacing w:before="120" w:after="120"/>
      </w:pPr>
      <w:r w:rsidRPr="001F0AF3">
        <w:rPr>
          <w:u w:val="single"/>
        </w:rPr>
        <w:t>Concurrence pure et parfaite </w:t>
      </w:r>
      <w:r w:rsidRPr="001F0AF3">
        <w:t>: représente le cas d’un marché hypothétique dans lequel aucun de ses participants n’est assez important pour affecter les prix. C’est un paradigme utile, mais qui requiert un certain nombre d’hypothèses irréalistes (acteurs indépendants, entrée libre, mobilité des facteurs, information parfaite, rendements d’échelle décroissants, coûts de transaction nuls, institutions de qualité, etc.), et qui ne doit donc pas être interprété comme plus qu’un paradigme.</w:t>
      </w:r>
    </w:p>
    <w:p w:rsidR="008B5963" w:rsidRPr="001F0AF3" w:rsidRDefault="008B5963" w:rsidP="00EE3687">
      <w:pPr>
        <w:spacing w:before="120" w:after="120"/>
      </w:pPr>
      <w:r w:rsidRPr="001F0AF3">
        <w:rPr>
          <w:u w:val="single"/>
        </w:rPr>
        <w:t>Conditionnalité </w:t>
      </w:r>
      <w:r w:rsidRPr="001F0AF3">
        <w:t xml:space="preserve">: utilisation de conditions liées à un prêt, à un allègement de la dette ou à toute autre forme d’aide publique. </w:t>
      </w:r>
      <w:r>
        <w:t>Recouvre</w:t>
      </w:r>
      <w:r w:rsidRPr="001F0AF3">
        <w:t xml:space="preserve"> habituellement des réformes institutionnelles et la mise en œuvre de politiques économiques. </w:t>
      </w:r>
    </w:p>
    <w:p w:rsidR="008B5963" w:rsidRPr="001F0AF3" w:rsidRDefault="008B5963" w:rsidP="00EE3687">
      <w:pPr>
        <w:spacing w:before="120" w:after="120"/>
      </w:pPr>
      <w:r w:rsidRPr="001F0AF3">
        <w:rPr>
          <w:u w:val="single"/>
        </w:rPr>
        <w:t>Consensus de Washington </w:t>
      </w:r>
      <w:r w:rsidRPr="001F0AF3">
        <w:t xml:space="preserve">: terme inventé par Williamson en 1989 pour désigner un corpus de 10 champs de réforme pensé comme un programme universaliste pour le développement. Ce terme est ensuite vite devenu un qualificatif péjoratif pour désigner tout programme excessivement libéral de privatisation, de libéralisation et de dérégulation. </w:t>
      </w:r>
    </w:p>
    <w:p w:rsidR="008B5963" w:rsidRPr="001F0AF3" w:rsidRDefault="008B5963" w:rsidP="00EE3687">
      <w:pPr>
        <w:spacing w:before="120" w:after="120"/>
      </w:pPr>
      <w:r w:rsidRPr="001F0AF3">
        <w:rPr>
          <w:u w:val="single"/>
        </w:rPr>
        <w:t>Contra-cyclique </w:t>
      </w:r>
      <w:r w:rsidRPr="001F0AF3">
        <w:t xml:space="preserve">: vs. Pro-cyclique. Toute politique publique visant à stabiliser les fluctuations économiques doit être contra-cyclique. </w:t>
      </w:r>
    </w:p>
    <w:p w:rsidR="008B5963" w:rsidRPr="001F0AF3" w:rsidRDefault="008B5963" w:rsidP="00EE3687">
      <w:pPr>
        <w:spacing w:before="120" w:after="120"/>
      </w:pPr>
      <w:r w:rsidRPr="001F0AF3">
        <w:rPr>
          <w:u w:val="single"/>
        </w:rPr>
        <w:t>Contraction du crédit </w:t>
      </w:r>
      <w:r>
        <w:rPr>
          <w:u w:val="single"/>
        </w:rPr>
        <w:t xml:space="preserve">(credit crunch) </w:t>
      </w:r>
      <w:r w:rsidRPr="001F0AF3">
        <w:t xml:space="preserve">: restriction de l’octroi de crédits. L’octroi de crédits par les banques a un caractère pro-cyclique qui fait de la contraction du crédit un enjeu essentiel dans la gestion d’une crise financière. </w:t>
      </w:r>
    </w:p>
    <w:p w:rsidR="008B5963" w:rsidRPr="001F0AF3" w:rsidRDefault="008B5963" w:rsidP="00EE3687">
      <w:pPr>
        <w:spacing w:before="120" w:after="120"/>
      </w:pPr>
      <w:r w:rsidRPr="001F0AF3">
        <w:rPr>
          <w:u w:val="single"/>
        </w:rPr>
        <w:t>Corrélation (statistique) </w:t>
      </w:r>
      <w:r w:rsidRPr="001F0AF3">
        <w:t xml:space="preserve">: relation liant entre elles deux variables statistiques affichant des variations similaires (corrélation positive) ou des variations opposées (corrélation négative). Une telle relation ne peut pas être interprétée comme une relation de causalité sans tests additionnels. </w:t>
      </w:r>
    </w:p>
    <w:p w:rsidR="008B5963" w:rsidRPr="001F0AF3" w:rsidRDefault="008B5963" w:rsidP="00EE3687">
      <w:pPr>
        <w:spacing w:before="120" w:after="120"/>
      </w:pPr>
      <w:r w:rsidRPr="001F0AF3">
        <w:rPr>
          <w:u w:val="single"/>
        </w:rPr>
        <w:t>Courbe de Lorenz </w:t>
      </w:r>
      <w:r w:rsidRPr="001F0AF3">
        <w:t xml:space="preserve">: fonction de distribution de la distribution empirique des revenus et représentative des inégalités de revenu dans un pays. Le coefficient de Gini est le double de l’aire entre la courbe de Lorenz et la première diagonale du plan x-y. </w:t>
      </w:r>
    </w:p>
    <w:p w:rsidR="008B5963" w:rsidRPr="001F0AF3" w:rsidRDefault="008B5963" w:rsidP="00EE3687">
      <w:pPr>
        <w:spacing w:before="120" w:after="120"/>
      </w:pPr>
      <w:r w:rsidRPr="001F0AF3">
        <w:rPr>
          <w:u w:val="single"/>
        </w:rPr>
        <w:t>CPIA (</w:t>
      </w:r>
      <w:r w:rsidRPr="00B401D1">
        <w:rPr>
          <w:u w:val="single"/>
        </w:rPr>
        <w:t>country policy and institutional assessment</w:t>
      </w:r>
      <w:r w:rsidRPr="001F0AF3">
        <w:rPr>
          <w:u w:val="single"/>
        </w:rPr>
        <w:t>)</w:t>
      </w:r>
      <w:r w:rsidRPr="001F0AF3">
        <w:t> : indice de gouvernance établit par la Banque Mondiale qui influence la distribution des ressources de l’</w:t>
      </w:r>
      <w:r>
        <w:t>AID</w:t>
      </w:r>
      <w:r w:rsidRPr="001F0AF3">
        <w:t xml:space="preserve"> par pays. </w:t>
      </w:r>
    </w:p>
    <w:p w:rsidR="008B5963" w:rsidRPr="001F0AF3" w:rsidRDefault="008B5963" w:rsidP="00EE3687">
      <w:pPr>
        <w:spacing w:before="120" w:after="120"/>
      </w:pPr>
      <w:r w:rsidRPr="001F0AF3">
        <w:rPr>
          <w:u w:val="single"/>
        </w:rPr>
        <w:t>Crise de change </w:t>
      </w:r>
      <w:r w:rsidRPr="001F0AF3">
        <w:t>: dévaluation soudaine d’une monnaie à l’issue d’une attaque spéculative à son encontre sur le marché des changes</w:t>
      </w:r>
    </w:p>
    <w:p w:rsidR="008B5963" w:rsidRPr="001F0AF3" w:rsidRDefault="008B5963" w:rsidP="00EE3687">
      <w:pPr>
        <w:spacing w:before="120" w:after="120"/>
      </w:pPr>
      <w:r w:rsidRPr="001F0AF3">
        <w:rPr>
          <w:u w:val="single"/>
        </w:rPr>
        <w:t>Crise de la balance des paiements</w:t>
      </w:r>
      <w:r>
        <w:rPr>
          <w:u w:val="single"/>
        </w:rPr>
        <w:t xml:space="preserve"> </w:t>
      </w:r>
      <w:r w:rsidRPr="001F0AF3">
        <w:t>: cf. crise de change</w:t>
      </w:r>
    </w:p>
    <w:p w:rsidR="008B5963" w:rsidRPr="001F0AF3" w:rsidRDefault="008B5963" w:rsidP="00EE3687">
      <w:pPr>
        <w:spacing w:before="120" w:after="120"/>
      </w:pPr>
      <w:r w:rsidRPr="001F0AF3">
        <w:rPr>
          <w:u w:val="single"/>
        </w:rPr>
        <w:t>Crise financière </w:t>
      </w:r>
      <w:r w:rsidRPr="001F0AF3">
        <w:t xml:space="preserve">: terme </w:t>
      </w:r>
      <w:r>
        <w:t>qui recouvre</w:t>
      </w:r>
      <w:r w:rsidRPr="001F0AF3">
        <w:t xml:space="preserve"> un vaste éventail de situations, souvent caractérisées par une baisse soudaine de la valeur d’un actif ou d’une monnaie. </w:t>
      </w:r>
    </w:p>
    <w:p w:rsidR="008B5963" w:rsidRPr="001F0AF3" w:rsidRDefault="008B5963" w:rsidP="00EE3687">
      <w:pPr>
        <w:spacing w:before="120" w:after="120"/>
      </w:pPr>
      <w:r w:rsidRPr="001F0AF3">
        <w:rPr>
          <w:u w:val="single"/>
        </w:rPr>
        <w:t>Crises jumelles </w:t>
      </w:r>
      <w:r w:rsidRPr="001F0AF3">
        <w:t xml:space="preserve">: </w:t>
      </w:r>
      <w:r>
        <w:t>crises bancaire</w:t>
      </w:r>
      <w:r w:rsidRPr="001F0AF3">
        <w:t xml:space="preserve"> et </w:t>
      </w:r>
      <w:r>
        <w:t>monétaire</w:t>
      </w:r>
      <w:r w:rsidRPr="001F0AF3">
        <w:t xml:space="preserve"> simultanées. </w:t>
      </w:r>
    </w:p>
    <w:p w:rsidR="008B5963" w:rsidRPr="001F0AF3" w:rsidRDefault="008B5963" w:rsidP="00EE3687">
      <w:pPr>
        <w:spacing w:before="120" w:after="120"/>
      </w:pPr>
      <w:r w:rsidRPr="001F0AF3">
        <w:rPr>
          <w:u w:val="single"/>
        </w:rPr>
        <w:t>Croissance inclusive </w:t>
      </w:r>
      <w:r w:rsidRPr="001F0AF3">
        <w:t xml:space="preserve">: au sens large, désigne une croissance largement répandue et partagée. Au sens strict, mais de manière plus opérationnelle, désigne une croissance accompagnée de créations d’emplois / sans chômage. </w:t>
      </w:r>
    </w:p>
    <w:p w:rsidR="008B5963" w:rsidRPr="00B401D1" w:rsidRDefault="008B5963" w:rsidP="00EE3687">
      <w:pPr>
        <w:spacing w:before="120" w:after="120"/>
        <w:rPr>
          <w:b/>
          <w:u w:val="single"/>
        </w:rPr>
      </w:pPr>
      <w:r w:rsidRPr="00B401D1">
        <w:rPr>
          <w:b/>
          <w:u w:val="single"/>
        </w:rPr>
        <w:t>D</w:t>
      </w:r>
    </w:p>
    <w:p w:rsidR="008B5963" w:rsidRPr="001F0AF3" w:rsidRDefault="008B5963" w:rsidP="00EE3687">
      <w:pPr>
        <w:spacing w:before="120" w:after="120"/>
      </w:pPr>
      <w:r w:rsidRPr="001F0AF3">
        <w:rPr>
          <w:u w:val="single"/>
        </w:rPr>
        <w:t>Déclaration de Paris </w:t>
      </w:r>
      <w:r w:rsidRPr="001F0AF3">
        <w:t xml:space="preserve">: accord international signé en 2005 sur l’efficacité de l’aide au développement, avec une forte emphase mise sur l’appropriation des stratégies de développement par les autorités nationales locales. </w:t>
      </w:r>
    </w:p>
    <w:p w:rsidR="008B5963" w:rsidRPr="001F0AF3" w:rsidRDefault="008B5963" w:rsidP="00EE3687">
      <w:pPr>
        <w:spacing w:before="120" w:after="120"/>
      </w:pPr>
      <w:r w:rsidRPr="001F0AF3">
        <w:rPr>
          <w:u w:val="single"/>
        </w:rPr>
        <w:t>Défaut de paiement </w:t>
      </w:r>
      <w:r w:rsidRPr="001F0AF3">
        <w:t xml:space="preserve">: fait de ne pas rembourser tout ou partie d’une dette. </w:t>
      </w:r>
    </w:p>
    <w:p w:rsidR="008B5963" w:rsidRPr="001F0AF3" w:rsidRDefault="008B5963" w:rsidP="00EE3687">
      <w:pPr>
        <w:spacing w:before="120" w:after="120"/>
      </w:pPr>
      <w:r w:rsidRPr="001F0AF3">
        <w:rPr>
          <w:u w:val="single"/>
        </w:rPr>
        <w:t>Déflateur du PIB </w:t>
      </w:r>
      <w:r w:rsidRPr="001F0AF3">
        <w:t xml:space="preserve">: indice de prix comprenant tous les biens et services pris en compte dans le calcul du PIB. </w:t>
      </w:r>
    </w:p>
    <w:p w:rsidR="008B5963" w:rsidRPr="001F0AF3" w:rsidRDefault="008B5963" w:rsidP="00EE3687">
      <w:pPr>
        <w:spacing w:before="120" w:after="120"/>
      </w:pPr>
      <w:r w:rsidRPr="001F0AF3">
        <w:rPr>
          <w:u w:val="single"/>
        </w:rPr>
        <w:t>Dépréciation (du taux de change) </w:t>
      </w:r>
      <w:r w:rsidRPr="001F0AF3">
        <w:t xml:space="preserve">: diminution progressive de la valeur extérieure d’une monnaie. On préfère utiliser le terme de dévaluation lorsqu’il s’agit d’un régime de taux de change fixe ou tout autre régime avec un ancrage plus strict. </w:t>
      </w:r>
    </w:p>
    <w:p w:rsidR="008B5963" w:rsidRPr="001F0AF3" w:rsidRDefault="008B5963" w:rsidP="00EE3687">
      <w:pPr>
        <w:spacing w:before="120" w:after="120"/>
      </w:pPr>
      <w:r w:rsidRPr="001F0AF3">
        <w:rPr>
          <w:u w:val="single"/>
        </w:rPr>
        <w:t>Désadossement </w:t>
      </w:r>
      <w:r>
        <w:rPr>
          <w:u w:val="single"/>
        </w:rPr>
        <w:t xml:space="preserve">(mismatch) </w:t>
      </w:r>
      <w:r w:rsidRPr="001F0AF3">
        <w:t>: situation dans laquelle les actifs et les passifs d’une entité ont des caractéristiques financières différentes, en particulier en termes de maturité et de monnaie. Un désadossement de maturité peut correspondre à une situation dans laquelle une entité ne dispose pas d’assez d’actifs liquides pour couvrir ses passifs à court terme, alors qu’un désadossement de monnaie correspond à une situation où la monnaie dans laquelle sont réalisées les ressources d’une activité est dévaluée par rapport à celle dans laquelle sont libellés les passifs.</w:t>
      </w:r>
    </w:p>
    <w:p w:rsidR="008B5963" w:rsidRPr="001F0AF3" w:rsidRDefault="008B5963" w:rsidP="00EE3687">
      <w:pPr>
        <w:spacing w:before="120" w:after="120"/>
      </w:pPr>
      <w:r w:rsidRPr="001F0AF3">
        <w:rPr>
          <w:u w:val="single"/>
        </w:rPr>
        <w:t>Dette </w:t>
      </w:r>
      <w:r w:rsidRPr="001F0AF3">
        <w:t>: obligation d’un débiteur à un créancier impliquant le remboursement de la somme initialement empruntée (le principal), à laquelle s’ajoutent des intérêts qui peuvent être fixes ou ancrés sur un indice ou taux directeur extérieur. Elle peut être exprimée dans n’importe quelle monnaie, et peut présenter des provisions variées.</w:t>
      </w:r>
    </w:p>
    <w:p w:rsidR="008B5963" w:rsidRPr="001F0AF3" w:rsidRDefault="008B5963" w:rsidP="00EE3687">
      <w:pPr>
        <w:spacing w:before="120" w:after="120"/>
      </w:pPr>
      <w:r w:rsidRPr="001F0AF3">
        <w:rPr>
          <w:u w:val="single"/>
        </w:rPr>
        <w:t>Dévaluation </w:t>
      </w:r>
      <w:r w:rsidRPr="001F0AF3">
        <w:t xml:space="preserve">: baisse officielle de la valeur externe d’une monnaie dans un régime de taux de change fixe. </w:t>
      </w:r>
    </w:p>
    <w:p w:rsidR="008B5963" w:rsidRPr="001F0AF3" w:rsidRDefault="008B5963" w:rsidP="00EE3687">
      <w:pPr>
        <w:spacing w:before="120" w:after="120"/>
      </w:pPr>
      <w:r w:rsidRPr="001F0AF3">
        <w:rPr>
          <w:u w:val="single"/>
        </w:rPr>
        <w:t>Divergence (statistique) </w:t>
      </w:r>
      <w:r w:rsidRPr="001F0AF3">
        <w:t xml:space="preserve">: incohérence entre deux différentes mesures d’un même agrégat. Par exemple, le PIB peut être mesuré en calculant la somme des dépenses ou de la valeur ajoutée par secteur, mais ces deux mesures ne coïncident pas forcément dans un système statistique défaillant. </w:t>
      </w:r>
    </w:p>
    <w:p w:rsidR="008B5963" w:rsidRPr="001F0AF3" w:rsidRDefault="008B5963" w:rsidP="00EE3687">
      <w:pPr>
        <w:spacing w:before="120" w:after="120"/>
      </w:pPr>
      <w:r w:rsidRPr="001F0AF3">
        <w:rPr>
          <w:u w:val="single"/>
        </w:rPr>
        <w:t>Dollarisation </w:t>
      </w:r>
      <w:r w:rsidRPr="001F0AF3">
        <w:t>: substitution de la monnaie utilisée pour une partie ou l’intégralité des transactions effectuées dans un pays, souvent à cause d’une incapacité de la monnaie nationale à remplir une ou plusieurs de ses fonctions classiques : réserve de valeur, unité de compte ou moyen d’échange.</w:t>
      </w:r>
    </w:p>
    <w:p w:rsidR="008B5963" w:rsidRPr="001F0AF3" w:rsidRDefault="008B5963" w:rsidP="00EE3687">
      <w:pPr>
        <w:spacing w:before="120" w:after="120"/>
      </w:pPr>
      <w:r w:rsidRPr="001F0AF3">
        <w:rPr>
          <w:u w:val="single"/>
        </w:rPr>
        <w:t>Droits de douane</w:t>
      </w:r>
      <w:r>
        <w:rPr>
          <w:u w:val="single"/>
        </w:rPr>
        <w:t xml:space="preserve"> (tarriff) </w:t>
      </w:r>
      <w:r w:rsidRPr="001F0AF3">
        <w:t>: taxe sur les importations (ou exportations)</w:t>
      </w:r>
    </w:p>
    <w:p w:rsidR="008B5963" w:rsidRPr="00B401D1" w:rsidRDefault="008B5963" w:rsidP="00EE3687">
      <w:pPr>
        <w:spacing w:before="120" w:after="120"/>
        <w:rPr>
          <w:b/>
          <w:u w:val="single"/>
        </w:rPr>
      </w:pPr>
      <w:r w:rsidRPr="00B401D1">
        <w:rPr>
          <w:b/>
          <w:u w:val="single"/>
        </w:rPr>
        <w:t>E</w:t>
      </w:r>
    </w:p>
    <w:p w:rsidR="008B5963" w:rsidRPr="001F0AF3" w:rsidRDefault="008B5963" w:rsidP="00EE3687">
      <w:pPr>
        <w:spacing w:before="120" w:after="120"/>
      </w:pPr>
      <w:r>
        <w:rPr>
          <w:u w:val="single"/>
        </w:rPr>
        <w:t>É</w:t>
      </w:r>
      <w:r w:rsidRPr="001F0AF3">
        <w:rPr>
          <w:u w:val="single"/>
        </w:rPr>
        <w:t>cart de pauvreté</w:t>
      </w:r>
      <w:r>
        <w:rPr>
          <w:u w:val="single"/>
        </w:rPr>
        <w:t xml:space="preserve"> (poverty gap)</w:t>
      </w:r>
      <w:r w:rsidRPr="001F0AF3">
        <w:rPr>
          <w:u w:val="single"/>
        </w:rPr>
        <w:t> </w:t>
      </w:r>
      <w:r w:rsidRPr="001F0AF3">
        <w:t xml:space="preserve">: écart médian entre le revenu disponible des plus pauvres et le seuil de pauvreté, exprimé en pourcentage du seuil de pauvreté. </w:t>
      </w:r>
    </w:p>
    <w:p w:rsidR="008B5963" w:rsidRPr="001F0AF3" w:rsidRDefault="008B5963" w:rsidP="00EE3687">
      <w:pPr>
        <w:spacing w:before="120" w:after="120"/>
      </w:pPr>
      <w:r>
        <w:rPr>
          <w:u w:val="single"/>
        </w:rPr>
        <w:t>É</w:t>
      </w:r>
      <w:r w:rsidRPr="001F0AF3">
        <w:rPr>
          <w:u w:val="single"/>
        </w:rPr>
        <w:t>cart de production</w:t>
      </w:r>
      <w:r>
        <w:rPr>
          <w:u w:val="single"/>
        </w:rPr>
        <w:t xml:space="preserve"> (output gap)</w:t>
      </w:r>
      <w:r w:rsidRPr="001F0AF3">
        <w:rPr>
          <w:u w:val="single"/>
        </w:rPr>
        <w:t> </w:t>
      </w:r>
      <w:r w:rsidRPr="001F0AF3">
        <w:t xml:space="preserve">: différence entre le PIB réalisé et le PIB potentiel. </w:t>
      </w:r>
    </w:p>
    <w:p w:rsidR="008B5963" w:rsidRPr="001F0AF3" w:rsidRDefault="008B5963" w:rsidP="00EE3687">
      <w:pPr>
        <w:spacing w:before="120" w:after="120"/>
      </w:pPr>
      <w:r>
        <w:rPr>
          <w:u w:val="single"/>
        </w:rPr>
        <w:t>É</w:t>
      </w:r>
      <w:r w:rsidRPr="001F0AF3">
        <w:rPr>
          <w:u w:val="single"/>
        </w:rPr>
        <w:t>conomies d’échelle</w:t>
      </w:r>
      <w:r>
        <w:rPr>
          <w:u w:val="single"/>
        </w:rPr>
        <w:t xml:space="preserve"> (economies of scale)</w:t>
      </w:r>
      <w:r w:rsidRPr="001F0AF3">
        <w:rPr>
          <w:u w:val="single"/>
        </w:rPr>
        <w:t> </w:t>
      </w:r>
      <w:r w:rsidRPr="001F0AF3">
        <w:t xml:space="preserve">: baisse du coût unitaire de production par unité supplémentaire produite. Ce postulat, ou son inverse (rendements d’échelle décroissants), est à la base d’un nombre important de théories, telles que l’argument des industries naissantes, le modèle de Heckscher-Ohlin vs. la nouvelle théorie du commerce international, les zones de libre échange, etc. </w:t>
      </w:r>
    </w:p>
    <w:p w:rsidR="008B5963" w:rsidRPr="001F0AF3" w:rsidRDefault="008B5963" w:rsidP="00EE3687">
      <w:pPr>
        <w:spacing w:before="120" w:after="120"/>
      </w:pPr>
      <w:r w:rsidRPr="001F0AF3">
        <w:rPr>
          <w:u w:val="single"/>
        </w:rPr>
        <w:t>Effet d’éviction </w:t>
      </w:r>
      <w:r w:rsidRPr="001F0AF3">
        <w:t xml:space="preserve">: dit des mécanismes atténuant les effets d’une politique. Par exemple, une relance budgétaire visant à stimuler la production nationale peut être atténuée par une hausse de la demande de produits importés. De même, l’investissement privé peut être chassé par l’investissement public lorsque cela signifie une moindre disponibilité de fonds. </w:t>
      </w:r>
    </w:p>
    <w:p w:rsidR="008B5963" w:rsidRPr="001F0AF3" w:rsidRDefault="008B5963" w:rsidP="00EE3687">
      <w:pPr>
        <w:spacing w:before="120" w:after="120"/>
      </w:pPr>
      <w:r w:rsidRPr="001F0AF3">
        <w:rPr>
          <w:u w:val="single"/>
        </w:rPr>
        <w:t>Efficacité </w:t>
      </w:r>
      <w:r w:rsidRPr="001F0AF3">
        <w:t xml:space="preserve">: utilisation des ressources de telle façon que la production est maximisée. </w:t>
      </w:r>
    </w:p>
    <w:p w:rsidR="008B5963" w:rsidRPr="001F0AF3" w:rsidRDefault="008B5963" w:rsidP="00EE3687">
      <w:pPr>
        <w:spacing w:before="120" w:after="120"/>
      </w:pPr>
      <w:r>
        <w:rPr>
          <w:u w:val="single"/>
        </w:rPr>
        <w:t>É</w:t>
      </w:r>
      <w:r w:rsidRPr="001F0AF3">
        <w:rPr>
          <w:u w:val="single"/>
        </w:rPr>
        <w:t>lasticité </w:t>
      </w:r>
      <w:r w:rsidRPr="001F0AF3">
        <w:t xml:space="preserve">: ratio de la variation de deux grandeurs. L’élasticité-prix de la demande, par exemple, indique le pourcentage de la variation de la demande qui résulte d’une variation du prix de 1%. </w:t>
      </w:r>
    </w:p>
    <w:p w:rsidR="008B5963" w:rsidRPr="001F0AF3" w:rsidRDefault="008B5963" w:rsidP="00EE3687">
      <w:pPr>
        <w:spacing w:before="120" w:after="120"/>
      </w:pPr>
      <w:r>
        <w:rPr>
          <w:u w:val="single"/>
        </w:rPr>
        <w:t>É</w:t>
      </w:r>
      <w:r w:rsidRPr="001F0AF3">
        <w:rPr>
          <w:u w:val="single"/>
        </w:rPr>
        <w:t>lément don (formellement : « élément de libéralité ») </w:t>
      </w:r>
      <w:r>
        <w:rPr>
          <w:u w:val="single"/>
        </w:rPr>
        <w:t xml:space="preserve">(grant element) </w:t>
      </w:r>
      <w:r w:rsidRPr="001F0AF3">
        <w:t xml:space="preserve">: pourcentage de différence entre la valeur nominale et la valeur actualisée d’un prêt. Les IFIs telle que la FMI ou l’OCDE utilisent généralement une convention de taux d’escompte plutôt que le taux du marché pour calculer l’élément don d’un prêt. </w:t>
      </w:r>
    </w:p>
    <w:p w:rsidR="008B5963" w:rsidRPr="001F0AF3" w:rsidRDefault="008B5963" w:rsidP="00EE3687">
      <w:pPr>
        <w:spacing w:before="120" w:after="120"/>
      </w:pPr>
      <w:r>
        <w:rPr>
          <w:u w:val="single"/>
        </w:rPr>
        <w:t>É</w:t>
      </w:r>
      <w:r w:rsidRPr="001F0AF3">
        <w:rPr>
          <w:u w:val="single"/>
        </w:rPr>
        <w:t>quilibre </w:t>
      </w:r>
      <w:r w:rsidRPr="001F0AF3">
        <w:t xml:space="preserve">: Les mécanismes économiques se contrebalancent. Il existe de nombreuses formes d’équilibres économiques, tels que l’équilibre concurrentiel, lorsque offre et demande coïncident grâce à l’ajustement de prix, et l’équilibre de Nash, lorsque les stratégies des acteurs se répondent </w:t>
      </w:r>
      <w:r>
        <w:t>optimalement mutuellement</w:t>
      </w:r>
      <w:r w:rsidRPr="001F0AF3">
        <w:t xml:space="preserve">. </w:t>
      </w:r>
    </w:p>
    <w:p w:rsidR="008B5963" w:rsidRPr="001F0AF3" w:rsidRDefault="008B5963" w:rsidP="00EE3687">
      <w:pPr>
        <w:spacing w:before="120" w:after="120"/>
      </w:pPr>
      <w:r>
        <w:rPr>
          <w:u w:val="single"/>
        </w:rPr>
        <w:t>É</w:t>
      </w:r>
      <w:r w:rsidRPr="001F0AF3">
        <w:rPr>
          <w:u w:val="single"/>
        </w:rPr>
        <w:t>quivalence ricardienne </w:t>
      </w:r>
      <w:r w:rsidRPr="001F0AF3">
        <w:t xml:space="preserve">: théorie postulant que les agents sont prévoyants sur le long terme et donc capables de respecter une contrainte budgétaire intertemporelle. Elle stipule ainsi que les agents vont réagir à toute dépense publique, perçue comme devant être financée par des impôts dans le futur, en épargnant et en réduisant leurs propres dépenses. </w:t>
      </w:r>
    </w:p>
    <w:p w:rsidR="008B5963" w:rsidRPr="00B401D1" w:rsidRDefault="008B5963" w:rsidP="00EE3687">
      <w:pPr>
        <w:spacing w:before="120" w:after="120"/>
      </w:pPr>
      <w:r w:rsidRPr="001F0AF3">
        <w:rPr>
          <w:u w:val="single"/>
        </w:rPr>
        <w:t>Externalité </w:t>
      </w:r>
      <w:r w:rsidRPr="001F0AF3">
        <w:t xml:space="preserve">: coûts (externalité négative) ou bénéfices (externalité positive) d’une activité pour une tierce partie. </w:t>
      </w:r>
      <w:r w:rsidRPr="00B401D1">
        <w:t>Source d’une i</w:t>
      </w:r>
      <w:r>
        <w:t>mperfection</w:t>
      </w:r>
      <w:r w:rsidRPr="00B401D1">
        <w:t xml:space="preserve"> de marché. </w:t>
      </w:r>
    </w:p>
    <w:p w:rsidR="008B5963" w:rsidRPr="00B401D1" w:rsidRDefault="008B5963" w:rsidP="00EE3687">
      <w:pPr>
        <w:spacing w:before="120" w:after="120"/>
        <w:rPr>
          <w:b/>
          <w:u w:val="single"/>
        </w:rPr>
      </w:pPr>
      <w:r w:rsidRPr="00B401D1">
        <w:rPr>
          <w:b/>
          <w:u w:val="single"/>
        </w:rPr>
        <w:t>F</w:t>
      </w:r>
    </w:p>
    <w:p w:rsidR="008B5963" w:rsidRPr="00B401D1" w:rsidRDefault="008B5963" w:rsidP="00EE3687">
      <w:pPr>
        <w:spacing w:before="120" w:after="120"/>
      </w:pPr>
      <w:r w:rsidRPr="001F0AF3">
        <w:rPr>
          <w:u w:val="single"/>
        </w:rPr>
        <w:t>Facilité élargie de crédit (FEC) </w:t>
      </w:r>
      <w:r>
        <w:rPr>
          <w:u w:val="single"/>
        </w:rPr>
        <w:t xml:space="preserve">(ECF) </w:t>
      </w:r>
      <w:r w:rsidRPr="001F0AF3">
        <w:t xml:space="preserve">: programme de prêt concessionnel du FMI (qui remplace la FRPC) destiné à aider les pays connaissant des difficultés prolongées de balance de paiements. </w:t>
      </w:r>
      <w:r w:rsidRPr="00B401D1">
        <w:t xml:space="preserve">Principal outil de soutien financier du FMI. </w:t>
      </w:r>
    </w:p>
    <w:p w:rsidR="008B5963" w:rsidRPr="001F0AF3" w:rsidRDefault="008B5963" w:rsidP="00EE3687">
      <w:pPr>
        <w:spacing w:before="120" w:after="120"/>
      </w:pPr>
      <w:r w:rsidRPr="001F0AF3">
        <w:rPr>
          <w:u w:val="single"/>
        </w:rPr>
        <w:t>FBC (Formation brute de capital) </w:t>
      </w:r>
      <w:r>
        <w:rPr>
          <w:u w:val="single"/>
        </w:rPr>
        <w:t xml:space="preserve">(GCF) </w:t>
      </w:r>
      <w:r w:rsidRPr="001F0AF3">
        <w:t xml:space="preserve">: Investissement de capital fixe et accumulation de stock (ne rend pas compte de la dépréciation du capital). </w:t>
      </w:r>
    </w:p>
    <w:p w:rsidR="008B5963" w:rsidRPr="001F0AF3" w:rsidRDefault="008B5963" w:rsidP="00EE3687">
      <w:pPr>
        <w:spacing w:before="120" w:after="120"/>
      </w:pPr>
      <w:r w:rsidRPr="001F0AF3">
        <w:rPr>
          <w:u w:val="single"/>
        </w:rPr>
        <w:t>FBCF (Formation brute de capital fixe) </w:t>
      </w:r>
      <w:r>
        <w:rPr>
          <w:u w:val="single"/>
        </w:rPr>
        <w:t xml:space="preserve">(GFCF) </w:t>
      </w:r>
      <w:r w:rsidRPr="001F0AF3">
        <w:t xml:space="preserve">: investissement en capital fixe (ne rend pas compte de la dépréciation du capital). </w:t>
      </w:r>
    </w:p>
    <w:p w:rsidR="008B5963" w:rsidRDefault="008B5963" w:rsidP="00EE3687">
      <w:pPr>
        <w:spacing w:before="120" w:after="120"/>
      </w:pPr>
      <w:r w:rsidRPr="001F0AF3">
        <w:rPr>
          <w:u w:val="single"/>
        </w:rPr>
        <w:t>FCC (Facilité de crédit de confirmation) </w:t>
      </w:r>
      <w:r>
        <w:rPr>
          <w:u w:val="single"/>
        </w:rPr>
        <w:t xml:space="preserve">(SCF) </w:t>
      </w:r>
      <w:r w:rsidRPr="001F0AF3">
        <w:t xml:space="preserve">: programme concessionnel du FMI (remplace l’accord de confirmation concessionnel et la composante à accès élevé du FCE) pour résoudre des problèmes de court terme de la balance des paiements. </w:t>
      </w:r>
    </w:p>
    <w:p w:rsidR="008B5963" w:rsidRPr="001F0AF3" w:rsidRDefault="008B5963" w:rsidP="00EE3687">
      <w:pPr>
        <w:spacing w:before="120" w:after="120"/>
      </w:pPr>
      <w:r w:rsidRPr="00230334">
        <w:rPr>
          <w:u w:val="single"/>
        </w:rPr>
        <w:t>FCE (Facilité de protection contre les chocs exogènes) (ESF) </w:t>
      </w:r>
      <w:r w:rsidRPr="00230334">
        <w:t>:</w:t>
      </w:r>
      <w:r>
        <w:t xml:space="preserve"> ancien programme du FMI, comportant une composante à accès élevé, et une composante à accès rapide.</w:t>
      </w:r>
    </w:p>
    <w:p w:rsidR="008B5963" w:rsidRPr="001F0AF3" w:rsidRDefault="008B5963" w:rsidP="00EE3687">
      <w:pPr>
        <w:spacing w:before="120" w:after="120"/>
      </w:pPr>
      <w:r w:rsidRPr="001F0AF3">
        <w:rPr>
          <w:u w:val="single"/>
        </w:rPr>
        <w:t>FCR (Facilité de crédit rapide) </w:t>
      </w:r>
      <w:r>
        <w:rPr>
          <w:u w:val="single"/>
        </w:rPr>
        <w:t xml:space="preserve">(RCF) </w:t>
      </w:r>
      <w:r w:rsidRPr="001F0AF3">
        <w:t xml:space="preserve">: aide financière concessionnelle du FMI visant à satisfaire les besoins financiers urgents dans des situations de catastrophes naturelles ou de post-conflit (en remplacement de l’AUPC et l’AUCN), ainsi que de chocs exogènes (en remplacement de la composante à accès élevé du FCE). </w:t>
      </w:r>
    </w:p>
    <w:p w:rsidR="008B5963" w:rsidRPr="001F0AF3" w:rsidRDefault="008B5963" w:rsidP="00EE3687">
      <w:pPr>
        <w:spacing w:before="120" w:after="120"/>
      </w:pPr>
      <w:r w:rsidRPr="001F0AF3">
        <w:rPr>
          <w:u w:val="single"/>
        </w:rPr>
        <w:t>Filet de protection sociale </w:t>
      </w:r>
      <w:r w:rsidRPr="001F0AF3">
        <w:t xml:space="preserve">: politique conçue dans le but d’éviter aux plus pauvres de se retrouver sous un certain niveau de pauvreté. Elle prend généralement la forme de transferts de redistribution centrés sur les populations les plus vulnérables. </w:t>
      </w:r>
    </w:p>
    <w:p w:rsidR="008B5963" w:rsidRPr="001F0AF3" w:rsidRDefault="008B5963" w:rsidP="00EE3687">
      <w:pPr>
        <w:spacing w:before="120" w:after="120"/>
      </w:pPr>
      <w:r w:rsidRPr="001F0AF3">
        <w:rPr>
          <w:u w:val="single"/>
        </w:rPr>
        <w:t>Financiarisation </w:t>
      </w:r>
      <w:r w:rsidRPr="001F0AF3">
        <w:t>: généralisation de l’accès aux services financiers, qui va souvent de pair avec une plus grande disponibilité d’actifs liquides et une part croissant</w:t>
      </w:r>
      <w:r>
        <w:t>e</w:t>
      </w:r>
      <w:r w:rsidRPr="001F0AF3">
        <w:t xml:space="preserve"> des activités financières dans l’économie. Il existe des indicateurs classiques du degré de financiarisation, tels que les ratios des passifs liquides rapportés au PIB, de la monnaie en dehors du secteur bancaire rapportée à la base monétaire, des dépôts financiers rapportés au PIB, de la capitalisation boursière privée et du crédit rapportés au PIB. </w:t>
      </w:r>
    </w:p>
    <w:p w:rsidR="008B5963" w:rsidRPr="00B401D1" w:rsidRDefault="008B5963" w:rsidP="00EE3687">
      <w:pPr>
        <w:spacing w:before="120" w:after="120"/>
        <w:rPr>
          <w:b/>
          <w:u w:val="single"/>
        </w:rPr>
      </w:pPr>
      <w:r w:rsidRPr="00B401D1">
        <w:rPr>
          <w:b/>
          <w:u w:val="single"/>
        </w:rPr>
        <w:t>G</w:t>
      </w:r>
    </w:p>
    <w:p w:rsidR="008B5963" w:rsidRPr="001F0AF3" w:rsidRDefault="008B5963" w:rsidP="00EE3687">
      <w:pPr>
        <w:spacing w:before="120" w:after="120"/>
      </w:pPr>
      <w:r w:rsidRPr="001F0AF3">
        <w:rPr>
          <w:u w:val="single"/>
        </w:rPr>
        <w:t>Gouvernance </w:t>
      </w:r>
      <w:r w:rsidRPr="001F0AF3">
        <w:t xml:space="preserve">: </w:t>
      </w:r>
      <w:r>
        <w:t>« </w:t>
      </w:r>
      <w:r w:rsidRPr="001F0AF3">
        <w:t>ensemble des traditions et des institu</w:t>
      </w:r>
      <w:r>
        <w:t>t</w:t>
      </w:r>
      <w:r w:rsidRPr="001F0AF3">
        <w:t>ions à travers s’exerce l’autorité légitime dans un pays. Comprend la sélection d’un gouvernement et les mécanismes de contrôle de son action, la formulation et la mise en place de politiques viables, le respect des institutions</w:t>
      </w:r>
      <w:r>
        <w:t> »</w:t>
      </w:r>
      <w:r w:rsidRPr="001F0AF3">
        <w:t xml:space="preserve"> (Définition de la Banque Mondiale). </w:t>
      </w:r>
    </w:p>
    <w:p w:rsidR="008B5963" w:rsidRPr="00B401D1" w:rsidRDefault="008B5963" w:rsidP="00EE3687">
      <w:pPr>
        <w:spacing w:before="120" w:after="120"/>
        <w:rPr>
          <w:b/>
          <w:u w:val="single"/>
        </w:rPr>
      </w:pPr>
      <w:r w:rsidRPr="00B401D1">
        <w:rPr>
          <w:b/>
          <w:u w:val="single"/>
        </w:rPr>
        <w:t>H</w:t>
      </w:r>
    </w:p>
    <w:p w:rsidR="008B5963" w:rsidRPr="001F0AF3" w:rsidRDefault="008B5963" w:rsidP="00EE3687">
      <w:pPr>
        <w:spacing w:before="120" w:after="120"/>
      </w:pPr>
      <w:r w:rsidRPr="001F0AF3">
        <w:rPr>
          <w:u w:val="single"/>
        </w:rPr>
        <w:t>Hyperinflation </w:t>
      </w:r>
      <w:r w:rsidRPr="001F0AF3">
        <w:t xml:space="preserve">: inflation élevée et croissante. Définie généralement comme un niveau d’inflation maintenu à plus de 50% par mois, même si la valeur à donner à un tel seuil n’est que relative. </w:t>
      </w:r>
    </w:p>
    <w:p w:rsidR="008B5963" w:rsidRPr="00B401D1" w:rsidRDefault="008B5963" w:rsidP="00EE3687">
      <w:pPr>
        <w:spacing w:before="120" w:after="120"/>
        <w:rPr>
          <w:b/>
          <w:u w:val="single"/>
        </w:rPr>
      </w:pPr>
      <w:r w:rsidRPr="00B401D1">
        <w:rPr>
          <w:b/>
          <w:u w:val="single"/>
        </w:rPr>
        <w:t>I</w:t>
      </w:r>
    </w:p>
    <w:p w:rsidR="008B5963" w:rsidRPr="001F0AF3" w:rsidRDefault="008B5963" w:rsidP="00EE3687">
      <w:pPr>
        <w:spacing w:before="120" w:after="120"/>
      </w:pPr>
      <w:r w:rsidRPr="001F0AF3">
        <w:rPr>
          <w:u w:val="single"/>
        </w:rPr>
        <w:t>I-ADM (Initiative d’allègement de la dette multilatérale) </w:t>
      </w:r>
      <w:r>
        <w:rPr>
          <w:u w:val="single"/>
        </w:rPr>
        <w:t xml:space="preserve">(MDR-I) </w:t>
      </w:r>
      <w:r w:rsidRPr="001F0AF3">
        <w:t xml:space="preserve">: dans la continuation de l’initiative PPTE, cette initiative va encore plus loin, en prévoyant une annulation intégrale des créances publiques des pays éligibles. </w:t>
      </w:r>
    </w:p>
    <w:p w:rsidR="008B5963" w:rsidRPr="001F0AF3" w:rsidRDefault="008B5963" w:rsidP="00EE3687">
      <w:pPr>
        <w:spacing w:before="120" w:after="120"/>
      </w:pPr>
      <w:r w:rsidRPr="001F0AF3">
        <w:rPr>
          <w:u w:val="single"/>
        </w:rPr>
        <w:t>IDE (Investissements directs à l’étranger)</w:t>
      </w:r>
      <w:r>
        <w:rPr>
          <w:u w:val="single"/>
        </w:rPr>
        <w:t xml:space="preserve"> (FDI)</w:t>
      </w:r>
      <w:r w:rsidRPr="001F0AF3">
        <w:rPr>
          <w:u w:val="single"/>
        </w:rPr>
        <w:t> </w:t>
      </w:r>
      <w:r w:rsidRPr="001F0AF3">
        <w:t xml:space="preserve">: investissements actifs dans un pays étranger consistant en l’achat d’une compagnie ou l’expansion des activités d’une compagnie existante dans ce pays. Les investissements de portefeuille diffèrent d’un point de vue souvent plus légal que fondamental. </w:t>
      </w:r>
    </w:p>
    <w:p w:rsidR="008B5963" w:rsidRPr="001F0AF3" w:rsidRDefault="008B5963" w:rsidP="00EE3687">
      <w:pPr>
        <w:spacing w:before="120" w:after="120"/>
      </w:pPr>
      <w:r w:rsidRPr="001F0AF3">
        <w:rPr>
          <w:u w:val="single"/>
        </w:rPr>
        <w:t>Identité comptable</w:t>
      </w:r>
      <w:r>
        <w:rPr>
          <w:u w:val="single"/>
        </w:rPr>
        <w:t xml:space="preserve"> </w:t>
      </w:r>
      <w:r w:rsidRPr="001F0AF3">
        <w:t>: le solde du compte de</w:t>
      </w:r>
      <w:r>
        <w:t>s</w:t>
      </w:r>
      <w:r w:rsidRPr="001F0AF3">
        <w:t xml:space="preserve"> transactions courantes et du compte de capital doit être nul. En pratique, la différence entre les deux est due à des divergences statistiques. Il faut noter que le FMI différencie les transactions monétaires du compte de capital. Ainsi le solde des comptes de transactions courantes et de capital correspond à l’accumulation de réserves de change de la Banque Centrale. </w:t>
      </w:r>
    </w:p>
    <w:p w:rsidR="008B5963" w:rsidRPr="001F0AF3" w:rsidRDefault="008B5963" w:rsidP="00EE3687">
      <w:pPr>
        <w:spacing w:before="120" w:after="120"/>
      </w:pPr>
      <w:r w:rsidRPr="001F0AF3">
        <w:rPr>
          <w:u w:val="single"/>
        </w:rPr>
        <w:t>IDH (Indice de développement humain) </w:t>
      </w:r>
      <w:r>
        <w:rPr>
          <w:u w:val="single"/>
        </w:rPr>
        <w:t xml:space="preserve">(HDI) </w:t>
      </w:r>
      <w:r w:rsidRPr="001F0AF3">
        <w:t xml:space="preserve">: indice </w:t>
      </w:r>
      <w:r>
        <w:t>agrégeant</w:t>
      </w:r>
      <w:r w:rsidRPr="001F0AF3">
        <w:t xml:space="preserve"> l’espérance de vie, l’éducation et le revenu par habitant. </w:t>
      </w:r>
    </w:p>
    <w:p w:rsidR="008B5963" w:rsidRPr="001F0AF3" w:rsidRDefault="008B5963" w:rsidP="00EE3687">
      <w:pPr>
        <w:spacing w:before="120" w:after="120"/>
      </w:pPr>
      <w:r w:rsidRPr="001F0AF3">
        <w:rPr>
          <w:u w:val="single"/>
        </w:rPr>
        <w:t>IFR (Instrument de financement rapide)</w:t>
      </w:r>
      <w:r>
        <w:rPr>
          <w:u w:val="single"/>
        </w:rPr>
        <w:t xml:space="preserve"> (RFI)</w:t>
      </w:r>
      <w:r w:rsidRPr="001F0AF3">
        <w:rPr>
          <w:u w:val="single"/>
        </w:rPr>
        <w:t> </w:t>
      </w:r>
      <w:r w:rsidRPr="001F0AF3">
        <w:t xml:space="preserve">: programme non-concessionnel du FMI, version d’urgence de l’accord de confirmation. </w:t>
      </w:r>
    </w:p>
    <w:p w:rsidR="008B5963" w:rsidRPr="001F0AF3" w:rsidRDefault="008B5963" w:rsidP="00EE3687">
      <w:pPr>
        <w:spacing w:before="120" w:after="120"/>
      </w:pPr>
      <w:r w:rsidRPr="001F0AF3">
        <w:rPr>
          <w:u w:val="single"/>
        </w:rPr>
        <w:t>Imperfections de marché </w:t>
      </w:r>
      <w:r w:rsidRPr="001F0AF3">
        <w:t xml:space="preserve">: asymétries d’information, monopoles naturels, biens publics, externalités. </w:t>
      </w:r>
    </w:p>
    <w:p w:rsidR="008B5963" w:rsidRPr="001F0AF3" w:rsidRDefault="008B5963" w:rsidP="00EE3687">
      <w:pPr>
        <w:spacing w:before="120" w:after="120"/>
      </w:pPr>
      <w:r w:rsidRPr="001F0AF3">
        <w:rPr>
          <w:u w:val="single"/>
        </w:rPr>
        <w:t>Industrialisation par substitution aux importations (ISI) </w:t>
      </w:r>
      <w:r w:rsidRPr="001F0AF3">
        <w:t xml:space="preserve">: politique commerciale qui cherche à substituer à l’importation la production de l’industrie locale grâce à de mesures protectionnistes et à des subventions ciblées. </w:t>
      </w:r>
    </w:p>
    <w:p w:rsidR="008B5963" w:rsidRPr="00B401D1" w:rsidRDefault="008B5963" w:rsidP="00EE3687">
      <w:pPr>
        <w:spacing w:before="120" w:after="120"/>
      </w:pPr>
      <w:r w:rsidRPr="001F0AF3">
        <w:rPr>
          <w:u w:val="single"/>
        </w:rPr>
        <w:t>Inflation </w:t>
      </w:r>
      <w:r w:rsidRPr="001F0AF3">
        <w:t xml:space="preserve">: hausse de l’indice des prix au cours d’une certaine période, généralement un an (ou alors l’inflation est annualisée afin d’être statistiquement comparable à d’autres données). </w:t>
      </w:r>
      <w:r w:rsidRPr="00B401D1">
        <w:t xml:space="preserve">L’indice pris en compte est généralement l’IPC. </w:t>
      </w:r>
    </w:p>
    <w:p w:rsidR="008B5963" w:rsidRPr="001F0AF3" w:rsidRDefault="008B5963" w:rsidP="00EE3687">
      <w:pPr>
        <w:spacing w:before="120" w:after="120"/>
      </w:pPr>
      <w:r w:rsidRPr="001F0AF3">
        <w:rPr>
          <w:u w:val="single"/>
        </w:rPr>
        <w:t>Inflation sous-jacente </w:t>
      </w:r>
      <w:r w:rsidRPr="001F0AF3">
        <w:t xml:space="preserve">: inflation de long-terme, calculée en excluant les prix volatiles (alimentation, énergie, etc.) dans la mesure classique de l’inflation. </w:t>
      </w:r>
    </w:p>
    <w:p w:rsidR="008B5963" w:rsidRPr="001F0AF3" w:rsidRDefault="008B5963" w:rsidP="00EE3687">
      <w:pPr>
        <w:spacing w:before="120" w:after="120"/>
      </w:pPr>
      <w:r w:rsidRPr="001F0AF3">
        <w:rPr>
          <w:u w:val="single"/>
        </w:rPr>
        <w:t>IPC (Indice des prix à la consommation) </w:t>
      </w:r>
      <w:r w:rsidRPr="001F0AF3">
        <w:t xml:space="preserve">: indice de prix d’un panier de consommation domestique type. Il peut contenir à la fois des produits locaux et des produits importés. </w:t>
      </w:r>
    </w:p>
    <w:p w:rsidR="008B5963" w:rsidRPr="001F0AF3" w:rsidRDefault="008B5963" w:rsidP="00EE3687">
      <w:pPr>
        <w:spacing w:before="120" w:after="120"/>
      </w:pPr>
      <w:r w:rsidRPr="001F0AF3">
        <w:rPr>
          <w:u w:val="single"/>
        </w:rPr>
        <w:t>ISPE (Instrument de soutien à la politique économique) </w:t>
      </w:r>
      <w:r w:rsidRPr="001F0AF3">
        <w:t xml:space="preserve">: programme du FMI ne comprenant aucun concours financier mais qui vise à établir de meilleures politiques à travers un dialogue étroit avec le pays. </w:t>
      </w:r>
    </w:p>
    <w:p w:rsidR="008B5963" w:rsidRPr="00B401D1" w:rsidRDefault="008B5963" w:rsidP="00EE3687">
      <w:pPr>
        <w:spacing w:before="120" w:after="120"/>
        <w:rPr>
          <w:b/>
          <w:u w:val="single"/>
        </w:rPr>
      </w:pPr>
      <w:r w:rsidRPr="00B401D1">
        <w:rPr>
          <w:b/>
          <w:u w:val="single"/>
        </w:rPr>
        <w:t>L</w:t>
      </w:r>
    </w:p>
    <w:p w:rsidR="008B5963" w:rsidRPr="001F0AF3" w:rsidRDefault="008B5963" w:rsidP="00EE3687">
      <w:pPr>
        <w:spacing w:before="120" w:after="120"/>
      </w:pPr>
      <w:r w:rsidRPr="001F0AF3">
        <w:rPr>
          <w:u w:val="single"/>
        </w:rPr>
        <w:t>LCM (Ligne de crédit modulable)</w:t>
      </w:r>
      <w:r>
        <w:rPr>
          <w:u w:val="single"/>
        </w:rPr>
        <w:t xml:space="preserve"> (FCL)</w:t>
      </w:r>
      <w:r w:rsidRPr="001F0AF3">
        <w:rPr>
          <w:u w:val="single"/>
        </w:rPr>
        <w:t> </w:t>
      </w:r>
      <w:r w:rsidRPr="001F0AF3">
        <w:t xml:space="preserve">: programme de prêt non concessionnel du FMI semblable aux accords de confirmation, sans plafonnement de ressources disponibles, et destiné aux pays aux politiques et antécédents économiques les plus solides. </w:t>
      </w:r>
    </w:p>
    <w:p w:rsidR="008B5963" w:rsidRDefault="008B5963" w:rsidP="00230334">
      <w:pPr>
        <w:spacing w:before="120" w:after="120"/>
      </w:pPr>
      <w:r w:rsidRPr="001F0AF3">
        <w:rPr>
          <w:u w:val="single"/>
        </w:rPr>
        <w:t>Liquidité </w:t>
      </w:r>
      <w:r w:rsidRPr="001F0AF3">
        <w:t>: adjectif pouvant être utilisé pour qualifier des marchés ou des actifs. Un marché liquide est un marché sur lequel l’achat d’un actif ne modifie pas significativement son prix. Un actif liquide est un actif qui peut être mobilisé immédiatement d</w:t>
      </w:r>
      <w:r>
        <w:t>ans une transaction économique.</w:t>
      </w:r>
    </w:p>
    <w:p w:rsidR="008B5963" w:rsidRPr="001F0AF3" w:rsidRDefault="008B5963" w:rsidP="00230334">
      <w:pPr>
        <w:spacing w:before="120" w:after="120"/>
      </w:pPr>
      <w:r>
        <w:rPr>
          <w:u w:val="single"/>
        </w:rPr>
        <w:t>LPL</w:t>
      </w:r>
      <w:r w:rsidRPr="001F0AF3">
        <w:rPr>
          <w:u w:val="single"/>
        </w:rPr>
        <w:t> </w:t>
      </w:r>
      <w:r>
        <w:rPr>
          <w:u w:val="single"/>
        </w:rPr>
        <w:t>(</w:t>
      </w:r>
      <w:r w:rsidRPr="001F0AF3">
        <w:rPr>
          <w:u w:val="single"/>
        </w:rPr>
        <w:t>Ligne de Précaution et de Liquidité</w:t>
      </w:r>
      <w:r>
        <w:rPr>
          <w:u w:val="single"/>
        </w:rPr>
        <w:t xml:space="preserve">) (PLL) </w:t>
      </w:r>
      <w:r w:rsidRPr="001F0AF3">
        <w:t xml:space="preserve">: programme non concessionnel du FMI, à mi-chemin entre accord de confirmation et LCM, sans exigences de réforme ou de conditionnalités. </w:t>
      </w:r>
    </w:p>
    <w:p w:rsidR="008B5963" w:rsidRPr="001F0AF3" w:rsidRDefault="008B5963" w:rsidP="00EE3687">
      <w:pPr>
        <w:spacing w:before="120" w:after="120"/>
      </w:pPr>
    </w:p>
    <w:p w:rsidR="008B5963" w:rsidRPr="001F0AF3" w:rsidRDefault="008B5963" w:rsidP="00EE3687">
      <w:pPr>
        <w:spacing w:before="120" w:after="120"/>
      </w:pPr>
      <w:r w:rsidRPr="00B401D1">
        <w:rPr>
          <w:b/>
          <w:u w:val="single"/>
        </w:rPr>
        <w:t>M</w:t>
      </w:r>
      <w:r w:rsidRPr="001F0AF3">
        <w:t xml:space="preserve"> </w:t>
      </w:r>
    </w:p>
    <w:p w:rsidR="008B5963" w:rsidRPr="001F0AF3" w:rsidRDefault="008B5963" w:rsidP="00EE3687">
      <w:pPr>
        <w:spacing w:before="120" w:after="120"/>
      </w:pPr>
      <w:r w:rsidRPr="001F0AF3">
        <w:rPr>
          <w:u w:val="single"/>
        </w:rPr>
        <w:t>Malédi</w:t>
      </w:r>
      <w:r>
        <w:rPr>
          <w:u w:val="single"/>
        </w:rPr>
        <w:t>ction des matières premières (resource curse</w:t>
      </w:r>
      <w:r w:rsidRPr="001F0AF3">
        <w:rPr>
          <w:u w:val="single"/>
        </w:rPr>
        <w:t>) </w:t>
      </w:r>
      <w:r w:rsidRPr="001F0AF3">
        <w:t xml:space="preserve">: terme désignant le fait stylisé selon lequel les pays disposant d’une abondance de ressources minérales sont paradoxalement souvent plutôt pauvres, croissent moins vite, et présentent des niveaux de développement plus faibles. </w:t>
      </w:r>
    </w:p>
    <w:p w:rsidR="008B5963" w:rsidRPr="001F0AF3" w:rsidRDefault="008B5963" w:rsidP="00EE3687">
      <w:pPr>
        <w:spacing w:before="120" w:after="120"/>
      </w:pPr>
      <w:r w:rsidRPr="001F0AF3">
        <w:rPr>
          <w:u w:val="single"/>
        </w:rPr>
        <w:t>Marché primaire </w:t>
      </w:r>
      <w:r w:rsidRPr="001F0AF3">
        <w:t xml:space="preserve">: marché d’émission d’actifs financiers. </w:t>
      </w:r>
    </w:p>
    <w:p w:rsidR="008B5963" w:rsidRPr="001F0AF3" w:rsidRDefault="008B5963" w:rsidP="00EE3687">
      <w:pPr>
        <w:spacing w:before="120" w:after="120"/>
      </w:pPr>
      <w:r w:rsidRPr="001F0AF3">
        <w:rPr>
          <w:u w:val="single"/>
        </w:rPr>
        <w:t>Marché secondaire </w:t>
      </w:r>
      <w:r w:rsidRPr="001F0AF3">
        <w:t xml:space="preserve">: marché sur lequel s’échange les instruments financiers ayant déjà été émis et vendus auparavant. </w:t>
      </w:r>
    </w:p>
    <w:p w:rsidR="008B5963" w:rsidRPr="001F0AF3" w:rsidRDefault="008B5963" w:rsidP="00EE3687">
      <w:pPr>
        <w:spacing w:before="120" w:after="120"/>
      </w:pPr>
      <w:r w:rsidRPr="001F0AF3">
        <w:rPr>
          <w:u w:val="single"/>
        </w:rPr>
        <w:t>Marchés financiers </w:t>
      </w:r>
      <w:r w:rsidRPr="001F0AF3">
        <w:t xml:space="preserve">: marchés sur lequel les acteurs s’échangent des valeurs mobilières (actions et obligations), des matières premières, des instruments dérivés, des monnaies et des assurances. </w:t>
      </w:r>
    </w:p>
    <w:p w:rsidR="008B5963" w:rsidRPr="001F0AF3" w:rsidRDefault="008B5963" w:rsidP="00EE3687">
      <w:pPr>
        <w:spacing w:before="120" w:after="120"/>
      </w:pPr>
      <w:r w:rsidRPr="001F0AF3">
        <w:rPr>
          <w:u w:val="single"/>
        </w:rPr>
        <w:t>Marshal-Lerner (condition de) </w:t>
      </w:r>
      <w:r w:rsidRPr="001F0AF3">
        <w:t>: modèle selon lequel une dévaluation a des effets positifs sur les termes de l’échange dans un pays. A court terme, le coût relativement plus élevé des importations a cependant un impact contraire important, effectivement identifié empiriquement.</w:t>
      </w:r>
    </w:p>
    <w:p w:rsidR="008B5963" w:rsidRPr="001F0AF3" w:rsidRDefault="008B5963" w:rsidP="00EE3687">
      <w:pPr>
        <w:spacing w:before="120" w:after="120"/>
      </w:pPr>
      <w:r w:rsidRPr="001F0AF3">
        <w:rPr>
          <w:u w:val="single"/>
        </w:rPr>
        <w:t>Maturité </w:t>
      </w:r>
      <w:r w:rsidRPr="001F0AF3">
        <w:t xml:space="preserve">: désigne le délai qui sépare l’octroi du prêt et le paiement final des intérêts et du principal. </w:t>
      </w:r>
    </w:p>
    <w:p w:rsidR="008B5963" w:rsidRPr="001F0AF3" w:rsidRDefault="008B5963" w:rsidP="00EE3687">
      <w:pPr>
        <w:spacing w:before="120" w:after="120"/>
      </w:pPr>
      <w:r w:rsidRPr="001F0AF3">
        <w:rPr>
          <w:u w:val="single"/>
        </w:rPr>
        <w:t>Mécanisme élargi de crédit (MEDC)</w:t>
      </w:r>
      <w:r>
        <w:rPr>
          <w:u w:val="single"/>
        </w:rPr>
        <w:t xml:space="preserve"> (EFF)</w:t>
      </w:r>
      <w:r w:rsidRPr="001F0AF3">
        <w:rPr>
          <w:u w:val="single"/>
        </w:rPr>
        <w:t> </w:t>
      </w:r>
      <w:r w:rsidRPr="001F0AF3">
        <w:t xml:space="preserve">: programme de prêt non concessionnel du FMI, ressemble à un Accord de confirmation </w:t>
      </w:r>
      <w:r>
        <w:t>à</w:t>
      </w:r>
      <w:r w:rsidRPr="001F0AF3">
        <w:t xml:space="preserve">long terme. </w:t>
      </w:r>
    </w:p>
    <w:p w:rsidR="008B5963" w:rsidRPr="001F0AF3" w:rsidRDefault="008B5963" w:rsidP="00EE3687">
      <w:pPr>
        <w:spacing w:before="120" w:after="120"/>
      </w:pPr>
      <w:r w:rsidRPr="001F0AF3">
        <w:rPr>
          <w:u w:val="single"/>
        </w:rPr>
        <w:t>Modèle de Harrod-Domar </w:t>
      </w:r>
      <w:r w:rsidRPr="001F0AF3">
        <w:t xml:space="preserve">: modèle utilisant l’épargne et la productivité comme facteurs de la croissance. </w:t>
      </w:r>
    </w:p>
    <w:p w:rsidR="008B5963" w:rsidRPr="001F0AF3" w:rsidRDefault="008B5963" w:rsidP="00EE3687">
      <w:pPr>
        <w:spacing w:before="120" w:after="120"/>
      </w:pPr>
      <w:r w:rsidRPr="001F0AF3">
        <w:rPr>
          <w:u w:val="single"/>
        </w:rPr>
        <w:t>Modèle de Heckscher-Ohlin </w:t>
      </w:r>
      <w:r w:rsidRPr="001F0AF3">
        <w:t xml:space="preserve">: modèle de commerce international qui prédit que chaque pays exportera les biens et les services utilisant les facteurs de production les plus abondants dans ce pays. </w:t>
      </w:r>
    </w:p>
    <w:p w:rsidR="008B5963" w:rsidRPr="001F0AF3" w:rsidRDefault="008B5963" w:rsidP="00EE3687">
      <w:pPr>
        <w:spacing w:before="120" w:after="120"/>
      </w:pPr>
      <w:r w:rsidRPr="001F0AF3">
        <w:rPr>
          <w:u w:val="single"/>
        </w:rPr>
        <w:t>Modèle de Mundell-Flemming </w:t>
      </w:r>
      <w:r w:rsidRPr="001F0AF3">
        <w:t xml:space="preserve">: extension du modèle IS/LM en économie ouverte. </w:t>
      </w:r>
    </w:p>
    <w:p w:rsidR="008B5963" w:rsidRPr="001F0AF3" w:rsidRDefault="008B5963" w:rsidP="00EE3687">
      <w:pPr>
        <w:spacing w:before="120" w:after="120"/>
      </w:pPr>
      <w:r w:rsidRPr="001F0AF3">
        <w:rPr>
          <w:u w:val="single"/>
        </w:rPr>
        <w:t>Modèle de Solow-Swan </w:t>
      </w:r>
      <w:r w:rsidRPr="001F0AF3">
        <w:t xml:space="preserve">: aussi connu sous le nom de modèle néoclassique de la croissance, il étend le modèle de Harrod-Domar en incorporant la croissance de la productivité. Il se base sur la fonction de production de Cobb-Douglas. </w:t>
      </w:r>
    </w:p>
    <w:p w:rsidR="008B5963" w:rsidRPr="001F0AF3" w:rsidRDefault="008B5963" w:rsidP="00EE3687">
      <w:pPr>
        <w:spacing w:before="120" w:after="120"/>
      </w:pPr>
      <w:r w:rsidRPr="001F0AF3">
        <w:rPr>
          <w:u w:val="single"/>
        </w:rPr>
        <w:t>Modèle IS-LM </w:t>
      </w:r>
      <w:r w:rsidRPr="001F0AF3">
        <w:t xml:space="preserve">: modèle décrivant la relation liant taux d’intérêt et PIB dans une économie fermée. La courbe IS décrit l’effet d’une hausse du taux d’intérêt, qui affecte négativement la consommation et l’investissement, et résulte en une hausse de l’épargne. La courge LM décrit l’effet d’une hausse du PIB, qui se traduit par une augmentation de la demande en monnaie et une hausse subséquente du taux d’intérêt. </w:t>
      </w:r>
    </w:p>
    <w:p w:rsidR="008B5963" w:rsidRPr="001F0AF3" w:rsidRDefault="008B5963" w:rsidP="00EE3687">
      <w:pPr>
        <w:spacing w:before="120" w:after="120"/>
      </w:pPr>
      <w:r w:rsidRPr="001F0AF3">
        <w:rPr>
          <w:u w:val="single"/>
        </w:rPr>
        <w:t>Multiplicateur keynésien </w:t>
      </w:r>
      <w:r w:rsidRPr="001F0AF3">
        <w:t xml:space="preserve">: facteur par lequel une augmentation des dépenses publiques génère </w:t>
      </w:r>
      <w:r>
        <w:t>une</w:t>
      </w:r>
      <w:r w:rsidRPr="001F0AF3">
        <w:t xml:space="preserve"> augmentation de la croissance. Alors qu’il était estimé à une valeur supérieure à 1 auparavant (toute consommation additionnelle génère des investissements, etc.), ce facteur est aujourd’hui estimé à une valeur inférieure à 1. </w:t>
      </w:r>
    </w:p>
    <w:p w:rsidR="008B5963" w:rsidRPr="001F0AF3" w:rsidRDefault="008B5963" w:rsidP="00EE3687">
      <w:pPr>
        <w:spacing w:before="120" w:after="120"/>
        <w:rPr>
          <w:b/>
          <w:u w:val="single"/>
        </w:rPr>
      </w:pPr>
      <w:r w:rsidRPr="001F0AF3">
        <w:rPr>
          <w:b/>
          <w:u w:val="single"/>
        </w:rPr>
        <w:t>N</w:t>
      </w:r>
    </w:p>
    <w:p w:rsidR="008B5963" w:rsidRPr="001F0AF3" w:rsidRDefault="008B5963" w:rsidP="00EE3687">
      <w:pPr>
        <w:spacing w:before="120" w:after="120"/>
      </w:pPr>
      <w:r w:rsidRPr="001F0AF3">
        <w:rPr>
          <w:u w:val="single"/>
        </w:rPr>
        <w:t>Nominal </w:t>
      </w:r>
      <w:r w:rsidRPr="001F0AF3">
        <w:t xml:space="preserve">: opposé de réel. </w:t>
      </w:r>
    </w:p>
    <w:p w:rsidR="008B5963" w:rsidRPr="00B401D1" w:rsidRDefault="008B5963" w:rsidP="00EE3687">
      <w:pPr>
        <w:spacing w:before="120" w:after="120"/>
        <w:rPr>
          <w:b/>
          <w:u w:val="single"/>
        </w:rPr>
      </w:pPr>
      <w:r w:rsidRPr="00B401D1">
        <w:rPr>
          <w:b/>
          <w:u w:val="single"/>
        </w:rPr>
        <w:t>O</w:t>
      </w:r>
    </w:p>
    <w:p w:rsidR="008B5963" w:rsidRPr="001F0AF3" w:rsidRDefault="008B5963" w:rsidP="00EE3687">
      <w:pPr>
        <w:spacing w:before="120" w:after="120"/>
      </w:pPr>
      <w:r w:rsidRPr="001F0AF3">
        <w:rPr>
          <w:u w:val="single"/>
        </w:rPr>
        <w:t>Obligation </w:t>
      </w:r>
      <w:r w:rsidRPr="001F0AF3">
        <w:t xml:space="preserve">: instrument d’emprunt potentiellement échangeable sur un marché secondaire. </w:t>
      </w:r>
    </w:p>
    <w:p w:rsidR="008B5963" w:rsidRPr="00637E9B" w:rsidRDefault="008B5963" w:rsidP="00EE3687">
      <w:pPr>
        <w:spacing w:before="120" w:after="120"/>
      </w:pPr>
      <w:r w:rsidRPr="001F0AF3">
        <w:rPr>
          <w:u w:val="single"/>
        </w:rPr>
        <w:t>Opérations d’«</w:t>
      </w:r>
      <w:r>
        <w:rPr>
          <w:u w:val="single"/>
        </w:rPr>
        <w:t xml:space="preserve"> </w:t>
      </w:r>
      <w:r w:rsidRPr="001F0AF3">
        <w:rPr>
          <w:u w:val="single"/>
        </w:rPr>
        <w:t>open market</w:t>
      </w:r>
      <w:r>
        <w:rPr>
          <w:u w:val="single"/>
        </w:rPr>
        <w:t xml:space="preserve"> </w:t>
      </w:r>
      <w:r w:rsidRPr="001F0AF3">
        <w:rPr>
          <w:u w:val="single"/>
        </w:rPr>
        <w:t>» </w:t>
      </w:r>
      <w:r w:rsidRPr="001F0AF3">
        <w:t xml:space="preserve">: achat et vente ferme de titres par la Banque Centrale. C’est un des outils principaux de la politique monétaire. </w:t>
      </w:r>
    </w:p>
    <w:p w:rsidR="008B5963" w:rsidRPr="001F0AF3" w:rsidRDefault="008B5963" w:rsidP="00EE3687">
      <w:pPr>
        <w:spacing w:before="120" w:after="120"/>
      </w:pPr>
      <w:r w:rsidRPr="001F0AF3">
        <w:rPr>
          <w:u w:val="single"/>
        </w:rPr>
        <w:t>Optimum de Pareto </w:t>
      </w:r>
      <w:r w:rsidRPr="001F0AF3">
        <w:t xml:space="preserve">: situation dans laquelle le bien-être d’un acteur ne peut pas être amélioré sans détériorer celui d’au moins un autre. L’optimum de Pareto ne correspond pas forcément à l’efficacité au sens de la maximisation de la production. </w:t>
      </w:r>
    </w:p>
    <w:p w:rsidR="008B5963" w:rsidRPr="001F0AF3" w:rsidRDefault="008B5963" w:rsidP="00EE3687">
      <w:pPr>
        <w:tabs>
          <w:tab w:val="left" w:pos="3420"/>
        </w:tabs>
        <w:spacing w:before="120" w:after="120"/>
      </w:pPr>
      <w:r w:rsidRPr="001F0AF3">
        <w:rPr>
          <w:u w:val="single"/>
        </w:rPr>
        <w:t>Ouverture commerciale </w:t>
      </w:r>
      <w:r w:rsidRPr="001F0AF3">
        <w:t xml:space="preserve">: généralement représentée par le rapport entre la somme des importations et des exportations au PIB d’un pays. Elle se réfère aussi parfois, à une mesure plus juridique du niveau de restrictions et de barrières douanières et non-tarifaires au commerce international. </w:t>
      </w:r>
    </w:p>
    <w:p w:rsidR="008B5963" w:rsidRPr="00B401D1" w:rsidRDefault="008B5963" w:rsidP="00EE3687">
      <w:pPr>
        <w:spacing w:before="120" w:after="120"/>
        <w:rPr>
          <w:b/>
          <w:u w:val="single"/>
        </w:rPr>
      </w:pPr>
      <w:r w:rsidRPr="00B401D1">
        <w:rPr>
          <w:b/>
          <w:u w:val="single"/>
        </w:rPr>
        <w:t>P</w:t>
      </w:r>
    </w:p>
    <w:p w:rsidR="008B5963" w:rsidRPr="001F0AF3" w:rsidRDefault="008B5963" w:rsidP="00EE3687">
      <w:pPr>
        <w:spacing w:before="120" w:after="120"/>
      </w:pPr>
      <w:r w:rsidRPr="001F0AF3">
        <w:rPr>
          <w:u w:val="single"/>
        </w:rPr>
        <w:t>Panique bancaire </w:t>
      </w:r>
      <w:r>
        <w:rPr>
          <w:u w:val="single"/>
        </w:rPr>
        <w:t xml:space="preserve">(bank run) </w:t>
      </w:r>
      <w:r w:rsidRPr="001F0AF3">
        <w:t xml:space="preserve">: retrait massif et simultané de dépôts bancaires. Souvent dû à une croyance auto-réalisatrice en l’insolvabilité de la banque. </w:t>
      </w:r>
    </w:p>
    <w:p w:rsidR="008B5963" w:rsidRPr="001F0AF3" w:rsidRDefault="008B5963" w:rsidP="00EE3687">
      <w:pPr>
        <w:spacing w:before="120" w:after="120"/>
      </w:pPr>
      <w:r w:rsidRPr="001F0AF3">
        <w:rPr>
          <w:u w:val="single"/>
        </w:rPr>
        <w:t>Partenariat de Busan</w:t>
      </w:r>
      <w:r w:rsidRPr="001F0AF3">
        <w:t xml:space="preserve"> : document final issu du Forum sur l’efficacité de l’APD tenu à Busan en 2011. Concerne l’inclusion d’acteurs émergents – de nouveaux donneurs publics et privés, tels que la Chine et l’Inde – pour une coordination efficace des stratégies de développement telle que promues par le Déclaration de Paris. </w:t>
      </w:r>
    </w:p>
    <w:p w:rsidR="008B5963" w:rsidRPr="001F0AF3" w:rsidRDefault="008B5963" w:rsidP="00EE3687">
      <w:pPr>
        <w:spacing w:before="120" w:after="120"/>
      </w:pPr>
      <w:r w:rsidRPr="001F0AF3">
        <w:rPr>
          <w:u w:val="single"/>
        </w:rPr>
        <w:t>Passifs </w:t>
      </w:r>
      <w:r>
        <w:rPr>
          <w:u w:val="single"/>
        </w:rPr>
        <w:t xml:space="preserve">(liabilities) </w:t>
      </w:r>
      <w:r w:rsidRPr="001F0AF3">
        <w:t xml:space="preserve">: une obligation d’une société, ou d’une banque, d’un état, etc. ayant pour origine des transactions passées. </w:t>
      </w:r>
    </w:p>
    <w:p w:rsidR="008B5963" w:rsidRPr="001F0AF3" w:rsidRDefault="008B5963" w:rsidP="00EE3687">
      <w:pPr>
        <w:spacing w:before="120" w:after="120"/>
      </w:pPr>
      <w:r w:rsidRPr="001F0AF3">
        <w:rPr>
          <w:u w:val="single"/>
        </w:rPr>
        <w:t>Passifs contingents </w:t>
      </w:r>
      <w:r>
        <w:rPr>
          <w:u w:val="single"/>
        </w:rPr>
        <w:t xml:space="preserve">(contingent liabilities) </w:t>
      </w:r>
      <w:r w:rsidRPr="001F0AF3">
        <w:t>: passifs du secteur privé qui seraient de facto absorbés par l’</w:t>
      </w:r>
      <w:r>
        <w:t>É</w:t>
      </w:r>
      <w:r w:rsidRPr="001F0AF3">
        <w:t xml:space="preserve">tat dans un scénario du pire, du fait d’un coût d’opportunité social trop élevé. Proche de la notion de « too big to fail ». Il n’y a pas de consensus quant au fait que les passifs contingents doivent </w:t>
      </w:r>
      <w:r>
        <w:t xml:space="preserve">ou non </w:t>
      </w:r>
      <w:r w:rsidRPr="001F0AF3">
        <w:t xml:space="preserve">être intégrés dans la dette publique. </w:t>
      </w:r>
    </w:p>
    <w:p w:rsidR="008B5963" w:rsidRPr="001F0AF3" w:rsidRDefault="008B5963" w:rsidP="00EE3687">
      <w:pPr>
        <w:spacing w:before="120" w:after="120"/>
      </w:pPr>
      <w:r w:rsidRPr="001F0AF3">
        <w:rPr>
          <w:u w:val="single"/>
        </w:rPr>
        <w:t>Pauvreté absolue</w:t>
      </w:r>
      <w:r>
        <w:rPr>
          <w:u w:val="single"/>
        </w:rPr>
        <w:t xml:space="preserve"> </w:t>
      </w:r>
      <w:r w:rsidRPr="001F0AF3">
        <w:t xml:space="preserve">: privation sévère de besoins humains fondamentaux. Ceux-ci comprennent: alimentation, eau potable, installations sanitaires, santé, abri, éducation et information (définition des Nations Unies). Le seuil de pauvreté absolue correspond en pratique à un niveau de revenu inférieur à 1,25USD/jour. </w:t>
      </w:r>
    </w:p>
    <w:p w:rsidR="008B5963" w:rsidRPr="001F0AF3" w:rsidRDefault="008B5963" w:rsidP="00EE3687">
      <w:pPr>
        <w:spacing w:before="120" w:after="120"/>
      </w:pPr>
      <w:r w:rsidRPr="001F0AF3">
        <w:rPr>
          <w:u w:val="single"/>
        </w:rPr>
        <w:t>Pauvreté relative </w:t>
      </w:r>
      <w:r w:rsidRPr="001F0AF3">
        <w:t xml:space="preserve">: déterminée au niveau national comme correspondant à un revenu inférieur à un seuil défini comme un certain pourcentage du revenu médian. La Banque Mondiale donne une autre définition de  la pauvreté relative comme correspondant à un RNB par habitant en deçà d’un seuil révisé annuellement, et utilise cette notion pour déterminer les pays éligibles aux prêts de l’AID. </w:t>
      </w:r>
    </w:p>
    <w:p w:rsidR="008B5963" w:rsidRPr="001F0AF3" w:rsidRDefault="008B5963" w:rsidP="00EE3687">
      <w:pPr>
        <w:spacing w:before="120" w:after="120"/>
      </w:pPr>
      <w:r w:rsidRPr="001F0AF3">
        <w:rPr>
          <w:u w:val="single"/>
        </w:rPr>
        <w:t>PGF (Productivité globale des facteurs) </w:t>
      </w:r>
      <w:r>
        <w:rPr>
          <w:u w:val="single"/>
        </w:rPr>
        <w:t xml:space="preserve">(TFP) </w:t>
      </w:r>
      <w:r w:rsidRPr="001F0AF3">
        <w:t xml:space="preserve">: rapport entre la production et les facteurs de production. </w:t>
      </w:r>
    </w:p>
    <w:p w:rsidR="008B5963" w:rsidRPr="001F0AF3" w:rsidRDefault="008B5963" w:rsidP="00EE3687">
      <w:pPr>
        <w:spacing w:before="120" w:after="120"/>
      </w:pPr>
      <w:r w:rsidRPr="001F0AF3">
        <w:rPr>
          <w:u w:val="single"/>
        </w:rPr>
        <w:t>PIB (Produit intérieur brut) </w:t>
      </w:r>
      <w:r>
        <w:rPr>
          <w:u w:val="single"/>
        </w:rPr>
        <w:t xml:space="preserve">(GDP) </w:t>
      </w:r>
      <w:r w:rsidRPr="001F0AF3">
        <w:t xml:space="preserve">: somme de la valeur marchande de l’ensemble des biens et services finaux produits par un pays sur son territoire national au cours d’une année. </w:t>
      </w:r>
    </w:p>
    <w:p w:rsidR="008B5963" w:rsidRPr="001F0AF3" w:rsidRDefault="008B5963" w:rsidP="00EE3687">
      <w:pPr>
        <w:spacing w:before="120" w:after="120"/>
      </w:pPr>
      <w:r w:rsidRPr="001F0AF3">
        <w:rPr>
          <w:u w:val="single"/>
        </w:rPr>
        <w:t>PIB potentiel </w:t>
      </w:r>
      <w:r w:rsidRPr="001F0AF3">
        <w:t xml:space="preserve">: notion théorique qui décrit le niveau maximum de production atteignable au niveau actuel de technologie, sans inflation, lorsque l’usage des facteurs de production est total et efficient. </w:t>
      </w:r>
    </w:p>
    <w:p w:rsidR="008B5963" w:rsidRPr="001F0AF3" w:rsidRDefault="008B5963" w:rsidP="00EE3687">
      <w:pPr>
        <w:spacing w:before="120" w:after="120"/>
      </w:pPr>
      <w:r w:rsidRPr="001F0AF3">
        <w:rPr>
          <w:u w:val="single"/>
        </w:rPr>
        <w:t>Plan Brady </w:t>
      </w:r>
      <w:r w:rsidRPr="001F0AF3">
        <w:t xml:space="preserve">: plan de restructuration de la dette des PVD financé par l’IFI et les </w:t>
      </w:r>
      <w:r>
        <w:t>É</w:t>
      </w:r>
      <w:r w:rsidRPr="001F0AF3">
        <w:t xml:space="preserve">tats-Unis s’appuyant sur des restructurations de dettes, des garanties officielles aux créanciers, et des échanges de créances contre des participations. </w:t>
      </w:r>
    </w:p>
    <w:p w:rsidR="008B5963" w:rsidRPr="001F0AF3" w:rsidRDefault="008B5963" w:rsidP="00EE3687">
      <w:pPr>
        <w:spacing w:before="120" w:after="120"/>
      </w:pPr>
      <w:r w:rsidRPr="001F0AF3">
        <w:rPr>
          <w:u w:val="single"/>
        </w:rPr>
        <w:t>PNB (Produit national brut) </w:t>
      </w:r>
      <w:r w:rsidRPr="001F0AF3">
        <w:t xml:space="preserve">: somme de la valeur marchande de l’ensemble des biens et services finaux produits par les citoyens d’un pays sur son territoire national ou à l’étranger au cours d’une année. </w:t>
      </w:r>
    </w:p>
    <w:p w:rsidR="008B5963" w:rsidRPr="001F0AF3" w:rsidRDefault="008B5963" w:rsidP="00EE3687">
      <w:pPr>
        <w:spacing w:before="120" w:after="120"/>
      </w:pPr>
      <w:r>
        <w:rPr>
          <w:u w:val="single"/>
        </w:rPr>
        <w:t>Policy mix</w:t>
      </w:r>
      <w:r w:rsidRPr="001F0AF3">
        <w:rPr>
          <w:u w:val="single"/>
        </w:rPr>
        <w:t> </w:t>
      </w:r>
      <w:r w:rsidRPr="001F0AF3">
        <w:t xml:space="preserve">: désigne la combinaison théorique de la politique monétaire avec la politique budgétaire ; même si un telle combinaison est rarement mise en pratique à cause d’une différence entre les horizons temporels du gouvernement et de la Banque Centrale. </w:t>
      </w:r>
    </w:p>
    <w:p w:rsidR="008B5963" w:rsidRPr="001F0AF3" w:rsidRDefault="008B5963" w:rsidP="00EE3687">
      <w:pPr>
        <w:spacing w:before="120" w:after="120"/>
      </w:pPr>
      <w:r w:rsidRPr="001F0AF3">
        <w:rPr>
          <w:u w:val="single"/>
        </w:rPr>
        <w:t>Politique budgétaire </w:t>
      </w:r>
      <w:r w:rsidRPr="001F0AF3">
        <w:t xml:space="preserve">: recouvre tout usage de la fiscalité et des dépenses publiques par le gouvernement dans le but d’influencer l’activité économique. </w:t>
      </w:r>
    </w:p>
    <w:p w:rsidR="008B5963" w:rsidRPr="001F0AF3" w:rsidRDefault="008B5963" w:rsidP="00EE3687">
      <w:pPr>
        <w:spacing w:before="120" w:after="120"/>
      </w:pPr>
      <w:r w:rsidRPr="001F0AF3">
        <w:rPr>
          <w:u w:val="single"/>
        </w:rPr>
        <w:t>Politique commerciale </w:t>
      </w:r>
      <w:r w:rsidRPr="001F0AF3">
        <w:t xml:space="preserve">: ensemble des lois et règlements visant à restreindre les flux commerciaux, le plus souvent les importations. Les outils de politique commerciale comprennent les droits de douane ainsi que des barrières non tarifaires. </w:t>
      </w:r>
    </w:p>
    <w:p w:rsidR="008B5963" w:rsidRPr="001F0AF3" w:rsidRDefault="008B5963" w:rsidP="00EE3687">
      <w:pPr>
        <w:spacing w:before="120" w:after="120"/>
      </w:pPr>
      <w:r w:rsidRPr="001F0AF3">
        <w:rPr>
          <w:u w:val="single"/>
        </w:rPr>
        <w:t>Politique financière </w:t>
      </w:r>
      <w:r w:rsidRPr="001F0AF3">
        <w:t xml:space="preserve">: actions de régulation ou d’intervention directe de la part du gouvernement sur les marchés financiers. Le gouvernement peut, par exemple, allouer des ressources financières, fixer des taux d’intérêts, limiter les mouvements de capitaux, etc. </w:t>
      </w:r>
    </w:p>
    <w:p w:rsidR="008B5963" w:rsidRPr="001F0AF3" w:rsidRDefault="008B5963" w:rsidP="00EE3687">
      <w:pPr>
        <w:spacing w:before="120" w:after="120"/>
      </w:pPr>
      <w:r w:rsidRPr="001F0AF3">
        <w:rPr>
          <w:u w:val="single"/>
        </w:rPr>
        <w:t>Politique industrielle </w:t>
      </w:r>
      <w:r w:rsidRPr="001F0AF3">
        <w:t xml:space="preserve">: correspond aux mesures prises par le gouvernement pour encourager le développement d’un ou plusieurs secteurs particuliers de l’économie. Celles-ci peuvent comprendre des instruments financiers, la régulation du marché du travail, des conditions commerciales spéciales, etc. </w:t>
      </w:r>
    </w:p>
    <w:p w:rsidR="008B5963" w:rsidRPr="001F0AF3" w:rsidRDefault="008B5963" w:rsidP="00EE3687">
      <w:pPr>
        <w:spacing w:before="120" w:after="120"/>
      </w:pPr>
      <w:r w:rsidRPr="001F0AF3">
        <w:rPr>
          <w:u w:val="single"/>
        </w:rPr>
        <w:t>Politique monétaire </w:t>
      </w:r>
      <w:r w:rsidRPr="001F0AF3">
        <w:t xml:space="preserve">: politique visant à contrôler l’offre de monnaie, souvent à travers le pilotage du taux d’intérêt (contre intuitivement, il faut penser la monnaie comme étant créée par les banques qui octroient des prêts, plutôt que par la Banque Centrale). </w:t>
      </w:r>
    </w:p>
    <w:p w:rsidR="008B5963" w:rsidRPr="001F0AF3" w:rsidRDefault="008B5963" w:rsidP="00EE3687">
      <w:pPr>
        <w:spacing w:before="120" w:after="120"/>
      </w:pPr>
      <w:r w:rsidRPr="001F0AF3">
        <w:rPr>
          <w:u w:val="single"/>
        </w:rPr>
        <w:t>Poverty headcount </w:t>
      </w:r>
      <w:r w:rsidRPr="001F0AF3">
        <w:t xml:space="preserve">: nombre de personnes vivant sous le seuil de pauvreté </w:t>
      </w:r>
    </w:p>
    <w:p w:rsidR="008B5963" w:rsidRPr="001F0AF3" w:rsidRDefault="008B5963" w:rsidP="00EE3687">
      <w:pPr>
        <w:spacing w:before="120" w:after="120"/>
      </w:pPr>
      <w:r w:rsidRPr="001F0AF3">
        <w:rPr>
          <w:u w:val="single"/>
        </w:rPr>
        <w:t>PPA (Parité du pouvoir d’achat) </w:t>
      </w:r>
      <w:r>
        <w:rPr>
          <w:u w:val="single"/>
        </w:rPr>
        <w:t xml:space="preserve">(PPP) </w:t>
      </w:r>
      <w:r w:rsidRPr="001F0AF3">
        <w:t xml:space="preserve">: théorie de la valeur du taux de change basée sur la comparaison du prix d’un même panier de consommation dans les devises respectives des deux pays pris en compte. </w:t>
      </w:r>
    </w:p>
    <w:p w:rsidR="008B5963" w:rsidRPr="001F0AF3" w:rsidRDefault="008B5963" w:rsidP="00EE3687">
      <w:pPr>
        <w:spacing w:before="120" w:after="120"/>
      </w:pPr>
      <w:r w:rsidRPr="001F0AF3">
        <w:rPr>
          <w:u w:val="single"/>
        </w:rPr>
        <w:t>PPTE (Pays pauvres très endettés) </w:t>
      </w:r>
      <w:r>
        <w:rPr>
          <w:u w:val="single"/>
        </w:rPr>
        <w:t xml:space="preserve">(HIPC) </w:t>
      </w:r>
      <w:r w:rsidRPr="001F0AF3">
        <w:t xml:space="preserve">: initiative menée par la Banque Mondiale et le FMI pour alléger la dette des pays au niveau d’endettement extérieur élevé et disposant de faibles revenus. </w:t>
      </w:r>
    </w:p>
    <w:p w:rsidR="008B5963" w:rsidRPr="001F0AF3" w:rsidRDefault="008B5963" w:rsidP="00EE3687">
      <w:pPr>
        <w:spacing w:before="120" w:after="120"/>
      </w:pPr>
      <w:r w:rsidRPr="001F0AF3">
        <w:rPr>
          <w:u w:val="single"/>
        </w:rPr>
        <w:t>Prêts non p</w:t>
      </w:r>
      <w:r>
        <w:rPr>
          <w:u w:val="single"/>
        </w:rPr>
        <w:t>erformants</w:t>
      </w:r>
      <w:r w:rsidRPr="001F0AF3">
        <w:rPr>
          <w:u w:val="single"/>
        </w:rPr>
        <w:t> </w:t>
      </w:r>
      <w:r>
        <w:rPr>
          <w:u w:val="single"/>
        </w:rPr>
        <w:t xml:space="preserve">(non performing loans) </w:t>
      </w:r>
      <w:r w:rsidRPr="001F0AF3">
        <w:t xml:space="preserve">: prêts en défaut ou proches du défaut. </w:t>
      </w:r>
    </w:p>
    <w:p w:rsidR="008B5963" w:rsidRPr="001F0AF3" w:rsidRDefault="008B5963" w:rsidP="00EE3687">
      <w:pPr>
        <w:spacing w:before="120" w:after="120"/>
      </w:pPr>
      <w:r w:rsidRPr="001F0AF3">
        <w:rPr>
          <w:u w:val="single"/>
        </w:rPr>
        <w:t>Pro-cyclique </w:t>
      </w:r>
      <w:r w:rsidRPr="001F0AF3">
        <w:t xml:space="preserve">: désigne une politique ou un comportement positivement corrélé aux fluctuations économiques. Par exemple, l’octroi de crédits par les banques est fortement pro-cyclique, un de problèmes majeurs posés par le secteur financier. </w:t>
      </w:r>
    </w:p>
    <w:p w:rsidR="008B5963" w:rsidRPr="001F0AF3" w:rsidRDefault="008B5963" w:rsidP="00EE3687">
      <w:pPr>
        <w:spacing w:before="120" w:after="120"/>
      </w:pPr>
      <w:r w:rsidRPr="001F0AF3">
        <w:rPr>
          <w:u w:val="single"/>
        </w:rPr>
        <w:t>Programme d’Action d’Accra (PAA)</w:t>
      </w:r>
      <w:r w:rsidRPr="001F0AF3">
        <w:t xml:space="preserve">: publié en 2008, définit trois domaines d’action pour l’accélération et l’amplification la mise en œuvre de la Déclaration de Paris: appropriation, partenariats inclusifs, obtention et compte-rendu de résultats. </w:t>
      </w:r>
    </w:p>
    <w:p w:rsidR="008B5963" w:rsidRPr="001F0AF3" w:rsidRDefault="008B5963" w:rsidP="00EE3687">
      <w:pPr>
        <w:spacing w:before="120" w:after="120"/>
      </w:pPr>
      <w:r w:rsidRPr="001F0AF3">
        <w:rPr>
          <w:u w:val="single"/>
        </w:rPr>
        <w:t>Programme d’évaluation du secteur financier (PESF)</w:t>
      </w:r>
      <w:r>
        <w:rPr>
          <w:u w:val="single"/>
        </w:rPr>
        <w:t xml:space="preserve"> (FSAP)</w:t>
      </w:r>
      <w:r w:rsidRPr="001F0AF3">
        <w:rPr>
          <w:u w:val="single"/>
        </w:rPr>
        <w:t> </w:t>
      </w:r>
      <w:r w:rsidRPr="001F0AF3">
        <w:t xml:space="preserve">: évaluation du secteur financier menée conjointement par le FMI (stabilité du secteur financier) et la Banque Mondiale (développement du secteur financier). </w:t>
      </w:r>
    </w:p>
    <w:p w:rsidR="008B5963" w:rsidRPr="00B401D1" w:rsidRDefault="008B5963" w:rsidP="00EE3687">
      <w:pPr>
        <w:spacing w:before="120" w:after="120"/>
        <w:rPr>
          <w:b/>
          <w:u w:val="single"/>
        </w:rPr>
      </w:pPr>
      <w:r w:rsidRPr="00B401D1">
        <w:rPr>
          <w:b/>
          <w:u w:val="single"/>
        </w:rPr>
        <w:t>R</w:t>
      </w:r>
    </w:p>
    <w:p w:rsidR="008B5963" w:rsidRPr="001F0AF3" w:rsidRDefault="008B5963" w:rsidP="00EE3687">
      <w:pPr>
        <w:spacing w:before="120" w:after="120"/>
      </w:pPr>
      <w:r w:rsidRPr="001F0AF3">
        <w:rPr>
          <w:u w:val="single"/>
        </w:rPr>
        <w:t>Ratio de levier </w:t>
      </w:r>
      <w:r>
        <w:rPr>
          <w:u w:val="single"/>
        </w:rPr>
        <w:t xml:space="preserve">(leverage) </w:t>
      </w:r>
      <w:r w:rsidRPr="001F0AF3">
        <w:t xml:space="preserve">: ratio d’endettement (dette/ fond propres) destiné à multiplier les profits et les pertes. </w:t>
      </w:r>
    </w:p>
    <w:p w:rsidR="008B5963" w:rsidRPr="001F0AF3" w:rsidRDefault="008B5963" w:rsidP="00EE3687">
      <w:pPr>
        <w:spacing w:before="120" w:after="120"/>
      </w:pPr>
      <w:r w:rsidRPr="001F0AF3">
        <w:rPr>
          <w:u w:val="single"/>
        </w:rPr>
        <w:t>Recettes budgétaires </w:t>
      </w:r>
      <w:r>
        <w:rPr>
          <w:u w:val="single"/>
        </w:rPr>
        <w:t xml:space="preserve">(fiscal revenue) </w:t>
      </w:r>
      <w:r w:rsidRPr="001F0AF3">
        <w:t xml:space="preserve">: perçues par le gouvernement pour financer ses dépenses. Les recettes peuvent être de nature fiscale ou non-fiscale. Ces dernières comprennent les revenus du seigneuriage, les loyers sur les actifs prêtés, les royalties sur les extractions minières, etc. </w:t>
      </w:r>
    </w:p>
    <w:p w:rsidR="008B5963" w:rsidRPr="001F0AF3" w:rsidRDefault="008B5963" w:rsidP="00EE3687">
      <w:pPr>
        <w:spacing w:before="120" w:after="120"/>
      </w:pPr>
      <w:r w:rsidRPr="001F0AF3">
        <w:rPr>
          <w:u w:val="single"/>
        </w:rPr>
        <w:t>Réel </w:t>
      </w:r>
      <w:r w:rsidRPr="001F0AF3">
        <w:t xml:space="preserve">: adjectif désignant un indice déflaté par le niveau des prix. Par exemple, la croissance du PIB réel correspond à la croissance du PIB nominal corrigé par le déflateur du PIB ; la croissance réelle du crédit correspond à la croissance du crédit corrigée par un indice de prix (qui doit être rendu explicite). </w:t>
      </w:r>
    </w:p>
    <w:p w:rsidR="008B5963" w:rsidRPr="001F0AF3" w:rsidRDefault="008B5963" w:rsidP="00EE3687">
      <w:pPr>
        <w:spacing w:before="120" w:after="120"/>
      </w:pPr>
      <w:r w:rsidRPr="001F0AF3">
        <w:rPr>
          <w:u w:val="single"/>
        </w:rPr>
        <w:t>Relance budgétaire </w:t>
      </w:r>
      <w:r>
        <w:rPr>
          <w:u w:val="single"/>
        </w:rPr>
        <w:t xml:space="preserve">(fiscal stimulus) </w:t>
      </w:r>
      <w:r w:rsidRPr="001F0AF3">
        <w:t xml:space="preserve">: politique budgétaire expansionniste, visant à augmenter la demande agrégée. </w:t>
      </w:r>
    </w:p>
    <w:p w:rsidR="008B5963" w:rsidRPr="001F0AF3" w:rsidRDefault="008B5963" w:rsidP="00EE3687">
      <w:pPr>
        <w:spacing w:before="120" w:after="120"/>
      </w:pPr>
      <w:r w:rsidRPr="001F0AF3">
        <w:rPr>
          <w:u w:val="single"/>
        </w:rPr>
        <w:t xml:space="preserve">Rentabilité </w:t>
      </w:r>
      <w:r>
        <w:rPr>
          <w:u w:val="single"/>
        </w:rPr>
        <w:t>des actifs (Return on assets, RoA</w:t>
      </w:r>
      <w:r w:rsidRPr="001F0AF3">
        <w:rPr>
          <w:u w:val="single"/>
        </w:rPr>
        <w:t>) </w:t>
      </w:r>
      <w:r w:rsidRPr="001F0AF3">
        <w:t xml:space="preserve">: indication, exprimée en pourcentage, de la profitabilité des actifs d’une société ou d’une banque. </w:t>
      </w:r>
    </w:p>
    <w:p w:rsidR="008B5963" w:rsidRPr="001F0AF3" w:rsidRDefault="008B5963" w:rsidP="00EE3687">
      <w:pPr>
        <w:spacing w:before="120" w:after="120"/>
      </w:pPr>
      <w:r w:rsidRPr="001F0AF3">
        <w:rPr>
          <w:u w:val="single"/>
        </w:rPr>
        <w:t>Rentabilité des capita</w:t>
      </w:r>
      <w:r>
        <w:rPr>
          <w:u w:val="single"/>
        </w:rPr>
        <w:t>ux propres (return on equity ; RoE</w:t>
      </w:r>
      <w:r w:rsidRPr="001F0AF3">
        <w:rPr>
          <w:u w:val="single"/>
        </w:rPr>
        <w:t>) </w:t>
      </w:r>
      <w:r w:rsidRPr="001F0AF3">
        <w:t xml:space="preserve">: indication, exprimée en pourcentage, de la profitabilité des actifs nets ou des droits d’actionnaires d’une société ou d’une banque. </w:t>
      </w:r>
    </w:p>
    <w:p w:rsidR="008B5963" w:rsidRPr="001F0AF3" w:rsidRDefault="008B5963" w:rsidP="00EE3687">
      <w:pPr>
        <w:spacing w:before="120" w:after="120"/>
      </w:pPr>
      <w:r w:rsidRPr="001F0AF3">
        <w:rPr>
          <w:u w:val="single"/>
        </w:rPr>
        <w:t>Rente</w:t>
      </w:r>
      <w:r>
        <w:rPr>
          <w:u w:val="single"/>
        </w:rPr>
        <w:t xml:space="preserve"> </w:t>
      </w:r>
      <w:r w:rsidRPr="001F0AF3">
        <w:t>: montant payé pour l’utilisation d’un facteur de production au-delà de ce qui serait nécessaire pour l’attirer dans le processus de production. Il existe deux définitions techniques dans la théorie économique : la rente ricardienne correspond à la différence entre le coût de production et le prix du marché ; la rente par</w:t>
      </w:r>
      <w:r>
        <w:t>é</w:t>
      </w:r>
      <w:r w:rsidRPr="001F0AF3">
        <w:t xml:space="preserve">tienne correspond à la différence entre le coût d’opportunité et le prix du marché. </w:t>
      </w:r>
    </w:p>
    <w:p w:rsidR="008B5963" w:rsidRPr="00B401D1" w:rsidRDefault="008B5963" w:rsidP="00EE3687">
      <w:pPr>
        <w:spacing w:before="120" w:after="120"/>
      </w:pPr>
      <w:r w:rsidRPr="001F0AF3">
        <w:rPr>
          <w:u w:val="single"/>
        </w:rPr>
        <w:t>Répression financière </w:t>
      </w:r>
      <w:r w:rsidRPr="001F0AF3">
        <w:t xml:space="preserve">: caractérise une situation dans laquelle le gouvernement utilise des outils de politique économique dans le but d’influencer </w:t>
      </w:r>
      <w:r>
        <w:t xml:space="preserve">spécifiquement </w:t>
      </w:r>
      <w:r w:rsidRPr="001F0AF3">
        <w:t xml:space="preserve">la répartition de fonds. </w:t>
      </w:r>
      <w:r w:rsidRPr="00B401D1">
        <w:t>La définition originale de R. McKinnon et E. Shaw incluait le contrôle des taux d’intérêts, l’allocation directe du crédit, les exigences de capital et de fonds propres</w:t>
      </w:r>
      <w:r w:rsidRPr="001F0AF3">
        <w:t xml:space="preserve"> et</w:t>
      </w:r>
      <w:r w:rsidRPr="00B401D1">
        <w:t xml:space="preserve"> le cont</w:t>
      </w:r>
      <w:r w:rsidRPr="001F0AF3">
        <w:t>rôle des flux de capitaux.</w:t>
      </w:r>
    </w:p>
    <w:p w:rsidR="008B5963" w:rsidRPr="001F0AF3" w:rsidRDefault="008B5963" w:rsidP="00EE3687">
      <w:pPr>
        <w:spacing w:before="120" w:after="120"/>
      </w:pPr>
      <w:r w:rsidRPr="001F0AF3">
        <w:rPr>
          <w:u w:val="single"/>
        </w:rPr>
        <w:t>Réserves de change</w:t>
      </w:r>
      <w:r>
        <w:rPr>
          <w:u w:val="single"/>
        </w:rPr>
        <w:t xml:space="preserve"> (official reserves) </w:t>
      </w:r>
      <w:r w:rsidRPr="001F0AF3">
        <w:t>: actifs détenus par la Banque Centrale sous la forme de monnaie étrangère et parfois d’or afin de couvrir ses passifs (dépôts des banques, monnaie nationales, etc.). Ils peuvent également être considérés comme des actifs de l’</w:t>
      </w:r>
      <w:r>
        <w:t>É</w:t>
      </w:r>
      <w:r w:rsidRPr="001F0AF3">
        <w:t>tat détenus sur le reste du monde. Très liquides, ils sont mobilisables à tout moment pour remplir les besoins à très court terme de l’</w:t>
      </w:r>
      <w:r>
        <w:t>É</w:t>
      </w:r>
      <w:r w:rsidRPr="001F0AF3">
        <w:t xml:space="preserve">tat, tels que la datte à </w:t>
      </w:r>
      <w:r>
        <w:t xml:space="preserve">court terme, la couverture d’une panique </w:t>
      </w:r>
      <w:r w:rsidRPr="001F0AF3">
        <w:t xml:space="preserve">bancaire sur les dépôts en devises, </w:t>
      </w:r>
      <w:r>
        <w:t>le</w:t>
      </w:r>
      <w:r w:rsidRPr="001F0AF3">
        <w:t xml:space="preserve"> financement des importations, etc. </w:t>
      </w:r>
    </w:p>
    <w:p w:rsidR="008B5963" w:rsidRPr="001F0AF3" w:rsidRDefault="008B5963" w:rsidP="00EE3687">
      <w:pPr>
        <w:spacing w:before="120" w:after="120"/>
      </w:pPr>
      <w:r w:rsidRPr="001F0AF3">
        <w:rPr>
          <w:u w:val="single"/>
        </w:rPr>
        <w:t>Résidu de Solow </w:t>
      </w:r>
      <w:r w:rsidRPr="001F0AF3">
        <w:t xml:space="preserve">: mesure empirique de la croissance de la PGF, qui correspond dans ce modèle à la proportion de la croissance du PIB qui n’est pas expliquée par l’accumulation des facteurs dans la fonction de production de Cobb-Douglas. </w:t>
      </w:r>
    </w:p>
    <w:p w:rsidR="008B5963" w:rsidRPr="001F0AF3" w:rsidRDefault="008B5963" w:rsidP="00EE3687">
      <w:pPr>
        <w:spacing w:before="120" w:after="120"/>
      </w:pPr>
      <w:r w:rsidRPr="001F0AF3">
        <w:rPr>
          <w:u w:val="single"/>
        </w:rPr>
        <w:t>Rigidité des prix </w:t>
      </w:r>
      <w:r w:rsidRPr="001F0AF3">
        <w:t xml:space="preserve">: caractérise l’inertie dans la réponse des prix à une expansion monétaire. </w:t>
      </w:r>
    </w:p>
    <w:p w:rsidR="008B5963" w:rsidRPr="001F0AF3" w:rsidRDefault="008B5963" w:rsidP="00EE3687">
      <w:pPr>
        <w:spacing w:before="120" w:after="120"/>
      </w:pPr>
      <w:r w:rsidRPr="001F0AF3">
        <w:rPr>
          <w:u w:val="single"/>
        </w:rPr>
        <w:t>Risque systémique </w:t>
      </w:r>
      <w:r w:rsidRPr="001F0AF3">
        <w:t xml:space="preserve">: risque d’un écroulement de l’économie toute entière, souvent associé à la centralité et l’importance d’une ou plusieurs entités pouvant se retrouver dans une situation financière difficile. </w:t>
      </w:r>
    </w:p>
    <w:p w:rsidR="008B5963" w:rsidRPr="001F0AF3" w:rsidRDefault="008B5963" w:rsidP="00EE3687">
      <w:pPr>
        <w:spacing w:before="120" w:after="120"/>
      </w:pPr>
      <w:r w:rsidRPr="001F0AF3">
        <w:rPr>
          <w:u w:val="single"/>
        </w:rPr>
        <w:t>RNB (Revenu national brut) </w:t>
      </w:r>
      <w:r>
        <w:rPr>
          <w:u w:val="single"/>
        </w:rPr>
        <w:t xml:space="preserve">(GNI) </w:t>
      </w:r>
      <w:r w:rsidRPr="001F0AF3">
        <w:t xml:space="preserve">: PIB moins les impôts indirects sur les produits (taxes de vente). </w:t>
      </w:r>
    </w:p>
    <w:p w:rsidR="008B5963" w:rsidRPr="00B401D1" w:rsidRDefault="008B5963" w:rsidP="00EE3687">
      <w:pPr>
        <w:spacing w:before="120" w:after="120"/>
        <w:rPr>
          <w:b/>
          <w:u w:val="single"/>
        </w:rPr>
      </w:pPr>
      <w:r w:rsidRPr="00B401D1">
        <w:rPr>
          <w:b/>
          <w:u w:val="single"/>
        </w:rPr>
        <w:t>S</w:t>
      </w:r>
    </w:p>
    <w:p w:rsidR="008B5963" w:rsidRPr="001F0AF3" w:rsidRDefault="008B5963" w:rsidP="00EE3687">
      <w:pPr>
        <w:spacing w:before="120" w:after="120"/>
      </w:pPr>
      <w:r w:rsidRPr="001F0AF3">
        <w:rPr>
          <w:u w:val="single"/>
        </w:rPr>
        <w:t>Secteur de biens échangeables </w:t>
      </w:r>
      <w:r>
        <w:rPr>
          <w:u w:val="single"/>
        </w:rPr>
        <w:t xml:space="preserve">(tradable goods) </w:t>
      </w:r>
      <w:r w:rsidRPr="001F0AF3">
        <w:t xml:space="preserve">: secteur de production des biens et services qui peuvent être facilement exportés, ou dont les coûts de transports sont suffisamment peu chers pour qu’ils soient commercialisables </w:t>
      </w:r>
      <w:r>
        <w:t>à l’étranger</w:t>
      </w:r>
      <w:r w:rsidRPr="001F0AF3">
        <w:t xml:space="preserve">. </w:t>
      </w:r>
    </w:p>
    <w:p w:rsidR="008B5963" w:rsidRPr="001F0AF3" w:rsidRDefault="008B5963" w:rsidP="00EE3687">
      <w:pPr>
        <w:spacing w:before="120" w:after="120"/>
      </w:pPr>
      <w:r w:rsidRPr="001F0AF3">
        <w:rPr>
          <w:u w:val="single"/>
        </w:rPr>
        <w:t>Secteur de biens non échangeables </w:t>
      </w:r>
      <w:r w:rsidRPr="001F0AF3">
        <w:t xml:space="preserve">: cf. secteur de biens échangeables. </w:t>
      </w:r>
    </w:p>
    <w:p w:rsidR="008B5963" w:rsidRPr="001F0AF3" w:rsidRDefault="008B5963" w:rsidP="00EE3687">
      <w:pPr>
        <w:spacing w:before="120" w:after="120"/>
      </w:pPr>
      <w:r w:rsidRPr="001F0AF3">
        <w:rPr>
          <w:u w:val="single"/>
        </w:rPr>
        <w:t>Seigneuriage </w:t>
      </w:r>
      <w:r>
        <w:rPr>
          <w:u w:val="single"/>
        </w:rPr>
        <w:t xml:space="preserve">(seigniorage) </w:t>
      </w:r>
      <w:r w:rsidRPr="001F0AF3">
        <w:t xml:space="preserve">: recette du gouvernement liée à l’impression de la monnaie, à un coût inférieur à sa valeur nominale. </w:t>
      </w:r>
    </w:p>
    <w:p w:rsidR="008B5963" w:rsidRPr="001F0AF3" w:rsidRDefault="008B5963" w:rsidP="00EE3687">
      <w:pPr>
        <w:spacing w:before="120" w:after="120"/>
      </w:pPr>
      <w:r w:rsidRPr="001F0AF3">
        <w:rPr>
          <w:u w:val="single"/>
        </w:rPr>
        <w:t>Sélection adverse</w:t>
      </w:r>
      <w:r>
        <w:rPr>
          <w:u w:val="single"/>
        </w:rPr>
        <w:t xml:space="preserve"> </w:t>
      </w:r>
      <w:r w:rsidRPr="001F0AF3">
        <w:t xml:space="preserve">: en l’absence d’informations fiables sur la qualité des produits, les produits de bonne qualité évincés du marché. Il en résulte un équilibre sous optimal dans lequel uniquement les produits de faible qualité sont échangés. </w:t>
      </w:r>
    </w:p>
    <w:p w:rsidR="008B5963" w:rsidRPr="001F0AF3" w:rsidRDefault="008B5963" w:rsidP="00EE3687">
      <w:pPr>
        <w:spacing w:before="120" w:after="120"/>
      </w:pPr>
      <w:r w:rsidRPr="001F0AF3">
        <w:rPr>
          <w:u w:val="single"/>
        </w:rPr>
        <w:t>Solde primaire </w:t>
      </w:r>
      <w:r>
        <w:rPr>
          <w:u w:val="single"/>
        </w:rPr>
        <w:t xml:space="preserve">(primary balance) </w:t>
      </w:r>
      <w:r w:rsidRPr="001F0AF3">
        <w:t xml:space="preserve">: recettes du gouvernement moins ses dépenses, hors intérêts sur la dette publique. </w:t>
      </w:r>
    </w:p>
    <w:p w:rsidR="008B5963" w:rsidRPr="001F0AF3" w:rsidRDefault="008B5963" w:rsidP="00EE3687">
      <w:pPr>
        <w:spacing w:before="120" w:after="120"/>
      </w:pPr>
      <w:r w:rsidRPr="001F0AF3">
        <w:rPr>
          <w:u w:val="single"/>
        </w:rPr>
        <w:t>Solvabilité </w:t>
      </w:r>
      <w:r>
        <w:rPr>
          <w:u w:val="single"/>
        </w:rPr>
        <w:t xml:space="preserve">(solvency, sustainability) </w:t>
      </w:r>
      <w:r w:rsidRPr="001F0AF3">
        <w:t xml:space="preserve">: une entité est dite solvable si la différence entre ses actifs et ses dettes est positive. Cette notion est parfois abusivement utilisée pour qualifier la soutenabilité de la dette publique. </w:t>
      </w:r>
    </w:p>
    <w:p w:rsidR="008B5963" w:rsidRPr="00B401D1" w:rsidRDefault="008B5963" w:rsidP="00EE3687">
      <w:pPr>
        <w:spacing w:before="120" w:after="120"/>
      </w:pPr>
      <w:r w:rsidRPr="00B401D1">
        <w:rPr>
          <w:u w:val="single"/>
        </w:rPr>
        <w:t>Spillover </w:t>
      </w:r>
      <w:r w:rsidRPr="00B401D1">
        <w:t>: cf. externalités</w:t>
      </w:r>
    </w:p>
    <w:p w:rsidR="008B5963" w:rsidRPr="001F0AF3" w:rsidRDefault="008B5963" w:rsidP="00AC2915">
      <w:pPr>
        <w:spacing w:before="120" w:after="120"/>
      </w:pPr>
      <w:r w:rsidRPr="001F0AF3">
        <w:rPr>
          <w:u w:val="single"/>
        </w:rPr>
        <w:t>Spread </w:t>
      </w:r>
      <w:r w:rsidRPr="001F0AF3">
        <w:t xml:space="preserve">: mot anglais désigne généralement l’écart entre le taux de rendement d’un titre et celui d’un titre de référence. Le spread souverain désigne généralement l’écart entre le taux des titres souverains d’un pays et celui des bons du Trésor des </w:t>
      </w:r>
      <w:r>
        <w:t>É</w:t>
      </w:r>
      <w:r w:rsidRPr="001F0AF3">
        <w:t xml:space="preserve">tats-Unis. En Europe, le spread est souvent mesuré à l’aune des taux sur les titres souverains de l’Allemagne. </w:t>
      </w:r>
    </w:p>
    <w:p w:rsidR="008B5963" w:rsidRPr="001F0AF3" w:rsidRDefault="008B5963" w:rsidP="00AC2915">
      <w:pPr>
        <w:spacing w:before="120" w:after="120"/>
      </w:pPr>
      <w:r w:rsidRPr="001F0AF3">
        <w:rPr>
          <w:u w:val="single"/>
        </w:rPr>
        <w:t>Stopler-Samuelson </w:t>
      </w:r>
      <w:r>
        <w:rPr>
          <w:u w:val="single"/>
        </w:rPr>
        <w:t xml:space="preserve">(théorème de) </w:t>
      </w:r>
      <w:r w:rsidRPr="001F0AF3">
        <w:t>: si le prix d’un bien augmente, le rendement du facteur de production dans lequel ce bien est relativement intensif (salaire dans le cas du travail, rendement dans le cas du capital, etc.) augmentera à son tour.</w:t>
      </w:r>
    </w:p>
    <w:p w:rsidR="008B5963" w:rsidRPr="001F0AF3" w:rsidRDefault="008B5963" w:rsidP="00EE3687">
      <w:pPr>
        <w:spacing w:before="120" w:after="120"/>
      </w:pPr>
      <w:r w:rsidRPr="001F0AF3">
        <w:rPr>
          <w:u w:val="single"/>
        </w:rPr>
        <w:t>Structurel </w:t>
      </w:r>
      <w:r w:rsidRPr="001F0AF3">
        <w:t xml:space="preserve">: caractéristique des moyens de production. Est dit de la composition du système financier, de l’ouverture commerciale, de la nature de la régulation, des relations salariales, des filets de protection sociale, etc. </w:t>
      </w:r>
    </w:p>
    <w:p w:rsidR="008B5963" w:rsidRPr="001F0AF3" w:rsidRDefault="008B5963" w:rsidP="00EE3687">
      <w:pPr>
        <w:spacing w:before="120" w:after="120"/>
      </w:pPr>
      <w:r w:rsidRPr="001F0AF3">
        <w:rPr>
          <w:u w:val="single"/>
        </w:rPr>
        <w:t>Subvention </w:t>
      </w:r>
      <w:r>
        <w:rPr>
          <w:u w:val="single"/>
        </w:rPr>
        <w:t xml:space="preserve">(subsidy) </w:t>
      </w:r>
      <w:r w:rsidRPr="001F0AF3">
        <w:t>: don ou aide financière de l’</w:t>
      </w:r>
      <w:r>
        <w:t>É</w:t>
      </w:r>
      <w:r w:rsidRPr="001F0AF3">
        <w:t xml:space="preserve">tat </w:t>
      </w:r>
      <w:r>
        <w:t>visant</w:t>
      </w:r>
      <w:r w:rsidRPr="001F0AF3">
        <w:t xml:space="preserve"> certaines entreprise ou certains secteurs, ou </w:t>
      </w:r>
      <w:r>
        <w:t>destinés à</w:t>
      </w:r>
      <w:r w:rsidRPr="001F0AF3">
        <w:t xml:space="preserve"> maintenir certains prix à un niveau artificiellement inférieur à celui du marché. </w:t>
      </w:r>
    </w:p>
    <w:p w:rsidR="008B5963" w:rsidRPr="00B401D1" w:rsidRDefault="008B5963" w:rsidP="007E4B35">
      <w:pPr>
        <w:spacing w:before="120" w:after="120"/>
        <w:rPr>
          <w:b/>
          <w:u w:val="single"/>
        </w:rPr>
      </w:pPr>
      <w:r w:rsidRPr="001F0AF3">
        <w:rPr>
          <w:u w:val="single"/>
        </w:rPr>
        <w:t>Surchauffe </w:t>
      </w:r>
      <w:r>
        <w:rPr>
          <w:u w:val="single"/>
        </w:rPr>
        <w:t xml:space="preserve">(overheating) </w:t>
      </w:r>
      <w:r w:rsidRPr="001F0AF3">
        <w:t xml:space="preserve">: croissance du PIB au-delà de son potentiel – croissance inflationniste. Souvent associée à divers phénomènes tels que l’entrée de capitaux, l’expansion du crédit, l’inflation, des bulles de prix des actifs et une augmentation des chiffre de la croissance. </w:t>
      </w:r>
    </w:p>
    <w:p w:rsidR="008B5963" w:rsidRPr="001F0AF3" w:rsidRDefault="008B5963" w:rsidP="007E4B35">
      <w:pPr>
        <w:spacing w:before="120" w:after="120"/>
      </w:pPr>
      <w:r>
        <w:rPr>
          <w:u w:val="single"/>
        </w:rPr>
        <w:t xml:space="preserve">Syndrome hollandais (Dutch disease) </w:t>
      </w:r>
      <w:r w:rsidRPr="001F0AF3">
        <w:t>: expression établie en 1977 par le journal The Economist pour décrire le phénomène de désindustrialisation des Pays-Bas qui a suivi le début de l’e</w:t>
      </w:r>
      <w:r>
        <w:t>xploitation</w:t>
      </w:r>
      <w:r w:rsidRPr="001F0AF3">
        <w:t xml:space="preserve"> d</w:t>
      </w:r>
      <w:r>
        <w:t>u</w:t>
      </w:r>
      <w:r w:rsidRPr="001F0AF3">
        <w:t xml:space="preserve"> </w:t>
      </w:r>
      <w:r>
        <w:t>gaz</w:t>
      </w:r>
      <w:r w:rsidRPr="001F0AF3">
        <w:t>. Concrètement, le terme désigne aujourd’hui une baisse de la compétitivité-prix du secteur des biens échangeables associée à une appréciation de la monnaie du fait de l’extraction minière ou même éventuellement de l’APD.</w:t>
      </w:r>
    </w:p>
    <w:p w:rsidR="008B5963" w:rsidRPr="001F0AF3" w:rsidRDefault="008B5963" w:rsidP="00EE3687">
      <w:pPr>
        <w:spacing w:before="120" w:after="120"/>
        <w:rPr>
          <w:b/>
          <w:u w:val="single"/>
        </w:rPr>
      </w:pPr>
      <w:r w:rsidRPr="001F0AF3">
        <w:rPr>
          <w:b/>
          <w:u w:val="single"/>
        </w:rPr>
        <w:t>T</w:t>
      </w:r>
    </w:p>
    <w:p w:rsidR="008B5963" w:rsidRPr="001F0AF3" w:rsidRDefault="008B5963" w:rsidP="00EE3687">
      <w:pPr>
        <w:spacing w:before="120" w:after="120"/>
      </w:pPr>
      <w:r w:rsidRPr="001F0AF3">
        <w:rPr>
          <w:u w:val="single"/>
        </w:rPr>
        <w:t>Tau</w:t>
      </w:r>
      <w:r>
        <w:rPr>
          <w:u w:val="single"/>
        </w:rPr>
        <w:t>x</w:t>
      </w:r>
      <w:r w:rsidRPr="001F0AF3">
        <w:rPr>
          <w:u w:val="single"/>
        </w:rPr>
        <w:t xml:space="preserve"> de change </w:t>
      </w:r>
      <w:r w:rsidRPr="001F0AF3">
        <w:t xml:space="preserve">: « prix » d’une monnaie exprimée en termes d’une autre monnaie. </w:t>
      </w:r>
    </w:p>
    <w:p w:rsidR="008B5963" w:rsidRPr="001F0AF3" w:rsidRDefault="008B5963" w:rsidP="00EE3687">
      <w:pPr>
        <w:spacing w:before="120" w:after="120"/>
      </w:pPr>
      <w:r w:rsidRPr="001F0AF3">
        <w:rPr>
          <w:u w:val="single"/>
        </w:rPr>
        <w:t xml:space="preserve">Taux d’escompte (ou taux d’actualisation) </w:t>
      </w:r>
      <w:r>
        <w:rPr>
          <w:u w:val="single"/>
        </w:rPr>
        <w:t xml:space="preserve">(discount rate) </w:t>
      </w:r>
      <w:r w:rsidRPr="001F0AF3">
        <w:t xml:space="preserve">: taux auquel est actualisé un paiement futur pour refléter sa valeur présente. Par exemple, si disposer de 6 unités d’un bien dans un an équivaut à en disposer de 5 aujourd’hui, le taux d’escompte est de 20%. </w:t>
      </w:r>
    </w:p>
    <w:p w:rsidR="008B5963" w:rsidRPr="001F0AF3" w:rsidRDefault="008B5963" w:rsidP="00EE3687">
      <w:pPr>
        <w:spacing w:before="120" w:after="120"/>
      </w:pPr>
      <w:r w:rsidRPr="001F0AF3">
        <w:rPr>
          <w:u w:val="single"/>
        </w:rPr>
        <w:t>Taux d’intérêt </w:t>
      </w:r>
      <w:r w:rsidRPr="001F0AF3">
        <w:t xml:space="preserve">: taux déterminant le montant des intérêts à payer sur un prêt ou un dépôt. </w:t>
      </w:r>
    </w:p>
    <w:p w:rsidR="008B5963" w:rsidRPr="001F0AF3" w:rsidRDefault="008B5963" w:rsidP="00EE3687">
      <w:pPr>
        <w:spacing w:before="120" w:after="120"/>
      </w:pPr>
      <w:r w:rsidRPr="001F0AF3">
        <w:rPr>
          <w:u w:val="single"/>
        </w:rPr>
        <w:t>Taux d’intérêt commerciaux de référence (TICR)</w:t>
      </w:r>
      <w:r w:rsidRPr="001F0AF3">
        <w:t xml:space="preserve"> : référence publiée par l’OCDE pour les taux d’escompte employés par la FMI dans les calculs de VAN. </w:t>
      </w:r>
    </w:p>
    <w:p w:rsidR="008B5963" w:rsidRPr="001F0AF3" w:rsidRDefault="008B5963" w:rsidP="00EE3687">
      <w:pPr>
        <w:spacing w:before="120" w:after="120"/>
      </w:pPr>
      <w:r w:rsidRPr="001F0AF3">
        <w:rPr>
          <w:u w:val="single"/>
        </w:rPr>
        <w:t>Taux de change fixe </w:t>
      </w:r>
      <w:r>
        <w:rPr>
          <w:u w:val="single"/>
        </w:rPr>
        <w:t xml:space="preserve">(fixed exchange rate / peg) </w:t>
      </w:r>
      <w:r w:rsidRPr="001F0AF3">
        <w:t xml:space="preserve">: régime dans lequel la valeur d’une monnaie est liée à celle d’une autre, ou à celle d’un panier de monnaies. </w:t>
      </w:r>
    </w:p>
    <w:p w:rsidR="008B5963" w:rsidRPr="001F0AF3" w:rsidRDefault="008B5963" w:rsidP="00EE3687">
      <w:pPr>
        <w:spacing w:before="120" w:after="120"/>
      </w:pPr>
      <w:r w:rsidRPr="001F0AF3">
        <w:rPr>
          <w:u w:val="single"/>
        </w:rPr>
        <w:t>Taux de change flottant </w:t>
      </w:r>
      <w:r>
        <w:rPr>
          <w:u w:val="single"/>
        </w:rPr>
        <w:t xml:space="preserve">(floating exchange rate) </w:t>
      </w:r>
      <w:r w:rsidRPr="001F0AF3">
        <w:t xml:space="preserve">: régime dans lequel la valeur d’une monnaie est déterminée par l’équilibre de l’offre et de la demande sur le marché des changes. </w:t>
      </w:r>
    </w:p>
    <w:p w:rsidR="008B5963" w:rsidRPr="001F0AF3" w:rsidRDefault="008B5963" w:rsidP="00EE3687">
      <w:pPr>
        <w:spacing w:before="120" w:after="120"/>
      </w:pPr>
      <w:r w:rsidRPr="001F0AF3">
        <w:rPr>
          <w:u w:val="single"/>
        </w:rPr>
        <w:t>Taux directeur </w:t>
      </w:r>
      <w:r>
        <w:rPr>
          <w:u w:val="single"/>
        </w:rPr>
        <w:t xml:space="preserve">(prime rate) </w:t>
      </w:r>
      <w:r w:rsidRPr="001F0AF3">
        <w:t xml:space="preserve">: désigne généralement le principal taux d’intérêt utilisé par la Banque Centrale pour guider l’économie. </w:t>
      </w:r>
    </w:p>
    <w:p w:rsidR="008B5963" w:rsidRPr="001F0AF3" w:rsidRDefault="008B5963" w:rsidP="00EE3687">
      <w:pPr>
        <w:spacing w:before="120" w:after="120"/>
      </w:pPr>
      <w:r w:rsidRPr="001F0AF3">
        <w:rPr>
          <w:u w:val="single"/>
        </w:rPr>
        <w:t>TCER (Taux de change effectif réel)</w:t>
      </w:r>
      <w:r>
        <w:rPr>
          <w:u w:val="single"/>
        </w:rPr>
        <w:t xml:space="preserve"> (REER)</w:t>
      </w:r>
      <w:r w:rsidRPr="001F0AF3">
        <w:rPr>
          <w:u w:val="single"/>
        </w:rPr>
        <w:t> </w:t>
      </w:r>
      <w:r w:rsidRPr="001F0AF3">
        <w:t xml:space="preserve">: ses variations sont souvent interprétées comme étant révélatrices des variations de la compétitivité-prix d’un pays. « Effectif » signifie que l’on considère le taux de change moyen, pondéré </w:t>
      </w:r>
      <w:r>
        <w:t>par le</w:t>
      </w:r>
      <w:r w:rsidRPr="001F0AF3">
        <w:t xml:space="preserve"> volume des échanges avec les principaux partenaires commerciaux ; et « réel » signifie que les valeurs relatives des monnaies sont corrigées de l’inflation. Une hausse du TCER révèle une hausse du pouvoir d’achat d’une monnaie, et donc une baisse de la compétitivité extérieur des exportations de ce pays. </w:t>
      </w:r>
    </w:p>
    <w:p w:rsidR="008B5963" w:rsidRPr="001F0AF3" w:rsidRDefault="008B5963" w:rsidP="00EE3687">
      <w:pPr>
        <w:spacing w:before="120" w:after="120"/>
      </w:pPr>
      <w:r w:rsidRPr="001F0AF3">
        <w:rPr>
          <w:u w:val="single"/>
        </w:rPr>
        <w:t>Termes de l’échange </w:t>
      </w:r>
      <w:r>
        <w:rPr>
          <w:u w:val="single"/>
        </w:rPr>
        <w:t xml:space="preserve">(terms of trade) </w:t>
      </w:r>
      <w:r w:rsidRPr="001F0AF3">
        <w:t xml:space="preserve">: comparaison entre le prix des biens exportables et le prix des biens importables. Sert d’indice pour évaluer la compétitivité d’un pays. </w:t>
      </w:r>
    </w:p>
    <w:p w:rsidR="008B5963" w:rsidRPr="001F0AF3" w:rsidRDefault="008B5963" w:rsidP="00EE3687">
      <w:pPr>
        <w:spacing w:before="120" w:after="120"/>
      </w:pPr>
      <w:r w:rsidRPr="001F0AF3">
        <w:rPr>
          <w:u w:val="single"/>
        </w:rPr>
        <w:t>Théorie de portefeuille </w:t>
      </w:r>
      <w:r w:rsidRPr="001F0AF3">
        <w:t xml:space="preserve">: théorie expliquant le comportement des investisseurs lorsqu’il manipulent des actifs. Elle est souvent considérée comme étant au centre des flux de capitaux, de la détermination du taux de change, du caractère pro-cyclique de l’investissement dans les pays en voie de développement (PVD), des comportements financiers grégaires, etc. Toutefois cette théorie est trop complexe pour servir d’outil de prédiction pour les économistes. </w:t>
      </w:r>
    </w:p>
    <w:p w:rsidR="008B5963" w:rsidRPr="001F0AF3" w:rsidRDefault="008B5963" w:rsidP="00EE3687">
      <w:pPr>
        <w:spacing w:before="120" w:after="120"/>
      </w:pPr>
      <w:r w:rsidRPr="001F0AF3">
        <w:rPr>
          <w:u w:val="single"/>
        </w:rPr>
        <w:t>Théorie quantitative de la monnaie </w:t>
      </w:r>
      <w:r w:rsidRPr="001F0AF3">
        <w:t xml:space="preserve">: équation simple qui relie la valeur de toutes les transactions ayant lieu dans l’économie (PIB nominal, ou prix multiplié par PIB réel) avec la circulation de la monnaie (base monétaire multipliée par le nombre de transactions moyen avec chaque unité de monnaie). </w:t>
      </w:r>
    </w:p>
    <w:p w:rsidR="008B5963" w:rsidRPr="001F0AF3" w:rsidRDefault="008B5963" w:rsidP="00EE3687">
      <w:pPr>
        <w:spacing w:before="120" w:after="120"/>
      </w:pPr>
      <w:r w:rsidRPr="001F0AF3">
        <w:rPr>
          <w:u w:val="single"/>
        </w:rPr>
        <w:t>Transferts d</w:t>
      </w:r>
      <w:r>
        <w:rPr>
          <w:u w:val="single"/>
        </w:rPr>
        <w:t>e migrants (remittances</w:t>
      </w:r>
      <w:r w:rsidRPr="001F0AF3">
        <w:rPr>
          <w:u w:val="single"/>
        </w:rPr>
        <w:t>) </w:t>
      </w:r>
      <w:r w:rsidRPr="001F0AF3">
        <w:t xml:space="preserve">: transfert d’argent d’un salarié expatrié vers son pays d’origine. </w:t>
      </w:r>
    </w:p>
    <w:p w:rsidR="008B5963" w:rsidRPr="001F0AF3" w:rsidRDefault="008B5963" w:rsidP="00EE3687">
      <w:pPr>
        <w:spacing w:before="120" w:after="120"/>
      </w:pPr>
      <w:r w:rsidRPr="001F0AF3">
        <w:rPr>
          <w:u w:val="single"/>
        </w:rPr>
        <w:t>Triangle d’incompatibilité </w:t>
      </w:r>
      <w:r w:rsidRPr="001F0AF3">
        <w:t xml:space="preserve">: principe économique stipulant que sur les trois objectifs distincts de (1) contrôle de la politique monétaire, (2) contrôle du taux de change, (3) liberté de circulation des capitaux, seuls deux peuvent être mis en œuvre simultanément. </w:t>
      </w:r>
    </w:p>
    <w:p w:rsidR="008B5963" w:rsidRDefault="008B5963" w:rsidP="00EE3687">
      <w:pPr>
        <w:spacing w:before="120" w:after="120"/>
      </w:pPr>
      <w:r w:rsidRPr="001F0AF3">
        <w:rPr>
          <w:u w:val="single"/>
        </w:rPr>
        <w:t>Triangle de Mundell </w:t>
      </w:r>
      <w:r w:rsidRPr="001F0AF3">
        <w:t>: cf. triangle d’incompatibilité</w:t>
      </w:r>
    </w:p>
    <w:p w:rsidR="008B5963" w:rsidRPr="00AC2915" w:rsidRDefault="008B5963" w:rsidP="00EE3687">
      <w:pPr>
        <w:spacing w:before="120" w:after="120"/>
        <w:rPr>
          <w:b/>
          <w:u w:val="single"/>
        </w:rPr>
      </w:pPr>
      <w:r>
        <w:rPr>
          <w:b/>
          <w:u w:val="single"/>
        </w:rPr>
        <w:t>U</w:t>
      </w:r>
    </w:p>
    <w:p w:rsidR="008B5963" w:rsidRDefault="008B5963" w:rsidP="00EE3687">
      <w:pPr>
        <w:spacing w:before="120" w:after="120"/>
      </w:pPr>
      <w:r w:rsidRPr="001F0AF3">
        <w:rPr>
          <w:u w:val="single"/>
        </w:rPr>
        <w:t>Union monétaire </w:t>
      </w:r>
      <w:r w:rsidRPr="001F0AF3">
        <w:t xml:space="preserve">: ensemble de pays partageant la même monnaie. Révèle un engagement fort pour l’objectif de maintenir un taux de change fixe entre ces pays. </w:t>
      </w:r>
    </w:p>
    <w:p w:rsidR="008B5963" w:rsidRPr="001F0AF3" w:rsidRDefault="008B5963" w:rsidP="00AC2915">
      <w:pPr>
        <w:spacing w:before="120" w:after="120"/>
        <w:rPr>
          <w:b/>
          <w:u w:val="single"/>
        </w:rPr>
      </w:pPr>
      <w:r>
        <w:rPr>
          <w:b/>
          <w:u w:val="single"/>
        </w:rPr>
        <w:t>V</w:t>
      </w:r>
    </w:p>
    <w:p w:rsidR="008B5963" w:rsidRPr="001F0AF3" w:rsidRDefault="008B5963" w:rsidP="00EE3687">
      <w:pPr>
        <w:spacing w:before="120" w:after="120"/>
      </w:pPr>
      <w:r w:rsidRPr="001F0AF3">
        <w:rPr>
          <w:u w:val="single"/>
        </w:rPr>
        <w:t>Valeur actuelle nette (VAN) </w:t>
      </w:r>
      <w:r>
        <w:rPr>
          <w:u w:val="single"/>
        </w:rPr>
        <w:t xml:space="preserve">(NPV) </w:t>
      </w:r>
      <w:r w:rsidRPr="001F0AF3">
        <w:t xml:space="preserve">: </w:t>
      </w:r>
      <w:r>
        <w:t>somme de</w:t>
      </w:r>
      <w:r w:rsidRPr="001F0AF3">
        <w:t xml:space="preserve"> la valeur actuelle des flux nets de trésorerie </w:t>
      </w:r>
      <w:r>
        <w:t xml:space="preserve">générés par </w:t>
      </w:r>
      <w:r w:rsidRPr="001F0AF3">
        <w:t xml:space="preserve">une entité. La valeur actuelle d’un flux de trésorerie correspond à la valeur de ce flux actualisée pour représenter sa valeur aujourd’hui. </w:t>
      </w:r>
    </w:p>
    <w:p w:rsidR="008B5963" w:rsidRDefault="008B5963" w:rsidP="00EE3687">
      <w:pPr>
        <w:spacing w:before="120" w:after="120"/>
      </w:pPr>
      <w:r w:rsidRPr="001F0AF3">
        <w:rPr>
          <w:u w:val="single"/>
        </w:rPr>
        <w:t>Valeur de marché </w:t>
      </w:r>
      <w:r>
        <w:rPr>
          <w:u w:val="single"/>
        </w:rPr>
        <w:t xml:space="preserve">(market value) </w:t>
      </w:r>
      <w:r w:rsidRPr="001F0AF3">
        <w:t xml:space="preserve">: prix d’un produit dans la situation où la demande et l’offre pour ce produit s’équilibrent, quand il n’existe pas de distorsions ou d’imperfections de marché. </w:t>
      </w:r>
    </w:p>
    <w:p w:rsidR="008B5963" w:rsidRPr="001F0AF3" w:rsidRDefault="008B5963" w:rsidP="00AC2915">
      <w:pPr>
        <w:spacing w:before="120" w:after="120"/>
        <w:rPr>
          <w:b/>
          <w:u w:val="single"/>
        </w:rPr>
      </w:pPr>
      <w:r w:rsidRPr="001F0AF3">
        <w:rPr>
          <w:b/>
          <w:u w:val="single"/>
        </w:rPr>
        <w:t>T</w:t>
      </w:r>
    </w:p>
    <w:p w:rsidR="008B5963" w:rsidRPr="001F0AF3" w:rsidRDefault="008B5963" w:rsidP="00EE3687">
      <w:pPr>
        <w:spacing w:before="120" w:after="120"/>
      </w:pPr>
      <w:r>
        <w:rPr>
          <w:u w:val="single"/>
        </w:rPr>
        <w:t xml:space="preserve">ZLE (zone de libre échange) (FTZ) </w:t>
      </w:r>
      <w:r w:rsidRPr="001F0AF3">
        <w:t xml:space="preserve">: zone géographique ou statut légal des entreprises exportatrices de biens et de services, bénéficiant d’exonérations spéciales en termes de droits d’importation. Ces entreprises bénéficient parfois en plus de mesures incitatives fiscales, ou d’avantages fiscaux sur les marchés du travail et du crédit. </w:t>
      </w:r>
    </w:p>
    <w:p w:rsidR="008B5963" w:rsidRPr="001F0AF3" w:rsidRDefault="008B5963" w:rsidP="00EE3687">
      <w:pPr>
        <w:spacing w:before="120" w:after="120"/>
      </w:pPr>
    </w:p>
    <w:sectPr w:rsidR="008B5963" w:rsidRPr="001F0AF3" w:rsidSect="00B13D7C">
      <w:footerReference w:type="default" r:id="rId8"/>
      <w:pgSz w:w="11906" w:h="16838"/>
      <w:pgMar w:top="1247" w:right="1418" w:bottom="1418" w:left="1985" w:header="709" w:footer="992" w:gutter="0"/>
      <w:pgBorders w:zOrder="back">
        <w:top w:val="single" w:sz="6" w:space="16" w:color="002671"/>
        <w:left w:val="single" w:sz="6" w:space="31" w:color="002671"/>
        <w:bottom w:val="single" w:sz="6" w:space="9" w:color="002671"/>
        <w:right w:val="single" w:sz="6" w:space="23" w:color="002671"/>
      </w:pgBorders>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963" w:rsidRDefault="008B5963">
      <w:r>
        <w:separator/>
      </w:r>
    </w:p>
  </w:endnote>
  <w:endnote w:type="continuationSeparator" w:id="0">
    <w:p w:rsidR="008B5963" w:rsidRDefault="008B596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963" w:rsidRPr="000E13A4" w:rsidRDefault="008B5963">
    <w:pPr>
      <w:pStyle w:val="Footer"/>
      <w:tabs>
        <w:tab w:val="clear" w:pos="4536"/>
        <w:tab w:val="clear" w:pos="9072"/>
        <w:tab w:val="center" w:pos="6237"/>
        <w:tab w:val="right" w:pos="8505"/>
      </w:tabs>
      <w:rPr>
        <w:color w:val="999999"/>
        <w:lang w:val="en-US"/>
      </w:rPr>
    </w:pPr>
    <w:r w:rsidRPr="000E13A4">
      <w:rPr>
        <w:color w:val="999999"/>
        <w:lang w:val="en-US"/>
      </w:rPr>
      <w:tab/>
    </w:r>
    <w:r>
      <w:rPr>
        <w:color w:val="999999"/>
        <w:lang w:val="en-US"/>
      </w:rPr>
      <w:tab/>
    </w:r>
    <w:r w:rsidRPr="000E13A4">
      <w:rPr>
        <w:rStyle w:val="PageNumber"/>
        <w:color w:val="999999"/>
        <w:lang w:val="en-US"/>
      </w:rPr>
      <w:fldChar w:fldCharType="begin"/>
    </w:r>
    <w:r w:rsidRPr="000E13A4">
      <w:rPr>
        <w:rStyle w:val="PageNumber"/>
        <w:color w:val="999999"/>
        <w:lang w:val="en-US"/>
      </w:rPr>
      <w:instrText xml:space="preserve"> PAGE </w:instrText>
    </w:r>
    <w:r w:rsidRPr="000E13A4">
      <w:rPr>
        <w:rStyle w:val="PageNumber"/>
        <w:color w:val="999999"/>
        <w:lang w:val="en-US"/>
      </w:rPr>
      <w:fldChar w:fldCharType="separate"/>
    </w:r>
    <w:r>
      <w:rPr>
        <w:rStyle w:val="PageNumber"/>
        <w:noProof/>
        <w:color w:val="999999"/>
        <w:lang w:val="en-US"/>
      </w:rPr>
      <w:t>8</w:t>
    </w:r>
    <w:r w:rsidRPr="000E13A4">
      <w:rPr>
        <w:rStyle w:val="PageNumber"/>
        <w:color w:val="999999"/>
        <w:lang w:val="en-US"/>
      </w:rPr>
      <w:fldChar w:fldCharType="end"/>
    </w:r>
  </w:p>
  <w:p w:rsidR="008B5963" w:rsidRPr="005D5010" w:rsidRDefault="008B5963" w:rsidP="00427852">
    <w:pPr>
      <w:pStyle w:val="Header"/>
      <w:jc w:val="right"/>
      <w:rPr>
        <w:i/>
      </w:rPr>
    </w:pPr>
    <w:r w:rsidRPr="005D5010">
      <w:rPr>
        <w:i/>
      </w:rPr>
      <w:t xml:space="preserve">Macro I – Macroéconomie </w:t>
    </w:r>
    <w:r w:rsidRPr="00AC2915">
      <w:rPr>
        <w:i/>
      </w:rPr>
      <w:t>Appliquée 19-21 Mai 2014 -</w:t>
    </w:r>
    <w:r w:rsidRPr="005D5010">
      <w:rPr>
        <w:i/>
      </w:rPr>
      <w:t xml:space="preserve"> Bruxelles</w:t>
    </w:r>
  </w:p>
  <w:p w:rsidR="008B5963" w:rsidRPr="00D35DA5" w:rsidRDefault="008B5963" w:rsidP="00427852">
    <w:pP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963" w:rsidRDefault="008B5963">
      <w:r>
        <w:separator/>
      </w:r>
    </w:p>
  </w:footnote>
  <w:footnote w:type="continuationSeparator" w:id="0">
    <w:p w:rsidR="008B5963" w:rsidRDefault="008B5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58A0"/>
    <w:multiLevelType w:val="hybridMultilevel"/>
    <w:tmpl w:val="6682E7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5A467C"/>
    <w:multiLevelType w:val="hybridMultilevel"/>
    <w:tmpl w:val="AF0271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04E00AC"/>
    <w:multiLevelType w:val="hybridMultilevel"/>
    <w:tmpl w:val="469AD78A"/>
    <w:lvl w:ilvl="0" w:tplc="859E6656">
      <w:start w:val="1"/>
      <w:numFmt w:val="bullet"/>
      <w:lvlText w:val=""/>
      <w:lvlJc w:val="left"/>
      <w:pPr>
        <w:ind w:left="927" w:hanging="360"/>
      </w:pPr>
      <w:rPr>
        <w:rFonts w:ascii="Symbol" w:eastAsia="Times New Roman"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22AE22EC"/>
    <w:multiLevelType w:val="hybridMultilevel"/>
    <w:tmpl w:val="C2E090EA"/>
    <w:lvl w:ilvl="0" w:tplc="851CF154">
      <w:start w:val="10"/>
      <w:numFmt w:val="bullet"/>
      <w:lvlText w:val=""/>
      <w:lvlJc w:val="left"/>
      <w:pPr>
        <w:ind w:left="1287" w:hanging="360"/>
      </w:pPr>
      <w:rPr>
        <w:rFonts w:ascii="Symbol" w:eastAsia="Times New Roman"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2DAA1228"/>
    <w:multiLevelType w:val="hybridMultilevel"/>
    <w:tmpl w:val="6B7ABFF6"/>
    <w:lvl w:ilvl="0" w:tplc="851CF154">
      <w:start w:val="10"/>
      <w:numFmt w:val="bullet"/>
      <w:lvlText w:val=""/>
      <w:lvlJc w:val="left"/>
      <w:pPr>
        <w:ind w:left="1287" w:hanging="360"/>
      </w:pPr>
      <w:rPr>
        <w:rFonts w:ascii="Symbol" w:eastAsia="Times New Roman"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6853E64"/>
    <w:multiLevelType w:val="hybridMultilevel"/>
    <w:tmpl w:val="0E3A19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A81C3D"/>
    <w:multiLevelType w:val="hybridMultilevel"/>
    <w:tmpl w:val="B56229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84D533C"/>
    <w:multiLevelType w:val="hybridMultilevel"/>
    <w:tmpl w:val="641C1CFA"/>
    <w:lvl w:ilvl="0" w:tplc="08090011">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672246AB"/>
    <w:multiLevelType w:val="hybridMultilevel"/>
    <w:tmpl w:val="9D5EC794"/>
    <w:lvl w:ilvl="0" w:tplc="04684174">
      <w:start w:val="1"/>
      <w:numFmt w:val="bullet"/>
      <w:lvlText w:val=""/>
      <w:lvlJc w:val="left"/>
      <w:pPr>
        <w:tabs>
          <w:tab w:val="num" w:pos="720"/>
        </w:tabs>
        <w:ind w:left="720" w:hanging="360"/>
      </w:pPr>
      <w:rPr>
        <w:rFonts w:ascii="Symbol" w:hAnsi="Symbol" w:hint="default"/>
      </w:rPr>
    </w:lvl>
    <w:lvl w:ilvl="1" w:tplc="4C4C85CE" w:tentative="1">
      <w:start w:val="1"/>
      <w:numFmt w:val="bullet"/>
      <w:lvlText w:val="o"/>
      <w:lvlJc w:val="left"/>
      <w:pPr>
        <w:tabs>
          <w:tab w:val="num" w:pos="1440"/>
        </w:tabs>
        <w:ind w:left="1440" w:hanging="360"/>
      </w:pPr>
      <w:rPr>
        <w:rFonts w:ascii="Courier New" w:hAnsi="Courier New" w:hint="default"/>
      </w:rPr>
    </w:lvl>
    <w:lvl w:ilvl="2" w:tplc="D8247DCA" w:tentative="1">
      <w:start w:val="1"/>
      <w:numFmt w:val="bullet"/>
      <w:lvlText w:val=""/>
      <w:lvlJc w:val="left"/>
      <w:pPr>
        <w:tabs>
          <w:tab w:val="num" w:pos="2160"/>
        </w:tabs>
        <w:ind w:left="2160" w:hanging="360"/>
      </w:pPr>
      <w:rPr>
        <w:rFonts w:ascii="Wingdings" w:hAnsi="Wingdings" w:hint="default"/>
      </w:rPr>
    </w:lvl>
    <w:lvl w:ilvl="3" w:tplc="56CA0E9E" w:tentative="1">
      <w:start w:val="1"/>
      <w:numFmt w:val="bullet"/>
      <w:lvlText w:val=""/>
      <w:lvlJc w:val="left"/>
      <w:pPr>
        <w:tabs>
          <w:tab w:val="num" w:pos="2880"/>
        </w:tabs>
        <w:ind w:left="2880" w:hanging="360"/>
      </w:pPr>
      <w:rPr>
        <w:rFonts w:ascii="Symbol" w:hAnsi="Symbol" w:hint="default"/>
      </w:rPr>
    </w:lvl>
    <w:lvl w:ilvl="4" w:tplc="05CCAF78" w:tentative="1">
      <w:start w:val="1"/>
      <w:numFmt w:val="bullet"/>
      <w:lvlText w:val="o"/>
      <w:lvlJc w:val="left"/>
      <w:pPr>
        <w:tabs>
          <w:tab w:val="num" w:pos="3600"/>
        </w:tabs>
        <w:ind w:left="3600" w:hanging="360"/>
      </w:pPr>
      <w:rPr>
        <w:rFonts w:ascii="Courier New" w:hAnsi="Courier New" w:hint="default"/>
      </w:rPr>
    </w:lvl>
    <w:lvl w:ilvl="5" w:tplc="42EEF09C" w:tentative="1">
      <w:start w:val="1"/>
      <w:numFmt w:val="bullet"/>
      <w:lvlText w:val=""/>
      <w:lvlJc w:val="left"/>
      <w:pPr>
        <w:tabs>
          <w:tab w:val="num" w:pos="4320"/>
        </w:tabs>
        <w:ind w:left="4320" w:hanging="360"/>
      </w:pPr>
      <w:rPr>
        <w:rFonts w:ascii="Wingdings" w:hAnsi="Wingdings" w:hint="default"/>
      </w:rPr>
    </w:lvl>
    <w:lvl w:ilvl="6" w:tplc="3F8E7E60" w:tentative="1">
      <w:start w:val="1"/>
      <w:numFmt w:val="bullet"/>
      <w:lvlText w:val=""/>
      <w:lvlJc w:val="left"/>
      <w:pPr>
        <w:tabs>
          <w:tab w:val="num" w:pos="5040"/>
        </w:tabs>
        <w:ind w:left="5040" w:hanging="360"/>
      </w:pPr>
      <w:rPr>
        <w:rFonts w:ascii="Symbol" w:hAnsi="Symbol" w:hint="default"/>
      </w:rPr>
    </w:lvl>
    <w:lvl w:ilvl="7" w:tplc="A6801052" w:tentative="1">
      <w:start w:val="1"/>
      <w:numFmt w:val="bullet"/>
      <w:lvlText w:val="o"/>
      <w:lvlJc w:val="left"/>
      <w:pPr>
        <w:tabs>
          <w:tab w:val="num" w:pos="5760"/>
        </w:tabs>
        <w:ind w:left="5760" w:hanging="360"/>
      </w:pPr>
      <w:rPr>
        <w:rFonts w:ascii="Courier New" w:hAnsi="Courier New" w:hint="default"/>
      </w:rPr>
    </w:lvl>
    <w:lvl w:ilvl="8" w:tplc="812C0840" w:tentative="1">
      <w:start w:val="1"/>
      <w:numFmt w:val="bullet"/>
      <w:lvlText w:val=""/>
      <w:lvlJc w:val="left"/>
      <w:pPr>
        <w:tabs>
          <w:tab w:val="num" w:pos="6480"/>
        </w:tabs>
        <w:ind w:left="6480" w:hanging="360"/>
      </w:pPr>
      <w:rPr>
        <w:rFonts w:ascii="Wingdings" w:hAnsi="Wingdings" w:hint="default"/>
      </w:rPr>
    </w:lvl>
  </w:abstractNum>
  <w:abstractNum w:abstractNumId="9">
    <w:nsid w:val="7E1D7C5E"/>
    <w:multiLevelType w:val="hybridMultilevel"/>
    <w:tmpl w:val="5E08DEBC"/>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8"/>
  </w:num>
  <w:num w:numId="2">
    <w:abstractNumId w:val="5"/>
  </w:num>
  <w:num w:numId="3">
    <w:abstractNumId w:val="7"/>
  </w:num>
  <w:num w:numId="4">
    <w:abstractNumId w:val="6"/>
  </w:num>
  <w:num w:numId="5">
    <w:abstractNumId w:val="9"/>
  </w:num>
  <w:num w:numId="6">
    <w:abstractNumId w:val="1"/>
  </w:num>
  <w:num w:numId="7">
    <w:abstractNumId w:val="0"/>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6E66"/>
    <w:rsid w:val="00010281"/>
    <w:rsid w:val="00014C8C"/>
    <w:rsid w:val="00015A10"/>
    <w:rsid w:val="00017025"/>
    <w:rsid w:val="0002068C"/>
    <w:rsid w:val="000210EB"/>
    <w:rsid w:val="0002404A"/>
    <w:rsid w:val="00037FA7"/>
    <w:rsid w:val="000540DB"/>
    <w:rsid w:val="00081167"/>
    <w:rsid w:val="000966B4"/>
    <w:rsid w:val="000A09A5"/>
    <w:rsid w:val="000A10B6"/>
    <w:rsid w:val="000A2948"/>
    <w:rsid w:val="000B476D"/>
    <w:rsid w:val="000C0481"/>
    <w:rsid w:val="000C7BD7"/>
    <w:rsid w:val="000E13A4"/>
    <w:rsid w:val="000E1890"/>
    <w:rsid w:val="0011507D"/>
    <w:rsid w:val="001254D9"/>
    <w:rsid w:val="001304A6"/>
    <w:rsid w:val="00141C07"/>
    <w:rsid w:val="00165A27"/>
    <w:rsid w:val="00171890"/>
    <w:rsid w:val="00177431"/>
    <w:rsid w:val="001803A4"/>
    <w:rsid w:val="0018374D"/>
    <w:rsid w:val="001855A8"/>
    <w:rsid w:val="00187147"/>
    <w:rsid w:val="00187418"/>
    <w:rsid w:val="001B31AB"/>
    <w:rsid w:val="001B4CD2"/>
    <w:rsid w:val="001B5EDC"/>
    <w:rsid w:val="001C5BE0"/>
    <w:rsid w:val="001D08D2"/>
    <w:rsid w:val="001D347B"/>
    <w:rsid w:val="001F09BA"/>
    <w:rsid w:val="001F0AF3"/>
    <w:rsid w:val="001F1421"/>
    <w:rsid w:val="001F371C"/>
    <w:rsid w:val="001F6004"/>
    <w:rsid w:val="00215117"/>
    <w:rsid w:val="00221BC5"/>
    <w:rsid w:val="00221F21"/>
    <w:rsid w:val="0022448B"/>
    <w:rsid w:val="00230334"/>
    <w:rsid w:val="00232BEF"/>
    <w:rsid w:val="00232F4D"/>
    <w:rsid w:val="00233C0D"/>
    <w:rsid w:val="002357BE"/>
    <w:rsid w:val="00242118"/>
    <w:rsid w:val="002603AA"/>
    <w:rsid w:val="002769E5"/>
    <w:rsid w:val="002848E5"/>
    <w:rsid w:val="00286D20"/>
    <w:rsid w:val="002877EC"/>
    <w:rsid w:val="00292775"/>
    <w:rsid w:val="002A0630"/>
    <w:rsid w:val="002A4E77"/>
    <w:rsid w:val="002B37AB"/>
    <w:rsid w:val="002C2D7E"/>
    <w:rsid w:val="002C36DE"/>
    <w:rsid w:val="002C39DB"/>
    <w:rsid w:val="002E0FB2"/>
    <w:rsid w:val="002F2EC5"/>
    <w:rsid w:val="002F63A5"/>
    <w:rsid w:val="002F6D54"/>
    <w:rsid w:val="00324453"/>
    <w:rsid w:val="00342242"/>
    <w:rsid w:val="00347262"/>
    <w:rsid w:val="00351E85"/>
    <w:rsid w:val="00353D83"/>
    <w:rsid w:val="0035457C"/>
    <w:rsid w:val="00360241"/>
    <w:rsid w:val="003615B7"/>
    <w:rsid w:val="00362AD2"/>
    <w:rsid w:val="00362FAD"/>
    <w:rsid w:val="0036674D"/>
    <w:rsid w:val="0037215B"/>
    <w:rsid w:val="00375ED7"/>
    <w:rsid w:val="0037785F"/>
    <w:rsid w:val="00377B12"/>
    <w:rsid w:val="00385030"/>
    <w:rsid w:val="00397256"/>
    <w:rsid w:val="003A2AB0"/>
    <w:rsid w:val="003B6B49"/>
    <w:rsid w:val="003C55A2"/>
    <w:rsid w:val="003D7A3E"/>
    <w:rsid w:val="004168BF"/>
    <w:rsid w:val="00427852"/>
    <w:rsid w:val="00434469"/>
    <w:rsid w:val="0045185D"/>
    <w:rsid w:val="00460184"/>
    <w:rsid w:val="004840E2"/>
    <w:rsid w:val="0049699C"/>
    <w:rsid w:val="004B3613"/>
    <w:rsid w:val="00505691"/>
    <w:rsid w:val="00506C1E"/>
    <w:rsid w:val="00517183"/>
    <w:rsid w:val="0053406F"/>
    <w:rsid w:val="0053666A"/>
    <w:rsid w:val="00563581"/>
    <w:rsid w:val="005723E6"/>
    <w:rsid w:val="005B10DA"/>
    <w:rsid w:val="005C0BAE"/>
    <w:rsid w:val="005D38EC"/>
    <w:rsid w:val="005D5010"/>
    <w:rsid w:val="005E0E1F"/>
    <w:rsid w:val="005E17A4"/>
    <w:rsid w:val="005E37AB"/>
    <w:rsid w:val="005E43F5"/>
    <w:rsid w:val="005F3212"/>
    <w:rsid w:val="005F516B"/>
    <w:rsid w:val="0060027F"/>
    <w:rsid w:val="00611B24"/>
    <w:rsid w:val="006166A2"/>
    <w:rsid w:val="00617B36"/>
    <w:rsid w:val="006211DD"/>
    <w:rsid w:val="00635955"/>
    <w:rsid w:val="00637380"/>
    <w:rsid w:val="00637E9B"/>
    <w:rsid w:val="006618F8"/>
    <w:rsid w:val="00661C32"/>
    <w:rsid w:val="006738F2"/>
    <w:rsid w:val="00693D7B"/>
    <w:rsid w:val="00694923"/>
    <w:rsid w:val="006A7D6A"/>
    <w:rsid w:val="006B5AEE"/>
    <w:rsid w:val="006D48A3"/>
    <w:rsid w:val="006F0D41"/>
    <w:rsid w:val="006F1B4E"/>
    <w:rsid w:val="006F6944"/>
    <w:rsid w:val="00704A6C"/>
    <w:rsid w:val="00731661"/>
    <w:rsid w:val="00771CF8"/>
    <w:rsid w:val="00785394"/>
    <w:rsid w:val="00787409"/>
    <w:rsid w:val="00790810"/>
    <w:rsid w:val="00793811"/>
    <w:rsid w:val="007A78B9"/>
    <w:rsid w:val="007E0C47"/>
    <w:rsid w:val="007E1349"/>
    <w:rsid w:val="007E3A3D"/>
    <w:rsid w:val="007E4B35"/>
    <w:rsid w:val="007F4BA0"/>
    <w:rsid w:val="008077A6"/>
    <w:rsid w:val="00832171"/>
    <w:rsid w:val="00834769"/>
    <w:rsid w:val="00841C7B"/>
    <w:rsid w:val="0084260E"/>
    <w:rsid w:val="00854CA6"/>
    <w:rsid w:val="008671D9"/>
    <w:rsid w:val="008749D7"/>
    <w:rsid w:val="008843EE"/>
    <w:rsid w:val="0088538F"/>
    <w:rsid w:val="008900D9"/>
    <w:rsid w:val="00891EDC"/>
    <w:rsid w:val="008A30CC"/>
    <w:rsid w:val="008B1F1A"/>
    <w:rsid w:val="008B5963"/>
    <w:rsid w:val="008B6B73"/>
    <w:rsid w:val="008C11DE"/>
    <w:rsid w:val="008C408C"/>
    <w:rsid w:val="008C6677"/>
    <w:rsid w:val="008D6A89"/>
    <w:rsid w:val="008F0DFE"/>
    <w:rsid w:val="00901683"/>
    <w:rsid w:val="00947B04"/>
    <w:rsid w:val="00953E4D"/>
    <w:rsid w:val="00961218"/>
    <w:rsid w:val="00967E3A"/>
    <w:rsid w:val="009704FF"/>
    <w:rsid w:val="00976561"/>
    <w:rsid w:val="00981A4C"/>
    <w:rsid w:val="009A4298"/>
    <w:rsid w:val="009B1BE9"/>
    <w:rsid w:val="009C0320"/>
    <w:rsid w:val="009D39BC"/>
    <w:rsid w:val="009E1212"/>
    <w:rsid w:val="009E34EC"/>
    <w:rsid w:val="009F0674"/>
    <w:rsid w:val="00A3094C"/>
    <w:rsid w:val="00A30A5E"/>
    <w:rsid w:val="00A4045D"/>
    <w:rsid w:val="00A45B31"/>
    <w:rsid w:val="00A522FC"/>
    <w:rsid w:val="00A71C91"/>
    <w:rsid w:val="00A81DD7"/>
    <w:rsid w:val="00A823BD"/>
    <w:rsid w:val="00A9722E"/>
    <w:rsid w:val="00AA5983"/>
    <w:rsid w:val="00AB7408"/>
    <w:rsid w:val="00AC2915"/>
    <w:rsid w:val="00AC70C8"/>
    <w:rsid w:val="00AF17D0"/>
    <w:rsid w:val="00B00AD4"/>
    <w:rsid w:val="00B13B91"/>
    <w:rsid w:val="00B13D7C"/>
    <w:rsid w:val="00B15062"/>
    <w:rsid w:val="00B16F54"/>
    <w:rsid w:val="00B258D6"/>
    <w:rsid w:val="00B26011"/>
    <w:rsid w:val="00B401D1"/>
    <w:rsid w:val="00B542B3"/>
    <w:rsid w:val="00B57DDE"/>
    <w:rsid w:val="00B63D81"/>
    <w:rsid w:val="00B72A79"/>
    <w:rsid w:val="00B85EF4"/>
    <w:rsid w:val="00B954B3"/>
    <w:rsid w:val="00BC475E"/>
    <w:rsid w:val="00BD0F0D"/>
    <w:rsid w:val="00BE2EA7"/>
    <w:rsid w:val="00C01573"/>
    <w:rsid w:val="00C10F1F"/>
    <w:rsid w:val="00C11428"/>
    <w:rsid w:val="00C132E3"/>
    <w:rsid w:val="00C141DA"/>
    <w:rsid w:val="00C15618"/>
    <w:rsid w:val="00C160B5"/>
    <w:rsid w:val="00C26B0A"/>
    <w:rsid w:val="00C370F7"/>
    <w:rsid w:val="00C51E12"/>
    <w:rsid w:val="00C80676"/>
    <w:rsid w:val="00C86197"/>
    <w:rsid w:val="00C87824"/>
    <w:rsid w:val="00C92179"/>
    <w:rsid w:val="00CB49D1"/>
    <w:rsid w:val="00CB4F37"/>
    <w:rsid w:val="00CC3357"/>
    <w:rsid w:val="00CD2952"/>
    <w:rsid w:val="00CE387E"/>
    <w:rsid w:val="00CE567D"/>
    <w:rsid w:val="00D073D9"/>
    <w:rsid w:val="00D1497B"/>
    <w:rsid w:val="00D2418E"/>
    <w:rsid w:val="00D27CE3"/>
    <w:rsid w:val="00D34E2F"/>
    <w:rsid w:val="00D35DA5"/>
    <w:rsid w:val="00D40692"/>
    <w:rsid w:val="00D4604F"/>
    <w:rsid w:val="00D536F8"/>
    <w:rsid w:val="00D57B21"/>
    <w:rsid w:val="00D83F37"/>
    <w:rsid w:val="00DA13E0"/>
    <w:rsid w:val="00DA71B8"/>
    <w:rsid w:val="00DD13BB"/>
    <w:rsid w:val="00DE3B3D"/>
    <w:rsid w:val="00DE6BD0"/>
    <w:rsid w:val="00E053EE"/>
    <w:rsid w:val="00E1245F"/>
    <w:rsid w:val="00E1431F"/>
    <w:rsid w:val="00E16DCD"/>
    <w:rsid w:val="00E23971"/>
    <w:rsid w:val="00E25D3F"/>
    <w:rsid w:val="00E4424C"/>
    <w:rsid w:val="00E5085E"/>
    <w:rsid w:val="00E5136A"/>
    <w:rsid w:val="00E63D11"/>
    <w:rsid w:val="00E82AE8"/>
    <w:rsid w:val="00E83651"/>
    <w:rsid w:val="00E909B1"/>
    <w:rsid w:val="00EA1815"/>
    <w:rsid w:val="00EA2D1C"/>
    <w:rsid w:val="00EB183C"/>
    <w:rsid w:val="00EB28B9"/>
    <w:rsid w:val="00EB7D56"/>
    <w:rsid w:val="00EC08F8"/>
    <w:rsid w:val="00EC15A0"/>
    <w:rsid w:val="00ED7F4B"/>
    <w:rsid w:val="00EE19DF"/>
    <w:rsid w:val="00EE3687"/>
    <w:rsid w:val="00EE3692"/>
    <w:rsid w:val="00F07748"/>
    <w:rsid w:val="00F10FEA"/>
    <w:rsid w:val="00F152EB"/>
    <w:rsid w:val="00F231CA"/>
    <w:rsid w:val="00F36E59"/>
    <w:rsid w:val="00F63104"/>
    <w:rsid w:val="00F632CC"/>
    <w:rsid w:val="00F6339A"/>
    <w:rsid w:val="00F72DCA"/>
    <w:rsid w:val="00F9081D"/>
    <w:rsid w:val="00FD6E66"/>
    <w:rsid w:val="00FE592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Indent 3" w:locked="1" w:semiHidden="0" w:uiPriority="0" w:unhideWhenUsed="0"/>
    <w:lsdException w:name="Block Text"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7C"/>
    <w:pPr>
      <w:widowControl w:val="0"/>
      <w:spacing w:before="100" w:line="280" w:lineRule="exact"/>
    </w:pPr>
    <w:rPr>
      <w:rFonts w:ascii="Verdana" w:hAnsi="Verdana"/>
      <w:sz w:val="18"/>
      <w:szCs w:val="24"/>
      <w:lang w:eastAsia="en-GB"/>
    </w:rPr>
  </w:style>
  <w:style w:type="paragraph" w:styleId="Heading1">
    <w:name w:val="heading 1"/>
    <w:basedOn w:val="Normal"/>
    <w:next w:val="Normal"/>
    <w:link w:val="Heading1Char"/>
    <w:uiPriority w:val="99"/>
    <w:qFormat/>
    <w:rsid w:val="00B13D7C"/>
    <w:pPr>
      <w:keepNext/>
      <w:outlineLvl w:val="0"/>
    </w:pPr>
    <w:rPr>
      <w:b/>
      <w:sz w:val="32"/>
    </w:rPr>
  </w:style>
  <w:style w:type="paragraph" w:styleId="Heading2">
    <w:name w:val="heading 2"/>
    <w:aliases w:val="texte bold"/>
    <w:basedOn w:val="Normal"/>
    <w:next w:val="Normal"/>
    <w:link w:val="Heading2Char"/>
    <w:uiPriority w:val="99"/>
    <w:qFormat/>
    <w:rsid w:val="00B13D7C"/>
    <w:pPr>
      <w:keepNext/>
      <w:spacing w:before="0"/>
      <w:outlineLvl w:val="1"/>
    </w:pPr>
    <w:rPr>
      <w:b/>
    </w:rPr>
  </w:style>
  <w:style w:type="paragraph" w:styleId="Heading3">
    <w:name w:val="heading 3"/>
    <w:basedOn w:val="Normal"/>
    <w:next w:val="Normal"/>
    <w:link w:val="Heading3Char"/>
    <w:uiPriority w:val="99"/>
    <w:qFormat/>
    <w:rsid w:val="00B13D7C"/>
    <w:pPr>
      <w:keepNext/>
      <w:jc w:val="center"/>
      <w:outlineLvl w:val="2"/>
    </w:pPr>
    <w:rPr>
      <w:rFonts w:ascii="Century Gothic" w:hAnsi="Century Gothic"/>
      <w:b/>
      <w:color w:val="FFFFFF"/>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3C"/>
    <w:rPr>
      <w:rFonts w:asciiTheme="majorHAnsi" w:eastAsiaTheme="majorEastAsia" w:hAnsiTheme="majorHAnsi" w:cstheme="majorBidi"/>
      <w:b/>
      <w:bCs/>
      <w:kern w:val="32"/>
      <w:sz w:val="32"/>
      <w:szCs w:val="32"/>
      <w:lang w:eastAsia="en-GB"/>
    </w:rPr>
  </w:style>
  <w:style w:type="character" w:customStyle="1" w:styleId="Heading2Char">
    <w:name w:val="Heading 2 Char"/>
    <w:aliases w:val="texte bold Char"/>
    <w:basedOn w:val="DefaultParagraphFont"/>
    <w:link w:val="Heading2"/>
    <w:uiPriority w:val="9"/>
    <w:semiHidden/>
    <w:rsid w:val="00B8053C"/>
    <w:rPr>
      <w:rFonts w:asciiTheme="majorHAnsi" w:eastAsiaTheme="majorEastAsia" w:hAnsiTheme="majorHAnsi" w:cstheme="majorBidi"/>
      <w:b/>
      <w:bCs/>
      <w:i/>
      <w:iCs/>
      <w:sz w:val="28"/>
      <w:szCs w:val="28"/>
      <w:lang w:eastAsia="en-GB"/>
    </w:rPr>
  </w:style>
  <w:style w:type="character" w:customStyle="1" w:styleId="Heading3Char">
    <w:name w:val="Heading 3 Char"/>
    <w:basedOn w:val="DefaultParagraphFont"/>
    <w:link w:val="Heading3"/>
    <w:uiPriority w:val="9"/>
    <w:semiHidden/>
    <w:rsid w:val="00B8053C"/>
    <w:rPr>
      <w:rFonts w:asciiTheme="majorHAnsi" w:eastAsiaTheme="majorEastAsia" w:hAnsiTheme="majorHAnsi" w:cstheme="majorBidi"/>
      <w:b/>
      <w:bCs/>
      <w:sz w:val="26"/>
      <w:szCs w:val="26"/>
      <w:lang w:eastAsia="en-GB"/>
    </w:rPr>
  </w:style>
  <w:style w:type="paragraph" w:customStyle="1" w:styleId="body">
    <w:name w:val="body"/>
    <w:autoRedefine/>
    <w:uiPriority w:val="99"/>
    <w:rsid w:val="00B13D7C"/>
    <w:pPr>
      <w:widowControl w:val="0"/>
      <w:autoSpaceDE w:val="0"/>
      <w:autoSpaceDN w:val="0"/>
      <w:adjustRightInd w:val="0"/>
      <w:spacing w:before="60" w:after="60" w:line="280" w:lineRule="atLeast"/>
      <w:textAlignment w:val="center"/>
    </w:pPr>
    <w:rPr>
      <w:rFonts w:ascii="Verdana" w:eastAsia="Times New Roman" w:hAnsi="Verdana"/>
      <w:noProof/>
      <w:color w:val="000000"/>
      <w:sz w:val="18"/>
      <w:szCs w:val="24"/>
      <w:lang w:val="en-GB" w:eastAsia="en-GB"/>
    </w:rPr>
  </w:style>
  <w:style w:type="paragraph" w:styleId="Header">
    <w:name w:val="header"/>
    <w:basedOn w:val="Normal"/>
    <w:link w:val="HeaderChar"/>
    <w:uiPriority w:val="99"/>
    <w:rsid w:val="00B13D7C"/>
    <w:pPr>
      <w:tabs>
        <w:tab w:val="center" w:pos="4536"/>
        <w:tab w:val="right" w:pos="9072"/>
      </w:tabs>
    </w:pPr>
  </w:style>
  <w:style w:type="character" w:customStyle="1" w:styleId="HeaderChar">
    <w:name w:val="Header Char"/>
    <w:basedOn w:val="DefaultParagraphFont"/>
    <w:link w:val="Header"/>
    <w:uiPriority w:val="99"/>
    <w:semiHidden/>
    <w:rsid w:val="00B8053C"/>
    <w:rPr>
      <w:rFonts w:ascii="Verdana" w:hAnsi="Verdana"/>
      <w:sz w:val="18"/>
      <w:szCs w:val="24"/>
      <w:lang w:eastAsia="en-GB"/>
    </w:rPr>
  </w:style>
  <w:style w:type="paragraph" w:styleId="Footer">
    <w:name w:val="footer"/>
    <w:basedOn w:val="Normal"/>
    <w:link w:val="FooterChar"/>
    <w:uiPriority w:val="99"/>
    <w:rsid w:val="00B13D7C"/>
    <w:pPr>
      <w:tabs>
        <w:tab w:val="center" w:pos="4536"/>
        <w:tab w:val="right" w:pos="9072"/>
      </w:tabs>
    </w:pPr>
  </w:style>
  <w:style w:type="character" w:customStyle="1" w:styleId="FooterChar">
    <w:name w:val="Footer Char"/>
    <w:basedOn w:val="DefaultParagraphFont"/>
    <w:link w:val="Footer"/>
    <w:uiPriority w:val="99"/>
    <w:semiHidden/>
    <w:rsid w:val="00B8053C"/>
    <w:rPr>
      <w:rFonts w:ascii="Verdana" w:hAnsi="Verdana"/>
      <w:sz w:val="18"/>
      <w:szCs w:val="24"/>
      <w:lang w:eastAsia="en-GB"/>
    </w:rPr>
  </w:style>
  <w:style w:type="character" w:styleId="PageNumber">
    <w:name w:val="page number"/>
    <w:basedOn w:val="DefaultParagraphFont"/>
    <w:uiPriority w:val="99"/>
    <w:rsid w:val="00B13D7C"/>
    <w:rPr>
      <w:rFonts w:cs="Times New Roman"/>
    </w:rPr>
  </w:style>
  <w:style w:type="paragraph" w:styleId="BodyText">
    <w:name w:val="Body Text"/>
    <w:aliases w:val="introduction"/>
    <w:basedOn w:val="Normal"/>
    <w:link w:val="BodyTextChar"/>
    <w:uiPriority w:val="99"/>
    <w:rsid w:val="00B13D7C"/>
    <w:rPr>
      <w:rFonts w:ascii="Times New Roman" w:hAnsi="Times New Roman"/>
      <w:sz w:val="26"/>
    </w:rPr>
  </w:style>
  <w:style w:type="character" w:customStyle="1" w:styleId="BodyTextChar">
    <w:name w:val="Body Text Char"/>
    <w:aliases w:val="introduction Char"/>
    <w:basedOn w:val="DefaultParagraphFont"/>
    <w:link w:val="BodyText"/>
    <w:uiPriority w:val="99"/>
    <w:semiHidden/>
    <w:rsid w:val="00B8053C"/>
    <w:rPr>
      <w:rFonts w:ascii="Verdana" w:hAnsi="Verdana"/>
      <w:sz w:val="18"/>
      <w:szCs w:val="24"/>
      <w:lang w:eastAsia="en-GB"/>
    </w:rPr>
  </w:style>
  <w:style w:type="paragraph" w:styleId="BodyTextIndent">
    <w:name w:val="Body Text Indent"/>
    <w:aliases w:val="titre 2"/>
    <w:basedOn w:val="Normal"/>
    <w:link w:val="BodyTextIndentChar"/>
    <w:uiPriority w:val="99"/>
    <w:rsid w:val="00B13D7C"/>
    <w:pPr>
      <w:ind w:left="1134"/>
    </w:pPr>
    <w:rPr>
      <w:b/>
      <w:sz w:val="24"/>
    </w:rPr>
  </w:style>
  <w:style w:type="character" w:customStyle="1" w:styleId="BodyTextIndentChar">
    <w:name w:val="Body Text Indent Char"/>
    <w:aliases w:val="titre 2 Char"/>
    <w:basedOn w:val="DefaultParagraphFont"/>
    <w:link w:val="BodyTextIndent"/>
    <w:uiPriority w:val="99"/>
    <w:semiHidden/>
    <w:rsid w:val="00B8053C"/>
    <w:rPr>
      <w:rFonts w:ascii="Verdana" w:hAnsi="Verdana"/>
      <w:sz w:val="18"/>
      <w:szCs w:val="24"/>
      <w:lang w:eastAsia="en-GB"/>
    </w:rPr>
  </w:style>
  <w:style w:type="paragraph" w:styleId="BalloonText">
    <w:name w:val="Balloon Text"/>
    <w:basedOn w:val="Normal"/>
    <w:link w:val="BalloonTextChar"/>
    <w:uiPriority w:val="99"/>
    <w:rsid w:val="0018714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87147"/>
    <w:rPr>
      <w:rFonts w:ascii="Tahoma" w:hAnsi="Tahoma" w:cs="Tahoma"/>
      <w:sz w:val="16"/>
      <w:szCs w:val="16"/>
      <w:lang w:val="fr-FR" w:eastAsia="en-GB"/>
    </w:rPr>
  </w:style>
  <w:style w:type="paragraph" w:styleId="ListParagraph">
    <w:name w:val="List Paragraph"/>
    <w:basedOn w:val="Normal"/>
    <w:uiPriority w:val="99"/>
    <w:qFormat/>
    <w:rsid w:val="00360241"/>
    <w:pPr>
      <w:widowControl/>
      <w:spacing w:before="0" w:line="240" w:lineRule="auto"/>
      <w:ind w:left="720"/>
      <w:contextualSpacing/>
      <w:jc w:val="both"/>
    </w:pPr>
    <w:rPr>
      <w:rFonts w:ascii="Garamond" w:eastAsia="Times New Roman" w:hAnsi="Garamond"/>
      <w:sz w:val="24"/>
      <w:lang w:val="en-GB" w:eastAsia="fr-FR"/>
    </w:rPr>
  </w:style>
  <w:style w:type="character" w:styleId="CommentReference">
    <w:name w:val="annotation reference"/>
    <w:basedOn w:val="DefaultParagraphFont"/>
    <w:uiPriority w:val="99"/>
    <w:semiHidden/>
    <w:rsid w:val="00506C1E"/>
    <w:rPr>
      <w:rFonts w:cs="Times New Roman"/>
      <w:sz w:val="16"/>
      <w:szCs w:val="16"/>
    </w:rPr>
  </w:style>
  <w:style w:type="paragraph" w:styleId="CommentText">
    <w:name w:val="annotation text"/>
    <w:basedOn w:val="Normal"/>
    <w:link w:val="CommentTextChar"/>
    <w:uiPriority w:val="99"/>
    <w:semiHidden/>
    <w:rsid w:val="00506C1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06C1E"/>
    <w:rPr>
      <w:rFonts w:ascii="Verdana" w:hAnsi="Verdana" w:cs="Times New Roman"/>
      <w:sz w:val="20"/>
      <w:szCs w:val="20"/>
      <w:lang w:val="fr-FR"/>
    </w:rPr>
  </w:style>
  <w:style w:type="paragraph" w:styleId="CommentSubject">
    <w:name w:val="annotation subject"/>
    <w:basedOn w:val="CommentText"/>
    <w:next w:val="CommentText"/>
    <w:link w:val="CommentSubjectChar"/>
    <w:uiPriority w:val="99"/>
    <w:semiHidden/>
    <w:rsid w:val="00506C1E"/>
    <w:rPr>
      <w:b/>
      <w:bCs/>
    </w:rPr>
  </w:style>
  <w:style w:type="character" w:customStyle="1" w:styleId="CommentSubjectChar">
    <w:name w:val="Comment Subject Char"/>
    <w:basedOn w:val="CommentTextChar"/>
    <w:link w:val="CommentSubject"/>
    <w:uiPriority w:val="99"/>
    <w:semiHidden/>
    <w:locked/>
    <w:rsid w:val="00506C1E"/>
    <w:rPr>
      <w:b/>
      <w:bCs/>
    </w:rPr>
  </w:style>
</w:styles>
</file>

<file path=word/webSettings.xml><?xml version="1.0" encoding="utf-8"?>
<w:webSettings xmlns:r="http://schemas.openxmlformats.org/officeDocument/2006/relationships" xmlns:w="http://schemas.openxmlformats.org/wordprocessingml/2006/main">
  <w:divs>
    <w:div w:id="1924027495">
      <w:marLeft w:val="0"/>
      <w:marRight w:val="0"/>
      <w:marTop w:val="0"/>
      <w:marBottom w:val="0"/>
      <w:divBdr>
        <w:top w:val="none" w:sz="0" w:space="0" w:color="auto"/>
        <w:left w:val="none" w:sz="0" w:space="0" w:color="auto"/>
        <w:bottom w:val="none" w:sz="0" w:space="0" w:color="auto"/>
        <w:right w:val="none" w:sz="0" w:space="0" w:color="auto"/>
      </w:divBdr>
    </w:div>
    <w:div w:id="1924027496">
      <w:marLeft w:val="0"/>
      <w:marRight w:val="0"/>
      <w:marTop w:val="0"/>
      <w:marBottom w:val="0"/>
      <w:divBdr>
        <w:top w:val="none" w:sz="0" w:space="0" w:color="auto"/>
        <w:left w:val="none" w:sz="0" w:space="0" w:color="auto"/>
        <w:bottom w:val="none" w:sz="0" w:space="0" w:color="auto"/>
        <w:right w:val="none" w:sz="0" w:space="0" w:color="auto"/>
      </w:divBdr>
      <w:divsChild>
        <w:div w:id="1924027497">
          <w:marLeft w:val="0"/>
          <w:marRight w:val="0"/>
          <w:marTop w:val="0"/>
          <w:marBottom w:val="0"/>
          <w:divBdr>
            <w:top w:val="none" w:sz="0" w:space="0" w:color="auto"/>
            <w:left w:val="none" w:sz="0" w:space="0" w:color="auto"/>
            <w:bottom w:val="none" w:sz="0" w:space="0" w:color="auto"/>
            <w:right w:val="none" w:sz="0" w:space="0" w:color="auto"/>
          </w:divBdr>
          <w:divsChild>
            <w:div w:id="1924027498">
              <w:marLeft w:val="0"/>
              <w:marRight w:val="0"/>
              <w:marTop w:val="0"/>
              <w:marBottom w:val="0"/>
              <w:divBdr>
                <w:top w:val="none" w:sz="0" w:space="0" w:color="auto"/>
                <w:left w:val="none" w:sz="0" w:space="0" w:color="auto"/>
                <w:bottom w:val="none" w:sz="0" w:space="0" w:color="auto"/>
                <w:right w:val="none" w:sz="0" w:space="0" w:color="auto"/>
              </w:divBdr>
              <w:divsChild>
                <w:div w:id="19240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15</Pages>
  <Words>6178</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Aliquam scelerisque augue eget turpis</dc:title>
  <dc:subject/>
  <dc:creator>dominique boon</dc:creator>
  <cp:keywords/>
  <dc:description/>
  <cp:lastModifiedBy>FNSP</cp:lastModifiedBy>
  <cp:revision>3</cp:revision>
  <cp:lastPrinted>2013-06-17T09:52:00Z</cp:lastPrinted>
  <dcterms:created xsi:type="dcterms:W3CDTF">2014-04-18T12:01:00Z</dcterms:created>
  <dcterms:modified xsi:type="dcterms:W3CDTF">2014-04-25T13:46:00Z</dcterms:modified>
</cp:coreProperties>
</file>