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E3A" w:rsidRPr="00F60271" w:rsidRDefault="00B7030D" w:rsidP="003431B1">
      <w:pPr>
        <w:rPr>
          <w:b/>
          <w:color w:val="FF0000"/>
          <w:sz w:val="32"/>
          <w:lang w:val="fr-FR"/>
        </w:rPr>
      </w:pPr>
      <w:r w:rsidRPr="00F60271">
        <w:rPr>
          <w:b/>
          <w:color w:val="FF0000"/>
          <w:sz w:val="32"/>
          <w:lang w:val="fr-FR"/>
        </w:rPr>
        <w:t>Annex</w:t>
      </w:r>
      <w:r w:rsidR="00E30E3A" w:rsidRPr="00F60271">
        <w:rPr>
          <w:b/>
          <w:color w:val="FF0000"/>
          <w:sz w:val="32"/>
          <w:lang w:val="fr-FR"/>
        </w:rPr>
        <w:t>e</w:t>
      </w:r>
      <w:r w:rsidRPr="00F60271">
        <w:rPr>
          <w:b/>
          <w:color w:val="FF0000"/>
          <w:sz w:val="32"/>
          <w:lang w:val="fr-FR"/>
        </w:rPr>
        <w:t xml:space="preserve"> 4 </w:t>
      </w:r>
      <w:r w:rsidR="00E30E3A" w:rsidRPr="00F60271">
        <w:rPr>
          <w:b/>
          <w:color w:val="FF0000"/>
          <w:sz w:val="32"/>
          <w:lang w:val="fr-FR"/>
        </w:rPr>
        <w:t>Modèle de fiche pays sur la programmation conjointe</w:t>
      </w:r>
    </w:p>
    <w:p w:rsidR="00D309B7" w:rsidRPr="00F60271" w:rsidRDefault="00E30E3A" w:rsidP="003431B1">
      <w:pPr>
        <w:rPr>
          <w:b/>
          <w:i/>
          <w:color w:val="404040" w:themeColor="text1" w:themeTint="BF"/>
          <w:sz w:val="24"/>
          <w:szCs w:val="24"/>
          <w:lang w:val="fr-FR"/>
        </w:rPr>
      </w:pPr>
      <w:r w:rsidRPr="00F60271">
        <w:rPr>
          <w:b/>
          <w:i/>
          <w:color w:val="404040" w:themeColor="text1" w:themeTint="BF"/>
          <w:sz w:val="24"/>
          <w:szCs w:val="24"/>
          <w:lang w:val="fr-FR"/>
        </w:rPr>
        <w:t xml:space="preserve">Séminaire </w:t>
      </w:r>
      <w:proofErr w:type="spellStart"/>
      <w:r w:rsidRPr="00F60271">
        <w:rPr>
          <w:b/>
          <w:i/>
          <w:color w:val="404040" w:themeColor="text1" w:themeTint="BF"/>
          <w:sz w:val="24"/>
          <w:szCs w:val="24"/>
          <w:lang w:val="fr-FR"/>
        </w:rPr>
        <w:t>regional</w:t>
      </w:r>
      <w:proofErr w:type="spellEnd"/>
      <w:r w:rsidRPr="00F60271">
        <w:rPr>
          <w:b/>
          <w:i/>
          <w:color w:val="404040" w:themeColor="text1" w:themeTint="BF"/>
          <w:sz w:val="24"/>
          <w:szCs w:val="24"/>
          <w:lang w:val="fr-FR"/>
        </w:rPr>
        <w:t xml:space="preserve"> sur la programmation conjointe en Afrique de l’Ouest </w:t>
      </w:r>
    </w:p>
    <w:p w:rsidR="005531B5" w:rsidRPr="00F60271" w:rsidRDefault="005531B5" w:rsidP="00DC5321">
      <w:pPr>
        <w:rPr>
          <w:i/>
          <w:szCs w:val="18"/>
          <w:lang w:val="fr-FR"/>
        </w:rPr>
      </w:pPr>
    </w:p>
    <w:p w:rsidR="006A2C42" w:rsidRDefault="00E30E3A" w:rsidP="00C36C3E">
      <w:pPr>
        <w:pStyle w:val="Paragraphedeliste"/>
        <w:numPr>
          <w:ilvl w:val="0"/>
          <w:numId w:val="2"/>
        </w:numPr>
        <w:spacing w:after="0"/>
        <w:jc w:val="both"/>
        <w:rPr>
          <w:color w:val="404040" w:themeColor="text1" w:themeTint="BF"/>
          <w:sz w:val="22"/>
          <w:lang w:val="fr-FR"/>
        </w:rPr>
      </w:pPr>
      <w:r w:rsidRPr="00F60271">
        <w:rPr>
          <w:color w:val="404040" w:themeColor="text1" w:themeTint="BF"/>
          <w:sz w:val="22"/>
          <w:lang w:val="fr-FR"/>
        </w:rPr>
        <w:t xml:space="preserve">Pays </w:t>
      </w:r>
      <w:r w:rsidR="003431B1" w:rsidRPr="00F60271">
        <w:rPr>
          <w:color w:val="404040" w:themeColor="text1" w:themeTint="BF"/>
          <w:sz w:val="22"/>
          <w:lang w:val="fr-FR"/>
        </w:rPr>
        <w:t xml:space="preserve">: </w:t>
      </w:r>
    </w:p>
    <w:p w:rsidR="006A2C42" w:rsidRDefault="006A2C42" w:rsidP="00C36C3E">
      <w:pPr>
        <w:pStyle w:val="Paragraphedeliste"/>
        <w:spacing w:after="0"/>
        <w:jc w:val="both"/>
        <w:rPr>
          <w:color w:val="404040" w:themeColor="text1" w:themeTint="BF"/>
          <w:sz w:val="22"/>
          <w:lang w:val="fr-FR"/>
        </w:rPr>
      </w:pPr>
    </w:p>
    <w:p w:rsidR="003431B1" w:rsidRDefault="006A2C42" w:rsidP="00C36C3E">
      <w:pPr>
        <w:pStyle w:val="Paragraphedeliste"/>
        <w:spacing w:after="0"/>
        <w:jc w:val="both"/>
        <w:rPr>
          <w:color w:val="404040" w:themeColor="text1" w:themeTint="BF"/>
          <w:sz w:val="22"/>
          <w:lang w:val="fr-FR"/>
        </w:rPr>
      </w:pPr>
      <w:r>
        <w:rPr>
          <w:color w:val="404040" w:themeColor="text1" w:themeTint="BF"/>
          <w:sz w:val="22"/>
          <w:lang w:val="fr-FR"/>
        </w:rPr>
        <w:t>COTE D'IVOIRE, Abidjan</w:t>
      </w:r>
    </w:p>
    <w:p w:rsidR="006A2C42" w:rsidRDefault="006A2C42" w:rsidP="00C36C3E">
      <w:pPr>
        <w:pStyle w:val="Paragraphedeliste"/>
        <w:spacing w:after="0"/>
        <w:jc w:val="both"/>
        <w:rPr>
          <w:color w:val="404040" w:themeColor="text1" w:themeTint="BF"/>
          <w:sz w:val="22"/>
          <w:lang w:val="fr-FR"/>
        </w:rPr>
      </w:pPr>
    </w:p>
    <w:p w:rsidR="006A2C42" w:rsidRPr="00F60271" w:rsidRDefault="006A2C42" w:rsidP="00C36C3E">
      <w:pPr>
        <w:pStyle w:val="Paragraphedeliste"/>
        <w:spacing w:after="0"/>
        <w:jc w:val="both"/>
        <w:rPr>
          <w:color w:val="404040" w:themeColor="text1" w:themeTint="BF"/>
          <w:sz w:val="22"/>
          <w:lang w:val="fr-FR"/>
        </w:rPr>
      </w:pPr>
      <w:r>
        <w:rPr>
          <w:color w:val="404040" w:themeColor="text1" w:themeTint="BF"/>
          <w:sz w:val="22"/>
          <w:lang w:val="fr-FR"/>
        </w:rPr>
        <w:t>Présents dans le pays: Délégation UE + Allemagne, Belgique, Espagne, France, Grande Bretagne, Italie</w:t>
      </w:r>
      <w:r w:rsidR="000B2BD1">
        <w:rPr>
          <w:color w:val="404040" w:themeColor="text1" w:themeTint="BF"/>
          <w:sz w:val="22"/>
          <w:lang w:val="fr-FR"/>
        </w:rPr>
        <w:t>.</w:t>
      </w:r>
    </w:p>
    <w:p w:rsidR="00C41FFD" w:rsidRPr="00F60271" w:rsidRDefault="00C41FFD" w:rsidP="00C36C3E">
      <w:pPr>
        <w:pStyle w:val="Paragraphedeliste"/>
        <w:spacing w:after="0"/>
        <w:jc w:val="both"/>
        <w:rPr>
          <w:color w:val="404040" w:themeColor="text1" w:themeTint="BF"/>
          <w:sz w:val="22"/>
          <w:lang w:val="fr-FR"/>
        </w:rPr>
      </w:pPr>
    </w:p>
    <w:p w:rsidR="00A047EB" w:rsidRPr="00F60271" w:rsidRDefault="00A047EB" w:rsidP="00C36C3E">
      <w:pPr>
        <w:spacing w:after="0"/>
        <w:jc w:val="both"/>
        <w:rPr>
          <w:color w:val="404040" w:themeColor="text1" w:themeTint="BF"/>
          <w:sz w:val="22"/>
          <w:lang w:val="fr-FR"/>
        </w:rPr>
      </w:pPr>
    </w:p>
    <w:p w:rsidR="002D68E8" w:rsidRDefault="00F60271" w:rsidP="00C36C3E">
      <w:pPr>
        <w:pStyle w:val="Paragraphedeliste"/>
        <w:numPr>
          <w:ilvl w:val="0"/>
          <w:numId w:val="2"/>
        </w:numPr>
        <w:spacing w:after="0"/>
        <w:jc w:val="both"/>
        <w:rPr>
          <w:color w:val="404040" w:themeColor="text1" w:themeTint="BF"/>
          <w:sz w:val="22"/>
          <w:lang w:val="fr-FR"/>
        </w:rPr>
      </w:pPr>
      <w:r w:rsidRPr="00F60271">
        <w:rPr>
          <w:color w:val="404040" w:themeColor="text1" w:themeTint="BF"/>
          <w:sz w:val="22"/>
          <w:lang w:val="fr-FR"/>
        </w:rPr>
        <w:t>Attentes</w:t>
      </w:r>
      <w:r>
        <w:rPr>
          <w:color w:val="404040" w:themeColor="text1" w:themeTint="BF"/>
          <w:sz w:val="22"/>
          <w:lang w:val="fr-FR"/>
        </w:rPr>
        <w:t xml:space="preserve"> pour ce séminaire :</w:t>
      </w:r>
    </w:p>
    <w:p w:rsidR="006A2C42" w:rsidRDefault="006A2C42" w:rsidP="00C36C3E">
      <w:pPr>
        <w:spacing w:after="0"/>
        <w:jc w:val="both"/>
        <w:rPr>
          <w:color w:val="404040" w:themeColor="text1" w:themeTint="BF"/>
          <w:sz w:val="22"/>
          <w:lang w:val="fr-FR"/>
        </w:rPr>
      </w:pPr>
    </w:p>
    <w:p w:rsidR="006A2C42" w:rsidRDefault="006A2C42" w:rsidP="00C36C3E">
      <w:pPr>
        <w:spacing w:after="0"/>
        <w:ind w:left="720"/>
        <w:jc w:val="both"/>
        <w:rPr>
          <w:color w:val="404040" w:themeColor="text1" w:themeTint="BF"/>
          <w:sz w:val="22"/>
          <w:lang w:val="fr-FR"/>
        </w:rPr>
      </w:pPr>
      <w:r>
        <w:rPr>
          <w:color w:val="404040" w:themeColor="text1" w:themeTint="BF"/>
          <w:sz w:val="22"/>
          <w:lang w:val="fr-FR"/>
        </w:rPr>
        <w:t>Partage d'expérience avec les autres exercices de programmation conjointe permettant de préparer l'échéance de 2016 identifiée comme étant le démarrage d'un cycle de programmation conjointe compatible avec le cycle du pays (élections de fin 2015, Plan National de Développement 2016-2020).</w:t>
      </w:r>
    </w:p>
    <w:p w:rsidR="006A2C42" w:rsidRDefault="006A2C42" w:rsidP="00C36C3E">
      <w:pPr>
        <w:spacing w:after="0"/>
        <w:ind w:left="720"/>
        <w:jc w:val="both"/>
        <w:rPr>
          <w:color w:val="404040" w:themeColor="text1" w:themeTint="BF"/>
          <w:sz w:val="22"/>
          <w:lang w:val="fr-FR"/>
        </w:rPr>
      </w:pPr>
    </w:p>
    <w:p w:rsidR="006A2C42" w:rsidRDefault="006A2C42" w:rsidP="00C36C3E">
      <w:pPr>
        <w:spacing w:after="0"/>
        <w:ind w:left="720"/>
        <w:jc w:val="both"/>
        <w:rPr>
          <w:color w:val="404040" w:themeColor="text1" w:themeTint="BF"/>
          <w:sz w:val="22"/>
          <w:lang w:val="fr-FR"/>
        </w:rPr>
      </w:pPr>
      <w:r>
        <w:rPr>
          <w:color w:val="404040" w:themeColor="text1" w:themeTint="BF"/>
          <w:sz w:val="22"/>
          <w:lang w:val="fr-FR"/>
        </w:rPr>
        <w:t xml:space="preserve">Compréhension des modalités pratiques et opérationnelles qui ont été utilisées ailleurs pour établir la programmation conjointe entre le pays concerné et l'UE. </w:t>
      </w:r>
    </w:p>
    <w:p w:rsidR="006A2C42" w:rsidRDefault="006A2C42" w:rsidP="00C36C3E">
      <w:pPr>
        <w:spacing w:after="0"/>
        <w:ind w:left="720"/>
        <w:jc w:val="both"/>
        <w:rPr>
          <w:color w:val="404040" w:themeColor="text1" w:themeTint="BF"/>
          <w:sz w:val="22"/>
          <w:lang w:val="fr-FR"/>
        </w:rPr>
      </w:pPr>
    </w:p>
    <w:p w:rsidR="006A2C42" w:rsidRDefault="006A2C42" w:rsidP="00C36C3E">
      <w:pPr>
        <w:spacing w:after="0"/>
        <w:ind w:left="720"/>
        <w:jc w:val="both"/>
        <w:rPr>
          <w:color w:val="404040" w:themeColor="text1" w:themeTint="BF"/>
          <w:sz w:val="22"/>
          <w:lang w:val="fr-FR"/>
        </w:rPr>
      </w:pPr>
      <w:r>
        <w:rPr>
          <w:color w:val="404040" w:themeColor="text1" w:themeTint="BF"/>
          <w:sz w:val="22"/>
          <w:lang w:val="fr-FR"/>
        </w:rPr>
        <w:t xml:space="preserve">Comment amener la Côte d'Ivoire à jouer le rôle de moteur qu'elle doit assurer dans un exercice de programmation conjointe? </w:t>
      </w:r>
    </w:p>
    <w:p w:rsidR="006A2C42" w:rsidRDefault="006A2C42" w:rsidP="00C36C3E">
      <w:pPr>
        <w:spacing w:after="0"/>
        <w:ind w:left="720"/>
        <w:jc w:val="both"/>
        <w:rPr>
          <w:color w:val="404040" w:themeColor="text1" w:themeTint="BF"/>
          <w:sz w:val="22"/>
          <w:lang w:val="fr-FR"/>
        </w:rPr>
      </w:pPr>
    </w:p>
    <w:p w:rsidR="006A2C42" w:rsidRPr="006A2C42" w:rsidRDefault="006A2C42" w:rsidP="00C36C3E">
      <w:pPr>
        <w:spacing w:after="0"/>
        <w:ind w:left="720"/>
        <w:jc w:val="both"/>
        <w:rPr>
          <w:color w:val="404040" w:themeColor="text1" w:themeTint="BF"/>
          <w:sz w:val="22"/>
          <w:lang w:val="fr-FR"/>
        </w:rPr>
      </w:pPr>
      <w:r>
        <w:rPr>
          <w:color w:val="404040" w:themeColor="text1" w:themeTint="BF"/>
          <w:sz w:val="22"/>
          <w:lang w:val="fr-FR"/>
        </w:rPr>
        <w:t>Quelle sont les étapes préalables nécessaires dans un pays qui n'a pas eu de mécanisme de coordination des bailleurs pendant plus de 10 ans et peine à en mettre un en place depuis la sortie de crise.</w:t>
      </w:r>
    </w:p>
    <w:p w:rsidR="00C41FFD" w:rsidRPr="00F60271" w:rsidRDefault="00C41FFD" w:rsidP="00C36C3E">
      <w:pPr>
        <w:pStyle w:val="Paragraphedeliste"/>
        <w:spacing w:after="0"/>
        <w:jc w:val="both"/>
        <w:rPr>
          <w:color w:val="404040" w:themeColor="text1" w:themeTint="BF"/>
          <w:sz w:val="22"/>
          <w:lang w:val="fr-FR"/>
        </w:rPr>
      </w:pPr>
    </w:p>
    <w:p w:rsidR="002D68E8" w:rsidRPr="00F60271" w:rsidRDefault="002D68E8" w:rsidP="00C36C3E">
      <w:pPr>
        <w:pStyle w:val="Paragraphedeliste"/>
        <w:spacing w:after="0"/>
        <w:jc w:val="both"/>
        <w:rPr>
          <w:color w:val="404040" w:themeColor="text1" w:themeTint="BF"/>
          <w:sz w:val="22"/>
          <w:lang w:val="fr-FR"/>
        </w:rPr>
      </w:pPr>
    </w:p>
    <w:p w:rsidR="00DC5321" w:rsidRDefault="00F60271" w:rsidP="00C36C3E">
      <w:pPr>
        <w:pStyle w:val="Paragraphedeliste"/>
        <w:numPr>
          <w:ilvl w:val="0"/>
          <w:numId w:val="2"/>
        </w:numPr>
        <w:spacing w:after="0"/>
        <w:jc w:val="both"/>
        <w:rPr>
          <w:color w:val="404040" w:themeColor="text1" w:themeTint="BF"/>
          <w:sz w:val="22"/>
          <w:lang w:val="fr-FR"/>
        </w:rPr>
      </w:pPr>
      <w:r>
        <w:rPr>
          <w:color w:val="404040" w:themeColor="text1" w:themeTint="BF"/>
          <w:sz w:val="22"/>
          <w:lang w:val="fr-FR"/>
        </w:rPr>
        <w:t>Etat actuel de mise en œuvre de la programmation conjointe :</w:t>
      </w:r>
    </w:p>
    <w:p w:rsidR="006A2C42" w:rsidRDefault="006A2C42" w:rsidP="00C36C3E">
      <w:pPr>
        <w:spacing w:after="0"/>
        <w:jc w:val="both"/>
        <w:rPr>
          <w:color w:val="404040" w:themeColor="text1" w:themeTint="BF"/>
          <w:sz w:val="22"/>
          <w:lang w:val="fr-FR"/>
        </w:rPr>
      </w:pPr>
    </w:p>
    <w:p w:rsidR="005B08A2" w:rsidRDefault="006A2C42" w:rsidP="00C36C3E">
      <w:pPr>
        <w:spacing w:after="0"/>
        <w:ind w:left="720"/>
        <w:jc w:val="both"/>
        <w:rPr>
          <w:color w:val="404040" w:themeColor="text1" w:themeTint="BF"/>
          <w:sz w:val="22"/>
          <w:lang w:val="fr-FR"/>
        </w:rPr>
      </w:pPr>
      <w:r>
        <w:rPr>
          <w:color w:val="404040" w:themeColor="text1" w:themeTint="BF"/>
          <w:sz w:val="22"/>
          <w:lang w:val="fr-FR"/>
        </w:rPr>
        <w:t>Les crises récurrente</w:t>
      </w:r>
      <w:r w:rsidR="005B08A2">
        <w:rPr>
          <w:color w:val="404040" w:themeColor="text1" w:themeTint="BF"/>
          <w:sz w:val="22"/>
          <w:lang w:val="fr-FR"/>
        </w:rPr>
        <w:t>s</w:t>
      </w:r>
      <w:r>
        <w:rPr>
          <w:color w:val="404040" w:themeColor="text1" w:themeTint="BF"/>
          <w:sz w:val="22"/>
          <w:lang w:val="fr-FR"/>
        </w:rPr>
        <w:t xml:space="preserve"> de 1999 à 2010 ont amené plusieurs bailleurs</w:t>
      </w:r>
      <w:r w:rsidR="005B08A2">
        <w:rPr>
          <w:color w:val="404040" w:themeColor="text1" w:themeTint="BF"/>
          <w:sz w:val="22"/>
          <w:lang w:val="fr-FR"/>
        </w:rPr>
        <w:t>/Etats</w:t>
      </w:r>
      <w:r>
        <w:rPr>
          <w:color w:val="404040" w:themeColor="text1" w:themeTint="BF"/>
          <w:sz w:val="22"/>
          <w:lang w:val="fr-FR"/>
        </w:rPr>
        <w:t xml:space="preserve"> à fermer leur représentation dans le pays et/ou à réduire leur niveau d'appui à la Côte d'Ivoire</w:t>
      </w:r>
      <w:r w:rsidR="005B08A2">
        <w:rPr>
          <w:color w:val="404040" w:themeColor="text1" w:themeTint="BF"/>
          <w:sz w:val="22"/>
          <w:lang w:val="fr-FR"/>
        </w:rPr>
        <w:t xml:space="preserve">. </w:t>
      </w:r>
      <w:r w:rsidR="00D22EAF">
        <w:rPr>
          <w:color w:val="404040" w:themeColor="text1" w:themeTint="BF"/>
          <w:sz w:val="22"/>
          <w:lang w:val="fr-FR"/>
        </w:rPr>
        <w:t>La Belgique, l'Espagne, la Grande Bretagne et l'Italie ont un</w:t>
      </w:r>
      <w:r w:rsidR="00CB25BE">
        <w:rPr>
          <w:color w:val="404040" w:themeColor="text1" w:themeTint="BF"/>
          <w:sz w:val="22"/>
          <w:lang w:val="fr-FR"/>
        </w:rPr>
        <w:t>e</w:t>
      </w:r>
      <w:r w:rsidR="00D22EAF">
        <w:rPr>
          <w:color w:val="404040" w:themeColor="text1" w:themeTint="BF"/>
          <w:sz w:val="22"/>
          <w:lang w:val="fr-FR"/>
        </w:rPr>
        <w:t xml:space="preserve"> coopération qui passe principalement par le multilatéral.</w:t>
      </w:r>
    </w:p>
    <w:p w:rsidR="005B08A2" w:rsidRDefault="005B08A2" w:rsidP="00C36C3E">
      <w:pPr>
        <w:spacing w:after="0"/>
        <w:ind w:left="720"/>
        <w:jc w:val="both"/>
        <w:rPr>
          <w:color w:val="404040" w:themeColor="text1" w:themeTint="BF"/>
          <w:sz w:val="22"/>
          <w:lang w:val="fr-FR"/>
        </w:rPr>
      </w:pPr>
    </w:p>
    <w:p w:rsidR="006A2C42" w:rsidRDefault="005B08A2" w:rsidP="00C36C3E">
      <w:pPr>
        <w:spacing w:after="0"/>
        <w:ind w:left="720"/>
        <w:jc w:val="both"/>
        <w:rPr>
          <w:color w:val="404040" w:themeColor="text1" w:themeTint="BF"/>
          <w:sz w:val="22"/>
          <w:lang w:val="fr-FR"/>
        </w:rPr>
      </w:pPr>
      <w:r>
        <w:rPr>
          <w:color w:val="404040" w:themeColor="text1" w:themeTint="BF"/>
          <w:sz w:val="22"/>
          <w:lang w:val="fr-FR"/>
        </w:rPr>
        <w:t>La programmation du 11</w:t>
      </w:r>
      <w:r w:rsidRPr="005B08A2">
        <w:rPr>
          <w:color w:val="404040" w:themeColor="text1" w:themeTint="BF"/>
          <w:sz w:val="22"/>
          <w:vertAlign w:val="superscript"/>
          <w:lang w:val="fr-FR"/>
        </w:rPr>
        <w:t>ème</w:t>
      </w:r>
      <w:r>
        <w:rPr>
          <w:color w:val="404040" w:themeColor="text1" w:themeTint="BF"/>
          <w:sz w:val="22"/>
          <w:lang w:val="fr-FR"/>
        </w:rPr>
        <w:t xml:space="preserve"> FED est partie d'un constat post crise partagé au niveau de l'UE et d'une analyse </w:t>
      </w:r>
      <w:r w:rsidR="00D22EAF">
        <w:rPr>
          <w:color w:val="404040" w:themeColor="text1" w:themeTint="BF"/>
          <w:sz w:val="22"/>
          <w:lang w:val="fr-FR"/>
        </w:rPr>
        <w:t xml:space="preserve">UE </w:t>
      </w:r>
      <w:r>
        <w:rPr>
          <w:color w:val="404040" w:themeColor="text1" w:themeTint="BF"/>
          <w:sz w:val="22"/>
          <w:lang w:val="fr-FR"/>
        </w:rPr>
        <w:t xml:space="preserve">conjointe </w:t>
      </w:r>
      <w:r w:rsidR="00D22EAF">
        <w:rPr>
          <w:color w:val="404040" w:themeColor="text1" w:themeTint="BF"/>
          <w:sz w:val="22"/>
          <w:lang w:val="fr-FR"/>
        </w:rPr>
        <w:t>du plan national de développement 2012-2015. Les secteurs de concentration du 11</w:t>
      </w:r>
      <w:r w:rsidR="00D22EAF" w:rsidRPr="00D22EAF">
        <w:rPr>
          <w:color w:val="404040" w:themeColor="text1" w:themeTint="BF"/>
          <w:sz w:val="22"/>
          <w:vertAlign w:val="superscript"/>
          <w:lang w:val="fr-FR"/>
        </w:rPr>
        <w:t>ème</w:t>
      </w:r>
      <w:r w:rsidR="00D22EAF">
        <w:rPr>
          <w:color w:val="404040" w:themeColor="text1" w:themeTint="BF"/>
          <w:sz w:val="22"/>
          <w:lang w:val="fr-FR"/>
        </w:rPr>
        <w:t xml:space="preserve"> FED et les secteurs de financement du C2D (2012-2015) ont été étroitement définis en parallèle en intégrant des secteurs de concentration communs et le partage des tâches.</w:t>
      </w:r>
      <w:r w:rsidR="000B2BD1">
        <w:rPr>
          <w:color w:val="404040" w:themeColor="text1" w:themeTint="BF"/>
          <w:sz w:val="22"/>
          <w:lang w:val="fr-FR"/>
        </w:rPr>
        <w:t xml:space="preserve"> Le résultat est probant.</w:t>
      </w:r>
    </w:p>
    <w:p w:rsidR="000B2BD1" w:rsidRDefault="000B2BD1" w:rsidP="00C36C3E">
      <w:pPr>
        <w:spacing w:after="0"/>
        <w:ind w:left="720"/>
        <w:jc w:val="both"/>
        <w:rPr>
          <w:color w:val="404040" w:themeColor="text1" w:themeTint="BF"/>
          <w:sz w:val="22"/>
          <w:lang w:val="fr-FR"/>
        </w:rPr>
      </w:pPr>
    </w:p>
    <w:p w:rsidR="000B2BD1" w:rsidRPr="006A2C42" w:rsidRDefault="000B2BD1" w:rsidP="00C36C3E">
      <w:pPr>
        <w:spacing w:after="0"/>
        <w:ind w:left="720"/>
        <w:jc w:val="both"/>
        <w:rPr>
          <w:color w:val="404040" w:themeColor="text1" w:themeTint="BF"/>
          <w:sz w:val="22"/>
          <w:lang w:val="fr-FR"/>
        </w:rPr>
      </w:pPr>
      <w:r>
        <w:rPr>
          <w:color w:val="404040" w:themeColor="text1" w:themeTint="BF"/>
          <w:sz w:val="22"/>
          <w:lang w:val="fr-FR"/>
        </w:rPr>
        <w:t>Les programmations n'ont pas fait l'objet d'un document unique. Il n'y a pas eu de leadership gouvernemental affirmé sur l'exercice de programmation parallèle.</w:t>
      </w:r>
    </w:p>
    <w:p w:rsidR="00913589" w:rsidRPr="00F60271" w:rsidRDefault="00913589" w:rsidP="00C36C3E">
      <w:pPr>
        <w:pStyle w:val="Paragraphedeliste"/>
        <w:spacing w:after="0"/>
        <w:jc w:val="both"/>
        <w:rPr>
          <w:color w:val="404040" w:themeColor="text1" w:themeTint="BF"/>
          <w:sz w:val="22"/>
          <w:lang w:val="fr-FR"/>
        </w:rPr>
      </w:pPr>
    </w:p>
    <w:p w:rsidR="00810B71" w:rsidRPr="00F60271" w:rsidRDefault="00810B71" w:rsidP="00C36C3E">
      <w:pPr>
        <w:pStyle w:val="Paragraphedeliste"/>
        <w:spacing w:after="0"/>
        <w:jc w:val="both"/>
        <w:rPr>
          <w:color w:val="404040" w:themeColor="text1" w:themeTint="BF"/>
          <w:sz w:val="22"/>
          <w:lang w:val="fr-FR"/>
        </w:rPr>
      </w:pPr>
    </w:p>
    <w:p w:rsidR="005531B5" w:rsidRPr="00F60271" w:rsidRDefault="00F60271" w:rsidP="00C36C3E">
      <w:pPr>
        <w:pStyle w:val="Paragraphedeliste"/>
        <w:numPr>
          <w:ilvl w:val="0"/>
          <w:numId w:val="2"/>
        </w:numPr>
        <w:spacing w:after="0"/>
        <w:jc w:val="both"/>
        <w:rPr>
          <w:color w:val="404040" w:themeColor="text1" w:themeTint="BF"/>
          <w:sz w:val="22"/>
          <w:lang w:val="fr-FR"/>
        </w:rPr>
      </w:pPr>
      <w:r w:rsidRPr="00F60271">
        <w:rPr>
          <w:color w:val="404040" w:themeColor="text1" w:themeTint="BF"/>
          <w:sz w:val="22"/>
          <w:lang w:val="fr-FR"/>
        </w:rPr>
        <w:t>Défis qui ont été surmontés</w:t>
      </w:r>
      <w:r>
        <w:rPr>
          <w:color w:val="404040" w:themeColor="text1" w:themeTint="BF"/>
          <w:sz w:val="22"/>
          <w:lang w:val="fr-FR"/>
        </w:rPr>
        <w:t> :</w:t>
      </w:r>
    </w:p>
    <w:p w:rsidR="00810B71" w:rsidRDefault="00810B71" w:rsidP="00C36C3E">
      <w:pPr>
        <w:spacing w:after="0"/>
        <w:jc w:val="both"/>
        <w:rPr>
          <w:color w:val="404040" w:themeColor="text1" w:themeTint="BF"/>
          <w:sz w:val="22"/>
          <w:lang w:val="fr-FR"/>
        </w:rPr>
      </w:pPr>
    </w:p>
    <w:p w:rsidR="00D22EAF" w:rsidRDefault="000B2BD1" w:rsidP="00C36C3E">
      <w:pPr>
        <w:spacing w:after="0"/>
        <w:ind w:left="720"/>
        <w:jc w:val="both"/>
        <w:rPr>
          <w:color w:val="404040" w:themeColor="text1" w:themeTint="BF"/>
          <w:sz w:val="22"/>
          <w:lang w:val="fr-FR"/>
        </w:rPr>
      </w:pPr>
      <w:r>
        <w:rPr>
          <w:color w:val="404040" w:themeColor="text1" w:themeTint="BF"/>
          <w:sz w:val="22"/>
          <w:lang w:val="fr-FR"/>
        </w:rPr>
        <w:t>Pas de défis particuliers. La cohérence de la programmation s'est mise en place au travers de plusieurs réunions et d'un travail continu des services.</w:t>
      </w:r>
      <w:r w:rsidR="00D22EAF">
        <w:rPr>
          <w:color w:val="404040" w:themeColor="text1" w:themeTint="BF"/>
          <w:sz w:val="22"/>
          <w:lang w:val="fr-FR"/>
        </w:rPr>
        <w:t xml:space="preserve"> </w:t>
      </w:r>
    </w:p>
    <w:p w:rsidR="000B2BD1" w:rsidRDefault="000B2BD1" w:rsidP="00C36C3E">
      <w:pPr>
        <w:spacing w:after="0"/>
        <w:ind w:left="720"/>
        <w:jc w:val="both"/>
        <w:rPr>
          <w:color w:val="404040" w:themeColor="text1" w:themeTint="BF"/>
          <w:sz w:val="22"/>
          <w:lang w:val="fr-FR"/>
        </w:rPr>
      </w:pPr>
    </w:p>
    <w:p w:rsidR="000B2BD1" w:rsidRDefault="000B2BD1" w:rsidP="00C36C3E">
      <w:pPr>
        <w:spacing w:after="0"/>
        <w:ind w:left="720"/>
        <w:jc w:val="both"/>
        <w:rPr>
          <w:color w:val="404040" w:themeColor="text1" w:themeTint="BF"/>
          <w:sz w:val="22"/>
          <w:lang w:val="fr-FR"/>
        </w:rPr>
      </w:pPr>
      <w:r>
        <w:rPr>
          <w:color w:val="404040" w:themeColor="text1" w:themeTint="BF"/>
          <w:sz w:val="22"/>
          <w:lang w:val="fr-FR"/>
        </w:rPr>
        <w:t xml:space="preserve">La CdI n'a plus eu de mécanisme de coordination de l'aide depuis le début des crises en 1999. Il n'y a pas de mécanisme de coordination en place et surtout plus de "tradition" d'une coordination assurée par le gouvernement. Les partenaires au développement ont compensé avec une coordination interne, mais avec les limitations inhérentes au manque d'implication des ministères. </w:t>
      </w:r>
    </w:p>
    <w:p w:rsidR="000B2BD1" w:rsidRDefault="000B2BD1" w:rsidP="00C36C3E">
      <w:pPr>
        <w:spacing w:after="0"/>
        <w:ind w:left="720"/>
        <w:jc w:val="both"/>
        <w:rPr>
          <w:color w:val="404040" w:themeColor="text1" w:themeTint="BF"/>
          <w:sz w:val="22"/>
          <w:lang w:val="fr-FR"/>
        </w:rPr>
      </w:pPr>
    </w:p>
    <w:p w:rsidR="000B2BD1" w:rsidRDefault="000B2BD1" w:rsidP="00C36C3E">
      <w:pPr>
        <w:spacing w:after="0"/>
        <w:ind w:left="720"/>
        <w:jc w:val="both"/>
        <w:rPr>
          <w:color w:val="404040" w:themeColor="text1" w:themeTint="BF"/>
          <w:sz w:val="22"/>
          <w:lang w:val="fr-FR"/>
        </w:rPr>
      </w:pPr>
      <w:r>
        <w:rPr>
          <w:color w:val="404040" w:themeColor="text1" w:themeTint="BF"/>
          <w:sz w:val="22"/>
          <w:lang w:val="fr-FR"/>
        </w:rPr>
        <w:t>Cette situation de vide rend l'exercice de programmation conjointe moins naturel et plus complexe à initier.</w:t>
      </w:r>
    </w:p>
    <w:p w:rsidR="000B2BD1" w:rsidRPr="00F60271" w:rsidRDefault="000B2BD1" w:rsidP="00C36C3E">
      <w:pPr>
        <w:spacing w:after="0"/>
        <w:ind w:left="720"/>
        <w:jc w:val="both"/>
        <w:rPr>
          <w:color w:val="404040" w:themeColor="text1" w:themeTint="BF"/>
          <w:sz w:val="22"/>
          <w:lang w:val="fr-FR"/>
        </w:rPr>
      </w:pPr>
    </w:p>
    <w:p w:rsidR="00810B71" w:rsidRPr="00F60271" w:rsidRDefault="00810B71" w:rsidP="00C36C3E">
      <w:pPr>
        <w:spacing w:after="0"/>
        <w:jc w:val="both"/>
        <w:rPr>
          <w:color w:val="404040" w:themeColor="text1" w:themeTint="BF"/>
          <w:sz w:val="22"/>
          <w:lang w:val="fr-FR"/>
        </w:rPr>
      </w:pPr>
    </w:p>
    <w:p w:rsidR="00810B71" w:rsidRPr="00F60271" w:rsidRDefault="00F60271" w:rsidP="00C36C3E">
      <w:pPr>
        <w:pStyle w:val="Paragraphedeliste"/>
        <w:numPr>
          <w:ilvl w:val="0"/>
          <w:numId w:val="2"/>
        </w:numPr>
        <w:spacing w:after="0"/>
        <w:jc w:val="both"/>
        <w:rPr>
          <w:color w:val="404040" w:themeColor="text1" w:themeTint="BF"/>
          <w:sz w:val="22"/>
          <w:lang w:val="fr-FR"/>
        </w:rPr>
      </w:pPr>
      <w:r>
        <w:rPr>
          <w:color w:val="404040" w:themeColor="text1" w:themeTint="BF"/>
          <w:sz w:val="22"/>
          <w:lang w:val="fr-FR"/>
        </w:rPr>
        <w:t>Enseignements tirés :</w:t>
      </w:r>
    </w:p>
    <w:p w:rsidR="00810B71" w:rsidRPr="00F60271" w:rsidRDefault="00810B71" w:rsidP="00C36C3E">
      <w:pPr>
        <w:pStyle w:val="Paragraphedeliste"/>
        <w:spacing w:after="0"/>
        <w:jc w:val="both"/>
        <w:rPr>
          <w:color w:val="404040" w:themeColor="text1" w:themeTint="BF"/>
          <w:sz w:val="22"/>
          <w:lang w:val="fr-FR"/>
        </w:rPr>
      </w:pPr>
    </w:p>
    <w:p w:rsidR="00810B71" w:rsidRDefault="000B2BD1" w:rsidP="00C36C3E">
      <w:pPr>
        <w:pStyle w:val="Paragraphedeliste"/>
        <w:spacing w:after="0"/>
        <w:jc w:val="both"/>
        <w:rPr>
          <w:color w:val="404040" w:themeColor="text1" w:themeTint="BF"/>
          <w:sz w:val="22"/>
          <w:lang w:val="fr-FR"/>
        </w:rPr>
      </w:pPr>
      <w:r>
        <w:rPr>
          <w:color w:val="404040" w:themeColor="text1" w:themeTint="BF"/>
          <w:sz w:val="22"/>
          <w:lang w:val="fr-FR"/>
        </w:rPr>
        <w:t xml:space="preserve">L'importance pour le gouvernement de mettre en place un véritable mécanisme de coordination </w:t>
      </w:r>
      <w:r w:rsidR="00C36C3E">
        <w:rPr>
          <w:color w:val="404040" w:themeColor="text1" w:themeTint="BF"/>
          <w:sz w:val="22"/>
          <w:lang w:val="fr-FR"/>
        </w:rPr>
        <w:t>et de s'appuyer sur ce mécanisme pour piloter des exercices de programmation impliquant plusieurs partenaires.</w:t>
      </w:r>
    </w:p>
    <w:p w:rsidR="00C36C3E" w:rsidRDefault="00C36C3E" w:rsidP="00C36C3E">
      <w:pPr>
        <w:pStyle w:val="Paragraphedeliste"/>
        <w:spacing w:after="0"/>
        <w:jc w:val="both"/>
        <w:rPr>
          <w:color w:val="404040" w:themeColor="text1" w:themeTint="BF"/>
          <w:sz w:val="22"/>
          <w:lang w:val="fr-FR"/>
        </w:rPr>
      </w:pPr>
    </w:p>
    <w:p w:rsidR="00C36C3E" w:rsidRDefault="00C36C3E" w:rsidP="00C36C3E">
      <w:pPr>
        <w:pStyle w:val="Paragraphedeliste"/>
        <w:spacing w:after="0"/>
        <w:jc w:val="both"/>
        <w:rPr>
          <w:color w:val="404040" w:themeColor="text1" w:themeTint="BF"/>
          <w:sz w:val="22"/>
          <w:lang w:val="fr-FR"/>
        </w:rPr>
      </w:pPr>
      <w:r>
        <w:rPr>
          <w:color w:val="404040" w:themeColor="text1" w:themeTint="BF"/>
          <w:sz w:val="22"/>
          <w:lang w:val="fr-FR"/>
        </w:rPr>
        <w:t>La difficulté à concilier plusieurs cycles budgétaires différents en durée et en rythme.</w:t>
      </w:r>
    </w:p>
    <w:p w:rsidR="000B2BD1" w:rsidRDefault="000B2BD1" w:rsidP="00C36C3E">
      <w:pPr>
        <w:pStyle w:val="Paragraphedeliste"/>
        <w:spacing w:after="0"/>
        <w:jc w:val="both"/>
        <w:rPr>
          <w:color w:val="404040" w:themeColor="text1" w:themeTint="BF"/>
          <w:sz w:val="22"/>
          <w:lang w:val="fr-FR"/>
        </w:rPr>
      </w:pPr>
    </w:p>
    <w:p w:rsidR="000B2BD1" w:rsidRPr="00F60271" w:rsidRDefault="000B2BD1" w:rsidP="00C36C3E">
      <w:pPr>
        <w:pStyle w:val="Paragraphedeliste"/>
        <w:spacing w:after="0"/>
        <w:jc w:val="both"/>
        <w:rPr>
          <w:color w:val="404040" w:themeColor="text1" w:themeTint="BF"/>
          <w:sz w:val="22"/>
          <w:lang w:val="fr-FR"/>
        </w:rPr>
      </w:pPr>
    </w:p>
    <w:p w:rsidR="00810B71" w:rsidRPr="00F60271" w:rsidRDefault="00F60271" w:rsidP="00C36C3E">
      <w:pPr>
        <w:pStyle w:val="Paragraphedeliste"/>
        <w:numPr>
          <w:ilvl w:val="0"/>
          <w:numId w:val="2"/>
        </w:numPr>
        <w:spacing w:after="0"/>
        <w:jc w:val="both"/>
        <w:rPr>
          <w:color w:val="404040" w:themeColor="text1" w:themeTint="BF"/>
          <w:sz w:val="22"/>
          <w:lang w:val="fr-FR"/>
        </w:rPr>
      </w:pPr>
      <w:r w:rsidRPr="00F60271">
        <w:rPr>
          <w:color w:val="404040" w:themeColor="text1" w:themeTint="BF"/>
          <w:sz w:val="22"/>
          <w:lang w:val="fr-FR"/>
        </w:rPr>
        <w:t>Principaux défis à venir</w:t>
      </w:r>
      <w:r w:rsidR="00810B71" w:rsidRPr="00F60271">
        <w:rPr>
          <w:color w:val="404040" w:themeColor="text1" w:themeTint="BF"/>
          <w:sz w:val="22"/>
          <w:lang w:val="fr-FR"/>
        </w:rPr>
        <w:t xml:space="preserve"> </w:t>
      </w:r>
      <w:r w:rsidR="00810B71" w:rsidRPr="00F60271">
        <w:rPr>
          <w:i/>
          <w:color w:val="404040" w:themeColor="text1" w:themeTint="BF"/>
          <w:szCs w:val="18"/>
          <w:lang w:val="fr-FR"/>
        </w:rPr>
        <w:t>(</w:t>
      </w:r>
      <w:r w:rsidRPr="00F60271">
        <w:rPr>
          <w:i/>
          <w:color w:val="404040" w:themeColor="text1" w:themeTint="BF"/>
          <w:szCs w:val="18"/>
          <w:lang w:val="fr-FR"/>
        </w:rPr>
        <w:t>seront discutés dans le cadre des group</w:t>
      </w:r>
      <w:r>
        <w:rPr>
          <w:i/>
          <w:color w:val="404040" w:themeColor="text1" w:themeTint="BF"/>
          <w:szCs w:val="18"/>
          <w:lang w:val="fr-FR"/>
        </w:rPr>
        <w:t>e</w:t>
      </w:r>
      <w:r w:rsidR="00C42DA4">
        <w:rPr>
          <w:i/>
          <w:color w:val="404040" w:themeColor="text1" w:themeTint="BF"/>
          <w:szCs w:val="18"/>
          <w:lang w:val="fr-FR"/>
        </w:rPr>
        <w:t xml:space="preserve">s de </w:t>
      </w:r>
      <w:r w:rsidR="00CB25BE">
        <w:rPr>
          <w:i/>
          <w:color w:val="404040" w:themeColor="text1" w:themeTint="BF"/>
          <w:szCs w:val="18"/>
          <w:lang w:val="fr-FR"/>
        </w:rPr>
        <w:t>discussio</w:t>
      </w:r>
      <w:r w:rsidR="00CB25BE" w:rsidRPr="00F60271">
        <w:rPr>
          <w:i/>
          <w:color w:val="404040" w:themeColor="text1" w:themeTint="BF"/>
          <w:szCs w:val="18"/>
          <w:lang w:val="fr-FR"/>
        </w:rPr>
        <w:t>ns</w:t>
      </w:r>
      <w:r w:rsidRPr="00F60271">
        <w:rPr>
          <w:i/>
          <w:color w:val="404040" w:themeColor="text1" w:themeTint="BF"/>
          <w:szCs w:val="18"/>
          <w:lang w:val="fr-FR"/>
        </w:rPr>
        <w:t xml:space="preserve"> sous forme de tables rondes)</w:t>
      </w:r>
      <w:r w:rsidR="00810B71" w:rsidRPr="00F60271">
        <w:rPr>
          <w:color w:val="404040" w:themeColor="text1" w:themeTint="BF"/>
          <w:sz w:val="22"/>
          <w:lang w:val="fr-FR"/>
        </w:rPr>
        <w:t>:</w:t>
      </w:r>
    </w:p>
    <w:p w:rsidR="00C41FFD" w:rsidRPr="00F60271" w:rsidRDefault="00C41FFD" w:rsidP="00C36C3E">
      <w:pPr>
        <w:pStyle w:val="Paragraphedeliste"/>
        <w:spacing w:after="0"/>
        <w:jc w:val="both"/>
        <w:rPr>
          <w:color w:val="404040" w:themeColor="text1" w:themeTint="BF"/>
          <w:sz w:val="22"/>
          <w:lang w:val="fr-FR"/>
        </w:rPr>
      </w:pPr>
    </w:p>
    <w:p w:rsidR="005531B5" w:rsidRPr="00F60271" w:rsidRDefault="005531B5" w:rsidP="00C36C3E">
      <w:pPr>
        <w:spacing w:after="0"/>
        <w:jc w:val="both"/>
        <w:rPr>
          <w:color w:val="404040" w:themeColor="text1" w:themeTint="BF"/>
          <w:sz w:val="22"/>
          <w:lang w:val="fr-FR"/>
        </w:rPr>
      </w:pPr>
    </w:p>
    <w:p w:rsidR="005531B5" w:rsidRPr="0070540B" w:rsidRDefault="00F60271" w:rsidP="00C36C3E">
      <w:pPr>
        <w:pStyle w:val="Paragraphedeliste"/>
        <w:numPr>
          <w:ilvl w:val="0"/>
          <w:numId w:val="2"/>
        </w:numPr>
        <w:spacing w:after="0"/>
        <w:jc w:val="both"/>
        <w:rPr>
          <w:color w:val="404040" w:themeColor="text1" w:themeTint="BF"/>
          <w:sz w:val="20"/>
          <w:szCs w:val="20"/>
          <w:lang w:val="fr-FR"/>
        </w:rPr>
      </w:pPr>
      <w:r w:rsidRPr="00F60271">
        <w:rPr>
          <w:color w:val="404040" w:themeColor="text1" w:themeTint="BF"/>
          <w:sz w:val="22"/>
          <w:lang w:val="fr-FR"/>
        </w:rPr>
        <w:t>Eléments</w:t>
      </w:r>
      <w:r w:rsidR="005531B5" w:rsidRPr="00F60271">
        <w:rPr>
          <w:color w:val="404040" w:themeColor="text1" w:themeTint="BF"/>
          <w:sz w:val="22"/>
          <w:lang w:val="fr-FR"/>
        </w:rPr>
        <w:t xml:space="preserve"> </w:t>
      </w:r>
      <w:r>
        <w:rPr>
          <w:color w:val="404040" w:themeColor="text1" w:themeTint="BF"/>
          <w:sz w:val="22"/>
          <w:lang w:val="fr-FR"/>
        </w:rPr>
        <w:t xml:space="preserve">pour les prochaines étapes de la programmation conjointe </w:t>
      </w:r>
      <w:r w:rsidR="005531B5" w:rsidRPr="00F60271">
        <w:rPr>
          <w:i/>
          <w:color w:val="404040" w:themeColor="text1" w:themeTint="BF"/>
          <w:szCs w:val="18"/>
          <w:lang w:val="fr-FR"/>
        </w:rPr>
        <w:t>(</w:t>
      </w:r>
      <w:r>
        <w:rPr>
          <w:i/>
          <w:color w:val="404040" w:themeColor="text1" w:themeTint="BF"/>
          <w:szCs w:val="18"/>
          <w:lang w:val="fr-FR"/>
        </w:rPr>
        <w:t xml:space="preserve">point de </w:t>
      </w:r>
      <w:r w:rsidRPr="0070540B">
        <w:rPr>
          <w:color w:val="404040" w:themeColor="text1" w:themeTint="BF"/>
          <w:sz w:val="20"/>
          <w:szCs w:val="20"/>
          <w:lang w:val="fr-FR"/>
        </w:rPr>
        <w:t>départ pour la session « que retenir de ce séminaire »</w:t>
      </w:r>
      <w:r w:rsidR="005531B5" w:rsidRPr="0070540B">
        <w:rPr>
          <w:color w:val="404040" w:themeColor="text1" w:themeTint="BF"/>
          <w:sz w:val="20"/>
          <w:szCs w:val="20"/>
          <w:lang w:val="fr-FR"/>
        </w:rPr>
        <w:t>):</w:t>
      </w:r>
    </w:p>
    <w:p w:rsidR="0070540B" w:rsidRPr="0070540B" w:rsidRDefault="0070540B" w:rsidP="0070540B">
      <w:pPr>
        <w:pStyle w:val="Paragraphedeliste"/>
        <w:spacing w:after="0"/>
        <w:jc w:val="both"/>
        <w:rPr>
          <w:color w:val="404040" w:themeColor="text1" w:themeTint="BF"/>
          <w:sz w:val="20"/>
          <w:szCs w:val="20"/>
          <w:lang w:val="fr-FR"/>
        </w:rPr>
      </w:pPr>
      <w:r w:rsidRPr="0070540B">
        <w:rPr>
          <w:color w:val="404040" w:themeColor="text1" w:themeTint="BF"/>
          <w:sz w:val="20"/>
          <w:szCs w:val="20"/>
          <w:lang w:val="fr-FR"/>
        </w:rPr>
        <w:t xml:space="preserve">Deux aspects : </w:t>
      </w:r>
    </w:p>
    <w:p w:rsidR="0070540B" w:rsidRPr="0070540B" w:rsidRDefault="0070540B" w:rsidP="0070540B">
      <w:pPr>
        <w:pStyle w:val="Paragraphedeliste"/>
        <w:spacing w:after="0"/>
        <w:jc w:val="both"/>
        <w:rPr>
          <w:color w:val="404040" w:themeColor="text1" w:themeTint="BF"/>
          <w:sz w:val="20"/>
          <w:szCs w:val="20"/>
          <w:lang w:val="fr-FR"/>
        </w:rPr>
      </w:pPr>
      <w:r w:rsidRPr="0070540B">
        <w:rPr>
          <w:color w:val="404040" w:themeColor="text1" w:themeTint="BF"/>
          <w:sz w:val="20"/>
          <w:szCs w:val="20"/>
          <w:lang w:val="fr-FR"/>
        </w:rPr>
        <w:t>Se mettre d’accord sur l’analyse de l’état actuel de la Côte d’ivoire entre DUE et états membres (cela ne devrait pas poser de problème)</w:t>
      </w:r>
    </w:p>
    <w:p w:rsidR="0070540B" w:rsidRPr="0070540B" w:rsidRDefault="0070540B" w:rsidP="0070540B">
      <w:pPr>
        <w:pStyle w:val="Paragraphedeliste"/>
        <w:spacing w:after="0"/>
        <w:jc w:val="both"/>
        <w:rPr>
          <w:color w:val="404040" w:themeColor="text1" w:themeTint="BF"/>
          <w:sz w:val="20"/>
          <w:szCs w:val="20"/>
          <w:lang w:val="fr-FR"/>
        </w:rPr>
      </w:pPr>
      <w:r w:rsidRPr="0070540B">
        <w:rPr>
          <w:color w:val="404040" w:themeColor="text1" w:themeTint="BF"/>
          <w:sz w:val="20"/>
          <w:szCs w:val="20"/>
          <w:lang w:val="fr-FR"/>
        </w:rPr>
        <w:t xml:space="preserve">A partir de la coordination des chefs de coopération et du travail des groupes sectoriels, commencer à bâtir une stratégie de </w:t>
      </w:r>
      <w:r>
        <w:rPr>
          <w:color w:val="404040" w:themeColor="text1" w:themeTint="BF"/>
          <w:sz w:val="20"/>
          <w:szCs w:val="20"/>
          <w:lang w:val="fr-FR"/>
        </w:rPr>
        <w:t>division du travail entre européen.</w:t>
      </w:r>
    </w:p>
    <w:sectPr w:rsidR="0070540B" w:rsidRPr="00705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E6E50"/>
    <w:multiLevelType w:val="hybridMultilevel"/>
    <w:tmpl w:val="624C9B98"/>
    <w:lvl w:ilvl="0" w:tplc="B0A6789C">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1900094"/>
    <w:multiLevelType w:val="hybridMultilevel"/>
    <w:tmpl w:val="B1302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431B1"/>
    <w:rsid w:val="000B2BD1"/>
    <w:rsid w:val="001054D4"/>
    <w:rsid w:val="00273CE4"/>
    <w:rsid w:val="002A4647"/>
    <w:rsid w:val="002D3AE4"/>
    <w:rsid w:val="002D68E8"/>
    <w:rsid w:val="003431B1"/>
    <w:rsid w:val="005531B5"/>
    <w:rsid w:val="005B02D2"/>
    <w:rsid w:val="005B08A2"/>
    <w:rsid w:val="006A2C42"/>
    <w:rsid w:val="0070540B"/>
    <w:rsid w:val="00810B71"/>
    <w:rsid w:val="00913589"/>
    <w:rsid w:val="00A02EE3"/>
    <w:rsid w:val="00A047EB"/>
    <w:rsid w:val="00B17E17"/>
    <w:rsid w:val="00B7030D"/>
    <w:rsid w:val="00C36C3E"/>
    <w:rsid w:val="00C41FFD"/>
    <w:rsid w:val="00C42DA4"/>
    <w:rsid w:val="00CB25BE"/>
    <w:rsid w:val="00CF1938"/>
    <w:rsid w:val="00D22EAF"/>
    <w:rsid w:val="00D309B7"/>
    <w:rsid w:val="00DC5321"/>
    <w:rsid w:val="00E30E3A"/>
    <w:rsid w:val="00F60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3589"/>
    <w:pPr>
      <w:ind w:left="720"/>
      <w:contextualSpacing/>
    </w:pPr>
  </w:style>
  <w:style w:type="character" w:styleId="Lienhypertexte">
    <w:name w:val="Hyperlink"/>
    <w:basedOn w:val="Policepardfaut"/>
    <w:uiPriority w:val="99"/>
    <w:unhideWhenUsed/>
    <w:rsid w:val="00C41F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3589"/>
    <w:pPr>
      <w:ind w:left="720"/>
      <w:contextualSpacing/>
    </w:pPr>
  </w:style>
  <w:style w:type="character" w:styleId="Lienhypertexte">
    <w:name w:val="Hyperlink"/>
    <w:basedOn w:val="Policepardfaut"/>
    <w:uiPriority w:val="99"/>
    <w:unhideWhenUsed/>
    <w:rsid w:val="00C41F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15AD9-861F-45EE-AF1B-8A37A3F8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531</Words>
  <Characters>3029</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Ministerie van Buitenlandse Zaken</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ASII-VVO</dc:creator>
  <cp:lastModifiedBy>POZZI Bruno (EEAS-ABIDJAN)</cp:lastModifiedBy>
  <cp:revision>3</cp:revision>
  <dcterms:created xsi:type="dcterms:W3CDTF">2014-05-22T13:15:00Z</dcterms:created>
  <dcterms:modified xsi:type="dcterms:W3CDTF">2014-05-22T13:16:00Z</dcterms:modified>
</cp:coreProperties>
</file>