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8B5AD" w14:textId="3478A47E" w:rsidR="003331FE" w:rsidRPr="003331FE" w:rsidRDefault="00911A66" w:rsidP="003331FE">
      <w:pPr>
        <w:jc w:val="center"/>
        <w:rPr>
          <w:rFonts w:cs="Arial"/>
          <w:b/>
          <w:bCs/>
          <w:sz w:val="28"/>
          <w:szCs w:val="22"/>
        </w:rPr>
      </w:pPr>
      <w:bookmarkStart w:id="0" w:name="_Toc301352241"/>
      <w:bookmarkStart w:id="1" w:name="_Toc434503075"/>
      <w:r>
        <w:rPr>
          <w:rFonts w:cs="Arial"/>
          <w:b/>
          <w:bCs/>
          <w:sz w:val="28"/>
          <w:szCs w:val="22"/>
        </w:rPr>
        <w:t>Session 6</w:t>
      </w:r>
      <w:r w:rsidR="003331FE">
        <w:rPr>
          <w:rFonts w:cs="Arial"/>
          <w:b/>
          <w:bCs/>
          <w:sz w:val="28"/>
          <w:szCs w:val="22"/>
        </w:rPr>
        <w:t xml:space="preserve">: </w:t>
      </w:r>
      <w:r w:rsidR="003331FE" w:rsidRPr="00DA6E47">
        <w:rPr>
          <w:rFonts w:cs="Arial"/>
          <w:b/>
          <w:bCs/>
          <w:sz w:val="28"/>
          <w:szCs w:val="22"/>
        </w:rPr>
        <w:t>Case Study</w:t>
      </w:r>
      <w:r w:rsidR="003331FE" w:rsidRPr="00DA6E47">
        <w:rPr>
          <w:rFonts w:cs="Arial"/>
          <w:b/>
          <w:sz w:val="28"/>
          <w:szCs w:val="22"/>
        </w:rPr>
        <w:t xml:space="preserve"> on </w:t>
      </w:r>
      <w:r w:rsidR="003331FE">
        <w:rPr>
          <w:rFonts w:cs="Arial"/>
          <w:b/>
          <w:bCs/>
          <w:sz w:val="28"/>
          <w:szCs w:val="22"/>
        </w:rPr>
        <w:t>Interpreting a draft a</w:t>
      </w:r>
      <w:r w:rsidR="003331FE" w:rsidRPr="00DA6E47">
        <w:rPr>
          <w:rFonts w:cs="Arial"/>
          <w:b/>
          <w:bCs/>
          <w:sz w:val="28"/>
          <w:szCs w:val="22"/>
        </w:rPr>
        <w:t>ssessment</w:t>
      </w:r>
    </w:p>
    <w:p w14:paraId="508E9E3D" w14:textId="77777777" w:rsidR="003331FE" w:rsidRDefault="003331FE" w:rsidP="003331FE">
      <w:pPr>
        <w:autoSpaceDE w:val="0"/>
        <w:autoSpaceDN w:val="0"/>
        <w:adjustRightInd w:val="0"/>
        <w:rPr>
          <w:rFonts w:cs="Arial"/>
          <w:sz w:val="22"/>
          <w:szCs w:val="22"/>
        </w:rPr>
      </w:pPr>
    </w:p>
    <w:p w14:paraId="0BAE4A1F" w14:textId="77777777" w:rsidR="003331FE" w:rsidRDefault="003331FE" w:rsidP="003331FE">
      <w:pPr>
        <w:autoSpaceDE w:val="0"/>
        <w:autoSpaceDN w:val="0"/>
        <w:adjustRightInd w:val="0"/>
        <w:rPr>
          <w:rFonts w:cs="Arial"/>
          <w:sz w:val="22"/>
          <w:szCs w:val="22"/>
        </w:rPr>
      </w:pPr>
    </w:p>
    <w:p w14:paraId="4DD336ED" w14:textId="385E50D8" w:rsidR="003331FE" w:rsidRDefault="003331FE" w:rsidP="003331FE">
      <w:pPr>
        <w:autoSpaceDE w:val="0"/>
        <w:autoSpaceDN w:val="0"/>
        <w:adjustRightInd w:val="0"/>
        <w:jc w:val="both"/>
        <w:rPr>
          <w:rFonts w:cs="Arial"/>
          <w:sz w:val="22"/>
          <w:szCs w:val="22"/>
        </w:rPr>
      </w:pPr>
      <w:r w:rsidRPr="00DA6E47">
        <w:rPr>
          <w:rFonts w:cs="Arial"/>
          <w:sz w:val="22"/>
          <w:szCs w:val="22"/>
        </w:rPr>
        <w:t xml:space="preserve">The </w:t>
      </w:r>
      <w:r>
        <w:rPr>
          <w:rFonts w:cs="Arial"/>
          <w:sz w:val="22"/>
          <w:szCs w:val="22"/>
        </w:rPr>
        <w:t>‘Integrated a</w:t>
      </w:r>
      <w:r w:rsidRPr="00DA6E47">
        <w:rPr>
          <w:rFonts w:cs="Arial"/>
          <w:sz w:val="22"/>
          <w:szCs w:val="22"/>
        </w:rPr>
        <w:t xml:space="preserve">ssessment </w:t>
      </w:r>
      <w:r>
        <w:rPr>
          <w:rFonts w:cs="Arial"/>
          <w:sz w:val="22"/>
          <w:szCs w:val="22"/>
        </w:rPr>
        <w:t>across indicators’ (Section 4.1) from a draft PEFA report</w:t>
      </w:r>
      <w:r w:rsidRPr="00DA6E47">
        <w:rPr>
          <w:rFonts w:cs="Arial"/>
          <w:sz w:val="22"/>
          <w:szCs w:val="22"/>
        </w:rPr>
        <w:t xml:space="preserve"> </w:t>
      </w:r>
      <w:r>
        <w:rPr>
          <w:rFonts w:cs="Arial"/>
          <w:sz w:val="22"/>
          <w:szCs w:val="22"/>
        </w:rPr>
        <w:t xml:space="preserve">is set out below.  </w:t>
      </w:r>
      <w:r w:rsidRPr="003331FE">
        <w:rPr>
          <w:rFonts w:cs="Arial"/>
          <w:b/>
          <w:sz w:val="22"/>
          <w:szCs w:val="22"/>
        </w:rPr>
        <w:t>You are r</w:t>
      </w:r>
      <w:r w:rsidRPr="003331FE">
        <w:rPr>
          <w:rFonts w:cs="Arial"/>
          <w:b/>
          <w:bCs/>
          <w:sz w:val="22"/>
          <w:szCs w:val="22"/>
        </w:rPr>
        <w:t>equired</w:t>
      </w:r>
      <w:r w:rsidRPr="003331FE">
        <w:rPr>
          <w:rFonts w:cs="Arial"/>
          <w:bCs/>
          <w:sz w:val="22"/>
          <w:szCs w:val="22"/>
        </w:rPr>
        <w:t xml:space="preserve"> to</w:t>
      </w:r>
      <w:r>
        <w:rPr>
          <w:rFonts w:cs="Arial"/>
          <w:b/>
          <w:bCs/>
          <w:sz w:val="22"/>
          <w:szCs w:val="22"/>
        </w:rPr>
        <w:t xml:space="preserve"> </w:t>
      </w:r>
      <w:r>
        <w:rPr>
          <w:rFonts w:cs="Arial"/>
          <w:sz w:val="22"/>
          <w:szCs w:val="22"/>
        </w:rPr>
        <w:t>c</w:t>
      </w:r>
      <w:r w:rsidRPr="00DA6E47">
        <w:rPr>
          <w:rFonts w:cs="Arial"/>
          <w:sz w:val="22"/>
          <w:szCs w:val="22"/>
        </w:rPr>
        <w:t>omment on the impact of the strengths and weaknesses revealed in the indicator assessment on (</w:t>
      </w:r>
      <w:proofErr w:type="spellStart"/>
      <w:r w:rsidRPr="00DA6E47">
        <w:rPr>
          <w:rFonts w:cs="Arial"/>
          <w:sz w:val="22"/>
          <w:szCs w:val="22"/>
        </w:rPr>
        <w:t>i</w:t>
      </w:r>
      <w:proofErr w:type="spellEnd"/>
      <w:r w:rsidRPr="00DA6E47">
        <w:rPr>
          <w:rFonts w:cs="Arial"/>
          <w:sz w:val="22"/>
          <w:szCs w:val="22"/>
        </w:rPr>
        <w:t>) aggregate fiscal discipline, (ii) strategic allocation of resources, and (</w:t>
      </w:r>
      <w:r>
        <w:rPr>
          <w:rFonts w:cs="Arial"/>
          <w:sz w:val="22"/>
          <w:szCs w:val="22"/>
        </w:rPr>
        <w:t>iii) efficient service delivery.</w:t>
      </w:r>
      <w:r w:rsidRPr="00DA6E47">
        <w:rPr>
          <w:rFonts w:cs="Arial"/>
          <w:sz w:val="22"/>
          <w:szCs w:val="22"/>
        </w:rPr>
        <w:t xml:space="preserve"> </w:t>
      </w:r>
    </w:p>
    <w:p w14:paraId="3AC281CB" w14:textId="77777777" w:rsidR="003331FE" w:rsidRDefault="003331FE" w:rsidP="003331FE">
      <w:pPr>
        <w:autoSpaceDE w:val="0"/>
        <w:autoSpaceDN w:val="0"/>
        <w:adjustRightInd w:val="0"/>
        <w:jc w:val="both"/>
        <w:rPr>
          <w:rFonts w:cs="Arial"/>
          <w:sz w:val="22"/>
          <w:szCs w:val="22"/>
        </w:rPr>
      </w:pPr>
    </w:p>
    <w:p w14:paraId="164680B7" w14:textId="77777777" w:rsidR="003331FE" w:rsidRDefault="003331FE" w:rsidP="00C556B8">
      <w:pPr>
        <w:pStyle w:val="Heading3"/>
        <w:ind w:left="0"/>
      </w:pPr>
    </w:p>
    <w:p w14:paraId="5703EA50" w14:textId="600C21FC" w:rsidR="00C556B8" w:rsidRDefault="002D5916" w:rsidP="00C556B8">
      <w:pPr>
        <w:pStyle w:val="Heading3"/>
        <w:ind w:left="0"/>
      </w:pPr>
      <w:r>
        <w:t>B</w:t>
      </w:r>
      <w:r w:rsidR="00C556B8" w:rsidRPr="00564135">
        <w:t>udget</w:t>
      </w:r>
      <w:bookmarkEnd w:id="0"/>
      <w:bookmarkEnd w:id="1"/>
      <w:r>
        <w:t xml:space="preserve"> reliability</w:t>
      </w:r>
    </w:p>
    <w:tbl>
      <w:tblPr>
        <w:tblStyle w:val="TabelEcorys2"/>
        <w:tblW w:w="5000" w:type="pct"/>
        <w:tblInd w:w="0" w:type="dxa"/>
        <w:tblBorders>
          <w:top w:val="single" w:sz="4" w:space="0" w:color="006DB6"/>
          <w:left w:val="single" w:sz="4" w:space="0" w:color="006DB6"/>
          <w:bottom w:val="single" w:sz="4" w:space="0" w:color="006DB6"/>
          <w:right w:val="single" w:sz="4" w:space="0" w:color="006DB6"/>
          <w:insideH w:val="single" w:sz="6" w:space="0" w:color="006DB6"/>
          <w:insideV w:val="single" w:sz="6" w:space="0" w:color="006DB6"/>
        </w:tblBorders>
        <w:tblLook w:val="01E0" w:firstRow="1" w:lastRow="1" w:firstColumn="1" w:lastColumn="1" w:noHBand="0" w:noVBand="0"/>
      </w:tblPr>
      <w:tblGrid>
        <w:gridCol w:w="687"/>
        <w:gridCol w:w="5685"/>
        <w:gridCol w:w="422"/>
        <w:gridCol w:w="422"/>
        <w:gridCol w:w="429"/>
        <w:gridCol w:w="378"/>
        <w:gridCol w:w="987"/>
      </w:tblGrid>
      <w:tr w:rsidR="00796BD9" w:rsidRPr="00595782" w14:paraId="6BCAA5A4" w14:textId="77777777" w:rsidTr="00796BD9">
        <w:trPr>
          <w:tblHeader/>
        </w:trPr>
        <w:tc>
          <w:tcPr>
            <w:tcW w:w="3536" w:type="pct"/>
            <w:gridSpan w:val="2"/>
            <w:vMerge w:val="restart"/>
            <w:tcBorders>
              <w:top w:val="single" w:sz="4" w:space="0" w:color="006DB6"/>
              <w:bottom w:val="single" w:sz="4" w:space="0" w:color="FFFFFF" w:themeColor="background1"/>
              <w:right w:val="single" w:sz="4" w:space="0" w:color="FFFFFF" w:themeColor="background1"/>
            </w:tcBorders>
            <w:shd w:val="clear" w:color="auto" w:fill="006DB6"/>
            <w:tcMar>
              <w:top w:w="14" w:type="dxa"/>
            </w:tcMar>
            <w:vAlign w:val="center"/>
          </w:tcPr>
          <w:p w14:paraId="4C40D501" w14:textId="5D94C6D1" w:rsidR="00796BD9" w:rsidRPr="00595782" w:rsidRDefault="00796BD9" w:rsidP="002D5916">
            <w:pPr>
              <w:rPr>
                <w:rFonts w:cs="Arial"/>
                <w:b/>
                <w:color w:val="FFFFFF"/>
                <w:sz w:val="16"/>
                <w:szCs w:val="16"/>
                <w:lang w:eastAsia="en-US"/>
              </w:rPr>
            </w:pPr>
            <w:r w:rsidRPr="00796BD9">
              <w:rPr>
                <w:rFonts w:cs="Arial"/>
                <w:b/>
                <w:iCs/>
                <w:color w:val="FFFFFF" w:themeColor="background1"/>
                <w:sz w:val="20"/>
                <w:szCs w:val="16"/>
                <w:lang w:eastAsia="en-US"/>
              </w:rPr>
              <w:t>Pillar I:</w:t>
            </w:r>
            <w:r>
              <w:rPr>
                <w:rFonts w:cs="Arial"/>
                <w:b/>
                <w:iCs/>
                <w:color w:val="FFFFFF" w:themeColor="background1"/>
                <w:sz w:val="20"/>
                <w:szCs w:val="16"/>
                <w:lang w:eastAsia="en-US"/>
              </w:rPr>
              <w:t xml:space="preserve"> </w:t>
            </w:r>
            <w:r w:rsidR="002D5916">
              <w:rPr>
                <w:rFonts w:cs="Arial"/>
                <w:b/>
                <w:iCs/>
                <w:color w:val="FFFFFF" w:themeColor="background1"/>
                <w:sz w:val="20"/>
                <w:szCs w:val="16"/>
                <w:lang w:eastAsia="en-US"/>
              </w:rPr>
              <w:t>B</w:t>
            </w:r>
            <w:r w:rsidRPr="00796BD9">
              <w:rPr>
                <w:rFonts w:cs="Arial"/>
                <w:b/>
                <w:iCs/>
                <w:color w:val="FFFFFF" w:themeColor="background1"/>
                <w:sz w:val="20"/>
                <w:szCs w:val="16"/>
                <w:lang w:eastAsia="en-US"/>
              </w:rPr>
              <w:t xml:space="preserve">udget </w:t>
            </w:r>
            <w:r w:rsidR="002D5916">
              <w:rPr>
                <w:rFonts w:cs="Arial"/>
                <w:b/>
                <w:iCs/>
                <w:color w:val="FFFFFF" w:themeColor="background1"/>
                <w:sz w:val="20"/>
                <w:szCs w:val="16"/>
                <w:lang w:eastAsia="en-US"/>
              </w:rPr>
              <w:t>reliability</w:t>
            </w:r>
          </w:p>
        </w:tc>
        <w:tc>
          <w:tcPr>
            <w:tcW w:w="916" w:type="pct"/>
            <w:gridSpan w:val="4"/>
            <w:tcBorders>
              <w:top w:val="single" w:sz="4" w:space="0" w:color="006DB6"/>
              <w:left w:val="single" w:sz="4" w:space="0" w:color="FFFFFF" w:themeColor="background1"/>
              <w:bottom w:val="single" w:sz="4" w:space="0" w:color="FFFFFF" w:themeColor="background1"/>
              <w:right w:val="single" w:sz="4" w:space="0" w:color="FFFFFF" w:themeColor="background1"/>
            </w:tcBorders>
            <w:shd w:val="clear" w:color="auto" w:fill="006DB6"/>
            <w:tcMar>
              <w:top w:w="14" w:type="dxa"/>
            </w:tcMar>
            <w:vAlign w:val="center"/>
          </w:tcPr>
          <w:p w14:paraId="6E386E50" w14:textId="77777777" w:rsidR="00796BD9" w:rsidRPr="00595782" w:rsidRDefault="00796BD9" w:rsidP="00DD2511">
            <w:pPr>
              <w:jc w:val="center"/>
              <w:rPr>
                <w:rFonts w:cs="Arial"/>
                <w:b/>
                <w:color w:val="FFFFFF"/>
                <w:spacing w:val="-14"/>
                <w:sz w:val="16"/>
                <w:szCs w:val="16"/>
                <w:lang w:eastAsia="en-US"/>
              </w:rPr>
            </w:pPr>
            <w:r w:rsidRPr="00595782">
              <w:rPr>
                <w:rFonts w:cs="Arial"/>
                <w:b/>
                <w:color w:val="FFFFFF"/>
                <w:spacing w:val="-14"/>
                <w:sz w:val="16"/>
                <w:szCs w:val="16"/>
                <w:lang w:eastAsia="en-US"/>
              </w:rPr>
              <w:t>Dimension Ratings</w:t>
            </w:r>
          </w:p>
        </w:tc>
        <w:tc>
          <w:tcPr>
            <w:tcW w:w="548" w:type="pct"/>
            <w:vMerge w:val="restart"/>
            <w:tcBorders>
              <w:top w:val="single" w:sz="4" w:space="0" w:color="006DB6"/>
              <w:left w:val="single" w:sz="4" w:space="0" w:color="FFFFFF" w:themeColor="background1"/>
              <w:bottom w:val="single" w:sz="4" w:space="0" w:color="FFFFFF" w:themeColor="background1"/>
            </w:tcBorders>
            <w:shd w:val="clear" w:color="auto" w:fill="006DB6"/>
            <w:tcMar>
              <w:top w:w="14" w:type="dxa"/>
            </w:tcMar>
            <w:vAlign w:val="center"/>
          </w:tcPr>
          <w:p w14:paraId="05ECE2EF" w14:textId="77777777" w:rsidR="00796BD9" w:rsidRPr="00595782" w:rsidRDefault="00796BD9" w:rsidP="00DD2511">
            <w:pPr>
              <w:rPr>
                <w:rFonts w:cs="Arial"/>
                <w:b/>
                <w:color w:val="FFFFFF"/>
                <w:spacing w:val="-14"/>
                <w:sz w:val="16"/>
                <w:szCs w:val="16"/>
                <w:lang w:eastAsia="en-US"/>
              </w:rPr>
            </w:pPr>
            <w:r w:rsidRPr="00595782">
              <w:rPr>
                <w:rFonts w:cs="Arial"/>
                <w:b/>
                <w:color w:val="FFFFFF"/>
                <w:spacing w:val="-14"/>
                <w:sz w:val="16"/>
                <w:szCs w:val="16"/>
                <w:lang w:eastAsia="en-US"/>
              </w:rPr>
              <w:t>Overall Rating</w:t>
            </w:r>
          </w:p>
        </w:tc>
      </w:tr>
      <w:tr w:rsidR="00796BD9" w:rsidRPr="00595782" w14:paraId="6FE91F2F" w14:textId="77777777" w:rsidTr="00796BD9">
        <w:trPr>
          <w:tblHeader/>
        </w:trPr>
        <w:tc>
          <w:tcPr>
            <w:tcW w:w="3536" w:type="pct"/>
            <w:gridSpan w:val="2"/>
            <w:vMerge/>
            <w:tcBorders>
              <w:top w:val="single" w:sz="4" w:space="0" w:color="FFFFFF" w:themeColor="background1"/>
              <w:bottom w:val="single" w:sz="4" w:space="0" w:color="006DB6"/>
              <w:right w:val="single" w:sz="4" w:space="0" w:color="FFFFFF" w:themeColor="background1"/>
            </w:tcBorders>
            <w:tcMar>
              <w:top w:w="14" w:type="dxa"/>
            </w:tcMar>
            <w:vAlign w:val="center"/>
          </w:tcPr>
          <w:p w14:paraId="584174F8" w14:textId="77777777" w:rsidR="00796BD9" w:rsidRPr="00595782" w:rsidRDefault="00796BD9" w:rsidP="00DD2511">
            <w:pPr>
              <w:rPr>
                <w:rFonts w:cs="Arial"/>
                <w:sz w:val="16"/>
                <w:szCs w:val="16"/>
                <w:lang w:eastAsia="en-US"/>
              </w:rPr>
            </w:pPr>
          </w:p>
        </w:tc>
        <w:tc>
          <w:tcPr>
            <w:tcW w:w="234"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6231399D" w14:textId="77777777" w:rsidR="00796BD9" w:rsidRPr="00595782" w:rsidRDefault="00796BD9" w:rsidP="00DD2511">
            <w:pPr>
              <w:numPr>
                <w:ilvl w:val="0"/>
                <w:numId w:val="9"/>
              </w:numPr>
              <w:jc w:val="center"/>
              <w:rPr>
                <w:rFonts w:cs="Arial"/>
                <w:b/>
                <w:color w:val="FFFFFF" w:themeColor="background1"/>
                <w:sz w:val="16"/>
                <w:szCs w:val="16"/>
                <w:lang w:eastAsia="en-US"/>
              </w:rPr>
            </w:pPr>
          </w:p>
        </w:tc>
        <w:tc>
          <w:tcPr>
            <w:tcW w:w="234"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157C2EFA" w14:textId="77777777" w:rsidR="00796BD9" w:rsidRPr="00595782" w:rsidRDefault="00796BD9" w:rsidP="00DD2511">
            <w:pPr>
              <w:numPr>
                <w:ilvl w:val="0"/>
                <w:numId w:val="9"/>
              </w:numPr>
              <w:jc w:val="center"/>
              <w:rPr>
                <w:rFonts w:cs="Arial"/>
                <w:b/>
                <w:color w:val="FFFFFF" w:themeColor="background1"/>
                <w:sz w:val="16"/>
                <w:szCs w:val="16"/>
                <w:lang w:eastAsia="en-US"/>
              </w:rPr>
            </w:pPr>
          </w:p>
        </w:tc>
        <w:tc>
          <w:tcPr>
            <w:tcW w:w="238"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5822F8B9" w14:textId="77777777" w:rsidR="00796BD9" w:rsidRPr="00595782" w:rsidRDefault="00796BD9" w:rsidP="00DD2511">
            <w:pPr>
              <w:numPr>
                <w:ilvl w:val="0"/>
                <w:numId w:val="9"/>
              </w:numPr>
              <w:jc w:val="center"/>
              <w:rPr>
                <w:rFonts w:cs="Arial"/>
                <w:b/>
                <w:color w:val="FFFFFF" w:themeColor="background1"/>
                <w:sz w:val="16"/>
                <w:szCs w:val="16"/>
                <w:lang w:eastAsia="en-US"/>
              </w:rPr>
            </w:pPr>
          </w:p>
        </w:tc>
        <w:tc>
          <w:tcPr>
            <w:tcW w:w="210"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50ACAB1F" w14:textId="77777777" w:rsidR="00796BD9" w:rsidRPr="00595782" w:rsidRDefault="00796BD9" w:rsidP="00DD2511">
            <w:pPr>
              <w:numPr>
                <w:ilvl w:val="0"/>
                <w:numId w:val="9"/>
              </w:numPr>
              <w:jc w:val="center"/>
              <w:rPr>
                <w:rFonts w:cs="Arial"/>
                <w:b/>
                <w:color w:val="FFFFFF" w:themeColor="background1"/>
                <w:sz w:val="16"/>
                <w:szCs w:val="16"/>
                <w:lang w:eastAsia="en-US"/>
              </w:rPr>
            </w:pPr>
          </w:p>
        </w:tc>
        <w:tc>
          <w:tcPr>
            <w:tcW w:w="548" w:type="pct"/>
            <w:vMerge/>
            <w:tcBorders>
              <w:top w:val="single" w:sz="4" w:space="0" w:color="FFFFFF" w:themeColor="background1"/>
              <w:left w:val="single" w:sz="4" w:space="0" w:color="FFFFFF" w:themeColor="background1"/>
              <w:bottom w:val="single" w:sz="4" w:space="0" w:color="006DB6"/>
            </w:tcBorders>
            <w:tcMar>
              <w:top w:w="14" w:type="dxa"/>
            </w:tcMar>
            <w:vAlign w:val="center"/>
          </w:tcPr>
          <w:p w14:paraId="0B2D9CE8" w14:textId="77777777" w:rsidR="00796BD9" w:rsidRPr="00595782" w:rsidRDefault="00796BD9" w:rsidP="00DD2511">
            <w:pPr>
              <w:rPr>
                <w:rFonts w:cs="Arial"/>
                <w:sz w:val="16"/>
                <w:szCs w:val="16"/>
                <w:lang w:eastAsia="en-US"/>
              </w:rPr>
            </w:pPr>
          </w:p>
        </w:tc>
      </w:tr>
      <w:tr w:rsidR="00796BD9" w:rsidRPr="00595782" w14:paraId="22864B97" w14:textId="77777777" w:rsidTr="00796BD9">
        <w:tc>
          <w:tcPr>
            <w:tcW w:w="381" w:type="pct"/>
            <w:tcBorders>
              <w:top w:val="single" w:sz="6" w:space="0" w:color="006DB6"/>
            </w:tcBorders>
            <w:tcMar>
              <w:top w:w="14" w:type="dxa"/>
            </w:tcMar>
          </w:tcPr>
          <w:p w14:paraId="5D5E4309" w14:textId="77777777" w:rsidR="00796BD9" w:rsidRPr="008A6B23" w:rsidRDefault="00796BD9" w:rsidP="00DD2511">
            <w:pPr>
              <w:ind w:left="-45"/>
              <w:rPr>
                <w:rFonts w:cs="Arial"/>
                <w:szCs w:val="16"/>
                <w:lang w:eastAsia="en-US"/>
              </w:rPr>
            </w:pPr>
            <w:r w:rsidRPr="008A6B23">
              <w:rPr>
                <w:rFonts w:cs="Arial"/>
                <w:szCs w:val="16"/>
                <w:lang w:eastAsia="en-US"/>
              </w:rPr>
              <w:t>PI-1</w:t>
            </w:r>
          </w:p>
        </w:tc>
        <w:tc>
          <w:tcPr>
            <w:tcW w:w="3155" w:type="pct"/>
            <w:tcBorders>
              <w:top w:val="single" w:sz="6" w:space="0" w:color="006DB6"/>
            </w:tcBorders>
            <w:tcMar>
              <w:top w:w="14" w:type="dxa"/>
            </w:tcMar>
          </w:tcPr>
          <w:p w14:paraId="043E9EF1" w14:textId="0FEFA07D" w:rsidR="00796BD9" w:rsidRPr="008A6B23" w:rsidRDefault="00796BD9" w:rsidP="002D5916">
            <w:pPr>
              <w:rPr>
                <w:rFonts w:cs="Arial"/>
                <w:szCs w:val="16"/>
                <w:lang w:eastAsia="en-US"/>
              </w:rPr>
            </w:pPr>
            <w:r w:rsidRPr="008A6B23">
              <w:rPr>
                <w:rFonts w:cs="Arial"/>
                <w:szCs w:val="16"/>
                <w:lang w:eastAsia="en-US"/>
              </w:rPr>
              <w:t xml:space="preserve">Aggregate expenditure out-turn </w:t>
            </w:r>
          </w:p>
        </w:tc>
        <w:tc>
          <w:tcPr>
            <w:tcW w:w="234" w:type="pct"/>
            <w:tcBorders>
              <w:top w:val="single" w:sz="6" w:space="0" w:color="006DB6"/>
            </w:tcBorders>
            <w:tcMar>
              <w:top w:w="14" w:type="dxa"/>
            </w:tcMar>
          </w:tcPr>
          <w:p w14:paraId="716441E3" w14:textId="77777777" w:rsidR="00796BD9" w:rsidRPr="00595782" w:rsidRDefault="00796BD9" w:rsidP="00DD2511">
            <w:pPr>
              <w:jc w:val="center"/>
              <w:rPr>
                <w:rFonts w:cs="Arial"/>
                <w:sz w:val="16"/>
                <w:szCs w:val="16"/>
                <w:lang w:eastAsia="en-US"/>
              </w:rPr>
            </w:pPr>
            <w:r>
              <w:rPr>
                <w:rFonts w:cs="Arial"/>
                <w:sz w:val="16"/>
                <w:szCs w:val="16"/>
                <w:lang w:eastAsia="en-US"/>
              </w:rPr>
              <w:t>C</w:t>
            </w:r>
          </w:p>
        </w:tc>
        <w:tc>
          <w:tcPr>
            <w:tcW w:w="234" w:type="pct"/>
            <w:tcBorders>
              <w:top w:val="single" w:sz="6" w:space="0" w:color="006DB6"/>
              <w:bottom w:val="single" w:sz="6" w:space="0" w:color="006DB6"/>
            </w:tcBorders>
            <w:shd w:val="clear" w:color="auto" w:fill="D5DCE4" w:themeFill="text2" w:themeFillTint="33"/>
            <w:tcMar>
              <w:top w:w="14" w:type="dxa"/>
            </w:tcMar>
          </w:tcPr>
          <w:p w14:paraId="2E40A677" w14:textId="77777777" w:rsidR="00796BD9" w:rsidRPr="00595782" w:rsidRDefault="00796BD9" w:rsidP="00DD2511">
            <w:pPr>
              <w:jc w:val="center"/>
              <w:rPr>
                <w:rFonts w:cs="Arial"/>
                <w:sz w:val="16"/>
                <w:szCs w:val="16"/>
                <w:lang w:eastAsia="en-US"/>
              </w:rPr>
            </w:pPr>
          </w:p>
        </w:tc>
        <w:tc>
          <w:tcPr>
            <w:tcW w:w="238" w:type="pct"/>
            <w:tcBorders>
              <w:top w:val="single" w:sz="6" w:space="0" w:color="006DB6"/>
              <w:bottom w:val="single" w:sz="6" w:space="0" w:color="006DB6"/>
            </w:tcBorders>
            <w:shd w:val="clear" w:color="auto" w:fill="D5DCE4" w:themeFill="text2" w:themeFillTint="33"/>
            <w:tcMar>
              <w:top w:w="14" w:type="dxa"/>
            </w:tcMar>
          </w:tcPr>
          <w:p w14:paraId="013EE698" w14:textId="77777777" w:rsidR="00796BD9" w:rsidRPr="00595782" w:rsidRDefault="00796BD9" w:rsidP="00DD2511">
            <w:pPr>
              <w:jc w:val="center"/>
              <w:rPr>
                <w:rFonts w:cs="Arial"/>
                <w:sz w:val="16"/>
                <w:szCs w:val="16"/>
                <w:lang w:eastAsia="en-US"/>
              </w:rPr>
            </w:pPr>
          </w:p>
        </w:tc>
        <w:tc>
          <w:tcPr>
            <w:tcW w:w="210" w:type="pct"/>
            <w:tcBorders>
              <w:top w:val="single" w:sz="6" w:space="0" w:color="006DB6"/>
              <w:bottom w:val="single" w:sz="6" w:space="0" w:color="006DB6"/>
            </w:tcBorders>
            <w:shd w:val="clear" w:color="auto" w:fill="D5DCE4" w:themeFill="text2" w:themeFillTint="33"/>
            <w:tcMar>
              <w:top w:w="14" w:type="dxa"/>
            </w:tcMar>
          </w:tcPr>
          <w:p w14:paraId="65211402" w14:textId="77777777" w:rsidR="00796BD9" w:rsidRPr="00595782" w:rsidRDefault="00796BD9" w:rsidP="00DD2511">
            <w:pPr>
              <w:jc w:val="center"/>
              <w:rPr>
                <w:rFonts w:cs="Arial"/>
                <w:sz w:val="16"/>
                <w:szCs w:val="16"/>
                <w:lang w:eastAsia="en-US"/>
              </w:rPr>
            </w:pPr>
          </w:p>
        </w:tc>
        <w:tc>
          <w:tcPr>
            <w:tcW w:w="548" w:type="pct"/>
            <w:tcBorders>
              <w:top w:val="single" w:sz="6" w:space="0" w:color="006DB6"/>
            </w:tcBorders>
            <w:tcMar>
              <w:top w:w="14" w:type="dxa"/>
              <w:left w:w="288" w:type="dxa"/>
              <w:right w:w="115" w:type="dxa"/>
            </w:tcMar>
          </w:tcPr>
          <w:p w14:paraId="410972CF" w14:textId="77777777" w:rsidR="00796BD9" w:rsidRPr="00E663B6" w:rsidRDefault="00796BD9" w:rsidP="00DD2511">
            <w:pPr>
              <w:rPr>
                <w:rFonts w:cs="Arial"/>
                <w:b/>
                <w:szCs w:val="16"/>
                <w:lang w:eastAsia="en-US"/>
              </w:rPr>
            </w:pPr>
            <w:r w:rsidRPr="00E663B6">
              <w:rPr>
                <w:rFonts w:cs="Arial"/>
                <w:b/>
                <w:szCs w:val="16"/>
                <w:lang w:eastAsia="en-US"/>
              </w:rPr>
              <w:t>C</w:t>
            </w:r>
          </w:p>
        </w:tc>
      </w:tr>
      <w:tr w:rsidR="00796BD9" w:rsidRPr="00595782" w14:paraId="56315794" w14:textId="77777777" w:rsidTr="00796BD9">
        <w:tc>
          <w:tcPr>
            <w:tcW w:w="381" w:type="pct"/>
            <w:tcMar>
              <w:top w:w="14" w:type="dxa"/>
            </w:tcMar>
          </w:tcPr>
          <w:p w14:paraId="150E91E9" w14:textId="77777777" w:rsidR="00796BD9" w:rsidRPr="008A6B23" w:rsidRDefault="00796BD9" w:rsidP="00DD2511">
            <w:pPr>
              <w:ind w:left="-45"/>
              <w:rPr>
                <w:rFonts w:cs="Arial"/>
                <w:szCs w:val="16"/>
                <w:lang w:eastAsia="en-US"/>
              </w:rPr>
            </w:pPr>
            <w:r w:rsidRPr="008A6B23">
              <w:rPr>
                <w:rFonts w:cs="Arial"/>
                <w:szCs w:val="16"/>
                <w:lang w:eastAsia="en-US"/>
              </w:rPr>
              <w:t>PI-2</w:t>
            </w:r>
          </w:p>
        </w:tc>
        <w:tc>
          <w:tcPr>
            <w:tcW w:w="3155" w:type="pct"/>
            <w:tcMar>
              <w:top w:w="14" w:type="dxa"/>
            </w:tcMar>
          </w:tcPr>
          <w:p w14:paraId="6B005801" w14:textId="74C191CB" w:rsidR="00796BD9" w:rsidRPr="008A6B23" w:rsidRDefault="002D5916" w:rsidP="002D5916">
            <w:pPr>
              <w:rPr>
                <w:rFonts w:cs="Arial"/>
                <w:szCs w:val="16"/>
                <w:lang w:eastAsia="en-US"/>
              </w:rPr>
            </w:pPr>
            <w:r>
              <w:rPr>
                <w:rFonts w:cs="Arial"/>
                <w:szCs w:val="16"/>
                <w:lang w:eastAsia="en-US"/>
              </w:rPr>
              <w:t>E</w:t>
            </w:r>
            <w:r w:rsidRPr="008A6B23">
              <w:rPr>
                <w:rFonts w:cs="Arial"/>
                <w:szCs w:val="16"/>
                <w:lang w:eastAsia="en-US"/>
              </w:rPr>
              <w:t xml:space="preserve">xpenditure </w:t>
            </w:r>
            <w:r>
              <w:rPr>
                <w:rFonts w:cs="Arial"/>
                <w:szCs w:val="16"/>
                <w:lang w:eastAsia="en-US"/>
              </w:rPr>
              <w:t>c</w:t>
            </w:r>
            <w:r w:rsidR="00796BD9" w:rsidRPr="008A6B23">
              <w:rPr>
                <w:rFonts w:cs="Arial"/>
                <w:szCs w:val="16"/>
                <w:lang w:eastAsia="en-US"/>
              </w:rPr>
              <w:t xml:space="preserve">omposition outturn </w:t>
            </w:r>
          </w:p>
        </w:tc>
        <w:tc>
          <w:tcPr>
            <w:tcW w:w="234" w:type="pct"/>
            <w:tcMar>
              <w:top w:w="14" w:type="dxa"/>
            </w:tcMar>
          </w:tcPr>
          <w:p w14:paraId="073D1FB1" w14:textId="77777777" w:rsidR="00796BD9" w:rsidRPr="00595782" w:rsidRDefault="00796BD9" w:rsidP="00DD2511">
            <w:pPr>
              <w:jc w:val="center"/>
              <w:rPr>
                <w:rFonts w:cs="Arial"/>
                <w:sz w:val="16"/>
                <w:szCs w:val="16"/>
                <w:lang w:eastAsia="en-US"/>
              </w:rPr>
            </w:pPr>
            <w:r>
              <w:rPr>
                <w:rFonts w:cs="Arial"/>
                <w:sz w:val="16"/>
                <w:szCs w:val="16"/>
                <w:lang w:eastAsia="en-US"/>
              </w:rPr>
              <w:t>C</w:t>
            </w:r>
          </w:p>
        </w:tc>
        <w:tc>
          <w:tcPr>
            <w:tcW w:w="234" w:type="pct"/>
            <w:tcBorders>
              <w:top w:val="single" w:sz="6" w:space="0" w:color="006DB6"/>
              <w:bottom w:val="single" w:sz="6" w:space="0" w:color="006DB6"/>
            </w:tcBorders>
            <w:shd w:val="clear" w:color="auto" w:fill="FFFFFF" w:themeFill="background1"/>
            <w:tcMar>
              <w:top w:w="14" w:type="dxa"/>
            </w:tcMar>
          </w:tcPr>
          <w:p w14:paraId="4EF5908F" w14:textId="77777777" w:rsidR="00796BD9" w:rsidRPr="00595782" w:rsidRDefault="00796BD9" w:rsidP="00DD2511">
            <w:pPr>
              <w:jc w:val="center"/>
              <w:rPr>
                <w:rFonts w:cs="Arial"/>
                <w:sz w:val="16"/>
                <w:szCs w:val="16"/>
                <w:lang w:eastAsia="en-US"/>
              </w:rPr>
            </w:pPr>
            <w:r>
              <w:rPr>
                <w:rFonts w:cs="Arial"/>
                <w:sz w:val="16"/>
                <w:szCs w:val="16"/>
                <w:lang w:eastAsia="en-US"/>
              </w:rPr>
              <w:t>B</w:t>
            </w:r>
          </w:p>
        </w:tc>
        <w:tc>
          <w:tcPr>
            <w:tcW w:w="238" w:type="pct"/>
            <w:tcBorders>
              <w:top w:val="single" w:sz="6" w:space="0" w:color="006DB6"/>
              <w:bottom w:val="single" w:sz="6" w:space="0" w:color="006DB6"/>
            </w:tcBorders>
            <w:shd w:val="clear" w:color="auto" w:fill="auto"/>
            <w:tcMar>
              <w:top w:w="14" w:type="dxa"/>
            </w:tcMar>
          </w:tcPr>
          <w:p w14:paraId="3DB78DD3" w14:textId="77777777" w:rsidR="00796BD9" w:rsidRPr="00595782" w:rsidRDefault="00796BD9" w:rsidP="00DD2511">
            <w:pPr>
              <w:jc w:val="center"/>
              <w:rPr>
                <w:rFonts w:cs="Arial"/>
                <w:sz w:val="16"/>
                <w:szCs w:val="16"/>
                <w:lang w:eastAsia="en-US"/>
              </w:rPr>
            </w:pPr>
            <w:r>
              <w:rPr>
                <w:rFonts w:cs="Arial"/>
                <w:sz w:val="16"/>
                <w:szCs w:val="16"/>
                <w:lang w:eastAsia="en-US"/>
              </w:rPr>
              <w:t>C</w:t>
            </w:r>
          </w:p>
        </w:tc>
        <w:tc>
          <w:tcPr>
            <w:tcW w:w="210" w:type="pct"/>
            <w:tcBorders>
              <w:top w:val="single" w:sz="6" w:space="0" w:color="006DB6"/>
              <w:bottom w:val="single" w:sz="6" w:space="0" w:color="006DB6"/>
            </w:tcBorders>
            <w:shd w:val="clear" w:color="auto" w:fill="D5DCE4" w:themeFill="text2" w:themeFillTint="33"/>
            <w:tcMar>
              <w:top w:w="14" w:type="dxa"/>
            </w:tcMar>
          </w:tcPr>
          <w:p w14:paraId="45C8A341" w14:textId="77777777" w:rsidR="00796BD9" w:rsidRPr="00595782" w:rsidRDefault="00796BD9" w:rsidP="00DD2511">
            <w:pPr>
              <w:jc w:val="center"/>
              <w:rPr>
                <w:rFonts w:cs="Arial"/>
                <w:sz w:val="16"/>
                <w:szCs w:val="16"/>
                <w:lang w:eastAsia="en-US"/>
              </w:rPr>
            </w:pPr>
          </w:p>
        </w:tc>
        <w:tc>
          <w:tcPr>
            <w:tcW w:w="548" w:type="pct"/>
            <w:tcMar>
              <w:top w:w="14" w:type="dxa"/>
              <w:left w:w="288" w:type="dxa"/>
              <w:right w:w="115" w:type="dxa"/>
            </w:tcMar>
          </w:tcPr>
          <w:p w14:paraId="3D2BD905" w14:textId="77777777" w:rsidR="00796BD9" w:rsidRPr="00E663B6" w:rsidRDefault="00796BD9" w:rsidP="00DD2511">
            <w:pPr>
              <w:rPr>
                <w:rFonts w:cs="Arial"/>
                <w:b/>
                <w:szCs w:val="16"/>
                <w:lang w:eastAsia="en-US"/>
              </w:rPr>
            </w:pPr>
            <w:r>
              <w:rPr>
                <w:rFonts w:cs="Arial"/>
                <w:b/>
                <w:szCs w:val="16"/>
                <w:lang w:eastAsia="en-US"/>
              </w:rPr>
              <w:t>C+</w:t>
            </w:r>
          </w:p>
        </w:tc>
      </w:tr>
      <w:tr w:rsidR="00796BD9" w:rsidRPr="00595782" w14:paraId="5922A259" w14:textId="77777777" w:rsidTr="002D5916">
        <w:tc>
          <w:tcPr>
            <w:tcW w:w="381" w:type="pct"/>
            <w:tcMar>
              <w:top w:w="14" w:type="dxa"/>
            </w:tcMar>
          </w:tcPr>
          <w:p w14:paraId="3DF99C89" w14:textId="77777777" w:rsidR="00796BD9" w:rsidRPr="008A6B23" w:rsidRDefault="00796BD9" w:rsidP="00DD2511">
            <w:pPr>
              <w:ind w:left="-45"/>
              <w:rPr>
                <w:rFonts w:cs="Arial"/>
                <w:szCs w:val="16"/>
                <w:lang w:eastAsia="en-US"/>
              </w:rPr>
            </w:pPr>
            <w:r w:rsidRPr="008A6B23">
              <w:rPr>
                <w:rFonts w:cs="Arial"/>
                <w:szCs w:val="16"/>
                <w:lang w:eastAsia="en-US"/>
              </w:rPr>
              <w:t>PI-3</w:t>
            </w:r>
          </w:p>
        </w:tc>
        <w:tc>
          <w:tcPr>
            <w:tcW w:w="3155" w:type="pct"/>
            <w:tcMar>
              <w:top w:w="14" w:type="dxa"/>
            </w:tcMar>
          </w:tcPr>
          <w:p w14:paraId="2BF71075" w14:textId="58D9CB65" w:rsidR="00796BD9" w:rsidRPr="008A6B23" w:rsidRDefault="002D5916" w:rsidP="002D5916">
            <w:pPr>
              <w:rPr>
                <w:rFonts w:cs="Arial"/>
                <w:szCs w:val="16"/>
                <w:lang w:eastAsia="en-US"/>
              </w:rPr>
            </w:pPr>
            <w:r>
              <w:rPr>
                <w:rFonts w:cs="Arial"/>
                <w:szCs w:val="16"/>
                <w:lang w:eastAsia="en-US"/>
              </w:rPr>
              <w:t>R</w:t>
            </w:r>
            <w:r w:rsidR="00796BD9" w:rsidRPr="008A6B23">
              <w:rPr>
                <w:rFonts w:cs="Arial"/>
                <w:szCs w:val="16"/>
                <w:lang w:eastAsia="en-US"/>
              </w:rPr>
              <w:t xml:space="preserve">evenue out-turn </w:t>
            </w:r>
          </w:p>
        </w:tc>
        <w:tc>
          <w:tcPr>
            <w:tcW w:w="234" w:type="pct"/>
            <w:tcMar>
              <w:top w:w="14" w:type="dxa"/>
            </w:tcMar>
          </w:tcPr>
          <w:p w14:paraId="403F266E" w14:textId="77777777" w:rsidR="00796BD9" w:rsidRPr="00595782" w:rsidRDefault="00796BD9" w:rsidP="00DD2511">
            <w:pPr>
              <w:jc w:val="center"/>
              <w:rPr>
                <w:rFonts w:cs="Arial"/>
                <w:sz w:val="16"/>
                <w:szCs w:val="16"/>
                <w:lang w:eastAsia="en-US"/>
              </w:rPr>
            </w:pPr>
            <w:r>
              <w:rPr>
                <w:rFonts w:cs="Arial"/>
                <w:sz w:val="16"/>
                <w:szCs w:val="16"/>
                <w:lang w:eastAsia="en-US"/>
              </w:rPr>
              <w:t>B</w:t>
            </w:r>
          </w:p>
        </w:tc>
        <w:tc>
          <w:tcPr>
            <w:tcW w:w="234" w:type="pct"/>
            <w:tcBorders>
              <w:top w:val="single" w:sz="6" w:space="0" w:color="006DB6"/>
              <w:bottom w:val="single" w:sz="6" w:space="0" w:color="006DB6"/>
            </w:tcBorders>
            <w:shd w:val="clear" w:color="auto" w:fill="auto"/>
            <w:tcMar>
              <w:top w:w="14" w:type="dxa"/>
            </w:tcMar>
          </w:tcPr>
          <w:p w14:paraId="51B22034" w14:textId="7C8F6938" w:rsidR="00796BD9" w:rsidRPr="00595782" w:rsidRDefault="002D5916" w:rsidP="00DD2511">
            <w:pPr>
              <w:jc w:val="center"/>
              <w:rPr>
                <w:rFonts w:cs="Arial"/>
                <w:sz w:val="16"/>
                <w:szCs w:val="16"/>
                <w:lang w:eastAsia="en-US"/>
              </w:rPr>
            </w:pPr>
            <w:r>
              <w:rPr>
                <w:rFonts w:cs="Arial"/>
                <w:sz w:val="16"/>
                <w:szCs w:val="16"/>
                <w:lang w:eastAsia="en-US"/>
              </w:rPr>
              <w:t>B</w:t>
            </w:r>
          </w:p>
        </w:tc>
        <w:tc>
          <w:tcPr>
            <w:tcW w:w="238" w:type="pct"/>
            <w:tcBorders>
              <w:top w:val="single" w:sz="6" w:space="0" w:color="006DB6"/>
              <w:bottom w:val="single" w:sz="6" w:space="0" w:color="006DB6"/>
            </w:tcBorders>
            <w:shd w:val="clear" w:color="auto" w:fill="D5DCE4" w:themeFill="text2" w:themeFillTint="33"/>
            <w:tcMar>
              <w:top w:w="14" w:type="dxa"/>
            </w:tcMar>
          </w:tcPr>
          <w:p w14:paraId="398A475A" w14:textId="77777777" w:rsidR="00796BD9" w:rsidRPr="00595782" w:rsidRDefault="00796BD9" w:rsidP="00DD2511">
            <w:pPr>
              <w:jc w:val="center"/>
              <w:rPr>
                <w:rFonts w:cs="Arial"/>
                <w:sz w:val="16"/>
                <w:szCs w:val="16"/>
                <w:lang w:eastAsia="en-US"/>
              </w:rPr>
            </w:pPr>
          </w:p>
        </w:tc>
        <w:tc>
          <w:tcPr>
            <w:tcW w:w="210" w:type="pct"/>
            <w:tcBorders>
              <w:top w:val="single" w:sz="6" w:space="0" w:color="006DB6"/>
              <w:bottom w:val="single" w:sz="6" w:space="0" w:color="006DB6"/>
            </w:tcBorders>
            <w:shd w:val="clear" w:color="auto" w:fill="D5DCE4" w:themeFill="text2" w:themeFillTint="33"/>
            <w:tcMar>
              <w:top w:w="14" w:type="dxa"/>
            </w:tcMar>
          </w:tcPr>
          <w:p w14:paraId="08E02715" w14:textId="77777777" w:rsidR="00796BD9" w:rsidRPr="00595782" w:rsidRDefault="00796BD9" w:rsidP="00DD2511">
            <w:pPr>
              <w:jc w:val="center"/>
              <w:rPr>
                <w:rFonts w:cs="Arial"/>
                <w:sz w:val="16"/>
                <w:szCs w:val="16"/>
                <w:lang w:eastAsia="en-US"/>
              </w:rPr>
            </w:pPr>
          </w:p>
        </w:tc>
        <w:tc>
          <w:tcPr>
            <w:tcW w:w="548" w:type="pct"/>
            <w:tcMar>
              <w:top w:w="14" w:type="dxa"/>
              <w:left w:w="288" w:type="dxa"/>
              <w:right w:w="115" w:type="dxa"/>
            </w:tcMar>
          </w:tcPr>
          <w:p w14:paraId="1A480CE0" w14:textId="77777777" w:rsidR="00796BD9" w:rsidRPr="00E663B6" w:rsidRDefault="00796BD9" w:rsidP="00DD2511">
            <w:pPr>
              <w:rPr>
                <w:rFonts w:cs="Arial"/>
                <w:b/>
                <w:szCs w:val="16"/>
                <w:lang w:eastAsia="en-US"/>
              </w:rPr>
            </w:pPr>
            <w:r>
              <w:rPr>
                <w:rFonts w:cs="Arial"/>
                <w:b/>
                <w:szCs w:val="16"/>
                <w:lang w:eastAsia="en-US"/>
              </w:rPr>
              <w:t>B</w:t>
            </w:r>
          </w:p>
        </w:tc>
      </w:tr>
    </w:tbl>
    <w:p w14:paraId="20BB1A48" w14:textId="77777777" w:rsidR="00C556B8" w:rsidRPr="00C556B8" w:rsidRDefault="00C556B8" w:rsidP="00C556B8">
      <w:pPr>
        <w:pStyle w:val="DefaultText"/>
      </w:pPr>
    </w:p>
    <w:p w14:paraId="44EC0FDA" w14:textId="2317F473" w:rsidR="009327D9" w:rsidRDefault="008A6B23" w:rsidP="00C556B8">
      <w:pPr>
        <w:spacing w:line="276" w:lineRule="auto"/>
        <w:jc w:val="both"/>
        <w:rPr>
          <w:rFonts w:cs="Arial"/>
          <w:sz w:val="20"/>
          <w:szCs w:val="20"/>
        </w:rPr>
      </w:pPr>
      <w:r>
        <w:rPr>
          <w:rFonts w:cs="Arial"/>
          <w:bCs/>
          <w:sz w:val="20"/>
          <w:szCs w:val="20"/>
        </w:rPr>
        <w:t>T</w:t>
      </w:r>
      <w:r w:rsidR="009327D9" w:rsidRPr="00417AE7">
        <w:rPr>
          <w:rFonts w:cs="Arial"/>
          <w:bCs/>
          <w:sz w:val="20"/>
          <w:szCs w:val="20"/>
        </w:rPr>
        <w:t xml:space="preserve">he </w:t>
      </w:r>
      <w:r w:rsidR="009327D9">
        <w:rPr>
          <w:rFonts w:cs="Arial"/>
          <w:bCs/>
          <w:sz w:val="20"/>
          <w:szCs w:val="20"/>
        </w:rPr>
        <w:t>‘</w:t>
      </w:r>
      <w:r w:rsidR="009327D9" w:rsidRPr="00417AE7">
        <w:rPr>
          <w:rFonts w:cs="Arial"/>
          <w:bCs/>
          <w:sz w:val="20"/>
          <w:szCs w:val="20"/>
        </w:rPr>
        <w:t>B</w:t>
      </w:r>
      <w:r w:rsidR="009327D9">
        <w:rPr>
          <w:rFonts w:cs="Arial"/>
          <w:bCs/>
          <w:sz w:val="20"/>
          <w:szCs w:val="20"/>
        </w:rPr>
        <w:t xml:space="preserve">udget </w:t>
      </w:r>
      <w:r w:rsidR="009327D9" w:rsidRPr="00417AE7">
        <w:rPr>
          <w:rFonts w:cs="Arial"/>
          <w:bCs/>
          <w:sz w:val="20"/>
          <w:szCs w:val="20"/>
        </w:rPr>
        <w:t>F</w:t>
      </w:r>
      <w:r w:rsidR="009327D9">
        <w:rPr>
          <w:rFonts w:cs="Arial"/>
          <w:bCs/>
          <w:sz w:val="20"/>
          <w:szCs w:val="20"/>
        </w:rPr>
        <w:t xml:space="preserve">ramework </w:t>
      </w:r>
      <w:r w:rsidR="009327D9" w:rsidRPr="00417AE7">
        <w:rPr>
          <w:rFonts w:cs="Arial"/>
          <w:bCs/>
          <w:sz w:val="20"/>
          <w:szCs w:val="20"/>
        </w:rPr>
        <w:t>P</w:t>
      </w:r>
      <w:r w:rsidR="009327D9">
        <w:rPr>
          <w:rFonts w:cs="Arial"/>
          <w:bCs/>
          <w:sz w:val="20"/>
          <w:szCs w:val="20"/>
        </w:rPr>
        <w:t>aper’</w:t>
      </w:r>
      <w:r w:rsidR="009327D9" w:rsidRPr="00417AE7">
        <w:rPr>
          <w:rFonts w:cs="Arial"/>
          <w:bCs/>
          <w:sz w:val="20"/>
          <w:szCs w:val="20"/>
        </w:rPr>
        <w:t xml:space="preserve"> </w:t>
      </w:r>
      <w:r w:rsidR="009327D9" w:rsidRPr="00417AE7">
        <w:rPr>
          <w:rFonts w:cs="Arial"/>
          <w:sz w:val="20"/>
          <w:szCs w:val="26"/>
        </w:rPr>
        <w:t>set</w:t>
      </w:r>
      <w:r>
        <w:rPr>
          <w:rFonts w:cs="Arial"/>
          <w:sz w:val="20"/>
          <w:szCs w:val="26"/>
        </w:rPr>
        <w:t>s</w:t>
      </w:r>
      <w:r w:rsidR="009327D9" w:rsidRPr="00417AE7">
        <w:rPr>
          <w:rFonts w:cs="Arial"/>
          <w:sz w:val="20"/>
          <w:szCs w:val="26"/>
        </w:rPr>
        <w:t xml:space="preserve"> out</w:t>
      </w:r>
      <w:r w:rsidR="009327D9" w:rsidRPr="00417AE7">
        <w:rPr>
          <w:rFonts w:cs="Arial"/>
          <w:sz w:val="20"/>
          <w:szCs w:val="20"/>
        </w:rPr>
        <w:t xml:space="preserve"> the fiscal framework </w:t>
      </w:r>
      <w:r w:rsidR="009327D9">
        <w:rPr>
          <w:rFonts w:cs="Arial"/>
          <w:sz w:val="20"/>
          <w:szCs w:val="20"/>
        </w:rPr>
        <w:t>within which the budget is formulated</w:t>
      </w:r>
      <w:r>
        <w:rPr>
          <w:rFonts w:cs="Arial"/>
          <w:sz w:val="20"/>
          <w:szCs w:val="20"/>
        </w:rPr>
        <w:t>, and</w:t>
      </w:r>
      <w:r w:rsidR="009327D9" w:rsidRPr="00417AE7">
        <w:rPr>
          <w:rFonts w:cs="Arial"/>
          <w:sz w:val="20"/>
          <w:szCs w:val="20"/>
        </w:rPr>
        <w:t xml:space="preserve"> </w:t>
      </w:r>
      <w:r w:rsidR="009327D9">
        <w:rPr>
          <w:rFonts w:cs="Arial"/>
          <w:sz w:val="20"/>
          <w:szCs w:val="20"/>
        </w:rPr>
        <w:t>defines</w:t>
      </w:r>
      <w:r w:rsidR="009327D9" w:rsidRPr="00417AE7">
        <w:rPr>
          <w:rFonts w:cs="Arial"/>
          <w:sz w:val="20"/>
          <w:szCs w:val="20"/>
        </w:rPr>
        <w:t xml:space="preserve"> </w:t>
      </w:r>
      <w:r>
        <w:rPr>
          <w:rFonts w:cs="Arial"/>
          <w:sz w:val="20"/>
          <w:szCs w:val="20"/>
        </w:rPr>
        <w:t>the</w:t>
      </w:r>
      <w:r w:rsidR="009327D9" w:rsidRPr="00417AE7">
        <w:rPr>
          <w:rFonts w:cs="Arial"/>
          <w:sz w:val="20"/>
          <w:szCs w:val="20"/>
        </w:rPr>
        <w:t xml:space="preserve"> assumptions</w:t>
      </w:r>
      <w:r w:rsidR="009327D9" w:rsidRPr="00417AE7">
        <w:rPr>
          <w:rFonts w:cs="Arial"/>
          <w:bCs/>
          <w:sz w:val="20"/>
          <w:szCs w:val="20"/>
        </w:rPr>
        <w:t xml:space="preserve"> upon which forecasts are produced</w:t>
      </w:r>
      <w:r>
        <w:rPr>
          <w:rFonts w:cs="Arial"/>
          <w:bCs/>
          <w:sz w:val="20"/>
          <w:szCs w:val="20"/>
        </w:rPr>
        <w:t>: these are consistent with</w:t>
      </w:r>
      <w:r w:rsidR="009327D9" w:rsidRPr="00417AE7">
        <w:rPr>
          <w:rFonts w:cs="Arial"/>
          <w:bCs/>
          <w:sz w:val="20"/>
          <w:szCs w:val="20"/>
        </w:rPr>
        <w:t xml:space="preserve"> </w:t>
      </w:r>
      <w:r w:rsidR="009327D9">
        <w:rPr>
          <w:rFonts w:cs="Arial"/>
          <w:sz w:val="20"/>
          <w:szCs w:val="26"/>
        </w:rPr>
        <w:t>the</w:t>
      </w:r>
      <w:r w:rsidR="009327D9" w:rsidRPr="000B2B2A">
        <w:rPr>
          <w:rFonts w:cs="Arial"/>
          <w:sz w:val="20"/>
          <w:szCs w:val="26"/>
        </w:rPr>
        <w:t xml:space="preserve"> policies </w:t>
      </w:r>
      <w:r w:rsidR="009327D9">
        <w:rPr>
          <w:rFonts w:cs="Arial"/>
          <w:sz w:val="20"/>
          <w:szCs w:val="26"/>
        </w:rPr>
        <w:t>published</w:t>
      </w:r>
      <w:r>
        <w:rPr>
          <w:rFonts w:cs="Arial"/>
          <w:sz w:val="20"/>
          <w:szCs w:val="26"/>
        </w:rPr>
        <w:t xml:space="preserve"> in the annual</w:t>
      </w:r>
      <w:r w:rsidR="009327D9" w:rsidRPr="000B2B2A">
        <w:rPr>
          <w:rFonts w:cs="Arial"/>
          <w:sz w:val="20"/>
          <w:szCs w:val="26"/>
        </w:rPr>
        <w:t xml:space="preserve"> </w:t>
      </w:r>
      <w:r w:rsidR="009327D9" w:rsidRPr="00087B2D">
        <w:rPr>
          <w:rFonts w:cs="Arial"/>
          <w:i/>
          <w:sz w:val="20"/>
          <w:szCs w:val="26"/>
        </w:rPr>
        <w:t>Government Strategy</w:t>
      </w:r>
      <w:r w:rsidR="009327D9">
        <w:rPr>
          <w:rFonts w:cs="Arial"/>
          <w:sz w:val="20"/>
          <w:szCs w:val="26"/>
        </w:rPr>
        <w:t>,</w:t>
      </w:r>
      <w:r w:rsidR="009327D9" w:rsidRPr="000B2B2A">
        <w:rPr>
          <w:rFonts w:cs="Arial"/>
          <w:sz w:val="20"/>
          <w:szCs w:val="26"/>
        </w:rPr>
        <w:t xml:space="preserve"> </w:t>
      </w:r>
      <w:r w:rsidR="009327D9">
        <w:rPr>
          <w:rFonts w:cs="Arial"/>
          <w:bCs/>
          <w:sz w:val="20"/>
          <w:szCs w:val="20"/>
        </w:rPr>
        <w:t xml:space="preserve">and include </w:t>
      </w:r>
      <w:r w:rsidR="009327D9" w:rsidRPr="00BD3EAC">
        <w:rPr>
          <w:rFonts w:cs="Arial"/>
          <w:sz w:val="20"/>
          <w:szCs w:val="20"/>
        </w:rPr>
        <w:t xml:space="preserve">aggregate </w:t>
      </w:r>
      <w:r w:rsidR="00E201FF" w:rsidRPr="00BD3EAC">
        <w:rPr>
          <w:rFonts w:cs="Arial"/>
          <w:sz w:val="20"/>
          <w:szCs w:val="20"/>
        </w:rPr>
        <w:t xml:space="preserve">budget </w:t>
      </w:r>
      <w:r w:rsidR="00E201FF">
        <w:rPr>
          <w:rFonts w:cs="Arial"/>
          <w:sz w:val="20"/>
          <w:szCs w:val="20"/>
        </w:rPr>
        <w:t>ceilings</w:t>
      </w:r>
      <w:r w:rsidR="009327D9">
        <w:rPr>
          <w:rFonts w:cs="Arial"/>
          <w:sz w:val="20"/>
          <w:szCs w:val="20"/>
        </w:rPr>
        <w:t xml:space="preserve">, as well as </w:t>
      </w:r>
      <w:r w:rsidR="009327D9" w:rsidRPr="00BD3EAC">
        <w:rPr>
          <w:rFonts w:cs="Arial"/>
          <w:sz w:val="20"/>
          <w:szCs w:val="20"/>
        </w:rPr>
        <w:t>forecasts of the fiscal balance</w:t>
      </w:r>
      <w:r w:rsidR="009327D9">
        <w:rPr>
          <w:rFonts w:cs="Arial"/>
          <w:sz w:val="20"/>
          <w:szCs w:val="20"/>
        </w:rPr>
        <w:t xml:space="preserve">.  </w:t>
      </w:r>
    </w:p>
    <w:p w14:paraId="2F28F3EA" w14:textId="77777777" w:rsidR="009327D9" w:rsidRDefault="009327D9" w:rsidP="00C556B8">
      <w:pPr>
        <w:spacing w:line="276" w:lineRule="auto"/>
        <w:jc w:val="both"/>
        <w:rPr>
          <w:rFonts w:cs="Arial"/>
          <w:sz w:val="20"/>
          <w:szCs w:val="20"/>
        </w:rPr>
      </w:pPr>
    </w:p>
    <w:p w14:paraId="26B430F5" w14:textId="1786E831" w:rsidR="00C556B8" w:rsidRPr="003331FE" w:rsidRDefault="009327D9" w:rsidP="00C556B8">
      <w:pPr>
        <w:spacing w:line="276" w:lineRule="auto"/>
        <w:jc w:val="both"/>
        <w:rPr>
          <w:rFonts w:cs="Arial"/>
          <w:sz w:val="20"/>
          <w:szCs w:val="20"/>
        </w:rPr>
      </w:pPr>
      <w:r w:rsidRPr="008E7A2C">
        <w:rPr>
          <w:rFonts w:cs="Arial"/>
          <w:sz w:val="20"/>
          <w:szCs w:val="20"/>
        </w:rPr>
        <w:t>Over the last thr</w:t>
      </w:r>
      <w:r w:rsidR="008A6B23">
        <w:rPr>
          <w:rFonts w:cs="Arial"/>
          <w:sz w:val="20"/>
          <w:szCs w:val="20"/>
        </w:rPr>
        <w:t>ee years</w:t>
      </w:r>
      <w:r w:rsidR="00132E41">
        <w:rPr>
          <w:rFonts w:cs="Arial"/>
          <w:sz w:val="20"/>
          <w:szCs w:val="20"/>
        </w:rPr>
        <w:t>,</w:t>
      </w:r>
      <w:r w:rsidRPr="008E7A2C">
        <w:rPr>
          <w:rFonts w:cs="Arial"/>
          <w:sz w:val="20"/>
          <w:szCs w:val="20"/>
        </w:rPr>
        <w:t xml:space="preserve"> the PFM system has produced a </w:t>
      </w:r>
      <w:r w:rsidR="002D5916">
        <w:rPr>
          <w:rFonts w:cs="Arial"/>
          <w:sz w:val="20"/>
          <w:szCs w:val="20"/>
        </w:rPr>
        <w:t>reliable</w:t>
      </w:r>
      <w:r w:rsidRPr="008E7A2C">
        <w:rPr>
          <w:rFonts w:cs="Arial"/>
          <w:sz w:val="20"/>
          <w:szCs w:val="20"/>
        </w:rPr>
        <w:t xml:space="preserve"> budget.  </w:t>
      </w:r>
      <w:r w:rsidR="00C556B8" w:rsidRPr="008E7A2C">
        <w:rPr>
          <w:rFonts w:cs="Arial"/>
          <w:sz w:val="20"/>
          <w:szCs w:val="20"/>
        </w:rPr>
        <w:t>While</w:t>
      </w:r>
      <w:r w:rsidR="00C556B8" w:rsidRPr="008E7A2C">
        <w:rPr>
          <w:rFonts w:cs="Arial"/>
          <w:color w:val="000000" w:themeColor="text1"/>
          <w:sz w:val="20"/>
          <w:szCs w:val="20"/>
        </w:rPr>
        <w:t xml:space="preserve"> total exp</w:t>
      </w:r>
      <w:r w:rsidR="003331FE">
        <w:rPr>
          <w:rFonts w:cs="Arial"/>
          <w:color w:val="000000" w:themeColor="text1"/>
          <w:sz w:val="20"/>
          <w:szCs w:val="20"/>
        </w:rPr>
        <w:t xml:space="preserve">enditure out-turn variation </w:t>
      </w:r>
      <w:r w:rsidR="00C556B8" w:rsidRPr="008E7A2C">
        <w:rPr>
          <w:rFonts w:cs="Arial"/>
          <w:color w:val="000000" w:themeColor="text1"/>
          <w:sz w:val="20"/>
          <w:szCs w:val="20"/>
        </w:rPr>
        <w:t>exceed</w:t>
      </w:r>
      <w:r w:rsidR="003331FE">
        <w:rPr>
          <w:rFonts w:cs="Arial"/>
          <w:color w:val="000000" w:themeColor="text1"/>
          <w:sz w:val="20"/>
          <w:szCs w:val="20"/>
        </w:rPr>
        <w:t>ed</w:t>
      </w:r>
      <w:r w:rsidR="00C556B8" w:rsidRPr="008E7A2C">
        <w:rPr>
          <w:rFonts w:cs="Arial"/>
          <w:color w:val="000000" w:themeColor="text1"/>
          <w:sz w:val="20"/>
          <w:szCs w:val="20"/>
        </w:rPr>
        <w:t xml:space="preserve"> 10% in two years, the composition variance by economic </w:t>
      </w:r>
      <w:r w:rsidR="002D5916">
        <w:rPr>
          <w:rFonts w:cs="Arial"/>
          <w:color w:val="000000" w:themeColor="text1"/>
          <w:sz w:val="20"/>
          <w:szCs w:val="20"/>
        </w:rPr>
        <w:t>classification is reasonable (rated ‘C+</w:t>
      </w:r>
      <w:r w:rsidR="00C556B8" w:rsidRPr="008E7A2C">
        <w:rPr>
          <w:rFonts w:cs="Arial"/>
          <w:color w:val="000000" w:themeColor="text1"/>
          <w:sz w:val="20"/>
          <w:szCs w:val="20"/>
        </w:rPr>
        <w:t>’), a</w:t>
      </w:r>
      <w:r>
        <w:rPr>
          <w:rFonts w:cs="Arial"/>
          <w:color w:val="000000" w:themeColor="text1"/>
          <w:sz w:val="20"/>
          <w:szCs w:val="20"/>
        </w:rPr>
        <w:t>s is a</w:t>
      </w:r>
      <w:r w:rsidR="00C556B8" w:rsidRPr="008E7A2C">
        <w:rPr>
          <w:rFonts w:cs="Arial"/>
          <w:color w:val="000000" w:themeColor="text1"/>
          <w:sz w:val="20"/>
          <w:szCs w:val="20"/>
        </w:rPr>
        <w:t xml:space="preserve"> comparison of revenue estimates to actual outturns (PI-3, rated ‘B’</w:t>
      </w:r>
      <w:r w:rsidR="008A6B23">
        <w:rPr>
          <w:rFonts w:cs="Arial"/>
          <w:color w:val="000000" w:themeColor="text1"/>
          <w:sz w:val="20"/>
          <w:szCs w:val="20"/>
        </w:rPr>
        <w:t>):</w:t>
      </w:r>
      <w:r w:rsidR="00C556B8" w:rsidRPr="008E7A2C">
        <w:rPr>
          <w:rFonts w:cs="Arial"/>
          <w:color w:val="000000" w:themeColor="text1"/>
          <w:sz w:val="20"/>
          <w:szCs w:val="20"/>
        </w:rPr>
        <w:t xml:space="preserve"> collections regularly meet and even exceed </w:t>
      </w:r>
      <w:r w:rsidR="000252C8">
        <w:rPr>
          <w:rFonts w:cs="Arial"/>
          <w:color w:val="000000" w:themeColor="text1"/>
          <w:sz w:val="20"/>
          <w:szCs w:val="20"/>
        </w:rPr>
        <w:t>target</w:t>
      </w:r>
      <w:r w:rsidR="00781FCF">
        <w:rPr>
          <w:rFonts w:cs="Arial"/>
          <w:color w:val="000000" w:themeColor="text1"/>
          <w:sz w:val="20"/>
          <w:szCs w:val="20"/>
        </w:rPr>
        <w:t>s</w:t>
      </w:r>
      <w:r w:rsidR="00132E41">
        <w:rPr>
          <w:rFonts w:cs="Arial"/>
          <w:color w:val="000000" w:themeColor="text1"/>
          <w:sz w:val="20"/>
          <w:szCs w:val="20"/>
        </w:rPr>
        <w:t>,</w:t>
      </w:r>
      <w:r w:rsidR="00C556B8" w:rsidRPr="008E7A2C">
        <w:rPr>
          <w:rFonts w:cs="Arial"/>
          <w:color w:val="000000" w:themeColor="text1"/>
          <w:sz w:val="20"/>
          <w:szCs w:val="20"/>
        </w:rPr>
        <w:t xml:space="preserve"> due to the increased effectiveness of the Revenue Authority.  </w:t>
      </w:r>
    </w:p>
    <w:p w14:paraId="69C6E09F" w14:textId="77777777" w:rsidR="00C556B8" w:rsidRPr="00494668" w:rsidRDefault="00C556B8" w:rsidP="00C556B8">
      <w:pPr>
        <w:pStyle w:val="Default"/>
        <w:spacing w:line="276" w:lineRule="auto"/>
        <w:rPr>
          <w:rFonts w:ascii="Arial" w:hAnsi="Arial" w:cs="Arial"/>
          <w:sz w:val="20"/>
        </w:rPr>
      </w:pPr>
    </w:p>
    <w:p w14:paraId="0DA427C1" w14:textId="73EAEFE5" w:rsidR="00C556B8" w:rsidRDefault="002D5916" w:rsidP="00C556B8">
      <w:pPr>
        <w:pStyle w:val="Heading3"/>
        <w:ind w:left="0"/>
      </w:pPr>
      <w:bookmarkStart w:id="2" w:name="_Toc301352242"/>
      <w:bookmarkStart w:id="3" w:name="_Toc434503076"/>
      <w:r>
        <w:t>T</w:t>
      </w:r>
      <w:r w:rsidR="00C556B8" w:rsidRPr="00564135">
        <w:t>ransparency</w:t>
      </w:r>
      <w:bookmarkEnd w:id="2"/>
      <w:bookmarkEnd w:id="3"/>
      <w:r>
        <w:t xml:space="preserve"> of public finances</w:t>
      </w:r>
    </w:p>
    <w:tbl>
      <w:tblPr>
        <w:tblStyle w:val="TabelEcorys2"/>
        <w:tblW w:w="4992" w:type="pct"/>
        <w:tblInd w:w="0" w:type="dxa"/>
        <w:tblBorders>
          <w:top w:val="single" w:sz="4" w:space="0" w:color="006DB6"/>
          <w:left w:val="single" w:sz="4" w:space="0" w:color="006DB6"/>
          <w:bottom w:val="single" w:sz="4" w:space="0" w:color="006DB6"/>
          <w:right w:val="single" w:sz="4" w:space="0" w:color="006DB6"/>
          <w:insideH w:val="single" w:sz="6" w:space="0" w:color="006DB6"/>
          <w:insideV w:val="single" w:sz="6" w:space="0" w:color="006DB6"/>
        </w:tblBorders>
        <w:tblLook w:val="01E0" w:firstRow="1" w:lastRow="1" w:firstColumn="1" w:lastColumn="1" w:noHBand="0" w:noVBand="0"/>
      </w:tblPr>
      <w:tblGrid>
        <w:gridCol w:w="694"/>
        <w:gridCol w:w="5730"/>
        <w:gridCol w:w="426"/>
        <w:gridCol w:w="426"/>
        <w:gridCol w:w="432"/>
        <w:gridCol w:w="378"/>
        <w:gridCol w:w="910"/>
      </w:tblGrid>
      <w:tr w:rsidR="00796BD9" w:rsidRPr="00595782" w14:paraId="3E47BAF2" w14:textId="77777777" w:rsidTr="00796BD9">
        <w:trPr>
          <w:tblHeader/>
        </w:trPr>
        <w:tc>
          <w:tcPr>
            <w:tcW w:w="3569" w:type="pct"/>
            <w:gridSpan w:val="2"/>
            <w:vMerge w:val="restart"/>
            <w:tcBorders>
              <w:top w:val="single" w:sz="4" w:space="0" w:color="006DB6"/>
              <w:bottom w:val="single" w:sz="4" w:space="0" w:color="FFFFFF" w:themeColor="background1"/>
              <w:right w:val="single" w:sz="4" w:space="0" w:color="FFFFFF" w:themeColor="background1"/>
            </w:tcBorders>
            <w:shd w:val="clear" w:color="auto" w:fill="006DB6"/>
            <w:tcMar>
              <w:top w:w="14" w:type="dxa"/>
            </w:tcMar>
            <w:vAlign w:val="center"/>
          </w:tcPr>
          <w:p w14:paraId="6D95D17B" w14:textId="20E7D887" w:rsidR="00796BD9" w:rsidRPr="00595782" w:rsidRDefault="00796BD9" w:rsidP="002D5916">
            <w:pPr>
              <w:rPr>
                <w:rFonts w:cs="Arial"/>
                <w:b/>
                <w:color w:val="FFFFFF"/>
                <w:sz w:val="16"/>
                <w:szCs w:val="16"/>
                <w:lang w:eastAsia="en-US"/>
              </w:rPr>
            </w:pPr>
            <w:r w:rsidRPr="00796BD9">
              <w:rPr>
                <w:rFonts w:cs="Arial"/>
                <w:b/>
                <w:iCs/>
                <w:color w:val="FFFFFF" w:themeColor="background1"/>
                <w:sz w:val="20"/>
                <w:szCs w:val="16"/>
                <w:lang w:eastAsia="en-US"/>
              </w:rPr>
              <w:t>II. Transparency</w:t>
            </w:r>
            <w:r w:rsidR="002D5916">
              <w:rPr>
                <w:rFonts w:cs="Arial"/>
                <w:b/>
                <w:iCs/>
                <w:color w:val="FFFFFF" w:themeColor="background1"/>
                <w:sz w:val="20"/>
                <w:szCs w:val="16"/>
                <w:lang w:eastAsia="en-US"/>
              </w:rPr>
              <w:t xml:space="preserve"> of public finances</w:t>
            </w:r>
          </w:p>
        </w:tc>
        <w:tc>
          <w:tcPr>
            <w:tcW w:w="924" w:type="pct"/>
            <w:gridSpan w:val="4"/>
            <w:tcBorders>
              <w:top w:val="single" w:sz="4" w:space="0" w:color="006DB6"/>
              <w:left w:val="single" w:sz="4" w:space="0" w:color="FFFFFF" w:themeColor="background1"/>
              <w:bottom w:val="single" w:sz="4" w:space="0" w:color="FFFFFF" w:themeColor="background1"/>
              <w:right w:val="single" w:sz="4" w:space="0" w:color="FFFFFF" w:themeColor="background1"/>
            </w:tcBorders>
            <w:shd w:val="clear" w:color="auto" w:fill="006DB6"/>
            <w:tcMar>
              <w:top w:w="14" w:type="dxa"/>
            </w:tcMar>
            <w:vAlign w:val="center"/>
          </w:tcPr>
          <w:p w14:paraId="279248A2" w14:textId="77777777" w:rsidR="00796BD9" w:rsidRPr="00595782" w:rsidRDefault="00796BD9" w:rsidP="00DD2511">
            <w:pPr>
              <w:jc w:val="center"/>
              <w:rPr>
                <w:rFonts w:cs="Arial"/>
                <w:b/>
                <w:color w:val="FFFFFF"/>
                <w:spacing w:val="-14"/>
                <w:sz w:val="16"/>
                <w:szCs w:val="16"/>
                <w:lang w:eastAsia="en-US"/>
              </w:rPr>
            </w:pPr>
            <w:r w:rsidRPr="00595782">
              <w:rPr>
                <w:rFonts w:cs="Arial"/>
                <w:b/>
                <w:color w:val="FFFFFF"/>
                <w:spacing w:val="-14"/>
                <w:sz w:val="16"/>
                <w:szCs w:val="16"/>
                <w:lang w:eastAsia="en-US"/>
              </w:rPr>
              <w:t>Dimension Ratings</w:t>
            </w:r>
          </w:p>
        </w:tc>
        <w:tc>
          <w:tcPr>
            <w:tcW w:w="507" w:type="pct"/>
            <w:vMerge w:val="restart"/>
            <w:tcBorders>
              <w:top w:val="single" w:sz="4" w:space="0" w:color="006DB6"/>
              <w:left w:val="single" w:sz="4" w:space="0" w:color="FFFFFF" w:themeColor="background1"/>
              <w:bottom w:val="single" w:sz="4" w:space="0" w:color="FFFFFF" w:themeColor="background1"/>
            </w:tcBorders>
            <w:shd w:val="clear" w:color="auto" w:fill="006DB6"/>
            <w:tcMar>
              <w:top w:w="14" w:type="dxa"/>
            </w:tcMar>
            <w:vAlign w:val="center"/>
          </w:tcPr>
          <w:p w14:paraId="31F92686" w14:textId="77777777" w:rsidR="00796BD9" w:rsidRPr="00595782" w:rsidRDefault="00796BD9" w:rsidP="00DD2511">
            <w:pPr>
              <w:rPr>
                <w:rFonts w:cs="Arial"/>
                <w:b/>
                <w:color w:val="FFFFFF"/>
                <w:spacing w:val="-14"/>
                <w:sz w:val="16"/>
                <w:szCs w:val="16"/>
                <w:lang w:eastAsia="en-US"/>
              </w:rPr>
            </w:pPr>
            <w:r w:rsidRPr="00595782">
              <w:rPr>
                <w:rFonts w:cs="Arial"/>
                <w:b/>
                <w:color w:val="FFFFFF"/>
                <w:spacing w:val="-14"/>
                <w:sz w:val="16"/>
                <w:szCs w:val="16"/>
                <w:lang w:eastAsia="en-US"/>
              </w:rPr>
              <w:t>Overall Rating</w:t>
            </w:r>
          </w:p>
        </w:tc>
      </w:tr>
      <w:tr w:rsidR="00796BD9" w:rsidRPr="00595782" w14:paraId="5CC353B6" w14:textId="77777777" w:rsidTr="00796BD9">
        <w:trPr>
          <w:tblHeader/>
        </w:trPr>
        <w:tc>
          <w:tcPr>
            <w:tcW w:w="3569" w:type="pct"/>
            <w:gridSpan w:val="2"/>
            <w:vMerge/>
            <w:tcBorders>
              <w:top w:val="single" w:sz="4" w:space="0" w:color="FFFFFF" w:themeColor="background1"/>
              <w:bottom w:val="single" w:sz="4" w:space="0" w:color="006DB6"/>
              <w:right w:val="single" w:sz="4" w:space="0" w:color="FFFFFF" w:themeColor="background1"/>
            </w:tcBorders>
            <w:tcMar>
              <w:top w:w="14" w:type="dxa"/>
            </w:tcMar>
            <w:vAlign w:val="center"/>
          </w:tcPr>
          <w:p w14:paraId="60DBAEB4" w14:textId="77777777" w:rsidR="00796BD9" w:rsidRPr="00595782" w:rsidRDefault="00796BD9" w:rsidP="00DD2511">
            <w:pPr>
              <w:rPr>
                <w:rFonts w:cs="Arial"/>
                <w:sz w:val="16"/>
                <w:szCs w:val="16"/>
                <w:lang w:eastAsia="en-US"/>
              </w:rPr>
            </w:pPr>
          </w:p>
        </w:tc>
        <w:tc>
          <w:tcPr>
            <w:tcW w:w="237"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66CA1298" w14:textId="77777777" w:rsidR="00796BD9" w:rsidRPr="00595782" w:rsidRDefault="00796BD9" w:rsidP="00DD2511">
            <w:pPr>
              <w:numPr>
                <w:ilvl w:val="0"/>
                <w:numId w:val="3"/>
              </w:numPr>
              <w:jc w:val="center"/>
              <w:rPr>
                <w:rFonts w:cs="Arial"/>
                <w:b/>
                <w:color w:val="FFFFFF" w:themeColor="background1"/>
                <w:sz w:val="16"/>
                <w:szCs w:val="16"/>
                <w:lang w:eastAsia="en-US"/>
              </w:rPr>
            </w:pPr>
          </w:p>
        </w:tc>
        <w:tc>
          <w:tcPr>
            <w:tcW w:w="237"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71383DF0" w14:textId="77777777" w:rsidR="00796BD9" w:rsidRPr="00595782" w:rsidRDefault="00796BD9" w:rsidP="00DD2511">
            <w:pPr>
              <w:numPr>
                <w:ilvl w:val="0"/>
                <w:numId w:val="3"/>
              </w:numPr>
              <w:jc w:val="center"/>
              <w:rPr>
                <w:rFonts w:cs="Arial"/>
                <w:b/>
                <w:color w:val="FFFFFF" w:themeColor="background1"/>
                <w:sz w:val="16"/>
                <w:szCs w:val="16"/>
                <w:lang w:eastAsia="en-US"/>
              </w:rPr>
            </w:pPr>
          </w:p>
        </w:tc>
        <w:tc>
          <w:tcPr>
            <w:tcW w:w="240"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15AD0F89" w14:textId="77777777" w:rsidR="00796BD9" w:rsidRPr="00595782" w:rsidRDefault="00796BD9" w:rsidP="00DD2511">
            <w:pPr>
              <w:numPr>
                <w:ilvl w:val="0"/>
                <w:numId w:val="3"/>
              </w:numPr>
              <w:jc w:val="center"/>
              <w:rPr>
                <w:rFonts w:cs="Arial"/>
                <w:b/>
                <w:color w:val="FFFFFF" w:themeColor="background1"/>
                <w:sz w:val="16"/>
                <w:szCs w:val="16"/>
                <w:lang w:eastAsia="en-US"/>
              </w:rPr>
            </w:pPr>
          </w:p>
        </w:tc>
        <w:tc>
          <w:tcPr>
            <w:tcW w:w="210"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2B39AB40" w14:textId="77777777" w:rsidR="00796BD9" w:rsidRPr="00595782" w:rsidRDefault="00796BD9" w:rsidP="00DD2511">
            <w:pPr>
              <w:numPr>
                <w:ilvl w:val="0"/>
                <w:numId w:val="3"/>
              </w:numPr>
              <w:jc w:val="center"/>
              <w:rPr>
                <w:rFonts w:cs="Arial"/>
                <w:b/>
                <w:color w:val="FFFFFF" w:themeColor="background1"/>
                <w:sz w:val="16"/>
                <w:szCs w:val="16"/>
                <w:lang w:eastAsia="en-US"/>
              </w:rPr>
            </w:pPr>
          </w:p>
        </w:tc>
        <w:tc>
          <w:tcPr>
            <w:tcW w:w="507" w:type="pct"/>
            <w:vMerge/>
            <w:tcBorders>
              <w:top w:val="single" w:sz="4" w:space="0" w:color="FFFFFF" w:themeColor="background1"/>
              <w:left w:val="single" w:sz="4" w:space="0" w:color="FFFFFF" w:themeColor="background1"/>
              <w:bottom w:val="single" w:sz="4" w:space="0" w:color="006DB6"/>
            </w:tcBorders>
            <w:tcMar>
              <w:top w:w="14" w:type="dxa"/>
            </w:tcMar>
            <w:vAlign w:val="center"/>
          </w:tcPr>
          <w:p w14:paraId="5E6B7DBB" w14:textId="77777777" w:rsidR="00796BD9" w:rsidRPr="00595782" w:rsidRDefault="00796BD9" w:rsidP="00DD2511">
            <w:pPr>
              <w:rPr>
                <w:rFonts w:cs="Arial"/>
                <w:sz w:val="16"/>
                <w:szCs w:val="16"/>
                <w:lang w:eastAsia="en-US"/>
              </w:rPr>
            </w:pPr>
          </w:p>
        </w:tc>
      </w:tr>
      <w:tr w:rsidR="00796BD9" w:rsidRPr="00595782" w14:paraId="3613A76F" w14:textId="77777777" w:rsidTr="00796BD9">
        <w:tc>
          <w:tcPr>
            <w:tcW w:w="385" w:type="pct"/>
            <w:tcBorders>
              <w:top w:val="single" w:sz="6" w:space="0" w:color="006DB6"/>
            </w:tcBorders>
            <w:tcMar>
              <w:top w:w="14" w:type="dxa"/>
            </w:tcMar>
          </w:tcPr>
          <w:p w14:paraId="4C6F52B8" w14:textId="77777777" w:rsidR="00796BD9" w:rsidRPr="008A6B23" w:rsidRDefault="00796BD9" w:rsidP="00DD2511">
            <w:pPr>
              <w:ind w:left="-45"/>
              <w:rPr>
                <w:rFonts w:cs="Arial"/>
                <w:szCs w:val="18"/>
                <w:lang w:eastAsia="en-US"/>
              </w:rPr>
            </w:pPr>
            <w:r w:rsidRPr="008A6B23">
              <w:rPr>
                <w:rFonts w:cs="Arial"/>
                <w:szCs w:val="18"/>
                <w:lang w:eastAsia="en-US"/>
              </w:rPr>
              <w:t>PI-4</w:t>
            </w:r>
          </w:p>
        </w:tc>
        <w:tc>
          <w:tcPr>
            <w:tcW w:w="3185" w:type="pct"/>
            <w:tcBorders>
              <w:top w:val="single" w:sz="6" w:space="0" w:color="006DB6"/>
            </w:tcBorders>
            <w:tcMar>
              <w:top w:w="14" w:type="dxa"/>
            </w:tcMar>
          </w:tcPr>
          <w:p w14:paraId="65C5425F" w14:textId="7C9CCB15" w:rsidR="00796BD9" w:rsidRPr="008A6B23" w:rsidRDefault="002D5916" w:rsidP="002D5916">
            <w:pPr>
              <w:rPr>
                <w:rFonts w:cs="Arial"/>
                <w:szCs w:val="18"/>
                <w:lang w:eastAsia="en-US"/>
              </w:rPr>
            </w:pPr>
            <w:r>
              <w:rPr>
                <w:rFonts w:cs="Arial"/>
                <w:szCs w:val="18"/>
                <w:lang w:eastAsia="en-US"/>
              </w:rPr>
              <w:t>Budget c</w:t>
            </w:r>
            <w:r w:rsidR="00796BD9" w:rsidRPr="008A6B23">
              <w:rPr>
                <w:rFonts w:cs="Arial"/>
                <w:szCs w:val="18"/>
                <w:lang w:eastAsia="en-US"/>
              </w:rPr>
              <w:t>lassification</w:t>
            </w:r>
          </w:p>
        </w:tc>
        <w:tc>
          <w:tcPr>
            <w:tcW w:w="237" w:type="pct"/>
            <w:tcBorders>
              <w:top w:val="single" w:sz="6" w:space="0" w:color="006DB6"/>
            </w:tcBorders>
            <w:tcMar>
              <w:top w:w="14" w:type="dxa"/>
            </w:tcMar>
          </w:tcPr>
          <w:p w14:paraId="5B901512" w14:textId="77777777" w:rsidR="00796BD9" w:rsidRPr="00181CF0" w:rsidRDefault="00796BD9" w:rsidP="00DD2511">
            <w:pPr>
              <w:jc w:val="center"/>
              <w:rPr>
                <w:rFonts w:cs="Arial"/>
                <w:szCs w:val="16"/>
                <w:lang w:eastAsia="en-US"/>
              </w:rPr>
            </w:pPr>
            <w:r w:rsidRPr="00181CF0">
              <w:rPr>
                <w:rFonts w:cs="Arial"/>
                <w:szCs w:val="16"/>
                <w:lang w:eastAsia="en-US"/>
              </w:rPr>
              <w:t>A</w:t>
            </w:r>
          </w:p>
        </w:tc>
        <w:tc>
          <w:tcPr>
            <w:tcW w:w="237" w:type="pct"/>
            <w:tcBorders>
              <w:top w:val="single" w:sz="6" w:space="0" w:color="006DB6"/>
              <w:bottom w:val="single" w:sz="6" w:space="0" w:color="006DB6"/>
            </w:tcBorders>
            <w:shd w:val="clear" w:color="auto" w:fill="D5DCE4" w:themeFill="text2" w:themeFillTint="33"/>
            <w:tcMar>
              <w:top w:w="14" w:type="dxa"/>
            </w:tcMar>
          </w:tcPr>
          <w:p w14:paraId="41853638" w14:textId="77777777" w:rsidR="00796BD9" w:rsidRPr="00181CF0" w:rsidRDefault="00796BD9" w:rsidP="00DD2511">
            <w:pPr>
              <w:jc w:val="center"/>
              <w:rPr>
                <w:rFonts w:cs="Arial"/>
                <w:szCs w:val="16"/>
                <w:lang w:eastAsia="en-US"/>
              </w:rPr>
            </w:pPr>
          </w:p>
        </w:tc>
        <w:tc>
          <w:tcPr>
            <w:tcW w:w="240" w:type="pct"/>
            <w:tcBorders>
              <w:top w:val="single" w:sz="6" w:space="0" w:color="006DB6"/>
              <w:bottom w:val="single" w:sz="6" w:space="0" w:color="006DB6"/>
            </w:tcBorders>
            <w:shd w:val="clear" w:color="auto" w:fill="D5DCE4" w:themeFill="text2" w:themeFillTint="33"/>
            <w:tcMar>
              <w:top w:w="14" w:type="dxa"/>
            </w:tcMar>
          </w:tcPr>
          <w:p w14:paraId="2E7DE4A7" w14:textId="77777777" w:rsidR="00796BD9" w:rsidRPr="00181CF0" w:rsidRDefault="00796BD9" w:rsidP="00DD2511">
            <w:pPr>
              <w:jc w:val="center"/>
              <w:rPr>
                <w:rFonts w:cs="Arial"/>
                <w:szCs w:val="16"/>
                <w:lang w:eastAsia="en-US"/>
              </w:rPr>
            </w:pPr>
          </w:p>
        </w:tc>
        <w:tc>
          <w:tcPr>
            <w:tcW w:w="210" w:type="pct"/>
            <w:tcBorders>
              <w:top w:val="single" w:sz="6" w:space="0" w:color="006DB6"/>
              <w:bottom w:val="single" w:sz="6" w:space="0" w:color="006DB6"/>
            </w:tcBorders>
            <w:shd w:val="clear" w:color="auto" w:fill="D5DCE4" w:themeFill="text2" w:themeFillTint="33"/>
            <w:tcMar>
              <w:top w:w="14" w:type="dxa"/>
            </w:tcMar>
          </w:tcPr>
          <w:p w14:paraId="2EB99A22" w14:textId="77777777" w:rsidR="00796BD9" w:rsidRPr="00181CF0" w:rsidRDefault="00796BD9" w:rsidP="00DD2511">
            <w:pPr>
              <w:jc w:val="center"/>
              <w:rPr>
                <w:rFonts w:cs="Arial"/>
                <w:szCs w:val="16"/>
                <w:lang w:eastAsia="en-US"/>
              </w:rPr>
            </w:pPr>
          </w:p>
        </w:tc>
        <w:tc>
          <w:tcPr>
            <w:tcW w:w="507" w:type="pct"/>
            <w:tcBorders>
              <w:top w:val="single" w:sz="6" w:space="0" w:color="006DB6"/>
            </w:tcBorders>
            <w:tcMar>
              <w:top w:w="14" w:type="dxa"/>
              <w:left w:w="288" w:type="dxa"/>
            </w:tcMar>
          </w:tcPr>
          <w:p w14:paraId="215ADE6C" w14:textId="77777777" w:rsidR="00796BD9" w:rsidRPr="00460F54" w:rsidRDefault="00796BD9" w:rsidP="00DD2511">
            <w:pPr>
              <w:rPr>
                <w:rFonts w:cs="Arial"/>
                <w:b/>
                <w:szCs w:val="16"/>
                <w:lang w:eastAsia="en-US"/>
              </w:rPr>
            </w:pPr>
            <w:r w:rsidRPr="00460F54">
              <w:rPr>
                <w:rFonts w:cs="Arial"/>
                <w:b/>
                <w:szCs w:val="16"/>
                <w:lang w:eastAsia="en-US"/>
              </w:rPr>
              <w:t>A</w:t>
            </w:r>
          </w:p>
        </w:tc>
      </w:tr>
      <w:tr w:rsidR="00796BD9" w:rsidRPr="00595782" w14:paraId="01BB5800" w14:textId="77777777" w:rsidTr="00796BD9">
        <w:tc>
          <w:tcPr>
            <w:tcW w:w="385" w:type="pct"/>
            <w:tcMar>
              <w:top w:w="14" w:type="dxa"/>
            </w:tcMar>
          </w:tcPr>
          <w:p w14:paraId="2B0B0AC4" w14:textId="77777777" w:rsidR="00796BD9" w:rsidRPr="008A6B23" w:rsidRDefault="00796BD9" w:rsidP="00DD2511">
            <w:pPr>
              <w:ind w:left="-45"/>
              <w:rPr>
                <w:rFonts w:cs="Arial"/>
                <w:szCs w:val="18"/>
                <w:lang w:eastAsia="en-US"/>
              </w:rPr>
            </w:pPr>
            <w:r w:rsidRPr="008A6B23">
              <w:rPr>
                <w:rFonts w:cs="Arial"/>
                <w:szCs w:val="18"/>
                <w:lang w:eastAsia="en-US"/>
              </w:rPr>
              <w:t>PI-5</w:t>
            </w:r>
          </w:p>
        </w:tc>
        <w:tc>
          <w:tcPr>
            <w:tcW w:w="3185" w:type="pct"/>
            <w:tcMar>
              <w:top w:w="14" w:type="dxa"/>
            </w:tcMar>
          </w:tcPr>
          <w:p w14:paraId="61A8D8F1" w14:textId="467D20BB" w:rsidR="00796BD9" w:rsidRPr="008A6B23" w:rsidRDefault="002D5916" w:rsidP="00DD2511">
            <w:pPr>
              <w:rPr>
                <w:rFonts w:cs="Arial"/>
                <w:szCs w:val="18"/>
                <w:lang w:eastAsia="en-US"/>
              </w:rPr>
            </w:pPr>
            <w:r>
              <w:rPr>
                <w:rFonts w:cs="Arial"/>
                <w:szCs w:val="18"/>
                <w:lang w:eastAsia="en-US"/>
              </w:rPr>
              <w:t>B</w:t>
            </w:r>
            <w:r w:rsidR="00796BD9" w:rsidRPr="008A6B23">
              <w:rPr>
                <w:rFonts w:cs="Arial"/>
                <w:szCs w:val="18"/>
                <w:lang w:eastAsia="en-US"/>
              </w:rPr>
              <w:t>udget doc</w:t>
            </w:r>
            <w:r>
              <w:rPr>
                <w:rFonts w:cs="Arial"/>
                <w:szCs w:val="18"/>
                <w:lang w:eastAsia="en-US"/>
              </w:rPr>
              <w:t>umentation</w:t>
            </w:r>
          </w:p>
        </w:tc>
        <w:tc>
          <w:tcPr>
            <w:tcW w:w="237" w:type="pct"/>
            <w:tcMar>
              <w:top w:w="14" w:type="dxa"/>
            </w:tcMar>
          </w:tcPr>
          <w:p w14:paraId="25978A4A" w14:textId="77777777" w:rsidR="00796BD9" w:rsidRPr="00F726BC" w:rsidRDefault="00796BD9" w:rsidP="00DD2511">
            <w:pPr>
              <w:jc w:val="center"/>
              <w:rPr>
                <w:rFonts w:cs="Arial"/>
                <w:szCs w:val="16"/>
                <w:lang w:eastAsia="en-US"/>
              </w:rPr>
            </w:pPr>
            <w:r w:rsidRPr="00F726BC">
              <w:rPr>
                <w:rFonts w:cs="Arial"/>
                <w:szCs w:val="16"/>
                <w:lang w:eastAsia="en-US"/>
              </w:rPr>
              <w:t>A</w:t>
            </w:r>
          </w:p>
        </w:tc>
        <w:tc>
          <w:tcPr>
            <w:tcW w:w="237" w:type="pct"/>
            <w:tcBorders>
              <w:top w:val="single" w:sz="6" w:space="0" w:color="006DB6"/>
              <w:bottom w:val="single" w:sz="6" w:space="0" w:color="006DB6"/>
            </w:tcBorders>
            <w:shd w:val="clear" w:color="auto" w:fill="D5DCE4" w:themeFill="text2" w:themeFillTint="33"/>
            <w:tcMar>
              <w:top w:w="14" w:type="dxa"/>
            </w:tcMar>
          </w:tcPr>
          <w:p w14:paraId="41A11292" w14:textId="77777777" w:rsidR="00796BD9" w:rsidRPr="00F726BC" w:rsidRDefault="00796BD9" w:rsidP="00DD2511">
            <w:pPr>
              <w:jc w:val="center"/>
              <w:rPr>
                <w:rFonts w:cs="Arial"/>
                <w:szCs w:val="16"/>
                <w:lang w:eastAsia="en-US"/>
              </w:rPr>
            </w:pPr>
          </w:p>
        </w:tc>
        <w:tc>
          <w:tcPr>
            <w:tcW w:w="240" w:type="pct"/>
            <w:tcBorders>
              <w:top w:val="single" w:sz="6" w:space="0" w:color="006DB6"/>
              <w:bottom w:val="single" w:sz="6" w:space="0" w:color="006DB6"/>
            </w:tcBorders>
            <w:shd w:val="clear" w:color="auto" w:fill="D5DCE4" w:themeFill="text2" w:themeFillTint="33"/>
            <w:tcMar>
              <w:top w:w="14" w:type="dxa"/>
            </w:tcMar>
          </w:tcPr>
          <w:p w14:paraId="5B525523" w14:textId="77777777" w:rsidR="00796BD9" w:rsidRPr="00F726BC" w:rsidRDefault="00796BD9" w:rsidP="00DD2511">
            <w:pPr>
              <w:jc w:val="center"/>
              <w:rPr>
                <w:rFonts w:cs="Arial"/>
                <w:szCs w:val="16"/>
                <w:lang w:eastAsia="en-US"/>
              </w:rPr>
            </w:pPr>
          </w:p>
        </w:tc>
        <w:tc>
          <w:tcPr>
            <w:tcW w:w="210" w:type="pct"/>
            <w:tcBorders>
              <w:top w:val="single" w:sz="6" w:space="0" w:color="006DB6"/>
              <w:bottom w:val="single" w:sz="6" w:space="0" w:color="006DB6"/>
            </w:tcBorders>
            <w:shd w:val="clear" w:color="auto" w:fill="D5DCE4" w:themeFill="text2" w:themeFillTint="33"/>
            <w:tcMar>
              <w:top w:w="14" w:type="dxa"/>
            </w:tcMar>
          </w:tcPr>
          <w:p w14:paraId="0099015A" w14:textId="77777777" w:rsidR="00796BD9" w:rsidRPr="00F726BC" w:rsidRDefault="00796BD9" w:rsidP="00DD2511">
            <w:pPr>
              <w:jc w:val="center"/>
              <w:rPr>
                <w:rFonts w:cs="Arial"/>
                <w:szCs w:val="16"/>
                <w:lang w:eastAsia="en-US"/>
              </w:rPr>
            </w:pPr>
          </w:p>
        </w:tc>
        <w:tc>
          <w:tcPr>
            <w:tcW w:w="507" w:type="pct"/>
            <w:tcMar>
              <w:top w:w="14" w:type="dxa"/>
              <w:left w:w="288" w:type="dxa"/>
            </w:tcMar>
          </w:tcPr>
          <w:p w14:paraId="08D580D0" w14:textId="77777777" w:rsidR="00796BD9" w:rsidRPr="00460F54" w:rsidRDefault="00796BD9" w:rsidP="00DD2511">
            <w:pPr>
              <w:rPr>
                <w:rFonts w:cs="Arial"/>
                <w:b/>
                <w:szCs w:val="16"/>
                <w:lang w:eastAsia="en-US"/>
              </w:rPr>
            </w:pPr>
            <w:r w:rsidRPr="00460F54">
              <w:rPr>
                <w:rFonts w:cs="Arial"/>
                <w:b/>
                <w:szCs w:val="16"/>
                <w:lang w:eastAsia="en-US"/>
              </w:rPr>
              <w:t>A</w:t>
            </w:r>
          </w:p>
        </w:tc>
      </w:tr>
      <w:tr w:rsidR="00796BD9" w:rsidRPr="00595782" w14:paraId="37BF5740" w14:textId="77777777" w:rsidTr="002D5916">
        <w:tc>
          <w:tcPr>
            <w:tcW w:w="385" w:type="pct"/>
            <w:tcMar>
              <w:top w:w="14" w:type="dxa"/>
            </w:tcMar>
          </w:tcPr>
          <w:p w14:paraId="0B2BABF7" w14:textId="77777777" w:rsidR="00796BD9" w:rsidRPr="008A6B23" w:rsidRDefault="00796BD9" w:rsidP="00DD2511">
            <w:pPr>
              <w:ind w:left="-45"/>
              <w:rPr>
                <w:rFonts w:cs="Arial"/>
                <w:szCs w:val="18"/>
                <w:lang w:eastAsia="en-US"/>
              </w:rPr>
            </w:pPr>
            <w:r w:rsidRPr="008A6B23">
              <w:rPr>
                <w:rFonts w:cs="Arial"/>
                <w:szCs w:val="18"/>
                <w:lang w:eastAsia="en-US"/>
              </w:rPr>
              <w:t>PI-6</w:t>
            </w:r>
          </w:p>
        </w:tc>
        <w:tc>
          <w:tcPr>
            <w:tcW w:w="3185" w:type="pct"/>
            <w:tcMar>
              <w:top w:w="14" w:type="dxa"/>
            </w:tcMar>
          </w:tcPr>
          <w:p w14:paraId="2570E828" w14:textId="4B34C750" w:rsidR="00796BD9" w:rsidRPr="008A6B23" w:rsidRDefault="002D5916" w:rsidP="00DD2511">
            <w:pPr>
              <w:rPr>
                <w:rFonts w:cs="Arial"/>
                <w:szCs w:val="18"/>
                <w:lang w:eastAsia="en-US"/>
              </w:rPr>
            </w:pPr>
            <w:r>
              <w:rPr>
                <w:rFonts w:cs="Arial"/>
                <w:szCs w:val="18"/>
                <w:lang w:eastAsia="en-US"/>
              </w:rPr>
              <w:t>Central government operations outside financial</w:t>
            </w:r>
            <w:r w:rsidR="00796BD9" w:rsidRPr="008A6B23">
              <w:rPr>
                <w:rFonts w:cs="Arial"/>
                <w:szCs w:val="18"/>
                <w:lang w:eastAsia="en-US"/>
              </w:rPr>
              <w:t xml:space="preserve"> reports</w:t>
            </w:r>
          </w:p>
        </w:tc>
        <w:tc>
          <w:tcPr>
            <w:tcW w:w="237" w:type="pct"/>
            <w:tcMar>
              <w:top w:w="14" w:type="dxa"/>
            </w:tcMar>
          </w:tcPr>
          <w:p w14:paraId="778708F1" w14:textId="77777777" w:rsidR="00796BD9" w:rsidRPr="00F726BC" w:rsidRDefault="00796BD9" w:rsidP="00DD2511">
            <w:pPr>
              <w:jc w:val="center"/>
              <w:rPr>
                <w:rFonts w:cs="Arial"/>
                <w:szCs w:val="16"/>
                <w:lang w:eastAsia="en-US"/>
              </w:rPr>
            </w:pPr>
            <w:r w:rsidRPr="00F726BC">
              <w:rPr>
                <w:rFonts w:cs="Arial"/>
                <w:szCs w:val="16"/>
                <w:lang w:eastAsia="en-US"/>
              </w:rPr>
              <w:t>A</w:t>
            </w:r>
          </w:p>
        </w:tc>
        <w:tc>
          <w:tcPr>
            <w:tcW w:w="237" w:type="pct"/>
            <w:tcBorders>
              <w:top w:val="single" w:sz="6" w:space="0" w:color="006DB6"/>
            </w:tcBorders>
            <w:tcMar>
              <w:top w:w="14" w:type="dxa"/>
            </w:tcMar>
          </w:tcPr>
          <w:p w14:paraId="126F0AA0" w14:textId="77777777" w:rsidR="00796BD9" w:rsidRPr="00F726BC" w:rsidRDefault="00796BD9" w:rsidP="00DD2511">
            <w:pPr>
              <w:jc w:val="center"/>
              <w:rPr>
                <w:rFonts w:cs="Arial"/>
                <w:szCs w:val="16"/>
                <w:lang w:eastAsia="en-US"/>
              </w:rPr>
            </w:pPr>
            <w:r w:rsidRPr="00F726BC">
              <w:rPr>
                <w:rFonts w:cs="Arial"/>
                <w:szCs w:val="16"/>
                <w:lang w:eastAsia="en-US"/>
              </w:rPr>
              <w:t>C</w:t>
            </w:r>
          </w:p>
        </w:tc>
        <w:tc>
          <w:tcPr>
            <w:tcW w:w="240" w:type="pct"/>
            <w:tcBorders>
              <w:top w:val="single" w:sz="6" w:space="0" w:color="006DB6"/>
              <w:bottom w:val="single" w:sz="6" w:space="0" w:color="006DB6"/>
            </w:tcBorders>
            <w:shd w:val="clear" w:color="auto" w:fill="auto"/>
            <w:tcMar>
              <w:top w:w="14" w:type="dxa"/>
            </w:tcMar>
          </w:tcPr>
          <w:p w14:paraId="48F76661" w14:textId="24C47F95" w:rsidR="00796BD9" w:rsidRPr="00F726BC" w:rsidRDefault="002D5916" w:rsidP="00DD2511">
            <w:pPr>
              <w:jc w:val="center"/>
              <w:rPr>
                <w:rFonts w:cs="Arial"/>
                <w:szCs w:val="16"/>
                <w:lang w:eastAsia="en-US"/>
              </w:rPr>
            </w:pPr>
            <w:r>
              <w:rPr>
                <w:rFonts w:cs="Arial"/>
                <w:szCs w:val="16"/>
                <w:lang w:eastAsia="en-US"/>
              </w:rPr>
              <w:t>B</w:t>
            </w:r>
          </w:p>
        </w:tc>
        <w:tc>
          <w:tcPr>
            <w:tcW w:w="210" w:type="pct"/>
            <w:tcBorders>
              <w:top w:val="single" w:sz="6" w:space="0" w:color="006DB6"/>
              <w:bottom w:val="single" w:sz="6" w:space="0" w:color="006DB6"/>
            </w:tcBorders>
            <w:shd w:val="clear" w:color="auto" w:fill="D5DCE4" w:themeFill="text2" w:themeFillTint="33"/>
            <w:tcMar>
              <w:top w:w="14" w:type="dxa"/>
            </w:tcMar>
          </w:tcPr>
          <w:p w14:paraId="561F714D" w14:textId="77777777" w:rsidR="00796BD9" w:rsidRPr="00F726BC" w:rsidRDefault="00796BD9" w:rsidP="00DD2511">
            <w:pPr>
              <w:jc w:val="center"/>
              <w:rPr>
                <w:rFonts w:cs="Arial"/>
                <w:szCs w:val="16"/>
                <w:lang w:eastAsia="en-US"/>
              </w:rPr>
            </w:pPr>
          </w:p>
        </w:tc>
        <w:tc>
          <w:tcPr>
            <w:tcW w:w="507" w:type="pct"/>
            <w:tcMar>
              <w:top w:w="14" w:type="dxa"/>
              <w:left w:w="288" w:type="dxa"/>
            </w:tcMar>
          </w:tcPr>
          <w:p w14:paraId="0F4A7D8E" w14:textId="77777777" w:rsidR="00796BD9" w:rsidRPr="00460F54" w:rsidRDefault="00796BD9" w:rsidP="00DD2511">
            <w:pPr>
              <w:rPr>
                <w:rFonts w:cs="Arial"/>
                <w:b/>
                <w:szCs w:val="16"/>
                <w:lang w:eastAsia="en-US"/>
              </w:rPr>
            </w:pPr>
            <w:r w:rsidRPr="00460F54">
              <w:rPr>
                <w:rFonts w:cs="Arial"/>
                <w:b/>
                <w:szCs w:val="16"/>
                <w:lang w:eastAsia="en-US"/>
              </w:rPr>
              <w:t>B</w:t>
            </w:r>
          </w:p>
        </w:tc>
      </w:tr>
      <w:tr w:rsidR="00796BD9" w:rsidRPr="00595782" w14:paraId="6D58B30E" w14:textId="77777777" w:rsidTr="00C63AE4">
        <w:tc>
          <w:tcPr>
            <w:tcW w:w="385" w:type="pct"/>
            <w:tcMar>
              <w:top w:w="14" w:type="dxa"/>
            </w:tcMar>
          </w:tcPr>
          <w:p w14:paraId="42830199" w14:textId="77777777" w:rsidR="00796BD9" w:rsidRPr="008A6B23" w:rsidRDefault="00796BD9" w:rsidP="00DD2511">
            <w:pPr>
              <w:ind w:left="-45"/>
              <w:rPr>
                <w:rFonts w:cs="Arial"/>
                <w:szCs w:val="18"/>
                <w:lang w:eastAsia="en-US"/>
              </w:rPr>
            </w:pPr>
            <w:r w:rsidRPr="008A6B23">
              <w:rPr>
                <w:rFonts w:cs="Arial"/>
                <w:szCs w:val="18"/>
                <w:lang w:eastAsia="en-US"/>
              </w:rPr>
              <w:t>PI-7</w:t>
            </w:r>
          </w:p>
        </w:tc>
        <w:tc>
          <w:tcPr>
            <w:tcW w:w="3185" w:type="pct"/>
            <w:tcMar>
              <w:top w:w="14" w:type="dxa"/>
            </w:tcMar>
          </w:tcPr>
          <w:p w14:paraId="36E13222" w14:textId="214D2E67" w:rsidR="00796BD9" w:rsidRPr="008A6B23" w:rsidRDefault="002D5916" w:rsidP="00DD2511">
            <w:pPr>
              <w:rPr>
                <w:rFonts w:cs="Arial"/>
                <w:szCs w:val="18"/>
                <w:lang w:eastAsia="en-US"/>
              </w:rPr>
            </w:pPr>
            <w:r>
              <w:rPr>
                <w:rFonts w:cs="Arial"/>
                <w:szCs w:val="18"/>
                <w:lang w:eastAsia="en-US"/>
              </w:rPr>
              <w:t>Transfers to subnational government</w:t>
            </w:r>
            <w:r w:rsidR="00796BD9" w:rsidRPr="008A6B23">
              <w:rPr>
                <w:rFonts w:cs="Arial"/>
                <w:szCs w:val="18"/>
                <w:lang w:eastAsia="en-US"/>
              </w:rPr>
              <w:t>s</w:t>
            </w:r>
          </w:p>
        </w:tc>
        <w:tc>
          <w:tcPr>
            <w:tcW w:w="237" w:type="pct"/>
            <w:tcMar>
              <w:top w:w="14" w:type="dxa"/>
            </w:tcMar>
          </w:tcPr>
          <w:p w14:paraId="784D1D3D" w14:textId="77777777" w:rsidR="00796BD9" w:rsidRPr="00F726BC" w:rsidRDefault="00796BD9" w:rsidP="00DD2511">
            <w:pPr>
              <w:jc w:val="center"/>
              <w:rPr>
                <w:rFonts w:cs="Arial"/>
                <w:szCs w:val="16"/>
                <w:lang w:eastAsia="en-US"/>
              </w:rPr>
            </w:pPr>
            <w:r w:rsidRPr="00F726BC">
              <w:rPr>
                <w:rFonts w:cs="Arial"/>
                <w:szCs w:val="16"/>
                <w:lang w:eastAsia="en-US"/>
              </w:rPr>
              <w:t>A</w:t>
            </w:r>
          </w:p>
        </w:tc>
        <w:tc>
          <w:tcPr>
            <w:tcW w:w="237" w:type="pct"/>
            <w:tcMar>
              <w:top w:w="14" w:type="dxa"/>
            </w:tcMar>
          </w:tcPr>
          <w:p w14:paraId="416793AA" w14:textId="77777777" w:rsidR="00796BD9" w:rsidRPr="00F726BC" w:rsidRDefault="00796BD9" w:rsidP="00DD2511">
            <w:pPr>
              <w:jc w:val="center"/>
              <w:rPr>
                <w:rFonts w:cs="Arial"/>
                <w:szCs w:val="16"/>
                <w:lang w:eastAsia="en-US"/>
              </w:rPr>
            </w:pPr>
            <w:r>
              <w:rPr>
                <w:rFonts w:cs="Arial"/>
                <w:szCs w:val="16"/>
                <w:lang w:eastAsia="en-US"/>
              </w:rPr>
              <w:t>A</w:t>
            </w:r>
          </w:p>
        </w:tc>
        <w:tc>
          <w:tcPr>
            <w:tcW w:w="240" w:type="pct"/>
            <w:tcBorders>
              <w:top w:val="single" w:sz="6" w:space="0" w:color="006DB6"/>
              <w:bottom w:val="single" w:sz="6" w:space="0" w:color="006DB6"/>
            </w:tcBorders>
            <w:shd w:val="clear" w:color="auto" w:fill="D5DCE4" w:themeFill="text2" w:themeFillTint="33"/>
            <w:tcMar>
              <w:top w:w="14" w:type="dxa"/>
            </w:tcMar>
          </w:tcPr>
          <w:p w14:paraId="3D98A6D1" w14:textId="2D86536E" w:rsidR="00796BD9" w:rsidRPr="00F726BC" w:rsidRDefault="00796BD9" w:rsidP="00DD2511">
            <w:pPr>
              <w:jc w:val="center"/>
              <w:rPr>
                <w:rFonts w:cs="Arial"/>
                <w:szCs w:val="16"/>
                <w:lang w:eastAsia="en-US"/>
              </w:rPr>
            </w:pPr>
          </w:p>
        </w:tc>
        <w:tc>
          <w:tcPr>
            <w:tcW w:w="210" w:type="pct"/>
            <w:tcBorders>
              <w:top w:val="single" w:sz="6" w:space="0" w:color="006DB6"/>
              <w:bottom w:val="single" w:sz="6" w:space="0" w:color="006DB6"/>
            </w:tcBorders>
            <w:shd w:val="clear" w:color="auto" w:fill="D5DCE4" w:themeFill="text2" w:themeFillTint="33"/>
            <w:tcMar>
              <w:top w:w="14" w:type="dxa"/>
            </w:tcMar>
          </w:tcPr>
          <w:p w14:paraId="24447366" w14:textId="77777777" w:rsidR="00796BD9" w:rsidRPr="00F726BC" w:rsidRDefault="00796BD9" w:rsidP="00DD2511">
            <w:pPr>
              <w:jc w:val="center"/>
              <w:rPr>
                <w:rFonts w:cs="Arial"/>
                <w:szCs w:val="16"/>
                <w:lang w:eastAsia="en-US"/>
              </w:rPr>
            </w:pPr>
          </w:p>
        </w:tc>
        <w:tc>
          <w:tcPr>
            <w:tcW w:w="507" w:type="pct"/>
            <w:tcMar>
              <w:top w:w="14" w:type="dxa"/>
              <w:left w:w="288" w:type="dxa"/>
            </w:tcMar>
          </w:tcPr>
          <w:p w14:paraId="710BD0DD" w14:textId="77777777" w:rsidR="00796BD9" w:rsidRPr="00460F54" w:rsidRDefault="00796BD9" w:rsidP="00DD2511">
            <w:pPr>
              <w:rPr>
                <w:rFonts w:cs="Arial"/>
                <w:b/>
                <w:szCs w:val="16"/>
                <w:lang w:eastAsia="en-US"/>
              </w:rPr>
            </w:pPr>
            <w:r w:rsidRPr="00460F54">
              <w:rPr>
                <w:rFonts w:cs="Arial"/>
                <w:b/>
                <w:szCs w:val="16"/>
                <w:lang w:eastAsia="en-US"/>
              </w:rPr>
              <w:t>A</w:t>
            </w:r>
          </w:p>
        </w:tc>
      </w:tr>
      <w:tr w:rsidR="00796BD9" w:rsidRPr="00595782" w14:paraId="641CBDC4" w14:textId="77777777" w:rsidTr="00796BD9">
        <w:tc>
          <w:tcPr>
            <w:tcW w:w="385" w:type="pct"/>
            <w:tcMar>
              <w:top w:w="14" w:type="dxa"/>
            </w:tcMar>
          </w:tcPr>
          <w:p w14:paraId="7EDA1B31" w14:textId="77777777" w:rsidR="00796BD9" w:rsidRPr="008A6B23" w:rsidRDefault="00796BD9" w:rsidP="00DD2511">
            <w:pPr>
              <w:ind w:left="-45"/>
              <w:rPr>
                <w:rFonts w:cs="Arial"/>
                <w:szCs w:val="18"/>
                <w:lang w:eastAsia="en-US"/>
              </w:rPr>
            </w:pPr>
            <w:r w:rsidRPr="008A6B23">
              <w:rPr>
                <w:rFonts w:cs="Arial"/>
                <w:szCs w:val="18"/>
                <w:lang w:eastAsia="en-US"/>
              </w:rPr>
              <w:t>PI-8</w:t>
            </w:r>
          </w:p>
        </w:tc>
        <w:tc>
          <w:tcPr>
            <w:tcW w:w="3185" w:type="pct"/>
            <w:tcMar>
              <w:top w:w="14" w:type="dxa"/>
            </w:tcMar>
          </w:tcPr>
          <w:p w14:paraId="1052116D" w14:textId="28F9F465" w:rsidR="00796BD9" w:rsidRPr="008A6B23" w:rsidRDefault="00796BD9" w:rsidP="002D5916">
            <w:pPr>
              <w:rPr>
                <w:rFonts w:cs="Arial"/>
                <w:szCs w:val="18"/>
                <w:lang w:eastAsia="en-US"/>
              </w:rPr>
            </w:pPr>
            <w:r w:rsidRPr="008A6B23">
              <w:rPr>
                <w:rFonts w:cs="Arial"/>
                <w:szCs w:val="18"/>
                <w:lang w:eastAsia="en-US"/>
              </w:rPr>
              <w:t xml:space="preserve">Performance information for achieving service delivery </w:t>
            </w:r>
          </w:p>
        </w:tc>
        <w:tc>
          <w:tcPr>
            <w:tcW w:w="237" w:type="pct"/>
            <w:tcMar>
              <w:top w:w="14" w:type="dxa"/>
            </w:tcMar>
          </w:tcPr>
          <w:p w14:paraId="3773485B" w14:textId="77777777" w:rsidR="00796BD9" w:rsidRPr="00F726BC" w:rsidRDefault="00796BD9" w:rsidP="00DD2511">
            <w:pPr>
              <w:jc w:val="center"/>
              <w:rPr>
                <w:rFonts w:cs="Arial"/>
                <w:szCs w:val="16"/>
                <w:lang w:eastAsia="en-US"/>
              </w:rPr>
            </w:pPr>
            <w:r>
              <w:rPr>
                <w:rFonts w:cs="Arial"/>
                <w:szCs w:val="16"/>
                <w:lang w:eastAsia="en-US"/>
              </w:rPr>
              <w:t>C</w:t>
            </w:r>
          </w:p>
        </w:tc>
        <w:tc>
          <w:tcPr>
            <w:tcW w:w="237" w:type="pct"/>
            <w:tcBorders>
              <w:bottom w:val="single" w:sz="6" w:space="0" w:color="006DB6"/>
            </w:tcBorders>
            <w:tcMar>
              <w:top w:w="14" w:type="dxa"/>
            </w:tcMar>
          </w:tcPr>
          <w:p w14:paraId="5CABA904" w14:textId="77777777" w:rsidR="00796BD9" w:rsidRPr="00F726BC" w:rsidRDefault="00796BD9" w:rsidP="00DD2511">
            <w:pPr>
              <w:jc w:val="center"/>
              <w:rPr>
                <w:rFonts w:cs="Arial"/>
                <w:szCs w:val="16"/>
                <w:lang w:eastAsia="en-US"/>
              </w:rPr>
            </w:pPr>
            <w:r>
              <w:rPr>
                <w:rFonts w:cs="Arial"/>
                <w:szCs w:val="16"/>
                <w:lang w:eastAsia="en-US"/>
              </w:rPr>
              <w:t>B</w:t>
            </w:r>
          </w:p>
        </w:tc>
        <w:tc>
          <w:tcPr>
            <w:tcW w:w="240" w:type="pct"/>
            <w:tcBorders>
              <w:top w:val="single" w:sz="6" w:space="0" w:color="006DB6"/>
              <w:bottom w:val="single" w:sz="6" w:space="0" w:color="006DB6"/>
            </w:tcBorders>
            <w:shd w:val="clear" w:color="auto" w:fill="auto"/>
            <w:tcMar>
              <w:top w:w="14" w:type="dxa"/>
            </w:tcMar>
          </w:tcPr>
          <w:p w14:paraId="407FF61D" w14:textId="77777777" w:rsidR="00796BD9" w:rsidRPr="00F726BC" w:rsidRDefault="00796BD9" w:rsidP="00DD2511">
            <w:pPr>
              <w:jc w:val="center"/>
              <w:rPr>
                <w:rFonts w:cs="Arial"/>
                <w:szCs w:val="16"/>
                <w:lang w:eastAsia="en-US"/>
              </w:rPr>
            </w:pPr>
            <w:r>
              <w:rPr>
                <w:rFonts w:cs="Arial"/>
                <w:szCs w:val="16"/>
                <w:lang w:eastAsia="en-US"/>
              </w:rPr>
              <w:t>D</w:t>
            </w:r>
          </w:p>
        </w:tc>
        <w:tc>
          <w:tcPr>
            <w:tcW w:w="210" w:type="pct"/>
            <w:tcBorders>
              <w:top w:val="single" w:sz="6" w:space="0" w:color="006DB6"/>
              <w:bottom w:val="single" w:sz="6" w:space="0" w:color="006DB6"/>
            </w:tcBorders>
            <w:shd w:val="clear" w:color="auto" w:fill="auto"/>
            <w:tcMar>
              <w:top w:w="14" w:type="dxa"/>
            </w:tcMar>
          </w:tcPr>
          <w:p w14:paraId="08119373" w14:textId="77777777" w:rsidR="00796BD9" w:rsidRPr="00F726BC" w:rsidRDefault="00796BD9" w:rsidP="00DD2511">
            <w:pPr>
              <w:jc w:val="center"/>
              <w:rPr>
                <w:rFonts w:cs="Arial"/>
                <w:szCs w:val="16"/>
                <w:lang w:eastAsia="en-US"/>
              </w:rPr>
            </w:pPr>
            <w:r>
              <w:rPr>
                <w:rFonts w:cs="Arial"/>
                <w:szCs w:val="16"/>
                <w:lang w:eastAsia="en-US"/>
              </w:rPr>
              <w:t>C</w:t>
            </w:r>
          </w:p>
        </w:tc>
        <w:tc>
          <w:tcPr>
            <w:tcW w:w="507" w:type="pct"/>
            <w:tcMar>
              <w:top w:w="14" w:type="dxa"/>
              <w:left w:w="288" w:type="dxa"/>
            </w:tcMar>
          </w:tcPr>
          <w:p w14:paraId="25525F3F" w14:textId="77777777" w:rsidR="00796BD9" w:rsidRPr="00460F54" w:rsidRDefault="00796BD9" w:rsidP="00DD2511">
            <w:pPr>
              <w:rPr>
                <w:rFonts w:cs="Arial"/>
                <w:b/>
                <w:szCs w:val="16"/>
                <w:lang w:eastAsia="en-US"/>
              </w:rPr>
            </w:pPr>
            <w:r w:rsidRPr="00460F54">
              <w:rPr>
                <w:rFonts w:cs="Arial"/>
                <w:b/>
                <w:szCs w:val="16"/>
                <w:lang w:eastAsia="en-US"/>
              </w:rPr>
              <w:t>C</w:t>
            </w:r>
          </w:p>
        </w:tc>
      </w:tr>
      <w:tr w:rsidR="00796BD9" w:rsidRPr="00595782" w14:paraId="66624D5A" w14:textId="77777777" w:rsidTr="00796BD9">
        <w:trPr>
          <w:trHeight w:val="296"/>
        </w:trPr>
        <w:tc>
          <w:tcPr>
            <w:tcW w:w="385" w:type="pct"/>
            <w:tcBorders>
              <w:bottom w:val="single" w:sz="6" w:space="0" w:color="006DB6"/>
            </w:tcBorders>
            <w:tcMar>
              <w:top w:w="14" w:type="dxa"/>
            </w:tcMar>
          </w:tcPr>
          <w:p w14:paraId="3DA8E5CA" w14:textId="77777777" w:rsidR="00796BD9" w:rsidRPr="008A6B23" w:rsidRDefault="00796BD9" w:rsidP="00DD2511">
            <w:pPr>
              <w:ind w:left="-45"/>
              <w:rPr>
                <w:rFonts w:cs="Arial"/>
                <w:szCs w:val="18"/>
                <w:lang w:eastAsia="en-US"/>
              </w:rPr>
            </w:pPr>
            <w:r w:rsidRPr="008A6B23">
              <w:rPr>
                <w:rFonts w:cs="Arial"/>
                <w:szCs w:val="18"/>
                <w:lang w:eastAsia="en-US"/>
              </w:rPr>
              <w:t>PI-9</w:t>
            </w:r>
          </w:p>
        </w:tc>
        <w:tc>
          <w:tcPr>
            <w:tcW w:w="3185" w:type="pct"/>
            <w:tcBorders>
              <w:bottom w:val="single" w:sz="6" w:space="0" w:color="006DB6"/>
            </w:tcBorders>
            <w:tcMar>
              <w:top w:w="14" w:type="dxa"/>
            </w:tcMar>
          </w:tcPr>
          <w:p w14:paraId="13844B34" w14:textId="18218B67" w:rsidR="00796BD9" w:rsidRPr="008A6B23" w:rsidRDefault="00796BD9" w:rsidP="002D5916">
            <w:pPr>
              <w:rPr>
                <w:rFonts w:cs="Arial"/>
                <w:szCs w:val="18"/>
                <w:lang w:eastAsia="en-US"/>
              </w:rPr>
            </w:pPr>
            <w:r w:rsidRPr="008A6B23">
              <w:rPr>
                <w:rFonts w:cs="Arial"/>
                <w:szCs w:val="18"/>
                <w:lang w:eastAsia="en-US"/>
              </w:rPr>
              <w:t>Public access to fiscal information</w:t>
            </w:r>
          </w:p>
        </w:tc>
        <w:tc>
          <w:tcPr>
            <w:tcW w:w="237" w:type="pct"/>
            <w:tcBorders>
              <w:bottom w:val="single" w:sz="6" w:space="0" w:color="006DB6"/>
            </w:tcBorders>
            <w:tcMar>
              <w:top w:w="14" w:type="dxa"/>
            </w:tcMar>
          </w:tcPr>
          <w:p w14:paraId="5545D50B" w14:textId="77777777" w:rsidR="00796BD9" w:rsidRPr="00F726BC" w:rsidRDefault="00796BD9" w:rsidP="00DD2511">
            <w:pPr>
              <w:jc w:val="center"/>
              <w:rPr>
                <w:rFonts w:cs="Arial"/>
                <w:szCs w:val="16"/>
                <w:lang w:eastAsia="en-US"/>
              </w:rPr>
            </w:pPr>
            <w:r>
              <w:rPr>
                <w:rFonts w:cs="Arial"/>
                <w:szCs w:val="16"/>
                <w:lang w:eastAsia="en-US"/>
              </w:rPr>
              <w:t>D</w:t>
            </w:r>
          </w:p>
        </w:tc>
        <w:tc>
          <w:tcPr>
            <w:tcW w:w="237" w:type="pct"/>
            <w:tcBorders>
              <w:top w:val="single" w:sz="6" w:space="0" w:color="006DB6"/>
              <w:bottom w:val="single" w:sz="6" w:space="0" w:color="006DB6"/>
            </w:tcBorders>
            <w:shd w:val="clear" w:color="auto" w:fill="D5DCE4" w:themeFill="text2" w:themeFillTint="33"/>
            <w:tcMar>
              <w:top w:w="14" w:type="dxa"/>
            </w:tcMar>
          </w:tcPr>
          <w:p w14:paraId="730AE7F3" w14:textId="77777777" w:rsidR="00796BD9" w:rsidRPr="00F726BC" w:rsidRDefault="00796BD9" w:rsidP="00DD2511">
            <w:pPr>
              <w:jc w:val="center"/>
              <w:rPr>
                <w:rFonts w:cs="Arial"/>
                <w:szCs w:val="16"/>
                <w:lang w:eastAsia="en-US"/>
              </w:rPr>
            </w:pPr>
          </w:p>
        </w:tc>
        <w:tc>
          <w:tcPr>
            <w:tcW w:w="240" w:type="pct"/>
            <w:tcBorders>
              <w:top w:val="single" w:sz="6" w:space="0" w:color="006DB6"/>
              <w:bottom w:val="single" w:sz="6" w:space="0" w:color="006DB6"/>
            </w:tcBorders>
            <w:shd w:val="clear" w:color="auto" w:fill="D5DCE4" w:themeFill="text2" w:themeFillTint="33"/>
            <w:tcMar>
              <w:top w:w="14" w:type="dxa"/>
            </w:tcMar>
          </w:tcPr>
          <w:p w14:paraId="04715722" w14:textId="77777777" w:rsidR="00796BD9" w:rsidRPr="00F726BC" w:rsidRDefault="00796BD9" w:rsidP="00DD2511">
            <w:pPr>
              <w:jc w:val="center"/>
              <w:rPr>
                <w:rFonts w:cs="Arial"/>
                <w:szCs w:val="16"/>
                <w:lang w:eastAsia="en-US"/>
              </w:rPr>
            </w:pPr>
          </w:p>
        </w:tc>
        <w:tc>
          <w:tcPr>
            <w:tcW w:w="210" w:type="pct"/>
            <w:tcBorders>
              <w:top w:val="single" w:sz="6" w:space="0" w:color="006DB6"/>
              <w:bottom w:val="single" w:sz="6" w:space="0" w:color="006DB6"/>
            </w:tcBorders>
            <w:shd w:val="clear" w:color="auto" w:fill="D5DCE4" w:themeFill="text2" w:themeFillTint="33"/>
            <w:tcMar>
              <w:top w:w="14" w:type="dxa"/>
            </w:tcMar>
          </w:tcPr>
          <w:p w14:paraId="0B285E97" w14:textId="77777777" w:rsidR="00796BD9" w:rsidRPr="00F726BC" w:rsidRDefault="00796BD9" w:rsidP="00DD2511">
            <w:pPr>
              <w:jc w:val="center"/>
              <w:rPr>
                <w:rFonts w:cs="Arial"/>
                <w:szCs w:val="16"/>
                <w:lang w:eastAsia="en-US"/>
              </w:rPr>
            </w:pPr>
          </w:p>
        </w:tc>
        <w:tc>
          <w:tcPr>
            <w:tcW w:w="507" w:type="pct"/>
            <w:tcBorders>
              <w:bottom w:val="single" w:sz="6" w:space="0" w:color="006DB6"/>
            </w:tcBorders>
            <w:tcMar>
              <w:top w:w="14" w:type="dxa"/>
              <w:left w:w="288" w:type="dxa"/>
            </w:tcMar>
          </w:tcPr>
          <w:p w14:paraId="26C172EA" w14:textId="77777777" w:rsidR="00796BD9" w:rsidRPr="00460F54" w:rsidRDefault="00796BD9" w:rsidP="00DD2511">
            <w:pPr>
              <w:rPr>
                <w:rFonts w:cs="Arial"/>
                <w:b/>
                <w:szCs w:val="16"/>
                <w:lang w:eastAsia="en-US"/>
              </w:rPr>
            </w:pPr>
            <w:r w:rsidRPr="00460F54">
              <w:rPr>
                <w:rFonts w:cs="Arial"/>
                <w:b/>
                <w:szCs w:val="16"/>
                <w:lang w:eastAsia="en-US"/>
              </w:rPr>
              <w:t>D</w:t>
            </w:r>
          </w:p>
        </w:tc>
      </w:tr>
    </w:tbl>
    <w:p w14:paraId="643E676F" w14:textId="77777777" w:rsidR="00C556B8" w:rsidRPr="00C556B8" w:rsidRDefault="00C556B8" w:rsidP="00C556B8">
      <w:pPr>
        <w:pStyle w:val="DefaultText"/>
      </w:pPr>
    </w:p>
    <w:p w14:paraId="49130330" w14:textId="6CB4FA4A" w:rsidR="00C556B8" w:rsidRDefault="00C556B8" w:rsidP="00C556B8">
      <w:pPr>
        <w:pStyle w:val="DefaultText"/>
        <w:spacing w:line="276" w:lineRule="auto"/>
        <w:jc w:val="both"/>
        <w:rPr>
          <w:rFonts w:cs="Arial"/>
          <w:sz w:val="20"/>
          <w:szCs w:val="20"/>
        </w:rPr>
      </w:pPr>
      <w:r>
        <w:rPr>
          <w:rFonts w:cs="Arial"/>
          <w:sz w:val="20"/>
          <w:szCs w:val="20"/>
        </w:rPr>
        <w:t>B</w:t>
      </w:r>
      <w:r w:rsidRPr="00ED0AED">
        <w:rPr>
          <w:rFonts w:cs="Arial"/>
          <w:sz w:val="20"/>
          <w:szCs w:val="20"/>
        </w:rPr>
        <w:t xml:space="preserve">udget documentation is comprehensive and </w:t>
      </w:r>
      <w:r w:rsidR="002A79FF">
        <w:rPr>
          <w:rFonts w:cs="Arial"/>
          <w:sz w:val="20"/>
          <w:szCs w:val="20"/>
        </w:rPr>
        <w:t xml:space="preserve">used </w:t>
      </w:r>
      <w:r w:rsidRPr="00ED0AED">
        <w:rPr>
          <w:rFonts w:cs="Arial"/>
          <w:sz w:val="20"/>
          <w:szCs w:val="20"/>
        </w:rPr>
        <w:t>t</w:t>
      </w:r>
      <w:r w:rsidR="002A79FF">
        <w:rPr>
          <w:rFonts w:cs="Arial"/>
          <w:sz w:val="20"/>
          <w:szCs w:val="20"/>
        </w:rPr>
        <w:t>he</w:t>
      </w:r>
      <w:r w:rsidRPr="00ED0AED">
        <w:rPr>
          <w:rFonts w:cs="Arial"/>
          <w:sz w:val="20"/>
          <w:szCs w:val="20"/>
        </w:rPr>
        <w:t xml:space="preserve"> GFS 2014 classification </w:t>
      </w:r>
      <w:r w:rsidR="008A6B23">
        <w:rPr>
          <w:rFonts w:cs="Arial"/>
          <w:sz w:val="20"/>
          <w:szCs w:val="20"/>
        </w:rPr>
        <w:t>for the latest</w:t>
      </w:r>
      <w:r>
        <w:rPr>
          <w:rFonts w:cs="Arial"/>
          <w:sz w:val="20"/>
          <w:szCs w:val="20"/>
        </w:rPr>
        <w:t xml:space="preserve"> budget presented to Parliament (PIs 4 and 5).</w:t>
      </w:r>
      <w:r w:rsidRPr="00ED0AED">
        <w:rPr>
          <w:rFonts w:cs="Arial"/>
          <w:sz w:val="20"/>
          <w:szCs w:val="20"/>
        </w:rPr>
        <w:t xml:space="preserve">  Coverage of government</w:t>
      </w:r>
      <w:r>
        <w:rPr>
          <w:rFonts w:cs="Arial"/>
          <w:sz w:val="20"/>
          <w:szCs w:val="20"/>
        </w:rPr>
        <w:t xml:space="preserve"> operations is good (PI-6</w:t>
      </w:r>
      <w:r w:rsidRPr="00ED0AED">
        <w:rPr>
          <w:rFonts w:cs="Arial"/>
          <w:sz w:val="20"/>
          <w:szCs w:val="20"/>
        </w:rPr>
        <w:t>)</w:t>
      </w:r>
      <w:r>
        <w:rPr>
          <w:rFonts w:cs="Arial"/>
          <w:sz w:val="20"/>
          <w:szCs w:val="20"/>
        </w:rPr>
        <w:t xml:space="preserve"> while the disappointing</w:t>
      </w:r>
      <w:r w:rsidRPr="00ED0AED">
        <w:rPr>
          <w:rFonts w:cs="Arial"/>
          <w:sz w:val="20"/>
          <w:szCs w:val="20"/>
        </w:rPr>
        <w:t xml:space="preserve"> rating for ‘public acc</w:t>
      </w:r>
      <w:r>
        <w:rPr>
          <w:rFonts w:cs="Arial"/>
          <w:sz w:val="20"/>
          <w:szCs w:val="20"/>
        </w:rPr>
        <w:t>ess to fiscal information</w:t>
      </w:r>
      <w:r w:rsidR="00132E41">
        <w:rPr>
          <w:rFonts w:cs="Arial"/>
          <w:sz w:val="20"/>
          <w:szCs w:val="20"/>
        </w:rPr>
        <w:t>’</w:t>
      </w:r>
      <w:r>
        <w:rPr>
          <w:rFonts w:cs="Arial"/>
          <w:sz w:val="20"/>
          <w:szCs w:val="20"/>
        </w:rPr>
        <w:t xml:space="preserve"> (PI-9</w:t>
      </w:r>
      <w:r w:rsidRPr="00ED0AED">
        <w:rPr>
          <w:rFonts w:cs="Arial"/>
          <w:sz w:val="20"/>
          <w:szCs w:val="20"/>
        </w:rPr>
        <w:t xml:space="preserve">) </w:t>
      </w:r>
      <w:r>
        <w:rPr>
          <w:rFonts w:cs="Arial"/>
          <w:sz w:val="20"/>
          <w:szCs w:val="20"/>
        </w:rPr>
        <w:t>is explained by the non-publication of a (now compulsory) i</w:t>
      </w:r>
      <w:r w:rsidR="009327D9">
        <w:rPr>
          <w:rFonts w:cs="Arial"/>
          <w:sz w:val="20"/>
          <w:szCs w:val="20"/>
        </w:rPr>
        <w:t>n-year budget monitoring repor</w:t>
      </w:r>
      <w:r w:rsidR="00796BD9">
        <w:rPr>
          <w:rFonts w:cs="Arial"/>
          <w:sz w:val="20"/>
          <w:szCs w:val="20"/>
        </w:rPr>
        <w:t>t</w:t>
      </w:r>
      <w:r>
        <w:rPr>
          <w:rFonts w:cs="Arial"/>
          <w:sz w:val="20"/>
          <w:szCs w:val="20"/>
        </w:rPr>
        <w:t xml:space="preserve">, </w:t>
      </w:r>
      <w:r w:rsidRPr="00ED0AED">
        <w:rPr>
          <w:rFonts w:cs="Arial"/>
          <w:sz w:val="20"/>
          <w:szCs w:val="20"/>
        </w:rPr>
        <w:t>a</w:t>
      </w:r>
      <w:r>
        <w:rPr>
          <w:rFonts w:cs="Arial"/>
          <w:sz w:val="20"/>
          <w:szCs w:val="20"/>
        </w:rPr>
        <w:t>lthough much of the ‘other’ data is available in accordance with generally accepted good practices.</w:t>
      </w:r>
    </w:p>
    <w:p w14:paraId="796E178F" w14:textId="77777777" w:rsidR="00C556B8" w:rsidRDefault="00C556B8" w:rsidP="00C556B8">
      <w:pPr>
        <w:pStyle w:val="DefaultText"/>
        <w:spacing w:line="276" w:lineRule="auto"/>
        <w:jc w:val="both"/>
        <w:rPr>
          <w:rFonts w:cs="Arial"/>
          <w:sz w:val="20"/>
          <w:szCs w:val="20"/>
        </w:rPr>
      </w:pPr>
    </w:p>
    <w:p w14:paraId="0F8AC1F6" w14:textId="1820AE38" w:rsidR="00C556B8" w:rsidRPr="00010E42" w:rsidRDefault="00C556B8" w:rsidP="00C556B8">
      <w:pPr>
        <w:pStyle w:val="DefaultText"/>
        <w:spacing w:line="276" w:lineRule="auto"/>
        <w:jc w:val="both"/>
        <w:rPr>
          <w:rFonts w:cs="Arial"/>
          <w:sz w:val="20"/>
          <w:szCs w:val="20"/>
        </w:rPr>
      </w:pPr>
      <w:r w:rsidRPr="00010E42">
        <w:rPr>
          <w:rFonts w:cs="Arial"/>
          <w:sz w:val="20"/>
          <w:szCs w:val="20"/>
        </w:rPr>
        <w:t>The complex s</w:t>
      </w:r>
      <w:r w:rsidR="00087B2D">
        <w:rPr>
          <w:rFonts w:cs="Arial"/>
          <w:sz w:val="20"/>
          <w:szCs w:val="20"/>
        </w:rPr>
        <w:t xml:space="preserve">tructure of service delivery, </w:t>
      </w:r>
      <w:r w:rsidRPr="00010E42">
        <w:rPr>
          <w:rFonts w:cs="Arial"/>
          <w:sz w:val="20"/>
          <w:szCs w:val="20"/>
        </w:rPr>
        <w:t>via several thousand non-budget</w:t>
      </w:r>
      <w:r w:rsidR="00087B2D">
        <w:rPr>
          <w:rFonts w:cs="Arial"/>
          <w:sz w:val="20"/>
          <w:szCs w:val="20"/>
        </w:rPr>
        <w:t xml:space="preserve"> agencies,</w:t>
      </w:r>
      <w:r w:rsidRPr="00010E42">
        <w:rPr>
          <w:rFonts w:cs="Arial"/>
          <w:sz w:val="20"/>
          <w:szCs w:val="20"/>
        </w:rPr>
        <w:t xml:space="preserve"> means that fiscal </w:t>
      </w:r>
      <w:bookmarkStart w:id="4" w:name="_GoBack"/>
      <w:bookmarkEnd w:id="4"/>
      <w:r w:rsidRPr="00010E42">
        <w:rPr>
          <w:rFonts w:cs="Arial"/>
          <w:sz w:val="20"/>
          <w:szCs w:val="20"/>
        </w:rPr>
        <w:t xml:space="preserve">data </w:t>
      </w:r>
      <w:r w:rsidR="005F0BC9">
        <w:rPr>
          <w:rFonts w:cs="Arial"/>
          <w:sz w:val="20"/>
          <w:szCs w:val="20"/>
        </w:rPr>
        <w:t>cannot be</w:t>
      </w:r>
      <w:r w:rsidRPr="00010E42">
        <w:rPr>
          <w:rFonts w:cs="Arial"/>
          <w:sz w:val="20"/>
          <w:szCs w:val="20"/>
        </w:rPr>
        <w:t xml:space="preserve"> report</w:t>
      </w:r>
      <w:r w:rsidR="005F0BC9">
        <w:rPr>
          <w:rFonts w:cs="Arial"/>
          <w:sz w:val="20"/>
          <w:szCs w:val="20"/>
        </w:rPr>
        <w:t>ed</w:t>
      </w:r>
      <w:r w:rsidRPr="00010E42">
        <w:rPr>
          <w:rFonts w:cs="Arial"/>
          <w:sz w:val="20"/>
          <w:szCs w:val="20"/>
        </w:rPr>
        <w:t xml:space="preserve"> by type of service unit and geographical distribution for tracking </w:t>
      </w:r>
      <w:r w:rsidR="008A6B23">
        <w:rPr>
          <w:rFonts w:cs="Arial"/>
          <w:sz w:val="20"/>
          <w:szCs w:val="20"/>
        </w:rPr>
        <w:t>purposes.  While there ar</w:t>
      </w:r>
      <w:r>
        <w:rPr>
          <w:rFonts w:cs="Arial"/>
          <w:sz w:val="20"/>
          <w:szCs w:val="20"/>
        </w:rPr>
        <w:t>e p</w:t>
      </w:r>
      <w:r w:rsidRPr="00010E42">
        <w:rPr>
          <w:rFonts w:cs="Arial"/>
          <w:sz w:val="20"/>
          <w:szCs w:val="20"/>
        </w:rPr>
        <w:t xml:space="preserve">erformance targets </w:t>
      </w:r>
      <w:r>
        <w:rPr>
          <w:rFonts w:cs="Arial"/>
          <w:sz w:val="20"/>
          <w:szCs w:val="20"/>
        </w:rPr>
        <w:t>for</w:t>
      </w:r>
      <w:r w:rsidRPr="00010E42">
        <w:rPr>
          <w:rFonts w:cs="Arial"/>
          <w:sz w:val="20"/>
          <w:szCs w:val="20"/>
        </w:rPr>
        <w:t xml:space="preserve"> more than 25% </w:t>
      </w:r>
      <w:r>
        <w:rPr>
          <w:rFonts w:cs="Arial"/>
          <w:sz w:val="20"/>
          <w:szCs w:val="20"/>
        </w:rPr>
        <w:t xml:space="preserve">of services, </w:t>
      </w:r>
      <w:r w:rsidRPr="00010E42">
        <w:rPr>
          <w:rFonts w:cs="Arial"/>
          <w:sz w:val="20"/>
          <w:szCs w:val="20"/>
        </w:rPr>
        <w:t>there are deficiencies in the format and methods of measurement (PI-8).</w:t>
      </w:r>
    </w:p>
    <w:p w14:paraId="7D0271DC" w14:textId="77777777" w:rsidR="00D66ACF" w:rsidRDefault="00D66ACF" w:rsidP="00C556B8">
      <w:pPr>
        <w:pStyle w:val="DefaultText"/>
        <w:spacing w:line="276" w:lineRule="auto"/>
        <w:jc w:val="both"/>
        <w:rPr>
          <w:rFonts w:cs="Arial"/>
          <w:sz w:val="20"/>
          <w:szCs w:val="20"/>
        </w:rPr>
      </w:pPr>
    </w:p>
    <w:p w14:paraId="61D6F7C9" w14:textId="63B68B89" w:rsidR="00C556B8" w:rsidRDefault="002D5916" w:rsidP="00C556B8">
      <w:pPr>
        <w:pStyle w:val="Heading3"/>
        <w:ind w:left="0"/>
      </w:pPr>
      <w:bookmarkStart w:id="5" w:name="_Toc301352243"/>
      <w:bookmarkStart w:id="6" w:name="_Toc434503077"/>
      <w:r>
        <w:lastRenderedPageBreak/>
        <w:t>M</w:t>
      </w:r>
      <w:r w:rsidRPr="00564135">
        <w:t xml:space="preserve">anagement </w:t>
      </w:r>
      <w:r>
        <w:t>of a</w:t>
      </w:r>
      <w:r w:rsidR="00C556B8" w:rsidRPr="00564135">
        <w:t>sset</w:t>
      </w:r>
      <w:r>
        <w:t>s and liabilities</w:t>
      </w:r>
      <w:r w:rsidR="00C556B8" w:rsidRPr="00564135">
        <w:t xml:space="preserve"> </w:t>
      </w:r>
      <w:bookmarkEnd w:id="5"/>
      <w:bookmarkEnd w:id="6"/>
    </w:p>
    <w:tbl>
      <w:tblPr>
        <w:tblStyle w:val="TabelEcorys2"/>
        <w:tblW w:w="4992" w:type="pct"/>
        <w:tblInd w:w="0" w:type="dxa"/>
        <w:tblBorders>
          <w:top w:val="single" w:sz="4" w:space="0" w:color="006DB6"/>
          <w:left w:val="single" w:sz="4" w:space="0" w:color="006DB6"/>
          <w:bottom w:val="single" w:sz="4" w:space="0" w:color="006DB6"/>
          <w:right w:val="single" w:sz="4" w:space="0" w:color="006DB6"/>
          <w:insideH w:val="single" w:sz="6" w:space="0" w:color="006DB6"/>
          <w:insideV w:val="single" w:sz="6" w:space="0" w:color="006DB6"/>
        </w:tblBorders>
        <w:tblLook w:val="01E0" w:firstRow="1" w:lastRow="1" w:firstColumn="1" w:lastColumn="1" w:noHBand="0" w:noVBand="0"/>
      </w:tblPr>
      <w:tblGrid>
        <w:gridCol w:w="695"/>
        <w:gridCol w:w="5730"/>
        <w:gridCol w:w="426"/>
        <w:gridCol w:w="426"/>
        <w:gridCol w:w="432"/>
        <w:gridCol w:w="378"/>
        <w:gridCol w:w="909"/>
      </w:tblGrid>
      <w:tr w:rsidR="00796BD9" w:rsidRPr="00595782" w14:paraId="1F65EE59" w14:textId="77777777" w:rsidTr="00796BD9">
        <w:trPr>
          <w:tblHeader/>
        </w:trPr>
        <w:tc>
          <w:tcPr>
            <w:tcW w:w="3570" w:type="pct"/>
            <w:gridSpan w:val="2"/>
            <w:vMerge w:val="restart"/>
            <w:tcBorders>
              <w:top w:val="single" w:sz="4" w:space="0" w:color="006DB6"/>
              <w:bottom w:val="single" w:sz="4" w:space="0" w:color="FFFFFF" w:themeColor="background1"/>
              <w:right w:val="single" w:sz="4" w:space="0" w:color="FFFFFF" w:themeColor="background1"/>
            </w:tcBorders>
            <w:shd w:val="clear" w:color="auto" w:fill="006DB6"/>
            <w:tcMar>
              <w:top w:w="14" w:type="dxa"/>
            </w:tcMar>
            <w:vAlign w:val="center"/>
          </w:tcPr>
          <w:p w14:paraId="0EECC565" w14:textId="44127588" w:rsidR="00796BD9" w:rsidRPr="00595782" w:rsidRDefault="00796BD9" w:rsidP="002D5916">
            <w:pPr>
              <w:rPr>
                <w:rFonts w:cs="Arial"/>
                <w:b/>
                <w:color w:val="FFFFFF"/>
                <w:sz w:val="16"/>
                <w:szCs w:val="16"/>
                <w:lang w:eastAsia="en-US"/>
              </w:rPr>
            </w:pPr>
            <w:r w:rsidRPr="00796BD9">
              <w:rPr>
                <w:rFonts w:cs="Arial"/>
                <w:b/>
                <w:color w:val="FFFFFF" w:themeColor="background1"/>
                <w:sz w:val="20"/>
                <w:szCs w:val="16"/>
                <w:lang w:eastAsia="en-US"/>
              </w:rPr>
              <w:t xml:space="preserve">III. </w:t>
            </w:r>
            <w:r w:rsidR="002D5916" w:rsidRPr="00796BD9">
              <w:rPr>
                <w:rFonts w:cs="Arial"/>
                <w:b/>
                <w:color w:val="FFFFFF" w:themeColor="background1"/>
                <w:sz w:val="20"/>
                <w:szCs w:val="16"/>
                <w:lang w:eastAsia="en-US"/>
              </w:rPr>
              <w:t xml:space="preserve">Management </w:t>
            </w:r>
            <w:r w:rsidR="002D5916">
              <w:rPr>
                <w:rFonts w:cs="Arial"/>
                <w:b/>
                <w:color w:val="FFFFFF" w:themeColor="background1"/>
                <w:sz w:val="20"/>
                <w:szCs w:val="16"/>
                <w:lang w:eastAsia="en-US"/>
              </w:rPr>
              <w:t>of a</w:t>
            </w:r>
            <w:r w:rsidRPr="00796BD9">
              <w:rPr>
                <w:rFonts w:cs="Arial"/>
                <w:b/>
                <w:color w:val="FFFFFF" w:themeColor="background1"/>
                <w:sz w:val="20"/>
                <w:szCs w:val="16"/>
                <w:lang w:eastAsia="en-US"/>
              </w:rPr>
              <w:t>sset</w:t>
            </w:r>
            <w:r w:rsidR="002D5916">
              <w:rPr>
                <w:rFonts w:cs="Arial"/>
                <w:b/>
                <w:color w:val="FFFFFF" w:themeColor="background1"/>
                <w:sz w:val="20"/>
                <w:szCs w:val="16"/>
                <w:lang w:eastAsia="en-US"/>
              </w:rPr>
              <w:t>s and liabilities</w:t>
            </w:r>
            <w:r w:rsidRPr="00796BD9">
              <w:rPr>
                <w:rFonts w:cs="Arial"/>
                <w:b/>
                <w:color w:val="FFFFFF" w:themeColor="background1"/>
                <w:sz w:val="20"/>
                <w:szCs w:val="16"/>
                <w:lang w:eastAsia="en-US"/>
              </w:rPr>
              <w:t xml:space="preserve"> </w:t>
            </w:r>
          </w:p>
        </w:tc>
        <w:tc>
          <w:tcPr>
            <w:tcW w:w="924" w:type="pct"/>
            <w:gridSpan w:val="4"/>
            <w:tcBorders>
              <w:top w:val="single" w:sz="4" w:space="0" w:color="006DB6"/>
              <w:left w:val="single" w:sz="4" w:space="0" w:color="FFFFFF" w:themeColor="background1"/>
              <w:bottom w:val="single" w:sz="4" w:space="0" w:color="FFFFFF" w:themeColor="background1"/>
              <w:right w:val="single" w:sz="4" w:space="0" w:color="FFFFFF" w:themeColor="background1"/>
            </w:tcBorders>
            <w:shd w:val="clear" w:color="auto" w:fill="006DB6"/>
            <w:tcMar>
              <w:top w:w="14" w:type="dxa"/>
            </w:tcMar>
            <w:vAlign w:val="center"/>
          </w:tcPr>
          <w:p w14:paraId="2C5D7255" w14:textId="77777777" w:rsidR="00796BD9" w:rsidRPr="00595782" w:rsidRDefault="00796BD9" w:rsidP="00DD2511">
            <w:pPr>
              <w:jc w:val="center"/>
              <w:rPr>
                <w:rFonts w:cs="Arial"/>
                <w:b/>
                <w:color w:val="FFFFFF"/>
                <w:spacing w:val="-14"/>
                <w:sz w:val="16"/>
                <w:szCs w:val="16"/>
                <w:lang w:eastAsia="en-US"/>
              </w:rPr>
            </w:pPr>
            <w:r w:rsidRPr="00595782">
              <w:rPr>
                <w:rFonts w:cs="Arial"/>
                <w:b/>
                <w:color w:val="FFFFFF"/>
                <w:spacing w:val="-14"/>
                <w:sz w:val="16"/>
                <w:szCs w:val="16"/>
                <w:lang w:eastAsia="en-US"/>
              </w:rPr>
              <w:t>Dimension Ratings</w:t>
            </w:r>
          </w:p>
        </w:tc>
        <w:tc>
          <w:tcPr>
            <w:tcW w:w="506" w:type="pct"/>
            <w:vMerge w:val="restart"/>
            <w:tcBorders>
              <w:top w:val="single" w:sz="4" w:space="0" w:color="006DB6"/>
              <w:left w:val="single" w:sz="4" w:space="0" w:color="FFFFFF" w:themeColor="background1"/>
              <w:bottom w:val="single" w:sz="4" w:space="0" w:color="FFFFFF" w:themeColor="background1"/>
            </w:tcBorders>
            <w:shd w:val="clear" w:color="auto" w:fill="006DB6"/>
            <w:tcMar>
              <w:top w:w="14" w:type="dxa"/>
            </w:tcMar>
            <w:vAlign w:val="center"/>
          </w:tcPr>
          <w:p w14:paraId="17F7FB07" w14:textId="77777777" w:rsidR="00796BD9" w:rsidRPr="00595782" w:rsidRDefault="00796BD9" w:rsidP="00DD2511">
            <w:pPr>
              <w:rPr>
                <w:rFonts w:cs="Arial"/>
                <w:b/>
                <w:color w:val="FFFFFF"/>
                <w:spacing w:val="-14"/>
                <w:sz w:val="16"/>
                <w:szCs w:val="16"/>
                <w:lang w:eastAsia="en-US"/>
              </w:rPr>
            </w:pPr>
            <w:r w:rsidRPr="00595782">
              <w:rPr>
                <w:rFonts w:cs="Arial"/>
                <w:b/>
                <w:color w:val="FFFFFF"/>
                <w:spacing w:val="-14"/>
                <w:sz w:val="16"/>
                <w:szCs w:val="16"/>
                <w:lang w:eastAsia="en-US"/>
              </w:rPr>
              <w:t>Overall Rating</w:t>
            </w:r>
          </w:p>
        </w:tc>
      </w:tr>
      <w:tr w:rsidR="00796BD9" w:rsidRPr="00595782" w14:paraId="0E023F83" w14:textId="77777777" w:rsidTr="00796BD9">
        <w:trPr>
          <w:tblHeader/>
        </w:trPr>
        <w:tc>
          <w:tcPr>
            <w:tcW w:w="3570" w:type="pct"/>
            <w:gridSpan w:val="2"/>
            <w:vMerge/>
            <w:tcBorders>
              <w:top w:val="single" w:sz="4" w:space="0" w:color="FFFFFF" w:themeColor="background1"/>
              <w:bottom w:val="single" w:sz="4" w:space="0" w:color="006DB6"/>
              <w:right w:val="single" w:sz="4" w:space="0" w:color="FFFFFF" w:themeColor="background1"/>
            </w:tcBorders>
            <w:tcMar>
              <w:top w:w="14" w:type="dxa"/>
            </w:tcMar>
            <w:vAlign w:val="center"/>
          </w:tcPr>
          <w:p w14:paraId="247585A7" w14:textId="77777777" w:rsidR="00796BD9" w:rsidRPr="00595782" w:rsidRDefault="00796BD9" w:rsidP="00DD2511">
            <w:pPr>
              <w:rPr>
                <w:rFonts w:cs="Arial"/>
                <w:sz w:val="16"/>
                <w:szCs w:val="16"/>
                <w:lang w:eastAsia="en-US"/>
              </w:rPr>
            </w:pPr>
          </w:p>
        </w:tc>
        <w:tc>
          <w:tcPr>
            <w:tcW w:w="237"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4B952FC9" w14:textId="77777777" w:rsidR="00796BD9" w:rsidRPr="00595782" w:rsidRDefault="00796BD9" w:rsidP="00DD2511">
            <w:pPr>
              <w:numPr>
                <w:ilvl w:val="0"/>
                <w:numId w:val="4"/>
              </w:numPr>
              <w:jc w:val="center"/>
              <w:rPr>
                <w:rFonts w:cs="Arial"/>
                <w:b/>
                <w:color w:val="FFFFFF" w:themeColor="background1"/>
                <w:sz w:val="16"/>
                <w:szCs w:val="16"/>
                <w:lang w:eastAsia="en-US"/>
              </w:rPr>
            </w:pPr>
          </w:p>
        </w:tc>
        <w:tc>
          <w:tcPr>
            <w:tcW w:w="237"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3556FCE0" w14:textId="77777777" w:rsidR="00796BD9" w:rsidRPr="00595782" w:rsidRDefault="00796BD9" w:rsidP="00DD2511">
            <w:pPr>
              <w:numPr>
                <w:ilvl w:val="0"/>
                <w:numId w:val="4"/>
              </w:numPr>
              <w:jc w:val="center"/>
              <w:rPr>
                <w:rFonts w:cs="Arial"/>
                <w:b/>
                <w:color w:val="FFFFFF" w:themeColor="background1"/>
                <w:sz w:val="16"/>
                <w:szCs w:val="16"/>
                <w:lang w:eastAsia="en-US"/>
              </w:rPr>
            </w:pPr>
          </w:p>
        </w:tc>
        <w:tc>
          <w:tcPr>
            <w:tcW w:w="240"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652FE275" w14:textId="77777777" w:rsidR="00796BD9" w:rsidRPr="00595782" w:rsidRDefault="00796BD9" w:rsidP="00DD2511">
            <w:pPr>
              <w:numPr>
                <w:ilvl w:val="0"/>
                <w:numId w:val="4"/>
              </w:numPr>
              <w:jc w:val="center"/>
              <w:rPr>
                <w:rFonts w:cs="Arial"/>
                <w:b/>
                <w:color w:val="FFFFFF" w:themeColor="background1"/>
                <w:sz w:val="16"/>
                <w:szCs w:val="16"/>
                <w:lang w:eastAsia="en-US"/>
              </w:rPr>
            </w:pPr>
          </w:p>
        </w:tc>
        <w:tc>
          <w:tcPr>
            <w:tcW w:w="210"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790F8E79" w14:textId="77777777" w:rsidR="00796BD9" w:rsidRPr="00595782" w:rsidRDefault="00796BD9" w:rsidP="00DD2511">
            <w:pPr>
              <w:numPr>
                <w:ilvl w:val="0"/>
                <w:numId w:val="4"/>
              </w:numPr>
              <w:jc w:val="center"/>
              <w:rPr>
                <w:rFonts w:cs="Arial"/>
                <w:b/>
                <w:color w:val="FFFFFF" w:themeColor="background1"/>
                <w:sz w:val="16"/>
                <w:szCs w:val="16"/>
                <w:lang w:eastAsia="en-US"/>
              </w:rPr>
            </w:pPr>
          </w:p>
        </w:tc>
        <w:tc>
          <w:tcPr>
            <w:tcW w:w="506" w:type="pct"/>
            <w:vMerge/>
            <w:tcBorders>
              <w:top w:val="single" w:sz="4" w:space="0" w:color="FFFFFF" w:themeColor="background1"/>
              <w:left w:val="single" w:sz="4" w:space="0" w:color="FFFFFF" w:themeColor="background1"/>
              <w:bottom w:val="single" w:sz="4" w:space="0" w:color="006DB6"/>
            </w:tcBorders>
            <w:tcMar>
              <w:top w:w="14" w:type="dxa"/>
            </w:tcMar>
            <w:vAlign w:val="center"/>
          </w:tcPr>
          <w:p w14:paraId="64D9AE58" w14:textId="77777777" w:rsidR="00796BD9" w:rsidRPr="00595782" w:rsidRDefault="00796BD9" w:rsidP="00DD2511">
            <w:pPr>
              <w:rPr>
                <w:rFonts w:cs="Arial"/>
                <w:sz w:val="16"/>
                <w:szCs w:val="16"/>
                <w:lang w:eastAsia="en-US"/>
              </w:rPr>
            </w:pPr>
          </w:p>
        </w:tc>
      </w:tr>
      <w:tr w:rsidR="00796BD9" w:rsidRPr="00595782" w14:paraId="01CEF66C" w14:textId="77777777" w:rsidTr="00796BD9">
        <w:trPr>
          <w:trHeight w:val="296"/>
        </w:trPr>
        <w:tc>
          <w:tcPr>
            <w:tcW w:w="386" w:type="pct"/>
            <w:tcBorders>
              <w:top w:val="single" w:sz="6" w:space="0" w:color="006DB6"/>
            </w:tcBorders>
            <w:tcMar>
              <w:top w:w="14" w:type="dxa"/>
            </w:tcMar>
          </w:tcPr>
          <w:p w14:paraId="074B3A64" w14:textId="77777777" w:rsidR="00796BD9" w:rsidRPr="008A6B23" w:rsidRDefault="00796BD9" w:rsidP="00DD2511">
            <w:pPr>
              <w:ind w:left="-45"/>
              <w:rPr>
                <w:rFonts w:cs="Arial"/>
                <w:szCs w:val="16"/>
                <w:lang w:eastAsia="en-US"/>
              </w:rPr>
            </w:pPr>
            <w:r w:rsidRPr="008A6B23">
              <w:rPr>
                <w:rFonts w:cs="Arial"/>
                <w:szCs w:val="16"/>
                <w:lang w:eastAsia="en-US"/>
              </w:rPr>
              <w:t>PI-10</w:t>
            </w:r>
          </w:p>
        </w:tc>
        <w:tc>
          <w:tcPr>
            <w:tcW w:w="3185" w:type="pct"/>
            <w:tcBorders>
              <w:top w:val="single" w:sz="6" w:space="0" w:color="006DB6"/>
            </w:tcBorders>
            <w:tcMar>
              <w:top w:w="14" w:type="dxa"/>
            </w:tcMar>
          </w:tcPr>
          <w:p w14:paraId="6C0BD1D6" w14:textId="572FD11E" w:rsidR="00796BD9" w:rsidRPr="008A6B23" w:rsidRDefault="00796BD9" w:rsidP="00C63AE4">
            <w:pPr>
              <w:rPr>
                <w:rFonts w:cs="Arial"/>
                <w:szCs w:val="16"/>
                <w:lang w:eastAsia="en-US"/>
              </w:rPr>
            </w:pPr>
            <w:r w:rsidRPr="008A6B23">
              <w:rPr>
                <w:rFonts w:cs="Arial"/>
                <w:szCs w:val="16"/>
                <w:lang w:eastAsia="en-US"/>
              </w:rPr>
              <w:t xml:space="preserve">Fiscal risk </w:t>
            </w:r>
            <w:r w:rsidR="00C63AE4">
              <w:rPr>
                <w:rFonts w:cs="Arial"/>
                <w:szCs w:val="16"/>
                <w:lang w:eastAsia="en-US"/>
              </w:rPr>
              <w:t>reporting</w:t>
            </w:r>
            <w:r w:rsidRPr="008A6B23">
              <w:rPr>
                <w:rFonts w:cs="Arial"/>
                <w:szCs w:val="16"/>
                <w:lang w:eastAsia="en-US"/>
              </w:rPr>
              <w:t xml:space="preserve"> </w:t>
            </w:r>
          </w:p>
        </w:tc>
        <w:tc>
          <w:tcPr>
            <w:tcW w:w="237" w:type="pct"/>
            <w:tcBorders>
              <w:top w:val="single" w:sz="6" w:space="0" w:color="006DB6"/>
            </w:tcBorders>
            <w:tcMar>
              <w:top w:w="14" w:type="dxa"/>
            </w:tcMar>
          </w:tcPr>
          <w:p w14:paraId="1C7DF1D6" w14:textId="77777777" w:rsidR="00796BD9" w:rsidRPr="00F726BC" w:rsidRDefault="00796BD9" w:rsidP="00DD2511">
            <w:pPr>
              <w:jc w:val="center"/>
              <w:rPr>
                <w:rFonts w:cs="Arial"/>
                <w:szCs w:val="16"/>
                <w:lang w:eastAsia="en-US"/>
              </w:rPr>
            </w:pPr>
            <w:r w:rsidRPr="00F726BC">
              <w:rPr>
                <w:rFonts w:cs="Arial"/>
                <w:szCs w:val="16"/>
                <w:lang w:eastAsia="en-US"/>
              </w:rPr>
              <w:t>B</w:t>
            </w:r>
          </w:p>
        </w:tc>
        <w:tc>
          <w:tcPr>
            <w:tcW w:w="237" w:type="pct"/>
            <w:tcBorders>
              <w:top w:val="single" w:sz="6" w:space="0" w:color="006DB6"/>
            </w:tcBorders>
            <w:tcMar>
              <w:top w:w="14" w:type="dxa"/>
            </w:tcMar>
          </w:tcPr>
          <w:p w14:paraId="26B35238" w14:textId="77777777" w:rsidR="00796BD9" w:rsidRPr="00F726BC" w:rsidRDefault="00796BD9" w:rsidP="00DD2511">
            <w:pPr>
              <w:jc w:val="center"/>
              <w:rPr>
                <w:rFonts w:cs="Arial"/>
                <w:szCs w:val="16"/>
                <w:lang w:eastAsia="en-US"/>
              </w:rPr>
            </w:pPr>
            <w:r w:rsidRPr="00F726BC">
              <w:rPr>
                <w:rFonts w:cs="Arial"/>
                <w:szCs w:val="16"/>
                <w:lang w:eastAsia="en-US"/>
              </w:rPr>
              <w:t>C</w:t>
            </w:r>
          </w:p>
        </w:tc>
        <w:tc>
          <w:tcPr>
            <w:tcW w:w="240" w:type="pct"/>
            <w:tcBorders>
              <w:top w:val="single" w:sz="6" w:space="0" w:color="006DB6"/>
            </w:tcBorders>
            <w:tcMar>
              <w:top w:w="14" w:type="dxa"/>
            </w:tcMar>
          </w:tcPr>
          <w:p w14:paraId="48660004" w14:textId="77777777" w:rsidR="00796BD9" w:rsidRPr="00F726BC" w:rsidRDefault="00796BD9" w:rsidP="00DD2511">
            <w:pPr>
              <w:jc w:val="center"/>
              <w:rPr>
                <w:rFonts w:cs="Arial"/>
                <w:szCs w:val="16"/>
                <w:lang w:eastAsia="en-US"/>
              </w:rPr>
            </w:pPr>
            <w:r w:rsidRPr="00F726BC">
              <w:rPr>
                <w:rFonts w:cs="Arial"/>
                <w:szCs w:val="16"/>
                <w:lang w:eastAsia="en-US"/>
              </w:rPr>
              <w:t>D</w:t>
            </w:r>
          </w:p>
        </w:tc>
        <w:tc>
          <w:tcPr>
            <w:tcW w:w="210" w:type="pct"/>
            <w:tcBorders>
              <w:top w:val="single" w:sz="6" w:space="0" w:color="006DB6"/>
              <w:bottom w:val="single" w:sz="6" w:space="0" w:color="006DB6"/>
            </w:tcBorders>
            <w:shd w:val="clear" w:color="auto" w:fill="D5DCE4" w:themeFill="text2" w:themeFillTint="33"/>
            <w:tcMar>
              <w:top w:w="14" w:type="dxa"/>
            </w:tcMar>
          </w:tcPr>
          <w:p w14:paraId="0C1B72D9" w14:textId="77777777" w:rsidR="00796BD9" w:rsidRPr="00F726BC" w:rsidRDefault="00796BD9" w:rsidP="00DD2511">
            <w:pPr>
              <w:jc w:val="center"/>
              <w:rPr>
                <w:rFonts w:cs="Arial"/>
                <w:szCs w:val="16"/>
                <w:lang w:eastAsia="en-US"/>
              </w:rPr>
            </w:pPr>
          </w:p>
        </w:tc>
        <w:tc>
          <w:tcPr>
            <w:tcW w:w="506" w:type="pct"/>
            <w:tcBorders>
              <w:top w:val="single" w:sz="6" w:space="0" w:color="006DB6"/>
            </w:tcBorders>
            <w:tcMar>
              <w:top w:w="14" w:type="dxa"/>
              <w:left w:w="288" w:type="dxa"/>
            </w:tcMar>
          </w:tcPr>
          <w:p w14:paraId="141196B2" w14:textId="77777777" w:rsidR="00796BD9" w:rsidRPr="00460F54" w:rsidRDefault="00796BD9" w:rsidP="00DD2511">
            <w:pPr>
              <w:rPr>
                <w:rFonts w:cs="Arial"/>
                <w:b/>
                <w:szCs w:val="16"/>
                <w:lang w:eastAsia="en-US"/>
              </w:rPr>
            </w:pPr>
            <w:r w:rsidRPr="00460F54">
              <w:rPr>
                <w:rFonts w:cs="Arial"/>
                <w:b/>
                <w:szCs w:val="16"/>
                <w:lang w:eastAsia="en-US"/>
              </w:rPr>
              <w:t>C</w:t>
            </w:r>
          </w:p>
        </w:tc>
      </w:tr>
      <w:tr w:rsidR="00796BD9" w:rsidRPr="00595782" w14:paraId="53825D2C" w14:textId="77777777" w:rsidTr="00C63AE4">
        <w:trPr>
          <w:trHeight w:val="296"/>
        </w:trPr>
        <w:tc>
          <w:tcPr>
            <w:tcW w:w="386" w:type="pct"/>
            <w:tcBorders>
              <w:bottom w:val="single" w:sz="6" w:space="0" w:color="006DB6"/>
            </w:tcBorders>
            <w:tcMar>
              <w:top w:w="14" w:type="dxa"/>
            </w:tcMar>
          </w:tcPr>
          <w:p w14:paraId="7BD032D8" w14:textId="77777777" w:rsidR="00796BD9" w:rsidRPr="008A6B23" w:rsidRDefault="00796BD9" w:rsidP="00DD2511">
            <w:pPr>
              <w:ind w:left="-45"/>
              <w:rPr>
                <w:rFonts w:cs="Arial"/>
                <w:szCs w:val="16"/>
                <w:lang w:eastAsia="en-US"/>
              </w:rPr>
            </w:pPr>
            <w:r w:rsidRPr="008A6B23">
              <w:rPr>
                <w:rFonts w:cs="Arial"/>
                <w:szCs w:val="16"/>
                <w:lang w:eastAsia="en-US"/>
              </w:rPr>
              <w:t>PI-11</w:t>
            </w:r>
          </w:p>
        </w:tc>
        <w:tc>
          <w:tcPr>
            <w:tcW w:w="3185" w:type="pct"/>
            <w:tcBorders>
              <w:bottom w:val="single" w:sz="6" w:space="0" w:color="006DB6"/>
            </w:tcBorders>
            <w:tcMar>
              <w:top w:w="14" w:type="dxa"/>
            </w:tcMar>
          </w:tcPr>
          <w:p w14:paraId="7D3B8FB7" w14:textId="77777777" w:rsidR="00796BD9" w:rsidRPr="008A6B23" w:rsidRDefault="00796BD9" w:rsidP="00DD2511">
            <w:pPr>
              <w:rPr>
                <w:rFonts w:cs="Arial"/>
                <w:szCs w:val="16"/>
                <w:lang w:eastAsia="en-US"/>
              </w:rPr>
            </w:pPr>
            <w:r w:rsidRPr="008A6B23">
              <w:rPr>
                <w:rFonts w:cs="Arial"/>
                <w:szCs w:val="16"/>
                <w:lang w:eastAsia="en-US"/>
              </w:rPr>
              <w:t xml:space="preserve">Public Investment Management </w:t>
            </w:r>
          </w:p>
        </w:tc>
        <w:tc>
          <w:tcPr>
            <w:tcW w:w="237" w:type="pct"/>
            <w:tcBorders>
              <w:bottom w:val="single" w:sz="6" w:space="0" w:color="006DB6"/>
            </w:tcBorders>
            <w:tcMar>
              <w:top w:w="14" w:type="dxa"/>
            </w:tcMar>
          </w:tcPr>
          <w:p w14:paraId="71054B00" w14:textId="77777777" w:rsidR="00796BD9" w:rsidRPr="00F726BC" w:rsidRDefault="00796BD9" w:rsidP="00DD2511">
            <w:pPr>
              <w:jc w:val="center"/>
              <w:rPr>
                <w:rFonts w:cs="Arial"/>
                <w:szCs w:val="16"/>
                <w:lang w:eastAsia="en-US"/>
              </w:rPr>
            </w:pPr>
            <w:r w:rsidRPr="00F726BC">
              <w:rPr>
                <w:rFonts w:cs="Arial"/>
                <w:szCs w:val="16"/>
                <w:lang w:eastAsia="en-US"/>
              </w:rPr>
              <w:t>A</w:t>
            </w:r>
          </w:p>
        </w:tc>
        <w:tc>
          <w:tcPr>
            <w:tcW w:w="237" w:type="pct"/>
            <w:tcBorders>
              <w:bottom w:val="single" w:sz="6" w:space="0" w:color="006DB6"/>
            </w:tcBorders>
            <w:tcMar>
              <w:top w:w="14" w:type="dxa"/>
            </w:tcMar>
          </w:tcPr>
          <w:p w14:paraId="731B3203" w14:textId="77777777" w:rsidR="00796BD9" w:rsidRPr="00F726BC" w:rsidRDefault="00796BD9" w:rsidP="00DD2511">
            <w:pPr>
              <w:jc w:val="center"/>
              <w:rPr>
                <w:rFonts w:cs="Arial"/>
                <w:szCs w:val="16"/>
                <w:lang w:eastAsia="en-US"/>
              </w:rPr>
            </w:pPr>
            <w:r w:rsidRPr="00F726BC">
              <w:rPr>
                <w:rFonts w:cs="Arial"/>
                <w:szCs w:val="16"/>
                <w:lang w:eastAsia="en-US"/>
              </w:rPr>
              <w:t>A</w:t>
            </w:r>
          </w:p>
        </w:tc>
        <w:tc>
          <w:tcPr>
            <w:tcW w:w="240" w:type="pct"/>
            <w:tcBorders>
              <w:bottom w:val="single" w:sz="6" w:space="0" w:color="006DB6"/>
            </w:tcBorders>
            <w:tcMar>
              <w:top w:w="14" w:type="dxa"/>
            </w:tcMar>
          </w:tcPr>
          <w:p w14:paraId="755A9665" w14:textId="77777777" w:rsidR="00796BD9" w:rsidRPr="00F726BC" w:rsidRDefault="00796BD9" w:rsidP="00DD2511">
            <w:pPr>
              <w:jc w:val="center"/>
              <w:rPr>
                <w:rFonts w:cs="Arial"/>
                <w:szCs w:val="16"/>
                <w:lang w:eastAsia="en-US"/>
              </w:rPr>
            </w:pPr>
            <w:r w:rsidRPr="00F726BC">
              <w:rPr>
                <w:rFonts w:cs="Arial"/>
                <w:szCs w:val="16"/>
                <w:lang w:eastAsia="en-US"/>
              </w:rPr>
              <w:t>A</w:t>
            </w:r>
          </w:p>
        </w:tc>
        <w:tc>
          <w:tcPr>
            <w:tcW w:w="210" w:type="pct"/>
            <w:tcBorders>
              <w:top w:val="single" w:sz="6" w:space="0" w:color="006DB6"/>
              <w:bottom w:val="single" w:sz="6" w:space="0" w:color="006DB6"/>
            </w:tcBorders>
            <w:shd w:val="clear" w:color="auto" w:fill="auto"/>
            <w:tcMar>
              <w:top w:w="14" w:type="dxa"/>
            </w:tcMar>
          </w:tcPr>
          <w:p w14:paraId="2F48A3E4" w14:textId="2ED112D0" w:rsidR="00796BD9" w:rsidRPr="00F726BC" w:rsidRDefault="00C63AE4" w:rsidP="00DD2511">
            <w:pPr>
              <w:ind w:right="-108"/>
              <w:rPr>
                <w:rFonts w:cs="Arial"/>
                <w:spacing w:val="-16"/>
                <w:szCs w:val="16"/>
                <w:lang w:eastAsia="en-US"/>
              </w:rPr>
            </w:pPr>
            <w:r>
              <w:rPr>
                <w:rFonts w:cs="Arial"/>
                <w:spacing w:val="-16"/>
                <w:szCs w:val="16"/>
                <w:lang w:eastAsia="en-US"/>
              </w:rPr>
              <w:t>A</w:t>
            </w:r>
          </w:p>
        </w:tc>
        <w:tc>
          <w:tcPr>
            <w:tcW w:w="506" w:type="pct"/>
            <w:tcBorders>
              <w:bottom w:val="single" w:sz="6" w:space="0" w:color="006DB6"/>
            </w:tcBorders>
            <w:tcMar>
              <w:top w:w="14" w:type="dxa"/>
              <w:left w:w="288" w:type="dxa"/>
            </w:tcMar>
          </w:tcPr>
          <w:p w14:paraId="10C43DC5" w14:textId="77777777" w:rsidR="00796BD9" w:rsidRPr="00460F54" w:rsidRDefault="00796BD9" w:rsidP="00DD2511">
            <w:pPr>
              <w:rPr>
                <w:rFonts w:cs="Arial"/>
                <w:b/>
                <w:szCs w:val="16"/>
                <w:lang w:eastAsia="en-US"/>
              </w:rPr>
            </w:pPr>
            <w:r w:rsidRPr="00460F54">
              <w:rPr>
                <w:rFonts w:cs="Arial"/>
                <w:b/>
                <w:szCs w:val="16"/>
                <w:lang w:eastAsia="en-US"/>
              </w:rPr>
              <w:t>A</w:t>
            </w:r>
          </w:p>
        </w:tc>
      </w:tr>
      <w:tr w:rsidR="00796BD9" w:rsidRPr="00595782" w14:paraId="31005C7C" w14:textId="77777777" w:rsidTr="00796BD9">
        <w:trPr>
          <w:trHeight w:val="296"/>
        </w:trPr>
        <w:tc>
          <w:tcPr>
            <w:tcW w:w="386" w:type="pct"/>
            <w:tcBorders>
              <w:bottom w:val="single" w:sz="6" w:space="0" w:color="006DB6"/>
            </w:tcBorders>
            <w:tcMar>
              <w:top w:w="14" w:type="dxa"/>
            </w:tcMar>
          </w:tcPr>
          <w:p w14:paraId="4B3D3A13" w14:textId="77777777" w:rsidR="00796BD9" w:rsidRPr="008A6B23" w:rsidRDefault="00796BD9" w:rsidP="00DD2511">
            <w:pPr>
              <w:ind w:left="-45"/>
              <w:rPr>
                <w:rFonts w:cs="Arial"/>
                <w:szCs w:val="16"/>
                <w:lang w:eastAsia="en-US"/>
              </w:rPr>
            </w:pPr>
            <w:r w:rsidRPr="008A6B23">
              <w:rPr>
                <w:rFonts w:cs="Arial"/>
                <w:szCs w:val="16"/>
                <w:lang w:eastAsia="en-US"/>
              </w:rPr>
              <w:t>PI-12</w:t>
            </w:r>
          </w:p>
        </w:tc>
        <w:tc>
          <w:tcPr>
            <w:tcW w:w="3185" w:type="pct"/>
            <w:tcBorders>
              <w:bottom w:val="single" w:sz="6" w:space="0" w:color="006DB6"/>
            </w:tcBorders>
            <w:tcMar>
              <w:top w:w="14" w:type="dxa"/>
            </w:tcMar>
          </w:tcPr>
          <w:p w14:paraId="06E9C39F" w14:textId="77777777" w:rsidR="00796BD9" w:rsidRPr="008A6B23" w:rsidRDefault="00796BD9" w:rsidP="00DD2511">
            <w:pPr>
              <w:rPr>
                <w:rFonts w:cs="Arial"/>
                <w:szCs w:val="16"/>
                <w:lang w:eastAsia="en-US"/>
              </w:rPr>
            </w:pPr>
            <w:r w:rsidRPr="008A6B23">
              <w:rPr>
                <w:rFonts w:cs="Arial"/>
                <w:szCs w:val="16"/>
                <w:lang w:eastAsia="en-US"/>
              </w:rPr>
              <w:t xml:space="preserve">Public Asset Management </w:t>
            </w:r>
          </w:p>
        </w:tc>
        <w:tc>
          <w:tcPr>
            <w:tcW w:w="237" w:type="pct"/>
            <w:tcBorders>
              <w:bottom w:val="single" w:sz="6" w:space="0" w:color="006DB6"/>
            </w:tcBorders>
            <w:tcMar>
              <w:top w:w="14" w:type="dxa"/>
            </w:tcMar>
          </w:tcPr>
          <w:p w14:paraId="510260A2" w14:textId="77777777" w:rsidR="00796BD9" w:rsidRPr="00F726BC" w:rsidRDefault="00796BD9" w:rsidP="00DD2511">
            <w:pPr>
              <w:jc w:val="center"/>
              <w:rPr>
                <w:rFonts w:cs="Arial"/>
                <w:szCs w:val="16"/>
                <w:lang w:eastAsia="en-US"/>
              </w:rPr>
            </w:pPr>
            <w:r w:rsidRPr="00F726BC">
              <w:rPr>
                <w:rFonts w:cs="Arial"/>
                <w:szCs w:val="16"/>
                <w:lang w:eastAsia="en-US"/>
              </w:rPr>
              <w:t>C</w:t>
            </w:r>
          </w:p>
        </w:tc>
        <w:tc>
          <w:tcPr>
            <w:tcW w:w="237" w:type="pct"/>
            <w:tcBorders>
              <w:bottom w:val="single" w:sz="6" w:space="0" w:color="006DB6"/>
            </w:tcBorders>
            <w:tcMar>
              <w:top w:w="14" w:type="dxa"/>
            </w:tcMar>
          </w:tcPr>
          <w:p w14:paraId="634217B1" w14:textId="77777777" w:rsidR="00796BD9" w:rsidRPr="00F726BC" w:rsidRDefault="00796BD9" w:rsidP="00DD2511">
            <w:pPr>
              <w:jc w:val="center"/>
              <w:rPr>
                <w:rFonts w:cs="Arial"/>
                <w:szCs w:val="16"/>
                <w:lang w:eastAsia="en-US"/>
              </w:rPr>
            </w:pPr>
            <w:r w:rsidRPr="00F726BC">
              <w:rPr>
                <w:rFonts w:cs="Arial"/>
                <w:szCs w:val="16"/>
                <w:lang w:eastAsia="en-US"/>
              </w:rPr>
              <w:t>D</w:t>
            </w:r>
          </w:p>
        </w:tc>
        <w:tc>
          <w:tcPr>
            <w:tcW w:w="240" w:type="pct"/>
            <w:tcBorders>
              <w:bottom w:val="single" w:sz="6" w:space="0" w:color="006DB6"/>
            </w:tcBorders>
            <w:tcMar>
              <w:top w:w="14" w:type="dxa"/>
            </w:tcMar>
          </w:tcPr>
          <w:p w14:paraId="7993D044" w14:textId="77777777" w:rsidR="00796BD9" w:rsidRPr="00F726BC" w:rsidRDefault="00796BD9" w:rsidP="00DD2511">
            <w:pPr>
              <w:jc w:val="center"/>
              <w:rPr>
                <w:rFonts w:cs="Arial"/>
                <w:szCs w:val="16"/>
                <w:lang w:eastAsia="en-US"/>
              </w:rPr>
            </w:pPr>
            <w:r w:rsidRPr="00F726BC">
              <w:rPr>
                <w:rFonts w:cs="Arial"/>
                <w:szCs w:val="16"/>
                <w:lang w:eastAsia="en-US"/>
              </w:rPr>
              <w:t>C</w:t>
            </w:r>
          </w:p>
        </w:tc>
        <w:tc>
          <w:tcPr>
            <w:tcW w:w="210" w:type="pct"/>
            <w:tcBorders>
              <w:top w:val="single" w:sz="6" w:space="0" w:color="006DB6"/>
              <w:bottom w:val="single" w:sz="6" w:space="0" w:color="006DB6"/>
            </w:tcBorders>
            <w:shd w:val="clear" w:color="auto" w:fill="D5DCE4" w:themeFill="text2" w:themeFillTint="33"/>
            <w:tcMar>
              <w:top w:w="14" w:type="dxa"/>
            </w:tcMar>
          </w:tcPr>
          <w:p w14:paraId="36A9C148" w14:textId="77777777" w:rsidR="00796BD9" w:rsidRPr="00F726BC" w:rsidRDefault="00796BD9" w:rsidP="00DD2511">
            <w:pPr>
              <w:ind w:right="-108"/>
              <w:rPr>
                <w:rFonts w:cs="Arial"/>
                <w:spacing w:val="-16"/>
                <w:szCs w:val="16"/>
                <w:lang w:eastAsia="en-US"/>
              </w:rPr>
            </w:pPr>
          </w:p>
        </w:tc>
        <w:tc>
          <w:tcPr>
            <w:tcW w:w="506" w:type="pct"/>
            <w:tcBorders>
              <w:bottom w:val="single" w:sz="6" w:space="0" w:color="006DB6"/>
            </w:tcBorders>
            <w:tcMar>
              <w:top w:w="14" w:type="dxa"/>
              <w:left w:w="288" w:type="dxa"/>
            </w:tcMar>
          </w:tcPr>
          <w:p w14:paraId="2968B54F" w14:textId="77777777" w:rsidR="00796BD9" w:rsidRPr="00460F54" w:rsidRDefault="00796BD9" w:rsidP="00DD2511">
            <w:pPr>
              <w:rPr>
                <w:rFonts w:cs="Arial"/>
                <w:b/>
                <w:szCs w:val="16"/>
                <w:lang w:eastAsia="en-US"/>
              </w:rPr>
            </w:pPr>
            <w:r w:rsidRPr="00460F54">
              <w:rPr>
                <w:rFonts w:cs="Arial"/>
                <w:b/>
                <w:szCs w:val="16"/>
                <w:lang w:eastAsia="en-US"/>
              </w:rPr>
              <w:t>D+</w:t>
            </w:r>
          </w:p>
        </w:tc>
      </w:tr>
      <w:tr w:rsidR="00796BD9" w:rsidRPr="00595782" w14:paraId="734E0A2C" w14:textId="77777777" w:rsidTr="00C63AE4">
        <w:trPr>
          <w:trHeight w:val="296"/>
        </w:trPr>
        <w:tc>
          <w:tcPr>
            <w:tcW w:w="386" w:type="pct"/>
            <w:tcBorders>
              <w:bottom w:val="single" w:sz="6" w:space="0" w:color="006DB6"/>
            </w:tcBorders>
            <w:tcMar>
              <w:top w:w="14" w:type="dxa"/>
            </w:tcMar>
          </w:tcPr>
          <w:p w14:paraId="75E8D124" w14:textId="77777777" w:rsidR="00796BD9" w:rsidRPr="008A6B23" w:rsidRDefault="00796BD9" w:rsidP="00DD2511">
            <w:pPr>
              <w:ind w:left="-45"/>
              <w:rPr>
                <w:rFonts w:cs="Arial"/>
                <w:szCs w:val="16"/>
                <w:lang w:eastAsia="en-US"/>
              </w:rPr>
            </w:pPr>
            <w:r w:rsidRPr="008A6B23">
              <w:rPr>
                <w:rFonts w:cs="Arial"/>
                <w:szCs w:val="16"/>
                <w:lang w:eastAsia="en-US"/>
              </w:rPr>
              <w:t>PI-13</w:t>
            </w:r>
          </w:p>
        </w:tc>
        <w:tc>
          <w:tcPr>
            <w:tcW w:w="3185" w:type="pct"/>
            <w:tcBorders>
              <w:bottom w:val="single" w:sz="6" w:space="0" w:color="006DB6"/>
            </w:tcBorders>
            <w:tcMar>
              <w:top w:w="14" w:type="dxa"/>
            </w:tcMar>
          </w:tcPr>
          <w:p w14:paraId="7FAC58F2" w14:textId="353027A9" w:rsidR="00796BD9" w:rsidRPr="008A6B23" w:rsidRDefault="00C63AE4" w:rsidP="00C63AE4">
            <w:pPr>
              <w:rPr>
                <w:rFonts w:cs="Arial"/>
                <w:szCs w:val="16"/>
                <w:lang w:eastAsia="en-US"/>
              </w:rPr>
            </w:pPr>
            <w:r>
              <w:rPr>
                <w:rFonts w:cs="Arial"/>
                <w:szCs w:val="16"/>
                <w:lang w:eastAsia="en-US"/>
              </w:rPr>
              <w:t>Debt m</w:t>
            </w:r>
            <w:r w:rsidR="00796BD9" w:rsidRPr="008A6B23">
              <w:rPr>
                <w:rFonts w:cs="Arial"/>
                <w:szCs w:val="16"/>
                <w:lang w:eastAsia="en-US"/>
              </w:rPr>
              <w:t xml:space="preserve">anagement </w:t>
            </w:r>
          </w:p>
        </w:tc>
        <w:tc>
          <w:tcPr>
            <w:tcW w:w="237" w:type="pct"/>
            <w:tcBorders>
              <w:bottom w:val="single" w:sz="6" w:space="0" w:color="006DB6"/>
            </w:tcBorders>
            <w:tcMar>
              <w:top w:w="14" w:type="dxa"/>
            </w:tcMar>
          </w:tcPr>
          <w:p w14:paraId="11DD3A52" w14:textId="77777777" w:rsidR="00796BD9" w:rsidRPr="00F726BC" w:rsidRDefault="00796BD9" w:rsidP="00DD2511">
            <w:pPr>
              <w:jc w:val="center"/>
              <w:rPr>
                <w:rFonts w:cs="Arial"/>
                <w:szCs w:val="16"/>
                <w:lang w:eastAsia="en-US"/>
              </w:rPr>
            </w:pPr>
            <w:r w:rsidRPr="00F726BC">
              <w:rPr>
                <w:rFonts w:cs="Arial"/>
                <w:szCs w:val="16"/>
                <w:lang w:eastAsia="en-US"/>
              </w:rPr>
              <w:t>B</w:t>
            </w:r>
          </w:p>
        </w:tc>
        <w:tc>
          <w:tcPr>
            <w:tcW w:w="237" w:type="pct"/>
            <w:tcBorders>
              <w:bottom w:val="single" w:sz="6" w:space="0" w:color="006DB6"/>
            </w:tcBorders>
            <w:tcMar>
              <w:top w:w="14" w:type="dxa"/>
            </w:tcMar>
          </w:tcPr>
          <w:p w14:paraId="6F131FBF" w14:textId="77777777" w:rsidR="00796BD9" w:rsidRPr="00F726BC" w:rsidRDefault="00796BD9" w:rsidP="00DD2511">
            <w:pPr>
              <w:jc w:val="center"/>
              <w:rPr>
                <w:rFonts w:cs="Arial"/>
                <w:szCs w:val="16"/>
                <w:lang w:eastAsia="en-US"/>
              </w:rPr>
            </w:pPr>
            <w:r w:rsidRPr="00F726BC">
              <w:rPr>
                <w:rFonts w:cs="Arial"/>
                <w:szCs w:val="16"/>
                <w:lang w:eastAsia="en-US"/>
              </w:rPr>
              <w:t>A</w:t>
            </w:r>
          </w:p>
        </w:tc>
        <w:tc>
          <w:tcPr>
            <w:tcW w:w="240" w:type="pct"/>
            <w:tcBorders>
              <w:bottom w:val="single" w:sz="6" w:space="0" w:color="006DB6"/>
            </w:tcBorders>
            <w:tcMar>
              <w:top w:w="14" w:type="dxa"/>
            </w:tcMar>
          </w:tcPr>
          <w:p w14:paraId="4BB5D8EC" w14:textId="77777777" w:rsidR="00796BD9" w:rsidRPr="00F726BC" w:rsidRDefault="00796BD9" w:rsidP="00DD2511">
            <w:pPr>
              <w:jc w:val="center"/>
              <w:rPr>
                <w:rFonts w:cs="Arial"/>
                <w:szCs w:val="16"/>
                <w:lang w:eastAsia="en-US"/>
              </w:rPr>
            </w:pPr>
            <w:r w:rsidRPr="00F726BC">
              <w:rPr>
                <w:rFonts w:cs="Arial"/>
                <w:szCs w:val="16"/>
                <w:lang w:eastAsia="en-US"/>
              </w:rPr>
              <w:t>A</w:t>
            </w:r>
          </w:p>
        </w:tc>
        <w:tc>
          <w:tcPr>
            <w:tcW w:w="210" w:type="pct"/>
            <w:tcBorders>
              <w:bottom w:val="single" w:sz="6" w:space="0" w:color="006DB6"/>
            </w:tcBorders>
            <w:shd w:val="clear" w:color="auto" w:fill="D5DCE4" w:themeFill="text2" w:themeFillTint="33"/>
            <w:tcMar>
              <w:top w:w="14" w:type="dxa"/>
            </w:tcMar>
          </w:tcPr>
          <w:p w14:paraId="1A4FBD5D" w14:textId="136E408F" w:rsidR="00796BD9" w:rsidRPr="00F726BC" w:rsidRDefault="00796BD9" w:rsidP="00DD2511">
            <w:pPr>
              <w:ind w:right="-108"/>
              <w:rPr>
                <w:rFonts w:cs="Arial"/>
                <w:spacing w:val="-16"/>
                <w:szCs w:val="16"/>
                <w:lang w:eastAsia="en-US"/>
              </w:rPr>
            </w:pPr>
          </w:p>
        </w:tc>
        <w:tc>
          <w:tcPr>
            <w:tcW w:w="506" w:type="pct"/>
            <w:tcBorders>
              <w:bottom w:val="single" w:sz="6" w:space="0" w:color="006DB6"/>
            </w:tcBorders>
            <w:tcMar>
              <w:top w:w="14" w:type="dxa"/>
              <w:left w:w="288" w:type="dxa"/>
            </w:tcMar>
          </w:tcPr>
          <w:p w14:paraId="00205448" w14:textId="77777777" w:rsidR="00796BD9" w:rsidRPr="00460F54" w:rsidRDefault="00796BD9" w:rsidP="00DD2511">
            <w:pPr>
              <w:rPr>
                <w:rFonts w:cs="Arial"/>
                <w:b/>
                <w:szCs w:val="16"/>
                <w:lang w:eastAsia="en-US"/>
              </w:rPr>
            </w:pPr>
            <w:r w:rsidRPr="00460F54">
              <w:rPr>
                <w:rFonts w:cs="Arial"/>
                <w:b/>
                <w:szCs w:val="16"/>
                <w:lang w:eastAsia="en-US"/>
              </w:rPr>
              <w:t>B+</w:t>
            </w:r>
          </w:p>
        </w:tc>
      </w:tr>
    </w:tbl>
    <w:p w14:paraId="13E926C9" w14:textId="77777777" w:rsidR="00C556B8" w:rsidRPr="00C556B8" w:rsidRDefault="00C556B8" w:rsidP="00C556B8">
      <w:pPr>
        <w:pStyle w:val="DefaultText"/>
      </w:pPr>
    </w:p>
    <w:p w14:paraId="7281A4FD" w14:textId="08DA03D1" w:rsidR="00C556B8" w:rsidRDefault="00C63AE4" w:rsidP="00C556B8">
      <w:pPr>
        <w:pStyle w:val="DefaultText"/>
        <w:spacing w:line="276" w:lineRule="auto"/>
        <w:jc w:val="both"/>
        <w:rPr>
          <w:rFonts w:cs="Arial"/>
          <w:sz w:val="20"/>
          <w:szCs w:val="20"/>
        </w:rPr>
      </w:pPr>
      <w:r>
        <w:rPr>
          <w:sz w:val="20"/>
        </w:rPr>
        <w:t>Overall, the mechanisms for rep</w:t>
      </w:r>
      <w:r w:rsidR="00C556B8">
        <w:rPr>
          <w:sz w:val="20"/>
        </w:rPr>
        <w:t>or</w:t>
      </w:r>
      <w:r>
        <w:rPr>
          <w:sz w:val="20"/>
        </w:rPr>
        <w:t>t</w:t>
      </w:r>
      <w:r w:rsidR="00C556B8">
        <w:rPr>
          <w:sz w:val="20"/>
        </w:rPr>
        <w:t xml:space="preserve">ing </w:t>
      </w:r>
      <w:r w:rsidR="00C556B8">
        <w:rPr>
          <w:rFonts w:cs="Arial"/>
          <w:sz w:val="20"/>
          <w:szCs w:val="20"/>
        </w:rPr>
        <w:t>fiscal risks (PI-10</w:t>
      </w:r>
      <w:r w:rsidR="00C556B8" w:rsidRPr="00ED0AED">
        <w:rPr>
          <w:rFonts w:cs="Arial"/>
          <w:sz w:val="20"/>
          <w:szCs w:val="20"/>
        </w:rPr>
        <w:t>)</w:t>
      </w:r>
      <w:r w:rsidR="00C556B8">
        <w:rPr>
          <w:rFonts w:cs="Arial"/>
          <w:sz w:val="20"/>
          <w:szCs w:val="20"/>
        </w:rPr>
        <w:t xml:space="preserve"> are reasonable, but while contingent liabilities arising from the guarantees provided to </w:t>
      </w:r>
      <w:r w:rsidR="002A79FF">
        <w:rPr>
          <w:rFonts w:cs="Arial"/>
          <w:sz w:val="20"/>
          <w:szCs w:val="20"/>
        </w:rPr>
        <w:t>GB</w:t>
      </w:r>
      <w:r w:rsidR="005F0BC9">
        <w:rPr>
          <w:rFonts w:cs="Arial"/>
          <w:sz w:val="20"/>
          <w:szCs w:val="20"/>
        </w:rPr>
        <w:t>Es</w:t>
      </w:r>
      <w:r w:rsidR="00C556B8">
        <w:rPr>
          <w:rFonts w:cs="Arial"/>
          <w:sz w:val="20"/>
          <w:szCs w:val="20"/>
        </w:rPr>
        <w:t xml:space="preserve"> are recorded, those inherent in various </w:t>
      </w:r>
      <w:r w:rsidR="00C556B8" w:rsidRPr="00A07363">
        <w:rPr>
          <w:rFonts w:cs="Arial"/>
          <w:i/>
          <w:sz w:val="20"/>
          <w:szCs w:val="20"/>
        </w:rPr>
        <w:t>Public Private Partnership</w:t>
      </w:r>
      <w:r w:rsidR="00C556B8">
        <w:rPr>
          <w:rFonts w:cs="Arial"/>
          <w:sz w:val="20"/>
          <w:szCs w:val="20"/>
        </w:rPr>
        <w:t xml:space="preserve"> arrangements are not.</w:t>
      </w:r>
    </w:p>
    <w:p w14:paraId="72A3720C" w14:textId="77777777" w:rsidR="00C556B8" w:rsidRPr="00634E5B" w:rsidRDefault="00C556B8" w:rsidP="00C556B8">
      <w:pPr>
        <w:pStyle w:val="DefaultText"/>
        <w:spacing w:line="276" w:lineRule="auto"/>
        <w:jc w:val="both"/>
        <w:rPr>
          <w:sz w:val="20"/>
        </w:rPr>
      </w:pPr>
    </w:p>
    <w:p w14:paraId="035B252F" w14:textId="302F8047" w:rsidR="00C556B8" w:rsidRPr="00634E5B" w:rsidRDefault="00C556B8" w:rsidP="00C556B8">
      <w:pPr>
        <w:pStyle w:val="DefaultText"/>
        <w:spacing w:line="276" w:lineRule="auto"/>
        <w:jc w:val="both"/>
        <w:rPr>
          <w:sz w:val="20"/>
        </w:rPr>
      </w:pPr>
      <w:r w:rsidRPr="00634E5B">
        <w:rPr>
          <w:sz w:val="20"/>
        </w:rPr>
        <w:t>MDAs submi</w:t>
      </w:r>
      <w:r w:rsidR="00D66ACF">
        <w:rPr>
          <w:sz w:val="20"/>
        </w:rPr>
        <w:t>t</w:t>
      </w:r>
      <w:r w:rsidRPr="00634E5B">
        <w:rPr>
          <w:sz w:val="20"/>
        </w:rPr>
        <w:t xml:space="preserve"> project proposal</w:t>
      </w:r>
      <w:r w:rsidR="00D66ACF">
        <w:rPr>
          <w:sz w:val="20"/>
        </w:rPr>
        <w:t>s</w:t>
      </w:r>
      <w:r w:rsidRPr="00634E5B">
        <w:rPr>
          <w:sz w:val="20"/>
        </w:rPr>
        <w:t xml:space="preserve"> </w:t>
      </w:r>
      <w:r w:rsidR="00D66ACF">
        <w:rPr>
          <w:sz w:val="20"/>
        </w:rPr>
        <w:t>to</w:t>
      </w:r>
      <w:r w:rsidRPr="00634E5B">
        <w:rPr>
          <w:sz w:val="20"/>
        </w:rPr>
        <w:t xml:space="preserve"> the </w:t>
      </w:r>
      <w:r w:rsidR="00D66ACF" w:rsidRPr="00634E5B">
        <w:rPr>
          <w:sz w:val="20"/>
        </w:rPr>
        <w:t>Developm</w:t>
      </w:r>
      <w:r w:rsidR="00D66ACF">
        <w:rPr>
          <w:sz w:val="20"/>
        </w:rPr>
        <w:t>ent Planning Unit</w:t>
      </w:r>
      <w:r w:rsidRPr="00634E5B">
        <w:rPr>
          <w:sz w:val="20"/>
        </w:rPr>
        <w:t xml:space="preserve"> </w:t>
      </w:r>
      <w:r w:rsidR="00D66ACF">
        <w:rPr>
          <w:sz w:val="20"/>
        </w:rPr>
        <w:t xml:space="preserve">which </w:t>
      </w:r>
      <w:r w:rsidR="008A6B23">
        <w:rPr>
          <w:sz w:val="20"/>
        </w:rPr>
        <w:t xml:space="preserve">then </w:t>
      </w:r>
      <w:r w:rsidRPr="00634E5B">
        <w:rPr>
          <w:sz w:val="20"/>
        </w:rPr>
        <w:t>prepares project costing</w:t>
      </w:r>
      <w:r w:rsidR="00D66ACF">
        <w:rPr>
          <w:sz w:val="20"/>
        </w:rPr>
        <w:t>s</w:t>
      </w:r>
      <w:r w:rsidRPr="00634E5B">
        <w:rPr>
          <w:sz w:val="20"/>
        </w:rPr>
        <w:t xml:space="preserve"> that </w:t>
      </w:r>
      <w:r w:rsidR="00D66ACF">
        <w:rPr>
          <w:sz w:val="20"/>
        </w:rPr>
        <w:t>include</w:t>
      </w:r>
      <w:r w:rsidRPr="00634E5B">
        <w:rPr>
          <w:sz w:val="20"/>
        </w:rPr>
        <w:t xml:space="preserve"> both investment cost and forward linked recurrent expenditures</w:t>
      </w:r>
      <w:r w:rsidR="00D66ACF">
        <w:rPr>
          <w:sz w:val="20"/>
        </w:rPr>
        <w:t xml:space="preserve"> </w:t>
      </w:r>
      <w:r w:rsidR="00D66ACF" w:rsidRPr="00634E5B">
        <w:rPr>
          <w:sz w:val="20"/>
        </w:rPr>
        <w:t xml:space="preserve">for </w:t>
      </w:r>
      <w:r w:rsidR="00D66ACF">
        <w:rPr>
          <w:sz w:val="20"/>
        </w:rPr>
        <w:t>consideration</w:t>
      </w:r>
      <w:r w:rsidR="00D66ACF" w:rsidRPr="00634E5B">
        <w:rPr>
          <w:sz w:val="20"/>
        </w:rPr>
        <w:t xml:space="preserve"> by the P</w:t>
      </w:r>
      <w:r w:rsidR="00D66ACF">
        <w:rPr>
          <w:sz w:val="20"/>
        </w:rPr>
        <w:t>ublic Investment Committee</w:t>
      </w:r>
      <w:r w:rsidRPr="00634E5B">
        <w:rPr>
          <w:sz w:val="20"/>
        </w:rPr>
        <w:t xml:space="preserve">. </w:t>
      </w:r>
      <w:r>
        <w:rPr>
          <w:sz w:val="20"/>
        </w:rPr>
        <w:t xml:space="preserve"> </w:t>
      </w:r>
      <w:r w:rsidRPr="00634E5B">
        <w:rPr>
          <w:sz w:val="20"/>
        </w:rPr>
        <w:t xml:space="preserve">The Project </w:t>
      </w:r>
      <w:r w:rsidR="00087B2D">
        <w:rPr>
          <w:sz w:val="20"/>
        </w:rPr>
        <w:t xml:space="preserve">Management and Monitoring Unit in MoF </w:t>
      </w:r>
      <w:r w:rsidRPr="00634E5B">
        <w:rPr>
          <w:sz w:val="20"/>
        </w:rPr>
        <w:t>monitors and prepares quarterly and annual project progress an</w:t>
      </w:r>
      <w:r w:rsidR="00087B2D">
        <w:rPr>
          <w:sz w:val="20"/>
        </w:rPr>
        <w:t>d financial reports for Cabinet</w:t>
      </w:r>
      <w:r w:rsidRPr="00634E5B">
        <w:rPr>
          <w:sz w:val="20"/>
        </w:rPr>
        <w:t xml:space="preserve"> (PI-11). </w:t>
      </w:r>
    </w:p>
    <w:p w14:paraId="5AAE2210" w14:textId="77777777" w:rsidR="00C556B8" w:rsidRPr="00634E5B" w:rsidRDefault="00C556B8" w:rsidP="00C556B8">
      <w:pPr>
        <w:pStyle w:val="DefaultText"/>
        <w:spacing w:line="276" w:lineRule="auto"/>
        <w:jc w:val="both"/>
        <w:rPr>
          <w:sz w:val="20"/>
        </w:rPr>
      </w:pPr>
    </w:p>
    <w:p w14:paraId="655D9D2C" w14:textId="4D13D859" w:rsidR="00C556B8" w:rsidRDefault="00132E41" w:rsidP="00C556B8">
      <w:pPr>
        <w:pStyle w:val="DefaultText"/>
        <w:spacing w:line="276" w:lineRule="auto"/>
        <w:jc w:val="both"/>
        <w:rPr>
          <w:sz w:val="20"/>
        </w:rPr>
      </w:pPr>
      <w:r>
        <w:rPr>
          <w:sz w:val="20"/>
        </w:rPr>
        <w:t>The</w:t>
      </w:r>
      <w:r w:rsidR="00C556B8" w:rsidRPr="00634E5B">
        <w:rPr>
          <w:sz w:val="20"/>
        </w:rPr>
        <w:t xml:space="preserve"> </w:t>
      </w:r>
      <w:r w:rsidR="00D66ACF">
        <w:rPr>
          <w:sz w:val="20"/>
        </w:rPr>
        <w:t>Ministry of Public Works</w:t>
      </w:r>
      <w:r w:rsidR="00C556B8" w:rsidRPr="00634E5B">
        <w:rPr>
          <w:sz w:val="20"/>
        </w:rPr>
        <w:t xml:space="preserve"> </w:t>
      </w:r>
      <w:r w:rsidR="005F0BC9">
        <w:rPr>
          <w:sz w:val="20"/>
        </w:rPr>
        <w:t xml:space="preserve">has the mandate </w:t>
      </w:r>
      <w:r w:rsidR="00C556B8" w:rsidRPr="00634E5B">
        <w:rPr>
          <w:sz w:val="20"/>
        </w:rPr>
        <w:t>to compile and consolidate both movable and immovable fixed assets register</w:t>
      </w:r>
      <w:r w:rsidR="00D66ACF">
        <w:rPr>
          <w:sz w:val="20"/>
        </w:rPr>
        <w:t>s</w:t>
      </w:r>
      <w:r w:rsidR="00C556B8" w:rsidRPr="00634E5B">
        <w:rPr>
          <w:sz w:val="20"/>
        </w:rPr>
        <w:t xml:space="preserve">, </w:t>
      </w:r>
      <w:r w:rsidR="005F0BC9">
        <w:rPr>
          <w:sz w:val="20"/>
        </w:rPr>
        <w:t>although this</w:t>
      </w:r>
      <w:r w:rsidR="00D66ACF">
        <w:rPr>
          <w:sz w:val="20"/>
        </w:rPr>
        <w:t xml:space="preserve"> is</w:t>
      </w:r>
      <w:r w:rsidR="00C556B8" w:rsidRPr="00634E5B">
        <w:rPr>
          <w:sz w:val="20"/>
        </w:rPr>
        <w:t xml:space="preserve"> work-in-progress. </w:t>
      </w:r>
      <w:r w:rsidR="00087B2D">
        <w:rPr>
          <w:sz w:val="20"/>
        </w:rPr>
        <w:t xml:space="preserve"> </w:t>
      </w:r>
      <w:r w:rsidR="00C556B8" w:rsidRPr="00634E5B">
        <w:rPr>
          <w:sz w:val="20"/>
        </w:rPr>
        <w:t xml:space="preserve">Each MDA </w:t>
      </w:r>
      <w:r w:rsidR="00D66ACF">
        <w:rPr>
          <w:sz w:val="20"/>
        </w:rPr>
        <w:t>updates its</w:t>
      </w:r>
      <w:r w:rsidR="00C556B8" w:rsidRPr="00634E5B">
        <w:rPr>
          <w:sz w:val="20"/>
        </w:rPr>
        <w:t xml:space="preserve"> </w:t>
      </w:r>
      <w:r w:rsidR="00D66ACF">
        <w:rPr>
          <w:sz w:val="20"/>
        </w:rPr>
        <w:t>fixed assets register</w:t>
      </w:r>
      <w:r w:rsidR="00D66ACF" w:rsidRPr="00D66ACF">
        <w:rPr>
          <w:sz w:val="20"/>
        </w:rPr>
        <w:t xml:space="preserve"> </w:t>
      </w:r>
      <w:r w:rsidR="00D66ACF">
        <w:rPr>
          <w:sz w:val="20"/>
        </w:rPr>
        <w:t>annually, and there is</w:t>
      </w:r>
      <w:r w:rsidR="00C556B8" w:rsidRPr="00634E5B">
        <w:rPr>
          <w:sz w:val="20"/>
        </w:rPr>
        <w:t xml:space="preserve"> a legal framework </w:t>
      </w:r>
      <w:r w:rsidR="00D66ACF">
        <w:rPr>
          <w:sz w:val="20"/>
        </w:rPr>
        <w:t>for</w:t>
      </w:r>
      <w:r w:rsidR="00C556B8" w:rsidRPr="00634E5B">
        <w:rPr>
          <w:sz w:val="20"/>
        </w:rPr>
        <w:t xml:space="preserve"> the disposal of </w:t>
      </w:r>
      <w:r w:rsidR="00D66ACF">
        <w:rPr>
          <w:sz w:val="20"/>
        </w:rPr>
        <w:t>such</w:t>
      </w:r>
      <w:r w:rsidR="00C556B8" w:rsidRPr="00634E5B">
        <w:rPr>
          <w:sz w:val="20"/>
        </w:rPr>
        <w:t xml:space="preserve"> asset</w:t>
      </w:r>
      <w:r w:rsidR="00D66ACF">
        <w:rPr>
          <w:sz w:val="20"/>
        </w:rPr>
        <w:t>s</w:t>
      </w:r>
      <w:r w:rsidR="00C556B8" w:rsidRPr="00634E5B">
        <w:rPr>
          <w:sz w:val="20"/>
        </w:rPr>
        <w:t xml:space="preserve"> (PI-12).  </w:t>
      </w:r>
      <w:r w:rsidR="00D66ACF" w:rsidRPr="00634E5B">
        <w:rPr>
          <w:sz w:val="20"/>
        </w:rPr>
        <w:t xml:space="preserve">Financial assets are </w:t>
      </w:r>
      <w:r w:rsidR="00D66ACF">
        <w:rPr>
          <w:sz w:val="20"/>
        </w:rPr>
        <w:t>recorded by the</w:t>
      </w:r>
      <w:r w:rsidR="00D66ACF" w:rsidRPr="00634E5B">
        <w:rPr>
          <w:sz w:val="20"/>
        </w:rPr>
        <w:t xml:space="preserve"> Portfolio Unit </w:t>
      </w:r>
      <w:r w:rsidR="00D66ACF">
        <w:rPr>
          <w:sz w:val="20"/>
        </w:rPr>
        <w:t xml:space="preserve">in MoF, but are not </w:t>
      </w:r>
      <w:r w:rsidR="008A6B23">
        <w:rPr>
          <w:sz w:val="20"/>
        </w:rPr>
        <w:t xml:space="preserve">publically </w:t>
      </w:r>
      <w:r w:rsidR="00D66ACF">
        <w:rPr>
          <w:sz w:val="20"/>
        </w:rPr>
        <w:t>disclosed</w:t>
      </w:r>
      <w:r w:rsidR="00D66ACF" w:rsidRPr="00634E5B">
        <w:rPr>
          <w:sz w:val="20"/>
        </w:rPr>
        <w:t xml:space="preserve">. </w:t>
      </w:r>
      <w:r w:rsidR="00D66ACF">
        <w:rPr>
          <w:sz w:val="20"/>
        </w:rPr>
        <w:t xml:space="preserve"> </w:t>
      </w:r>
    </w:p>
    <w:p w14:paraId="53638743" w14:textId="77777777" w:rsidR="00D66ACF" w:rsidRPr="00634E5B" w:rsidRDefault="00D66ACF" w:rsidP="00C556B8">
      <w:pPr>
        <w:pStyle w:val="DefaultText"/>
        <w:spacing w:line="276" w:lineRule="auto"/>
        <w:jc w:val="both"/>
        <w:rPr>
          <w:sz w:val="20"/>
        </w:rPr>
      </w:pPr>
    </w:p>
    <w:p w14:paraId="04B36D65" w14:textId="6384D4B2" w:rsidR="00C556B8" w:rsidRDefault="00D84B5D" w:rsidP="003331FE">
      <w:pPr>
        <w:pStyle w:val="DefaultText"/>
        <w:spacing w:line="276" w:lineRule="auto"/>
        <w:jc w:val="both"/>
        <w:rPr>
          <w:rFonts w:cs="Arial"/>
          <w:sz w:val="20"/>
        </w:rPr>
      </w:pPr>
      <w:r w:rsidRPr="00634E5B">
        <w:rPr>
          <w:rFonts w:cs="Arial"/>
          <w:sz w:val="20"/>
        </w:rPr>
        <w:t>A three-year medium term</w:t>
      </w:r>
      <w:r w:rsidR="008A6B23">
        <w:rPr>
          <w:rFonts w:cs="Arial"/>
          <w:sz w:val="20"/>
        </w:rPr>
        <w:t xml:space="preserve"> debt strategy</w:t>
      </w:r>
      <w:r w:rsidRPr="00634E5B">
        <w:rPr>
          <w:rFonts w:cs="Arial"/>
          <w:sz w:val="20"/>
        </w:rPr>
        <w:t xml:space="preserve"> guides public borrowing (PI-13)</w:t>
      </w:r>
      <w:r w:rsidRPr="00D84B5D">
        <w:rPr>
          <w:rFonts w:cs="Arial"/>
          <w:sz w:val="20"/>
        </w:rPr>
        <w:t xml:space="preserve"> </w:t>
      </w:r>
      <w:r>
        <w:rPr>
          <w:rFonts w:cs="Arial"/>
          <w:sz w:val="20"/>
        </w:rPr>
        <w:t xml:space="preserve">and the </w:t>
      </w:r>
      <w:r w:rsidR="008A6B23">
        <w:rPr>
          <w:rFonts w:cs="Arial"/>
          <w:sz w:val="20"/>
        </w:rPr>
        <w:t>Minister of Finance ha</w:t>
      </w:r>
      <w:r w:rsidRPr="00634E5B">
        <w:rPr>
          <w:rFonts w:cs="Arial"/>
          <w:sz w:val="20"/>
        </w:rPr>
        <w:t xml:space="preserve">s sole </w:t>
      </w:r>
      <w:r>
        <w:rPr>
          <w:rFonts w:cs="Arial"/>
          <w:sz w:val="20"/>
        </w:rPr>
        <w:t xml:space="preserve">responsible for </w:t>
      </w:r>
      <w:r w:rsidR="00132E41">
        <w:rPr>
          <w:rFonts w:cs="Arial"/>
          <w:sz w:val="20"/>
        </w:rPr>
        <w:t>this</w:t>
      </w:r>
      <w:r>
        <w:rPr>
          <w:rFonts w:cs="Arial"/>
          <w:sz w:val="20"/>
        </w:rPr>
        <w:t xml:space="preserve">.  </w:t>
      </w:r>
      <w:r w:rsidR="00CD510E">
        <w:rPr>
          <w:rFonts w:cs="Arial"/>
          <w:sz w:val="20"/>
        </w:rPr>
        <w:t>The</w:t>
      </w:r>
      <w:r w:rsidRPr="00634E5B">
        <w:rPr>
          <w:sz w:val="20"/>
        </w:rPr>
        <w:t xml:space="preserve"> </w:t>
      </w:r>
      <w:r w:rsidR="00132E41">
        <w:rPr>
          <w:sz w:val="20"/>
        </w:rPr>
        <w:t>‘</w:t>
      </w:r>
      <w:r w:rsidR="00C556B8" w:rsidRPr="00634E5B">
        <w:rPr>
          <w:rFonts w:cs="Arial"/>
          <w:sz w:val="20"/>
        </w:rPr>
        <w:t>Debt Management and F</w:t>
      </w:r>
      <w:r w:rsidR="008A6B23">
        <w:rPr>
          <w:rFonts w:cs="Arial"/>
          <w:sz w:val="20"/>
        </w:rPr>
        <w:t>inancial Analysis System</w:t>
      </w:r>
      <w:r w:rsidR="00132E41">
        <w:rPr>
          <w:rFonts w:cs="Arial"/>
          <w:sz w:val="20"/>
        </w:rPr>
        <w:t>’</w:t>
      </w:r>
      <w:r w:rsidR="00781FCF">
        <w:rPr>
          <w:rFonts w:cs="Arial"/>
          <w:sz w:val="20"/>
        </w:rPr>
        <w:t xml:space="preserve"> provide</w:t>
      </w:r>
      <w:r w:rsidR="00CD510E">
        <w:rPr>
          <w:rFonts w:cs="Arial"/>
          <w:sz w:val="20"/>
        </w:rPr>
        <w:t>s</w:t>
      </w:r>
      <w:r w:rsidR="00C556B8" w:rsidRPr="00634E5B">
        <w:rPr>
          <w:rFonts w:cs="Arial"/>
          <w:sz w:val="20"/>
        </w:rPr>
        <w:t xml:space="preserve"> complete and accurate information on both domestic and foreign debt</w:t>
      </w:r>
      <w:r w:rsidR="00132E41">
        <w:rPr>
          <w:rFonts w:cs="Arial"/>
          <w:sz w:val="20"/>
        </w:rPr>
        <w:t>, and while</w:t>
      </w:r>
      <w:r w:rsidR="00C556B8" w:rsidRPr="00634E5B">
        <w:rPr>
          <w:rFonts w:cs="Arial"/>
          <w:sz w:val="20"/>
        </w:rPr>
        <w:t xml:space="preserve"> it does not recor</w:t>
      </w:r>
      <w:r w:rsidR="00426EBC">
        <w:rPr>
          <w:rFonts w:cs="Arial"/>
          <w:sz w:val="20"/>
        </w:rPr>
        <w:t xml:space="preserve">d PPPs and implicit liabilities, </w:t>
      </w:r>
      <w:r w:rsidR="00087B2D">
        <w:rPr>
          <w:rFonts w:cs="Arial"/>
          <w:sz w:val="20"/>
        </w:rPr>
        <w:t xml:space="preserve">the </w:t>
      </w:r>
      <w:r w:rsidR="00567DC5">
        <w:rPr>
          <w:rFonts w:cs="Arial"/>
          <w:sz w:val="20"/>
        </w:rPr>
        <w:t>Central</w:t>
      </w:r>
      <w:r w:rsidR="00087B2D">
        <w:rPr>
          <w:rFonts w:cs="Arial"/>
          <w:sz w:val="20"/>
        </w:rPr>
        <w:t xml:space="preserve"> Bank </w:t>
      </w:r>
      <w:r w:rsidR="00C556B8" w:rsidRPr="00634E5B">
        <w:rPr>
          <w:rFonts w:cs="Arial"/>
          <w:sz w:val="20"/>
        </w:rPr>
        <w:t>maintains re</w:t>
      </w:r>
      <w:r>
        <w:rPr>
          <w:rFonts w:cs="Arial"/>
          <w:sz w:val="20"/>
        </w:rPr>
        <w:t>cord</w:t>
      </w:r>
      <w:r w:rsidR="00781FCF">
        <w:rPr>
          <w:rFonts w:cs="Arial"/>
          <w:sz w:val="20"/>
        </w:rPr>
        <w:t>s</w:t>
      </w:r>
      <w:r>
        <w:rPr>
          <w:rFonts w:cs="Arial"/>
          <w:sz w:val="20"/>
        </w:rPr>
        <w:t xml:space="preserve"> of contingent liabilities: g</w:t>
      </w:r>
      <w:r w:rsidR="00C556B8" w:rsidRPr="00634E5B">
        <w:rPr>
          <w:rFonts w:cs="Arial"/>
          <w:sz w:val="20"/>
        </w:rPr>
        <w:t>uarantees are recorded separately in an excel datable</w:t>
      </w:r>
      <w:r>
        <w:rPr>
          <w:rFonts w:cs="Arial"/>
          <w:sz w:val="20"/>
        </w:rPr>
        <w:t xml:space="preserve">. </w:t>
      </w:r>
    </w:p>
    <w:p w14:paraId="72787B61" w14:textId="77777777" w:rsidR="00D66ACF" w:rsidRPr="00494668" w:rsidRDefault="00D66ACF" w:rsidP="00C556B8">
      <w:pPr>
        <w:pStyle w:val="Default"/>
        <w:spacing w:line="276" w:lineRule="auto"/>
        <w:rPr>
          <w:rFonts w:ascii="Arial" w:hAnsi="Arial" w:cs="Arial"/>
          <w:sz w:val="20"/>
        </w:rPr>
      </w:pPr>
    </w:p>
    <w:p w14:paraId="13222137" w14:textId="39DD1E1E" w:rsidR="00C556B8" w:rsidRDefault="00C556B8" w:rsidP="00C556B8">
      <w:pPr>
        <w:pStyle w:val="Heading3"/>
        <w:ind w:left="0"/>
      </w:pPr>
      <w:bookmarkStart w:id="7" w:name="_Toc301352244"/>
      <w:bookmarkStart w:id="8" w:name="_Toc434503078"/>
      <w:r>
        <w:t xml:space="preserve">Policy-based </w:t>
      </w:r>
      <w:r w:rsidR="00C63AE4">
        <w:t>fiscal strategy</w:t>
      </w:r>
      <w:r>
        <w:t xml:space="preserve"> and budgeting</w:t>
      </w:r>
      <w:bookmarkEnd w:id="7"/>
      <w:bookmarkEnd w:id="8"/>
      <w:r>
        <w:t xml:space="preserve"> </w:t>
      </w:r>
    </w:p>
    <w:tbl>
      <w:tblPr>
        <w:tblStyle w:val="TabelEcorys2"/>
        <w:tblW w:w="5000" w:type="pct"/>
        <w:tblInd w:w="0" w:type="dxa"/>
        <w:tblBorders>
          <w:top w:val="single" w:sz="4" w:space="0" w:color="006DB6"/>
          <w:left w:val="single" w:sz="4" w:space="0" w:color="006DB6"/>
          <w:bottom w:val="single" w:sz="4" w:space="0" w:color="006DB6"/>
          <w:right w:val="single" w:sz="4" w:space="0" w:color="006DB6"/>
          <w:insideH w:val="single" w:sz="6" w:space="0" w:color="006DB6"/>
          <w:insideV w:val="single" w:sz="6" w:space="0" w:color="006DB6"/>
        </w:tblBorders>
        <w:tblLook w:val="01E0" w:firstRow="1" w:lastRow="1" w:firstColumn="1" w:lastColumn="1" w:noHBand="0" w:noVBand="0"/>
      </w:tblPr>
      <w:tblGrid>
        <w:gridCol w:w="687"/>
        <w:gridCol w:w="5685"/>
        <w:gridCol w:w="422"/>
        <w:gridCol w:w="422"/>
        <w:gridCol w:w="429"/>
        <w:gridCol w:w="378"/>
        <w:gridCol w:w="987"/>
      </w:tblGrid>
      <w:tr w:rsidR="00796BD9" w:rsidRPr="00595782" w14:paraId="5F215DC4" w14:textId="77777777" w:rsidTr="00796BD9">
        <w:trPr>
          <w:tblHeader/>
        </w:trPr>
        <w:tc>
          <w:tcPr>
            <w:tcW w:w="3536" w:type="pct"/>
            <w:gridSpan w:val="2"/>
            <w:vMerge w:val="restart"/>
            <w:tcBorders>
              <w:top w:val="single" w:sz="4" w:space="0" w:color="006DB6"/>
              <w:bottom w:val="single" w:sz="4" w:space="0" w:color="FFFFFF" w:themeColor="background1"/>
              <w:right w:val="single" w:sz="4" w:space="0" w:color="FFFFFF" w:themeColor="background1"/>
            </w:tcBorders>
            <w:shd w:val="clear" w:color="auto" w:fill="006DB6"/>
            <w:tcMar>
              <w:top w:w="14" w:type="dxa"/>
            </w:tcMar>
            <w:vAlign w:val="center"/>
          </w:tcPr>
          <w:p w14:paraId="1F6100E4" w14:textId="464503E4" w:rsidR="00796BD9" w:rsidRPr="00595782" w:rsidRDefault="00796BD9" w:rsidP="00C63AE4">
            <w:pPr>
              <w:rPr>
                <w:rFonts w:cs="Arial"/>
                <w:b/>
                <w:color w:val="FFFFFF"/>
                <w:sz w:val="16"/>
                <w:szCs w:val="16"/>
                <w:lang w:eastAsia="en-US"/>
              </w:rPr>
            </w:pPr>
            <w:r w:rsidRPr="00796BD9">
              <w:rPr>
                <w:rFonts w:cs="Arial"/>
                <w:b/>
                <w:color w:val="FFFFFF" w:themeColor="background1"/>
                <w:sz w:val="20"/>
                <w:szCs w:val="16"/>
                <w:lang w:eastAsia="en-US"/>
              </w:rPr>
              <w:t xml:space="preserve">IV. Policy-Based </w:t>
            </w:r>
            <w:r w:rsidR="00C63AE4">
              <w:rPr>
                <w:rFonts w:cs="Arial"/>
                <w:b/>
                <w:color w:val="FFFFFF" w:themeColor="background1"/>
                <w:sz w:val="20"/>
                <w:szCs w:val="16"/>
                <w:lang w:eastAsia="en-US"/>
              </w:rPr>
              <w:t>fiscal strategy and b</w:t>
            </w:r>
            <w:r w:rsidRPr="00796BD9">
              <w:rPr>
                <w:rFonts w:cs="Arial"/>
                <w:b/>
                <w:color w:val="FFFFFF" w:themeColor="background1"/>
                <w:sz w:val="20"/>
                <w:szCs w:val="16"/>
                <w:lang w:eastAsia="en-US"/>
              </w:rPr>
              <w:t>udgeting</w:t>
            </w:r>
          </w:p>
        </w:tc>
        <w:tc>
          <w:tcPr>
            <w:tcW w:w="916" w:type="pct"/>
            <w:gridSpan w:val="4"/>
            <w:tcBorders>
              <w:top w:val="single" w:sz="4" w:space="0" w:color="006DB6"/>
              <w:left w:val="single" w:sz="4" w:space="0" w:color="FFFFFF" w:themeColor="background1"/>
              <w:bottom w:val="single" w:sz="4" w:space="0" w:color="FFFFFF" w:themeColor="background1"/>
              <w:right w:val="single" w:sz="4" w:space="0" w:color="FFFFFF" w:themeColor="background1"/>
            </w:tcBorders>
            <w:shd w:val="clear" w:color="auto" w:fill="006DB6"/>
            <w:tcMar>
              <w:top w:w="14" w:type="dxa"/>
            </w:tcMar>
            <w:vAlign w:val="center"/>
          </w:tcPr>
          <w:p w14:paraId="676BF05C" w14:textId="77777777" w:rsidR="00796BD9" w:rsidRPr="00595782" w:rsidRDefault="00796BD9" w:rsidP="00DD2511">
            <w:pPr>
              <w:jc w:val="center"/>
              <w:rPr>
                <w:rFonts w:cs="Arial"/>
                <w:b/>
                <w:color w:val="FFFFFF"/>
                <w:spacing w:val="-14"/>
                <w:sz w:val="16"/>
                <w:szCs w:val="16"/>
                <w:lang w:eastAsia="en-US"/>
              </w:rPr>
            </w:pPr>
            <w:r w:rsidRPr="00595782">
              <w:rPr>
                <w:rFonts w:cs="Arial"/>
                <w:b/>
                <w:color w:val="FFFFFF"/>
                <w:spacing w:val="-14"/>
                <w:sz w:val="16"/>
                <w:szCs w:val="16"/>
                <w:lang w:eastAsia="en-US"/>
              </w:rPr>
              <w:t>Dimension Ratings</w:t>
            </w:r>
          </w:p>
        </w:tc>
        <w:tc>
          <w:tcPr>
            <w:tcW w:w="548" w:type="pct"/>
            <w:vMerge w:val="restart"/>
            <w:tcBorders>
              <w:top w:val="single" w:sz="4" w:space="0" w:color="006DB6"/>
              <w:left w:val="single" w:sz="4" w:space="0" w:color="FFFFFF" w:themeColor="background1"/>
              <w:bottom w:val="single" w:sz="4" w:space="0" w:color="FFFFFF" w:themeColor="background1"/>
            </w:tcBorders>
            <w:shd w:val="clear" w:color="auto" w:fill="006DB6"/>
            <w:tcMar>
              <w:top w:w="14" w:type="dxa"/>
            </w:tcMar>
            <w:vAlign w:val="center"/>
          </w:tcPr>
          <w:p w14:paraId="32F0E8D7" w14:textId="77777777" w:rsidR="00796BD9" w:rsidRPr="00595782" w:rsidRDefault="00796BD9" w:rsidP="00DD2511">
            <w:pPr>
              <w:rPr>
                <w:rFonts w:cs="Arial"/>
                <w:b/>
                <w:color w:val="FFFFFF"/>
                <w:spacing w:val="-14"/>
                <w:sz w:val="16"/>
                <w:szCs w:val="16"/>
                <w:lang w:eastAsia="en-US"/>
              </w:rPr>
            </w:pPr>
            <w:r w:rsidRPr="00595782">
              <w:rPr>
                <w:rFonts w:cs="Arial"/>
                <w:b/>
                <w:color w:val="FFFFFF"/>
                <w:spacing w:val="-14"/>
                <w:sz w:val="16"/>
                <w:szCs w:val="16"/>
                <w:lang w:eastAsia="en-US"/>
              </w:rPr>
              <w:t>Overall Rating</w:t>
            </w:r>
          </w:p>
        </w:tc>
      </w:tr>
      <w:tr w:rsidR="00796BD9" w:rsidRPr="00595782" w14:paraId="24DFBF5B" w14:textId="77777777" w:rsidTr="00796BD9">
        <w:trPr>
          <w:tblHeader/>
        </w:trPr>
        <w:tc>
          <w:tcPr>
            <w:tcW w:w="3536" w:type="pct"/>
            <w:gridSpan w:val="2"/>
            <w:vMerge/>
            <w:tcBorders>
              <w:top w:val="single" w:sz="4" w:space="0" w:color="FFFFFF" w:themeColor="background1"/>
              <w:bottom w:val="single" w:sz="4" w:space="0" w:color="006DB6"/>
              <w:right w:val="single" w:sz="4" w:space="0" w:color="FFFFFF" w:themeColor="background1"/>
            </w:tcBorders>
            <w:tcMar>
              <w:top w:w="14" w:type="dxa"/>
            </w:tcMar>
            <w:vAlign w:val="center"/>
          </w:tcPr>
          <w:p w14:paraId="1E1703FE" w14:textId="77777777" w:rsidR="00796BD9" w:rsidRPr="00595782" w:rsidRDefault="00796BD9" w:rsidP="00DD2511">
            <w:pPr>
              <w:rPr>
                <w:rFonts w:cs="Arial"/>
                <w:sz w:val="16"/>
                <w:szCs w:val="16"/>
                <w:lang w:eastAsia="en-US"/>
              </w:rPr>
            </w:pPr>
          </w:p>
        </w:tc>
        <w:tc>
          <w:tcPr>
            <w:tcW w:w="234"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7400EE4D" w14:textId="77777777" w:rsidR="00796BD9" w:rsidRPr="00595782" w:rsidRDefault="00796BD9" w:rsidP="00DD2511">
            <w:pPr>
              <w:numPr>
                <w:ilvl w:val="0"/>
                <w:numId w:val="5"/>
              </w:numPr>
              <w:jc w:val="center"/>
              <w:rPr>
                <w:rFonts w:cs="Arial"/>
                <w:b/>
                <w:color w:val="FFFFFF" w:themeColor="background1"/>
                <w:sz w:val="16"/>
                <w:szCs w:val="16"/>
                <w:lang w:eastAsia="en-US"/>
              </w:rPr>
            </w:pPr>
          </w:p>
        </w:tc>
        <w:tc>
          <w:tcPr>
            <w:tcW w:w="234"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62C307AA" w14:textId="77777777" w:rsidR="00796BD9" w:rsidRPr="00595782" w:rsidRDefault="00796BD9" w:rsidP="00DD2511">
            <w:pPr>
              <w:numPr>
                <w:ilvl w:val="0"/>
                <w:numId w:val="5"/>
              </w:numPr>
              <w:jc w:val="center"/>
              <w:rPr>
                <w:rFonts w:cs="Arial"/>
                <w:b/>
                <w:color w:val="FFFFFF" w:themeColor="background1"/>
                <w:sz w:val="16"/>
                <w:szCs w:val="16"/>
                <w:lang w:eastAsia="en-US"/>
              </w:rPr>
            </w:pPr>
          </w:p>
        </w:tc>
        <w:tc>
          <w:tcPr>
            <w:tcW w:w="238"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6F0A0329" w14:textId="77777777" w:rsidR="00796BD9" w:rsidRPr="00595782" w:rsidRDefault="00796BD9" w:rsidP="00DD2511">
            <w:pPr>
              <w:numPr>
                <w:ilvl w:val="0"/>
                <w:numId w:val="5"/>
              </w:numPr>
              <w:jc w:val="center"/>
              <w:rPr>
                <w:rFonts w:cs="Arial"/>
                <w:b/>
                <w:color w:val="FFFFFF" w:themeColor="background1"/>
                <w:sz w:val="16"/>
                <w:szCs w:val="16"/>
                <w:lang w:eastAsia="en-US"/>
              </w:rPr>
            </w:pPr>
          </w:p>
        </w:tc>
        <w:tc>
          <w:tcPr>
            <w:tcW w:w="210"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6E282624" w14:textId="77777777" w:rsidR="00796BD9" w:rsidRPr="00595782" w:rsidRDefault="00796BD9" w:rsidP="00DD2511">
            <w:pPr>
              <w:numPr>
                <w:ilvl w:val="0"/>
                <w:numId w:val="5"/>
              </w:numPr>
              <w:jc w:val="center"/>
              <w:rPr>
                <w:rFonts w:cs="Arial"/>
                <w:b/>
                <w:color w:val="FFFFFF" w:themeColor="background1"/>
                <w:sz w:val="16"/>
                <w:szCs w:val="16"/>
                <w:lang w:eastAsia="en-US"/>
              </w:rPr>
            </w:pPr>
          </w:p>
        </w:tc>
        <w:tc>
          <w:tcPr>
            <w:tcW w:w="548" w:type="pct"/>
            <w:vMerge/>
            <w:tcBorders>
              <w:top w:val="single" w:sz="4" w:space="0" w:color="FFFFFF" w:themeColor="background1"/>
              <w:left w:val="single" w:sz="4" w:space="0" w:color="FFFFFF" w:themeColor="background1"/>
              <w:bottom w:val="single" w:sz="4" w:space="0" w:color="006DB6"/>
            </w:tcBorders>
            <w:tcMar>
              <w:top w:w="14" w:type="dxa"/>
            </w:tcMar>
            <w:vAlign w:val="center"/>
          </w:tcPr>
          <w:p w14:paraId="154C22CD" w14:textId="77777777" w:rsidR="00796BD9" w:rsidRPr="00595782" w:rsidRDefault="00796BD9" w:rsidP="00DD2511">
            <w:pPr>
              <w:rPr>
                <w:rFonts w:cs="Arial"/>
                <w:sz w:val="16"/>
                <w:szCs w:val="16"/>
                <w:lang w:eastAsia="en-US"/>
              </w:rPr>
            </w:pPr>
          </w:p>
        </w:tc>
      </w:tr>
      <w:tr w:rsidR="00796BD9" w:rsidRPr="00595782" w14:paraId="28E41FD3" w14:textId="77777777" w:rsidTr="00796BD9">
        <w:trPr>
          <w:trHeight w:val="296"/>
        </w:trPr>
        <w:tc>
          <w:tcPr>
            <w:tcW w:w="381" w:type="pct"/>
            <w:tcBorders>
              <w:top w:val="single" w:sz="6" w:space="0" w:color="006DB6"/>
            </w:tcBorders>
            <w:tcMar>
              <w:top w:w="14" w:type="dxa"/>
            </w:tcMar>
          </w:tcPr>
          <w:p w14:paraId="36BCD855" w14:textId="77777777" w:rsidR="00796BD9" w:rsidRPr="008A6B23" w:rsidRDefault="00796BD9" w:rsidP="00DD2511">
            <w:pPr>
              <w:ind w:left="-45"/>
              <w:rPr>
                <w:rFonts w:cs="Arial"/>
                <w:szCs w:val="16"/>
                <w:lang w:eastAsia="en-US"/>
              </w:rPr>
            </w:pPr>
            <w:r w:rsidRPr="008A6B23">
              <w:rPr>
                <w:rFonts w:cs="Arial"/>
                <w:szCs w:val="16"/>
                <w:lang w:eastAsia="en-US"/>
              </w:rPr>
              <w:t>PI-14</w:t>
            </w:r>
          </w:p>
        </w:tc>
        <w:tc>
          <w:tcPr>
            <w:tcW w:w="3155" w:type="pct"/>
            <w:tcBorders>
              <w:top w:val="single" w:sz="6" w:space="0" w:color="006DB6"/>
            </w:tcBorders>
            <w:tcMar>
              <w:top w:w="14" w:type="dxa"/>
            </w:tcMar>
          </w:tcPr>
          <w:p w14:paraId="05C3F94B" w14:textId="1BC1EE50" w:rsidR="00796BD9" w:rsidRPr="008A6B23" w:rsidRDefault="00C63AE4" w:rsidP="00DD2511">
            <w:pPr>
              <w:ind w:left="-45"/>
              <w:rPr>
                <w:rFonts w:cs="Arial"/>
                <w:szCs w:val="16"/>
                <w:lang w:eastAsia="en-US"/>
              </w:rPr>
            </w:pPr>
            <w:r>
              <w:rPr>
                <w:rFonts w:cs="Arial"/>
                <w:szCs w:val="16"/>
                <w:lang w:eastAsia="en-US"/>
              </w:rPr>
              <w:t>Macroeconomic and fiscal forecas</w:t>
            </w:r>
            <w:r w:rsidR="00796BD9" w:rsidRPr="008A6B23">
              <w:rPr>
                <w:rFonts w:cs="Arial"/>
                <w:szCs w:val="16"/>
                <w:lang w:eastAsia="en-US"/>
              </w:rPr>
              <w:t>t</w:t>
            </w:r>
            <w:r>
              <w:rPr>
                <w:rFonts w:cs="Arial"/>
                <w:szCs w:val="16"/>
                <w:lang w:eastAsia="en-US"/>
              </w:rPr>
              <w:t>ing</w:t>
            </w:r>
          </w:p>
        </w:tc>
        <w:tc>
          <w:tcPr>
            <w:tcW w:w="234" w:type="pct"/>
            <w:tcBorders>
              <w:top w:val="single" w:sz="6" w:space="0" w:color="006DB6"/>
            </w:tcBorders>
            <w:tcMar>
              <w:top w:w="14" w:type="dxa"/>
            </w:tcMar>
          </w:tcPr>
          <w:p w14:paraId="4A3F5F81" w14:textId="77777777" w:rsidR="00796BD9" w:rsidRPr="00FD2691" w:rsidRDefault="00796BD9" w:rsidP="00DD2511">
            <w:pPr>
              <w:jc w:val="center"/>
              <w:rPr>
                <w:rFonts w:cs="Arial"/>
                <w:bCs/>
                <w:szCs w:val="16"/>
                <w:lang w:eastAsia="en-US"/>
              </w:rPr>
            </w:pPr>
            <w:r w:rsidRPr="00FD2691">
              <w:rPr>
                <w:rFonts w:cs="Arial"/>
                <w:bCs/>
                <w:szCs w:val="16"/>
                <w:lang w:eastAsia="en-US"/>
              </w:rPr>
              <w:t>A</w:t>
            </w:r>
          </w:p>
        </w:tc>
        <w:tc>
          <w:tcPr>
            <w:tcW w:w="234" w:type="pct"/>
            <w:tcBorders>
              <w:top w:val="single" w:sz="6" w:space="0" w:color="006DB6"/>
            </w:tcBorders>
            <w:tcMar>
              <w:top w:w="14" w:type="dxa"/>
            </w:tcMar>
          </w:tcPr>
          <w:p w14:paraId="7C3FA69C" w14:textId="77777777" w:rsidR="00796BD9" w:rsidRPr="00FD2691" w:rsidRDefault="00796BD9" w:rsidP="00DD2511">
            <w:pPr>
              <w:jc w:val="center"/>
              <w:rPr>
                <w:rFonts w:cs="Arial"/>
                <w:bCs/>
                <w:szCs w:val="16"/>
                <w:lang w:eastAsia="en-US"/>
              </w:rPr>
            </w:pPr>
            <w:r w:rsidRPr="00FD2691">
              <w:rPr>
                <w:rFonts w:cs="Arial"/>
                <w:bCs/>
                <w:szCs w:val="16"/>
                <w:lang w:eastAsia="en-US"/>
              </w:rPr>
              <w:t>A</w:t>
            </w:r>
          </w:p>
        </w:tc>
        <w:tc>
          <w:tcPr>
            <w:tcW w:w="238" w:type="pct"/>
            <w:tcBorders>
              <w:top w:val="single" w:sz="6" w:space="0" w:color="006DB6"/>
            </w:tcBorders>
            <w:tcMar>
              <w:top w:w="14" w:type="dxa"/>
            </w:tcMar>
          </w:tcPr>
          <w:p w14:paraId="30E7AB34" w14:textId="77777777" w:rsidR="00796BD9" w:rsidRPr="00FD2691" w:rsidRDefault="00796BD9" w:rsidP="00DD2511">
            <w:pPr>
              <w:jc w:val="center"/>
              <w:rPr>
                <w:rFonts w:cs="Arial"/>
                <w:bCs/>
                <w:szCs w:val="16"/>
                <w:lang w:eastAsia="en-US"/>
              </w:rPr>
            </w:pPr>
            <w:r w:rsidRPr="00FD2691">
              <w:rPr>
                <w:rFonts w:cs="Arial"/>
                <w:bCs/>
                <w:szCs w:val="16"/>
                <w:lang w:eastAsia="en-US"/>
              </w:rPr>
              <w:t>B</w:t>
            </w:r>
          </w:p>
        </w:tc>
        <w:tc>
          <w:tcPr>
            <w:tcW w:w="210" w:type="pct"/>
            <w:tcBorders>
              <w:top w:val="single" w:sz="6" w:space="0" w:color="006DB6"/>
              <w:bottom w:val="single" w:sz="6" w:space="0" w:color="006DB6"/>
            </w:tcBorders>
            <w:shd w:val="clear" w:color="auto" w:fill="D5DCE4" w:themeFill="text2" w:themeFillTint="33"/>
            <w:tcMar>
              <w:top w:w="14" w:type="dxa"/>
            </w:tcMar>
          </w:tcPr>
          <w:p w14:paraId="429FBF89" w14:textId="77777777" w:rsidR="00796BD9" w:rsidRPr="00FD2691" w:rsidRDefault="00796BD9" w:rsidP="00DD2511">
            <w:pPr>
              <w:jc w:val="center"/>
              <w:rPr>
                <w:rFonts w:cs="Arial"/>
                <w:bCs/>
                <w:szCs w:val="16"/>
                <w:lang w:eastAsia="en-US"/>
              </w:rPr>
            </w:pPr>
          </w:p>
        </w:tc>
        <w:tc>
          <w:tcPr>
            <w:tcW w:w="548" w:type="pct"/>
            <w:tcBorders>
              <w:top w:val="single" w:sz="6" w:space="0" w:color="006DB6"/>
            </w:tcBorders>
            <w:tcMar>
              <w:top w:w="14" w:type="dxa"/>
              <w:left w:w="288" w:type="dxa"/>
            </w:tcMar>
          </w:tcPr>
          <w:p w14:paraId="0583B5DA" w14:textId="77777777" w:rsidR="00796BD9" w:rsidRPr="00460F54" w:rsidRDefault="00796BD9" w:rsidP="00DD2511">
            <w:pPr>
              <w:rPr>
                <w:rFonts w:cs="Arial"/>
                <w:b/>
                <w:bCs/>
                <w:szCs w:val="16"/>
                <w:lang w:eastAsia="en-US"/>
              </w:rPr>
            </w:pPr>
            <w:r w:rsidRPr="00460F54">
              <w:rPr>
                <w:rFonts w:cs="Arial"/>
                <w:b/>
                <w:bCs/>
                <w:szCs w:val="16"/>
                <w:lang w:eastAsia="en-US"/>
              </w:rPr>
              <w:t>A</w:t>
            </w:r>
          </w:p>
        </w:tc>
      </w:tr>
      <w:tr w:rsidR="00796BD9" w:rsidRPr="00595782" w14:paraId="27C19B58" w14:textId="77777777" w:rsidTr="00796BD9">
        <w:trPr>
          <w:trHeight w:val="335"/>
        </w:trPr>
        <w:tc>
          <w:tcPr>
            <w:tcW w:w="381" w:type="pct"/>
            <w:tcMar>
              <w:top w:w="14" w:type="dxa"/>
            </w:tcMar>
          </w:tcPr>
          <w:p w14:paraId="52A59AE6" w14:textId="77777777" w:rsidR="00796BD9" w:rsidRPr="008A6B23" w:rsidRDefault="00796BD9" w:rsidP="00DD2511">
            <w:pPr>
              <w:ind w:left="-45"/>
              <w:rPr>
                <w:rFonts w:cs="Arial"/>
                <w:szCs w:val="16"/>
                <w:lang w:eastAsia="en-US"/>
              </w:rPr>
            </w:pPr>
            <w:r w:rsidRPr="008A6B23">
              <w:rPr>
                <w:rFonts w:cs="Arial"/>
                <w:szCs w:val="16"/>
                <w:lang w:eastAsia="en-US"/>
              </w:rPr>
              <w:t>PI-15</w:t>
            </w:r>
          </w:p>
        </w:tc>
        <w:tc>
          <w:tcPr>
            <w:tcW w:w="3155" w:type="pct"/>
            <w:tcMar>
              <w:top w:w="14" w:type="dxa"/>
            </w:tcMar>
          </w:tcPr>
          <w:p w14:paraId="36343AB4" w14:textId="2A04CD58" w:rsidR="00796BD9" w:rsidRPr="008A6B23" w:rsidRDefault="00C63AE4" w:rsidP="00DD2511">
            <w:pPr>
              <w:ind w:left="-45"/>
              <w:rPr>
                <w:rFonts w:cs="Arial"/>
                <w:szCs w:val="16"/>
                <w:lang w:eastAsia="en-US"/>
              </w:rPr>
            </w:pPr>
            <w:r>
              <w:rPr>
                <w:rFonts w:cs="Arial"/>
                <w:szCs w:val="16"/>
                <w:lang w:eastAsia="en-US"/>
              </w:rPr>
              <w:t>Fiscal strategy</w:t>
            </w:r>
            <w:r w:rsidR="00796BD9" w:rsidRPr="008A6B23">
              <w:rPr>
                <w:rFonts w:cs="Arial"/>
                <w:szCs w:val="16"/>
                <w:lang w:eastAsia="en-US"/>
              </w:rPr>
              <w:t xml:space="preserve"> </w:t>
            </w:r>
          </w:p>
        </w:tc>
        <w:tc>
          <w:tcPr>
            <w:tcW w:w="234" w:type="pct"/>
            <w:tcMar>
              <w:top w:w="14" w:type="dxa"/>
            </w:tcMar>
          </w:tcPr>
          <w:p w14:paraId="0CBCDA5E" w14:textId="77777777" w:rsidR="00796BD9" w:rsidRPr="00FD2691" w:rsidRDefault="00796BD9" w:rsidP="00DD2511">
            <w:pPr>
              <w:jc w:val="center"/>
              <w:rPr>
                <w:rFonts w:cs="Arial"/>
                <w:szCs w:val="16"/>
                <w:lang w:eastAsia="en-US"/>
              </w:rPr>
            </w:pPr>
            <w:r>
              <w:rPr>
                <w:rFonts w:cs="Arial"/>
                <w:szCs w:val="16"/>
                <w:lang w:eastAsia="en-US"/>
              </w:rPr>
              <w:t>A</w:t>
            </w:r>
          </w:p>
        </w:tc>
        <w:tc>
          <w:tcPr>
            <w:tcW w:w="234" w:type="pct"/>
            <w:tcMar>
              <w:top w:w="14" w:type="dxa"/>
            </w:tcMar>
          </w:tcPr>
          <w:p w14:paraId="44120CDC" w14:textId="77777777" w:rsidR="00796BD9" w:rsidRPr="00FD2691" w:rsidRDefault="00796BD9" w:rsidP="00DD2511">
            <w:pPr>
              <w:jc w:val="center"/>
              <w:rPr>
                <w:rFonts w:cs="Arial"/>
                <w:szCs w:val="16"/>
                <w:lang w:eastAsia="en-US"/>
              </w:rPr>
            </w:pPr>
            <w:r>
              <w:rPr>
                <w:rFonts w:cs="Arial"/>
                <w:szCs w:val="16"/>
                <w:lang w:eastAsia="en-US"/>
              </w:rPr>
              <w:t>A</w:t>
            </w:r>
          </w:p>
        </w:tc>
        <w:tc>
          <w:tcPr>
            <w:tcW w:w="238" w:type="pct"/>
            <w:tcMar>
              <w:top w:w="14" w:type="dxa"/>
            </w:tcMar>
          </w:tcPr>
          <w:p w14:paraId="03841D0E" w14:textId="77777777" w:rsidR="00796BD9" w:rsidRPr="00FD2691" w:rsidRDefault="00796BD9" w:rsidP="00DD2511">
            <w:pPr>
              <w:jc w:val="center"/>
              <w:rPr>
                <w:rFonts w:cs="Arial"/>
                <w:szCs w:val="16"/>
                <w:lang w:eastAsia="en-US"/>
              </w:rPr>
            </w:pPr>
            <w:r>
              <w:rPr>
                <w:rFonts w:cs="Arial"/>
                <w:szCs w:val="16"/>
                <w:lang w:eastAsia="en-US"/>
              </w:rPr>
              <w:t>B</w:t>
            </w:r>
          </w:p>
        </w:tc>
        <w:tc>
          <w:tcPr>
            <w:tcW w:w="210" w:type="pct"/>
            <w:tcBorders>
              <w:top w:val="single" w:sz="6" w:space="0" w:color="006DB6"/>
              <w:bottom w:val="single" w:sz="6" w:space="0" w:color="006DB6"/>
            </w:tcBorders>
            <w:shd w:val="clear" w:color="auto" w:fill="D5DCE4" w:themeFill="text2" w:themeFillTint="33"/>
            <w:tcMar>
              <w:top w:w="14" w:type="dxa"/>
            </w:tcMar>
          </w:tcPr>
          <w:p w14:paraId="7E5B6059" w14:textId="77777777" w:rsidR="00796BD9" w:rsidRPr="00FD2691" w:rsidRDefault="00796BD9" w:rsidP="00DD2511">
            <w:pPr>
              <w:jc w:val="center"/>
              <w:rPr>
                <w:rFonts w:cs="Arial"/>
                <w:szCs w:val="16"/>
                <w:lang w:eastAsia="en-US"/>
              </w:rPr>
            </w:pPr>
          </w:p>
        </w:tc>
        <w:tc>
          <w:tcPr>
            <w:tcW w:w="548" w:type="pct"/>
            <w:tcMar>
              <w:top w:w="14" w:type="dxa"/>
              <w:left w:w="288" w:type="dxa"/>
            </w:tcMar>
          </w:tcPr>
          <w:p w14:paraId="128C345D" w14:textId="77777777" w:rsidR="00796BD9" w:rsidRPr="00460F54" w:rsidRDefault="00796BD9" w:rsidP="00DD2511">
            <w:pPr>
              <w:rPr>
                <w:rFonts w:cs="Arial"/>
                <w:b/>
                <w:szCs w:val="16"/>
                <w:lang w:eastAsia="en-US"/>
              </w:rPr>
            </w:pPr>
            <w:r>
              <w:rPr>
                <w:rFonts w:cs="Arial"/>
                <w:b/>
                <w:szCs w:val="16"/>
                <w:lang w:eastAsia="en-US"/>
              </w:rPr>
              <w:t>A</w:t>
            </w:r>
          </w:p>
        </w:tc>
      </w:tr>
      <w:tr w:rsidR="00796BD9" w:rsidRPr="00595782" w14:paraId="5D6CEF61" w14:textId="77777777" w:rsidTr="00C63AE4">
        <w:trPr>
          <w:trHeight w:val="273"/>
        </w:trPr>
        <w:tc>
          <w:tcPr>
            <w:tcW w:w="381" w:type="pct"/>
            <w:tcMar>
              <w:top w:w="14" w:type="dxa"/>
            </w:tcMar>
          </w:tcPr>
          <w:p w14:paraId="4971445A" w14:textId="77777777" w:rsidR="00796BD9" w:rsidRPr="008A6B23" w:rsidRDefault="00796BD9" w:rsidP="00DD2511">
            <w:pPr>
              <w:ind w:left="-45"/>
              <w:rPr>
                <w:rFonts w:cs="Arial"/>
                <w:szCs w:val="16"/>
                <w:lang w:eastAsia="en-US"/>
              </w:rPr>
            </w:pPr>
            <w:r w:rsidRPr="008A6B23">
              <w:rPr>
                <w:rFonts w:cs="Arial"/>
                <w:szCs w:val="16"/>
                <w:lang w:eastAsia="en-US"/>
              </w:rPr>
              <w:t>PI-16</w:t>
            </w:r>
          </w:p>
        </w:tc>
        <w:tc>
          <w:tcPr>
            <w:tcW w:w="3155" w:type="pct"/>
            <w:tcMar>
              <w:top w:w="14" w:type="dxa"/>
            </w:tcMar>
          </w:tcPr>
          <w:p w14:paraId="1958122E" w14:textId="77777777" w:rsidR="00796BD9" w:rsidRPr="008A6B23" w:rsidRDefault="00796BD9" w:rsidP="00DD2511">
            <w:pPr>
              <w:ind w:left="-45"/>
              <w:rPr>
                <w:rFonts w:cs="Arial"/>
                <w:szCs w:val="16"/>
                <w:lang w:eastAsia="en-US"/>
              </w:rPr>
            </w:pPr>
            <w:r w:rsidRPr="008A6B23">
              <w:rPr>
                <w:rFonts w:cs="Arial"/>
                <w:szCs w:val="16"/>
                <w:lang w:eastAsia="en-US"/>
              </w:rPr>
              <w:t xml:space="preserve">Medium-term perspective in expenditure budgeting </w:t>
            </w:r>
          </w:p>
        </w:tc>
        <w:tc>
          <w:tcPr>
            <w:tcW w:w="234" w:type="pct"/>
            <w:tcMar>
              <w:top w:w="14" w:type="dxa"/>
            </w:tcMar>
          </w:tcPr>
          <w:p w14:paraId="62BE2E40" w14:textId="77777777" w:rsidR="00796BD9" w:rsidRPr="00FD2691" w:rsidRDefault="00796BD9" w:rsidP="00DD2511">
            <w:pPr>
              <w:jc w:val="center"/>
              <w:rPr>
                <w:rFonts w:cs="Arial"/>
                <w:szCs w:val="16"/>
                <w:lang w:eastAsia="en-US"/>
              </w:rPr>
            </w:pPr>
            <w:r w:rsidRPr="00FD2691">
              <w:rPr>
                <w:rFonts w:cs="Arial"/>
                <w:szCs w:val="16"/>
                <w:lang w:eastAsia="en-US"/>
              </w:rPr>
              <w:t>A</w:t>
            </w:r>
          </w:p>
        </w:tc>
        <w:tc>
          <w:tcPr>
            <w:tcW w:w="234" w:type="pct"/>
            <w:tcMar>
              <w:top w:w="14" w:type="dxa"/>
            </w:tcMar>
          </w:tcPr>
          <w:p w14:paraId="3501284A" w14:textId="77777777" w:rsidR="00796BD9" w:rsidRPr="00FD2691" w:rsidRDefault="00796BD9" w:rsidP="00DD2511">
            <w:pPr>
              <w:jc w:val="center"/>
              <w:rPr>
                <w:rFonts w:cs="Arial"/>
                <w:bCs/>
                <w:szCs w:val="16"/>
                <w:lang w:eastAsia="en-US"/>
              </w:rPr>
            </w:pPr>
            <w:r w:rsidRPr="00FD2691">
              <w:rPr>
                <w:rFonts w:cs="Arial"/>
                <w:bCs/>
                <w:szCs w:val="16"/>
                <w:lang w:eastAsia="en-US"/>
              </w:rPr>
              <w:t>B</w:t>
            </w:r>
          </w:p>
        </w:tc>
        <w:tc>
          <w:tcPr>
            <w:tcW w:w="238" w:type="pct"/>
            <w:tcMar>
              <w:top w:w="14" w:type="dxa"/>
            </w:tcMar>
          </w:tcPr>
          <w:p w14:paraId="08736CF6" w14:textId="77777777" w:rsidR="00796BD9" w:rsidRPr="00FD2691" w:rsidRDefault="00796BD9" w:rsidP="00DD2511">
            <w:pPr>
              <w:jc w:val="center"/>
              <w:rPr>
                <w:rFonts w:cs="Arial"/>
                <w:szCs w:val="16"/>
                <w:lang w:eastAsia="en-US"/>
              </w:rPr>
            </w:pPr>
            <w:r w:rsidRPr="00FD2691">
              <w:rPr>
                <w:rFonts w:cs="Arial"/>
                <w:szCs w:val="16"/>
                <w:lang w:eastAsia="en-US"/>
              </w:rPr>
              <w:t>B</w:t>
            </w:r>
          </w:p>
        </w:tc>
        <w:tc>
          <w:tcPr>
            <w:tcW w:w="210" w:type="pct"/>
            <w:tcBorders>
              <w:top w:val="single" w:sz="6" w:space="0" w:color="006DB6"/>
              <w:bottom w:val="single" w:sz="6" w:space="0" w:color="006DB6"/>
            </w:tcBorders>
            <w:shd w:val="clear" w:color="auto" w:fill="auto"/>
            <w:tcMar>
              <w:top w:w="14" w:type="dxa"/>
            </w:tcMar>
          </w:tcPr>
          <w:p w14:paraId="4F27D72F" w14:textId="154683DC" w:rsidR="00796BD9" w:rsidRPr="00FD2691" w:rsidRDefault="00C63AE4" w:rsidP="00DD2511">
            <w:pPr>
              <w:jc w:val="center"/>
              <w:rPr>
                <w:rFonts w:cs="Arial"/>
                <w:szCs w:val="16"/>
                <w:lang w:eastAsia="en-US"/>
              </w:rPr>
            </w:pPr>
            <w:r>
              <w:rPr>
                <w:rFonts w:cs="Arial"/>
                <w:szCs w:val="16"/>
                <w:lang w:eastAsia="en-US"/>
              </w:rPr>
              <w:t>B</w:t>
            </w:r>
          </w:p>
        </w:tc>
        <w:tc>
          <w:tcPr>
            <w:tcW w:w="548" w:type="pct"/>
            <w:tcMar>
              <w:top w:w="14" w:type="dxa"/>
              <w:left w:w="288" w:type="dxa"/>
            </w:tcMar>
          </w:tcPr>
          <w:p w14:paraId="4676FA4B" w14:textId="77777777" w:rsidR="00796BD9" w:rsidRPr="00460F54" w:rsidRDefault="00796BD9" w:rsidP="00DD2511">
            <w:pPr>
              <w:rPr>
                <w:rFonts w:cs="Arial"/>
                <w:b/>
                <w:szCs w:val="16"/>
                <w:lang w:eastAsia="en-US"/>
              </w:rPr>
            </w:pPr>
            <w:r w:rsidRPr="00460F54">
              <w:rPr>
                <w:rFonts w:cs="Arial"/>
                <w:b/>
                <w:szCs w:val="16"/>
                <w:lang w:eastAsia="en-US"/>
              </w:rPr>
              <w:t>B+</w:t>
            </w:r>
          </w:p>
        </w:tc>
      </w:tr>
      <w:tr w:rsidR="00796BD9" w:rsidRPr="00595782" w14:paraId="48A1A27B" w14:textId="77777777" w:rsidTr="00796BD9">
        <w:trPr>
          <w:trHeight w:val="296"/>
        </w:trPr>
        <w:tc>
          <w:tcPr>
            <w:tcW w:w="381" w:type="pct"/>
            <w:tcMar>
              <w:top w:w="14" w:type="dxa"/>
            </w:tcMar>
          </w:tcPr>
          <w:p w14:paraId="372837CD" w14:textId="77777777" w:rsidR="00796BD9" w:rsidRPr="008A6B23" w:rsidRDefault="00796BD9" w:rsidP="00DD2511">
            <w:pPr>
              <w:ind w:left="-45"/>
              <w:rPr>
                <w:rFonts w:cs="Arial"/>
                <w:szCs w:val="16"/>
                <w:lang w:eastAsia="en-US"/>
              </w:rPr>
            </w:pPr>
            <w:r w:rsidRPr="008A6B23">
              <w:rPr>
                <w:rFonts w:cs="Arial"/>
                <w:szCs w:val="16"/>
                <w:lang w:eastAsia="en-US"/>
              </w:rPr>
              <w:t>PI-17</w:t>
            </w:r>
          </w:p>
        </w:tc>
        <w:tc>
          <w:tcPr>
            <w:tcW w:w="3155" w:type="pct"/>
            <w:tcMar>
              <w:top w:w="14" w:type="dxa"/>
            </w:tcMar>
          </w:tcPr>
          <w:p w14:paraId="1CF18BF7" w14:textId="50CA9FD1" w:rsidR="00796BD9" w:rsidRPr="008A6B23" w:rsidRDefault="000749C8" w:rsidP="00DD2511">
            <w:pPr>
              <w:ind w:left="-45"/>
              <w:rPr>
                <w:rFonts w:cs="Arial"/>
                <w:szCs w:val="16"/>
                <w:lang w:eastAsia="en-US"/>
              </w:rPr>
            </w:pPr>
            <w:r>
              <w:rPr>
                <w:rFonts w:cs="Arial"/>
                <w:szCs w:val="16"/>
                <w:lang w:eastAsia="en-US"/>
              </w:rPr>
              <w:t>B</w:t>
            </w:r>
            <w:r w:rsidR="00796BD9" w:rsidRPr="008A6B23">
              <w:rPr>
                <w:rFonts w:cs="Arial"/>
                <w:szCs w:val="16"/>
                <w:lang w:eastAsia="en-US"/>
              </w:rPr>
              <w:t>udget pr</w:t>
            </w:r>
            <w:r>
              <w:rPr>
                <w:rFonts w:cs="Arial"/>
                <w:szCs w:val="16"/>
                <w:lang w:eastAsia="en-US"/>
              </w:rPr>
              <w:t>eparation pr</w:t>
            </w:r>
            <w:r w:rsidR="00796BD9" w:rsidRPr="008A6B23">
              <w:rPr>
                <w:rFonts w:cs="Arial"/>
                <w:szCs w:val="16"/>
                <w:lang w:eastAsia="en-US"/>
              </w:rPr>
              <w:t xml:space="preserve">ocess </w:t>
            </w:r>
          </w:p>
        </w:tc>
        <w:tc>
          <w:tcPr>
            <w:tcW w:w="234" w:type="pct"/>
            <w:tcMar>
              <w:top w:w="14" w:type="dxa"/>
            </w:tcMar>
          </w:tcPr>
          <w:p w14:paraId="79934A0F" w14:textId="77777777" w:rsidR="00796BD9" w:rsidRPr="00FD2691" w:rsidRDefault="00796BD9" w:rsidP="00DD2511">
            <w:pPr>
              <w:jc w:val="center"/>
              <w:rPr>
                <w:rFonts w:cs="Arial"/>
                <w:bCs/>
                <w:szCs w:val="16"/>
                <w:lang w:eastAsia="en-US"/>
              </w:rPr>
            </w:pPr>
            <w:r w:rsidRPr="00FD2691">
              <w:rPr>
                <w:rFonts w:cs="Arial"/>
                <w:bCs/>
                <w:szCs w:val="16"/>
                <w:lang w:eastAsia="en-US"/>
              </w:rPr>
              <w:t>A</w:t>
            </w:r>
          </w:p>
        </w:tc>
        <w:tc>
          <w:tcPr>
            <w:tcW w:w="234" w:type="pct"/>
            <w:tcMar>
              <w:top w:w="14" w:type="dxa"/>
            </w:tcMar>
          </w:tcPr>
          <w:p w14:paraId="228D1EA8" w14:textId="77777777" w:rsidR="00796BD9" w:rsidRPr="00FD2691" w:rsidRDefault="00796BD9" w:rsidP="00DD2511">
            <w:pPr>
              <w:jc w:val="center"/>
              <w:rPr>
                <w:rFonts w:cs="Arial"/>
                <w:bCs/>
                <w:szCs w:val="16"/>
                <w:lang w:eastAsia="en-US"/>
              </w:rPr>
            </w:pPr>
            <w:r w:rsidRPr="00FD2691">
              <w:rPr>
                <w:rFonts w:cs="Arial"/>
                <w:bCs/>
                <w:szCs w:val="16"/>
                <w:lang w:eastAsia="en-US"/>
              </w:rPr>
              <w:t>B</w:t>
            </w:r>
          </w:p>
        </w:tc>
        <w:tc>
          <w:tcPr>
            <w:tcW w:w="238" w:type="pct"/>
            <w:tcMar>
              <w:top w:w="14" w:type="dxa"/>
            </w:tcMar>
          </w:tcPr>
          <w:p w14:paraId="1ADDDA97" w14:textId="77777777" w:rsidR="00796BD9" w:rsidRPr="00FD2691" w:rsidRDefault="00796BD9" w:rsidP="00DD2511">
            <w:pPr>
              <w:jc w:val="center"/>
              <w:rPr>
                <w:rFonts w:cs="Arial"/>
                <w:bCs/>
                <w:szCs w:val="16"/>
                <w:lang w:eastAsia="en-US"/>
              </w:rPr>
            </w:pPr>
            <w:r>
              <w:rPr>
                <w:rFonts w:cs="Arial"/>
                <w:bCs/>
                <w:szCs w:val="16"/>
                <w:lang w:eastAsia="en-US"/>
              </w:rPr>
              <w:t>C</w:t>
            </w:r>
          </w:p>
        </w:tc>
        <w:tc>
          <w:tcPr>
            <w:tcW w:w="210" w:type="pct"/>
            <w:tcBorders>
              <w:top w:val="single" w:sz="6" w:space="0" w:color="006DB6"/>
              <w:bottom w:val="single" w:sz="6" w:space="0" w:color="006DB6"/>
            </w:tcBorders>
            <w:shd w:val="clear" w:color="auto" w:fill="D5DCE4" w:themeFill="text2" w:themeFillTint="33"/>
            <w:tcMar>
              <w:top w:w="14" w:type="dxa"/>
            </w:tcMar>
          </w:tcPr>
          <w:p w14:paraId="4C17983D" w14:textId="77777777" w:rsidR="00796BD9" w:rsidRPr="00FD2691" w:rsidRDefault="00796BD9" w:rsidP="00DD2511">
            <w:pPr>
              <w:jc w:val="center"/>
              <w:rPr>
                <w:rFonts w:cs="Arial"/>
                <w:bCs/>
                <w:szCs w:val="16"/>
                <w:lang w:eastAsia="en-US"/>
              </w:rPr>
            </w:pPr>
          </w:p>
        </w:tc>
        <w:tc>
          <w:tcPr>
            <w:tcW w:w="548" w:type="pct"/>
            <w:tcMar>
              <w:top w:w="14" w:type="dxa"/>
              <w:left w:w="288" w:type="dxa"/>
            </w:tcMar>
          </w:tcPr>
          <w:p w14:paraId="40383DA4" w14:textId="77777777" w:rsidR="00796BD9" w:rsidRPr="00460F54" w:rsidRDefault="00796BD9" w:rsidP="00DD2511">
            <w:pPr>
              <w:rPr>
                <w:rFonts w:cs="Arial"/>
                <w:b/>
                <w:bCs/>
                <w:szCs w:val="16"/>
                <w:lang w:eastAsia="en-US"/>
              </w:rPr>
            </w:pPr>
            <w:r>
              <w:rPr>
                <w:rFonts w:cs="Arial"/>
                <w:b/>
                <w:bCs/>
                <w:szCs w:val="16"/>
                <w:lang w:eastAsia="en-US"/>
              </w:rPr>
              <w:t>B</w:t>
            </w:r>
          </w:p>
        </w:tc>
      </w:tr>
      <w:tr w:rsidR="00796BD9" w:rsidRPr="00595782" w14:paraId="1600B0FC" w14:textId="77777777" w:rsidTr="00796BD9">
        <w:trPr>
          <w:trHeight w:val="296"/>
        </w:trPr>
        <w:tc>
          <w:tcPr>
            <w:tcW w:w="381" w:type="pct"/>
            <w:tcBorders>
              <w:bottom w:val="single" w:sz="6" w:space="0" w:color="006DB6"/>
            </w:tcBorders>
            <w:tcMar>
              <w:top w:w="14" w:type="dxa"/>
            </w:tcMar>
          </w:tcPr>
          <w:p w14:paraId="7BE323B8" w14:textId="77777777" w:rsidR="00796BD9" w:rsidRPr="008A6B23" w:rsidRDefault="00796BD9" w:rsidP="00DD2511">
            <w:pPr>
              <w:ind w:left="-45"/>
              <w:rPr>
                <w:rFonts w:cs="Arial"/>
                <w:szCs w:val="16"/>
                <w:lang w:eastAsia="en-US"/>
              </w:rPr>
            </w:pPr>
            <w:r w:rsidRPr="008A6B23">
              <w:rPr>
                <w:rFonts w:cs="Arial"/>
                <w:szCs w:val="16"/>
                <w:lang w:eastAsia="en-US"/>
              </w:rPr>
              <w:t>PI-18</w:t>
            </w:r>
          </w:p>
        </w:tc>
        <w:tc>
          <w:tcPr>
            <w:tcW w:w="3155" w:type="pct"/>
            <w:tcBorders>
              <w:bottom w:val="single" w:sz="6" w:space="0" w:color="006DB6"/>
            </w:tcBorders>
            <w:tcMar>
              <w:top w:w="14" w:type="dxa"/>
            </w:tcMar>
          </w:tcPr>
          <w:p w14:paraId="53DE3E48" w14:textId="269D0F7D" w:rsidR="00796BD9" w:rsidRPr="008A6B23" w:rsidRDefault="00796BD9" w:rsidP="00DD2511">
            <w:pPr>
              <w:ind w:left="-45"/>
              <w:rPr>
                <w:rFonts w:cs="Arial"/>
                <w:szCs w:val="16"/>
                <w:lang w:eastAsia="en-US"/>
              </w:rPr>
            </w:pPr>
            <w:r w:rsidRPr="008A6B23">
              <w:rPr>
                <w:rFonts w:cs="Arial"/>
                <w:szCs w:val="16"/>
                <w:lang w:eastAsia="en-US"/>
              </w:rPr>
              <w:t>Le</w:t>
            </w:r>
            <w:r w:rsidR="000749C8">
              <w:rPr>
                <w:rFonts w:cs="Arial"/>
                <w:szCs w:val="16"/>
                <w:lang w:eastAsia="en-US"/>
              </w:rPr>
              <w:t>gislative scrutiny of</w:t>
            </w:r>
            <w:r w:rsidRPr="008A6B23">
              <w:rPr>
                <w:rFonts w:cs="Arial"/>
                <w:szCs w:val="16"/>
                <w:lang w:eastAsia="en-US"/>
              </w:rPr>
              <w:t xml:space="preserve"> budget</w:t>
            </w:r>
            <w:r w:rsidR="000749C8">
              <w:rPr>
                <w:rFonts w:cs="Arial"/>
                <w:szCs w:val="16"/>
                <w:lang w:eastAsia="en-US"/>
              </w:rPr>
              <w:t>s</w:t>
            </w:r>
          </w:p>
        </w:tc>
        <w:tc>
          <w:tcPr>
            <w:tcW w:w="234" w:type="pct"/>
            <w:tcBorders>
              <w:bottom w:val="single" w:sz="6" w:space="0" w:color="006DB6"/>
            </w:tcBorders>
            <w:tcMar>
              <w:top w:w="14" w:type="dxa"/>
            </w:tcMar>
          </w:tcPr>
          <w:p w14:paraId="1008347D" w14:textId="77777777" w:rsidR="00796BD9" w:rsidRPr="00FD2691" w:rsidRDefault="00796BD9" w:rsidP="00DD2511">
            <w:pPr>
              <w:jc w:val="center"/>
              <w:rPr>
                <w:rFonts w:cs="Arial"/>
                <w:szCs w:val="16"/>
                <w:lang w:eastAsia="en-US"/>
              </w:rPr>
            </w:pPr>
            <w:r>
              <w:rPr>
                <w:rFonts w:cs="Arial"/>
                <w:szCs w:val="16"/>
                <w:lang w:eastAsia="en-US"/>
              </w:rPr>
              <w:t>A</w:t>
            </w:r>
          </w:p>
        </w:tc>
        <w:tc>
          <w:tcPr>
            <w:tcW w:w="234" w:type="pct"/>
            <w:tcBorders>
              <w:bottom w:val="single" w:sz="6" w:space="0" w:color="006DB6"/>
            </w:tcBorders>
            <w:tcMar>
              <w:top w:w="14" w:type="dxa"/>
            </w:tcMar>
          </w:tcPr>
          <w:p w14:paraId="25D25B34" w14:textId="77777777" w:rsidR="00796BD9" w:rsidRPr="00FD2691" w:rsidRDefault="00796BD9" w:rsidP="00DD2511">
            <w:pPr>
              <w:jc w:val="center"/>
              <w:rPr>
                <w:rFonts w:cs="Arial"/>
                <w:szCs w:val="16"/>
                <w:lang w:eastAsia="en-US"/>
              </w:rPr>
            </w:pPr>
            <w:r>
              <w:rPr>
                <w:rFonts w:cs="Arial"/>
                <w:szCs w:val="16"/>
                <w:lang w:eastAsia="en-US"/>
              </w:rPr>
              <w:t>B</w:t>
            </w:r>
          </w:p>
        </w:tc>
        <w:tc>
          <w:tcPr>
            <w:tcW w:w="238" w:type="pct"/>
            <w:tcBorders>
              <w:bottom w:val="single" w:sz="6" w:space="0" w:color="006DB6"/>
            </w:tcBorders>
            <w:tcMar>
              <w:top w:w="14" w:type="dxa"/>
            </w:tcMar>
          </w:tcPr>
          <w:p w14:paraId="1201B1C9" w14:textId="77777777" w:rsidR="00796BD9" w:rsidRPr="00FD2691" w:rsidRDefault="00796BD9" w:rsidP="00DD2511">
            <w:pPr>
              <w:jc w:val="center"/>
              <w:rPr>
                <w:rFonts w:cs="Arial"/>
                <w:szCs w:val="16"/>
                <w:lang w:eastAsia="en-US"/>
              </w:rPr>
            </w:pPr>
            <w:r>
              <w:rPr>
                <w:rFonts w:cs="Arial"/>
                <w:szCs w:val="16"/>
                <w:lang w:eastAsia="en-US"/>
              </w:rPr>
              <w:t>A</w:t>
            </w:r>
          </w:p>
        </w:tc>
        <w:tc>
          <w:tcPr>
            <w:tcW w:w="210" w:type="pct"/>
            <w:tcBorders>
              <w:top w:val="single" w:sz="6" w:space="0" w:color="006DB6"/>
              <w:bottom w:val="single" w:sz="6" w:space="0" w:color="006DB6"/>
            </w:tcBorders>
            <w:shd w:val="clear" w:color="auto" w:fill="auto"/>
            <w:tcMar>
              <w:top w:w="14" w:type="dxa"/>
            </w:tcMar>
          </w:tcPr>
          <w:p w14:paraId="660E21F7" w14:textId="77777777" w:rsidR="00796BD9" w:rsidRPr="00FD2691" w:rsidRDefault="00796BD9" w:rsidP="00DD2511">
            <w:pPr>
              <w:jc w:val="center"/>
              <w:rPr>
                <w:rFonts w:cs="Arial"/>
                <w:szCs w:val="16"/>
                <w:lang w:eastAsia="en-US"/>
              </w:rPr>
            </w:pPr>
            <w:r>
              <w:rPr>
                <w:rFonts w:cs="Arial"/>
                <w:szCs w:val="16"/>
                <w:lang w:eastAsia="en-US"/>
              </w:rPr>
              <w:t>C</w:t>
            </w:r>
          </w:p>
        </w:tc>
        <w:tc>
          <w:tcPr>
            <w:tcW w:w="548" w:type="pct"/>
            <w:tcBorders>
              <w:bottom w:val="single" w:sz="6" w:space="0" w:color="006DB6"/>
            </w:tcBorders>
            <w:tcMar>
              <w:top w:w="14" w:type="dxa"/>
              <w:left w:w="288" w:type="dxa"/>
            </w:tcMar>
          </w:tcPr>
          <w:p w14:paraId="4739F88A" w14:textId="77777777" w:rsidR="00796BD9" w:rsidRPr="00460F54" w:rsidRDefault="00796BD9" w:rsidP="00DD2511">
            <w:pPr>
              <w:rPr>
                <w:rFonts w:cs="Arial"/>
                <w:b/>
                <w:szCs w:val="16"/>
                <w:lang w:eastAsia="en-US"/>
              </w:rPr>
            </w:pPr>
            <w:r w:rsidRPr="00460F54">
              <w:rPr>
                <w:rFonts w:cs="Arial"/>
                <w:b/>
                <w:szCs w:val="16"/>
                <w:lang w:eastAsia="en-US"/>
              </w:rPr>
              <w:t>C+</w:t>
            </w:r>
          </w:p>
        </w:tc>
      </w:tr>
    </w:tbl>
    <w:p w14:paraId="339267C6" w14:textId="77777777" w:rsidR="00C556B8" w:rsidRPr="00C556B8" w:rsidRDefault="00C556B8" w:rsidP="00C556B8">
      <w:pPr>
        <w:pStyle w:val="DefaultText"/>
      </w:pPr>
    </w:p>
    <w:p w14:paraId="0B7310C0" w14:textId="70406AF0" w:rsidR="00C556B8" w:rsidRPr="00CD510E" w:rsidRDefault="00C556B8" w:rsidP="00CD510E">
      <w:pPr>
        <w:pStyle w:val="table-text"/>
        <w:spacing w:line="276" w:lineRule="auto"/>
        <w:jc w:val="both"/>
        <w:rPr>
          <w:rFonts w:cs="Arial"/>
          <w:sz w:val="20"/>
          <w:szCs w:val="16"/>
        </w:rPr>
      </w:pPr>
      <w:r w:rsidRPr="005E7269">
        <w:rPr>
          <w:rFonts w:cs="Arial"/>
          <w:sz w:val="20"/>
          <w:szCs w:val="20"/>
        </w:rPr>
        <w:t xml:space="preserve">In recent years, the budget preparation process has increased in rigour, including greater scrutiny of MDA budget requests for compliance with agreed </w:t>
      </w:r>
      <w:r w:rsidR="008A6B23">
        <w:rPr>
          <w:rFonts w:cs="Arial"/>
          <w:sz w:val="20"/>
          <w:szCs w:val="20"/>
        </w:rPr>
        <w:t>priorities</w:t>
      </w:r>
      <w:r w:rsidR="00087B2D">
        <w:rPr>
          <w:rFonts w:cs="Arial"/>
          <w:sz w:val="20"/>
          <w:szCs w:val="20"/>
        </w:rPr>
        <w:t xml:space="preserve"> </w:t>
      </w:r>
      <w:r w:rsidRPr="005E7269">
        <w:rPr>
          <w:rFonts w:cs="Arial"/>
          <w:sz w:val="20"/>
          <w:szCs w:val="20"/>
        </w:rPr>
        <w:t>and the strengthening of links between sector plans (which cover over 80% of government expenditure) and forward estimates</w:t>
      </w:r>
      <w:r>
        <w:rPr>
          <w:rFonts w:cs="Arial"/>
          <w:sz w:val="20"/>
          <w:szCs w:val="20"/>
        </w:rPr>
        <w:t xml:space="preserve"> (PI-16)</w:t>
      </w:r>
      <w:r w:rsidRPr="005E7269">
        <w:rPr>
          <w:rFonts w:cs="Arial"/>
          <w:sz w:val="20"/>
          <w:szCs w:val="20"/>
        </w:rPr>
        <w:t>.</w:t>
      </w:r>
      <w:r w:rsidR="00567DC5" w:rsidRPr="00567DC5">
        <w:rPr>
          <w:rFonts w:cs="Arial"/>
          <w:sz w:val="20"/>
        </w:rPr>
        <w:t xml:space="preserve"> </w:t>
      </w:r>
      <w:proofErr w:type="spellStart"/>
      <w:r w:rsidR="00132E41">
        <w:rPr>
          <w:sz w:val="20"/>
        </w:rPr>
        <w:t>MoF</w:t>
      </w:r>
      <w:proofErr w:type="spellEnd"/>
      <w:r w:rsidR="00132E41">
        <w:rPr>
          <w:sz w:val="20"/>
        </w:rPr>
        <w:t xml:space="preserve"> issues a</w:t>
      </w:r>
      <w:r w:rsidRPr="004C3701">
        <w:rPr>
          <w:sz w:val="20"/>
        </w:rPr>
        <w:t xml:space="preserve"> clear budget calendar to all </w:t>
      </w:r>
      <w:r w:rsidR="00D84B5D">
        <w:rPr>
          <w:sz w:val="20"/>
        </w:rPr>
        <w:t>MDAs</w:t>
      </w:r>
      <w:r w:rsidRPr="004C3701">
        <w:rPr>
          <w:sz w:val="20"/>
        </w:rPr>
        <w:t xml:space="preserve"> </w:t>
      </w:r>
      <w:r w:rsidR="00D84B5D">
        <w:rPr>
          <w:sz w:val="20"/>
        </w:rPr>
        <w:t>and</w:t>
      </w:r>
      <w:r w:rsidR="00D66ACF">
        <w:rPr>
          <w:sz w:val="20"/>
        </w:rPr>
        <w:t xml:space="preserve"> District</w:t>
      </w:r>
      <w:r w:rsidRPr="004C3701">
        <w:rPr>
          <w:sz w:val="20"/>
        </w:rPr>
        <w:t>s w</w:t>
      </w:r>
      <w:r w:rsidR="00132E41">
        <w:rPr>
          <w:sz w:val="20"/>
        </w:rPr>
        <w:t>ith timelines for each activity, and</w:t>
      </w:r>
      <w:r w:rsidR="00567DC5">
        <w:rPr>
          <w:sz w:val="20"/>
        </w:rPr>
        <w:t xml:space="preserve"> allows</w:t>
      </w:r>
      <w:r w:rsidR="00D84B5D">
        <w:rPr>
          <w:sz w:val="20"/>
        </w:rPr>
        <w:t xml:space="preserve"> at least three-months</w:t>
      </w:r>
      <w:r w:rsidRPr="004C3701">
        <w:rPr>
          <w:sz w:val="20"/>
        </w:rPr>
        <w:t xml:space="preserve"> for the preparation of a meaningful budget.</w:t>
      </w:r>
      <w:r>
        <w:rPr>
          <w:sz w:val="20"/>
        </w:rPr>
        <w:t xml:space="preserve"> </w:t>
      </w:r>
      <w:r w:rsidR="00CD510E">
        <w:rPr>
          <w:sz w:val="20"/>
        </w:rPr>
        <w:t xml:space="preserve"> </w:t>
      </w:r>
      <w:r w:rsidR="00CD510E">
        <w:rPr>
          <w:rFonts w:cs="Arial"/>
          <w:sz w:val="20"/>
        </w:rPr>
        <w:t>The r</w:t>
      </w:r>
      <w:r w:rsidR="00CD510E" w:rsidRPr="00C56021">
        <w:rPr>
          <w:rFonts w:cs="Arial"/>
          <w:sz w:val="20"/>
        </w:rPr>
        <w:t xml:space="preserve">evenue </w:t>
      </w:r>
      <w:r w:rsidR="00CD510E">
        <w:rPr>
          <w:rFonts w:cs="Arial"/>
          <w:sz w:val="20"/>
        </w:rPr>
        <w:t xml:space="preserve">side of the budget uses comprehensive forecasts from the </w:t>
      </w:r>
      <w:r w:rsidR="00CD510E" w:rsidRPr="00C56021">
        <w:rPr>
          <w:rFonts w:cs="Arial"/>
          <w:sz w:val="20"/>
        </w:rPr>
        <w:t>T</w:t>
      </w:r>
      <w:r w:rsidR="00CD510E">
        <w:rPr>
          <w:rFonts w:cs="Arial"/>
          <w:sz w:val="20"/>
        </w:rPr>
        <w:t xml:space="preserve">ax </w:t>
      </w:r>
      <w:r w:rsidR="00CD510E" w:rsidRPr="00C56021">
        <w:rPr>
          <w:rFonts w:cs="Arial"/>
          <w:sz w:val="20"/>
        </w:rPr>
        <w:t>P</w:t>
      </w:r>
      <w:r w:rsidR="00CD510E">
        <w:rPr>
          <w:rFonts w:cs="Arial"/>
          <w:sz w:val="20"/>
        </w:rPr>
        <w:t xml:space="preserve">olicy </w:t>
      </w:r>
      <w:r w:rsidR="00CD510E" w:rsidRPr="00C56021">
        <w:rPr>
          <w:rFonts w:cs="Arial"/>
          <w:sz w:val="20"/>
        </w:rPr>
        <w:t>C</w:t>
      </w:r>
      <w:r w:rsidR="00CD510E">
        <w:rPr>
          <w:rFonts w:cs="Arial"/>
          <w:sz w:val="20"/>
        </w:rPr>
        <w:t>ommittee, which cover</w:t>
      </w:r>
      <w:r w:rsidR="00CD510E" w:rsidRPr="00C56021">
        <w:rPr>
          <w:rFonts w:cs="Arial"/>
          <w:sz w:val="20"/>
        </w:rPr>
        <w:t xml:space="preserve"> all sources of revenue</w:t>
      </w:r>
      <w:r w:rsidR="00CD510E">
        <w:rPr>
          <w:rFonts w:cs="Arial"/>
          <w:sz w:val="20"/>
        </w:rPr>
        <w:t xml:space="preserve"> (PI-15).</w:t>
      </w:r>
    </w:p>
    <w:p w14:paraId="45C17960" w14:textId="77777777" w:rsidR="00C556B8" w:rsidRDefault="00C556B8" w:rsidP="00C556B8">
      <w:pPr>
        <w:pStyle w:val="DefaultText"/>
        <w:spacing w:line="276" w:lineRule="auto"/>
        <w:jc w:val="both"/>
        <w:rPr>
          <w:rFonts w:cs="Arial"/>
          <w:sz w:val="20"/>
          <w:szCs w:val="20"/>
        </w:rPr>
      </w:pPr>
    </w:p>
    <w:p w14:paraId="62C4790B" w14:textId="77AA4423" w:rsidR="00C556B8" w:rsidRPr="003331FE" w:rsidRDefault="00C556B8" w:rsidP="003331FE">
      <w:pPr>
        <w:pStyle w:val="DefaultText"/>
        <w:spacing w:line="276" w:lineRule="auto"/>
        <w:jc w:val="both"/>
        <w:rPr>
          <w:rFonts w:cs="Arial"/>
          <w:sz w:val="20"/>
          <w:szCs w:val="20"/>
        </w:rPr>
      </w:pPr>
      <w:r w:rsidRPr="00DE5E77">
        <w:rPr>
          <w:rFonts w:cs="Arial"/>
          <w:sz w:val="20"/>
          <w:szCs w:val="20"/>
        </w:rPr>
        <w:t xml:space="preserve">Parliament considers and provides comments on the Budget Framework Paper (PI-18).  Sector committees scrutinize budget submissions and make recommendations to the plenary for consideration and approval, </w:t>
      </w:r>
      <w:r w:rsidR="00DD2511">
        <w:rPr>
          <w:rFonts w:cs="Arial"/>
          <w:sz w:val="20"/>
          <w:szCs w:val="20"/>
        </w:rPr>
        <w:t>and</w:t>
      </w:r>
      <w:r w:rsidRPr="00DE5E77">
        <w:rPr>
          <w:rFonts w:cs="Arial"/>
          <w:sz w:val="20"/>
          <w:szCs w:val="20"/>
        </w:rPr>
        <w:t xml:space="preserve"> </w:t>
      </w:r>
      <w:r w:rsidR="00DD2511" w:rsidRPr="00DE5E77">
        <w:rPr>
          <w:rFonts w:cs="Arial"/>
          <w:sz w:val="20"/>
          <w:szCs w:val="20"/>
        </w:rPr>
        <w:t xml:space="preserve">the Executive </w:t>
      </w:r>
      <w:r w:rsidR="00DD2511">
        <w:rPr>
          <w:rFonts w:cs="Arial"/>
          <w:sz w:val="20"/>
          <w:szCs w:val="20"/>
        </w:rPr>
        <w:t>considers</w:t>
      </w:r>
      <w:r w:rsidR="00DD2511" w:rsidRPr="00DE5E77">
        <w:rPr>
          <w:rFonts w:cs="Arial"/>
          <w:sz w:val="20"/>
          <w:szCs w:val="20"/>
        </w:rPr>
        <w:t xml:space="preserve"> </w:t>
      </w:r>
      <w:r w:rsidRPr="00DE5E77">
        <w:rPr>
          <w:rFonts w:cs="Arial"/>
          <w:sz w:val="20"/>
          <w:szCs w:val="20"/>
        </w:rPr>
        <w:t>Parliament</w:t>
      </w:r>
      <w:r w:rsidR="00DD2511">
        <w:rPr>
          <w:rFonts w:cs="Arial"/>
          <w:sz w:val="20"/>
          <w:szCs w:val="20"/>
        </w:rPr>
        <w:t>’s</w:t>
      </w:r>
      <w:r w:rsidRPr="00DE5E77">
        <w:rPr>
          <w:rFonts w:cs="Arial"/>
          <w:sz w:val="20"/>
          <w:szCs w:val="20"/>
        </w:rPr>
        <w:t xml:space="preserve"> </w:t>
      </w:r>
      <w:r w:rsidR="00DD2511">
        <w:rPr>
          <w:rFonts w:cs="Arial"/>
          <w:sz w:val="20"/>
          <w:szCs w:val="20"/>
        </w:rPr>
        <w:t>recommendations</w:t>
      </w:r>
      <w:r w:rsidRPr="00DE5E77">
        <w:rPr>
          <w:rFonts w:cs="Arial"/>
          <w:sz w:val="20"/>
          <w:szCs w:val="20"/>
        </w:rPr>
        <w:t xml:space="preserve">.  The process </w:t>
      </w:r>
      <w:r w:rsidR="00087B2D">
        <w:rPr>
          <w:rFonts w:cs="Arial"/>
          <w:sz w:val="20"/>
          <w:szCs w:val="20"/>
        </w:rPr>
        <w:t>allows for</w:t>
      </w:r>
      <w:r w:rsidRPr="00DE5E77">
        <w:rPr>
          <w:rFonts w:cs="Arial"/>
          <w:sz w:val="20"/>
          <w:szCs w:val="20"/>
        </w:rPr>
        <w:t xml:space="preserve"> </w:t>
      </w:r>
      <w:r w:rsidR="00087B2D">
        <w:rPr>
          <w:rFonts w:cs="Arial"/>
          <w:sz w:val="20"/>
          <w:szCs w:val="20"/>
        </w:rPr>
        <w:t xml:space="preserve">a period of </w:t>
      </w:r>
      <w:r w:rsidRPr="00DE5E77">
        <w:rPr>
          <w:rFonts w:cs="Arial"/>
          <w:sz w:val="20"/>
          <w:szCs w:val="20"/>
        </w:rPr>
        <w:t>public participation</w:t>
      </w:r>
      <w:r w:rsidR="00087B2D">
        <w:rPr>
          <w:rFonts w:cs="Arial"/>
          <w:sz w:val="20"/>
          <w:szCs w:val="20"/>
        </w:rPr>
        <w:t>, then</w:t>
      </w:r>
      <w:r w:rsidRPr="00DE5E77">
        <w:rPr>
          <w:rFonts w:cs="Arial"/>
          <w:sz w:val="20"/>
          <w:szCs w:val="20"/>
        </w:rPr>
        <w:t xml:space="preserve"> Parliament has at least two months to scrutinize budget estimates</w:t>
      </w:r>
      <w:r w:rsidR="00781FCF">
        <w:rPr>
          <w:rFonts w:cs="Arial"/>
          <w:sz w:val="20"/>
          <w:szCs w:val="20"/>
        </w:rPr>
        <w:t xml:space="preserve">. </w:t>
      </w:r>
      <w:r w:rsidRPr="00DE5E77">
        <w:rPr>
          <w:rFonts w:cs="Arial"/>
          <w:sz w:val="20"/>
          <w:szCs w:val="20"/>
        </w:rPr>
        <w:t xml:space="preserve"> </w:t>
      </w:r>
      <w:r w:rsidR="00781FCF" w:rsidRPr="004C3701">
        <w:rPr>
          <w:sz w:val="20"/>
        </w:rPr>
        <w:t xml:space="preserve">In </w:t>
      </w:r>
      <w:r w:rsidR="00781FCF">
        <w:rPr>
          <w:sz w:val="20"/>
        </w:rPr>
        <w:t xml:space="preserve">the </w:t>
      </w:r>
      <w:r w:rsidR="00781FCF" w:rsidRPr="004C3701">
        <w:rPr>
          <w:sz w:val="20"/>
        </w:rPr>
        <w:t xml:space="preserve">last three </w:t>
      </w:r>
      <w:r w:rsidR="00781FCF">
        <w:rPr>
          <w:sz w:val="20"/>
        </w:rPr>
        <w:t>FYs</w:t>
      </w:r>
      <w:r w:rsidR="00781FCF" w:rsidRPr="004C3701">
        <w:rPr>
          <w:sz w:val="20"/>
        </w:rPr>
        <w:t xml:space="preserve">, the legislature approved the budget before the beginning of the financial year.  </w:t>
      </w:r>
    </w:p>
    <w:p w14:paraId="26649941" w14:textId="77777777" w:rsidR="00D66ACF" w:rsidRPr="00494668" w:rsidRDefault="00D66ACF" w:rsidP="00C556B8">
      <w:pPr>
        <w:pStyle w:val="Default"/>
        <w:spacing w:line="276" w:lineRule="auto"/>
        <w:rPr>
          <w:rFonts w:ascii="Arial" w:hAnsi="Arial" w:cs="Arial"/>
          <w:sz w:val="20"/>
        </w:rPr>
      </w:pPr>
    </w:p>
    <w:p w14:paraId="7C58088F" w14:textId="77777777" w:rsidR="00C556B8" w:rsidRDefault="00C556B8" w:rsidP="00C556B8">
      <w:pPr>
        <w:pStyle w:val="Heading3"/>
        <w:ind w:left="0"/>
      </w:pPr>
      <w:bookmarkStart w:id="9" w:name="_Toc301352245"/>
      <w:bookmarkStart w:id="10" w:name="_Toc434503079"/>
      <w:r>
        <w:t>Predictability and control in budget execution</w:t>
      </w:r>
      <w:bookmarkEnd w:id="9"/>
      <w:bookmarkEnd w:id="10"/>
      <w:r>
        <w:t xml:space="preserve"> </w:t>
      </w:r>
    </w:p>
    <w:tbl>
      <w:tblPr>
        <w:tblStyle w:val="TabelEcorys2"/>
        <w:tblW w:w="5000" w:type="pct"/>
        <w:tblInd w:w="0" w:type="dxa"/>
        <w:tblBorders>
          <w:top w:val="single" w:sz="4" w:space="0" w:color="006DB6"/>
          <w:left w:val="single" w:sz="4" w:space="0" w:color="006DB6"/>
          <w:bottom w:val="single" w:sz="4" w:space="0" w:color="006DB6"/>
          <w:right w:val="single" w:sz="4" w:space="0" w:color="006DB6"/>
          <w:insideH w:val="single" w:sz="6" w:space="0" w:color="006DB6"/>
          <w:insideV w:val="single" w:sz="6" w:space="0" w:color="006DB6"/>
        </w:tblBorders>
        <w:tblLook w:val="01E0" w:firstRow="1" w:lastRow="1" w:firstColumn="1" w:lastColumn="1" w:noHBand="0" w:noVBand="0"/>
      </w:tblPr>
      <w:tblGrid>
        <w:gridCol w:w="679"/>
        <w:gridCol w:w="5685"/>
        <w:gridCol w:w="422"/>
        <w:gridCol w:w="422"/>
        <w:gridCol w:w="429"/>
        <w:gridCol w:w="378"/>
        <w:gridCol w:w="995"/>
      </w:tblGrid>
      <w:tr w:rsidR="00796BD9" w:rsidRPr="00595782" w14:paraId="4E06B58B" w14:textId="77777777" w:rsidTr="00796BD9">
        <w:trPr>
          <w:tblHeader/>
        </w:trPr>
        <w:tc>
          <w:tcPr>
            <w:tcW w:w="3532" w:type="pct"/>
            <w:gridSpan w:val="2"/>
            <w:vMerge w:val="restart"/>
            <w:tcBorders>
              <w:top w:val="single" w:sz="4" w:space="0" w:color="006DB6"/>
              <w:bottom w:val="single" w:sz="4" w:space="0" w:color="FFFFFF" w:themeColor="background1"/>
              <w:right w:val="single" w:sz="4" w:space="0" w:color="FFFFFF" w:themeColor="background1"/>
            </w:tcBorders>
            <w:shd w:val="clear" w:color="auto" w:fill="006DB6"/>
            <w:tcMar>
              <w:top w:w="14" w:type="dxa"/>
            </w:tcMar>
            <w:vAlign w:val="center"/>
          </w:tcPr>
          <w:p w14:paraId="584D4DC2" w14:textId="77777777" w:rsidR="00796BD9" w:rsidRPr="00595782" w:rsidRDefault="00796BD9" w:rsidP="00DD2511">
            <w:pPr>
              <w:rPr>
                <w:rFonts w:cs="Arial"/>
                <w:b/>
                <w:color w:val="FFFFFF"/>
                <w:sz w:val="16"/>
                <w:szCs w:val="16"/>
                <w:lang w:eastAsia="en-US"/>
              </w:rPr>
            </w:pPr>
            <w:r w:rsidRPr="00796BD9">
              <w:rPr>
                <w:rFonts w:cs="Arial"/>
                <w:b/>
                <w:color w:val="FFFFFF" w:themeColor="background1"/>
                <w:sz w:val="20"/>
                <w:szCs w:val="16"/>
                <w:lang w:eastAsia="en-US"/>
              </w:rPr>
              <w:t>V. Predictability and Control in Budget Execution</w:t>
            </w:r>
          </w:p>
        </w:tc>
        <w:tc>
          <w:tcPr>
            <w:tcW w:w="916" w:type="pct"/>
            <w:gridSpan w:val="4"/>
            <w:tcBorders>
              <w:top w:val="single" w:sz="4" w:space="0" w:color="006DB6"/>
              <w:left w:val="single" w:sz="4" w:space="0" w:color="FFFFFF" w:themeColor="background1"/>
              <w:bottom w:val="single" w:sz="4" w:space="0" w:color="FFFFFF" w:themeColor="background1"/>
              <w:right w:val="single" w:sz="4" w:space="0" w:color="FFFFFF" w:themeColor="background1"/>
            </w:tcBorders>
            <w:shd w:val="clear" w:color="auto" w:fill="006DB6"/>
            <w:tcMar>
              <w:top w:w="14" w:type="dxa"/>
            </w:tcMar>
            <w:vAlign w:val="center"/>
          </w:tcPr>
          <w:p w14:paraId="28ACF667" w14:textId="77777777" w:rsidR="00796BD9" w:rsidRPr="00595782" w:rsidRDefault="00796BD9" w:rsidP="00DD2511">
            <w:pPr>
              <w:jc w:val="center"/>
              <w:rPr>
                <w:rFonts w:cs="Arial"/>
                <w:b/>
                <w:color w:val="FFFFFF"/>
                <w:spacing w:val="-14"/>
                <w:sz w:val="16"/>
                <w:szCs w:val="16"/>
                <w:lang w:eastAsia="en-US"/>
              </w:rPr>
            </w:pPr>
            <w:r w:rsidRPr="00595782">
              <w:rPr>
                <w:rFonts w:cs="Arial"/>
                <w:b/>
                <w:color w:val="FFFFFF"/>
                <w:spacing w:val="-14"/>
                <w:sz w:val="16"/>
                <w:szCs w:val="16"/>
                <w:lang w:eastAsia="en-US"/>
              </w:rPr>
              <w:t>Dimension Ratings</w:t>
            </w:r>
          </w:p>
        </w:tc>
        <w:tc>
          <w:tcPr>
            <w:tcW w:w="552" w:type="pct"/>
            <w:vMerge w:val="restart"/>
            <w:tcBorders>
              <w:top w:val="single" w:sz="4" w:space="0" w:color="006DB6"/>
              <w:left w:val="single" w:sz="4" w:space="0" w:color="FFFFFF" w:themeColor="background1"/>
              <w:bottom w:val="single" w:sz="4" w:space="0" w:color="FFFFFF" w:themeColor="background1"/>
            </w:tcBorders>
            <w:shd w:val="clear" w:color="auto" w:fill="006DB6"/>
            <w:tcMar>
              <w:top w:w="14" w:type="dxa"/>
            </w:tcMar>
            <w:vAlign w:val="center"/>
          </w:tcPr>
          <w:p w14:paraId="0E75889D" w14:textId="77777777" w:rsidR="00796BD9" w:rsidRPr="00595782" w:rsidRDefault="00796BD9" w:rsidP="00DD2511">
            <w:pPr>
              <w:rPr>
                <w:rFonts w:cs="Arial"/>
                <w:b/>
                <w:color w:val="FFFFFF"/>
                <w:spacing w:val="-14"/>
                <w:sz w:val="16"/>
                <w:szCs w:val="16"/>
                <w:lang w:eastAsia="en-US"/>
              </w:rPr>
            </w:pPr>
            <w:r w:rsidRPr="00595782">
              <w:rPr>
                <w:rFonts w:cs="Arial"/>
                <w:b/>
                <w:color w:val="FFFFFF"/>
                <w:spacing w:val="-14"/>
                <w:sz w:val="16"/>
                <w:szCs w:val="16"/>
                <w:lang w:eastAsia="en-US"/>
              </w:rPr>
              <w:t>Overall Rating</w:t>
            </w:r>
          </w:p>
        </w:tc>
      </w:tr>
      <w:tr w:rsidR="00796BD9" w:rsidRPr="00595782" w14:paraId="095338F0" w14:textId="77777777" w:rsidTr="00796BD9">
        <w:trPr>
          <w:tblHeader/>
        </w:trPr>
        <w:tc>
          <w:tcPr>
            <w:tcW w:w="3532" w:type="pct"/>
            <w:gridSpan w:val="2"/>
            <w:vMerge/>
            <w:tcBorders>
              <w:top w:val="single" w:sz="4" w:space="0" w:color="FFFFFF" w:themeColor="background1"/>
              <w:bottom w:val="single" w:sz="4" w:space="0" w:color="006DB6"/>
              <w:right w:val="single" w:sz="4" w:space="0" w:color="FFFFFF" w:themeColor="background1"/>
            </w:tcBorders>
            <w:tcMar>
              <w:top w:w="14" w:type="dxa"/>
            </w:tcMar>
            <w:vAlign w:val="center"/>
          </w:tcPr>
          <w:p w14:paraId="726F6C69" w14:textId="77777777" w:rsidR="00796BD9" w:rsidRPr="00595782" w:rsidRDefault="00796BD9" w:rsidP="00DD2511">
            <w:pPr>
              <w:rPr>
                <w:rFonts w:cs="Arial"/>
                <w:sz w:val="16"/>
                <w:szCs w:val="16"/>
                <w:lang w:eastAsia="en-US"/>
              </w:rPr>
            </w:pPr>
          </w:p>
        </w:tc>
        <w:tc>
          <w:tcPr>
            <w:tcW w:w="234"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379EECF5" w14:textId="77777777" w:rsidR="00796BD9" w:rsidRPr="00595782" w:rsidRDefault="00796BD9" w:rsidP="00DD2511">
            <w:pPr>
              <w:numPr>
                <w:ilvl w:val="0"/>
                <w:numId w:val="6"/>
              </w:numPr>
              <w:jc w:val="center"/>
              <w:rPr>
                <w:rFonts w:cs="Arial"/>
                <w:b/>
                <w:color w:val="FFFFFF" w:themeColor="background1"/>
                <w:sz w:val="16"/>
                <w:szCs w:val="16"/>
                <w:lang w:eastAsia="en-US"/>
              </w:rPr>
            </w:pPr>
          </w:p>
        </w:tc>
        <w:tc>
          <w:tcPr>
            <w:tcW w:w="234"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66F553BC" w14:textId="77777777" w:rsidR="00796BD9" w:rsidRPr="00595782" w:rsidRDefault="00796BD9" w:rsidP="00DD2511">
            <w:pPr>
              <w:numPr>
                <w:ilvl w:val="0"/>
                <w:numId w:val="6"/>
              </w:numPr>
              <w:jc w:val="center"/>
              <w:rPr>
                <w:rFonts w:cs="Arial"/>
                <w:b/>
                <w:color w:val="FFFFFF" w:themeColor="background1"/>
                <w:sz w:val="16"/>
                <w:szCs w:val="16"/>
                <w:lang w:eastAsia="en-US"/>
              </w:rPr>
            </w:pPr>
          </w:p>
        </w:tc>
        <w:tc>
          <w:tcPr>
            <w:tcW w:w="238"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6C9A403D" w14:textId="77777777" w:rsidR="00796BD9" w:rsidRPr="00595782" w:rsidRDefault="00796BD9" w:rsidP="00DD2511">
            <w:pPr>
              <w:numPr>
                <w:ilvl w:val="0"/>
                <w:numId w:val="6"/>
              </w:numPr>
              <w:jc w:val="center"/>
              <w:rPr>
                <w:rFonts w:cs="Arial"/>
                <w:b/>
                <w:color w:val="FFFFFF" w:themeColor="background1"/>
                <w:sz w:val="16"/>
                <w:szCs w:val="16"/>
                <w:lang w:eastAsia="en-US"/>
              </w:rPr>
            </w:pPr>
          </w:p>
        </w:tc>
        <w:tc>
          <w:tcPr>
            <w:tcW w:w="210" w:type="pct"/>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749F6868" w14:textId="77777777" w:rsidR="00796BD9" w:rsidRPr="00595782" w:rsidRDefault="00796BD9" w:rsidP="00DD2511">
            <w:pPr>
              <w:numPr>
                <w:ilvl w:val="0"/>
                <w:numId w:val="6"/>
              </w:numPr>
              <w:jc w:val="center"/>
              <w:rPr>
                <w:rFonts w:cs="Arial"/>
                <w:b/>
                <w:color w:val="FFFFFF" w:themeColor="background1"/>
                <w:sz w:val="16"/>
                <w:szCs w:val="16"/>
                <w:lang w:eastAsia="en-US"/>
              </w:rPr>
            </w:pPr>
          </w:p>
        </w:tc>
        <w:tc>
          <w:tcPr>
            <w:tcW w:w="552" w:type="pct"/>
            <w:vMerge/>
            <w:tcBorders>
              <w:top w:val="single" w:sz="4" w:space="0" w:color="FFFFFF" w:themeColor="background1"/>
              <w:left w:val="single" w:sz="4" w:space="0" w:color="FFFFFF" w:themeColor="background1"/>
              <w:bottom w:val="single" w:sz="4" w:space="0" w:color="006DB6"/>
            </w:tcBorders>
            <w:tcMar>
              <w:top w:w="14" w:type="dxa"/>
            </w:tcMar>
            <w:vAlign w:val="center"/>
          </w:tcPr>
          <w:p w14:paraId="22754E8D" w14:textId="77777777" w:rsidR="00796BD9" w:rsidRPr="00595782" w:rsidRDefault="00796BD9" w:rsidP="00DD2511">
            <w:pPr>
              <w:rPr>
                <w:rFonts w:cs="Arial"/>
                <w:sz w:val="16"/>
                <w:szCs w:val="16"/>
                <w:lang w:eastAsia="en-US"/>
              </w:rPr>
            </w:pPr>
          </w:p>
        </w:tc>
      </w:tr>
      <w:tr w:rsidR="00796BD9" w:rsidRPr="00595782" w14:paraId="118D3497" w14:textId="77777777" w:rsidTr="000749C8">
        <w:trPr>
          <w:trHeight w:val="228"/>
        </w:trPr>
        <w:tc>
          <w:tcPr>
            <w:tcW w:w="377" w:type="pct"/>
            <w:tcBorders>
              <w:top w:val="single" w:sz="6" w:space="0" w:color="006DB6"/>
            </w:tcBorders>
            <w:tcMar>
              <w:top w:w="14" w:type="dxa"/>
            </w:tcMar>
          </w:tcPr>
          <w:p w14:paraId="58BC0E20" w14:textId="77777777" w:rsidR="00796BD9" w:rsidRPr="008A6B23" w:rsidRDefault="00796BD9" w:rsidP="00DD2511">
            <w:pPr>
              <w:ind w:left="-45"/>
              <w:rPr>
                <w:rFonts w:cs="Arial"/>
                <w:szCs w:val="16"/>
                <w:lang w:eastAsia="en-US"/>
              </w:rPr>
            </w:pPr>
            <w:r w:rsidRPr="008A6B23">
              <w:rPr>
                <w:rFonts w:cs="Arial"/>
                <w:szCs w:val="16"/>
                <w:lang w:eastAsia="en-US"/>
              </w:rPr>
              <w:t>PI-19</w:t>
            </w:r>
          </w:p>
        </w:tc>
        <w:tc>
          <w:tcPr>
            <w:tcW w:w="3155" w:type="pct"/>
            <w:tcBorders>
              <w:top w:val="single" w:sz="6" w:space="0" w:color="006DB6"/>
            </w:tcBorders>
            <w:tcMar>
              <w:top w:w="14" w:type="dxa"/>
            </w:tcMar>
          </w:tcPr>
          <w:p w14:paraId="4176D1A5" w14:textId="7267FF68" w:rsidR="00796BD9" w:rsidRPr="008A6B23" w:rsidRDefault="00796BD9" w:rsidP="000749C8">
            <w:pPr>
              <w:ind w:left="-45"/>
              <w:rPr>
                <w:rFonts w:cs="Arial"/>
                <w:szCs w:val="16"/>
                <w:lang w:eastAsia="en-US"/>
              </w:rPr>
            </w:pPr>
            <w:r w:rsidRPr="008A6B23">
              <w:rPr>
                <w:rFonts w:cs="Arial"/>
                <w:szCs w:val="16"/>
                <w:lang w:eastAsia="en-US"/>
              </w:rPr>
              <w:t xml:space="preserve">Revenue administration </w:t>
            </w:r>
          </w:p>
        </w:tc>
        <w:tc>
          <w:tcPr>
            <w:tcW w:w="234" w:type="pct"/>
            <w:tcBorders>
              <w:top w:val="single" w:sz="6" w:space="0" w:color="006DB6"/>
            </w:tcBorders>
            <w:tcMar>
              <w:top w:w="14" w:type="dxa"/>
            </w:tcMar>
          </w:tcPr>
          <w:p w14:paraId="06556FA0" w14:textId="77777777" w:rsidR="00796BD9" w:rsidRPr="00FD2691" w:rsidRDefault="00796BD9" w:rsidP="00DD2511">
            <w:pPr>
              <w:jc w:val="center"/>
              <w:rPr>
                <w:rFonts w:cs="Arial"/>
                <w:szCs w:val="16"/>
                <w:lang w:eastAsia="en-US"/>
              </w:rPr>
            </w:pPr>
            <w:r w:rsidRPr="00FD2691">
              <w:rPr>
                <w:rFonts w:cs="Arial"/>
                <w:szCs w:val="16"/>
                <w:lang w:eastAsia="en-US"/>
              </w:rPr>
              <w:t>A</w:t>
            </w:r>
          </w:p>
        </w:tc>
        <w:tc>
          <w:tcPr>
            <w:tcW w:w="234" w:type="pct"/>
            <w:tcBorders>
              <w:top w:val="single" w:sz="6" w:space="0" w:color="006DB6"/>
            </w:tcBorders>
            <w:tcMar>
              <w:top w:w="14" w:type="dxa"/>
            </w:tcMar>
          </w:tcPr>
          <w:p w14:paraId="16A807F2" w14:textId="77777777" w:rsidR="00796BD9" w:rsidRPr="00FD2691" w:rsidRDefault="00796BD9" w:rsidP="00DD2511">
            <w:pPr>
              <w:jc w:val="center"/>
              <w:rPr>
                <w:rFonts w:cs="Arial"/>
                <w:szCs w:val="16"/>
                <w:lang w:eastAsia="en-US"/>
              </w:rPr>
            </w:pPr>
            <w:r w:rsidRPr="00FD2691">
              <w:rPr>
                <w:rFonts w:cs="Arial"/>
                <w:szCs w:val="16"/>
                <w:lang w:eastAsia="en-US"/>
              </w:rPr>
              <w:t>A</w:t>
            </w:r>
          </w:p>
        </w:tc>
        <w:tc>
          <w:tcPr>
            <w:tcW w:w="238" w:type="pct"/>
            <w:tcBorders>
              <w:top w:val="single" w:sz="6" w:space="0" w:color="006DB6"/>
            </w:tcBorders>
            <w:tcMar>
              <w:top w:w="14" w:type="dxa"/>
            </w:tcMar>
          </w:tcPr>
          <w:p w14:paraId="474598F1" w14:textId="77777777" w:rsidR="00796BD9" w:rsidRPr="00FD2691" w:rsidRDefault="00796BD9" w:rsidP="00DD2511">
            <w:pPr>
              <w:jc w:val="center"/>
              <w:rPr>
                <w:rFonts w:cs="Arial"/>
                <w:szCs w:val="16"/>
                <w:lang w:eastAsia="en-US"/>
              </w:rPr>
            </w:pPr>
            <w:r w:rsidRPr="00FD2691">
              <w:rPr>
                <w:rFonts w:cs="Arial"/>
                <w:szCs w:val="16"/>
                <w:lang w:eastAsia="en-US"/>
              </w:rPr>
              <w:t>A</w:t>
            </w:r>
          </w:p>
        </w:tc>
        <w:tc>
          <w:tcPr>
            <w:tcW w:w="210" w:type="pct"/>
            <w:tcBorders>
              <w:top w:val="single" w:sz="6" w:space="0" w:color="006DB6"/>
              <w:bottom w:val="single" w:sz="6" w:space="0" w:color="006DB6"/>
            </w:tcBorders>
            <w:tcMar>
              <w:top w:w="14" w:type="dxa"/>
            </w:tcMar>
          </w:tcPr>
          <w:p w14:paraId="54094112" w14:textId="77777777" w:rsidR="00796BD9" w:rsidRPr="00FD2691" w:rsidRDefault="00796BD9" w:rsidP="00DD2511">
            <w:pPr>
              <w:jc w:val="center"/>
              <w:rPr>
                <w:rFonts w:cs="Arial"/>
                <w:szCs w:val="16"/>
                <w:lang w:eastAsia="en-US"/>
              </w:rPr>
            </w:pPr>
            <w:r w:rsidRPr="00FD2691">
              <w:rPr>
                <w:rFonts w:cs="Arial"/>
                <w:szCs w:val="16"/>
                <w:lang w:eastAsia="en-US"/>
              </w:rPr>
              <w:t>D</w:t>
            </w:r>
          </w:p>
        </w:tc>
        <w:tc>
          <w:tcPr>
            <w:tcW w:w="552" w:type="pct"/>
            <w:tcBorders>
              <w:top w:val="single" w:sz="6" w:space="0" w:color="006DB6"/>
            </w:tcBorders>
            <w:tcMar>
              <w:top w:w="14" w:type="dxa"/>
              <w:left w:w="288" w:type="dxa"/>
            </w:tcMar>
          </w:tcPr>
          <w:p w14:paraId="0212427C" w14:textId="77777777" w:rsidR="00796BD9" w:rsidRPr="00460F54" w:rsidRDefault="00796BD9" w:rsidP="00DD2511">
            <w:pPr>
              <w:rPr>
                <w:rFonts w:cs="Arial"/>
                <w:b/>
                <w:szCs w:val="16"/>
                <w:lang w:eastAsia="en-US"/>
              </w:rPr>
            </w:pPr>
            <w:r w:rsidRPr="00460F54">
              <w:rPr>
                <w:rFonts w:cs="Arial"/>
                <w:b/>
                <w:szCs w:val="16"/>
                <w:lang w:eastAsia="en-US"/>
              </w:rPr>
              <w:t>B+</w:t>
            </w:r>
          </w:p>
        </w:tc>
      </w:tr>
      <w:tr w:rsidR="00796BD9" w:rsidRPr="00595782" w14:paraId="79C8A988" w14:textId="77777777" w:rsidTr="000749C8">
        <w:trPr>
          <w:trHeight w:val="296"/>
        </w:trPr>
        <w:tc>
          <w:tcPr>
            <w:tcW w:w="377" w:type="pct"/>
            <w:tcMar>
              <w:top w:w="14" w:type="dxa"/>
            </w:tcMar>
          </w:tcPr>
          <w:p w14:paraId="71273868" w14:textId="77777777" w:rsidR="00796BD9" w:rsidRPr="008A6B23" w:rsidRDefault="00796BD9" w:rsidP="00DD2511">
            <w:pPr>
              <w:ind w:left="-45"/>
              <w:rPr>
                <w:rFonts w:cs="Arial"/>
                <w:szCs w:val="16"/>
                <w:lang w:eastAsia="en-US"/>
              </w:rPr>
            </w:pPr>
            <w:r w:rsidRPr="008A6B23">
              <w:rPr>
                <w:rFonts w:cs="Arial"/>
                <w:szCs w:val="16"/>
                <w:lang w:eastAsia="en-US"/>
              </w:rPr>
              <w:t>PI-20</w:t>
            </w:r>
          </w:p>
        </w:tc>
        <w:tc>
          <w:tcPr>
            <w:tcW w:w="3155" w:type="pct"/>
            <w:tcMar>
              <w:top w:w="14" w:type="dxa"/>
            </w:tcMar>
          </w:tcPr>
          <w:p w14:paraId="08ABDD6E" w14:textId="0AE57807" w:rsidR="00796BD9" w:rsidRPr="008A6B23" w:rsidRDefault="000749C8" w:rsidP="00DD2511">
            <w:pPr>
              <w:ind w:left="-45"/>
              <w:rPr>
                <w:rFonts w:cs="Arial"/>
                <w:szCs w:val="16"/>
                <w:lang w:eastAsia="en-US"/>
              </w:rPr>
            </w:pPr>
            <w:r>
              <w:rPr>
                <w:rFonts w:cs="Arial"/>
                <w:szCs w:val="16"/>
                <w:lang w:eastAsia="en-US"/>
              </w:rPr>
              <w:t>Accounting for revenue</w:t>
            </w:r>
            <w:r w:rsidR="00796BD9" w:rsidRPr="008A6B23">
              <w:rPr>
                <w:rFonts w:cs="Arial"/>
                <w:szCs w:val="16"/>
                <w:lang w:eastAsia="en-US"/>
              </w:rPr>
              <w:t xml:space="preserve"> </w:t>
            </w:r>
          </w:p>
        </w:tc>
        <w:tc>
          <w:tcPr>
            <w:tcW w:w="234" w:type="pct"/>
            <w:tcMar>
              <w:top w:w="14" w:type="dxa"/>
            </w:tcMar>
          </w:tcPr>
          <w:p w14:paraId="445A6AF3" w14:textId="77777777" w:rsidR="00796BD9" w:rsidRPr="00FD2691" w:rsidRDefault="00796BD9" w:rsidP="00DD2511">
            <w:pPr>
              <w:jc w:val="center"/>
              <w:rPr>
                <w:rFonts w:cs="Arial"/>
                <w:szCs w:val="16"/>
                <w:lang w:eastAsia="en-US"/>
              </w:rPr>
            </w:pPr>
            <w:r w:rsidRPr="00FD2691">
              <w:rPr>
                <w:rFonts w:cs="Arial"/>
                <w:szCs w:val="16"/>
                <w:lang w:eastAsia="en-US"/>
              </w:rPr>
              <w:t>A</w:t>
            </w:r>
          </w:p>
        </w:tc>
        <w:tc>
          <w:tcPr>
            <w:tcW w:w="234" w:type="pct"/>
            <w:tcMar>
              <w:top w:w="14" w:type="dxa"/>
            </w:tcMar>
          </w:tcPr>
          <w:p w14:paraId="5BC5C9A3" w14:textId="77777777" w:rsidR="00796BD9" w:rsidRPr="00FD2691" w:rsidRDefault="00796BD9" w:rsidP="00DD2511">
            <w:pPr>
              <w:jc w:val="center"/>
              <w:rPr>
                <w:rFonts w:cs="Arial"/>
                <w:szCs w:val="16"/>
                <w:lang w:eastAsia="en-US"/>
              </w:rPr>
            </w:pPr>
            <w:r w:rsidRPr="00FD2691">
              <w:rPr>
                <w:rFonts w:cs="Arial"/>
                <w:szCs w:val="16"/>
                <w:lang w:eastAsia="en-US"/>
              </w:rPr>
              <w:t>B</w:t>
            </w:r>
          </w:p>
        </w:tc>
        <w:tc>
          <w:tcPr>
            <w:tcW w:w="238" w:type="pct"/>
            <w:tcMar>
              <w:top w:w="14" w:type="dxa"/>
            </w:tcMar>
          </w:tcPr>
          <w:p w14:paraId="4DD5587E" w14:textId="77777777" w:rsidR="00796BD9" w:rsidRPr="00FD2691" w:rsidRDefault="00796BD9" w:rsidP="00DD2511">
            <w:pPr>
              <w:jc w:val="center"/>
              <w:rPr>
                <w:rFonts w:cs="Arial"/>
                <w:szCs w:val="16"/>
                <w:lang w:eastAsia="en-US"/>
              </w:rPr>
            </w:pPr>
            <w:r w:rsidRPr="00FD2691">
              <w:rPr>
                <w:rFonts w:cs="Arial"/>
                <w:szCs w:val="16"/>
                <w:lang w:eastAsia="en-US"/>
              </w:rPr>
              <w:t>A</w:t>
            </w:r>
          </w:p>
        </w:tc>
        <w:tc>
          <w:tcPr>
            <w:tcW w:w="210" w:type="pct"/>
            <w:tcBorders>
              <w:top w:val="single" w:sz="6" w:space="0" w:color="006DB6"/>
              <w:bottom w:val="single" w:sz="6" w:space="0" w:color="006DB6"/>
            </w:tcBorders>
            <w:shd w:val="clear" w:color="auto" w:fill="D5DCE4" w:themeFill="text2" w:themeFillTint="33"/>
            <w:tcMar>
              <w:top w:w="14" w:type="dxa"/>
            </w:tcMar>
          </w:tcPr>
          <w:p w14:paraId="0CB0B14B" w14:textId="77777777" w:rsidR="00796BD9" w:rsidRPr="00FD2691" w:rsidRDefault="00796BD9" w:rsidP="00DD2511">
            <w:pPr>
              <w:jc w:val="center"/>
              <w:rPr>
                <w:rFonts w:cs="Arial"/>
                <w:szCs w:val="16"/>
                <w:lang w:eastAsia="en-US"/>
              </w:rPr>
            </w:pPr>
          </w:p>
        </w:tc>
        <w:tc>
          <w:tcPr>
            <w:tcW w:w="552" w:type="pct"/>
            <w:tcMar>
              <w:top w:w="14" w:type="dxa"/>
              <w:left w:w="288" w:type="dxa"/>
            </w:tcMar>
          </w:tcPr>
          <w:p w14:paraId="718E43B7" w14:textId="77777777" w:rsidR="00796BD9" w:rsidRPr="00460F54" w:rsidRDefault="00796BD9" w:rsidP="00DD2511">
            <w:pPr>
              <w:rPr>
                <w:rFonts w:cs="Arial"/>
                <w:b/>
                <w:szCs w:val="16"/>
                <w:lang w:eastAsia="en-US"/>
              </w:rPr>
            </w:pPr>
            <w:r w:rsidRPr="00460F54">
              <w:rPr>
                <w:rFonts w:cs="Arial"/>
                <w:b/>
                <w:szCs w:val="16"/>
                <w:lang w:eastAsia="en-US"/>
              </w:rPr>
              <w:t>B+</w:t>
            </w:r>
          </w:p>
        </w:tc>
      </w:tr>
      <w:tr w:rsidR="00796BD9" w:rsidRPr="00595782" w14:paraId="7DCF500A" w14:textId="77777777" w:rsidTr="000749C8">
        <w:trPr>
          <w:trHeight w:val="313"/>
        </w:trPr>
        <w:tc>
          <w:tcPr>
            <w:tcW w:w="377" w:type="pct"/>
            <w:tcBorders>
              <w:bottom w:val="single" w:sz="6" w:space="0" w:color="006DB6"/>
            </w:tcBorders>
            <w:tcMar>
              <w:top w:w="14" w:type="dxa"/>
            </w:tcMar>
          </w:tcPr>
          <w:p w14:paraId="221CAF88" w14:textId="77777777" w:rsidR="00796BD9" w:rsidRPr="008A6B23" w:rsidRDefault="00796BD9" w:rsidP="00DD2511">
            <w:pPr>
              <w:ind w:left="-45"/>
              <w:rPr>
                <w:rFonts w:cs="Arial"/>
                <w:szCs w:val="16"/>
                <w:lang w:eastAsia="en-US"/>
              </w:rPr>
            </w:pPr>
            <w:r w:rsidRPr="008A6B23">
              <w:rPr>
                <w:rFonts w:cs="Arial"/>
                <w:szCs w:val="16"/>
                <w:lang w:eastAsia="en-US"/>
              </w:rPr>
              <w:t>PI-21</w:t>
            </w:r>
          </w:p>
        </w:tc>
        <w:tc>
          <w:tcPr>
            <w:tcW w:w="3155" w:type="pct"/>
            <w:tcBorders>
              <w:bottom w:val="single" w:sz="6" w:space="0" w:color="006DB6"/>
            </w:tcBorders>
            <w:tcMar>
              <w:top w:w="14" w:type="dxa"/>
            </w:tcMar>
          </w:tcPr>
          <w:p w14:paraId="4186C840" w14:textId="7C718567" w:rsidR="00796BD9" w:rsidRPr="008A6B23" w:rsidRDefault="00796BD9" w:rsidP="000749C8">
            <w:pPr>
              <w:ind w:left="-45"/>
              <w:rPr>
                <w:rFonts w:cs="Arial"/>
                <w:szCs w:val="16"/>
                <w:lang w:eastAsia="en-US"/>
              </w:rPr>
            </w:pPr>
            <w:r w:rsidRPr="008A6B23">
              <w:rPr>
                <w:rFonts w:cs="Arial"/>
                <w:szCs w:val="16"/>
                <w:lang w:eastAsia="en-US"/>
              </w:rPr>
              <w:t xml:space="preserve">Predictability </w:t>
            </w:r>
            <w:r w:rsidR="000749C8">
              <w:rPr>
                <w:rFonts w:cs="Arial"/>
                <w:szCs w:val="16"/>
                <w:lang w:eastAsia="en-US"/>
              </w:rPr>
              <w:t>of in-year resource availability</w:t>
            </w:r>
            <w:r w:rsidRPr="008A6B23">
              <w:rPr>
                <w:rFonts w:cs="Arial"/>
                <w:szCs w:val="16"/>
                <w:lang w:eastAsia="en-US"/>
              </w:rPr>
              <w:t xml:space="preserve"> </w:t>
            </w:r>
          </w:p>
        </w:tc>
        <w:tc>
          <w:tcPr>
            <w:tcW w:w="234" w:type="pct"/>
            <w:tcBorders>
              <w:bottom w:val="single" w:sz="6" w:space="0" w:color="006DB6"/>
            </w:tcBorders>
            <w:tcMar>
              <w:top w:w="14" w:type="dxa"/>
            </w:tcMar>
          </w:tcPr>
          <w:p w14:paraId="6ABD22E7" w14:textId="77777777" w:rsidR="00796BD9" w:rsidRPr="00FD2691" w:rsidRDefault="00796BD9" w:rsidP="00DD2511">
            <w:pPr>
              <w:jc w:val="center"/>
              <w:rPr>
                <w:rFonts w:cs="Arial"/>
                <w:szCs w:val="16"/>
                <w:lang w:eastAsia="en-US"/>
              </w:rPr>
            </w:pPr>
            <w:r w:rsidRPr="00FD2691">
              <w:rPr>
                <w:rFonts w:cs="Arial"/>
                <w:szCs w:val="16"/>
                <w:lang w:eastAsia="en-US"/>
              </w:rPr>
              <w:t>A</w:t>
            </w:r>
          </w:p>
        </w:tc>
        <w:tc>
          <w:tcPr>
            <w:tcW w:w="234" w:type="pct"/>
            <w:tcBorders>
              <w:bottom w:val="single" w:sz="6" w:space="0" w:color="006DB6"/>
            </w:tcBorders>
            <w:tcMar>
              <w:top w:w="14" w:type="dxa"/>
            </w:tcMar>
          </w:tcPr>
          <w:p w14:paraId="74F0E815" w14:textId="77777777" w:rsidR="00796BD9" w:rsidRPr="00FD2691" w:rsidRDefault="00796BD9" w:rsidP="00DD2511">
            <w:pPr>
              <w:jc w:val="center"/>
              <w:rPr>
                <w:rFonts w:cs="Arial"/>
                <w:szCs w:val="16"/>
                <w:lang w:eastAsia="en-US"/>
              </w:rPr>
            </w:pPr>
            <w:r w:rsidRPr="00FD2691">
              <w:rPr>
                <w:rFonts w:cs="Arial"/>
                <w:szCs w:val="16"/>
                <w:lang w:eastAsia="en-US"/>
              </w:rPr>
              <w:t>B</w:t>
            </w:r>
          </w:p>
        </w:tc>
        <w:tc>
          <w:tcPr>
            <w:tcW w:w="238" w:type="pct"/>
            <w:tcBorders>
              <w:bottom w:val="single" w:sz="6" w:space="0" w:color="006DB6"/>
            </w:tcBorders>
            <w:tcMar>
              <w:top w:w="14" w:type="dxa"/>
            </w:tcMar>
          </w:tcPr>
          <w:p w14:paraId="59046A9C" w14:textId="77777777" w:rsidR="00796BD9" w:rsidRPr="00FD2691" w:rsidRDefault="00796BD9" w:rsidP="00DD2511">
            <w:pPr>
              <w:jc w:val="center"/>
              <w:rPr>
                <w:rFonts w:cs="Arial"/>
                <w:szCs w:val="16"/>
                <w:lang w:eastAsia="en-US"/>
              </w:rPr>
            </w:pPr>
            <w:r w:rsidRPr="00FD2691">
              <w:rPr>
                <w:rFonts w:cs="Arial"/>
                <w:szCs w:val="16"/>
                <w:lang w:eastAsia="en-US"/>
              </w:rPr>
              <w:t>B</w:t>
            </w:r>
          </w:p>
        </w:tc>
        <w:tc>
          <w:tcPr>
            <w:tcW w:w="210" w:type="pct"/>
            <w:tcBorders>
              <w:top w:val="single" w:sz="6" w:space="0" w:color="006DB6"/>
              <w:bottom w:val="single" w:sz="6" w:space="0" w:color="006DB6"/>
            </w:tcBorders>
            <w:shd w:val="clear" w:color="auto" w:fill="auto"/>
            <w:tcMar>
              <w:top w:w="14" w:type="dxa"/>
            </w:tcMar>
          </w:tcPr>
          <w:p w14:paraId="197ABB9D" w14:textId="77777777" w:rsidR="00796BD9" w:rsidRPr="00FD2691" w:rsidRDefault="00796BD9" w:rsidP="00DD2511">
            <w:pPr>
              <w:jc w:val="center"/>
              <w:rPr>
                <w:rFonts w:cs="Arial"/>
                <w:szCs w:val="16"/>
                <w:lang w:eastAsia="en-US"/>
              </w:rPr>
            </w:pPr>
            <w:r w:rsidRPr="00FD2691">
              <w:rPr>
                <w:rFonts w:cs="Arial"/>
                <w:szCs w:val="16"/>
                <w:lang w:eastAsia="en-US"/>
              </w:rPr>
              <w:t>A</w:t>
            </w:r>
          </w:p>
        </w:tc>
        <w:tc>
          <w:tcPr>
            <w:tcW w:w="552" w:type="pct"/>
            <w:tcBorders>
              <w:bottom w:val="single" w:sz="6" w:space="0" w:color="006DB6"/>
            </w:tcBorders>
            <w:tcMar>
              <w:top w:w="14" w:type="dxa"/>
              <w:left w:w="288" w:type="dxa"/>
            </w:tcMar>
          </w:tcPr>
          <w:p w14:paraId="147C40D1" w14:textId="77777777" w:rsidR="00796BD9" w:rsidRPr="00460F54" w:rsidRDefault="00796BD9" w:rsidP="00DD2511">
            <w:pPr>
              <w:rPr>
                <w:rFonts w:cs="Arial"/>
                <w:b/>
                <w:szCs w:val="16"/>
                <w:lang w:eastAsia="en-US"/>
              </w:rPr>
            </w:pPr>
            <w:r w:rsidRPr="00460F54">
              <w:rPr>
                <w:rFonts w:cs="Arial"/>
                <w:b/>
                <w:szCs w:val="16"/>
                <w:lang w:eastAsia="en-US"/>
              </w:rPr>
              <w:t>B+</w:t>
            </w:r>
          </w:p>
        </w:tc>
      </w:tr>
      <w:tr w:rsidR="000749C8" w:rsidRPr="00595782" w14:paraId="2766C490" w14:textId="77777777" w:rsidTr="000749C8">
        <w:trPr>
          <w:trHeight w:val="313"/>
        </w:trPr>
        <w:tc>
          <w:tcPr>
            <w:tcW w:w="377" w:type="pct"/>
            <w:tcBorders>
              <w:bottom w:val="single" w:sz="6" w:space="0" w:color="006DB6"/>
            </w:tcBorders>
            <w:tcMar>
              <w:top w:w="14" w:type="dxa"/>
            </w:tcMar>
          </w:tcPr>
          <w:p w14:paraId="68AC103E" w14:textId="2329CD10" w:rsidR="000749C8" w:rsidRPr="008A6B23" w:rsidRDefault="000749C8" w:rsidP="00DD2511">
            <w:pPr>
              <w:ind w:left="-45"/>
              <w:rPr>
                <w:rFonts w:cs="Arial"/>
                <w:szCs w:val="16"/>
                <w:lang w:eastAsia="en-US"/>
              </w:rPr>
            </w:pPr>
            <w:r w:rsidRPr="008A6B23">
              <w:rPr>
                <w:rFonts w:cs="Arial"/>
                <w:szCs w:val="16"/>
                <w:lang w:eastAsia="en-US"/>
              </w:rPr>
              <w:t>PI-22</w:t>
            </w:r>
          </w:p>
        </w:tc>
        <w:tc>
          <w:tcPr>
            <w:tcW w:w="3155" w:type="pct"/>
            <w:tcBorders>
              <w:bottom w:val="single" w:sz="6" w:space="0" w:color="006DB6"/>
            </w:tcBorders>
            <w:tcMar>
              <w:top w:w="14" w:type="dxa"/>
            </w:tcMar>
          </w:tcPr>
          <w:p w14:paraId="2BF81ABA" w14:textId="0E15C17E" w:rsidR="000749C8" w:rsidRPr="008A6B23" w:rsidRDefault="000749C8" w:rsidP="000749C8">
            <w:pPr>
              <w:ind w:left="-45"/>
              <w:rPr>
                <w:rFonts w:cs="Arial"/>
                <w:szCs w:val="16"/>
                <w:lang w:eastAsia="en-US"/>
              </w:rPr>
            </w:pPr>
            <w:r>
              <w:rPr>
                <w:rFonts w:cs="Arial"/>
                <w:szCs w:val="16"/>
                <w:lang w:eastAsia="en-US"/>
              </w:rPr>
              <w:t>Expenditure arrears</w:t>
            </w:r>
          </w:p>
        </w:tc>
        <w:tc>
          <w:tcPr>
            <w:tcW w:w="234" w:type="pct"/>
            <w:tcBorders>
              <w:bottom w:val="single" w:sz="6" w:space="0" w:color="006DB6"/>
            </w:tcBorders>
            <w:tcMar>
              <w:top w:w="14" w:type="dxa"/>
            </w:tcMar>
          </w:tcPr>
          <w:p w14:paraId="6826233D" w14:textId="73ACC61A" w:rsidR="000749C8" w:rsidRPr="00FD2691" w:rsidRDefault="000749C8" w:rsidP="00DD2511">
            <w:pPr>
              <w:jc w:val="center"/>
              <w:rPr>
                <w:rFonts w:cs="Arial"/>
                <w:szCs w:val="16"/>
                <w:lang w:eastAsia="en-US"/>
              </w:rPr>
            </w:pPr>
            <w:r>
              <w:rPr>
                <w:rFonts w:cs="Arial"/>
                <w:szCs w:val="16"/>
                <w:lang w:eastAsia="en-US"/>
              </w:rPr>
              <w:t>C</w:t>
            </w:r>
          </w:p>
        </w:tc>
        <w:tc>
          <w:tcPr>
            <w:tcW w:w="234" w:type="pct"/>
            <w:tcBorders>
              <w:bottom w:val="single" w:sz="6" w:space="0" w:color="006DB6"/>
            </w:tcBorders>
            <w:tcMar>
              <w:top w:w="14" w:type="dxa"/>
            </w:tcMar>
          </w:tcPr>
          <w:p w14:paraId="1A22DAEA" w14:textId="4638D0A7" w:rsidR="000749C8" w:rsidRPr="00FD2691" w:rsidRDefault="000749C8" w:rsidP="00DD2511">
            <w:pPr>
              <w:jc w:val="center"/>
              <w:rPr>
                <w:rFonts w:cs="Arial"/>
                <w:szCs w:val="16"/>
                <w:lang w:eastAsia="en-US"/>
              </w:rPr>
            </w:pPr>
            <w:r>
              <w:rPr>
                <w:rFonts w:cs="Arial"/>
                <w:szCs w:val="16"/>
                <w:lang w:eastAsia="en-US"/>
              </w:rPr>
              <w:t>C</w:t>
            </w:r>
          </w:p>
        </w:tc>
        <w:tc>
          <w:tcPr>
            <w:tcW w:w="238" w:type="pct"/>
            <w:tcBorders>
              <w:bottom w:val="single" w:sz="6" w:space="0" w:color="006DB6"/>
            </w:tcBorders>
            <w:shd w:val="clear" w:color="auto" w:fill="D5DCE4" w:themeFill="text2" w:themeFillTint="33"/>
            <w:tcMar>
              <w:top w:w="14" w:type="dxa"/>
            </w:tcMar>
          </w:tcPr>
          <w:p w14:paraId="4635113C" w14:textId="77777777" w:rsidR="000749C8" w:rsidRPr="00FD2691" w:rsidRDefault="000749C8" w:rsidP="00DD2511">
            <w:pPr>
              <w:jc w:val="center"/>
              <w:rPr>
                <w:rFonts w:cs="Arial"/>
                <w:szCs w:val="16"/>
                <w:lang w:eastAsia="en-US"/>
              </w:rPr>
            </w:pPr>
          </w:p>
        </w:tc>
        <w:tc>
          <w:tcPr>
            <w:tcW w:w="210" w:type="pct"/>
            <w:tcBorders>
              <w:top w:val="single" w:sz="6" w:space="0" w:color="006DB6"/>
              <w:bottom w:val="single" w:sz="6" w:space="0" w:color="006DB6"/>
            </w:tcBorders>
            <w:shd w:val="clear" w:color="auto" w:fill="D5DCE4" w:themeFill="text2" w:themeFillTint="33"/>
            <w:tcMar>
              <w:top w:w="14" w:type="dxa"/>
            </w:tcMar>
          </w:tcPr>
          <w:p w14:paraId="7CE2F68C" w14:textId="77777777" w:rsidR="000749C8" w:rsidRPr="00FD2691" w:rsidRDefault="000749C8" w:rsidP="00DD2511">
            <w:pPr>
              <w:jc w:val="center"/>
              <w:rPr>
                <w:rFonts w:cs="Arial"/>
                <w:szCs w:val="16"/>
                <w:lang w:eastAsia="en-US"/>
              </w:rPr>
            </w:pPr>
          </w:p>
        </w:tc>
        <w:tc>
          <w:tcPr>
            <w:tcW w:w="552" w:type="pct"/>
            <w:tcBorders>
              <w:bottom w:val="single" w:sz="6" w:space="0" w:color="006DB6"/>
            </w:tcBorders>
            <w:tcMar>
              <w:top w:w="14" w:type="dxa"/>
              <w:left w:w="288" w:type="dxa"/>
            </w:tcMar>
          </w:tcPr>
          <w:p w14:paraId="2A194B34" w14:textId="0CA95E3A" w:rsidR="000749C8" w:rsidRPr="00460F54" w:rsidRDefault="000749C8" w:rsidP="00DD2511">
            <w:pPr>
              <w:rPr>
                <w:rFonts w:cs="Arial"/>
                <w:b/>
                <w:szCs w:val="16"/>
                <w:lang w:eastAsia="en-US"/>
              </w:rPr>
            </w:pPr>
            <w:r>
              <w:rPr>
                <w:rFonts w:cs="Arial"/>
                <w:b/>
                <w:szCs w:val="16"/>
                <w:lang w:eastAsia="en-US"/>
              </w:rPr>
              <w:t>C</w:t>
            </w:r>
          </w:p>
        </w:tc>
      </w:tr>
      <w:tr w:rsidR="000749C8" w:rsidRPr="00595782" w14:paraId="0D4AC97F" w14:textId="77777777" w:rsidTr="000749C8">
        <w:trPr>
          <w:trHeight w:val="296"/>
        </w:trPr>
        <w:tc>
          <w:tcPr>
            <w:tcW w:w="377" w:type="pct"/>
            <w:tcBorders>
              <w:top w:val="single" w:sz="6" w:space="0" w:color="006DB6"/>
            </w:tcBorders>
            <w:tcMar>
              <w:top w:w="14" w:type="dxa"/>
            </w:tcMar>
          </w:tcPr>
          <w:p w14:paraId="153E7FBA" w14:textId="15ACAC24" w:rsidR="000749C8" w:rsidRPr="008A6B23" w:rsidRDefault="000749C8" w:rsidP="00DD2511">
            <w:pPr>
              <w:ind w:left="-45"/>
              <w:rPr>
                <w:rFonts w:cs="Arial"/>
                <w:szCs w:val="16"/>
                <w:lang w:eastAsia="en-US"/>
              </w:rPr>
            </w:pPr>
            <w:r w:rsidRPr="008A6B23">
              <w:rPr>
                <w:rFonts w:cs="Arial"/>
                <w:szCs w:val="16"/>
                <w:lang w:eastAsia="en-US"/>
              </w:rPr>
              <w:t>PI-23</w:t>
            </w:r>
          </w:p>
        </w:tc>
        <w:tc>
          <w:tcPr>
            <w:tcW w:w="3155" w:type="pct"/>
            <w:tcBorders>
              <w:top w:val="single" w:sz="6" w:space="0" w:color="006DB6"/>
            </w:tcBorders>
            <w:tcMar>
              <w:top w:w="14" w:type="dxa"/>
            </w:tcMar>
          </w:tcPr>
          <w:p w14:paraId="19B6D239" w14:textId="294C8704" w:rsidR="000749C8" w:rsidRPr="008A6B23" w:rsidRDefault="009D4184" w:rsidP="009D4184">
            <w:pPr>
              <w:ind w:left="-45"/>
              <w:rPr>
                <w:rFonts w:cs="Arial"/>
                <w:szCs w:val="16"/>
                <w:lang w:eastAsia="en-US"/>
              </w:rPr>
            </w:pPr>
            <w:r>
              <w:rPr>
                <w:rFonts w:cs="Arial"/>
                <w:szCs w:val="16"/>
                <w:lang w:eastAsia="en-US"/>
              </w:rPr>
              <w:t>P</w:t>
            </w:r>
            <w:r w:rsidR="000749C8" w:rsidRPr="008A6B23">
              <w:rPr>
                <w:rFonts w:cs="Arial"/>
                <w:szCs w:val="16"/>
                <w:lang w:eastAsia="en-US"/>
              </w:rPr>
              <w:t xml:space="preserve">ayroll controls </w:t>
            </w:r>
          </w:p>
        </w:tc>
        <w:tc>
          <w:tcPr>
            <w:tcW w:w="234" w:type="pct"/>
            <w:tcBorders>
              <w:top w:val="single" w:sz="6" w:space="0" w:color="006DB6"/>
            </w:tcBorders>
            <w:tcMar>
              <w:top w:w="14" w:type="dxa"/>
            </w:tcMar>
          </w:tcPr>
          <w:p w14:paraId="15AB8B68" w14:textId="77777777" w:rsidR="000749C8" w:rsidRPr="00FD2691" w:rsidRDefault="000749C8" w:rsidP="00DD2511">
            <w:pPr>
              <w:jc w:val="center"/>
              <w:rPr>
                <w:rFonts w:cs="Arial"/>
                <w:szCs w:val="16"/>
                <w:lang w:eastAsia="en-US"/>
              </w:rPr>
            </w:pPr>
            <w:r>
              <w:rPr>
                <w:rFonts w:cs="Arial"/>
                <w:szCs w:val="16"/>
                <w:lang w:eastAsia="en-US"/>
              </w:rPr>
              <w:t>A</w:t>
            </w:r>
          </w:p>
        </w:tc>
        <w:tc>
          <w:tcPr>
            <w:tcW w:w="234" w:type="pct"/>
            <w:tcBorders>
              <w:top w:val="single" w:sz="6" w:space="0" w:color="006DB6"/>
              <w:bottom w:val="single" w:sz="6" w:space="0" w:color="006DB6"/>
            </w:tcBorders>
            <w:tcMar>
              <w:top w:w="14" w:type="dxa"/>
            </w:tcMar>
          </w:tcPr>
          <w:p w14:paraId="710FDF2F" w14:textId="77777777" w:rsidR="000749C8" w:rsidRPr="00FD2691" w:rsidRDefault="000749C8" w:rsidP="00DD2511">
            <w:pPr>
              <w:jc w:val="center"/>
              <w:rPr>
                <w:rFonts w:cs="Arial"/>
                <w:szCs w:val="16"/>
                <w:lang w:eastAsia="en-US"/>
              </w:rPr>
            </w:pPr>
            <w:r>
              <w:rPr>
                <w:rFonts w:cs="Arial"/>
                <w:szCs w:val="16"/>
                <w:lang w:eastAsia="en-US"/>
              </w:rPr>
              <w:t>A</w:t>
            </w:r>
          </w:p>
        </w:tc>
        <w:tc>
          <w:tcPr>
            <w:tcW w:w="238" w:type="pct"/>
            <w:tcBorders>
              <w:top w:val="single" w:sz="6" w:space="0" w:color="006DB6"/>
              <w:bottom w:val="single" w:sz="6" w:space="0" w:color="006DB6"/>
            </w:tcBorders>
            <w:shd w:val="clear" w:color="auto" w:fill="auto"/>
            <w:tcMar>
              <w:top w:w="14" w:type="dxa"/>
            </w:tcMar>
          </w:tcPr>
          <w:p w14:paraId="08F1F614" w14:textId="77777777" w:rsidR="000749C8" w:rsidRPr="00FD2691" w:rsidRDefault="000749C8" w:rsidP="00DD2511">
            <w:pPr>
              <w:jc w:val="center"/>
              <w:rPr>
                <w:rFonts w:cs="Arial"/>
                <w:szCs w:val="16"/>
                <w:lang w:eastAsia="en-US"/>
              </w:rPr>
            </w:pPr>
            <w:r>
              <w:rPr>
                <w:rFonts w:cs="Arial"/>
                <w:szCs w:val="16"/>
                <w:lang w:eastAsia="en-US"/>
              </w:rPr>
              <w:t>A</w:t>
            </w:r>
          </w:p>
        </w:tc>
        <w:tc>
          <w:tcPr>
            <w:tcW w:w="210" w:type="pct"/>
            <w:tcBorders>
              <w:top w:val="single" w:sz="6" w:space="0" w:color="006DB6"/>
              <w:bottom w:val="single" w:sz="6" w:space="0" w:color="006DB6"/>
            </w:tcBorders>
            <w:shd w:val="clear" w:color="auto" w:fill="auto"/>
            <w:tcMar>
              <w:top w:w="14" w:type="dxa"/>
            </w:tcMar>
          </w:tcPr>
          <w:p w14:paraId="457A153D" w14:textId="77777777" w:rsidR="000749C8" w:rsidRPr="00FD2691" w:rsidRDefault="000749C8" w:rsidP="00DD2511">
            <w:pPr>
              <w:jc w:val="center"/>
              <w:rPr>
                <w:rFonts w:cs="Arial"/>
                <w:szCs w:val="16"/>
                <w:lang w:eastAsia="en-US"/>
              </w:rPr>
            </w:pPr>
            <w:r>
              <w:rPr>
                <w:rFonts w:cs="Arial"/>
                <w:szCs w:val="16"/>
                <w:lang w:eastAsia="en-US"/>
              </w:rPr>
              <w:t>B</w:t>
            </w:r>
          </w:p>
        </w:tc>
        <w:tc>
          <w:tcPr>
            <w:tcW w:w="552" w:type="pct"/>
            <w:tcBorders>
              <w:top w:val="single" w:sz="6" w:space="0" w:color="006DB6"/>
            </w:tcBorders>
            <w:tcMar>
              <w:top w:w="14" w:type="dxa"/>
              <w:left w:w="288" w:type="dxa"/>
            </w:tcMar>
          </w:tcPr>
          <w:p w14:paraId="778D92EF" w14:textId="77777777" w:rsidR="000749C8" w:rsidRPr="00460F54" w:rsidRDefault="000749C8" w:rsidP="00DD2511">
            <w:pPr>
              <w:rPr>
                <w:rFonts w:cs="Arial"/>
                <w:b/>
                <w:szCs w:val="16"/>
                <w:lang w:eastAsia="en-US"/>
              </w:rPr>
            </w:pPr>
            <w:r>
              <w:rPr>
                <w:rFonts w:cs="Arial"/>
                <w:b/>
                <w:szCs w:val="16"/>
                <w:lang w:eastAsia="en-US"/>
              </w:rPr>
              <w:t>B+</w:t>
            </w:r>
          </w:p>
        </w:tc>
      </w:tr>
      <w:tr w:rsidR="000749C8" w:rsidRPr="00595782" w14:paraId="77810C21" w14:textId="77777777" w:rsidTr="000749C8">
        <w:trPr>
          <w:trHeight w:val="296"/>
        </w:trPr>
        <w:tc>
          <w:tcPr>
            <w:tcW w:w="377" w:type="pct"/>
            <w:tcMar>
              <w:top w:w="14" w:type="dxa"/>
            </w:tcMar>
          </w:tcPr>
          <w:p w14:paraId="0920CB8E" w14:textId="1C54A5F1" w:rsidR="000749C8" w:rsidRPr="008A6B23" w:rsidRDefault="000749C8" w:rsidP="00DD2511">
            <w:pPr>
              <w:ind w:left="-45"/>
              <w:rPr>
                <w:rFonts w:cs="Arial"/>
                <w:szCs w:val="16"/>
                <w:lang w:eastAsia="en-US"/>
              </w:rPr>
            </w:pPr>
            <w:r w:rsidRPr="008A6B23">
              <w:rPr>
                <w:rFonts w:cs="Arial"/>
                <w:szCs w:val="16"/>
                <w:lang w:eastAsia="en-US"/>
              </w:rPr>
              <w:t>PI-24</w:t>
            </w:r>
          </w:p>
        </w:tc>
        <w:tc>
          <w:tcPr>
            <w:tcW w:w="3155" w:type="pct"/>
            <w:tcMar>
              <w:top w:w="14" w:type="dxa"/>
            </w:tcMar>
          </w:tcPr>
          <w:p w14:paraId="4A2DC5D3" w14:textId="50CC8369" w:rsidR="000749C8" w:rsidRPr="008A6B23" w:rsidRDefault="009D4184" w:rsidP="00DD2511">
            <w:pPr>
              <w:ind w:left="-45"/>
              <w:rPr>
                <w:rFonts w:cs="Arial"/>
                <w:szCs w:val="16"/>
                <w:lang w:eastAsia="en-US"/>
              </w:rPr>
            </w:pPr>
            <w:r>
              <w:rPr>
                <w:rFonts w:cs="Arial"/>
                <w:szCs w:val="16"/>
                <w:lang w:eastAsia="en-US"/>
              </w:rPr>
              <w:t>P</w:t>
            </w:r>
            <w:r w:rsidR="000749C8" w:rsidRPr="008A6B23">
              <w:rPr>
                <w:rFonts w:cs="Arial"/>
                <w:szCs w:val="16"/>
                <w:lang w:eastAsia="en-US"/>
              </w:rPr>
              <w:t xml:space="preserve">rocurement </w:t>
            </w:r>
          </w:p>
        </w:tc>
        <w:tc>
          <w:tcPr>
            <w:tcW w:w="234" w:type="pct"/>
            <w:tcMar>
              <w:top w:w="14" w:type="dxa"/>
            </w:tcMar>
          </w:tcPr>
          <w:p w14:paraId="590B152E" w14:textId="77777777" w:rsidR="000749C8" w:rsidRPr="00FD2691" w:rsidRDefault="000749C8" w:rsidP="00DD2511">
            <w:pPr>
              <w:jc w:val="center"/>
              <w:rPr>
                <w:rFonts w:cs="Arial"/>
                <w:szCs w:val="16"/>
                <w:lang w:eastAsia="en-US"/>
              </w:rPr>
            </w:pPr>
            <w:r>
              <w:rPr>
                <w:rFonts w:cs="Arial"/>
                <w:szCs w:val="16"/>
                <w:lang w:eastAsia="en-US"/>
              </w:rPr>
              <w:t>C</w:t>
            </w:r>
          </w:p>
        </w:tc>
        <w:tc>
          <w:tcPr>
            <w:tcW w:w="234" w:type="pct"/>
            <w:tcBorders>
              <w:top w:val="single" w:sz="6" w:space="0" w:color="006DB6"/>
              <w:bottom w:val="single" w:sz="6" w:space="0" w:color="006DB6"/>
            </w:tcBorders>
            <w:shd w:val="clear" w:color="auto" w:fill="auto"/>
            <w:tcMar>
              <w:top w:w="14" w:type="dxa"/>
            </w:tcMar>
          </w:tcPr>
          <w:p w14:paraId="19386446" w14:textId="77777777" w:rsidR="000749C8" w:rsidRPr="00FD2691" w:rsidRDefault="000749C8" w:rsidP="00DD2511">
            <w:pPr>
              <w:jc w:val="center"/>
              <w:rPr>
                <w:rFonts w:cs="Arial"/>
                <w:szCs w:val="16"/>
                <w:lang w:eastAsia="en-US"/>
              </w:rPr>
            </w:pPr>
            <w:r>
              <w:rPr>
                <w:rFonts w:cs="Arial"/>
                <w:szCs w:val="16"/>
                <w:lang w:eastAsia="en-US"/>
              </w:rPr>
              <w:t>A</w:t>
            </w:r>
          </w:p>
        </w:tc>
        <w:tc>
          <w:tcPr>
            <w:tcW w:w="238" w:type="pct"/>
            <w:tcBorders>
              <w:top w:val="single" w:sz="6" w:space="0" w:color="006DB6"/>
              <w:bottom w:val="single" w:sz="6" w:space="0" w:color="006DB6"/>
            </w:tcBorders>
            <w:shd w:val="clear" w:color="auto" w:fill="auto"/>
            <w:tcMar>
              <w:top w:w="14" w:type="dxa"/>
            </w:tcMar>
          </w:tcPr>
          <w:p w14:paraId="236B8DC0" w14:textId="77777777" w:rsidR="000749C8" w:rsidRPr="00FD2691" w:rsidRDefault="000749C8" w:rsidP="00DD2511">
            <w:pPr>
              <w:jc w:val="center"/>
              <w:rPr>
                <w:rFonts w:cs="Arial"/>
                <w:szCs w:val="16"/>
                <w:lang w:eastAsia="en-US"/>
              </w:rPr>
            </w:pPr>
            <w:r>
              <w:rPr>
                <w:rFonts w:cs="Arial"/>
                <w:szCs w:val="16"/>
                <w:lang w:eastAsia="en-US"/>
              </w:rPr>
              <w:t>C</w:t>
            </w:r>
          </w:p>
        </w:tc>
        <w:tc>
          <w:tcPr>
            <w:tcW w:w="210" w:type="pct"/>
            <w:tcBorders>
              <w:top w:val="single" w:sz="6" w:space="0" w:color="006DB6"/>
              <w:bottom w:val="single" w:sz="6" w:space="0" w:color="006DB6"/>
            </w:tcBorders>
            <w:shd w:val="clear" w:color="auto" w:fill="auto"/>
            <w:tcMar>
              <w:top w:w="14" w:type="dxa"/>
            </w:tcMar>
          </w:tcPr>
          <w:p w14:paraId="7029BAB1" w14:textId="77777777" w:rsidR="000749C8" w:rsidRPr="00FD2691" w:rsidRDefault="000749C8" w:rsidP="00DD2511">
            <w:pPr>
              <w:jc w:val="center"/>
              <w:rPr>
                <w:rFonts w:cs="Arial"/>
                <w:szCs w:val="16"/>
                <w:lang w:eastAsia="en-US"/>
              </w:rPr>
            </w:pPr>
            <w:r>
              <w:rPr>
                <w:rFonts w:cs="Arial"/>
                <w:szCs w:val="16"/>
                <w:lang w:eastAsia="en-US"/>
              </w:rPr>
              <w:t>A</w:t>
            </w:r>
          </w:p>
        </w:tc>
        <w:tc>
          <w:tcPr>
            <w:tcW w:w="552" w:type="pct"/>
            <w:tcMar>
              <w:top w:w="14" w:type="dxa"/>
              <w:left w:w="288" w:type="dxa"/>
            </w:tcMar>
          </w:tcPr>
          <w:p w14:paraId="0BEBFE22" w14:textId="77777777" w:rsidR="000749C8" w:rsidRPr="00460F54" w:rsidRDefault="000749C8" w:rsidP="00DD2511">
            <w:pPr>
              <w:rPr>
                <w:rFonts w:cs="Arial"/>
                <w:b/>
                <w:szCs w:val="16"/>
                <w:lang w:eastAsia="en-US"/>
              </w:rPr>
            </w:pPr>
            <w:r w:rsidRPr="00460F54">
              <w:rPr>
                <w:rFonts w:cs="Arial"/>
                <w:b/>
                <w:szCs w:val="16"/>
                <w:lang w:eastAsia="en-US"/>
              </w:rPr>
              <w:t>B</w:t>
            </w:r>
          </w:p>
        </w:tc>
      </w:tr>
      <w:tr w:rsidR="000749C8" w:rsidRPr="00595782" w14:paraId="168B2294" w14:textId="77777777" w:rsidTr="000749C8">
        <w:trPr>
          <w:trHeight w:val="296"/>
        </w:trPr>
        <w:tc>
          <w:tcPr>
            <w:tcW w:w="377" w:type="pct"/>
            <w:tcMar>
              <w:top w:w="14" w:type="dxa"/>
            </w:tcMar>
          </w:tcPr>
          <w:p w14:paraId="2CBB4D85" w14:textId="766EBF40" w:rsidR="000749C8" w:rsidRPr="008A6B23" w:rsidRDefault="000749C8" w:rsidP="00DD2511">
            <w:pPr>
              <w:ind w:left="-45"/>
              <w:rPr>
                <w:rFonts w:cs="Arial"/>
                <w:szCs w:val="16"/>
                <w:lang w:eastAsia="en-US"/>
              </w:rPr>
            </w:pPr>
            <w:r w:rsidRPr="008A6B23">
              <w:rPr>
                <w:rFonts w:cs="Arial"/>
                <w:szCs w:val="16"/>
                <w:lang w:eastAsia="en-US"/>
              </w:rPr>
              <w:t>PI-25</w:t>
            </w:r>
          </w:p>
        </w:tc>
        <w:tc>
          <w:tcPr>
            <w:tcW w:w="3155" w:type="pct"/>
            <w:tcMar>
              <w:top w:w="14" w:type="dxa"/>
            </w:tcMar>
          </w:tcPr>
          <w:p w14:paraId="2899A0CA" w14:textId="5B016ACD" w:rsidR="000749C8" w:rsidRPr="008A6B23" w:rsidRDefault="009D4184" w:rsidP="00DD2511">
            <w:pPr>
              <w:ind w:left="-45"/>
              <w:rPr>
                <w:rFonts w:cs="Arial"/>
                <w:szCs w:val="16"/>
                <w:lang w:eastAsia="en-US"/>
              </w:rPr>
            </w:pPr>
            <w:r>
              <w:rPr>
                <w:rFonts w:cs="Arial"/>
                <w:szCs w:val="16"/>
                <w:lang w:eastAsia="en-US"/>
              </w:rPr>
              <w:t>Internal controls on non</w:t>
            </w:r>
            <w:r w:rsidR="000749C8" w:rsidRPr="008A6B23">
              <w:rPr>
                <w:rFonts w:cs="Arial"/>
                <w:szCs w:val="16"/>
                <w:lang w:eastAsia="en-US"/>
              </w:rPr>
              <w:t xml:space="preserve">salary expenditure </w:t>
            </w:r>
          </w:p>
        </w:tc>
        <w:tc>
          <w:tcPr>
            <w:tcW w:w="234" w:type="pct"/>
            <w:tcMar>
              <w:top w:w="14" w:type="dxa"/>
            </w:tcMar>
          </w:tcPr>
          <w:p w14:paraId="28BA2513" w14:textId="77777777" w:rsidR="000749C8" w:rsidRPr="00FD2691" w:rsidRDefault="000749C8" w:rsidP="00DD2511">
            <w:pPr>
              <w:jc w:val="center"/>
              <w:rPr>
                <w:rFonts w:cs="Arial"/>
                <w:szCs w:val="16"/>
                <w:lang w:eastAsia="en-US"/>
              </w:rPr>
            </w:pPr>
            <w:r>
              <w:rPr>
                <w:rFonts w:cs="Arial"/>
                <w:szCs w:val="16"/>
                <w:lang w:eastAsia="en-US"/>
              </w:rPr>
              <w:t>A</w:t>
            </w:r>
          </w:p>
        </w:tc>
        <w:tc>
          <w:tcPr>
            <w:tcW w:w="234" w:type="pct"/>
            <w:tcBorders>
              <w:top w:val="single" w:sz="6" w:space="0" w:color="006DB6"/>
            </w:tcBorders>
            <w:tcMar>
              <w:top w:w="14" w:type="dxa"/>
            </w:tcMar>
          </w:tcPr>
          <w:p w14:paraId="082D0C84" w14:textId="77777777" w:rsidR="000749C8" w:rsidRPr="00FD2691" w:rsidRDefault="000749C8" w:rsidP="00DD2511">
            <w:pPr>
              <w:jc w:val="center"/>
              <w:rPr>
                <w:rFonts w:cs="Arial"/>
                <w:szCs w:val="16"/>
                <w:lang w:eastAsia="en-US"/>
              </w:rPr>
            </w:pPr>
            <w:r>
              <w:rPr>
                <w:rFonts w:cs="Arial"/>
                <w:szCs w:val="16"/>
                <w:lang w:eastAsia="en-US"/>
              </w:rPr>
              <w:t>A</w:t>
            </w:r>
          </w:p>
        </w:tc>
        <w:tc>
          <w:tcPr>
            <w:tcW w:w="238" w:type="pct"/>
            <w:tcBorders>
              <w:top w:val="single" w:sz="6" w:space="0" w:color="006DB6"/>
            </w:tcBorders>
            <w:tcMar>
              <w:top w:w="14" w:type="dxa"/>
            </w:tcMar>
          </w:tcPr>
          <w:p w14:paraId="4345E9C9" w14:textId="77777777" w:rsidR="000749C8" w:rsidRPr="00FD2691" w:rsidRDefault="000749C8" w:rsidP="00DD2511">
            <w:pPr>
              <w:jc w:val="center"/>
              <w:rPr>
                <w:rFonts w:cs="Arial"/>
                <w:szCs w:val="16"/>
                <w:lang w:eastAsia="en-US"/>
              </w:rPr>
            </w:pPr>
            <w:r>
              <w:rPr>
                <w:rFonts w:cs="Arial"/>
                <w:szCs w:val="16"/>
                <w:lang w:eastAsia="en-US"/>
              </w:rPr>
              <w:t>B</w:t>
            </w:r>
          </w:p>
        </w:tc>
        <w:tc>
          <w:tcPr>
            <w:tcW w:w="210" w:type="pct"/>
            <w:tcBorders>
              <w:top w:val="single" w:sz="6" w:space="0" w:color="006DB6"/>
              <w:bottom w:val="single" w:sz="6" w:space="0" w:color="006DB6"/>
            </w:tcBorders>
            <w:shd w:val="clear" w:color="auto" w:fill="D5DCE4" w:themeFill="text2" w:themeFillTint="33"/>
            <w:tcMar>
              <w:top w:w="14" w:type="dxa"/>
            </w:tcMar>
          </w:tcPr>
          <w:p w14:paraId="6C26A8F2" w14:textId="77777777" w:rsidR="000749C8" w:rsidRPr="00FD2691" w:rsidRDefault="000749C8" w:rsidP="00DD2511">
            <w:pPr>
              <w:jc w:val="center"/>
              <w:rPr>
                <w:rFonts w:cs="Arial"/>
                <w:szCs w:val="16"/>
                <w:lang w:eastAsia="en-US"/>
              </w:rPr>
            </w:pPr>
          </w:p>
        </w:tc>
        <w:tc>
          <w:tcPr>
            <w:tcW w:w="552" w:type="pct"/>
            <w:tcMar>
              <w:top w:w="14" w:type="dxa"/>
              <w:left w:w="288" w:type="dxa"/>
            </w:tcMar>
          </w:tcPr>
          <w:p w14:paraId="222C3F75" w14:textId="77777777" w:rsidR="000749C8" w:rsidRPr="00460F54" w:rsidRDefault="000749C8" w:rsidP="00DD2511">
            <w:pPr>
              <w:rPr>
                <w:rFonts w:cs="Arial"/>
                <w:b/>
                <w:szCs w:val="16"/>
                <w:lang w:eastAsia="en-US"/>
              </w:rPr>
            </w:pPr>
            <w:r w:rsidRPr="00460F54">
              <w:rPr>
                <w:rFonts w:cs="Arial"/>
                <w:b/>
                <w:szCs w:val="16"/>
                <w:lang w:eastAsia="en-US"/>
              </w:rPr>
              <w:t>A</w:t>
            </w:r>
          </w:p>
        </w:tc>
      </w:tr>
      <w:tr w:rsidR="000749C8" w:rsidRPr="00595782" w14:paraId="086238DB" w14:textId="77777777" w:rsidTr="000749C8">
        <w:trPr>
          <w:trHeight w:val="296"/>
        </w:trPr>
        <w:tc>
          <w:tcPr>
            <w:tcW w:w="377" w:type="pct"/>
            <w:tcBorders>
              <w:bottom w:val="single" w:sz="6" w:space="0" w:color="006DB6"/>
            </w:tcBorders>
            <w:tcMar>
              <w:top w:w="14" w:type="dxa"/>
            </w:tcMar>
          </w:tcPr>
          <w:p w14:paraId="72BA4EA5" w14:textId="11ABFD01" w:rsidR="000749C8" w:rsidRPr="008A6B23" w:rsidRDefault="000749C8" w:rsidP="00DD2511">
            <w:pPr>
              <w:ind w:left="-45"/>
              <w:rPr>
                <w:rFonts w:cs="Arial"/>
                <w:szCs w:val="16"/>
                <w:lang w:eastAsia="en-US"/>
              </w:rPr>
            </w:pPr>
            <w:r>
              <w:rPr>
                <w:rFonts w:cs="Arial"/>
                <w:szCs w:val="16"/>
                <w:lang w:eastAsia="en-US"/>
              </w:rPr>
              <w:t>PI-26</w:t>
            </w:r>
          </w:p>
        </w:tc>
        <w:tc>
          <w:tcPr>
            <w:tcW w:w="3155" w:type="pct"/>
            <w:tcBorders>
              <w:bottom w:val="single" w:sz="6" w:space="0" w:color="006DB6"/>
            </w:tcBorders>
            <w:tcMar>
              <w:top w:w="14" w:type="dxa"/>
            </w:tcMar>
          </w:tcPr>
          <w:p w14:paraId="706809B2" w14:textId="5995786F" w:rsidR="000749C8" w:rsidRPr="008A6B23" w:rsidRDefault="009D4184" w:rsidP="00DD2511">
            <w:pPr>
              <w:ind w:left="-45"/>
              <w:rPr>
                <w:rFonts w:cs="Arial"/>
                <w:szCs w:val="16"/>
                <w:lang w:eastAsia="en-US"/>
              </w:rPr>
            </w:pPr>
            <w:r>
              <w:rPr>
                <w:rFonts w:cs="Arial"/>
                <w:szCs w:val="16"/>
                <w:lang w:eastAsia="en-US"/>
              </w:rPr>
              <w:t>I</w:t>
            </w:r>
            <w:r w:rsidR="000749C8" w:rsidRPr="008A6B23">
              <w:rPr>
                <w:rFonts w:cs="Arial"/>
                <w:szCs w:val="16"/>
                <w:lang w:eastAsia="en-US"/>
              </w:rPr>
              <w:t xml:space="preserve">nternal audit </w:t>
            </w:r>
          </w:p>
        </w:tc>
        <w:tc>
          <w:tcPr>
            <w:tcW w:w="234" w:type="pct"/>
            <w:tcBorders>
              <w:bottom w:val="single" w:sz="6" w:space="0" w:color="006DB6"/>
            </w:tcBorders>
            <w:tcMar>
              <w:top w:w="14" w:type="dxa"/>
            </w:tcMar>
          </w:tcPr>
          <w:p w14:paraId="6248F84F" w14:textId="77777777" w:rsidR="000749C8" w:rsidRPr="00FD2691" w:rsidRDefault="000749C8" w:rsidP="00DD2511">
            <w:pPr>
              <w:jc w:val="center"/>
              <w:rPr>
                <w:rFonts w:cs="Arial"/>
                <w:szCs w:val="16"/>
                <w:lang w:eastAsia="en-US"/>
              </w:rPr>
            </w:pPr>
            <w:r>
              <w:rPr>
                <w:rFonts w:cs="Arial"/>
                <w:szCs w:val="16"/>
                <w:lang w:eastAsia="en-US"/>
              </w:rPr>
              <w:t>A</w:t>
            </w:r>
          </w:p>
        </w:tc>
        <w:tc>
          <w:tcPr>
            <w:tcW w:w="234" w:type="pct"/>
            <w:tcBorders>
              <w:bottom w:val="single" w:sz="6" w:space="0" w:color="006DB6"/>
            </w:tcBorders>
            <w:tcMar>
              <w:top w:w="14" w:type="dxa"/>
            </w:tcMar>
          </w:tcPr>
          <w:p w14:paraId="246AD846" w14:textId="77777777" w:rsidR="000749C8" w:rsidRPr="00FD2691" w:rsidRDefault="000749C8" w:rsidP="00DD2511">
            <w:pPr>
              <w:jc w:val="center"/>
              <w:rPr>
                <w:rFonts w:cs="Arial"/>
                <w:szCs w:val="16"/>
                <w:lang w:eastAsia="en-US"/>
              </w:rPr>
            </w:pPr>
            <w:r>
              <w:rPr>
                <w:rFonts w:cs="Arial"/>
                <w:szCs w:val="16"/>
                <w:lang w:eastAsia="en-US"/>
              </w:rPr>
              <w:t>C</w:t>
            </w:r>
          </w:p>
        </w:tc>
        <w:tc>
          <w:tcPr>
            <w:tcW w:w="238" w:type="pct"/>
            <w:tcBorders>
              <w:bottom w:val="single" w:sz="6" w:space="0" w:color="006DB6"/>
            </w:tcBorders>
            <w:tcMar>
              <w:top w:w="14" w:type="dxa"/>
            </w:tcMar>
          </w:tcPr>
          <w:p w14:paraId="31F7CCA6" w14:textId="77777777" w:rsidR="000749C8" w:rsidRPr="00FD2691" w:rsidRDefault="000749C8" w:rsidP="00DD2511">
            <w:pPr>
              <w:jc w:val="center"/>
              <w:rPr>
                <w:rFonts w:cs="Arial"/>
                <w:szCs w:val="16"/>
                <w:lang w:eastAsia="en-US"/>
              </w:rPr>
            </w:pPr>
            <w:r>
              <w:rPr>
                <w:rFonts w:cs="Arial"/>
                <w:szCs w:val="16"/>
                <w:lang w:eastAsia="en-US"/>
              </w:rPr>
              <w:t>C</w:t>
            </w:r>
          </w:p>
        </w:tc>
        <w:tc>
          <w:tcPr>
            <w:tcW w:w="210" w:type="pct"/>
            <w:tcBorders>
              <w:top w:val="single" w:sz="6" w:space="0" w:color="006DB6"/>
              <w:bottom w:val="single" w:sz="6" w:space="0" w:color="006DB6"/>
            </w:tcBorders>
            <w:shd w:val="clear" w:color="auto" w:fill="auto"/>
            <w:tcMar>
              <w:top w:w="14" w:type="dxa"/>
            </w:tcMar>
          </w:tcPr>
          <w:p w14:paraId="0A72C045" w14:textId="77777777" w:rsidR="000749C8" w:rsidRPr="00FD2691" w:rsidRDefault="000749C8" w:rsidP="00DD2511">
            <w:pPr>
              <w:jc w:val="center"/>
              <w:rPr>
                <w:rFonts w:cs="Arial"/>
                <w:szCs w:val="16"/>
                <w:lang w:eastAsia="en-US"/>
              </w:rPr>
            </w:pPr>
            <w:r>
              <w:rPr>
                <w:rFonts w:cs="Arial"/>
                <w:szCs w:val="16"/>
                <w:lang w:eastAsia="en-US"/>
              </w:rPr>
              <w:t>B</w:t>
            </w:r>
          </w:p>
        </w:tc>
        <w:tc>
          <w:tcPr>
            <w:tcW w:w="552" w:type="pct"/>
            <w:tcBorders>
              <w:bottom w:val="single" w:sz="6" w:space="0" w:color="006DB6"/>
            </w:tcBorders>
            <w:tcMar>
              <w:top w:w="14" w:type="dxa"/>
              <w:left w:w="288" w:type="dxa"/>
            </w:tcMar>
          </w:tcPr>
          <w:p w14:paraId="6F46C0E0" w14:textId="77777777" w:rsidR="000749C8" w:rsidRPr="00460F54" w:rsidRDefault="000749C8" w:rsidP="00DD2511">
            <w:pPr>
              <w:rPr>
                <w:rFonts w:cs="Arial"/>
                <w:b/>
                <w:szCs w:val="16"/>
                <w:lang w:eastAsia="en-US"/>
              </w:rPr>
            </w:pPr>
            <w:r>
              <w:rPr>
                <w:rFonts w:cs="Arial"/>
                <w:b/>
                <w:szCs w:val="16"/>
                <w:lang w:eastAsia="en-US"/>
              </w:rPr>
              <w:t>C+</w:t>
            </w:r>
          </w:p>
        </w:tc>
      </w:tr>
    </w:tbl>
    <w:p w14:paraId="3B2BD731" w14:textId="77777777" w:rsidR="00C556B8" w:rsidRPr="00C556B8" w:rsidRDefault="00C556B8" w:rsidP="00C556B8">
      <w:pPr>
        <w:pStyle w:val="DefaultText"/>
      </w:pPr>
    </w:p>
    <w:p w14:paraId="1BEB3E08" w14:textId="16D6FEE9" w:rsidR="00C556B8" w:rsidRPr="004C3701" w:rsidRDefault="00C556B8" w:rsidP="00C556B8">
      <w:pPr>
        <w:pStyle w:val="DefaultText"/>
        <w:spacing w:line="276" w:lineRule="auto"/>
        <w:jc w:val="both"/>
        <w:rPr>
          <w:sz w:val="20"/>
        </w:rPr>
      </w:pPr>
      <w:r w:rsidRPr="004C3701">
        <w:rPr>
          <w:sz w:val="20"/>
        </w:rPr>
        <w:t xml:space="preserve">The Revenue Authority </w:t>
      </w:r>
      <w:r w:rsidR="00781FCF" w:rsidRPr="004C3701">
        <w:rPr>
          <w:sz w:val="20"/>
        </w:rPr>
        <w:t>website</w:t>
      </w:r>
      <w:r w:rsidR="00781FCF">
        <w:rPr>
          <w:sz w:val="20"/>
        </w:rPr>
        <w:t xml:space="preserve"> </w:t>
      </w:r>
      <w:r w:rsidR="006A4F04">
        <w:rPr>
          <w:sz w:val="20"/>
        </w:rPr>
        <w:t>provides</w:t>
      </w:r>
      <w:r w:rsidRPr="004C3701">
        <w:rPr>
          <w:sz w:val="20"/>
        </w:rPr>
        <w:t xml:space="preserve"> </w:t>
      </w:r>
      <w:r w:rsidR="006A4F04" w:rsidRPr="004C3701">
        <w:rPr>
          <w:sz w:val="20"/>
        </w:rPr>
        <w:t xml:space="preserve">access </w:t>
      </w:r>
      <w:r w:rsidR="00781FCF">
        <w:rPr>
          <w:sz w:val="20"/>
        </w:rPr>
        <w:t>for</w:t>
      </w:r>
      <w:r w:rsidR="006A4F04">
        <w:rPr>
          <w:sz w:val="20"/>
        </w:rPr>
        <w:t xml:space="preserve"> </w:t>
      </w:r>
      <w:r w:rsidRPr="004C3701">
        <w:rPr>
          <w:sz w:val="20"/>
        </w:rPr>
        <w:t>taxpayer</w:t>
      </w:r>
      <w:r w:rsidR="006A4F04">
        <w:rPr>
          <w:sz w:val="20"/>
        </w:rPr>
        <w:t>s</w:t>
      </w:r>
      <w:r w:rsidRPr="004C3701">
        <w:rPr>
          <w:sz w:val="20"/>
        </w:rPr>
        <w:t xml:space="preserve"> </w:t>
      </w:r>
      <w:r w:rsidR="00781FCF">
        <w:rPr>
          <w:sz w:val="20"/>
        </w:rPr>
        <w:t>to</w:t>
      </w:r>
      <w:r w:rsidRPr="004C3701">
        <w:rPr>
          <w:sz w:val="20"/>
        </w:rPr>
        <w:t xml:space="preserve"> laws, regulations, ministerial orders</w:t>
      </w:r>
      <w:r w:rsidR="00DD2511">
        <w:rPr>
          <w:sz w:val="20"/>
        </w:rPr>
        <w:t xml:space="preserve"> and Commissioner-G</w:t>
      </w:r>
      <w:r w:rsidR="00781FCF">
        <w:rPr>
          <w:sz w:val="20"/>
        </w:rPr>
        <w:t>eneral rules</w:t>
      </w:r>
      <w:r w:rsidR="00D84B5D">
        <w:rPr>
          <w:sz w:val="20"/>
        </w:rPr>
        <w:t xml:space="preserve">, and </w:t>
      </w:r>
      <w:r w:rsidRPr="004C3701">
        <w:rPr>
          <w:sz w:val="20"/>
        </w:rPr>
        <w:t xml:space="preserve">tax education campaigns are carried out regularly. </w:t>
      </w:r>
      <w:r>
        <w:rPr>
          <w:sz w:val="20"/>
        </w:rPr>
        <w:t xml:space="preserve"> </w:t>
      </w:r>
      <w:r w:rsidRPr="004C3701">
        <w:rPr>
          <w:sz w:val="20"/>
        </w:rPr>
        <w:t xml:space="preserve">Self-assessment is </w:t>
      </w:r>
      <w:r w:rsidR="00D84B5D">
        <w:rPr>
          <w:sz w:val="20"/>
        </w:rPr>
        <w:t xml:space="preserve">widely used for tax declaration. </w:t>
      </w:r>
      <w:r w:rsidRPr="004C3701">
        <w:rPr>
          <w:sz w:val="20"/>
        </w:rPr>
        <w:t xml:space="preserve"> </w:t>
      </w:r>
      <w:r w:rsidR="00B714DC">
        <w:rPr>
          <w:sz w:val="20"/>
        </w:rPr>
        <w:t>A</w:t>
      </w:r>
      <w:r w:rsidRPr="004C3701">
        <w:rPr>
          <w:sz w:val="20"/>
        </w:rPr>
        <w:t xml:space="preserve"> computerised risk-based taxpayer-profiling module </w:t>
      </w:r>
      <w:r w:rsidR="00B714DC">
        <w:rPr>
          <w:sz w:val="20"/>
        </w:rPr>
        <w:t xml:space="preserve">is used </w:t>
      </w:r>
      <w:r w:rsidRPr="004C3701">
        <w:rPr>
          <w:sz w:val="20"/>
        </w:rPr>
        <w:t xml:space="preserve">to identify and select taxpayers for audit and fraud investigations. </w:t>
      </w:r>
      <w:r w:rsidR="00DD2511">
        <w:rPr>
          <w:sz w:val="20"/>
        </w:rPr>
        <w:t xml:space="preserve"> A</w:t>
      </w:r>
      <w:r w:rsidRPr="004C3701">
        <w:rPr>
          <w:sz w:val="20"/>
        </w:rPr>
        <w:t>rrears over 1</w:t>
      </w:r>
      <w:r w:rsidR="00DD2511">
        <w:rPr>
          <w:sz w:val="20"/>
        </w:rPr>
        <w:t xml:space="preserve">0 years are written off by law </w:t>
      </w:r>
      <w:r w:rsidRPr="004C3701">
        <w:rPr>
          <w:sz w:val="20"/>
        </w:rPr>
        <w:t xml:space="preserve">(PI-19). </w:t>
      </w:r>
    </w:p>
    <w:p w14:paraId="2AB77A78" w14:textId="77777777" w:rsidR="00C556B8" w:rsidRPr="004C3701" w:rsidRDefault="00C556B8" w:rsidP="00C556B8">
      <w:pPr>
        <w:pStyle w:val="DefaultText"/>
        <w:spacing w:line="276" w:lineRule="auto"/>
        <w:jc w:val="both"/>
        <w:rPr>
          <w:sz w:val="20"/>
        </w:rPr>
      </w:pPr>
    </w:p>
    <w:p w14:paraId="513FCFA2" w14:textId="04DDD537" w:rsidR="00C556B8" w:rsidRPr="004C3701" w:rsidRDefault="00426EBC" w:rsidP="00C556B8">
      <w:pPr>
        <w:pStyle w:val="DefaultText"/>
        <w:spacing w:line="276" w:lineRule="auto"/>
        <w:jc w:val="both"/>
        <w:rPr>
          <w:sz w:val="20"/>
        </w:rPr>
      </w:pPr>
      <w:r>
        <w:rPr>
          <w:sz w:val="20"/>
        </w:rPr>
        <w:t>MoF receives</w:t>
      </w:r>
      <w:r w:rsidR="00C556B8" w:rsidRPr="004C3701">
        <w:rPr>
          <w:sz w:val="20"/>
        </w:rPr>
        <w:t xml:space="preserve"> daily and monthly reports on </w:t>
      </w:r>
      <w:r w:rsidR="00DD2511">
        <w:rPr>
          <w:sz w:val="20"/>
        </w:rPr>
        <w:t xml:space="preserve">all </w:t>
      </w:r>
      <w:r w:rsidR="00C556B8" w:rsidRPr="004C3701">
        <w:rPr>
          <w:sz w:val="20"/>
        </w:rPr>
        <w:t>domestic revenue collected and transferred to the Treasury Main Account</w:t>
      </w:r>
      <w:r w:rsidR="00781FCF">
        <w:rPr>
          <w:sz w:val="20"/>
        </w:rPr>
        <w:t xml:space="preserve"> (including t</w:t>
      </w:r>
      <w:r>
        <w:rPr>
          <w:sz w:val="20"/>
        </w:rPr>
        <w:t>ransfers from the R</w:t>
      </w:r>
      <w:r w:rsidR="00C556B8" w:rsidRPr="004C3701">
        <w:rPr>
          <w:sz w:val="20"/>
        </w:rPr>
        <w:t xml:space="preserve">evenue </w:t>
      </w:r>
      <w:r>
        <w:rPr>
          <w:sz w:val="20"/>
        </w:rPr>
        <w:t>Authority</w:t>
      </w:r>
      <w:r w:rsidR="00781FCF">
        <w:rPr>
          <w:sz w:val="20"/>
        </w:rPr>
        <w:t xml:space="preserve">).  </w:t>
      </w:r>
      <w:r w:rsidR="00C556B8" w:rsidRPr="004C3701">
        <w:rPr>
          <w:sz w:val="20"/>
        </w:rPr>
        <w:t>Monthly reconciliation</w:t>
      </w:r>
      <w:r w:rsidR="00B714DC">
        <w:rPr>
          <w:sz w:val="20"/>
        </w:rPr>
        <w:t>s are</w:t>
      </w:r>
      <w:r>
        <w:rPr>
          <w:sz w:val="20"/>
        </w:rPr>
        <w:t xml:space="preserve"> completed</w:t>
      </w:r>
      <w:r w:rsidR="00C556B8" w:rsidRPr="004C3701">
        <w:rPr>
          <w:sz w:val="20"/>
        </w:rPr>
        <w:t xml:space="preserve"> within two weeks </w:t>
      </w:r>
      <w:r w:rsidR="00132E41">
        <w:rPr>
          <w:sz w:val="20"/>
        </w:rPr>
        <w:t>o</w:t>
      </w:r>
      <w:r w:rsidR="00C556B8" w:rsidRPr="004C3701">
        <w:rPr>
          <w:sz w:val="20"/>
        </w:rPr>
        <w:t>f</w:t>
      </w:r>
      <w:r w:rsidR="00132E41">
        <w:rPr>
          <w:sz w:val="20"/>
        </w:rPr>
        <w:t xml:space="preserve"> the end </w:t>
      </w:r>
      <w:r w:rsidR="00C556B8" w:rsidRPr="004C3701">
        <w:rPr>
          <w:sz w:val="20"/>
        </w:rPr>
        <w:t>o</w:t>
      </w:r>
      <w:r w:rsidR="00132E41">
        <w:rPr>
          <w:sz w:val="20"/>
        </w:rPr>
        <w:t xml:space="preserve">f </w:t>
      </w:r>
      <w:r w:rsidR="00C556B8" w:rsidRPr="004C3701">
        <w:rPr>
          <w:sz w:val="20"/>
        </w:rPr>
        <w:t>e</w:t>
      </w:r>
      <w:r w:rsidR="00132E41">
        <w:rPr>
          <w:sz w:val="20"/>
        </w:rPr>
        <w:t>ach</w:t>
      </w:r>
      <w:r w:rsidR="00C556B8" w:rsidRPr="004C3701">
        <w:rPr>
          <w:sz w:val="20"/>
        </w:rPr>
        <w:t xml:space="preserve"> month</w:t>
      </w:r>
      <w:r w:rsidR="00132E41">
        <w:rPr>
          <w:sz w:val="20"/>
        </w:rPr>
        <w:t xml:space="preserve"> </w:t>
      </w:r>
      <w:r w:rsidR="009C59EE" w:rsidRPr="004C3701">
        <w:rPr>
          <w:sz w:val="20"/>
        </w:rPr>
        <w:t>(PI-20)</w:t>
      </w:r>
      <w:r w:rsidR="00132E41">
        <w:rPr>
          <w:sz w:val="20"/>
        </w:rPr>
        <w:t>.</w:t>
      </w:r>
      <w:r w:rsidR="00781FCF">
        <w:rPr>
          <w:sz w:val="20"/>
        </w:rPr>
        <w:t xml:space="preserve">  T</w:t>
      </w:r>
      <w:r w:rsidR="00C556B8" w:rsidRPr="004C3701">
        <w:rPr>
          <w:sz w:val="20"/>
        </w:rPr>
        <w:t xml:space="preserve">he </w:t>
      </w:r>
      <w:r w:rsidR="00CD510E">
        <w:rPr>
          <w:sz w:val="20"/>
        </w:rPr>
        <w:t>TSA</w:t>
      </w:r>
      <w:r w:rsidR="00C556B8" w:rsidRPr="004C3701">
        <w:rPr>
          <w:sz w:val="20"/>
        </w:rPr>
        <w:t xml:space="preserve"> </w:t>
      </w:r>
      <w:r w:rsidR="00DD2511">
        <w:rPr>
          <w:sz w:val="20"/>
        </w:rPr>
        <w:t>allows</w:t>
      </w:r>
      <w:r w:rsidR="00C556B8" w:rsidRPr="004C3701">
        <w:rPr>
          <w:sz w:val="20"/>
        </w:rPr>
        <w:t xml:space="preserve"> central government cash balances </w:t>
      </w:r>
      <w:r w:rsidR="009C59EE">
        <w:rPr>
          <w:sz w:val="20"/>
        </w:rPr>
        <w:t>– including</w:t>
      </w:r>
      <w:r w:rsidR="009C59EE" w:rsidRPr="004C3701">
        <w:rPr>
          <w:sz w:val="20"/>
        </w:rPr>
        <w:t xml:space="preserve"> donor project bank accounts </w:t>
      </w:r>
      <w:r w:rsidR="009C59EE">
        <w:rPr>
          <w:sz w:val="20"/>
        </w:rPr>
        <w:t xml:space="preserve">– </w:t>
      </w:r>
      <w:r w:rsidR="006A4F04">
        <w:rPr>
          <w:sz w:val="20"/>
        </w:rPr>
        <w:t>to be consolidated daily</w:t>
      </w:r>
      <w:r w:rsidR="00C556B8" w:rsidRPr="004C3701">
        <w:rPr>
          <w:sz w:val="20"/>
        </w:rPr>
        <w:t>.  MDAs and DCs prepare annual cash flow forecast</w:t>
      </w:r>
      <w:r w:rsidR="00D84B5D">
        <w:rPr>
          <w:sz w:val="20"/>
        </w:rPr>
        <w:t>s</w:t>
      </w:r>
      <w:r w:rsidR="00C556B8" w:rsidRPr="004C3701">
        <w:rPr>
          <w:sz w:val="20"/>
        </w:rPr>
        <w:t>, updated quarterly based on actual cash flow</w:t>
      </w:r>
      <w:r>
        <w:rPr>
          <w:sz w:val="20"/>
        </w:rPr>
        <w:t>s, and consolidated by MoF</w:t>
      </w:r>
      <w:r w:rsidR="00C556B8" w:rsidRPr="004C3701">
        <w:rPr>
          <w:sz w:val="20"/>
        </w:rPr>
        <w:t xml:space="preserve">.  </w:t>
      </w:r>
      <w:r w:rsidR="006A4F04">
        <w:rPr>
          <w:sz w:val="20"/>
        </w:rPr>
        <w:t>The Minister</w:t>
      </w:r>
      <w:r w:rsidR="006A4F04" w:rsidRPr="004C3701">
        <w:rPr>
          <w:sz w:val="20"/>
        </w:rPr>
        <w:t xml:space="preserve"> </w:t>
      </w:r>
      <w:r w:rsidR="006A4F04">
        <w:rPr>
          <w:sz w:val="20"/>
        </w:rPr>
        <w:t>issues</w:t>
      </w:r>
      <w:r w:rsidR="00C556B8" w:rsidRPr="004C3701">
        <w:rPr>
          <w:sz w:val="20"/>
        </w:rPr>
        <w:t xml:space="preserve"> quarterly expenditure commitment cei</w:t>
      </w:r>
      <w:r>
        <w:rPr>
          <w:sz w:val="20"/>
        </w:rPr>
        <w:t>lings</w:t>
      </w:r>
      <w:r w:rsidR="006A4F04">
        <w:rPr>
          <w:sz w:val="20"/>
        </w:rPr>
        <w:t xml:space="preserve"> which are </w:t>
      </w:r>
      <w:r w:rsidR="00567DC5">
        <w:rPr>
          <w:sz w:val="20"/>
        </w:rPr>
        <w:t>loaded i</w:t>
      </w:r>
      <w:r w:rsidR="00C556B8" w:rsidRPr="004C3701">
        <w:rPr>
          <w:sz w:val="20"/>
        </w:rPr>
        <w:t xml:space="preserve">nto </w:t>
      </w:r>
      <w:r w:rsidR="006A4F04">
        <w:rPr>
          <w:sz w:val="20"/>
        </w:rPr>
        <w:t xml:space="preserve">the </w:t>
      </w:r>
      <w:r w:rsidR="00C556B8" w:rsidRPr="004C3701">
        <w:rPr>
          <w:sz w:val="20"/>
        </w:rPr>
        <w:t>IFMIS for expenditure commitments and p</w:t>
      </w:r>
      <w:r w:rsidR="00FF52A3">
        <w:rPr>
          <w:sz w:val="20"/>
        </w:rPr>
        <w:t>ayments.  Budget reallocations o</w:t>
      </w:r>
      <w:r w:rsidR="00C556B8" w:rsidRPr="004C3701">
        <w:rPr>
          <w:sz w:val="20"/>
        </w:rPr>
        <w:t>n</w:t>
      </w:r>
      <w:r w:rsidR="00FF52A3">
        <w:rPr>
          <w:sz w:val="20"/>
        </w:rPr>
        <w:t>ly take place</w:t>
      </w:r>
      <w:r w:rsidR="00C556B8" w:rsidRPr="004C3701">
        <w:rPr>
          <w:sz w:val="20"/>
        </w:rPr>
        <w:t xml:space="preserve"> </w:t>
      </w:r>
      <w:r w:rsidR="00D84B5D">
        <w:rPr>
          <w:sz w:val="20"/>
        </w:rPr>
        <w:t>six</w:t>
      </w:r>
      <w:r w:rsidR="00C556B8" w:rsidRPr="004C3701">
        <w:rPr>
          <w:sz w:val="20"/>
        </w:rPr>
        <w:t xml:space="preserve"> months </w:t>
      </w:r>
      <w:r w:rsidR="00D84B5D">
        <w:rPr>
          <w:sz w:val="20"/>
        </w:rPr>
        <w:t>after</w:t>
      </w:r>
      <w:r w:rsidR="00FF52A3">
        <w:rPr>
          <w:sz w:val="20"/>
        </w:rPr>
        <w:t xml:space="preserve"> the</w:t>
      </w:r>
      <w:r w:rsidR="006A4F04">
        <w:rPr>
          <w:sz w:val="20"/>
        </w:rPr>
        <w:t xml:space="preserve"> original budget</w:t>
      </w:r>
      <w:r w:rsidR="00FF52A3">
        <w:rPr>
          <w:sz w:val="20"/>
        </w:rPr>
        <w:t xml:space="preserve"> is approved</w:t>
      </w:r>
      <w:r w:rsidR="006A4F04">
        <w:rPr>
          <w:sz w:val="20"/>
        </w:rPr>
        <w:t>, when u</w:t>
      </w:r>
      <w:r w:rsidR="00C556B8" w:rsidRPr="004C3701">
        <w:rPr>
          <w:sz w:val="20"/>
        </w:rPr>
        <w:t xml:space="preserve">p to 20% </w:t>
      </w:r>
      <w:proofErr w:type="spellStart"/>
      <w:r w:rsidR="00FF52A3">
        <w:rPr>
          <w:sz w:val="20"/>
        </w:rPr>
        <w:t>virement</w:t>
      </w:r>
      <w:proofErr w:type="spellEnd"/>
      <w:r w:rsidR="00C556B8" w:rsidRPr="004C3701">
        <w:rPr>
          <w:sz w:val="20"/>
        </w:rPr>
        <w:t xml:space="preserve"> within the same budget entity is </w:t>
      </w:r>
      <w:r w:rsidR="00DD2511">
        <w:rPr>
          <w:sz w:val="20"/>
        </w:rPr>
        <w:t>allowed; these are reported to P</w:t>
      </w:r>
      <w:r w:rsidR="00C556B8" w:rsidRPr="004C3701">
        <w:rPr>
          <w:sz w:val="20"/>
        </w:rPr>
        <w:t>arlia</w:t>
      </w:r>
      <w:r w:rsidR="00567DC5">
        <w:rPr>
          <w:sz w:val="20"/>
        </w:rPr>
        <w:t>ment (PI-21).</w:t>
      </w:r>
      <w:r w:rsidR="000749C8">
        <w:rPr>
          <w:sz w:val="20"/>
        </w:rPr>
        <w:t xml:space="preserve">  Expenditure arrears are reported at the end of the year, and have been less than 10% of total expenditure in each of the last three FYs (PI-22). </w:t>
      </w:r>
    </w:p>
    <w:p w14:paraId="180D6214" w14:textId="77777777" w:rsidR="00C556B8" w:rsidRDefault="00C556B8" w:rsidP="00C556B8">
      <w:pPr>
        <w:pStyle w:val="DefaultText"/>
        <w:spacing w:line="276" w:lineRule="auto"/>
        <w:jc w:val="both"/>
        <w:rPr>
          <w:sz w:val="20"/>
          <w:highlight w:val="yellow"/>
        </w:rPr>
      </w:pPr>
    </w:p>
    <w:p w14:paraId="54786624" w14:textId="1F721FB2" w:rsidR="00C556B8" w:rsidRPr="00B36D9D" w:rsidRDefault="00C556B8" w:rsidP="00C556B8">
      <w:pPr>
        <w:pStyle w:val="table-text"/>
        <w:spacing w:line="276" w:lineRule="auto"/>
        <w:jc w:val="both"/>
        <w:rPr>
          <w:rFonts w:cs="Arial"/>
          <w:sz w:val="20"/>
          <w:szCs w:val="20"/>
        </w:rPr>
      </w:pPr>
      <w:r w:rsidRPr="00B36D9D">
        <w:rPr>
          <w:rFonts w:cs="Arial"/>
          <w:sz w:val="20"/>
          <w:szCs w:val="20"/>
        </w:rPr>
        <w:t>All personnel records and</w:t>
      </w:r>
      <w:r w:rsidR="006A4F04">
        <w:rPr>
          <w:rFonts w:cs="Arial"/>
          <w:sz w:val="20"/>
          <w:szCs w:val="20"/>
        </w:rPr>
        <w:t xml:space="preserve"> payroll data is reconciled monthly</w:t>
      </w:r>
      <w:r w:rsidRPr="00B36D9D">
        <w:rPr>
          <w:rFonts w:cs="Arial"/>
          <w:sz w:val="20"/>
          <w:szCs w:val="20"/>
        </w:rPr>
        <w:t xml:space="preserve">, </w:t>
      </w:r>
      <w:r w:rsidRPr="00B36D9D">
        <w:rPr>
          <w:rFonts w:cs="Arial"/>
          <w:color w:val="000000" w:themeColor="text1"/>
          <w:sz w:val="20"/>
          <w:szCs w:val="20"/>
        </w:rPr>
        <w:t xml:space="preserve">and there are strict controls </w:t>
      </w:r>
      <w:r w:rsidR="006A4F04">
        <w:rPr>
          <w:rFonts w:cs="Arial"/>
          <w:color w:val="000000" w:themeColor="text1"/>
          <w:sz w:val="20"/>
          <w:szCs w:val="20"/>
        </w:rPr>
        <w:t>in</w:t>
      </w:r>
      <w:r w:rsidRPr="00B36D9D">
        <w:rPr>
          <w:rFonts w:cs="Arial"/>
          <w:color w:val="000000" w:themeColor="text1"/>
          <w:sz w:val="20"/>
          <w:szCs w:val="20"/>
        </w:rPr>
        <w:t xml:space="preserve"> </w:t>
      </w:r>
      <w:r w:rsidR="00426EBC">
        <w:rPr>
          <w:rFonts w:cs="Arial"/>
          <w:color w:val="000000" w:themeColor="text1"/>
          <w:sz w:val="20"/>
          <w:szCs w:val="20"/>
        </w:rPr>
        <w:t>the system</w:t>
      </w:r>
      <w:r w:rsidRPr="00B36D9D">
        <w:rPr>
          <w:rFonts w:cs="Arial"/>
          <w:color w:val="000000" w:themeColor="text1"/>
          <w:sz w:val="20"/>
          <w:szCs w:val="20"/>
        </w:rPr>
        <w:t>, including links to budget approvals.</w:t>
      </w:r>
      <w:r>
        <w:rPr>
          <w:rFonts w:cs="Arial"/>
          <w:sz w:val="20"/>
          <w:szCs w:val="20"/>
        </w:rPr>
        <w:t xml:space="preserve"> </w:t>
      </w:r>
      <w:r w:rsidR="00426EBC">
        <w:rPr>
          <w:rFonts w:cs="Arial"/>
          <w:sz w:val="20"/>
          <w:szCs w:val="20"/>
        </w:rPr>
        <w:t xml:space="preserve"> </w:t>
      </w:r>
      <w:r w:rsidRPr="00B36D9D">
        <w:rPr>
          <w:rFonts w:cs="Arial"/>
          <w:sz w:val="20"/>
          <w:szCs w:val="20"/>
        </w:rPr>
        <w:t>Authority to change records and payroll is restricted</w:t>
      </w:r>
      <w:r>
        <w:rPr>
          <w:rFonts w:cs="Arial"/>
          <w:sz w:val="20"/>
          <w:szCs w:val="20"/>
        </w:rPr>
        <w:t>, and when</w:t>
      </w:r>
      <w:r w:rsidRPr="00B36D9D">
        <w:rPr>
          <w:rFonts w:cs="Arial"/>
          <w:sz w:val="20"/>
          <w:szCs w:val="20"/>
        </w:rPr>
        <w:t xml:space="preserve"> changes are made</w:t>
      </w:r>
      <w:r>
        <w:rPr>
          <w:rFonts w:cs="Arial"/>
          <w:sz w:val="20"/>
          <w:szCs w:val="20"/>
        </w:rPr>
        <w:t>, they are usually</w:t>
      </w:r>
      <w:r w:rsidRPr="00B36D9D">
        <w:rPr>
          <w:rFonts w:cs="Arial"/>
          <w:sz w:val="20"/>
          <w:szCs w:val="20"/>
        </w:rPr>
        <w:t xml:space="preserve"> in time for the next payroll</w:t>
      </w:r>
      <w:r>
        <w:rPr>
          <w:rFonts w:cs="Arial"/>
          <w:sz w:val="20"/>
          <w:szCs w:val="20"/>
        </w:rPr>
        <w:t>,</w:t>
      </w:r>
      <w:r w:rsidRPr="00B36D9D">
        <w:rPr>
          <w:rFonts w:cs="Arial"/>
          <w:sz w:val="20"/>
          <w:szCs w:val="20"/>
        </w:rPr>
        <w:t xml:space="preserve"> a</w:t>
      </w:r>
      <w:r>
        <w:rPr>
          <w:rFonts w:cs="Arial"/>
          <w:sz w:val="20"/>
          <w:szCs w:val="20"/>
        </w:rPr>
        <w:t>s</w:t>
      </w:r>
      <w:r w:rsidRPr="00B36D9D">
        <w:rPr>
          <w:rFonts w:cs="Arial"/>
          <w:sz w:val="20"/>
          <w:szCs w:val="20"/>
        </w:rPr>
        <w:t xml:space="preserve"> retroactive payments are very limited</w:t>
      </w:r>
      <w:r>
        <w:rPr>
          <w:rFonts w:cs="Arial"/>
          <w:sz w:val="20"/>
          <w:szCs w:val="20"/>
        </w:rPr>
        <w:t>.</w:t>
      </w:r>
      <w:r w:rsidRPr="00B03281">
        <w:rPr>
          <w:rFonts w:cs="Arial"/>
          <w:sz w:val="20"/>
          <w:szCs w:val="20"/>
        </w:rPr>
        <w:t xml:space="preserve"> </w:t>
      </w:r>
    </w:p>
    <w:p w14:paraId="29F35ADB" w14:textId="77777777" w:rsidR="00C556B8" w:rsidRPr="009F02A4" w:rsidRDefault="00C556B8" w:rsidP="00C556B8">
      <w:pPr>
        <w:widowControl w:val="0"/>
        <w:autoSpaceDE w:val="0"/>
        <w:autoSpaceDN w:val="0"/>
        <w:adjustRightInd w:val="0"/>
        <w:spacing w:line="276" w:lineRule="auto"/>
        <w:rPr>
          <w:rFonts w:cs="Arial"/>
          <w:sz w:val="20"/>
          <w:szCs w:val="20"/>
          <w:highlight w:val="cyan"/>
          <w:lang w:val="en-US"/>
        </w:rPr>
      </w:pPr>
    </w:p>
    <w:p w14:paraId="77F14CFC" w14:textId="2536EA2C" w:rsidR="00C556B8" w:rsidRPr="00A522E8" w:rsidRDefault="00C556B8" w:rsidP="00C556B8">
      <w:pPr>
        <w:autoSpaceDE w:val="0"/>
        <w:autoSpaceDN w:val="0"/>
        <w:adjustRightInd w:val="0"/>
        <w:spacing w:line="276" w:lineRule="auto"/>
        <w:jc w:val="both"/>
        <w:rPr>
          <w:rFonts w:cs="Arial"/>
          <w:sz w:val="20"/>
          <w:szCs w:val="20"/>
        </w:rPr>
      </w:pPr>
      <w:r w:rsidRPr="00A522E8">
        <w:rPr>
          <w:rFonts w:cs="Arial"/>
          <w:sz w:val="20"/>
          <w:szCs w:val="20"/>
        </w:rPr>
        <w:t xml:space="preserve">The </w:t>
      </w:r>
      <w:r w:rsidR="00426EBC">
        <w:rPr>
          <w:rFonts w:cs="Arial"/>
          <w:sz w:val="20"/>
          <w:szCs w:val="20"/>
        </w:rPr>
        <w:t>Public Procurement Authority (</w:t>
      </w:r>
      <w:r w:rsidRPr="00A522E8">
        <w:rPr>
          <w:rFonts w:cs="Arial"/>
          <w:sz w:val="20"/>
          <w:szCs w:val="20"/>
        </w:rPr>
        <w:t xml:space="preserve">PPA) fulfils a </w:t>
      </w:r>
      <w:r w:rsidR="00567DC5">
        <w:rPr>
          <w:rFonts w:eastAsiaTheme="minorHAnsi" w:cs="Arial"/>
          <w:sz w:val="20"/>
          <w:szCs w:val="20"/>
          <w:lang w:val="en-US" w:eastAsia="en-US"/>
        </w:rPr>
        <w:t>monitoring and capacity-</w:t>
      </w:r>
      <w:r w:rsidRPr="00A522E8">
        <w:rPr>
          <w:rFonts w:eastAsiaTheme="minorHAnsi" w:cs="Arial"/>
          <w:sz w:val="20"/>
          <w:szCs w:val="20"/>
          <w:lang w:val="en-US" w:eastAsia="en-US"/>
        </w:rPr>
        <w:t>building role in a decentralized procur</w:t>
      </w:r>
      <w:r w:rsidR="00426EBC">
        <w:rPr>
          <w:rFonts w:eastAsiaTheme="minorHAnsi" w:cs="Arial"/>
          <w:sz w:val="20"/>
          <w:szCs w:val="20"/>
          <w:lang w:val="en-US" w:eastAsia="en-US"/>
        </w:rPr>
        <w:t xml:space="preserve">ement system. </w:t>
      </w:r>
      <w:r w:rsidR="00132E41">
        <w:rPr>
          <w:rFonts w:cs="Arial"/>
          <w:sz w:val="20"/>
          <w:szCs w:val="20"/>
        </w:rPr>
        <w:t xml:space="preserve"> </w:t>
      </w:r>
      <w:r w:rsidR="00CD510E">
        <w:rPr>
          <w:rFonts w:cs="Arial"/>
          <w:sz w:val="20"/>
          <w:szCs w:val="20"/>
        </w:rPr>
        <w:t>P</w:t>
      </w:r>
      <w:r w:rsidRPr="00A522E8">
        <w:rPr>
          <w:rFonts w:cs="Arial"/>
          <w:sz w:val="20"/>
          <w:szCs w:val="20"/>
        </w:rPr>
        <w:t xml:space="preserve">rocurement plans are published on the </w:t>
      </w:r>
      <w:r w:rsidR="00B714DC">
        <w:rPr>
          <w:rFonts w:cs="Arial"/>
          <w:sz w:val="20"/>
          <w:szCs w:val="20"/>
        </w:rPr>
        <w:t>website</w:t>
      </w:r>
      <w:r w:rsidRPr="00A522E8">
        <w:rPr>
          <w:rFonts w:cs="Arial"/>
          <w:sz w:val="20"/>
          <w:szCs w:val="20"/>
        </w:rPr>
        <w:t xml:space="preserve"> o</w:t>
      </w:r>
      <w:r w:rsidR="00426EBC">
        <w:rPr>
          <w:rFonts w:cs="Arial"/>
          <w:sz w:val="20"/>
          <w:szCs w:val="20"/>
        </w:rPr>
        <w:t xml:space="preserve">f the procuring entity and the </w:t>
      </w:r>
      <w:r w:rsidR="006A4F04">
        <w:rPr>
          <w:rFonts w:cs="Arial"/>
          <w:sz w:val="20"/>
          <w:szCs w:val="20"/>
        </w:rPr>
        <w:t>PPA, as are the results of</w:t>
      </w:r>
      <w:r w:rsidRPr="00A522E8">
        <w:rPr>
          <w:rFonts w:cs="Arial"/>
          <w:sz w:val="20"/>
          <w:szCs w:val="20"/>
        </w:rPr>
        <w:t xml:space="preserve"> competitive tendering process</w:t>
      </w:r>
      <w:r w:rsidR="006A4F04">
        <w:rPr>
          <w:rFonts w:cs="Arial"/>
          <w:sz w:val="20"/>
          <w:szCs w:val="20"/>
        </w:rPr>
        <w:t>es</w:t>
      </w:r>
      <w:r w:rsidRPr="00A522E8">
        <w:rPr>
          <w:rFonts w:cs="Arial"/>
          <w:sz w:val="20"/>
          <w:szCs w:val="20"/>
        </w:rPr>
        <w:t xml:space="preserve"> and contract award</w:t>
      </w:r>
      <w:r w:rsidR="006A4F04">
        <w:rPr>
          <w:rFonts w:cs="Arial"/>
          <w:sz w:val="20"/>
          <w:szCs w:val="20"/>
        </w:rPr>
        <w:t>s</w:t>
      </w:r>
      <w:r w:rsidRPr="00A522E8">
        <w:rPr>
          <w:rFonts w:cs="Arial"/>
          <w:sz w:val="20"/>
          <w:szCs w:val="20"/>
        </w:rPr>
        <w:t>.</w:t>
      </w:r>
      <w:r w:rsidR="006A4F04">
        <w:rPr>
          <w:rFonts w:cs="Arial"/>
          <w:sz w:val="20"/>
          <w:szCs w:val="20"/>
        </w:rPr>
        <w:t xml:space="preserve">  </w:t>
      </w:r>
      <w:r w:rsidR="00FF52A3">
        <w:rPr>
          <w:rFonts w:cs="Arial"/>
          <w:sz w:val="20"/>
          <w:szCs w:val="20"/>
        </w:rPr>
        <w:t>T</w:t>
      </w:r>
      <w:r w:rsidR="00426EBC">
        <w:rPr>
          <w:rFonts w:cs="Arial"/>
          <w:sz w:val="20"/>
          <w:szCs w:val="20"/>
        </w:rPr>
        <w:t xml:space="preserve">he </w:t>
      </w:r>
      <w:r w:rsidR="00FF52A3">
        <w:rPr>
          <w:rFonts w:cs="Arial"/>
          <w:sz w:val="20"/>
          <w:szCs w:val="20"/>
        </w:rPr>
        <w:t>PPA’s Annual R</w:t>
      </w:r>
      <w:r w:rsidRPr="00A522E8">
        <w:rPr>
          <w:rFonts w:cs="Arial"/>
          <w:sz w:val="20"/>
          <w:szCs w:val="20"/>
        </w:rPr>
        <w:t xml:space="preserve">eports for </w:t>
      </w:r>
      <w:r w:rsidR="006A4F04">
        <w:rPr>
          <w:rFonts w:cs="Arial"/>
          <w:sz w:val="20"/>
          <w:szCs w:val="20"/>
        </w:rPr>
        <w:t>the last two FYs</w:t>
      </w:r>
      <w:r w:rsidRPr="00A522E8">
        <w:rPr>
          <w:rFonts w:cs="Arial"/>
          <w:sz w:val="20"/>
          <w:szCs w:val="20"/>
        </w:rPr>
        <w:t xml:space="preserve"> suggest there are</w:t>
      </w:r>
      <w:r w:rsidR="00FF52A3">
        <w:rPr>
          <w:rFonts w:cs="Arial"/>
          <w:sz w:val="20"/>
          <w:szCs w:val="20"/>
        </w:rPr>
        <w:t xml:space="preserve"> problems with procuring entities meeting</w:t>
      </w:r>
      <w:r w:rsidRPr="00A522E8">
        <w:rPr>
          <w:rFonts w:cs="Arial"/>
          <w:sz w:val="20"/>
          <w:szCs w:val="20"/>
        </w:rPr>
        <w:t xml:space="preserve"> the legal requirements</w:t>
      </w:r>
      <w:r w:rsidR="006A4F04">
        <w:rPr>
          <w:rFonts w:cs="Arial"/>
          <w:sz w:val="20"/>
        </w:rPr>
        <w:t xml:space="preserve"> (e.g. only 15%</w:t>
      </w:r>
      <w:r w:rsidR="00FF52A3">
        <w:rPr>
          <w:rFonts w:cs="Arial"/>
          <w:sz w:val="20"/>
        </w:rPr>
        <w:t xml:space="preserve"> report </w:t>
      </w:r>
      <w:r w:rsidRPr="00A522E8">
        <w:rPr>
          <w:rFonts w:cs="Arial"/>
          <w:sz w:val="20"/>
        </w:rPr>
        <w:t xml:space="preserve">procurement outcomes </w:t>
      </w:r>
      <w:r w:rsidR="006A4F04">
        <w:rPr>
          <w:rFonts w:cs="Arial"/>
          <w:sz w:val="20"/>
        </w:rPr>
        <w:t>on</w:t>
      </w:r>
      <w:r w:rsidRPr="00A522E8">
        <w:rPr>
          <w:rFonts w:cs="Arial"/>
          <w:sz w:val="20"/>
        </w:rPr>
        <w:t xml:space="preserve"> their websites</w:t>
      </w:r>
      <w:r w:rsidR="006A4F04">
        <w:rPr>
          <w:rFonts w:cs="Arial"/>
          <w:sz w:val="20"/>
        </w:rPr>
        <w:t>)</w:t>
      </w:r>
      <w:r w:rsidRPr="00A522E8">
        <w:rPr>
          <w:rFonts w:cs="Arial"/>
          <w:sz w:val="20"/>
          <w:szCs w:val="20"/>
        </w:rPr>
        <w:t xml:space="preserve">. </w:t>
      </w:r>
    </w:p>
    <w:p w14:paraId="7F23600C" w14:textId="77777777" w:rsidR="00C556B8" w:rsidRPr="002A297B" w:rsidRDefault="00C556B8" w:rsidP="00C556B8">
      <w:pPr>
        <w:widowControl w:val="0"/>
        <w:autoSpaceDE w:val="0"/>
        <w:autoSpaceDN w:val="0"/>
        <w:adjustRightInd w:val="0"/>
        <w:spacing w:line="276" w:lineRule="auto"/>
        <w:rPr>
          <w:rFonts w:cs="Arial"/>
          <w:sz w:val="20"/>
          <w:szCs w:val="20"/>
          <w:highlight w:val="cyan"/>
          <w:lang w:val="en-US"/>
        </w:rPr>
      </w:pPr>
    </w:p>
    <w:p w14:paraId="0B2899FC" w14:textId="0E831FFC" w:rsidR="00C556B8" w:rsidRPr="00F83F01" w:rsidRDefault="009C59EE" w:rsidP="00C556B8">
      <w:pPr>
        <w:pStyle w:val="StyleDefault11ptAutoJustifiedAfter6pt"/>
        <w:spacing w:before="0" w:after="0" w:line="276" w:lineRule="auto"/>
        <w:rPr>
          <w:rFonts w:ascii="Arial" w:hAnsi="Arial" w:cs="Arial"/>
          <w:sz w:val="20"/>
        </w:rPr>
      </w:pPr>
      <w:r>
        <w:rPr>
          <w:rFonts w:ascii="Arial" w:hAnsi="Arial" w:cs="Arial"/>
          <w:sz w:val="20"/>
        </w:rPr>
        <w:t>E</w:t>
      </w:r>
      <w:r w:rsidR="00C556B8" w:rsidRPr="00F83F01">
        <w:rPr>
          <w:rFonts w:ascii="Arial" w:hAnsi="Arial" w:cs="Arial"/>
          <w:sz w:val="20"/>
        </w:rPr>
        <w:t>xpenditure commitment controls effectively limit commitments to actual cash availability and approved budget allocations</w:t>
      </w:r>
      <w:r w:rsidR="00426EBC">
        <w:rPr>
          <w:rFonts w:ascii="Arial" w:hAnsi="Arial" w:cs="Arial"/>
          <w:sz w:val="20"/>
        </w:rPr>
        <w:t xml:space="preserve">.  The </w:t>
      </w:r>
      <w:r w:rsidR="00C556B8" w:rsidRPr="00F83F01">
        <w:rPr>
          <w:rFonts w:ascii="Arial" w:hAnsi="Arial" w:cs="Arial"/>
          <w:sz w:val="20"/>
        </w:rPr>
        <w:t>B</w:t>
      </w:r>
      <w:r w:rsidR="00426EBC">
        <w:rPr>
          <w:rFonts w:ascii="Arial" w:hAnsi="Arial" w:cs="Arial"/>
          <w:sz w:val="20"/>
        </w:rPr>
        <w:t xml:space="preserve">udget </w:t>
      </w:r>
      <w:r w:rsidR="00C556B8" w:rsidRPr="00F83F01">
        <w:rPr>
          <w:rFonts w:ascii="Arial" w:hAnsi="Arial" w:cs="Arial"/>
          <w:sz w:val="20"/>
        </w:rPr>
        <w:t>L</w:t>
      </w:r>
      <w:r w:rsidR="00426EBC">
        <w:rPr>
          <w:rFonts w:ascii="Arial" w:hAnsi="Arial" w:cs="Arial"/>
          <w:sz w:val="20"/>
        </w:rPr>
        <w:t>aw</w:t>
      </w:r>
      <w:r w:rsidR="00C556B8" w:rsidRPr="00F83F01">
        <w:rPr>
          <w:rFonts w:ascii="Arial" w:hAnsi="Arial" w:cs="Arial"/>
          <w:sz w:val="20"/>
        </w:rPr>
        <w:t>, acco</w:t>
      </w:r>
      <w:r w:rsidR="00CD510E">
        <w:rPr>
          <w:rFonts w:ascii="Arial" w:hAnsi="Arial" w:cs="Arial"/>
          <w:sz w:val="20"/>
        </w:rPr>
        <w:t>unting regulations, and various</w:t>
      </w:r>
      <w:r w:rsidR="00C556B8" w:rsidRPr="00F83F01">
        <w:rPr>
          <w:rFonts w:ascii="Arial" w:hAnsi="Arial" w:cs="Arial"/>
          <w:sz w:val="20"/>
        </w:rPr>
        <w:t xml:space="preserve"> procedure </w:t>
      </w:r>
      <w:r w:rsidR="00CD510E" w:rsidRPr="00F83F01">
        <w:rPr>
          <w:rFonts w:ascii="Arial" w:hAnsi="Arial" w:cs="Arial"/>
          <w:sz w:val="20"/>
        </w:rPr>
        <w:t xml:space="preserve">manuals </w:t>
      </w:r>
      <w:r w:rsidR="00C556B8" w:rsidRPr="00F83F01">
        <w:rPr>
          <w:rFonts w:ascii="Arial" w:hAnsi="Arial" w:cs="Arial"/>
          <w:sz w:val="20"/>
        </w:rPr>
        <w:t>specify the divi</w:t>
      </w:r>
      <w:r w:rsidR="00CD510E">
        <w:rPr>
          <w:rFonts w:ascii="Arial" w:hAnsi="Arial" w:cs="Arial"/>
          <w:sz w:val="20"/>
        </w:rPr>
        <w:t>sion of</w:t>
      </w:r>
      <w:r w:rsidR="00C556B8" w:rsidRPr="00F83F01">
        <w:rPr>
          <w:rFonts w:ascii="Arial" w:hAnsi="Arial" w:cs="Arial"/>
          <w:sz w:val="20"/>
        </w:rPr>
        <w:t xml:space="preserve"> </w:t>
      </w:r>
      <w:r w:rsidR="00CD510E" w:rsidRPr="00F83F01">
        <w:rPr>
          <w:rFonts w:ascii="Arial" w:hAnsi="Arial" w:cs="Arial"/>
          <w:sz w:val="20"/>
        </w:rPr>
        <w:t xml:space="preserve">duties </w:t>
      </w:r>
      <w:r w:rsidR="00C556B8" w:rsidRPr="00F83F01">
        <w:rPr>
          <w:rFonts w:ascii="Arial" w:hAnsi="Arial" w:cs="Arial"/>
          <w:sz w:val="20"/>
        </w:rPr>
        <w:t xml:space="preserve">between staff in different aspects of the payment process, </w:t>
      </w:r>
      <w:r w:rsidR="00CD510E">
        <w:rPr>
          <w:rFonts w:ascii="Arial" w:hAnsi="Arial" w:cs="Arial"/>
          <w:sz w:val="20"/>
        </w:rPr>
        <w:t>which</w:t>
      </w:r>
      <w:r w:rsidR="00C556B8" w:rsidRPr="00F83F01">
        <w:rPr>
          <w:rFonts w:ascii="Arial" w:hAnsi="Arial" w:cs="Arial"/>
          <w:sz w:val="20"/>
        </w:rPr>
        <w:t xml:space="preserve"> are generally followed, although both </w:t>
      </w:r>
      <w:r w:rsidR="00C556B8" w:rsidRPr="00F83F01">
        <w:rPr>
          <w:rFonts w:ascii="Arial" w:hAnsi="Arial" w:cs="Arial"/>
          <w:color w:val="000000" w:themeColor="text1"/>
          <w:sz w:val="20"/>
        </w:rPr>
        <w:t>IA and</w:t>
      </w:r>
      <w:r w:rsidR="00C556B8" w:rsidRPr="00F83F01">
        <w:rPr>
          <w:rFonts w:ascii="Arial" w:hAnsi="Arial" w:cs="Arial"/>
          <w:sz w:val="20"/>
        </w:rPr>
        <w:t xml:space="preserve"> </w:t>
      </w:r>
      <w:r w:rsidR="00CD510E">
        <w:rPr>
          <w:rFonts w:ascii="Arial" w:hAnsi="Arial" w:cs="Arial"/>
          <w:color w:val="000000" w:themeColor="text1"/>
          <w:sz w:val="20"/>
        </w:rPr>
        <w:t>OAG</w:t>
      </w:r>
      <w:r w:rsidR="00C556B8" w:rsidRPr="00F83F01">
        <w:rPr>
          <w:rFonts w:ascii="Arial" w:hAnsi="Arial" w:cs="Arial"/>
          <w:color w:val="000000" w:themeColor="text1"/>
          <w:sz w:val="20"/>
        </w:rPr>
        <w:t xml:space="preserve"> report instances of non-complian</w:t>
      </w:r>
      <w:r w:rsidR="000749C8">
        <w:rPr>
          <w:rFonts w:ascii="Arial" w:hAnsi="Arial" w:cs="Arial"/>
          <w:color w:val="000000" w:themeColor="text1"/>
          <w:sz w:val="20"/>
        </w:rPr>
        <w:t>ce with internal controls (PI-25</w:t>
      </w:r>
      <w:r w:rsidR="00C556B8" w:rsidRPr="00F83F01">
        <w:rPr>
          <w:rFonts w:ascii="Arial" w:hAnsi="Arial" w:cs="Arial"/>
          <w:color w:val="000000" w:themeColor="text1"/>
          <w:sz w:val="20"/>
        </w:rPr>
        <w:t>).</w:t>
      </w:r>
    </w:p>
    <w:p w14:paraId="2FA80222" w14:textId="77777777" w:rsidR="00C556B8" w:rsidRPr="001110F1" w:rsidRDefault="00C556B8" w:rsidP="00C556B8">
      <w:pPr>
        <w:widowControl w:val="0"/>
        <w:autoSpaceDE w:val="0"/>
        <w:autoSpaceDN w:val="0"/>
        <w:adjustRightInd w:val="0"/>
        <w:spacing w:line="276" w:lineRule="auto"/>
        <w:rPr>
          <w:rFonts w:cs="Arial"/>
          <w:sz w:val="20"/>
          <w:szCs w:val="20"/>
          <w:lang w:val="en-US"/>
        </w:rPr>
      </w:pPr>
    </w:p>
    <w:p w14:paraId="5B66A4EC" w14:textId="62C0E217" w:rsidR="00C556B8" w:rsidRPr="00B4492A" w:rsidRDefault="00FF52A3" w:rsidP="00C556B8">
      <w:pPr>
        <w:pStyle w:val="StyleDefault11ptAutoJustifiedAfter6pt"/>
        <w:spacing w:before="0" w:after="0" w:line="276" w:lineRule="auto"/>
        <w:rPr>
          <w:rFonts w:ascii="Arial" w:hAnsi="Arial" w:cs="Arial"/>
          <w:sz w:val="20"/>
        </w:rPr>
      </w:pPr>
      <w:r>
        <w:rPr>
          <w:rFonts w:ascii="Arial" w:hAnsi="Arial" w:cs="Arial"/>
          <w:sz w:val="20"/>
        </w:rPr>
        <w:t>Th</w:t>
      </w:r>
      <w:r w:rsidR="00C556B8" w:rsidRPr="001110F1">
        <w:rPr>
          <w:rFonts w:ascii="Arial" w:hAnsi="Arial" w:cs="Arial"/>
          <w:sz w:val="20"/>
        </w:rPr>
        <w:t>ere are internal audit personnel at each govern</w:t>
      </w:r>
      <w:r>
        <w:rPr>
          <w:rFonts w:ascii="Arial" w:hAnsi="Arial" w:cs="Arial"/>
          <w:sz w:val="20"/>
        </w:rPr>
        <w:t xml:space="preserve">ment entity, although the </w:t>
      </w:r>
      <w:r w:rsidRPr="001110F1">
        <w:rPr>
          <w:rFonts w:ascii="Arial" w:hAnsi="Arial" w:cs="Arial"/>
          <w:sz w:val="20"/>
        </w:rPr>
        <w:t>independence</w:t>
      </w:r>
      <w:r w:rsidR="00C556B8" w:rsidRPr="001110F1">
        <w:rPr>
          <w:rFonts w:ascii="Arial" w:hAnsi="Arial" w:cs="Arial"/>
          <w:sz w:val="20"/>
        </w:rPr>
        <w:t xml:space="preserve"> </w:t>
      </w:r>
      <w:r>
        <w:rPr>
          <w:rFonts w:ascii="Arial" w:hAnsi="Arial" w:cs="Arial"/>
          <w:sz w:val="20"/>
        </w:rPr>
        <w:t xml:space="preserve">of these </w:t>
      </w:r>
      <w:r w:rsidR="00C556B8" w:rsidRPr="001110F1">
        <w:rPr>
          <w:rFonts w:ascii="Arial" w:hAnsi="Arial" w:cs="Arial"/>
          <w:sz w:val="20"/>
        </w:rPr>
        <w:t>160</w:t>
      </w:r>
      <w:r>
        <w:rPr>
          <w:rFonts w:ascii="Arial" w:hAnsi="Arial" w:cs="Arial"/>
          <w:sz w:val="20"/>
        </w:rPr>
        <w:t>+ staff</w:t>
      </w:r>
      <w:r w:rsidR="00C556B8" w:rsidRPr="001110F1">
        <w:rPr>
          <w:rFonts w:ascii="Arial" w:hAnsi="Arial" w:cs="Arial"/>
          <w:sz w:val="20"/>
        </w:rPr>
        <w:t xml:space="preserve"> </w:t>
      </w:r>
      <w:r w:rsidR="00567DC5">
        <w:rPr>
          <w:rFonts w:ascii="Arial" w:hAnsi="Arial" w:cs="Arial"/>
          <w:sz w:val="20"/>
        </w:rPr>
        <w:t>is open to question</w:t>
      </w:r>
      <w:r w:rsidR="00C556B8" w:rsidRPr="001110F1">
        <w:rPr>
          <w:rFonts w:ascii="Arial" w:hAnsi="Arial" w:cs="Arial"/>
          <w:sz w:val="20"/>
        </w:rPr>
        <w:t xml:space="preserve"> as </w:t>
      </w:r>
      <w:r>
        <w:rPr>
          <w:rFonts w:ascii="Arial" w:hAnsi="Arial" w:cs="Arial"/>
          <w:sz w:val="20"/>
        </w:rPr>
        <w:t>they</w:t>
      </w:r>
      <w:r w:rsidR="00567DC5">
        <w:rPr>
          <w:rFonts w:ascii="Arial" w:hAnsi="Arial" w:cs="Arial"/>
          <w:sz w:val="20"/>
        </w:rPr>
        <w:t xml:space="preserve"> are recruited and can be dismissed</w:t>
      </w:r>
      <w:r w:rsidR="00C556B8" w:rsidRPr="001110F1">
        <w:rPr>
          <w:rFonts w:ascii="Arial" w:hAnsi="Arial" w:cs="Arial"/>
          <w:sz w:val="20"/>
        </w:rPr>
        <w:t xml:space="preserve"> at the entity level. </w:t>
      </w:r>
      <w:r w:rsidR="00426EBC">
        <w:rPr>
          <w:rFonts w:ascii="Arial" w:hAnsi="Arial" w:cs="Arial"/>
          <w:sz w:val="20"/>
        </w:rPr>
        <w:t xml:space="preserve"> </w:t>
      </w:r>
      <w:r w:rsidR="00E201FF">
        <w:rPr>
          <w:rFonts w:ascii="Arial" w:hAnsi="Arial" w:cs="Arial"/>
          <w:sz w:val="20"/>
        </w:rPr>
        <w:t xml:space="preserve">The function </w:t>
      </w:r>
      <w:r w:rsidR="00C556B8" w:rsidRPr="001110F1">
        <w:rPr>
          <w:rFonts w:ascii="Arial" w:hAnsi="Arial" w:cs="Arial"/>
          <w:sz w:val="20"/>
        </w:rPr>
        <w:t>employs a ‘risk-based’ approach</w:t>
      </w:r>
      <w:r w:rsidR="00E201FF">
        <w:rPr>
          <w:rFonts w:ascii="Arial" w:hAnsi="Arial" w:cs="Arial"/>
          <w:sz w:val="20"/>
        </w:rPr>
        <w:t>, and</w:t>
      </w:r>
      <w:r w:rsidR="00567DC5">
        <w:rPr>
          <w:rFonts w:ascii="Arial" w:hAnsi="Arial" w:cs="Arial"/>
          <w:sz w:val="20"/>
        </w:rPr>
        <w:t xml:space="preserve"> e</w:t>
      </w:r>
      <w:r w:rsidR="00C556B8" w:rsidRPr="001110F1">
        <w:rPr>
          <w:rFonts w:ascii="Arial" w:hAnsi="Arial" w:cs="Arial"/>
          <w:sz w:val="20"/>
        </w:rPr>
        <w:t xml:space="preserve">ntity Audit Committees approve </w:t>
      </w:r>
      <w:r>
        <w:rPr>
          <w:rFonts w:ascii="Arial" w:hAnsi="Arial" w:cs="Arial"/>
          <w:sz w:val="20"/>
        </w:rPr>
        <w:t>audit plans</w:t>
      </w:r>
      <w:r w:rsidR="00C556B8" w:rsidRPr="001110F1">
        <w:rPr>
          <w:rFonts w:ascii="Arial" w:hAnsi="Arial" w:cs="Arial"/>
          <w:sz w:val="20"/>
        </w:rPr>
        <w:t xml:space="preserve"> </w:t>
      </w:r>
      <w:r w:rsidR="00567DC5">
        <w:rPr>
          <w:rFonts w:ascii="Arial" w:hAnsi="Arial" w:cs="Arial"/>
          <w:sz w:val="20"/>
        </w:rPr>
        <w:t xml:space="preserve">and review the reports produced: </w:t>
      </w:r>
      <w:r w:rsidR="00C556B8" w:rsidRPr="001110F1">
        <w:rPr>
          <w:rFonts w:ascii="Arial" w:hAnsi="Arial" w:cs="Arial"/>
          <w:sz w:val="20"/>
        </w:rPr>
        <w:t>th</w:t>
      </w:r>
      <w:r w:rsidR="00567DC5">
        <w:rPr>
          <w:rFonts w:ascii="Arial" w:hAnsi="Arial" w:cs="Arial"/>
          <w:sz w:val="20"/>
        </w:rPr>
        <w:t>ere is</w:t>
      </w:r>
      <w:r w:rsidR="00C556B8" w:rsidRPr="001110F1">
        <w:rPr>
          <w:rFonts w:ascii="Arial" w:hAnsi="Arial" w:cs="Arial"/>
          <w:sz w:val="20"/>
        </w:rPr>
        <w:t xml:space="preserve"> a</w:t>
      </w:r>
      <w:r w:rsidR="00567DC5">
        <w:rPr>
          <w:rFonts w:ascii="Arial" w:hAnsi="Arial" w:cs="Arial"/>
          <w:sz w:val="20"/>
        </w:rPr>
        <w:t>n increased</w:t>
      </w:r>
      <w:r w:rsidR="00C556B8" w:rsidRPr="001110F1">
        <w:rPr>
          <w:rFonts w:ascii="Arial" w:hAnsi="Arial" w:cs="Arial"/>
          <w:sz w:val="20"/>
        </w:rPr>
        <w:t xml:space="preserve"> political will </w:t>
      </w:r>
      <w:r w:rsidR="00567DC5">
        <w:rPr>
          <w:rFonts w:ascii="Arial" w:hAnsi="Arial" w:cs="Arial"/>
          <w:sz w:val="20"/>
        </w:rPr>
        <w:t>to</w:t>
      </w:r>
      <w:r w:rsidR="00C556B8" w:rsidRPr="001110F1">
        <w:rPr>
          <w:rFonts w:ascii="Arial" w:hAnsi="Arial" w:cs="Arial"/>
          <w:sz w:val="20"/>
        </w:rPr>
        <w:t xml:space="preserve"> implemen</w:t>
      </w:r>
      <w:r w:rsidR="00567DC5">
        <w:rPr>
          <w:rFonts w:ascii="Arial" w:hAnsi="Arial" w:cs="Arial"/>
          <w:sz w:val="20"/>
        </w:rPr>
        <w:t>t</w:t>
      </w:r>
      <w:r w:rsidR="00E201FF">
        <w:rPr>
          <w:rFonts w:ascii="Arial" w:hAnsi="Arial" w:cs="Arial"/>
          <w:sz w:val="20"/>
        </w:rPr>
        <w:t xml:space="preserve"> audit recommendations</w:t>
      </w:r>
      <w:r w:rsidR="00C556B8" w:rsidRPr="001110F1">
        <w:rPr>
          <w:rFonts w:ascii="Arial" w:hAnsi="Arial" w:cs="Arial"/>
          <w:sz w:val="20"/>
        </w:rPr>
        <w:t xml:space="preserve">.  The </w:t>
      </w:r>
      <w:r w:rsidR="00567DC5">
        <w:rPr>
          <w:rFonts w:ascii="Arial" w:hAnsi="Arial" w:cs="Arial"/>
          <w:sz w:val="20"/>
        </w:rPr>
        <w:t xml:space="preserve">(central) </w:t>
      </w:r>
      <w:r>
        <w:rPr>
          <w:rFonts w:ascii="Arial" w:hAnsi="Arial" w:cs="Arial"/>
          <w:sz w:val="20"/>
        </w:rPr>
        <w:lastRenderedPageBreak/>
        <w:t xml:space="preserve">Internal Audit Unit at </w:t>
      </w:r>
      <w:proofErr w:type="spellStart"/>
      <w:r>
        <w:rPr>
          <w:rFonts w:ascii="Arial" w:hAnsi="Arial" w:cs="Arial"/>
          <w:sz w:val="20"/>
        </w:rPr>
        <w:t>MoF</w:t>
      </w:r>
      <w:proofErr w:type="spellEnd"/>
      <w:r w:rsidRPr="001110F1">
        <w:rPr>
          <w:rFonts w:ascii="Arial" w:hAnsi="Arial" w:cs="Arial"/>
          <w:sz w:val="20"/>
        </w:rPr>
        <w:t xml:space="preserve"> </w:t>
      </w:r>
      <w:r w:rsidR="00C556B8" w:rsidRPr="001110F1">
        <w:rPr>
          <w:rFonts w:ascii="Arial" w:hAnsi="Arial" w:cs="Arial"/>
          <w:sz w:val="20"/>
        </w:rPr>
        <w:t>issues a quarterly Internal Audit report to the Minister of Finance</w:t>
      </w:r>
      <w:r>
        <w:rPr>
          <w:rFonts w:ascii="Arial" w:hAnsi="Arial" w:cs="Arial"/>
          <w:sz w:val="20"/>
        </w:rPr>
        <w:t>,</w:t>
      </w:r>
      <w:r w:rsidR="00C556B8" w:rsidRPr="001110F1">
        <w:rPr>
          <w:rFonts w:ascii="Arial" w:hAnsi="Arial" w:cs="Arial"/>
          <w:sz w:val="20"/>
        </w:rPr>
        <w:t xml:space="preserve"> highlighting key and crosscutting findings and recommendations for attention and action.</w:t>
      </w:r>
    </w:p>
    <w:p w14:paraId="0BD1D205" w14:textId="77777777" w:rsidR="00C556B8" w:rsidRPr="00494668" w:rsidRDefault="00C556B8" w:rsidP="00C556B8">
      <w:pPr>
        <w:pStyle w:val="DefaultText"/>
        <w:rPr>
          <w:rFonts w:cs="Arial"/>
          <w:sz w:val="20"/>
        </w:rPr>
      </w:pPr>
    </w:p>
    <w:p w14:paraId="0B72CCF5" w14:textId="0CA8C67E" w:rsidR="00C556B8" w:rsidRDefault="009D4184" w:rsidP="00C556B8">
      <w:pPr>
        <w:pStyle w:val="Heading3"/>
        <w:ind w:left="0"/>
      </w:pPr>
      <w:bookmarkStart w:id="11" w:name="_Toc301352246"/>
      <w:bookmarkStart w:id="12" w:name="_Toc434503080"/>
      <w:r>
        <w:t>Accounting</w:t>
      </w:r>
      <w:r w:rsidR="00C556B8" w:rsidRPr="00564135">
        <w:t xml:space="preserve"> and reporting</w:t>
      </w:r>
      <w:bookmarkEnd w:id="11"/>
      <w:bookmarkEnd w:id="12"/>
      <w:r w:rsidR="00C556B8" w:rsidRPr="00564135">
        <w:t xml:space="preserve"> </w:t>
      </w:r>
    </w:p>
    <w:tbl>
      <w:tblPr>
        <w:tblStyle w:val="TabelEcorys2"/>
        <w:tblW w:w="5000" w:type="pct"/>
        <w:tblInd w:w="0" w:type="dxa"/>
        <w:tblBorders>
          <w:top w:val="single" w:sz="4" w:space="0" w:color="006DB6"/>
          <w:left w:val="single" w:sz="4" w:space="0" w:color="006DB6"/>
          <w:bottom w:val="single" w:sz="4" w:space="0" w:color="006DB6"/>
          <w:right w:val="single" w:sz="4" w:space="0" w:color="006DB6"/>
          <w:insideH w:val="single" w:sz="6" w:space="0" w:color="006DB6"/>
          <w:insideV w:val="single" w:sz="6" w:space="0" w:color="006DB6"/>
        </w:tblBorders>
        <w:tblLook w:val="01E0" w:firstRow="1" w:lastRow="1" w:firstColumn="1" w:lastColumn="1" w:noHBand="0" w:noVBand="0"/>
      </w:tblPr>
      <w:tblGrid>
        <w:gridCol w:w="670"/>
        <w:gridCol w:w="5673"/>
        <w:gridCol w:w="13"/>
        <w:gridCol w:w="414"/>
        <w:gridCol w:w="13"/>
        <w:gridCol w:w="414"/>
        <w:gridCol w:w="13"/>
        <w:gridCol w:w="414"/>
        <w:gridCol w:w="11"/>
        <w:gridCol w:w="364"/>
        <w:gridCol w:w="14"/>
        <w:gridCol w:w="997"/>
      </w:tblGrid>
      <w:tr w:rsidR="00796BD9" w:rsidRPr="00595782" w14:paraId="6359DA0C" w14:textId="77777777" w:rsidTr="00796BD9">
        <w:trPr>
          <w:tblHeader/>
        </w:trPr>
        <w:tc>
          <w:tcPr>
            <w:tcW w:w="3527" w:type="pct"/>
            <w:gridSpan w:val="3"/>
            <w:vMerge w:val="restart"/>
            <w:tcBorders>
              <w:top w:val="single" w:sz="4" w:space="0" w:color="006DB6"/>
              <w:bottom w:val="single" w:sz="4" w:space="0" w:color="FFFFFF" w:themeColor="background1"/>
              <w:right w:val="single" w:sz="4" w:space="0" w:color="FFFFFF" w:themeColor="background1"/>
            </w:tcBorders>
            <w:shd w:val="clear" w:color="auto" w:fill="006DB6"/>
            <w:tcMar>
              <w:top w:w="14" w:type="dxa"/>
            </w:tcMar>
            <w:vAlign w:val="center"/>
          </w:tcPr>
          <w:p w14:paraId="4E2D7CE3" w14:textId="51177E1F" w:rsidR="00796BD9" w:rsidRPr="00595782" w:rsidRDefault="009D4184" w:rsidP="00DD2511">
            <w:pPr>
              <w:rPr>
                <w:rFonts w:cs="Arial"/>
                <w:b/>
                <w:color w:val="FFFFFF"/>
                <w:sz w:val="16"/>
                <w:szCs w:val="16"/>
                <w:lang w:eastAsia="en-US"/>
              </w:rPr>
            </w:pPr>
            <w:r>
              <w:rPr>
                <w:rFonts w:cs="Arial"/>
                <w:b/>
                <w:color w:val="FFFFFF" w:themeColor="background1"/>
                <w:sz w:val="20"/>
                <w:szCs w:val="16"/>
                <w:lang w:eastAsia="en-US"/>
              </w:rPr>
              <w:t>VI. Accounting</w:t>
            </w:r>
            <w:r w:rsidR="000749C8">
              <w:rPr>
                <w:rFonts w:cs="Arial"/>
                <w:b/>
                <w:color w:val="FFFFFF" w:themeColor="background1"/>
                <w:sz w:val="20"/>
                <w:szCs w:val="16"/>
                <w:lang w:eastAsia="en-US"/>
              </w:rPr>
              <w:t xml:space="preserve"> and r</w:t>
            </w:r>
            <w:r w:rsidR="00796BD9" w:rsidRPr="00796BD9">
              <w:rPr>
                <w:rFonts w:cs="Arial"/>
                <w:b/>
                <w:color w:val="FFFFFF" w:themeColor="background1"/>
                <w:sz w:val="20"/>
                <w:szCs w:val="16"/>
                <w:lang w:eastAsia="en-US"/>
              </w:rPr>
              <w:t>eporting</w:t>
            </w:r>
          </w:p>
        </w:tc>
        <w:tc>
          <w:tcPr>
            <w:tcW w:w="920" w:type="pct"/>
            <w:gridSpan w:val="8"/>
            <w:tcBorders>
              <w:top w:val="single" w:sz="4" w:space="0" w:color="006DB6"/>
              <w:left w:val="single" w:sz="4" w:space="0" w:color="FFFFFF" w:themeColor="background1"/>
              <w:bottom w:val="single" w:sz="4" w:space="0" w:color="FFFFFF" w:themeColor="background1"/>
              <w:right w:val="single" w:sz="4" w:space="0" w:color="FFFFFF" w:themeColor="background1"/>
            </w:tcBorders>
            <w:shd w:val="clear" w:color="auto" w:fill="006DB6"/>
            <w:tcMar>
              <w:top w:w="14" w:type="dxa"/>
            </w:tcMar>
            <w:vAlign w:val="center"/>
          </w:tcPr>
          <w:p w14:paraId="421CFEE9" w14:textId="77777777" w:rsidR="00796BD9" w:rsidRPr="00595782" w:rsidRDefault="00796BD9" w:rsidP="00DD2511">
            <w:pPr>
              <w:jc w:val="center"/>
              <w:rPr>
                <w:rFonts w:cs="Arial"/>
                <w:b/>
                <w:color w:val="FFFFFF"/>
                <w:spacing w:val="-14"/>
                <w:sz w:val="16"/>
                <w:szCs w:val="16"/>
                <w:lang w:eastAsia="en-US"/>
              </w:rPr>
            </w:pPr>
            <w:r w:rsidRPr="00595782">
              <w:rPr>
                <w:rFonts w:cs="Arial"/>
                <w:b/>
                <w:color w:val="FFFFFF"/>
                <w:spacing w:val="-14"/>
                <w:sz w:val="16"/>
                <w:szCs w:val="16"/>
                <w:lang w:eastAsia="en-US"/>
              </w:rPr>
              <w:t>Dimension Ratings</w:t>
            </w:r>
          </w:p>
        </w:tc>
        <w:tc>
          <w:tcPr>
            <w:tcW w:w="553" w:type="pct"/>
            <w:vMerge w:val="restart"/>
            <w:tcBorders>
              <w:top w:val="single" w:sz="4" w:space="0" w:color="006DB6"/>
              <w:left w:val="single" w:sz="4" w:space="0" w:color="FFFFFF" w:themeColor="background1"/>
              <w:bottom w:val="single" w:sz="4" w:space="0" w:color="FFFFFF" w:themeColor="background1"/>
            </w:tcBorders>
            <w:shd w:val="clear" w:color="auto" w:fill="006DB6"/>
            <w:tcMar>
              <w:top w:w="14" w:type="dxa"/>
            </w:tcMar>
            <w:vAlign w:val="center"/>
          </w:tcPr>
          <w:p w14:paraId="6D6C0071" w14:textId="77777777" w:rsidR="00796BD9" w:rsidRPr="00595782" w:rsidRDefault="00796BD9" w:rsidP="00DD2511">
            <w:pPr>
              <w:rPr>
                <w:rFonts w:cs="Arial"/>
                <w:b/>
                <w:color w:val="FFFFFF"/>
                <w:spacing w:val="-14"/>
                <w:sz w:val="16"/>
                <w:szCs w:val="16"/>
                <w:lang w:eastAsia="en-US"/>
              </w:rPr>
            </w:pPr>
            <w:r w:rsidRPr="00595782">
              <w:rPr>
                <w:rFonts w:cs="Arial"/>
                <w:b/>
                <w:color w:val="FFFFFF"/>
                <w:spacing w:val="-14"/>
                <w:sz w:val="16"/>
                <w:szCs w:val="16"/>
                <w:lang w:eastAsia="en-US"/>
              </w:rPr>
              <w:t>Overall Rating</w:t>
            </w:r>
          </w:p>
        </w:tc>
      </w:tr>
      <w:tr w:rsidR="00796BD9" w:rsidRPr="00595782" w14:paraId="5051B3A6" w14:textId="77777777" w:rsidTr="009D4184">
        <w:trPr>
          <w:trHeight w:val="318"/>
          <w:tblHeader/>
        </w:trPr>
        <w:tc>
          <w:tcPr>
            <w:tcW w:w="3527" w:type="pct"/>
            <w:gridSpan w:val="3"/>
            <w:vMerge/>
            <w:tcBorders>
              <w:top w:val="single" w:sz="4" w:space="0" w:color="FFFFFF" w:themeColor="background1"/>
              <w:bottom w:val="single" w:sz="4" w:space="0" w:color="006DB6"/>
              <w:right w:val="single" w:sz="4" w:space="0" w:color="FFFFFF" w:themeColor="background1"/>
            </w:tcBorders>
            <w:tcMar>
              <w:top w:w="14" w:type="dxa"/>
            </w:tcMar>
            <w:vAlign w:val="center"/>
          </w:tcPr>
          <w:p w14:paraId="090EE6E3" w14:textId="77777777" w:rsidR="00796BD9" w:rsidRPr="00595782" w:rsidRDefault="00796BD9" w:rsidP="00DD2511">
            <w:pPr>
              <w:rPr>
                <w:rFonts w:cs="Arial"/>
                <w:sz w:val="16"/>
                <w:szCs w:val="16"/>
                <w:lang w:eastAsia="en-US"/>
              </w:rPr>
            </w:pPr>
          </w:p>
        </w:tc>
        <w:tc>
          <w:tcPr>
            <w:tcW w:w="237" w:type="pct"/>
            <w:gridSpan w:val="2"/>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1BBC54DB" w14:textId="77777777" w:rsidR="00796BD9" w:rsidRPr="00595782" w:rsidRDefault="00796BD9" w:rsidP="00DD2511">
            <w:pPr>
              <w:numPr>
                <w:ilvl w:val="0"/>
                <w:numId w:val="7"/>
              </w:numPr>
              <w:jc w:val="center"/>
              <w:rPr>
                <w:rFonts w:cs="Arial"/>
                <w:b/>
                <w:color w:val="FFFFFF" w:themeColor="background1"/>
                <w:sz w:val="16"/>
                <w:szCs w:val="16"/>
                <w:lang w:eastAsia="en-US"/>
              </w:rPr>
            </w:pPr>
          </w:p>
        </w:tc>
        <w:tc>
          <w:tcPr>
            <w:tcW w:w="237" w:type="pct"/>
            <w:gridSpan w:val="2"/>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2310067D" w14:textId="77777777" w:rsidR="00796BD9" w:rsidRPr="00595782" w:rsidRDefault="00796BD9" w:rsidP="00DD2511">
            <w:pPr>
              <w:numPr>
                <w:ilvl w:val="0"/>
                <w:numId w:val="7"/>
              </w:numPr>
              <w:jc w:val="center"/>
              <w:rPr>
                <w:rFonts w:cs="Arial"/>
                <w:b/>
                <w:color w:val="FFFFFF" w:themeColor="background1"/>
                <w:sz w:val="16"/>
                <w:szCs w:val="16"/>
                <w:lang w:eastAsia="en-US"/>
              </w:rPr>
            </w:pPr>
          </w:p>
        </w:tc>
        <w:tc>
          <w:tcPr>
            <w:tcW w:w="236" w:type="pct"/>
            <w:gridSpan w:val="2"/>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38D5B457" w14:textId="77777777" w:rsidR="00796BD9" w:rsidRPr="00595782" w:rsidRDefault="00796BD9" w:rsidP="00DD2511">
            <w:pPr>
              <w:numPr>
                <w:ilvl w:val="0"/>
                <w:numId w:val="7"/>
              </w:numPr>
              <w:jc w:val="center"/>
              <w:rPr>
                <w:rFonts w:cs="Arial"/>
                <w:b/>
                <w:color w:val="FFFFFF" w:themeColor="background1"/>
                <w:sz w:val="16"/>
                <w:szCs w:val="16"/>
                <w:lang w:eastAsia="en-US"/>
              </w:rPr>
            </w:pPr>
          </w:p>
        </w:tc>
        <w:tc>
          <w:tcPr>
            <w:tcW w:w="210" w:type="pct"/>
            <w:gridSpan w:val="2"/>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797439A8" w14:textId="77777777" w:rsidR="00796BD9" w:rsidRPr="00595782" w:rsidRDefault="00796BD9" w:rsidP="00DD2511">
            <w:pPr>
              <w:numPr>
                <w:ilvl w:val="0"/>
                <w:numId w:val="7"/>
              </w:numPr>
              <w:jc w:val="center"/>
              <w:rPr>
                <w:rFonts w:cs="Arial"/>
                <w:b/>
                <w:color w:val="FFFFFF" w:themeColor="background1"/>
                <w:sz w:val="16"/>
                <w:szCs w:val="16"/>
                <w:lang w:eastAsia="en-US"/>
              </w:rPr>
            </w:pPr>
          </w:p>
        </w:tc>
        <w:tc>
          <w:tcPr>
            <w:tcW w:w="553" w:type="pct"/>
            <w:vMerge/>
            <w:tcBorders>
              <w:top w:val="single" w:sz="4" w:space="0" w:color="FFFFFF" w:themeColor="background1"/>
              <w:left w:val="single" w:sz="4" w:space="0" w:color="FFFFFF" w:themeColor="background1"/>
              <w:bottom w:val="single" w:sz="4" w:space="0" w:color="006DB6"/>
            </w:tcBorders>
            <w:tcMar>
              <w:top w:w="14" w:type="dxa"/>
            </w:tcMar>
            <w:vAlign w:val="center"/>
          </w:tcPr>
          <w:p w14:paraId="7AD4C9E1" w14:textId="77777777" w:rsidR="00796BD9" w:rsidRPr="00595782" w:rsidRDefault="00796BD9" w:rsidP="00DD2511">
            <w:pPr>
              <w:rPr>
                <w:rFonts w:cs="Arial"/>
                <w:sz w:val="16"/>
                <w:szCs w:val="16"/>
                <w:lang w:eastAsia="en-US"/>
              </w:rPr>
            </w:pPr>
          </w:p>
        </w:tc>
      </w:tr>
      <w:tr w:rsidR="00796BD9" w:rsidRPr="00595782" w14:paraId="7FF7F52B" w14:textId="77777777" w:rsidTr="00796BD9">
        <w:trPr>
          <w:trHeight w:val="296"/>
        </w:trPr>
        <w:tc>
          <w:tcPr>
            <w:tcW w:w="372" w:type="pct"/>
            <w:tcBorders>
              <w:top w:val="single" w:sz="6" w:space="0" w:color="006DB6"/>
            </w:tcBorders>
            <w:tcMar>
              <w:top w:w="14" w:type="dxa"/>
            </w:tcMar>
          </w:tcPr>
          <w:p w14:paraId="6965CB55" w14:textId="3EBBD189" w:rsidR="00796BD9" w:rsidRPr="008A6B23" w:rsidRDefault="00796BD9" w:rsidP="00DD2511">
            <w:pPr>
              <w:ind w:left="-45"/>
              <w:rPr>
                <w:rFonts w:cs="Arial"/>
                <w:szCs w:val="16"/>
                <w:lang w:eastAsia="en-US"/>
              </w:rPr>
            </w:pPr>
            <w:r w:rsidRPr="008A6B23">
              <w:rPr>
                <w:rFonts w:cs="Arial"/>
                <w:szCs w:val="16"/>
                <w:lang w:eastAsia="en-US"/>
              </w:rPr>
              <w:t>PI-2</w:t>
            </w:r>
            <w:r w:rsidR="000749C8">
              <w:rPr>
                <w:rFonts w:cs="Arial"/>
                <w:szCs w:val="16"/>
                <w:lang w:eastAsia="en-US"/>
              </w:rPr>
              <w:t>7</w:t>
            </w:r>
          </w:p>
        </w:tc>
        <w:tc>
          <w:tcPr>
            <w:tcW w:w="3148" w:type="pct"/>
            <w:tcBorders>
              <w:top w:val="single" w:sz="6" w:space="0" w:color="006DB6"/>
            </w:tcBorders>
            <w:tcMar>
              <w:top w:w="14" w:type="dxa"/>
            </w:tcMar>
          </w:tcPr>
          <w:p w14:paraId="01366887" w14:textId="15D5C4BE" w:rsidR="00796BD9" w:rsidRPr="008A6B23" w:rsidRDefault="009D4184" w:rsidP="00DD2511">
            <w:pPr>
              <w:ind w:left="-45"/>
              <w:rPr>
                <w:rFonts w:cs="Arial"/>
                <w:szCs w:val="16"/>
                <w:lang w:eastAsia="en-US"/>
              </w:rPr>
            </w:pPr>
            <w:r>
              <w:rPr>
                <w:rFonts w:cs="Arial"/>
                <w:szCs w:val="16"/>
                <w:lang w:eastAsia="en-US"/>
              </w:rPr>
              <w:t>F</w:t>
            </w:r>
            <w:r w:rsidR="00796BD9" w:rsidRPr="008A6B23">
              <w:rPr>
                <w:rFonts w:cs="Arial"/>
                <w:szCs w:val="16"/>
                <w:lang w:eastAsia="en-US"/>
              </w:rPr>
              <w:t xml:space="preserve">inancial data integrity </w:t>
            </w:r>
          </w:p>
        </w:tc>
        <w:tc>
          <w:tcPr>
            <w:tcW w:w="237" w:type="pct"/>
            <w:gridSpan w:val="2"/>
            <w:tcBorders>
              <w:top w:val="single" w:sz="6" w:space="0" w:color="006DB6"/>
            </w:tcBorders>
            <w:tcMar>
              <w:top w:w="14" w:type="dxa"/>
            </w:tcMar>
          </w:tcPr>
          <w:p w14:paraId="1F54C50F" w14:textId="77777777" w:rsidR="00796BD9" w:rsidRPr="00FD2691" w:rsidRDefault="00796BD9" w:rsidP="00DD2511">
            <w:pPr>
              <w:jc w:val="center"/>
              <w:rPr>
                <w:rFonts w:cs="Arial"/>
                <w:szCs w:val="16"/>
                <w:lang w:eastAsia="en-US"/>
              </w:rPr>
            </w:pPr>
            <w:r>
              <w:rPr>
                <w:rFonts w:cs="Arial"/>
                <w:szCs w:val="16"/>
                <w:lang w:eastAsia="en-US"/>
              </w:rPr>
              <w:t>B</w:t>
            </w:r>
          </w:p>
        </w:tc>
        <w:tc>
          <w:tcPr>
            <w:tcW w:w="237" w:type="pct"/>
            <w:gridSpan w:val="2"/>
            <w:tcBorders>
              <w:top w:val="single" w:sz="6" w:space="0" w:color="006DB6"/>
            </w:tcBorders>
            <w:tcMar>
              <w:top w:w="14" w:type="dxa"/>
            </w:tcMar>
          </w:tcPr>
          <w:p w14:paraId="121884E7" w14:textId="77777777" w:rsidR="00796BD9" w:rsidRPr="00FD2691" w:rsidRDefault="00796BD9" w:rsidP="00DD2511">
            <w:pPr>
              <w:jc w:val="center"/>
              <w:rPr>
                <w:rFonts w:cs="Arial"/>
                <w:szCs w:val="16"/>
                <w:lang w:eastAsia="en-US"/>
              </w:rPr>
            </w:pPr>
            <w:r>
              <w:rPr>
                <w:rFonts w:cs="Arial"/>
                <w:szCs w:val="16"/>
                <w:lang w:eastAsia="en-US"/>
              </w:rPr>
              <w:t>A</w:t>
            </w:r>
          </w:p>
        </w:tc>
        <w:tc>
          <w:tcPr>
            <w:tcW w:w="237" w:type="pct"/>
            <w:gridSpan w:val="2"/>
            <w:tcBorders>
              <w:top w:val="single" w:sz="6" w:space="0" w:color="006DB6"/>
            </w:tcBorders>
            <w:tcMar>
              <w:top w:w="14" w:type="dxa"/>
            </w:tcMar>
          </w:tcPr>
          <w:p w14:paraId="51AF5697" w14:textId="77777777" w:rsidR="00796BD9" w:rsidRPr="00FD2691" w:rsidRDefault="00796BD9" w:rsidP="00DD2511">
            <w:pPr>
              <w:jc w:val="center"/>
              <w:rPr>
                <w:rFonts w:cs="Arial"/>
                <w:szCs w:val="16"/>
                <w:lang w:eastAsia="en-US"/>
              </w:rPr>
            </w:pPr>
            <w:r>
              <w:rPr>
                <w:rFonts w:cs="Arial"/>
                <w:szCs w:val="16"/>
                <w:lang w:eastAsia="en-US"/>
              </w:rPr>
              <w:t>A</w:t>
            </w:r>
          </w:p>
        </w:tc>
        <w:tc>
          <w:tcPr>
            <w:tcW w:w="208" w:type="pct"/>
            <w:gridSpan w:val="2"/>
            <w:tcBorders>
              <w:top w:val="single" w:sz="6" w:space="0" w:color="006DB6"/>
              <w:bottom w:val="single" w:sz="6" w:space="0" w:color="006DB6"/>
            </w:tcBorders>
            <w:shd w:val="clear" w:color="auto" w:fill="auto"/>
            <w:tcMar>
              <w:top w:w="14" w:type="dxa"/>
            </w:tcMar>
          </w:tcPr>
          <w:p w14:paraId="4E99B7AF" w14:textId="77777777" w:rsidR="00796BD9" w:rsidRPr="00FD2691" w:rsidRDefault="00796BD9" w:rsidP="00DD2511">
            <w:pPr>
              <w:jc w:val="center"/>
              <w:rPr>
                <w:rFonts w:cs="Arial"/>
                <w:szCs w:val="16"/>
                <w:lang w:eastAsia="en-US"/>
              </w:rPr>
            </w:pPr>
            <w:r>
              <w:rPr>
                <w:rFonts w:cs="Arial"/>
                <w:szCs w:val="16"/>
                <w:lang w:eastAsia="en-US"/>
              </w:rPr>
              <w:t>B</w:t>
            </w:r>
          </w:p>
        </w:tc>
        <w:tc>
          <w:tcPr>
            <w:tcW w:w="561" w:type="pct"/>
            <w:gridSpan w:val="2"/>
            <w:tcBorders>
              <w:top w:val="single" w:sz="6" w:space="0" w:color="006DB6"/>
            </w:tcBorders>
            <w:tcMar>
              <w:top w:w="14" w:type="dxa"/>
              <w:left w:w="288" w:type="dxa"/>
            </w:tcMar>
          </w:tcPr>
          <w:p w14:paraId="7A28880B" w14:textId="77777777" w:rsidR="00796BD9" w:rsidRPr="00460F54" w:rsidRDefault="00796BD9" w:rsidP="00DD2511">
            <w:pPr>
              <w:rPr>
                <w:rFonts w:cs="Arial"/>
                <w:b/>
                <w:szCs w:val="16"/>
                <w:lang w:eastAsia="en-US"/>
              </w:rPr>
            </w:pPr>
            <w:r>
              <w:rPr>
                <w:rFonts w:cs="Arial"/>
                <w:b/>
                <w:szCs w:val="16"/>
                <w:lang w:eastAsia="en-US"/>
              </w:rPr>
              <w:t>B+</w:t>
            </w:r>
          </w:p>
        </w:tc>
      </w:tr>
      <w:tr w:rsidR="00796BD9" w:rsidRPr="00595782" w14:paraId="4EB2571A" w14:textId="77777777" w:rsidTr="00796BD9">
        <w:trPr>
          <w:trHeight w:val="296"/>
        </w:trPr>
        <w:tc>
          <w:tcPr>
            <w:tcW w:w="372" w:type="pct"/>
            <w:tcMar>
              <w:top w:w="14" w:type="dxa"/>
            </w:tcMar>
          </w:tcPr>
          <w:p w14:paraId="66857778" w14:textId="46123576" w:rsidR="00796BD9" w:rsidRPr="008A6B23" w:rsidRDefault="00796BD9" w:rsidP="00DD2511">
            <w:pPr>
              <w:ind w:left="-45"/>
              <w:rPr>
                <w:rFonts w:cs="Arial"/>
                <w:szCs w:val="16"/>
                <w:lang w:eastAsia="en-US"/>
              </w:rPr>
            </w:pPr>
            <w:r w:rsidRPr="008A6B23">
              <w:rPr>
                <w:rFonts w:cs="Arial"/>
                <w:szCs w:val="16"/>
                <w:lang w:eastAsia="en-US"/>
              </w:rPr>
              <w:t>PI-2</w:t>
            </w:r>
            <w:r w:rsidR="000749C8">
              <w:rPr>
                <w:rFonts w:cs="Arial"/>
                <w:szCs w:val="16"/>
                <w:lang w:eastAsia="en-US"/>
              </w:rPr>
              <w:t>8</w:t>
            </w:r>
          </w:p>
        </w:tc>
        <w:tc>
          <w:tcPr>
            <w:tcW w:w="3148" w:type="pct"/>
            <w:tcMar>
              <w:top w:w="14" w:type="dxa"/>
            </w:tcMar>
          </w:tcPr>
          <w:p w14:paraId="29451262" w14:textId="573F54D9" w:rsidR="00796BD9" w:rsidRPr="008A6B23" w:rsidRDefault="009D4184" w:rsidP="00DD2511">
            <w:pPr>
              <w:ind w:left="-45"/>
              <w:rPr>
                <w:rFonts w:cs="Arial"/>
                <w:szCs w:val="16"/>
                <w:lang w:eastAsia="en-US"/>
              </w:rPr>
            </w:pPr>
            <w:r>
              <w:rPr>
                <w:rFonts w:cs="Arial"/>
                <w:szCs w:val="16"/>
                <w:lang w:eastAsia="en-US"/>
              </w:rPr>
              <w:t>I</w:t>
            </w:r>
            <w:r w:rsidR="00796BD9" w:rsidRPr="008A6B23">
              <w:rPr>
                <w:rFonts w:cs="Arial"/>
                <w:szCs w:val="16"/>
                <w:lang w:eastAsia="en-US"/>
              </w:rPr>
              <w:t xml:space="preserve">n-year budget reports </w:t>
            </w:r>
          </w:p>
        </w:tc>
        <w:tc>
          <w:tcPr>
            <w:tcW w:w="237" w:type="pct"/>
            <w:gridSpan w:val="2"/>
            <w:tcMar>
              <w:top w:w="14" w:type="dxa"/>
            </w:tcMar>
          </w:tcPr>
          <w:p w14:paraId="59DF00A2" w14:textId="77777777" w:rsidR="00796BD9" w:rsidRPr="00FD2691" w:rsidRDefault="00796BD9" w:rsidP="00DD2511">
            <w:pPr>
              <w:jc w:val="center"/>
              <w:rPr>
                <w:rFonts w:cs="Arial"/>
                <w:szCs w:val="16"/>
                <w:lang w:eastAsia="en-US"/>
              </w:rPr>
            </w:pPr>
            <w:r>
              <w:rPr>
                <w:rFonts w:cs="Arial"/>
                <w:szCs w:val="16"/>
                <w:lang w:eastAsia="en-US"/>
              </w:rPr>
              <w:t>A</w:t>
            </w:r>
          </w:p>
        </w:tc>
        <w:tc>
          <w:tcPr>
            <w:tcW w:w="237" w:type="pct"/>
            <w:gridSpan w:val="2"/>
            <w:tcMar>
              <w:top w:w="14" w:type="dxa"/>
            </w:tcMar>
          </w:tcPr>
          <w:p w14:paraId="5B28282F" w14:textId="77777777" w:rsidR="00796BD9" w:rsidRPr="00FD2691" w:rsidRDefault="00796BD9" w:rsidP="00DD2511">
            <w:pPr>
              <w:jc w:val="center"/>
              <w:rPr>
                <w:rFonts w:cs="Arial"/>
                <w:szCs w:val="16"/>
                <w:lang w:eastAsia="en-US"/>
              </w:rPr>
            </w:pPr>
            <w:r>
              <w:rPr>
                <w:rFonts w:cs="Arial"/>
                <w:szCs w:val="16"/>
                <w:lang w:eastAsia="en-US"/>
              </w:rPr>
              <w:t>D</w:t>
            </w:r>
          </w:p>
        </w:tc>
        <w:tc>
          <w:tcPr>
            <w:tcW w:w="237" w:type="pct"/>
            <w:gridSpan w:val="2"/>
            <w:tcMar>
              <w:top w:w="14" w:type="dxa"/>
            </w:tcMar>
          </w:tcPr>
          <w:p w14:paraId="2E9A6B0B" w14:textId="77777777" w:rsidR="00796BD9" w:rsidRPr="00FD2691" w:rsidRDefault="00796BD9" w:rsidP="00DD2511">
            <w:pPr>
              <w:jc w:val="center"/>
              <w:rPr>
                <w:rFonts w:cs="Arial"/>
                <w:szCs w:val="16"/>
                <w:lang w:eastAsia="en-US"/>
              </w:rPr>
            </w:pPr>
            <w:r>
              <w:rPr>
                <w:rFonts w:cs="Arial"/>
                <w:szCs w:val="16"/>
                <w:lang w:eastAsia="en-US"/>
              </w:rPr>
              <w:t>C</w:t>
            </w:r>
          </w:p>
        </w:tc>
        <w:tc>
          <w:tcPr>
            <w:tcW w:w="208" w:type="pct"/>
            <w:gridSpan w:val="2"/>
            <w:tcBorders>
              <w:top w:val="single" w:sz="6" w:space="0" w:color="006DB6"/>
              <w:bottom w:val="single" w:sz="6" w:space="0" w:color="006DB6"/>
            </w:tcBorders>
            <w:shd w:val="clear" w:color="auto" w:fill="D5DCE4" w:themeFill="text2" w:themeFillTint="33"/>
            <w:tcMar>
              <w:top w:w="14" w:type="dxa"/>
            </w:tcMar>
          </w:tcPr>
          <w:p w14:paraId="750941E9" w14:textId="77777777" w:rsidR="00796BD9" w:rsidRPr="00FD2691" w:rsidRDefault="00796BD9" w:rsidP="00DD2511">
            <w:pPr>
              <w:jc w:val="center"/>
              <w:rPr>
                <w:rFonts w:cs="Arial"/>
                <w:szCs w:val="16"/>
                <w:lang w:eastAsia="en-US"/>
              </w:rPr>
            </w:pPr>
          </w:p>
        </w:tc>
        <w:tc>
          <w:tcPr>
            <w:tcW w:w="561" w:type="pct"/>
            <w:gridSpan w:val="2"/>
            <w:tcMar>
              <w:top w:w="14" w:type="dxa"/>
              <w:left w:w="288" w:type="dxa"/>
            </w:tcMar>
          </w:tcPr>
          <w:p w14:paraId="7F327B55" w14:textId="77777777" w:rsidR="00796BD9" w:rsidRPr="00460F54" w:rsidRDefault="00796BD9" w:rsidP="00DD2511">
            <w:pPr>
              <w:rPr>
                <w:rFonts w:cs="Arial"/>
                <w:b/>
                <w:szCs w:val="16"/>
                <w:lang w:eastAsia="en-US"/>
              </w:rPr>
            </w:pPr>
            <w:r>
              <w:rPr>
                <w:rFonts w:cs="Arial"/>
                <w:b/>
                <w:szCs w:val="16"/>
                <w:lang w:eastAsia="en-US"/>
              </w:rPr>
              <w:t>D+</w:t>
            </w:r>
          </w:p>
        </w:tc>
      </w:tr>
      <w:tr w:rsidR="00796BD9" w:rsidRPr="00595782" w14:paraId="297A350E" w14:textId="77777777" w:rsidTr="00796BD9">
        <w:trPr>
          <w:trHeight w:val="296"/>
        </w:trPr>
        <w:tc>
          <w:tcPr>
            <w:tcW w:w="372" w:type="pct"/>
            <w:tcBorders>
              <w:bottom w:val="single" w:sz="6" w:space="0" w:color="006DB6"/>
            </w:tcBorders>
            <w:tcMar>
              <w:top w:w="14" w:type="dxa"/>
            </w:tcMar>
          </w:tcPr>
          <w:p w14:paraId="2AC45797" w14:textId="7F9C623F" w:rsidR="00796BD9" w:rsidRPr="008A6B23" w:rsidRDefault="00796BD9" w:rsidP="00DD2511">
            <w:pPr>
              <w:ind w:left="-45"/>
              <w:rPr>
                <w:rFonts w:cs="Arial"/>
                <w:szCs w:val="16"/>
                <w:lang w:eastAsia="en-US"/>
              </w:rPr>
            </w:pPr>
            <w:r w:rsidRPr="008A6B23">
              <w:rPr>
                <w:rFonts w:cs="Arial"/>
                <w:szCs w:val="16"/>
                <w:lang w:eastAsia="en-US"/>
              </w:rPr>
              <w:t>PI-2</w:t>
            </w:r>
            <w:r w:rsidR="000749C8">
              <w:rPr>
                <w:rFonts w:cs="Arial"/>
                <w:szCs w:val="16"/>
                <w:lang w:eastAsia="en-US"/>
              </w:rPr>
              <w:t>9</w:t>
            </w:r>
          </w:p>
        </w:tc>
        <w:tc>
          <w:tcPr>
            <w:tcW w:w="3148" w:type="pct"/>
            <w:tcBorders>
              <w:bottom w:val="single" w:sz="6" w:space="0" w:color="006DB6"/>
            </w:tcBorders>
            <w:tcMar>
              <w:top w:w="14" w:type="dxa"/>
            </w:tcMar>
          </w:tcPr>
          <w:p w14:paraId="4960F8D9" w14:textId="5DA210F3" w:rsidR="00796BD9" w:rsidRPr="008A6B23" w:rsidRDefault="009D4184" w:rsidP="00DD2511">
            <w:pPr>
              <w:ind w:left="-45"/>
              <w:rPr>
                <w:rFonts w:cs="Arial"/>
                <w:szCs w:val="16"/>
                <w:lang w:eastAsia="en-US"/>
              </w:rPr>
            </w:pPr>
            <w:r>
              <w:rPr>
                <w:rFonts w:cs="Arial"/>
                <w:szCs w:val="16"/>
                <w:lang w:eastAsia="en-US"/>
              </w:rPr>
              <w:t>A</w:t>
            </w:r>
            <w:r w:rsidR="00796BD9" w:rsidRPr="008A6B23">
              <w:rPr>
                <w:rFonts w:cs="Arial"/>
                <w:szCs w:val="16"/>
                <w:lang w:eastAsia="en-US"/>
              </w:rPr>
              <w:t xml:space="preserve">nnual financial reports </w:t>
            </w:r>
          </w:p>
        </w:tc>
        <w:tc>
          <w:tcPr>
            <w:tcW w:w="237" w:type="pct"/>
            <w:gridSpan w:val="2"/>
            <w:tcBorders>
              <w:bottom w:val="single" w:sz="6" w:space="0" w:color="006DB6"/>
            </w:tcBorders>
            <w:tcMar>
              <w:top w:w="14" w:type="dxa"/>
            </w:tcMar>
          </w:tcPr>
          <w:p w14:paraId="28377121" w14:textId="77777777" w:rsidR="00796BD9" w:rsidRPr="00FD2691" w:rsidRDefault="00796BD9" w:rsidP="00DD2511">
            <w:pPr>
              <w:jc w:val="center"/>
              <w:rPr>
                <w:rFonts w:cs="Arial"/>
                <w:szCs w:val="16"/>
                <w:lang w:eastAsia="en-US"/>
              </w:rPr>
            </w:pPr>
            <w:r>
              <w:rPr>
                <w:rFonts w:cs="Arial"/>
                <w:szCs w:val="16"/>
                <w:lang w:eastAsia="en-US"/>
              </w:rPr>
              <w:t>C</w:t>
            </w:r>
          </w:p>
        </w:tc>
        <w:tc>
          <w:tcPr>
            <w:tcW w:w="237" w:type="pct"/>
            <w:gridSpan w:val="2"/>
            <w:tcBorders>
              <w:bottom w:val="single" w:sz="6" w:space="0" w:color="006DB6"/>
            </w:tcBorders>
            <w:tcMar>
              <w:top w:w="14" w:type="dxa"/>
            </w:tcMar>
          </w:tcPr>
          <w:p w14:paraId="71FBBFB9" w14:textId="77777777" w:rsidR="00796BD9" w:rsidRPr="00FD2691" w:rsidRDefault="00796BD9" w:rsidP="00DD2511">
            <w:pPr>
              <w:jc w:val="center"/>
              <w:rPr>
                <w:rFonts w:cs="Arial"/>
                <w:szCs w:val="16"/>
                <w:lang w:eastAsia="en-US"/>
              </w:rPr>
            </w:pPr>
            <w:r>
              <w:rPr>
                <w:rFonts w:cs="Arial"/>
                <w:szCs w:val="16"/>
                <w:lang w:eastAsia="en-US"/>
              </w:rPr>
              <w:t>A</w:t>
            </w:r>
          </w:p>
        </w:tc>
        <w:tc>
          <w:tcPr>
            <w:tcW w:w="237" w:type="pct"/>
            <w:gridSpan w:val="2"/>
            <w:tcBorders>
              <w:bottom w:val="single" w:sz="6" w:space="0" w:color="006DB6"/>
            </w:tcBorders>
            <w:tcMar>
              <w:top w:w="14" w:type="dxa"/>
            </w:tcMar>
          </w:tcPr>
          <w:p w14:paraId="61F71A03" w14:textId="77777777" w:rsidR="00796BD9" w:rsidRPr="00FD2691" w:rsidRDefault="00796BD9" w:rsidP="00DD2511">
            <w:pPr>
              <w:jc w:val="center"/>
              <w:rPr>
                <w:rFonts w:cs="Arial"/>
                <w:szCs w:val="16"/>
                <w:lang w:eastAsia="en-US"/>
              </w:rPr>
            </w:pPr>
            <w:r>
              <w:rPr>
                <w:rFonts w:cs="Arial"/>
                <w:szCs w:val="16"/>
                <w:lang w:eastAsia="en-US"/>
              </w:rPr>
              <w:t>C</w:t>
            </w:r>
          </w:p>
        </w:tc>
        <w:tc>
          <w:tcPr>
            <w:tcW w:w="208" w:type="pct"/>
            <w:gridSpan w:val="2"/>
            <w:tcBorders>
              <w:top w:val="single" w:sz="6" w:space="0" w:color="006DB6"/>
              <w:bottom w:val="single" w:sz="6" w:space="0" w:color="006DB6"/>
            </w:tcBorders>
            <w:shd w:val="clear" w:color="auto" w:fill="D5DCE4" w:themeFill="text2" w:themeFillTint="33"/>
            <w:tcMar>
              <w:top w:w="14" w:type="dxa"/>
            </w:tcMar>
          </w:tcPr>
          <w:p w14:paraId="5FADBE07" w14:textId="77777777" w:rsidR="00796BD9" w:rsidRPr="00FD2691" w:rsidRDefault="00796BD9" w:rsidP="00DD2511">
            <w:pPr>
              <w:jc w:val="center"/>
              <w:rPr>
                <w:rFonts w:cs="Arial"/>
                <w:szCs w:val="16"/>
                <w:lang w:eastAsia="en-US"/>
              </w:rPr>
            </w:pPr>
          </w:p>
        </w:tc>
        <w:tc>
          <w:tcPr>
            <w:tcW w:w="561" w:type="pct"/>
            <w:gridSpan w:val="2"/>
            <w:tcBorders>
              <w:bottom w:val="single" w:sz="6" w:space="0" w:color="006DB6"/>
            </w:tcBorders>
            <w:tcMar>
              <w:top w:w="14" w:type="dxa"/>
              <w:left w:w="288" w:type="dxa"/>
            </w:tcMar>
          </w:tcPr>
          <w:p w14:paraId="276003B0" w14:textId="77777777" w:rsidR="00796BD9" w:rsidRPr="00460F54" w:rsidRDefault="00796BD9" w:rsidP="00DD2511">
            <w:pPr>
              <w:rPr>
                <w:rFonts w:cs="Arial"/>
                <w:b/>
                <w:szCs w:val="16"/>
                <w:lang w:eastAsia="en-US"/>
              </w:rPr>
            </w:pPr>
            <w:r w:rsidRPr="00460F54">
              <w:rPr>
                <w:rFonts w:cs="Arial"/>
                <w:b/>
                <w:szCs w:val="16"/>
                <w:lang w:eastAsia="en-US"/>
              </w:rPr>
              <w:t>C+</w:t>
            </w:r>
          </w:p>
        </w:tc>
      </w:tr>
    </w:tbl>
    <w:p w14:paraId="505223D1" w14:textId="77777777" w:rsidR="00C556B8" w:rsidRPr="00C556B8" w:rsidRDefault="00C556B8" w:rsidP="00C556B8">
      <w:pPr>
        <w:pStyle w:val="DefaultText"/>
      </w:pPr>
    </w:p>
    <w:p w14:paraId="7A34D892" w14:textId="638E4361" w:rsidR="00C556B8" w:rsidRPr="001110F1" w:rsidRDefault="00C556B8" w:rsidP="00C556B8">
      <w:pPr>
        <w:pStyle w:val="StyleDefault11ptAutoJustifiedAfter6pt"/>
        <w:spacing w:before="0" w:after="0" w:line="276" w:lineRule="auto"/>
        <w:rPr>
          <w:rFonts w:ascii="Arial" w:hAnsi="Arial" w:cs="Arial"/>
          <w:sz w:val="20"/>
        </w:rPr>
      </w:pPr>
      <w:r w:rsidRPr="001110F1">
        <w:rPr>
          <w:rFonts w:ascii="Arial" w:hAnsi="Arial" w:cs="Arial"/>
          <w:sz w:val="20"/>
        </w:rPr>
        <w:t>Bank reconciliations f</w:t>
      </w:r>
      <w:r w:rsidR="00B714DC">
        <w:rPr>
          <w:rFonts w:ascii="Arial" w:hAnsi="Arial" w:cs="Arial"/>
          <w:sz w:val="20"/>
        </w:rPr>
        <w:t>or all Government accounts take</w:t>
      </w:r>
      <w:r w:rsidRPr="001110F1">
        <w:rPr>
          <w:rFonts w:ascii="Arial" w:hAnsi="Arial" w:cs="Arial"/>
          <w:sz w:val="20"/>
        </w:rPr>
        <w:t xml:space="preserve"> place at least monthly at aggregate and detailed levels within two weeks of the end of</w:t>
      </w:r>
      <w:r w:rsidR="00426EBC">
        <w:rPr>
          <w:rFonts w:ascii="Arial" w:hAnsi="Arial" w:cs="Arial"/>
          <w:sz w:val="20"/>
        </w:rPr>
        <w:t xml:space="preserve"> the period.  S</w:t>
      </w:r>
      <w:r w:rsidRPr="001110F1">
        <w:rPr>
          <w:rFonts w:ascii="Arial" w:hAnsi="Arial" w:cs="Arial"/>
          <w:sz w:val="20"/>
        </w:rPr>
        <w:t>uspense accounts</w:t>
      </w:r>
      <w:r w:rsidR="00426EBC">
        <w:rPr>
          <w:rFonts w:ascii="Arial" w:hAnsi="Arial" w:cs="Arial"/>
          <w:sz w:val="20"/>
        </w:rPr>
        <w:t xml:space="preserve"> are not used</w:t>
      </w:r>
      <w:r w:rsidRPr="001110F1">
        <w:rPr>
          <w:rFonts w:ascii="Arial" w:hAnsi="Arial" w:cs="Arial"/>
          <w:sz w:val="20"/>
        </w:rPr>
        <w:t xml:space="preserve">, and </w:t>
      </w:r>
      <w:r w:rsidRPr="001110F1">
        <w:rPr>
          <w:rFonts w:ascii="Arial" w:hAnsi="Arial" w:cs="Arial"/>
          <w:color w:val="000000" w:themeColor="text1"/>
          <w:sz w:val="20"/>
        </w:rPr>
        <w:t xml:space="preserve">travel allowances are promptly expensed and any reconciliation conducted at the MDA level.  </w:t>
      </w:r>
    </w:p>
    <w:p w14:paraId="58655C76" w14:textId="77777777" w:rsidR="00C556B8" w:rsidRPr="002A297B" w:rsidRDefault="00C556B8" w:rsidP="00C556B8">
      <w:pPr>
        <w:pStyle w:val="Default"/>
        <w:spacing w:line="276" w:lineRule="auto"/>
        <w:jc w:val="both"/>
        <w:rPr>
          <w:rFonts w:ascii="Arial" w:eastAsia="Times New Roman" w:hAnsi="Arial" w:cs="Arial"/>
          <w:color w:val="auto"/>
          <w:sz w:val="20"/>
          <w:szCs w:val="20"/>
          <w:highlight w:val="cyan"/>
          <w:lang w:eastAsia="nl-NL"/>
        </w:rPr>
      </w:pPr>
    </w:p>
    <w:p w14:paraId="43990BC9" w14:textId="4C18D2C7" w:rsidR="00C556B8" w:rsidRPr="00382DF1" w:rsidRDefault="00B714DC" w:rsidP="00C556B8">
      <w:pPr>
        <w:autoSpaceDE w:val="0"/>
        <w:autoSpaceDN w:val="0"/>
        <w:adjustRightInd w:val="0"/>
        <w:spacing w:line="276" w:lineRule="auto"/>
        <w:jc w:val="both"/>
        <w:rPr>
          <w:rFonts w:cs="Arial"/>
          <w:sz w:val="20"/>
          <w:szCs w:val="20"/>
        </w:rPr>
      </w:pPr>
      <w:r>
        <w:rPr>
          <w:rFonts w:cs="Arial"/>
          <w:sz w:val="20"/>
          <w:szCs w:val="20"/>
        </w:rPr>
        <w:t>Q</w:t>
      </w:r>
      <w:r w:rsidRPr="00382DF1">
        <w:rPr>
          <w:rFonts w:cs="Arial"/>
          <w:sz w:val="20"/>
          <w:szCs w:val="20"/>
        </w:rPr>
        <w:t xml:space="preserve">uarterly </w:t>
      </w:r>
      <w:r>
        <w:rPr>
          <w:rFonts w:cs="Arial"/>
          <w:sz w:val="20"/>
          <w:szCs w:val="20"/>
        </w:rPr>
        <w:t>budget execution reports</w:t>
      </w:r>
      <w:r w:rsidR="009D4184">
        <w:rPr>
          <w:rFonts w:cs="Arial"/>
          <w:sz w:val="20"/>
          <w:szCs w:val="20"/>
        </w:rPr>
        <w:t xml:space="preserve"> (PI-28</w:t>
      </w:r>
      <w:r w:rsidR="00C556B8" w:rsidRPr="00382DF1">
        <w:rPr>
          <w:rFonts w:cs="Arial"/>
          <w:sz w:val="20"/>
          <w:szCs w:val="20"/>
        </w:rPr>
        <w:t xml:space="preserve">) </w:t>
      </w:r>
      <w:r>
        <w:rPr>
          <w:rFonts w:cs="Arial"/>
          <w:sz w:val="20"/>
          <w:szCs w:val="20"/>
        </w:rPr>
        <w:t>cover</w:t>
      </w:r>
      <w:r w:rsidR="00E201FF">
        <w:rPr>
          <w:rFonts w:cs="Arial"/>
          <w:sz w:val="20"/>
          <w:szCs w:val="20"/>
        </w:rPr>
        <w:t xml:space="preserve"> general government,</w:t>
      </w:r>
      <w:r>
        <w:rPr>
          <w:rFonts w:cs="Arial"/>
          <w:sz w:val="20"/>
          <w:szCs w:val="20"/>
        </w:rPr>
        <w:t xml:space="preserve"> and</w:t>
      </w:r>
      <w:r w:rsidR="00C556B8" w:rsidRPr="00382DF1">
        <w:rPr>
          <w:rFonts w:cs="Arial"/>
          <w:sz w:val="20"/>
          <w:szCs w:val="20"/>
        </w:rPr>
        <w:t xml:space="preserve"> include disbursements, at the payment (</w:t>
      </w:r>
      <w:r w:rsidR="00CD510E">
        <w:rPr>
          <w:rFonts w:cs="Arial"/>
          <w:sz w:val="20"/>
          <w:szCs w:val="20"/>
        </w:rPr>
        <w:t>but</w:t>
      </w:r>
      <w:r w:rsidR="00C556B8" w:rsidRPr="00382DF1">
        <w:rPr>
          <w:rFonts w:cs="Arial"/>
          <w:sz w:val="20"/>
          <w:szCs w:val="20"/>
        </w:rPr>
        <w:t xml:space="preserve"> not at the commitment) stage.  </w:t>
      </w:r>
      <w:r>
        <w:rPr>
          <w:rFonts w:cs="Arial"/>
          <w:sz w:val="20"/>
          <w:szCs w:val="20"/>
        </w:rPr>
        <w:t>However,</w:t>
      </w:r>
      <w:r w:rsidR="00C556B8" w:rsidRPr="00382DF1">
        <w:rPr>
          <w:rFonts w:cs="Arial"/>
          <w:sz w:val="20"/>
          <w:szCs w:val="20"/>
        </w:rPr>
        <w:t xml:space="preserve"> the OAG </w:t>
      </w:r>
      <w:r>
        <w:rPr>
          <w:rFonts w:cs="Arial"/>
          <w:sz w:val="20"/>
          <w:szCs w:val="20"/>
        </w:rPr>
        <w:t xml:space="preserve">has </w:t>
      </w:r>
      <w:r w:rsidR="00C556B8" w:rsidRPr="00382DF1">
        <w:rPr>
          <w:rFonts w:cs="Arial"/>
          <w:sz w:val="20"/>
          <w:szCs w:val="20"/>
        </w:rPr>
        <w:t xml:space="preserve">reported that the majority of budget agencies </w:t>
      </w:r>
      <w:r w:rsidR="00FF52A3">
        <w:rPr>
          <w:rFonts w:cs="Arial"/>
          <w:sz w:val="20"/>
          <w:szCs w:val="20"/>
        </w:rPr>
        <w:t xml:space="preserve">were </w:t>
      </w:r>
      <w:r w:rsidR="00C556B8" w:rsidRPr="00382DF1">
        <w:rPr>
          <w:rFonts w:cs="Arial"/>
          <w:sz w:val="20"/>
          <w:szCs w:val="20"/>
        </w:rPr>
        <w:t xml:space="preserve">required </w:t>
      </w:r>
      <w:r w:rsidR="00FF52A3">
        <w:rPr>
          <w:rFonts w:cs="Arial"/>
          <w:sz w:val="20"/>
          <w:szCs w:val="20"/>
        </w:rPr>
        <w:t>to adjust</w:t>
      </w:r>
      <w:r w:rsidR="00C556B8" w:rsidRPr="00382DF1">
        <w:rPr>
          <w:rFonts w:cs="Arial"/>
          <w:sz w:val="20"/>
          <w:szCs w:val="20"/>
        </w:rPr>
        <w:t xml:space="preserve"> their AFS during audit</w:t>
      </w:r>
      <w:r w:rsidR="00CD510E">
        <w:rPr>
          <w:rFonts w:cs="Arial"/>
          <w:sz w:val="20"/>
          <w:szCs w:val="20"/>
        </w:rPr>
        <w:t>, which</w:t>
      </w:r>
      <w:r w:rsidR="00C556B8" w:rsidRPr="00382DF1">
        <w:rPr>
          <w:rFonts w:cs="Arial"/>
          <w:sz w:val="20"/>
          <w:szCs w:val="20"/>
        </w:rPr>
        <w:t xml:space="preserve"> suggests that </w:t>
      </w:r>
      <w:r>
        <w:rPr>
          <w:rFonts w:cs="Arial"/>
          <w:sz w:val="20"/>
          <w:szCs w:val="20"/>
        </w:rPr>
        <w:t xml:space="preserve">these </w:t>
      </w:r>
      <w:r w:rsidR="00C556B8" w:rsidRPr="00382DF1">
        <w:rPr>
          <w:rFonts w:cs="Arial"/>
          <w:sz w:val="20"/>
          <w:szCs w:val="20"/>
        </w:rPr>
        <w:t>monthly budget execution reports are less than completely reliable</w:t>
      </w:r>
    </w:p>
    <w:p w14:paraId="6165ED97" w14:textId="77777777" w:rsidR="00C556B8" w:rsidRPr="0031069D" w:rsidRDefault="00C556B8" w:rsidP="00C556B8">
      <w:pPr>
        <w:autoSpaceDE w:val="0"/>
        <w:autoSpaceDN w:val="0"/>
        <w:adjustRightInd w:val="0"/>
        <w:spacing w:line="276" w:lineRule="auto"/>
        <w:jc w:val="both"/>
        <w:rPr>
          <w:rFonts w:eastAsia="Calibri" w:cs="Arial"/>
          <w:color w:val="000000"/>
          <w:sz w:val="20"/>
          <w:szCs w:val="20"/>
          <w:lang w:val="en-US" w:eastAsia="en-US"/>
        </w:rPr>
      </w:pPr>
    </w:p>
    <w:p w14:paraId="1E58B650" w14:textId="11421546" w:rsidR="00C556B8" w:rsidRPr="0094587C" w:rsidRDefault="00C556B8" w:rsidP="00C556B8">
      <w:pPr>
        <w:autoSpaceDE w:val="0"/>
        <w:autoSpaceDN w:val="0"/>
        <w:adjustRightInd w:val="0"/>
        <w:spacing w:line="276" w:lineRule="auto"/>
        <w:jc w:val="both"/>
        <w:rPr>
          <w:rFonts w:cs="Arial"/>
          <w:sz w:val="20"/>
          <w:szCs w:val="20"/>
        </w:rPr>
      </w:pPr>
      <w:r w:rsidRPr="0094587C">
        <w:rPr>
          <w:rFonts w:cs="Arial"/>
          <w:sz w:val="20"/>
          <w:szCs w:val="20"/>
        </w:rPr>
        <w:t xml:space="preserve">The annual Consolidated Financial Statements (CFSs) cover all MDAs and other budget entities, and are prepared according to the modified cash basis of accounting, in accordance with the legal framework, although this does not comply with </w:t>
      </w:r>
      <w:r w:rsidRPr="0094587C">
        <w:rPr>
          <w:rFonts w:cs="Arial"/>
          <w:i/>
          <w:sz w:val="20"/>
          <w:szCs w:val="20"/>
        </w:rPr>
        <w:t>International Public Sector Accounting Standards</w:t>
      </w:r>
      <w:r w:rsidRPr="0094587C">
        <w:rPr>
          <w:rFonts w:cs="Arial"/>
          <w:sz w:val="20"/>
          <w:szCs w:val="20"/>
        </w:rPr>
        <w:t xml:space="preserve">.  </w:t>
      </w:r>
      <w:r w:rsidR="00E201FF" w:rsidRPr="0094587C">
        <w:rPr>
          <w:rFonts w:cs="Arial"/>
          <w:sz w:val="20"/>
          <w:szCs w:val="20"/>
        </w:rPr>
        <w:t>Reports have been produced on time, within thr</w:t>
      </w:r>
      <w:r w:rsidR="009D4184">
        <w:rPr>
          <w:rFonts w:cs="Arial"/>
          <w:sz w:val="20"/>
          <w:szCs w:val="20"/>
        </w:rPr>
        <w:t>ee months of the year-end (PI-29</w:t>
      </w:r>
      <w:r w:rsidR="00E201FF" w:rsidRPr="0094587C">
        <w:rPr>
          <w:rFonts w:cs="Arial"/>
          <w:sz w:val="20"/>
          <w:szCs w:val="20"/>
        </w:rPr>
        <w:t>).</w:t>
      </w:r>
      <w:r w:rsidR="00E201FF">
        <w:rPr>
          <w:rFonts w:cs="Arial"/>
          <w:sz w:val="20"/>
          <w:szCs w:val="20"/>
        </w:rPr>
        <w:t xml:space="preserve">  </w:t>
      </w:r>
      <w:r w:rsidRPr="0094587C">
        <w:rPr>
          <w:rFonts w:cs="Arial"/>
          <w:sz w:val="20"/>
          <w:szCs w:val="20"/>
        </w:rPr>
        <w:t xml:space="preserve">The CFSs for the </w:t>
      </w:r>
      <w:r w:rsidR="00E201FF">
        <w:rPr>
          <w:rFonts w:cs="Arial"/>
          <w:sz w:val="20"/>
          <w:szCs w:val="20"/>
        </w:rPr>
        <w:t xml:space="preserve">previous </w:t>
      </w:r>
      <w:r w:rsidRPr="0094587C">
        <w:rPr>
          <w:rFonts w:cs="Arial"/>
          <w:sz w:val="20"/>
          <w:szCs w:val="20"/>
        </w:rPr>
        <w:t>three years had received a ‘disclaimed’ opinion from the OAG, a</w:t>
      </w:r>
      <w:r w:rsidR="00CD510E">
        <w:rPr>
          <w:rFonts w:cs="Arial"/>
          <w:sz w:val="20"/>
          <w:szCs w:val="20"/>
        </w:rPr>
        <w:t>lthough a</w:t>
      </w:r>
      <w:r w:rsidRPr="0094587C">
        <w:rPr>
          <w:rFonts w:cs="Arial"/>
          <w:sz w:val="20"/>
          <w:szCs w:val="20"/>
        </w:rPr>
        <w:t>n impr</w:t>
      </w:r>
      <w:r w:rsidR="00E201FF">
        <w:rPr>
          <w:rFonts w:cs="Arial"/>
          <w:sz w:val="20"/>
          <w:szCs w:val="20"/>
        </w:rPr>
        <w:t>ovement was noted in the last FY</w:t>
      </w:r>
      <w:r w:rsidRPr="0094587C">
        <w:rPr>
          <w:rFonts w:cs="Arial"/>
          <w:sz w:val="20"/>
          <w:szCs w:val="20"/>
        </w:rPr>
        <w:t>, with a slight increase in the number of public entities receiving unqu</w:t>
      </w:r>
      <w:r w:rsidR="00781FCF">
        <w:rPr>
          <w:rFonts w:cs="Arial"/>
          <w:sz w:val="20"/>
          <w:szCs w:val="20"/>
        </w:rPr>
        <w:t>alified reports.  However,</w:t>
      </w:r>
      <w:r w:rsidRPr="0094587C">
        <w:rPr>
          <w:rFonts w:cs="Arial"/>
          <w:sz w:val="20"/>
          <w:szCs w:val="20"/>
        </w:rPr>
        <w:t xml:space="preserve"> the OAG </w:t>
      </w:r>
      <w:r w:rsidR="00781FCF">
        <w:rPr>
          <w:rFonts w:cs="Arial"/>
          <w:sz w:val="20"/>
          <w:szCs w:val="20"/>
        </w:rPr>
        <w:t>notes that</w:t>
      </w:r>
      <w:r w:rsidR="002A79FF">
        <w:rPr>
          <w:rFonts w:cs="Arial"/>
          <w:sz w:val="20"/>
          <w:szCs w:val="20"/>
        </w:rPr>
        <w:t xml:space="preserve"> </w:t>
      </w:r>
      <w:r w:rsidR="00781FCF" w:rsidRPr="0094587C">
        <w:rPr>
          <w:rFonts w:cs="Arial"/>
          <w:sz w:val="20"/>
          <w:szCs w:val="20"/>
        </w:rPr>
        <w:t xml:space="preserve">the AFSs </w:t>
      </w:r>
      <w:r w:rsidR="00781FCF">
        <w:rPr>
          <w:rFonts w:cs="Arial"/>
          <w:sz w:val="20"/>
          <w:szCs w:val="20"/>
        </w:rPr>
        <w:t>of</w:t>
      </w:r>
      <w:r w:rsidRPr="0094587C">
        <w:rPr>
          <w:rFonts w:cs="Arial"/>
          <w:sz w:val="20"/>
          <w:szCs w:val="20"/>
        </w:rPr>
        <w:t xml:space="preserve"> som</w:t>
      </w:r>
      <w:r w:rsidR="00781FCF">
        <w:rPr>
          <w:rFonts w:cs="Arial"/>
          <w:sz w:val="20"/>
          <w:szCs w:val="20"/>
        </w:rPr>
        <w:t>e GBEs</w:t>
      </w:r>
      <w:r w:rsidRPr="0094587C">
        <w:rPr>
          <w:rFonts w:cs="Arial"/>
          <w:sz w:val="20"/>
          <w:szCs w:val="20"/>
        </w:rPr>
        <w:t xml:space="preserve"> were marred by gross financial mismanagement, resulting in losses or misappropriations of public resources.  </w:t>
      </w:r>
    </w:p>
    <w:p w14:paraId="4C56E996" w14:textId="77777777" w:rsidR="00C556B8" w:rsidRPr="0094587C" w:rsidRDefault="00C556B8" w:rsidP="00C556B8">
      <w:pPr>
        <w:pStyle w:val="DefaultText"/>
        <w:rPr>
          <w:sz w:val="20"/>
        </w:rPr>
      </w:pPr>
    </w:p>
    <w:p w14:paraId="3D4C071E" w14:textId="77777777" w:rsidR="00C556B8" w:rsidRDefault="00C556B8" w:rsidP="00C556B8">
      <w:pPr>
        <w:pStyle w:val="Heading3"/>
        <w:ind w:left="0"/>
      </w:pPr>
      <w:bookmarkStart w:id="13" w:name="_Toc301352247"/>
      <w:bookmarkStart w:id="14" w:name="_Toc434503081"/>
      <w:r w:rsidRPr="0094587C">
        <w:t>External scrutiny and audit</w:t>
      </w:r>
      <w:bookmarkEnd w:id="13"/>
      <w:bookmarkEnd w:id="14"/>
      <w:r w:rsidRPr="0094587C">
        <w:t xml:space="preserve"> </w:t>
      </w:r>
    </w:p>
    <w:tbl>
      <w:tblPr>
        <w:tblStyle w:val="TabelEcorys2"/>
        <w:tblW w:w="5000" w:type="pct"/>
        <w:tblInd w:w="0" w:type="dxa"/>
        <w:tblBorders>
          <w:top w:val="single" w:sz="4" w:space="0" w:color="006DB6"/>
          <w:left w:val="single" w:sz="4" w:space="0" w:color="006DB6"/>
          <w:bottom w:val="single" w:sz="4" w:space="0" w:color="006DB6"/>
          <w:right w:val="single" w:sz="4" w:space="0" w:color="006DB6"/>
          <w:insideH w:val="single" w:sz="6" w:space="0" w:color="006DB6"/>
          <w:insideV w:val="single" w:sz="6" w:space="0" w:color="006DB6"/>
        </w:tblBorders>
        <w:tblLook w:val="01E0" w:firstRow="1" w:lastRow="1" w:firstColumn="1" w:lastColumn="1" w:noHBand="0" w:noVBand="0"/>
      </w:tblPr>
      <w:tblGrid>
        <w:gridCol w:w="673"/>
        <w:gridCol w:w="5676"/>
        <w:gridCol w:w="11"/>
        <w:gridCol w:w="414"/>
        <w:gridCol w:w="9"/>
        <w:gridCol w:w="414"/>
        <w:gridCol w:w="11"/>
        <w:gridCol w:w="418"/>
        <w:gridCol w:w="11"/>
        <w:gridCol w:w="364"/>
        <w:gridCol w:w="14"/>
        <w:gridCol w:w="995"/>
      </w:tblGrid>
      <w:tr w:rsidR="00796BD9" w:rsidRPr="00595782" w14:paraId="4D66DBFD" w14:textId="77777777" w:rsidTr="00796BD9">
        <w:trPr>
          <w:tblHeader/>
        </w:trPr>
        <w:tc>
          <w:tcPr>
            <w:tcW w:w="3529" w:type="pct"/>
            <w:gridSpan w:val="3"/>
            <w:vMerge w:val="restart"/>
            <w:tcBorders>
              <w:top w:val="single" w:sz="4" w:space="0" w:color="006DB6"/>
              <w:bottom w:val="single" w:sz="4" w:space="0" w:color="FFFFFF" w:themeColor="background1"/>
              <w:right w:val="single" w:sz="4" w:space="0" w:color="FFFFFF" w:themeColor="background1"/>
            </w:tcBorders>
            <w:shd w:val="clear" w:color="auto" w:fill="006DB6"/>
            <w:tcMar>
              <w:top w:w="14" w:type="dxa"/>
            </w:tcMar>
            <w:vAlign w:val="center"/>
          </w:tcPr>
          <w:p w14:paraId="28B9EBC2" w14:textId="77777777" w:rsidR="00796BD9" w:rsidRPr="00595782" w:rsidRDefault="00796BD9" w:rsidP="00DD2511">
            <w:pPr>
              <w:rPr>
                <w:rFonts w:cs="Arial"/>
                <w:b/>
                <w:color w:val="FFFFFF"/>
                <w:sz w:val="16"/>
                <w:szCs w:val="16"/>
                <w:lang w:eastAsia="en-US"/>
              </w:rPr>
            </w:pPr>
            <w:r w:rsidRPr="00796BD9">
              <w:rPr>
                <w:rFonts w:cs="Arial"/>
                <w:b/>
                <w:color w:val="FFFFFF" w:themeColor="background1"/>
                <w:sz w:val="20"/>
                <w:szCs w:val="16"/>
                <w:lang w:eastAsia="en-US"/>
              </w:rPr>
              <w:t>VII. External Scrutiny and Audit</w:t>
            </w:r>
          </w:p>
        </w:tc>
        <w:tc>
          <w:tcPr>
            <w:tcW w:w="919" w:type="pct"/>
            <w:gridSpan w:val="8"/>
            <w:tcBorders>
              <w:top w:val="single" w:sz="4" w:space="0" w:color="006DB6"/>
              <w:left w:val="single" w:sz="4" w:space="0" w:color="FFFFFF" w:themeColor="background1"/>
              <w:bottom w:val="single" w:sz="4" w:space="0" w:color="FFFFFF" w:themeColor="background1"/>
              <w:right w:val="single" w:sz="4" w:space="0" w:color="FFFFFF" w:themeColor="background1"/>
            </w:tcBorders>
            <w:shd w:val="clear" w:color="auto" w:fill="006DB6"/>
            <w:tcMar>
              <w:top w:w="14" w:type="dxa"/>
            </w:tcMar>
            <w:vAlign w:val="center"/>
          </w:tcPr>
          <w:p w14:paraId="7F962D7E" w14:textId="77777777" w:rsidR="00796BD9" w:rsidRPr="00595782" w:rsidRDefault="00796BD9" w:rsidP="00DD2511">
            <w:pPr>
              <w:jc w:val="center"/>
              <w:rPr>
                <w:rFonts w:cs="Arial"/>
                <w:b/>
                <w:color w:val="FFFFFF"/>
                <w:spacing w:val="-14"/>
                <w:sz w:val="16"/>
                <w:szCs w:val="16"/>
                <w:lang w:eastAsia="en-US"/>
              </w:rPr>
            </w:pPr>
            <w:r w:rsidRPr="00595782">
              <w:rPr>
                <w:rFonts w:cs="Arial"/>
                <w:b/>
                <w:color w:val="FFFFFF"/>
                <w:spacing w:val="-14"/>
                <w:sz w:val="16"/>
                <w:szCs w:val="16"/>
                <w:lang w:eastAsia="en-US"/>
              </w:rPr>
              <w:t>Dimension Ratings</w:t>
            </w:r>
          </w:p>
        </w:tc>
        <w:tc>
          <w:tcPr>
            <w:tcW w:w="552" w:type="pct"/>
            <w:vMerge w:val="restart"/>
            <w:tcBorders>
              <w:top w:val="single" w:sz="4" w:space="0" w:color="006DB6"/>
              <w:left w:val="single" w:sz="4" w:space="0" w:color="FFFFFF" w:themeColor="background1"/>
              <w:bottom w:val="single" w:sz="4" w:space="0" w:color="FFFFFF" w:themeColor="background1"/>
            </w:tcBorders>
            <w:shd w:val="clear" w:color="auto" w:fill="006DB6"/>
            <w:tcMar>
              <w:top w:w="14" w:type="dxa"/>
            </w:tcMar>
            <w:vAlign w:val="center"/>
          </w:tcPr>
          <w:p w14:paraId="3F5C2792" w14:textId="77777777" w:rsidR="00796BD9" w:rsidRPr="00595782" w:rsidRDefault="00796BD9" w:rsidP="00DD2511">
            <w:pPr>
              <w:rPr>
                <w:rFonts w:cs="Arial"/>
                <w:b/>
                <w:color w:val="FFFFFF"/>
                <w:spacing w:val="-14"/>
                <w:sz w:val="16"/>
                <w:szCs w:val="16"/>
                <w:lang w:eastAsia="en-US"/>
              </w:rPr>
            </w:pPr>
            <w:r w:rsidRPr="00595782">
              <w:rPr>
                <w:rFonts w:cs="Arial"/>
                <w:b/>
                <w:color w:val="FFFFFF"/>
                <w:spacing w:val="-14"/>
                <w:sz w:val="16"/>
                <w:szCs w:val="16"/>
                <w:lang w:eastAsia="en-US"/>
              </w:rPr>
              <w:t>Overall Rating</w:t>
            </w:r>
          </w:p>
        </w:tc>
      </w:tr>
      <w:tr w:rsidR="00796BD9" w:rsidRPr="00595782" w14:paraId="405D2562" w14:textId="77777777" w:rsidTr="00796BD9">
        <w:trPr>
          <w:tblHeader/>
        </w:trPr>
        <w:tc>
          <w:tcPr>
            <w:tcW w:w="3529" w:type="pct"/>
            <w:gridSpan w:val="3"/>
            <w:vMerge/>
            <w:tcBorders>
              <w:top w:val="single" w:sz="4" w:space="0" w:color="FFFFFF" w:themeColor="background1"/>
              <w:bottom w:val="single" w:sz="4" w:space="0" w:color="006DB6"/>
              <w:right w:val="single" w:sz="4" w:space="0" w:color="FFFFFF" w:themeColor="background1"/>
            </w:tcBorders>
            <w:tcMar>
              <w:top w:w="14" w:type="dxa"/>
            </w:tcMar>
            <w:vAlign w:val="center"/>
          </w:tcPr>
          <w:p w14:paraId="7E124B7A" w14:textId="77777777" w:rsidR="00796BD9" w:rsidRPr="00595782" w:rsidRDefault="00796BD9" w:rsidP="00DD2511">
            <w:pPr>
              <w:rPr>
                <w:rFonts w:cs="Arial"/>
                <w:sz w:val="16"/>
                <w:szCs w:val="16"/>
                <w:lang w:eastAsia="en-US"/>
              </w:rPr>
            </w:pPr>
          </w:p>
        </w:tc>
        <w:tc>
          <w:tcPr>
            <w:tcW w:w="235" w:type="pct"/>
            <w:gridSpan w:val="2"/>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1EE68DF8" w14:textId="77777777" w:rsidR="00796BD9" w:rsidRPr="00595782" w:rsidRDefault="00796BD9" w:rsidP="00DD2511">
            <w:pPr>
              <w:numPr>
                <w:ilvl w:val="0"/>
                <w:numId w:val="8"/>
              </w:numPr>
              <w:jc w:val="center"/>
              <w:rPr>
                <w:rFonts w:cs="Arial"/>
                <w:b/>
                <w:color w:val="FFFFFF" w:themeColor="background1"/>
                <w:sz w:val="16"/>
                <w:szCs w:val="16"/>
                <w:lang w:eastAsia="en-US"/>
              </w:rPr>
            </w:pPr>
          </w:p>
        </w:tc>
        <w:tc>
          <w:tcPr>
            <w:tcW w:w="236" w:type="pct"/>
            <w:gridSpan w:val="2"/>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0DE1264F" w14:textId="77777777" w:rsidR="00796BD9" w:rsidRPr="00595782" w:rsidRDefault="00796BD9" w:rsidP="00DD2511">
            <w:pPr>
              <w:numPr>
                <w:ilvl w:val="0"/>
                <w:numId w:val="8"/>
              </w:numPr>
              <w:jc w:val="center"/>
              <w:rPr>
                <w:rFonts w:cs="Arial"/>
                <w:b/>
                <w:color w:val="FFFFFF" w:themeColor="background1"/>
                <w:sz w:val="16"/>
                <w:szCs w:val="16"/>
                <w:lang w:eastAsia="en-US"/>
              </w:rPr>
            </w:pPr>
          </w:p>
        </w:tc>
        <w:tc>
          <w:tcPr>
            <w:tcW w:w="238" w:type="pct"/>
            <w:gridSpan w:val="2"/>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1187558E" w14:textId="77777777" w:rsidR="00796BD9" w:rsidRPr="00595782" w:rsidRDefault="00796BD9" w:rsidP="00DD2511">
            <w:pPr>
              <w:numPr>
                <w:ilvl w:val="0"/>
                <w:numId w:val="8"/>
              </w:numPr>
              <w:jc w:val="center"/>
              <w:rPr>
                <w:rFonts w:cs="Arial"/>
                <w:b/>
                <w:color w:val="FFFFFF" w:themeColor="background1"/>
                <w:sz w:val="16"/>
                <w:szCs w:val="16"/>
                <w:lang w:eastAsia="en-US"/>
              </w:rPr>
            </w:pPr>
          </w:p>
        </w:tc>
        <w:tc>
          <w:tcPr>
            <w:tcW w:w="210" w:type="pct"/>
            <w:gridSpan w:val="2"/>
            <w:tcBorders>
              <w:top w:val="single" w:sz="4" w:space="0" w:color="FFFFFF" w:themeColor="background1"/>
              <w:left w:val="single" w:sz="4" w:space="0" w:color="FFFFFF" w:themeColor="background1"/>
              <w:bottom w:val="single" w:sz="4" w:space="0" w:color="006DB6"/>
              <w:right w:val="single" w:sz="4" w:space="0" w:color="FFFFFF" w:themeColor="background1"/>
            </w:tcBorders>
            <w:shd w:val="clear" w:color="auto" w:fill="006DB6"/>
            <w:tcMar>
              <w:top w:w="14" w:type="dxa"/>
            </w:tcMar>
            <w:vAlign w:val="center"/>
          </w:tcPr>
          <w:p w14:paraId="0FE9EC8D" w14:textId="77777777" w:rsidR="00796BD9" w:rsidRPr="00595782" w:rsidRDefault="00796BD9" w:rsidP="00DD2511">
            <w:pPr>
              <w:numPr>
                <w:ilvl w:val="0"/>
                <w:numId w:val="8"/>
              </w:numPr>
              <w:jc w:val="center"/>
              <w:rPr>
                <w:rFonts w:cs="Arial"/>
                <w:b/>
                <w:color w:val="FFFFFF" w:themeColor="background1"/>
                <w:sz w:val="16"/>
                <w:szCs w:val="16"/>
                <w:lang w:eastAsia="en-US"/>
              </w:rPr>
            </w:pPr>
          </w:p>
        </w:tc>
        <w:tc>
          <w:tcPr>
            <w:tcW w:w="552" w:type="pct"/>
            <w:vMerge/>
            <w:tcBorders>
              <w:top w:val="single" w:sz="4" w:space="0" w:color="FFFFFF" w:themeColor="background1"/>
              <w:left w:val="single" w:sz="4" w:space="0" w:color="FFFFFF" w:themeColor="background1"/>
              <w:bottom w:val="single" w:sz="4" w:space="0" w:color="006DB6"/>
            </w:tcBorders>
            <w:tcMar>
              <w:top w:w="14" w:type="dxa"/>
            </w:tcMar>
            <w:vAlign w:val="center"/>
          </w:tcPr>
          <w:p w14:paraId="1C248709" w14:textId="77777777" w:rsidR="00796BD9" w:rsidRPr="00595782" w:rsidRDefault="00796BD9" w:rsidP="00DD2511">
            <w:pPr>
              <w:rPr>
                <w:rFonts w:cs="Arial"/>
                <w:sz w:val="16"/>
                <w:szCs w:val="16"/>
                <w:lang w:eastAsia="en-US"/>
              </w:rPr>
            </w:pPr>
          </w:p>
        </w:tc>
      </w:tr>
      <w:tr w:rsidR="00796BD9" w:rsidRPr="00595782" w14:paraId="3656C96F" w14:textId="77777777" w:rsidTr="00796BD9">
        <w:trPr>
          <w:trHeight w:val="296"/>
        </w:trPr>
        <w:tc>
          <w:tcPr>
            <w:tcW w:w="373" w:type="pct"/>
            <w:tcBorders>
              <w:top w:val="single" w:sz="6" w:space="0" w:color="006DB6"/>
            </w:tcBorders>
            <w:tcMar>
              <w:top w:w="14" w:type="dxa"/>
            </w:tcMar>
          </w:tcPr>
          <w:p w14:paraId="506FF485" w14:textId="1F36D479" w:rsidR="00796BD9" w:rsidRPr="008A6B23" w:rsidRDefault="00796BD9" w:rsidP="00DD2511">
            <w:pPr>
              <w:ind w:left="-45"/>
              <w:rPr>
                <w:rFonts w:cs="Arial"/>
                <w:szCs w:val="16"/>
                <w:lang w:eastAsia="en-US"/>
              </w:rPr>
            </w:pPr>
            <w:r w:rsidRPr="008A6B23">
              <w:rPr>
                <w:rFonts w:cs="Arial"/>
                <w:szCs w:val="16"/>
                <w:lang w:eastAsia="en-US"/>
              </w:rPr>
              <w:t>PI-</w:t>
            </w:r>
            <w:r w:rsidR="009D4184">
              <w:rPr>
                <w:rFonts w:cs="Arial"/>
                <w:szCs w:val="16"/>
                <w:lang w:eastAsia="en-US"/>
              </w:rPr>
              <w:t>30</w:t>
            </w:r>
          </w:p>
        </w:tc>
        <w:tc>
          <w:tcPr>
            <w:tcW w:w="3150" w:type="pct"/>
            <w:tcBorders>
              <w:top w:val="single" w:sz="6" w:space="0" w:color="006DB6"/>
            </w:tcBorders>
            <w:tcMar>
              <w:top w:w="14" w:type="dxa"/>
            </w:tcMar>
          </w:tcPr>
          <w:p w14:paraId="72047CF0" w14:textId="2EE248D3" w:rsidR="00796BD9" w:rsidRPr="008A6B23" w:rsidRDefault="009D4184" w:rsidP="00DD2511">
            <w:pPr>
              <w:ind w:left="-45"/>
              <w:rPr>
                <w:rFonts w:cs="Arial"/>
                <w:szCs w:val="16"/>
                <w:lang w:eastAsia="en-US"/>
              </w:rPr>
            </w:pPr>
            <w:r>
              <w:rPr>
                <w:rFonts w:cs="Arial"/>
                <w:szCs w:val="16"/>
                <w:lang w:eastAsia="en-US"/>
              </w:rPr>
              <w:t>External Audit</w:t>
            </w:r>
            <w:r w:rsidR="00796BD9" w:rsidRPr="008A6B23">
              <w:rPr>
                <w:rFonts w:cs="Arial"/>
                <w:szCs w:val="16"/>
                <w:lang w:eastAsia="en-US"/>
              </w:rPr>
              <w:t xml:space="preserve"> </w:t>
            </w:r>
          </w:p>
        </w:tc>
        <w:tc>
          <w:tcPr>
            <w:tcW w:w="236" w:type="pct"/>
            <w:gridSpan w:val="2"/>
            <w:tcBorders>
              <w:top w:val="single" w:sz="6" w:space="0" w:color="006DB6"/>
            </w:tcBorders>
            <w:tcMar>
              <w:top w:w="14" w:type="dxa"/>
            </w:tcMar>
            <w:vAlign w:val="center"/>
          </w:tcPr>
          <w:p w14:paraId="3139EF3C" w14:textId="77777777" w:rsidR="00796BD9" w:rsidRPr="00FD2691" w:rsidRDefault="00796BD9" w:rsidP="00DD2511">
            <w:pPr>
              <w:jc w:val="center"/>
              <w:rPr>
                <w:rFonts w:cs="Arial"/>
                <w:szCs w:val="16"/>
                <w:lang w:eastAsia="en-US"/>
              </w:rPr>
            </w:pPr>
            <w:r>
              <w:rPr>
                <w:rFonts w:cs="Arial"/>
                <w:szCs w:val="16"/>
                <w:lang w:eastAsia="en-US"/>
              </w:rPr>
              <w:t>B</w:t>
            </w:r>
          </w:p>
        </w:tc>
        <w:tc>
          <w:tcPr>
            <w:tcW w:w="235" w:type="pct"/>
            <w:gridSpan w:val="2"/>
            <w:tcBorders>
              <w:top w:val="single" w:sz="6" w:space="0" w:color="006DB6"/>
              <w:bottom w:val="single" w:sz="6" w:space="0" w:color="006DB6"/>
            </w:tcBorders>
            <w:tcMar>
              <w:top w:w="14" w:type="dxa"/>
            </w:tcMar>
            <w:vAlign w:val="center"/>
          </w:tcPr>
          <w:p w14:paraId="169BA7F1" w14:textId="77777777" w:rsidR="00796BD9" w:rsidRPr="00FD2691" w:rsidRDefault="00796BD9" w:rsidP="00DD2511">
            <w:pPr>
              <w:jc w:val="center"/>
              <w:rPr>
                <w:rFonts w:cs="Arial"/>
                <w:szCs w:val="16"/>
                <w:lang w:eastAsia="en-US"/>
              </w:rPr>
            </w:pPr>
            <w:r>
              <w:rPr>
                <w:rFonts w:cs="Arial"/>
                <w:szCs w:val="16"/>
                <w:lang w:eastAsia="en-US"/>
              </w:rPr>
              <w:t>B</w:t>
            </w:r>
          </w:p>
        </w:tc>
        <w:tc>
          <w:tcPr>
            <w:tcW w:w="238" w:type="pct"/>
            <w:gridSpan w:val="2"/>
            <w:tcBorders>
              <w:top w:val="single" w:sz="6" w:space="0" w:color="006DB6"/>
              <w:bottom w:val="single" w:sz="6" w:space="0" w:color="006DB6"/>
            </w:tcBorders>
            <w:shd w:val="clear" w:color="auto" w:fill="auto"/>
            <w:tcMar>
              <w:top w:w="14" w:type="dxa"/>
            </w:tcMar>
            <w:vAlign w:val="center"/>
          </w:tcPr>
          <w:p w14:paraId="6C86858A" w14:textId="77777777" w:rsidR="00796BD9" w:rsidRPr="00FD2691" w:rsidRDefault="00796BD9" w:rsidP="00DD2511">
            <w:pPr>
              <w:jc w:val="center"/>
              <w:rPr>
                <w:rFonts w:cs="Arial"/>
                <w:szCs w:val="16"/>
                <w:lang w:eastAsia="en-US"/>
              </w:rPr>
            </w:pPr>
            <w:r>
              <w:rPr>
                <w:rFonts w:cs="Arial"/>
                <w:szCs w:val="16"/>
                <w:lang w:eastAsia="en-US"/>
              </w:rPr>
              <w:t>B</w:t>
            </w:r>
          </w:p>
        </w:tc>
        <w:tc>
          <w:tcPr>
            <w:tcW w:w="208" w:type="pct"/>
            <w:gridSpan w:val="2"/>
            <w:tcBorders>
              <w:top w:val="single" w:sz="6" w:space="0" w:color="006DB6"/>
              <w:bottom w:val="single" w:sz="6" w:space="0" w:color="006DB6"/>
            </w:tcBorders>
            <w:shd w:val="clear" w:color="auto" w:fill="auto"/>
            <w:tcMar>
              <w:top w:w="14" w:type="dxa"/>
            </w:tcMar>
            <w:vAlign w:val="center"/>
          </w:tcPr>
          <w:p w14:paraId="7FBDF9C9" w14:textId="77777777" w:rsidR="00796BD9" w:rsidRPr="00FD2691" w:rsidRDefault="00796BD9" w:rsidP="00DD2511">
            <w:pPr>
              <w:jc w:val="center"/>
              <w:rPr>
                <w:rFonts w:cs="Arial"/>
                <w:szCs w:val="16"/>
                <w:lang w:eastAsia="en-US"/>
              </w:rPr>
            </w:pPr>
            <w:r>
              <w:rPr>
                <w:rFonts w:cs="Arial"/>
                <w:szCs w:val="16"/>
                <w:lang w:eastAsia="en-US"/>
              </w:rPr>
              <w:t>D</w:t>
            </w:r>
          </w:p>
        </w:tc>
        <w:tc>
          <w:tcPr>
            <w:tcW w:w="559" w:type="pct"/>
            <w:gridSpan w:val="2"/>
            <w:tcBorders>
              <w:top w:val="single" w:sz="6" w:space="0" w:color="006DB6"/>
            </w:tcBorders>
            <w:tcMar>
              <w:top w:w="14" w:type="dxa"/>
              <w:left w:w="288" w:type="dxa"/>
            </w:tcMar>
            <w:vAlign w:val="center"/>
          </w:tcPr>
          <w:p w14:paraId="3624A18F" w14:textId="77777777" w:rsidR="00796BD9" w:rsidRPr="00460F54" w:rsidRDefault="00796BD9" w:rsidP="00DD2511">
            <w:pPr>
              <w:rPr>
                <w:rFonts w:cs="Arial"/>
                <w:b/>
                <w:szCs w:val="16"/>
                <w:lang w:eastAsia="en-US"/>
              </w:rPr>
            </w:pPr>
            <w:r w:rsidRPr="00460F54">
              <w:rPr>
                <w:rFonts w:cs="Arial"/>
                <w:b/>
                <w:szCs w:val="16"/>
                <w:lang w:eastAsia="en-US"/>
              </w:rPr>
              <w:t>D+</w:t>
            </w:r>
          </w:p>
        </w:tc>
      </w:tr>
      <w:tr w:rsidR="00796BD9" w:rsidRPr="00595782" w14:paraId="17637EE1" w14:textId="77777777" w:rsidTr="00796BD9">
        <w:trPr>
          <w:trHeight w:val="280"/>
        </w:trPr>
        <w:tc>
          <w:tcPr>
            <w:tcW w:w="373" w:type="pct"/>
            <w:tcMar>
              <w:top w:w="14" w:type="dxa"/>
            </w:tcMar>
          </w:tcPr>
          <w:p w14:paraId="3A7A830A" w14:textId="33A4504C" w:rsidR="00796BD9" w:rsidRPr="008A6B23" w:rsidRDefault="00796BD9" w:rsidP="00DD2511">
            <w:pPr>
              <w:ind w:left="-45"/>
              <w:rPr>
                <w:rFonts w:cs="Arial"/>
                <w:szCs w:val="16"/>
                <w:lang w:eastAsia="en-US"/>
              </w:rPr>
            </w:pPr>
            <w:r w:rsidRPr="008A6B23">
              <w:rPr>
                <w:rFonts w:cs="Arial"/>
                <w:szCs w:val="16"/>
                <w:lang w:eastAsia="en-US"/>
              </w:rPr>
              <w:t>PI-3</w:t>
            </w:r>
            <w:r w:rsidR="009D4184">
              <w:rPr>
                <w:rFonts w:cs="Arial"/>
                <w:szCs w:val="16"/>
                <w:lang w:eastAsia="en-US"/>
              </w:rPr>
              <w:t>1</w:t>
            </w:r>
          </w:p>
        </w:tc>
        <w:tc>
          <w:tcPr>
            <w:tcW w:w="3150" w:type="pct"/>
            <w:tcMar>
              <w:top w:w="14" w:type="dxa"/>
            </w:tcMar>
          </w:tcPr>
          <w:p w14:paraId="0901D6B3" w14:textId="3A109E9E" w:rsidR="00796BD9" w:rsidRPr="008A6B23" w:rsidRDefault="00796BD9" w:rsidP="009D4184">
            <w:pPr>
              <w:ind w:left="-45"/>
              <w:rPr>
                <w:rFonts w:cs="Arial"/>
                <w:szCs w:val="16"/>
                <w:lang w:eastAsia="en-US"/>
              </w:rPr>
            </w:pPr>
            <w:r w:rsidRPr="008A6B23">
              <w:rPr>
                <w:rFonts w:cs="Arial"/>
                <w:szCs w:val="16"/>
                <w:lang w:eastAsia="en-US"/>
              </w:rPr>
              <w:t xml:space="preserve">Legislative scrutiny of audit reports </w:t>
            </w:r>
          </w:p>
        </w:tc>
        <w:tc>
          <w:tcPr>
            <w:tcW w:w="236" w:type="pct"/>
            <w:gridSpan w:val="2"/>
            <w:tcMar>
              <w:top w:w="14" w:type="dxa"/>
            </w:tcMar>
            <w:vAlign w:val="center"/>
          </w:tcPr>
          <w:p w14:paraId="2696501E" w14:textId="77777777" w:rsidR="00796BD9" w:rsidRPr="00FD2691" w:rsidRDefault="00796BD9" w:rsidP="00DD2511">
            <w:pPr>
              <w:jc w:val="center"/>
              <w:rPr>
                <w:rFonts w:cs="Arial"/>
                <w:szCs w:val="16"/>
                <w:lang w:eastAsia="en-US"/>
              </w:rPr>
            </w:pPr>
            <w:r>
              <w:rPr>
                <w:rFonts w:cs="Arial"/>
                <w:szCs w:val="16"/>
                <w:lang w:eastAsia="en-US"/>
              </w:rPr>
              <w:t>C</w:t>
            </w:r>
          </w:p>
        </w:tc>
        <w:tc>
          <w:tcPr>
            <w:tcW w:w="235" w:type="pct"/>
            <w:gridSpan w:val="2"/>
            <w:tcBorders>
              <w:top w:val="single" w:sz="6" w:space="0" w:color="006DB6"/>
              <w:bottom w:val="single" w:sz="6" w:space="0" w:color="006DB6"/>
            </w:tcBorders>
            <w:shd w:val="clear" w:color="auto" w:fill="auto"/>
            <w:tcMar>
              <w:top w:w="14" w:type="dxa"/>
            </w:tcMar>
            <w:vAlign w:val="center"/>
          </w:tcPr>
          <w:p w14:paraId="6F8C667D" w14:textId="77777777" w:rsidR="00796BD9" w:rsidRPr="00FD2691" w:rsidRDefault="00796BD9" w:rsidP="00DD2511">
            <w:pPr>
              <w:jc w:val="center"/>
              <w:rPr>
                <w:rFonts w:cs="Arial"/>
                <w:szCs w:val="16"/>
                <w:lang w:eastAsia="en-US"/>
              </w:rPr>
            </w:pPr>
            <w:r>
              <w:rPr>
                <w:rFonts w:cs="Arial"/>
                <w:szCs w:val="16"/>
                <w:lang w:eastAsia="en-US"/>
              </w:rPr>
              <w:t>A</w:t>
            </w:r>
          </w:p>
        </w:tc>
        <w:tc>
          <w:tcPr>
            <w:tcW w:w="238" w:type="pct"/>
            <w:gridSpan w:val="2"/>
            <w:tcBorders>
              <w:top w:val="single" w:sz="6" w:space="0" w:color="006DB6"/>
              <w:bottom w:val="single" w:sz="6" w:space="0" w:color="006DB6"/>
            </w:tcBorders>
            <w:shd w:val="clear" w:color="auto" w:fill="auto"/>
            <w:tcMar>
              <w:top w:w="14" w:type="dxa"/>
            </w:tcMar>
            <w:vAlign w:val="center"/>
          </w:tcPr>
          <w:p w14:paraId="7844B035" w14:textId="77777777" w:rsidR="00796BD9" w:rsidRPr="00FD2691" w:rsidRDefault="00796BD9" w:rsidP="00DD2511">
            <w:pPr>
              <w:jc w:val="center"/>
              <w:rPr>
                <w:rFonts w:cs="Arial"/>
                <w:szCs w:val="16"/>
                <w:lang w:eastAsia="en-US"/>
              </w:rPr>
            </w:pPr>
            <w:r>
              <w:rPr>
                <w:rFonts w:cs="Arial"/>
                <w:szCs w:val="16"/>
                <w:lang w:eastAsia="en-US"/>
              </w:rPr>
              <w:t>B</w:t>
            </w:r>
          </w:p>
        </w:tc>
        <w:tc>
          <w:tcPr>
            <w:tcW w:w="208" w:type="pct"/>
            <w:gridSpan w:val="2"/>
            <w:tcBorders>
              <w:top w:val="single" w:sz="6" w:space="0" w:color="006DB6"/>
              <w:bottom w:val="single" w:sz="6" w:space="0" w:color="006DB6"/>
            </w:tcBorders>
            <w:shd w:val="clear" w:color="auto" w:fill="auto"/>
            <w:tcMar>
              <w:top w:w="14" w:type="dxa"/>
            </w:tcMar>
            <w:vAlign w:val="center"/>
          </w:tcPr>
          <w:p w14:paraId="7E28E98C" w14:textId="77777777" w:rsidR="00796BD9" w:rsidRPr="00FD2691" w:rsidRDefault="00796BD9" w:rsidP="00DD2511">
            <w:pPr>
              <w:jc w:val="center"/>
              <w:rPr>
                <w:rFonts w:cs="Arial"/>
                <w:szCs w:val="16"/>
                <w:lang w:eastAsia="en-US"/>
              </w:rPr>
            </w:pPr>
            <w:r>
              <w:rPr>
                <w:rFonts w:cs="Arial"/>
                <w:szCs w:val="16"/>
                <w:lang w:eastAsia="en-US"/>
              </w:rPr>
              <w:t>A</w:t>
            </w:r>
          </w:p>
        </w:tc>
        <w:tc>
          <w:tcPr>
            <w:tcW w:w="559" w:type="pct"/>
            <w:gridSpan w:val="2"/>
            <w:tcMar>
              <w:top w:w="14" w:type="dxa"/>
              <w:left w:w="288" w:type="dxa"/>
            </w:tcMar>
            <w:vAlign w:val="center"/>
          </w:tcPr>
          <w:p w14:paraId="0294894A" w14:textId="77777777" w:rsidR="00796BD9" w:rsidRPr="00460F54" w:rsidRDefault="00796BD9" w:rsidP="00DD2511">
            <w:pPr>
              <w:rPr>
                <w:rFonts w:cs="Arial"/>
                <w:b/>
                <w:szCs w:val="16"/>
                <w:lang w:eastAsia="en-US"/>
              </w:rPr>
            </w:pPr>
            <w:r>
              <w:rPr>
                <w:rFonts w:cs="Arial"/>
                <w:b/>
                <w:szCs w:val="16"/>
                <w:lang w:eastAsia="en-US"/>
              </w:rPr>
              <w:t>C</w:t>
            </w:r>
            <w:r w:rsidRPr="00460F54">
              <w:rPr>
                <w:rFonts w:cs="Arial"/>
                <w:b/>
                <w:szCs w:val="16"/>
                <w:lang w:eastAsia="en-US"/>
              </w:rPr>
              <w:t>+</w:t>
            </w:r>
          </w:p>
        </w:tc>
      </w:tr>
    </w:tbl>
    <w:p w14:paraId="5F072A8C" w14:textId="77777777" w:rsidR="00C556B8" w:rsidRPr="00C556B8" w:rsidRDefault="00C556B8" w:rsidP="00C556B8">
      <w:pPr>
        <w:pStyle w:val="DefaultText"/>
      </w:pPr>
    </w:p>
    <w:p w14:paraId="30F81F2B" w14:textId="14020980" w:rsidR="00C556B8" w:rsidRPr="0094587C" w:rsidRDefault="002A79FF" w:rsidP="00C556B8">
      <w:pPr>
        <w:autoSpaceDE w:val="0"/>
        <w:autoSpaceDN w:val="0"/>
        <w:adjustRightInd w:val="0"/>
        <w:spacing w:line="276" w:lineRule="auto"/>
        <w:jc w:val="both"/>
        <w:rPr>
          <w:rFonts w:cs="Arial"/>
          <w:sz w:val="20"/>
          <w:szCs w:val="20"/>
        </w:rPr>
      </w:pPr>
      <w:r>
        <w:rPr>
          <w:rFonts w:cs="Arial"/>
          <w:sz w:val="20"/>
          <w:szCs w:val="20"/>
        </w:rPr>
        <w:t>The</w:t>
      </w:r>
      <w:r w:rsidR="00C556B8" w:rsidRPr="0094587C">
        <w:rPr>
          <w:rFonts w:cs="Arial"/>
          <w:sz w:val="20"/>
          <w:szCs w:val="20"/>
        </w:rPr>
        <w:t xml:space="preserve"> Audit Report </w:t>
      </w:r>
      <w:r>
        <w:rPr>
          <w:rFonts w:cs="Arial"/>
          <w:sz w:val="20"/>
          <w:szCs w:val="20"/>
        </w:rPr>
        <w:t xml:space="preserve">was </w:t>
      </w:r>
      <w:r w:rsidRPr="0094587C">
        <w:rPr>
          <w:rFonts w:cs="Arial"/>
          <w:sz w:val="20"/>
          <w:szCs w:val="20"/>
        </w:rPr>
        <w:t xml:space="preserve">submitted to Parliament </w:t>
      </w:r>
      <w:r w:rsidR="00C556B8" w:rsidRPr="0094587C">
        <w:rPr>
          <w:rFonts w:cs="Arial"/>
          <w:sz w:val="20"/>
          <w:szCs w:val="20"/>
        </w:rPr>
        <w:t>within the statutory period of seven months in eac</w:t>
      </w:r>
      <w:r w:rsidR="009D4184">
        <w:rPr>
          <w:rFonts w:cs="Arial"/>
          <w:sz w:val="20"/>
          <w:szCs w:val="20"/>
        </w:rPr>
        <w:t>h of the last three FYs (PI-30</w:t>
      </w:r>
      <w:r>
        <w:rPr>
          <w:rFonts w:cs="Arial"/>
          <w:sz w:val="20"/>
          <w:szCs w:val="20"/>
        </w:rPr>
        <w:t>), and</w:t>
      </w:r>
      <w:r w:rsidR="00C556B8" w:rsidRPr="0094587C">
        <w:rPr>
          <w:rFonts w:cs="Arial"/>
          <w:sz w:val="20"/>
          <w:szCs w:val="20"/>
        </w:rPr>
        <w:t xml:space="preserve"> includes an assessment of th</w:t>
      </w:r>
      <w:r>
        <w:rPr>
          <w:rFonts w:cs="Arial"/>
          <w:sz w:val="20"/>
          <w:szCs w:val="20"/>
        </w:rPr>
        <w:t>os</w:t>
      </w:r>
      <w:r w:rsidR="00C556B8" w:rsidRPr="0094587C">
        <w:rPr>
          <w:rFonts w:cs="Arial"/>
          <w:sz w:val="20"/>
          <w:szCs w:val="20"/>
        </w:rPr>
        <w:t>e audited agencies that implemented audit recommendat</w:t>
      </w:r>
      <w:r>
        <w:rPr>
          <w:rFonts w:cs="Arial"/>
          <w:sz w:val="20"/>
          <w:szCs w:val="20"/>
        </w:rPr>
        <w:t>ions from the previous year:</w:t>
      </w:r>
      <w:r w:rsidR="00C556B8" w:rsidRPr="0094587C">
        <w:rPr>
          <w:rFonts w:cs="Arial"/>
          <w:sz w:val="20"/>
          <w:szCs w:val="20"/>
        </w:rPr>
        <w:t xml:space="preserve"> hence many budget entities track implementation of audit recommendations through an action plan, whose status is reported to </w:t>
      </w:r>
      <w:r w:rsidR="00426EBC">
        <w:rPr>
          <w:rFonts w:cs="Arial"/>
          <w:sz w:val="20"/>
          <w:szCs w:val="20"/>
        </w:rPr>
        <w:t>MoF</w:t>
      </w:r>
      <w:r w:rsidR="00C556B8" w:rsidRPr="0094587C">
        <w:rPr>
          <w:rFonts w:cs="Arial"/>
          <w:sz w:val="20"/>
          <w:szCs w:val="20"/>
        </w:rPr>
        <w:t xml:space="preserve"> as an attachment to the monthly financial statements.  Mechanisms are being put in place to identify the causes for any entity failing to reach its targets, and for specific follow-ups to be taken to facilitate the necessary improvements. </w:t>
      </w:r>
      <w:r w:rsidR="00426EBC">
        <w:rPr>
          <w:rFonts w:cs="Arial"/>
          <w:sz w:val="20"/>
          <w:szCs w:val="20"/>
        </w:rPr>
        <w:t xml:space="preserve"> </w:t>
      </w:r>
      <w:r w:rsidR="00C556B8" w:rsidRPr="0094587C">
        <w:rPr>
          <w:rFonts w:cs="Arial"/>
          <w:sz w:val="20"/>
          <w:szCs w:val="20"/>
        </w:rPr>
        <w:t>Although the OAG reports that only a proportion of previous years’ recommendations had been implemented, the majority of the shortfall lies with a</w:t>
      </w:r>
      <w:r w:rsidR="00E201FF">
        <w:rPr>
          <w:rFonts w:cs="Arial"/>
          <w:sz w:val="20"/>
          <w:szCs w:val="20"/>
        </w:rPr>
        <w:t xml:space="preserve"> few budget entities</w:t>
      </w:r>
      <w:r w:rsidR="00C556B8" w:rsidRPr="0094587C">
        <w:rPr>
          <w:rFonts w:cs="Arial"/>
          <w:sz w:val="20"/>
          <w:szCs w:val="20"/>
        </w:rPr>
        <w:t xml:space="preserve">. </w:t>
      </w:r>
    </w:p>
    <w:p w14:paraId="39D07416" w14:textId="77777777" w:rsidR="00C556B8" w:rsidRPr="00BF0BBE" w:rsidRDefault="00C556B8" w:rsidP="00C556B8">
      <w:pPr>
        <w:widowControl w:val="0"/>
        <w:autoSpaceDE w:val="0"/>
        <w:autoSpaceDN w:val="0"/>
        <w:adjustRightInd w:val="0"/>
        <w:spacing w:line="276" w:lineRule="auto"/>
        <w:rPr>
          <w:rFonts w:cs="Arial"/>
          <w:sz w:val="20"/>
          <w:szCs w:val="20"/>
          <w:lang w:val="en-US"/>
        </w:rPr>
      </w:pPr>
    </w:p>
    <w:p w14:paraId="212D0CDE" w14:textId="1EFDAFE6" w:rsidR="00C556B8" w:rsidRPr="003331FE" w:rsidRDefault="00C556B8" w:rsidP="003331FE">
      <w:pPr>
        <w:autoSpaceDE w:val="0"/>
        <w:autoSpaceDN w:val="0"/>
        <w:adjustRightInd w:val="0"/>
        <w:spacing w:line="276" w:lineRule="auto"/>
        <w:jc w:val="both"/>
        <w:rPr>
          <w:rFonts w:eastAsia="Calibri" w:cs="Arial"/>
          <w:sz w:val="20"/>
          <w:szCs w:val="20"/>
          <w:lang w:val="en-US" w:eastAsia="en-US"/>
        </w:rPr>
      </w:pPr>
      <w:r w:rsidRPr="00BF0BBE">
        <w:rPr>
          <w:rFonts w:cs="Arial"/>
          <w:sz w:val="20"/>
          <w:szCs w:val="20"/>
        </w:rPr>
        <w:t xml:space="preserve">The Public Accounts Committee </w:t>
      </w:r>
      <w:r w:rsidRPr="00BF0BBE">
        <w:rPr>
          <w:rFonts w:eastAsia="Calibri" w:cs="Arial"/>
          <w:color w:val="000000"/>
          <w:sz w:val="20"/>
          <w:szCs w:val="20"/>
          <w:lang w:val="en-US" w:eastAsia="en-US"/>
        </w:rPr>
        <w:t>examines all the accounts submitted to it by the Auditor-General</w:t>
      </w:r>
      <w:r w:rsidRPr="00BF0BBE">
        <w:rPr>
          <w:rFonts w:eastAsia="Calibri" w:cs="Arial"/>
          <w:sz w:val="20"/>
          <w:szCs w:val="20"/>
          <w:lang w:val="en-US" w:eastAsia="en-US"/>
        </w:rPr>
        <w:t xml:space="preserve">, and </w:t>
      </w:r>
      <w:r w:rsidRPr="00BF0BBE">
        <w:rPr>
          <w:rFonts w:cs="Arial"/>
          <w:sz w:val="20"/>
          <w:szCs w:val="20"/>
        </w:rPr>
        <w:t xml:space="preserve">has completed its review within eight months of the report being presented to Parliament in each of the past three years: </w:t>
      </w:r>
      <w:r w:rsidRPr="00BF0BBE">
        <w:rPr>
          <w:rFonts w:eastAsia="Calibri" w:cs="Arial"/>
          <w:color w:val="000000"/>
          <w:sz w:val="20"/>
          <w:szCs w:val="20"/>
          <w:lang w:val="en-US" w:eastAsia="en-US"/>
        </w:rPr>
        <w:t>hearings are covered live on Parliamentary radio and sometimes on national television.</w:t>
      </w:r>
      <w:r w:rsidRPr="00BF0BBE">
        <w:rPr>
          <w:rFonts w:eastAsia="Calibri" w:cs="Arial"/>
          <w:sz w:val="20"/>
          <w:szCs w:val="20"/>
          <w:lang w:val="en-US" w:eastAsia="en-US"/>
        </w:rPr>
        <w:t xml:space="preserve">  T</w:t>
      </w:r>
      <w:r w:rsidRPr="00BF0BBE">
        <w:rPr>
          <w:rFonts w:cs="Arial"/>
          <w:sz w:val="20"/>
          <w:szCs w:val="20"/>
        </w:rPr>
        <w:t xml:space="preserve">he PAC prepares a report </w:t>
      </w:r>
      <w:r w:rsidR="002A79FF">
        <w:rPr>
          <w:rFonts w:cs="Arial"/>
          <w:sz w:val="20"/>
          <w:szCs w:val="20"/>
        </w:rPr>
        <w:t>(which</w:t>
      </w:r>
      <w:r w:rsidRPr="00BF0BBE">
        <w:rPr>
          <w:rFonts w:cs="Arial"/>
          <w:sz w:val="20"/>
          <w:szCs w:val="20"/>
        </w:rPr>
        <w:t xml:space="preserve"> includes recommendations</w:t>
      </w:r>
      <w:r w:rsidR="002A79FF">
        <w:rPr>
          <w:rFonts w:cs="Arial"/>
          <w:sz w:val="20"/>
          <w:szCs w:val="20"/>
        </w:rPr>
        <w:t xml:space="preserve">) </w:t>
      </w:r>
      <w:r w:rsidRPr="00BF0BBE">
        <w:rPr>
          <w:rFonts w:cs="Arial"/>
          <w:sz w:val="20"/>
          <w:szCs w:val="20"/>
        </w:rPr>
        <w:t xml:space="preserve">to </w:t>
      </w:r>
      <w:r w:rsidR="002A79FF">
        <w:rPr>
          <w:rFonts w:cs="Arial"/>
          <w:sz w:val="20"/>
          <w:szCs w:val="20"/>
        </w:rPr>
        <w:t>a plenary session of Parliament</w:t>
      </w:r>
      <w:r w:rsidRPr="00BF0BBE">
        <w:rPr>
          <w:rFonts w:cs="Arial"/>
          <w:sz w:val="20"/>
          <w:szCs w:val="20"/>
        </w:rPr>
        <w:t xml:space="preserve">, </w:t>
      </w:r>
      <w:r w:rsidR="002A79FF">
        <w:rPr>
          <w:rFonts w:cs="Arial"/>
          <w:sz w:val="20"/>
          <w:szCs w:val="20"/>
        </w:rPr>
        <w:t>which is then</w:t>
      </w:r>
      <w:r w:rsidRPr="00BF0BBE">
        <w:rPr>
          <w:rFonts w:cs="Arial"/>
          <w:sz w:val="20"/>
          <w:szCs w:val="20"/>
        </w:rPr>
        <w:t xml:space="preserve"> passed to the executive for action</w:t>
      </w:r>
      <w:r w:rsidR="002A79FF">
        <w:rPr>
          <w:rFonts w:cs="Arial"/>
          <w:sz w:val="20"/>
          <w:szCs w:val="20"/>
        </w:rPr>
        <w:t>:</w:t>
      </w:r>
      <w:r w:rsidRPr="00BF0BBE">
        <w:rPr>
          <w:rFonts w:cs="Arial"/>
          <w:sz w:val="20"/>
          <w:szCs w:val="20"/>
        </w:rPr>
        <w:t xml:space="preserve"> during the year, the</w:t>
      </w:r>
      <w:r w:rsidR="002A79FF">
        <w:rPr>
          <w:rFonts w:cs="Arial"/>
          <w:sz w:val="20"/>
          <w:szCs w:val="20"/>
        </w:rPr>
        <w:t>re is</w:t>
      </w:r>
      <w:r w:rsidRPr="00BF0BBE">
        <w:rPr>
          <w:rFonts w:cs="Arial"/>
          <w:sz w:val="20"/>
          <w:szCs w:val="20"/>
        </w:rPr>
        <w:t xml:space="preserve"> oversight to ensure that recomm</w:t>
      </w:r>
      <w:r w:rsidR="009D4184">
        <w:rPr>
          <w:rFonts w:cs="Arial"/>
          <w:sz w:val="20"/>
          <w:szCs w:val="20"/>
        </w:rPr>
        <w:t>endations are implemented (PI-31</w:t>
      </w:r>
      <w:r w:rsidRPr="00BF0BBE">
        <w:rPr>
          <w:rFonts w:cs="Arial"/>
          <w:sz w:val="20"/>
          <w:szCs w:val="20"/>
        </w:rPr>
        <w:t>).</w:t>
      </w:r>
    </w:p>
    <w:sectPr w:rsidR="00C556B8" w:rsidRPr="003331FE" w:rsidSect="0087302D">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9F97F" w14:textId="77777777" w:rsidR="00E76A33" w:rsidRDefault="00E76A33" w:rsidP="00381C0B">
      <w:pPr>
        <w:spacing w:line="240" w:lineRule="auto"/>
      </w:pPr>
      <w:r>
        <w:separator/>
      </w:r>
    </w:p>
  </w:endnote>
  <w:endnote w:type="continuationSeparator" w:id="0">
    <w:p w14:paraId="64AAA9D6" w14:textId="77777777" w:rsidR="00E76A33" w:rsidRDefault="00E76A33" w:rsidP="00381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00E3F" w14:textId="3F535125" w:rsidR="00381C0B" w:rsidRPr="0016417F" w:rsidRDefault="00381C0B" w:rsidP="00381C0B">
    <w:pPr>
      <w:pStyle w:val="Footer"/>
      <w:jc w:val="center"/>
      <w:rPr>
        <w:rFonts w:cs="Arial"/>
        <w:i/>
        <w:sz w:val="20"/>
      </w:rPr>
    </w:pPr>
    <w:r>
      <w:rPr>
        <w:rFonts w:cs="Arial"/>
        <w:i/>
        <w:sz w:val="20"/>
      </w:rPr>
      <w:t>E</w:t>
    </w:r>
    <w:r w:rsidR="00911A66">
      <w:rPr>
        <w:rFonts w:cs="Arial"/>
        <w:i/>
        <w:sz w:val="20"/>
      </w:rPr>
      <w:t>U March</w:t>
    </w:r>
    <w:r>
      <w:rPr>
        <w:rFonts w:cs="Arial"/>
        <w:i/>
        <w:sz w:val="20"/>
      </w:rPr>
      <w:t xml:space="preserve"> 2016 – Session </w:t>
    </w:r>
    <w:r w:rsidR="00911A66">
      <w:rPr>
        <w:rFonts w:cs="Arial"/>
        <w:i/>
        <w:sz w:val="20"/>
      </w:rPr>
      <w:t>6</w:t>
    </w:r>
    <w:r>
      <w:rPr>
        <w:rFonts w:cs="Arial"/>
        <w:i/>
        <w:sz w:val="20"/>
      </w:rPr>
      <w:t xml:space="preserve">: </w:t>
    </w:r>
    <w:r w:rsidR="0098703C">
      <w:rPr>
        <w:rFonts w:cs="Arial"/>
        <w:i/>
        <w:sz w:val="20"/>
      </w:rPr>
      <w:t>Interpreting a draft assessment</w:t>
    </w:r>
  </w:p>
  <w:p w14:paraId="339AB4CA" w14:textId="77777777" w:rsidR="00381C0B" w:rsidRPr="00381C0B" w:rsidRDefault="00381C0B" w:rsidP="00381C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F79C1" w14:textId="77777777" w:rsidR="00E76A33" w:rsidRDefault="00E76A33" w:rsidP="00381C0B">
      <w:pPr>
        <w:spacing w:line="240" w:lineRule="auto"/>
      </w:pPr>
      <w:r>
        <w:separator/>
      </w:r>
    </w:p>
  </w:footnote>
  <w:footnote w:type="continuationSeparator" w:id="0">
    <w:p w14:paraId="54C1BB5A" w14:textId="77777777" w:rsidR="00E76A33" w:rsidRDefault="00E76A33" w:rsidP="00381C0B">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472F"/>
    <w:multiLevelType w:val="hybridMultilevel"/>
    <w:tmpl w:val="D562B20A"/>
    <w:lvl w:ilvl="0" w:tplc="A0E8723E">
      <w:start w:val="1"/>
      <w:numFmt w:val="lowerRoman"/>
      <w:lvlText w:val="%1."/>
      <w:lvlJc w:val="center"/>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E56E80"/>
    <w:multiLevelType w:val="hybridMultilevel"/>
    <w:tmpl w:val="D562B20A"/>
    <w:lvl w:ilvl="0" w:tplc="A0E8723E">
      <w:start w:val="1"/>
      <w:numFmt w:val="lowerRoman"/>
      <w:lvlText w:val="%1."/>
      <w:lvlJc w:val="center"/>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EB0557"/>
    <w:multiLevelType w:val="multilevel"/>
    <w:tmpl w:val="A3CEBE6E"/>
    <w:lvl w:ilvl="0">
      <w:start w:val="1"/>
      <w:numFmt w:val="decimal"/>
      <w:pStyle w:val="Heading1"/>
      <w:lvlText w:val="%1"/>
      <w:lvlJc w:val="left"/>
      <w:pPr>
        <w:tabs>
          <w:tab w:val="num" w:pos="538"/>
        </w:tabs>
        <w:ind w:left="567" w:hanging="567"/>
      </w:pPr>
      <w:rPr>
        <w:rFonts w:hint="default"/>
        <w:color w:val="006DB6"/>
        <w:sz w:val="36"/>
      </w:rPr>
    </w:lvl>
    <w:lvl w:ilvl="1">
      <w:start w:val="1"/>
      <w:numFmt w:val="decimal"/>
      <w:pStyle w:val="Heading2"/>
      <w:lvlText w:val="%1.%2"/>
      <w:lvlJc w:val="left"/>
      <w:pPr>
        <w:tabs>
          <w:tab w:val="num" w:pos="553"/>
        </w:tabs>
        <w:ind w:left="576" w:hanging="576"/>
      </w:pPr>
      <w:rPr>
        <w:rFonts w:hint="default"/>
        <w:color w:val="006DB6"/>
        <w:sz w:val="24"/>
      </w:rPr>
    </w:lvl>
    <w:lvl w:ilvl="2">
      <w:start w:val="1"/>
      <w:numFmt w:val="decimal"/>
      <w:lvlText w:val="%1.%2.%3"/>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64"/>
        </w:tabs>
        <w:ind w:left="864" w:hanging="864"/>
      </w:pPr>
      <w:rPr>
        <w:rFonts w:hint="default"/>
        <w:color w:val="auto"/>
      </w:rPr>
    </w:lvl>
    <w:lvl w:ilvl="4">
      <w:start w:val="1"/>
      <w:numFmt w:val="decimal"/>
      <w:lvlText w:val="%1.%2.%3.%4.%5"/>
      <w:lvlJc w:val="left"/>
      <w:pPr>
        <w:tabs>
          <w:tab w:val="num" w:pos="1008"/>
        </w:tabs>
        <w:ind w:left="1008" w:hanging="1008"/>
      </w:pPr>
      <w:rPr>
        <w:rFonts w:hint="default"/>
        <w:color w:val="auto"/>
      </w:rPr>
    </w:lvl>
    <w:lvl w:ilvl="5">
      <w:start w:val="1"/>
      <w:numFmt w:val="decimal"/>
      <w:lvlText w:val="%1.%2.%3.%4.%5.%6"/>
      <w:lvlJc w:val="left"/>
      <w:pPr>
        <w:tabs>
          <w:tab w:val="num" w:pos="1152"/>
        </w:tabs>
        <w:ind w:left="1152" w:hanging="1152"/>
      </w:pPr>
      <w:rPr>
        <w:rFonts w:hint="default"/>
        <w:color w:val="auto"/>
      </w:rPr>
    </w:lvl>
    <w:lvl w:ilvl="6">
      <w:start w:val="1"/>
      <w:numFmt w:val="decimal"/>
      <w:lvlText w:val="%1.%2.%3.%4.%5.%6.%7"/>
      <w:lvlJc w:val="left"/>
      <w:pPr>
        <w:tabs>
          <w:tab w:val="num" w:pos="1296"/>
        </w:tabs>
        <w:ind w:left="1296" w:hanging="1296"/>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584"/>
        </w:tabs>
        <w:ind w:left="1584" w:hanging="1584"/>
      </w:pPr>
      <w:rPr>
        <w:rFonts w:hint="default"/>
        <w:color w:val="000000"/>
      </w:rPr>
    </w:lvl>
  </w:abstractNum>
  <w:abstractNum w:abstractNumId="3">
    <w:nsid w:val="40DA2AD5"/>
    <w:multiLevelType w:val="hybridMultilevel"/>
    <w:tmpl w:val="D562B20A"/>
    <w:lvl w:ilvl="0" w:tplc="A0E8723E">
      <w:start w:val="1"/>
      <w:numFmt w:val="lowerRoman"/>
      <w:lvlText w:val="%1."/>
      <w:lvlJc w:val="center"/>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676107"/>
    <w:multiLevelType w:val="hybridMultilevel"/>
    <w:tmpl w:val="D562B20A"/>
    <w:lvl w:ilvl="0" w:tplc="A0E8723E">
      <w:start w:val="1"/>
      <w:numFmt w:val="lowerRoman"/>
      <w:lvlText w:val="%1."/>
      <w:lvlJc w:val="center"/>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521055"/>
    <w:multiLevelType w:val="hybridMultilevel"/>
    <w:tmpl w:val="D562B20A"/>
    <w:lvl w:ilvl="0" w:tplc="A0E8723E">
      <w:start w:val="1"/>
      <w:numFmt w:val="lowerRoman"/>
      <w:lvlText w:val="%1."/>
      <w:lvlJc w:val="center"/>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794710"/>
    <w:multiLevelType w:val="hybridMultilevel"/>
    <w:tmpl w:val="D562B20A"/>
    <w:lvl w:ilvl="0" w:tplc="A0E8723E">
      <w:start w:val="1"/>
      <w:numFmt w:val="lowerRoman"/>
      <w:lvlText w:val="%1."/>
      <w:lvlJc w:val="center"/>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783AD3"/>
    <w:multiLevelType w:val="hybridMultilevel"/>
    <w:tmpl w:val="7B76F4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0C405D1"/>
    <w:multiLevelType w:val="hybridMultilevel"/>
    <w:tmpl w:val="D562B20A"/>
    <w:lvl w:ilvl="0" w:tplc="A0E8723E">
      <w:start w:val="1"/>
      <w:numFmt w:val="lowerRoman"/>
      <w:lvlText w:val="%1."/>
      <w:lvlJc w:val="center"/>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060ACE"/>
    <w:multiLevelType w:val="hybridMultilevel"/>
    <w:tmpl w:val="D562B20A"/>
    <w:lvl w:ilvl="0" w:tplc="A0E8723E">
      <w:start w:val="1"/>
      <w:numFmt w:val="lowerRoman"/>
      <w:lvlText w:val="%1."/>
      <w:lvlJc w:val="center"/>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9"/>
  </w:num>
  <w:num w:numId="5">
    <w:abstractNumId w:val="1"/>
  </w:num>
  <w:num w:numId="6">
    <w:abstractNumId w:val="8"/>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B8"/>
    <w:rsid w:val="000252C8"/>
    <w:rsid w:val="000749C8"/>
    <w:rsid w:val="00087B2D"/>
    <w:rsid w:val="00132E41"/>
    <w:rsid w:val="00176CEA"/>
    <w:rsid w:val="002845D4"/>
    <w:rsid w:val="002A79FF"/>
    <w:rsid w:val="002D5916"/>
    <w:rsid w:val="002E2949"/>
    <w:rsid w:val="003331FE"/>
    <w:rsid w:val="00381C0B"/>
    <w:rsid w:val="00426EBC"/>
    <w:rsid w:val="00431E48"/>
    <w:rsid w:val="00567DC5"/>
    <w:rsid w:val="005F0BC9"/>
    <w:rsid w:val="0062465D"/>
    <w:rsid w:val="00675FFA"/>
    <w:rsid w:val="006A4F04"/>
    <w:rsid w:val="00781FCF"/>
    <w:rsid w:val="00796BD9"/>
    <w:rsid w:val="0087302D"/>
    <w:rsid w:val="008A43DA"/>
    <w:rsid w:val="008A6B23"/>
    <w:rsid w:val="00911A66"/>
    <w:rsid w:val="009327D9"/>
    <w:rsid w:val="0097317D"/>
    <w:rsid w:val="0098703C"/>
    <w:rsid w:val="009C59EE"/>
    <w:rsid w:val="009D4184"/>
    <w:rsid w:val="00B714DC"/>
    <w:rsid w:val="00C556B8"/>
    <w:rsid w:val="00C63AE4"/>
    <w:rsid w:val="00CD510E"/>
    <w:rsid w:val="00D66ACF"/>
    <w:rsid w:val="00D84B5D"/>
    <w:rsid w:val="00DD2511"/>
    <w:rsid w:val="00DD6BD4"/>
    <w:rsid w:val="00E201FF"/>
    <w:rsid w:val="00E76A33"/>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0EC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B8"/>
    <w:pPr>
      <w:spacing w:line="280" w:lineRule="atLeast"/>
    </w:pPr>
    <w:rPr>
      <w:rFonts w:ascii="Arial" w:eastAsia="Times New Roman" w:hAnsi="Arial" w:cs="Times New Roman"/>
      <w:sz w:val="18"/>
      <w:lang w:val="en-GB" w:eastAsia="nl-NL"/>
    </w:rPr>
  </w:style>
  <w:style w:type="paragraph" w:styleId="Heading1">
    <w:name w:val="heading 1"/>
    <w:basedOn w:val="DefaultText"/>
    <w:next w:val="DefaultText"/>
    <w:link w:val="Heading1Char"/>
    <w:uiPriority w:val="99"/>
    <w:qFormat/>
    <w:rsid w:val="00C556B8"/>
    <w:pPr>
      <w:keepNext/>
      <w:keepLines/>
      <w:pageBreakBefore/>
      <w:numPr>
        <w:numId w:val="1"/>
      </w:numPr>
      <w:tabs>
        <w:tab w:val="left" w:pos="0"/>
      </w:tabs>
      <w:spacing w:after="840"/>
      <w:ind w:left="0"/>
      <w:outlineLvl w:val="0"/>
    </w:pPr>
    <w:rPr>
      <w:rFonts w:cs="Arial"/>
      <w:b/>
      <w:bCs/>
      <w:color w:val="006DB6"/>
      <w:sz w:val="36"/>
      <w:szCs w:val="32"/>
    </w:rPr>
  </w:style>
  <w:style w:type="paragraph" w:styleId="Heading2">
    <w:name w:val="heading 2"/>
    <w:aliases w:val="Title Header2"/>
    <w:basedOn w:val="DefaultText"/>
    <w:next w:val="DefaultText"/>
    <w:link w:val="Heading2Char"/>
    <w:uiPriority w:val="99"/>
    <w:qFormat/>
    <w:rsid w:val="00C556B8"/>
    <w:pPr>
      <w:keepNext/>
      <w:keepLines/>
      <w:numPr>
        <w:ilvl w:val="1"/>
        <w:numId w:val="1"/>
      </w:numPr>
      <w:spacing w:after="280"/>
      <w:ind w:left="0" w:hanging="567"/>
      <w:outlineLvl w:val="1"/>
    </w:pPr>
    <w:rPr>
      <w:rFonts w:cs="Arial"/>
      <w:bCs/>
      <w:iCs/>
      <w:color w:val="006DB6"/>
      <w:sz w:val="22"/>
      <w:szCs w:val="28"/>
    </w:rPr>
  </w:style>
  <w:style w:type="paragraph" w:styleId="Heading3">
    <w:name w:val="heading 3"/>
    <w:basedOn w:val="DefaultText"/>
    <w:next w:val="DefaultText"/>
    <w:link w:val="Heading3Char"/>
    <w:autoRedefine/>
    <w:uiPriority w:val="99"/>
    <w:qFormat/>
    <w:rsid w:val="00C556B8"/>
    <w:pPr>
      <w:keepNext/>
      <w:keepLines/>
      <w:tabs>
        <w:tab w:val="left" w:pos="0"/>
      </w:tabs>
      <w:spacing w:line="276" w:lineRule="auto"/>
      <w:ind w:left="-567"/>
      <w:jc w:val="both"/>
      <w:outlineLvl w:val="2"/>
    </w:pPr>
    <w:rPr>
      <w:rFonts w:cs="Arial"/>
      <w:i/>
      <w:iCs/>
      <w:color w:val="006DB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56B8"/>
    <w:rPr>
      <w:rFonts w:ascii="Arial" w:eastAsia="Times New Roman" w:hAnsi="Arial" w:cs="Arial"/>
      <w:b/>
      <w:bCs/>
      <w:color w:val="006DB6"/>
      <w:sz w:val="36"/>
      <w:szCs w:val="32"/>
      <w:lang w:val="en-GB" w:eastAsia="nl-NL"/>
    </w:rPr>
  </w:style>
  <w:style w:type="character" w:customStyle="1" w:styleId="Heading2Char">
    <w:name w:val="Heading 2 Char"/>
    <w:aliases w:val="Title Header2 Char"/>
    <w:basedOn w:val="DefaultParagraphFont"/>
    <w:link w:val="Heading2"/>
    <w:uiPriority w:val="99"/>
    <w:rsid w:val="00C556B8"/>
    <w:rPr>
      <w:rFonts w:ascii="Arial" w:eastAsia="Times New Roman" w:hAnsi="Arial" w:cs="Arial"/>
      <w:bCs/>
      <w:iCs/>
      <w:color w:val="006DB6"/>
      <w:sz w:val="22"/>
      <w:szCs w:val="28"/>
      <w:lang w:val="en-GB" w:eastAsia="nl-NL"/>
    </w:rPr>
  </w:style>
  <w:style w:type="character" w:customStyle="1" w:styleId="Heading3Char">
    <w:name w:val="Heading 3 Char"/>
    <w:basedOn w:val="DefaultParagraphFont"/>
    <w:link w:val="Heading3"/>
    <w:uiPriority w:val="99"/>
    <w:rsid w:val="00C556B8"/>
    <w:rPr>
      <w:rFonts w:ascii="Arial" w:eastAsia="Times New Roman" w:hAnsi="Arial" w:cs="Arial"/>
      <w:i/>
      <w:iCs/>
      <w:color w:val="006DB6"/>
      <w:sz w:val="22"/>
      <w:szCs w:val="20"/>
      <w:lang w:val="en-GB" w:eastAsia="nl-NL"/>
    </w:rPr>
  </w:style>
  <w:style w:type="paragraph" w:customStyle="1" w:styleId="DefaultText">
    <w:name w:val="Default Text"/>
    <w:basedOn w:val="Normal"/>
    <w:link w:val="DefaultTextChar"/>
    <w:uiPriority w:val="99"/>
    <w:qFormat/>
    <w:rsid w:val="00C556B8"/>
  </w:style>
  <w:style w:type="paragraph" w:customStyle="1" w:styleId="table-text">
    <w:name w:val="table-text"/>
    <w:basedOn w:val="DefaultText"/>
    <w:rsid w:val="00C556B8"/>
    <w:rPr>
      <w:sz w:val="16"/>
    </w:rPr>
  </w:style>
  <w:style w:type="character" w:customStyle="1" w:styleId="DefaultTextChar">
    <w:name w:val="Default Text Char"/>
    <w:basedOn w:val="DefaultParagraphFont"/>
    <w:link w:val="DefaultText"/>
    <w:uiPriority w:val="99"/>
    <w:rsid w:val="00C556B8"/>
    <w:rPr>
      <w:rFonts w:ascii="Arial" w:eastAsia="Times New Roman" w:hAnsi="Arial" w:cs="Times New Roman"/>
      <w:sz w:val="18"/>
      <w:lang w:val="en-GB" w:eastAsia="nl-NL"/>
    </w:rPr>
  </w:style>
  <w:style w:type="paragraph" w:customStyle="1" w:styleId="broodtekst">
    <w:name w:val="broodtekst"/>
    <w:basedOn w:val="Normal"/>
    <w:rsid w:val="00C556B8"/>
  </w:style>
  <w:style w:type="paragraph" w:customStyle="1" w:styleId="Default">
    <w:name w:val="Default"/>
    <w:rsid w:val="00C556B8"/>
    <w:pPr>
      <w:autoSpaceDE w:val="0"/>
      <w:autoSpaceDN w:val="0"/>
      <w:adjustRightInd w:val="0"/>
    </w:pPr>
    <w:rPr>
      <w:rFonts w:ascii="Times New Roman" w:hAnsi="Times New Roman" w:cs="Times New Roman"/>
      <w:color w:val="000000"/>
      <w:lang w:val="en-GB"/>
    </w:rPr>
  </w:style>
  <w:style w:type="paragraph" w:customStyle="1" w:styleId="StyleDefault11ptAutoJustifiedAfter6pt">
    <w:name w:val="Style Default + 11 pt Auto Justified After:  6 pt"/>
    <w:basedOn w:val="Default"/>
    <w:rsid w:val="00C556B8"/>
    <w:pPr>
      <w:suppressAutoHyphens/>
      <w:autoSpaceDN/>
      <w:adjustRightInd/>
      <w:spacing w:before="120" w:after="120"/>
      <w:jc w:val="both"/>
    </w:pPr>
    <w:rPr>
      <w:rFonts w:eastAsia="Arial"/>
      <w:color w:val="auto"/>
      <w:sz w:val="22"/>
      <w:szCs w:val="20"/>
      <w:lang w:val="en-US" w:eastAsia="ar-SA"/>
    </w:rPr>
  </w:style>
  <w:style w:type="table" w:customStyle="1" w:styleId="TabelEcorys2">
    <w:name w:val="TabelEcorys2"/>
    <w:basedOn w:val="TableNormal"/>
    <w:next w:val="TableGrid"/>
    <w:rsid w:val="00C556B8"/>
    <w:pPr>
      <w:spacing w:line="280" w:lineRule="atLeast"/>
    </w:pPr>
    <w:rPr>
      <w:rFonts w:ascii="Arial" w:eastAsia="Times New Roman" w:hAnsi="Arial" w:cs="Times New Roman"/>
      <w:sz w:val="16"/>
      <w:szCs w:val="20"/>
      <w:lang w:val="en-GB" w:eastAsia="en-GB"/>
    </w:rPr>
    <w:tblP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68" w:type="dxa"/>
        <w:bottom w:w="0" w:type="dxa"/>
        <w:right w:w="68" w:type="dxa"/>
      </w:tblCellMar>
    </w:tblPr>
  </w:style>
  <w:style w:type="table" w:styleId="TableGrid">
    <w:name w:val="Table Grid"/>
    <w:basedOn w:val="TableNormal"/>
    <w:uiPriority w:val="39"/>
    <w:rsid w:val="00C556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1C0B"/>
    <w:pPr>
      <w:tabs>
        <w:tab w:val="center" w:pos="4513"/>
        <w:tab w:val="right" w:pos="9026"/>
      </w:tabs>
      <w:spacing w:line="240" w:lineRule="auto"/>
    </w:pPr>
  </w:style>
  <w:style w:type="character" w:customStyle="1" w:styleId="HeaderChar">
    <w:name w:val="Header Char"/>
    <w:basedOn w:val="DefaultParagraphFont"/>
    <w:link w:val="Header"/>
    <w:uiPriority w:val="99"/>
    <w:rsid w:val="00381C0B"/>
    <w:rPr>
      <w:rFonts w:ascii="Arial" w:eastAsia="Times New Roman" w:hAnsi="Arial" w:cs="Times New Roman"/>
      <w:sz w:val="18"/>
      <w:lang w:val="en-GB" w:eastAsia="nl-NL"/>
    </w:rPr>
  </w:style>
  <w:style w:type="paragraph" w:styleId="Footer">
    <w:name w:val="footer"/>
    <w:basedOn w:val="Normal"/>
    <w:link w:val="FooterChar"/>
    <w:unhideWhenUsed/>
    <w:rsid w:val="00381C0B"/>
    <w:pPr>
      <w:tabs>
        <w:tab w:val="center" w:pos="4513"/>
        <w:tab w:val="right" w:pos="9026"/>
      </w:tabs>
      <w:spacing w:line="240" w:lineRule="auto"/>
    </w:pPr>
  </w:style>
  <w:style w:type="character" w:customStyle="1" w:styleId="FooterChar">
    <w:name w:val="Footer Char"/>
    <w:basedOn w:val="DefaultParagraphFont"/>
    <w:link w:val="Footer"/>
    <w:rsid w:val="00381C0B"/>
    <w:rPr>
      <w:rFonts w:ascii="Arial" w:eastAsia="Times New Roman" w:hAnsi="Arial" w:cs="Times New Roman"/>
      <w:sz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1886</Words>
  <Characters>10753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Sinnett</dc:creator>
  <cp:keywords/>
  <dc:description/>
  <cp:lastModifiedBy>Philip Sinnett</cp:lastModifiedBy>
  <cp:revision>2</cp:revision>
  <cp:lastPrinted>2016-01-19T15:48:00Z</cp:lastPrinted>
  <dcterms:created xsi:type="dcterms:W3CDTF">2016-02-25T13:50:00Z</dcterms:created>
  <dcterms:modified xsi:type="dcterms:W3CDTF">2016-02-25T13:50:00Z</dcterms:modified>
</cp:coreProperties>
</file>