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B3" w:rsidRDefault="008173B3"/>
    <w:p w:rsidR="00373B77" w:rsidRPr="001D507B" w:rsidRDefault="00373B77" w:rsidP="001D507B">
      <w:pPr>
        <w:spacing w:after="120"/>
        <w:jc w:val="both"/>
        <w:rPr>
          <w:rFonts w:ascii="Arial" w:hAnsi="Arial" w:cs="Arial"/>
          <w:b/>
          <w:sz w:val="28"/>
          <w:szCs w:val="28"/>
        </w:rPr>
      </w:pPr>
      <w:r w:rsidRPr="001D507B">
        <w:rPr>
          <w:rFonts w:ascii="Arial" w:hAnsi="Arial" w:cs="Arial"/>
          <w:b/>
          <w:sz w:val="28"/>
          <w:szCs w:val="28"/>
        </w:rPr>
        <w:t xml:space="preserve">Workshop on Applying the PFM Performance Measurement </w:t>
      </w:r>
      <w:r w:rsidR="00DD410D" w:rsidRPr="001D507B">
        <w:rPr>
          <w:rFonts w:ascii="Arial" w:hAnsi="Arial" w:cs="Arial"/>
          <w:b/>
          <w:sz w:val="28"/>
          <w:szCs w:val="28"/>
        </w:rPr>
        <w:t>F</w:t>
      </w:r>
      <w:r w:rsidRPr="001D507B">
        <w:rPr>
          <w:rFonts w:ascii="Arial" w:hAnsi="Arial" w:cs="Arial"/>
          <w:b/>
          <w:sz w:val="28"/>
          <w:szCs w:val="28"/>
        </w:rPr>
        <w:t>ramework</w:t>
      </w:r>
    </w:p>
    <w:p w:rsidR="001D507B" w:rsidRDefault="001D507B" w:rsidP="001D507B">
      <w:pPr>
        <w:spacing w:after="120"/>
        <w:jc w:val="both"/>
        <w:rPr>
          <w:rFonts w:ascii="Arial" w:hAnsi="Arial" w:cs="Arial"/>
          <w:b/>
          <w:sz w:val="28"/>
          <w:szCs w:val="28"/>
        </w:rPr>
      </w:pPr>
    </w:p>
    <w:p w:rsidR="00373B77" w:rsidRPr="001D507B" w:rsidRDefault="00373B77" w:rsidP="001D507B">
      <w:pPr>
        <w:spacing w:after="120"/>
        <w:jc w:val="both"/>
        <w:rPr>
          <w:rFonts w:ascii="Arial" w:hAnsi="Arial" w:cs="Arial"/>
          <w:b/>
          <w:sz w:val="28"/>
          <w:szCs w:val="28"/>
        </w:rPr>
      </w:pPr>
      <w:r w:rsidRPr="001D507B">
        <w:rPr>
          <w:rFonts w:ascii="Arial" w:hAnsi="Arial" w:cs="Arial"/>
          <w:b/>
          <w:sz w:val="28"/>
          <w:szCs w:val="28"/>
        </w:rPr>
        <w:t>Group Work on Tracking Performance Progress over Time</w:t>
      </w:r>
    </w:p>
    <w:p w:rsidR="00373B77" w:rsidRPr="001D507B" w:rsidRDefault="00373B77" w:rsidP="001D507B">
      <w:pPr>
        <w:spacing w:after="120"/>
        <w:jc w:val="both"/>
        <w:rPr>
          <w:rFonts w:ascii="Arial" w:hAnsi="Arial" w:cs="Arial"/>
          <w:szCs w:val="22"/>
        </w:rPr>
      </w:pPr>
    </w:p>
    <w:p w:rsidR="00373B77" w:rsidRPr="001D507B" w:rsidRDefault="00373B77" w:rsidP="001D507B">
      <w:pPr>
        <w:spacing w:after="120"/>
        <w:jc w:val="both"/>
        <w:rPr>
          <w:rFonts w:ascii="Arial" w:hAnsi="Arial" w:cs="Arial"/>
          <w:b/>
          <w:bCs/>
          <w:szCs w:val="22"/>
        </w:rPr>
      </w:pPr>
      <w:r w:rsidRPr="001D507B">
        <w:rPr>
          <w:rFonts w:ascii="Arial" w:hAnsi="Arial" w:cs="Arial"/>
          <w:b/>
          <w:bCs/>
          <w:szCs w:val="22"/>
        </w:rPr>
        <w:t>Objective of the exercises:</w:t>
      </w:r>
    </w:p>
    <w:p w:rsidR="00373B77" w:rsidRPr="001D507B" w:rsidRDefault="00373B77" w:rsidP="001D507B">
      <w:pPr>
        <w:spacing w:after="120"/>
        <w:jc w:val="both"/>
        <w:rPr>
          <w:rFonts w:ascii="Arial" w:hAnsi="Arial" w:cs="Arial"/>
          <w:szCs w:val="22"/>
        </w:rPr>
      </w:pPr>
      <w:r w:rsidRPr="001D507B">
        <w:rPr>
          <w:rFonts w:ascii="Arial" w:hAnsi="Arial" w:cs="Arial"/>
          <w:szCs w:val="22"/>
        </w:rPr>
        <w:t xml:space="preserve">The following two cases are intended to provide understanding of the </w:t>
      </w:r>
      <w:r w:rsidR="00DD410D" w:rsidRPr="001D507B">
        <w:rPr>
          <w:rFonts w:ascii="Arial" w:hAnsi="Arial" w:cs="Arial"/>
          <w:szCs w:val="22"/>
        </w:rPr>
        <w:t xml:space="preserve">information needs and results presentation for comparison of two PFM performance assessments carried out with a few years’ interval in the same country. Two indicator </w:t>
      </w:r>
      <w:r w:rsidR="00F42A23" w:rsidRPr="001D507B">
        <w:rPr>
          <w:rFonts w:ascii="Arial" w:hAnsi="Arial" w:cs="Arial"/>
          <w:szCs w:val="22"/>
        </w:rPr>
        <w:t>cases</w:t>
      </w:r>
      <w:r w:rsidR="00DD410D" w:rsidRPr="001D507B">
        <w:rPr>
          <w:rFonts w:ascii="Arial" w:hAnsi="Arial" w:cs="Arial"/>
          <w:szCs w:val="22"/>
        </w:rPr>
        <w:t xml:space="preserve"> are given (</w:t>
      </w:r>
      <w:r w:rsidR="00DD410D" w:rsidRPr="001D507B">
        <w:rPr>
          <w:rFonts w:ascii="Arial" w:hAnsi="Arial" w:cs="Arial"/>
          <w:b/>
          <w:szCs w:val="22"/>
        </w:rPr>
        <w:t>PI-</w:t>
      </w:r>
      <w:r w:rsidR="00C6726F" w:rsidRPr="001D507B">
        <w:rPr>
          <w:rFonts w:ascii="Arial" w:hAnsi="Arial" w:cs="Arial"/>
          <w:b/>
          <w:szCs w:val="22"/>
        </w:rPr>
        <w:t>11</w:t>
      </w:r>
      <w:r w:rsidR="00DD410D" w:rsidRPr="001D507B">
        <w:rPr>
          <w:rFonts w:ascii="Arial" w:hAnsi="Arial" w:cs="Arial"/>
          <w:b/>
          <w:szCs w:val="22"/>
        </w:rPr>
        <w:t xml:space="preserve"> and PI-</w:t>
      </w:r>
      <w:r w:rsidR="00F42A23" w:rsidRPr="001D507B">
        <w:rPr>
          <w:rFonts w:ascii="Arial" w:hAnsi="Arial" w:cs="Arial"/>
          <w:b/>
          <w:szCs w:val="22"/>
        </w:rPr>
        <w:t>1</w:t>
      </w:r>
      <w:r w:rsidR="00C6726F" w:rsidRPr="001D507B">
        <w:rPr>
          <w:rFonts w:ascii="Arial" w:hAnsi="Arial" w:cs="Arial"/>
          <w:b/>
          <w:szCs w:val="22"/>
        </w:rPr>
        <w:t>4</w:t>
      </w:r>
      <w:r w:rsidR="00DD410D" w:rsidRPr="001D507B">
        <w:rPr>
          <w:rFonts w:ascii="Arial" w:hAnsi="Arial" w:cs="Arial"/>
          <w:szCs w:val="22"/>
        </w:rPr>
        <w:t>).</w:t>
      </w:r>
    </w:p>
    <w:p w:rsidR="00373B77" w:rsidRPr="001D507B" w:rsidRDefault="00373B77" w:rsidP="001D507B">
      <w:pPr>
        <w:spacing w:after="120"/>
        <w:jc w:val="both"/>
        <w:rPr>
          <w:rFonts w:ascii="Arial" w:hAnsi="Arial" w:cs="Arial"/>
          <w:szCs w:val="22"/>
        </w:rPr>
      </w:pPr>
    </w:p>
    <w:p w:rsidR="00373B77" w:rsidRPr="001D507B" w:rsidRDefault="00373B77" w:rsidP="001D507B">
      <w:pPr>
        <w:spacing w:after="120"/>
        <w:jc w:val="both"/>
        <w:rPr>
          <w:rFonts w:ascii="Arial" w:hAnsi="Arial" w:cs="Arial"/>
          <w:szCs w:val="22"/>
        </w:rPr>
      </w:pPr>
      <w:r w:rsidRPr="001D507B">
        <w:rPr>
          <w:rFonts w:ascii="Arial" w:hAnsi="Arial" w:cs="Arial"/>
          <w:szCs w:val="22"/>
        </w:rPr>
        <w:t>Each group needs to:</w:t>
      </w:r>
    </w:p>
    <w:p w:rsidR="00373B77" w:rsidRPr="001D507B" w:rsidRDefault="00373B77" w:rsidP="001D507B">
      <w:pPr>
        <w:numPr>
          <w:ilvl w:val="0"/>
          <w:numId w:val="2"/>
        </w:numPr>
        <w:spacing w:line="240" w:lineRule="auto"/>
        <w:ind w:left="1077"/>
        <w:jc w:val="both"/>
        <w:rPr>
          <w:rFonts w:ascii="Arial" w:hAnsi="Arial" w:cs="Arial"/>
          <w:szCs w:val="22"/>
        </w:rPr>
      </w:pPr>
      <w:r w:rsidRPr="001D507B">
        <w:rPr>
          <w:rFonts w:ascii="Arial" w:hAnsi="Arial" w:cs="Arial"/>
          <w:szCs w:val="22"/>
        </w:rPr>
        <w:t xml:space="preserve">Judge if the </w:t>
      </w:r>
      <w:r w:rsidR="00F42A23" w:rsidRPr="001D507B">
        <w:rPr>
          <w:rFonts w:ascii="Arial" w:hAnsi="Arial" w:cs="Arial"/>
          <w:szCs w:val="22"/>
        </w:rPr>
        <w:t xml:space="preserve">scores for each indicator in each of the years appear to be correct and based on adequate </w:t>
      </w:r>
      <w:r w:rsidRPr="001D507B">
        <w:rPr>
          <w:rFonts w:ascii="Arial" w:hAnsi="Arial" w:cs="Arial"/>
          <w:szCs w:val="22"/>
        </w:rPr>
        <w:t>information;</w:t>
      </w:r>
    </w:p>
    <w:p w:rsidR="00373B77" w:rsidRPr="001D507B" w:rsidRDefault="00F42A23" w:rsidP="001D507B">
      <w:pPr>
        <w:numPr>
          <w:ilvl w:val="0"/>
          <w:numId w:val="2"/>
        </w:numPr>
        <w:spacing w:line="240" w:lineRule="auto"/>
        <w:ind w:left="1077"/>
        <w:jc w:val="both"/>
        <w:rPr>
          <w:rFonts w:ascii="Arial" w:hAnsi="Arial" w:cs="Arial"/>
          <w:szCs w:val="22"/>
        </w:rPr>
      </w:pPr>
      <w:r w:rsidRPr="001D507B">
        <w:rPr>
          <w:rFonts w:ascii="Arial" w:hAnsi="Arial" w:cs="Arial"/>
          <w:szCs w:val="22"/>
        </w:rPr>
        <w:t>Explain the changes that have taken place for each indicator and its dimensions</w:t>
      </w:r>
      <w:r w:rsidR="00373B77" w:rsidRPr="001D507B">
        <w:rPr>
          <w:rFonts w:ascii="Arial" w:hAnsi="Arial" w:cs="Arial"/>
          <w:szCs w:val="22"/>
        </w:rPr>
        <w:t>;</w:t>
      </w:r>
    </w:p>
    <w:p w:rsidR="00F42A23" w:rsidRPr="001D507B" w:rsidRDefault="00F42A23" w:rsidP="001D507B">
      <w:pPr>
        <w:numPr>
          <w:ilvl w:val="0"/>
          <w:numId w:val="2"/>
        </w:numPr>
        <w:spacing w:line="240" w:lineRule="auto"/>
        <w:ind w:left="1077"/>
        <w:jc w:val="both"/>
        <w:rPr>
          <w:rFonts w:ascii="Arial" w:hAnsi="Arial" w:cs="Arial"/>
          <w:szCs w:val="22"/>
        </w:rPr>
      </w:pPr>
      <w:r w:rsidRPr="001D507B">
        <w:rPr>
          <w:rFonts w:ascii="Arial" w:hAnsi="Arial" w:cs="Arial"/>
          <w:szCs w:val="22"/>
        </w:rPr>
        <w:t>Assess if the changes in performance ratings are justified</w:t>
      </w:r>
      <w:r w:rsidR="00C6726F" w:rsidRPr="001D507B">
        <w:rPr>
          <w:rFonts w:ascii="Arial" w:hAnsi="Arial" w:cs="Arial"/>
          <w:szCs w:val="22"/>
        </w:rPr>
        <w:t xml:space="preserve"> and if other factors have influenced the ratings</w:t>
      </w:r>
      <w:r w:rsidRPr="001D507B">
        <w:rPr>
          <w:rFonts w:ascii="Arial" w:hAnsi="Arial" w:cs="Arial"/>
          <w:szCs w:val="22"/>
        </w:rPr>
        <w:t>;</w:t>
      </w:r>
    </w:p>
    <w:p w:rsidR="00373B77" w:rsidRPr="001D507B" w:rsidRDefault="00373B77" w:rsidP="001D507B">
      <w:pPr>
        <w:spacing w:after="120"/>
        <w:jc w:val="both"/>
        <w:rPr>
          <w:rFonts w:ascii="Arial" w:hAnsi="Arial" w:cs="Arial"/>
          <w:szCs w:val="22"/>
        </w:rPr>
      </w:pPr>
      <w:r w:rsidRPr="001D507B">
        <w:rPr>
          <w:rFonts w:ascii="Arial" w:hAnsi="Arial" w:cs="Arial"/>
          <w:szCs w:val="22"/>
        </w:rPr>
        <w:t xml:space="preserve"> </w:t>
      </w:r>
    </w:p>
    <w:p w:rsidR="00373B77" w:rsidRPr="001D507B" w:rsidRDefault="00373B77" w:rsidP="001D507B">
      <w:pPr>
        <w:spacing w:after="120"/>
        <w:jc w:val="both"/>
        <w:rPr>
          <w:rFonts w:ascii="Arial" w:hAnsi="Arial" w:cs="Arial"/>
          <w:szCs w:val="22"/>
        </w:rPr>
      </w:pPr>
      <w:r w:rsidRPr="001D507B">
        <w:rPr>
          <w:rFonts w:ascii="Arial" w:hAnsi="Arial" w:cs="Arial"/>
          <w:szCs w:val="22"/>
        </w:rPr>
        <w:t xml:space="preserve">For each indicator, information is provided on the state of affairs </w:t>
      </w:r>
      <w:r w:rsidR="00C6726F" w:rsidRPr="001D507B">
        <w:rPr>
          <w:rFonts w:ascii="Arial" w:hAnsi="Arial" w:cs="Arial"/>
          <w:szCs w:val="22"/>
        </w:rPr>
        <w:t>as assessed in Ju</w:t>
      </w:r>
      <w:r w:rsidR="00686DA5" w:rsidRPr="001D507B">
        <w:rPr>
          <w:rFonts w:ascii="Arial" w:hAnsi="Arial" w:cs="Arial"/>
          <w:szCs w:val="22"/>
        </w:rPr>
        <w:t>ly</w:t>
      </w:r>
      <w:r w:rsidR="00DD410D" w:rsidRPr="001D507B">
        <w:rPr>
          <w:rFonts w:ascii="Arial" w:hAnsi="Arial" w:cs="Arial"/>
          <w:szCs w:val="22"/>
        </w:rPr>
        <w:t xml:space="preserve"> 200</w:t>
      </w:r>
      <w:r w:rsidR="009207DB" w:rsidRPr="001D507B">
        <w:rPr>
          <w:rFonts w:ascii="Arial" w:hAnsi="Arial" w:cs="Arial"/>
          <w:szCs w:val="22"/>
        </w:rPr>
        <w:t>8</w:t>
      </w:r>
      <w:r w:rsidR="00DD410D" w:rsidRPr="001D507B">
        <w:rPr>
          <w:rFonts w:ascii="Arial" w:hAnsi="Arial" w:cs="Arial"/>
          <w:szCs w:val="22"/>
        </w:rPr>
        <w:t xml:space="preserve"> and </w:t>
      </w:r>
      <w:r w:rsidR="00C6726F" w:rsidRPr="001D507B">
        <w:rPr>
          <w:rFonts w:ascii="Arial" w:hAnsi="Arial" w:cs="Arial"/>
          <w:szCs w:val="22"/>
        </w:rPr>
        <w:t>in Ju</w:t>
      </w:r>
      <w:r w:rsidR="00686DA5" w:rsidRPr="001D507B">
        <w:rPr>
          <w:rFonts w:ascii="Arial" w:hAnsi="Arial" w:cs="Arial"/>
          <w:szCs w:val="22"/>
        </w:rPr>
        <w:t>ly</w:t>
      </w:r>
      <w:r w:rsidR="00C6726F" w:rsidRPr="001D507B">
        <w:rPr>
          <w:rFonts w:ascii="Arial" w:hAnsi="Arial" w:cs="Arial"/>
          <w:szCs w:val="22"/>
        </w:rPr>
        <w:t xml:space="preserve"> </w:t>
      </w:r>
      <w:r w:rsidR="00DD410D" w:rsidRPr="001D507B">
        <w:rPr>
          <w:rFonts w:ascii="Arial" w:hAnsi="Arial" w:cs="Arial"/>
          <w:szCs w:val="22"/>
        </w:rPr>
        <w:t>20</w:t>
      </w:r>
      <w:r w:rsidR="009207DB" w:rsidRPr="001D507B">
        <w:rPr>
          <w:rFonts w:ascii="Arial" w:hAnsi="Arial" w:cs="Arial"/>
          <w:szCs w:val="22"/>
        </w:rPr>
        <w:t>10</w:t>
      </w:r>
      <w:r w:rsidR="00C6726F" w:rsidRPr="001D507B">
        <w:rPr>
          <w:rFonts w:ascii="Arial" w:hAnsi="Arial" w:cs="Arial"/>
          <w:szCs w:val="22"/>
        </w:rPr>
        <w:t xml:space="preserve"> respectively</w:t>
      </w:r>
      <w:r w:rsidR="005C70DE" w:rsidRPr="001D507B">
        <w:rPr>
          <w:rFonts w:ascii="Arial" w:hAnsi="Arial" w:cs="Arial"/>
          <w:szCs w:val="22"/>
        </w:rPr>
        <w:t xml:space="preserve"> (as found in a PFM Performance Report where the data is condensed and well arranged)</w:t>
      </w:r>
      <w:r w:rsidRPr="001D507B">
        <w:rPr>
          <w:rFonts w:ascii="Arial" w:hAnsi="Arial" w:cs="Arial"/>
          <w:szCs w:val="22"/>
        </w:rPr>
        <w:t xml:space="preserve">. </w:t>
      </w:r>
      <w:r w:rsidR="00DD410D" w:rsidRPr="001D507B">
        <w:rPr>
          <w:rFonts w:ascii="Arial" w:hAnsi="Arial" w:cs="Arial"/>
          <w:szCs w:val="22"/>
        </w:rPr>
        <w:t xml:space="preserve">The scoring of the indicators and their dimensions are provided for each of the years. </w:t>
      </w:r>
      <w:r w:rsidRPr="001D507B">
        <w:rPr>
          <w:rFonts w:ascii="Arial" w:hAnsi="Arial" w:cs="Arial"/>
          <w:szCs w:val="22"/>
        </w:rPr>
        <w:t xml:space="preserve">The group will assess </w:t>
      </w:r>
      <w:r w:rsidR="00DD410D" w:rsidRPr="001D507B">
        <w:rPr>
          <w:rFonts w:ascii="Arial" w:hAnsi="Arial" w:cs="Arial"/>
          <w:szCs w:val="22"/>
        </w:rPr>
        <w:t>if</w:t>
      </w:r>
      <w:r w:rsidRPr="001D507B">
        <w:rPr>
          <w:rFonts w:ascii="Arial" w:hAnsi="Arial" w:cs="Arial"/>
          <w:szCs w:val="22"/>
        </w:rPr>
        <w:t xml:space="preserve"> adequa</w:t>
      </w:r>
      <w:r w:rsidR="00DD410D" w:rsidRPr="001D507B">
        <w:rPr>
          <w:rFonts w:ascii="Arial" w:hAnsi="Arial" w:cs="Arial"/>
          <w:szCs w:val="22"/>
        </w:rPr>
        <w:t>te</w:t>
      </w:r>
      <w:r w:rsidRPr="001D507B">
        <w:rPr>
          <w:rFonts w:ascii="Arial" w:hAnsi="Arial" w:cs="Arial"/>
          <w:szCs w:val="22"/>
        </w:rPr>
        <w:t xml:space="preserve"> information</w:t>
      </w:r>
      <w:r w:rsidR="00DD410D" w:rsidRPr="001D507B">
        <w:rPr>
          <w:rFonts w:ascii="Arial" w:hAnsi="Arial" w:cs="Arial"/>
          <w:szCs w:val="22"/>
        </w:rPr>
        <w:t xml:space="preserve"> is </w:t>
      </w:r>
      <w:r w:rsidRPr="001D507B">
        <w:rPr>
          <w:rFonts w:ascii="Arial" w:hAnsi="Arial" w:cs="Arial"/>
          <w:szCs w:val="22"/>
        </w:rPr>
        <w:t>provided</w:t>
      </w:r>
      <w:r w:rsidR="00DD410D" w:rsidRPr="001D507B">
        <w:rPr>
          <w:rFonts w:ascii="Arial" w:hAnsi="Arial" w:cs="Arial"/>
          <w:szCs w:val="22"/>
        </w:rPr>
        <w:t xml:space="preserve"> to track performance from 200</w:t>
      </w:r>
      <w:r w:rsidR="009207DB" w:rsidRPr="001D507B">
        <w:rPr>
          <w:rFonts w:ascii="Arial" w:hAnsi="Arial" w:cs="Arial"/>
          <w:szCs w:val="22"/>
        </w:rPr>
        <w:t>8</w:t>
      </w:r>
      <w:r w:rsidR="00DD410D" w:rsidRPr="001D507B">
        <w:rPr>
          <w:rFonts w:ascii="Arial" w:hAnsi="Arial" w:cs="Arial"/>
          <w:szCs w:val="22"/>
        </w:rPr>
        <w:t xml:space="preserve"> to 20</w:t>
      </w:r>
      <w:r w:rsidR="009207DB" w:rsidRPr="001D507B">
        <w:rPr>
          <w:rFonts w:ascii="Arial" w:hAnsi="Arial" w:cs="Arial"/>
          <w:szCs w:val="22"/>
        </w:rPr>
        <w:t>10</w:t>
      </w:r>
      <w:r w:rsidR="00DD410D" w:rsidRPr="001D507B">
        <w:rPr>
          <w:rFonts w:ascii="Arial" w:hAnsi="Arial" w:cs="Arial"/>
          <w:szCs w:val="22"/>
        </w:rPr>
        <w:t xml:space="preserve"> and will identify what element of the indicator has changed and by how much to justify the change in the score</w:t>
      </w:r>
      <w:r w:rsidRPr="001D507B">
        <w:rPr>
          <w:rFonts w:ascii="Arial" w:hAnsi="Arial" w:cs="Arial"/>
          <w:szCs w:val="22"/>
        </w:rPr>
        <w:t xml:space="preserve">. </w:t>
      </w:r>
    </w:p>
    <w:p w:rsidR="00373B77" w:rsidRPr="001D507B" w:rsidRDefault="00373B77" w:rsidP="001D507B">
      <w:pPr>
        <w:spacing w:after="120"/>
        <w:jc w:val="both"/>
        <w:rPr>
          <w:rFonts w:ascii="Arial" w:hAnsi="Arial" w:cs="Arial"/>
          <w:szCs w:val="22"/>
        </w:rPr>
      </w:pPr>
    </w:p>
    <w:p w:rsidR="00DD410D" w:rsidRPr="001D507B" w:rsidRDefault="00373B77" w:rsidP="001D507B">
      <w:pPr>
        <w:jc w:val="both"/>
        <w:rPr>
          <w:rFonts w:ascii="Arial" w:hAnsi="Arial" w:cs="Arial"/>
          <w:szCs w:val="22"/>
        </w:rPr>
      </w:pPr>
      <w:r w:rsidRPr="001D507B">
        <w:rPr>
          <w:rFonts w:ascii="Arial" w:hAnsi="Arial" w:cs="Arial"/>
          <w:szCs w:val="22"/>
        </w:rPr>
        <w:t>The PFM Performance Measurement Framework should be referred to for the purpose of this exercise.</w:t>
      </w:r>
    </w:p>
    <w:p w:rsidR="00C6726F" w:rsidRPr="001D507B" w:rsidRDefault="00C6726F"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u w:val="single"/>
        </w:rPr>
        <w:t>Note:</w:t>
      </w:r>
      <w:r w:rsidRPr="001D507B">
        <w:rPr>
          <w:rFonts w:ascii="Arial" w:hAnsi="Arial" w:cs="Arial"/>
          <w:szCs w:val="22"/>
        </w:rPr>
        <w:t xml:space="preserve"> </w:t>
      </w:r>
      <w:r w:rsidRPr="001D507B">
        <w:rPr>
          <w:rFonts w:ascii="Arial" w:hAnsi="Arial" w:cs="Arial"/>
          <w:szCs w:val="22"/>
          <w:lang w:val="en-US"/>
        </w:rPr>
        <w:t>Government fiscal year July 1</w:t>
      </w:r>
      <w:r w:rsidRPr="001D507B">
        <w:rPr>
          <w:rFonts w:ascii="Arial" w:hAnsi="Arial" w:cs="Arial"/>
          <w:szCs w:val="22"/>
          <w:vertAlign w:val="superscript"/>
          <w:lang w:val="en-US"/>
        </w:rPr>
        <w:t>st</w:t>
      </w:r>
      <w:r w:rsidRPr="001D507B">
        <w:rPr>
          <w:rFonts w:ascii="Arial" w:hAnsi="Arial" w:cs="Arial"/>
          <w:szCs w:val="22"/>
          <w:lang w:val="en-US"/>
        </w:rPr>
        <w:t xml:space="preserve"> to June 30</w:t>
      </w:r>
      <w:r w:rsidRPr="001D507B">
        <w:rPr>
          <w:rFonts w:ascii="Arial" w:hAnsi="Arial" w:cs="Arial"/>
          <w:szCs w:val="22"/>
          <w:vertAlign w:val="superscript"/>
          <w:lang w:val="en-US"/>
        </w:rPr>
        <w:t>th</w:t>
      </w:r>
      <w:r w:rsidRPr="001D507B">
        <w:rPr>
          <w:rFonts w:ascii="Arial" w:hAnsi="Arial" w:cs="Arial"/>
          <w:szCs w:val="22"/>
          <w:lang w:val="en-US"/>
        </w:rPr>
        <w:t xml:space="preserve"> applies to both indicator cases.</w:t>
      </w:r>
    </w:p>
    <w:p w:rsidR="008173B3" w:rsidRPr="001D507B" w:rsidRDefault="008173B3" w:rsidP="001D507B">
      <w:pPr>
        <w:jc w:val="both"/>
        <w:rPr>
          <w:rFonts w:ascii="Arial" w:hAnsi="Arial" w:cs="Arial"/>
          <w:b/>
          <w:szCs w:val="22"/>
        </w:rPr>
      </w:pPr>
      <w:r w:rsidRPr="001D507B">
        <w:rPr>
          <w:rFonts w:ascii="Arial" w:hAnsi="Arial" w:cs="Arial"/>
          <w:szCs w:val="22"/>
        </w:rPr>
        <w:br w:type="page"/>
      </w:r>
      <w:r w:rsidR="00F42A23" w:rsidRPr="001D507B">
        <w:rPr>
          <w:rFonts w:ascii="Arial" w:hAnsi="Arial" w:cs="Arial"/>
          <w:b/>
          <w:szCs w:val="22"/>
        </w:rPr>
        <w:lastRenderedPageBreak/>
        <w:t>P</w:t>
      </w:r>
      <w:r w:rsidRPr="001D507B">
        <w:rPr>
          <w:rFonts w:ascii="Arial" w:hAnsi="Arial" w:cs="Arial"/>
          <w:b/>
          <w:szCs w:val="22"/>
        </w:rPr>
        <w:t>I-</w:t>
      </w:r>
      <w:r w:rsidR="00C6726F" w:rsidRPr="001D507B">
        <w:rPr>
          <w:rFonts w:ascii="Arial" w:hAnsi="Arial" w:cs="Arial"/>
          <w:b/>
          <w:szCs w:val="22"/>
        </w:rPr>
        <w:t>11</w:t>
      </w:r>
      <w:r w:rsidRPr="001D507B">
        <w:rPr>
          <w:rFonts w:ascii="Arial" w:hAnsi="Arial" w:cs="Arial"/>
          <w:b/>
          <w:szCs w:val="22"/>
        </w:rPr>
        <w:tab/>
      </w:r>
      <w:r w:rsidR="00D6671A" w:rsidRPr="001D507B">
        <w:rPr>
          <w:rFonts w:ascii="Arial" w:hAnsi="Arial" w:cs="Arial"/>
          <w:b/>
          <w:szCs w:val="22"/>
        </w:rPr>
        <w:t xml:space="preserve">  </w:t>
      </w:r>
      <w:r w:rsidR="00C6726F" w:rsidRPr="001D507B">
        <w:rPr>
          <w:rFonts w:ascii="Arial" w:hAnsi="Arial" w:cs="Arial"/>
          <w:b/>
          <w:szCs w:val="22"/>
        </w:rPr>
        <w:t>Orderliness and participation in the annual budget process</w:t>
      </w:r>
    </w:p>
    <w:p w:rsidR="008173B3" w:rsidRPr="001D507B" w:rsidRDefault="008173B3" w:rsidP="001D507B">
      <w:pPr>
        <w:jc w:val="both"/>
        <w:rPr>
          <w:rFonts w:ascii="Arial" w:hAnsi="Arial" w:cs="Arial"/>
          <w:szCs w:val="22"/>
        </w:rPr>
      </w:pPr>
    </w:p>
    <w:p w:rsidR="008173B3" w:rsidRPr="001D507B" w:rsidRDefault="008173B3" w:rsidP="001D507B">
      <w:pPr>
        <w:jc w:val="both"/>
        <w:rPr>
          <w:rFonts w:ascii="Arial" w:hAnsi="Arial" w:cs="Arial"/>
          <w:b/>
          <w:szCs w:val="22"/>
          <w:u w:val="single"/>
        </w:rPr>
      </w:pPr>
      <w:r w:rsidRPr="001D507B">
        <w:rPr>
          <w:rFonts w:ascii="Arial" w:hAnsi="Arial" w:cs="Arial"/>
          <w:b/>
          <w:szCs w:val="22"/>
          <w:u w:val="single"/>
        </w:rPr>
        <w:t>200</w:t>
      </w:r>
      <w:r w:rsidR="009207DB" w:rsidRPr="001D507B">
        <w:rPr>
          <w:rFonts w:ascii="Arial" w:hAnsi="Arial" w:cs="Arial"/>
          <w:b/>
          <w:szCs w:val="22"/>
          <w:u w:val="single"/>
        </w:rPr>
        <w:t>8</w:t>
      </w:r>
      <w:r w:rsidRPr="001D507B">
        <w:rPr>
          <w:rFonts w:ascii="Arial" w:hAnsi="Arial" w:cs="Arial"/>
          <w:b/>
          <w:szCs w:val="22"/>
          <w:u w:val="single"/>
        </w:rPr>
        <w:t xml:space="preserve"> Assessment</w:t>
      </w:r>
      <w:r w:rsidR="00D6671A" w:rsidRPr="001D507B">
        <w:rPr>
          <w:rFonts w:ascii="Arial" w:hAnsi="Arial" w:cs="Arial"/>
          <w:b/>
          <w:szCs w:val="22"/>
          <w:u w:val="single"/>
        </w:rPr>
        <w:t xml:space="preserve"> (PI-</w:t>
      </w:r>
      <w:r w:rsidR="00C6726F" w:rsidRPr="001D507B">
        <w:rPr>
          <w:rFonts w:ascii="Arial" w:hAnsi="Arial" w:cs="Arial"/>
          <w:b/>
          <w:szCs w:val="22"/>
          <w:u w:val="single"/>
        </w:rPr>
        <w:t>11</w:t>
      </w:r>
      <w:r w:rsidR="00D6671A" w:rsidRPr="001D507B">
        <w:rPr>
          <w:rFonts w:ascii="Arial" w:hAnsi="Arial" w:cs="Arial"/>
          <w:b/>
          <w:szCs w:val="22"/>
          <w:u w:val="single"/>
        </w:rPr>
        <w:t>)</w:t>
      </w:r>
    </w:p>
    <w:p w:rsidR="008173B3" w:rsidRPr="001D507B" w:rsidRDefault="008173B3"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w:t>
      </w:r>
      <w:proofErr w:type="spellStart"/>
      <w:r w:rsidRPr="001D507B">
        <w:rPr>
          <w:rFonts w:ascii="Arial" w:hAnsi="Arial" w:cs="Arial"/>
          <w:szCs w:val="22"/>
        </w:rPr>
        <w:t>i</w:t>
      </w:r>
      <w:proofErr w:type="spellEnd"/>
      <w:r w:rsidRPr="001D507B">
        <w:rPr>
          <w:rFonts w:ascii="Arial" w:hAnsi="Arial" w:cs="Arial"/>
          <w:szCs w:val="22"/>
        </w:rPr>
        <w:t>) The existing budget calendar demonstrates several weaknesses. The different planning cycles (i.e. the project planning/PIP cycle, the aid cycle and the MTEF) are not aligned with the annual budget cycle to allow the development of a comprehensive, consistent and predictable budget. Overall, a rudimentary budget calendar exists but substantial delays are often experienced in its implementation, i.e. allowing budget entities too little time to complete detailed estimates (Score: C).</w:t>
      </w:r>
    </w:p>
    <w:p w:rsidR="00C6726F" w:rsidRPr="001D507B" w:rsidRDefault="00C6726F"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(ii) During FY 200</w:t>
      </w:r>
      <w:r w:rsidR="009207DB" w:rsidRPr="001D507B">
        <w:rPr>
          <w:rFonts w:ascii="Arial" w:hAnsi="Arial" w:cs="Arial"/>
          <w:szCs w:val="22"/>
        </w:rPr>
        <w:t>8</w:t>
      </w:r>
      <w:r w:rsidRPr="001D507B">
        <w:rPr>
          <w:rFonts w:ascii="Arial" w:hAnsi="Arial" w:cs="Arial"/>
          <w:szCs w:val="22"/>
        </w:rPr>
        <w:t>/0</w:t>
      </w:r>
      <w:r w:rsidR="009207DB" w:rsidRPr="001D507B">
        <w:rPr>
          <w:rFonts w:ascii="Arial" w:hAnsi="Arial" w:cs="Arial"/>
          <w:szCs w:val="22"/>
        </w:rPr>
        <w:t>9</w:t>
      </w:r>
      <w:r w:rsidRPr="001D507B">
        <w:rPr>
          <w:rFonts w:ascii="Arial" w:hAnsi="Arial" w:cs="Arial"/>
          <w:szCs w:val="22"/>
        </w:rPr>
        <w:t>-budget preparation, budget instructions were not issued until February and provided the budget entities with provisional individual ceilings for the next year. Due to this delay, budget entities started preparing their budget submissions based on previous year’s ceilings, taking into account inflation. In March/April, final individual ceilings approved by Cabinet were made available to the budget entities (Score: B)</w:t>
      </w:r>
    </w:p>
    <w:p w:rsidR="00C6726F" w:rsidRPr="001D507B" w:rsidRDefault="00C6726F" w:rsidP="001D507B">
      <w:pPr>
        <w:jc w:val="both"/>
        <w:rPr>
          <w:rFonts w:ascii="Arial" w:hAnsi="Arial" w:cs="Arial"/>
          <w:szCs w:val="22"/>
        </w:rPr>
      </w:pPr>
    </w:p>
    <w:p w:rsidR="008173B3" w:rsidRPr="001D507B" w:rsidRDefault="00C6726F" w:rsidP="001D507B">
      <w:pPr>
        <w:jc w:val="both"/>
        <w:rPr>
          <w:rFonts w:ascii="Arial" w:hAnsi="Arial" w:cs="Arial"/>
          <w:szCs w:val="22"/>
        </w:rPr>
      </w:pPr>
      <w:r w:rsidRPr="001D507B">
        <w:rPr>
          <w:rFonts w:ascii="Arial" w:hAnsi="Arial" w:cs="Arial"/>
          <w:szCs w:val="22"/>
        </w:rPr>
        <w:t xml:space="preserve">(iii) The legislature usually approves the budget </w:t>
      </w:r>
      <w:r w:rsidR="00686DA5" w:rsidRPr="001D507B">
        <w:rPr>
          <w:rFonts w:ascii="Arial" w:hAnsi="Arial" w:cs="Arial"/>
          <w:szCs w:val="22"/>
        </w:rPr>
        <w:t>within two months of</w:t>
      </w:r>
      <w:r w:rsidRPr="001D507B">
        <w:rPr>
          <w:rFonts w:ascii="Arial" w:hAnsi="Arial" w:cs="Arial"/>
          <w:szCs w:val="22"/>
        </w:rPr>
        <w:t xml:space="preserve"> the </w:t>
      </w:r>
      <w:r w:rsidR="00686DA5" w:rsidRPr="001D507B">
        <w:rPr>
          <w:rFonts w:ascii="Arial" w:hAnsi="Arial" w:cs="Arial"/>
          <w:szCs w:val="22"/>
        </w:rPr>
        <w:t xml:space="preserve">start of the </w:t>
      </w:r>
      <w:r w:rsidRPr="001D507B">
        <w:rPr>
          <w:rFonts w:ascii="Arial" w:hAnsi="Arial" w:cs="Arial"/>
          <w:szCs w:val="22"/>
        </w:rPr>
        <w:t xml:space="preserve">FY, but a delay of 3 months occurred </w:t>
      </w:r>
      <w:r w:rsidR="00686DA5" w:rsidRPr="001D507B">
        <w:rPr>
          <w:rFonts w:ascii="Arial" w:hAnsi="Arial" w:cs="Arial"/>
          <w:szCs w:val="22"/>
        </w:rPr>
        <w:t>for the</w:t>
      </w:r>
      <w:r w:rsidRPr="001D507B">
        <w:rPr>
          <w:rFonts w:ascii="Arial" w:hAnsi="Arial" w:cs="Arial"/>
          <w:szCs w:val="22"/>
        </w:rPr>
        <w:t xml:space="preserve"> FY 200</w:t>
      </w:r>
      <w:r w:rsidR="009207DB" w:rsidRPr="001D507B">
        <w:rPr>
          <w:rFonts w:ascii="Arial" w:hAnsi="Arial" w:cs="Arial"/>
          <w:szCs w:val="22"/>
        </w:rPr>
        <w:t>7</w:t>
      </w:r>
      <w:r w:rsidRPr="001D507B">
        <w:rPr>
          <w:rFonts w:ascii="Arial" w:hAnsi="Arial" w:cs="Arial"/>
          <w:szCs w:val="22"/>
        </w:rPr>
        <w:t>/0</w:t>
      </w:r>
      <w:r w:rsidR="009207DB" w:rsidRPr="001D507B">
        <w:rPr>
          <w:rFonts w:ascii="Arial" w:hAnsi="Arial" w:cs="Arial"/>
          <w:szCs w:val="22"/>
        </w:rPr>
        <w:t>8</w:t>
      </w:r>
      <w:r w:rsidR="00686DA5" w:rsidRPr="001D507B">
        <w:rPr>
          <w:rFonts w:ascii="Arial" w:hAnsi="Arial" w:cs="Arial"/>
          <w:szCs w:val="22"/>
        </w:rPr>
        <w:t xml:space="preserve"> budget</w:t>
      </w:r>
      <w:r w:rsidRPr="001D507B">
        <w:rPr>
          <w:rFonts w:ascii="Arial" w:hAnsi="Arial" w:cs="Arial"/>
          <w:szCs w:val="22"/>
        </w:rPr>
        <w:t>, as a new government c</w:t>
      </w:r>
      <w:r w:rsidR="00686DA5" w:rsidRPr="001D507B">
        <w:rPr>
          <w:rFonts w:ascii="Arial" w:hAnsi="Arial" w:cs="Arial"/>
          <w:szCs w:val="22"/>
        </w:rPr>
        <w:t>ame</w:t>
      </w:r>
      <w:r w:rsidRPr="001D507B">
        <w:rPr>
          <w:rFonts w:ascii="Arial" w:hAnsi="Arial" w:cs="Arial"/>
          <w:szCs w:val="22"/>
        </w:rPr>
        <w:t xml:space="preserve"> to power (Score: D)</w:t>
      </w:r>
    </w:p>
    <w:p w:rsidR="00C6726F" w:rsidRPr="001D507B" w:rsidRDefault="00C6726F" w:rsidP="001D507B">
      <w:pPr>
        <w:jc w:val="both"/>
        <w:rPr>
          <w:rFonts w:ascii="Arial" w:hAnsi="Arial" w:cs="Arial"/>
          <w:b/>
          <w:szCs w:val="22"/>
          <w:u w:val="single"/>
        </w:rPr>
      </w:pPr>
    </w:p>
    <w:p w:rsidR="008173B3" w:rsidRPr="001D507B" w:rsidRDefault="008173B3" w:rsidP="001D507B">
      <w:pPr>
        <w:jc w:val="both"/>
        <w:rPr>
          <w:rFonts w:ascii="Arial" w:hAnsi="Arial" w:cs="Arial"/>
          <w:b/>
          <w:szCs w:val="22"/>
          <w:u w:val="single"/>
        </w:rPr>
      </w:pPr>
      <w:r w:rsidRPr="001D507B">
        <w:rPr>
          <w:rFonts w:ascii="Arial" w:hAnsi="Arial" w:cs="Arial"/>
          <w:b/>
          <w:szCs w:val="22"/>
          <w:u w:val="single"/>
        </w:rPr>
        <w:t>20</w:t>
      </w:r>
      <w:r w:rsidR="009207DB" w:rsidRPr="001D507B">
        <w:rPr>
          <w:rFonts w:ascii="Arial" w:hAnsi="Arial" w:cs="Arial"/>
          <w:b/>
          <w:szCs w:val="22"/>
          <w:u w:val="single"/>
        </w:rPr>
        <w:t>10</w:t>
      </w:r>
      <w:r w:rsidRPr="001D507B">
        <w:rPr>
          <w:rFonts w:ascii="Arial" w:hAnsi="Arial" w:cs="Arial"/>
          <w:b/>
          <w:szCs w:val="22"/>
          <w:u w:val="single"/>
        </w:rPr>
        <w:t xml:space="preserve"> Assessment</w:t>
      </w:r>
      <w:r w:rsidR="00D6671A" w:rsidRPr="001D507B">
        <w:rPr>
          <w:rFonts w:ascii="Arial" w:hAnsi="Arial" w:cs="Arial"/>
          <w:b/>
          <w:szCs w:val="22"/>
          <w:u w:val="single"/>
        </w:rPr>
        <w:t xml:space="preserve"> (PI-</w:t>
      </w:r>
      <w:r w:rsidR="00C6726F" w:rsidRPr="001D507B">
        <w:rPr>
          <w:rFonts w:ascii="Arial" w:hAnsi="Arial" w:cs="Arial"/>
          <w:b/>
          <w:szCs w:val="22"/>
          <w:u w:val="single"/>
        </w:rPr>
        <w:t>11</w:t>
      </w:r>
      <w:r w:rsidR="00D6671A" w:rsidRPr="001D507B">
        <w:rPr>
          <w:rFonts w:ascii="Arial" w:hAnsi="Arial" w:cs="Arial"/>
          <w:b/>
          <w:szCs w:val="22"/>
          <w:u w:val="single"/>
        </w:rPr>
        <w:t>)</w:t>
      </w:r>
    </w:p>
    <w:p w:rsidR="008173B3" w:rsidRPr="001D507B" w:rsidRDefault="008173B3"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w:t>
      </w:r>
      <w:proofErr w:type="spellStart"/>
      <w:r w:rsidRPr="001D507B">
        <w:rPr>
          <w:rFonts w:ascii="Arial" w:hAnsi="Arial" w:cs="Arial"/>
          <w:szCs w:val="22"/>
        </w:rPr>
        <w:t>i</w:t>
      </w:r>
      <w:proofErr w:type="spellEnd"/>
      <w:r w:rsidRPr="001D507B">
        <w:rPr>
          <w:rFonts w:ascii="Arial" w:hAnsi="Arial" w:cs="Arial"/>
          <w:szCs w:val="22"/>
        </w:rPr>
        <w:t>) An updated calendar is not always provided and adhered to. For 20</w:t>
      </w:r>
      <w:r w:rsidR="009207DB" w:rsidRPr="001D507B">
        <w:rPr>
          <w:rFonts w:ascii="Arial" w:hAnsi="Arial" w:cs="Arial"/>
          <w:szCs w:val="22"/>
        </w:rPr>
        <w:t>10</w:t>
      </w:r>
      <w:r w:rsidRPr="001D507B">
        <w:rPr>
          <w:rFonts w:ascii="Arial" w:hAnsi="Arial" w:cs="Arial"/>
          <w:szCs w:val="22"/>
        </w:rPr>
        <w:t>/</w:t>
      </w:r>
      <w:r w:rsidR="009207DB" w:rsidRPr="001D507B">
        <w:rPr>
          <w:rFonts w:ascii="Arial" w:hAnsi="Arial" w:cs="Arial"/>
          <w:szCs w:val="22"/>
        </w:rPr>
        <w:t>11</w:t>
      </w:r>
      <w:r w:rsidRPr="001D507B">
        <w:rPr>
          <w:rFonts w:ascii="Arial" w:hAnsi="Arial" w:cs="Arial"/>
          <w:szCs w:val="22"/>
        </w:rPr>
        <w:t xml:space="preserve"> the Budget Call Circular was issued on 6th March with deadline of 31st March for submission of estimates, i.e. 3 weeks for budget preparation (Score: C).</w:t>
      </w:r>
    </w:p>
    <w:p w:rsidR="00C6726F" w:rsidRPr="001D507B" w:rsidRDefault="00C6726F"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(ii) Clear and comprehensive guidelines are provided to ministries in the Budget Circular with formats and spreadsheets for budget preparation.  The circular does not include ceilings, but these are approved by Cabinet and circulated to budget entities before the submission of the estimates to the Ministry of Finance (Score: B)</w:t>
      </w:r>
    </w:p>
    <w:p w:rsidR="00C6726F" w:rsidRPr="001D507B" w:rsidRDefault="00C6726F" w:rsidP="001D507B">
      <w:pPr>
        <w:jc w:val="both"/>
        <w:rPr>
          <w:rFonts w:ascii="Arial" w:hAnsi="Arial" w:cs="Arial"/>
          <w:szCs w:val="22"/>
        </w:rPr>
      </w:pPr>
    </w:p>
    <w:p w:rsidR="008173B3" w:rsidRPr="001D507B" w:rsidRDefault="00C6726F" w:rsidP="001D507B">
      <w:pPr>
        <w:jc w:val="both"/>
        <w:rPr>
          <w:rFonts w:ascii="Arial" w:hAnsi="Arial" w:cs="Arial"/>
          <w:szCs w:val="22"/>
        </w:rPr>
      </w:pPr>
      <w:r w:rsidRPr="001D507B">
        <w:rPr>
          <w:rFonts w:ascii="Arial" w:hAnsi="Arial" w:cs="Arial"/>
          <w:szCs w:val="22"/>
        </w:rPr>
        <w:t xml:space="preserve">(iii) The Budget has been presented to Parliament before the beginning of the fiscal year, in all years since </w:t>
      </w:r>
      <w:r w:rsidR="00686DA5" w:rsidRPr="001D507B">
        <w:rPr>
          <w:rFonts w:ascii="Arial" w:hAnsi="Arial" w:cs="Arial"/>
          <w:szCs w:val="22"/>
        </w:rPr>
        <w:t>20</w:t>
      </w:r>
      <w:r w:rsidRPr="001D507B">
        <w:rPr>
          <w:rFonts w:ascii="Arial" w:hAnsi="Arial" w:cs="Arial"/>
          <w:szCs w:val="22"/>
        </w:rPr>
        <w:t>0</w:t>
      </w:r>
      <w:r w:rsidR="009207DB" w:rsidRPr="001D507B">
        <w:rPr>
          <w:rFonts w:ascii="Arial" w:hAnsi="Arial" w:cs="Arial"/>
          <w:szCs w:val="22"/>
        </w:rPr>
        <w:t>7</w:t>
      </w:r>
      <w:r w:rsidRPr="001D507B">
        <w:rPr>
          <w:rFonts w:ascii="Arial" w:hAnsi="Arial" w:cs="Arial"/>
          <w:szCs w:val="22"/>
        </w:rPr>
        <w:t xml:space="preserve"> when the </w:t>
      </w:r>
      <w:r w:rsidR="00686DA5" w:rsidRPr="001D507B">
        <w:rPr>
          <w:rFonts w:ascii="Arial" w:hAnsi="Arial" w:cs="Arial"/>
          <w:szCs w:val="22"/>
        </w:rPr>
        <w:t>current</w:t>
      </w:r>
      <w:r w:rsidRPr="001D507B">
        <w:rPr>
          <w:rFonts w:ascii="Arial" w:hAnsi="Arial" w:cs="Arial"/>
          <w:szCs w:val="22"/>
        </w:rPr>
        <w:t xml:space="preserve"> government came to power (Score: </w:t>
      </w:r>
      <w:r w:rsidR="00686DA5" w:rsidRPr="001D507B">
        <w:rPr>
          <w:rFonts w:ascii="Arial" w:hAnsi="Arial" w:cs="Arial"/>
          <w:szCs w:val="22"/>
        </w:rPr>
        <w:t>A</w:t>
      </w:r>
      <w:r w:rsidRPr="001D507B">
        <w:rPr>
          <w:rFonts w:ascii="Arial" w:hAnsi="Arial" w:cs="Arial"/>
          <w:szCs w:val="22"/>
        </w:rPr>
        <w:t>)</w:t>
      </w:r>
    </w:p>
    <w:p w:rsidR="00DD410D" w:rsidRDefault="00DD410D" w:rsidP="001D507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835"/>
        <w:gridCol w:w="1134"/>
        <w:gridCol w:w="1418"/>
        <w:gridCol w:w="3973"/>
      </w:tblGrid>
      <w:tr w:rsidR="00DD410D" w:rsidTr="001D507B">
        <w:tblPrEx>
          <w:tblCellMar>
            <w:top w:w="0" w:type="dxa"/>
            <w:bottom w:w="0" w:type="dxa"/>
          </w:tblCellMar>
        </w:tblPrEx>
        <w:tc>
          <w:tcPr>
            <w:tcW w:w="2835" w:type="dxa"/>
          </w:tcPr>
          <w:p w:rsidR="00DD410D" w:rsidRPr="001D507B" w:rsidRDefault="00DD410D" w:rsidP="001D507B">
            <w:pPr>
              <w:pStyle w:val="bold"/>
              <w:jc w:val="both"/>
              <w:rPr>
                <w:rFonts w:ascii="Arial Narrow" w:hAnsi="Arial Narrow"/>
                <w:sz w:val="20"/>
              </w:rPr>
            </w:pPr>
            <w:r w:rsidRPr="001D507B">
              <w:rPr>
                <w:rFonts w:ascii="Arial Narrow" w:hAnsi="Arial Narrow"/>
                <w:sz w:val="20"/>
              </w:rPr>
              <w:t>Indicator/Dimension</w:t>
            </w:r>
          </w:p>
        </w:tc>
        <w:tc>
          <w:tcPr>
            <w:tcW w:w="1134" w:type="dxa"/>
          </w:tcPr>
          <w:p w:rsidR="00DD410D" w:rsidRPr="001D507B" w:rsidRDefault="00DD410D" w:rsidP="001D507B">
            <w:pPr>
              <w:pStyle w:val="bold"/>
              <w:jc w:val="both"/>
              <w:rPr>
                <w:rFonts w:ascii="Arial Narrow" w:hAnsi="Arial Narrow"/>
                <w:sz w:val="20"/>
              </w:rPr>
            </w:pPr>
            <w:r w:rsidRPr="001D507B">
              <w:rPr>
                <w:rFonts w:ascii="Arial Narrow" w:hAnsi="Arial Narrow"/>
                <w:sz w:val="20"/>
              </w:rPr>
              <w:t>Score 200</w:t>
            </w:r>
            <w:r w:rsidR="009207DB" w:rsidRPr="001D507B">
              <w:rPr>
                <w:rFonts w:ascii="Arial Narrow" w:hAnsi="Arial Narrow"/>
                <w:sz w:val="20"/>
              </w:rPr>
              <w:t>8</w:t>
            </w:r>
          </w:p>
        </w:tc>
        <w:tc>
          <w:tcPr>
            <w:tcW w:w="1418" w:type="dxa"/>
          </w:tcPr>
          <w:p w:rsidR="00DD410D" w:rsidRPr="001D507B" w:rsidRDefault="00961B1E" w:rsidP="001D507B">
            <w:pPr>
              <w:pStyle w:val="bold"/>
              <w:jc w:val="both"/>
              <w:rPr>
                <w:rFonts w:ascii="Arial Narrow" w:hAnsi="Arial Narrow"/>
                <w:sz w:val="20"/>
              </w:rPr>
            </w:pPr>
            <w:r w:rsidRPr="001D507B">
              <w:rPr>
                <w:rFonts w:ascii="Arial Narrow" w:hAnsi="Arial Narrow"/>
                <w:sz w:val="20"/>
              </w:rPr>
              <w:t>Score 20</w:t>
            </w:r>
            <w:r w:rsidR="009207DB" w:rsidRPr="001D507B">
              <w:rPr>
                <w:rFonts w:ascii="Arial Narrow" w:hAnsi="Arial Narrow"/>
                <w:sz w:val="20"/>
              </w:rPr>
              <w:t>10</w:t>
            </w:r>
          </w:p>
        </w:tc>
        <w:tc>
          <w:tcPr>
            <w:tcW w:w="3973" w:type="dxa"/>
          </w:tcPr>
          <w:p w:rsidR="00C6726F" w:rsidRPr="001D507B" w:rsidRDefault="00C6726F" w:rsidP="001D507B">
            <w:pPr>
              <w:pStyle w:val="bold"/>
              <w:jc w:val="both"/>
              <w:rPr>
                <w:rFonts w:ascii="Arial Narrow" w:hAnsi="Arial Narrow"/>
                <w:sz w:val="20"/>
              </w:rPr>
            </w:pPr>
            <w:r w:rsidRPr="001D507B">
              <w:rPr>
                <w:rFonts w:ascii="Arial Narrow" w:hAnsi="Arial Narrow"/>
                <w:sz w:val="20"/>
              </w:rPr>
              <w:t>Is the</w:t>
            </w:r>
            <w:r w:rsidR="00DD410D" w:rsidRPr="001D507B">
              <w:rPr>
                <w:rFonts w:ascii="Arial Narrow" w:hAnsi="Arial Narrow"/>
                <w:sz w:val="20"/>
              </w:rPr>
              <w:t xml:space="preserve"> </w:t>
            </w:r>
            <w:r w:rsidRPr="001D507B">
              <w:rPr>
                <w:rFonts w:ascii="Arial Narrow" w:hAnsi="Arial Narrow"/>
                <w:sz w:val="20"/>
              </w:rPr>
              <w:t>ratings</w:t>
            </w:r>
            <w:r w:rsidR="00DD410D" w:rsidRPr="001D507B">
              <w:rPr>
                <w:rFonts w:ascii="Arial Narrow" w:hAnsi="Arial Narrow"/>
                <w:sz w:val="20"/>
              </w:rPr>
              <w:t xml:space="preserve"> change </w:t>
            </w:r>
            <w:r w:rsidRPr="001D507B">
              <w:rPr>
                <w:rFonts w:ascii="Arial Narrow" w:hAnsi="Arial Narrow"/>
                <w:sz w:val="20"/>
              </w:rPr>
              <w:t xml:space="preserve">justified? Explanation? </w:t>
            </w:r>
          </w:p>
          <w:p w:rsidR="00DD410D" w:rsidRPr="001D507B" w:rsidRDefault="00DD410D" w:rsidP="001D507B">
            <w:pPr>
              <w:pStyle w:val="bold"/>
              <w:jc w:val="both"/>
              <w:rPr>
                <w:rFonts w:ascii="Arial Narrow" w:hAnsi="Arial Narrow"/>
                <w:sz w:val="20"/>
              </w:rPr>
            </w:pPr>
            <w:r w:rsidRPr="001D507B">
              <w:rPr>
                <w:rFonts w:ascii="Arial Narrow" w:hAnsi="Arial Narrow"/>
                <w:sz w:val="20"/>
              </w:rPr>
              <w:t xml:space="preserve">(to be </w:t>
            </w:r>
            <w:r w:rsidR="00C6726F" w:rsidRPr="001D507B">
              <w:rPr>
                <w:rFonts w:ascii="Arial Narrow" w:hAnsi="Arial Narrow"/>
                <w:sz w:val="20"/>
              </w:rPr>
              <w:t>completed</w:t>
            </w:r>
            <w:r w:rsidRPr="001D507B">
              <w:rPr>
                <w:rFonts w:ascii="Arial Narrow" w:hAnsi="Arial Narrow"/>
                <w:sz w:val="20"/>
              </w:rPr>
              <w:t xml:space="preserve"> by the group)</w:t>
            </w:r>
          </w:p>
        </w:tc>
      </w:tr>
      <w:tr w:rsidR="00DD410D" w:rsidTr="001D507B">
        <w:tblPrEx>
          <w:tblCellMar>
            <w:top w:w="0" w:type="dxa"/>
            <w:bottom w:w="0" w:type="dxa"/>
          </w:tblCellMar>
        </w:tblPrEx>
        <w:tc>
          <w:tcPr>
            <w:tcW w:w="2835" w:type="dxa"/>
          </w:tcPr>
          <w:p w:rsidR="00DD410D" w:rsidRPr="001D507B" w:rsidRDefault="00DD410D" w:rsidP="001D507B">
            <w:pPr>
              <w:jc w:val="both"/>
              <w:rPr>
                <w:rFonts w:ascii="Arial Narrow" w:hAnsi="Arial Narrow"/>
                <w:sz w:val="20"/>
                <w:szCs w:val="20"/>
              </w:rPr>
            </w:pPr>
            <w:r w:rsidRPr="001D507B">
              <w:rPr>
                <w:rFonts w:ascii="Arial Narrow" w:hAnsi="Arial Narrow"/>
                <w:sz w:val="20"/>
                <w:szCs w:val="20"/>
              </w:rPr>
              <w:t>(</w:t>
            </w:r>
            <w:proofErr w:type="spellStart"/>
            <w:r w:rsidRPr="001D507B">
              <w:rPr>
                <w:rFonts w:ascii="Arial Narrow" w:hAnsi="Arial Narrow"/>
                <w:sz w:val="20"/>
                <w:szCs w:val="20"/>
              </w:rPr>
              <w:t>i</w:t>
            </w:r>
            <w:proofErr w:type="spellEnd"/>
            <w:r w:rsidRPr="001D507B">
              <w:rPr>
                <w:rFonts w:ascii="Arial Narrow" w:hAnsi="Arial Narrow"/>
                <w:sz w:val="20"/>
                <w:szCs w:val="20"/>
              </w:rPr>
              <w:t xml:space="preserve">) </w:t>
            </w:r>
            <w:r w:rsidR="00C6726F" w:rsidRPr="001D507B">
              <w:rPr>
                <w:rFonts w:ascii="Arial Narrow" w:hAnsi="Arial Narrow"/>
                <w:sz w:val="20"/>
                <w:szCs w:val="20"/>
              </w:rPr>
              <w:t>Existence of and adherence to a fixed budget calendar</w:t>
            </w:r>
          </w:p>
        </w:tc>
        <w:tc>
          <w:tcPr>
            <w:tcW w:w="1134" w:type="dxa"/>
          </w:tcPr>
          <w:p w:rsidR="00DD410D" w:rsidRPr="001D507B" w:rsidRDefault="00DD410D" w:rsidP="001D507B">
            <w:pPr>
              <w:jc w:val="both"/>
              <w:rPr>
                <w:rFonts w:ascii="Arial Narrow" w:hAnsi="Arial Narrow"/>
                <w:sz w:val="20"/>
                <w:szCs w:val="20"/>
              </w:rPr>
            </w:pPr>
            <w:r w:rsidRPr="001D507B">
              <w:rPr>
                <w:rFonts w:ascii="Arial Narrow" w:hAnsi="Arial Narrow"/>
                <w:sz w:val="20"/>
                <w:szCs w:val="20"/>
              </w:rPr>
              <w:t>C</w:t>
            </w:r>
          </w:p>
        </w:tc>
        <w:tc>
          <w:tcPr>
            <w:tcW w:w="1418" w:type="dxa"/>
          </w:tcPr>
          <w:p w:rsidR="00DD410D" w:rsidRPr="001D507B" w:rsidRDefault="00C6726F" w:rsidP="001D507B">
            <w:pPr>
              <w:jc w:val="both"/>
              <w:rPr>
                <w:rFonts w:ascii="Arial Narrow" w:hAnsi="Arial Narrow"/>
                <w:sz w:val="20"/>
                <w:szCs w:val="20"/>
              </w:rPr>
            </w:pPr>
            <w:r w:rsidRPr="001D507B">
              <w:rPr>
                <w:rFonts w:ascii="Arial Narrow" w:hAnsi="Arial Narrow"/>
                <w:sz w:val="20"/>
                <w:szCs w:val="20"/>
              </w:rPr>
              <w:t>C</w:t>
            </w:r>
          </w:p>
        </w:tc>
        <w:tc>
          <w:tcPr>
            <w:tcW w:w="3973" w:type="dxa"/>
          </w:tcPr>
          <w:p w:rsidR="00DD410D" w:rsidRPr="001D507B" w:rsidRDefault="00DD410D" w:rsidP="001D507B">
            <w:pPr>
              <w:jc w:val="both"/>
              <w:rPr>
                <w:rFonts w:ascii="Arial Narrow" w:hAnsi="Arial Narrow"/>
                <w:sz w:val="20"/>
                <w:szCs w:val="20"/>
              </w:rPr>
            </w:pPr>
          </w:p>
        </w:tc>
      </w:tr>
      <w:tr w:rsidR="00DD410D" w:rsidTr="001D507B">
        <w:tblPrEx>
          <w:tblCellMar>
            <w:top w:w="0" w:type="dxa"/>
            <w:bottom w:w="0" w:type="dxa"/>
          </w:tblCellMar>
        </w:tblPrEx>
        <w:tc>
          <w:tcPr>
            <w:tcW w:w="2835" w:type="dxa"/>
          </w:tcPr>
          <w:p w:rsidR="00DD410D" w:rsidRPr="001D507B" w:rsidRDefault="00DD410D" w:rsidP="001D507B">
            <w:pPr>
              <w:jc w:val="both"/>
              <w:rPr>
                <w:rFonts w:ascii="Arial Narrow" w:hAnsi="Arial Narrow"/>
                <w:sz w:val="20"/>
                <w:szCs w:val="20"/>
              </w:rPr>
            </w:pPr>
            <w:r w:rsidRPr="001D507B">
              <w:rPr>
                <w:rFonts w:ascii="Arial Narrow" w:hAnsi="Arial Narrow"/>
                <w:sz w:val="20"/>
                <w:szCs w:val="20"/>
              </w:rPr>
              <w:t xml:space="preserve">(ii) </w:t>
            </w:r>
            <w:r w:rsidR="00C6726F" w:rsidRPr="001D507B">
              <w:rPr>
                <w:rFonts w:ascii="Arial Narrow" w:hAnsi="Arial Narrow"/>
                <w:sz w:val="20"/>
                <w:szCs w:val="20"/>
              </w:rPr>
              <w:t>Guidance on the preparation of budget submissions</w:t>
            </w:r>
          </w:p>
        </w:tc>
        <w:tc>
          <w:tcPr>
            <w:tcW w:w="1134" w:type="dxa"/>
          </w:tcPr>
          <w:p w:rsidR="00DD410D" w:rsidRPr="001D507B" w:rsidRDefault="00DD410D" w:rsidP="001D507B">
            <w:pPr>
              <w:jc w:val="both"/>
              <w:rPr>
                <w:rFonts w:ascii="Arial Narrow" w:hAnsi="Arial Narrow"/>
                <w:sz w:val="20"/>
                <w:szCs w:val="20"/>
              </w:rPr>
            </w:pPr>
            <w:r w:rsidRPr="001D507B">
              <w:rPr>
                <w:rFonts w:ascii="Arial Narrow" w:hAnsi="Arial Narrow"/>
                <w:sz w:val="20"/>
                <w:szCs w:val="20"/>
              </w:rPr>
              <w:t>B</w:t>
            </w:r>
          </w:p>
        </w:tc>
        <w:tc>
          <w:tcPr>
            <w:tcW w:w="1418" w:type="dxa"/>
          </w:tcPr>
          <w:p w:rsidR="00DD410D" w:rsidRPr="001D507B" w:rsidRDefault="00C6726F" w:rsidP="001D507B">
            <w:pPr>
              <w:jc w:val="both"/>
              <w:rPr>
                <w:rFonts w:ascii="Arial Narrow" w:hAnsi="Arial Narrow"/>
                <w:sz w:val="20"/>
                <w:szCs w:val="20"/>
              </w:rPr>
            </w:pPr>
            <w:r w:rsidRPr="001D507B">
              <w:rPr>
                <w:rFonts w:ascii="Arial Narrow" w:hAnsi="Arial Narrow"/>
                <w:sz w:val="20"/>
                <w:szCs w:val="20"/>
              </w:rPr>
              <w:t>B</w:t>
            </w:r>
          </w:p>
        </w:tc>
        <w:tc>
          <w:tcPr>
            <w:tcW w:w="3973" w:type="dxa"/>
          </w:tcPr>
          <w:p w:rsidR="00DD410D" w:rsidRPr="001D507B" w:rsidRDefault="00DD410D" w:rsidP="001D507B">
            <w:pPr>
              <w:jc w:val="both"/>
              <w:rPr>
                <w:rFonts w:ascii="Arial Narrow" w:hAnsi="Arial Narrow"/>
                <w:sz w:val="20"/>
                <w:szCs w:val="20"/>
              </w:rPr>
            </w:pPr>
          </w:p>
        </w:tc>
      </w:tr>
      <w:tr w:rsidR="00DD410D" w:rsidTr="001D507B">
        <w:tblPrEx>
          <w:tblCellMar>
            <w:top w:w="0" w:type="dxa"/>
            <w:bottom w:w="0" w:type="dxa"/>
          </w:tblCellMar>
        </w:tblPrEx>
        <w:tc>
          <w:tcPr>
            <w:tcW w:w="2835" w:type="dxa"/>
          </w:tcPr>
          <w:p w:rsidR="00DD410D" w:rsidRPr="001D507B" w:rsidRDefault="00DD410D" w:rsidP="001D507B">
            <w:pPr>
              <w:jc w:val="both"/>
              <w:rPr>
                <w:rFonts w:ascii="Arial Narrow" w:hAnsi="Arial Narrow"/>
                <w:sz w:val="20"/>
                <w:szCs w:val="20"/>
              </w:rPr>
            </w:pPr>
            <w:r w:rsidRPr="001D507B">
              <w:rPr>
                <w:rFonts w:ascii="Arial Narrow" w:hAnsi="Arial Narrow"/>
                <w:sz w:val="20"/>
                <w:szCs w:val="20"/>
              </w:rPr>
              <w:t xml:space="preserve">(iii) </w:t>
            </w:r>
            <w:r w:rsidR="00C6726F" w:rsidRPr="001D507B">
              <w:rPr>
                <w:rFonts w:ascii="Arial Narrow" w:hAnsi="Arial Narrow"/>
                <w:sz w:val="20"/>
                <w:szCs w:val="20"/>
              </w:rPr>
              <w:t>Timely budget approval by the legislature</w:t>
            </w:r>
          </w:p>
        </w:tc>
        <w:tc>
          <w:tcPr>
            <w:tcW w:w="1134" w:type="dxa"/>
          </w:tcPr>
          <w:p w:rsidR="00DD410D" w:rsidRPr="001D507B" w:rsidRDefault="00C6726F" w:rsidP="001D507B">
            <w:pPr>
              <w:jc w:val="both"/>
              <w:rPr>
                <w:rFonts w:ascii="Arial Narrow" w:hAnsi="Arial Narrow"/>
                <w:sz w:val="20"/>
                <w:szCs w:val="20"/>
              </w:rPr>
            </w:pPr>
            <w:r w:rsidRPr="001D507B">
              <w:rPr>
                <w:rFonts w:ascii="Arial Narrow" w:hAnsi="Arial Narrow"/>
                <w:sz w:val="20"/>
                <w:szCs w:val="20"/>
              </w:rPr>
              <w:t>D</w:t>
            </w:r>
          </w:p>
        </w:tc>
        <w:tc>
          <w:tcPr>
            <w:tcW w:w="1418" w:type="dxa"/>
          </w:tcPr>
          <w:p w:rsidR="00DD410D" w:rsidRPr="001D507B" w:rsidRDefault="00686DA5" w:rsidP="001D507B">
            <w:pPr>
              <w:jc w:val="both"/>
              <w:rPr>
                <w:rFonts w:ascii="Arial Narrow" w:hAnsi="Arial Narrow"/>
                <w:sz w:val="20"/>
                <w:szCs w:val="20"/>
              </w:rPr>
            </w:pPr>
            <w:r w:rsidRPr="001D507B">
              <w:rPr>
                <w:rFonts w:ascii="Arial Narrow" w:hAnsi="Arial Narrow"/>
                <w:sz w:val="20"/>
                <w:szCs w:val="20"/>
              </w:rPr>
              <w:t>A</w:t>
            </w:r>
          </w:p>
        </w:tc>
        <w:tc>
          <w:tcPr>
            <w:tcW w:w="3973" w:type="dxa"/>
          </w:tcPr>
          <w:p w:rsidR="00DD410D" w:rsidRPr="001D507B" w:rsidRDefault="00DD410D" w:rsidP="001D507B">
            <w:pPr>
              <w:jc w:val="both"/>
              <w:rPr>
                <w:rFonts w:ascii="Arial Narrow" w:hAnsi="Arial Narrow"/>
                <w:sz w:val="20"/>
                <w:szCs w:val="20"/>
              </w:rPr>
            </w:pPr>
          </w:p>
        </w:tc>
      </w:tr>
      <w:tr w:rsidR="00DD410D" w:rsidTr="001D507B">
        <w:tblPrEx>
          <w:tblCellMar>
            <w:top w:w="0" w:type="dxa"/>
            <w:bottom w:w="0" w:type="dxa"/>
          </w:tblCellMar>
        </w:tblPrEx>
        <w:tc>
          <w:tcPr>
            <w:tcW w:w="2835" w:type="dxa"/>
          </w:tcPr>
          <w:p w:rsidR="00DD410D" w:rsidRPr="001D507B" w:rsidRDefault="00C6726F" w:rsidP="001D507B">
            <w:pPr>
              <w:jc w:val="both"/>
              <w:rPr>
                <w:rFonts w:ascii="Arial Narrow" w:hAnsi="Arial Narrow"/>
                <w:b/>
                <w:sz w:val="20"/>
                <w:szCs w:val="20"/>
              </w:rPr>
            </w:pPr>
            <w:r w:rsidRPr="001D507B">
              <w:rPr>
                <w:rFonts w:ascii="Arial Narrow" w:hAnsi="Arial Narrow"/>
                <w:b/>
                <w:sz w:val="20"/>
                <w:szCs w:val="20"/>
              </w:rPr>
              <w:t xml:space="preserve">Overall score </w:t>
            </w:r>
          </w:p>
          <w:p w:rsidR="00C6726F" w:rsidRPr="001D507B" w:rsidRDefault="00C6726F" w:rsidP="001D507B">
            <w:pPr>
              <w:jc w:val="both"/>
              <w:rPr>
                <w:rFonts w:ascii="Arial Narrow" w:hAnsi="Arial Narrow"/>
                <w:b/>
                <w:sz w:val="20"/>
                <w:szCs w:val="20"/>
              </w:rPr>
            </w:pPr>
          </w:p>
        </w:tc>
        <w:tc>
          <w:tcPr>
            <w:tcW w:w="1134" w:type="dxa"/>
          </w:tcPr>
          <w:p w:rsidR="00DD410D" w:rsidRPr="001D507B" w:rsidRDefault="00C6726F" w:rsidP="001D507B">
            <w:pPr>
              <w:jc w:val="both"/>
              <w:rPr>
                <w:rFonts w:ascii="Arial Narrow" w:hAnsi="Arial Narrow"/>
                <w:b/>
                <w:sz w:val="20"/>
                <w:szCs w:val="20"/>
              </w:rPr>
            </w:pPr>
            <w:r w:rsidRPr="001D507B">
              <w:rPr>
                <w:rFonts w:ascii="Arial Narrow" w:hAnsi="Arial Narrow"/>
                <w:b/>
                <w:sz w:val="20"/>
                <w:szCs w:val="20"/>
              </w:rPr>
              <w:t>D</w:t>
            </w:r>
            <w:r w:rsidR="00DD410D" w:rsidRPr="001D507B">
              <w:rPr>
                <w:rFonts w:ascii="Arial Narrow" w:hAnsi="Arial Narrow"/>
                <w:b/>
                <w:sz w:val="20"/>
                <w:szCs w:val="20"/>
              </w:rPr>
              <w:t>+</w:t>
            </w:r>
          </w:p>
        </w:tc>
        <w:tc>
          <w:tcPr>
            <w:tcW w:w="1418" w:type="dxa"/>
          </w:tcPr>
          <w:p w:rsidR="00DD410D" w:rsidRPr="001D507B" w:rsidRDefault="00C6726F" w:rsidP="001D507B">
            <w:pPr>
              <w:jc w:val="both"/>
              <w:rPr>
                <w:rFonts w:ascii="Arial Narrow" w:hAnsi="Arial Narrow"/>
                <w:b/>
                <w:sz w:val="20"/>
                <w:szCs w:val="20"/>
              </w:rPr>
            </w:pPr>
            <w:r w:rsidRPr="001D507B">
              <w:rPr>
                <w:rFonts w:ascii="Arial Narrow" w:hAnsi="Arial Narrow"/>
                <w:b/>
                <w:sz w:val="20"/>
                <w:szCs w:val="20"/>
              </w:rPr>
              <w:t>B</w:t>
            </w:r>
          </w:p>
        </w:tc>
        <w:tc>
          <w:tcPr>
            <w:tcW w:w="3973" w:type="dxa"/>
          </w:tcPr>
          <w:p w:rsidR="00DD410D" w:rsidRPr="001D507B" w:rsidRDefault="00DD410D" w:rsidP="001D507B">
            <w:pPr>
              <w:jc w:val="both"/>
              <w:rPr>
                <w:rFonts w:ascii="Arial Narrow" w:hAnsi="Arial Narrow"/>
                <w:b/>
                <w:sz w:val="20"/>
                <w:szCs w:val="20"/>
              </w:rPr>
            </w:pPr>
          </w:p>
        </w:tc>
      </w:tr>
    </w:tbl>
    <w:p w:rsidR="00F42A23" w:rsidRDefault="00F42A23" w:rsidP="001D507B">
      <w:pPr>
        <w:jc w:val="both"/>
      </w:pPr>
    </w:p>
    <w:p w:rsidR="00F42A23" w:rsidRPr="001D507B" w:rsidRDefault="00F42A23" w:rsidP="001D507B">
      <w:pPr>
        <w:jc w:val="both"/>
        <w:rPr>
          <w:rFonts w:ascii="Arial" w:hAnsi="Arial" w:cs="Arial"/>
          <w:b/>
          <w:szCs w:val="22"/>
        </w:rPr>
      </w:pPr>
      <w:r>
        <w:br w:type="page"/>
      </w:r>
      <w:r w:rsidRPr="001D507B">
        <w:rPr>
          <w:rFonts w:ascii="Arial" w:hAnsi="Arial" w:cs="Arial"/>
          <w:b/>
          <w:szCs w:val="22"/>
        </w:rPr>
        <w:lastRenderedPageBreak/>
        <w:t>PI-1</w:t>
      </w:r>
      <w:r w:rsidR="00C6726F" w:rsidRPr="001D507B">
        <w:rPr>
          <w:rFonts w:ascii="Arial" w:hAnsi="Arial" w:cs="Arial"/>
          <w:b/>
          <w:szCs w:val="22"/>
        </w:rPr>
        <w:t>4</w:t>
      </w:r>
      <w:r w:rsidRPr="001D507B">
        <w:rPr>
          <w:rFonts w:ascii="Arial" w:hAnsi="Arial" w:cs="Arial"/>
          <w:b/>
          <w:szCs w:val="22"/>
        </w:rPr>
        <w:tab/>
        <w:t xml:space="preserve">  </w:t>
      </w:r>
      <w:r w:rsidR="00C6726F" w:rsidRPr="001D507B">
        <w:rPr>
          <w:rFonts w:ascii="Arial" w:hAnsi="Arial" w:cs="Arial"/>
          <w:b/>
          <w:szCs w:val="22"/>
        </w:rPr>
        <w:t>Effectiveness of measures for taxpayer registration and tax assessment</w:t>
      </w:r>
    </w:p>
    <w:p w:rsidR="00F42A23" w:rsidRPr="001D507B" w:rsidRDefault="00F42A23" w:rsidP="001D507B">
      <w:pPr>
        <w:jc w:val="both"/>
        <w:rPr>
          <w:rFonts w:ascii="Arial" w:hAnsi="Arial" w:cs="Arial"/>
          <w:b/>
          <w:szCs w:val="22"/>
        </w:rPr>
      </w:pPr>
    </w:p>
    <w:p w:rsidR="00F42A23" w:rsidRPr="001D507B" w:rsidRDefault="00F42A23" w:rsidP="001D507B">
      <w:pPr>
        <w:jc w:val="both"/>
        <w:rPr>
          <w:rFonts w:ascii="Arial" w:hAnsi="Arial" w:cs="Arial"/>
          <w:b/>
          <w:szCs w:val="22"/>
          <w:u w:val="single"/>
        </w:rPr>
      </w:pPr>
      <w:r w:rsidRPr="001D507B">
        <w:rPr>
          <w:rFonts w:ascii="Arial" w:hAnsi="Arial" w:cs="Arial"/>
          <w:b/>
          <w:szCs w:val="22"/>
          <w:u w:val="single"/>
        </w:rPr>
        <w:t>200</w:t>
      </w:r>
      <w:r w:rsidR="009207DB" w:rsidRPr="001D507B">
        <w:rPr>
          <w:rFonts w:ascii="Arial" w:hAnsi="Arial" w:cs="Arial"/>
          <w:b/>
          <w:szCs w:val="22"/>
          <w:u w:val="single"/>
        </w:rPr>
        <w:t>8</w:t>
      </w:r>
      <w:r w:rsidRPr="001D507B">
        <w:rPr>
          <w:rFonts w:ascii="Arial" w:hAnsi="Arial" w:cs="Arial"/>
          <w:b/>
          <w:szCs w:val="22"/>
          <w:u w:val="single"/>
        </w:rPr>
        <w:t xml:space="preserve"> Assessment (PI-1</w:t>
      </w:r>
      <w:r w:rsidR="00C6726F" w:rsidRPr="001D507B">
        <w:rPr>
          <w:rFonts w:ascii="Arial" w:hAnsi="Arial" w:cs="Arial"/>
          <w:b/>
          <w:szCs w:val="22"/>
          <w:u w:val="single"/>
        </w:rPr>
        <w:t>4</w:t>
      </w:r>
      <w:r w:rsidRPr="001D507B">
        <w:rPr>
          <w:rFonts w:ascii="Arial" w:hAnsi="Arial" w:cs="Arial"/>
          <w:b/>
          <w:szCs w:val="22"/>
          <w:u w:val="single"/>
        </w:rPr>
        <w:t>)</w:t>
      </w:r>
    </w:p>
    <w:p w:rsidR="00F42A23" w:rsidRPr="001D507B" w:rsidRDefault="00F42A23" w:rsidP="001D507B">
      <w:pPr>
        <w:jc w:val="both"/>
        <w:rPr>
          <w:rFonts w:ascii="Arial" w:hAnsi="Arial" w:cs="Arial"/>
          <w:b/>
          <w:szCs w:val="22"/>
          <w:u w:val="single"/>
        </w:rPr>
      </w:pPr>
    </w:p>
    <w:p w:rsidR="00C6726F" w:rsidRPr="001D507B" w:rsidRDefault="00C6726F" w:rsidP="001D507B">
      <w:pPr>
        <w:jc w:val="both"/>
        <w:rPr>
          <w:rFonts w:ascii="Arial" w:hAnsi="Arial" w:cs="Arial"/>
          <w:szCs w:val="22"/>
        </w:rPr>
      </w:pPr>
      <w:r w:rsidRPr="001D507B">
        <w:rPr>
          <w:rFonts w:ascii="Arial" w:hAnsi="Arial" w:cs="Arial"/>
          <w:szCs w:val="22"/>
        </w:rPr>
        <w:t>(</w:t>
      </w:r>
      <w:proofErr w:type="spellStart"/>
      <w:r w:rsidRPr="001D507B">
        <w:rPr>
          <w:rFonts w:ascii="Arial" w:hAnsi="Arial" w:cs="Arial"/>
          <w:szCs w:val="22"/>
        </w:rPr>
        <w:t>i</w:t>
      </w:r>
      <w:proofErr w:type="spellEnd"/>
      <w:r w:rsidRPr="001D507B">
        <w:rPr>
          <w:rFonts w:ascii="Arial" w:hAnsi="Arial" w:cs="Arial"/>
          <w:szCs w:val="22"/>
        </w:rPr>
        <w:t>) There is a Taxpayer Identification Number (TIN) but the structure of the Revenue Authority (RA) by tax type rather than function makes linkages between different taxes difficult and linkages to other registration/licensing functions, e.g. business or residence permit, is weak (Score C).</w:t>
      </w:r>
    </w:p>
    <w:p w:rsidR="00C6726F" w:rsidRPr="001D507B" w:rsidRDefault="00C6726F"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(ii) Penalties for non-compliance exist but are not considered to be effective in many cases, as penalties for tax evasion are not considered sufficiently tough and there is scope for evading both tax and penalty (tax collection is cited as one of the main corruption areas). (Score D)</w:t>
      </w:r>
    </w:p>
    <w:p w:rsidR="00C6726F" w:rsidRPr="001D507B" w:rsidRDefault="00C6726F"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(iii) The Revenue Authority has tax audit sections but the effectiveness of their work and thus the RA’s ability to collect taxes from all its citizens has been constrained by political interference (Score D).</w:t>
      </w:r>
    </w:p>
    <w:p w:rsidR="00C6726F" w:rsidRPr="001D507B" w:rsidRDefault="00C6726F" w:rsidP="001D507B">
      <w:pPr>
        <w:jc w:val="both"/>
        <w:rPr>
          <w:rFonts w:ascii="Arial" w:hAnsi="Arial" w:cs="Arial"/>
          <w:b/>
          <w:szCs w:val="22"/>
          <w:u w:val="single"/>
        </w:rPr>
      </w:pPr>
    </w:p>
    <w:p w:rsidR="00F42A23" w:rsidRPr="001D507B" w:rsidRDefault="00F42A23" w:rsidP="001D507B">
      <w:pPr>
        <w:jc w:val="both"/>
        <w:rPr>
          <w:rFonts w:ascii="Arial" w:hAnsi="Arial" w:cs="Arial"/>
          <w:b/>
          <w:szCs w:val="22"/>
          <w:u w:val="single"/>
        </w:rPr>
      </w:pPr>
      <w:r w:rsidRPr="001D507B">
        <w:rPr>
          <w:rFonts w:ascii="Arial" w:hAnsi="Arial" w:cs="Arial"/>
          <w:b/>
          <w:szCs w:val="22"/>
          <w:u w:val="single"/>
        </w:rPr>
        <w:t>20</w:t>
      </w:r>
      <w:r w:rsidR="009207DB" w:rsidRPr="001D507B">
        <w:rPr>
          <w:rFonts w:ascii="Arial" w:hAnsi="Arial" w:cs="Arial"/>
          <w:b/>
          <w:szCs w:val="22"/>
          <w:u w:val="single"/>
        </w:rPr>
        <w:t>10</w:t>
      </w:r>
      <w:r w:rsidRPr="001D507B">
        <w:rPr>
          <w:rFonts w:ascii="Arial" w:hAnsi="Arial" w:cs="Arial"/>
          <w:b/>
          <w:szCs w:val="22"/>
          <w:u w:val="single"/>
        </w:rPr>
        <w:t xml:space="preserve"> Assessment (PI-1</w:t>
      </w:r>
      <w:r w:rsidR="00C6726F" w:rsidRPr="001D507B">
        <w:rPr>
          <w:rFonts w:ascii="Arial" w:hAnsi="Arial" w:cs="Arial"/>
          <w:b/>
          <w:szCs w:val="22"/>
          <w:u w:val="single"/>
        </w:rPr>
        <w:t>4</w:t>
      </w:r>
      <w:r w:rsidRPr="001D507B">
        <w:rPr>
          <w:rFonts w:ascii="Arial" w:hAnsi="Arial" w:cs="Arial"/>
          <w:b/>
          <w:szCs w:val="22"/>
          <w:u w:val="single"/>
        </w:rPr>
        <w:t>)</w:t>
      </w:r>
    </w:p>
    <w:p w:rsidR="00F42A23" w:rsidRPr="001D507B" w:rsidRDefault="00F42A23" w:rsidP="001D507B">
      <w:pPr>
        <w:jc w:val="both"/>
        <w:rPr>
          <w:rFonts w:ascii="Arial" w:hAnsi="Arial" w:cs="Arial"/>
          <w:b/>
          <w:szCs w:val="22"/>
        </w:rPr>
      </w:pPr>
    </w:p>
    <w:p w:rsidR="00C6726F" w:rsidRPr="001D507B" w:rsidRDefault="00C6726F" w:rsidP="001D507B">
      <w:pPr>
        <w:jc w:val="both"/>
        <w:rPr>
          <w:rFonts w:ascii="Arial" w:hAnsi="Arial" w:cs="Arial"/>
          <w:szCs w:val="22"/>
        </w:rPr>
      </w:pPr>
      <w:r w:rsidRPr="001D507B">
        <w:rPr>
          <w:rFonts w:ascii="Arial" w:hAnsi="Arial" w:cs="Arial"/>
          <w:szCs w:val="22"/>
        </w:rPr>
        <w:t>(</w:t>
      </w:r>
      <w:proofErr w:type="spellStart"/>
      <w:r w:rsidRPr="001D507B">
        <w:rPr>
          <w:rFonts w:ascii="Arial" w:hAnsi="Arial" w:cs="Arial"/>
          <w:szCs w:val="22"/>
        </w:rPr>
        <w:t>i</w:t>
      </w:r>
      <w:proofErr w:type="spellEnd"/>
      <w:r w:rsidRPr="001D507B">
        <w:rPr>
          <w:rFonts w:ascii="Arial" w:hAnsi="Arial" w:cs="Arial"/>
          <w:szCs w:val="22"/>
        </w:rPr>
        <w:t>)  Taxpayers remain registered in separate databases for individual taxes. However, the links between individual databases remain ‘tentative’ and further improvements can be made (Score C).</w:t>
      </w:r>
    </w:p>
    <w:p w:rsidR="00C6726F" w:rsidRPr="001D507B" w:rsidRDefault="00C6726F" w:rsidP="001D507B">
      <w:pPr>
        <w:jc w:val="both"/>
        <w:rPr>
          <w:rFonts w:ascii="Arial" w:hAnsi="Arial" w:cs="Arial"/>
          <w:szCs w:val="22"/>
        </w:rPr>
      </w:pPr>
    </w:p>
    <w:p w:rsidR="00C6726F" w:rsidRPr="001D507B" w:rsidRDefault="00C6726F" w:rsidP="001D507B">
      <w:pPr>
        <w:jc w:val="both"/>
        <w:rPr>
          <w:rFonts w:ascii="Arial" w:hAnsi="Arial" w:cs="Arial"/>
          <w:szCs w:val="22"/>
        </w:rPr>
      </w:pPr>
      <w:r w:rsidRPr="001D507B">
        <w:rPr>
          <w:rFonts w:ascii="Arial" w:hAnsi="Arial" w:cs="Arial"/>
          <w:szCs w:val="22"/>
        </w:rPr>
        <w:t>(ii) In the case of income tax non-compliance, existing penalties for tax evasion remain particularly stringent (including a 3-year prison sentence). Therefore, it has proved difficult for the RA to seek enforcement through the courts. In the case of VAT penalties, compound interest rates are applied for late payment or non-submission of VAT returns or for fraud. The courts could also impose a penalty of 3 times the amount due. Nevertheless, the courts have often been unwilling to apply these penalties – especially in the case of those appearing to suffer from economic hardship, which again indicates that existing penalties are not as effective as they might be (Score C).</w:t>
      </w:r>
    </w:p>
    <w:p w:rsidR="00C6726F" w:rsidRPr="001D507B" w:rsidRDefault="00C6726F" w:rsidP="001D507B">
      <w:pPr>
        <w:jc w:val="both"/>
        <w:rPr>
          <w:rFonts w:ascii="Arial" w:hAnsi="Arial" w:cs="Arial"/>
          <w:szCs w:val="22"/>
        </w:rPr>
      </w:pPr>
    </w:p>
    <w:p w:rsidR="00F42A23" w:rsidRPr="001D507B" w:rsidRDefault="00C6726F" w:rsidP="001D507B">
      <w:pPr>
        <w:jc w:val="both"/>
        <w:rPr>
          <w:rFonts w:ascii="Arial" w:hAnsi="Arial" w:cs="Arial"/>
          <w:szCs w:val="22"/>
        </w:rPr>
      </w:pPr>
      <w:r w:rsidRPr="001D507B">
        <w:rPr>
          <w:rFonts w:ascii="Arial" w:hAnsi="Arial" w:cs="Arial"/>
          <w:szCs w:val="22"/>
        </w:rPr>
        <w:t>(iii) The RA has established a separate unit for audit and investigations work.  However, it is still too early to say whether these efforts to further enhance capacity will prove effective (Score C).</w:t>
      </w:r>
    </w:p>
    <w:p w:rsidR="00F42A23" w:rsidRDefault="00F42A23" w:rsidP="001D507B">
      <w:pPr>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402"/>
        <w:gridCol w:w="1134"/>
        <w:gridCol w:w="1134"/>
        <w:gridCol w:w="3828"/>
      </w:tblGrid>
      <w:tr w:rsidR="00C6726F" w:rsidTr="001D507B">
        <w:tblPrEx>
          <w:tblCellMar>
            <w:top w:w="0" w:type="dxa"/>
            <w:bottom w:w="0" w:type="dxa"/>
          </w:tblCellMar>
        </w:tblPrEx>
        <w:tc>
          <w:tcPr>
            <w:tcW w:w="3402" w:type="dxa"/>
          </w:tcPr>
          <w:p w:rsidR="00C6726F" w:rsidRPr="001D507B" w:rsidRDefault="00C6726F" w:rsidP="001D507B">
            <w:pPr>
              <w:pStyle w:val="bold"/>
              <w:jc w:val="both"/>
              <w:rPr>
                <w:rFonts w:ascii="Arial Narrow" w:hAnsi="Arial Narrow"/>
                <w:sz w:val="20"/>
              </w:rPr>
            </w:pPr>
            <w:r w:rsidRPr="001D507B">
              <w:rPr>
                <w:rFonts w:ascii="Arial Narrow" w:hAnsi="Arial Narrow"/>
                <w:sz w:val="20"/>
              </w:rPr>
              <w:t>Indicator/Dimension</w:t>
            </w:r>
          </w:p>
        </w:tc>
        <w:tc>
          <w:tcPr>
            <w:tcW w:w="1134" w:type="dxa"/>
          </w:tcPr>
          <w:p w:rsidR="00C6726F" w:rsidRPr="001D507B" w:rsidRDefault="00C6726F" w:rsidP="001D507B">
            <w:pPr>
              <w:pStyle w:val="bold"/>
              <w:jc w:val="both"/>
              <w:rPr>
                <w:rFonts w:ascii="Arial Narrow" w:hAnsi="Arial Narrow"/>
                <w:sz w:val="20"/>
              </w:rPr>
            </w:pPr>
            <w:r w:rsidRPr="001D507B">
              <w:rPr>
                <w:rFonts w:ascii="Arial Narrow" w:hAnsi="Arial Narrow"/>
                <w:sz w:val="20"/>
              </w:rPr>
              <w:t>Score 20</w:t>
            </w:r>
            <w:r w:rsidR="009207DB" w:rsidRPr="001D507B">
              <w:rPr>
                <w:rFonts w:ascii="Arial Narrow" w:hAnsi="Arial Narrow"/>
                <w:sz w:val="20"/>
              </w:rPr>
              <w:t>08</w:t>
            </w:r>
          </w:p>
        </w:tc>
        <w:tc>
          <w:tcPr>
            <w:tcW w:w="1134" w:type="dxa"/>
          </w:tcPr>
          <w:p w:rsidR="00C6726F" w:rsidRPr="001D507B" w:rsidRDefault="00C6726F" w:rsidP="001D507B">
            <w:pPr>
              <w:pStyle w:val="bold"/>
              <w:jc w:val="both"/>
              <w:rPr>
                <w:rFonts w:ascii="Arial Narrow" w:hAnsi="Arial Narrow"/>
                <w:sz w:val="20"/>
              </w:rPr>
            </w:pPr>
            <w:r w:rsidRPr="001D507B">
              <w:rPr>
                <w:rFonts w:ascii="Arial Narrow" w:hAnsi="Arial Narrow"/>
                <w:sz w:val="20"/>
              </w:rPr>
              <w:t>Score 20</w:t>
            </w:r>
            <w:r w:rsidR="009207DB" w:rsidRPr="001D507B">
              <w:rPr>
                <w:rFonts w:ascii="Arial Narrow" w:hAnsi="Arial Narrow"/>
                <w:sz w:val="20"/>
              </w:rPr>
              <w:t>10</w:t>
            </w:r>
          </w:p>
        </w:tc>
        <w:tc>
          <w:tcPr>
            <w:tcW w:w="3828" w:type="dxa"/>
          </w:tcPr>
          <w:p w:rsidR="00C6726F" w:rsidRPr="001D507B" w:rsidRDefault="00C6726F" w:rsidP="001D507B">
            <w:pPr>
              <w:pStyle w:val="bold"/>
              <w:jc w:val="both"/>
              <w:rPr>
                <w:rFonts w:ascii="Arial Narrow" w:hAnsi="Arial Narrow"/>
                <w:sz w:val="20"/>
              </w:rPr>
            </w:pPr>
            <w:r w:rsidRPr="001D507B">
              <w:rPr>
                <w:rFonts w:ascii="Arial Narrow" w:hAnsi="Arial Narrow"/>
                <w:sz w:val="20"/>
              </w:rPr>
              <w:t>Is the ratings change justified? Explanation? (to be completed by the group)</w:t>
            </w:r>
          </w:p>
        </w:tc>
      </w:tr>
      <w:tr w:rsidR="00F42A23" w:rsidTr="001D507B">
        <w:tblPrEx>
          <w:tblCellMar>
            <w:top w:w="0" w:type="dxa"/>
            <w:bottom w:w="0" w:type="dxa"/>
          </w:tblCellMar>
        </w:tblPrEx>
        <w:tc>
          <w:tcPr>
            <w:tcW w:w="3402"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w:t>
            </w:r>
            <w:proofErr w:type="spellStart"/>
            <w:r w:rsidRPr="001D507B">
              <w:rPr>
                <w:rFonts w:ascii="Arial Narrow" w:hAnsi="Arial Narrow"/>
                <w:sz w:val="20"/>
                <w:szCs w:val="20"/>
              </w:rPr>
              <w:t>i</w:t>
            </w:r>
            <w:proofErr w:type="spellEnd"/>
            <w:r w:rsidRPr="001D507B">
              <w:rPr>
                <w:rFonts w:ascii="Arial Narrow" w:hAnsi="Arial Narrow"/>
                <w:sz w:val="20"/>
                <w:szCs w:val="20"/>
              </w:rPr>
              <w:t xml:space="preserve">) </w:t>
            </w:r>
            <w:r w:rsidR="00C6726F" w:rsidRPr="001D507B">
              <w:rPr>
                <w:rFonts w:ascii="Arial Narrow" w:hAnsi="Arial Narrow"/>
                <w:sz w:val="20"/>
                <w:szCs w:val="20"/>
              </w:rPr>
              <w:t>Controls in taxpayer registration system</w:t>
            </w:r>
          </w:p>
        </w:tc>
        <w:tc>
          <w:tcPr>
            <w:tcW w:w="1134"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C</w:t>
            </w:r>
          </w:p>
        </w:tc>
        <w:tc>
          <w:tcPr>
            <w:tcW w:w="1134" w:type="dxa"/>
          </w:tcPr>
          <w:p w:rsidR="00F42A23" w:rsidRPr="001D507B" w:rsidRDefault="00C6726F" w:rsidP="001D507B">
            <w:pPr>
              <w:jc w:val="both"/>
              <w:rPr>
                <w:rFonts w:ascii="Arial Narrow" w:hAnsi="Arial Narrow"/>
                <w:sz w:val="20"/>
                <w:szCs w:val="20"/>
              </w:rPr>
            </w:pPr>
            <w:r w:rsidRPr="001D507B">
              <w:rPr>
                <w:rFonts w:ascii="Arial Narrow" w:hAnsi="Arial Narrow"/>
                <w:sz w:val="20"/>
                <w:szCs w:val="20"/>
              </w:rPr>
              <w:t>C</w:t>
            </w:r>
          </w:p>
        </w:tc>
        <w:tc>
          <w:tcPr>
            <w:tcW w:w="3828" w:type="dxa"/>
          </w:tcPr>
          <w:p w:rsidR="00F42A23" w:rsidRPr="001D507B" w:rsidRDefault="00F42A23" w:rsidP="001D507B">
            <w:pPr>
              <w:jc w:val="both"/>
              <w:rPr>
                <w:rFonts w:ascii="Arial Narrow" w:hAnsi="Arial Narrow"/>
                <w:sz w:val="20"/>
                <w:szCs w:val="20"/>
              </w:rPr>
            </w:pPr>
          </w:p>
        </w:tc>
      </w:tr>
      <w:tr w:rsidR="00F42A23" w:rsidTr="001D507B">
        <w:tblPrEx>
          <w:tblCellMar>
            <w:top w:w="0" w:type="dxa"/>
            <w:bottom w:w="0" w:type="dxa"/>
          </w:tblCellMar>
        </w:tblPrEx>
        <w:tc>
          <w:tcPr>
            <w:tcW w:w="3402"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 xml:space="preserve">(ii) </w:t>
            </w:r>
            <w:r w:rsidR="00C6726F" w:rsidRPr="001D507B">
              <w:rPr>
                <w:rFonts w:ascii="Arial Narrow" w:hAnsi="Arial Narrow"/>
                <w:sz w:val="20"/>
                <w:szCs w:val="20"/>
              </w:rPr>
              <w:t>Effectiveness of penalties for non-compliance with registration and tax declaration</w:t>
            </w:r>
          </w:p>
        </w:tc>
        <w:tc>
          <w:tcPr>
            <w:tcW w:w="1134"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D</w:t>
            </w:r>
          </w:p>
        </w:tc>
        <w:tc>
          <w:tcPr>
            <w:tcW w:w="1134" w:type="dxa"/>
          </w:tcPr>
          <w:p w:rsidR="00F42A23" w:rsidRPr="001D507B" w:rsidRDefault="00C6726F" w:rsidP="001D507B">
            <w:pPr>
              <w:jc w:val="both"/>
              <w:rPr>
                <w:rFonts w:ascii="Arial Narrow" w:hAnsi="Arial Narrow"/>
                <w:sz w:val="20"/>
                <w:szCs w:val="20"/>
              </w:rPr>
            </w:pPr>
            <w:r w:rsidRPr="001D507B">
              <w:rPr>
                <w:rFonts w:ascii="Arial Narrow" w:hAnsi="Arial Narrow"/>
                <w:sz w:val="20"/>
                <w:szCs w:val="20"/>
              </w:rPr>
              <w:t>C</w:t>
            </w:r>
          </w:p>
        </w:tc>
        <w:tc>
          <w:tcPr>
            <w:tcW w:w="3828" w:type="dxa"/>
          </w:tcPr>
          <w:p w:rsidR="00F42A23" w:rsidRPr="001D507B" w:rsidRDefault="00F42A23" w:rsidP="001D507B">
            <w:pPr>
              <w:jc w:val="both"/>
              <w:rPr>
                <w:rFonts w:ascii="Arial Narrow" w:hAnsi="Arial Narrow"/>
                <w:sz w:val="20"/>
                <w:szCs w:val="20"/>
              </w:rPr>
            </w:pPr>
          </w:p>
        </w:tc>
      </w:tr>
      <w:tr w:rsidR="00F42A23" w:rsidTr="001D507B">
        <w:tblPrEx>
          <w:tblCellMar>
            <w:top w:w="0" w:type="dxa"/>
            <w:bottom w:w="0" w:type="dxa"/>
          </w:tblCellMar>
        </w:tblPrEx>
        <w:tc>
          <w:tcPr>
            <w:tcW w:w="3402"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 xml:space="preserve">(iii) </w:t>
            </w:r>
            <w:r w:rsidR="00C6726F" w:rsidRPr="001D507B">
              <w:rPr>
                <w:rFonts w:ascii="Arial Narrow" w:hAnsi="Arial Narrow"/>
                <w:sz w:val="20"/>
                <w:szCs w:val="20"/>
              </w:rPr>
              <w:t>Planning and monitoring of tax audit programs</w:t>
            </w:r>
          </w:p>
        </w:tc>
        <w:tc>
          <w:tcPr>
            <w:tcW w:w="1134"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D</w:t>
            </w:r>
          </w:p>
        </w:tc>
        <w:tc>
          <w:tcPr>
            <w:tcW w:w="1134" w:type="dxa"/>
          </w:tcPr>
          <w:p w:rsidR="00F42A23" w:rsidRPr="001D507B" w:rsidRDefault="00F42A23" w:rsidP="001D507B">
            <w:pPr>
              <w:jc w:val="both"/>
              <w:rPr>
                <w:rFonts w:ascii="Arial Narrow" w:hAnsi="Arial Narrow"/>
                <w:sz w:val="20"/>
                <w:szCs w:val="20"/>
              </w:rPr>
            </w:pPr>
            <w:r w:rsidRPr="001D507B">
              <w:rPr>
                <w:rFonts w:ascii="Arial Narrow" w:hAnsi="Arial Narrow"/>
                <w:sz w:val="20"/>
                <w:szCs w:val="20"/>
              </w:rPr>
              <w:t>C</w:t>
            </w:r>
          </w:p>
        </w:tc>
        <w:tc>
          <w:tcPr>
            <w:tcW w:w="3828" w:type="dxa"/>
          </w:tcPr>
          <w:p w:rsidR="00F42A23" w:rsidRPr="001D507B" w:rsidRDefault="00F42A23" w:rsidP="001D507B">
            <w:pPr>
              <w:jc w:val="both"/>
              <w:rPr>
                <w:rFonts w:ascii="Arial Narrow" w:hAnsi="Arial Narrow"/>
                <w:sz w:val="20"/>
                <w:szCs w:val="20"/>
              </w:rPr>
            </w:pPr>
          </w:p>
        </w:tc>
      </w:tr>
      <w:tr w:rsidR="00F42A23" w:rsidTr="001D507B">
        <w:tblPrEx>
          <w:tblCellMar>
            <w:top w:w="0" w:type="dxa"/>
            <w:bottom w:w="0" w:type="dxa"/>
          </w:tblCellMar>
        </w:tblPrEx>
        <w:tc>
          <w:tcPr>
            <w:tcW w:w="3402" w:type="dxa"/>
          </w:tcPr>
          <w:p w:rsidR="00F42A23" w:rsidRDefault="00F42A23" w:rsidP="001D507B">
            <w:pPr>
              <w:spacing w:before="120" w:after="120"/>
              <w:jc w:val="both"/>
              <w:rPr>
                <w:b/>
              </w:rPr>
            </w:pPr>
            <w:r>
              <w:rPr>
                <w:b/>
              </w:rPr>
              <w:t>Overall score =</w:t>
            </w:r>
          </w:p>
        </w:tc>
        <w:tc>
          <w:tcPr>
            <w:tcW w:w="1134" w:type="dxa"/>
          </w:tcPr>
          <w:p w:rsidR="00F42A23" w:rsidRDefault="00C6726F" w:rsidP="001D507B">
            <w:pPr>
              <w:spacing w:before="120" w:after="120"/>
              <w:jc w:val="both"/>
              <w:rPr>
                <w:b/>
              </w:rPr>
            </w:pPr>
            <w:r>
              <w:rPr>
                <w:b/>
              </w:rPr>
              <w:t>D</w:t>
            </w:r>
          </w:p>
        </w:tc>
        <w:tc>
          <w:tcPr>
            <w:tcW w:w="1134" w:type="dxa"/>
          </w:tcPr>
          <w:p w:rsidR="00F42A23" w:rsidRDefault="00C6726F" w:rsidP="001D507B">
            <w:pPr>
              <w:spacing w:before="120" w:after="120"/>
              <w:jc w:val="both"/>
              <w:rPr>
                <w:b/>
              </w:rPr>
            </w:pPr>
            <w:r>
              <w:rPr>
                <w:b/>
              </w:rPr>
              <w:t>C</w:t>
            </w:r>
          </w:p>
        </w:tc>
        <w:tc>
          <w:tcPr>
            <w:tcW w:w="3828" w:type="dxa"/>
          </w:tcPr>
          <w:p w:rsidR="00F42A23" w:rsidRDefault="00F42A23" w:rsidP="001D507B">
            <w:pPr>
              <w:spacing w:before="120" w:after="120"/>
              <w:jc w:val="both"/>
              <w:rPr>
                <w:b/>
              </w:rPr>
            </w:pPr>
          </w:p>
        </w:tc>
      </w:tr>
    </w:tbl>
    <w:p w:rsidR="00DD410D" w:rsidRDefault="00DD410D" w:rsidP="001D507B">
      <w:pPr>
        <w:jc w:val="both"/>
      </w:pPr>
    </w:p>
    <w:sectPr w:rsidR="00DD410D" w:rsidSect="00C6726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BFF" w:rsidRDefault="00876BFF">
      <w:r>
        <w:separator/>
      </w:r>
    </w:p>
  </w:endnote>
  <w:endnote w:type="continuationSeparator" w:id="0">
    <w:p w:rsidR="00876BFF" w:rsidRDefault="00876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7B" w:rsidRDefault="001D507B" w:rsidP="001D507B">
    <w:pPr>
      <w:pStyle w:val="Footer"/>
      <w:ind w:right="360"/>
      <w:jc w:val="center"/>
    </w:pPr>
    <w:r>
      <w:rPr>
        <w:i/>
        <w:sz w:val="20"/>
        <w:szCs w:val="20"/>
      </w:rPr>
      <w:t>PEFA training material /Workshop Brussels</w:t>
    </w:r>
  </w:p>
  <w:p w:rsidR="001D507B" w:rsidRPr="001D507B" w:rsidRDefault="001D507B">
    <w:pPr>
      <w:pStyle w:val="Footer"/>
      <w:jc w:val="right"/>
      <w:rPr>
        <w:rFonts w:ascii="Arial" w:hAnsi="Arial" w:cs="Arial"/>
      </w:rPr>
    </w:pPr>
    <w:r w:rsidRPr="001D507B">
      <w:rPr>
        <w:rFonts w:ascii="Arial" w:hAnsi="Arial" w:cs="Arial"/>
      </w:rPr>
      <w:fldChar w:fldCharType="begin"/>
    </w:r>
    <w:r w:rsidRPr="001D507B">
      <w:rPr>
        <w:rFonts w:ascii="Arial" w:hAnsi="Arial" w:cs="Arial"/>
      </w:rPr>
      <w:instrText xml:space="preserve"> PAGE   \* MERGEFORMAT </w:instrText>
    </w:r>
    <w:r w:rsidRPr="001D507B">
      <w:rPr>
        <w:rFonts w:ascii="Arial" w:hAnsi="Arial" w:cs="Arial"/>
      </w:rPr>
      <w:fldChar w:fldCharType="separate"/>
    </w:r>
    <w:r>
      <w:rPr>
        <w:rFonts w:ascii="Arial" w:hAnsi="Arial" w:cs="Arial"/>
        <w:noProof/>
      </w:rPr>
      <w:t>1</w:t>
    </w:r>
    <w:r w:rsidRPr="001D507B">
      <w:rPr>
        <w:rFonts w:ascii="Arial" w:hAnsi="Arial" w:cs="Arial"/>
      </w:rPr>
      <w:fldChar w:fldCharType="end"/>
    </w:r>
  </w:p>
  <w:p w:rsidR="001D507B" w:rsidRDefault="001D5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BFF" w:rsidRDefault="00876BFF">
      <w:r>
        <w:separator/>
      </w:r>
    </w:p>
  </w:footnote>
  <w:footnote w:type="continuationSeparator" w:id="0">
    <w:p w:rsidR="00876BFF" w:rsidRDefault="00876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57748"/>
    <w:multiLevelType w:val="hybridMultilevel"/>
    <w:tmpl w:val="906E3A22"/>
    <w:lvl w:ilvl="0" w:tplc="07E0692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BC21185"/>
    <w:multiLevelType w:val="hybridMultilevel"/>
    <w:tmpl w:val="8EEC7BC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8173B3"/>
    <w:rsid w:val="000C23EB"/>
    <w:rsid w:val="00135861"/>
    <w:rsid w:val="00154E8E"/>
    <w:rsid w:val="001D507B"/>
    <w:rsid w:val="002967A3"/>
    <w:rsid w:val="002B2303"/>
    <w:rsid w:val="002C4CFB"/>
    <w:rsid w:val="00321D9D"/>
    <w:rsid w:val="003471B4"/>
    <w:rsid w:val="00373B77"/>
    <w:rsid w:val="003C5FF0"/>
    <w:rsid w:val="00410255"/>
    <w:rsid w:val="004307EF"/>
    <w:rsid w:val="00444139"/>
    <w:rsid w:val="004A456D"/>
    <w:rsid w:val="00522C05"/>
    <w:rsid w:val="005C70DE"/>
    <w:rsid w:val="00686DA5"/>
    <w:rsid w:val="006E37C7"/>
    <w:rsid w:val="007B63AD"/>
    <w:rsid w:val="00812B6D"/>
    <w:rsid w:val="008173B3"/>
    <w:rsid w:val="00876BFF"/>
    <w:rsid w:val="009207DB"/>
    <w:rsid w:val="00961B1E"/>
    <w:rsid w:val="00B01DAC"/>
    <w:rsid w:val="00C13699"/>
    <w:rsid w:val="00C6726F"/>
    <w:rsid w:val="00CA3811"/>
    <w:rsid w:val="00D44E71"/>
    <w:rsid w:val="00D6671A"/>
    <w:rsid w:val="00DD410D"/>
    <w:rsid w:val="00E411BF"/>
    <w:rsid w:val="00EB28FC"/>
    <w:rsid w:val="00F42A2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3B3"/>
    <w:pPr>
      <w:spacing w:line="280" w:lineRule="atLeast"/>
    </w:pPr>
    <w:rPr>
      <w:sz w:val="22"/>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single space"/>
    <w:basedOn w:val="Normal"/>
    <w:semiHidden/>
    <w:rsid w:val="008173B3"/>
    <w:pPr>
      <w:tabs>
        <w:tab w:val="left" w:pos="284"/>
      </w:tabs>
      <w:spacing w:line="200" w:lineRule="atLeast"/>
      <w:ind w:left="284" w:hanging="284"/>
    </w:pPr>
    <w:rPr>
      <w:rFonts w:ascii="Arial" w:hAnsi="Arial"/>
      <w:sz w:val="14"/>
      <w:szCs w:val="20"/>
    </w:rPr>
  </w:style>
  <w:style w:type="character" w:styleId="FootnoteReference">
    <w:name w:val="footnote reference"/>
    <w:semiHidden/>
    <w:rsid w:val="008173B3"/>
    <w:rPr>
      <w:vertAlign w:val="superscript"/>
    </w:rPr>
  </w:style>
  <w:style w:type="paragraph" w:styleId="Caption">
    <w:name w:val="caption"/>
    <w:basedOn w:val="Normal"/>
    <w:next w:val="Normal"/>
    <w:qFormat/>
    <w:rsid w:val="008173B3"/>
    <w:pPr>
      <w:keepNext/>
      <w:tabs>
        <w:tab w:val="right" w:pos="-284"/>
      </w:tabs>
      <w:spacing w:after="140"/>
      <w:ind w:hanging="2268"/>
    </w:pPr>
    <w:rPr>
      <w:rFonts w:ascii="Arial" w:hAnsi="Arial"/>
      <w:bCs/>
      <w:color w:val="0A55A3"/>
      <w:sz w:val="16"/>
      <w:szCs w:val="20"/>
    </w:rPr>
  </w:style>
  <w:style w:type="paragraph" w:customStyle="1" w:styleId="TableText">
    <w:name w:val="Table Text"/>
    <w:basedOn w:val="Normal"/>
    <w:rsid w:val="008173B3"/>
    <w:pPr>
      <w:spacing w:line="120" w:lineRule="atLeast"/>
      <w:ind w:left="238"/>
    </w:pPr>
    <w:rPr>
      <w:rFonts w:ascii="Arial" w:hAnsi="Arial"/>
      <w:sz w:val="16"/>
      <w:szCs w:val="16"/>
    </w:rPr>
  </w:style>
  <w:style w:type="paragraph" w:customStyle="1" w:styleId="TableHeading">
    <w:name w:val="Table Heading"/>
    <w:basedOn w:val="TableText"/>
    <w:rsid w:val="008173B3"/>
    <w:pPr>
      <w:keepNext/>
    </w:pPr>
    <w:rPr>
      <w:b/>
    </w:rPr>
  </w:style>
  <w:style w:type="paragraph" w:customStyle="1" w:styleId="bold">
    <w:name w:val="bold"/>
    <w:basedOn w:val="Normal"/>
    <w:autoRedefine/>
    <w:rsid w:val="00DD410D"/>
    <w:pPr>
      <w:spacing w:line="240" w:lineRule="auto"/>
    </w:pPr>
    <w:rPr>
      <w:rFonts w:ascii="Arial" w:hAnsi="Arial"/>
      <w:b/>
      <w:sz w:val="24"/>
      <w:szCs w:val="20"/>
      <w:lang w:val="en-US"/>
    </w:rPr>
  </w:style>
  <w:style w:type="paragraph" w:styleId="Header">
    <w:name w:val="header"/>
    <w:basedOn w:val="Normal"/>
    <w:link w:val="HeaderChar"/>
    <w:rsid w:val="001D507B"/>
    <w:pPr>
      <w:tabs>
        <w:tab w:val="center" w:pos="4680"/>
        <w:tab w:val="right" w:pos="9360"/>
      </w:tabs>
    </w:pPr>
  </w:style>
  <w:style w:type="character" w:customStyle="1" w:styleId="HeaderChar">
    <w:name w:val="Header Char"/>
    <w:basedOn w:val="DefaultParagraphFont"/>
    <w:link w:val="Header"/>
    <w:rsid w:val="001D507B"/>
    <w:rPr>
      <w:sz w:val="22"/>
      <w:szCs w:val="24"/>
      <w:lang w:val="en-GB" w:eastAsia="en-US"/>
    </w:rPr>
  </w:style>
  <w:style w:type="paragraph" w:styleId="Footer">
    <w:name w:val="footer"/>
    <w:basedOn w:val="Normal"/>
    <w:link w:val="FooterChar"/>
    <w:rsid w:val="001D507B"/>
    <w:pPr>
      <w:tabs>
        <w:tab w:val="center" w:pos="4680"/>
        <w:tab w:val="right" w:pos="9360"/>
      </w:tabs>
    </w:pPr>
  </w:style>
  <w:style w:type="character" w:customStyle="1" w:styleId="FooterChar">
    <w:name w:val="Footer Char"/>
    <w:basedOn w:val="DefaultParagraphFont"/>
    <w:link w:val="Footer"/>
    <w:rsid w:val="001D507B"/>
    <w:rPr>
      <w:sz w:val="22"/>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Workshop on Applying the PFM Performance Measurement Framework</vt:lpstr>
    </vt:vector>
  </TitlesOfParts>
  <Company>The World Bank Group</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on Applying the PFM Performance Measurement Framework</dc:title>
  <dc:creator>wb266355</dc:creator>
  <cp:lastModifiedBy>Giovanni</cp:lastModifiedBy>
  <cp:revision>2</cp:revision>
  <dcterms:created xsi:type="dcterms:W3CDTF">2012-06-04T00:13:00Z</dcterms:created>
  <dcterms:modified xsi:type="dcterms:W3CDTF">2012-06-04T00:13:00Z</dcterms:modified>
</cp:coreProperties>
</file>