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4234" w:tblpY="1748"/>
        <w:tblOverlap w:val="never"/>
        <w:tblW w:w="5025" w:type="dxa"/>
        <w:tblLook w:val="01E0" w:firstRow="1" w:lastRow="1" w:firstColumn="1" w:lastColumn="1" w:noHBand="0" w:noVBand="0"/>
      </w:tblPr>
      <w:tblGrid>
        <w:gridCol w:w="5025"/>
      </w:tblGrid>
      <w:tr w:rsidR="00791588" w:rsidRPr="001346FF" w:rsidTr="0005617C">
        <w:trPr>
          <w:trHeight w:val="474"/>
        </w:trPr>
        <w:tc>
          <w:tcPr>
            <w:tcW w:w="5025" w:type="dxa"/>
            <w:vAlign w:val="center"/>
          </w:tcPr>
          <w:p w:rsidR="00791588" w:rsidRPr="003C5083" w:rsidRDefault="00791588" w:rsidP="00791588">
            <w:pPr>
              <w:pStyle w:val="CoverFWCreference"/>
            </w:pPr>
            <w:proofErr w:type="spellStart"/>
            <w:r w:rsidRPr="003C5083">
              <w:t>EuropeAid</w:t>
            </w:r>
            <w:proofErr w:type="spellEnd"/>
            <w:r w:rsidRPr="003C5083">
              <w:t>/129522/C/SER/Multi</w:t>
            </w:r>
          </w:p>
          <w:p w:rsidR="00791588" w:rsidRPr="003C5083" w:rsidRDefault="00791588" w:rsidP="00791588">
            <w:pPr>
              <w:pStyle w:val="CovercontractNumber"/>
              <w:rPr>
                <w:highlight w:val="yellow"/>
              </w:rPr>
            </w:pPr>
            <w:r w:rsidRPr="003C5083">
              <w:t>Contract number 2010/232-231</w:t>
            </w:r>
          </w:p>
        </w:tc>
      </w:tr>
      <w:tr w:rsidR="00D1144F" w:rsidRPr="001346FF" w:rsidTr="0005617C">
        <w:trPr>
          <w:trHeight w:val="1642"/>
        </w:trPr>
        <w:tc>
          <w:tcPr>
            <w:tcW w:w="5025" w:type="dxa"/>
          </w:tcPr>
          <w:p w:rsidR="00D1144F" w:rsidRPr="001346FF" w:rsidRDefault="00D1144F" w:rsidP="008D1D67">
            <w:pPr>
              <w:pStyle w:val="CoverTitle1"/>
              <w:suppressAutoHyphens/>
              <w:rPr>
                <w:rFonts w:cs="Arial"/>
                <w:sz w:val="20"/>
              </w:rPr>
            </w:pPr>
          </w:p>
        </w:tc>
      </w:tr>
      <w:tr w:rsidR="00D1144F" w:rsidRPr="001346FF" w:rsidTr="0005617C">
        <w:trPr>
          <w:trHeight w:val="2241"/>
        </w:trPr>
        <w:tc>
          <w:tcPr>
            <w:tcW w:w="5025" w:type="dxa"/>
          </w:tcPr>
          <w:p w:rsidR="008D1D67" w:rsidRDefault="008D1D67" w:rsidP="00AE42EC">
            <w:pPr>
              <w:pStyle w:val="CoverTitle1"/>
              <w:suppressAutoHyphens/>
              <w:rPr>
                <w:rFonts w:cs="Arial"/>
                <w:sz w:val="20"/>
                <w:szCs w:val="20"/>
              </w:rPr>
            </w:pPr>
          </w:p>
          <w:p w:rsidR="008D1D67" w:rsidRDefault="008D1D67" w:rsidP="00AE42EC">
            <w:pPr>
              <w:pStyle w:val="CoverTitle1"/>
              <w:suppressAutoHyphens/>
              <w:rPr>
                <w:rFonts w:cs="Arial"/>
                <w:sz w:val="20"/>
                <w:szCs w:val="20"/>
              </w:rPr>
            </w:pPr>
          </w:p>
          <w:p w:rsidR="008D1D67" w:rsidRPr="001346FF" w:rsidRDefault="008D1D67" w:rsidP="008D1D67">
            <w:pPr>
              <w:pStyle w:val="CoverTitle1"/>
              <w:suppressAutoHyphens/>
              <w:rPr>
                <w:rFonts w:ascii="Arial" w:hAnsi="Arial" w:cs="Arial"/>
                <w:spacing w:val="4"/>
              </w:rPr>
            </w:pPr>
            <w:r w:rsidRPr="001346FF">
              <w:rPr>
                <w:rFonts w:ascii="Arial" w:hAnsi="Arial" w:cs="Arial"/>
                <w:spacing w:val="4"/>
              </w:rPr>
              <w:t xml:space="preserve">Air Quality Governance in the ENPI East Countries </w:t>
            </w:r>
          </w:p>
          <w:p w:rsidR="00D1144F" w:rsidRPr="005116EE" w:rsidRDefault="00D1144F" w:rsidP="00AE42EC">
            <w:pPr>
              <w:pStyle w:val="CoverTitle1"/>
              <w:suppressAutoHyphens/>
              <w:rPr>
                <w:rFonts w:ascii="Arial" w:hAnsi="Arial" w:cs="Arial"/>
                <w:b w:val="0"/>
                <w:bCs w:val="0"/>
                <w:i/>
                <w:iCs/>
              </w:rPr>
            </w:pPr>
          </w:p>
        </w:tc>
      </w:tr>
      <w:tr w:rsidR="00D1144F" w:rsidRPr="001346FF" w:rsidTr="0005617C">
        <w:trPr>
          <w:trHeight w:val="1274"/>
        </w:trPr>
        <w:tc>
          <w:tcPr>
            <w:tcW w:w="5025" w:type="dxa"/>
          </w:tcPr>
          <w:p w:rsidR="00D1144F" w:rsidRPr="001346FF" w:rsidRDefault="00C90C23" w:rsidP="00791588">
            <w:pPr>
              <w:pStyle w:val="CoverTitle2"/>
              <w:spacing w:before="0" w:after="0" w:line="240" w:lineRule="auto"/>
              <w:rPr>
                <w:rFonts w:cs="Arial"/>
                <w:sz w:val="20"/>
              </w:rPr>
            </w:pPr>
            <w:r w:rsidRPr="00C90C23">
              <w:rPr>
                <w:rFonts w:cs="Arial"/>
                <w:sz w:val="32"/>
              </w:rPr>
              <w:t>Guidelines for designing of National Ambient Air Monitoring Network in compliance with EU requirements</w:t>
            </w:r>
          </w:p>
        </w:tc>
      </w:tr>
      <w:tr w:rsidR="00D1144F" w:rsidRPr="001346FF" w:rsidTr="0005617C">
        <w:trPr>
          <w:trHeight w:val="2674"/>
        </w:trPr>
        <w:tc>
          <w:tcPr>
            <w:tcW w:w="5025" w:type="dxa"/>
          </w:tcPr>
          <w:p w:rsidR="00C90C23" w:rsidRDefault="00C90C23" w:rsidP="00C90C23">
            <w:pPr>
              <w:pStyle w:val="Coverdate"/>
              <w:rPr>
                <w:rFonts w:cs="Arial"/>
                <w:sz w:val="20"/>
              </w:rPr>
            </w:pPr>
          </w:p>
          <w:p w:rsidR="00D1144F" w:rsidRPr="005116EE" w:rsidRDefault="00791588" w:rsidP="00C90C23">
            <w:pPr>
              <w:pStyle w:val="Coverdate"/>
              <w:rPr>
                <w:rFonts w:cs="Arial"/>
                <w:b/>
                <w:sz w:val="20"/>
              </w:rPr>
            </w:pPr>
            <w:r>
              <w:rPr>
                <w:rFonts w:cs="Arial"/>
                <w:sz w:val="20"/>
              </w:rPr>
              <w:t xml:space="preserve">Report </w:t>
            </w:r>
            <w:r w:rsidR="00D1144F" w:rsidRPr="005116EE">
              <w:rPr>
                <w:rFonts w:cs="Arial"/>
                <w:sz w:val="20"/>
              </w:rPr>
              <w:t xml:space="preserve">Date: </w:t>
            </w:r>
            <w:r w:rsidR="00C90C23">
              <w:rPr>
                <w:rFonts w:cs="Arial"/>
                <w:sz w:val="20"/>
              </w:rPr>
              <w:t>July</w:t>
            </w:r>
            <w:r w:rsidR="004624D6" w:rsidRPr="005116EE">
              <w:rPr>
                <w:rFonts w:cs="Arial"/>
                <w:sz w:val="20"/>
              </w:rPr>
              <w:t xml:space="preserve"> </w:t>
            </w:r>
            <w:r w:rsidR="00C90C23">
              <w:rPr>
                <w:rFonts w:cs="Arial"/>
                <w:sz w:val="20"/>
              </w:rPr>
              <w:t>1</w:t>
            </w:r>
            <w:r w:rsidR="004624D6" w:rsidRPr="005116EE">
              <w:rPr>
                <w:rFonts w:cs="Arial"/>
                <w:sz w:val="20"/>
              </w:rPr>
              <w:t>1, 2014</w:t>
            </w:r>
          </w:p>
        </w:tc>
      </w:tr>
      <w:tr w:rsidR="00D1144F" w:rsidRPr="001346FF" w:rsidTr="0005617C">
        <w:trPr>
          <w:trHeight w:val="169"/>
        </w:trPr>
        <w:tc>
          <w:tcPr>
            <w:tcW w:w="5025" w:type="dxa"/>
          </w:tcPr>
          <w:p w:rsidR="00D1144F" w:rsidRPr="001346FF" w:rsidRDefault="00D1144F" w:rsidP="00D1144F">
            <w:pPr>
              <w:pStyle w:val="Coverbrol"/>
              <w:rPr>
                <w:sz w:val="20"/>
                <w:szCs w:val="20"/>
                <w:lang w:val="en-GB"/>
              </w:rPr>
            </w:pPr>
          </w:p>
        </w:tc>
      </w:tr>
    </w:tbl>
    <w:p w:rsidR="00D1144F" w:rsidRPr="001346FF" w:rsidRDefault="00D1144F"/>
    <w:p w:rsidR="00864B74" w:rsidRPr="001346FF" w:rsidRDefault="00864B74">
      <w:pPr>
        <w:tabs>
          <w:tab w:val="right" w:pos="8789"/>
        </w:tabs>
        <w:rPr>
          <w:rFonts w:cs="Arial"/>
          <w:sz w:val="20"/>
        </w:rPr>
        <w:sectPr w:rsidR="00864B74" w:rsidRPr="001346FF" w:rsidSect="00514979">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094" w:right="1134" w:bottom="1276" w:left="1418" w:header="709" w:footer="560" w:gutter="0"/>
          <w:pgNumType w:start="1"/>
          <w:cols w:space="720"/>
          <w:formProt w:val="0"/>
          <w:titlePg/>
        </w:sectPr>
      </w:pPr>
      <w:bookmarkStart w:id="3" w:name="regelgeheim"/>
      <w:bookmarkEnd w:id="3"/>
    </w:p>
    <w:tbl>
      <w:tblPr>
        <w:tblpPr w:leftFromText="180" w:rightFromText="180" w:vertAnchor="page" w:horzAnchor="margin" w:tblpY="12871"/>
        <w:tblW w:w="9451"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1042"/>
        <w:gridCol w:w="1418"/>
        <w:gridCol w:w="2330"/>
        <w:gridCol w:w="2330"/>
        <w:gridCol w:w="2331"/>
      </w:tblGrid>
      <w:tr w:rsidR="008F2E48" w:rsidRPr="0069779E" w:rsidTr="008F2E48">
        <w:tc>
          <w:tcPr>
            <w:tcW w:w="1042" w:type="dxa"/>
            <w:shd w:val="clear" w:color="auto" w:fill="CCFFFF"/>
            <w:vAlign w:val="center"/>
          </w:tcPr>
          <w:p w:rsidR="008F2E48" w:rsidRPr="0069779E" w:rsidRDefault="008F2E48" w:rsidP="008F2E48">
            <w:pPr>
              <w:pStyle w:val="TableHeading"/>
              <w:ind w:left="-113" w:right="-113"/>
              <w:rPr>
                <w:rFonts w:ascii="Arial" w:hAnsi="Arial" w:cs="Arial"/>
              </w:rPr>
            </w:pPr>
            <w:bookmarkStart w:id="4" w:name="legebladzijdevoorinhoud"/>
            <w:bookmarkStart w:id="5" w:name="BijlagenInhoud"/>
            <w:bookmarkStart w:id="6" w:name="_Toc93819479"/>
            <w:bookmarkStart w:id="7" w:name="_Toc93898173"/>
            <w:bookmarkStart w:id="8" w:name="_Toc110659879"/>
            <w:bookmarkEnd w:id="4"/>
            <w:bookmarkEnd w:id="5"/>
            <w:r w:rsidRPr="0069779E">
              <w:rPr>
                <w:rFonts w:ascii="Arial" w:hAnsi="Arial" w:cs="Arial"/>
              </w:rPr>
              <w:lastRenderedPageBreak/>
              <w:t>Version</w:t>
            </w:r>
          </w:p>
        </w:tc>
        <w:tc>
          <w:tcPr>
            <w:tcW w:w="1418" w:type="dxa"/>
            <w:shd w:val="clear" w:color="auto" w:fill="CCFFFF"/>
            <w:vAlign w:val="center"/>
          </w:tcPr>
          <w:p w:rsidR="008F2E48" w:rsidRPr="0069779E" w:rsidRDefault="008F2E48" w:rsidP="008F2E48">
            <w:pPr>
              <w:pStyle w:val="TableHeading"/>
              <w:ind w:left="-113" w:right="-113"/>
              <w:rPr>
                <w:rFonts w:ascii="Arial" w:hAnsi="Arial" w:cs="Arial"/>
              </w:rPr>
            </w:pPr>
            <w:r w:rsidRPr="0069779E">
              <w:rPr>
                <w:rFonts w:ascii="Arial" w:hAnsi="Arial" w:cs="Arial"/>
              </w:rPr>
              <w:t>Date</w:t>
            </w:r>
          </w:p>
        </w:tc>
        <w:tc>
          <w:tcPr>
            <w:tcW w:w="2330" w:type="dxa"/>
            <w:shd w:val="clear" w:color="auto" w:fill="CCFFFF"/>
            <w:vAlign w:val="center"/>
          </w:tcPr>
          <w:p w:rsidR="008F2E48" w:rsidRPr="0069779E" w:rsidRDefault="008F2E48" w:rsidP="008F2E48">
            <w:pPr>
              <w:pStyle w:val="TableHeading"/>
              <w:ind w:left="-113" w:right="-113"/>
              <w:rPr>
                <w:rFonts w:ascii="Arial" w:hAnsi="Arial" w:cs="Arial"/>
              </w:rPr>
            </w:pPr>
            <w:r w:rsidRPr="0069779E">
              <w:rPr>
                <w:rFonts w:ascii="Arial" w:hAnsi="Arial" w:cs="Arial"/>
              </w:rPr>
              <w:t>Description</w:t>
            </w:r>
          </w:p>
        </w:tc>
        <w:tc>
          <w:tcPr>
            <w:tcW w:w="2330" w:type="dxa"/>
            <w:shd w:val="clear" w:color="auto" w:fill="CCFFFF"/>
            <w:vAlign w:val="center"/>
          </w:tcPr>
          <w:p w:rsidR="008F2E48" w:rsidRPr="0069779E" w:rsidRDefault="008F2E48" w:rsidP="008F2E48">
            <w:pPr>
              <w:pStyle w:val="TableHeading"/>
              <w:ind w:left="-113" w:right="-113"/>
              <w:rPr>
                <w:rFonts w:ascii="Arial" w:hAnsi="Arial" w:cs="Arial"/>
              </w:rPr>
            </w:pPr>
            <w:r w:rsidRPr="0069779E">
              <w:rPr>
                <w:rFonts w:ascii="Arial" w:hAnsi="Arial" w:cs="Arial"/>
              </w:rPr>
              <w:t>Prepared by</w:t>
            </w:r>
          </w:p>
        </w:tc>
        <w:tc>
          <w:tcPr>
            <w:tcW w:w="2331" w:type="dxa"/>
            <w:shd w:val="clear" w:color="auto" w:fill="CCFFFF"/>
            <w:vAlign w:val="center"/>
          </w:tcPr>
          <w:p w:rsidR="008F2E48" w:rsidRPr="0069779E" w:rsidRDefault="008F2E48" w:rsidP="008F2E48">
            <w:pPr>
              <w:pStyle w:val="TableHeading"/>
              <w:ind w:left="-113" w:right="-113"/>
              <w:rPr>
                <w:rFonts w:ascii="Arial" w:hAnsi="Arial" w:cs="Arial"/>
              </w:rPr>
            </w:pPr>
            <w:r w:rsidRPr="0069779E">
              <w:rPr>
                <w:rFonts w:ascii="Arial" w:hAnsi="Arial" w:cs="Arial"/>
              </w:rPr>
              <w:t>Reviewed by</w:t>
            </w:r>
          </w:p>
        </w:tc>
      </w:tr>
      <w:tr w:rsidR="008F2E48" w:rsidRPr="0069779E" w:rsidTr="008F2E48">
        <w:tc>
          <w:tcPr>
            <w:tcW w:w="1042" w:type="dxa"/>
            <w:vAlign w:val="center"/>
          </w:tcPr>
          <w:p w:rsidR="008F2E48" w:rsidRPr="0069779E" w:rsidRDefault="008F2E48" w:rsidP="008F2E48">
            <w:pPr>
              <w:pStyle w:val="TableText"/>
              <w:rPr>
                <w:rFonts w:ascii="Arial Narrow" w:hAnsi="Arial Narrow" w:cs="Arial"/>
              </w:rPr>
            </w:pPr>
            <w:r>
              <w:rPr>
                <w:rFonts w:ascii="Arial Narrow" w:hAnsi="Arial Narrow" w:cs="Arial"/>
              </w:rPr>
              <w:t>1</w:t>
            </w:r>
          </w:p>
        </w:tc>
        <w:tc>
          <w:tcPr>
            <w:tcW w:w="1418" w:type="dxa"/>
            <w:vAlign w:val="center"/>
          </w:tcPr>
          <w:p w:rsidR="008F2E48" w:rsidRPr="0069779E" w:rsidRDefault="001E2306" w:rsidP="001E2306">
            <w:pPr>
              <w:pStyle w:val="TableText"/>
              <w:rPr>
                <w:rFonts w:ascii="Arial Narrow" w:hAnsi="Arial Narrow" w:cs="Arial"/>
              </w:rPr>
            </w:pPr>
            <w:r>
              <w:rPr>
                <w:rFonts w:ascii="Arial Narrow" w:hAnsi="Arial Narrow" w:cs="Arial"/>
              </w:rPr>
              <w:t>11</w:t>
            </w:r>
            <w:r w:rsidR="008F2E48" w:rsidRPr="0069779E">
              <w:rPr>
                <w:rFonts w:ascii="Arial Narrow" w:hAnsi="Arial Narrow" w:cs="Arial"/>
              </w:rPr>
              <w:t xml:space="preserve"> </w:t>
            </w:r>
            <w:r>
              <w:rPr>
                <w:rFonts w:ascii="Arial Narrow" w:hAnsi="Arial Narrow" w:cs="Arial"/>
              </w:rPr>
              <w:t>July</w:t>
            </w:r>
            <w:r w:rsidR="008F2E48" w:rsidRPr="0069779E">
              <w:rPr>
                <w:rFonts w:ascii="Arial Narrow" w:hAnsi="Arial Narrow" w:cs="Arial"/>
              </w:rPr>
              <w:t xml:space="preserve"> </w:t>
            </w:r>
            <w:r w:rsidR="008F2E48">
              <w:rPr>
                <w:rFonts w:ascii="Arial Narrow" w:hAnsi="Arial Narrow" w:cs="Arial"/>
              </w:rPr>
              <w:t>2014</w:t>
            </w:r>
          </w:p>
        </w:tc>
        <w:tc>
          <w:tcPr>
            <w:tcW w:w="2330" w:type="dxa"/>
            <w:vAlign w:val="center"/>
          </w:tcPr>
          <w:p w:rsidR="008F2E48" w:rsidRPr="0069779E" w:rsidRDefault="001E2306" w:rsidP="001E2306">
            <w:pPr>
              <w:pStyle w:val="TableText"/>
              <w:rPr>
                <w:rFonts w:ascii="Arial Narrow" w:hAnsi="Arial Narrow" w:cs="Arial"/>
              </w:rPr>
            </w:pPr>
            <w:r>
              <w:rPr>
                <w:rFonts w:ascii="Arial Narrow" w:hAnsi="Arial Narrow" w:cs="Arial"/>
              </w:rPr>
              <w:t xml:space="preserve">Task 1.2.5. </w:t>
            </w:r>
            <w:r w:rsidRPr="001E2306">
              <w:rPr>
                <w:rFonts w:ascii="Arial Narrow" w:hAnsi="Arial Narrow" w:cs="Arial"/>
              </w:rPr>
              <w:t xml:space="preserve">Developed recommendations on location of stationary sampling points </w:t>
            </w:r>
          </w:p>
        </w:tc>
        <w:tc>
          <w:tcPr>
            <w:tcW w:w="2330" w:type="dxa"/>
            <w:vAlign w:val="center"/>
          </w:tcPr>
          <w:p w:rsidR="008F2E48" w:rsidRPr="0069779E" w:rsidRDefault="001F12F0" w:rsidP="001F12F0">
            <w:pPr>
              <w:pStyle w:val="TableText"/>
              <w:ind w:left="162"/>
              <w:rPr>
                <w:rFonts w:ascii="Arial Narrow" w:hAnsi="Arial Narrow" w:cs="Arial"/>
              </w:rPr>
            </w:pPr>
            <w:r w:rsidRPr="001F12F0">
              <w:rPr>
                <w:rFonts w:ascii="Arial Narrow" w:hAnsi="Arial Narrow"/>
              </w:rPr>
              <w:t>Caucasus Environmental NGO Network (CENN)</w:t>
            </w:r>
          </w:p>
        </w:tc>
        <w:tc>
          <w:tcPr>
            <w:tcW w:w="2331" w:type="dxa"/>
            <w:vAlign w:val="center"/>
          </w:tcPr>
          <w:p w:rsidR="008F2E48" w:rsidRPr="008F2E48" w:rsidRDefault="008F2E48" w:rsidP="008F2E48">
            <w:pPr>
              <w:pStyle w:val="TableText"/>
              <w:ind w:left="162"/>
              <w:rPr>
                <w:rFonts w:ascii="Arial Narrow" w:hAnsi="Arial Narrow"/>
              </w:rPr>
            </w:pPr>
            <w:proofErr w:type="spellStart"/>
            <w:r w:rsidRPr="008F2E48">
              <w:rPr>
                <w:rFonts w:ascii="Arial Narrow" w:hAnsi="Arial Narrow"/>
              </w:rPr>
              <w:t>Aiga</w:t>
            </w:r>
            <w:proofErr w:type="spellEnd"/>
            <w:r w:rsidRPr="008F2E48">
              <w:rPr>
                <w:rFonts w:ascii="Arial Narrow" w:hAnsi="Arial Narrow"/>
              </w:rPr>
              <w:t xml:space="preserve"> </w:t>
            </w:r>
            <w:proofErr w:type="spellStart"/>
            <w:r w:rsidRPr="0069779E">
              <w:rPr>
                <w:rFonts w:ascii="Arial Narrow" w:hAnsi="Arial Narrow"/>
              </w:rPr>
              <w:t>Kāla</w:t>
            </w:r>
            <w:proofErr w:type="spellEnd"/>
            <w:r w:rsidRPr="008F2E48">
              <w:rPr>
                <w:rFonts w:ascii="Arial Narrow" w:hAnsi="Arial Narrow"/>
              </w:rPr>
              <w:t>, Key Expert 2 – Air Quality Assessment and Management</w:t>
            </w:r>
          </w:p>
        </w:tc>
      </w:tr>
    </w:tbl>
    <w:p w:rsidR="00864B74" w:rsidRPr="001346FF" w:rsidRDefault="008B0BCA" w:rsidP="00813956">
      <w:pPr>
        <w:pStyle w:val="TitlenotinTOC"/>
        <w:tabs>
          <w:tab w:val="right" w:pos="9354"/>
        </w:tabs>
        <w:spacing w:after="360"/>
        <w:rPr>
          <w:rFonts w:cs="Arial"/>
          <w:sz w:val="20"/>
        </w:rPr>
      </w:pPr>
      <w:r w:rsidRPr="001346FF">
        <w:rPr>
          <w:rFonts w:cs="Arial"/>
          <w:sz w:val="20"/>
        </w:rPr>
        <w:lastRenderedPageBreak/>
        <w:t>Summary</w:t>
      </w:r>
      <w:r w:rsidR="00813956" w:rsidRPr="001346FF">
        <w:rPr>
          <w:rFonts w:cs="Arial"/>
          <w:sz w:val="20"/>
        </w:rPr>
        <w:tab/>
      </w:r>
    </w:p>
    <w:p w:rsidR="008B0BCA" w:rsidRPr="001346FF" w:rsidRDefault="008B0BCA" w:rsidP="008B0BCA">
      <w:pPr>
        <w:tabs>
          <w:tab w:val="left" w:pos="1843"/>
        </w:tabs>
        <w:ind w:left="1843" w:hanging="1843"/>
        <w:jc w:val="left"/>
        <w:rPr>
          <w:rStyle w:val="TableHeadingChar"/>
          <w:rFonts w:ascii="Arial" w:hAnsi="Arial"/>
        </w:rPr>
      </w:pPr>
      <w:r w:rsidRPr="001346FF">
        <w:rPr>
          <w:rStyle w:val="TableHeadingChar"/>
          <w:rFonts w:ascii="Arial" w:hAnsi="Arial" w:cs="Arial"/>
          <w:sz w:val="20"/>
        </w:rPr>
        <w:t>Project Title:</w:t>
      </w:r>
      <w:r w:rsidR="008973A9" w:rsidRPr="001346FF">
        <w:rPr>
          <w:rFonts w:cs="Arial"/>
          <w:sz w:val="20"/>
        </w:rPr>
        <w:tab/>
      </w:r>
      <w:r w:rsidR="008D1D67" w:rsidRPr="008D1D67">
        <w:rPr>
          <w:rStyle w:val="TableHeadingChar"/>
          <w:rFonts w:ascii="Arial" w:hAnsi="Arial"/>
          <w:sz w:val="20"/>
        </w:rPr>
        <w:t>Air Quality Governance in the ENPI East Countries</w:t>
      </w:r>
    </w:p>
    <w:p w:rsidR="008B0BCA" w:rsidRPr="001346FF" w:rsidRDefault="00445C35" w:rsidP="008B0BCA">
      <w:pPr>
        <w:tabs>
          <w:tab w:val="left" w:pos="1843"/>
        </w:tabs>
        <w:ind w:left="1843" w:hanging="1843"/>
        <w:jc w:val="left"/>
        <w:rPr>
          <w:rStyle w:val="TableHeadingChar"/>
          <w:rFonts w:ascii="Arial" w:hAnsi="Arial"/>
        </w:rPr>
      </w:pPr>
      <w:r w:rsidRPr="001346FF">
        <w:rPr>
          <w:rStyle w:val="TableHeadingChar"/>
          <w:rFonts w:ascii="Arial" w:hAnsi="Arial" w:cs="Arial"/>
          <w:sz w:val="20"/>
        </w:rPr>
        <w:t>Contract</w:t>
      </w:r>
      <w:r w:rsidR="008B0BCA" w:rsidRPr="001346FF">
        <w:rPr>
          <w:rStyle w:val="TableHeadingChar"/>
          <w:rFonts w:ascii="Arial" w:hAnsi="Arial" w:cs="Arial"/>
          <w:sz w:val="20"/>
        </w:rPr>
        <w:t xml:space="preserve"> Number:</w:t>
      </w:r>
      <w:r w:rsidR="008B0BCA" w:rsidRPr="001346FF">
        <w:rPr>
          <w:rStyle w:val="TableHeadingChar"/>
          <w:rFonts w:ascii="Arial" w:hAnsi="Arial"/>
        </w:rPr>
        <w:tab/>
      </w:r>
      <w:r w:rsidR="005C0E3C" w:rsidRPr="005C0E3C">
        <w:rPr>
          <w:rStyle w:val="TableHeadingChar"/>
          <w:rFonts w:ascii="Arial" w:hAnsi="Arial"/>
          <w:sz w:val="20"/>
        </w:rPr>
        <w:t>2010/232-231</w:t>
      </w:r>
    </w:p>
    <w:p w:rsidR="008B0BCA" w:rsidRPr="001346FF" w:rsidRDefault="008B0BCA" w:rsidP="00F27755">
      <w:pPr>
        <w:tabs>
          <w:tab w:val="left" w:pos="1843"/>
        </w:tabs>
        <w:ind w:left="1843" w:hanging="1843"/>
        <w:jc w:val="left"/>
        <w:rPr>
          <w:rStyle w:val="TableHeadingChar"/>
          <w:rFonts w:ascii="Arial" w:hAnsi="Arial"/>
        </w:rPr>
      </w:pPr>
      <w:r w:rsidRPr="001346FF">
        <w:rPr>
          <w:rStyle w:val="TableHeadingChar"/>
          <w:rFonts w:ascii="Arial" w:hAnsi="Arial" w:cs="Arial"/>
          <w:sz w:val="20"/>
        </w:rPr>
        <w:t>Countr</w:t>
      </w:r>
      <w:r w:rsidR="00815A47" w:rsidRPr="001346FF">
        <w:rPr>
          <w:rStyle w:val="TableHeadingChar"/>
          <w:rFonts w:ascii="Arial" w:hAnsi="Arial" w:cs="Arial"/>
          <w:sz w:val="20"/>
        </w:rPr>
        <w:t>y</w:t>
      </w:r>
      <w:r w:rsidRPr="001346FF">
        <w:rPr>
          <w:rStyle w:val="TableHeadingChar"/>
          <w:rFonts w:ascii="Arial" w:hAnsi="Arial" w:cs="Arial"/>
          <w:sz w:val="20"/>
        </w:rPr>
        <w:t>:</w:t>
      </w:r>
      <w:r w:rsidRPr="001346FF">
        <w:rPr>
          <w:rStyle w:val="TableHeadingChar"/>
          <w:rFonts w:ascii="Arial" w:hAnsi="Arial"/>
        </w:rPr>
        <w:tab/>
      </w:r>
      <w:r w:rsidR="00815A47" w:rsidRPr="001346FF">
        <w:rPr>
          <w:rStyle w:val="TableHeadingChar"/>
          <w:rFonts w:ascii="Arial" w:hAnsi="Arial"/>
          <w:sz w:val="20"/>
        </w:rPr>
        <w:t>Armenia, Azerbaijan, Belarus, Georgia, Moldova, Russian federation, Ukraine</w:t>
      </w:r>
    </w:p>
    <w:p w:rsidR="008B0BCA" w:rsidRPr="001346FF" w:rsidRDefault="00CD66D6" w:rsidP="00E03498">
      <w:pPr>
        <w:pBdr>
          <w:top w:val="single" w:sz="4" w:space="11" w:color="000080"/>
        </w:pBdr>
        <w:tabs>
          <w:tab w:val="left" w:pos="1843"/>
        </w:tabs>
        <w:ind w:left="1843" w:hanging="1843"/>
        <w:jc w:val="left"/>
        <w:rPr>
          <w:rStyle w:val="TableHeadingChar"/>
          <w:rFonts w:ascii="Arial" w:hAnsi="Arial" w:cs="Arial"/>
          <w:b/>
          <w:sz w:val="20"/>
        </w:rPr>
      </w:pPr>
      <w:r>
        <w:rPr>
          <w:rStyle w:val="TableHeadingChar"/>
          <w:rFonts w:ascii="Arial" w:hAnsi="Arial" w:cs="Arial"/>
          <w:b/>
          <w:sz w:val="20"/>
        </w:rPr>
        <w:t>Lead Contractor</w:t>
      </w:r>
    </w:p>
    <w:p w:rsidR="008B0BCA" w:rsidRPr="001346FF" w:rsidRDefault="008B0BCA" w:rsidP="00CD66D6">
      <w:pPr>
        <w:tabs>
          <w:tab w:val="left" w:pos="1843"/>
        </w:tabs>
        <w:ind w:left="1843" w:hanging="1843"/>
        <w:jc w:val="left"/>
        <w:rPr>
          <w:rFonts w:cs="Arial"/>
          <w:sz w:val="18"/>
        </w:rPr>
      </w:pPr>
      <w:r w:rsidRPr="001346FF">
        <w:rPr>
          <w:rStyle w:val="TableHeadingChar"/>
          <w:rFonts w:ascii="Arial" w:hAnsi="Arial" w:cs="Arial"/>
          <w:sz w:val="20"/>
        </w:rPr>
        <w:t>Name</w:t>
      </w:r>
      <w:r w:rsidRPr="001346FF">
        <w:rPr>
          <w:rFonts w:cs="Arial"/>
          <w:sz w:val="20"/>
        </w:rPr>
        <w:tab/>
      </w:r>
      <w:r w:rsidR="00CD66D6">
        <w:rPr>
          <w:rStyle w:val="TableHeadingChar"/>
          <w:rFonts w:ascii="Arial" w:hAnsi="Arial"/>
          <w:sz w:val="20"/>
        </w:rPr>
        <w:t>MWH</w:t>
      </w:r>
    </w:p>
    <w:p w:rsidR="00CD66D6" w:rsidRDefault="008B0BCA" w:rsidP="00CD66D6">
      <w:pPr>
        <w:tabs>
          <w:tab w:val="left" w:pos="1843"/>
        </w:tabs>
        <w:spacing w:before="0"/>
        <w:ind w:left="1843" w:hanging="1843"/>
        <w:jc w:val="left"/>
        <w:rPr>
          <w:rStyle w:val="TableHeadingChar"/>
          <w:rFonts w:ascii="Arial" w:hAnsi="Arial" w:cs="Arial"/>
          <w:sz w:val="20"/>
        </w:rPr>
      </w:pPr>
      <w:r w:rsidRPr="001346FF">
        <w:rPr>
          <w:rStyle w:val="TableHeadingChar"/>
          <w:rFonts w:ascii="Arial" w:hAnsi="Arial" w:cs="Arial"/>
          <w:sz w:val="20"/>
        </w:rPr>
        <w:t>Address</w:t>
      </w:r>
      <w:r w:rsidR="008973A9" w:rsidRPr="001346FF">
        <w:rPr>
          <w:rStyle w:val="TableHeadingChar"/>
          <w:rFonts w:ascii="Arial" w:hAnsi="Arial" w:cs="Arial"/>
          <w:sz w:val="20"/>
        </w:rPr>
        <w:tab/>
      </w:r>
      <w:proofErr w:type="spellStart"/>
      <w:r w:rsidR="00CD66D6">
        <w:rPr>
          <w:rStyle w:val="TableHeadingChar"/>
          <w:rFonts w:ascii="Arial" w:hAnsi="Arial" w:cs="Arial"/>
          <w:sz w:val="20"/>
        </w:rPr>
        <w:t>Nysdam</w:t>
      </w:r>
      <w:proofErr w:type="spellEnd"/>
      <w:r w:rsidR="00CD66D6">
        <w:rPr>
          <w:rStyle w:val="TableHeadingChar"/>
          <w:rFonts w:ascii="Arial" w:hAnsi="Arial" w:cs="Arial"/>
          <w:sz w:val="20"/>
        </w:rPr>
        <w:t xml:space="preserve"> Office Park</w:t>
      </w:r>
    </w:p>
    <w:p w:rsidR="00CD66D6" w:rsidRDefault="00CD66D6" w:rsidP="00CD66D6">
      <w:pPr>
        <w:tabs>
          <w:tab w:val="left" w:pos="1843"/>
        </w:tabs>
        <w:spacing w:before="0"/>
        <w:ind w:left="1843"/>
        <w:jc w:val="left"/>
        <w:rPr>
          <w:rStyle w:val="TableHeadingChar"/>
          <w:rFonts w:ascii="Arial" w:hAnsi="Arial" w:cs="Arial"/>
          <w:sz w:val="20"/>
        </w:rPr>
      </w:pPr>
      <w:r>
        <w:rPr>
          <w:rStyle w:val="TableHeadingChar"/>
          <w:rFonts w:ascii="Arial" w:hAnsi="Arial" w:cs="Arial"/>
          <w:sz w:val="20"/>
        </w:rPr>
        <w:t xml:space="preserve">Avenue </w:t>
      </w:r>
      <w:proofErr w:type="spellStart"/>
      <w:r>
        <w:rPr>
          <w:rStyle w:val="TableHeadingChar"/>
          <w:rFonts w:ascii="Arial" w:hAnsi="Arial" w:cs="Arial"/>
          <w:sz w:val="20"/>
        </w:rPr>
        <w:t>Reine</w:t>
      </w:r>
      <w:proofErr w:type="spellEnd"/>
      <w:r>
        <w:rPr>
          <w:rStyle w:val="TableHeadingChar"/>
          <w:rFonts w:ascii="Arial" w:hAnsi="Arial" w:cs="Arial"/>
          <w:sz w:val="20"/>
        </w:rPr>
        <w:t xml:space="preserve"> Astrid, 92</w:t>
      </w:r>
    </w:p>
    <w:p w:rsidR="00CD66D6" w:rsidRDefault="00CD66D6" w:rsidP="00CD66D6">
      <w:pPr>
        <w:tabs>
          <w:tab w:val="left" w:pos="1843"/>
        </w:tabs>
        <w:spacing w:before="0"/>
        <w:ind w:left="1843"/>
        <w:jc w:val="left"/>
        <w:rPr>
          <w:rStyle w:val="TableHeadingChar"/>
          <w:rFonts w:ascii="Arial" w:hAnsi="Arial" w:cs="Arial"/>
          <w:sz w:val="20"/>
        </w:rPr>
      </w:pPr>
      <w:r>
        <w:rPr>
          <w:rStyle w:val="TableHeadingChar"/>
          <w:rFonts w:ascii="Arial" w:hAnsi="Arial" w:cs="Arial"/>
          <w:sz w:val="20"/>
        </w:rPr>
        <w:t xml:space="preserve">B-1310 La </w:t>
      </w:r>
      <w:proofErr w:type="spellStart"/>
      <w:r>
        <w:rPr>
          <w:rStyle w:val="TableHeadingChar"/>
          <w:rFonts w:ascii="Arial" w:hAnsi="Arial" w:cs="Arial"/>
          <w:sz w:val="20"/>
        </w:rPr>
        <w:t>Hulpe</w:t>
      </w:r>
      <w:proofErr w:type="spellEnd"/>
    </w:p>
    <w:p w:rsidR="00CD66D6" w:rsidRPr="001346FF" w:rsidRDefault="00CD66D6" w:rsidP="00CD66D6">
      <w:pPr>
        <w:tabs>
          <w:tab w:val="left" w:pos="1843"/>
        </w:tabs>
        <w:spacing w:before="0"/>
        <w:ind w:left="1843"/>
        <w:jc w:val="left"/>
        <w:rPr>
          <w:rStyle w:val="TableHeadingChar"/>
          <w:rFonts w:ascii="Arial" w:hAnsi="Arial" w:cs="Arial"/>
          <w:sz w:val="20"/>
        </w:rPr>
      </w:pPr>
      <w:r>
        <w:rPr>
          <w:rStyle w:val="TableHeadingChar"/>
          <w:rFonts w:ascii="Arial" w:hAnsi="Arial" w:cs="Arial"/>
          <w:sz w:val="20"/>
        </w:rPr>
        <w:t>Belgium</w:t>
      </w:r>
    </w:p>
    <w:p w:rsidR="008B0BCA" w:rsidRDefault="008B0BCA" w:rsidP="00CD66D6">
      <w:pPr>
        <w:tabs>
          <w:tab w:val="left" w:pos="1843"/>
        </w:tabs>
        <w:ind w:left="1843" w:hanging="1843"/>
        <w:jc w:val="left"/>
        <w:rPr>
          <w:rStyle w:val="TableHeadingChar"/>
          <w:rFonts w:ascii="Arial" w:hAnsi="Arial"/>
          <w:sz w:val="20"/>
        </w:rPr>
      </w:pPr>
      <w:r w:rsidRPr="001346FF">
        <w:rPr>
          <w:rStyle w:val="TableHeadingChar"/>
          <w:rFonts w:ascii="Arial" w:hAnsi="Arial" w:cs="Arial"/>
          <w:sz w:val="20"/>
        </w:rPr>
        <w:t>Tel. number</w:t>
      </w:r>
      <w:r w:rsidR="008973A9" w:rsidRPr="001346FF">
        <w:rPr>
          <w:rFonts w:cs="Arial"/>
          <w:sz w:val="20"/>
        </w:rPr>
        <w:tab/>
      </w:r>
      <w:r w:rsidR="00815A47" w:rsidRPr="001346FF">
        <w:rPr>
          <w:rStyle w:val="TableHeadingChar"/>
          <w:rFonts w:ascii="Arial" w:hAnsi="Arial"/>
          <w:sz w:val="20"/>
        </w:rPr>
        <w:t>+</w:t>
      </w:r>
      <w:r w:rsidR="00CD66D6">
        <w:rPr>
          <w:rStyle w:val="TableHeadingChar"/>
          <w:rFonts w:ascii="Arial" w:hAnsi="Arial"/>
          <w:sz w:val="20"/>
        </w:rPr>
        <w:t>32 2 6552230</w:t>
      </w:r>
    </w:p>
    <w:p w:rsidR="00CD66D6" w:rsidRPr="00CD66D6" w:rsidRDefault="00CD66D6" w:rsidP="00CD66D6">
      <w:pPr>
        <w:tabs>
          <w:tab w:val="left" w:pos="1843"/>
        </w:tabs>
        <w:ind w:left="1843" w:hanging="1843"/>
        <w:jc w:val="left"/>
        <w:rPr>
          <w:rFonts w:cs="Arial"/>
          <w:smallCaps/>
          <w:color w:val="000080"/>
          <w:sz w:val="20"/>
        </w:rPr>
      </w:pPr>
      <w:r>
        <w:rPr>
          <w:rFonts w:cs="Arial"/>
          <w:smallCaps/>
          <w:color w:val="000080"/>
          <w:sz w:val="20"/>
        </w:rPr>
        <w:t>Fax number                 +32 2 6552280</w:t>
      </w:r>
    </w:p>
    <w:p w:rsidR="008B0BCA" w:rsidRPr="001346FF" w:rsidRDefault="008B0BCA" w:rsidP="00CD66D6">
      <w:pPr>
        <w:tabs>
          <w:tab w:val="left" w:pos="1843"/>
        </w:tabs>
        <w:ind w:left="1843" w:hanging="1843"/>
        <w:jc w:val="left"/>
        <w:rPr>
          <w:rFonts w:cs="Arial"/>
          <w:sz w:val="20"/>
        </w:rPr>
      </w:pPr>
      <w:r w:rsidRPr="001346FF">
        <w:rPr>
          <w:rStyle w:val="TableHeadingChar"/>
          <w:rFonts w:ascii="Arial" w:hAnsi="Arial" w:cs="Arial"/>
          <w:sz w:val="20"/>
        </w:rPr>
        <w:t>Contact person</w:t>
      </w:r>
      <w:r w:rsidR="008973A9" w:rsidRPr="001346FF">
        <w:rPr>
          <w:rFonts w:cs="Arial"/>
          <w:sz w:val="20"/>
        </w:rPr>
        <w:tab/>
      </w:r>
      <w:proofErr w:type="spellStart"/>
      <w:r w:rsidR="008F2E48" w:rsidRPr="00866A85">
        <w:rPr>
          <w:rStyle w:val="TableHeadingChar"/>
          <w:rFonts w:ascii="Arial" w:hAnsi="Arial" w:cs="Arial"/>
          <w:sz w:val="20"/>
        </w:rPr>
        <w:t>Aïda</w:t>
      </w:r>
      <w:proofErr w:type="spellEnd"/>
      <w:r w:rsidR="008F2E48" w:rsidRPr="00866A85">
        <w:rPr>
          <w:rStyle w:val="TableHeadingChar"/>
          <w:rFonts w:ascii="Arial" w:hAnsi="Arial" w:cs="Arial"/>
          <w:sz w:val="20"/>
        </w:rPr>
        <w:t xml:space="preserve"> </w:t>
      </w:r>
      <w:proofErr w:type="spellStart"/>
      <w:r w:rsidR="008F2E48" w:rsidRPr="00866A85">
        <w:rPr>
          <w:rStyle w:val="TableHeadingChar"/>
          <w:rFonts w:ascii="Arial" w:hAnsi="Arial" w:cs="Arial"/>
          <w:sz w:val="20"/>
        </w:rPr>
        <w:t>Yassine</w:t>
      </w:r>
      <w:proofErr w:type="spellEnd"/>
      <w:r w:rsidR="008F2E48" w:rsidRPr="00866A85">
        <w:rPr>
          <w:rStyle w:val="TableHeadingChar"/>
          <w:rFonts w:ascii="Arial" w:hAnsi="Arial" w:cs="Arial"/>
          <w:sz w:val="20"/>
        </w:rPr>
        <w:t>, Project Manager</w:t>
      </w:r>
    </w:p>
    <w:p w:rsidR="008B0BCA" w:rsidRPr="001346FF" w:rsidRDefault="008B0BCA" w:rsidP="00E03498">
      <w:pPr>
        <w:pBdr>
          <w:top w:val="single" w:sz="4" w:space="11" w:color="000080"/>
        </w:pBdr>
        <w:tabs>
          <w:tab w:val="left" w:pos="1843"/>
        </w:tabs>
        <w:ind w:left="1843" w:hanging="1843"/>
        <w:jc w:val="left"/>
        <w:rPr>
          <w:rStyle w:val="TableHeadingChar"/>
          <w:rFonts w:ascii="Arial" w:hAnsi="Arial" w:cs="Arial"/>
          <w:b/>
          <w:bCs/>
          <w:sz w:val="20"/>
        </w:rPr>
      </w:pPr>
      <w:r w:rsidRPr="001346FF">
        <w:rPr>
          <w:rStyle w:val="TableHeadingChar"/>
          <w:rFonts w:ascii="Arial" w:hAnsi="Arial" w:cs="Arial"/>
          <w:b/>
          <w:bCs/>
          <w:sz w:val="20"/>
        </w:rPr>
        <w:t>Signature</w:t>
      </w:r>
    </w:p>
    <w:p w:rsidR="00AE42EC" w:rsidRPr="001346FF" w:rsidRDefault="00AE42EC" w:rsidP="00E03498">
      <w:pPr>
        <w:pBdr>
          <w:top w:val="single" w:sz="4" w:space="11" w:color="000080"/>
        </w:pBdr>
        <w:tabs>
          <w:tab w:val="left" w:pos="1843"/>
        </w:tabs>
        <w:ind w:left="1843" w:hanging="1843"/>
        <w:jc w:val="left"/>
        <w:rPr>
          <w:rStyle w:val="TableHeadingChar"/>
          <w:rFonts w:ascii="Arial" w:hAnsi="Arial" w:cs="Arial"/>
          <w:b/>
          <w:bCs/>
          <w:sz w:val="20"/>
        </w:rPr>
      </w:pPr>
    </w:p>
    <w:p w:rsidR="008B0BCA" w:rsidRPr="001346FF" w:rsidRDefault="008B0BCA" w:rsidP="008B0BCA">
      <w:pPr>
        <w:tabs>
          <w:tab w:val="left" w:pos="1843"/>
        </w:tabs>
        <w:ind w:left="1843" w:hanging="1843"/>
        <w:jc w:val="left"/>
        <w:rPr>
          <w:rFonts w:cs="Arial"/>
          <w:sz w:val="20"/>
        </w:rPr>
      </w:pPr>
      <w:r w:rsidRPr="001346FF">
        <w:rPr>
          <w:rStyle w:val="TableHeadingChar"/>
          <w:rFonts w:ascii="Arial" w:hAnsi="Arial" w:cs="Arial"/>
          <w:sz w:val="20"/>
        </w:rPr>
        <w:t>Date of report:</w:t>
      </w:r>
      <w:r w:rsidRPr="001346FF">
        <w:rPr>
          <w:rFonts w:cs="Arial"/>
          <w:sz w:val="20"/>
        </w:rPr>
        <w:tab/>
      </w:r>
      <w:r w:rsidR="00D924A4" w:rsidRPr="001346FF">
        <w:rPr>
          <w:rFonts w:cs="Arial"/>
          <w:sz w:val="20"/>
        </w:rPr>
        <w:tab/>
      </w:r>
      <w:r w:rsidR="001E2306">
        <w:rPr>
          <w:rStyle w:val="TableHeadingChar"/>
          <w:rFonts w:ascii="Arial" w:hAnsi="Arial"/>
          <w:sz w:val="20"/>
        </w:rPr>
        <w:t>11</w:t>
      </w:r>
      <w:r w:rsidR="008F2E48">
        <w:rPr>
          <w:rStyle w:val="TableHeadingChar"/>
          <w:rFonts w:ascii="Arial" w:hAnsi="Arial"/>
          <w:sz w:val="20"/>
        </w:rPr>
        <w:t xml:space="preserve"> </w:t>
      </w:r>
      <w:r w:rsidR="001E2306">
        <w:rPr>
          <w:rStyle w:val="TableHeadingChar"/>
          <w:rFonts w:ascii="Arial" w:hAnsi="Arial"/>
          <w:smallCaps w:val="0"/>
          <w:sz w:val="20"/>
        </w:rPr>
        <w:t>July</w:t>
      </w:r>
      <w:r w:rsidR="008F2E48">
        <w:rPr>
          <w:rStyle w:val="TableHeadingChar"/>
          <w:rFonts w:ascii="Arial" w:hAnsi="Arial"/>
          <w:sz w:val="20"/>
        </w:rPr>
        <w:t xml:space="preserve"> 2014</w:t>
      </w:r>
    </w:p>
    <w:p w:rsidR="00566D4C" w:rsidRPr="001F12F0" w:rsidRDefault="001F12F0" w:rsidP="008F2E48">
      <w:pPr>
        <w:rPr>
          <w:rStyle w:val="TableHeadingChar"/>
          <w:rFonts w:ascii="Arial" w:hAnsi="Arial" w:cs="Arial"/>
          <w:sz w:val="20"/>
        </w:rPr>
      </w:pPr>
      <w:r>
        <w:rPr>
          <w:rStyle w:val="TableHeadingChar"/>
          <w:rFonts w:ascii="Arial" w:hAnsi="Arial" w:cs="Arial"/>
          <w:sz w:val="20"/>
        </w:rPr>
        <w:t>R</w:t>
      </w:r>
      <w:r w:rsidRPr="001F12F0">
        <w:rPr>
          <w:rStyle w:val="TableHeadingChar"/>
          <w:rFonts w:ascii="Arial" w:hAnsi="Arial" w:cs="Arial"/>
          <w:sz w:val="20"/>
        </w:rPr>
        <w:t xml:space="preserve">eport was developed by CENN - Caucasus </w:t>
      </w:r>
      <w:r>
        <w:rPr>
          <w:rStyle w:val="TableHeadingChar"/>
          <w:rFonts w:ascii="Arial" w:hAnsi="Arial" w:cs="Arial"/>
          <w:sz w:val="20"/>
        </w:rPr>
        <w:t>E</w:t>
      </w:r>
      <w:r w:rsidRPr="001F12F0">
        <w:rPr>
          <w:rStyle w:val="TableHeadingChar"/>
          <w:rFonts w:ascii="Arial" w:hAnsi="Arial" w:cs="Arial"/>
          <w:sz w:val="20"/>
        </w:rPr>
        <w:t xml:space="preserve">nvironmental NGO </w:t>
      </w:r>
      <w:r>
        <w:rPr>
          <w:rStyle w:val="TableHeadingChar"/>
          <w:rFonts w:ascii="Arial" w:hAnsi="Arial" w:cs="Arial"/>
          <w:sz w:val="20"/>
        </w:rPr>
        <w:t>N</w:t>
      </w:r>
      <w:r w:rsidRPr="001F12F0">
        <w:rPr>
          <w:rStyle w:val="TableHeadingChar"/>
          <w:rFonts w:ascii="Arial" w:hAnsi="Arial" w:cs="Arial"/>
          <w:sz w:val="20"/>
        </w:rPr>
        <w:t>etwork</w:t>
      </w:r>
    </w:p>
    <w:p w:rsidR="00230D7F" w:rsidRPr="001F12F0" w:rsidRDefault="00875073" w:rsidP="00F347A2">
      <w:pPr>
        <w:tabs>
          <w:tab w:val="left" w:pos="1843"/>
          <w:tab w:val="right" w:leader="dot" w:pos="4820"/>
          <w:tab w:val="left" w:pos="5103"/>
          <w:tab w:val="right" w:leader="dot" w:pos="7371"/>
          <w:tab w:val="left" w:pos="7655"/>
          <w:tab w:val="right" w:leader="dot" w:pos="9356"/>
        </w:tabs>
        <w:spacing w:before="360"/>
        <w:ind w:left="1843" w:hanging="1843"/>
        <w:jc w:val="left"/>
        <w:rPr>
          <w:rStyle w:val="TableHeadingChar"/>
          <w:rFonts w:ascii="Arial" w:hAnsi="Arial"/>
        </w:rPr>
      </w:pPr>
      <w:r w:rsidRPr="001346FF">
        <w:rPr>
          <w:rStyle w:val="TableHeadingChar"/>
          <w:rFonts w:ascii="Arial" w:hAnsi="Arial" w:cs="Arial"/>
          <w:sz w:val="20"/>
        </w:rPr>
        <w:t>NAME OF K</w:t>
      </w:r>
      <w:r w:rsidR="00AE42EC" w:rsidRPr="001346FF">
        <w:rPr>
          <w:rStyle w:val="TableHeadingChar"/>
          <w:rFonts w:ascii="Arial" w:hAnsi="Arial" w:cs="Arial"/>
          <w:sz w:val="20"/>
        </w:rPr>
        <w:t>E Expert</w:t>
      </w:r>
      <w:r w:rsidR="008F2E48">
        <w:rPr>
          <w:rStyle w:val="TableHeadingChar"/>
          <w:rFonts w:ascii="Arial" w:hAnsi="Arial" w:cs="Arial"/>
          <w:sz w:val="20"/>
        </w:rPr>
        <w:t>:</w:t>
      </w:r>
      <w:r w:rsidRPr="001346FF">
        <w:rPr>
          <w:rStyle w:val="TableHeadingChar"/>
          <w:rFonts w:ascii="Arial" w:hAnsi="Arial" w:cs="Arial"/>
          <w:sz w:val="20"/>
        </w:rPr>
        <w:t xml:space="preserve">     </w:t>
      </w:r>
      <w:r w:rsidRPr="008F2E48">
        <w:rPr>
          <w:rStyle w:val="TableHeadingChar"/>
          <w:rFonts w:ascii="Arial" w:hAnsi="Arial" w:cs="Arial"/>
          <w:smallCaps w:val="0"/>
          <w:sz w:val="20"/>
        </w:rPr>
        <w:t xml:space="preserve"> </w:t>
      </w:r>
      <w:proofErr w:type="spellStart"/>
      <w:r w:rsidR="005C0E3C" w:rsidRPr="001F12F0">
        <w:rPr>
          <w:rStyle w:val="TableHeadingChar"/>
          <w:rFonts w:ascii="Arial" w:hAnsi="Arial" w:cs="Arial"/>
          <w:sz w:val="20"/>
        </w:rPr>
        <w:t>Aiga</w:t>
      </w:r>
      <w:proofErr w:type="spellEnd"/>
      <w:r w:rsidR="005C0E3C" w:rsidRPr="001F12F0">
        <w:rPr>
          <w:rStyle w:val="TableHeadingChar"/>
          <w:rFonts w:ascii="Arial" w:hAnsi="Arial" w:cs="Arial"/>
          <w:sz w:val="20"/>
        </w:rPr>
        <w:t xml:space="preserve"> </w:t>
      </w:r>
      <w:proofErr w:type="spellStart"/>
      <w:r w:rsidR="005C0E3C" w:rsidRPr="001F12F0">
        <w:rPr>
          <w:rStyle w:val="TableHeadingChar"/>
          <w:rFonts w:ascii="Arial" w:hAnsi="Arial" w:cs="Arial"/>
          <w:sz w:val="20"/>
        </w:rPr>
        <w:t>Kāla</w:t>
      </w:r>
      <w:proofErr w:type="spellEnd"/>
      <w:r w:rsidR="008F2E48" w:rsidRPr="001F12F0">
        <w:rPr>
          <w:rStyle w:val="TableHeadingChar"/>
          <w:rFonts w:ascii="Arial" w:hAnsi="Arial" w:cs="Arial"/>
          <w:sz w:val="20"/>
        </w:rPr>
        <w:t>, Key Expert 2 – Air Quality Assessment and Management</w:t>
      </w:r>
    </w:p>
    <w:p w:rsidR="00951EFA" w:rsidRPr="001F12F0" w:rsidRDefault="00951EFA" w:rsidP="0076294B">
      <w:pPr>
        <w:rPr>
          <w:rStyle w:val="TableHeadingChar"/>
          <w:rFonts w:ascii="Arial" w:hAnsi="Arial"/>
        </w:rPr>
      </w:pPr>
    </w:p>
    <w:p w:rsidR="001E2306" w:rsidRPr="001E2306" w:rsidRDefault="001E2306" w:rsidP="004E28FB">
      <w:pPr>
        <w:pStyle w:val="TOCHeading"/>
        <w:sectPr w:rsidR="001E2306" w:rsidRPr="001E2306" w:rsidSect="001E2306">
          <w:headerReference w:type="first" r:id="rId15"/>
          <w:footerReference w:type="first" r:id="rId16"/>
          <w:pgSz w:w="11906" w:h="16838"/>
          <w:pgMar w:top="1134" w:right="1134" w:bottom="1191" w:left="1701" w:header="709" w:footer="709" w:gutter="0"/>
          <w:cols w:space="708"/>
          <w:docGrid w:linePitch="360"/>
        </w:sectPr>
      </w:pPr>
    </w:p>
    <w:sdt>
      <w:sdtPr>
        <w:rPr>
          <w:rFonts w:ascii="Arial" w:eastAsiaTheme="minorHAnsi" w:hAnsi="Arial" w:cstheme="minorBidi"/>
          <w:b w:val="0"/>
          <w:bCs w:val="0"/>
          <w:caps/>
          <w:color w:val="auto"/>
          <w:sz w:val="22"/>
          <w:szCs w:val="22"/>
          <w:lang w:val="en-GB"/>
        </w:rPr>
        <w:id w:val="60401797"/>
        <w:docPartObj>
          <w:docPartGallery w:val="Table of Contents"/>
          <w:docPartUnique/>
        </w:docPartObj>
      </w:sdtPr>
      <w:sdtEndPr>
        <w:rPr>
          <w:rFonts w:eastAsia="Times New Roman" w:cs="Times New Roman"/>
          <w:caps w:val="0"/>
          <w:sz w:val="20"/>
          <w:szCs w:val="20"/>
        </w:rPr>
      </w:sdtEndPr>
      <w:sdtContent>
        <w:p w:rsidR="004E28FB" w:rsidRPr="005101F7" w:rsidRDefault="004E28FB" w:rsidP="004E28FB">
          <w:pPr>
            <w:pStyle w:val="TOCHeading"/>
            <w:rPr>
              <w:rStyle w:val="Heading1Char"/>
              <w:rFonts w:cs="Arial"/>
              <w:b/>
              <w:sz w:val="21"/>
              <w:szCs w:val="21"/>
            </w:rPr>
          </w:pPr>
          <w:r w:rsidRPr="005101F7">
            <w:rPr>
              <w:rStyle w:val="Heading1Char"/>
              <w:rFonts w:cs="Arial"/>
              <w:b/>
              <w:sz w:val="21"/>
              <w:szCs w:val="21"/>
            </w:rPr>
            <w:t>Contents</w:t>
          </w:r>
        </w:p>
        <w:p w:rsidR="005101F7" w:rsidRPr="005101F7" w:rsidRDefault="005101F7">
          <w:pPr>
            <w:pStyle w:val="TOC1"/>
            <w:tabs>
              <w:tab w:val="right" w:leader="dot" w:pos="9395"/>
            </w:tabs>
            <w:rPr>
              <w:rFonts w:eastAsiaTheme="minorEastAsia"/>
              <w:b w:val="0"/>
              <w:noProof/>
              <w:color w:val="auto"/>
              <w:szCs w:val="21"/>
              <w:lang w:eastAsia="en-GB"/>
            </w:rPr>
          </w:pPr>
          <w:r w:rsidRPr="005101F7">
            <w:rPr>
              <w:szCs w:val="21"/>
            </w:rPr>
            <w:fldChar w:fldCharType="begin"/>
          </w:r>
          <w:r w:rsidRPr="005101F7">
            <w:rPr>
              <w:szCs w:val="21"/>
            </w:rPr>
            <w:instrText xml:space="preserve"> TOC \o "1-2" \h \z \u </w:instrText>
          </w:r>
          <w:r w:rsidRPr="005101F7">
            <w:rPr>
              <w:szCs w:val="21"/>
            </w:rPr>
            <w:fldChar w:fldCharType="separate"/>
          </w:r>
          <w:hyperlink w:anchor="_Toc392598867" w:history="1">
            <w:r w:rsidRPr="005101F7">
              <w:rPr>
                <w:rStyle w:val="Hyperlink"/>
                <w:noProof/>
                <w:sz w:val="21"/>
                <w:szCs w:val="21"/>
              </w:rPr>
              <w:t>List of Abbreviations and Acronyms</w:t>
            </w:r>
            <w:r w:rsidRPr="005101F7">
              <w:rPr>
                <w:noProof/>
                <w:webHidden/>
                <w:szCs w:val="21"/>
              </w:rPr>
              <w:tab/>
            </w:r>
            <w:r w:rsidRPr="005101F7">
              <w:rPr>
                <w:noProof/>
                <w:webHidden/>
                <w:szCs w:val="21"/>
              </w:rPr>
              <w:fldChar w:fldCharType="begin"/>
            </w:r>
            <w:r w:rsidRPr="005101F7">
              <w:rPr>
                <w:noProof/>
                <w:webHidden/>
                <w:szCs w:val="21"/>
              </w:rPr>
              <w:instrText xml:space="preserve"> PAGEREF _Toc392598867 \h </w:instrText>
            </w:r>
            <w:r w:rsidRPr="005101F7">
              <w:rPr>
                <w:noProof/>
                <w:webHidden/>
                <w:szCs w:val="21"/>
              </w:rPr>
            </w:r>
            <w:r w:rsidRPr="005101F7">
              <w:rPr>
                <w:noProof/>
                <w:webHidden/>
                <w:szCs w:val="21"/>
              </w:rPr>
              <w:fldChar w:fldCharType="separate"/>
            </w:r>
            <w:r w:rsidRPr="005101F7">
              <w:rPr>
                <w:noProof/>
                <w:webHidden/>
                <w:szCs w:val="21"/>
              </w:rPr>
              <w:t>5</w:t>
            </w:r>
            <w:r w:rsidRPr="005101F7">
              <w:rPr>
                <w:noProof/>
                <w:webHidden/>
                <w:szCs w:val="21"/>
              </w:rPr>
              <w:fldChar w:fldCharType="end"/>
            </w:r>
          </w:hyperlink>
        </w:p>
        <w:p w:rsidR="005101F7" w:rsidRPr="005101F7" w:rsidRDefault="00BF100C">
          <w:pPr>
            <w:pStyle w:val="TOC1"/>
            <w:tabs>
              <w:tab w:val="left" w:pos="420"/>
              <w:tab w:val="right" w:leader="dot" w:pos="9395"/>
            </w:tabs>
            <w:rPr>
              <w:rFonts w:eastAsiaTheme="minorEastAsia"/>
              <w:b w:val="0"/>
              <w:noProof/>
              <w:color w:val="auto"/>
              <w:szCs w:val="21"/>
              <w:lang w:eastAsia="en-GB"/>
            </w:rPr>
          </w:pPr>
          <w:hyperlink w:anchor="_Toc392598868" w:history="1">
            <w:r w:rsidR="005101F7" w:rsidRPr="005101F7">
              <w:rPr>
                <w:rStyle w:val="Hyperlink"/>
                <w:noProof/>
                <w:sz w:val="21"/>
                <w:szCs w:val="21"/>
              </w:rPr>
              <w:t>1.</w:t>
            </w:r>
            <w:r w:rsidR="005101F7" w:rsidRPr="005101F7">
              <w:rPr>
                <w:rFonts w:eastAsiaTheme="minorEastAsia"/>
                <w:b w:val="0"/>
                <w:noProof/>
                <w:color w:val="auto"/>
                <w:szCs w:val="21"/>
                <w:lang w:eastAsia="en-GB"/>
              </w:rPr>
              <w:tab/>
            </w:r>
            <w:r w:rsidR="005101F7" w:rsidRPr="005101F7">
              <w:rPr>
                <w:rStyle w:val="Hyperlink"/>
                <w:noProof/>
                <w:sz w:val="21"/>
                <w:szCs w:val="21"/>
              </w:rPr>
              <w:t>INTRODUCTION</w:t>
            </w:r>
            <w:r w:rsidR="005101F7" w:rsidRPr="005101F7">
              <w:rPr>
                <w:noProof/>
                <w:webHidden/>
                <w:szCs w:val="21"/>
              </w:rPr>
              <w:tab/>
            </w:r>
            <w:r w:rsidR="005101F7" w:rsidRPr="005101F7">
              <w:rPr>
                <w:noProof/>
                <w:webHidden/>
                <w:szCs w:val="21"/>
              </w:rPr>
              <w:fldChar w:fldCharType="begin"/>
            </w:r>
            <w:r w:rsidR="005101F7" w:rsidRPr="005101F7">
              <w:rPr>
                <w:noProof/>
                <w:webHidden/>
                <w:szCs w:val="21"/>
              </w:rPr>
              <w:instrText xml:space="preserve"> PAGEREF _Toc392598868 \h </w:instrText>
            </w:r>
            <w:r w:rsidR="005101F7" w:rsidRPr="005101F7">
              <w:rPr>
                <w:noProof/>
                <w:webHidden/>
                <w:szCs w:val="21"/>
              </w:rPr>
            </w:r>
            <w:r w:rsidR="005101F7" w:rsidRPr="005101F7">
              <w:rPr>
                <w:noProof/>
                <w:webHidden/>
                <w:szCs w:val="21"/>
              </w:rPr>
              <w:fldChar w:fldCharType="separate"/>
            </w:r>
            <w:r w:rsidR="005101F7" w:rsidRPr="005101F7">
              <w:rPr>
                <w:noProof/>
                <w:webHidden/>
                <w:szCs w:val="21"/>
              </w:rPr>
              <w:t>7</w:t>
            </w:r>
            <w:r w:rsidR="005101F7" w:rsidRPr="005101F7">
              <w:rPr>
                <w:noProof/>
                <w:webHidden/>
                <w:szCs w:val="21"/>
              </w:rPr>
              <w:fldChar w:fldCharType="end"/>
            </w:r>
          </w:hyperlink>
        </w:p>
        <w:p w:rsidR="005101F7" w:rsidRPr="005101F7" w:rsidRDefault="00BF100C">
          <w:pPr>
            <w:pStyle w:val="TOC1"/>
            <w:tabs>
              <w:tab w:val="left" w:pos="420"/>
              <w:tab w:val="right" w:leader="dot" w:pos="9395"/>
            </w:tabs>
            <w:rPr>
              <w:rFonts w:eastAsiaTheme="minorEastAsia"/>
              <w:b w:val="0"/>
              <w:noProof/>
              <w:color w:val="auto"/>
              <w:szCs w:val="21"/>
              <w:lang w:eastAsia="en-GB"/>
            </w:rPr>
          </w:pPr>
          <w:hyperlink w:anchor="_Toc392598869" w:history="1">
            <w:r w:rsidR="005101F7" w:rsidRPr="005101F7">
              <w:rPr>
                <w:rStyle w:val="Hyperlink"/>
                <w:noProof/>
                <w:sz w:val="21"/>
                <w:szCs w:val="21"/>
              </w:rPr>
              <w:t>2.</w:t>
            </w:r>
            <w:r w:rsidR="005101F7" w:rsidRPr="005101F7">
              <w:rPr>
                <w:rFonts w:eastAsiaTheme="minorEastAsia"/>
                <w:b w:val="0"/>
                <w:noProof/>
                <w:color w:val="auto"/>
                <w:szCs w:val="21"/>
                <w:lang w:eastAsia="en-GB"/>
              </w:rPr>
              <w:tab/>
            </w:r>
            <w:r w:rsidR="005101F7" w:rsidRPr="005101F7">
              <w:rPr>
                <w:rStyle w:val="Hyperlink"/>
                <w:noProof/>
                <w:sz w:val="21"/>
                <w:szCs w:val="21"/>
              </w:rPr>
              <w:t>Objectives of Air Quality Directives in EU Member States</w:t>
            </w:r>
            <w:r w:rsidR="005101F7" w:rsidRPr="005101F7">
              <w:rPr>
                <w:noProof/>
                <w:webHidden/>
                <w:szCs w:val="21"/>
              </w:rPr>
              <w:tab/>
            </w:r>
            <w:r w:rsidR="005101F7" w:rsidRPr="005101F7">
              <w:rPr>
                <w:noProof/>
                <w:webHidden/>
                <w:szCs w:val="21"/>
              </w:rPr>
              <w:fldChar w:fldCharType="begin"/>
            </w:r>
            <w:r w:rsidR="005101F7" w:rsidRPr="005101F7">
              <w:rPr>
                <w:noProof/>
                <w:webHidden/>
                <w:szCs w:val="21"/>
              </w:rPr>
              <w:instrText xml:space="preserve"> PAGEREF _Toc392598869 \h </w:instrText>
            </w:r>
            <w:r w:rsidR="005101F7" w:rsidRPr="005101F7">
              <w:rPr>
                <w:noProof/>
                <w:webHidden/>
                <w:szCs w:val="21"/>
              </w:rPr>
            </w:r>
            <w:r w:rsidR="005101F7" w:rsidRPr="005101F7">
              <w:rPr>
                <w:noProof/>
                <w:webHidden/>
                <w:szCs w:val="21"/>
              </w:rPr>
              <w:fldChar w:fldCharType="separate"/>
            </w:r>
            <w:r w:rsidR="005101F7" w:rsidRPr="005101F7">
              <w:rPr>
                <w:noProof/>
                <w:webHidden/>
                <w:szCs w:val="21"/>
              </w:rPr>
              <w:t>8</w:t>
            </w:r>
            <w:r w:rsidR="005101F7" w:rsidRPr="005101F7">
              <w:rPr>
                <w:noProof/>
                <w:webHidden/>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70" w:history="1">
            <w:r w:rsidR="005101F7" w:rsidRPr="005101F7">
              <w:rPr>
                <w:rStyle w:val="Hyperlink"/>
                <w:rFonts w:ascii="Arial" w:hAnsi="Arial"/>
                <w:noProof/>
                <w:sz w:val="21"/>
                <w:szCs w:val="21"/>
              </w:rPr>
              <w:t>2.1.</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Exposure to Air Pollution and Health Impacts</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_Toc392598870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8</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71" w:history="1">
            <w:r w:rsidR="005101F7" w:rsidRPr="005101F7">
              <w:rPr>
                <w:rStyle w:val="Hyperlink"/>
                <w:rFonts w:ascii="Arial" w:hAnsi="Arial"/>
                <w:noProof/>
                <w:sz w:val="21"/>
                <w:szCs w:val="21"/>
              </w:rPr>
              <w:t>2.2.</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Main terms within both the Clean Air for Europe  Directive (2008/50/EC) and Fourth  Air Quality Daughter Directive (2004/107/EC)</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_Toc392598871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8</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72" w:history="1">
            <w:r w:rsidR="005101F7" w:rsidRPr="005101F7">
              <w:rPr>
                <w:rStyle w:val="Hyperlink"/>
                <w:rFonts w:ascii="Arial" w:hAnsi="Arial"/>
                <w:noProof/>
                <w:sz w:val="21"/>
                <w:szCs w:val="21"/>
              </w:rPr>
              <w:t>2.3.</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Limit values for protection of human health, vegetation and eco-systems</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_Toc392598872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10</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73" w:history="1">
            <w:r w:rsidR="005101F7" w:rsidRPr="005101F7">
              <w:rPr>
                <w:rStyle w:val="Hyperlink"/>
                <w:rFonts w:ascii="Arial" w:hAnsi="Arial"/>
                <w:noProof/>
                <w:sz w:val="21"/>
                <w:szCs w:val="21"/>
              </w:rPr>
              <w:t>2.4.</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Upper and lower assessment thresholds</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_Toc392598873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13</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74" w:history="1">
            <w:r w:rsidR="005101F7" w:rsidRPr="005101F7">
              <w:rPr>
                <w:rStyle w:val="Hyperlink"/>
                <w:rFonts w:ascii="Arial" w:hAnsi="Arial"/>
                <w:noProof/>
                <w:sz w:val="21"/>
                <w:szCs w:val="21"/>
              </w:rPr>
              <w:t>2.5.</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Establishment of zones and agglomerations for monitoring and assessment of the air quality</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_Toc392598874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13</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75" w:history="1">
            <w:r w:rsidR="005101F7" w:rsidRPr="005101F7">
              <w:rPr>
                <w:rStyle w:val="Hyperlink"/>
                <w:rFonts w:ascii="Arial" w:hAnsi="Arial"/>
                <w:noProof/>
                <w:sz w:val="21"/>
                <w:szCs w:val="21"/>
              </w:rPr>
              <w:t>2.6.</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Criteria for classifying sampling points for assessments of air quality</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_Toc392598875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14</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76" w:history="1">
            <w:r w:rsidR="005101F7" w:rsidRPr="005101F7">
              <w:rPr>
                <w:rStyle w:val="Hyperlink"/>
                <w:rFonts w:ascii="Arial" w:hAnsi="Arial"/>
                <w:noProof/>
                <w:sz w:val="21"/>
                <w:szCs w:val="21"/>
              </w:rPr>
              <w:t>2.7.</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Macro-scale siting of sampling points</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_Toc392598876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15</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77" w:history="1">
            <w:r w:rsidR="005101F7" w:rsidRPr="005101F7">
              <w:rPr>
                <w:rStyle w:val="Hyperlink"/>
                <w:rFonts w:ascii="Arial" w:hAnsi="Arial"/>
                <w:noProof/>
                <w:sz w:val="21"/>
                <w:szCs w:val="21"/>
              </w:rPr>
              <w:t>2.8.</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Micro-scale siting of sampling points</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_Toc392598877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17</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78" w:history="1">
            <w:r w:rsidR="005101F7" w:rsidRPr="005101F7">
              <w:rPr>
                <w:rStyle w:val="Hyperlink"/>
                <w:rFonts w:ascii="Arial" w:hAnsi="Arial"/>
                <w:noProof/>
                <w:sz w:val="21"/>
                <w:szCs w:val="21"/>
              </w:rPr>
              <w:t>2.9.</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Minimum number of sampling points for each relevant pollutant specified in both Directives</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_Toc392598878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18</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79" w:history="1">
            <w:r w:rsidR="005101F7" w:rsidRPr="005101F7">
              <w:rPr>
                <w:rStyle w:val="Hyperlink"/>
                <w:rFonts w:ascii="Arial" w:hAnsi="Arial"/>
                <w:noProof/>
                <w:sz w:val="21"/>
                <w:szCs w:val="21"/>
              </w:rPr>
              <w:t>2.10.</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Minimum number of point source sampling points</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_Toc392598879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22</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80" w:history="1">
            <w:r w:rsidR="005101F7" w:rsidRPr="005101F7">
              <w:rPr>
                <w:rStyle w:val="Hyperlink"/>
                <w:rFonts w:ascii="Arial" w:hAnsi="Arial"/>
                <w:noProof/>
                <w:sz w:val="21"/>
                <w:szCs w:val="21"/>
              </w:rPr>
              <w:t>2.11.</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Compliance with the PM</w:t>
            </w:r>
            <w:r w:rsidR="005101F7" w:rsidRPr="005101F7">
              <w:rPr>
                <w:rStyle w:val="Hyperlink"/>
                <w:rFonts w:ascii="Arial" w:hAnsi="Arial"/>
                <w:noProof/>
                <w:sz w:val="21"/>
                <w:szCs w:val="21"/>
                <w:vertAlign w:val="subscript"/>
              </w:rPr>
              <w:t xml:space="preserve">2.5 </w:t>
            </w:r>
            <w:r w:rsidR="005101F7" w:rsidRPr="005101F7">
              <w:rPr>
                <w:rStyle w:val="Hyperlink"/>
                <w:rFonts w:ascii="Arial" w:hAnsi="Arial"/>
                <w:noProof/>
                <w:sz w:val="21"/>
                <w:szCs w:val="21"/>
              </w:rPr>
              <w:t>Exposure Reduction Target</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_Toc392598880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22</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81" w:history="1">
            <w:r w:rsidR="005101F7" w:rsidRPr="005101F7">
              <w:rPr>
                <w:rStyle w:val="Hyperlink"/>
                <w:rFonts w:ascii="Arial" w:hAnsi="Arial"/>
                <w:noProof/>
                <w:sz w:val="21"/>
                <w:szCs w:val="21"/>
              </w:rPr>
              <w:t>2.12.</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Protection of Vegetation</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_Toc392598881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22</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82" w:history="1">
            <w:r w:rsidR="005101F7" w:rsidRPr="005101F7">
              <w:rPr>
                <w:rStyle w:val="Hyperlink"/>
                <w:rFonts w:ascii="Arial" w:hAnsi="Arial"/>
                <w:noProof/>
                <w:sz w:val="21"/>
                <w:szCs w:val="21"/>
              </w:rPr>
              <w:t>2.13.</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Measurements at Rural Background Locations</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_Toc392598882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22</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83" w:history="1">
            <w:r w:rsidR="005101F7" w:rsidRPr="005101F7">
              <w:rPr>
                <w:rStyle w:val="Hyperlink"/>
                <w:rFonts w:ascii="Arial" w:hAnsi="Arial"/>
                <w:noProof/>
                <w:sz w:val="21"/>
                <w:szCs w:val="21"/>
              </w:rPr>
              <w:t>2.14.</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Data quality objectives for ambient air quality assessment in EU directives</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_Toc392598883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23</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84" w:history="1">
            <w:r w:rsidR="005101F7" w:rsidRPr="005101F7">
              <w:rPr>
                <w:rStyle w:val="Hyperlink"/>
                <w:rFonts w:ascii="Arial" w:hAnsi="Arial"/>
                <w:noProof/>
                <w:sz w:val="21"/>
                <w:szCs w:val="21"/>
              </w:rPr>
              <w:t>2.15.</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Quality assurance for ambient air quality assessment: data validation</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_Toc392598884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25</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85" w:history="1">
            <w:r w:rsidR="005101F7" w:rsidRPr="005101F7">
              <w:rPr>
                <w:rStyle w:val="Hyperlink"/>
                <w:rFonts w:ascii="Arial" w:hAnsi="Arial"/>
                <w:noProof/>
                <w:sz w:val="21"/>
                <w:szCs w:val="21"/>
              </w:rPr>
              <w:t>2.16.</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Reference methods for assessment of concentrations and standardization</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_Toc392598885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26</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86" w:history="1">
            <w:r w:rsidR="005101F7" w:rsidRPr="005101F7">
              <w:rPr>
                <w:rStyle w:val="Hyperlink"/>
                <w:rFonts w:ascii="Arial" w:hAnsi="Arial"/>
                <w:noProof/>
                <w:sz w:val="21"/>
                <w:szCs w:val="21"/>
              </w:rPr>
              <w:t>2.17.</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EU Requirements for Reference Methods</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_Toc392598886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27</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87" w:history="1">
            <w:r w:rsidR="005101F7" w:rsidRPr="005101F7">
              <w:rPr>
                <w:rStyle w:val="Hyperlink"/>
                <w:rFonts w:ascii="Arial" w:hAnsi="Arial"/>
                <w:noProof/>
                <w:sz w:val="21"/>
                <w:szCs w:val="21"/>
              </w:rPr>
              <w:t>2.18.</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Type Approval of Analysers for National Networks</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_Toc392598887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28</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88" w:history="1">
            <w:r w:rsidR="005101F7" w:rsidRPr="005101F7">
              <w:rPr>
                <w:rStyle w:val="Hyperlink"/>
                <w:rFonts w:ascii="Arial" w:hAnsi="Arial"/>
                <w:noProof/>
                <w:sz w:val="21"/>
                <w:szCs w:val="21"/>
              </w:rPr>
              <w:t>2.19.</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Relative Uncertainty of Analyser measurements</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_Toc392598888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29</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89" w:history="1">
            <w:r w:rsidR="005101F7" w:rsidRPr="005101F7">
              <w:rPr>
                <w:rStyle w:val="Hyperlink"/>
                <w:rFonts w:ascii="Arial" w:hAnsi="Arial"/>
                <w:noProof/>
                <w:sz w:val="21"/>
                <w:szCs w:val="21"/>
              </w:rPr>
              <w:t>2.20.</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Reporting and communication</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_Toc392598889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29</w:t>
            </w:r>
            <w:r w:rsidR="005101F7" w:rsidRPr="005101F7">
              <w:rPr>
                <w:rFonts w:ascii="Arial" w:hAnsi="Arial" w:cs="Arial"/>
                <w:noProof/>
                <w:webHidden/>
                <w:sz w:val="21"/>
                <w:szCs w:val="21"/>
              </w:rPr>
              <w:fldChar w:fldCharType="end"/>
            </w:r>
          </w:hyperlink>
        </w:p>
        <w:p w:rsidR="005101F7" w:rsidRPr="005101F7" w:rsidRDefault="00BF100C">
          <w:pPr>
            <w:pStyle w:val="TOC1"/>
            <w:tabs>
              <w:tab w:val="left" w:pos="420"/>
              <w:tab w:val="right" w:leader="dot" w:pos="9395"/>
            </w:tabs>
            <w:rPr>
              <w:rFonts w:eastAsiaTheme="minorEastAsia"/>
              <w:b w:val="0"/>
              <w:noProof/>
              <w:color w:val="auto"/>
              <w:szCs w:val="21"/>
              <w:lang w:eastAsia="en-GB"/>
            </w:rPr>
          </w:pPr>
          <w:hyperlink w:anchor="_Toc392598890" w:history="1">
            <w:r w:rsidR="005101F7" w:rsidRPr="005101F7">
              <w:rPr>
                <w:rStyle w:val="Hyperlink"/>
                <w:noProof/>
                <w:sz w:val="21"/>
                <w:szCs w:val="21"/>
              </w:rPr>
              <w:t>3.</w:t>
            </w:r>
            <w:r w:rsidR="005101F7" w:rsidRPr="005101F7">
              <w:rPr>
                <w:rFonts w:eastAsiaTheme="minorEastAsia"/>
                <w:b w:val="0"/>
                <w:noProof/>
                <w:color w:val="auto"/>
                <w:szCs w:val="21"/>
                <w:lang w:eastAsia="en-GB"/>
              </w:rPr>
              <w:tab/>
            </w:r>
            <w:r w:rsidR="005101F7" w:rsidRPr="005101F7">
              <w:rPr>
                <w:rStyle w:val="Hyperlink"/>
                <w:noProof/>
                <w:sz w:val="21"/>
                <w:szCs w:val="21"/>
              </w:rPr>
              <w:t>Organisation of air quality monitoring systems in Europe</w:t>
            </w:r>
            <w:r w:rsidR="005101F7" w:rsidRPr="005101F7">
              <w:rPr>
                <w:noProof/>
                <w:webHidden/>
                <w:szCs w:val="21"/>
              </w:rPr>
              <w:tab/>
            </w:r>
            <w:r w:rsidR="005101F7" w:rsidRPr="005101F7">
              <w:rPr>
                <w:noProof/>
                <w:webHidden/>
                <w:szCs w:val="21"/>
              </w:rPr>
              <w:fldChar w:fldCharType="begin"/>
            </w:r>
            <w:r w:rsidR="005101F7" w:rsidRPr="005101F7">
              <w:rPr>
                <w:noProof/>
                <w:webHidden/>
                <w:szCs w:val="21"/>
              </w:rPr>
              <w:instrText xml:space="preserve"> PAGEREF _Toc392598890 \h </w:instrText>
            </w:r>
            <w:r w:rsidR="005101F7" w:rsidRPr="005101F7">
              <w:rPr>
                <w:noProof/>
                <w:webHidden/>
                <w:szCs w:val="21"/>
              </w:rPr>
            </w:r>
            <w:r w:rsidR="005101F7" w:rsidRPr="005101F7">
              <w:rPr>
                <w:noProof/>
                <w:webHidden/>
                <w:szCs w:val="21"/>
              </w:rPr>
              <w:fldChar w:fldCharType="separate"/>
            </w:r>
            <w:r w:rsidR="005101F7" w:rsidRPr="005101F7">
              <w:rPr>
                <w:noProof/>
                <w:webHidden/>
                <w:szCs w:val="21"/>
              </w:rPr>
              <w:t>31</w:t>
            </w:r>
            <w:r w:rsidR="005101F7" w:rsidRPr="005101F7">
              <w:rPr>
                <w:noProof/>
                <w:webHidden/>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91" w:history="1">
            <w:r w:rsidR="005101F7" w:rsidRPr="005101F7">
              <w:rPr>
                <w:rStyle w:val="Hyperlink"/>
                <w:rFonts w:ascii="Arial" w:hAnsi="Arial"/>
                <w:noProof/>
                <w:sz w:val="21"/>
                <w:szCs w:val="21"/>
              </w:rPr>
              <w:t>3.1.</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State of air quality monitoring in Europe</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_Toc392598891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31</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92" w:history="1">
            <w:r w:rsidR="005101F7" w:rsidRPr="005101F7">
              <w:rPr>
                <w:rStyle w:val="Hyperlink"/>
                <w:rFonts w:ascii="Arial" w:hAnsi="Arial"/>
                <w:noProof/>
                <w:sz w:val="21"/>
                <w:szCs w:val="21"/>
              </w:rPr>
              <w:t>3.2.</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Temporal Coverage</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_Toc392598892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33</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93" w:history="1">
            <w:r w:rsidR="005101F7" w:rsidRPr="005101F7">
              <w:rPr>
                <w:rStyle w:val="Hyperlink"/>
                <w:rFonts w:ascii="Arial" w:hAnsi="Arial"/>
                <w:noProof/>
                <w:sz w:val="21"/>
                <w:szCs w:val="21"/>
              </w:rPr>
              <w:t>3.3.</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Spatial Coverage</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_Toc392598893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33</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94" w:history="1">
            <w:r w:rsidR="005101F7" w:rsidRPr="005101F7">
              <w:rPr>
                <w:rStyle w:val="Hyperlink"/>
                <w:rFonts w:ascii="Arial" w:hAnsi="Arial"/>
                <w:noProof/>
                <w:sz w:val="21"/>
                <w:szCs w:val="21"/>
              </w:rPr>
              <w:t>3.4.</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Methods Evaluation</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_Toc392598894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37</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95" w:history="1">
            <w:r w:rsidR="005101F7" w:rsidRPr="005101F7">
              <w:rPr>
                <w:rStyle w:val="Hyperlink"/>
                <w:rFonts w:ascii="Arial" w:hAnsi="Arial"/>
                <w:noProof/>
                <w:sz w:val="21"/>
                <w:szCs w:val="21"/>
              </w:rPr>
              <w:t>3.5.</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Data Availability in European Networks</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_Toc392598895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40</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96" w:history="1">
            <w:r w:rsidR="005101F7" w:rsidRPr="005101F7">
              <w:rPr>
                <w:rStyle w:val="Hyperlink"/>
                <w:rFonts w:ascii="Arial" w:hAnsi="Arial"/>
                <w:noProof/>
                <w:sz w:val="21"/>
                <w:szCs w:val="21"/>
              </w:rPr>
              <w:t>3.6.</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Use of Models in the Air Quality Assessment</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_Toc392598896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41</w:t>
            </w:r>
            <w:r w:rsidR="005101F7" w:rsidRPr="005101F7">
              <w:rPr>
                <w:rFonts w:ascii="Arial" w:hAnsi="Arial" w:cs="Arial"/>
                <w:noProof/>
                <w:webHidden/>
                <w:sz w:val="21"/>
                <w:szCs w:val="21"/>
              </w:rPr>
              <w:fldChar w:fldCharType="end"/>
            </w:r>
          </w:hyperlink>
        </w:p>
        <w:p w:rsidR="005101F7" w:rsidRPr="005101F7" w:rsidRDefault="00BF100C">
          <w:pPr>
            <w:pStyle w:val="TOC2"/>
            <w:tabs>
              <w:tab w:val="left" w:pos="840"/>
              <w:tab w:val="right" w:leader="dot" w:pos="9395"/>
            </w:tabs>
            <w:rPr>
              <w:rFonts w:ascii="Arial" w:eastAsiaTheme="minorEastAsia" w:hAnsi="Arial" w:cs="Arial"/>
              <w:smallCaps w:val="0"/>
              <w:noProof/>
              <w:sz w:val="21"/>
              <w:szCs w:val="21"/>
              <w:lang w:eastAsia="en-GB"/>
            </w:rPr>
          </w:pPr>
          <w:hyperlink w:anchor="_Toc392598897" w:history="1">
            <w:r w:rsidR="005101F7" w:rsidRPr="005101F7">
              <w:rPr>
                <w:rStyle w:val="Hyperlink"/>
                <w:rFonts w:ascii="Arial" w:hAnsi="Arial"/>
                <w:noProof/>
                <w:sz w:val="21"/>
                <w:szCs w:val="21"/>
              </w:rPr>
              <w:t>3.7.</w:t>
            </w:r>
            <w:r w:rsidR="005101F7" w:rsidRPr="005101F7">
              <w:rPr>
                <w:rFonts w:ascii="Arial" w:eastAsiaTheme="minorEastAsia" w:hAnsi="Arial" w:cs="Arial"/>
                <w:smallCaps w:val="0"/>
                <w:noProof/>
                <w:sz w:val="21"/>
                <w:szCs w:val="21"/>
                <w:lang w:eastAsia="en-GB"/>
              </w:rPr>
              <w:tab/>
            </w:r>
            <w:r w:rsidR="005101F7" w:rsidRPr="005101F7">
              <w:rPr>
                <w:rStyle w:val="Hyperlink"/>
                <w:rFonts w:ascii="Arial" w:hAnsi="Arial"/>
                <w:noProof/>
                <w:sz w:val="21"/>
                <w:szCs w:val="21"/>
              </w:rPr>
              <w:t>Reporting</w:t>
            </w:r>
            <w:r w:rsidR="005101F7" w:rsidRPr="005101F7">
              <w:rPr>
                <w:rFonts w:ascii="Arial" w:hAnsi="Arial" w:cs="Arial"/>
                <w:noProof/>
                <w:webHidden/>
                <w:sz w:val="21"/>
                <w:szCs w:val="21"/>
              </w:rPr>
              <w:tab/>
            </w:r>
            <w:r w:rsidR="005101F7" w:rsidRPr="005101F7">
              <w:rPr>
                <w:rFonts w:ascii="Arial" w:hAnsi="Arial" w:cs="Arial"/>
                <w:noProof/>
                <w:webHidden/>
                <w:sz w:val="21"/>
                <w:szCs w:val="21"/>
              </w:rPr>
              <w:fldChar w:fldCharType="begin"/>
            </w:r>
            <w:r w:rsidR="005101F7" w:rsidRPr="005101F7">
              <w:rPr>
                <w:rFonts w:ascii="Arial" w:hAnsi="Arial" w:cs="Arial"/>
                <w:noProof/>
                <w:webHidden/>
                <w:sz w:val="21"/>
                <w:szCs w:val="21"/>
              </w:rPr>
              <w:instrText xml:space="preserve"> PAGEREF _Toc392598897 \h </w:instrText>
            </w:r>
            <w:r w:rsidR="005101F7" w:rsidRPr="005101F7">
              <w:rPr>
                <w:rFonts w:ascii="Arial" w:hAnsi="Arial" w:cs="Arial"/>
                <w:noProof/>
                <w:webHidden/>
                <w:sz w:val="21"/>
                <w:szCs w:val="21"/>
              </w:rPr>
            </w:r>
            <w:r w:rsidR="005101F7" w:rsidRPr="005101F7">
              <w:rPr>
                <w:rFonts w:ascii="Arial" w:hAnsi="Arial" w:cs="Arial"/>
                <w:noProof/>
                <w:webHidden/>
                <w:sz w:val="21"/>
                <w:szCs w:val="21"/>
              </w:rPr>
              <w:fldChar w:fldCharType="separate"/>
            </w:r>
            <w:r w:rsidR="005101F7" w:rsidRPr="005101F7">
              <w:rPr>
                <w:rFonts w:ascii="Arial" w:hAnsi="Arial" w:cs="Arial"/>
                <w:noProof/>
                <w:webHidden/>
                <w:sz w:val="21"/>
                <w:szCs w:val="21"/>
              </w:rPr>
              <w:t>41</w:t>
            </w:r>
            <w:r w:rsidR="005101F7" w:rsidRPr="005101F7">
              <w:rPr>
                <w:rFonts w:ascii="Arial" w:hAnsi="Arial" w:cs="Arial"/>
                <w:noProof/>
                <w:webHidden/>
                <w:sz w:val="21"/>
                <w:szCs w:val="21"/>
              </w:rPr>
              <w:fldChar w:fldCharType="end"/>
            </w:r>
          </w:hyperlink>
        </w:p>
        <w:p w:rsidR="004E28FB" w:rsidRPr="007772AF" w:rsidRDefault="005101F7" w:rsidP="004E28FB">
          <w:pPr>
            <w:spacing w:line="240" w:lineRule="auto"/>
            <w:rPr>
              <w:sz w:val="20"/>
            </w:rPr>
          </w:pPr>
          <w:r w:rsidRPr="005101F7">
            <w:rPr>
              <w:rFonts w:eastAsia="Calibri" w:cs="Arial"/>
              <w:color w:val="000000" w:themeColor="text1"/>
              <w:szCs w:val="21"/>
            </w:rPr>
            <w:fldChar w:fldCharType="end"/>
          </w:r>
        </w:p>
      </w:sdtContent>
    </w:sdt>
    <w:p w:rsidR="004E28FB" w:rsidRPr="00623E33" w:rsidRDefault="004E28FB" w:rsidP="004E28FB">
      <w:pPr>
        <w:spacing w:line="240" w:lineRule="auto"/>
        <w:rPr>
          <w:b/>
          <w:sz w:val="24"/>
          <w:szCs w:val="24"/>
        </w:rPr>
      </w:pPr>
      <w:r w:rsidRPr="00623E33">
        <w:rPr>
          <w:b/>
          <w:sz w:val="24"/>
          <w:szCs w:val="24"/>
        </w:rPr>
        <w:br w:type="page"/>
      </w:r>
    </w:p>
    <w:p w:rsidR="004E28FB" w:rsidRDefault="004E28FB" w:rsidP="00160B88">
      <w:pPr>
        <w:pStyle w:val="Heading1"/>
        <w:numPr>
          <w:ilvl w:val="0"/>
          <w:numId w:val="0"/>
        </w:numPr>
      </w:pPr>
      <w:bookmarkStart w:id="9" w:name="_Toc392598867"/>
      <w:r w:rsidRPr="00623E33">
        <w:lastRenderedPageBreak/>
        <w:t>List of Abbreviations and Acronyms</w:t>
      </w:r>
      <w:bookmarkEnd w:id="9"/>
      <w:r w:rsidRPr="00623E33">
        <w:t xml:space="preserve"> </w:t>
      </w:r>
    </w:p>
    <w:tbl>
      <w:tblPr>
        <w:tblW w:w="8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0"/>
        <w:gridCol w:w="1960"/>
      </w:tblGrid>
      <w:tr w:rsidR="004E28FB" w:rsidRPr="00160B88" w:rsidTr="004E28FB">
        <w:trPr>
          <w:trHeight w:val="300"/>
        </w:trPr>
        <w:tc>
          <w:tcPr>
            <w:tcW w:w="6400" w:type="dxa"/>
            <w:shd w:val="clear" w:color="auto" w:fill="auto"/>
            <w:noWrap/>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Accumulated Ozone Exposure over a threshold of 40 Parts Per Billion</w:t>
            </w:r>
          </w:p>
        </w:tc>
        <w:tc>
          <w:tcPr>
            <w:tcW w:w="1960" w:type="dxa"/>
            <w:shd w:val="clear" w:color="auto" w:fill="auto"/>
            <w:noWrap/>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AOT40</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 xml:space="preserve">Air quality </w:t>
            </w:r>
          </w:p>
        </w:tc>
        <w:tc>
          <w:tcPr>
            <w:tcW w:w="1960" w:type="dxa"/>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AQ</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Ammonia</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themeColor="text1"/>
                <w:szCs w:val="21"/>
                <w:lang w:eastAsia="en-GB"/>
              </w:rPr>
              <w:t>NH</w:t>
            </w:r>
            <w:r w:rsidRPr="00160B88">
              <w:rPr>
                <w:rFonts w:cs="Arial"/>
                <w:color w:val="000000"/>
                <w:szCs w:val="21"/>
                <w:vertAlign w:val="subscript"/>
                <w:lang w:eastAsia="en-GB"/>
              </w:rPr>
              <w:t>3</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Arsenic</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As</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themeColor="text1"/>
                <w:szCs w:val="21"/>
                <w:lang w:eastAsia="en-GB"/>
              </w:rPr>
              <w:t>Automatic Urban and Rural Network</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themeColor="text1"/>
                <w:szCs w:val="21"/>
                <w:lang w:eastAsia="en-GB"/>
              </w:rPr>
              <w:t>AURN</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 xml:space="preserve">Benzene, toluene, </w:t>
            </w:r>
            <w:proofErr w:type="spellStart"/>
            <w:r w:rsidRPr="00160B88">
              <w:rPr>
                <w:rFonts w:cs="Arial"/>
                <w:color w:val="000000"/>
                <w:szCs w:val="21"/>
                <w:lang w:eastAsia="en-GB"/>
              </w:rPr>
              <w:t>ethylbenzene</w:t>
            </w:r>
            <w:proofErr w:type="spellEnd"/>
            <w:r w:rsidRPr="00160B88">
              <w:rPr>
                <w:rFonts w:cs="Arial"/>
                <w:color w:val="000000"/>
                <w:szCs w:val="21"/>
                <w:lang w:eastAsia="en-GB"/>
              </w:rPr>
              <w:t xml:space="preserve">, xylenes </w:t>
            </w:r>
          </w:p>
        </w:tc>
        <w:tc>
          <w:tcPr>
            <w:tcW w:w="1960" w:type="dxa"/>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BTEX</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proofErr w:type="spellStart"/>
            <w:r w:rsidRPr="00160B88">
              <w:rPr>
                <w:rFonts w:cs="Arial"/>
                <w:color w:val="000000"/>
                <w:szCs w:val="21"/>
                <w:lang w:eastAsia="en-GB"/>
              </w:rPr>
              <w:t>Benzo</w:t>
            </w:r>
            <w:proofErr w:type="spellEnd"/>
            <w:r w:rsidRPr="00160B88">
              <w:rPr>
                <w:rFonts w:cs="Arial"/>
                <w:color w:val="000000"/>
                <w:szCs w:val="21"/>
                <w:lang w:eastAsia="en-GB"/>
              </w:rPr>
              <w:t>(a)</w:t>
            </w:r>
            <w:proofErr w:type="spellStart"/>
            <w:r w:rsidRPr="00160B88">
              <w:rPr>
                <w:rFonts w:cs="Arial"/>
                <w:color w:val="000000"/>
                <w:szCs w:val="21"/>
                <w:lang w:eastAsia="en-GB"/>
              </w:rPr>
              <w:t>pyrene</w:t>
            </w:r>
            <w:proofErr w:type="spellEnd"/>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themeColor="text1"/>
                <w:szCs w:val="21"/>
                <w:lang w:eastAsia="en-GB"/>
              </w:rPr>
              <w:t>B(a)P</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Cadmium</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Cd</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Calcium ion</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themeColor="text1"/>
                <w:szCs w:val="21"/>
                <w:lang w:eastAsia="en-GB"/>
              </w:rPr>
              <w:t>Ca</w:t>
            </w:r>
            <w:r w:rsidRPr="00160B88">
              <w:rPr>
                <w:rFonts w:cs="Arial"/>
                <w:color w:val="000000"/>
                <w:szCs w:val="21"/>
                <w:vertAlign w:val="superscript"/>
                <w:lang w:eastAsia="en-GB"/>
              </w:rPr>
              <w:t>2+</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Carbon Monoxide</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CO</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Central European Time</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CET</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 xml:space="preserve">Clean air for Europe (refers to Directive 2008/50/EC) </w:t>
            </w:r>
          </w:p>
        </w:tc>
        <w:tc>
          <w:tcPr>
            <w:tcW w:w="1960" w:type="dxa"/>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CAFE</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szCs w:val="21"/>
              </w:rPr>
              <w:t xml:space="preserve">Centre </w:t>
            </w:r>
            <w:r w:rsidRPr="00160B88">
              <w:rPr>
                <w:rFonts w:cs="Arial"/>
                <w:color w:val="000000"/>
                <w:szCs w:val="21"/>
                <w:lang w:eastAsia="en-GB"/>
              </w:rPr>
              <w:t>EC Joint Research Centre Air Quality Reference Laboratories</w:t>
            </w:r>
          </w:p>
        </w:tc>
        <w:tc>
          <w:tcPr>
            <w:tcW w:w="1960" w:type="dxa"/>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JRC- AQUILA</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Environmental Protection Agency</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EPA</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 xml:space="preserve">European Commission </w:t>
            </w:r>
          </w:p>
        </w:tc>
        <w:tc>
          <w:tcPr>
            <w:tcW w:w="1960" w:type="dxa"/>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EC</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European Committee for Standardization</w:t>
            </w:r>
          </w:p>
        </w:tc>
        <w:tc>
          <w:tcPr>
            <w:tcW w:w="1960" w:type="dxa"/>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CEN</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 xml:space="preserve">European Economic Community </w:t>
            </w:r>
          </w:p>
        </w:tc>
        <w:tc>
          <w:tcPr>
            <w:tcW w:w="1960" w:type="dxa"/>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EEC</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 xml:space="preserve">European Monitoring and Evaluation Programme / Core Inventory of Air Emissions </w:t>
            </w:r>
          </w:p>
        </w:tc>
        <w:tc>
          <w:tcPr>
            <w:tcW w:w="1960" w:type="dxa"/>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EMEP/CORINAIR</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European Neighbourhood and Partnership Instrument</w:t>
            </w:r>
          </w:p>
        </w:tc>
        <w:tc>
          <w:tcPr>
            <w:tcW w:w="1960" w:type="dxa"/>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ENPI</w:t>
            </w:r>
          </w:p>
        </w:tc>
      </w:tr>
      <w:tr w:rsidR="004E28FB" w:rsidRPr="00160B88" w:rsidTr="004E28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tcBorders>
              <w:left w:val="single" w:sz="4" w:space="0" w:color="auto"/>
              <w:bottom w:val="single" w:sz="4" w:space="0" w:color="auto"/>
              <w:right w:val="single" w:sz="4" w:space="0" w:color="auto"/>
            </w:tcBorders>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 xml:space="preserve">European Union </w:t>
            </w:r>
          </w:p>
        </w:tc>
        <w:tc>
          <w:tcPr>
            <w:tcW w:w="1960" w:type="dxa"/>
            <w:tcBorders>
              <w:left w:val="single" w:sz="4" w:space="0" w:color="auto"/>
              <w:bottom w:val="single" w:sz="4" w:space="0" w:color="auto"/>
              <w:right w:val="single" w:sz="4" w:space="0" w:color="auto"/>
            </w:tcBorders>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EU</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proofErr w:type="spellStart"/>
            <w:r w:rsidRPr="00160B88">
              <w:rPr>
                <w:rFonts w:cs="Arial"/>
                <w:color w:val="000000"/>
                <w:szCs w:val="21"/>
                <w:lang w:eastAsia="en-GB"/>
              </w:rPr>
              <w:t>Gov</w:t>
            </w:r>
            <w:proofErr w:type="spellEnd"/>
            <w:r w:rsidRPr="00160B88">
              <w:rPr>
                <w:rFonts w:cs="Arial"/>
                <w:color w:val="000000"/>
                <w:szCs w:val="21"/>
                <w:lang w:eastAsia="en-GB"/>
              </w:rPr>
              <w:t xml:space="preserve"> Air Quality Governance </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Air-Q-</w:t>
            </w:r>
            <w:r w:rsidR="004A3B2C" w:rsidRPr="00160B88">
              <w:rPr>
                <w:rFonts w:cs="Arial"/>
                <w:color w:val="000000"/>
                <w:szCs w:val="21"/>
                <w:lang w:eastAsia="en-GB"/>
              </w:rPr>
              <w:t>GOV</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Hydrogen sulphide</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H</w:t>
            </w:r>
            <w:r w:rsidRPr="00160B88">
              <w:rPr>
                <w:rFonts w:cs="Arial"/>
                <w:color w:val="000000"/>
                <w:szCs w:val="21"/>
                <w:vertAlign w:val="subscript"/>
                <w:lang w:eastAsia="en-GB"/>
              </w:rPr>
              <w:t>2</w:t>
            </w:r>
            <w:r w:rsidRPr="00160B88">
              <w:rPr>
                <w:rFonts w:cs="Arial"/>
                <w:color w:val="000000"/>
                <w:szCs w:val="21"/>
                <w:lang w:eastAsia="en-GB"/>
              </w:rPr>
              <w:t>S</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International Organization for Standardization</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ISO</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 xml:space="preserve">Key Expert </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 xml:space="preserve">KE </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Lead</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proofErr w:type="spellStart"/>
            <w:r w:rsidRPr="00160B88">
              <w:rPr>
                <w:rFonts w:cs="Arial"/>
                <w:color w:val="000000"/>
                <w:szCs w:val="21"/>
                <w:lang w:eastAsia="en-GB"/>
              </w:rPr>
              <w:t>Pb</w:t>
            </w:r>
            <w:proofErr w:type="spellEnd"/>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Magnesium ion</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themeColor="text1"/>
                <w:szCs w:val="21"/>
                <w:lang w:eastAsia="en-GB"/>
              </w:rPr>
              <w:t>Mg</w:t>
            </w:r>
            <w:r w:rsidRPr="00160B88">
              <w:rPr>
                <w:rFonts w:cs="Arial"/>
                <w:color w:val="000000"/>
                <w:szCs w:val="21"/>
                <w:vertAlign w:val="superscript"/>
                <w:lang w:eastAsia="en-GB"/>
              </w:rPr>
              <w:t>2+</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Mercury</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Hg</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Micrograms per cubic metre</w:t>
            </w:r>
          </w:p>
        </w:tc>
        <w:tc>
          <w:tcPr>
            <w:tcW w:w="1960" w:type="dxa"/>
            <w:shd w:val="clear" w:color="auto" w:fill="auto"/>
            <w:vAlign w:val="bottom"/>
            <w:hideMark/>
          </w:tcPr>
          <w:p w:rsidR="004E28FB" w:rsidRPr="00160B88" w:rsidRDefault="00160B88" w:rsidP="004E28FB">
            <w:pPr>
              <w:spacing w:line="240" w:lineRule="auto"/>
              <w:rPr>
                <w:rFonts w:cs="Arial"/>
                <w:color w:val="000000"/>
                <w:szCs w:val="21"/>
                <w:lang w:eastAsia="en-GB"/>
              </w:rPr>
            </w:pPr>
            <w:r>
              <w:rPr>
                <w:rFonts w:cs="Arial"/>
                <w:color w:val="000000"/>
                <w:szCs w:val="21"/>
                <w:lang w:eastAsia="en-GB"/>
              </w:rPr>
              <w:t>µ</w:t>
            </w:r>
            <w:r w:rsidR="004E28FB" w:rsidRPr="00160B88">
              <w:rPr>
                <w:rFonts w:cs="Arial"/>
                <w:color w:val="000000"/>
                <w:szCs w:val="21"/>
                <w:lang w:eastAsia="en-GB"/>
              </w:rPr>
              <w:t>g/m</w:t>
            </w:r>
            <w:r w:rsidR="004E28FB" w:rsidRPr="00160B88">
              <w:rPr>
                <w:rFonts w:cs="Arial"/>
                <w:color w:val="000000"/>
                <w:szCs w:val="21"/>
                <w:vertAlign w:val="superscript"/>
                <w:lang w:eastAsia="en-GB"/>
              </w:rPr>
              <w:t>3</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proofErr w:type="spellStart"/>
            <w:r w:rsidRPr="00160B88">
              <w:rPr>
                <w:rFonts w:cs="Arial"/>
                <w:color w:val="000000"/>
                <w:szCs w:val="21"/>
                <w:lang w:eastAsia="en-GB"/>
              </w:rPr>
              <w:t>Nanograms</w:t>
            </w:r>
            <w:proofErr w:type="spellEnd"/>
            <w:r w:rsidRPr="00160B88">
              <w:rPr>
                <w:rFonts w:cs="Arial"/>
                <w:color w:val="000000"/>
                <w:szCs w:val="21"/>
                <w:lang w:eastAsia="en-GB"/>
              </w:rPr>
              <w:t xml:space="preserve"> per cubic metre</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ng/m</w:t>
            </w:r>
            <w:r w:rsidRPr="00160B88">
              <w:rPr>
                <w:rFonts w:cs="Arial"/>
                <w:color w:val="000000"/>
                <w:szCs w:val="21"/>
                <w:vertAlign w:val="superscript"/>
                <w:lang w:eastAsia="en-GB"/>
              </w:rPr>
              <w:t>3</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lastRenderedPageBreak/>
              <w:t>Nickel</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Ni</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Nitrogen dioxide</w:t>
            </w:r>
          </w:p>
        </w:tc>
        <w:tc>
          <w:tcPr>
            <w:tcW w:w="1960" w:type="dxa"/>
            <w:shd w:val="clear" w:color="auto" w:fill="auto"/>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NO</w:t>
            </w:r>
            <w:r w:rsidRPr="00160B88">
              <w:rPr>
                <w:rFonts w:cs="Arial"/>
                <w:color w:val="000000"/>
                <w:szCs w:val="21"/>
                <w:vertAlign w:val="subscript"/>
                <w:lang w:eastAsia="en-GB"/>
              </w:rPr>
              <w:t>2</w:t>
            </w:r>
          </w:p>
        </w:tc>
      </w:tr>
      <w:tr w:rsidR="004E28FB" w:rsidRPr="00160B88" w:rsidTr="004E28FB">
        <w:trPr>
          <w:trHeight w:val="300"/>
        </w:trPr>
        <w:tc>
          <w:tcPr>
            <w:tcW w:w="6400" w:type="dxa"/>
            <w:tcBorders>
              <w:bottom w:val="single" w:sz="4" w:space="0" w:color="auto"/>
            </w:tcBorders>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Nitrogen oxides</w:t>
            </w:r>
          </w:p>
        </w:tc>
        <w:tc>
          <w:tcPr>
            <w:tcW w:w="1960" w:type="dxa"/>
            <w:tcBorders>
              <w:bottom w:val="single" w:sz="4" w:space="0" w:color="auto"/>
            </w:tcBorders>
            <w:shd w:val="clear" w:color="auto" w:fill="auto"/>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NO</w:t>
            </w:r>
            <w:r w:rsidRPr="00160B88">
              <w:rPr>
                <w:rFonts w:cs="Arial"/>
                <w:color w:val="000000"/>
                <w:szCs w:val="21"/>
                <w:vertAlign w:val="subscript"/>
                <w:lang w:eastAsia="en-GB"/>
              </w:rPr>
              <w:t>x</w:t>
            </w:r>
          </w:p>
        </w:tc>
      </w:tr>
      <w:tr w:rsidR="004E28FB" w:rsidRPr="00160B88" w:rsidTr="004E28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28FB" w:rsidRPr="00160B88" w:rsidRDefault="004E28FB" w:rsidP="004E28FB">
            <w:pPr>
              <w:spacing w:line="240" w:lineRule="auto"/>
              <w:rPr>
                <w:rFonts w:cs="Arial"/>
                <w:szCs w:val="21"/>
              </w:rPr>
            </w:pPr>
            <w:r w:rsidRPr="00160B88">
              <w:rPr>
                <w:rFonts w:cs="Arial"/>
                <w:color w:val="000000"/>
                <w:szCs w:val="21"/>
                <w:lang w:eastAsia="en-GB"/>
              </w:rPr>
              <w:t>Ozone</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4E28FB" w:rsidRPr="00160B88" w:rsidRDefault="004E28FB" w:rsidP="004E28FB">
            <w:pPr>
              <w:spacing w:line="240" w:lineRule="auto"/>
              <w:rPr>
                <w:rFonts w:cs="Arial"/>
                <w:color w:val="000000" w:themeColor="text1"/>
                <w:szCs w:val="21"/>
                <w:lang w:eastAsia="en-GB"/>
              </w:rPr>
            </w:pPr>
            <w:r w:rsidRPr="00160B88">
              <w:rPr>
                <w:rFonts w:cs="Arial"/>
                <w:color w:val="000000" w:themeColor="text1"/>
                <w:szCs w:val="21"/>
                <w:lang w:eastAsia="en-GB"/>
              </w:rPr>
              <w:t>O</w:t>
            </w:r>
            <w:r w:rsidRPr="00160B88">
              <w:rPr>
                <w:rFonts w:cs="Arial"/>
                <w:color w:val="000000"/>
                <w:szCs w:val="21"/>
                <w:vertAlign w:val="subscript"/>
                <w:lang w:eastAsia="en-GB"/>
              </w:rPr>
              <w:t>3</w:t>
            </w:r>
          </w:p>
        </w:tc>
      </w:tr>
      <w:tr w:rsidR="004E28FB" w:rsidRPr="00160B88" w:rsidTr="004E28FB">
        <w:trPr>
          <w:trHeight w:val="300"/>
        </w:trPr>
        <w:tc>
          <w:tcPr>
            <w:tcW w:w="6400" w:type="dxa"/>
            <w:tcBorders>
              <w:top w:val="single" w:sz="4" w:space="0" w:color="auto"/>
            </w:tcBorders>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 xml:space="preserve">Particulate Matters </w:t>
            </w:r>
          </w:p>
        </w:tc>
        <w:tc>
          <w:tcPr>
            <w:tcW w:w="1960" w:type="dxa"/>
            <w:tcBorders>
              <w:top w:val="single" w:sz="4" w:space="0" w:color="auto"/>
            </w:tcBorders>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 xml:space="preserve">PM </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Parts per billion</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ppb</w:t>
            </w:r>
          </w:p>
        </w:tc>
      </w:tr>
      <w:tr w:rsidR="004E28FB" w:rsidRPr="00160B88" w:rsidTr="004E28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 xml:space="preserve">Polycyclic aromatic hydrocarbons </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PAH</w:t>
            </w:r>
          </w:p>
        </w:tc>
      </w:tr>
      <w:tr w:rsidR="004E28FB" w:rsidRPr="00160B88" w:rsidTr="004E28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 xml:space="preserve">Quality assurance/Quality control </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QA/QC</w:t>
            </w:r>
          </w:p>
        </w:tc>
      </w:tr>
      <w:tr w:rsidR="004E28FB" w:rsidRPr="00160B88" w:rsidTr="004E28FB">
        <w:trPr>
          <w:trHeight w:val="300"/>
        </w:trPr>
        <w:tc>
          <w:tcPr>
            <w:tcW w:w="6400" w:type="dxa"/>
            <w:tcBorders>
              <w:bottom w:val="single" w:sz="4" w:space="0" w:color="auto"/>
            </w:tcBorders>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Square kilometre</w:t>
            </w:r>
          </w:p>
        </w:tc>
        <w:tc>
          <w:tcPr>
            <w:tcW w:w="1960" w:type="dxa"/>
            <w:tcBorders>
              <w:bottom w:val="single" w:sz="4" w:space="0" w:color="auto"/>
            </w:tcBorders>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km</w:t>
            </w:r>
            <w:r w:rsidRPr="00160B88">
              <w:rPr>
                <w:rFonts w:cs="Arial"/>
                <w:color w:val="000000"/>
                <w:szCs w:val="21"/>
                <w:vertAlign w:val="superscript"/>
                <w:lang w:eastAsia="en-GB"/>
              </w:rPr>
              <w:t>2</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Square metre</w:t>
            </w:r>
          </w:p>
        </w:tc>
        <w:tc>
          <w:tcPr>
            <w:tcW w:w="1960" w:type="dxa"/>
            <w:shd w:val="clear" w:color="auto" w:fill="auto"/>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m</w:t>
            </w:r>
            <w:r w:rsidRPr="00160B88">
              <w:rPr>
                <w:rFonts w:cs="Arial"/>
                <w:color w:val="000000"/>
                <w:szCs w:val="21"/>
                <w:vertAlign w:val="superscript"/>
                <w:lang w:eastAsia="en-GB"/>
              </w:rPr>
              <w:t>2</w:t>
            </w:r>
          </w:p>
        </w:tc>
      </w:tr>
      <w:tr w:rsidR="004E28FB" w:rsidRPr="00160B88" w:rsidTr="004E28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 xml:space="preserve">Standard operation procedure </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SOP</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themeColor="text1"/>
                <w:szCs w:val="21"/>
                <w:lang w:eastAsia="en-GB"/>
              </w:rPr>
              <w:t>Sulphate ion</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themeColor="text1"/>
                <w:szCs w:val="21"/>
                <w:lang w:eastAsia="en-GB"/>
              </w:rPr>
              <w:t>SO</w:t>
            </w:r>
            <w:r w:rsidRPr="00160B88">
              <w:rPr>
                <w:rFonts w:cs="Arial"/>
                <w:color w:val="000000"/>
                <w:szCs w:val="21"/>
                <w:vertAlign w:val="subscript"/>
                <w:lang w:eastAsia="en-GB"/>
              </w:rPr>
              <w:t>4</w:t>
            </w:r>
            <w:r w:rsidRPr="00160B88">
              <w:rPr>
                <w:rFonts w:cs="Arial"/>
                <w:color w:val="000000"/>
                <w:szCs w:val="21"/>
                <w:vertAlign w:val="superscript"/>
                <w:lang w:eastAsia="en-GB"/>
              </w:rPr>
              <w:t>2–</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Suspended Particulate Matter</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SPM</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Total Suspended Particulates</w:t>
            </w:r>
          </w:p>
        </w:tc>
        <w:tc>
          <w:tcPr>
            <w:tcW w:w="1960" w:type="dxa"/>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themeColor="text1"/>
                <w:szCs w:val="21"/>
                <w:lang w:eastAsia="en-GB"/>
              </w:rPr>
              <w:t>TSP</w:t>
            </w:r>
          </w:p>
        </w:tc>
      </w:tr>
      <w:tr w:rsidR="004E28FB" w:rsidRPr="00160B88" w:rsidTr="004E28FB">
        <w:trPr>
          <w:trHeight w:val="300"/>
        </w:trPr>
        <w:tc>
          <w:tcPr>
            <w:tcW w:w="6400" w:type="dxa"/>
            <w:tcBorders>
              <w:bottom w:val="single" w:sz="4" w:space="0" w:color="auto"/>
            </w:tcBorders>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szCs w:val="21"/>
                <w:lang w:eastAsia="en-GB"/>
              </w:rPr>
              <w:t>Ultra violet</w:t>
            </w:r>
          </w:p>
        </w:tc>
        <w:tc>
          <w:tcPr>
            <w:tcW w:w="1960" w:type="dxa"/>
            <w:tcBorders>
              <w:bottom w:val="single" w:sz="4" w:space="0" w:color="auto"/>
            </w:tcBorders>
            <w:shd w:val="clear" w:color="auto" w:fill="auto"/>
            <w:vAlign w:val="bottom"/>
            <w:hideMark/>
          </w:tcPr>
          <w:p w:rsidR="004E28FB" w:rsidRPr="00160B88" w:rsidRDefault="004E28FB" w:rsidP="004E28FB">
            <w:pPr>
              <w:spacing w:line="240" w:lineRule="auto"/>
              <w:rPr>
                <w:rFonts w:cs="Arial"/>
                <w:color w:val="000000"/>
                <w:szCs w:val="21"/>
                <w:lang w:eastAsia="en-GB"/>
              </w:rPr>
            </w:pPr>
            <w:r w:rsidRPr="00160B88">
              <w:rPr>
                <w:rFonts w:cs="Arial"/>
                <w:color w:val="000000" w:themeColor="text1"/>
                <w:szCs w:val="21"/>
                <w:lang w:eastAsia="en-GB"/>
              </w:rPr>
              <w:t>UV</w:t>
            </w:r>
          </w:p>
        </w:tc>
      </w:tr>
      <w:tr w:rsidR="004E28FB" w:rsidRPr="00160B88" w:rsidTr="004E28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 xml:space="preserve">United Kingdom </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UK</w:t>
            </w:r>
          </w:p>
        </w:tc>
      </w:tr>
      <w:tr w:rsidR="004E28FB" w:rsidRPr="00160B88" w:rsidTr="004E28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tcBorders>
              <w:left w:val="single" w:sz="4" w:space="0" w:color="auto"/>
              <w:right w:val="single" w:sz="4" w:space="0" w:color="auto"/>
            </w:tcBorders>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 xml:space="preserve">Volatile organic compounds </w:t>
            </w:r>
          </w:p>
        </w:tc>
        <w:tc>
          <w:tcPr>
            <w:tcW w:w="1960" w:type="dxa"/>
            <w:tcBorders>
              <w:left w:val="single" w:sz="4" w:space="0" w:color="auto"/>
              <w:right w:val="single" w:sz="4" w:space="0" w:color="auto"/>
            </w:tcBorders>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VOC</w:t>
            </w:r>
          </w:p>
        </w:tc>
      </w:tr>
      <w:tr w:rsidR="004E28FB" w:rsidRPr="00160B88" w:rsidTr="004E28FB">
        <w:trPr>
          <w:trHeight w:val="300"/>
        </w:trPr>
        <w:tc>
          <w:tcPr>
            <w:tcW w:w="6400" w:type="dxa"/>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World Health Organization</w:t>
            </w:r>
          </w:p>
        </w:tc>
        <w:tc>
          <w:tcPr>
            <w:tcW w:w="1960" w:type="dxa"/>
            <w:shd w:val="clear" w:color="auto" w:fill="auto"/>
            <w:vAlign w:val="bottom"/>
            <w:hideMark/>
          </w:tcPr>
          <w:p w:rsidR="004E28FB" w:rsidRPr="00160B88" w:rsidRDefault="004E28FB" w:rsidP="004E28FB">
            <w:pPr>
              <w:spacing w:line="240" w:lineRule="auto"/>
              <w:rPr>
                <w:rFonts w:cs="Arial"/>
                <w:color w:val="000000"/>
                <w:szCs w:val="21"/>
              </w:rPr>
            </w:pPr>
            <w:r w:rsidRPr="00160B88">
              <w:rPr>
                <w:rFonts w:cs="Arial"/>
                <w:color w:val="000000"/>
                <w:szCs w:val="21"/>
                <w:lang w:eastAsia="en-GB"/>
              </w:rPr>
              <w:t>WHO</w:t>
            </w:r>
          </w:p>
        </w:tc>
      </w:tr>
    </w:tbl>
    <w:p w:rsidR="004E28FB" w:rsidRPr="00623E33" w:rsidRDefault="004E28FB" w:rsidP="004E28FB">
      <w:pPr>
        <w:spacing w:line="240" w:lineRule="auto"/>
        <w:rPr>
          <w:rFonts w:eastAsiaTheme="majorEastAsia" w:cstheme="minorHAnsi"/>
          <w:color w:val="000000" w:themeColor="text1"/>
          <w:sz w:val="36"/>
          <w:szCs w:val="36"/>
        </w:rPr>
      </w:pPr>
      <w:r w:rsidRPr="00623E33">
        <w:br w:type="page"/>
      </w:r>
    </w:p>
    <w:p w:rsidR="004E28FB" w:rsidRPr="00690EC6" w:rsidRDefault="004E28FB" w:rsidP="004E28FB">
      <w:pPr>
        <w:pStyle w:val="Heading1"/>
      </w:pPr>
      <w:bookmarkStart w:id="10" w:name="_Toc392598868"/>
      <w:r>
        <w:lastRenderedPageBreak/>
        <w:t>INTRODUCTION</w:t>
      </w:r>
      <w:bookmarkEnd w:id="10"/>
    </w:p>
    <w:p w:rsidR="004E28FB" w:rsidRPr="00603BD4" w:rsidRDefault="004E28FB" w:rsidP="005101F7">
      <w:r w:rsidRPr="00603BD4">
        <w:t>The purpose of this document is to provide an overview of the current air quality monitoring and assessment systems in</w:t>
      </w:r>
      <w:r>
        <w:t xml:space="preserve"> Europe</w:t>
      </w:r>
      <w:r w:rsidRPr="00603BD4">
        <w:t>. This includes policy, legislative, institutional, instrumental as well as current air quality operations.</w:t>
      </w:r>
    </w:p>
    <w:p w:rsidR="004E28FB" w:rsidRPr="00603BD4" w:rsidRDefault="004E28FB" w:rsidP="005101F7">
      <w:r w:rsidRPr="00603BD4">
        <w:t xml:space="preserve">The document outlines the essential components within the two principal ambient air quality Directives, 2008 </w:t>
      </w:r>
      <w:hyperlink r:id="rId17" w:tgtFrame="_blank" w:tooltip="opens new window" w:history="1">
        <w:r w:rsidRPr="00603BD4">
          <w:t>ambient air quality directive (2008/50/EC)</w:t>
        </w:r>
      </w:hyperlink>
      <w:r w:rsidRPr="00603BD4">
        <w:t xml:space="preserve"> known as the Clean Air for Europe (CAFE Directive)</w:t>
      </w:r>
      <w:r>
        <w:t>, and the F</w:t>
      </w:r>
      <w:r w:rsidRPr="00603BD4">
        <w:t>ourth</w:t>
      </w:r>
      <w:hyperlink r:id="rId18" w:history="1">
        <w:r>
          <w:t xml:space="preserve"> Air Quality Daughter D</w:t>
        </w:r>
        <w:r w:rsidRPr="00603BD4">
          <w:t>irective (2004/107/EC</w:t>
        </w:r>
      </w:hyperlink>
      <w:r w:rsidRPr="00603BD4">
        <w:t>).</w:t>
      </w:r>
    </w:p>
    <w:p w:rsidR="004E28FB" w:rsidRPr="00603BD4" w:rsidRDefault="004E28FB" w:rsidP="005101F7">
      <w:r w:rsidRPr="00603BD4">
        <w:t>This includes the requirements that EU member states achieve a set of air quality limit values for the protection of human health as well as for the protection of vegetation and ecosystems.</w:t>
      </w:r>
    </w:p>
    <w:p w:rsidR="004E28FB" w:rsidRPr="00603BD4" w:rsidRDefault="004E28FB" w:rsidP="005101F7">
      <w:r w:rsidRPr="00603BD4">
        <w:t>The Directives require</w:t>
      </w:r>
      <w:r>
        <w:t xml:space="preserve"> member s</w:t>
      </w:r>
      <w:r w:rsidRPr="00603BD4">
        <w:t>tates to assess air quality on a national scale sub-dividing their state into zones and agglomerations. This document outlines the framework behind the establishment of these national monitoring and assessment programmes, where data coverage and assessment method are linked to lower and upper assessment thresholds.</w:t>
      </w:r>
    </w:p>
    <w:p w:rsidR="004E28FB" w:rsidRDefault="004E28FB" w:rsidP="005101F7">
      <w:r w:rsidRPr="00603BD4">
        <w:t xml:space="preserve">Current resources available </w:t>
      </w:r>
      <w:r>
        <w:t>in Partner Countries</w:t>
      </w:r>
      <w:r w:rsidRPr="00603BD4">
        <w:t xml:space="preserve"> dedicated to ambient air quality monitoring </w:t>
      </w:r>
      <w:r>
        <w:t>might be</w:t>
      </w:r>
      <w:r w:rsidRPr="00603BD4">
        <w:t xml:space="preserve"> insufficient to credibly meet both CAF</w:t>
      </w:r>
      <w:r>
        <w:t>E</w:t>
      </w:r>
      <w:r w:rsidRPr="00603BD4">
        <w:t xml:space="preserve"> Directive and Fourth Daughter Directive requirements. </w:t>
      </w:r>
      <w:r>
        <w:t>This includes meeting requirements in relation to t</w:t>
      </w:r>
      <w:r w:rsidRPr="00603BD4">
        <w:t>he number and type of ambient air monitoring stations or data averaging requirements within either the CAF</w:t>
      </w:r>
      <w:r>
        <w:t>E</w:t>
      </w:r>
      <w:r w:rsidRPr="00603BD4">
        <w:t xml:space="preserve"> or Fourth Daughter Directives.</w:t>
      </w:r>
    </w:p>
    <w:p w:rsidR="004E28FB" w:rsidRPr="00603BD4" w:rsidRDefault="004E28FB" w:rsidP="005101F7">
      <w:r>
        <w:t>The current document provides guidance for developing a national air quality monitoring system in conformity with the requirements of the EU air quality legislation.</w:t>
      </w:r>
    </w:p>
    <w:p w:rsidR="004E28FB" w:rsidRPr="004E28FB" w:rsidRDefault="004E28FB" w:rsidP="004E28FB">
      <w:pPr>
        <w:pStyle w:val="Heading1"/>
      </w:pPr>
      <w:r w:rsidRPr="00623E33">
        <w:rPr>
          <w:sz w:val="48"/>
          <w:szCs w:val="48"/>
        </w:rPr>
        <w:br w:type="page"/>
      </w:r>
      <w:bookmarkStart w:id="11" w:name="_Toc383738745"/>
      <w:bookmarkStart w:id="12" w:name="_Toc392598869"/>
      <w:bookmarkEnd w:id="11"/>
      <w:r w:rsidRPr="004E28FB">
        <w:lastRenderedPageBreak/>
        <w:t>Objectives of Air Quality Directives in EU Member States</w:t>
      </w:r>
      <w:bookmarkEnd w:id="12"/>
    </w:p>
    <w:p w:rsidR="004E28FB" w:rsidRPr="004E28FB" w:rsidRDefault="004E28FB" w:rsidP="004E28FB">
      <w:pPr>
        <w:pStyle w:val="Heading2"/>
      </w:pPr>
      <w:bookmarkStart w:id="13" w:name="_Toc392598870"/>
      <w:r w:rsidRPr="004E28FB">
        <w:t>Exposure to Air Pollution and Health Impacts</w:t>
      </w:r>
      <w:bookmarkEnd w:id="13"/>
    </w:p>
    <w:p w:rsidR="004E28FB" w:rsidRPr="00623E33" w:rsidRDefault="004E28FB" w:rsidP="002134F6">
      <w:r w:rsidRPr="00623E33">
        <w:t xml:space="preserve">Air pollution can have a serious effect on people’s health. Exposure to air pollution can have a long-term effect on health, associated in particular with premature mortality due to cardiopulmonary (heart and lung) effects. </w:t>
      </w:r>
    </w:p>
    <w:p w:rsidR="004E28FB" w:rsidRPr="00623E33" w:rsidRDefault="004E28FB" w:rsidP="002134F6">
      <w:r w:rsidRPr="00623E33">
        <w:t xml:space="preserve">More than 80% of the population in the European Union lives in cities with levels of PM exceeding WHO Air Quality Guidelines. </w:t>
      </w:r>
    </w:p>
    <w:p w:rsidR="004E28FB" w:rsidRPr="00623E33" w:rsidRDefault="004E28FB" w:rsidP="002134F6">
      <w:r w:rsidRPr="00623E33">
        <w:t>Long-term exposure to ozone has been recorded as having detrimental effects on the respiratory and cardio respiratory mortality of people with potentially predisposing conditions such as chronic obstructive pulmonary disease, diabetes, congestive heart failure.</w:t>
      </w:r>
    </w:p>
    <w:p w:rsidR="004E28FB" w:rsidRPr="00623E33" w:rsidRDefault="004E28FB" w:rsidP="002134F6">
      <w:r w:rsidRPr="00623E33">
        <w:t>Short-term, high pollution episodes can trigger increased admissions to hospital and contribute to the premature death of those people that are more vulnerable to daily changes in levels of air pollutants.</w:t>
      </w:r>
    </w:p>
    <w:p w:rsidR="004E28FB" w:rsidRPr="00623E33" w:rsidRDefault="004E28FB" w:rsidP="002134F6">
      <w:r w:rsidRPr="00623E33">
        <w:t>In Europe life expectancy has been estimated to be reduced by almost 9 months through pollution from PM. A strong relationship between long-term ozone exposure and respiratory morbidity has been found where long-term measures of ozone exposure is linked to the onset of asthma in children and increased respiratory symptom effects in asthmatics (EPA, 2012).</w:t>
      </w:r>
    </w:p>
    <w:p w:rsidR="004E28FB" w:rsidRPr="00623E33" w:rsidRDefault="004E28FB" w:rsidP="002134F6">
      <w:r w:rsidRPr="00623E33">
        <w:t>Air pollution also has negative impacts on our environment, both in terms of direct effects of pollutants on vegetation, and indirectly through effects on the acid and nutrient status of soils and waters.</w:t>
      </w:r>
    </w:p>
    <w:p w:rsidR="004E28FB" w:rsidRDefault="004E28FB" w:rsidP="002134F6">
      <w:r w:rsidRPr="00623E33">
        <w:t xml:space="preserve">Action to manage and improve air quality is largely driven by European (EU) legislation. The 2008 </w:t>
      </w:r>
      <w:hyperlink r:id="rId19" w:tgtFrame="_blank" w:tooltip="opens new window" w:history="1">
        <w:r w:rsidRPr="00623E33">
          <w:t>ambient air quality directive (2008/50/EC)</w:t>
        </w:r>
      </w:hyperlink>
      <w:r w:rsidRPr="00623E33">
        <w:t xml:space="preserve"> sets legally binding limits for concentrations in outdoor air of major air pollutants that impact public health such as particulate matter (PM</w:t>
      </w:r>
      <w:r w:rsidRPr="00E16EFF">
        <w:rPr>
          <w:vertAlign w:val="subscript"/>
        </w:rPr>
        <w:t>10</w:t>
      </w:r>
      <w:r w:rsidRPr="00623E33">
        <w:t xml:space="preserve"> and PM</w:t>
      </w:r>
      <w:r w:rsidRPr="00E16EFF">
        <w:rPr>
          <w:vertAlign w:val="subscript"/>
        </w:rPr>
        <w:t>2.5</w:t>
      </w:r>
      <w:r w:rsidRPr="00623E33">
        <w:t>) and nitrogen dioxide (NO</w:t>
      </w:r>
      <w:r w:rsidRPr="004E28FB">
        <w:rPr>
          <w:vertAlign w:val="subscript"/>
        </w:rPr>
        <w:t>2</w:t>
      </w:r>
      <w:r w:rsidRPr="00623E33">
        <w:t xml:space="preserve">) as well as pollutants which have impacts upon sensitive habitats such as ozone and oxides of </w:t>
      </w:r>
      <w:r w:rsidRPr="00324471">
        <w:t>nitrogen</w:t>
      </w:r>
      <w:r>
        <w:t>. H</w:t>
      </w:r>
      <w:r w:rsidRPr="00623E33">
        <w:t xml:space="preserve">aving direct effects, these pollutants can combine in the atmosphere to form </w:t>
      </w:r>
      <w:r>
        <w:t xml:space="preserve">ground-level (i.e. tropospheric) </w:t>
      </w:r>
      <w:r w:rsidRPr="00623E33">
        <w:t>ozone, a harmful air pollutant (and potent greenhouse gas) which can be transported great dista</w:t>
      </w:r>
      <w:r>
        <w:t>nces by weather systems.</w:t>
      </w:r>
    </w:p>
    <w:p w:rsidR="004E28FB" w:rsidRDefault="004E28FB" w:rsidP="002134F6">
      <w:r w:rsidRPr="00623E33">
        <w:t xml:space="preserve">The objective of European </w:t>
      </w:r>
      <w:r>
        <w:t xml:space="preserve">Air Quality Directives </w:t>
      </w:r>
      <w:r w:rsidRPr="00623E33">
        <w:t xml:space="preserve">are to ensure that all citizens should have access to outdoor air without significant risk to their </w:t>
      </w:r>
      <w:r w:rsidRPr="00567B5C">
        <w:t>health ensuring effective protection against harmful effects on vegetation and ecosystems from exposure to ozone.</w:t>
      </w:r>
    </w:p>
    <w:p w:rsidR="004E28FB" w:rsidRPr="004E28FB" w:rsidRDefault="004E28FB" w:rsidP="004E28FB">
      <w:pPr>
        <w:pStyle w:val="Heading2"/>
        <w:rPr>
          <w:rStyle w:val="Strong"/>
          <w:b/>
          <w:bCs w:val="0"/>
        </w:rPr>
      </w:pPr>
      <w:bookmarkStart w:id="14" w:name="_Toc386499705"/>
      <w:bookmarkStart w:id="15" w:name="_Toc386503158"/>
      <w:bookmarkStart w:id="16" w:name="_Toc386503380"/>
      <w:bookmarkStart w:id="17" w:name="_Toc386503541"/>
      <w:bookmarkStart w:id="18" w:name="_Toc386503702"/>
      <w:bookmarkStart w:id="19" w:name="_Toc386503863"/>
      <w:bookmarkStart w:id="20" w:name="_Toc383735115"/>
      <w:bookmarkStart w:id="21" w:name="_Toc383736781"/>
      <w:bookmarkStart w:id="22" w:name="_Toc383738748"/>
      <w:bookmarkStart w:id="23" w:name="_Toc383764318"/>
      <w:bookmarkStart w:id="24" w:name="_Toc383735116"/>
      <w:bookmarkStart w:id="25" w:name="_Toc383736782"/>
      <w:bookmarkStart w:id="26" w:name="_Toc383738749"/>
      <w:bookmarkStart w:id="27" w:name="_Toc383764319"/>
      <w:bookmarkStart w:id="28" w:name="_Toc383738750"/>
      <w:bookmarkStart w:id="29" w:name="_Toc392598871"/>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4E28FB">
        <w:rPr>
          <w:rStyle w:val="Strong"/>
          <w:b/>
          <w:bCs w:val="0"/>
        </w:rPr>
        <w:t xml:space="preserve">Main terms within both the Clean Air for Europe </w:t>
      </w:r>
      <w:hyperlink r:id="rId20" w:tgtFrame="_blank" w:tooltip="opens new window" w:history="1">
        <w:r w:rsidRPr="004E28FB">
          <w:rPr>
            <w:rStyle w:val="Strong"/>
            <w:b/>
            <w:bCs w:val="0"/>
          </w:rPr>
          <w:t xml:space="preserve"> Directive (2008/50/EC)</w:t>
        </w:r>
      </w:hyperlink>
      <w:r w:rsidRPr="004E28FB">
        <w:rPr>
          <w:rStyle w:val="Strong"/>
          <w:b/>
          <w:bCs w:val="0"/>
        </w:rPr>
        <w:t xml:space="preserve"> and Fourth </w:t>
      </w:r>
      <w:hyperlink r:id="rId21" w:history="1">
        <w:r w:rsidRPr="004E28FB">
          <w:rPr>
            <w:rStyle w:val="Strong"/>
            <w:b/>
            <w:bCs w:val="0"/>
          </w:rPr>
          <w:t xml:space="preserve"> Air</w:t>
        </w:r>
        <w:r>
          <w:rPr>
            <w:rStyle w:val="Strong"/>
            <w:b/>
            <w:bCs w:val="0"/>
          </w:rPr>
          <w:t xml:space="preserve"> Q</w:t>
        </w:r>
        <w:r w:rsidRPr="004E28FB">
          <w:rPr>
            <w:rStyle w:val="Strong"/>
            <w:b/>
            <w:bCs w:val="0"/>
          </w:rPr>
          <w:t xml:space="preserve">uality </w:t>
        </w:r>
        <w:r>
          <w:rPr>
            <w:rStyle w:val="Strong"/>
            <w:b/>
            <w:bCs w:val="0"/>
          </w:rPr>
          <w:t>D</w:t>
        </w:r>
        <w:r w:rsidRPr="004E28FB">
          <w:rPr>
            <w:rStyle w:val="Strong"/>
            <w:b/>
            <w:bCs w:val="0"/>
          </w:rPr>
          <w:t xml:space="preserve">aughter </w:t>
        </w:r>
        <w:r>
          <w:rPr>
            <w:rStyle w:val="Strong"/>
            <w:b/>
            <w:bCs w:val="0"/>
          </w:rPr>
          <w:t>D</w:t>
        </w:r>
        <w:r w:rsidRPr="004E28FB">
          <w:rPr>
            <w:rStyle w:val="Strong"/>
            <w:b/>
            <w:bCs w:val="0"/>
          </w:rPr>
          <w:t>irective (2004/107/EC</w:t>
        </w:r>
      </w:hyperlink>
      <w:r w:rsidRPr="004E28FB">
        <w:rPr>
          <w:rStyle w:val="Strong"/>
          <w:b/>
          <w:bCs w:val="0"/>
        </w:rPr>
        <w:t>)</w:t>
      </w:r>
      <w:bookmarkEnd w:id="28"/>
      <w:bookmarkEnd w:id="29"/>
    </w:p>
    <w:p w:rsidR="004E28FB" w:rsidRPr="00603BD4" w:rsidRDefault="004E28FB" w:rsidP="002134F6">
      <w:r w:rsidRPr="00623E33">
        <w:t>The 2008 directive replaced nearly all the previous EU air quality legislation</w:t>
      </w:r>
      <w:r>
        <w:t xml:space="preserve">. The </w:t>
      </w:r>
      <w:hyperlink r:id="rId22" w:history="1">
        <w:r w:rsidRPr="00623E33">
          <w:t>4th air quality daughter directive (2004/107/EC</w:t>
        </w:r>
      </w:hyperlink>
      <w:r w:rsidRPr="00623E33">
        <w:t>) set targets for certain toxic heavy metals and polycycl</w:t>
      </w:r>
      <w:r>
        <w:t xml:space="preserve">ic aromatic hydrocarbons </w:t>
      </w:r>
      <w:r w:rsidRPr="00623E33">
        <w:t xml:space="preserve">levels in </w:t>
      </w:r>
      <w:r>
        <w:t xml:space="preserve">ambient air. Ambient air, according to the directives, is </w:t>
      </w:r>
      <w:r w:rsidRPr="00603BD4">
        <w:t>outdoor air at ground or near ground level. Both indoor air and workplace environments are discounted.</w:t>
      </w:r>
    </w:p>
    <w:p w:rsidR="004E28FB" w:rsidRPr="00623E33" w:rsidRDefault="004E28FB" w:rsidP="002134F6">
      <w:r w:rsidRPr="00623E33">
        <w:t>Separate legislation exists in Europe for emissions of air pollutants with the main legislation being the U</w:t>
      </w:r>
      <w:hyperlink r:id="rId23" w:history="1">
        <w:r w:rsidRPr="00623E33">
          <w:t>NECE Gothenburg Protocol</w:t>
        </w:r>
      </w:hyperlink>
      <w:r w:rsidRPr="00623E33">
        <w:t xml:space="preserve"> which sets national emission limits (ceilings) for SO</w:t>
      </w:r>
      <w:r w:rsidRPr="004E28FB">
        <w:rPr>
          <w:vertAlign w:val="subscript"/>
        </w:rPr>
        <w:t>2</w:t>
      </w:r>
      <w:r w:rsidRPr="00623E33">
        <w:t>, NO</w:t>
      </w:r>
      <w:r>
        <w:t>x</w:t>
      </w:r>
      <w:r w:rsidRPr="00623E33">
        <w:t>, NH</w:t>
      </w:r>
      <w:r w:rsidRPr="004E28FB">
        <w:rPr>
          <w:vertAlign w:val="subscript"/>
        </w:rPr>
        <w:t>3</w:t>
      </w:r>
      <w:r w:rsidRPr="00623E33">
        <w:t xml:space="preserve"> and </w:t>
      </w:r>
      <w:r w:rsidRPr="00623E33">
        <w:lastRenderedPageBreak/>
        <w:t>volatile organic compounds for countries to meet from 2010 onwards. Similar ceilings have since been set in European l</w:t>
      </w:r>
      <w:r>
        <w:t>egislation</w:t>
      </w:r>
      <w:r w:rsidRPr="00623E33">
        <w:t xml:space="preserve"> under the 2001 </w:t>
      </w:r>
      <w:hyperlink r:id="rId24" w:history="1">
        <w:r w:rsidRPr="00623E33">
          <w:t>National Emission Ceilings Directive (2001/81/EC)</w:t>
        </w:r>
      </w:hyperlink>
      <w:r>
        <w:t xml:space="preserve">. </w:t>
      </w:r>
    </w:p>
    <w:p w:rsidR="004E28FB" w:rsidRPr="003B02CE" w:rsidRDefault="004E28FB" w:rsidP="002134F6">
      <w:r>
        <w:t xml:space="preserve">The </w:t>
      </w:r>
      <w:r w:rsidRPr="003B02CE">
        <w:t xml:space="preserve">EU </w:t>
      </w:r>
      <w:r>
        <w:t xml:space="preserve">directives require a ‘Common Approach’ when </w:t>
      </w:r>
      <w:r w:rsidRPr="003B02CE">
        <w:t>assessing ambient air.</w:t>
      </w:r>
    </w:p>
    <w:p w:rsidR="004E28FB" w:rsidRPr="003B02CE" w:rsidRDefault="004E28FB" w:rsidP="002134F6">
      <w:r w:rsidRPr="003B02CE">
        <w:t>This relates to:</w:t>
      </w:r>
    </w:p>
    <w:p w:rsidR="004E28FB" w:rsidRPr="003B02CE" w:rsidRDefault="004E28FB" w:rsidP="002134F6">
      <w:pPr>
        <w:pStyle w:val="ListParagraph"/>
      </w:pPr>
      <w:r w:rsidRPr="003B02CE">
        <w:t>Measurement method used  </w:t>
      </w:r>
    </w:p>
    <w:p w:rsidR="004E28FB" w:rsidRPr="003B02CE" w:rsidRDefault="004E28FB" w:rsidP="002134F6">
      <w:pPr>
        <w:pStyle w:val="ListParagraph"/>
      </w:pPr>
      <w:r w:rsidRPr="003B02CE">
        <w:t>Location and number of sample points</w:t>
      </w:r>
    </w:p>
    <w:p w:rsidR="004E28FB" w:rsidRDefault="004E28FB" w:rsidP="002134F6">
      <w:pPr>
        <w:pStyle w:val="ListParagraph"/>
      </w:pPr>
      <w:r w:rsidRPr="003B02CE">
        <w:t>Concentration thresholds</w:t>
      </w:r>
    </w:p>
    <w:p w:rsidR="004E28FB" w:rsidRPr="006D6B75" w:rsidRDefault="004E28FB" w:rsidP="002134F6">
      <w:pPr>
        <w:pStyle w:val="Heading3"/>
      </w:pPr>
      <w:bookmarkStart w:id="30" w:name="_Toc392596363"/>
      <w:r w:rsidRPr="006D6B75">
        <w:t>Measurements Used</w:t>
      </w:r>
      <w:bookmarkEnd w:id="30"/>
    </w:p>
    <w:p w:rsidR="004E28FB" w:rsidRDefault="004E28FB" w:rsidP="00FD3EBC">
      <w:r>
        <w:t>To maintain the principal of a ‘common approach’, the directives contain a set of prescribed technical and quantitative methods which are required for the operation of a national air quality monitoring and assessment programme to an EU standard. These include use of ‘</w:t>
      </w:r>
      <w:r w:rsidRPr="003B02CE">
        <w:t>Reference Method</w:t>
      </w:r>
      <w:r>
        <w:t>’ detection systems, mandatory sampling at ‘Urban background locations’, incorporation of a ‘margin of tolerance’ into the assessment during the establishment of national network.</w:t>
      </w:r>
    </w:p>
    <w:p w:rsidR="004E28FB" w:rsidRPr="002134F6" w:rsidRDefault="004E28FB" w:rsidP="002134F6">
      <w:pPr>
        <w:pStyle w:val="ListParagraph"/>
      </w:pPr>
      <w:r w:rsidRPr="002134F6">
        <w:t xml:space="preserve">Reference Method – approved internationally established (ISO) and </w:t>
      </w:r>
      <w:proofErr w:type="spellStart"/>
      <w:r w:rsidRPr="002134F6">
        <w:t>standardised</w:t>
      </w:r>
      <w:proofErr w:type="spellEnd"/>
      <w:r w:rsidRPr="002134F6">
        <w:t xml:space="preserve"> sampling and detection method</w:t>
      </w:r>
    </w:p>
    <w:p w:rsidR="004E28FB" w:rsidRPr="002134F6" w:rsidRDefault="004E28FB" w:rsidP="002134F6">
      <w:pPr>
        <w:pStyle w:val="ListParagraph"/>
      </w:pPr>
      <w:r w:rsidRPr="002134F6">
        <w:t>Urban back ground locations shall mean places in urban areas where levels are representative of the exposure of the general urban population</w:t>
      </w:r>
    </w:p>
    <w:p w:rsidR="004E28FB" w:rsidRPr="004E28FB" w:rsidRDefault="004E28FB" w:rsidP="002134F6">
      <w:pPr>
        <w:pStyle w:val="ListParagraph"/>
      </w:pPr>
      <w:r w:rsidRPr="002134F6">
        <w:t xml:space="preserve">Margin of tolerance – shall mean the percentage of the limit value by which that value may be exceeded subject to the conditions laid down in this </w:t>
      </w:r>
      <w:r w:rsidR="002134F6">
        <w:t>Directive</w:t>
      </w:r>
    </w:p>
    <w:p w:rsidR="004E28FB" w:rsidRPr="00F35852" w:rsidRDefault="004E28FB" w:rsidP="002134F6">
      <w:pPr>
        <w:pStyle w:val="Heading3"/>
      </w:pPr>
      <w:bookmarkStart w:id="31" w:name="_Toc392596364"/>
      <w:r w:rsidRPr="00F35852">
        <w:t>Loc</w:t>
      </w:r>
      <w:r>
        <w:t>ation and number of sampling</w:t>
      </w:r>
      <w:r w:rsidRPr="00F35852">
        <w:t xml:space="preserve"> points</w:t>
      </w:r>
      <w:bookmarkEnd w:id="31"/>
      <w:r w:rsidRPr="00F35852">
        <w:t xml:space="preserve"> </w:t>
      </w:r>
    </w:p>
    <w:p w:rsidR="004E28FB" w:rsidRDefault="004E28FB" w:rsidP="002134F6">
      <w:r>
        <w:t>In order to establish a uniform distribution of monitoring sites across member states, the Directives have specified that a series of ‘z</w:t>
      </w:r>
      <w:r w:rsidRPr="003B02CE">
        <w:t>ones</w:t>
      </w:r>
      <w:r>
        <w:t>’ and ‘agglomerations’ are determined, which are regional areas within which a specified number of monitoring sites or assessment sites are established.</w:t>
      </w:r>
    </w:p>
    <w:p w:rsidR="004E28FB" w:rsidRPr="003B02CE" w:rsidRDefault="004E28FB" w:rsidP="002134F6">
      <w:pPr>
        <w:pStyle w:val="ListParagraph"/>
      </w:pPr>
      <w:r>
        <w:t>Zone -</w:t>
      </w:r>
      <w:r w:rsidRPr="003B02CE">
        <w:t xml:space="preserve"> an area of the country defined for the purposes of air quality assessment</w:t>
      </w:r>
    </w:p>
    <w:p w:rsidR="004E28FB" w:rsidRPr="003B02CE" w:rsidRDefault="004E28FB" w:rsidP="002134F6">
      <w:pPr>
        <w:pStyle w:val="ListParagraph"/>
      </w:pPr>
      <w:r w:rsidRPr="003B02CE">
        <w:t>Agglomeration – a zone which has a population in excess of</w:t>
      </w:r>
      <w:r>
        <w:t xml:space="preserve"> </w:t>
      </w:r>
      <w:r w:rsidRPr="003B02CE">
        <w:t>250,000</w:t>
      </w:r>
    </w:p>
    <w:p w:rsidR="004E28FB" w:rsidRDefault="004E28FB" w:rsidP="002134F6">
      <w:r>
        <w:t xml:space="preserve">Two assessment thresholds are used to determine exactly what intensity and type of ambient air quality sampling will be used in the long-term within each zone or agglomeration. Air pollutants are assessed as to whether their concentration falls below the ‘lower assessment threshold’, between ‘upper’ and ‘lower assessment thresholds’, or above the ‘upper assessment threshold’. </w:t>
      </w:r>
    </w:p>
    <w:p w:rsidR="004E28FB" w:rsidRPr="00241529" w:rsidRDefault="004E28FB" w:rsidP="002134F6">
      <w:pPr>
        <w:pStyle w:val="ListParagraph"/>
      </w:pPr>
      <w:r>
        <w:t>Upper Assessment Threshold –</w:t>
      </w:r>
      <w:r w:rsidRPr="00241529">
        <w:t>a pollution level above which long-term ‘fixed measurements’ are required;</w:t>
      </w:r>
    </w:p>
    <w:p w:rsidR="004E28FB" w:rsidRDefault="004E28FB" w:rsidP="002134F6">
      <w:pPr>
        <w:pStyle w:val="ListParagraph"/>
      </w:pPr>
      <w:r>
        <w:t xml:space="preserve">Lower Assessment Threshold – </w:t>
      </w:r>
      <w:r w:rsidRPr="003B02CE">
        <w:t>a po</w:t>
      </w:r>
      <w:r>
        <w:t>llution level below which only air quality modelling and /or ‘indicative measurements’ are required;</w:t>
      </w:r>
    </w:p>
    <w:p w:rsidR="004E28FB" w:rsidRDefault="004E28FB" w:rsidP="002134F6">
      <w:pPr>
        <w:pStyle w:val="ListParagraph"/>
      </w:pPr>
      <w:r>
        <w:t>Fixed measurements – samples collected from fixed monitoring sites, either continuously or by random sampling;</w:t>
      </w:r>
    </w:p>
    <w:p w:rsidR="004E28FB" w:rsidRDefault="004E28FB" w:rsidP="002134F6">
      <w:pPr>
        <w:pStyle w:val="ListParagraph"/>
      </w:pPr>
      <w:r>
        <w:t>Indicative measurements – samples collected which meet data quality objectives, though are less strict than those required for fixed measurements.</w:t>
      </w:r>
    </w:p>
    <w:p w:rsidR="004E28FB" w:rsidRPr="00F35852" w:rsidRDefault="004E28FB" w:rsidP="002134F6">
      <w:pPr>
        <w:pStyle w:val="Heading3"/>
      </w:pPr>
      <w:bookmarkStart w:id="32" w:name="_Toc392596365"/>
      <w:r w:rsidRPr="00F35852">
        <w:t>Concentration thresholds</w:t>
      </w:r>
      <w:bookmarkEnd w:id="32"/>
      <w:r w:rsidRPr="00F35852">
        <w:t xml:space="preserve"> </w:t>
      </w:r>
    </w:p>
    <w:p w:rsidR="004E28FB" w:rsidRPr="00603BD4" w:rsidRDefault="004E28FB" w:rsidP="002134F6">
      <w:r>
        <w:t>From subsequent ambient air quality data collected, both the ‘a</w:t>
      </w:r>
      <w:r w:rsidRPr="00603BD4">
        <w:t xml:space="preserve">verage exposure indicator’ and ‘national exposure reduction </w:t>
      </w:r>
      <w:r w:rsidRPr="006D6B75">
        <w:t>targets</w:t>
      </w:r>
      <w:r>
        <w:t>’ can be evaluated</w:t>
      </w:r>
      <w:r w:rsidRPr="00603BD4">
        <w:t>.</w:t>
      </w:r>
    </w:p>
    <w:p w:rsidR="004E28FB" w:rsidRPr="00F4461B" w:rsidRDefault="004E28FB" w:rsidP="002134F6">
      <w:pPr>
        <w:pStyle w:val="ListParagraph"/>
      </w:pPr>
      <w:r w:rsidRPr="00F4461B">
        <w:lastRenderedPageBreak/>
        <w:t xml:space="preserve">Average exposure indicator </w:t>
      </w:r>
      <w:r>
        <w:t xml:space="preserve">– </w:t>
      </w:r>
      <w:r w:rsidRPr="00F4461B">
        <w:t>the average level from measurements made at urban background locations which reflects population exposure</w:t>
      </w:r>
      <w:r>
        <w:t>;</w:t>
      </w:r>
    </w:p>
    <w:p w:rsidR="004E28FB" w:rsidRPr="00F4461B" w:rsidRDefault="004E28FB" w:rsidP="002134F6">
      <w:pPr>
        <w:pStyle w:val="ListParagraph"/>
      </w:pPr>
      <w:r w:rsidRPr="00F4461B">
        <w:t xml:space="preserve">National exposure reduction target </w:t>
      </w:r>
      <w:r>
        <w:t xml:space="preserve">– </w:t>
      </w:r>
      <w:r w:rsidRPr="00F4461B">
        <w:t xml:space="preserve">shall mean a percentage reduction of the average exposure of the population of a member </w:t>
      </w:r>
      <w:r>
        <w:t>s</w:t>
      </w:r>
      <w:r w:rsidRPr="00F4461B">
        <w:t>tate set for the reference year with the aim of reducing harmful effects on human health, to be attained where possible over a given period</w:t>
      </w:r>
      <w:r>
        <w:t>.</w:t>
      </w:r>
    </w:p>
    <w:p w:rsidR="004E28FB" w:rsidRDefault="004E28FB" w:rsidP="002134F6">
      <w:r>
        <w:t>In the long-term air quality is then assessed against both ‘t</w:t>
      </w:r>
      <w:r w:rsidRPr="003B02CE">
        <w:t>arget value</w:t>
      </w:r>
      <w:r>
        <w:t>s’, ‘l</w:t>
      </w:r>
      <w:r w:rsidRPr="003B02CE">
        <w:t xml:space="preserve">imit </w:t>
      </w:r>
      <w:r>
        <w:t>v</w:t>
      </w:r>
      <w:r w:rsidRPr="003B02CE">
        <w:t>alues</w:t>
      </w:r>
      <w:r>
        <w:t>’ for human health and ‘critical levels’ for ecosystem protection.</w:t>
      </w:r>
    </w:p>
    <w:p w:rsidR="004E28FB" w:rsidRPr="003B02CE" w:rsidRDefault="004E28FB" w:rsidP="002134F6">
      <w:pPr>
        <w:pStyle w:val="ListParagraph"/>
      </w:pPr>
      <w:r w:rsidRPr="003B02CE">
        <w:t>Target value</w:t>
      </w:r>
      <w:r>
        <w:t xml:space="preserve">s </w:t>
      </w:r>
      <w:r w:rsidRPr="003B02CE">
        <w:t>– a concentration which should not be  exceeded where possible</w:t>
      </w:r>
      <w:r>
        <w:t>;</w:t>
      </w:r>
    </w:p>
    <w:p w:rsidR="004E28FB" w:rsidRPr="003B02CE" w:rsidRDefault="004E28FB" w:rsidP="002134F6">
      <w:pPr>
        <w:pStyle w:val="ListParagraph"/>
      </w:pPr>
      <w:r w:rsidRPr="003B02CE">
        <w:t>Limit Values – a statutory conc</w:t>
      </w:r>
      <w:r>
        <w:t xml:space="preserve">entration not to be exceeded </w:t>
      </w:r>
      <w:r w:rsidRPr="003B02CE">
        <w:t>across a set time</w:t>
      </w:r>
      <w:r>
        <w:t>;</w:t>
      </w:r>
    </w:p>
    <w:p w:rsidR="004E28FB" w:rsidRPr="002134F6" w:rsidRDefault="004E28FB" w:rsidP="002134F6">
      <w:pPr>
        <w:pStyle w:val="ListParagraph"/>
      </w:pPr>
      <w:r>
        <w:t>Critical levels –  a level above which direct adverse effects may occur on some receptors, such as trees, other plants or natural eco-systems but not on humans.</w:t>
      </w:r>
    </w:p>
    <w:p w:rsidR="004E28FB" w:rsidRPr="004E28FB" w:rsidRDefault="004E28FB" w:rsidP="004E28FB">
      <w:pPr>
        <w:pStyle w:val="Heading2"/>
        <w:rPr>
          <w:rStyle w:val="Strong"/>
          <w:b/>
          <w:bCs w:val="0"/>
        </w:rPr>
      </w:pPr>
      <w:bookmarkStart w:id="33" w:name="_Toc386499707"/>
      <w:bookmarkStart w:id="34" w:name="_Toc386503160"/>
      <w:bookmarkStart w:id="35" w:name="_Toc386503382"/>
      <w:bookmarkStart w:id="36" w:name="_Toc386503543"/>
      <w:bookmarkStart w:id="37" w:name="_Toc386503704"/>
      <w:bookmarkStart w:id="38" w:name="_Toc386503865"/>
      <w:bookmarkStart w:id="39" w:name="_Toc386499708"/>
      <w:bookmarkStart w:id="40" w:name="_Toc386503161"/>
      <w:bookmarkStart w:id="41" w:name="_Toc386503383"/>
      <w:bookmarkStart w:id="42" w:name="_Toc386503544"/>
      <w:bookmarkStart w:id="43" w:name="_Toc386503705"/>
      <w:bookmarkStart w:id="44" w:name="_Toc386503866"/>
      <w:bookmarkStart w:id="45" w:name="_Toc386499709"/>
      <w:bookmarkStart w:id="46" w:name="_Toc386503162"/>
      <w:bookmarkStart w:id="47" w:name="_Toc386503384"/>
      <w:bookmarkStart w:id="48" w:name="_Toc386503545"/>
      <w:bookmarkStart w:id="49" w:name="_Toc386503706"/>
      <w:bookmarkStart w:id="50" w:name="_Toc386503867"/>
      <w:bookmarkStart w:id="51" w:name="_Toc386499710"/>
      <w:bookmarkStart w:id="52" w:name="_Toc386503163"/>
      <w:bookmarkStart w:id="53" w:name="_Toc386503385"/>
      <w:bookmarkStart w:id="54" w:name="_Toc386503546"/>
      <w:bookmarkStart w:id="55" w:name="_Toc386503707"/>
      <w:bookmarkStart w:id="56" w:name="_Toc386503868"/>
      <w:bookmarkStart w:id="57" w:name="_Toc386499712"/>
      <w:bookmarkStart w:id="58" w:name="_Toc386503165"/>
      <w:bookmarkStart w:id="59" w:name="_Toc386503387"/>
      <w:bookmarkStart w:id="60" w:name="_Toc386503548"/>
      <w:bookmarkStart w:id="61" w:name="_Toc386503709"/>
      <w:bookmarkStart w:id="62" w:name="_Toc386503870"/>
      <w:bookmarkStart w:id="63" w:name="_Toc386499713"/>
      <w:bookmarkStart w:id="64" w:name="_Toc386503166"/>
      <w:bookmarkStart w:id="65" w:name="_Toc386503388"/>
      <w:bookmarkStart w:id="66" w:name="_Toc386503549"/>
      <w:bookmarkStart w:id="67" w:name="_Toc386503710"/>
      <w:bookmarkStart w:id="68" w:name="_Toc386503871"/>
      <w:bookmarkStart w:id="69" w:name="_Toc386499714"/>
      <w:bookmarkStart w:id="70" w:name="_Toc386503167"/>
      <w:bookmarkStart w:id="71" w:name="_Toc386503389"/>
      <w:bookmarkStart w:id="72" w:name="_Toc386503550"/>
      <w:bookmarkStart w:id="73" w:name="_Toc386503711"/>
      <w:bookmarkStart w:id="74" w:name="_Toc386503872"/>
      <w:bookmarkStart w:id="75" w:name="_Toc386499715"/>
      <w:bookmarkStart w:id="76" w:name="_Toc386503168"/>
      <w:bookmarkStart w:id="77" w:name="_Toc386503390"/>
      <w:bookmarkStart w:id="78" w:name="_Toc386503551"/>
      <w:bookmarkStart w:id="79" w:name="_Toc386503712"/>
      <w:bookmarkStart w:id="80" w:name="_Toc386503873"/>
      <w:bookmarkStart w:id="81" w:name="_Toc386499716"/>
      <w:bookmarkStart w:id="82" w:name="_Toc386503169"/>
      <w:bookmarkStart w:id="83" w:name="_Toc386503391"/>
      <w:bookmarkStart w:id="84" w:name="_Toc386503552"/>
      <w:bookmarkStart w:id="85" w:name="_Toc386503713"/>
      <w:bookmarkStart w:id="86" w:name="_Toc386503874"/>
      <w:bookmarkStart w:id="87" w:name="_Toc386499717"/>
      <w:bookmarkStart w:id="88" w:name="_Toc386503170"/>
      <w:bookmarkStart w:id="89" w:name="_Toc386503392"/>
      <w:bookmarkStart w:id="90" w:name="_Toc386503553"/>
      <w:bookmarkStart w:id="91" w:name="_Toc386503714"/>
      <w:bookmarkStart w:id="92" w:name="_Toc386503875"/>
      <w:bookmarkStart w:id="93" w:name="_Toc386499718"/>
      <w:bookmarkStart w:id="94" w:name="_Toc386503171"/>
      <w:bookmarkStart w:id="95" w:name="_Toc386503393"/>
      <w:bookmarkStart w:id="96" w:name="_Toc386503554"/>
      <w:bookmarkStart w:id="97" w:name="_Toc386503715"/>
      <w:bookmarkStart w:id="98" w:name="_Toc386503876"/>
      <w:bookmarkStart w:id="99" w:name="_Toc386499719"/>
      <w:bookmarkStart w:id="100" w:name="_Toc386503172"/>
      <w:bookmarkStart w:id="101" w:name="_Toc386503394"/>
      <w:bookmarkStart w:id="102" w:name="_Toc386503555"/>
      <w:bookmarkStart w:id="103" w:name="_Toc386503716"/>
      <w:bookmarkStart w:id="104" w:name="_Toc386503877"/>
      <w:bookmarkStart w:id="105" w:name="_Toc386499720"/>
      <w:bookmarkStart w:id="106" w:name="_Toc386503173"/>
      <w:bookmarkStart w:id="107" w:name="_Toc386503395"/>
      <w:bookmarkStart w:id="108" w:name="_Toc386503556"/>
      <w:bookmarkStart w:id="109" w:name="_Toc386503717"/>
      <w:bookmarkStart w:id="110" w:name="_Toc386503878"/>
      <w:bookmarkStart w:id="111" w:name="_Toc386499721"/>
      <w:bookmarkStart w:id="112" w:name="_Toc386503174"/>
      <w:bookmarkStart w:id="113" w:name="_Toc386503396"/>
      <w:bookmarkStart w:id="114" w:name="_Toc386503557"/>
      <w:bookmarkStart w:id="115" w:name="_Toc386503718"/>
      <w:bookmarkStart w:id="116" w:name="_Toc386503879"/>
      <w:bookmarkStart w:id="117" w:name="_Toc386499722"/>
      <w:bookmarkStart w:id="118" w:name="_Toc386503175"/>
      <w:bookmarkStart w:id="119" w:name="_Toc386503397"/>
      <w:bookmarkStart w:id="120" w:name="_Toc386503558"/>
      <w:bookmarkStart w:id="121" w:name="_Toc386503719"/>
      <w:bookmarkStart w:id="122" w:name="_Toc386503880"/>
      <w:bookmarkStart w:id="123" w:name="_Toc386499723"/>
      <w:bookmarkStart w:id="124" w:name="_Toc386503176"/>
      <w:bookmarkStart w:id="125" w:name="_Toc386503398"/>
      <w:bookmarkStart w:id="126" w:name="_Toc386503559"/>
      <w:bookmarkStart w:id="127" w:name="_Toc386503720"/>
      <w:bookmarkStart w:id="128" w:name="_Toc386503881"/>
      <w:bookmarkStart w:id="129" w:name="_Toc386499724"/>
      <w:bookmarkStart w:id="130" w:name="_Toc386503177"/>
      <w:bookmarkStart w:id="131" w:name="_Toc386503399"/>
      <w:bookmarkStart w:id="132" w:name="_Toc386503560"/>
      <w:bookmarkStart w:id="133" w:name="_Toc386503721"/>
      <w:bookmarkStart w:id="134" w:name="_Toc386503882"/>
      <w:bookmarkStart w:id="135" w:name="_Toc386499725"/>
      <w:bookmarkStart w:id="136" w:name="_Toc386503178"/>
      <w:bookmarkStart w:id="137" w:name="_Toc386503400"/>
      <w:bookmarkStart w:id="138" w:name="_Toc386503561"/>
      <w:bookmarkStart w:id="139" w:name="_Toc386503722"/>
      <w:bookmarkStart w:id="140" w:name="_Toc386503883"/>
      <w:bookmarkStart w:id="141" w:name="_Toc386499726"/>
      <w:bookmarkStart w:id="142" w:name="_Toc386503179"/>
      <w:bookmarkStart w:id="143" w:name="_Toc386503401"/>
      <w:bookmarkStart w:id="144" w:name="_Toc386503562"/>
      <w:bookmarkStart w:id="145" w:name="_Toc386503723"/>
      <w:bookmarkStart w:id="146" w:name="_Toc386503884"/>
      <w:bookmarkStart w:id="147" w:name="_Toc386499727"/>
      <w:bookmarkStart w:id="148" w:name="_Toc386503180"/>
      <w:bookmarkStart w:id="149" w:name="_Toc386503402"/>
      <w:bookmarkStart w:id="150" w:name="_Toc386503563"/>
      <w:bookmarkStart w:id="151" w:name="_Toc386503724"/>
      <w:bookmarkStart w:id="152" w:name="_Toc386503885"/>
      <w:bookmarkStart w:id="153" w:name="_Toc386499731"/>
      <w:bookmarkStart w:id="154" w:name="_Toc386503184"/>
      <w:bookmarkStart w:id="155" w:name="_Toc386503406"/>
      <w:bookmarkStart w:id="156" w:name="_Toc386503567"/>
      <w:bookmarkStart w:id="157" w:name="_Toc386503728"/>
      <w:bookmarkStart w:id="158" w:name="_Toc386503889"/>
      <w:bookmarkStart w:id="159" w:name="_Toc383735118"/>
      <w:bookmarkStart w:id="160" w:name="_Toc383736784"/>
      <w:bookmarkStart w:id="161" w:name="_Toc383738751"/>
      <w:bookmarkStart w:id="162" w:name="_Toc383738752"/>
      <w:bookmarkStart w:id="163" w:name="_Toc39259887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4E28FB">
        <w:rPr>
          <w:rStyle w:val="Strong"/>
          <w:b/>
          <w:bCs w:val="0"/>
        </w:rPr>
        <w:t>Limit values for protection of human health, vegetation and eco-systems</w:t>
      </w:r>
      <w:bookmarkEnd w:id="162"/>
      <w:bookmarkEnd w:id="163"/>
    </w:p>
    <w:p w:rsidR="004E28FB" w:rsidRPr="00623E33" w:rsidRDefault="004E28FB" w:rsidP="002134F6">
      <w:r w:rsidRPr="00623E33">
        <w:t xml:space="preserve">EU </w:t>
      </w:r>
      <w:r>
        <w:t>l</w:t>
      </w:r>
      <w:r w:rsidRPr="00623E33">
        <w:t>imit values (</w:t>
      </w:r>
      <w:r w:rsidRPr="004E28FB">
        <w:t xml:space="preserve">Table </w:t>
      </w:r>
      <w:r w:rsidRPr="004E28FB">
        <w:fldChar w:fldCharType="begin"/>
      </w:r>
      <w:r w:rsidRPr="004E28FB">
        <w:instrText xml:space="preserve"> STYLEREF 1 \s </w:instrText>
      </w:r>
      <w:r w:rsidRPr="004E28FB">
        <w:fldChar w:fldCharType="separate"/>
      </w:r>
      <w:r w:rsidRPr="004E28FB">
        <w:t>2</w:t>
      </w:r>
      <w:r w:rsidRPr="004E28FB">
        <w:fldChar w:fldCharType="end"/>
      </w:r>
      <w:r w:rsidRPr="004E28FB">
        <w:noBreakHyphen/>
        <w:t>1</w:t>
      </w:r>
      <w:r w:rsidRPr="00623E33">
        <w:t xml:space="preserve">) are legally binding EU parameters that must not be exceeded. Limit values are set for individual pollutants and are made up of a concentration value, an averaging time over which it is to be measured, the number of </w:t>
      </w:r>
      <w:proofErr w:type="spellStart"/>
      <w:r w:rsidRPr="00623E33">
        <w:t>exceedences</w:t>
      </w:r>
      <w:proofErr w:type="spellEnd"/>
      <w:r>
        <w:t xml:space="preserve"> </w:t>
      </w:r>
      <w:r w:rsidRPr="00623E33">
        <w:t>allowed per year, if any, and a date by which it must be achieved. Some pollutants have more than one limit value covering different endpoints or averaging times.</w:t>
      </w:r>
    </w:p>
    <w:p w:rsidR="004E28FB" w:rsidRPr="00623E33" w:rsidRDefault="004E28FB" w:rsidP="002134F6">
      <w:r w:rsidRPr="00623E33">
        <w:t>Target values, which are air quality objectives,</w:t>
      </w:r>
      <w:r>
        <w:t xml:space="preserve"> and</w:t>
      </w:r>
      <w:r w:rsidRPr="00623E33">
        <w:t xml:space="preserve"> which are not yet legally binding, are used in some EU Directives and are set out in the same way as limit values. They are to be attained where possible by taking all necessary measures not entailing disproportionate costs.</w:t>
      </w:r>
    </w:p>
    <w:p w:rsidR="004E28FB" w:rsidRPr="00623E33" w:rsidRDefault="004E28FB" w:rsidP="002134F6">
      <w:r w:rsidRPr="00623E33">
        <w:t xml:space="preserve">Averaging times for limit values reflect their health impacts across varying time periods. Where a particularly chemical species is known at high concentrations to have an acute health impact, then a very short averaging time (typically hourly) is used to reflect that particular impact. Where a chronic health impact is known to occur then a much longer averaging time (typically annually) is applied to the limit values. Chemical species may have more than one averaging time, as both acute and chronic health impacts may occur. </w:t>
      </w:r>
    </w:p>
    <w:p w:rsidR="004E28FB" w:rsidRPr="00BE726F" w:rsidRDefault="004E28FB" w:rsidP="00581A85">
      <w:pPr>
        <w:pStyle w:val="TOC1"/>
      </w:pPr>
      <w:r w:rsidRPr="00BE726F">
        <w:t xml:space="preserve">Table </w:t>
      </w:r>
      <w:r w:rsidR="005101F7">
        <w:fldChar w:fldCharType="begin"/>
      </w:r>
      <w:r w:rsidR="005101F7">
        <w:instrText xml:space="preserve"> STYLEREF 1 \s </w:instrText>
      </w:r>
      <w:r w:rsidR="005101F7">
        <w:fldChar w:fldCharType="separate"/>
      </w:r>
      <w:r w:rsidRPr="00BE726F">
        <w:t>2</w:t>
      </w:r>
      <w:r w:rsidR="005101F7">
        <w:fldChar w:fldCharType="end"/>
      </w:r>
      <w:r w:rsidRPr="00BE726F">
        <w:noBreakHyphen/>
      </w:r>
      <w:r w:rsidR="005101F7">
        <w:fldChar w:fldCharType="begin"/>
      </w:r>
      <w:r w:rsidR="005101F7">
        <w:instrText xml:space="preserve"> SEQ Table \* ARABIC \s 1 </w:instrText>
      </w:r>
      <w:r w:rsidR="005101F7">
        <w:fldChar w:fldCharType="separate"/>
      </w:r>
      <w:r w:rsidRPr="00BE726F">
        <w:t>1</w:t>
      </w:r>
      <w:r w:rsidR="005101F7">
        <w:fldChar w:fldCharType="end"/>
      </w:r>
      <w:r w:rsidRPr="00BE726F">
        <w:t xml:space="preserve"> European Air Quality Directive limit and target values for the protection of human health</w:t>
      </w:r>
    </w:p>
    <w:tbl>
      <w:tblPr>
        <w:tblStyle w:val="TableGrid"/>
        <w:tblW w:w="0" w:type="auto"/>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12" w:space="0" w:color="76923C" w:themeColor="accent3" w:themeShade="BF"/>
          <w:insideV w:val="single" w:sz="12" w:space="0" w:color="76923C" w:themeColor="accent3" w:themeShade="BF"/>
        </w:tblBorders>
        <w:tblLook w:val="04A0" w:firstRow="1" w:lastRow="0" w:firstColumn="1" w:lastColumn="0" w:noHBand="0" w:noVBand="1"/>
      </w:tblPr>
      <w:tblGrid>
        <w:gridCol w:w="1734"/>
        <w:gridCol w:w="1907"/>
        <w:gridCol w:w="1751"/>
        <w:gridCol w:w="1751"/>
        <w:gridCol w:w="2478"/>
      </w:tblGrid>
      <w:tr w:rsidR="004E28FB" w:rsidRPr="00623E33" w:rsidTr="00BE726F">
        <w:trPr>
          <w:tblHeader/>
        </w:trPr>
        <w:tc>
          <w:tcPr>
            <w:tcW w:w="0" w:type="auto"/>
            <w:shd w:val="clear" w:color="auto" w:fill="1F497D" w:themeFill="text2"/>
            <w:vAlign w:val="center"/>
          </w:tcPr>
          <w:p w:rsidR="004E28FB" w:rsidRPr="00623E33" w:rsidRDefault="004E28FB" w:rsidP="004E28FB">
            <w:pPr>
              <w:spacing w:before="40" w:after="40"/>
              <w:jc w:val="center"/>
              <w:rPr>
                <w:b/>
                <w:color w:val="FFFFFF" w:themeColor="background1"/>
                <w:sz w:val="20"/>
              </w:rPr>
            </w:pPr>
            <w:r w:rsidRPr="00623E33">
              <w:rPr>
                <w:b/>
                <w:color w:val="FFFFFF" w:themeColor="background1"/>
                <w:sz w:val="20"/>
              </w:rPr>
              <w:t>Pollutant</w:t>
            </w:r>
          </w:p>
        </w:tc>
        <w:tc>
          <w:tcPr>
            <w:tcW w:w="0" w:type="auto"/>
            <w:shd w:val="clear" w:color="auto" w:fill="1F497D" w:themeFill="text2"/>
            <w:vAlign w:val="center"/>
          </w:tcPr>
          <w:p w:rsidR="004E28FB" w:rsidRPr="00623E33" w:rsidRDefault="004E28FB" w:rsidP="004E28FB">
            <w:pPr>
              <w:spacing w:before="40" w:after="40"/>
              <w:jc w:val="center"/>
              <w:rPr>
                <w:b/>
                <w:color w:val="FFFFFF" w:themeColor="background1"/>
                <w:sz w:val="20"/>
              </w:rPr>
            </w:pPr>
            <w:r w:rsidRPr="00623E33">
              <w:rPr>
                <w:b/>
                <w:color w:val="FFFFFF" w:themeColor="background1"/>
                <w:sz w:val="20"/>
              </w:rPr>
              <w:t>Limit Value</w:t>
            </w:r>
          </w:p>
        </w:tc>
        <w:tc>
          <w:tcPr>
            <w:tcW w:w="0" w:type="auto"/>
            <w:shd w:val="clear" w:color="auto" w:fill="1F497D" w:themeFill="text2"/>
            <w:vAlign w:val="center"/>
          </w:tcPr>
          <w:p w:rsidR="004E28FB" w:rsidRPr="00623E33" w:rsidRDefault="004E28FB" w:rsidP="004E28FB">
            <w:pPr>
              <w:spacing w:before="40" w:after="40"/>
              <w:jc w:val="center"/>
              <w:rPr>
                <w:b/>
                <w:color w:val="FFFFFF" w:themeColor="background1"/>
                <w:sz w:val="20"/>
              </w:rPr>
            </w:pPr>
            <w:r w:rsidRPr="00623E33">
              <w:rPr>
                <w:b/>
                <w:color w:val="FFFFFF" w:themeColor="background1"/>
                <w:sz w:val="20"/>
              </w:rPr>
              <w:t>Concentration measured as</w:t>
            </w:r>
          </w:p>
        </w:tc>
        <w:tc>
          <w:tcPr>
            <w:tcW w:w="0" w:type="auto"/>
            <w:shd w:val="clear" w:color="auto" w:fill="1F497D" w:themeFill="text2"/>
            <w:vAlign w:val="center"/>
          </w:tcPr>
          <w:p w:rsidR="004E28FB" w:rsidRPr="00623E33" w:rsidRDefault="004E28FB" w:rsidP="004E28FB">
            <w:pPr>
              <w:spacing w:before="40" w:after="40"/>
              <w:jc w:val="center"/>
              <w:rPr>
                <w:b/>
                <w:color w:val="FFFFFF" w:themeColor="background1"/>
                <w:sz w:val="20"/>
              </w:rPr>
            </w:pPr>
            <w:r w:rsidRPr="00623E33">
              <w:rPr>
                <w:b/>
                <w:color w:val="FFFFFF" w:themeColor="background1"/>
                <w:sz w:val="20"/>
              </w:rPr>
              <w:t>Date to be achieved by and thereafter</w:t>
            </w:r>
          </w:p>
        </w:tc>
        <w:tc>
          <w:tcPr>
            <w:tcW w:w="0" w:type="auto"/>
            <w:shd w:val="clear" w:color="auto" w:fill="1F497D" w:themeFill="text2"/>
            <w:vAlign w:val="center"/>
          </w:tcPr>
          <w:p w:rsidR="004E28FB" w:rsidRPr="00BE726F" w:rsidRDefault="004E28FB" w:rsidP="00BE726F">
            <w:pPr>
              <w:spacing w:before="40" w:after="40"/>
              <w:jc w:val="center"/>
              <w:rPr>
                <w:b/>
                <w:color w:val="FFFFFF" w:themeColor="background1"/>
                <w:sz w:val="20"/>
                <w:vertAlign w:val="superscript"/>
              </w:rPr>
            </w:pPr>
            <w:r w:rsidRPr="00623E33">
              <w:rPr>
                <w:b/>
                <w:color w:val="FFFFFF" w:themeColor="background1"/>
                <w:sz w:val="20"/>
              </w:rPr>
              <w:t>Margin of Tolerance</w:t>
            </w:r>
            <w:r w:rsidR="00BE726F">
              <w:rPr>
                <w:b/>
                <w:color w:val="FFFFFF" w:themeColor="background1"/>
                <w:sz w:val="20"/>
              </w:rPr>
              <w:t xml:space="preserve"> </w:t>
            </w:r>
            <w:r w:rsidR="00BE726F">
              <w:rPr>
                <w:b/>
                <w:color w:val="FFFFFF" w:themeColor="background1"/>
                <w:sz w:val="20"/>
                <w:vertAlign w:val="superscript"/>
              </w:rPr>
              <w:t>1</w:t>
            </w:r>
          </w:p>
        </w:tc>
      </w:tr>
      <w:tr w:rsidR="004E28FB" w:rsidRPr="00623E33" w:rsidTr="00BE726F">
        <w:tc>
          <w:tcPr>
            <w:tcW w:w="0" w:type="auto"/>
            <w:vMerge w:val="restart"/>
            <w:vAlign w:val="center"/>
          </w:tcPr>
          <w:p w:rsidR="004E28FB" w:rsidRPr="00623E33" w:rsidRDefault="004E28FB" w:rsidP="00BE726F">
            <w:pPr>
              <w:spacing w:before="40" w:after="40"/>
              <w:jc w:val="left"/>
              <w:rPr>
                <w:b/>
                <w:sz w:val="20"/>
              </w:rPr>
            </w:pPr>
            <w:r w:rsidRPr="00623E33">
              <w:rPr>
                <w:b/>
                <w:sz w:val="20"/>
              </w:rPr>
              <w:t>PM</w:t>
            </w:r>
            <w:r w:rsidRPr="00623E33">
              <w:rPr>
                <w:b/>
                <w:sz w:val="20"/>
                <w:vertAlign w:val="subscript"/>
              </w:rPr>
              <w:t>10</w:t>
            </w:r>
          </w:p>
        </w:tc>
        <w:tc>
          <w:tcPr>
            <w:tcW w:w="0" w:type="auto"/>
            <w:vAlign w:val="center"/>
          </w:tcPr>
          <w:p w:rsidR="004E28FB" w:rsidRPr="00623E33" w:rsidRDefault="004E28FB" w:rsidP="00BE726F">
            <w:pPr>
              <w:spacing w:before="40" w:after="40"/>
              <w:jc w:val="left"/>
              <w:rPr>
                <w:sz w:val="20"/>
              </w:rPr>
            </w:pPr>
            <w:r w:rsidRPr="00623E33">
              <w:rPr>
                <w:sz w:val="20"/>
              </w:rPr>
              <w:t xml:space="preserve">50 </w:t>
            </w:r>
            <w:r w:rsidRPr="006C29D5">
              <w:rPr>
                <w:rFonts w:ascii="Symbol" w:hAnsi="Symbol"/>
                <w:sz w:val="20"/>
              </w:rPr>
              <w:t></w:t>
            </w:r>
            <w:r w:rsidRPr="00623E33">
              <w:rPr>
                <w:sz w:val="20"/>
              </w:rPr>
              <w:t>g/m</w:t>
            </w:r>
            <w:r w:rsidRPr="00623E33">
              <w:rPr>
                <w:sz w:val="20"/>
                <w:vertAlign w:val="superscript"/>
              </w:rPr>
              <w:t>3</w:t>
            </w:r>
            <w:r w:rsidRPr="00623E33">
              <w:rPr>
                <w:sz w:val="20"/>
              </w:rPr>
              <w:t xml:space="preserve"> not more than 35 times a year</w:t>
            </w:r>
          </w:p>
        </w:tc>
        <w:tc>
          <w:tcPr>
            <w:tcW w:w="0" w:type="auto"/>
            <w:vAlign w:val="center"/>
          </w:tcPr>
          <w:p w:rsidR="004E28FB" w:rsidRPr="00623E33" w:rsidRDefault="004E28FB" w:rsidP="00BE726F">
            <w:pPr>
              <w:spacing w:before="40" w:after="40"/>
              <w:jc w:val="left"/>
              <w:rPr>
                <w:sz w:val="20"/>
              </w:rPr>
            </w:pPr>
            <w:r w:rsidRPr="00623E33">
              <w:rPr>
                <w:sz w:val="20"/>
              </w:rPr>
              <w:t>24 hour mean</w:t>
            </w:r>
          </w:p>
        </w:tc>
        <w:tc>
          <w:tcPr>
            <w:tcW w:w="0" w:type="auto"/>
            <w:vAlign w:val="center"/>
          </w:tcPr>
          <w:p w:rsidR="004E28FB" w:rsidRPr="00623E33" w:rsidRDefault="004E28FB" w:rsidP="00BE726F">
            <w:pPr>
              <w:spacing w:before="40" w:after="40"/>
              <w:jc w:val="left"/>
              <w:rPr>
                <w:sz w:val="20"/>
              </w:rPr>
            </w:pPr>
            <w:r w:rsidRPr="00623E33">
              <w:rPr>
                <w:sz w:val="20"/>
              </w:rPr>
              <w:t>31 December 2004</w:t>
            </w:r>
          </w:p>
        </w:tc>
        <w:tc>
          <w:tcPr>
            <w:tcW w:w="0" w:type="auto"/>
            <w:vAlign w:val="center"/>
          </w:tcPr>
          <w:p w:rsidR="004E28FB" w:rsidRPr="00623E33" w:rsidRDefault="004E28FB" w:rsidP="00BE726F">
            <w:pPr>
              <w:spacing w:before="40" w:after="40"/>
              <w:jc w:val="left"/>
              <w:rPr>
                <w:sz w:val="20"/>
              </w:rPr>
            </w:pPr>
            <w:r w:rsidRPr="00623E33">
              <w:rPr>
                <w:sz w:val="20"/>
              </w:rPr>
              <w:t>50%</w:t>
            </w:r>
            <w:r>
              <w:rPr>
                <w:sz w:val="20"/>
              </w:rPr>
              <w:t xml:space="preserve"> before </w:t>
            </w:r>
            <w:r w:rsidRPr="00623E33">
              <w:rPr>
                <w:sz w:val="20"/>
              </w:rPr>
              <w:t>31 December 2004</w:t>
            </w:r>
          </w:p>
        </w:tc>
      </w:tr>
      <w:tr w:rsidR="004E28FB" w:rsidRPr="00623E33" w:rsidTr="00BE726F">
        <w:tc>
          <w:tcPr>
            <w:tcW w:w="0" w:type="auto"/>
            <w:vMerge/>
            <w:vAlign w:val="center"/>
          </w:tcPr>
          <w:p w:rsidR="004E28FB" w:rsidRPr="00623E33" w:rsidRDefault="004E28FB" w:rsidP="00BE726F">
            <w:pPr>
              <w:spacing w:before="40" w:after="40"/>
              <w:jc w:val="left"/>
              <w:rPr>
                <w:b/>
                <w:sz w:val="20"/>
              </w:rPr>
            </w:pPr>
          </w:p>
        </w:tc>
        <w:tc>
          <w:tcPr>
            <w:tcW w:w="0" w:type="auto"/>
            <w:vAlign w:val="center"/>
          </w:tcPr>
          <w:p w:rsidR="004E28FB" w:rsidRPr="00623E33" w:rsidRDefault="004E28FB" w:rsidP="00BE726F">
            <w:pPr>
              <w:spacing w:before="40" w:after="40"/>
              <w:jc w:val="left"/>
              <w:rPr>
                <w:sz w:val="20"/>
              </w:rPr>
            </w:pPr>
            <w:r w:rsidRPr="00623E33">
              <w:rPr>
                <w:sz w:val="20"/>
              </w:rPr>
              <w:t xml:space="preserve">40 </w:t>
            </w:r>
            <w:r w:rsidRPr="006C29D5">
              <w:rPr>
                <w:rFonts w:ascii="Symbol" w:hAnsi="Symbol"/>
                <w:sz w:val="20"/>
              </w:rPr>
              <w:t></w:t>
            </w:r>
            <w:r w:rsidRPr="00623E33">
              <w:rPr>
                <w:sz w:val="20"/>
              </w:rPr>
              <w:t>g/m</w:t>
            </w:r>
            <w:r w:rsidRPr="00623E33">
              <w:rPr>
                <w:sz w:val="20"/>
                <w:vertAlign w:val="superscript"/>
              </w:rPr>
              <w:t>3</w:t>
            </w:r>
          </w:p>
        </w:tc>
        <w:tc>
          <w:tcPr>
            <w:tcW w:w="0" w:type="auto"/>
            <w:vAlign w:val="center"/>
          </w:tcPr>
          <w:p w:rsidR="004E28FB" w:rsidRPr="00623E33" w:rsidRDefault="004E28FB" w:rsidP="00BE726F">
            <w:pPr>
              <w:spacing w:before="40" w:after="40"/>
              <w:jc w:val="left"/>
              <w:rPr>
                <w:sz w:val="20"/>
              </w:rPr>
            </w:pPr>
            <w:r w:rsidRPr="00623E33">
              <w:rPr>
                <w:sz w:val="20"/>
              </w:rPr>
              <w:t>Annual Mean</w:t>
            </w:r>
          </w:p>
        </w:tc>
        <w:tc>
          <w:tcPr>
            <w:tcW w:w="0" w:type="auto"/>
            <w:vAlign w:val="center"/>
          </w:tcPr>
          <w:p w:rsidR="004E28FB" w:rsidRPr="00623E33" w:rsidRDefault="004E28FB" w:rsidP="00BE726F">
            <w:pPr>
              <w:spacing w:before="40" w:after="40"/>
              <w:jc w:val="left"/>
              <w:rPr>
                <w:sz w:val="20"/>
              </w:rPr>
            </w:pPr>
            <w:r w:rsidRPr="00623E33">
              <w:rPr>
                <w:sz w:val="20"/>
              </w:rPr>
              <w:t>31 December 2004</w:t>
            </w:r>
          </w:p>
        </w:tc>
        <w:tc>
          <w:tcPr>
            <w:tcW w:w="0" w:type="auto"/>
            <w:vAlign w:val="center"/>
          </w:tcPr>
          <w:p w:rsidR="004E28FB" w:rsidRPr="00623E33" w:rsidRDefault="004E28FB" w:rsidP="00BE726F">
            <w:pPr>
              <w:spacing w:before="40" w:after="40"/>
              <w:jc w:val="left"/>
              <w:rPr>
                <w:sz w:val="20"/>
              </w:rPr>
            </w:pPr>
            <w:r w:rsidRPr="00623E33">
              <w:rPr>
                <w:sz w:val="20"/>
              </w:rPr>
              <w:t>20%</w:t>
            </w:r>
            <w:r>
              <w:rPr>
                <w:sz w:val="20"/>
              </w:rPr>
              <w:t xml:space="preserve"> before </w:t>
            </w:r>
            <w:r w:rsidRPr="00623E33">
              <w:rPr>
                <w:sz w:val="20"/>
              </w:rPr>
              <w:t>31 December 2004</w:t>
            </w:r>
          </w:p>
        </w:tc>
      </w:tr>
      <w:tr w:rsidR="004E28FB" w:rsidRPr="00623E33" w:rsidTr="00BE726F">
        <w:tc>
          <w:tcPr>
            <w:tcW w:w="0" w:type="auto"/>
            <w:vMerge w:val="restart"/>
            <w:vAlign w:val="center"/>
          </w:tcPr>
          <w:p w:rsidR="004E28FB" w:rsidRPr="00623E33" w:rsidRDefault="004E28FB" w:rsidP="00BE726F">
            <w:pPr>
              <w:spacing w:before="40" w:after="40"/>
              <w:jc w:val="left"/>
              <w:rPr>
                <w:b/>
                <w:sz w:val="20"/>
              </w:rPr>
            </w:pPr>
            <w:r w:rsidRPr="00623E33">
              <w:rPr>
                <w:b/>
                <w:sz w:val="20"/>
              </w:rPr>
              <w:t>PM</w:t>
            </w:r>
            <w:r w:rsidRPr="00623E33">
              <w:rPr>
                <w:b/>
                <w:sz w:val="20"/>
                <w:vertAlign w:val="subscript"/>
              </w:rPr>
              <w:t>2.5</w:t>
            </w:r>
          </w:p>
        </w:tc>
        <w:tc>
          <w:tcPr>
            <w:tcW w:w="0" w:type="auto"/>
            <w:vAlign w:val="center"/>
          </w:tcPr>
          <w:p w:rsidR="004E28FB" w:rsidRPr="00623E33" w:rsidRDefault="004E28FB" w:rsidP="00BE726F">
            <w:pPr>
              <w:spacing w:before="40" w:after="40"/>
              <w:jc w:val="left"/>
              <w:rPr>
                <w:sz w:val="20"/>
              </w:rPr>
            </w:pPr>
            <w:r w:rsidRPr="00623E33">
              <w:rPr>
                <w:sz w:val="20"/>
              </w:rPr>
              <w:t xml:space="preserve">25 </w:t>
            </w:r>
            <w:r w:rsidRPr="006C29D5">
              <w:rPr>
                <w:rFonts w:ascii="Symbol" w:hAnsi="Symbol"/>
                <w:sz w:val="20"/>
              </w:rPr>
              <w:t></w:t>
            </w:r>
            <w:r w:rsidRPr="00623E33">
              <w:rPr>
                <w:sz w:val="20"/>
              </w:rPr>
              <w:t>g/m</w:t>
            </w:r>
            <w:r w:rsidRPr="00623E33">
              <w:rPr>
                <w:sz w:val="20"/>
                <w:vertAlign w:val="superscript"/>
              </w:rPr>
              <w:t>3</w:t>
            </w:r>
          </w:p>
        </w:tc>
        <w:tc>
          <w:tcPr>
            <w:tcW w:w="0" w:type="auto"/>
            <w:vAlign w:val="center"/>
          </w:tcPr>
          <w:p w:rsidR="004E28FB" w:rsidRPr="00623E33" w:rsidRDefault="004E28FB" w:rsidP="00BE726F">
            <w:pPr>
              <w:spacing w:before="40" w:after="40"/>
              <w:jc w:val="left"/>
              <w:rPr>
                <w:sz w:val="20"/>
              </w:rPr>
            </w:pPr>
            <w:r w:rsidRPr="00623E33">
              <w:rPr>
                <w:sz w:val="20"/>
              </w:rPr>
              <w:t>Annual Mean (Calendar year)</w:t>
            </w:r>
          </w:p>
        </w:tc>
        <w:tc>
          <w:tcPr>
            <w:tcW w:w="0" w:type="auto"/>
            <w:vAlign w:val="center"/>
          </w:tcPr>
          <w:p w:rsidR="004E28FB" w:rsidRPr="00623E33" w:rsidRDefault="004E28FB" w:rsidP="00BE726F">
            <w:pPr>
              <w:spacing w:before="40" w:after="40"/>
              <w:jc w:val="left"/>
              <w:rPr>
                <w:sz w:val="20"/>
              </w:rPr>
            </w:pPr>
            <w:r w:rsidRPr="00312E02">
              <w:rPr>
                <w:sz w:val="20"/>
              </w:rPr>
              <w:t>1</w:t>
            </w:r>
            <w:r>
              <w:rPr>
                <w:sz w:val="20"/>
              </w:rPr>
              <w:t xml:space="preserve"> </w:t>
            </w:r>
            <w:r w:rsidRPr="00312E02">
              <w:rPr>
                <w:sz w:val="20"/>
              </w:rPr>
              <w:t>January</w:t>
            </w:r>
            <w:r>
              <w:rPr>
                <w:sz w:val="20"/>
              </w:rPr>
              <w:t xml:space="preserve"> </w:t>
            </w:r>
            <w:r w:rsidRPr="00312E02">
              <w:rPr>
                <w:sz w:val="20"/>
              </w:rPr>
              <w:t>2015</w:t>
            </w:r>
          </w:p>
        </w:tc>
        <w:tc>
          <w:tcPr>
            <w:tcW w:w="0" w:type="auto"/>
            <w:vAlign w:val="center"/>
          </w:tcPr>
          <w:p w:rsidR="004E28FB" w:rsidRPr="00623E33" w:rsidRDefault="004E28FB" w:rsidP="00BE726F">
            <w:pPr>
              <w:spacing w:before="40" w:after="40"/>
              <w:jc w:val="left"/>
              <w:rPr>
                <w:sz w:val="20"/>
              </w:rPr>
            </w:pPr>
            <w:r w:rsidRPr="00312E02">
              <w:rPr>
                <w:sz w:val="20"/>
              </w:rPr>
              <w:t>20%</w:t>
            </w:r>
            <w:r>
              <w:rPr>
                <w:sz w:val="20"/>
              </w:rPr>
              <w:t xml:space="preserve"> </w:t>
            </w:r>
            <w:r w:rsidRPr="00312E02">
              <w:rPr>
                <w:sz w:val="20"/>
              </w:rPr>
              <w:t>on</w:t>
            </w:r>
            <w:r>
              <w:rPr>
                <w:sz w:val="20"/>
              </w:rPr>
              <w:t xml:space="preserve"> </w:t>
            </w:r>
            <w:r w:rsidRPr="00312E02">
              <w:rPr>
                <w:sz w:val="20"/>
              </w:rPr>
              <w:t>11</w:t>
            </w:r>
            <w:r>
              <w:rPr>
                <w:sz w:val="20"/>
              </w:rPr>
              <w:t xml:space="preserve"> </w:t>
            </w:r>
            <w:r w:rsidRPr="00312E02">
              <w:rPr>
                <w:sz w:val="20"/>
              </w:rPr>
              <w:t>June</w:t>
            </w:r>
            <w:r>
              <w:rPr>
                <w:sz w:val="20"/>
              </w:rPr>
              <w:t xml:space="preserve"> </w:t>
            </w:r>
            <w:r w:rsidRPr="00312E02">
              <w:rPr>
                <w:sz w:val="20"/>
              </w:rPr>
              <w:t>2008,</w:t>
            </w:r>
            <w:r>
              <w:rPr>
                <w:sz w:val="20"/>
              </w:rPr>
              <w:t xml:space="preserve"> </w:t>
            </w:r>
            <w:r w:rsidRPr="00312E02">
              <w:rPr>
                <w:sz w:val="20"/>
              </w:rPr>
              <w:t>decreasing</w:t>
            </w:r>
            <w:r>
              <w:rPr>
                <w:sz w:val="20"/>
              </w:rPr>
              <w:t xml:space="preserve"> </w:t>
            </w:r>
            <w:r w:rsidRPr="00312E02">
              <w:rPr>
                <w:sz w:val="20"/>
              </w:rPr>
              <w:t>on</w:t>
            </w:r>
            <w:r>
              <w:rPr>
                <w:sz w:val="20"/>
              </w:rPr>
              <w:t xml:space="preserve"> </w:t>
            </w:r>
            <w:r w:rsidRPr="00312E02">
              <w:rPr>
                <w:sz w:val="20"/>
              </w:rPr>
              <w:t>the</w:t>
            </w:r>
            <w:r>
              <w:rPr>
                <w:sz w:val="20"/>
              </w:rPr>
              <w:t xml:space="preserve"> </w:t>
            </w:r>
            <w:r w:rsidRPr="00312E02">
              <w:rPr>
                <w:sz w:val="20"/>
              </w:rPr>
              <w:t>next</w:t>
            </w:r>
            <w:r>
              <w:rPr>
                <w:sz w:val="20"/>
              </w:rPr>
              <w:t xml:space="preserve"> </w:t>
            </w:r>
            <w:r w:rsidRPr="00312E02">
              <w:rPr>
                <w:sz w:val="20"/>
              </w:rPr>
              <w:t>1</w:t>
            </w:r>
            <w:r>
              <w:rPr>
                <w:sz w:val="20"/>
              </w:rPr>
              <w:t xml:space="preserve"> </w:t>
            </w:r>
            <w:r w:rsidRPr="00312E02">
              <w:rPr>
                <w:sz w:val="20"/>
              </w:rPr>
              <w:t>January</w:t>
            </w:r>
            <w:r>
              <w:rPr>
                <w:sz w:val="20"/>
              </w:rPr>
              <w:t xml:space="preserve"> </w:t>
            </w:r>
            <w:r w:rsidRPr="00312E02">
              <w:rPr>
                <w:sz w:val="20"/>
              </w:rPr>
              <w:t>and</w:t>
            </w:r>
            <w:r>
              <w:rPr>
                <w:sz w:val="20"/>
              </w:rPr>
              <w:t xml:space="preserve"> e</w:t>
            </w:r>
            <w:r w:rsidRPr="00312E02">
              <w:rPr>
                <w:sz w:val="20"/>
              </w:rPr>
              <w:t>very</w:t>
            </w:r>
            <w:r>
              <w:rPr>
                <w:sz w:val="20"/>
              </w:rPr>
              <w:t xml:space="preserve"> </w:t>
            </w:r>
            <w:r w:rsidRPr="00312E02">
              <w:rPr>
                <w:sz w:val="20"/>
              </w:rPr>
              <w:t>12</w:t>
            </w:r>
            <w:r>
              <w:rPr>
                <w:sz w:val="20"/>
              </w:rPr>
              <w:t xml:space="preserve"> </w:t>
            </w:r>
            <w:r w:rsidRPr="00312E02">
              <w:rPr>
                <w:sz w:val="20"/>
              </w:rPr>
              <w:t>months</w:t>
            </w:r>
            <w:r>
              <w:rPr>
                <w:sz w:val="20"/>
              </w:rPr>
              <w:t xml:space="preserve"> </w:t>
            </w:r>
            <w:r w:rsidRPr="00312E02">
              <w:rPr>
                <w:sz w:val="20"/>
              </w:rPr>
              <w:t>thereafter</w:t>
            </w:r>
            <w:r>
              <w:rPr>
                <w:sz w:val="20"/>
              </w:rPr>
              <w:t xml:space="preserve"> </w:t>
            </w:r>
            <w:r w:rsidRPr="00312E02">
              <w:rPr>
                <w:sz w:val="20"/>
              </w:rPr>
              <w:t>by</w:t>
            </w:r>
            <w:r>
              <w:rPr>
                <w:sz w:val="20"/>
              </w:rPr>
              <w:t xml:space="preserve"> </w:t>
            </w:r>
            <w:r w:rsidR="00BE726F">
              <w:rPr>
                <w:sz w:val="20"/>
              </w:rPr>
              <w:t>e</w:t>
            </w:r>
            <w:r w:rsidRPr="00312E02">
              <w:rPr>
                <w:sz w:val="20"/>
              </w:rPr>
              <w:t>qual</w:t>
            </w:r>
            <w:r>
              <w:rPr>
                <w:sz w:val="20"/>
              </w:rPr>
              <w:t xml:space="preserve"> </w:t>
            </w:r>
            <w:r w:rsidRPr="00312E02">
              <w:rPr>
                <w:sz w:val="20"/>
              </w:rPr>
              <w:t>annual</w:t>
            </w:r>
            <w:r>
              <w:rPr>
                <w:sz w:val="20"/>
              </w:rPr>
              <w:t xml:space="preserve"> </w:t>
            </w:r>
            <w:r w:rsidRPr="00312E02">
              <w:rPr>
                <w:sz w:val="20"/>
              </w:rPr>
              <w:lastRenderedPageBreak/>
              <w:t>percentages</w:t>
            </w:r>
            <w:r>
              <w:rPr>
                <w:sz w:val="20"/>
              </w:rPr>
              <w:t xml:space="preserve"> </w:t>
            </w:r>
            <w:r w:rsidRPr="00312E02">
              <w:rPr>
                <w:sz w:val="20"/>
              </w:rPr>
              <w:t>to</w:t>
            </w:r>
            <w:r>
              <w:rPr>
                <w:sz w:val="20"/>
              </w:rPr>
              <w:t xml:space="preserve"> </w:t>
            </w:r>
            <w:r w:rsidRPr="00312E02">
              <w:rPr>
                <w:sz w:val="20"/>
              </w:rPr>
              <w:t>reach</w:t>
            </w:r>
            <w:r>
              <w:rPr>
                <w:sz w:val="20"/>
              </w:rPr>
              <w:t xml:space="preserve"> </w:t>
            </w:r>
            <w:r w:rsidRPr="00312E02">
              <w:rPr>
                <w:sz w:val="20"/>
              </w:rPr>
              <w:t>0%</w:t>
            </w:r>
            <w:r>
              <w:rPr>
                <w:sz w:val="20"/>
              </w:rPr>
              <w:t xml:space="preserve"> </w:t>
            </w:r>
            <w:r w:rsidRPr="00312E02">
              <w:rPr>
                <w:sz w:val="20"/>
              </w:rPr>
              <w:t>by</w:t>
            </w:r>
            <w:r>
              <w:rPr>
                <w:sz w:val="20"/>
              </w:rPr>
              <w:t xml:space="preserve"> </w:t>
            </w:r>
            <w:r w:rsidRPr="00312E02">
              <w:rPr>
                <w:sz w:val="20"/>
              </w:rPr>
              <w:t>1</w:t>
            </w:r>
            <w:r>
              <w:rPr>
                <w:sz w:val="20"/>
              </w:rPr>
              <w:t xml:space="preserve"> </w:t>
            </w:r>
            <w:r w:rsidRPr="00312E02">
              <w:rPr>
                <w:sz w:val="20"/>
              </w:rPr>
              <w:t>January</w:t>
            </w:r>
            <w:r>
              <w:rPr>
                <w:sz w:val="20"/>
              </w:rPr>
              <w:t xml:space="preserve"> </w:t>
            </w:r>
            <w:r w:rsidRPr="00312E02">
              <w:rPr>
                <w:sz w:val="20"/>
              </w:rPr>
              <w:t>2015</w:t>
            </w:r>
          </w:p>
        </w:tc>
      </w:tr>
      <w:tr w:rsidR="004E28FB" w:rsidRPr="00623E33" w:rsidTr="00BE726F">
        <w:tc>
          <w:tcPr>
            <w:tcW w:w="0" w:type="auto"/>
            <w:vMerge/>
            <w:vAlign w:val="center"/>
          </w:tcPr>
          <w:p w:rsidR="004E28FB" w:rsidRPr="00623E33" w:rsidRDefault="004E28FB" w:rsidP="00BE726F">
            <w:pPr>
              <w:spacing w:before="40" w:after="40"/>
              <w:jc w:val="left"/>
              <w:rPr>
                <w:b/>
                <w:sz w:val="20"/>
              </w:rPr>
            </w:pPr>
          </w:p>
        </w:tc>
        <w:tc>
          <w:tcPr>
            <w:tcW w:w="0" w:type="auto"/>
            <w:vAlign w:val="center"/>
          </w:tcPr>
          <w:p w:rsidR="004E28FB" w:rsidRPr="00623E33" w:rsidRDefault="004E28FB" w:rsidP="00BE726F">
            <w:pPr>
              <w:spacing w:before="40" w:after="40"/>
              <w:jc w:val="left"/>
              <w:rPr>
                <w:sz w:val="20"/>
              </w:rPr>
            </w:pPr>
            <w:r w:rsidRPr="00623E33">
              <w:rPr>
                <w:sz w:val="20"/>
              </w:rPr>
              <w:t>2</w:t>
            </w:r>
            <w:r>
              <w:rPr>
                <w:sz w:val="20"/>
              </w:rPr>
              <w:t>0</w:t>
            </w:r>
            <w:r w:rsidRPr="006C29D5">
              <w:rPr>
                <w:rFonts w:ascii="Symbol" w:hAnsi="Symbol"/>
                <w:sz w:val="20"/>
              </w:rPr>
              <w:t></w:t>
            </w:r>
            <w:r w:rsidRPr="00623E33">
              <w:rPr>
                <w:sz w:val="20"/>
              </w:rPr>
              <w:t>g/m</w:t>
            </w:r>
            <w:r w:rsidRPr="00623E33">
              <w:rPr>
                <w:sz w:val="20"/>
                <w:vertAlign w:val="superscript"/>
              </w:rPr>
              <w:t>3</w:t>
            </w:r>
          </w:p>
        </w:tc>
        <w:tc>
          <w:tcPr>
            <w:tcW w:w="0" w:type="auto"/>
            <w:vAlign w:val="center"/>
          </w:tcPr>
          <w:p w:rsidR="004E28FB" w:rsidRPr="00623E33" w:rsidRDefault="004E28FB" w:rsidP="00BE726F">
            <w:pPr>
              <w:spacing w:before="40" w:after="40"/>
              <w:jc w:val="left"/>
              <w:rPr>
                <w:sz w:val="20"/>
              </w:rPr>
            </w:pPr>
            <w:r w:rsidRPr="00623E33">
              <w:rPr>
                <w:sz w:val="20"/>
              </w:rPr>
              <w:t>Annual Mean (Calendar year)</w:t>
            </w:r>
          </w:p>
        </w:tc>
        <w:tc>
          <w:tcPr>
            <w:tcW w:w="0" w:type="auto"/>
            <w:vAlign w:val="center"/>
          </w:tcPr>
          <w:p w:rsidR="004E28FB" w:rsidRPr="00623E33" w:rsidRDefault="004E28FB" w:rsidP="00BE726F">
            <w:pPr>
              <w:spacing w:before="40" w:after="40"/>
              <w:jc w:val="left"/>
              <w:rPr>
                <w:sz w:val="20"/>
              </w:rPr>
            </w:pPr>
            <w:r w:rsidRPr="00623E33">
              <w:rPr>
                <w:sz w:val="20"/>
              </w:rPr>
              <w:t>31 December 2019</w:t>
            </w:r>
          </w:p>
        </w:tc>
        <w:tc>
          <w:tcPr>
            <w:tcW w:w="0" w:type="auto"/>
            <w:vAlign w:val="center"/>
          </w:tcPr>
          <w:p w:rsidR="004E28FB" w:rsidRPr="00623E33" w:rsidRDefault="004E28FB" w:rsidP="00BE726F">
            <w:pPr>
              <w:spacing w:before="40" w:after="40"/>
              <w:jc w:val="left"/>
              <w:rPr>
                <w:sz w:val="20"/>
              </w:rPr>
            </w:pPr>
            <w:r>
              <w:rPr>
                <w:sz w:val="20"/>
              </w:rPr>
              <w:t>None</w:t>
            </w:r>
          </w:p>
        </w:tc>
      </w:tr>
      <w:tr w:rsidR="004E28FB" w:rsidRPr="00623E33" w:rsidTr="00BE726F">
        <w:tc>
          <w:tcPr>
            <w:tcW w:w="0" w:type="auto"/>
            <w:vMerge w:val="restart"/>
            <w:vAlign w:val="center"/>
          </w:tcPr>
          <w:p w:rsidR="004E28FB" w:rsidRPr="00623E33" w:rsidRDefault="004E28FB" w:rsidP="00BE726F">
            <w:pPr>
              <w:spacing w:before="40" w:after="40"/>
              <w:jc w:val="left"/>
              <w:rPr>
                <w:b/>
                <w:sz w:val="20"/>
              </w:rPr>
            </w:pPr>
            <w:r w:rsidRPr="00623E33">
              <w:rPr>
                <w:b/>
                <w:sz w:val="20"/>
              </w:rPr>
              <w:t>Nitrogen Dioxide</w:t>
            </w:r>
          </w:p>
        </w:tc>
        <w:tc>
          <w:tcPr>
            <w:tcW w:w="0" w:type="auto"/>
            <w:vAlign w:val="center"/>
          </w:tcPr>
          <w:p w:rsidR="004E28FB" w:rsidRPr="00623E33" w:rsidRDefault="004E28FB" w:rsidP="00BE726F">
            <w:pPr>
              <w:spacing w:before="40" w:after="40"/>
              <w:jc w:val="left"/>
              <w:rPr>
                <w:sz w:val="20"/>
              </w:rPr>
            </w:pPr>
            <w:r w:rsidRPr="00623E33">
              <w:rPr>
                <w:sz w:val="20"/>
              </w:rPr>
              <w:t xml:space="preserve">200 </w:t>
            </w:r>
            <w:r w:rsidRPr="006C29D5">
              <w:rPr>
                <w:rFonts w:ascii="Symbol" w:hAnsi="Symbol"/>
                <w:sz w:val="20"/>
              </w:rPr>
              <w:t></w:t>
            </w:r>
            <w:r w:rsidRPr="00623E33">
              <w:rPr>
                <w:sz w:val="20"/>
              </w:rPr>
              <w:t>g/m</w:t>
            </w:r>
            <w:r w:rsidRPr="00623E33">
              <w:rPr>
                <w:sz w:val="20"/>
                <w:vertAlign w:val="superscript"/>
              </w:rPr>
              <w:t>3</w:t>
            </w:r>
            <w:r w:rsidRPr="00623E33">
              <w:rPr>
                <w:sz w:val="20"/>
              </w:rPr>
              <w:t>not to be exceeded more than 18 times a year</w:t>
            </w:r>
          </w:p>
        </w:tc>
        <w:tc>
          <w:tcPr>
            <w:tcW w:w="0" w:type="auto"/>
            <w:vAlign w:val="center"/>
          </w:tcPr>
          <w:p w:rsidR="004E28FB" w:rsidRPr="00623E33" w:rsidRDefault="004E28FB" w:rsidP="00BE726F">
            <w:pPr>
              <w:spacing w:before="40" w:after="40"/>
              <w:jc w:val="left"/>
              <w:rPr>
                <w:sz w:val="20"/>
              </w:rPr>
            </w:pPr>
            <w:r w:rsidRPr="00623E33">
              <w:rPr>
                <w:sz w:val="20"/>
              </w:rPr>
              <w:t>1 hour mean</w:t>
            </w:r>
          </w:p>
        </w:tc>
        <w:tc>
          <w:tcPr>
            <w:tcW w:w="0" w:type="auto"/>
            <w:vAlign w:val="center"/>
          </w:tcPr>
          <w:p w:rsidR="004E28FB" w:rsidRPr="00623E33" w:rsidRDefault="004E28FB" w:rsidP="00BE726F">
            <w:pPr>
              <w:spacing w:before="40" w:after="40"/>
              <w:jc w:val="left"/>
              <w:rPr>
                <w:sz w:val="20"/>
              </w:rPr>
            </w:pPr>
            <w:r w:rsidRPr="00623E33">
              <w:rPr>
                <w:sz w:val="20"/>
              </w:rPr>
              <w:t>31 December 2009</w:t>
            </w:r>
          </w:p>
        </w:tc>
        <w:tc>
          <w:tcPr>
            <w:tcW w:w="0" w:type="auto"/>
            <w:vAlign w:val="center"/>
          </w:tcPr>
          <w:p w:rsidR="004E28FB" w:rsidRPr="00623E33" w:rsidRDefault="004E28FB" w:rsidP="00BE726F">
            <w:pPr>
              <w:spacing w:before="40" w:after="40"/>
              <w:jc w:val="left"/>
              <w:rPr>
                <w:sz w:val="20"/>
              </w:rPr>
            </w:pPr>
            <w:r w:rsidRPr="008644B4">
              <w:rPr>
                <w:sz w:val="20"/>
              </w:rPr>
              <w:t>50 % on 19 July 1999, decreasing</w:t>
            </w:r>
            <w:r>
              <w:rPr>
                <w:sz w:val="20"/>
              </w:rPr>
              <w:t xml:space="preserve"> </w:t>
            </w:r>
            <w:r w:rsidRPr="008644B4">
              <w:rPr>
                <w:sz w:val="20"/>
              </w:rPr>
              <w:t>on 1 January 2001 and every 12months thereafter by equal</w:t>
            </w:r>
            <w:r>
              <w:rPr>
                <w:sz w:val="20"/>
              </w:rPr>
              <w:t xml:space="preserve"> </w:t>
            </w:r>
            <w:r w:rsidRPr="008644B4">
              <w:rPr>
                <w:sz w:val="20"/>
              </w:rPr>
              <w:t>annual percentages to reach 0 %by 1 January 2010</w:t>
            </w:r>
          </w:p>
        </w:tc>
      </w:tr>
      <w:tr w:rsidR="004E28FB" w:rsidRPr="00623E33" w:rsidTr="00BE726F">
        <w:tc>
          <w:tcPr>
            <w:tcW w:w="0" w:type="auto"/>
            <w:vMerge/>
            <w:vAlign w:val="center"/>
          </w:tcPr>
          <w:p w:rsidR="004E28FB" w:rsidRPr="00623E33" w:rsidRDefault="004E28FB" w:rsidP="00BE726F">
            <w:pPr>
              <w:spacing w:before="40" w:after="40"/>
              <w:jc w:val="left"/>
              <w:rPr>
                <w:b/>
                <w:sz w:val="20"/>
              </w:rPr>
            </w:pPr>
          </w:p>
        </w:tc>
        <w:tc>
          <w:tcPr>
            <w:tcW w:w="0" w:type="auto"/>
            <w:vAlign w:val="center"/>
          </w:tcPr>
          <w:p w:rsidR="004E28FB" w:rsidRPr="00623E33" w:rsidRDefault="004E28FB" w:rsidP="00BE726F">
            <w:pPr>
              <w:spacing w:before="40" w:after="40"/>
              <w:jc w:val="left"/>
              <w:rPr>
                <w:sz w:val="20"/>
              </w:rPr>
            </w:pPr>
            <w:r w:rsidRPr="00623E33">
              <w:rPr>
                <w:sz w:val="20"/>
              </w:rPr>
              <w:t xml:space="preserve">40 </w:t>
            </w:r>
            <w:r w:rsidRPr="006C29D5">
              <w:rPr>
                <w:rFonts w:ascii="Symbol" w:hAnsi="Symbol"/>
                <w:sz w:val="20"/>
              </w:rPr>
              <w:t></w:t>
            </w:r>
            <w:r w:rsidRPr="00623E33">
              <w:rPr>
                <w:sz w:val="20"/>
              </w:rPr>
              <w:t>g/m</w:t>
            </w:r>
            <w:r w:rsidRPr="00623E33">
              <w:rPr>
                <w:sz w:val="20"/>
                <w:vertAlign w:val="superscript"/>
              </w:rPr>
              <w:t>3</w:t>
            </w:r>
          </w:p>
        </w:tc>
        <w:tc>
          <w:tcPr>
            <w:tcW w:w="0" w:type="auto"/>
            <w:vAlign w:val="center"/>
          </w:tcPr>
          <w:p w:rsidR="004E28FB" w:rsidRPr="00623E33" w:rsidRDefault="004E28FB" w:rsidP="00BE726F">
            <w:pPr>
              <w:spacing w:before="40" w:after="40"/>
              <w:jc w:val="left"/>
              <w:rPr>
                <w:sz w:val="20"/>
              </w:rPr>
            </w:pPr>
            <w:r w:rsidRPr="00623E33">
              <w:rPr>
                <w:sz w:val="20"/>
              </w:rPr>
              <w:t>Annual Mean (Calendar year)</w:t>
            </w:r>
          </w:p>
        </w:tc>
        <w:tc>
          <w:tcPr>
            <w:tcW w:w="0" w:type="auto"/>
            <w:vAlign w:val="center"/>
          </w:tcPr>
          <w:p w:rsidR="004E28FB" w:rsidRPr="00623E33" w:rsidRDefault="004E28FB" w:rsidP="00BE726F">
            <w:pPr>
              <w:spacing w:before="40" w:after="40"/>
              <w:jc w:val="left"/>
              <w:rPr>
                <w:sz w:val="20"/>
              </w:rPr>
            </w:pPr>
            <w:r w:rsidRPr="00623E33">
              <w:rPr>
                <w:sz w:val="20"/>
              </w:rPr>
              <w:t>31 December 2009</w:t>
            </w:r>
          </w:p>
        </w:tc>
        <w:tc>
          <w:tcPr>
            <w:tcW w:w="0" w:type="auto"/>
            <w:vAlign w:val="center"/>
          </w:tcPr>
          <w:p w:rsidR="004E28FB" w:rsidRPr="00623E33" w:rsidRDefault="004E28FB" w:rsidP="00BE726F">
            <w:pPr>
              <w:spacing w:before="40" w:after="40"/>
              <w:jc w:val="left"/>
              <w:rPr>
                <w:sz w:val="20"/>
              </w:rPr>
            </w:pPr>
            <w:r>
              <w:rPr>
                <w:sz w:val="20"/>
              </w:rPr>
              <w:t xml:space="preserve">50% on 19 July 1999, decreasing on 1 January 2001 and every 12 months thereafter by equal annual percentages to reach </w:t>
            </w:r>
            <w:r w:rsidRPr="00623E33">
              <w:rPr>
                <w:sz w:val="20"/>
              </w:rPr>
              <w:t xml:space="preserve">0% </w:t>
            </w:r>
            <w:r>
              <w:rPr>
                <w:sz w:val="20"/>
              </w:rPr>
              <w:t>by 1 January 2010</w:t>
            </w:r>
          </w:p>
        </w:tc>
      </w:tr>
      <w:tr w:rsidR="004E28FB" w:rsidRPr="00623E33" w:rsidTr="00BE726F">
        <w:tc>
          <w:tcPr>
            <w:tcW w:w="0" w:type="auto"/>
            <w:vAlign w:val="center"/>
          </w:tcPr>
          <w:p w:rsidR="004E28FB" w:rsidRPr="00623E33" w:rsidRDefault="004E28FB" w:rsidP="00BE726F">
            <w:pPr>
              <w:spacing w:before="40" w:after="40"/>
              <w:jc w:val="left"/>
              <w:rPr>
                <w:b/>
                <w:sz w:val="20"/>
              </w:rPr>
            </w:pPr>
            <w:r w:rsidRPr="00623E33">
              <w:rPr>
                <w:b/>
                <w:sz w:val="20"/>
              </w:rPr>
              <w:t>Ozone</w:t>
            </w:r>
          </w:p>
        </w:tc>
        <w:tc>
          <w:tcPr>
            <w:tcW w:w="0" w:type="auto"/>
            <w:vAlign w:val="center"/>
          </w:tcPr>
          <w:p w:rsidR="004E28FB" w:rsidRPr="00623E33" w:rsidRDefault="004E28FB" w:rsidP="00BE726F">
            <w:pPr>
              <w:spacing w:before="40" w:after="40"/>
              <w:jc w:val="left"/>
              <w:rPr>
                <w:sz w:val="20"/>
              </w:rPr>
            </w:pPr>
            <w:r w:rsidRPr="00623E33">
              <w:rPr>
                <w:sz w:val="20"/>
              </w:rPr>
              <w:t xml:space="preserve">Target of 120 </w:t>
            </w:r>
            <w:r w:rsidRPr="006C29D5">
              <w:rPr>
                <w:rFonts w:ascii="Symbol" w:hAnsi="Symbol"/>
                <w:sz w:val="20"/>
              </w:rPr>
              <w:t></w:t>
            </w:r>
            <w:r w:rsidRPr="00623E33">
              <w:rPr>
                <w:sz w:val="20"/>
              </w:rPr>
              <w:t>g/m</w:t>
            </w:r>
            <w:r w:rsidRPr="00623E33">
              <w:rPr>
                <w:sz w:val="20"/>
                <w:vertAlign w:val="superscript"/>
              </w:rPr>
              <w:t>3</w:t>
            </w:r>
            <w:r w:rsidRPr="00623E33">
              <w:rPr>
                <w:sz w:val="20"/>
              </w:rPr>
              <w:t xml:space="preserve"> not to be exceeded on more than 25 days per year per calendar averaged over 3 years</w:t>
            </w:r>
          </w:p>
        </w:tc>
        <w:tc>
          <w:tcPr>
            <w:tcW w:w="0" w:type="auto"/>
            <w:vAlign w:val="center"/>
          </w:tcPr>
          <w:p w:rsidR="004E28FB" w:rsidRPr="00623E33" w:rsidRDefault="004E28FB" w:rsidP="00BE726F">
            <w:pPr>
              <w:spacing w:before="40" w:after="40"/>
              <w:jc w:val="left"/>
              <w:rPr>
                <w:sz w:val="20"/>
              </w:rPr>
            </w:pPr>
            <w:r w:rsidRPr="00623E33">
              <w:rPr>
                <w:sz w:val="20"/>
              </w:rPr>
              <w:t>Maximum 8 hour mean</w:t>
            </w:r>
          </w:p>
        </w:tc>
        <w:tc>
          <w:tcPr>
            <w:tcW w:w="0" w:type="auto"/>
            <w:vAlign w:val="center"/>
          </w:tcPr>
          <w:p w:rsidR="004E28FB" w:rsidRPr="00623E33" w:rsidRDefault="004E28FB" w:rsidP="00BE726F">
            <w:pPr>
              <w:spacing w:before="40" w:after="40"/>
              <w:jc w:val="left"/>
              <w:rPr>
                <w:sz w:val="20"/>
              </w:rPr>
            </w:pPr>
            <w:r w:rsidRPr="00623E33">
              <w:rPr>
                <w:sz w:val="20"/>
              </w:rPr>
              <w:t>31 December 2009</w:t>
            </w:r>
          </w:p>
        </w:tc>
        <w:tc>
          <w:tcPr>
            <w:tcW w:w="0" w:type="auto"/>
            <w:vAlign w:val="center"/>
          </w:tcPr>
          <w:p w:rsidR="004E28FB" w:rsidRPr="00623E33" w:rsidRDefault="004E28FB" w:rsidP="00BE726F">
            <w:pPr>
              <w:spacing w:before="40" w:after="40"/>
              <w:jc w:val="left"/>
              <w:rPr>
                <w:sz w:val="20"/>
              </w:rPr>
            </w:pPr>
            <w:r>
              <w:rPr>
                <w:sz w:val="20"/>
              </w:rPr>
              <w:t>None</w:t>
            </w:r>
          </w:p>
        </w:tc>
      </w:tr>
      <w:tr w:rsidR="004E28FB" w:rsidRPr="00623E33" w:rsidTr="00BE726F">
        <w:tc>
          <w:tcPr>
            <w:tcW w:w="0" w:type="auto"/>
            <w:vMerge w:val="restart"/>
            <w:vAlign w:val="center"/>
          </w:tcPr>
          <w:p w:rsidR="004E28FB" w:rsidRPr="00623E33" w:rsidRDefault="004E28FB" w:rsidP="00BE726F">
            <w:pPr>
              <w:spacing w:before="40" w:after="40"/>
              <w:jc w:val="left"/>
              <w:rPr>
                <w:b/>
                <w:sz w:val="20"/>
              </w:rPr>
            </w:pPr>
            <w:r w:rsidRPr="00623E33">
              <w:rPr>
                <w:b/>
                <w:sz w:val="20"/>
              </w:rPr>
              <w:t>Sulphur Dioxide</w:t>
            </w:r>
          </w:p>
        </w:tc>
        <w:tc>
          <w:tcPr>
            <w:tcW w:w="0" w:type="auto"/>
            <w:vAlign w:val="center"/>
          </w:tcPr>
          <w:p w:rsidR="004E28FB" w:rsidRPr="00623E33" w:rsidRDefault="004E28FB" w:rsidP="00BE726F">
            <w:pPr>
              <w:spacing w:before="40" w:after="40"/>
              <w:jc w:val="left"/>
              <w:rPr>
                <w:sz w:val="20"/>
              </w:rPr>
            </w:pPr>
            <w:r w:rsidRPr="00623E33">
              <w:rPr>
                <w:sz w:val="20"/>
              </w:rPr>
              <w:t xml:space="preserve">350 </w:t>
            </w:r>
            <w:r w:rsidRPr="006C29D5">
              <w:rPr>
                <w:rFonts w:ascii="Symbol" w:hAnsi="Symbol"/>
                <w:sz w:val="20"/>
              </w:rPr>
              <w:t></w:t>
            </w:r>
            <w:r w:rsidRPr="00623E33">
              <w:rPr>
                <w:sz w:val="20"/>
              </w:rPr>
              <w:t>g/m</w:t>
            </w:r>
            <w:r w:rsidRPr="00623E33">
              <w:rPr>
                <w:sz w:val="20"/>
                <w:vertAlign w:val="superscript"/>
              </w:rPr>
              <w:t>3</w:t>
            </w:r>
            <w:r w:rsidRPr="00623E33">
              <w:rPr>
                <w:sz w:val="20"/>
              </w:rPr>
              <w:t xml:space="preserve"> not to more exceeded more than 24 times a year</w:t>
            </w:r>
          </w:p>
        </w:tc>
        <w:tc>
          <w:tcPr>
            <w:tcW w:w="0" w:type="auto"/>
            <w:vAlign w:val="center"/>
          </w:tcPr>
          <w:p w:rsidR="004E28FB" w:rsidRPr="00623E33" w:rsidRDefault="004E28FB" w:rsidP="00BE726F">
            <w:pPr>
              <w:spacing w:before="40" w:after="40"/>
              <w:jc w:val="left"/>
              <w:rPr>
                <w:sz w:val="20"/>
              </w:rPr>
            </w:pPr>
            <w:r w:rsidRPr="00623E33">
              <w:rPr>
                <w:sz w:val="20"/>
              </w:rPr>
              <w:t>1 hour mean</w:t>
            </w:r>
          </w:p>
        </w:tc>
        <w:tc>
          <w:tcPr>
            <w:tcW w:w="0" w:type="auto"/>
            <w:vAlign w:val="center"/>
          </w:tcPr>
          <w:p w:rsidR="004E28FB" w:rsidRPr="00623E33" w:rsidRDefault="004E28FB" w:rsidP="00BE726F">
            <w:pPr>
              <w:spacing w:before="40" w:after="40"/>
              <w:jc w:val="left"/>
              <w:rPr>
                <w:sz w:val="20"/>
              </w:rPr>
            </w:pPr>
            <w:r w:rsidRPr="00623E33">
              <w:rPr>
                <w:sz w:val="20"/>
              </w:rPr>
              <w:t>31 December 2004</w:t>
            </w:r>
          </w:p>
        </w:tc>
        <w:tc>
          <w:tcPr>
            <w:tcW w:w="0" w:type="auto"/>
            <w:vAlign w:val="center"/>
          </w:tcPr>
          <w:p w:rsidR="004E28FB" w:rsidRPr="00623E33" w:rsidRDefault="004E28FB" w:rsidP="00BE726F">
            <w:pPr>
              <w:spacing w:before="40" w:after="40"/>
              <w:jc w:val="left"/>
              <w:rPr>
                <w:sz w:val="20"/>
              </w:rPr>
            </w:pPr>
            <w:r w:rsidRPr="00623E33">
              <w:rPr>
                <w:sz w:val="20"/>
              </w:rPr>
              <w:t xml:space="preserve">150 </w:t>
            </w:r>
            <w:r w:rsidRPr="006C29D5">
              <w:rPr>
                <w:rFonts w:ascii="Symbol" w:hAnsi="Symbol"/>
                <w:sz w:val="20"/>
              </w:rPr>
              <w:t></w:t>
            </w:r>
            <w:r w:rsidRPr="00623E33">
              <w:rPr>
                <w:sz w:val="20"/>
              </w:rPr>
              <w:t>g/m</w:t>
            </w:r>
            <w:r w:rsidRPr="00623E33">
              <w:rPr>
                <w:sz w:val="20"/>
                <w:vertAlign w:val="superscript"/>
              </w:rPr>
              <w:t xml:space="preserve">3 </w:t>
            </w:r>
            <w:r w:rsidRPr="00623E33">
              <w:rPr>
                <w:sz w:val="20"/>
              </w:rPr>
              <w:t>(43%)</w:t>
            </w:r>
            <w:r>
              <w:rPr>
                <w:sz w:val="20"/>
              </w:rPr>
              <w:t xml:space="preserve"> before </w:t>
            </w:r>
            <w:r w:rsidRPr="00623E33">
              <w:rPr>
                <w:sz w:val="20"/>
              </w:rPr>
              <w:t>31 December 2004</w:t>
            </w:r>
          </w:p>
        </w:tc>
      </w:tr>
      <w:tr w:rsidR="004E28FB" w:rsidRPr="00623E33" w:rsidTr="00BE726F">
        <w:tc>
          <w:tcPr>
            <w:tcW w:w="0" w:type="auto"/>
            <w:vMerge/>
            <w:vAlign w:val="center"/>
          </w:tcPr>
          <w:p w:rsidR="004E28FB" w:rsidRPr="00623E33" w:rsidRDefault="004E28FB" w:rsidP="00BE726F">
            <w:pPr>
              <w:spacing w:before="40" w:after="40"/>
              <w:jc w:val="left"/>
              <w:rPr>
                <w:b/>
                <w:sz w:val="20"/>
              </w:rPr>
            </w:pPr>
          </w:p>
        </w:tc>
        <w:tc>
          <w:tcPr>
            <w:tcW w:w="0" w:type="auto"/>
            <w:vAlign w:val="center"/>
          </w:tcPr>
          <w:p w:rsidR="004E28FB" w:rsidRPr="00623E33" w:rsidRDefault="004E28FB" w:rsidP="00BE726F">
            <w:pPr>
              <w:spacing w:before="40" w:after="40"/>
              <w:jc w:val="left"/>
              <w:rPr>
                <w:sz w:val="20"/>
              </w:rPr>
            </w:pPr>
            <w:r w:rsidRPr="00623E33">
              <w:rPr>
                <w:sz w:val="20"/>
              </w:rPr>
              <w:t xml:space="preserve">125 </w:t>
            </w:r>
            <w:r w:rsidRPr="006C29D5">
              <w:rPr>
                <w:rFonts w:ascii="Symbol" w:hAnsi="Symbol"/>
                <w:sz w:val="20"/>
              </w:rPr>
              <w:t></w:t>
            </w:r>
            <w:r w:rsidRPr="00623E33">
              <w:rPr>
                <w:sz w:val="20"/>
              </w:rPr>
              <w:t>g/m</w:t>
            </w:r>
            <w:r w:rsidRPr="00623E33">
              <w:rPr>
                <w:sz w:val="20"/>
                <w:vertAlign w:val="superscript"/>
              </w:rPr>
              <w:t>3</w:t>
            </w:r>
            <w:r w:rsidRPr="00623E33">
              <w:rPr>
                <w:sz w:val="20"/>
              </w:rPr>
              <w:t>not to more exceeded more than 3 times a year</w:t>
            </w:r>
          </w:p>
        </w:tc>
        <w:tc>
          <w:tcPr>
            <w:tcW w:w="0" w:type="auto"/>
            <w:vAlign w:val="center"/>
          </w:tcPr>
          <w:p w:rsidR="004E28FB" w:rsidRPr="00623E33" w:rsidRDefault="004E28FB" w:rsidP="00BE726F">
            <w:pPr>
              <w:spacing w:before="40" w:after="40"/>
              <w:jc w:val="left"/>
              <w:rPr>
                <w:sz w:val="20"/>
              </w:rPr>
            </w:pPr>
            <w:r w:rsidRPr="00623E33">
              <w:rPr>
                <w:sz w:val="20"/>
              </w:rPr>
              <w:t>24 hour mean</w:t>
            </w:r>
          </w:p>
        </w:tc>
        <w:tc>
          <w:tcPr>
            <w:tcW w:w="0" w:type="auto"/>
            <w:vAlign w:val="center"/>
          </w:tcPr>
          <w:p w:rsidR="004E28FB" w:rsidRPr="00623E33" w:rsidRDefault="004E28FB" w:rsidP="00BE726F">
            <w:pPr>
              <w:spacing w:before="40" w:after="40"/>
              <w:jc w:val="left"/>
              <w:rPr>
                <w:sz w:val="20"/>
              </w:rPr>
            </w:pPr>
            <w:r w:rsidRPr="00623E33">
              <w:rPr>
                <w:sz w:val="20"/>
              </w:rPr>
              <w:t>31 December 2004</w:t>
            </w:r>
          </w:p>
        </w:tc>
        <w:tc>
          <w:tcPr>
            <w:tcW w:w="0" w:type="auto"/>
            <w:vAlign w:val="center"/>
          </w:tcPr>
          <w:p w:rsidR="004E28FB" w:rsidRPr="00623E33" w:rsidRDefault="004E28FB" w:rsidP="00BE726F">
            <w:pPr>
              <w:spacing w:before="40" w:after="40"/>
              <w:jc w:val="left"/>
              <w:rPr>
                <w:sz w:val="20"/>
              </w:rPr>
            </w:pPr>
            <w:r w:rsidRPr="00623E33">
              <w:rPr>
                <w:sz w:val="20"/>
              </w:rPr>
              <w:t>None</w:t>
            </w:r>
          </w:p>
        </w:tc>
      </w:tr>
      <w:tr w:rsidR="004E28FB" w:rsidRPr="00623E33" w:rsidTr="00BE726F">
        <w:tc>
          <w:tcPr>
            <w:tcW w:w="0" w:type="auto"/>
            <w:vAlign w:val="center"/>
          </w:tcPr>
          <w:p w:rsidR="004E28FB" w:rsidRPr="00623E33" w:rsidRDefault="004E28FB" w:rsidP="00BE726F">
            <w:pPr>
              <w:spacing w:before="40" w:after="40"/>
              <w:jc w:val="left"/>
              <w:rPr>
                <w:b/>
                <w:sz w:val="20"/>
              </w:rPr>
            </w:pPr>
            <w:r w:rsidRPr="00623E33">
              <w:rPr>
                <w:b/>
                <w:sz w:val="20"/>
              </w:rPr>
              <w:t xml:space="preserve">Polycyclic aromatic hydrocarbons </w:t>
            </w:r>
          </w:p>
        </w:tc>
        <w:tc>
          <w:tcPr>
            <w:tcW w:w="0" w:type="auto"/>
            <w:vAlign w:val="center"/>
          </w:tcPr>
          <w:p w:rsidR="004E28FB" w:rsidRPr="00623E33" w:rsidRDefault="004E28FB" w:rsidP="00BE726F">
            <w:pPr>
              <w:spacing w:before="40" w:after="40"/>
              <w:jc w:val="left"/>
              <w:rPr>
                <w:sz w:val="20"/>
              </w:rPr>
            </w:pPr>
            <w:r w:rsidRPr="00623E33">
              <w:rPr>
                <w:sz w:val="20"/>
              </w:rPr>
              <w:t>1 ng/m</w:t>
            </w:r>
            <w:r w:rsidRPr="00623E33">
              <w:rPr>
                <w:sz w:val="20"/>
                <w:vertAlign w:val="superscript"/>
              </w:rPr>
              <w:t xml:space="preserve">3 </w:t>
            </w:r>
            <w:r w:rsidRPr="00623E33">
              <w:rPr>
                <w:sz w:val="20"/>
              </w:rPr>
              <w:t>B(a)P</w:t>
            </w:r>
          </w:p>
        </w:tc>
        <w:tc>
          <w:tcPr>
            <w:tcW w:w="0" w:type="auto"/>
            <w:vAlign w:val="center"/>
          </w:tcPr>
          <w:p w:rsidR="004E28FB" w:rsidRPr="00623E33" w:rsidRDefault="004E28FB" w:rsidP="00BE726F">
            <w:pPr>
              <w:spacing w:before="40" w:after="40"/>
              <w:jc w:val="left"/>
              <w:rPr>
                <w:sz w:val="20"/>
              </w:rPr>
            </w:pPr>
            <w:r w:rsidRPr="00623E33">
              <w:rPr>
                <w:sz w:val="20"/>
              </w:rPr>
              <w:t>PM</w:t>
            </w:r>
            <w:r w:rsidRPr="00623E33">
              <w:rPr>
                <w:sz w:val="20"/>
                <w:vertAlign w:val="subscript"/>
              </w:rPr>
              <w:t>10</w:t>
            </w:r>
            <w:r w:rsidRPr="00623E33">
              <w:rPr>
                <w:sz w:val="20"/>
              </w:rPr>
              <w:t xml:space="preserve"> Fraction over a calendar year</w:t>
            </w:r>
          </w:p>
        </w:tc>
        <w:tc>
          <w:tcPr>
            <w:tcW w:w="0" w:type="auto"/>
            <w:vAlign w:val="center"/>
          </w:tcPr>
          <w:p w:rsidR="004E28FB" w:rsidRPr="00623E33" w:rsidRDefault="004E28FB" w:rsidP="00BE726F">
            <w:pPr>
              <w:spacing w:before="40" w:after="40"/>
              <w:jc w:val="left"/>
              <w:rPr>
                <w:sz w:val="20"/>
              </w:rPr>
            </w:pPr>
            <w:r w:rsidRPr="00623E33">
              <w:rPr>
                <w:sz w:val="20"/>
              </w:rPr>
              <w:t>31 December 2010</w:t>
            </w:r>
          </w:p>
        </w:tc>
        <w:tc>
          <w:tcPr>
            <w:tcW w:w="0" w:type="auto"/>
            <w:vAlign w:val="center"/>
          </w:tcPr>
          <w:p w:rsidR="004E28FB" w:rsidRPr="00623E33" w:rsidRDefault="004E28FB" w:rsidP="00BE726F">
            <w:pPr>
              <w:spacing w:before="40" w:after="40"/>
              <w:jc w:val="left"/>
              <w:rPr>
                <w:sz w:val="20"/>
              </w:rPr>
            </w:pPr>
            <w:r>
              <w:rPr>
                <w:sz w:val="20"/>
              </w:rPr>
              <w:t>None</w:t>
            </w:r>
          </w:p>
        </w:tc>
      </w:tr>
      <w:tr w:rsidR="004E28FB" w:rsidRPr="00623E33" w:rsidTr="00BE726F">
        <w:tc>
          <w:tcPr>
            <w:tcW w:w="0" w:type="auto"/>
            <w:vAlign w:val="center"/>
          </w:tcPr>
          <w:p w:rsidR="004E28FB" w:rsidRPr="00623E33" w:rsidRDefault="004E28FB" w:rsidP="00BE726F">
            <w:pPr>
              <w:spacing w:before="40" w:after="40"/>
              <w:jc w:val="left"/>
              <w:rPr>
                <w:b/>
                <w:sz w:val="20"/>
              </w:rPr>
            </w:pPr>
            <w:r w:rsidRPr="00623E33">
              <w:rPr>
                <w:b/>
                <w:sz w:val="20"/>
              </w:rPr>
              <w:t>Benzene</w:t>
            </w:r>
          </w:p>
        </w:tc>
        <w:tc>
          <w:tcPr>
            <w:tcW w:w="0" w:type="auto"/>
            <w:vAlign w:val="center"/>
          </w:tcPr>
          <w:p w:rsidR="004E28FB" w:rsidRPr="00623E33" w:rsidRDefault="004E28FB" w:rsidP="00BE726F">
            <w:pPr>
              <w:spacing w:before="40" w:after="40"/>
              <w:jc w:val="left"/>
              <w:rPr>
                <w:sz w:val="20"/>
                <w:highlight w:val="yellow"/>
              </w:rPr>
            </w:pPr>
            <w:r>
              <w:rPr>
                <w:sz w:val="20"/>
              </w:rPr>
              <w:t xml:space="preserve">5 </w:t>
            </w:r>
            <w:r w:rsidRPr="006C29D5">
              <w:rPr>
                <w:rFonts w:ascii="Symbol" w:hAnsi="Symbol"/>
                <w:sz w:val="20"/>
              </w:rPr>
              <w:t></w:t>
            </w:r>
            <w:r w:rsidRPr="004361AD">
              <w:rPr>
                <w:sz w:val="20"/>
              </w:rPr>
              <w:t>g/m</w:t>
            </w:r>
            <w:r w:rsidRPr="004361AD">
              <w:rPr>
                <w:sz w:val="20"/>
                <w:vertAlign w:val="superscript"/>
              </w:rPr>
              <w:t>3</w:t>
            </w:r>
          </w:p>
        </w:tc>
        <w:tc>
          <w:tcPr>
            <w:tcW w:w="0" w:type="auto"/>
            <w:vAlign w:val="center"/>
          </w:tcPr>
          <w:p w:rsidR="004E28FB" w:rsidRPr="00623E33" w:rsidRDefault="004E28FB" w:rsidP="00BE726F">
            <w:pPr>
              <w:spacing w:before="40" w:after="40"/>
              <w:jc w:val="left"/>
              <w:rPr>
                <w:sz w:val="20"/>
              </w:rPr>
            </w:pPr>
            <w:r w:rsidRPr="00623E33">
              <w:rPr>
                <w:sz w:val="20"/>
              </w:rPr>
              <w:t>As annual average</w:t>
            </w:r>
          </w:p>
        </w:tc>
        <w:tc>
          <w:tcPr>
            <w:tcW w:w="0" w:type="auto"/>
            <w:vAlign w:val="center"/>
          </w:tcPr>
          <w:p w:rsidR="004E28FB" w:rsidRPr="00623E33" w:rsidRDefault="004E28FB" w:rsidP="00BE726F">
            <w:pPr>
              <w:spacing w:before="40" w:after="40"/>
              <w:jc w:val="left"/>
              <w:rPr>
                <w:sz w:val="20"/>
              </w:rPr>
            </w:pPr>
            <w:r w:rsidRPr="00623E33">
              <w:rPr>
                <w:sz w:val="20"/>
              </w:rPr>
              <w:t>31 December 2009</w:t>
            </w:r>
          </w:p>
        </w:tc>
        <w:tc>
          <w:tcPr>
            <w:tcW w:w="0" w:type="auto"/>
            <w:vAlign w:val="center"/>
          </w:tcPr>
          <w:p w:rsidR="004E28FB" w:rsidRPr="00623E33" w:rsidRDefault="004E28FB" w:rsidP="00BE726F">
            <w:pPr>
              <w:spacing w:before="40" w:after="40"/>
              <w:jc w:val="left"/>
              <w:rPr>
                <w:sz w:val="20"/>
              </w:rPr>
            </w:pPr>
            <w:r w:rsidRPr="008644B4">
              <w:rPr>
                <w:sz w:val="20"/>
              </w:rPr>
              <w:t>5 µg/m</w:t>
            </w:r>
            <w:r w:rsidRPr="000F1FCA">
              <w:rPr>
                <w:sz w:val="20"/>
                <w:vertAlign w:val="superscript"/>
              </w:rPr>
              <w:t xml:space="preserve">3 </w:t>
            </w:r>
            <w:r w:rsidRPr="008644B4">
              <w:rPr>
                <w:sz w:val="20"/>
              </w:rPr>
              <w:t xml:space="preserve">(100 %) on 13 December 2000, decreasing on 1 January 2006 and every 12 months thereafter by 1 </w:t>
            </w:r>
            <w:r w:rsidRPr="008644B4">
              <w:rPr>
                <w:sz w:val="20"/>
              </w:rPr>
              <w:lastRenderedPageBreak/>
              <w:t>µg/m3 to reach 0 % by 1 January 2010</w:t>
            </w:r>
          </w:p>
        </w:tc>
      </w:tr>
      <w:tr w:rsidR="004E28FB" w:rsidRPr="00623E33" w:rsidTr="00BE726F">
        <w:tc>
          <w:tcPr>
            <w:tcW w:w="0" w:type="auto"/>
            <w:vAlign w:val="center"/>
          </w:tcPr>
          <w:p w:rsidR="004E28FB" w:rsidRPr="00623E33" w:rsidRDefault="004E28FB" w:rsidP="00BE726F">
            <w:pPr>
              <w:spacing w:before="40" w:after="40"/>
              <w:jc w:val="left"/>
              <w:rPr>
                <w:b/>
                <w:sz w:val="20"/>
              </w:rPr>
            </w:pPr>
            <w:r w:rsidRPr="00623E33">
              <w:rPr>
                <w:b/>
                <w:sz w:val="20"/>
              </w:rPr>
              <w:lastRenderedPageBreak/>
              <w:t>Arsenic</w:t>
            </w:r>
          </w:p>
        </w:tc>
        <w:tc>
          <w:tcPr>
            <w:tcW w:w="0" w:type="auto"/>
            <w:vAlign w:val="center"/>
          </w:tcPr>
          <w:p w:rsidR="004E28FB" w:rsidRPr="006C29D5" w:rsidRDefault="004E28FB" w:rsidP="00BE726F">
            <w:pPr>
              <w:jc w:val="left"/>
              <w:rPr>
                <w:rFonts w:ascii="Symbol" w:hAnsi="Symbol"/>
                <w:sz w:val="20"/>
              </w:rPr>
            </w:pPr>
            <w:r w:rsidRPr="006C29D5">
              <w:rPr>
                <w:rFonts w:ascii="Symbol" w:hAnsi="Symbol"/>
                <w:sz w:val="20"/>
              </w:rPr>
              <w:t></w:t>
            </w:r>
            <w:r w:rsidRPr="006C29D5">
              <w:rPr>
                <w:rFonts w:ascii="Symbol" w:hAnsi="Symbol"/>
                <w:sz w:val="20"/>
              </w:rPr>
              <w:t></w:t>
            </w:r>
            <w:r w:rsidRPr="006C29D5">
              <w:rPr>
                <w:sz w:val="20"/>
              </w:rPr>
              <w:t>ng/m</w:t>
            </w:r>
            <w:r w:rsidRPr="006C29D5">
              <w:rPr>
                <w:sz w:val="20"/>
                <w:vertAlign w:val="superscript"/>
              </w:rPr>
              <w:t>3</w:t>
            </w:r>
          </w:p>
        </w:tc>
        <w:tc>
          <w:tcPr>
            <w:tcW w:w="0" w:type="auto"/>
            <w:vAlign w:val="center"/>
          </w:tcPr>
          <w:p w:rsidR="004E28FB" w:rsidRPr="00623E33" w:rsidRDefault="004E28FB" w:rsidP="00BE726F">
            <w:pPr>
              <w:spacing w:before="40" w:after="40"/>
              <w:jc w:val="left"/>
              <w:rPr>
                <w:sz w:val="20"/>
              </w:rPr>
            </w:pPr>
            <w:r w:rsidRPr="00623E33">
              <w:rPr>
                <w:sz w:val="20"/>
              </w:rPr>
              <w:t>PM</w:t>
            </w:r>
            <w:r w:rsidRPr="00623E33">
              <w:rPr>
                <w:sz w:val="20"/>
                <w:vertAlign w:val="subscript"/>
              </w:rPr>
              <w:t>10</w:t>
            </w:r>
            <w:r w:rsidRPr="00623E33">
              <w:rPr>
                <w:sz w:val="20"/>
              </w:rPr>
              <w:t xml:space="preserve"> Fraction over a calendar year</w:t>
            </w:r>
          </w:p>
        </w:tc>
        <w:tc>
          <w:tcPr>
            <w:tcW w:w="0" w:type="auto"/>
            <w:vAlign w:val="center"/>
          </w:tcPr>
          <w:p w:rsidR="004E28FB" w:rsidRPr="00623E33" w:rsidRDefault="004E28FB" w:rsidP="00BE726F">
            <w:pPr>
              <w:spacing w:before="40" w:after="40"/>
              <w:jc w:val="left"/>
              <w:rPr>
                <w:sz w:val="20"/>
              </w:rPr>
            </w:pPr>
            <w:r>
              <w:rPr>
                <w:sz w:val="20"/>
              </w:rPr>
              <w:t>1 January 2008</w:t>
            </w:r>
          </w:p>
        </w:tc>
        <w:tc>
          <w:tcPr>
            <w:tcW w:w="0" w:type="auto"/>
            <w:vAlign w:val="center"/>
          </w:tcPr>
          <w:p w:rsidR="004E28FB" w:rsidRPr="00623E33" w:rsidRDefault="004E28FB" w:rsidP="00BE726F">
            <w:pPr>
              <w:spacing w:before="40" w:after="40"/>
              <w:jc w:val="left"/>
              <w:rPr>
                <w:sz w:val="20"/>
              </w:rPr>
            </w:pPr>
            <w:r>
              <w:rPr>
                <w:sz w:val="20"/>
              </w:rPr>
              <w:t>0%</w:t>
            </w:r>
          </w:p>
        </w:tc>
      </w:tr>
      <w:tr w:rsidR="004E28FB" w:rsidRPr="00623E33" w:rsidTr="00BE726F">
        <w:tc>
          <w:tcPr>
            <w:tcW w:w="0" w:type="auto"/>
            <w:vAlign w:val="center"/>
          </w:tcPr>
          <w:p w:rsidR="004E28FB" w:rsidRPr="00623E33" w:rsidRDefault="004E28FB" w:rsidP="00BE726F">
            <w:pPr>
              <w:spacing w:before="40" w:after="40"/>
              <w:jc w:val="left"/>
              <w:rPr>
                <w:b/>
                <w:sz w:val="20"/>
              </w:rPr>
            </w:pPr>
            <w:r w:rsidRPr="00623E33">
              <w:rPr>
                <w:b/>
                <w:sz w:val="20"/>
              </w:rPr>
              <w:t>Cadmium</w:t>
            </w:r>
          </w:p>
        </w:tc>
        <w:tc>
          <w:tcPr>
            <w:tcW w:w="0" w:type="auto"/>
            <w:vAlign w:val="center"/>
          </w:tcPr>
          <w:p w:rsidR="004E28FB" w:rsidRPr="006C29D5" w:rsidRDefault="004E28FB" w:rsidP="00BE726F">
            <w:pPr>
              <w:jc w:val="left"/>
              <w:rPr>
                <w:rFonts w:ascii="Symbol" w:hAnsi="Symbol"/>
                <w:sz w:val="20"/>
              </w:rPr>
            </w:pPr>
            <w:r w:rsidRPr="006C29D5">
              <w:rPr>
                <w:rFonts w:ascii="Symbol" w:hAnsi="Symbol"/>
                <w:sz w:val="20"/>
              </w:rPr>
              <w:t></w:t>
            </w:r>
            <w:r w:rsidRPr="006C29D5">
              <w:rPr>
                <w:rFonts w:ascii="Symbol" w:hAnsi="Symbol"/>
                <w:sz w:val="20"/>
              </w:rPr>
              <w:t></w:t>
            </w:r>
            <w:r w:rsidRPr="006C29D5">
              <w:rPr>
                <w:sz w:val="20"/>
              </w:rPr>
              <w:t>ng/m</w:t>
            </w:r>
            <w:r w:rsidRPr="006C29D5">
              <w:rPr>
                <w:sz w:val="20"/>
                <w:vertAlign w:val="superscript"/>
              </w:rPr>
              <w:t>3</w:t>
            </w:r>
          </w:p>
        </w:tc>
        <w:tc>
          <w:tcPr>
            <w:tcW w:w="0" w:type="auto"/>
            <w:vAlign w:val="center"/>
          </w:tcPr>
          <w:p w:rsidR="004E28FB" w:rsidRPr="00623E33" w:rsidRDefault="004E28FB" w:rsidP="00BE726F">
            <w:pPr>
              <w:spacing w:before="40" w:after="40"/>
              <w:jc w:val="left"/>
              <w:rPr>
                <w:sz w:val="20"/>
              </w:rPr>
            </w:pPr>
            <w:r w:rsidRPr="00623E33">
              <w:rPr>
                <w:sz w:val="20"/>
              </w:rPr>
              <w:t>PM</w:t>
            </w:r>
            <w:r w:rsidRPr="00623E33">
              <w:rPr>
                <w:sz w:val="20"/>
                <w:vertAlign w:val="subscript"/>
              </w:rPr>
              <w:t>10</w:t>
            </w:r>
            <w:r w:rsidRPr="00623E33">
              <w:rPr>
                <w:sz w:val="20"/>
              </w:rPr>
              <w:t xml:space="preserve"> Fraction over a calendar year</w:t>
            </w:r>
          </w:p>
        </w:tc>
        <w:tc>
          <w:tcPr>
            <w:tcW w:w="0" w:type="auto"/>
            <w:vAlign w:val="center"/>
          </w:tcPr>
          <w:p w:rsidR="004E28FB" w:rsidRPr="00623E33" w:rsidRDefault="004E28FB" w:rsidP="00BE726F">
            <w:pPr>
              <w:spacing w:before="40" w:after="40"/>
              <w:jc w:val="left"/>
              <w:rPr>
                <w:sz w:val="20"/>
              </w:rPr>
            </w:pPr>
            <w:r>
              <w:rPr>
                <w:sz w:val="20"/>
              </w:rPr>
              <w:t>1 January 2008</w:t>
            </w:r>
          </w:p>
        </w:tc>
        <w:tc>
          <w:tcPr>
            <w:tcW w:w="0" w:type="auto"/>
            <w:vAlign w:val="center"/>
          </w:tcPr>
          <w:p w:rsidR="004E28FB" w:rsidRPr="00623E33" w:rsidRDefault="004E28FB" w:rsidP="00BE726F">
            <w:pPr>
              <w:spacing w:before="40" w:after="40"/>
              <w:jc w:val="left"/>
              <w:rPr>
                <w:sz w:val="20"/>
              </w:rPr>
            </w:pPr>
            <w:r>
              <w:rPr>
                <w:sz w:val="20"/>
              </w:rPr>
              <w:t>0%</w:t>
            </w:r>
          </w:p>
        </w:tc>
      </w:tr>
      <w:tr w:rsidR="004E28FB" w:rsidRPr="00623E33" w:rsidTr="00BE726F">
        <w:tc>
          <w:tcPr>
            <w:tcW w:w="0" w:type="auto"/>
            <w:vAlign w:val="center"/>
          </w:tcPr>
          <w:p w:rsidR="004E28FB" w:rsidRPr="00623E33" w:rsidRDefault="004E28FB" w:rsidP="00BE726F">
            <w:pPr>
              <w:spacing w:before="40" w:after="40"/>
              <w:jc w:val="left"/>
              <w:rPr>
                <w:b/>
                <w:sz w:val="20"/>
              </w:rPr>
            </w:pPr>
            <w:r w:rsidRPr="00623E33">
              <w:rPr>
                <w:b/>
                <w:sz w:val="20"/>
              </w:rPr>
              <w:t>Nickel</w:t>
            </w:r>
          </w:p>
        </w:tc>
        <w:tc>
          <w:tcPr>
            <w:tcW w:w="0" w:type="auto"/>
            <w:vAlign w:val="center"/>
          </w:tcPr>
          <w:p w:rsidR="004E28FB" w:rsidRPr="006C29D5" w:rsidRDefault="004E28FB" w:rsidP="00BE726F">
            <w:pPr>
              <w:jc w:val="left"/>
              <w:rPr>
                <w:rFonts w:ascii="Symbol" w:hAnsi="Symbol"/>
                <w:sz w:val="20"/>
              </w:rPr>
            </w:pPr>
            <w:r w:rsidRPr="006C29D5">
              <w:rPr>
                <w:rFonts w:ascii="Symbol" w:hAnsi="Symbol"/>
                <w:sz w:val="20"/>
              </w:rPr>
              <w:t></w:t>
            </w:r>
            <w:r w:rsidRPr="006C29D5">
              <w:rPr>
                <w:rFonts w:ascii="Symbol" w:hAnsi="Symbol"/>
                <w:sz w:val="20"/>
              </w:rPr>
              <w:t></w:t>
            </w:r>
            <w:r w:rsidRPr="006C29D5">
              <w:rPr>
                <w:rFonts w:ascii="Symbol" w:hAnsi="Symbol"/>
                <w:sz w:val="20"/>
              </w:rPr>
              <w:t></w:t>
            </w:r>
            <w:r w:rsidRPr="006C29D5">
              <w:rPr>
                <w:sz w:val="20"/>
              </w:rPr>
              <w:t>ng/m</w:t>
            </w:r>
            <w:r w:rsidRPr="006C29D5">
              <w:rPr>
                <w:sz w:val="20"/>
                <w:vertAlign w:val="superscript"/>
              </w:rPr>
              <w:t>3</w:t>
            </w:r>
          </w:p>
        </w:tc>
        <w:tc>
          <w:tcPr>
            <w:tcW w:w="0" w:type="auto"/>
            <w:vAlign w:val="center"/>
          </w:tcPr>
          <w:p w:rsidR="004E28FB" w:rsidRPr="00623E33" w:rsidRDefault="004E28FB" w:rsidP="00BE726F">
            <w:pPr>
              <w:spacing w:before="40" w:after="40"/>
              <w:jc w:val="left"/>
              <w:rPr>
                <w:sz w:val="20"/>
              </w:rPr>
            </w:pPr>
            <w:r w:rsidRPr="00623E33">
              <w:rPr>
                <w:sz w:val="20"/>
              </w:rPr>
              <w:t>PM</w:t>
            </w:r>
            <w:r w:rsidRPr="00623E33">
              <w:rPr>
                <w:sz w:val="20"/>
                <w:vertAlign w:val="subscript"/>
              </w:rPr>
              <w:t>10</w:t>
            </w:r>
            <w:r w:rsidRPr="00623E33">
              <w:rPr>
                <w:sz w:val="20"/>
              </w:rPr>
              <w:t xml:space="preserve"> Fraction over a calendar year</w:t>
            </w:r>
          </w:p>
        </w:tc>
        <w:tc>
          <w:tcPr>
            <w:tcW w:w="0" w:type="auto"/>
            <w:vAlign w:val="center"/>
          </w:tcPr>
          <w:p w:rsidR="004E28FB" w:rsidRPr="00623E33" w:rsidRDefault="004E28FB" w:rsidP="00BE726F">
            <w:pPr>
              <w:spacing w:before="40" w:after="40"/>
              <w:jc w:val="left"/>
              <w:rPr>
                <w:sz w:val="20"/>
              </w:rPr>
            </w:pPr>
            <w:r>
              <w:rPr>
                <w:sz w:val="20"/>
              </w:rPr>
              <w:t>1 January 2008</w:t>
            </w:r>
          </w:p>
        </w:tc>
        <w:tc>
          <w:tcPr>
            <w:tcW w:w="0" w:type="auto"/>
            <w:vAlign w:val="center"/>
          </w:tcPr>
          <w:p w:rsidR="004E28FB" w:rsidRPr="00623E33" w:rsidRDefault="004E28FB" w:rsidP="00BE726F">
            <w:pPr>
              <w:spacing w:before="40" w:after="40"/>
              <w:jc w:val="left"/>
              <w:rPr>
                <w:sz w:val="20"/>
              </w:rPr>
            </w:pPr>
            <w:r>
              <w:rPr>
                <w:sz w:val="20"/>
              </w:rPr>
              <w:t>0%</w:t>
            </w:r>
          </w:p>
        </w:tc>
      </w:tr>
      <w:tr w:rsidR="004E28FB" w:rsidRPr="00623E33" w:rsidTr="00BE726F">
        <w:tc>
          <w:tcPr>
            <w:tcW w:w="0" w:type="auto"/>
            <w:vAlign w:val="center"/>
          </w:tcPr>
          <w:p w:rsidR="004E28FB" w:rsidRPr="00623E33" w:rsidRDefault="004E28FB" w:rsidP="00BE726F">
            <w:pPr>
              <w:spacing w:before="40" w:after="40"/>
              <w:jc w:val="left"/>
              <w:rPr>
                <w:b/>
                <w:sz w:val="20"/>
              </w:rPr>
            </w:pPr>
            <w:r w:rsidRPr="00623E33">
              <w:rPr>
                <w:b/>
                <w:sz w:val="20"/>
              </w:rPr>
              <w:t>Carbon Monoxide</w:t>
            </w:r>
          </w:p>
        </w:tc>
        <w:tc>
          <w:tcPr>
            <w:tcW w:w="0" w:type="auto"/>
            <w:vAlign w:val="center"/>
          </w:tcPr>
          <w:p w:rsidR="004E28FB" w:rsidRPr="006C29D5" w:rsidRDefault="004E28FB" w:rsidP="00BE726F">
            <w:pPr>
              <w:jc w:val="left"/>
              <w:rPr>
                <w:sz w:val="20"/>
              </w:rPr>
            </w:pPr>
            <w:r w:rsidRPr="006C29D5">
              <w:rPr>
                <w:sz w:val="20"/>
              </w:rPr>
              <w:t>10 mg/m</w:t>
            </w:r>
            <w:r w:rsidRPr="006C29D5">
              <w:rPr>
                <w:sz w:val="20"/>
                <w:vertAlign w:val="superscript"/>
              </w:rPr>
              <w:t>3</w:t>
            </w:r>
          </w:p>
        </w:tc>
        <w:tc>
          <w:tcPr>
            <w:tcW w:w="0" w:type="auto"/>
            <w:vAlign w:val="center"/>
          </w:tcPr>
          <w:p w:rsidR="004E28FB" w:rsidRPr="00623E33" w:rsidRDefault="004E28FB" w:rsidP="00BE726F">
            <w:pPr>
              <w:spacing w:before="40" w:after="40"/>
              <w:jc w:val="left"/>
              <w:rPr>
                <w:sz w:val="20"/>
              </w:rPr>
            </w:pPr>
            <w:r w:rsidRPr="00623E33">
              <w:rPr>
                <w:sz w:val="20"/>
              </w:rPr>
              <w:t>Maximum daily running 8 hour mean</w:t>
            </w:r>
          </w:p>
        </w:tc>
        <w:tc>
          <w:tcPr>
            <w:tcW w:w="0" w:type="auto"/>
            <w:vAlign w:val="center"/>
          </w:tcPr>
          <w:p w:rsidR="004E28FB" w:rsidRPr="00623E33" w:rsidRDefault="004E28FB" w:rsidP="00BE726F">
            <w:pPr>
              <w:spacing w:before="40" w:after="40"/>
              <w:jc w:val="left"/>
              <w:rPr>
                <w:sz w:val="20"/>
              </w:rPr>
            </w:pPr>
            <w:r w:rsidRPr="00623E33">
              <w:rPr>
                <w:sz w:val="20"/>
              </w:rPr>
              <w:t>31 December 2004</w:t>
            </w:r>
          </w:p>
        </w:tc>
        <w:tc>
          <w:tcPr>
            <w:tcW w:w="0" w:type="auto"/>
            <w:vAlign w:val="center"/>
          </w:tcPr>
          <w:p w:rsidR="004E28FB" w:rsidRPr="00623E33" w:rsidRDefault="004E28FB" w:rsidP="00BE726F">
            <w:pPr>
              <w:spacing w:before="40" w:after="40"/>
              <w:jc w:val="left"/>
              <w:rPr>
                <w:sz w:val="20"/>
              </w:rPr>
            </w:pPr>
            <w:r w:rsidRPr="00623E33">
              <w:rPr>
                <w:sz w:val="20"/>
              </w:rPr>
              <w:t>60%</w:t>
            </w:r>
            <w:r>
              <w:rPr>
                <w:sz w:val="20"/>
              </w:rPr>
              <w:t xml:space="preserve"> before </w:t>
            </w:r>
            <w:r w:rsidRPr="00623E33">
              <w:rPr>
                <w:sz w:val="20"/>
              </w:rPr>
              <w:t>31 December 2004</w:t>
            </w:r>
          </w:p>
        </w:tc>
      </w:tr>
      <w:tr w:rsidR="004E28FB" w:rsidRPr="00623E33" w:rsidTr="00BE726F">
        <w:tc>
          <w:tcPr>
            <w:tcW w:w="0" w:type="auto"/>
            <w:vAlign w:val="center"/>
          </w:tcPr>
          <w:p w:rsidR="004E28FB" w:rsidRPr="00623E33" w:rsidRDefault="004E28FB" w:rsidP="00BE726F">
            <w:pPr>
              <w:spacing w:before="40" w:after="40"/>
              <w:jc w:val="left"/>
              <w:rPr>
                <w:b/>
                <w:sz w:val="20"/>
              </w:rPr>
            </w:pPr>
            <w:r w:rsidRPr="00623E33">
              <w:rPr>
                <w:b/>
                <w:sz w:val="20"/>
              </w:rPr>
              <w:t>Lead</w:t>
            </w:r>
          </w:p>
        </w:tc>
        <w:tc>
          <w:tcPr>
            <w:tcW w:w="0" w:type="auto"/>
            <w:vAlign w:val="center"/>
          </w:tcPr>
          <w:p w:rsidR="004E28FB" w:rsidRPr="006C29D5" w:rsidRDefault="004E28FB" w:rsidP="00BE726F">
            <w:pPr>
              <w:jc w:val="left"/>
              <w:rPr>
                <w:sz w:val="20"/>
              </w:rPr>
            </w:pPr>
            <w:r w:rsidRPr="006C29D5">
              <w:rPr>
                <w:rFonts w:ascii="Symbol" w:hAnsi="Symbol"/>
                <w:sz w:val="20"/>
              </w:rPr>
              <w:t></w:t>
            </w:r>
            <w:r w:rsidRPr="006C29D5">
              <w:rPr>
                <w:rFonts w:ascii="Symbol" w:hAnsi="Symbol"/>
                <w:sz w:val="20"/>
              </w:rPr>
              <w:t></w:t>
            </w:r>
            <w:r w:rsidRPr="006C29D5">
              <w:rPr>
                <w:rFonts w:ascii="Symbol" w:hAnsi="Symbol"/>
                <w:sz w:val="20"/>
              </w:rPr>
              <w:t></w:t>
            </w:r>
            <w:r w:rsidRPr="006C29D5">
              <w:rPr>
                <w:rFonts w:ascii="Symbol" w:hAnsi="Symbol"/>
                <w:sz w:val="20"/>
              </w:rPr>
              <w:t></w:t>
            </w:r>
            <w:r w:rsidRPr="006C29D5">
              <w:rPr>
                <w:rFonts w:ascii="Symbol" w:hAnsi="Symbol"/>
                <w:sz w:val="20"/>
              </w:rPr>
              <w:t></w:t>
            </w:r>
            <w:r w:rsidRPr="006C29D5">
              <w:rPr>
                <w:sz w:val="20"/>
              </w:rPr>
              <w:t>g/m</w:t>
            </w:r>
            <w:r w:rsidRPr="006C29D5">
              <w:rPr>
                <w:sz w:val="20"/>
                <w:vertAlign w:val="superscript"/>
              </w:rPr>
              <w:t>3</w:t>
            </w:r>
          </w:p>
        </w:tc>
        <w:tc>
          <w:tcPr>
            <w:tcW w:w="0" w:type="auto"/>
            <w:vAlign w:val="center"/>
          </w:tcPr>
          <w:p w:rsidR="004E28FB" w:rsidRPr="00623E33" w:rsidRDefault="004E28FB" w:rsidP="00BE726F">
            <w:pPr>
              <w:spacing w:before="40" w:after="40"/>
              <w:jc w:val="left"/>
              <w:rPr>
                <w:sz w:val="20"/>
              </w:rPr>
            </w:pPr>
            <w:r w:rsidRPr="00623E33">
              <w:rPr>
                <w:sz w:val="20"/>
              </w:rPr>
              <w:t>Annual mean (Calendar year)</w:t>
            </w:r>
          </w:p>
        </w:tc>
        <w:tc>
          <w:tcPr>
            <w:tcW w:w="0" w:type="auto"/>
            <w:vAlign w:val="center"/>
          </w:tcPr>
          <w:p w:rsidR="004E28FB" w:rsidRPr="00623E33" w:rsidRDefault="004E28FB" w:rsidP="00BE726F">
            <w:pPr>
              <w:spacing w:before="40" w:after="40"/>
              <w:jc w:val="left"/>
              <w:rPr>
                <w:sz w:val="20"/>
              </w:rPr>
            </w:pPr>
            <w:r w:rsidRPr="00623E33">
              <w:rPr>
                <w:sz w:val="20"/>
              </w:rPr>
              <w:t>31 December 2004</w:t>
            </w:r>
          </w:p>
          <w:p w:rsidR="004E28FB" w:rsidRPr="00623E33" w:rsidRDefault="004E28FB" w:rsidP="00BE726F">
            <w:pPr>
              <w:spacing w:before="40" w:after="40"/>
              <w:jc w:val="left"/>
              <w:rPr>
                <w:sz w:val="20"/>
              </w:rPr>
            </w:pPr>
            <w:r w:rsidRPr="00623E33">
              <w:rPr>
                <w:sz w:val="20"/>
              </w:rPr>
              <w:t>(31 December 2004 for Industrial contaminated sites)</w:t>
            </w:r>
          </w:p>
        </w:tc>
        <w:tc>
          <w:tcPr>
            <w:tcW w:w="0" w:type="auto"/>
            <w:vAlign w:val="center"/>
          </w:tcPr>
          <w:p w:rsidR="004E28FB" w:rsidRPr="00623E33" w:rsidRDefault="004E28FB" w:rsidP="00BE726F">
            <w:pPr>
              <w:spacing w:before="40" w:after="40"/>
              <w:jc w:val="left"/>
              <w:rPr>
                <w:sz w:val="20"/>
              </w:rPr>
            </w:pPr>
            <w:r w:rsidRPr="00623E33">
              <w:rPr>
                <w:sz w:val="20"/>
              </w:rPr>
              <w:t>100%</w:t>
            </w:r>
            <w:r>
              <w:rPr>
                <w:sz w:val="20"/>
              </w:rPr>
              <w:t xml:space="preserve"> before </w:t>
            </w:r>
            <w:r w:rsidRPr="00623E33">
              <w:rPr>
                <w:sz w:val="20"/>
              </w:rPr>
              <w:t>31 December 2004</w:t>
            </w:r>
          </w:p>
        </w:tc>
      </w:tr>
    </w:tbl>
    <w:p w:rsidR="00BE726F" w:rsidRPr="008513E5" w:rsidRDefault="00BE726F" w:rsidP="008513E5">
      <w:pPr>
        <w:shd w:val="clear" w:color="auto" w:fill="FFFFFF"/>
        <w:spacing w:before="120" w:after="120" w:line="240" w:lineRule="auto"/>
        <w:rPr>
          <w:rFonts w:cs="Arial"/>
          <w:color w:val="000000" w:themeColor="text1"/>
          <w:sz w:val="22"/>
        </w:rPr>
      </w:pPr>
      <w:r w:rsidRPr="008513E5">
        <w:rPr>
          <w:rStyle w:val="FootnoteReference"/>
          <w:rFonts w:cstheme="minorHAnsi"/>
          <w:sz w:val="18"/>
          <w:szCs w:val="16"/>
        </w:rPr>
        <w:footnoteRef/>
      </w:r>
      <w:r w:rsidRPr="008513E5">
        <w:rPr>
          <w:rFonts w:cstheme="minorHAnsi"/>
          <w:color w:val="231F20"/>
          <w:sz w:val="18"/>
          <w:szCs w:val="16"/>
        </w:rPr>
        <w:t xml:space="preserve"> ‘Margin of Tolerance’ is the percentage of the limit value by which that value may be exceeded subject to the conditions laid down in this Directive</w:t>
      </w:r>
    </w:p>
    <w:p w:rsidR="004E28FB" w:rsidRDefault="004E28FB" w:rsidP="002134F6">
      <w:r w:rsidRPr="00623E33">
        <w:t xml:space="preserve">Limit and target value averaging times for the protection of vegetation and ecosystems </w:t>
      </w:r>
      <w:r>
        <w:t xml:space="preserve">(Table 2-2) </w:t>
      </w:r>
      <w:r w:rsidRPr="00623E33">
        <w:t xml:space="preserve">are annual averages </w:t>
      </w:r>
      <w:r>
        <w:t>for</w:t>
      </w:r>
      <w:r w:rsidRPr="00623E33">
        <w:t xml:space="preserve"> Oxides of Nitrogen and Sulphur Dioxide, due to the chronic impact both of these chemical species have upon habitats and species over an extended period at low concentration levels. </w:t>
      </w:r>
      <w:r>
        <w:t xml:space="preserve">Though due to the historically high concentrations of </w:t>
      </w:r>
      <w:r w:rsidRPr="00623E33">
        <w:t>Sulphur Dioxide</w:t>
      </w:r>
      <w:r>
        <w:t xml:space="preserve"> in ambient air over the winter periods in Northern Europe, and due to increased fossil fuel use during that period, an additional </w:t>
      </w:r>
      <w:r w:rsidRPr="00623E33">
        <w:t>Sulphur Dioxide</w:t>
      </w:r>
      <w:r>
        <w:t xml:space="preserve"> </w:t>
      </w:r>
      <w:r w:rsidRPr="00A7063C">
        <w:t>winter</w:t>
      </w:r>
      <w:r>
        <w:t xml:space="preserve"> average averaging period </w:t>
      </w:r>
      <w:r w:rsidRPr="00A7063C">
        <w:t>(1</w:t>
      </w:r>
      <w:r>
        <w:t xml:space="preserve"> </w:t>
      </w:r>
      <w:r w:rsidRPr="00A7063C">
        <w:t>October</w:t>
      </w:r>
      <w:r>
        <w:t xml:space="preserve"> </w:t>
      </w:r>
      <w:r w:rsidRPr="00A7063C">
        <w:t>to</w:t>
      </w:r>
      <w:r>
        <w:t xml:space="preserve"> </w:t>
      </w:r>
      <w:r w:rsidRPr="00A7063C">
        <w:t>31</w:t>
      </w:r>
      <w:r>
        <w:t xml:space="preserve"> </w:t>
      </w:r>
      <w:r w:rsidRPr="00A7063C">
        <w:t>March)</w:t>
      </w:r>
      <w:r>
        <w:t xml:space="preserve"> has been identified for the purposes of protection of vegetation.</w:t>
      </w:r>
    </w:p>
    <w:p w:rsidR="004E28FB" w:rsidRDefault="004E28FB" w:rsidP="002134F6">
      <w:r>
        <w:t>B</w:t>
      </w:r>
      <w:r w:rsidRPr="00623E33">
        <w:t>oth Sulphur Dioxide and Ozone can have significant short-term or acute impacts at elevated concentrations on vegetation and ecosystems.</w:t>
      </w:r>
    </w:p>
    <w:p w:rsidR="004E28FB" w:rsidRPr="00623E33" w:rsidRDefault="004E28FB" w:rsidP="002134F6">
      <w:r w:rsidRPr="00623E33">
        <w:t>The limit value for ozone is expressed as an accumulated ozone exposure over a threshold of 40</w:t>
      </w:r>
      <w:r w:rsidR="008513E5">
        <w:t xml:space="preserve"> </w:t>
      </w:r>
      <w:r w:rsidRPr="00623E33">
        <w:t xml:space="preserve">ppb </w:t>
      </w:r>
      <w:proofErr w:type="gramStart"/>
      <w:r w:rsidRPr="00F54577">
        <w:t xml:space="preserve">(80 </w:t>
      </w:r>
      <w:r w:rsidRPr="00CE6FD5">
        <w:rPr>
          <w:rFonts w:ascii="Symbol" w:hAnsi="Symbol"/>
        </w:rPr>
        <w:t></w:t>
      </w:r>
      <w:r w:rsidRPr="00F54577">
        <w:t>g/m</w:t>
      </w:r>
      <w:r w:rsidRPr="00CE6FD5">
        <w:rPr>
          <w:vertAlign w:val="superscript"/>
        </w:rPr>
        <w:t>3</w:t>
      </w:r>
      <w:r w:rsidRPr="00F54577">
        <w:t>)</w:t>
      </w:r>
      <w:proofErr w:type="gramEnd"/>
      <w:r w:rsidRPr="00623E33">
        <w:t xml:space="preserve"> during hours of sunlight between spring and summer. This sum is known as AOT40 and takes into account that a high concentration of ozone over a long-period has the potential of damaging habitats.</w:t>
      </w:r>
    </w:p>
    <w:p w:rsidR="004E28FB" w:rsidRPr="00623E33" w:rsidRDefault="004E28FB" w:rsidP="002134F6">
      <w:pPr>
        <w:pStyle w:val="TOC1"/>
        <w:keepLines/>
      </w:pPr>
      <w:r w:rsidRPr="00623E33">
        <w:lastRenderedPageBreak/>
        <w:t xml:space="preserve">Table </w:t>
      </w:r>
      <w:r w:rsidR="005101F7">
        <w:fldChar w:fldCharType="begin"/>
      </w:r>
      <w:r w:rsidR="005101F7">
        <w:instrText xml:space="preserve"> STYLEREF 1 \s </w:instrText>
      </w:r>
      <w:r w:rsidR="005101F7">
        <w:fldChar w:fldCharType="separate"/>
      </w:r>
      <w:r>
        <w:rPr>
          <w:noProof/>
        </w:rPr>
        <w:t>2</w:t>
      </w:r>
      <w:r w:rsidR="005101F7">
        <w:rPr>
          <w:noProof/>
        </w:rPr>
        <w:fldChar w:fldCharType="end"/>
      </w:r>
      <w:r>
        <w:noBreakHyphen/>
        <w:t>2</w:t>
      </w:r>
      <w:r w:rsidRPr="00623E33">
        <w:t xml:space="preserve"> </w:t>
      </w:r>
      <w:r w:rsidRPr="00E06EA1">
        <w:t>European</w:t>
      </w:r>
      <w:r w:rsidRPr="00623E33">
        <w:t xml:space="preserve"> Directive Limit and target values for the protection of vegetation and ecosystems</w:t>
      </w:r>
    </w:p>
    <w:tbl>
      <w:tblPr>
        <w:tblStyle w:val="TableGrid"/>
        <w:tblW w:w="5000" w:type="pct"/>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12" w:space="0" w:color="76923C" w:themeColor="accent3" w:themeShade="BF"/>
          <w:insideV w:val="single" w:sz="12" w:space="0" w:color="76923C" w:themeColor="accent3" w:themeShade="BF"/>
        </w:tblBorders>
        <w:tblLook w:val="04A0" w:firstRow="1" w:lastRow="0" w:firstColumn="1" w:lastColumn="0" w:noHBand="0" w:noVBand="1"/>
      </w:tblPr>
      <w:tblGrid>
        <w:gridCol w:w="1765"/>
        <w:gridCol w:w="2009"/>
        <w:gridCol w:w="1920"/>
        <w:gridCol w:w="1745"/>
        <w:gridCol w:w="2182"/>
      </w:tblGrid>
      <w:tr w:rsidR="004E28FB" w:rsidRPr="00623E33" w:rsidTr="002134F6">
        <w:trPr>
          <w:tblHeader/>
        </w:trPr>
        <w:tc>
          <w:tcPr>
            <w:tcW w:w="917" w:type="pct"/>
            <w:shd w:val="clear" w:color="auto" w:fill="1F497D" w:themeFill="text2"/>
            <w:vAlign w:val="center"/>
          </w:tcPr>
          <w:p w:rsidR="004E28FB" w:rsidRPr="00623E33" w:rsidRDefault="004E28FB" w:rsidP="002134F6">
            <w:pPr>
              <w:keepNext/>
              <w:keepLines/>
              <w:spacing w:before="40" w:after="40"/>
              <w:jc w:val="center"/>
              <w:rPr>
                <w:b/>
                <w:color w:val="FFFFFF" w:themeColor="background1"/>
                <w:sz w:val="20"/>
              </w:rPr>
            </w:pPr>
            <w:r w:rsidRPr="00623E33">
              <w:rPr>
                <w:b/>
                <w:color w:val="FFFFFF" w:themeColor="background1"/>
                <w:sz w:val="20"/>
              </w:rPr>
              <w:t>Pollutant</w:t>
            </w:r>
          </w:p>
        </w:tc>
        <w:tc>
          <w:tcPr>
            <w:tcW w:w="1044" w:type="pct"/>
            <w:shd w:val="clear" w:color="auto" w:fill="1F497D" w:themeFill="text2"/>
            <w:vAlign w:val="center"/>
          </w:tcPr>
          <w:p w:rsidR="004E28FB" w:rsidRPr="00623E33" w:rsidRDefault="004E28FB" w:rsidP="002134F6">
            <w:pPr>
              <w:keepNext/>
              <w:keepLines/>
              <w:spacing w:before="40" w:after="40"/>
              <w:jc w:val="center"/>
              <w:rPr>
                <w:b/>
                <w:color w:val="FFFFFF" w:themeColor="background1"/>
                <w:sz w:val="20"/>
              </w:rPr>
            </w:pPr>
            <w:r w:rsidRPr="00623E33">
              <w:rPr>
                <w:b/>
                <w:color w:val="FFFFFF" w:themeColor="background1"/>
                <w:sz w:val="20"/>
              </w:rPr>
              <w:t>Limit Value</w:t>
            </w:r>
          </w:p>
        </w:tc>
        <w:tc>
          <w:tcPr>
            <w:tcW w:w="998" w:type="pct"/>
            <w:shd w:val="clear" w:color="auto" w:fill="1F497D" w:themeFill="text2"/>
            <w:vAlign w:val="center"/>
          </w:tcPr>
          <w:p w:rsidR="004E28FB" w:rsidRPr="00623E33" w:rsidRDefault="004E28FB" w:rsidP="002134F6">
            <w:pPr>
              <w:keepNext/>
              <w:keepLines/>
              <w:spacing w:before="40" w:after="40"/>
              <w:jc w:val="center"/>
              <w:rPr>
                <w:b/>
                <w:color w:val="FFFFFF" w:themeColor="background1"/>
                <w:sz w:val="20"/>
              </w:rPr>
            </w:pPr>
            <w:r w:rsidRPr="00623E33">
              <w:rPr>
                <w:b/>
                <w:color w:val="FFFFFF" w:themeColor="background1"/>
                <w:sz w:val="20"/>
              </w:rPr>
              <w:t>Concentration measured as</w:t>
            </w:r>
          </w:p>
        </w:tc>
        <w:tc>
          <w:tcPr>
            <w:tcW w:w="907" w:type="pct"/>
            <w:shd w:val="clear" w:color="auto" w:fill="1F497D" w:themeFill="text2"/>
            <w:vAlign w:val="center"/>
          </w:tcPr>
          <w:p w:rsidR="004E28FB" w:rsidRPr="00623E33" w:rsidRDefault="004E28FB" w:rsidP="002134F6">
            <w:pPr>
              <w:keepNext/>
              <w:keepLines/>
              <w:spacing w:before="40" w:after="40"/>
              <w:jc w:val="center"/>
              <w:rPr>
                <w:b/>
                <w:color w:val="FFFFFF" w:themeColor="background1"/>
                <w:sz w:val="20"/>
              </w:rPr>
            </w:pPr>
            <w:r w:rsidRPr="00623E33">
              <w:rPr>
                <w:b/>
                <w:color w:val="FFFFFF" w:themeColor="background1"/>
                <w:sz w:val="20"/>
              </w:rPr>
              <w:t>Date to be achieved by and thereafter</w:t>
            </w:r>
          </w:p>
        </w:tc>
        <w:tc>
          <w:tcPr>
            <w:tcW w:w="1134" w:type="pct"/>
            <w:shd w:val="clear" w:color="auto" w:fill="1F497D" w:themeFill="text2"/>
            <w:vAlign w:val="center"/>
          </w:tcPr>
          <w:p w:rsidR="004E28FB" w:rsidRPr="00623E33" w:rsidRDefault="004E28FB" w:rsidP="002134F6">
            <w:pPr>
              <w:keepNext/>
              <w:keepLines/>
              <w:spacing w:before="40" w:after="40"/>
              <w:jc w:val="center"/>
              <w:rPr>
                <w:b/>
                <w:color w:val="FFFFFF" w:themeColor="background1"/>
                <w:sz w:val="20"/>
              </w:rPr>
            </w:pPr>
            <w:r w:rsidRPr="00623E33">
              <w:rPr>
                <w:b/>
                <w:color w:val="FFFFFF" w:themeColor="background1"/>
                <w:sz w:val="20"/>
              </w:rPr>
              <w:t>Margin of Tolerance</w:t>
            </w:r>
          </w:p>
        </w:tc>
      </w:tr>
      <w:tr w:rsidR="004E28FB" w:rsidRPr="00623E33" w:rsidTr="002134F6">
        <w:tc>
          <w:tcPr>
            <w:tcW w:w="917" w:type="pct"/>
            <w:vAlign w:val="center"/>
          </w:tcPr>
          <w:p w:rsidR="004E28FB" w:rsidRPr="00623E33" w:rsidRDefault="004E28FB" w:rsidP="002134F6">
            <w:pPr>
              <w:keepNext/>
              <w:keepLines/>
              <w:spacing w:before="40" w:after="40"/>
              <w:jc w:val="left"/>
              <w:rPr>
                <w:b/>
                <w:sz w:val="20"/>
              </w:rPr>
            </w:pPr>
            <w:r w:rsidRPr="00623E33">
              <w:rPr>
                <w:b/>
                <w:sz w:val="20"/>
              </w:rPr>
              <w:t xml:space="preserve">Oxides of Nitrogen </w:t>
            </w:r>
          </w:p>
        </w:tc>
        <w:tc>
          <w:tcPr>
            <w:tcW w:w="1044" w:type="pct"/>
            <w:vAlign w:val="center"/>
          </w:tcPr>
          <w:p w:rsidR="004E28FB" w:rsidRPr="00623E33" w:rsidRDefault="004E28FB" w:rsidP="002134F6">
            <w:pPr>
              <w:keepNext/>
              <w:keepLines/>
              <w:spacing w:before="40" w:after="40"/>
              <w:jc w:val="left"/>
              <w:rPr>
                <w:sz w:val="20"/>
              </w:rPr>
            </w:pPr>
            <w:r w:rsidRPr="00623E33">
              <w:rPr>
                <w:sz w:val="20"/>
              </w:rPr>
              <w:t xml:space="preserve">30 </w:t>
            </w:r>
            <w:r w:rsidRPr="006C29D5">
              <w:rPr>
                <w:rFonts w:ascii="Symbol" w:hAnsi="Symbol"/>
                <w:sz w:val="20"/>
              </w:rPr>
              <w:t></w:t>
            </w:r>
            <w:r w:rsidRPr="00623E33">
              <w:rPr>
                <w:sz w:val="20"/>
              </w:rPr>
              <w:t>g/m</w:t>
            </w:r>
            <w:r w:rsidRPr="00623E33">
              <w:rPr>
                <w:sz w:val="20"/>
                <w:vertAlign w:val="superscript"/>
              </w:rPr>
              <w:t>3</w:t>
            </w:r>
          </w:p>
        </w:tc>
        <w:tc>
          <w:tcPr>
            <w:tcW w:w="998" w:type="pct"/>
            <w:vAlign w:val="center"/>
          </w:tcPr>
          <w:p w:rsidR="004E28FB" w:rsidRPr="00623E33" w:rsidRDefault="004E28FB" w:rsidP="002134F6">
            <w:pPr>
              <w:keepNext/>
              <w:keepLines/>
              <w:spacing w:before="40" w:after="40"/>
              <w:jc w:val="left"/>
              <w:rPr>
                <w:sz w:val="20"/>
              </w:rPr>
            </w:pPr>
            <w:r w:rsidRPr="00623E33">
              <w:rPr>
                <w:sz w:val="20"/>
              </w:rPr>
              <w:t>Annual Mean (Calendar year)</w:t>
            </w:r>
          </w:p>
        </w:tc>
        <w:tc>
          <w:tcPr>
            <w:tcW w:w="907" w:type="pct"/>
            <w:vAlign w:val="center"/>
          </w:tcPr>
          <w:p w:rsidR="004E28FB" w:rsidRPr="00623E33" w:rsidRDefault="004E28FB" w:rsidP="002134F6">
            <w:pPr>
              <w:keepNext/>
              <w:keepLines/>
              <w:spacing w:before="40" w:after="40"/>
              <w:jc w:val="left"/>
              <w:rPr>
                <w:sz w:val="20"/>
              </w:rPr>
            </w:pPr>
            <w:r w:rsidRPr="00623E33">
              <w:rPr>
                <w:sz w:val="20"/>
              </w:rPr>
              <w:t>19 July 2001</w:t>
            </w:r>
          </w:p>
        </w:tc>
        <w:tc>
          <w:tcPr>
            <w:tcW w:w="1134" w:type="pct"/>
            <w:vAlign w:val="center"/>
          </w:tcPr>
          <w:p w:rsidR="004E28FB" w:rsidRPr="00623E33" w:rsidRDefault="004E28FB" w:rsidP="002134F6">
            <w:pPr>
              <w:keepNext/>
              <w:keepLines/>
              <w:spacing w:before="40" w:after="40"/>
              <w:jc w:val="left"/>
              <w:rPr>
                <w:sz w:val="20"/>
              </w:rPr>
            </w:pPr>
            <w:r w:rsidRPr="00623E33">
              <w:rPr>
                <w:sz w:val="20"/>
              </w:rPr>
              <w:t>None</w:t>
            </w:r>
          </w:p>
        </w:tc>
      </w:tr>
      <w:tr w:rsidR="004E28FB" w:rsidRPr="00623E33" w:rsidTr="002134F6">
        <w:tc>
          <w:tcPr>
            <w:tcW w:w="917" w:type="pct"/>
            <w:vAlign w:val="center"/>
          </w:tcPr>
          <w:p w:rsidR="004E28FB" w:rsidRPr="00623E33" w:rsidRDefault="004E28FB" w:rsidP="00BE726F">
            <w:pPr>
              <w:spacing w:before="40" w:after="40"/>
              <w:jc w:val="left"/>
              <w:rPr>
                <w:b/>
                <w:sz w:val="20"/>
              </w:rPr>
            </w:pPr>
            <w:r w:rsidRPr="00623E33">
              <w:rPr>
                <w:b/>
                <w:sz w:val="20"/>
              </w:rPr>
              <w:t>Sulphur Dioxide</w:t>
            </w:r>
          </w:p>
        </w:tc>
        <w:tc>
          <w:tcPr>
            <w:tcW w:w="1044" w:type="pct"/>
            <w:vAlign w:val="center"/>
          </w:tcPr>
          <w:p w:rsidR="004E28FB" w:rsidRPr="00623E33" w:rsidRDefault="004E28FB" w:rsidP="00BE726F">
            <w:pPr>
              <w:spacing w:before="40" w:after="40"/>
              <w:jc w:val="left"/>
              <w:rPr>
                <w:sz w:val="20"/>
              </w:rPr>
            </w:pPr>
            <w:r w:rsidRPr="00623E33">
              <w:rPr>
                <w:sz w:val="20"/>
              </w:rPr>
              <w:t xml:space="preserve">20 </w:t>
            </w:r>
            <w:r w:rsidRPr="006C29D5">
              <w:rPr>
                <w:rFonts w:ascii="Symbol" w:hAnsi="Symbol"/>
                <w:sz w:val="20"/>
              </w:rPr>
              <w:t></w:t>
            </w:r>
            <w:r w:rsidRPr="00623E33">
              <w:rPr>
                <w:sz w:val="20"/>
              </w:rPr>
              <w:t>g/m</w:t>
            </w:r>
            <w:r w:rsidRPr="00623E33">
              <w:rPr>
                <w:sz w:val="20"/>
                <w:vertAlign w:val="superscript"/>
              </w:rPr>
              <w:t>3</w:t>
            </w:r>
          </w:p>
        </w:tc>
        <w:tc>
          <w:tcPr>
            <w:tcW w:w="998" w:type="pct"/>
            <w:vAlign w:val="center"/>
          </w:tcPr>
          <w:p w:rsidR="004E28FB" w:rsidRPr="00623E33" w:rsidRDefault="004E28FB" w:rsidP="00BE726F">
            <w:pPr>
              <w:spacing w:before="40" w:after="40"/>
              <w:jc w:val="left"/>
              <w:rPr>
                <w:sz w:val="20"/>
              </w:rPr>
            </w:pPr>
            <w:r w:rsidRPr="00623E33">
              <w:rPr>
                <w:sz w:val="20"/>
              </w:rPr>
              <w:t>Annual Mean (Calendar year) &amp; Winter (1 Oct to 31 March)</w:t>
            </w:r>
          </w:p>
        </w:tc>
        <w:tc>
          <w:tcPr>
            <w:tcW w:w="907" w:type="pct"/>
            <w:vAlign w:val="center"/>
          </w:tcPr>
          <w:p w:rsidR="004E28FB" w:rsidRPr="00623E33" w:rsidRDefault="004E28FB" w:rsidP="00BE726F">
            <w:pPr>
              <w:spacing w:before="40" w:after="40"/>
              <w:jc w:val="left"/>
              <w:rPr>
                <w:sz w:val="20"/>
              </w:rPr>
            </w:pPr>
            <w:r w:rsidRPr="00623E33">
              <w:rPr>
                <w:sz w:val="20"/>
              </w:rPr>
              <w:t>19 July 2001</w:t>
            </w:r>
          </w:p>
        </w:tc>
        <w:tc>
          <w:tcPr>
            <w:tcW w:w="1134" w:type="pct"/>
            <w:vAlign w:val="center"/>
          </w:tcPr>
          <w:p w:rsidR="004E28FB" w:rsidRPr="00623E33" w:rsidRDefault="004E28FB" w:rsidP="00BE726F">
            <w:pPr>
              <w:spacing w:before="40" w:after="40"/>
              <w:jc w:val="left"/>
              <w:rPr>
                <w:sz w:val="20"/>
              </w:rPr>
            </w:pPr>
            <w:r>
              <w:rPr>
                <w:sz w:val="20"/>
              </w:rPr>
              <w:t>None</w:t>
            </w:r>
          </w:p>
        </w:tc>
      </w:tr>
      <w:tr w:rsidR="004E28FB" w:rsidRPr="00623E33" w:rsidTr="002134F6">
        <w:tc>
          <w:tcPr>
            <w:tcW w:w="917" w:type="pct"/>
            <w:vAlign w:val="center"/>
          </w:tcPr>
          <w:p w:rsidR="004E28FB" w:rsidRPr="00623E33" w:rsidRDefault="004E28FB" w:rsidP="00E06EA1">
            <w:pPr>
              <w:spacing w:before="40" w:after="40"/>
              <w:jc w:val="left"/>
              <w:rPr>
                <w:b/>
                <w:sz w:val="20"/>
              </w:rPr>
            </w:pPr>
            <w:r w:rsidRPr="00623E33">
              <w:rPr>
                <w:b/>
                <w:sz w:val="20"/>
              </w:rPr>
              <w:t>Ozone: protection of vegetation &amp; ecosystems</w:t>
            </w:r>
          </w:p>
        </w:tc>
        <w:tc>
          <w:tcPr>
            <w:tcW w:w="1044" w:type="pct"/>
            <w:vAlign w:val="center"/>
          </w:tcPr>
          <w:p w:rsidR="004E28FB" w:rsidRPr="00623E33" w:rsidRDefault="004E28FB" w:rsidP="00E06EA1">
            <w:pPr>
              <w:spacing w:before="40" w:after="40"/>
              <w:jc w:val="left"/>
              <w:rPr>
                <w:sz w:val="20"/>
              </w:rPr>
            </w:pPr>
            <w:r w:rsidRPr="00623E33">
              <w:rPr>
                <w:sz w:val="20"/>
              </w:rPr>
              <w:t xml:space="preserve">Target of 18,000 </w:t>
            </w:r>
            <w:r w:rsidRPr="006C29D5">
              <w:rPr>
                <w:rFonts w:ascii="Symbol" w:hAnsi="Symbol"/>
                <w:sz w:val="20"/>
              </w:rPr>
              <w:t></w:t>
            </w:r>
            <w:r w:rsidRPr="00623E33">
              <w:rPr>
                <w:sz w:val="20"/>
              </w:rPr>
              <w:t>g/m</w:t>
            </w:r>
            <w:r w:rsidRPr="00623E33">
              <w:rPr>
                <w:sz w:val="20"/>
                <w:vertAlign w:val="superscript"/>
              </w:rPr>
              <w:t>3</w:t>
            </w:r>
            <w:r w:rsidRPr="00623E33">
              <w:rPr>
                <w:sz w:val="20"/>
              </w:rPr>
              <w:t xml:space="preserve"> based on AOT40</w:t>
            </w:r>
            <w:r w:rsidR="00E06EA1">
              <w:rPr>
                <w:sz w:val="20"/>
                <w:vertAlign w:val="superscript"/>
              </w:rPr>
              <w:t>1</w:t>
            </w:r>
            <w:r w:rsidRPr="00623E33">
              <w:rPr>
                <w:sz w:val="20"/>
              </w:rPr>
              <w:t xml:space="preserve"> to be calculated from 1 hour values from May to July and to be achieved, so far as possible, by 2010</w:t>
            </w:r>
          </w:p>
        </w:tc>
        <w:tc>
          <w:tcPr>
            <w:tcW w:w="998" w:type="pct"/>
            <w:vAlign w:val="center"/>
          </w:tcPr>
          <w:p w:rsidR="004E28FB" w:rsidRPr="00623E33" w:rsidRDefault="004E28FB" w:rsidP="00E06EA1">
            <w:pPr>
              <w:spacing w:before="40" w:after="40"/>
              <w:jc w:val="left"/>
              <w:rPr>
                <w:sz w:val="20"/>
              </w:rPr>
            </w:pPr>
            <w:r w:rsidRPr="00623E33">
              <w:rPr>
                <w:sz w:val="20"/>
              </w:rPr>
              <w:t xml:space="preserve">Average over 5 years </w:t>
            </w:r>
          </w:p>
        </w:tc>
        <w:tc>
          <w:tcPr>
            <w:tcW w:w="907" w:type="pct"/>
            <w:vAlign w:val="center"/>
          </w:tcPr>
          <w:p w:rsidR="004E28FB" w:rsidRPr="00623E33" w:rsidRDefault="004E28FB" w:rsidP="00E06EA1">
            <w:pPr>
              <w:spacing w:before="40" w:after="40"/>
              <w:jc w:val="left"/>
              <w:rPr>
                <w:sz w:val="20"/>
              </w:rPr>
            </w:pPr>
            <w:r w:rsidRPr="00623E33">
              <w:rPr>
                <w:sz w:val="20"/>
              </w:rPr>
              <w:t>31 December 2009</w:t>
            </w:r>
          </w:p>
        </w:tc>
        <w:tc>
          <w:tcPr>
            <w:tcW w:w="1134" w:type="pct"/>
            <w:vAlign w:val="center"/>
          </w:tcPr>
          <w:p w:rsidR="004E28FB" w:rsidRPr="00623E33" w:rsidRDefault="004E28FB" w:rsidP="00E06EA1">
            <w:pPr>
              <w:spacing w:before="40" w:after="40"/>
              <w:jc w:val="left"/>
              <w:rPr>
                <w:sz w:val="20"/>
              </w:rPr>
            </w:pPr>
          </w:p>
        </w:tc>
      </w:tr>
    </w:tbl>
    <w:p w:rsidR="004E28FB" w:rsidRPr="00BE726F" w:rsidRDefault="00BE726F" w:rsidP="00E06EA1">
      <w:pPr>
        <w:rPr>
          <w:rFonts w:cs="Arial"/>
          <w:sz w:val="18"/>
          <w:szCs w:val="18"/>
        </w:rPr>
      </w:pPr>
      <w:bookmarkStart w:id="164" w:name="_Toc386503186"/>
      <w:bookmarkStart w:id="165" w:name="_Toc386503408"/>
      <w:bookmarkStart w:id="166" w:name="_Toc386503569"/>
      <w:bookmarkStart w:id="167" w:name="_Toc386503730"/>
      <w:bookmarkStart w:id="168" w:name="_Toc386503891"/>
      <w:bookmarkStart w:id="169" w:name="_Toc383738753"/>
      <w:bookmarkEnd w:id="164"/>
      <w:bookmarkEnd w:id="165"/>
      <w:bookmarkEnd w:id="166"/>
      <w:bookmarkEnd w:id="167"/>
      <w:bookmarkEnd w:id="168"/>
      <w:r>
        <w:rPr>
          <w:rFonts w:cs="Arial"/>
          <w:sz w:val="18"/>
          <w:szCs w:val="18"/>
          <w:vertAlign w:val="superscript"/>
        </w:rPr>
        <w:t xml:space="preserve">1 </w:t>
      </w:r>
      <w:r w:rsidRPr="00BE726F">
        <w:rPr>
          <w:rFonts w:cs="Arial"/>
          <w:sz w:val="18"/>
          <w:szCs w:val="18"/>
        </w:rPr>
        <w:t xml:space="preserve">AOT40 (expressed in </w:t>
      </w:r>
      <w:r w:rsidR="00023BDB">
        <w:rPr>
          <w:rFonts w:cs="Arial"/>
          <w:sz w:val="18"/>
          <w:szCs w:val="18"/>
        </w:rPr>
        <w:t>(</w:t>
      </w:r>
      <w:r w:rsidRPr="006C29D5">
        <w:rPr>
          <w:rFonts w:ascii="Symbol" w:hAnsi="Symbol"/>
          <w:sz w:val="20"/>
        </w:rPr>
        <w:t></w:t>
      </w:r>
      <w:r w:rsidRPr="00BE726F">
        <w:rPr>
          <w:rFonts w:cs="Arial"/>
          <w:sz w:val="18"/>
          <w:szCs w:val="18"/>
        </w:rPr>
        <w:t>g/m</w:t>
      </w:r>
      <w:r w:rsidRPr="00BE726F">
        <w:rPr>
          <w:rFonts w:cs="Arial"/>
          <w:sz w:val="18"/>
          <w:szCs w:val="18"/>
          <w:vertAlign w:val="superscript"/>
        </w:rPr>
        <w:t>3</w:t>
      </w:r>
      <w:r w:rsidRPr="00BE726F">
        <w:rPr>
          <w:rFonts w:cs="Arial"/>
          <w:sz w:val="18"/>
          <w:szCs w:val="18"/>
        </w:rPr>
        <w:t>)</w:t>
      </w:r>
      <w:r w:rsidR="00023BDB">
        <w:rPr>
          <w:rFonts w:cs="Arial"/>
          <w:sz w:val="18"/>
          <w:szCs w:val="18"/>
        </w:rPr>
        <w:t xml:space="preserve"> • </w:t>
      </w:r>
      <w:r w:rsidRPr="00BE726F">
        <w:rPr>
          <w:rFonts w:cs="Arial"/>
          <w:sz w:val="18"/>
          <w:szCs w:val="18"/>
        </w:rPr>
        <w:t xml:space="preserve">hours) means the sum of the difference between hourly concentrations greater than 80 </w:t>
      </w:r>
      <w:r w:rsidR="00023BDB" w:rsidRPr="006C29D5">
        <w:rPr>
          <w:rFonts w:ascii="Symbol" w:hAnsi="Symbol"/>
          <w:sz w:val="20"/>
        </w:rPr>
        <w:t></w:t>
      </w:r>
      <w:r w:rsidRPr="00BE726F">
        <w:rPr>
          <w:rFonts w:cs="Arial"/>
          <w:sz w:val="18"/>
          <w:szCs w:val="18"/>
        </w:rPr>
        <w:t>g/m</w:t>
      </w:r>
      <w:r w:rsidRPr="00023BDB">
        <w:rPr>
          <w:rFonts w:cs="Arial"/>
          <w:sz w:val="18"/>
          <w:szCs w:val="18"/>
          <w:vertAlign w:val="superscript"/>
        </w:rPr>
        <w:t>3</w:t>
      </w:r>
      <w:r w:rsidRPr="00BE726F">
        <w:rPr>
          <w:rFonts w:cs="Arial"/>
          <w:sz w:val="18"/>
          <w:szCs w:val="18"/>
        </w:rPr>
        <w:t xml:space="preserve"> (= 40ppb) and 80 </w:t>
      </w:r>
      <w:r w:rsidR="00023BDB" w:rsidRPr="006C29D5">
        <w:rPr>
          <w:rFonts w:ascii="Symbol" w:hAnsi="Symbol"/>
          <w:sz w:val="20"/>
        </w:rPr>
        <w:t></w:t>
      </w:r>
      <w:r w:rsidRPr="00BE726F">
        <w:rPr>
          <w:rFonts w:cs="Arial"/>
          <w:sz w:val="18"/>
          <w:szCs w:val="18"/>
        </w:rPr>
        <w:t>g/m</w:t>
      </w:r>
      <w:r w:rsidRPr="00023BDB">
        <w:rPr>
          <w:rFonts w:cs="Arial"/>
          <w:sz w:val="18"/>
          <w:szCs w:val="18"/>
          <w:vertAlign w:val="superscript"/>
        </w:rPr>
        <w:t>3</w:t>
      </w:r>
      <w:r w:rsidRPr="00BE726F">
        <w:rPr>
          <w:rFonts w:cs="Arial"/>
          <w:sz w:val="18"/>
          <w:szCs w:val="18"/>
        </w:rPr>
        <w:t xml:space="preserve"> over a given period using only the one-hour values measures between 8:00hr and 20:00hr Central European Time (CET) each day</w:t>
      </w:r>
    </w:p>
    <w:p w:rsidR="004E28FB" w:rsidRPr="00E06EA1" w:rsidRDefault="004E28FB" w:rsidP="00E06EA1">
      <w:pPr>
        <w:pStyle w:val="Heading2"/>
        <w:rPr>
          <w:rStyle w:val="Strong"/>
          <w:b/>
          <w:bCs w:val="0"/>
        </w:rPr>
      </w:pPr>
      <w:bookmarkStart w:id="170" w:name="_Toc392598873"/>
      <w:r w:rsidRPr="00E06EA1">
        <w:rPr>
          <w:rStyle w:val="Strong"/>
          <w:b/>
          <w:bCs w:val="0"/>
        </w:rPr>
        <w:t>Upper and lower assessment thresholds</w:t>
      </w:r>
      <w:bookmarkEnd w:id="169"/>
      <w:bookmarkEnd w:id="170"/>
    </w:p>
    <w:p w:rsidR="004E28FB" w:rsidRPr="00623E33" w:rsidRDefault="004E28FB" w:rsidP="002134F6">
      <w:r>
        <w:t xml:space="preserve">The degree of assessment is dependent upon whether average air quality is above or below the upper threshold or below the lower assessment threshold, as set out within the CAFE Directive (Part A, Annex II). Should it be found to be above both </w:t>
      </w:r>
      <w:r w:rsidRPr="00623E33">
        <w:t xml:space="preserve">at the preliminary assessment stage, then </w:t>
      </w:r>
      <w:r>
        <w:t xml:space="preserve">that </w:t>
      </w:r>
      <w:r w:rsidRPr="00623E33">
        <w:t xml:space="preserve">pollutant must be </w:t>
      </w:r>
      <w:r>
        <w:t>routinely assessed using a fixed measurement technique s</w:t>
      </w:r>
      <w:r w:rsidRPr="00623E33">
        <w:t xml:space="preserve"> (typically 12 months in duration) using a reference method</w:t>
      </w:r>
      <w:r>
        <w:t>.</w:t>
      </w:r>
    </w:p>
    <w:p w:rsidR="004E28FB" w:rsidRPr="00623E33" w:rsidRDefault="004E28FB" w:rsidP="002134F6">
      <w:r>
        <w:t xml:space="preserve">In addition a lower </w:t>
      </w:r>
      <w:r w:rsidR="00E06EA1">
        <w:t>boundary</w:t>
      </w:r>
      <w:r>
        <w:t xml:space="preserve"> or lower assessment threshold has been set out within the CAFE Directive (Part A, Annex II). Should a </w:t>
      </w:r>
      <w:r w:rsidRPr="00623E33">
        <w:t xml:space="preserve">pollutant concentration </w:t>
      </w:r>
      <w:r>
        <w:t xml:space="preserve">consistently fall below lower </w:t>
      </w:r>
      <w:r w:rsidRPr="00623E33">
        <w:t xml:space="preserve">assessment threshold at the preliminary assessment stage, then </w:t>
      </w:r>
      <w:r>
        <w:t xml:space="preserve">the </w:t>
      </w:r>
      <w:r w:rsidRPr="00623E33">
        <w:t>assessment of the pollutant must be undertaken using</w:t>
      </w:r>
      <w:r>
        <w:t xml:space="preserve"> </w:t>
      </w:r>
      <w:r w:rsidRPr="00623E33">
        <w:t>a combination of fixed measurements</w:t>
      </w:r>
      <w:r>
        <w:t xml:space="preserve"> </w:t>
      </w:r>
      <w:r w:rsidRPr="00623E33">
        <w:t>and modelling techniques and/or indicative measurements.</w:t>
      </w:r>
    </w:p>
    <w:p w:rsidR="004E28FB" w:rsidRPr="00E06EA1" w:rsidRDefault="004E28FB" w:rsidP="00E06EA1">
      <w:pPr>
        <w:pStyle w:val="Heading2"/>
        <w:rPr>
          <w:rStyle w:val="Strong"/>
          <w:b/>
          <w:bCs w:val="0"/>
        </w:rPr>
      </w:pPr>
      <w:bookmarkStart w:id="171" w:name="_Toc386499734"/>
      <w:bookmarkStart w:id="172" w:name="_Toc386503188"/>
      <w:bookmarkStart w:id="173" w:name="_Toc386503410"/>
      <w:bookmarkStart w:id="174" w:name="_Toc386503571"/>
      <w:bookmarkStart w:id="175" w:name="_Toc386503732"/>
      <w:bookmarkStart w:id="176" w:name="_Toc386503893"/>
      <w:bookmarkStart w:id="177" w:name="_Toc386499735"/>
      <w:bookmarkStart w:id="178" w:name="_Toc386503189"/>
      <w:bookmarkStart w:id="179" w:name="_Toc386503411"/>
      <w:bookmarkStart w:id="180" w:name="_Toc386503572"/>
      <w:bookmarkStart w:id="181" w:name="_Toc386503733"/>
      <w:bookmarkStart w:id="182" w:name="_Toc386503894"/>
      <w:bookmarkStart w:id="183" w:name="_Toc386499736"/>
      <w:bookmarkStart w:id="184" w:name="_Toc386503190"/>
      <w:bookmarkStart w:id="185" w:name="_Toc386503412"/>
      <w:bookmarkStart w:id="186" w:name="_Toc386503573"/>
      <w:bookmarkStart w:id="187" w:name="_Toc386503734"/>
      <w:bookmarkStart w:id="188" w:name="_Toc386503895"/>
      <w:bookmarkStart w:id="189" w:name="_Toc383736787"/>
      <w:bookmarkStart w:id="190" w:name="_Toc383738754"/>
      <w:bookmarkStart w:id="191" w:name="_Toc383738755"/>
      <w:bookmarkStart w:id="192" w:name="_Toc392598874"/>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E06EA1">
        <w:rPr>
          <w:rStyle w:val="Strong"/>
          <w:b/>
          <w:bCs w:val="0"/>
        </w:rPr>
        <w:t>Establishment of zones and agglomerations for monitoring and assessment of the air quality</w:t>
      </w:r>
      <w:bookmarkStart w:id="193" w:name="_Toc383738756"/>
      <w:bookmarkEnd w:id="191"/>
      <w:bookmarkEnd w:id="192"/>
      <w:bookmarkEnd w:id="193"/>
    </w:p>
    <w:p w:rsidR="004E28FB" w:rsidRPr="00623E33" w:rsidRDefault="004E28FB" w:rsidP="002134F6">
      <w:r w:rsidRPr="00623E33">
        <w:t>Under the CAF</w:t>
      </w:r>
      <w:r>
        <w:t>E</w:t>
      </w:r>
      <w:r w:rsidRPr="00623E33">
        <w:t xml:space="preserve"> and Air Quality directives, EU </w:t>
      </w:r>
      <w:r>
        <w:t xml:space="preserve">member </w:t>
      </w:r>
      <w:r w:rsidRPr="00623E33">
        <w:t xml:space="preserve">states are obliged to carry out national air quality assessment within areas termed zones and agglomerations of large population (greater than </w:t>
      </w:r>
      <w:r w:rsidRPr="00623E33">
        <w:lastRenderedPageBreak/>
        <w:t>250,000). Zones are primarily units for air quality assessment and management, but the directives specify assessment requirements per zone</w:t>
      </w:r>
      <w:r w:rsidRPr="003C5124">
        <w:rPr>
          <w:vertAlign w:val="superscript"/>
        </w:rPr>
        <w:footnoteReference w:id="1"/>
      </w:r>
      <w:r w:rsidRPr="00623E33">
        <w:t>.</w:t>
      </w:r>
    </w:p>
    <w:p w:rsidR="004E28FB" w:rsidRPr="00623E33" w:rsidRDefault="004E28FB" w:rsidP="002134F6">
      <w:r>
        <w:t>Once the level of assessment has been determined m</w:t>
      </w:r>
      <w:r w:rsidRPr="00623E33">
        <w:t>ember states are obliged to assess ambient air quality within their territory</w:t>
      </w:r>
      <w:r>
        <w:t>;</w:t>
      </w:r>
      <w:r w:rsidRPr="00623E33">
        <w:t xml:space="preserve"> the territory </w:t>
      </w:r>
      <w:r>
        <w:t xml:space="preserve">can be divided into </w:t>
      </w:r>
      <w:r w:rsidRPr="00623E33">
        <w:t>zones which reflect their population, population density and land area</w:t>
      </w:r>
      <w:r>
        <w:t xml:space="preserve">, and </w:t>
      </w:r>
      <w:r w:rsidRPr="00623E33">
        <w:t>agglomerations</w:t>
      </w:r>
      <w:r>
        <w:t xml:space="preserve">. </w:t>
      </w:r>
      <w:r w:rsidRPr="00623E33">
        <w:t>Ambient air can be assessed within a zone using:</w:t>
      </w:r>
    </w:p>
    <w:p w:rsidR="004E28FB" w:rsidRPr="002134F6" w:rsidRDefault="004E28FB" w:rsidP="002134F6">
      <w:pPr>
        <w:pStyle w:val="ListParagraph"/>
      </w:pPr>
      <w:r w:rsidRPr="002134F6">
        <w:t>continuous measurement at a fixed location sampling;</w:t>
      </w:r>
    </w:p>
    <w:p w:rsidR="004E28FB" w:rsidRPr="002134F6" w:rsidRDefault="004E28FB" w:rsidP="002134F6">
      <w:pPr>
        <w:pStyle w:val="ListParagraph"/>
      </w:pPr>
      <w:r w:rsidRPr="002134F6">
        <w:t>a combination of continuous measurement at a fixed location sampling and modelling techniques and or indicative measurement;</w:t>
      </w:r>
    </w:p>
    <w:p w:rsidR="004E28FB" w:rsidRPr="002134F6" w:rsidRDefault="004E28FB" w:rsidP="002134F6">
      <w:pPr>
        <w:pStyle w:val="ListParagraph"/>
      </w:pPr>
      <w:proofErr w:type="gramStart"/>
      <w:r w:rsidRPr="002134F6">
        <w:t>modelling</w:t>
      </w:r>
      <w:proofErr w:type="gramEnd"/>
      <w:r w:rsidRPr="002134F6">
        <w:t xml:space="preserve"> techniques or objective-estimation techniques or both.</w:t>
      </w:r>
    </w:p>
    <w:p w:rsidR="004E28FB" w:rsidRDefault="004E28FB" w:rsidP="002134F6">
      <w:r w:rsidRPr="004D388D">
        <w:t>Where a particular pollutant concentration has been identified as being below the lower assessment threshold at the preliminary assessment stage, then modelling or objective estimation techniques may be used to assess ambient air quality for that pollutant.</w:t>
      </w:r>
    </w:p>
    <w:p w:rsidR="004E28FB" w:rsidRPr="00E06EA1" w:rsidRDefault="004E28FB" w:rsidP="00E06EA1">
      <w:pPr>
        <w:pStyle w:val="Heading2"/>
        <w:rPr>
          <w:rStyle w:val="Strong"/>
          <w:b/>
          <w:bCs w:val="0"/>
        </w:rPr>
      </w:pPr>
      <w:bookmarkStart w:id="194" w:name="_Toc386499738"/>
      <w:bookmarkStart w:id="195" w:name="_Toc386503192"/>
      <w:bookmarkStart w:id="196" w:name="_Toc386503414"/>
      <w:bookmarkStart w:id="197" w:name="_Toc386503575"/>
      <w:bookmarkStart w:id="198" w:name="_Toc386503736"/>
      <w:bookmarkStart w:id="199" w:name="_Toc386503897"/>
      <w:bookmarkStart w:id="200" w:name="_Toc386499740"/>
      <w:bookmarkStart w:id="201" w:name="_Toc386503194"/>
      <w:bookmarkStart w:id="202" w:name="_Toc386503416"/>
      <w:bookmarkStart w:id="203" w:name="_Toc386503577"/>
      <w:bookmarkStart w:id="204" w:name="_Toc386503738"/>
      <w:bookmarkStart w:id="205" w:name="_Toc386503899"/>
      <w:bookmarkStart w:id="206" w:name="_Toc383738757"/>
      <w:bookmarkStart w:id="207" w:name="_Toc392598875"/>
      <w:bookmarkEnd w:id="194"/>
      <w:bookmarkEnd w:id="195"/>
      <w:bookmarkEnd w:id="196"/>
      <w:bookmarkEnd w:id="197"/>
      <w:bookmarkEnd w:id="198"/>
      <w:bookmarkEnd w:id="199"/>
      <w:bookmarkEnd w:id="200"/>
      <w:bookmarkEnd w:id="201"/>
      <w:bookmarkEnd w:id="202"/>
      <w:bookmarkEnd w:id="203"/>
      <w:bookmarkEnd w:id="204"/>
      <w:bookmarkEnd w:id="205"/>
      <w:r w:rsidRPr="00E06EA1">
        <w:rPr>
          <w:rStyle w:val="Strong"/>
          <w:b/>
          <w:bCs w:val="0"/>
        </w:rPr>
        <w:t>Criteria for classifying sampling points for assessments of air quality</w:t>
      </w:r>
      <w:bookmarkStart w:id="208" w:name="_Toc383738758"/>
      <w:bookmarkEnd w:id="206"/>
      <w:bookmarkEnd w:id="207"/>
      <w:bookmarkEnd w:id="208"/>
    </w:p>
    <w:p w:rsidR="004E28FB" w:rsidRPr="00623E33" w:rsidRDefault="004E28FB" w:rsidP="002134F6">
      <w:r w:rsidRPr="00623E33">
        <w:t>Monitoring sites are classified according to the type of environment in which they are to be located, which permits a greater understanding of the monitoring data they will generate.</w:t>
      </w:r>
      <w:r>
        <w:t xml:space="preserve"> </w:t>
      </w:r>
      <w:r w:rsidRPr="00623E33">
        <w:t>Site should reflect the influence of a particular pollutant source or of overall land use</w:t>
      </w:r>
      <w:r w:rsidRPr="000F1FCA">
        <w:rPr>
          <w:vertAlign w:val="superscript"/>
        </w:rPr>
        <w:footnoteReference w:id="2"/>
      </w:r>
      <w:r w:rsidRPr="00623E33">
        <w:t>.</w:t>
      </w:r>
    </w:p>
    <w:p w:rsidR="004E28FB" w:rsidRDefault="004E28FB" w:rsidP="002134F6">
      <w:r w:rsidRPr="00623E33">
        <w:t xml:space="preserve">There are </w:t>
      </w:r>
      <w:r>
        <w:t xml:space="preserve">a limited number of </w:t>
      </w:r>
      <w:r w:rsidRPr="00623E33">
        <w:t>classification</w:t>
      </w:r>
      <w:r>
        <w:t xml:space="preserve">s </w:t>
      </w:r>
      <w:r w:rsidRPr="00623E33">
        <w:t xml:space="preserve">for air quality monitoring site </w:t>
      </w:r>
      <w:r>
        <w:t xml:space="preserve">identities </w:t>
      </w:r>
      <w:r w:rsidRPr="00623E33">
        <w:t xml:space="preserve">within the wider EU </w:t>
      </w:r>
      <w:proofErr w:type="gramStart"/>
      <w:r w:rsidRPr="00623E33">
        <w:t>network</w:t>
      </w:r>
      <w:r>
        <w:t>,</w:t>
      </w:r>
      <w:proofErr w:type="gramEnd"/>
      <w:r>
        <w:t xml:space="preserve"> these include urban, </w:t>
      </w:r>
      <w:proofErr w:type="spellStart"/>
      <w:r>
        <w:t>surburban</w:t>
      </w:r>
      <w:proofErr w:type="spellEnd"/>
      <w:r>
        <w:t>, rural and rural background.</w:t>
      </w:r>
    </w:p>
    <w:p w:rsidR="004E28FB" w:rsidRDefault="004E28FB" w:rsidP="002134F6">
      <w:r>
        <w:t>M</w:t>
      </w:r>
      <w:r w:rsidRPr="00623E33">
        <w:t xml:space="preserve">onitoring site classifications used within the UK Automatic Urban and Rural Network (AURN) </w:t>
      </w:r>
      <w:r>
        <w:t xml:space="preserve">have been </w:t>
      </w:r>
      <w:r w:rsidRPr="00623E33">
        <w:t xml:space="preserve"> outlined in Table </w:t>
      </w:r>
      <w:r>
        <w:t xml:space="preserve">2-3 </w:t>
      </w:r>
      <w:r w:rsidRPr="00623E33">
        <w:t xml:space="preserve">and Table </w:t>
      </w:r>
      <w:r>
        <w:t xml:space="preserve">2-4 </w:t>
      </w:r>
      <w:r w:rsidRPr="00623E33">
        <w:t>below</w:t>
      </w:r>
      <w:r>
        <w:t>, and are recommended as they are comprehensive, and include a definition of urban background, roadside, kerbside, industrial as well as the category ‘other’.</w:t>
      </w:r>
    </w:p>
    <w:p w:rsidR="00982161" w:rsidRPr="00982161" w:rsidRDefault="00982161" w:rsidP="00581A85">
      <w:pPr>
        <w:pStyle w:val="TOC1"/>
        <w:rPr>
          <w:rFonts w:eastAsia="Times New Roman"/>
        </w:rPr>
      </w:pPr>
      <w:r w:rsidRPr="00B16DB1">
        <w:t xml:space="preserve">Table </w:t>
      </w:r>
      <w:r w:rsidR="005101F7">
        <w:fldChar w:fldCharType="begin"/>
      </w:r>
      <w:r w:rsidR="005101F7">
        <w:instrText xml:space="preserve"> STYLEREF 1 \s </w:instrText>
      </w:r>
      <w:r w:rsidR="005101F7">
        <w:fldChar w:fldCharType="separate"/>
      </w:r>
      <w:r w:rsidRPr="00B16DB1">
        <w:t>2</w:t>
      </w:r>
      <w:r w:rsidR="005101F7">
        <w:fldChar w:fldCharType="end"/>
      </w:r>
      <w:r w:rsidRPr="00B16DB1">
        <w:noBreakHyphen/>
      </w:r>
      <w:r w:rsidR="005101F7">
        <w:fldChar w:fldCharType="begin"/>
      </w:r>
      <w:r w:rsidR="005101F7">
        <w:instrText xml:space="preserve"> SEQ Table \* ARABIC \s 1 </w:instrText>
      </w:r>
      <w:r w:rsidR="005101F7">
        <w:fldChar w:fldCharType="separate"/>
      </w:r>
      <w:r w:rsidRPr="00B16DB1">
        <w:t>3</w:t>
      </w:r>
      <w:r w:rsidR="005101F7">
        <w:fldChar w:fldCharType="end"/>
      </w:r>
      <w:r w:rsidRPr="00B16DB1">
        <w:t xml:space="preserve"> Monitoring site classifications used within the UK Automatic Urban and Rural</w:t>
      </w:r>
      <w:r w:rsidRPr="00E06EA1">
        <w:t xml:space="preserve"> Network (AURN)</w:t>
      </w:r>
    </w:p>
    <w:tbl>
      <w:tblPr>
        <w:tblStyle w:val="TableGrid"/>
        <w:tblW w:w="5000" w:type="pct"/>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12" w:space="0" w:color="76923C" w:themeColor="accent3" w:themeShade="BF"/>
          <w:insideV w:val="single" w:sz="12" w:space="0" w:color="76923C" w:themeColor="accent3" w:themeShade="BF"/>
        </w:tblBorders>
        <w:tblLook w:val="04A0" w:firstRow="1" w:lastRow="0" w:firstColumn="1" w:lastColumn="0" w:noHBand="0" w:noVBand="1"/>
      </w:tblPr>
      <w:tblGrid>
        <w:gridCol w:w="2450"/>
        <w:gridCol w:w="7171"/>
      </w:tblGrid>
      <w:tr w:rsidR="004E28FB" w:rsidRPr="00623E33" w:rsidTr="00982161">
        <w:trPr>
          <w:trHeight w:val="454"/>
        </w:trPr>
        <w:tc>
          <w:tcPr>
            <w:tcW w:w="1273" w:type="pct"/>
            <w:shd w:val="clear" w:color="auto" w:fill="1F497D" w:themeFill="text2"/>
            <w:vAlign w:val="center"/>
          </w:tcPr>
          <w:p w:rsidR="004E28FB" w:rsidRPr="00623E33" w:rsidRDefault="004E28FB" w:rsidP="00982161">
            <w:pPr>
              <w:keepNext/>
              <w:keepLines/>
              <w:spacing w:before="0" w:line="240" w:lineRule="auto"/>
              <w:jc w:val="center"/>
              <w:rPr>
                <w:b/>
                <w:color w:val="FFFFFF" w:themeColor="background1"/>
                <w:sz w:val="20"/>
              </w:rPr>
            </w:pPr>
            <w:r w:rsidRPr="00623E33">
              <w:rPr>
                <w:b/>
                <w:color w:val="FFFFFF" w:themeColor="background1"/>
                <w:sz w:val="20"/>
              </w:rPr>
              <w:t>Monitoring Site Classification</w:t>
            </w:r>
          </w:p>
        </w:tc>
        <w:tc>
          <w:tcPr>
            <w:tcW w:w="3727" w:type="pct"/>
            <w:shd w:val="clear" w:color="auto" w:fill="1F497D" w:themeFill="text2"/>
            <w:vAlign w:val="center"/>
          </w:tcPr>
          <w:p w:rsidR="004E28FB" w:rsidRPr="00623E33" w:rsidRDefault="004E28FB" w:rsidP="00982161">
            <w:pPr>
              <w:keepNext/>
              <w:keepLines/>
              <w:spacing w:before="0" w:line="240" w:lineRule="auto"/>
              <w:jc w:val="center"/>
              <w:rPr>
                <w:b/>
                <w:color w:val="FFFFFF" w:themeColor="background1"/>
                <w:sz w:val="20"/>
              </w:rPr>
            </w:pPr>
            <w:r w:rsidRPr="00623E33">
              <w:rPr>
                <w:b/>
                <w:color w:val="FFFFFF" w:themeColor="background1"/>
                <w:sz w:val="20"/>
              </w:rPr>
              <w:t>Category</w:t>
            </w:r>
          </w:p>
        </w:tc>
      </w:tr>
      <w:tr w:rsidR="004E28FB" w:rsidRPr="00623E33" w:rsidTr="00982161">
        <w:trPr>
          <w:trHeight w:val="454"/>
        </w:trPr>
        <w:tc>
          <w:tcPr>
            <w:tcW w:w="1273" w:type="pct"/>
            <w:vAlign w:val="center"/>
          </w:tcPr>
          <w:p w:rsidR="004E28FB" w:rsidRPr="00623E33" w:rsidRDefault="004E28FB" w:rsidP="00982161">
            <w:pPr>
              <w:keepNext/>
              <w:keepLines/>
              <w:spacing w:before="40" w:after="40"/>
              <w:rPr>
                <w:b/>
                <w:sz w:val="20"/>
              </w:rPr>
            </w:pPr>
            <w:r w:rsidRPr="00623E33">
              <w:rPr>
                <w:b/>
                <w:sz w:val="20"/>
              </w:rPr>
              <w:t>Site Type</w:t>
            </w:r>
          </w:p>
        </w:tc>
        <w:tc>
          <w:tcPr>
            <w:tcW w:w="3727" w:type="pct"/>
            <w:vAlign w:val="center"/>
          </w:tcPr>
          <w:p w:rsidR="004E28FB" w:rsidRPr="00623E33" w:rsidRDefault="004E28FB" w:rsidP="00982161">
            <w:pPr>
              <w:keepNext/>
              <w:keepLines/>
              <w:spacing w:before="40" w:after="40"/>
              <w:rPr>
                <w:b/>
                <w:sz w:val="20"/>
              </w:rPr>
            </w:pPr>
            <w:r w:rsidRPr="00623E33">
              <w:rPr>
                <w:b/>
                <w:sz w:val="20"/>
              </w:rPr>
              <w:t>Description</w:t>
            </w:r>
          </w:p>
        </w:tc>
      </w:tr>
      <w:tr w:rsidR="004E28FB" w:rsidRPr="00623E33" w:rsidTr="00982161">
        <w:trPr>
          <w:trHeight w:val="454"/>
        </w:trPr>
        <w:tc>
          <w:tcPr>
            <w:tcW w:w="1273" w:type="pct"/>
            <w:vAlign w:val="center"/>
          </w:tcPr>
          <w:p w:rsidR="004E28FB" w:rsidRPr="00623E33" w:rsidRDefault="004E28FB" w:rsidP="00982161">
            <w:pPr>
              <w:keepNext/>
              <w:keepLines/>
              <w:spacing w:before="40" w:after="40"/>
              <w:rPr>
                <w:sz w:val="20"/>
              </w:rPr>
            </w:pPr>
            <w:r w:rsidRPr="00623E33">
              <w:rPr>
                <w:sz w:val="20"/>
              </w:rPr>
              <w:t>Urban centre</w:t>
            </w:r>
          </w:p>
        </w:tc>
        <w:tc>
          <w:tcPr>
            <w:tcW w:w="3727" w:type="pct"/>
            <w:vAlign w:val="center"/>
          </w:tcPr>
          <w:p w:rsidR="004E28FB" w:rsidRPr="00623E33" w:rsidRDefault="004E28FB" w:rsidP="00982161">
            <w:pPr>
              <w:keepNext/>
              <w:keepLines/>
              <w:spacing w:before="40" w:after="40"/>
              <w:rPr>
                <w:sz w:val="20"/>
              </w:rPr>
            </w:pPr>
            <w:r w:rsidRPr="00623E33">
              <w:rPr>
                <w:sz w:val="20"/>
              </w:rPr>
              <w:t>An urban location representative of typical population exposure in towns or city centres, for example, pedestrian precincts and shopping areas.</w:t>
            </w:r>
          </w:p>
        </w:tc>
      </w:tr>
      <w:tr w:rsidR="004E28FB" w:rsidRPr="00623E33" w:rsidTr="00982161">
        <w:trPr>
          <w:trHeight w:val="454"/>
        </w:trPr>
        <w:tc>
          <w:tcPr>
            <w:tcW w:w="1273" w:type="pct"/>
            <w:vAlign w:val="center"/>
          </w:tcPr>
          <w:p w:rsidR="004E28FB" w:rsidRPr="00623E33" w:rsidRDefault="004E28FB" w:rsidP="00982161">
            <w:pPr>
              <w:keepNext/>
              <w:keepLines/>
              <w:spacing w:before="40" w:after="40"/>
              <w:rPr>
                <w:sz w:val="20"/>
              </w:rPr>
            </w:pPr>
            <w:r w:rsidRPr="00623E33">
              <w:rPr>
                <w:sz w:val="20"/>
              </w:rPr>
              <w:t>Urban background</w:t>
            </w:r>
          </w:p>
        </w:tc>
        <w:tc>
          <w:tcPr>
            <w:tcW w:w="3727" w:type="pct"/>
            <w:vAlign w:val="center"/>
          </w:tcPr>
          <w:p w:rsidR="004E28FB" w:rsidRPr="00623E33" w:rsidRDefault="004E28FB" w:rsidP="00982161">
            <w:pPr>
              <w:keepNext/>
              <w:keepLines/>
              <w:spacing w:before="40" w:after="40"/>
              <w:rPr>
                <w:sz w:val="20"/>
              </w:rPr>
            </w:pPr>
            <w:r w:rsidRPr="00623E33">
              <w:rPr>
                <w:sz w:val="20"/>
              </w:rPr>
              <w:t>An urban location distanced from sources and therefore broadly representative of city-wide background conditions, e.g. urban residential areas.</w:t>
            </w:r>
          </w:p>
        </w:tc>
      </w:tr>
      <w:tr w:rsidR="004E28FB" w:rsidRPr="00623E33" w:rsidTr="00982161">
        <w:trPr>
          <w:trHeight w:val="454"/>
        </w:trPr>
        <w:tc>
          <w:tcPr>
            <w:tcW w:w="1273" w:type="pct"/>
            <w:vAlign w:val="center"/>
          </w:tcPr>
          <w:p w:rsidR="004E28FB" w:rsidRPr="00623E33" w:rsidRDefault="004E28FB" w:rsidP="00982161">
            <w:pPr>
              <w:spacing w:before="40" w:after="40"/>
              <w:rPr>
                <w:sz w:val="20"/>
              </w:rPr>
            </w:pPr>
            <w:r w:rsidRPr="00623E33">
              <w:rPr>
                <w:sz w:val="20"/>
              </w:rPr>
              <w:t>Suburban</w:t>
            </w:r>
          </w:p>
        </w:tc>
        <w:tc>
          <w:tcPr>
            <w:tcW w:w="3727" w:type="pct"/>
            <w:vAlign w:val="center"/>
          </w:tcPr>
          <w:p w:rsidR="004E28FB" w:rsidRPr="00623E33" w:rsidRDefault="004E28FB" w:rsidP="00982161">
            <w:pPr>
              <w:spacing w:before="40" w:after="40"/>
              <w:rPr>
                <w:sz w:val="20"/>
              </w:rPr>
            </w:pPr>
            <w:r w:rsidRPr="00623E33">
              <w:rPr>
                <w:sz w:val="20"/>
              </w:rPr>
              <w:t>A location type situated in a residential area on the outskirts of a town or city</w:t>
            </w:r>
          </w:p>
        </w:tc>
      </w:tr>
      <w:tr w:rsidR="004E28FB" w:rsidRPr="00623E33" w:rsidTr="00982161">
        <w:trPr>
          <w:trHeight w:val="454"/>
        </w:trPr>
        <w:tc>
          <w:tcPr>
            <w:tcW w:w="1273" w:type="pct"/>
            <w:vAlign w:val="center"/>
          </w:tcPr>
          <w:p w:rsidR="004E28FB" w:rsidRPr="00623E33" w:rsidRDefault="004E28FB" w:rsidP="00982161">
            <w:pPr>
              <w:spacing w:before="40" w:after="40"/>
              <w:rPr>
                <w:sz w:val="20"/>
              </w:rPr>
            </w:pPr>
            <w:r w:rsidRPr="00623E33">
              <w:rPr>
                <w:sz w:val="20"/>
              </w:rPr>
              <w:t>Roadside</w:t>
            </w:r>
          </w:p>
        </w:tc>
        <w:tc>
          <w:tcPr>
            <w:tcW w:w="3727" w:type="pct"/>
            <w:vAlign w:val="center"/>
          </w:tcPr>
          <w:p w:rsidR="004E28FB" w:rsidRPr="00623E33" w:rsidRDefault="004E28FB" w:rsidP="00982161">
            <w:pPr>
              <w:spacing w:before="40" w:after="40"/>
              <w:rPr>
                <w:sz w:val="20"/>
              </w:rPr>
            </w:pPr>
            <w:r w:rsidRPr="00623E33">
              <w:rPr>
                <w:sz w:val="20"/>
              </w:rPr>
              <w:t xml:space="preserve">A site sampling typically within one to five metres of the kerb of a busy road </w:t>
            </w:r>
            <w:r w:rsidRPr="00623E33">
              <w:rPr>
                <w:sz w:val="20"/>
              </w:rPr>
              <w:lastRenderedPageBreak/>
              <w:t>(although distance can be up to 15 m from the kerb in some cases).</w:t>
            </w:r>
          </w:p>
        </w:tc>
      </w:tr>
      <w:tr w:rsidR="004E28FB" w:rsidRPr="00623E33" w:rsidTr="00982161">
        <w:trPr>
          <w:trHeight w:val="454"/>
        </w:trPr>
        <w:tc>
          <w:tcPr>
            <w:tcW w:w="1273" w:type="pct"/>
            <w:vAlign w:val="center"/>
          </w:tcPr>
          <w:p w:rsidR="004E28FB" w:rsidRPr="00623E33" w:rsidRDefault="004E28FB" w:rsidP="00982161">
            <w:pPr>
              <w:spacing w:before="40" w:after="40"/>
              <w:rPr>
                <w:sz w:val="20"/>
              </w:rPr>
            </w:pPr>
            <w:r w:rsidRPr="00623E33">
              <w:rPr>
                <w:sz w:val="20"/>
              </w:rPr>
              <w:lastRenderedPageBreak/>
              <w:t>Kerbside</w:t>
            </w:r>
          </w:p>
        </w:tc>
        <w:tc>
          <w:tcPr>
            <w:tcW w:w="3727" w:type="pct"/>
            <w:vAlign w:val="center"/>
          </w:tcPr>
          <w:p w:rsidR="004E28FB" w:rsidRPr="00623E33" w:rsidRDefault="004E28FB" w:rsidP="00982161">
            <w:pPr>
              <w:spacing w:before="40" w:after="40"/>
              <w:rPr>
                <w:sz w:val="20"/>
              </w:rPr>
            </w:pPr>
            <w:r w:rsidRPr="00623E33">
              <w:rPr>
                <w:sz w:val="20"/>
              </w:rPr>
              <w:t>A site sampling within one metre of the kerb of a busy road.</w:t>
            </w:r>
          </w:p>
        </w:tc>
      </w:tr>
      <w:tr w:rsidR="004E28FB" w:rsidRPr="00623E33" w:rsidTr="00982161">
        <w:trPr>
          <w:trHeight w:val="454"/>
        </w:trPr>
        <w:tc>
          <w:tcPr>
            <w:tcW w:w="1273" w:type="pct"/>
            <w:vAlign w:val="center"/>
          </w:tcPr>
          <w:p w:rsidR="004E28FB" w:rsidRPr="00623E33" w:rsidRDefault="004E28FB" w:rsidP="00982161">
            <w:pPr>
              <w:spacing w:before="40" w:after="40"/>
              <w:rPr>
                <w:sz w:val="20"/>
              </w:rPr>
            </w:pPr>
            <w:r w:rsidRPr="00623E33">
              <w:rPr>
                <w:sz w:val="20"/>
              </w:rPr>
              <w:t>Industrial</w:t>
            </w:r>
          </w:p>
        </w:tc>
        <w:tc>
          <w:tcPr>
            <w:tcW w:w="3727" w:type="pct"/>
            <w:vAlign w:val="center"/>
          </w:tcPr>
          <w:p w:rsidR="004E28FB" w:rsidRPr="00623E33" w:rsidRDefault="004E28FB" w:rsidP="00982161">
            <w:pPr>
              <w:spacing w:before="40" w:after="40"/>
              <w:rPr>
                <w:sz w:val="20"/>
              </w:rPr>
            </w:pPr>
            <w:r w:rsidRPr="00623E33">
              <w:rPr>
                <w:sz w:val="20"/>
              </w:rPr>
              <w:t>An area where industrial sources make an important contribution to the total pollution burden.</w:t>
            </w:r>
          </w:p>
        </w:tc>
      </w:tr>
      <w:tr w:rsidR="004E28FB" w:rsidRPr="00623E33" w:rsidTr="00982161">
        <w:trPr>
          <w:trHeight w:val="454"/>
        </w:trPr>
        <w:tc>
          <w:tcPr>
            <w:tcW w:w="1273" w:type="pct"/>
            <w:vAlign w:val="center"/>
          </w:tcPr>
          <w:p w:rsidR="004E28FB" w:rsidRPr="00623E33" w:rsidRDefault="004E28FB" w:rsidP="00982161">
            <w:pPr>
              <w:spacing w:before="40" w:after="40"/>
              <w:rPr>
                <w:sz w:val="20"/>
              </w:rPr>
            </w:pPr>
            <w:r w:rsidRPr="00623E33">
              <w:rPr>
                <w:sz w:val="20"/>
              </w:rPr>
              <w:t>Rural</w:t>
            </w:r>
          </w:p>
        </w:tc>
        <w:tc>
          <w:tcPr>
            <w:tcW w:w="3727" w:type="pct"/>
            <w:vAlign w:val="center"/>
          </w:tcPr>
          <w:p w:rsidR="004E28FB" w:rsidRPr="00623E33" w:rsidRDefault="004E28FB" w:rsidP="00982161">
            <w:pPr>
              <w:spacing w:before="40" w:after="40"/>
              <w:rPr>
                <w:sz w:val="20"/>
              </w:rPr>
            </w:pPr>
            <w:r w:rsidRPr="00623E33">
              <w:rPr>
                <w:sz w:val="20"/>
              </w:rPr>
              <w:t>An open countryside location, in an area of low population density distanced as far as possible from roads, populated and industrial areas.</w:t>
            </w:r>
          </w:p>
        </w:tc>
      </w:tr>
      <w:tr w:rsidR="004E28FB" w:rsidRPr="00623E33" w:rsidTr="00982161">
        <w:trPr>
          <w:trHeight w:val="454"/>
        </w:trPr>
        <w:tc>
          <w:tcPr>
            <w:tcW w:w="1273" w:type="pct"/>
            <w:vAlign w:val="center"/>
          </w:tcPr>
          <w:p w:rsidR="004E28FB" w:rsidRPr="00623E33" w:rsidRDefault="004E28FB" w:rsidP="00982161">
            <w:pPr>
              <w:spacing w:before="40" w:after="40"/>
              <w:rPr>
                <w:sz w:val="20"/>
              </w:rPr>
            </w:pPr>
            <w:r w:rsidRPr="00623E33">
              <w:rPr>
                <w:sz w:val="20"/>
              </w:rPr>
              <w:t>Other</w:t>
            </w:r>
          </w:p>
        </w:tc>
        <w:tc>
          <w:tcPr>
            <w:tcW w:w="3727" w:type="pct"/>
            <w:vAlign w:val="center"/>
          </w:tcPr>
          <w:p w:rsidR="004E28FB" w:rsidRPr="00623E33" w:rsidRDefault="004E28FB" w:rsidP="00982161">
            <w:pPr>
              <w:spacing w:before="40" w:after="40"/>
              <w:rPr>
                <w:sz w:val="20"/>
              </w:rPr>
            </w:pPr>
            <w:r w:rsidRPr="00623E33">
              <w:rPr>
                <w:sz w:val="20"/>
              </w:rPr>
              <w:t>Any special source-orientated or location category covering monitoring undertaken in relation to specific emission sources such as power stations, car-parks, airports or tunnels</w:t>
            </w:r>
          </w:p>
        </w:tc>
      </w:tr>
    </w:tbl>
    <w:p w:rsidR="004E28FB" w:rsidRPr="00C50B1B" w:rsidRDefault="004E28FB" w:rsidP="00C50B1B">
      <w:pPr>
        <w:pStyle w:val="Heading2"/>
      </w:pPr>
      <w:bookmarkStart w:id="209" w:name="_Toc392598876"/>
      <w:r w:rsidRPr="00C50B1B">
        <w:t>Macro-scale siting of sampling points</w:t>
      </w:r>
      <w:bookmarkEnd w:id="209"/>
    </w:p>
    <w:p w:rsidR="004E28FB" w:rsidRPr="003C5124" w:rsidRDefault="004E28FB" w:rsidP="000E313D">
      <w:pPr>
        <w:pStyle w:val="Heading3"/>
      </w:pPr>
      <w:bookmarkStart w:id="210" w:name="_Toc392596371"/>
      <w:r w:rsidRPr="003C5124">
        <w:t>CAFE-Directive 2008/50/EC</w:t>
      </w:r>
      <w:bookmarkEnd w:id="210"/>
    </w:p>
    <w:p w:rsidR="004E28FB" w:rsidRDefault="004E28FB" w:rsidP="000E313D">
      <w:r>
        <w:t xml:space="preserve">Site criteria for ozone sampling differ for the criteria for </w:t>
      </w:r>
      <w:r w:rsidRPr="00623E33">
        <w:t>sulphur dioxide, nitrogen dioxide, particulate matter (PM</w:t>
      </w:r>
      <w:r w:rsidRPr="00CE6FD5">
        <w:rPr>
          <w:vertAlign w:val="subscript"/>
        </w:rPr>
        <w:t>10</w:t>
      </w:r>
      <w:r w:rsidRPr="00623E33">
        <w:t xml:space="preserve"> and PM</w:t>
      </w:r>
      <w:r w:rsidRPr="00CE6FD5">
        <w:rPr>
          <w:vertAlign w:val="subscript"/>
        </w:rPr>
        <w:t>2.5</w:t>
      </w:r>
      <w:r w:rsidRPr="00623E33">
        <w:t xml:space="preserve">), lead, benzene and carbon dioxide </w:t>
      </w:r>
      <w:r>
        <w:t>sampling. Sample site criteria</w:t>
      </w:r>
      <w:r w:rsidRPr="00623E33">
        <w:t xml:space="preserve"> for the measurement of sulphur dioxide, nitrogen dioxide, particulate matter (PM</w:t>
      </w:r>
      <w:r w:rsidRPr="00CE6FD5">
        <w:rPr>
          <w:vertAlign w:val="subscript"/>
        </w:rPr>
        <w:t>10</w:t>
      </w:r>
      <w:r w:rsidRPr="00623E33">
        <w:t xml:space="preserve"> and PM</w:t>
      </w:r>
      <w:r w:rsidRPr="00CE6FD5">
        <w:rPr>
          <w:vertAlign w:val="subscript"/>
        </w:rPr>
        <w:t>2.5</w:t>
      </w:r>
      <w:r w:rsidRPr="00623E33">
        <w:t xml:space="preserve">), lead, benzene and carbon </w:t>
      </w:r>
      <w:r>
        <w:t>mon</w:t>
      </w:r>
      <w:r w:rsidRPr="00623E33">
        <w:t xml:space="preserve">oxide </w:t>
      </w:r>
      <w:r>
        <w:t xml:space="preserve">require samples to be collected </w:t>
      </w:r>
      <w:r w:rsidRPr="00623E33">
        <w:t xml:space="preserve">within zones and agglomerations where concentrations are at their highest, or where the population are likely to be exposed. </w:t>
      </w:r>
    </w:p>
    <w:p w:rsidR="004E28FB" w:rsidRDefault="004E28FB" w:rsidP="000E313D">
      <w:r>
        <w:t>Whereas ozone sampling points are to be sited w</w:t>
      </w:r>
      <w:r w:rsidRPr="00623E33">
        <w:t>here ozone</w:t>
      </w:r>
      <w:r>
        <w:t xml:space="preserve"> </w:t>
      </w:r>
      <w:r w:rsidRPr="00623E33">
        <w:t>concent</w:t>
      </w:r>
      <w:r>
        <w:t>rations</w:t>
      </w:r>
      <w:r w:rsidRPr="00623E33">
        <w:t>, in a zone or agglomeration, have exceeded thei</w:t>
      </w:r>
      <w:r>
        <w:t>r long-term objectives (Table 2-</w:t>
      </w:r>
      <w:r w:rsidRPr="00623E33">
        <w:t>1) at any time of the previous five years of measurement, fixed measurements shall be taken. The number of sampling points for fixed measurements of ozone in each zone or agglomeration within which measurement is the sole source of information for assessing air quality shall not be less than the minimum number of samplin</w:t>
      </w:r>
      <w:r>
        <w:t xml:space="preserve">g points specified in table </w:t>
      </w:r>
      <w:r w:rsidR="002E0E1F">
        <w:t>2</w:t>
      </w:r>
      <w:r w:rsidRPr="00623E33">
        <w:t>-</w:t>
      </w:r>
      <w:r>
        <w:t>6</w:t>
      </w:r>
      <w:r w:rsidRPr="00623E33">
        <w:t xml:space="preserve"> below.</w:t>
      </w:r>
    </w:p>
    <w:p w:rsidR="004E28FB" w:rsidRPr="00623E33" w:rsidRDefault="004E28FB" w:rsidP="000E313D">
      <w:r w:rsidRPr="00623E33">
        <w:t>The exposure period needs to represent a significant proportion of the averaging period of the limit values. Additional sampling sites need to be established within zones and agglomerations which reflect the pollution exposure of the general population. All sample sites should where possible be representative of similar locations which are not in the immediate locality, i.e. a particular roadside sample site could be considered representative of other roadside locations in the area which have similar layout and traffic levels, speeds etc.</w:t>
      </w:r>
    </w:p>
    <w:p w:rsidR="004E28FB" w:rsidRPr="00623E33" w:rsidRDefault="004E28FB" w:rsidP="000E313D">
      <w:r w:rsidRPr="00623E33">
        <w:t>Sampling sites where either high or low ambient air pollution exists over a very small area (micro-environments) are to be avoided. Where feasible sample sites must reflect a wide area, e.g. either a length of 100m street segment at a traffic-oriented site or an industrial site of minimum area of 250 m X 250 m.</w:t>
      </w:r>
    </w:p>
    <w:p w:rsidR="004E28FB" w:rsidRPr="00623E33" w:rsidRDefault="004E28FB" w:rsidP="000E313D">
      <w:r w:rsidRPr="00623E33">
        <w:t>Urban background sample locations need to be sited at a location where they can be influenced by the cumulative effects of all sources upwind of the sample site. These sample site</w:t>
      </w:r>
      <w:r>
        <w:t>s</w:t>
      </w:r>
      <w:r w:rsidRPr="00623E33">
        <w:t xml:space="preserve"> are expected to be representative of several square kilometres. Sampling close to dominant single sources should be avoided, unless such a source is typical for a large urban area.</w:t>
      </w:r>
    </w:p>
    <w:p w:rsidR="004E28FB" w:rsidRPr="00623E33" w:rsidRDefault="004E28FB" w:rsidP="000E313D">
      <w:r w:rsidRPr="00623E33">
        <w:t>Rural background sample sites should not be influenced by agglomerations or industrial sites and are expected to be located greater than five kilometres from such sources.</w:t>
      </w:r>
    </w:p>
    <w:p w:rsidR="004E28FB" w:rsidRPr="00623E33" w:rsidRDefault="004E28FB" w:rsidP="000E313D">
      <w:r>
        <w:lastRenderedPageBreak/>
        <w:t>The CAFE Directive contains specific g</w:t>
      </w:r>
      <w:r w:rsidRPr="00623E33">
        <w:t xml:space="preserve">uidelines </w:t>
      </w:r>
      <w:r>
        <w:t xml:space="preserve">(section 2, part B of </w:t>
      </w:r>
      <w:r w:rsidRPr="003161B6">
        <w:t>ANNEX</w:t>
      </w:r>
      <w:r>
        <w:t xml:space="preserve"> </w:t>
      </w:r>
      <w:r w:rsidRPr="003161B6">
        <w:t>III</w:t>
      </w:r>
      <w:r>
        <w:t>)</w:t>
      </w:r>
      <w:r w:rsidRPr="00623E33">
        <w:t xml:space="preserve"> for the location of sample sites specifically allocated to the assessment of air pollution impacts upon vegetation and ecosystems, </w:t>
      </w:r>
      <w:r>
        <w:t xml:space="preserve">which </w:t>
      </w:r>
      <w:r w:rsidRPr="00623E33">
        <w:t xml:space="preserve">state that, ideally, these sites should be </w:t>
      </w:r>
      <w:r>
        <w:t>more than 2</w:t>
      </w:r>
      <w:r w:rsidRPr="00623E33">
        <w:t xml:space="preserve">0 km away from agglomerations and 5 km away from major roads or industrial locations or built-up areas. </w:t>
      </w:r>
    </w:p>
    <w:p w:rsidR="004E28FB" w:rsidRDefault="004E28FB" w:rsidP="000E313D">
      <w:r w:rsidRPr="00623E33">
        <w:t>When assessing air pollution contributions from industrial sources, at least one downwind sample site is required, and if background concentrations are unknown an additional sample site must be established upwind.</w:t>
      </w:r>
    </w:p>
    <w:p w:rsidR="004E28FB" w:rsidRDefault="004E28FB" w:rsidP="000E313D">
      <w:r w:rsidRPr="00623E33">
        <w:t>Measurements of PM</w:t>
      </w:r>
      <w:r w:rsidRPr="00CE6FD5">
        <w:rPr>
          <w:vertAlign w:val="subscript"/>
        </w:rPr>
        <w:t xml:space="preserve">2.5, </w:t>
      </w:r>
      <w:r w:rsidRPr="00623E33">
        <w:t>including total mass concentration and chemical speciation concentrations, should be taken at one rural background sampling location per 100,000 km</w:t>
      </w:r>
      <w:r w:rsidRPr="00CE6FD5">
        <w:rPr>
          <w:vertAlign w:val="superscript"/>
        </w:rPr>
        <w:t>2</w:t>
      </w:r>
      <w:r w:rsidRPr="00623E33">
        <w:t xml:space="preserve">. These sites should be located away from significant sources of air pollution. A minimum of one rural background site per </w:t>
      </w:r>
      <w:r>
        <w:t>m</w:t>
      </w:r>
      <w:r w:rsidRPr="00623E33">
        <w:t xml:space="preserve">ember state should be established, though several common sites may be established with adjoining </w:t>
      </w:r>
      <w:r>
        <w:t>m</w:t>
      </w:r>
      <w:r w:rsidRPr="00623E33">
        <w:t>ember states.</w:t>
      </w:r>
    </w:p>
    <w:p w:rsidR="004E28FB" w:rsidRPr="003C5124" w:rsidRDefault="004E28FB" w:rsidP="000E313D">
      <w:pPr>
        <w:pStyle w:val="Heading3"/>
      </w:pPr>
      <w:bookmarkStart w:id="211" w:name="_Toc392596372"/>
      <w:r w:rsidRPr="003C5124">
        <w:t>Fourth Daughter Directive</w:t>
      </w:r>
      <w:bookmarkEnd w:id="211"/>
      <w:r w:rsidRPr="003C5124">
        <w:t xml:space="preserve"> </w:t>
      </w:r>
    </w:p>
    <w:p w:rsidR="004E28FB" w:rsidRPr="00623E33" w:rsidRDefault="004E28FB" w:rsidP="000E313D">
      <w:r w:rsidRPr="00623E33">
        <w:t xml:space="preserve">The location of sampling points for the measurement of arsenic, cadmium, nickel and </w:t>
      </w:r>
      <w:proofErr w:type="spellStart"/>
      <w:proofErr w:type="gramStart"/>
      <w:r w:rsidRPr="00623E33">
        <w:t>benzo</w:t>
      </w:r>
      <w:proofErr w:type="spellEnd"/>
      <w:r w:rsidRPr="00623E33">
        <w:t>(</w:t>
      </w:r>
      <w:proofErr w:type="gramEnd"/>
      <w:r w:rsidRPr="00623E33">
        <w:t>a)</w:t>
      </w:r>
      <w:proofErr w:type="spellStart"/>
      <w:r w:rsidRPr="00623E33">
        <w:t>pyrene</w:t>
      </w:r>
      <w:proofErr w:type="spellEnd"/>
      <w:r w:rsidRPr="00623E33">
        <w:t xml:space="preserve"> should be selected in such a way as to provide data on the areas within zones and agglomerations where the population are likely to be exposed to the highest concentration over averaged over a calendar year. It should also provide data on</w:t>
      </w:r>
      <w:r>
        <w:t xml:space="preserve"> </w:t>
      </w:r>
      <w:r w:rsidRPr="00623E33">
        <w:t>levels in other areas within zones and agglomerations which are representative of the exposure of the general population as well as on deposition rates representing the indirect exposure of the population through the food chain.</w:t>
      </w:r>
    </w:p>
    <w:p w:rsidR="004E28FB" w:rsidRPr="00623E33" w:rsidRDefault="004E28FB" w:rsidP="000E313D">
      <w:r w:rsidRPr="00623E33">
        <w:t>Sampling sites should be located to avoid measuring very small micro-environments. Sampling points should be representative of air quality in surrounding area of no less than 200m</w:t>
      </w:r>
      <w:r w:rsidRPr="00CE6FD5">
        <w:rPr>
          <w:vertAlign w:val="superscript"/>
        </w:rPr>
        <w:t>2</w:t>
      </w:r>
      <w:r w:rsidRPr="00623E33">
        <w:t xml:space="preserve"> at traffic orientated sites and at least 250 m x 250 m at industrial sites, and several square kilometres at urban-background sites.</w:t>
      </w:r>
    </w:p>
    <w:p w:rsidR="004E28FB" w:rsidRPr="00623E33" w:rsidRDefault="004E28FB" w:rsidP="000E313D">
      <w:r w:rsidRPr="00623E33">
        <w:t>If the background levels are being sampled, then the sampling site should be located several kilometres away from agglomerations or industrial sites to minimise being influenced by them.</w:t>
      </w:r>
    </w:p>
    <w:p w:rsidR="004E28FB" w:rsidRPr="00623E33" w:rsidRDefault="004E28FB" w:rsidP="000E313D">
      <w:r w:rsidRPr="00623E33">
        <w:t>Where contributions from industrial sources are assessed, at l</w:t>
      </w:r>
      <w:r>
        <w:t>e</w:t>
      </w:r>
      <w:r w:rsidRPr="00623E33">
        <w:t>ast one downwind sampling point should be installed, ideally within the nearest residential area. If the background concentration is unknown, an additional sampling site should be installed upwind of the industrial source.</w:t>
      </w:r>
    </w:p>
    <w:p w:rsidR="004E28FB" w:rsidRPr="00623E33" w:rsidRDefault="004E28FB" w:rsidP="000E313D">
      <w:r w:rsidRPr="00623E33">
        <w:t>Sample sites should be representative of similar locations which are not in the immediate locality, and where appropriate they should be co-located with sampling points for PM</w:t>
      </w:r>
      <w:r w:rsidRPr="00CE6FD5">
        <w:rPr>
          <w:vertAlign w:val="subscript"/>
        </w:rPr>
        <w:t>10</w:t>
      </w:r>
      <w:r w:rsidRPr="00623E33">
        <w:t>. This provides an opportunity for co-locating PM</w:t>
      </w:r>
      <w:r w:rsidRPr="00CE6FD5">
        <w:rPr>
          <w:vertAlign w:val="subscript"/>
        </w:rPr>
        <w:t>10</w:t>
      </w:r>
      <w:r w:rsidRPr="00623E33">
        <w:t xml:space="preserve"> gravimetric samplers, and therefore comparable PM</w:t>
      </w:r>
      <w:r w:rsidRPr="00CE6FD5">
        <w:rPr>
          <w:vertAlign w:val="subscript"/>
        </w:rPr>
        <w:t>10</w:t>
      </w:r>
      <w:r w:rsidRPr="00623E33">
        <w:t xml:space="preserve"> samples, allowing the level of PM</w:t>
      </w:r>
      <w:r w:rsidRPr="00CE6FD5">
        <w:rPr>
          <w:vertAlign w:val="subscript"/>
        </w:rPr>
        <w:t>10</w:t>
      </w:r>
      <w:r w:rsidRPr="00623E33">
        <w:t xml:space="preserve"> sampling uncertainty to be assessed. In addition the efficiency savings of using one sample site for staff resources, security and infrastructure costs. </w:t>
      </w:r>
    </w:p>
    <w:p w:rsidR="004E28FB" w:rsidRDefault="004E28FB" w:rsidP="004E28FB">
      <w:pPr>
        <w:rPr>
          <w:rFonts w:eastAsia="Calibri" w:cstheme="minorHAnsi"/>
          <w:b/>
          <w:i/>
          <w:sz w:val="24"/>
          <w:szCs w:val="24"/>
        </w:rPr>
      </w:pPr>
    </w:p>
    <w:p w:rsidR="004E28FB" w:rsidRPr="000E313D" w:rsidRDefault="004E28FB" w:rsidP="000E313D">
      <w:pPr>
        <w:pStyle w:val="TOC1"/>
      </w:pPr>
      <w:r w:rsidRPr="000E313D">
        <w:lastRenderedPageBreak/>
        <w:t xml:space="preserve">Table </w:t>
      </w:r>
      <w:r w:rsidR="005101F7">
        <w:fldChar w:fldCharType="begin"/>
      </w:r>
      <w:r w:rsidR="005101F7">
        <w:instrText xml:space="preserve"> STYLEREF 1 \s </w:instrText>
      </w:r>
      <w:r w:rsidR="005101F7">
        <w:fldChar w:fldCharType="separate"/>
      </w:r>
      <w:r w:rsidRPr="000E313D">
        <w:t>2</w:t>
      </w:r>
      <w:r w:rsidR="005101F7">
        <w:fldChar w:fldCharType="end"/>
      </w:r>
      <w:r w:rsidRPr="000E313D">
        <w:noBreakHyphen/>
      </w:r>
      <w:r w:rsidR="005101F7">
        <w:fldChar w:fldCharType="begin"/>
      </w:r>
      <w:r w:rsidR="005101F7">
        <w:instrText xml:space="preserve"> SEQ Table \* ARABIC \s 1 </w:instrText>
      </w:r>
      <w:r w:rsidR="005101F7">
        <w:fldChar w:fldCharType="separate"/>
      </w:r>
      <w:r w:rsidRPr="000E313D">
        <w:t>4</w:t>
      </w:r>
      <w:r w:rsidR="005101F7">
        <w:fldChar w:fldCharType="end"/>
      </w:r>
      <w:r w:rsidRPr="000E313D">
        <w:t xml:space="preserve"> Monitoring site classifications for Ozone used within the UK Automatic Urban and Rural Network (AURN)</w:t>
      </w:r>
    </w:p>
    <w:tbl>
      <w:tblPr>
        <w:tblStyle w:val="TableGrid"/>
        <w:tblW w:w="5000" w:type="pct"/>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12" w:space="0" w:color="76923C" w:themeColor="accent3" w:themeShade="BF"/>
          <w:insideV w:val="single" w:sz="12" w:space="0" w:color="76923C" w:themeColor="accent3" w:themeShade="BF"/>
        </w:tblBorders>
        <w:tblLook w:val="04A0" w:firstRow="1" w:lastRow="0" w:firstColumn="1" w:lastColumn="0" w:noHBand="0" w:noVBand="1"/>
      </w:tblPr>
      <w:tblGrid>
        <w:gridCol w:w="1621"/>
        <w:gridCol w:w="5944"/>
        <w:gridCol w:w="2056"/>
      </w:tblGrid>
      <w:tr w:rsidR="004E28FB" w:rsidRPr="00623E33" w:rsidTr="00C50B1B">
        <w:tc>
          <w:tcPr>
            <w:tcW w:w="3932" w:type="pct"/>
            <w:gridSpan w:val="2"/>
            <w:shd w:val="clear" w:color="auto" w:fill="1F497D" w:themeFill="text2"/>
            <w:vAlign w:val="center"/>
          </w:tcPr>
          <w:p w:rsidR="004E28FB" w:rsidRPr="00623E33" w:rsidRDefault="004E28FB" w:rsidP="00C50B1B">
            <w:pPr>
              <w:keepNext/>
              <w:keepLines/>
              <w:spacing w:before="40" w:after="40"/>
              <w:jc w:val="center"/>
              <w:rPr>
                <w:b/>
                <w:color w:val="FFFFFF" w:themeColor="background1"/>
                <w:sz w:val="20"/>
              </w:rPr>
            </w:pPr>
            <w:r w:rsidRPr="00623E33">
              <w:rPr>
                <w:b/>
                <w:color w:val="FFFFFF" w:themeColor="background1"/>
                <w:sz w:val="20"/>
              </w:rPr>
              <w:t>Monitoring Site Classification</w:t>
            </w:r>
          </w:p>
          <w:p w:rsidR="004E28FB" w:rsidRPr="00623E33" w:rsidRDefault="004E28FB" w:rsidP="00C50B1B">
            <w:pPr>
              <w:keepNext/>
              <w:keepLines/>
              <w:spacing w:before="40" w:after="40"/>
              <w:jc w:val="center"/>
              <w:rPr>
                <w:b/>
                <w:color w:val="FFFFFF" w:themeColor="background1"/>
                <w:sz w:val="20"/>
              </w:rPr>
            </w:pPr>
            <w:r w:rsidRPr="00623E33">
              <w:rPr>
                <w:b/>
                <w:color w:val="FFFFFF" w:themeColor="background1"/>
                <w:sz w:val="20"/>
              </w:rPr>
              <w:t>Category</w:t>
            </w:r>
          </w:p>
        </w:tc>
        <w:tc>
          <w:tcPr>
            <w:tcW w:w="1068" w:type="pct"/>
            <w:shd w:val="clear" w:color="auto" w:fill="1F497D" w:themeFill="text2"/>
            <w:vAlign w:val="center"/>
          </w:tcPr>
          <w:p w:rsidR="004E28FB" w:rsidRPr="00623E33" w:rsidRDefault="004E28FB" w:rsidP="00C50B1B">
            <w:pPr>
              <w:keepNext/>
              <w:keepLines/>
              <w:spacing w:before="40" w:after="40"/>
              <w:jc w:val="center"/>
              <w:rPr>
                <w:b/>
                <w:color w:val="FFFFFF" w:themeColor="background1"/>
                <w:sz w:val="20"/>
              </w:rPr>
            </w:pPr>
          </w:p>
        </w:tc>
      </w:tr>
      <w:tr w:rsidR="004E28FB" w:rsidRPr="00623E33" w:rsidTr="00C50B1B">
        <w:trPr>
          <w:trHeight w:val="269"/>
        </w:trPr>
        <w:tc>
          <w:tcPr>
            <w:tcW w:w="843" w:type="pct"/>
            <w:vAlign w:val="center"/>
          </w:tcPr>
          <w:p w:rsidR="004E28FB" w:rsidRPr="00623E33" w:rsidRDefault="004E28FB" w:rsidP="00C50B1B">
            <w:pPr>
              <w:keepNext/>
              <w:keepLines/>
              <w:spacing w:before="40" w:after="40"/>
              <w:rPr>
                <w:sz w:val="20"/>
              </w:rPr>
            </w:pPr>
            <w:r w:rsidRPr="00623E33">
              <w:rPr>
                <w:sz w:val="20"/>
              </w:rPr>
              <w:t>Site Type</w:t>
            </w:r>
          </w:p>
        </w:tc>
        <w:tc>
          <w:tcPr>
            <w:tcW w:w="3089" w:type="pct"/>
            <w:vAlign w:val="center"/>
          </w:tcPr>
          <w:p w:rsidR="004E28FB" w:rsidRPr="00623E33" w:rsidRDefault="004E28FB" w:rsidP="00C50B1B">
            <w:pPr>
              <w:keepNext/>
              <w:keepLines/>
              <w:spacing w:before="40" w:after="40"/>
              <w:rPr>
                <w:sz w:val="20"/>
              </w:rPr>
            </w:pPr>
            <w:r w:rsidRPr="00623E33">
              <w:rPr>
                <w:sz w:val="20"/>
              </w:rPr>
              <w:t xml:space="preserve">Macro-scale siting criteria </w:t>
            </w:r>
          </w:p>
        </w:tc>
        <w:tc>
          <w:tcPr>
            <w:tcW w:w="1068" w:type="pct"/>
            <w:vAlign w:val="center"/>
          </w:tcPr>
          <w:p w:rsidR="004E28FB" w:rsidRPr="00C50B1B" w:rsidRDefault="004E28FB" w:rsidP="00C50B1B">
            <w:pPr>
              <w:keepNext/>
              <w:keepLines/>
              <w:spacing w:before="40" w:after="40"/>
              <w:rPr>
                <w:sz w:val="20"/>
                <w:vertAlign w:val="superscript"/>
              </w:rPr>
            </w:pPr>
            <w:r w:rsidRPr="00623E33">
              <w:rPr>
                <w:sz w:val="20"/>
              </w:rPr>
              <w:t>Representativeness</w:t>
            </w:r>
            <w:r w:rsidR="00C50B1B">
              <w:rPr>
                <w:sz w:val="20"/>
                <w:vertAlign w:val="superscript"/>
              </w:rPr>
              <w:t>1</w:t>
            </w:r>
          </w:p>
        </w:tc>
      </w:tr>
      <w:tr w:rsidR="004E28FB" w:rsidRPr="00623E33" w:rsidTr="00C50B1B">
        <w:tc>
          <w:tcPr>
            <w:tcW w:w="843" w:type="pct"/>
            <w:vAlign w:val="center"/>
          </w:tcPr>
          <w:p w:rsidR="004E28FB" w:rsidRPr="00623E33" w:rsidRDefault="004E28FB" w:rsidP="00C50B1B">
            <w:pPr>
              <w:keepNext/>
              <w:keepLines/>
              <w:spacing w:before="40" w:after="40"/>
              <w:rPr>
                <w:sz w:val="20"/>
              </w:rPr>
            </w:pPr>
            <w:r w:rsidRPr="00623E33">
              <w:rPr>
                <w:sz w:val="20"/>
              </w:rPr>
              <w:t>Urban</w:t>
            </w:r>
          </w:p>
        </w:tc>
        <w:tc>
          <w:tcPr>
            <w:tcW w:w="3089" w:type="pct"/>
            <w:vAlign w:val="center"/>
          </w:tcPr>
          <w:p w:rsidR="004E28FB" w:rsidRPr="00623E33" w:rsidRDefault="004E28FB" w:rsidP="00C50B1B">
            <w:pPr>
              <w:keepNext/>
              <w:keepLines/>
              <w:spacing w:before="40" w:after="40"/>
              <w:rPr>
                <w:sz w:val="20"/>
              </w:rPr>
            </w:pPr>
            <w:r w:rsidRPr="00623E33">
              <w:rPr>
                <w:sz w:val="20"/>
              </w:rPr>
              <w:t>Away from the influence of local emissions such as traffic, petrol stations, etc.; Vented locations where well mixed levels can be measured; locations such as residential and commercial areas of cities, parks (away from the trees), big streets or squares with very little or no traffic, open areas as characteristic of educational, sports or recreation facilities.</w:t>
            </w:r>
          </w:p>
        </w:tc>
        <w:tc>
          <w:tcPr>
            <w:tcW w:w="1068" w:type="pct"/>
            <w:vAlign w:val="center"/>
          </w:tcPr>
          <w:p w:rsidR="004E28FB" w:rsidRPr="00623E33" w:rsidRDefault="004E28FB" w:rsidP="00C50B1B">
            <w:pPr>
              <w:keepNext/>
              <w:keepLines/>
              <w:spacing w:before="40" w:after="40"/>
              <w:rPr>
                <w:sz w:val="20"/>
              </w:rPr>
            </w:pPr>
            <w:r w:rsidRPr="00623E33">
              <w:rPr>
                <w:sz w:val="20"/>
              </w:rPr>
              <w:t>A few km</w:t>
            </w:r>
            <w:r w:rsidRPr="00623E33">
              <w:rPr>
                <w:sz w:val="20"/>
                <w:vertAlign w:val="superscript"/>
              </w:rPr>
              <w:t>2</w:t>
            </w:r>
          </w:p>
        </w:tc>
      </w:tr>
      <w:tr w:rsidR="004E28FB" w:rsidRPr="00623E33" w:rsidTr="00C50B1B">
        <w:trPr>
          <w:trHeight w:val="260"/>
        </w:trPr>
        <w:tc>
          <w:tcPr>
            <w:tcW w:w="843" w:type="pct"/>
            <w:vAlign w:val="center"/>
          </w:tcPr>
          <w:p w:rsidR="004E28FB" w:rsidRPr="00623E33" w:rsidRDefault="004E28FB" w:rsidP="00C50B1B">
            <w:pPr>
              <w:spacing w:before="40" w:after="40"/>
              <w:rPr>
                <w:sz w:val="20"/>
              </w:rPr>
            </w:pPr>
            <w:r w:rsidRPr="00623E33">
              <w:rPr>
                <w:sz w:val="20"/>
              </w:rPr>
              <w:t>Suburban</w:t>
            </w:r>
          </w:p>
        </w:tc>
        <w:tc>
          <w:tcPr>
            <w:tcW w:w="3089" w:type="pct"/>
            <w:vAlign w:val="center"/>
          </w:tcPr>
          <w:p w:rsidR="004E28FB" w:rsidRPr="00623E33" w:rsidRDefault="004E28FB" w:rsidP="00C50B1B">
            <w:pPr>
              <w:spacing w:before="40" w:after="40"/>
              <w:rPr>
                <w:sz w:val="20"/>
              </w:rPr>
            </w:pPr>
            <w:r w:rsidRPr="00623E33">
              <w:rPr>
                <w:sz w:val="20"/>
              </w:rPr>
              <w:t xml:space="preserve">At a certain distance from the area of maximum emissions, downwind following the main wind direction/directions during conditions favourable to ozone formation; where population, sensitive crops or natural eco-systems located in the outer fringe of an agglomeration are exposed to high ozone levels; where appropriate, some suburban stations also upwind of the area of maximum emissions, in order to determine the regional background levels of ozone </w:t>
            </w:r>
          </w:p>
        </w:tc>
        <w:tc>
          <w:tcPr>
            <w:tcW w:w="1068" w:type="pct"/>
            <w:vAlign w:val="center"/>
          </w:tcPr>
          <w:p w:rsidR="004E28FB" w:rsidRPr="00623E33" w:rsidRDefault="004E28FB" w:rsidP="00C50B1B">
            <w:pPr>
              <w:spacing w:before="40" w:after="40"/>
              <w:rPr>
                <w:sz w:val="20"/>
              </w:rPr>
            </w:pPr>
            <w:r w:rsidRPr="00623E33">
              <w:rPr>
                <w:sz w:val="20"/>
              </w:rPr>
              <w:t>Some tens of km</w:t>
            </w:r>
            <w:r w:rsidRPr="00623E33">
              <w:rPr>
                <w:sz w:val="20"/>
                <w:vertAlign w:val="superscript"/>
              </w:rPr>
              <w:t>2</w:t>
            </w:r>
          </w:p>
        </w:tc>
      </w:tr>
      <w:tr w:rsidR="004E28FB" w:rsidRPr="00623E33" w:rsidTr="00C50B1B">
        <w:tc>
          <w:tcPr>
            <w:tcW w:w="843" w:type="pct"/>
            <w:vAlign w:val="center"/>
          </w:tcPr>
          <w:p w:rsidR="004E28FB" w:rsidRPr="00623E33" w:rsidRDefault="004E28FB" w:rsidP="00C50B1B">
            <w:pPr>
              <w:spacing w:before="40" w:after="40"/>
              <w:rPr>
                <w:sz w:val="20"/>
              </w:rPr>
            </w:pPr>
            <w:r w:rsidRPr="00623E33">
              <w:rPr>
                <w:sz w:val="20"/>
              </w:rPr>
              <w:t>Rural</w:t>
            </w:r>
          </w:p>
        </w:tc>
        <w:tc>
          <w:tcPr>
            <w:tcW w:w="3089" w:type="pct"/>
            <w:vAlign w:val="center"/>
          </w:tcPr>
          <w:p w:rsidR="004E28FB" w:rsidRPr="00623E33" w:rsidRDefault="004E28FB" w:rsidP="00C50B1B">
            <w:pPr>
              <w:spacing w:before="40" w:after="40"/>
              <w:rPr>
                <w:sz w:val="20"/>
              </w:rPr>
            </w:pPr>
            <w:r w:rsidRPr="00623E33">
              <w:rPr>
                <w:sz w:val="20"/>
              </w:rPr>
              <w:t>Stations can be located in small settlements and/or areas with natural ecosystems, forests or crops; representative for ozone away from the influence of immediate local emissions such as industrial installations and roads; at open area sites, but not on summits of higher mountains.</w:t>
            </w:r>
          </w:p>
        </w:tc>
        <w:tc>
          <w:tcPr>
            <w:tcW w:w="1068" w:type="pct"/>
            <w:vAlign w:val="center"/>
          </w:tcPr>
          <w:p w:rsidR="004E28FB" w:rsidRPr="00623E33" w:rsidRDefault="004E28FB" w:rsidP="00C50B1B">
            <w:pPr>
              <w:spacing w:before="40" w:after="40"/>
              <w:rPr>
                <w:sz w:val="20"/>
              </w:rPr>
            </w:pPr>
            <w:r w:rsidRPr="00623E33">
              <w:rPr>
                <w:sz w:val="20"/>
              </w:rPr>
              <w:t>Sub-regional levels (some hundreds of km</w:t>
            </w:r>
            <w:r w:rsidRPr="00623E33">
              <w:rPr>
                <w:sz w:val="20"/>
                <w:vertAlign w:val="superscript"/>
              </w:rPr>
              <w:t>2</w:t>
            </w:r>
            <w:r w:rsidRPr="00623E33">
              <w:rPr>
                <w:sz w:val="20"/>
              </w:rPr>
              <w:t>)</w:t>
            </w:r>
          </w:p>
        </w:tc>
      </w:tr>
      <w:tr w:rsidR="004E28FB" w:rsidRPr="00623E33" w:rsidTr="00C50B1B">
        <w:trPr>
          <w:trHeight w:val="560"/>
        </w:trPr>
        <w:tc>
          <w:tcPr>
            <w:tcW w:w="843" w:type="pct"/>
            <w:vAlign w:val="center"/>
          </w:tcPr>
          <w:p w:rsidR="004E28FB" w:rsidRPr="00623E33" w:rsidRDefault="004E28FB" w:rsidP="00C50B1B">
            <w:pPr>
              <w:spacing w:before="40" w:after="40"/>
              <w:rPr>
                <w:sz w:val="20"/>
              </w:rPr>
            </w:pPr>
            <w:r w:rsidRPr="00623E33">
              <w:rPr>
                <w:sz w:val="20"/>
              </w:rPr>
              <w:t>Rural background</w:t>
            </w:r>
          </w:p>
        </w:tc>
        <w:tc>
          <w:tcPr>
            <w:tcW w:w="3089" w:type="pct"/>
            <w:vAlign w:val="center"/>
          </w:tcPr>
          <w:p w:rsidR="004E28FB" w:rsidRPr="00623E33" w:rsidRDefault="004E28FB" w:rsidP="00C50B1B">
            <w:pPr>
              <w:spacing w:before="40" w:after="40"/>
              <w:rPr>
                <w:sz w:val="20"/>
              </w:rPr>
            </w:pPr>
            <w:r w:rsidRPr="00623E33">
              <w:rPr>
                <w:sz w:val="20"/>
              </w:rPr>
              <w:t>Station located in areas with lower population density, e.g. with natural ecosystems, forests, at a distance of at least 20</w:t>
            </w:r>
            <w:r w:rsidR="005E35E7">
              <w:rPr>
                <w:sz w:val="20"/>
              </w:rPr>
              <w:t xml:space="preserve"> </w:t>
            </w:r>
            <w:r w:rsidRPr="00623E33">
              <w:rPr>
                <w:sz w:val="20"/>
              </w:rPr>
              <w:t>km from urban and industrial areas and away from local emissions; avoid locations which are subject to locally enhanced formation of ground-near inversion conditions, also summits of higher mountains; coastal sites with pronounced diurnal wind cycles of local character are not recommended</w:t>
            </w:r>
          </w:p>
        </w:tc>
        <w:tc>
          <w:tcPr>
            <w:tcW w:w="1068" w:type="pct"/>
            <w:vAlign w:val="center"/>
          </w:tcPr>
          <w:p w:rsidR="004E28FB" w:rsidRPr="00623E33" w:rsidRDefault="004E28FB" w:rsidP="00C50B1B">
            <w:pPr>
              <w:spacing w:before="40" w:after="40"/>
              <w:rPr>
                <w:sz w:val="20"/>
              </w:rPr>
            </w:pPr>
            <w:r w:rsidRPr="00623E33">
              <w:rPr>
                <w:sz w:val="20"/>
              </w:rPr>
              <w:t>Regional/ national/ continental levels (1,000 to 10,000 km</w:t>
            </w:r>
            <w:r w:rsidRPr="00623E33">
              <w:rPr>
                <w:sz w:val="20"/>
                <w:vertAlign w:val="superscript"/>
              </w:rPr>
              <w:t>2</w:t>
            </w:r>
            <w:r w:rsidRPr="00623E33">
              <w:rPr>
                <w:sz w:val="20"/>
              </w:rPr>
              <w:t>)</w:t>
            </w:r>
          </w:p>
        </w:tc>
      </w:tr>
    </w:tbl>
    <w:p w:rsidR="004E28FB" w:rsidRPr="00C50B1B" w:rsidRDefault="00C50B1B" w:rsidP="00C50B1B">
      <w:pPr>
        <w:rPr>
          <w:rStyle w:val="Strong"/>
          <w:rFonts w:asciiTheme="minorHAnsi" w:hAnsiTheme="minorHAnsi"/>
          <w:color w:val="000000" w:themeColor="text1"/>
          <w:sz w:val="18"/>
          <w:szCs w:val="18"/>
        </w:rPr>
      </w:pPr>
      <w:bookmarkStart w:id="212" w:name="_Toc386499743"/>
      <w:bookmarkStart w:id="213" w:name="_Toc386503197"/>
      <w:bookmarkStart w:id="214" w:name="_Toc386503419"/>
      <w:bookmarkStart w:id="215" w:name="_Toc386503580"/>
      <w:bookmarkStart w:id="216" w:name="_Toc386503741"/>
      <w:bookmarkStart w:id="217" w:name="_Toc386503902"/>
      <w:bookmarkStart w:id="218" w:name="_Toc386499745"/>
      <w:bookmarkStart w:id="219" w:name="_Toc386503199"/>
      <w:bookmarkStart w:id="220" w:name="_Toc386503421"/>
      <w:bookmarkStart w:id="221" w:name="_Toc386503582"/>
      <w:bookmarkStart w:id="222" w:name="_Toc386503743"/>
      <w:bookmarkStart w:id="223" w:name="_Toc386503904"/>
      <w:bookmarkStart w:id="224" w:name="_Toc386499747"/>
      <w:bookmarkStart w:id="225" w:name="_Toc386503201"/>
      <w:bookmarkStart w:id="226" w:name="_Toc386503423"/>
      <w:bookmarkStart w:id="227" w:name="_Toc386503584"/>
      <w:bookmarkStart w:id="228" w:name="_Toc386503745"/>
      <w:bookmarkStart w:id="229" w:name="_Toc386503906"/>
      <w:bookmarkStart w:id="230" w:name="_Toc386499748"/>
      <w:bookmarkStart w:id="231" w:name="_Toc386503202"/>
      <w:bookmarkStart w:id="232" w:name="_Toc386503424"/>
      <w:bookmarkStart w:id="233" w:name="_Toc386503585"/>
      <w:bookmarkStart w:id="234" w:name="_Toc386503746"/>
      <w:bookmarkStart w:id="235" w:name="_Toc386503907"/>
      <w:bookmarkStart w:id="236" w:name="_Toc386499749"/>
      <w:bookmarkStart w:id="237" w:name="_Toc386503203"/>
      <w:bookmarkStart w:id="238" w:name="_Toc386503425"/>
      <w:bookmarkStart w:id="239" w:name="_Toc386503586"/>
      <w:bookmarkStart w:id="240" w:name="_Toc386503747"/>
      <w:bookmarkStart w:id="241" w:name="_Toc386503908"/>
      <w:bookmarkStart w:id="242" w:name="_Toc386499750"/>
      <w:bookmarkStart w:id="243" w:name="_Toc386503204"/>
      <w:bookmarkStart w:id="244" w:name="_Toc386503426"/>
      <w:bookmarkStart w:id="245" w:name="_Toc386503587"/>
      <w:bookmarkStart w:id="246" w:name="_Toc386503748"/>
      <w:bookmarkStart w:id="247" w:name="_Toc386503909"/>
      <w:bookmarkStart w:id="248" w:name="_Toc386499751"/>
      <w:bookmarkStart w:id="249" w:name="_Toc386503205"/>
      <w:bookmarkStart w:id="250" w:name="_Toc386503427"/>
      <w:bookmarkStart w:id="251" w:name="_Toc386503588"/>
      <w:bookmarkStart w:id="252" w:name="_Toc386503749"/>
      <w:bookmarkStart w:id="253" w:name="_Toc386503910"/>
      <w:bookmarkStart w:id="254" w:name="_Toc386499752"/>
      <w:bookmarkStart w:id="255" w:name="_Toc386503206"/>
      <w:bookmarkStart w:id="256" w:name="_Toc386503428"/>
      <w:bookmarkStart w:id="257" w:name="_Toc386503589"/>
      <w:bookmarkStart w:id="258" w:name="_Toc386503750"/>
      <w:bookmarkStart w:id="259" w:name="_Toc386503911"/>
      <w:bookmarkStart w:id="260" w:name="_Toc386499753"/>
      <w:bookmarkStart w:id="261" w:name="_Toc386503207"/>
      <w:bookmarkStart w:id="262" w:name="_Toc386503429"/>
      <w:bookmarkStart w:id="263" w:name="_Toc386503590"/>
      <w:bookmarkStart w:id="264" w:name="_Toc386503751"/>
      <w:bookmarkStart w:id="265" w:name="_Toc386503912"/>
      <w:bookmarkStart w:id="266" w:name="_Toc386499754"/>
      <w:bookmarkStart w:id="267" w:name="_Toc386503208"/>
      <w:bookmarkStart w:id="268" w:name="_Toc386503430"/>
      <w:bookmarkStart w:id="269" w:name="_Toc386503591"/>
      <w:bookmarkStart w:id="270" w:name="_Toc386503752"/>
      <w:bookmarkStart w:id="271" w:name="_Toc386503913"/>
      <w:bookmarkStart w:id="272" w:name="_Toc386499755"/>
      <w:bookmarkStart w:id="273" w:name="_Toc386503209"/>
      <w:bookmarkStart w:id="274" w:name="_Toc386503431"/>
      <w:bookmarkStart w:id="275" w:name="_Toc386503592"/>
      <w:bookmarkStart w:id="276" w:name="_Toc386503753"/>
      <w:bookmarkStart w:id="277" w:name="_Toc386503914"/>
      <w:bookmarkStart w:id="278" w:name="_Toc386499756"/>
      <w:bookmarkStart w:id="279" w:name="_Toc386503210"/>
      <w:bookmarkStart w:id="280" w:name="_Toc386503432"/>
      <w:bookmarkStart w:id="281" w:name="_Toc386503593"/>
      <w:bookmarkStart w:id="282" w:name="_Toc386503754"/>
      <w:bookmarkStart w:id="283" w:name="_Toc386503915"/>
      <w:bookmarkStart w:id="284" w:name="_Toc386499757"/>
      <w:bookmarkStart w:id="285" w:name="_Toc386503211"/>
      <w:bookmarkStart w:id="286" w:name="_Toc386503433"/>
      <w:bookmarkStart w:id="287" w:name="_Toc386503594"/>
      <w:bookmarkStart w:id="288" w:name="_Toc386503755"/>
      <w:bookmarkStart w:id="289" w:name="_Toc386503916"/>
      <w:bookmarkStart w:id="290" w:name="_Toc386499758"/>
      <w:bookmarkStart w:id="291" w:name="_Toc386503212"/>
      <w:bookmarkStart w:id="292" w:name="_Toc386503434"/>
      <w:bookmarkStart w:id="293" w:name="_Toc386503595"/>
      <w:bookmarkStart w:id="294" w:name="_Toc386503756"/>
      <w:bookmarkStart w:id="295" w:name="_Toc386503917"/>
      <w:bookmarkStart w:id="296" w:name="_Toc386499759"/>
      <w:bookmarkStart w:id="297" w:name="_Toc386503213"/>
      <w:bookmarkStart w:id="298" w:name="_Toc386503435"/>
      <w:bookmarkStart w:id="299" w:name="_Toc386503596"/>
      <w:bookmarkStart w:id="300" w:name="_Toc386503757"/>
      <w:bookmarkStart w:id="301" w:name="_Toc386503918"/>
      <w:bookmarkStart w:id="302" w:name="_Toc386499760"/>
      <w:bookmarkStart w:id="303" w:name="_Toc386503214"/>
      <w:bookmarkStart w:id="304" w:name="_Toc386503436"/>
      <w:bookmarkStart w:id="305" w:name="_Toc386503597"/>
      <w:bookmarkStart w:id="306" w:name="_Toc386503758"/>
      <w:bookmarkStart w:id="307" w:name="_Toc386503919"/>
      <w:bookmarkStart w:id="308" w:name="_Toc386499761"/>
      <w:bookmarkStart w:id="309" w:name="_Toc386503215"/>
      <w:bookmarkStart w:id="310" w:name="_Toc386503437"/>
      <w:bookmarkStart w:id="311" w:name="_Toc386503598"/>
      <w:bookmarkStart w:id="312" w:name="_Toc386503759"/>
      <w:bookmarkStart w:id="313" w:name="_Toc386503920"/>
      <w:bookmarkStart w:id="314" w:name="_Toc386499762"/>
      <w:bookmarkStart w:id="315" w:name="_Toc386503216"/>
      <w:bookmarkStart w:id="316" w:name="_Toc386503438"/>
      <w:bookmarkStart w:id="317" w:name="_Toc386503599"/>
      <w:bookmarkStart w:id="318" w:name="_Toc386503760"/>
      <w:bookmarkStart w:id="319" w:name="_Toc386503921"/>
      <w:bookmarkStart w:id="320" w:name="_Toc386499764"/>
      <w:bookmarkStart w:id="321" w:name="_Toc386503218"/>
      <w:bookmarkStart w:id="322" w:name="_Toc386503440"/>
      <w:bookmarkStart w:id="323" w:name="_Toc386503601"/>
      <w:bookmarkStart w:id="324" w:name="_Toc386503762"/>
      <w:bookmarkStart w:id="325" w:name="_Toc386503923"/>
      <w:bookmarkStart w:id="326" w:name="_Toc386499765"/>
      <w:bookmarkStart w:id="327" w:name="_Toc386503219"/>
      <w:bookmarkStart w:id="328" w:name="_Toc386503441"/>
      <w:bookmarkStart w:id="329" w:name="_Toc386503602"/>
      <w:bookmarkStart w:id="330" w:name="_Toc386503763"/>
      <w:bookmarkStart w:id="331" w:name="_Toc386503924"/>
      <w:bookmarkStart w:id="332" w:name="_Toc386499766"/>
      <w:bookmarkStart w:id="333" w:name="_Toc386503220"/>
      <w:bookmarkStart w:id="334" w:name="_Toc386503442"/>
      <w:bookmarkStart w:id="335" w:name="_Toc386503603"/>
      <w:bookmarkStart w:id="336" w:name="_Toc386503764"/>
      <w:bookmarkStart w:id="337" w:name="_Toc386503925"/>
      <w:bookmarkStart w:id="338" w:name="_Toc386499767"/>
      <w:bookmarkStart w:id="339" w:name="_Toc386503221"/>
      <w:bookmarkStart w:id="340" w:name="_Toc386503443"/>
      <w:bookmarkStart w:id="341" w:name="_Toc386503604"/>
      <w:bookmarkStart w:id="342" w:name="_Toc386503765"/>
      <w:bookmarkStart w:id="343" w:name="_Toc386503926"/>
      <w:bookmarkStart w:id="344" w:name="_Toc386499768"/>
      <w:bookmarkStart w:id="345" w:name="_Toc386503222"/>
      <w:bookmarkStart w:id="346" w:name="_Toc386503444"/>
      <w:bookmarkStart w:id="347" w:name="_Toc386503605"/>
      <w:bookmarkStart w:id="348" w:name="_Toc386503766"/>
      <w:bookmarkStart w:id="349" w:name="_Toc386503927"/>
      <w:bookmarkStart w:id="350" w:name="_Toc386499769"/>
      <w:bookmarkStart w:id="351" w:name="_Toc386503223"/>
      <w:bookmarkStart w:id="352" w:name="_Toc386503445"/>
      <w:bookmarkStart w:id="353" w:name="_Toc386503606"/>
      <w:bookmarkStart w:id="354" w:name="_Toc386503767"/>
      <w:bookmarkStart w:id="355" w:name="_Toc386503928"/>
      <w:bookmarkStart w:id="356" w:name="_Toc386499770"/>
      <w:bookmarkStart w:id="357" w:name="_Toc386503224"/>
      <w:bookmarkStart w:id="358" w:name="_Toc386503446"/>
      <w:bookmarkStart w:id="359" w:name="_Toc386503607"/>
      <w:bookmarkStart w:id="360" w:name="_Toc386503768"/>
      <w:bookmarkStart w:id="361" w:name="_Toc386503929"/>
      <w:bookmarkStart w:id="362" w:name="_Toc386499771"/>
      <w:bookmarkStart w:id="363" w:name="_Toc386503225"/>
      <w:bookmarkStart w:id="364" w:name="_Toc386503447"/>
      <w:bookmarkStart w:id="365" w:name="_Toc386503608"/>
      <w:bookmarkStart w:id="366" w:name="_Toc386503769"/>
      <w:bookmarkStart w:id="367" w:name="_Toc386503930"/>
      <w:bookmarkStart w:id="368" w:name="_Toc386499772"/>
      <w:bookmarkStart w:id="369" w:name="_Toc386503226"/>
      <w:bookmarkStart w:id="370" w:name="_Toc386503448"/>
      <w:bookmarkStart w:id="371" w:name="_Toc386503609"/>
      <w:bookmarkStart w:id="372" w:name="_Toc386503770"/>
      <w:bookmarkStart w:id="373" w:name="_Toc386503931"/>
      <w:bookmarkStart w:id="374" w:name="_Toc386499773"/>
      <w:bookmarkStart w:id="375" w:name="_Toc386503227"/>
      <w:bookmarkStart w:id="376" w:name="_Toc386503449"/>
      <w:bookmarkStart w:id="377" w:name="_Toc386503610"/>
      <w:bookmarkStart w:id="378" w:name="_Toc386503771"/>
      <w:bookmarkStart w:id="379" w:name="_Toc386503932"/>
      <w:bookmarkStart w:id="380" w:name="_Toc386499774"/>
      <w:bookmarkStart w:id="381" w:name="_Toc386503228"/>
      <w:bookmarkStart w:id="382" w:name="_Toc386503450"/>
      <w:bookmarkStart w:id="383" w:name="_Toc386503611"/>
      <w:bookmarkStart w:id="384" w:name="_Toc386503772"/>
      <w:bookmarkStart w:id="385" w:name="_Toc386503933"/>
      <w:bookmarkStart w:id="386" w:name="_Toc386499775"/>
      <w:bookmarkStart w:id="387" w:name="_Toc386503229"/>
      <w:bookmarkStart w:id="388" w:name="_Toc386503451"/>
      <w:bookmarkStart w:id="389" w:name="_Toc386503612"/>
      <w:bookmarkStart w:id="390" w:name="_Toc386503773"/>
      <w:bookmarkStart w:id="391" w:name="_Toc386503934"/>
      <w:bookmarkStart w:id="392" w:name="_Toc386499776"/>
      <w:bookmarkStart w:id="393" w:name="_Toc386503230"/>
      <w:bookmarkStart w:id="394" w:name="_Toc386503452"/>
      <w:bookmarkStart w:id="395" w:name="_Toc386503613"/>
      <w:bookmarkStart w:id="396" w:name="_Toc386503774"/>
      <w:bookmarkStart w:id="397" w:name="_Toc386503935"/>
      <w:bookmarkStart w:id="398" w:name="_Toc386499777"/>
      <w:bookmarkStart w:id="399" w:name="_Toc386503231"/>
      <w:bookmarkStart w:id="400" w:name="_Toc386503453"/>
      <w:bookmarkStart w:id="401" w:name="_Toc386503614"/>
      <w:bookmarkStart w:id="402" w:name="_Toc386503775"/>
      <w:bookmarkStart w:id="403" w:name="_Toc386503936"/>
      <w:bookmarkStart w:id="404" w:name="_Toc383736794"/>
      <w:bookmarkStart w:id="405" w:name="_Toc383738761"/>
      <w:bookmarkStart w:id="406" w:name="_Toc383764329"/>
      <w:bookmarkStart w:id="407" w:name="_Toc38373876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C50B1B">
        <w:rPr>
          <w:sz w:val="18"/>
          <w:szCs w:val="18"/>
          <w:vertAlign w:val="superscript"/>
        </w:rPr>
        <w:t xml:space="preserve">1 </w:t>
      </w:r>
      <w:r w:rsidRPr="00C50B1B">
        <w:rPr>
          <w:sz w:val="18"/>
          <w:szCs w:val="18"/>
        </w:rPr>
        <w:t>Sampling points should, where possible be representative of similar locations not in their immediate vicinity.</w:t>
      </w:r>
    </w:p>
    <w:p w:rsidR="004E28FB" w:rsidRPr="00C50B1B" w:rsidRDefault="004E28FB" w:rsidP="00C50B1B">
      <w:pPr>
        <w:pStyle w:val="Heading2"/>
        <w:rPr>
          <w:rStyle w:val="Strong"/>
          <w:b/>
          <w:bCs w:val="0"/>
        </w:rPr>
      </w:pPr>
      <w:bookmarkStart w:id="408" w:name="_Toc392598877"/>
      <w:r w:rsidRPr="00C50B1B">
        <w:rPr>
          <w:rStyle w:val="Strong"/>
          <w:b/>
          <w:bCs w:val="0"/>
        </w:rPr>
        <w:t>Micro-scale siting of sampling points</w:t>
      </w:r>
      <w:bookmarkEnd w:id="407"/>
      <w:bookmarkEnd w:id="408"/>
    </w:p>
    <w:p w:rsidR="004E28FB" w:rsidRPr="00623E33" w:rsidRDefault="004E28FB" w:rsidP="000E313D">
      <w:r w:rsidRPr="00623E33">
        <w:t xml:space="preserve">Identification of the specific suitability of a sample site locations are a matter for the individual </w:t>
      </w:r>
      <w:r>
        <w:t>m</w:t>
      </w:r>
      <w:r w:rsidRPr="00623E33">
        <w:t>ember state and are typically nominated at the Preliminary Assessment stage.</w:t>
      </w:r>
    </w:p>
    <w:p w:rsidR="004E28FB" w:rsidRPr="00623E33" w:rsidRDefault="004E28FB" w:rsidP="000E313D">
      <w:r w:rsidRPr="00623E33">
        <w:t xml:space="preserve">Guidelines on the position of sample sites with respect to sources and their installation are given in both </w:t>
      </w:r>
      <w:proofErr w:type="gramStart"/>
      <w:r w:rsidRPr="00623E33">
        <w:t>section</w:t>
      </w:r>
      <w:proofErr w:type="gramEnd"/>
      <w:r w:rsidRPr="00623E33">
        <w:t xml:space="preserve"> C Annex III of CAFE-Directive 2008/50/EC and section II Annex III of 4th Daughter Directive 2004/107/EC.</w:t>
      </w:r>
    </w:p>
    <w:p w:rsidR="004E28FB" w:rsidRPr="00623E33" w:rsidRDefault="004E28FB" w:rsidP="000E313D">
      <w:r w:rsidRPr="00623E33">
        <w:t xml:space="preserve">Both the Fourth Daughter Directive (2004/107/EC) and CAFE Directive (2008/50/EC) provide prescriptive guidelines on the </w:t>
      </w:r>
      <w:proofErr w:type="spellStart"/>
      <w:r w:rsidRPr="00623E33">
        <w:t>microscale</w:t>
      </w:r>
      <w:proofErr w:type="spellEnd"/>
      <w:r>
        <w:t xml:space="preserve"> </w:t>
      </w:r>
      <w:r w:rsidRPr="00317DFF">
        <w:t>siting</w:t>
      </w:r>
      <w:r w:rsidRPr="00623E33">
        <w:t xml:space="preserve"> of the air quality sampling points. With exception to two variations, the guidelines were identical and should be followed in so far as is practicable.</w:t>
      </w:r>
    </w:p>
    <w:p w:rsidR="004E28FB" w:rsidRPr="00623E33" w:rsidRDefault="004E28FB" w:rsidP="00581A85">
      <w:pPr>
        <w:pStyle w:val="TOC1"/>
      </w:pPr>
      <w:r w:rsidRPr="00623E33">
        <w:lastRenderedPageBreak/>
        <w:t xml:space="preserve">Box </w:t>
      </w:r>
      <w:r w:rsidR="005101F7">
        <w:fldChar w:fldCharType="begin"/>
      </w:r>
      <w:r w:rsidR="005101F7">
        <w:instrText xml:space="preserve"> STYLEREF 1 \s </w:instrText>
      </w:r>
      <w:r w:rsidR="005101F7">
        <w:fldChar w:fldCharType="separate"/>
      </w:r>
      <w:r>
        <w:rPr>
          <w:noProof/>
        </w:rPr>
        <w:t>2</w:t>
      </w:r>
      <w:r w:rsidR="005101F7">
        <w:rPr>
          <w:noProof/>
        </w:rPr>
        <w:fldChar w:fldCharType="end"/>
      </w:r>
      <w:r>
        <w:noBreakHyphen/>
        <w:t>1</w:t>
      </w:r>
      <w:r w:rsidR="00C50B1B">
        <w:t xml:space="preserve"> </w:t>
      </w:r>
      <w:proofErr w:type="spellStart"/>
      <w:r w:rsidRPr="00623E33">
        <w:t>Microscale</w:t>
      </w:r>
      <w:proofErr w:type="spellEnd"/>
      <w:r>
        <w:t xml:space="preserve"> </w:t>
      </w:r>
      <w:r w:rsidRPr="00317DFF">
        <w:t>siting</w:t>
      </w:r>
      <w:r w:rsidRPr="00623E33">
        <w:t xml:space="preserve"> sampling points </w:t>
      </w:r>
    </w:p>
    <w:tbl>
      <w:tblPr>
        <w:tblStyle w:val="TableGrid"/>
        <w:tblW w:w="5000" w:type="pct"/>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12" w:space="0" w:color="76923C" w:themeColor="accent3" w:themeShade="BF"/>
          <w:insideV w:val="single" w:sz="12" w:space="0" w:color="76923C" w:themeColor="accent3" w:themeShade="BF"/>
        </w:tblBorders>
        <w:tblLook w:val="04A0" w:firstRow="1" w:lastRow="0" w:firstColumn="1" w:lastColumn="0" w:noHBand="0" w:noVBand="1"/>
      </w:tblPr>
      <w:tblGrid>
        <w:gridCol w:w="9621"/>
      </w:tblGrid>
      <w:tr w:rsidR="004E28FB" w:rsidRPr="00623E33" w:rsidTr="00C50B1B">
        <w:tc>
          <w:tcPr>
            <w:tcW w:w="5000" w:type="pct"/>
            <w:shd w:val="clear" w:color="auto" w:fill="1F497D" w:themeFill="text2"/>
            <w:vAlign w:val="center"/>
          </w:tcPr>
          <w:p w:rsidR="004E28FB" w:rsidRPr="00623E33" w:rsidRDefault="004E28FB" w:rsidP="004E28FB">
            <w:pPr>
              <w:spacing w:before="40" w:after="40"/>
              <w:rPr>
                <w:rFonts w:cs="Calibri"/>
                <w:b/>
                <w:color w:val="FFFFFF" w:themeColor="background1"/>
                <w:sz w:val="20"/>
              </w:rPr>
            </w:pPr>
            <w:proofErr w:type="spellStart"/>
            <w:r w:rsidRPr="00623E33">
              <w:rPr>
                <w:rFonts w:cs="Calibri"/>
                <w:b/>
                <w:color w:val="FFFFFF" w:themeColor="background1"/>
                <w:sz w:val="20"/>
              </w:rPr>
              <w:t>Microscale</w:t>
            </w:r>
            <w:proofErr w:type="spellEnd"/>
            <w:r>
              <w:rPr>
                <w:rFonts w:cs="Calibri"/>
                <w:b/>
                <w:color w:val="FFFFFF" w:themeColor="background1"/>
                <w:sz w:val="20"/>
              </w:rPr>
              <w:t xml:space="preserve"> </w:t>
            </w:r>
            <w:r w:rsidRPr="00317DFF">
              <w:rPr>
                <w:rFonts w:cs="Calibri"/>
                <w:b/>
                <w:color w:val="FFFFFF" w:themeColor="background1"/>
                <w:sz w:val="20"/>
              </w:rPr>
              <w:t>siting</w:t>
            </w:r>
            <w:r w:rsidRPr="00623E33">
              <w:rPr>
                <w:rFonts w:cs="Calibri"/>
                <w:b/>
                <w:color w:val="FFFFFF" w:themeColor="background1"/>
                <w:sz w:val="20"/>
              </w:rPr>
              <w:t xml:space="preserve"> sampling points</w:t>
            </w:r>
          </w:p>
        </w:tc>
      </w:tr>
      <w:tr w:rsidR="004E28FB" w:rsidRPr="00623E33" w:rsidTr="00C50B1B">
        <w:tc>
          <w:tcPr>
            <w:tcW w:w="5000" w:type="pct"/>
            <w:shd w:val="clear" w:color="auto" w:fill="auto"/>
            <w:vAlign w:val="center"/>
          </w:tcPr>
          <w:p w:rsidR="004E28FB" w:rsidRPr="00623E33" w:rsidRDefault="004E28FB" w:rsidP="004E28FB">
            <w:pPr>
              <w:spacing w:before="40" w:after="40"/>
              <w:rPr>
                <w:rFonts w:cs="Calibri"/>
                <w:sz w:val="20"/>
              </w:rPr>
            </w:pPr>
            <w:r w:rsidRPr="00623E33">
              <w:rPr>
                <w:rFonts w:cs="Calibri"/>
                <w:sz w:val="20"/>
              </w:rPr>
              <w:t>The flow around the inlet sampling probe should be unrestricted, without any obstructions affecting the airflow in the vicinity of the sampler (normally some metres away from buildings, balconies, trees and other obstacles and at least 0.5 m from the nearest building in the case of sampling points representing air quality at the building line);</w:t>
            </w:r>
          </w:p>
        </w:tc>
      </w:tr>
      <w:tr w:rsidR="004E28FB" w:rsidRPr="00623E33" w:rsidTr="00C50B1B">
        <w:tc>
          <w:tcPr>
            <w:tcW w:w="5000" w:type="pct"/>
            <w:shd w:val="clear" w:color="auto" w:fill="auto"/>
            <w:vAlign w:val="center"/>
          </w:tcPr>
          <w:p w:rsidR="004E28FB" w:rsidRPr="00623E33" w:rsidRDefault="004E28FB" w:rsidP="004E28FB">
            <w:pPr>
              <w:spacing w:before="40" w:after="40"/>
              <w:rPr>
                <w:rFonts w:cs="Calibri"/>
                <w:sz w:val="20"/>
              </w:rPr>
            </w:pPr>
            <w:r w:rsidRPr="00623E33">
              <w:rPr>
                <w:rFonts w:cs="Calibri"/>
                <w:sz w:val="20"/>
              </w:rPr>
              <w:t xml:space="preserve">In general, the inlet sampling point should be between 1.5 m (the breathing zone) and 4 m above the ground. Higher positions (up to 8 m) may be necessary in some circumstances. Higher </w:t>
            </w:r>
            <w:r w:rsidRPr="00317DFF">
              <w:rPr>
                <w:rFonts w:cs="Calibri"/>
                <w:sz w:val="20"/>
              </w:rPr>
              <w:t>siting</w:t>
            </w:r>
            <w:r w:rsidRPr="00623E33">
              <w:rPr>
                <w:rFonts w:cs="Calibri"/>
                <w:sz w:val="20"/>
              </w:rPr>
              <w:t xml:space="preserve"> may also be appropriate if the station is representative of a large area;</w:t>
            </w:r>
          </w:p>
        </w:tc>
      </w:tr>
      <w:tr w:rsidR="004E28FB" w:rsidRPr="00623E33" w:rsidTr="00C50B1B">
        <w:tc>
          <w:tcPr>
            <w:tcW w:w="5000" w:type="pct"/>
            <w:shd w:val="clear" w:color="auto" w:fill="auto"/>
            <w:vAlign w:val="center"/>
          </w:tcPr>
          <w:p w:rsidR="004E28FB" w:rsidRPr="00623E33" w:rsidRDefault="004E28FB" w:rsidP="004E28FB">
            <w:pPr>
              <w:spacing w:before="40" w:after="40"/>
              <w:rPr>
                <w:rFonts w:cs="Calibri"/>
                <w:sz w:val="20"/>
              </w:rPr>
            </w:pPr>
            <w:r w:rsidRPr="00623E33">
              <w:rPr>
                <w:rFonts w:cs="Calibri"/>
                <w:sz w:val="20"/>
              </w:rPr>
              <w:t>The inlet probe should not be positioned in the immediate vicinity of sources in order to avoid direct intake of emissions unmixed with ambient air;</w:t>
            </w:r>
          </w:p>
        </w:tc>
      </w:tr>
      <w:tr w:rsidR="004E28FB" w:rsidRPr="00623E33" w:rsidTr="00C50B1B">
        <w:tc>
          <w:tcPr>
            <w:tcW w:w="5000" w:type="pct"/>
            <w:shd w:val="clear" w:color="auto" w:fill="auto"/>
            <w:vAlign w:val="center"/>
          </w:tcPr>
          <w:p w:rsidR="004E28FB" w:rsidRPr="00623E33" w:rsidRDefault="004E28FB" w:rsidP="004E28FB">
            <w:pPr>
              <w:spacing w:before="40" w:after="40"/>
              <w:rPr>
                <w:rFonts w:cs="Calibri"/>
                <w:sz w:val="20"/>
              </w:rPr>
            </w:pPr>
            <w:r w:rsidRPr="00623E33">
              <w:rPr>
                <w:rFonts w:cs="Calibri"/>
                <w:sz w:val="20"/>
              </w:rPr>
              <w:t>The sampler’s exhaust outlet should be positioned so that recirculation of exhaust air to the sample inlet is avoided;</w:t>
            </w:r>
          </w:p>
        </w:tc>
      </w:tr>
      <w:tr w:rsidR="004E28FB" w:rsidRPr="00623E33" w:rsidTr="00C50B1B">
        <w:tc>
          <w:tcPr>
            <w:tcW w:w="5000" w:type="pct"/>
            <w:shd w:val="clear" w:color="auto" w:fill="auto"/>
            <w:vAlign w:val="center"/>
          </w:tcPr>
          <w:p w:rsidR="004E28FB" w:rsidRPr="00623E33" w:rsidRDefault="004E28FB" w:rsidP="004E28FB">
            <w:pPr>
              <w:spacing w:before="40" w:after="40"/>
              <w:rPr>
                <w:rFonts w:cs="Calibri"/>
                <w:sz w:val="20"/>
              </w:rPr>
            </w:pPr>
            <w:r w:rsidRPr="00623E33">
              <w:rPr>
                <w:rFonts w:cs="Calibri"/>
                <w:sz w:val="20"/>
              </w:rPr>
              <w:t>Traffic-orientated sampling points should be at least 25 metres from the edge of major junctions and at least 4 m from the centre of the nearest traffic lane; inlets should be sited so as to be representative of air quality near the building line;</w:t>
            </w:r>
          </w:p>
        </w:tc>
      </w:tr>
      <w:tr w:rsidR="004E28FB" w:rsidRPr="00623E33" w:rsidTr="00C50B1B">
        <w:tc>
          <w:tcPr>
            <w:tcW w:w="5000" w:type="pct"/>
            <w:shd w:val="clear" w:color="auto" w:fill="auto"/>
            <w:vAlign w:val="center"/>
          </w:tcPr>
          <w:p w:rsidR="004E28FB" w:rsidRPr="00623E33" w:rsidRDefault="004E28FB" w:rsidP="004E28FB">
            <w:pPr>
              <w:spacing w:before="40" w:after="40"/>
              <w:rPr>
                <w:rFonts w:cs="Calibri"/>
                <w:sz w:val="20"/>
              </w:rPr>
            </w:pPr>
            <w:r w:rsidRPr="00623E33">
              <w:rPr>
                <w:rFonts w:cs="Calibri"/>
                <w:sz w:val="20"/>
              </w:rPr>
              <w:t>The following additional factors may also be taken into account:</w:t>
            </w:r>
          </w:p>
          <w:p w:rsidR="004E28FB" w:rsidRPr="00C50B1B" w:rsidRDefault="004E28FB" w:rsidP="009E6C1C">
            <w:pPr>
              <w:pStyle w:val="ListParagraph"/>
              <w:numPr>
                <w:ilvl w:val="2"/>
                <w:numId w:val="70"/>
              </w:numPr>
            </w:pPr>
            <w:r w:rsidRPr="00C50B1B">
              <w:t>interfering sources</w:t>
            </w:r>
          </w:p>
          <w:p w:rsidR="004E28FB" w:rsidRPr="00C50B1B" w:rsidRDefault="004E28FB" w:rsidP="009E6C1C">
            <w:pPr>
              <w:pStyle w:val="ListParagraph"/>
              <w:numPr>
                <w:ilvl w:val="2"/>
                <w:numId w:val="70"/>
              </w:numPr>
            </w:pPr>
            <w:r w:rsidRPr="00C50B1B">
              <w:t>security</w:t>
            </w:r>
          </w:p>
          <w:p w:rsidR="004E28FB" w:rsidRPr="00C50B1B" w:rsidRDefault="004E28FB" w:rsidP="009E6C1C">
            <w:pPr>
              <w:pStyle w:val="ListParagraph"/>
              <w:numPr>
                <w:ilvl w:val="2"/>
                <w:numId w:val="70"/>
              </w:numPr>
            </w:pPr>
            <w:r w:rsidRPr="00C50B1B">
              <w:t>access</w:t>
            </w:r>
          </w:p>
          <w:p w:rsidR="004E28FB" w:rsidRPr="00C50B1B" w:rsidRDefault="004E28FB" w:rsidP="009E6C1C">
            <w:pPr>
              <w:pStyle w:val="ListParagraph"/>
              <w:numPr>
                <w:ilvl w:val="2"/>
                <w:numId w:val="70"/>
              </w:numPr>
            </w:pPr>
            <w:r w:rsidRPr="00C50B1B">
              <w:t>availability of electrical power and telephone communications</w:t>
            </w:r>
          </w:p>
          <w:p w:rsidR="004E28FB" w:rsidRPr="00C50B1B" w:rsidRDefault="004E28FB" w:rsidP="009E6C1C">
            <w:pPr>
              <w:pStyle w:val="ListParagraph"/>
              <w:numPr>
                <w:ilvl w:val="2"/>
                <w:numId w:val="70"/>
              </w:numPr>
            </w:pPr>
            <w:r w:rsidRPr="00C50B1B">
              <w:t>visibility of the site in relation to its surroundings</w:t>
            </w:r>
          </w:p>
          <w:p w:rsidR="004E28FB" w:rsidRPr="00C50B1B" w:rsidRDefault="004E28FB" w:rsidP="009E6C1C">
            <w:pPr>
              <w:pStyle w:val="ListParagraph"/>
              <w:numPr>
                <w:ilvl w:val="2"/>
                <w:numId w:val="70"/>
              </w:numPr>
            </w:pPr>
            <w:r w:rsidRPr="00C50B1B">
              <w:t>safety of the public and operators</w:t>
            </w:r>
          </w:p>
          <w:p w:rsidR="004E28FB" w:rsidRPr="00C50B1B" w:rsidRDefault="004E28FB" w:rsidP="009E6C1C">
            <w:pPr>
              <w:pStyle w:val="ListParagraph"/>
              <w:numPr>
                <w:ilvl w:val="2"/>
                <w:numId w:val="70"/>
              </w:numPr>
            </w:pPr>
            <w:r w:rsidRPr="00C50B1B">
              <w:t>the desirability of co-locating sampling points for different pollutants</w:t>
            </w:r>
          </w:p>
          <w:p w:rsidR="004E28FB" w:rsidRPr="00623E33" w:rsidRDefault="004E28FB" w:rsidP="009E6C1C">
            <w:pPr>
              <w:pStyle w:val="ListParagraph"/>
              <w:numPr>
                <w:ilvl w:val="2"/>
                <w:numId w:val="70"/>
              </w:numPr>
              <w:rPr>
                <w:rFonts w:asciiTheme="minorHAnsi" w:hAnsiTheme="minorHAnsi"/>
              </w:rPr>
            </w:pPr>
            <w:proofErr w:type="gramStart"/>
            <w:r w:rsidRPr="00C50B1B">
              <w:t>planning</w:t>
            </w:r>
            <w:proofErr w:type="gramEnd"/>
            <w:r w:rsidRPr="00C50B1B">
              <w:t xml:space="preserve"> requirements.</w:t>
            </w:r>
          </w:p>
        </w:tc>
      </w:tr>
      <w:tr w:rsidR="004E28FB" w:rsidRPr="00623E33" w:rsidTr="00C50B1B">
        <w:tc>
          <w:tcPr>
            <w:tcW w:w="5000" w:type="pct"/>
            <w:shd w:val="clear" w:color="auto" w:fill="auto"/>
            <w:vAlign w:val="center"/>
          </w:tcPr>
          <w:p w:rsidR="004E28FB" w:rsidRPr="00623E33" w:rsidRDefault="004E28FB" w:rsidP="004E28FB">
            <w:pPr>
              <w:spacing w:before="40" w:after="40"/>
              <w:rPr>
                <w:rFonts w:cs="Calibri"/>
                <w:sz w:val="20"/>
              </w:rPr>
            </w:pPr>
            <w:r w:rsidRPr="00623E33">
              <w:rPr>
                <w:rFonts w:cs="Calibri"/>
                <w:sz w:val="20"/>
              </w:rPr>
              <w:t xml:space="preserve">Variation in the Fourth Daughter Directive (2004/107/EC) </w:t>
            </w:r>
            <w:proofErr w:type="spellStart"/>
            <w:r w:rsidRPr="00623E33">
              <w:rPr>
                <w:rFonts w:cs="Calibri"/>
                <w:sz w:val="20"/>
              </w:rPr>
              <w:t>microscale</w:t>
            </w:r>
            <w:proofErr w:type="spellEnd"/>
            <w:r>
              <w:rPr>
                <w:rFonts w:cs="Calibri"/>
                <w:sz w:val="20"/>
              </w:rPr>
              <w:t xml:space="preserve"> </w:t>
            </w:r>
            <w:r w:rsidRPr="00623E33">
              <w:rPr>
                <w:rFonts w:cs="Calibri"/>
                <w:sz w:val="20"/>
              </w:rPr>
              <w:t>siting guideline</w:t>
            </w:r>
          </w:p>
        </w:tc>
      </w:tr>
      <w:tr w:rsidR="004E28FB" w:rsidRPr="00623E33" w:rsidTr="00C50B1B">
        <w:tc>
          <w:tcPr>
            <w:tcW w:w="5000" w:type="pct"/>
            <w:shd w:val="clear" w:color="auto" w:fill="auto"/>
            <w:vAlign w:val="center"/>
          </w:tcPr>
          <w:p w:rsidR="004E28FB" w:rsidRPr="00623E33" w:rsidRDefault="004E28FB" w:rsidP="004E28FB">
            <w:pPr>
              <w:spacing w:before="40" w:after="40"/>
              <w:rPr>
                <w:rFonts w:cs="Calibri"/>
                <w:sz w:val="20"/>
              </w:rPr>
            </w:pPr>
            <w:r w:rsidRPr="00623E33">
              <w:rPr>
                <w:rFonts w:cs="Calibri"/>
                <w:sz w:val="20"/>
              </w:rPr>
              <w:t>For the deposition measurements in rural background areas, the EMEP guidelines and criteria should be applied as far as practicable and therefore have not been specified</w:t>
            </w:r>
            <w:r>
              <w:rPr>
                <w:rFonts w:cs="Calibri"/>
                <w:sz w:val="20"/>
              </w:rPr>
              <w:t xml:space="preserve"> </w:t>
            </w:r>
            <w:r w:rsidRPr="00623E33">
              <w:rPr>
                <w:rFonts w:cs="Calibri"/>
                <w:sz w:val="20"/>
              </w:rPr>
              <w:t>in the Annexes of the fourth daughter directive.</w:t>
            </w:r>
          </w:p>
        </w:tc>
      </w:tr>
      <w:tr w:rsidR="004E28FB" w:rsidRPr="00623E33" w:rsidTr="00C50B1B">
        <w:tc>
          <w:tcPr>
            <w:tcW w:w="5000" w:type="pct"/>
            <w:shd w:val="clear" w:color="auto" w:fill="auto"/>
            <w:vAlign w:val="center"/>
          </w:tcPr>
          <w:p w:rsidR="004E28FB" w:rsidRPr="00623E33" w:rsidRDefault="004E28FB" w:rsidP="004E28FB">
            <w:pPr>
              <w:spacing w:before="40" w:after="40"/>
              <w:rPr>
                <w:rFonts w:cs="Calibri"/>
                <w:sz w:val="20"/>
              </w:rPr>
            </w:pPr>
            <w:r w:rsidRPr="00623E33">
              <w:rPr>
                <w:rFonts w:cs="Calibri"/>
                <w:sz w:val="20"/>
              </w:rPr>
              <w:t xml:space="preserve">Variation in the CAFE Directive (2008/50/EC) </w:t>
            </w:r>
            <w:proofErr w:type="spellStart"/>
            <w:r w:rsidRPr="00623E33">
              <w:rPr>
                <w:rFonts w:cs="Calibri"/>
                <w:sz w:val="20"/>
              </w:rPr>
              <w:t>microscale</w:t>
            </w:r>
            <w:proofErr w:type="spellEnd"/>
            <w:r>
              <w:rPr>
                <w:rFonts w:cs="Calibri"/>
                <w:sz w:val="20"/>
              </w:rPr>
              <w:t xml:space="preserve"> </w:t>
            </w:r>
            <w:r w:rsidRPr="00623E33">
              <w:rPr>
                <w:rFonts w:cs="Calibri"/>
                <w:sz w:val="20"/>
              </w:rPr>
              <w:t>siting guideline</w:t>
            </w:r>
          </w:p>
        </w:tc>
      </w:tr>
      <w:tr w:rsidR="004E28FB" w:rsidRPr="00623E33" w:rsidTr="00C50B1B">
        <w:tc>
          <w:tcPr>
            <w:tcW w:w="5000" w:type="pct"/>
            <w:shd w:val="clear" w:color="auto" w:fill="auto"/>
            <w:vAlign w:val="center"/>
          </w:tcPr>
          <w:p w:rsidR="004E28FB" w:rsidRPr="00623E33" w:rsidRDefault="004E28FB" w:rsidP="004E28FB">
            <w:pPr>
              <w:spacing w:before="40" w:after="40"/>
              <w:rPr>
                <w:rFonts w:cs="Calibri"/>
                <w:sz w:val="20"/>
              </w:rPr>
            </w:pPr>
            <w:r w:rsidRPr="00623E33">
              <w:rPr>
                <w:rFonts w:cs="Calibri"/>
                <w:sz w:val="20"/>
              </w:rPr>
              <w:t>For all pollutants, traffic-orientated sampling probes shall be at least 25m from the edge of major junctions and no more than 10m from the kerbside.</w:t>
            </w:r>
          </w:p>
        </w:tc>
      </w:tr>
    </w:tbl>
    <w:p w:rsidR="004E28FB" w:rsidRPr="00C50B1B" w:rsidRDefault="004E28FB" w:rsidP="00C50B1B">
      <w:pPr>
        <w:pStyle w:val="Heading2"/>
        <w:rPr>
          <w:rStyle w:val="Strong"/>
          <w:b/>
          <w:bCs w:val="0"/>
        </w:rPr>
      </w:pPr>
      <w:bookmarkStart w:id="409" w:name="_Toc383736796"/>
      <w:bookmarkStart w:id="410" w:name="_Toc383738763"/>
      <w:bookmarkStart w:id="411" w:name="_Toc386499779"/>
      <w:bookmarkStart w:id="412" w:name="_Toc386503233"/>
      <w:bookmarkStart w:id="413" w:name="_Toc386503455"/>
      <w:bookmarkStart w:id="414" w:name="_Toc386503616"/>
      <w:bookmarkStart w:id="415" w:name="_Toc386503777"/>
      <w:bookmarkStart w:id="416" w:name="_Toc386503938"/>
      <w:bookmarkStart w:id="417" w:name="_Toc383738764"/>
      <w:bookmarkStart w:id="418" w:name="_Toc392598878"/>
      <w:bookmarkEnd w:id="409"/>
      <w:bookmarkEnd w:id="410"/>
      <w:bookmarkEnd w:id="411"/>
      <w:bookmarkEnd w:id="412"/>
      <w:bookmarkEnd w:id="413"/>
      <w:bookmarkEnd w:id="414"/>
      <w:bookmarkEnd w:id="415"/>
      <w:bookmarkEnd w:id="416"/>
      <w:r w:rsidRPr="00C50B1B">
        <w:rPr>
          <w:rStyle w:val="Strong"/>
          <w:b/>
          <w:bCs w:val="0"/>
        </w:rPr>
        <w:t>Minimum number of sampling points for each relevant pollutant specified in both Directives</w:t>
      </w:r>
      <w:bookmarkEnd w:id="417"/>
      <w:bookmarkEnd w:id="418"/>
    </w:p>
    <w:p w:rsidR="000E313D" w:rsidRDefault="000E313D" w:rsidP="000E313D">
      <w:pPr>
        <w:pStyle w:val="Heading3"/>
      </w:pPr>
      <w:bookmarkStart w:id="419" w:name="_Toc392596375"/>
      <w:r>
        <w:t>Minimum number</w:t>
      </w:r>
      <w:r w:rsidRPr="000E313D">
        <w:t xml:space="preserve"> of sampling points per zone / agglomeration</w:t>
      </w:r>
      <w:bookmarkEnd w:id="419"/>
    </w:p>
    <w:p w:rsidR="004E28FB" w:rsidRDefault="004E28FB" w:rsidP="000E313D">
      <w:r>
        <w:t>The minimum number of sampling points within a zone or agglomeration is</w:t>
      </w:r>
      <w:r w:rsidRPr="00623E33">
        <w:t xml:space="preserve"> </w:t>
      </w:r>
      <w:r>
        <w:t xml:space="preserve">specified in </w:t>
      </w:r>
      <w:r w:rsidRPr="00623E33">
        <w:t xml:space="preserve">Annex V </w:t>
      </w:r>
      <w:r>
        <w:t xml:space="preserve">and IX </w:t>
      </w:r>
      <w:r w:rsidRPr="00623E33">
        <w:t>of CAFE-Directive 2008/50/EC and section IV Annex III of 4th Daughter Directive 2004/107/EC Directives (Tables 3-</w:t>
      </w:r>
      <w:r>
        <w:t>5</w:t>
      </w:r>
      <w:r w:rsidRPr="00623E33">
        <w:t xml:space="preserve"> and 3</w:t>
      </w:r>
      <w:r>
        <w:t>-6</w:t>
      </w:r>
      <w:r w:rsidRPr="00623E33">
        <w:t>).</w:t>
      </w:r>
      <w:r>
        <w:t xml:space="preserve"> Minimum numbers of sampling points per zone / agglomeration are:</w:t>
      </w:r>
    </w:p>
    <w:p w:rsidR="004E28FB" w:rsidRPr="000E313D" w:rsidRDefault="004E28FB" w:rsidP="000E313D">
      <w:pPr>
        <w:pStyle w:val="ListParagraph"/>
      </w:pPr>
      <w:r w:rsidRPr="000E313D">
        <w:t>1 for pollutants NO</w:t>
      </w:r>
      <w:r w:rsidRPr="005E35E7">
        <w:rPr>
          <w:vertAlign w:val="subscript"/>
        </w:rPr>
        <w:t>2</w:t>
      </w:r>
      <w:r w:rsidRPr="000E313D">
        <w:t>, SO</w:t>
      </w:r>
      <w:r w:rsidRPr="005E35E7">
        <w:rPr>
          <w:vertAlign w:val="subscript"/>
        </w:rPr>
        <w:t>2</w:t>
      </w:r>
      <w:r w:rsidRPr="000E313D">
        <w:t xml:space="preserve">, CO, </w:t>
      </w:r>
      <w:proofErr w:type="spellStart"/>
      <w:r w:rsidRPr="000E313D">
        <w:t>Pb</w:t>
      </w:r>
      <w:proofErr w:type="spellEnd"/>
      <w:r w:rsidRPr="000E313D">
        <w:t>, Benzene</w:t>
      </w:r>
    </w:p>
    <w:p w:rsidR="004E28FB" w:rsidRPr="000E313D" w:rsidRDefault="004E28FB" w:rsidP="000E313D">
      <w:pPr>
        <w:pStyle w:val="ListParagraph"/>
      </w:pPr>
      <w:r w:rsidRPr="000E313D">
        <w:t>2 for PM</w:t>
      </w:r>
      <w:r w:rsidRPr="005E35E7">
        <w:rPr>
          <w:vertAlign w:val="subscript"/>
        </w:rPr>
        <w:t>10</w:t>
      </w:r>
      <w:r w:rsidRPr="000E313D">
        <w:t xml:space="preserve"> and PM2.5</w:t>
      </w:r>
    </w:p>
    <w:p w:rsidR="004E28FB" w:rsidRPr="000E313D" w:rsidRDefault="004E28FB" w:rsidP="000E313D">
      <w:pPr>
        <w:pStyle w:val="ListParagraph"/>
      </w:pPr>
      <w:r w:rsidRPr="000E313D">
        <w:lastRenderedPageBreak/>
        <w:t xml:space="preserve">1 for Cd, Ni, and As, and </w:t>
      </w:r>
    </w:p>
    <w:p w:rsidR="004E28FB" w:rsidRPr="000E313D" w:rsidRDefault="004E28FB" w:rsidP="000E313D">
      <w:pPr>
        <w:pStyle w:val="ListParagraph"/>
      </w:pPr>
      <w:r w:rsidRPr="000E313D">
        <w:t>1 for B(a)P</w:t>
      </w:r>
    </w:p>
    <w:p w:rsidR="004E28FB" w:rsidRDefault="004E28FB" w:rsidP="004E28FB">
      <w:pPr>
        <w:shd w:val="clear" w:color="auto" w:fill="FFFFFF"/>
        <w:spacing w:before="120" w:after="120" w:line="240" w:lineRule="auto"/>
        <w:rPr>
          <w:rFonts w:cs="Arial"/>
          <w:color w:val="000000" w:themeColor="text1"/>
        </w:rPr>
      </w:pPr>
      <w:r>
        <w:rPr>
          <w:rFonts w:cs="Arial"/>
          <w:color w:val="000000" w:themeColor="text1"/>
        </w:rPr>
        <w:t xml:space="preserve">All of the above are </w:t>
      </w:r>
      <w:r w:rsidR="00C50B1B">
        <w:rPr>
          <w:rFonts w:cs="Arial"/>
          <w:color w:val="000000" w:themeColor="text1"/>
        </w:rPr>
        <w:t>dependent</w:t>
      </w:r>
      <w:r>
        <w:rPr>
          <w:rFonts w:cs="Arial"/>
          <w:color w:val="000000" w:themeColor="text1"/>
        </w:rPr>
        <w:t xml:space="preserve"> upon whether pollutants concentrations are above or below upper assessment threshold or above or below lower assessment thresholds. In addition the number of monitoring sites is indirectly proportional to the population size of the zone / agglomeration.</w:t>
      </w:r>
    </w:p>
    <w:p w:rsidR="004E28FB" w:rsidRDefault="004E28FB" w:rsidP="000E313D">
      <w:r>
        <w:t>However the minimum number of ozone sample points is:</w:t>
      </w:r>
    </w:p>
    <w:p w:rsidR="004E28FB" w:rsidRPr="000E313D" w:rsidRDefault="004E28FB" w:rsidP="000E313D">
      <w:pPr>
        <w:pStyle w:val="ListParagraph"/>
      </w:pPr>
      <w:r w:rsidRPr="000E313D">
        <w:t>1 for zones which have a population greater than 250,000 and are deemed to be either suburban or rural areas;</w:t>
      </w:r>
    </w:p>
    <w:p w:rsidR="004E28FB" w:rsidRPr="000E313D" w:rsidRDefault="004E28FB" w:rsidP="000E313D">
      <w:pPr>
        <w:pStyle w:val="ListParagraph"/>
      </w:pPr>
      <w:r w:rsidRPr="000E313D">
        <w:t>1 for an agglomerations which have a population greater than 500,000 and are deemed to be either urban or suburban;</w:t>
      </w:r>
    </w:p>
    <w:p w:rsidR="004E28FB" w:rsidRPr="000E313D" w:rsidRDefault="004E28FB" w:rsidP="000E313D">
      <w:pPr>
        <w:pStyle w:val="ListParagraph"/>
      </w:pPr>
      <w:r w:rsidRPr="000E313D">
        <w:t>1 rural background station per 50,000</w:t>
      </w:r>
      <w:r w:rsidR="005E35E7">
        <w:t xml:space="preserve"> </w:t>
      </w:r>
      <w:r w:rsidRPr="000E313D">
        <w:t>km</w:t>
      </w:r>
      <w:r w:rsidRPr="005E35E7">
        <w:rPr>
          <w:vertAlign w:val="superscript"/>
        </w:rPr>
        <w:t>2</w:t>
      </w:r>
      <w:r w:rsidRPr="000E313D">
        <w:t xml:space="preserve"> of member state land area;</w:t>
      </w:r>
    </w:p>
    <w:p w:rsidR="004E28FB" w:rsidRPr="000E313D" w:rsidRDefault="004E28FB" w:rsidP="000E313D">
      <w:pPr>
        <w:pStyle w:val="ListParagraph"/>
      </w:pPr>
      <w:r w:rsidRPr="000E313D">
        <w:t>1 rural background station per 25,000</w:t>
      </w:r>
      <w:r w:rsidR="00226319">
        <w:t xml:space="preserve"> </w:t>
      </w:r>
      <w:r w:rsidRPr="000E313D">
        <w:t>km</w:t>
      </w:r>
      <w:r w:rsidRPr="005E35E7">
        <w:rPr>
          <w:vertAlign w:val="superscript"/>
        </w:rPr>
        <w:t>2</w:t>
      </w:r>
      <w:r w:rsidRPr="000E313D">
        <w:t xml:space="preserve"> of complex terrain in member state land area;</w:t>
      </w:r>
    </w:p>
    <w:p w:rsidR="004E28FB" w:rsidRPr="00C50B1B" w:rsidRDefault="004E28FB" w:rsidP="000E313D">
      <w:pPr>
        <w:pStyle w:val="ListParagraph"/>
      </w:pPr>
      <w:r w:rsidRPr="000E313D">
        <w:t>1 rural background station per 100,000</w:t>
      </w:r>
      <w:r w:rsidR="00226319">
        <w:t xml:space="preserve"> </w:t>
      </w:r>
      <w:r w:rsidRPr="000E313D">
        <w:t>km</w:t>
      </w:r>
      <w:r w:rsidRPr="005E35E7">
        <w:rPr>
          <w:vertAlign w:val="superscript"/>
        </w:rPr>
        <w:t>2</w:t>
      </w:r>
      <w:r w:rsidRPr="000E313D">
        <w:t xml:space="preserve"> of member state land area, where long-term objective</w:t>
      </w:r>
      <w:r w:rsidRPr="00C50B1B">
        <w:t xml:space="preserve"> is met.</w:t>
      </w:r>
    </w:p>
    <w:p w:rsidR="004E28FB" w:rsidRDefault="004E28FB" w:rsidP="000E313D">
      <w:r>
        <w:t xml:space="preserve">Where the long-term objective is met within a </w:t>
      </w:r>
      <w:r w:rsidRPr="00E40AE6">
        <w:t>zone</w:t>
      </w:r>
      <w:r>
        <w:t xml:space="preserve"> or a</w:t>
      </w:r>
      <w:r w:rsidRPr="00E40AE6">
        <w:t>gglomeration</w:t>
      </w:r>
      <w:r>
        <w:t xml:space="preserve"> the m</w:t>
      </w:r>
      <w:r w:rsidRPr="00E40AE6">
        <w:t>inimum</w:t>
      </w:r>
      <w:r>
        <w:t xml:space="preserve"> </w:t>
      </w:r>
      <w:r w:rsidRPr="00E40AE6">
        <w:t>number</w:t>
      </w:r>
      <w:r>
        <w:t xml:space="preserve"> </w:t>
      </w:r>
      <w:r w:rsidRPr="00E40AE6">
        <w:t>of</w:t>
      </w:r>
      <w:r>
        <w:t xml:space="preserve"> </w:t>
      </w:r>
      <w:r w:rsidRPr="00E40AE6">
        <w:t>sampling</w:t>
      </w:r>
      <w:r>
        <w:t xml:space="preserve"> </w:t>
      </w:r>
      <w:r w:rsidRPr="00E40AE6">
        <w:t>points</w:t>
      </w:r>
      <w:r>
        <w:t xml:space="preserve"> </w:t>
      </w:r>
      <w:r w:rsidRPr="00E40AE6">
        <w:t>for</w:t>
      </w:r>
      <w:r>
        <w:t xml:space="preserve"> </w:t>
      </w:r>
      <w:r w:rsidRPr="00E40AE6">
        <w:t>fixed</w:t>
      </w:r>
      <w:r>
        <w:t xml:space="preserve"> </w:t>
      </w:r>
      <w:r w:rsidRPr="00E40AE6">
        <w:t>measurements</w:t>
      </w:r>
      <w:r>
        <w:t xml:space="preserve"> can be reduced to one a third of that stated above.</w:t>
      </w:r>
      <w:bookmarkStart w:id="420" w:name="_Toc383736798"/>
      <w:bookmarkStart w:id="421" w:name="_Toc383738765"/>
      <w:bookmarkStart w:id="422" w:name="_Toc383764332"/>
      <w:bookmarkStart w:id="423" w:name="_Toc383736799"/>
      <w:bookmarkStart w:id="424" w:name="_Toc383738766"/>
      <w:bookmarkStart w:id="425" w:name="_Toc383764333"/>
      <w:bookmarkStart w:id="426" w:name="_Toc383738767"/>
      <w:bookmarkEnd w:id="420"/>
      <w:bookmarkEnd w:id="421"/>
      <w:bookmarkEnd w:id="422"/>
      <w:bookmarkEnd w:id="423"/>
      <w:bookmarkEnd w:id="424"/>
      <w:bookmarkEnd w:id="425"/>
    </w:p>
    <w:p w:rsidR="004E28FB" w:rsidRPr="003C5124" w:rsidRDefault="004E28FB" w:rsidP="000E313D">
      <w:pPr>
        <w:pStyle w:val="Heading3"/>
      </w:pPr>
      <w:bookmarkStart w:id="427" w:name="_Toc392596376"/>
      <w:r w:rsidRPr="003C5124">
        <w:t>Minimum number of diffuse source sampling points</w:t>
      </w:r>
      <w:bookmarkStart w:id="428" w:name="_Toc383738768"/>
      <w:bookmarkEnd w:id="426"/>
      <w:bookmarkEnd w:id="427"/>
      <w:bookmarkEnd w:id="428"/>
    </w:p>
    <w:p w:rsidR="004E28FB" w:rsidRDefault="004E28FB" w:rsidP="000E313D">
      <w:r w:rsidRPr="000E313D">
        <w:t>Both the CAFE and 4th Daughter Directives have specific criteria for a minimum number of diffuse sources sampling points in zones and agglomerations, where fixed measurements are the sole source</w:t>
      </w:r>
      <w:r w:rsidRPr="00623E33">
        <w:t xml:space="preserve"> of information, in order to assess compliance with the following:</w:t>
      </w:r>
    </w:p>
    <w:p w:rsidR="004E28FB" w:rsidRPr="000E313D" w:rsidRDefault="004E28FB" w:rsidP="000E313D">
      <w:pPr>
        <w:pStyle w:val="ListParagraph"/>
      </w:pPr>
      <w:r w:rsidRPr="000E313D">
        <w:t>Limit values for NO</w:t>
      </w:r>
      <w:r w:rsidRPr="005E35E7">
        <w:rPr>
          <w:vertAlign w:val="subscript"/>
        </w:rPr>
        <w:t>2</w:t>
      </w:r>
      <w:r w:rsidRPr="000E313D">
        <w:t xml:space="preserve">, CO, </w:t>
      </w:r>
      <w:r w:rsidR="005E35E7" w:rsidRPr="000E313D">
        <w:t>PM</w:t>
      </w:r>
      <w:r w:rsidR="005E35E7" w:rsidRPr="005E35E7">
        <w:rPr>
          <w:vertAlign w:val="subscript"/>
        </w:rPr>
        <w:t>10</w:t>
      </w:r>
      <w:r w:rsidRPr="000E313D">
        <w:t xml:space="preserve">, </w:t>
      </w:r>
      <w:proofErr w:type="spellStart"/>
      <w:r w:rsidRPr="000E313D">
        <w:t>Pb</w:t>
      </w:r>
      <w:proofErr w:type="spellEnd"/>
      <w:r w:rsidRPr="000E313D">
        <w:t>, SO</w:t>
      </w:r>
      <w:r w:rsidRPr="005E35E7">
        <w:rPr>
          <w:vertAlign w:val="subscript"/>
        </w:rPr>
        <w:t>2</w:t>
      </w:r>
      <w:r w:rsidRPr="000E313D">
        <w:t>, Benzene</w:t>
      </w:r>
    </w:p>
    <w:p w:rsidR="004E28FB" w:rsidRPr="000E313D" w:rsidRDefault="004E28FB" w:rsidP="000E313D">
      <w:pPr>
        <w:pStyle w:val="ListParagraph"/>
      </w:pPr>
      <w:r w:rsidRPr="000E313D">
        <w:t>PM</w:t>
      </w:r>
      <w:r w:rsidRPr="005E35E7">
        <w:rPr>
          <w:vertAlign w:val="subscript"/>
        </w:rPr>
        <w:t>2.5</w:t>
      </w:r>
      <w:r w:rsidRPr="000E313D">
        <w:t xml:space="preserve"> exposure</w:t>
      </w:r>
    </w:p>
    <w:p w:rsidR="004E28FB" w:rsidRPr="000E313D" w:rsidRDefault="004E28FB" w:rsidP="000E313D">
      <w:pPr>
        <w:pStyle w:val="ListParagraph"/>
      </w:pPr>
      <w:r w:rsidRPr="000E313D">
        <w:t>Target values for As, Cd, Ni &amp; B(a)P</w:t>
      </w:r>
    </w:p>
    <w:p w:rsidR="004E28FB" w:rsidRPr="00623E33" w:rsidRDefault="004E28FB" w:rsidP="000E313D">
      <w:pPr>
        <w:pStyle w:val="ListParagraph"/>
        <w:rPr>
          <w:rFonts w:asciiTheme="minorHAnsi" w:hAnsiTheme="minorHAnsi"/>
        </w:rPr>
      </w:pPr>
      <w:r w:rsidRPr="000E313D">
        <w:t>Target values for Ozone</w:t>
      </w:r>
    </w:p>
    <w:p w:rsidR="004E28FB" w:rsidRDefault="004E28FB" w:rsidP="000E313D">
      <w:r w:rsidRPr="00623E33">
        <w:t>When monitoring for nitrogen dioxide, particulate matter, benzene and carbon monoxide where upper assessment threshold have been exceeded, it is a requirement that at least one urban background monitoring station and one traffic-orientated station are in place. Though this is only a requirement when there are two or more fixed sampling points.</w:t>
      </w:r>
    </w:p>
    <w:p w:rsidR="004E28FB" w:rsidRDefault="004E28FB" w:rsidP="000E313D">
      <w:r w:rsidRPr="00623E33">
        <w:t xml:space="preserve">In any </w:t>
      </w:r>
      <w:r>
        <w:t>m</w:t>
      </w:r>
      <w:r w:rsidRPr="00623E33">
        <w:t>ember state when monitoring nitrogen dioxide, particulate matter, benzene and carbon monoxide, the total number of urban-background stations sampling diffuse sources and the total number of traffic oriented stations shall not differ by more than a factor of 2.</w:t>
      </w:r>
    </w:p>
    <w:p w:rsidR="004E28FB" w:rsidRPr="00623E33" w:rsidRDefault="004E28FB" w:rsidP="000E313D">
      <w:r w:rsidRPr="00623E33">
        <w:t>Sampling points must be maintained if the limit value for PM</w:t>
      </w:r>
      <w:r w:rsidRPr="00A9520C">
        <w:rPr>
          <w:vertAlign w:val="subscript"/>
        </w:rPr>
        <w:t>10</w:t>
      </w:r>
      <w:r w:rsidRPr="00623E33">
        <w:t xml:space="preserve"> has been exceeded within the last three years, unless location is necessary owing to special circumstances, in particular spatial development.</w:t>
      </w:r>
    </w:p>
    <w:p w:rsidR="004E28FB" w:rsidRPr="00623E33" w:rsidRDefault="004E28FB" w:rsidP="000E313D">
      <w:r w:rsidRPr="00623E33">
        <w:t>Where PM</w:t>
      </w:r>
      <w:r w:rsidRPr="00A9520C">
        <w:rPr>
          <w:vertAlign w:val="subscript"/>
        </w:rPr>
        <w:t xml:space="preserve">2.5 </w:t>
      </w:r>
      <w:r w:rsidRPr="00623E33">
        <w:t>and PM</w:t>
      </w:r>
      <w:r w:rsidRPr="00A9520C">
        <w:rPr>
          <w:vertAlign w:val="subscript"/>
        </w:rPr>
        <w:t>10</w:t>
      </w:r>
      <w:r w:rsidRPr="00623E33">
        <w:t xml:space="preserve"> are being measured at the same rural background locations these measurements shall count as two separate sampling points. </w:t>
      </w:r>
    </w:p>
    <w:p w:rsidR="004E28FB" w:rsidRPr="00623E33" w:rsidRDefault="004E28FB" w:rsidP="000E313D">
      <w:r w:rsidRPr="00623E33">
        <w:t>The total number of PM</w:t>
      </w:r>
      <w:r w:rsidRPr="00A9520C">
        <w:rPr>
          <w:vertAlign w:val="subscript"/>
        </w:rPr>
        <w:t xml:space="preserve">2.5 </w:t>
      </w:r>
      <w:r w:rsidRPr="00623E33">
        <w:t>and PM</w:t>
      </w:r>
      <w:r w:rsidRPr="00A9520C">
        <w:rPr>
          <w:vertAlign w:val="subscript"/>
        </w:rPr>
        <w:t>10</w:t>
      </w:r>
      <w:r w:rsidRPr="00623E33">
        <w:t xml:space="preserve"> sampling points in a </w:t>
      </w:r>
      <w:r>
        <w:t>m</w:t>
      </w:r>
      <w:r w:rsidRPr="00623E33">
        <w:t xml:space="preserve">ember </w:t>
      </w:r>
      <w:r>
        <w:t>s</w:t>
      </w:r>
      <w:r w:rsidRPr="00623E33">
        <w:t xml:space="preserve">tate required under Section </w:t>
      </w:r>
      <w:proofErr w:type="gramStart"/>
      <w:r w:rsidRPr="00623E33">
        <w:t>A</w:t>
      </w:r>
      <w:proofErr w:type="gramEnd"/>
      <w:r w:rsidRPr="00623E33">
        <w:t xml:space="preserve"> (1) shall not differ by more than a factor of 2.</w:t>
      </w:r>
    </w:p>
    <w:p w:rsidR="004E28FB" w:rsidRDefault="004E28FB" w:rsidP="000E313D">
      <w:r w:rsidRPr="00623E33">
        <w:lastRenderedPageBreak/>
        <w:t xml:space="preserve">When monitoring for As, Cd, Ni and </w:t>
      </w:r>
      <w:proofErr w:type="gramStart"/>
      <w:r w:rsidRPr="00623E33">
        <w:t>B(</w:t>
      </w:r>
      <w:proofErr w:type="gramEnd"/>
      <w:r w:rsidRPr="00623E33">
        <w:t xml:space="preserve">a)P at least one urban-background station should be included. When monitoring for </w:t>
      </w:r>
      <w:proofErr w:type="gramStart"/>
      <w:r w:rsidRPr="00623E33">
        <w:t>B(</w:t>
      </w:r>
      <w:proofErr w:type="gramEnd"/>
      <w:r w:rsidRPr="00623E33">
        <w:t>a)P at two or more sample sites then one traffic-oriented station should be included.</w:t>
      </w:r>
    </w:p>
    <w:p w:rsidR="004E28FB" w:rsidRPr="00C2371D" w:rsidRDefault="004E28FB" w:rsidP="00581A85">
      <w:pPr>
        <w:pStyle w:val="TOC1"/>
      </w:pPr>
      <w:r w:rsidRPr="00623E33">
        <w:t xml:space="preserve">Table </w:t>
      </w:r>
      <w:r w:rsidR="005101F7">
        <w:fldChar w:fldCharType="begin"/>
      </w:r>
      <w:r w:rsidR="005101F7">
        <w:instrText xml:space="preserve"> STYLEREF 1 \s </w:instrText>
      </w:r>
      <w:r w:rsidR="005101F7">
        <w:fldChar w:fldCharType="separate"/>
      </w:r>
      <w:r>
        <w:rPr>
          <w:noProof/>
        </w:rPr>
        <w:t>2</w:t>
      </w:r>
      <w:r w:rsidR="005101F7">
        <w:rPr>
          <w:noProof/>
        </w:rPr>
        <w:fldChar w:fldCharType="end"/>
      </w:r>
      <w:r>
        <w:noBreakHyphen/>
        <w:t xml:space="preserve">5 </w:t>
      </w:r>
      <w:r w:rsidRPr="00623E33">
        <w:t>Minimum Number of Sample Points for Diffuse Sources within an agglomeration or zone</w:t>
      </w:r>
      <w:r>
        <w:t xml:space="preserve"> </w:t>
      </w:r>
      <w:r w:rsidRPr="00623E33">
        <w:t xml:space="preserve">required under both </w:t>
      </w:r>
      <w:r w:rsidRPr="00994089">
        <w:t>2008/50/EC</w:t>
      </w:r>
      <w:r>
        <w:t xml:space="preserve"> </w:t>
      </w:r>
      <w:r w:rsidRPr="00623E33">
        <w:t xml:space="preserve">(Annex </w:t>
      </w:r>
      <w:r>
        <w:t xml:space="preserve">V) </w:t>
      </w:r>
      <w:r w:rsidRPr="00623E33">
        <w:t>and 2004/107/EC (Annex V</w:t>
      </w:r>
      <w:r>
        <w:t>)</w:t>
      </w:r>
    </w:p>
    <w:tbl>
      <w:tblPr>
        <w:tblStyle w:val="TableGrid"/>
        <w:tblW w:w="5000" w:type="pct"/>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12" w:space="0" w:color="76923C" w:themeColor="accent3" w:themeShade="BF"/>
          <w:insideV w:val="single" w:sz="12" w:space="0" w:color="76923C" w:themeColor="accent3" w:themeShade="BF"/>
        </w:tblBorders>
        <w:tblLook w:val="04A0" w:firstRow="1" w:lastRow="0" w:firstColumn="1" w:lastColumn="0" w:noHBand="0" w:noVBand="1"/>
      </w:tblPr>
      <w:tblGrid>
        <w:gridCol w:w="1594"/>
        <w:gridCol w:w="1183"/>
        <w:gridCol w:w="1134"/>
        <w:gridCol w:w="848"/>
        <w:gridCol w:w="848"/>
        <w:gridCol w:w="1183"/>
        <w:gridCol w:w="1135"/>
        <w:gridCol w:w="848"/>
        <w:gridCol w:w="848"/>
      </w:tblGrid>
      <w:tr w:rsidR="004E28FB" w:rsidRPr="00623E33" w:rsidTr="00C50B1B">
        <w:trPr>
          <w:trHeight w:val="422"/>
        </w:trPr>
        <w:tc>
          <w:tcPr>
            <w:tcW w:w="5000" w:type="pct"/>
            <w:gridSpan w:val="9"/>
            <w:shd w:val="clear" w:color="auto" w:fill="1F497D" w:themeFill="text2"/>
            <w:vAlign w:val="center"/>
          </w:tcPr>
          <w:p w:rsidR="004E28FB" w:rsidRPr="00E61DBA" w:rsidRDefault="004E28FB" w:rsidP="00B16DB1">
            <w:pPr>
              <w:keepNext/>
              <w:keepLines/>
              <w:jc w:val="center"/>
              <w:rPr>
                <w:rFonts w:cs="Arial"/>
                <w:b/>
                <w:color w:val="FFFFFF" w:themeColor="background1"/>
                <w:sz w:val="20"/>
              </w:rPr>
            </w:pPr>
            <w:r w:rsidRPr="00E61DBA">
              <w:rPr>
                <w:rFonts w:cs="Arial"/>
                <w:b/>
                <w:color w:val="FFFFFF" w:themeColor="background1"/>
                <w:sz w:val="20"/>
              </w:rPr>
              <w:t>Minimum Number of Sample Points for Diffuse Sources within an agglomeration or zone</w:t>
            </w:r>
          </w:p>
        </w:tc>
      </w:tr>
      <w:tr w:rsidR="004E28FB" w:rsidRPr="00623E33" w:rsidTr="00C50B1B">
        <w:tc>
          <w:tcPr>
            <w:tcW w:w="804" w:type="pct"/>
            <w:vMerge w:val="restart"/>
            <w:shd w:val="clear" w:color="auto" w:fill="1F497D" w:themeFill="text2"/>
            <w:vAlign w:val="center"/>
          </w:tcPr>
          <w:p w:rsidR="004E28FB" w:rsidRPr="00E61DBA" w:rsidRDefault="004E28FB" w:rsidP="00B16DB1">
            <w:pPr>
              <w:keepNext/>
              <w:keepLines/>
              <w:jc w:val="center"/>
              <w:rPr>
                <w:rFonts w:cs="Arial"/>
                <w:b/>
                <w:color w:val="FFFFFF" w:themeColor="background1"/>
                <w:sz w:val="20"/>
              </w:rPr>
            </w:pPr>
            <w:r w:rsidRPr="00E61DBA">
              <w:rPr>
                <w:rFonts w:cs="Arial"/>
                <w:b/>
                <w:color w:val="FFFFFF" w:themeColor="background1"/>
                <w:sz w:val="20"/>
              </w:rPr>
              <w:t>Population of agglomeration or zone (thousands)</w:t>
            </w:r>
          </w:p>
        </w:tc>
        <w:tc>
          <w:tcPr>
            <w:tcW w:w="2098" w:type="pct"/>
            <w:gridSpan w:val="4"/>
            <w:shd w:val="clear" w:color="auto" w:fill="1F497D" w:themeFill="text2"/>
            <w:vAlign w:val="center"/>
          </w:tcPr>
          <w:p w:rsidR="004E28FB" w:rsidRPr="00E61DBA" w:rsidRDefault="004E28FB" w:rsidP="00B16DB1">
            <w:pPr>
              <w:keepNext/>
              <w:keepLines/>
              <w:jc w:val="center"/>
              <w:rPr>
                <w:rFonts w:cs="Arial"/>
                <w:b/>
                <w:color w:val="FFFFFF" w:themeColor="background1"/>
                <w:sz w:val="20"/>
              </w:rPr>
            </w:pPr>
            <w:r w:rsidRPr="00E61DBA">
              <w:rPr>
                <w:rFonts w:cs="Arial"/>
                <w:b/>
                <w:color w:val="FFFFFF" w:themeColor="background1"/>
                <w:sz w:val="20"/>
              </w:rPr>
              <w:t>If maximum concentrations exceed the upper assessment threshold</w:t>
            </w:r>
          </w:p>
        </w:tc>
        <w:tc>
          <w:tcPr>
            <w:tcW w:w="2098" w:type="pct"/>
            <w:gridSpan w:val="4"/>
            <w:shd w:val="clear" w:color="auto" w:fill="1F497D" w:themeFill="text2"/>
            <w:vAlign w:val="center"/>
          </w:tcPr>
          <w:p w:rsidR="004E28FB" w:rsidRPr="00E61DBA" w:rsidRDefault="004E28FB" w:rsidP="00E61DBA">
            <w:pPr>
              <w:keepNext/>
              <w:keepLines/>
              <w:jc w:val="center"/>
              <w:rPr>
                <w:rFonts w:cs="Arial"/>
                <w:b/>
                <w:color w:val="FFFFFF" w:themeColor="background1"/>
                <w:sz w:val="20"/>
              </w:rPr>
            </w:pPr>
            <w:r w:rsidRPr="00E61DBA">
              <w:rPr>
                <w:rFonts w:cs="Arial"/>
                <w:b/>
                <w:color w:val="FFFFFF" w:themeColor="background1"/>
                <w:sz w:val="20"/>
              </w:rPr>
              <w:t xml:space="preserve">If maximum concentrations are between the </w:t>
            </w:r>
            <w:r w:rsidR="00E61DBA">
              <w:rPr>
                <w:rFonts w:cs="Arial"/>
                <w:b/>
                <w:color w:val="FFFFFF" w:themeColor="background1"/>
                <w:sz w:val="20"/>
              </w:rPr>
              <w:t>u</w:t>
            </w:r>
            <w:r w:rsidRPr="00E61DBA">
              <w:rPr>
                <w:rFonts w:cs="Arial"/>
                <w:b/>
                <w:color w:val="FFFFFF" w:themeColor="background1"/>
                <w:sz w:val="20"/>
              </w:rPr>
              <w:t>pper and lower assessment thresholds</w:t>
            </w:r>
          </w:p>
        </w:tc>
      </w:tr>
      <w:tr w:rsidR="004E28FB" w:rsidRPr="00623E33" w:rsidTr="00C50B1B">
        <w:tc>
          <w:tcPr>
            <w:tcW w:w="804" w:type="pct"/>
            <w:vMerge/>
            <w:shd w:val="clear" w:color="auto" w:fill="1F497D" w:themeFill="text2"/>
            <w:vAlign w:val="center"/>
          </w:tcPr>
          <w:p w:rsidR="004E28FB" w:rsidRPr="00262858" w:rsidRDefault="004E28FB" w:rsidP="00B16DB1">
            <w:pPr>
              <w:keepNext/>
              <w:keepLines/>
              <w:jc w:val="center"/>
              <w:rPr>
                <w:rFonts w:cs="Arial"/>
                <w:color w:val="FFFFFF" w:themeColor="background1"/>
                <w:sz w:val="20"/>
              </w:rPr>
            </w:pPr>
            <w:bookmarkStart w:id="429" w:name="_Toc383738769"/>
            <w:bookmarkStart w:id="430" w:name="_Toc383784831"/>
            <w:bookmarkStart w:id="431" w:name="_Toc386503457"/>
            <w:bookmarkStart w:id="432" w:name="_Toc386503940"/>
            <w:bookmarkEnd w:id="429"/>
            <w:bookmarkEnd w:id="430"/>
            <w:bookmarkEnd w:id="431"/>
            <w:bookmarkEnd w:id="432"/>
          </w:p>
        </w:tc>
        <w:tc>
          <w:tcPr>
            <w:tcW w:w="599" w:type="pct"/>
            <w:shd w:val="clear" w:color="auto" w:fill="1F497D" w:themeFill="text2"/>
            <w:vAlign w:val="center"/>
          </w:tcPr>
          <w:p w:rsidR="004E28FB" w:rsidRPr="00E61DBA" w:rsidRDefault="004E28FB" w:rsidP="00B16DB1">
            <w:pPr>
              <w:keepNext/>
              <w:keepLines/>
              <w:jc w:val="center"/>
              <w:rPr>
                <w:rFonts w:cs="Arial"/>
                <w:b/>
                <w:color w:val="FFFFFF" w:themeColor="background1"/>
                <w:sz w:val="20"/>
              </w:rPr>
            </w:pPr>
            <w:r w:rsidRPr="00E61DBA">
              <w:rPr>
                <w:rFonts w:cs="Arial"/>
                <w:b/>
                <w:color w:val="FFFFFF" w:themeColor="background1"/>
                <w:sz w:val="20"/>
              </w:rPr>
              <w:t>Pollutants except PM</w:t>
            </w:r>
          </w:p>
        </w:tc>
        <w:tc>
          <w:tcPr>
            <w:tcW w:w="599" w:type="pct"/>
            <w:shd w:val="clear" w:color="auto" w:fill="1F497D" w:themeFill="text2"/>
            <w:vAlign w:val="center"/>
          </w:tcPr>
          <w:p w:rsidR="004E28FB" w:rsidRPr="00E61DBA" w:rsidRDefault="004E28FB" w:rsidP="00B16DB1">
            <w:pPr>
              <w:keepNext/>
              <w:keepLines/>
              <w:jc w:val="center"/>
              <w:rPr>
                <w:rFonts w:cs="Arial"/>
                <w:b/>
                <w:color w:val="FFFFFF" w:themeColor="background1"/>
                <w:sz w:val="20"/>
              </w:rPr>
            </w:pPr>
            <w:r w:rsidRPr="00E61DBA">
              <w:rPr>
                <w:rFonts w:cs="Arial"/>
                <w:b/>
                <w:color w:val="FFFFFF" w:themeColor="background1"/>
                <w:sz w:val="20"/>
              </w:rPr>
              <w:t>PM (2) (sum of PM</w:t>
            </w:r>
            <w:r w:rsidRPr="00E61DBA">
              <w:rPr>
                <w:rFonts w:cs="Arial"/>
                <w:b/>
                <w:color w:val="FFFFFF" w:themeColor="background1"/>
                <w:sz w:val="20"/>
                <w:vertAlign w:val="subscript"/>
              </w:rPr>
              <w:t>10</w:t>
            </w:r>
            <w:r w:rsidRPr="00E61DBA">
              <w:rPr>
                <w:rFonts w:cs="Arial"/>
                <w:b/>
                <w:color w:val="FFFFFF" w:themeColor="background1"/>
                <w:sz w:val="20"/>
              </w:rPr>
              <w:t xml:space="preserve"> and PM</w:t>
            </w:r>
            <w:r w:rsidRPr="00E61DBA">
              <w:rPr>
                <w:rFonts w:cs="Arial"/>
                <w:b/>
                <w:color w:val="FFFFFF" w:themeColor="background1"/>
                <w:sz w:val="20"/>
                <w:vertAlign w:val="subscript"/>
              </w:rPr>
              <w:t>2.5</w:t>
            </w:r>
            <w:r w:rsidRPr="00E61DBA">
              <w:rPr>
                <w:rFonts w:cs="Arial"/>
                <w:b/>
                <w:color w:val="FFFFFF" w:themeColor="background1"/>
                <w:sz w:val="20"/>
              </w:rPr>
              <w:t>)</w:t>
            </w:r>
          </w:p>
        </w:tc>
        <w:tc>
          <w:tcPr>
            <w:tcW w:w="450" w:type="pct"/>
            <w:shd w:val="clear" w:color="auto" w:fill="1F497D" w:themeFill="text2"/>
            <w:vAlign w:val="center"/>
          </w:tcPr>
          <w:p w:rsidR="004E28FB" w:rsidRPr="00E61DBA" w:rsidRDefault="004E28FB" w:rsidP="00B16DB1">
            <w:pPr>
              <w:keepNext/>
              <w:keepLines/>
              <w:jc w:val="center"/>
              <w:rPr>
                <w:rFonts w:cs="Arial"/>
                <w:b/>
                <w:color w:val="FFFFFF" w:themeColor="background1"/>
                <w:sz w:val="20"/>
              </w:rPr>
            </w:pPr>
            <w:r w:rsidRPr="00E61DBA">
              <w:rPr>
                <w:rFonts w:cs="Arial"/>
                <w:b/>
                <w:color w:val="FFFFFF" w:themeColor="background1"/>
                <w:sz w:val="20"/>
              </w:rPr>
              <w:t>As, Cd, Ni</w:t>
            </w:r>
          </w:p>
        </w:tc>
        <w:tc>
          <w:tcPr>
            <w:tcW w:w="450" w:type="pct"/>
            <w:shd w:val="clear" w:color="auto" w:fill="1F497D" w:themeFill="text2"/>
            <w:vAlign w:val="center"/>
          </w:tcPr>
          <w:p w:rsidR="004E28FB" w:rsidRPr="00E61DBA" w:rsidRDefault="004E28FB" w:rsidP="00B16DB1">
            <w:pPr>
              <w:keepNext/>
              <w:keepLines/>
              <w:jc w:val="center"/>
              <w:rPr>
                <w:rFonts w:cs="Arial"/>
                <w:b/>
                <w:color w:val="FFFFFF" w:themeColor="background1"/>
                <w:sz w:val="20"/>
              </w:rPr>
            </w:pPr>
            <w:r w:rsidRPr="00E61DBA">
              <w:rPr>
                <w:rFonts w:cs="Arial"/>
                <w:b/>
                <w:color w:val="FFFFFF" w:themeColor="background1"/>
                <w:sz w:val="20"/>
              </w:rPr>
              <w:t>B(a)P</w:t>
            </w:r>
          </w:p>
        </w:tc>
        <w:tc>
          <w:tcPr>
            <w:tcW w:w="599" w:type="pct"/>
            <w:shd w:val="clear" w:color="auto" w:fill="1F497D" w:themeFill="text2"/>
            <w:vAlign w:val="center"/>
          </w:tcPr>
          <w:p w:rsidR="004E28FB" w:rsidRPr="00E61DBA" w:rsidRDefault="004E28FB" w:rsidP="00B16DB1">
            <w:pPr>
              <w:keepNext/>
              <w:keepLines/>
              <w:jc w:val="center"/>
              <w:rPr>
                <w:rFonts w:cs="Arial"/>
                <w:b/>
                <w:color w:val="FFFFFF" w:themeColor="background1"/>
                <w:sz w:val="20"/>
              </w:rPr>
            </w:pPr>
            <w:r w:rsidRPr="00E61DBA">
              <w:rPr>
                <w:rFonts w:cs="Arial"/>
                <w:b/>
                <w:color w:val="FFFFFF" w:themeColor="background1"/>
                <w:sz w:val="20"/>
              </w:rPr>
              <w:t>Pollutants except PM</w:t>
            </w:r>
          </w:p>
        </w:tc>
        <w:tc>
          <w:tcPr>
            <w:tcW w:w="599" w:type="pct"/>
            <w:shd w:val="clear" w:color="auto" w:fill="1F497D" w:themeFill="text2"/>
            <w:vAlign w:val="center"/>
          </w:tcPr>
          <w:p w:rsidR="004E28FB" w:rsidRPr="00E61DBA" w:rsidRDefault="004E28FB" w:rsidP="00B16DB1">
            <w:pPr>
              <w:keepNext/>
              <w:keepLines/>
              <w:jc w:val="center"/>
              <w:rPr>
                <w:rFonts w:cs="Arial"/>
                <w:b/>
                <w:color w:val="FFFFFF" w:themeColor="background1"/>
                <w:sz w:val="20"/>
              </w:rPr>
            </w:pPr>
            <w:r w:rsidRPr="00E61DBA">
              <w:rPr>
                <w:rFonts w:cs="Arial"/>
                <w:b/>
                <w:color w:val="FFFFFF" w:themeColor="background1"/>
                <w:sz w:val="20"/>
              </w:rPr>
              <w:t>PM (2) (sum of PM</w:t>
            </w:r>
            <w:r w:rsidRPr="00E61DBA">
              <w:rPr>
                <w:rFonts w:cs="Arial"/>
                <w:b/>
                <w:color w:val="FFFFFF" w:themeColor="background1"/>
                <w:sz w:val="20"/>
                <w:vertAlign w:val="subscript"/>
              </w:rPr>
              <w:t>10</w:t>
            </w:r>
            <w:r w:rsidRPr="00E61DBA">
              <w:rPr>
                <w:rFonts w:cs="Arial"/>
                <w:b/>
                <w:color w:val="FFFFFF" w:themeColor="background1"/>
                <w:sz w:val="20"/>
              </w:rPr>
              <w:t xml:space="preserve"> and PM</w:t>
            </w:r>
            <w:r w:rsidRPr="00E61DBA">
              <w:rPr>
                <w:rFonts w:cs="Arial"/>
                <w:b/>
                <w:color w:val="FFFFFF" w:themeColor="background1"/>
                <w:sz w:val="20"/>
                <w:vertAlign w:val="subscript"/>
              </w:rPr>
              <w:t>2.5</w:t>
            </w:r>
            <w:r w:rsidRPr="00E61DBA">
              <w:rPr>
                <w:rFonts w:cs="Arial"/>
                <w:b/>
                <w:color w:val="FFFFFF" w:themeColor="background1"/>
                <w:sz w:val="20"/>
              </w:rPr>
              <w:t>)</w:t>
            </w:r>
          </w:p>
        </w:tc>
        <w:tc>
          <w:tcPr>
            <w:tcW w:w="450" w:type="pct"/>
            <w:shd w:val="clear" w:color="auto" w:fill="1F497D" w:themeFill="text2"/>
            <w:vAlign w:val="center"/>
          </w:tcPr>
          <w:p w:rsidR="004E28FB" w:rsidRPr="00E61DBA" w:rsidRDefault="004E28FB" w:rsidP="00B16DB1">
            <w:pPr>
              <w:keepNext/>
              <w:keepLines/>
              <w:jc w:val="center"/>
              <w:rPr>
                <w:rFonts w:cs="Arial"/>
                <w:b/>
                <w:color w:val="FFFFFF" w:themeColor="background1"/>
                <w:sz w:val="20"/>
              </w:rPr>
            </w:pPr>
            <w:r w:rsidRPr="00E61DBA">
              <w:rPr>
                <w:rFonts w:cs="Arial"/>
                <w:b/>
                <w:color w:val="FFFFFF" w:themeColor="background1"/>
                <w:sz w:val="20"/>
              </w:rPr>
              <w:t>As, Cd, Ni</w:t>
            </w:r>
          </w:p>
        </w:tc>
        <w:tc>
          <w:tcPr>
            <w:tcW w:w="450" w:type="pct"/>
            <w:shd w:val="clear" w:color="auto" w:fill="1F497D" w:themeFill="text2"/>
            <w:vAlign w:val="center"/>
          </w:tcPr>
          <w:p w:rsidR="004E28FB" w:rsidRPr="00E61DBA" w:rsidRDefault="004E28FB" w:rsidP="00B16DB1">
            <w:pPr>
              <w:keepNext/>
              <w:keepLines/>
              <w:jc w:val="center"/>
              <w:rPr>
                <w:rFonts w:cs="Arial"/>
                <w:b/>
                <w:color w:val="FFFFFF" w:themeColor="background1"/>
                <w:sz w:val="20"/>
              </w:rPr>
            </w:pPr>
            <w:r w:rsidRPr="00E61DBA">
              <w:rPr>
                <w:rFonts w:cs="Arial"/>
                <w:b/>
                <w:color w:val="FFFFFF" w:themeColor="background1"/>
                <w:sz w:val="20"/>
              </w:rPr>
              <w:t>B(a)P</w:t>
            </w:r>
          </w:p>
        </w:tc>
      </w:tr>
      <w:tr w:rsidR="004E28FB" w:rsidRPr="00623E33" w:rsidTr="00C50B1B">
        <w:tc>
          <w:tcPr>
            <w:tcW w:w="804" w:type="pct"/>
            <w:vAlign w:val="center"/>
          </w:tcPr>
          <w:p w:rsidR="004E28FB" w:rsidRPr="00262858" w:rsidRDefault="004E28FB" w:rsidP="00C50B1B">
            <w:pPr>
              <w:pStyle w:val="CENN2"/>
              <w:keepNext/>
              <w:keepLines/>
              <w:rPr>
                <w:color w:val="auto"/>
                <w:lang w:val="en-GB"/>
              </w:rPr>
            </w:pPr>
            <w:r w:rsidRPr="00262858">
              <w:rPr>
                <w:color w:val="auto"/>
                <w:lang w:val="en-GB"/>
              </w:rPr>
              <w:t>0 – 249</w:t>
            </w:r>
          </w:p>
        </w:tc>
        <w:tc>
          <w:tcPr>
            <w:tcW w:w="599" w:type="pct"/>
            <w:vAlign w:val="center"/>
          </w:tcPr>
          <w:p w:rsidR="004E28FB" w:rsidRPr="00262858" w:rsidRDefault="004E28FB" w:rsidP="00C50B1B">
            <w:pPr>
              <w:pStyle w:val="CENN2"/>
              <w:keepNext/>
              <w:keepLines/>
              <w:rPr>
                <w:color w:val="auto"/>
                <w:lang w:val="en-GB"/>
              </w:rPr>
            </w:pPr>
            <w:r w:rsidRPr="00262858">
              <w:rPr>
                <w:color w:val="auto"/>
                <w:lang w:val="en-GB"/>
              </w:rPr>
              <w:t>1</w:t>
            </w:r>
          </w:p>
        </w:tc>
        <w:tc>
          <w:tcPr>
            <w:tcW w:w="599" w:type="pct"/>
            <w:vAlign w:val="center"/>
          </w:tcPr>
          <w:p w:rsidR="004E28FB" w:rsidRPr="00262858" w:rsidRDefault="004E28FB" w:rsidP="00C50B1B">
            <w:pPr>
              <w:pStyle w:val="CENN2"/>
              <w:keepNext/>
              <w:keepLines/>
              <w:rPr>
                <w:color w:val="auto"/>
                <w:lang w:val="en-GB"/>
              </w:rPr>
            </w:pPr>
            <w:r w:rsidRPr="00262858">
              <w:rPr>
                <w:color w:val="auto"/>
                <w:lang w:val="en-GB"/>
              </w:rPr>
              <w:t>2</w:t>
            </w:r>
          </w:p>
        </w:tc>
        <w:tc>
          <w:tcPr>
            <w:tcW w:w="450" w:type="pct"/>
            <w:vMerge w:val="restart"/>
            <w:vAlign w:val="center"/>
          </w:tcPr>
          <w:p w:rsidR="004E28FB" w:rsidRPr="00262858" w:rsidRDefault="004E28FB" w:rsidP="00C50B1B">
            <w:pPr>
              <w:pStyle w:val="CENN2"/>
              <w:keepNext/>
              <w:keepLines/>
              <w:rPr>
                <w:color w:val="auto"/>
                <w:lang w:val="en-GB"/>
              </w:rPr>
            </w:pPr>
            <w:r w:rsidRPr="00262858">
              <w:rPr>
                <w:color w:val="auto"/>
                <w:lang w:val="en-GB"/>
              </w:rPr>
              <w:t>1</w:t>
            </w:r>
          </w:p>
        </w:tc>
        <w:tc>
          <w:tcPr>
            <w:tcW w:w="450" w:type="pct"/>
            <w:vMerge w:val="restart"/>
            <w:vAlign w:val="center"/>
          </w:tcPr>
          <w:p w:rsidR="004E28FB" w:rsidRPr="00262858" w:rsidRDefault="004E28FB" w:rsidP="00C50B1B">
            <w:pPr>
              <w:pStyle w:val="CENN2"/>
              <w:keepNext/>
              <w:keepLines/>
              <w:rPr>
                <w:color w:val="auto"/>
                <w:lang w:val="en-GB"/>
              </w:rPr>
            </w:pPr>
            <w:r w:rsidRPr="00262858">
              <w:rPr>
                <w:color w:val="auto"/>
                <w:lang w:val="en-GB"/>
              </w:rPr>
              <w:t>1</w:t>
            </w:r>
          </w:p>
        </w:tc>
        <w:tc>
          <w:tcPr>
            <w:tcW w:w="599" w:type="pct"/>
            <w:vAlign w:val="center"/>
          </w:tcPr>
          <w:p w:rsidR="004E28FB" w:rsidRPr="00262858" w:rsidRDefault="004E28FB" w:rsidP="00C50B1B">
            <w:pPr>
              <w:pStyle w:val="CENN2"/>
              <w:keepNext/>
              <w:keepLines/>
              <w:rPr>
                <w:color w:val="auto"/>
                <w:lang w:val="en-GB"/>
              </w:rPr>
            </w:pPr>
            <w:r w:rsidRPr="00262858">
              <w:rPr>
                <w:color w:val="auto"/>
                <w:lang w:val="en-GB"/>
              </w:rPr>
              <w:t>1</w:t>
            </w:r>
          </w:p>
        </w:tc>
        <w:tc>
          <w:tcPr>
            <w:tcW w:w="599" w:type="pct"/>
            <w:vAlign w:val="center"/>
          </w:tcPr>
          <w:p w:rsidR="004E28FB" w:rsidRPr="00262858" w:rsidRDefault="004E28FB" w:rsidP="00C50B1B">
            <w:pPr>
              <w:pStyle w:val="CENN2"/>
              <w:keepNext/>
              <w:keepLines/>
              <w:rPr>
                <w:color w:val="auto"/>
                <w:lang w:val="en-GB"/>
              </w:rPr>
            </w:pPr>
            <w:r w:rsidRPr="00262858">
              <w:rPr>
                <w:color w:val="auto"/>
                <w:lang w:val="en-GB"/>
              </w:rPr>
              <w:t>2</w:t>
            </w:r>
          </w:p>
        </w:tc>
        <w:tc>
          <w:tcPr>
            <w:tcW w:w="450" w:type="pct"/>
            <w:vMerge w:val="restart"/>
            <w:vAlign w:val="center"/>
          </w:tcPr>
          <w:p w:rsidR="004E28FB" w:rsidRPr="00262858" w:rsidRDefault="004E28FB" w:rsidP="00C50B1B">
            <w:pPr>
              <w:pStyle w:val="CENN2"/>
              <w:keepNext/>
              <w:keepLines/>
              <w:rPr>
                <w:color w:val="auto"/>
                <w:lang w:val="en-GB"/>
              </w:rPr>
            </w:pPr>
            <w:r w:rsidRPr="00262858">
              <w:rPr>
                <w:color w:val="auto"/>
                <w:lang w:val="en-GB"/>
              </w:rPr>
              <w:t>1</w:t>
            </w:r>
          </w:p>
        </w:tc>
        <w:tc>
          <w:tcPr>
            <w:tcW w:w="450" w:type="pct"/>
            <w:vMerge w:val="restart"/>
            <w:vAlign w:val="center"/>
          </w:tcPr>
          <w:p w:rsidR="004E28FB" w:rsidRPr="00262858" w:rsidRDefault="004E28FB" w:rsidP="00C50B1B">
            <w:pPr>
              <w:pStyle w:val="CENN2"/>
              <w:keepNext/>
              <w:keepLines/>
              <w:rPr>
                <w:color w:val="auto"/>
                <w:lang w:val="en-GB"/>
              </w:rPr>
            </w:pPr>
            <w:r w:rsidRPr="00262858">
              <w:rPr>
                <w:color w:val="auto"/>
                <w:lang w:val="en-GB"/>
              </w:rPr>
              <w:t>1</w:t>
            </w:r>
          </w:p>
        </w:tc>
      </w:tr>
      <w:tr w:rsidR="004E28FB" w:rsidRPr="00623E33" w:rsidTr="00C50B1B">
        <w:tc>
          <w:tcPr>
            <w:tcW w:w="804" w:type="pct"/>
            <w:vAlign w:val="center"/>
          </w:tcPr>
          <w:p w:rsidR="004E28FB" w:rsidRPr="00262858" w:rsidRDefault="004E28FB" w:rsidP="004E28FB">
            <w:pPr>
              <w:pStyle w:val="CENN2"/>
              <w:rPr>
                <w:color w:val="auto"/>
                <w:lang w:val="en-GB"/>
              </w:rPr>
            </w:pPr>
            <w:r w:rsidRPr="00262858">
              <w:rPr>
                <w:color w:val="auto"/>
                <w:lang w:val="en-GB"/>
              </w:rPr>
              <w:t>250 – 499</w:t>
            </w:r>
          </w:p>
        </w:tc>
        <w:tc>
          <w:tcPr>
            <w:tcW w:w="599" w:type="pct"/>
            <w:vAlign w:val="center"/>
          </w:tcPr>
          <w:p w:rsidR="004E28FB" w:rsidRPr="00262858" w:rsidRDefault="004E28FB" w:rsidP="004E28FB">
            <w:pPr>
              <w:pStyle w:val="CENN2"/>
              <w:rPr>
                <w:color w:val="auto"/>
                <w:lang w:val="en-GB"/>
              </w:rPr>
            </w:pPr>
            <w:r w:rsidRPr="00262858">
              <w:rPr>
                <w:color w:val="auto"/>
                <w:lang w:val="en-GB"/>
              </w:rPr>
              <w:t>2</w:t>
            </w:r>
          </w:p>
        </w:tc>
        <w:tc>
          <w:tcPr>
            <w:tcW w:w="599" w:type="pct"/>
            <w:vAlign w:val="center"/>
          </w:tcPr>
          <w:p w:rsidR="004E28FB" w:rsidRPr="00262858" w:rsidRDefault="004E28FB" w:rsidP="004E28FB">
            <w:pPr>
              <w:pStyle w:val="CENN2"/>
              <w:rPr>
                <w:color w:val="auto"/>
                <w:lang w:val="en-GB"/>
              </w:rPr>
            </w:pPr>
            <w:r w:rsidRPr="00262858">
              <w:rPr>
                <w:color w:val="auto"/>
                <w:lang w:val="en-GB"/>
              </w:rPr>
              <w:t>3</w:t>
            </w:r>
          </w:p>
        </w:tc>
        <w:tc>
          <w:tcPr>
            <w:tcW w:w="450" w:type="pct"/>
            <w:vMerge/>
            <w:vAlign w:val="center"/>
          </w:tcPr>
          <w:p w:rsidR="004E28FB" w:rsidRPr="00262858" w:rsidRDefault="004E28FB" w:rsidP="004E28FB">
            <w:pPr>
              <w:pStyle w:val="CENN2"/>
              <w:rPr>
                <w:color w:val="auto"/>
                <w:lang w:val="en-GB"/>
              </w:rPr>
            </w:pPr>
            <w:bookmarkStart w:id="433" w:name="_Toc383738770"/>
            <w:bookmarkStart w:id="434" w:name="_Toc383784832"/>
            <w:bookmarkStart w:id="435" w:name="_Toc386503458"/>
            <w:bookmarkStart w:id="436" w:name="_Toc386503941"/>
            <w:bookmarkEnd w:id="433"/>
            <w:bookmarkEnd w:id="434"/>
            <w:bookmarkEnd w:id="435"/>
            <w:bookmarkEnd w:id="436"/>
          </w:p>
        </w:tc>
        <w:tc>
          <w:tcPr>
            <w:tcW w:w="450" w:type="pct"/>
            <w:vMerge/>
            <w:vAlign w:val="center"/>
          </w:tcPr>
          <w:p w:rsidR="004E28FB" w:rsidRPr="00262858" w:rsidRDefault="004E28FB" w:rsidP="004E28FB">
            <w:pPr>
              <w:pStyle w:val="CENN2"/>
              <w:rPr>
                <w:color w:val="auto"/>
                <w:lang w:val="en-GB"/>
              </w:rPr>
            </w:pPr>
            <w:bookmarkStart w:id="437" w:name="_Toc383738771"/>
            <w:bookmarkStart w:id="438" w:name="_Toc383784833"/>
            <w:bookmarkStart w:id="439" w:name="_Toc386503459"/>
            <w:bookmarkStart w:id="440" w:name="_Toc386503942"/>
            <w:bookmarkEnd w:id="437"/>
            <w:bookmarkEnd w:id="438"/>
            <w:bookmarkEnd w:id="439"/>
            <w:bookmarkEnd w:id="440"/>
          </w:p>
        </w:tc>
        <w:tc>
          <w:tcPr>
            <w:tcW w:w="599" w:type="pct"/>
            <w:vAlign w:val="center"/>
          </w:tcPr>
          <w:p w:rsidR="004E28FB" w:rsidRPr="00262858" w:rsidRDefault="004E28FB" w:rsidP="004E28FB">
            <w:pPr>
              <w:pStyle w:val="CENN2"/>
              <w:rPr>
                <w:color w:val="auto"/>
                <w:lang w:val="en-GB"/>
              </w:rPr>
            </w:pPr>
            <w:r w:rsidRPr="00262858">
              <w:rPr>
                <w:color w:val="auto"/>
                <w:lang w:val="en-GB"/>
              </w:rPr>
              <w:t>1</w:t>
            </w:r>
          </w:p>
        </w:tc>
        <w:tc>
          <w:tcPr>
            <w:tcW w:w="599" w:type="pct"/>
            <w:vAlign w:val="center"/>
          </w:tcPr>
          <w:p w:rsidR="004E28FB" w:rsidRPr="00262858" w:rsidRDefault="004E28FB" w:rsidP="004E28FB">
            <w:pPr>
              <w:pStyle w:val="CENN2"/>
              <w:rPr>
                <w:color w:val="auto"/>
                <w:lang w:val="en-GB"/>
              </w:rPr>
            </w:pPr>
            <w:r w:rsidRPr="00262858">
              <w:rPr>
                <w:color w:val="auto"/>
                <w:lang w:val="en-GB"/>
              </w:rPr>
              <w:t>2</w:t>
            </w:r>
          </w:p>
        </w:tc>
        <w:tc>
          <w:tcPr>
            <w:tcW w:w="450" w:type="pct"/>
            <w:vMerge/>
            <w:vAlign w:val="center"/>
          </w:tcPr>
          <w:p w:rsidR="004E28FB" w:rsidRPr="00262858" w:rsidRDefault="004E28FB" w:rsidP="004E28FB">
            <w:pPr>
              <w:pStyle w:val="CENN2"/>
              <w:rPr>
                <w:color w:val="auto"/>
                <w:lang w:val="en-GB"/>
              </w:rPr>
            </w:pPr>
            <w:bookmarkStart w:id="441" w:name="_Toc383738772"/>
            <w:bookmarkStart w:id="442" w:name="_Toc383784834"/>
            <w:bookmarkStart w:id="443" w:name="_Toc386503460"/>
            <w:bookmarkStart w:id="444" w:name="_Toc386503943"/>
            <w:bookmarkEnd w:id="441"/>
            <w:bookmarkEnd w:id="442"/>
            <w:bookmarkEnd w:id="443"/>
            <w:bookmarkEnd w:id="444"/>
          </w:p>
        </w:tc>
        <w:tc>
          <w:tcPr>
            <w:tcW w:w="450" w:type="pct"/>
            <w:vMerge/>
            <w:vAlign w:val="center"/>
          </w:tcPr>
          <w:p w:rsidR="004E28FB" w:rsidRPr="00262858" w:rsidRDefault="004E28FB" w:rsidP="004E28FB">
            <w:pPr>
              <w:pStyle w:val="CENN2"/>
              <w:rPr>
                <w:color w:val="auto"/>
                <w:lang w:val="en-GB"/>
              </w:rPr>
            </w:pPr>
            <w:bookmarkStart w:id="445" w:name="_Toc383738773"/>
            <w:bookmarkStart w:id="446" w:name="_Toc383784835"/>
            <w:bookmarkStart w:id="447" w:name="_Toc386503461"/>
            <w:bookmarkStart w:id="448" w:name="_Toc386503944"/>
            <w:bookmarkEnd w:id="445"/>
            <w:bookmarkEnd w:id="446"/>
            <w:bookmarkEnd w:id="447"/>
            <w:bookmarkEnd w:id="448"/>
          </w:p>
        </w:tc>
      </w:tr>
      <w:tr w:rsidR="004E28FB" w:rsidRPr="00623E33" w:rsidTr="00C50B1B">
        <w:tc>
          <w:tcPr>
            <w:tcW w:w="804" w:type="pct"/>
            <w:vAlign w:val="center"/>
          </w:tcPr>
          <w:p w:rsidR="004E28FB" w:rsidRPr="00262858" w:rsidRDefault="004E28FB" w:rsidP="004E28FB">
            <w:pPr>
              <w:pStyle w:val="CENN2"/>
              <w:rPr>
                <w:color w:val="auto"/>
                <w:lang w:val="en-GB"/>
              </w:rPr>
            </w:pPr>
            <w:r w:rsidRPr="00262858">
              <w:rPr>
                <w:color w:val="auto"/>
                <w:lang w:val="en-GB"/>
              </w:rPr>
              <w:t>500 – 749</w:t>
            </w:r>
          </w:p>
        </w:tc>
        <w:tc>
          <w:tcPr>
            <w:tcW w:w="599" w:type="pct"/>
            <w:vAlign w:val="center"/>
          </w:tcPr>
          <w:p w:rsidR="004E28FB" w:rsidRPr="00262858" w:rsidRDefault="004E28FB" w:rsidP="004E28FB">
            <w:pPr>
              <w:pStyle w:val="CENN2"/>
              <w:rPr>
                <w:color w:val="auto"/>
                <w:lang w:val="en-GB"/>
              </w:rPr>
            </w:pPr>
            <w:r w:rsidRPr="00262858">
              <w:rPr>
                <w:color w:val="auto"/>
                <w:lang w:val="en-GB"/>
              </w:rPr>
              <w:t>2</w:t>
            </w:r>
          </w:p>
        </w:tc>
        <w:tc>
          <w:tcPr>
            <w:tcW w:w="599" w:type="pct"/>
            <w:vAlign w:val="center"/>
          </w:tcPr>
          <w:p w:rsidR="004E28FB" w:rsidRPr="00262858" w:rsidRDefault="004E28FB" w:rsidP="004E28FB">
            <w:pPr>
              <w:pStyle w:val="CENN2"/>
              <w:rPr>
                <w:color w:val="auto"/>
                <w:lang w:val="en-GB"/>
              </w:rPr>
            </w:pPr>
            <w:r w:rsidRPr="00262858">
              <w:rPr>
                <w:color w:val="auto"/>
                <w:lang w:val="en-GB"/>
              </w:rPr>
              <w:t>3</w:t>
            </w:r>
          </w:p>
        </w:tc>
        <w:tc>
          <w:tcPr>
            <w:tcW w:w="450" w:type="pct"/>
            <w:vMerge/>
            <w:vAlign w:val="center"/>
          </w:tcPr>
          <w:p w:rsidR="004E28FB" w:rsidRPr="00262858" w:rsidRDefault="004E28FB" w:rsidP="004E28FB">
            <w:pPr>
              <w:pStyle w:val="CENN2"/>
              <w:rPr>
                <w:color w:val="auto"/>
                <w:lang w:val="en-GB"/>
              </w:rPr>
            </w:pPr>
            <w:bookmarkStart w:id="449" w:name="_Toc383738774"/>
            <w:bookmarkStart w:id="450" w:name="_Toc383784836"/>
            <w:bookmarkStart w:id="451" w:name="_Toc386503462"/>
            <w:bookmarkStart w:id="452" w:name="_Toc386503945"/>
            <w:bookmarkEnd w:id="449"/>
            <w:bookmarkEnd w:id="450"/>
            <w:bookmarkEnd w:id="451"/>
            <w:bookmarkEnd w:id="452"/>
          </w:p>
        </w:tc>
        <w:tc>
          <w:tcPr>
            <w:tcW w:w="450" w:type="pct"/>
            <w:vMerge/>
            <w:vAlign w:val="center"/>
          </w:tcPr>
          <w:p w:rsidR="004E28FB" w:rsidRPr="00262858" w:rsidRDefault="004E28FB" w:rsidP="004E28FB">
            <w:pPr>
              <w:pStyle w:val="CENN2"/>
              <w:rPr>
                <w:color w:val="auto"/>
                <w:lang w:val="en-GB"/>
              </w:rPr>
            </w:pPr>
            <w:bookmarkStart w:id="453" w:name="_Toc383738775"/>
            <w:bookmarkStart w:id="454" w:name="_Toc383784837"/>
            <w:bookmarkStart w:id="455" w:name="_Toc386503463"/>
            <w:bookmarkStart w:id="456" w:name="_Toc386503946"/>
            <w:bookmarkEnd w:id="453"/>
            <w:bookmarkEnd w:id="454"/>
            <w:bookmarkEnd w:id="455"/>
            <w:bookmarkEnd w:id="456"/>
          </w:p>
        </w:tc>
        <w:tc>
          <w:tcPr>
            <w:tcW w:w="599" w:type="pct"/>
            <w:vAlign w:val="center"/>
          </w:tcPr>
          <w:p w:rsidR="004E28FB" w:rsidRPr="00262858" w:rsidRDefault="004E28FB" w:rsidP="004E28FB">
            <w:pPr>
              <w:pStyle w:val="CENN2"/>
              <w:rPr>
                <w:color w:val="auto"/>
                <w:lang w:val="en-GB"/>
              </w:rPr>
            </w:pPr>
            <w:r w:rsidRPr="00262858">
              <w:rPr>
                <w:color w:val="auto"/>
                <w:lang w:val="en-GB"/>
              </w:rPr>
              <w:t>1</w:t>
            </w:r>
          </w:p>
        </w:tc>
        <w:tc>
          <w:tcPr>
            <w:tcW w:w="599" w:type="pct"/>
            <w:vAlign w:val="center"/>
          </w:tcPr>
          <w:p w:rsidR="004E28FB" w:rsidRPr="00262858" w:rsidRDefault="004E28FB" w:rsidP="004E28FB">
            <w:pPr>
              <w:pStyle w:val="CENN2"/>
              <w:rPr>
                <w:color w:val="auto"/>
                <w:lang w:val="en-GB"/>
              </w:rPr>
            </w:pPr>
            <w:r w:rsidRPr="00262858">
              <w:rPr>
                <w:color w:val="auto"/>
                <w:lang w:val="en-GB"/>
              </w:rPr>
              <w:t>2</w:t>
            </w:r>
          </w:p>
        </w:tc>
        <w:tc>
          <w:tcPr>
            <w:tcW w:w="450" w:type="pct"/>
            <w:vMerge/>
            <w:vAlign w:val="center"/>
          </w:tcPr>
          <w:p w:rsidR="004E28FB" w:rsidRPr="00262858" w:rsidRDefault="004E28FB" w:rsidP="004E28FB">
            <w:pPr>
              <w:pStyle w:val="CENN2"/>
              <w:rPr>
                <w:color w:val="auto"/>
                <w:lang w:val="en-GB"/>
              </w:rPr>
            </w:pPr>
            <w:bookmarkStart w:id="457" w:name="_Toc383738776"/>
            <w:bookmarkStart w:id="458" w:name="_Toc383784838"/>
            <w:bookmarkStart w:id="459" w:name="_Toc386503464"/>
            <w:bookmarkStart w:id="460" w:name="_Toc386503947"/>
            <w:bookmarkEnd w:id="457"/>
            <w:bookmarkEnd w:id="458"/>
            <w:bookmarkEnd w:id="459"/>
            <w:bookmarkEnd w:id="460"/>
          </w:p>
        </w:tc>
        <w:tc>
          <w:tcPr>
            <w:tcW w:w="450" w:type="pct"/>
            <w:vMerge/>
            <w:vAlign w:val="center"/>
          </w:tcPr>
          <w:p w:rsidR="004E28FB" w:rsidRPr="00262858" w:rsidRDefault="004E28FB" w:rsidP="004E28FB">
            <w:pPr>
              <w:pStyle w:val="CENN2"/>
              <w:rPr>
                <w:color w:val="auto"/>
                <w:lang w:val="en-GB"/>
              </w:rPr>
            </w:pPr>
            <w:bookmarkStart w:id="461" w:name="_Toc383738777"/>
            <w:bookmarkStart w:id="462" w:name="_Toc383784839"/>
            <w:bookmarkStart w:id="463" w:name="_Toc386503465"/>
            <w:bookmarkStart w:id="464" w:name="_Toc386503948"/>
            <w:bookmarkEnd w:id="461"/>
            <w:bookmarkEnd w:id="462"/>
            <w:bookmarkEnd w:id="463"/>
            <w:bookmarkEnd w:id="464"/>
          </w:p>
        </w:tc>
      </w:tr>
      <w:tr w:rsidR="004E28FB" w:rsidRPr="00623E33" w:rsidTr="00C50B1B">
        <w:tc>
          <w:tcPr>
            <w:tcW w:w="804" w:type="pct"/>
            <w:vAlign w:val="center"/>
          </w:tcPr>
          <w:p w:rsidR="004E28FB" w:rsidRPr="00262858" w:rsidRDefault="004E28FB" w:rsidP="004E28FB">
            <w:pPr>
              <w:pStyle w:val="CENN2"/>
              <w:rPr>
                <w:color w:val="auto"/>
                <w:lang w:val="en-GB"/>
              </w:rPr>
            </w:pPr>
            <w:r w:rsidRPr="00262858">
              <w:rPr>
                <w:color w:val="auto"/>
                <w:lang w:val="en-GB"/>
              </w:rPr>
              <w:t>750 – 999</w:t>
            </w:r>
          </w:p>
        </w:tc>
        <w:tc>
          <w:tcPr>
            <w:tcW w:w="599" w:type="pct"/>
            <w:vAlign w:val="center"/>
          </w:tcPr>
          <w:p w:rsidR="004E28FB" w:rsidRPr="00262858" w:rsidRDefault="004E28FB" w:rsidP="004E28FB">
            <w:pPr>
              <w:pStyle w:val="CENN2"/>
              <w:rPr>
                <w:color w:val="auto"/>
                <w:lang w:val="en-GB"/>
              </w:rPr>
            </w:pPr>
            <w:r w:rsidRPr="00262858">
              <w:rPr>
                <w:color w:val="auto"/>
                <w:lang w:val="en-GB"/>
              </w:rPr>
              <w:t>3</w:t>
            </w:r>
          </w:p>
        </w:tc>
        <w:tc>
          <w:tcPr>
            <w:tcW w:w="599" w:type="pct"/>
            <w:vAlign w:val="center"/>
          </w:tcPr>
          <w:p w:rsidR="004E28FB" w:rsidRPr="00262858" w:rsidRDefault="004E28FB" w:rsidP="004E28FB">
            <w:pPr>
              <w:pStyle w:val="CENN2"/>
              <w:rPr>
                <w:color w:val="auto"/>
                <w:lang w:val="en-GB"/>
              </w:rPr>
            </w:pPr>
            <w:r w:rsidRPr="00262858">
              <w:rPr>
                <w:color w:val="auto"/>
                <w:lang w:val="en-GB"/>
              </w:rPr>
              <w:t>4</w:t>
            </w:r>
          </w:p>
        </w:tc>
        <w:tc>
          <w:tcPr>
            <w:tcW w:w="450" w:type="pct"/>
            <w:vMerge w:val="restart"/>
            <w:vAlign w:val="center"/>
          </w:tcPr>
          <w:p w:rsidR="004E28FB" w:rsidRPr="00262858" w:rsidRDefault="004E28FB" w:rsidP="004E28FB">
            <w:pPr>
              <w:pStyle w:val="CENN2"/>
              <w:rPr>
                <w:color w:val="auto"/>
                <w:lang w:val="en-GB"/>
              </w:rPr>
            </w:pPr>
            <w:r w:rsidRPr="00262858">
              <w:rPr>
                <w:color w:val="auto"/>
                <w:lang w:val="en-GB"/>
              </w:rPr>
              <w:t>2</w:t>
            </w:r>
          </w:p>
        </w:tc>
        <w:tc>
          <w:tcPr>
            <w:tcW w:w="450" w:type="pct"/>
            <w:vMerge w:val="restart"/>
            <w:vAlign w:val="center"/>
          </w:tcPr>
          <w:p w:rsidR="004E28FB" w:rsidRPr="00262858" w:rsidRDefault="004E28FB" w:rsidP="004E28FB">
            <w:pPr>
              <w:pStyle w:val="CENN2"/>
              <w:rPr>
                <w:color w:val="auto"/>
                <w:lang w:val="en-GB"/>
              </w:rPr>
            </w:pPr>
            <w:r w:rsidRPr="00262858">
              <w:rPr>
                <w:color w:val="auto"/>
                <w:lang w:val="en-GB"/>
              </w:rPr>
              <w:t>2</w:t>
            </w:r>
          </w:p>
        </w:tc>
        <w:tc>
          <w:tcPr>
            <w:tcW w:w="599" w:type="pct"/>
            <w:vAlign w:val="center"/>
          </w:tcPr>
          <w:p w:rsidR="004E28FB" w:rsidRPr="00262858" w:rsidRDefault="004E28FB" w:rsidP="004E28FB">
            <w:pPr>
              <w:pStyle w:val="CENN2"/>
              <w:rPr>
                <w:color w:val="auto"/>
                <w:lang w:val="en-GB"/>
              </w:rPr>
            </w:pPr>
            <w:r w:rsidRPr="00262858">
              <w:rPr>
                <w:color w:val="auto"/>
                <w:lang w:val="en-GB"/>
              </w:rPr>
              <w:t>1</w:t>
            </w:r>
          </w:p>
        </w:tc>
        <w:tc>
          <w:tcPr>
            <w:tcW w:w="599" w:type="pct"/>
            <w:vAlign w:val="center"/>
          </w:tcPr>
          <w:p w:rsidR="004E28FB" w:rsidRPr="00262858" w:rsidRDefault="004E28FB" w:rsidP="004E28FB">
            <w:pPr>
              <w:pStyle w:val="CENN2"/>
              <w:rPr>
                <w:color w:val="auto"/>
                <w:lang w:val="en-GB"/>
              </w:rPr>
            </w:pPr>
            <w:r w:rsidRPr="00262858">
              <w:rPr>
                <w:color w:val="auto"/>
                <w:lang w:val="en-GB"/>
              </w:rPr>
              <w:t>2</w:t>
            </w:r>
          </w:p>
        </w:tc>
        <w:tc>
          <w:tcPr>
            <w:tcW w:w="450" w:type="pct"/>
            <w:vMerge w:val="restart"/>
            <w:vAlign w:val="center"/>
          </w:tcPr>
          <w:p w:rsidR="004E28FB" w:rsidRPr="00262858" w:rsidRDefault="004E28FB" w:rsidP="004E28FB">
            <w:pPr>
              <w:pStyle w:val="CENN2"/>
              <w:rPr>
                <w:color w:val="auto"/>
                <w:lang w:val="en-GB"/>
              </w:rPr>
            </w:pPr>
            <w:r w:rsidRPr="00262858">
              <w:rPr>
                <w:color w:val="auto"/>
                <w:lang w:val="en-GB"/>
              </w:rPr>
              <w:t>1</w:t>
            </w:r>
          </w:p>
        </w:tc>
        <w:tc>
          <w:tcPr>
            <w:tcW w:w="450" w:type="pct"/>
            <w:vMerge w:val="restart"/>
            <w:vAlign w:val="center"/>
          </w:tcPr>
          <w:p w:rsidR="004E28FB" w:rsidRPr="00262858" w:rsidRDefault="004E28FB" w:rsidP="004E28FB">
            <w:pPr>
              <w:pStyle w:val="CENN2"/>
              <w:rPr>
                <w:color w:val="auto"/>
                <w:lang w:val="en-GB"/>
              </w:rPr>
            </w:pPr>
            <w:r w:rsidRPr="00262858">
              <w:rPr>
                <w:color w:val="auto"/>
                <w:lang w:val="en-GB"/>
              </w:rPr>
              <w:t>1</w:t>
            </w:r>
          </w:p>
        </w:tc>
      </w:tr>
      <w:tr w:rsidR="004E28FB" w:rsidRPr="00623E33" w:rsidTr="00C50B1B">
        <w:tc>
          <w:tcPr>
            <w:tcW w:w="804" w:type="pct"/>
            <w:vAlign w:val="center"/>
          </w:tcPr>
          <w:p w:rsidR="004E28FB" w:rsidRPr="00262858" w:rsidRDefault="004E28FB" w:rsidP="004E28FB">
            <w:pPr>
              <w:pStyle w:val="CENN2"/>
              <w:rPr>
                <w:color w:val="auto"/>
                <w:lang w:val="en-GB"/>
              </w:rPr>
            </w:pPr>
            <w:r w:rsidRPr="00262858">
              <w:rPr>
                <w:color w:val="auto"/>
                <w:lang w:val="en-GB"/>
              </w:rPr>
              <w:t>1,000 – 4,499</w:t>
            </w:r>
          </w:p>
        </w:tc>
        <w:tc>
          <w:tcPr>
            <w:tcW w:w="599" w:type="pct"/>
            <w:vAlign w:val="center"/>
          </w:tcPr>
          <w:p w:rsidR="004E28FB" w:rsidRPr="00262858" w:rsidRDefault="004E28FB" w:rsidP="004E28FB">
            <w:pPr>
              <w:pStyle w:val="CENN2"/>
              <w:rPr>
                <w:color w:val="auto"/>
                <w:lang w:val="en-GB"/>
              </w:rPr>
            </w:pPr>
            <w:r w:rsidRPr="00262858">
              <w:rPr>
                <w:color w:val="auto"/>
                <w:lang w:val="en-GB"/>
              </w:rPr>
              <w:t>4</w:t>
            </w:r>
          </w:p>
        </w:tc>
        <w:tc>
          <w:tcPr>
            <w:tcW w:w="599" w:type="pct"/>
            <w:vAlign w:val="center"/>
          </w:tcPr>
          <w:p w:rsidR="004E28FB" w:rsidRPr="00262858" w:rsidRDefault="004E28FB" w:rsidP="004E28FB">
            <w:pPr>
              <w:pStyle w:val="CENN2"/>
              <w:rPr>
                <w:color w:val="auto"/>
                <w:lang w:val="en-GB"/>
              </w:rPr>
            </w:pPr>
            <w:r w:rsidRPr="00262858">
              <w:rPr>
                <w:color w:val="auto"/>
                <w:lang w:val="en-GB"/>
              </w:rPr>
              <w:t>6</w:t>
            </w:r>
          </w:p>
        </w:tc>
        <w:tc>
          <w:tcPr>
            <w:tcW w:w="450" w:type="pct"/>
            <w:vMerge/>
            <w:vAlign w:val="center"/>
          </w:tcPr>
          <w:p w:rsidR="004E28FB" w:rsidRPr="00262858" w:rsidRDefault="004E28FB" w:rsidP="004E28FB">
            <w:pPr>
              <w:pStyle w:val="CENN2"/>
              <w:rPr>
                <w:color w:val="auto"/>
                <w:lang w:val="en-GB"/>
              </w:rPr>
            </w:pPr>
            <w:bookmarkStart w:id="465" w:name="_Toc383738778"/>
            <w:bookmarkStart w:id="466" w:name="_Toc383784840"/>
            <w:bookmarkStart w:id="467" w:name="_Toc386503466"/>
            <w:bookmarkStart w:id="468" w:name="_Toc386503949"/>
            <w:bookmarkEnd w:id="465"/>
            <w:bookmarkEnd w:id="466"/>
            <w:bookmarkEnd w:id="467"/>
            <w:bookmarkEnd w:id="468"/>
          </w:p>
        </w:tc>
        <w:tc>
          <w:tcPr>
            <w:tcW w:w="450" w:type="pct"/>
            <w:vMerge/>
            <w:vAlign w:val="center"/>
          </w:tcPr>
          <w:p w:rsidR="004E28FB" w:rsidRPr="00262858" w:rsidRDefault="004E28FB" w:rsidP="004E28FB">
            <w:pPr>
              <w:pStyle w:val="CENN2"/>
              <w:rPr>
                <w:color w:val="auto"/>
                <w:lang w:val="en-GB"/>
              </w:rPr>
            </w:pPr>
            <w:bookmarkStart w:id="469" w:name="_Toc383738779"/>
            <w:bookmarkStart w:id="470" w:name="_Toc383784841"/>
            <w:bookmarkStart w:id="471" w:name="_Toc386503467"/>
            <w:bookmarkStart w:id="472" w:name="_Toc386503950"/>
            <w:bookmarkEnd w:id="469"/>
            <w:bookmarkEnd w:id="470"/>
            <w:bookmarkEnd w:id="471"/>
            <w:bookmarkEnd w:id="472"/>
          </w:p>
        </w:tc>
        <w:tc>
          <w:tcPr>
            <w:tcW w:w="599" w:type="pct"/>
            <w:vAlign w:val="center"/>
          </w:tcPr>
          <w:p w:rsidR="004E28FB" w:rsidRPr="00262858" w:rsidRDefault="004E28FB" w:rsidP="004E28FB">
            <w:pPr>
              <w:pStyle w:val="CENN2"/>
              <w:rPr>
                <w:color w:val="auto"/>
                <w:lang w:val="en-GB"/>
              </w:rPr>
            </w:pPr>
            <w:r w:rsidRPr="00262858">
              <w:rPr>
                <w:color w:val="auto"/>
                <w:lang w:val="en-GB"/>
              </w:rPr>
              <w:t>2</w:t>
            </w:r>
          </w:p>
        </w:tc>
        <w:tc>
          <w:tcPr>
            <w:tcW w:w="599" w:type="pct"/>
            <w:vAlign w:val="center"/>
          </w:tcPr>
          <w:p w:rsidR="004E28FB" w:rsidRPr="00262858" w:rsidRDefault="004E28FB" w:rsidP="004E28FB">
            <w:pPr>
              <w:pStyle w:val="CENN2"/>
              <w:rPr>
                <w:color w:val="auto"/>
                <w:lang w:val="en-GB"/>
              </w:rPr>
            </w:pPr>
            <w:r w:rsidRPr="00262858">
              <w:rPr>
                <w:color w:val="auto"/>
                <w:lang w:val="en-GB"/>
              </w:rPr>
              <w:t>3</w:t>
            </w:r>
          </w:p>
        </w:tc>
        <w:tc>
          <w:tcPr>
            <w:tcW w:w="450" w:type="pct"/>
            <w:vMerge/>
            <w:vAlign w:val="center"/>
          </w:tcPr>
          <w:p w:rsidR="004E28FB" w:rsidRPr="00262858" w:rsidRDefault="004E28FB" w:rsidP="004E28FB">
            <w:pPr>
              <w:pStyle w:val="CENN2"/>
              <w:rPr>
                <w:color w:val="auto"/>
                <w:lang w:val="en-GB"/>
              </w:rPr>
            </w:pPr>
            <w:bookmarkStart w:id="473" w:name="_Toc383738780"/>
            <w:bookmarkStart w:id="474" w:name="_Toc383784842"/>
            <w:bookmarkStart w:id="475" w:name="_Toc386503468"/>
            <w:bookmarkStart w:id="476" w:name="_Toc386503951"/>
            <w:bookmarkEnd w:id="473"/>
            <w:bookmarkEnd w:id="474"/>
            <w:bookmarkEnd w:id="475"/>
            <w:bookmarkEnd w:id="476"/>
          </w:p>
        </w:tc>
        <w:tc>
          <w:tcPr>
            <w:tcW w:w="450" w:type="pct"/>
            <w:vMerge/>
            <w:vAlign w:val="center"/>
          </w:tcPr>
          <w:p w:rsidR="004E28FB" w:rsidRPr="00262858" w:rsidRDefault="004E28FB" w:rsidP="004E28FB">
            <w:pPr>
              <w:pStyle w:val="CENN2"/>
              <w:rPr>
                <w:color w:val="auto"/>
                <w:lang w:val="en-GB"/>
              </w:rPr>
            </w:pPr>
            <w:bookmarkStart w:id="477" w:name="_Toc383738781"/>
            <w:bookmarkStart w:id="478" w:name="_Toc383784843"/>
            <w:bookmarkStart w:id="479" w:name="_Toc386503469"/>
            <w:bookmarkStart w:id="480" w:name="_Toc386503952"/>
            <w:bookmarkEnd w:id="477"/>
            <w:bookmarkEnd w:id="478"/>
            <w:bookmarkEnd w:id="479"/>
            <w:bookmarkEnd w:id="480"/>
          </w:p>
        </w:tc>
      </w:tr>
      <w:tr w:rsidR="004E28FB" w:rsidRPr="00623E33" w:rsidTr="00C50B1B">
        <w:tc>
          <w:tcPr>
            <w:tcW w:w="804" w:type="pct"/>
            <w:vAlign w:val="center"/>
          </w:tcPr>
          <w:p w:rsidR="004E28FB" w:rsidRPr="00262858" w:rsidRDefault="004E28FB" w:rsidP="004E28FB">
            <w:pPr>
              <w:pStyle w:val="CENN2"/>
              <w:rPr>
                <w:color w:val="auto"/>
                <w:lang w:val="en-GB"/>
              </w:rPr>
            </w:pPr>
            <w:r w:rsidRPr="00262858">
              <w:rPr>
                <w:color w:val="auto"/>
                <w:lang w:val="en-GB"/>
              </w:rPr>
              <w:t>1,500 – 1,999</w:t>
            </w:r>
          </w:p>
        </w:tc>
        <w:tc>
          <w:tcPr>
            <w:tcW w:w="599" w:type="pct"/>
            <w:vAlign w:val="center"/>
          </w:tcPr>
          <w:p w:rsidR="004E28FB" w:rsidRPr="00262858" w:rsidRDefault="004E28FB" w:rsidP="004E28FB">
            <w:pPr>
              <w:pStyle w:val="CENN2"/>
              <w:rPr>
                <w:color w:val="auto"/>
                <w:lang w:val="en-GB"/>
              </w:rPr>
            </w:pPr>
            <w:r w:rsidRPr="00262858">
              <w:rPr>
                <w:color w:val="auto"/>
                <w:lang w:val="en-GB"/>
              </w:rPr>
              <w:t>5</w:t>
            </w:r>
          </w:p>
        </w:tc>
        <w:tc>
          <w:tcPr>
            <w:tcW w:w="599" w:type="pct"/>
            <w:vAlign w:val="center"/>
          </w:tcPr>
          <w:p w:rsidR="004E28FB" w:rsidRPr="00262858" w:rsidRDefault="004E28FB" w:rsidP="004E28FB">
            <w:pPr>
              <w:pStyle w:val="CENN2"/>
              <w:rPr>
                <w:color w:val="auto"/>
                <w:lang w:val="en-GB"/>
              </w:rPr>
            </w:pPr>
            <w:r w:rsidRPr="00262858">
              <w:rPr>
                <w:color w:val="auto"/>
                <w:lang w:val="en-GB"/>
              </w:rPr>
              <w:t>7</w:t>
            </w:r>
          </w:p>
        </w:tc>
        <w:tc>
          <w:tcPr>
            <w:tcW w:w="450" w:type="pct"/>
            <w:vMerge/>
            <w:vAlign w:val="center"/>
          </w:tcPr>
          <w:p w:rsidR="004E28FB" w:rsidRPr="00262858" w:rsidRDefault="004E28FB" w:rsidP="004E28FB">
            <w:pPr>
              <w:pStyle w:val="CENN2"/>
              <w:rPr>
                <w:color w:val="auto"/>
                <w:lang w:val="en-GB"/>
              </w:rPr>
            </w:pPr>
            <w:bookmarkStart w:id="481" w:name="_Toc383738782"/>
            <w:bookmarkStart w:id="482" w:name="_Toc383784844"/>
            <w:bookmarkStart w:id="483" w:name="_Toc386503470"/>
            <w:bookmarkStart w:id="484" w:name="_Toc386503953"/>
            <w:bookmarkEnd w:id="481"/>
            <w:bookmarkEnd w:id="482"/>
            <w:bookmarkEnd w:id="483"/>
            <w:bookmarkEnd w:id="484"/>
          </w:p>
        </w:tc>
        <w:tc>
          <w:tcPr>
            <w:tcW w:w="450" w:type="pct"/>
            <w:vMerge/>
            <w:vAlign w:val="center"/>
          </w:tcPr>
          <w:p w:rsidR="004E28FB" w:rsidRPr="00262858" w:rsidRDefault="004E28FB" w:rsidP="004E28FB">
            <w:pPr>
              <w:pStyle w:val="CENN2"/>
              <w:rPr>
                <w:color w:val="auto"/>
                <w:lang w:val="en-GB"/>
              </w:rPr>
            </w:pPr>
            <w:bookmarkStart w:id="485" w:name="_Toc383738783"/>
            <w:bookmarkStart w:id="486" w:name="_Toc383784845"/>
            <w:bookmarkStart w:id="487" w:name="_Toc386503471"/>
            <w:bookmarkStart w:id="488" w:name="_Toc386503954"/>
            <w:bookmarkEnd w:id="485"/>
            <w:bookmarkEnd w:id="486"/>
            <w:bookmarkEnd w:id="487"/>
            <w:bookmarkEnd w:id="488"/>
          </w:p>
        </w:tc>
        <w:tc>
          <w:tcPr>
            <w:tcW w:w="599" w:type="pct"/>
            <w:vAlign w:val="center"/>
          </w:tcPr>
          <w:p w:rsidR="004E28FB" w:rsidRPr="00262858" w:rsidRDefault="004E28FB" w:rsidP="004E28FB">
            <w:pPr>
              <w:pStyle w:val="CENN2"/>
              <w:rPr>
                <w:color w:val="auto"/>
                <w:lang w:val="en-GB"/>
              </w:rPr>
            </w:pPr>
            <w:r w:rsidRPr="00262858">
              <w:rPr>
                <w:color w:val="auto"/>
                <w:lang w:val="en-GB"/>
              </w:rPr>
              <w:t>2</w:t>
            </w:r>
          </w:p>
        </w:tc>
        <w:tc>
          <w:tcPr>
            <w:tcW w:w="599" w:type="pct"/>
            <w:vAlign w:val="center"/>
          </w:tcPr>
          <w:p w:rsidR="004E28FB" w:rsidRPr="00262858" w:rsidRDefault="004E28FB" w:rsidP="004E28FB">
            <w:pPr>
              <w:pStyle w:val="CENN2"/>
              <w:rPr>
                <w:color w:val="auto"/>
                <w:lang w:val="en-GB"/>
              </w:rPr>
            </w:pPr>
            <w:r w:rsidRPr="00262858">
              <w:rPr>
                <w:color w:val="auto"/>
                <w:lang w:val="en-GB"/>
              </w:rPr>
              <w:t>3</w:t>
            </w:r>
          </w:p>
        </w:tc>
        <w:tc>
          <w:tcPr>
            <w:tcW w:w="450" w:type="pct"/>
            <w:vMerge/>
            <w:vAlign w:val="center"/>
          </w:tcPr>
          <w:p w:rsidR="004E28FB" w:rsidRPr="00262858" w:rsidRDefault="004E28FB" w:rsidP="004E28FB">
            <w:pPr>
              <w:pStyle w:val="CENN2"/>
              <w:rPr>
                <w:color w:val="auto"/>
                <w:lang w:val="en-GB"/>
              </w:rPr>
            </w:pPr>
            <w:bookmarkStart w:id="489" w:name="_Toc383738784"/>
            <w:bookmarkStart w:id="490" w:name="_Toc383784846"/>
            <w:bookmarkStart w:id="491" w:name="_Toc386503472"/>
            <w:bookmarkStart w:id="492" w:name="_Toc386503955"/>
            <w:bookmarkEnd w:id="489"/>
            <w:bookmarkEnd w:id="490"/>
            <w:bookmarkEnd w:id="491"/>
            <w:bookmarkEnd w:id="492"/>
          </w:p>
        </w:tc>
        <w:tc>
          <w:tcPr>
            <w:tcW w:w="450" w:type="pct"/>
            <w:vMerge/>
            <w:vAlign w:val="center"/>
          </w:tcPr>
          <w:p w:rsidR="004E28FB" w:rsidRPr="00262858" w:rsidRDefault="004E28FB" w:rsidP="004E28FB">
            <w:pPr>
              <w:pStyle w:val="CENN2"/>
              <w:rPr>
                <w:color w:val="auto"/>
                <w:lang w:val="en-GB"/>
              </w:rPr>
            </w:pPr>
            <w:bookmarkStart w:id="493" w:name="_Toc383738785"/>
            <w:bookmarkStart w:id="494" w:name="_Toc383784847"/>
            <w:bookmarkStart w:id="495" w:name="_Toc386503473"/>
            <w:bookmarkStart w:id="496" w:name="_Toc386503956"/>
            <w:bookmarkEnd w:id="493"/>
            <w:bookmarkEnd w:id="494"/>
            <w:bookmarkEnd w:id="495"/>
            <w:bookmarkEnd w:id="496"/>
          </w:p>
        </w:tc>
      </w:tr>
      <w:tr w:rsidR="004E28FB" w:rsidRPr="00623E33" w:rsidTr="00C50B1B">
        <w:tc>
          <w:tcPr>
            <w:tcW w:w="804" w:type="pct"/>
            <w:vAlign w:val="center"/>
          </w:tcPr>
          <w:p w:rsidR="004E28FB" w:rsidRPr="00262858" w:rsidRDefault="004E28FB" w:rsidP="004E28FB">
            <w:pPr>
              <w:pStyle w:val="CENN2"/>
              <w:rPr>
                <w:color w:val="auto"/>
                <w:lang w:val="en-GB"/>
              </w:rPr>
            </w:pPr>
            <w:r w:rsidRPr="00262858">
              <w:rPr>
                <w:color w:val="auto"/>
                <w:lang w:val="en-GB"/>
              </w:rPr>
              <w:t>2,000 – 2,749</w:t>
            </w:r>
          </w:p>
        </w:tc>
        <w:tc>
          <w:tcPr>
            <w:tcW w:w="599" w:type="pct"/>
            <w:vAlign w:val="center"/>
          </w:tcPr>
          <w:p w:rsidR="004E28FB" w:rsidRPr="00262858" w:rsidRDefault="004E28FB" w:rsidP="004E28FB">
            <w:pPr>
              <w:pStyle w:val="CENN2"/>
              <w:rPr>
                <w:color w:val="auto"/>
                <w:lang w:val="en-GB"/>
              </w:rPr>
            </w:pPr>
            <w:r w:rsidRPr="00262858">
              <w:rPr>
                <w:color w:val="auto"/>
                <w:lang w:val="en-GB"/>
              </w:rPr>
              <w:t>6</w:t>
            </w:r>
          </w:p>
        </w:tc>
        <w:tc>
          <w:tcPr>
            <w:tcW w:w="599" w:type="pct"/>
            <w:vAlign w:val="center"/>
          </w:tcPr>
          <w:p w:rsidR="004E28FB" w:rsidRPr="00262858" w:rsidRDefault="004E28FB" w:rsidP="004E28FB">
            <w:pPr>
              <w:pStyle w:val="CENN2"/>
              <w:rPr>
                <w:color w:val="auto"/>
                <w:lang w:val="en-GB"/>
              </w:rPr>
            </w:pPr>
            <w:r w:rsidRPr="00262858">
              <w:rPr>
                <w:color w:val="auto"/>
                <w:lang w:val="en-GB"/>
              </w:rPr>
              <w:t>8</w:t>
            </w:r>
          </w:p>
        </w:tc>
        <w:tc>
          <w:tcPr>
            <w:tcW w:w="450" w:type="pct"/>
            <w:vMerge w:val="restart"/>
            <w:vAlign w:val="center"/>
          </w:tcPr>
          <w:p w:rsidR="004E28FB" w:rsidRPr="00262858" w:rsidRDefault="004E28FB" w:rsidP="004E28FB">
            <w:pPr>
              <w:pStyle w:val="CENN2"/>
              <w:rPr>
                <w:color w:val="auto"/>
                <w:lang w:val="en-GB"/>
              </w:rPr>
            </w:pPr>
            <w:r w:rsidRPr="00262858">
              <w:rPr>
                <w:color w:val="auto"/>
                <w:lang w:val="en-GB"/>
              </w:rPr>
              <w:t>2</w:t>
            </w:r>
          </w:p>
        </w:tc>
        <w:tc>
          <w:tcPr>
            <w:tcW w:w="450" w:type="pct"/>
            <w:vMerge w:val="restart"/>
            <w:vAlign w:val="center"/>
          </w:tcPr>
          <w:p w:rsidR="004E28FB" w:rsidRPr="00262858" w:rsidRDefault="004E28FB" w:rsidP="004E28FB">
            <w:pPr>
              <w:pStyle w:val="CENN2"/>
              <w:rPr>
                <w:color w:val="auto"/>
                <w:lang w:val="en-GB"/>
              </w:rPr>
            </w:pPr>
            <w:r w:rsidRPr="00262858">
              <w:rPr>
                <w:color w:val="auto"/>
                <w:lang w:val="en-GB"/>
              </w:rPr>
              <w:t>3</w:t>
            </w:r>
          </w:p>
        </w:tc>
        <w:tc>
          <w:tcPr>
            <w:tcW w:w="599" w:type="pct"/>
            <w:vAlign w:val="center"/>
          </w:tcPr>
          <w:p w:rsidR="004E28FB" w:rsidRPr="00262858" w:rsidRDefault="004E28FB" w:rsidP="004E28FB">
            <w:pPr>
              <w:pStyle w:val="CENN2"/>
              <w:rPr>
                <w:color w:val="auto"/>
                <w:lang w:val="en-GB"/>
              </w:rPr>
            </w:pPr>
            <w:r w:rsidRPr="00262858">
              <w:rPr>
                <w:color w:val="auto"/>
                <w:lang w:val="en-GB"/>
              </w:rPr>
              <w:t>3</w:t>
            </w:r>
          </w:p>
        </w:tc>
        <w:tc>
          <w:tcPr>
            <w:tcW w:w="599" w:type="pct"/>
            <w:vAlign w:val="center"/>
          </w:tcPr>
          <w:p w:rsidR="004E28FB" w:rsidRPr="00262858" w:rsidRDefault="004E28FB" w:rsidP="004E28FB">
            <w:pPr>
              <w:pStyle w:val="CENN2"/>
              <w:rPr>
                <w:color w:val="auto"/>
                <w:lang w:val="en-GB"/>
              </w:rPr>
            </w:pPr>
            <w:r w:rsidRPr="00262858">
              <w:rPr>
                <w:color w:val="auto"/>
                <w:lang w:val="en-GB"/>
              </w:rPr>
              <w:t>4</w:t>
            </w:r>
          </w:p>
        </w:tc>
        <w:tc>
          <w:tcPr>
            <w:tcW w:w="450" w:type="pct"/>
            <w:vMerge w:val="restart"/>
            <w:vAlign w:val="center"/>
          </w:tcPr>
          <w:p w:rsidR="004E28FB" w:rsidRPr="00262858" w:rsidRDefault="004E28FB" w:rsidP="004E28FB">
            <w:pPr>
              <w:pStyle w:val="CENN2"/>
              <w:rPr>
                <w:color w:val="auto"/>
                <w:lang w:val="en-GB"/>
              </w:rPr>
            </w:pPr>
            <w:r w:rsidRPr="00262858">
              <w:rPr>
                <w:color w:val="auto"/>
                <w:lang w:val="en-GB"/>
              </w:rPr>
              <w:t>1</w:t>
            </w:r>
          </w:p>
        </w:tc>
        <w:tc>
          <w:tcPr>
            <w:tcW w:w="450" w:type="pct"/>
            <w:vMerge w:val="restart"/>
            <w:vAlign w:val="center"/>
          </w:tcPr>
          <w:p w:rsidR="004E28FB" w:rsidRPr="00262858" w:rsidRDefault="004E28FB" w:rsidP="004E28FB">
            <w:pPr>
              <w:pStyle w:val="CENN2"/>
              <w:rPr>
                <w:color w:val="auto"/>
                <w:lang w:val="en-GB"/>
              </w:rPr>
            </w:pPr>
            <w:r w:rsidRPr="00262858">
              <w:rPr>
                <w:color w:val="auto"/>
                <w:lang w:val="en-GB"/>
              </w:rPr>
              <w:t>1</w:t>
            </w:r>
          </w:p>
        </w:tc>
      </w:tr>
      <w:tr w:rsidR="004E28FB" w:rsidRPr="00623E33" w:rsidTr="00C50B1B">
        <w:tc>
          <w:tcPr>
            <w:tcW w:w="804" w:type="pct"/>
            <w:vAlign w:val="center"/>
          </w:tcPr>
          <w:p w:rsidR="004E28FB" w:rsidRPr="00262858" w:rsidRDefault="004E28FB" w:rsidP="004E28FB">
            <w:pPr>
              <w:pStyle w:val="CENN2"/>
              <w:rPr>
                <w:color w:val="auto"/>
                <w:lang w:val="en-GB"/>
              </w:rPr>
            </w:pPr>
            <w:r w:rsidRPr="00262858">
              <w:rPr>
                <w:color w:val="auto"/>
                <w:lang w:val="en-GB"/>
              </w:rPr>
              <w:t>2,750 – 3,749</w:t>
            </w:r>
          </w:p>
        </w:tc>
        <w:tc>
          <w:tcPr>
            <w:tcW w:w="599" w:type="pct"/>
            <w:vAlign w:val="center"/>
          </w:tcPr>
          <w:p w:rsidR="004E28FB" w:rsidRPr="00262858" w:rsidRDefault="004E28FB" w:rsidP="004E28FB">
            <w:pPr>
              <w:pStyle w:val="CENN2"/>
              <w:rPr>
                <w:color w:val="auto"/>
                <w:lang w:val="en-GB"/>
              </w:rPr>
            </w:pPr>
            <w:r w:rsidRPr="00262858">
              <w:rPr>
                <w:color w:val="auto"/>
                <w:lang w:val="en-GB"/>
              </w:rPr>
              <w:t>7</w:t>
            </w:r>
          </w:p>
        </w:tc>
        <w:tc>
          <w:tcPr>
            <w:tcW w:w="599" w:type="pct"/>
            <w:vAlign w:val="center"/>
          </w:tcPr>
          <w:p w:rsidR="004E28FB" w:rsidRPr="00262858" w:rsidRDefault="004E28FB" w:rsidP="004E28FB">
            <w:pPr>
              <w:pStyle w:val="CENN2"/>
              <w:rPr>
                <w:color w:val="auto"/>
                <w:lang w:val="en-GB"/>
              </w:rPr>
            </w:pPr>
            <w:r w:rsidRPr="00262858">
              <w:rPr>
                <w:color w:val="auto"/>
                <w:lang w:val="en-GB"/>
              </w:rPr>
              <w:t>10</w:t>
            </w:r>
          </w:p>
        </w:tc>
        <w:tc>
          <w:tcPr>
            <w:tcW w:w="450" w:type="pct"/>
            <w:vMerge/>
            <w:vAlign w:val="center"/>
          </w:tcPr>
          <w:p w:rsidR="004E28FB" w:rsidRPr="00262858" w:rsidRDefault="004E28FB" w:rsidP="004E28FB">
            <w:pPr>
              <w:pStyle w:val="CENN2"/>
              <w:rPr>
                <w:color w:val="auto"/>
                <w:lang w:val="en-GB"/>
              </w:rPr>
            </w:pPr>
            <w:bookmarkStart w:id="497" w:name="_Toc383738786"/>
            <w:bookmarkStart w:id="498" w:name="_Toc383784848"/>
            <w:bookmarkStart w:id="499" w:name="_Toc386503474"/>
            <w:bookmarkStart w:id="500" w:name="_Toc386503957"/>
            <w:bookmarkEnd w:id="497"/>
            <w:bookmarkEnd w:id="498"/>
            <w:bookmarkEnd w:id="499"/>
            <w:bookmarkEnd w:id="500"/>
          </w:p>
        </w:tc>
        <w:tc>
          <w:tcPr>
            <w:tcW w:w="450" w:type="pct"/>
            <w:vMerge/>
            <w:vAlign w:val="center"/>
          </w:tcPr>
          <w:p w:rsidR="004E28FB" w:rsidRPr="00262858" w:rsidRDefault="004E28FB" w:rsidP="004E28FB">
            <w:pPr>
              <w:pStyle w:val="CENN2"/>
              <w:rPr>
                <w:color w:val="auto"/>
                <w:lang w:val="en-GB"/>
              </w:rPr>
            </w:pPr>
            <w:bookmarkStart w:id="501" w:name="_Toc383738787"/>
            <w:bookmarkStart w:id="502" w:name="_Toc383784849"/>
            <w:bookmarkStart w:id="503" w:name="_Toc386503475"/>
            <w:bookmarkStart w:id="504" w:name="_Toc386503958"/>
            <w:bookmarkEnd w:id="501"/>
            <w:bookmarkEnd w:id="502"/>
            <w:bookmarkEnd w:id="503"/>
            <w:bookmarkEnd w:id="504"/>
          </w:p>
        </w:tc>
        <w:tc>
          <w:tcPr>
            <w:tcW w:w="599" w:type="pct"/>
            <w:vAlign w:val="center"/>
          </w:tcPr>
          <w:p w:rsidR="004E28FB" w:rsidRPr="00262858" w:rsidRDefault="004E28FB" w:rsidP="004E28FB">
            <w:pPr>
              <w:pStyle w:val="CENN2"/>
              <w:rPr>
                <w:color w:val="auto"/>
                <w:lang w:val="en-GB"/>
              </w:rPr>
            </w:pPr>
            <w:r w:rsidRPr="00262858">
              <w:rPr>
                <w:color w:val="auto"/>
                <w:lang w:val="en-GB"/>
              </w:rPr>
              <w:t>3</w:t>
            </w:r>
          </w:p>
        </w:tc>
        <w:tc>
          <w:tcPr>
            <w:tcW w:w="599" w:type="pct"/>
            <w:vAlign w:val="center"/>
          </w:tcPr>
          <w:p w:rsidR="004E28FB" w:rsidRPr="00262858" w:rsidRDefault="004E28FB" w:rsidP="004E28FB">
            <w:pPr>
              <w:pStyle w:val="CENN2"/>
              <w:rPr>
                <w:color w:val="auto"/>
                <w:lang w:val="en-GB"/>
              </w:rPr>
            </w:pPr>
            <w:r w:rsidRPr="00262858">
              <w:rPr>
                <w:color w:val="auto"/>
                <w:lang w:val="en-GB"/>
              </w:rPr>
              <w:t>4</w:t>
            </w:r>
          </w:p>
        </w:tc>
        <w:tc>
          <w:tcPr>
            <w:tcW w:w="450" w:type="pct"/>
            <w:vMerge/>
            <w:vAlign w:val="center"/>
          </w:tcPr>
          <w:p w:rsidR="004E28FB" w:rsidRPr="00262858" w:rsidRDefault="004E28FB" w:rsidP="004E28FB">
            <w:pPr>
              <w:pStyle w:val="CENN2"/>
              <w:rPr>
                <w:color w:val="auto"/>
                <w:lang w:val="en-GB"/>
              </w:rPr>
            </w:pPr>
            <w:bookmarkStart w:id="505" w:name="_Toc383738788"/>
            <w:bookmarkStart w:id="506" w:name="_Toc383784850"/>
            <w:bookmarkStart w:id="507" w:name="_Toc386503476"/>
            <w:bookmarkStart w:id="508" w:name="_Toc386503959"/>
            <w:bookmarkEnd w:id="505"/>
            <w:bookmarkEnd w:id="506"/>
            <w:bookmarkEnd w:id="507"/>
            <w:bookmarkEnd w:id="508"/>
          </w:p>
        </w:tc>
        <w:tc>
          <w:tcPr>
            <w:tcW w:w="450" w:type="pct"/>
            <w:vMerge/>
            <w:vAlign w:val="center"/>
          </w:tcPr>
          <w:p w:rsidR="004E28FB" w:rsidRPr="00262858" w:rsidRDefault="004E28FB" w:rsidP="004E28FB">
            <w:pPr>
              <w:pStyle w:val="CENN2"/>
              <w:rPr>
                <w:color w:val="auto"/>
                <w:lang w:val="en-GB"/>
              </w:rPr>
            </w:pPr>
            <w:bookmarkStart w:id="509" w:name="_Toc383738789"/>
            <w:bookmarkStart w:id="510" w:name="_Toc383784851"/>
            <w:bookmarkStart w:id="511" w:name="_Toc386503477"/>
            <w:bookmarkStart w:id="512" w:name="_Toc386503960"/>
            <w:bookmarkEnd w:id="509"/>
            <w:bookmarkEnd w:id="510"/>
            <w:bookmarkEnd w:id="511"/>
            <w:bookmarkEnd w:id="512"/>
          </w:p>
        </w:tc>
      </w:tr>
      <w:tr w:rsidR="004E28FB" w:rsidRPr="00623E33" w:rsidTr="00C50B1B">
        <w:tc>
          <w:tcPr>
            <w:tcW w:w="804" w:type="pct"/>
            <w:vAlign w:val="center"/>
          </w:tcPr>
          <w:p w:rsidR="004E28FB" w:rsidRPr="00262858" w:rsidRDefault="004E28FB" w:rsidP="004E28FB">
            <w:pPr>
              <w:pStyle w:val="CENN2"/>
              <w:rPr>
                <w:color w:val="auto"/>
                <w:lang w:val="en-GB"/>
              </w:rPr>
            </w:pPr>
            <w:r w:rsidRPr="00262858">
              <w:rPr>
                <w:color w:val="auto"/>
                <w:lang w:val="en-GB"/>
              </w:rPr>
              <w:t>3,750 – 4,749</w:t>
            </w:r>
          </w:p>
        </w:tc>
        <w:tc>
          <w:tcPr>
            <w:tcW w:w="599" w:type="pct"/>
            <w:vAlign w:val="center"/>
          </w:tcPr>
          <w:p w:rsidR="004E28FB" w:rsidRPr="00262858" w:rsidRDefault="004E28FB" w:rsidP="004E28FB">
            <w:pPr>
              <w:pStyle w:val="CENN2"/>
              <w:rPr>
                <w:color w:val="auto"/>
                <w:lang w:val="en-GB"/>
              </w:rPr>
            </w:pPr>
            <w:r w:rsidRPr="00262858">
              <w:rPr>
                <w:color w:val="auto"/>
                <w:lang w:val="en-GB"/>
              </w:rPr>
              <w:t>8</w:t>
            </w:r>
          </w:p>
        </w:tc>
        <w:tc>
          <w:tcPr>
            <w:tcW w:w="599" w:type="pct"/>
            <w:vAlign w:val="center"/>
          </w:tcPr>
          <w:p w:rsidR="004E28FB" w:rsidRPr="00262858" w:rsidRDefault="004E28FB" w:rsidP="004E28FB">
            <w:pPr>
              <w:pStyle w:val="CENN2"/>
              <w:rPr>
                <w:color w:val="auto"/>
                <w:lang w:val="en-GB"/>
              </w:rPr>
            </w:pPr>
            <w:r w:rsidRPr="00262858">
              <w:rPr>
                <w:color w:val="auto"/>
                <w:lang w:val="en-GB"/>
              </w:rPr>
              <w:t>11</w:t>
            </w:r>
          </w:p>
        </w:tc>
        <w:tc>
          <w:tcPr>
            <w:tcW w:w="450" w:type="pct"/>
            <w:vAlign w:val="center"/>
          </w:tcPr>
          <w:p w:rsidR="004E28FB" w:rsidRPr="00262858" w:rsidRDefault="004E28FB" w:rsidP="004E28FB">
            <w:pPr>
              <w:pStyle w:val="CENN2"/>
              <w:rPr>
                <w:color w:val="auto"/>
                <w:lang w:val="en-GB"/>
              </w:rPr>
            </w:pPr>
            <w:r w:rsidRPr="00262858">
              <w:rPr>
                <w:color w:val="auto"/>
                <w:lang w:val="en-GB"/>
              </w:rPr>
              <w:t>3</w:t>
            </w:r>
          </w:p>
        </w:tc>
        <w:tc>
          <w:tcPr>
            <w:tcW w:w="450" w:type="pct"/>
            <w:vAlign w:val="center"/>
          </w:tcPr>
          <w:p w:rsidR="004E28FB" w:rsidRPr="00262858" w:rsidRDefault="004E28FB" w:rsidP="004E28FB">
            <w:pPr>
              <w:pStyle w:val="CENN2"/>
              <w:rPr>
                <w:color w:val="auto"/>
                <w:lang w:val="en-GB"/>
              </w:rPr>
            </w:pPr>
            <w:r w:rsidRPr="00262858">
              <w:rPr>
                <w:color w:val="auto"/>
                <w:lang w:val="en-GB"/>
              </w:rPr>
              <w:t>4</w:t>
            </w:r>
          </w:p>
        </w:tc>
        <w:tc>
          <w:tcPr>
            <w:tcW w:w="599" w:type="pct"/>
            <w:vAlign w:val="center"/>
          </w:tcPr>
          <w:p w:rsidR="004E28FB" w:rsidRPr="00262858" w:rsidRDefault="004E28FB" w:rsidP="004E28FB">
            <w:pPr>
              <w:pStyle w:val="CENN2"/>
              <w:rPr>
                <w:color w:val="auto"/>
                <w:lang w:val="en-GB"/>
              </w:rPr>
            </w:pPr>
            <w:r w:rsidRPr="00262858">
              <w:rPr>
                <w:color w:val="auto"/>
                <w:lang w:val="en-GB"/>
              </w:rPr>
              <w:t>3</w:t>
            </w:r>
          </w:p>
        </w:tc>
        <w:tc>
          <w:tcPr>
            <w:tcW w:w="599" w:type="pct"/>
            <w:vAlign w:val="center"/>
          </w:tcPr>
          <w:p w:rsidR="004E28FB" w:rsidRPr="00262858" w:rsidRDefault="004E28FB" w:rsidP="004E28FB">
            <w:pPr>
              <w:pStyle w:val="CENN2"/>
              <w:rPr>
                <w:color w:val="auto"/>
                <w:lang w:val="en-GB"/>
              </w:rPr>
            </w:pPr>
            <w:r w:rsidRPr="00262858">
              <w:rPr>
                <w:color w:val="auto"/>
                <w:lang w:val="en-GB"/>
              </w:rPr>
              <w:t>6</w:t>
            </w:r>
          </w:p>
        </w:tc>
        <w:tc>
          <w:tcPr>
            <w:tcW w:w="450" w:type="pct"/>
            <w:vAlign w:val="center"/>
          </w:tcPr>
          <w:p w:rsidR="004E28FB" w:rsidRPr="00262858" w:rsidRDefault="004E28FB" w:rsidP="004E28FB">
            <w:pPr>
              <w:pStyle w:val="CENN2"/>
              <w:rPr>
                <w:color w:val="auto"/>
                <w:lang w:val="en-GB"/>
              </w:rPr>
            </w:pPr>
            <w:r w:rsidRPr="00262858">
              <w:rPr>
                <w:color w:val="auto"/>
                <w:lang w:val="en-GB"/>
              </w:rPr>
              <w:t>2</w:t>
            </w:r>
          </w:p>
        </w:tc>
        <w:tc>
          <w:tcPr>
            <w:tcW w:w="450" w:type="pct"/>
            <w:vAlign w:val="center"/>
          </w:tcPr>
          <w:p w:rsidR="004E28FB" w:rsidRPr="00262858" w:rsidRDefault="004E28FB" w:rsidP="004E28FB">
            <w:pPr>
              <w:pStyle w:val="CENN2"/>
              <w:rPr>
                <w:color w:val="auto"/>
                <w:lang w:val="en-GB"/>
              </w:rPr>
            </w:pPr>
            <w:r w:rsidRPr="00262858">
              <w:rPr>
                <w:color w:val="auto"/>
                <w:lang w:val="en-GB"/>
              </w:rPr>
              <w:t>2</w:t>
            </w:r>
          </w:p>
        </w:tc>
      </w:tr>
      <w:tr w:rsidR="004E28FB" w:rsidRPr="00623E33" w:rsidTr="00C50B1B">
        <w:tc>
          <w:tcPr>
            <w:tcW w:w="804" w:type="pct"/>
            <w:vAlign w:val="center"/>
          </w:tcPr>
          <w:p w:rsidR="004E28FB" w:rsidRPr="00262858" w:rsidRDefault="004E28FB" w:rsidP="004E28FB">
            <w:pPr>
              <w:pStyle w:val="CENN2"/>
              <w:rPr>
                <w:color w:val="auto"/>
                <w:lang w:val="en-GB"/>
              </w:rPr>
            </w:pPr>
            <w:r w:rsidRPr="00262858">
              <w:rPr>
                <w:color w:val="auto"/>
                <w:lang w:val="en-GB"/>
              </w:rPr>
              <w:t>4,750 – 5,999</w:t>
            </w:r>
          </w:p>
        </w:tc>
        <w:tc>
          <w:tcPr>
            <w:tcW w:w="599" w:type="pct"/>
            <w:vAlign w:val="center"/>
          </w:tcPr>
          <w:p w:rsidR="004E28FB" w:rsidRPr="00262858" w:rsidRDefault="004E28FB" w:rsidP="004E28FB">
            <w:pPr>
              <w:pStyle w:val="CENN2"/>
              <w:rPr>
                <w:color w:val="auto"/>
                <w:lang w:val="en-GB"/>
              </w:rPr>
            </w:pPr>
            <w:r w:rsidRPr="00262858">
              <w:rPr>
                <w:color w:val="auto"/>
                <w:lang w:val="en-GB"/>
              </w:rPr>
              <w:t>9</w:t>
            </w:r>
          </w:p>
        </w:tc>
        <w:tc>
          <w:tcPr>
            <w:tcW w:w="599" w:type="pct"/>
            <w:vAlign w:val="center"/>
          </w:tcPr>
          <w:p w:rsidR="004E28FB" w:rsidRPr="00262858" w:rsidRDefault="004E28FB" w:rsidP="004E28FB">
            <w:pPr>
              <w:pStyle w:val="CENN2"/>
              <w:rPr>
                <w:color w:val="auto"/>
                <w:lang w:val="en-GB"/>
              </w:rPr>
            </w:pPr>
            <w:r w:rsidRPr="00262858">
              <w:rPr>
                <w:color w:val="auto"/>
                <w:lang w:val="en-GB"/>
              </w:rPr>
              <w:t>13</w:t>
            </w:r>
          </w:p>
        </w:tc>
        <w:tc>
          <w:tcPr>
            <w:tcW w:w="450" w:type="pct"/>
            <w:vAlign w:val="center"/>
          </w:tcPr>
          <w:p w:rsidR="004E28FB" w:rsidRPr="00262858" w:rsidRDefault="004E28FB" w:rsidP="004E28FB">
            <w:pPr>
              <w:pStyle w:val="CENN2"/>
              <w:rPr>
                <w:color w:val="auto"/>
                <w:lang w:val="en-GB"/>
              </w:rPr>
            </w:pPr>
            <w:r w:rsidRPr="00262858">
              <w:rPr>
                <w:color w:val="auto"/>
                <w:lang w:val="en-GB"/>
              </w:rPr>
              <w:t>4</w:t>
            </w:r>
          </w:p>
        </w:tc>
        <w:tc>
          <w:tcPr>
            <w:tcW w:w="450" w:type="pct"/>
            <w:vAlign w:val="center"/>
          </w:tcPr>
          <w:p w:rsidR="004E28FB" w:rsidRPr="00262858" w:rsidRDefault="004E28FB" w:rsidP="004E28FB">
            <w:pPr>
              <w:pStyle w:val="CENN2"/>
              <w:rPr>
                <w:color w:val="auto"/>
                <w:lang w:val="en-GB"/>
              </w:rPr>
            </w:pPr>
            <w:r w:rsidRPr="00262858">
              <w:rPr>
                <w:color w:val="auto"/>
                <w:lang w:val="en-GB"/>
              </w:rPr>
              <w:t>5</w:t>
            </w:r>
          </w:p>
        </w:tc>
        <w:tc>
          <w:tcPr>
            <w:tcW w:w="599" w:type="pct"/>
            <w:vAlign w:val="center"/>
          </w:tcPr>
          <w:p w:rsidR="004E28FB" w:rsidRPr="00262858" w:rsidRDefault="004E28FB" w:rsidP="004E28FB">
            <w:pPr>
              <w:pStyle w:val="CENN2"/>
              <w:rPr>
                <w:color w:val="auto"/>
                <w:lang w:val="en-GB"/>
              </w:rPr>
            </w:pPr>
            <w:r w:rsidRPr="00262858">
              <w:rPr>
                <w:color w:val="auto"/>
                <w:lang w:val="en-GB"/>
              </w:rPr>
              <w:t>4</w:t>
            </w:r>
          </w:p>
        </w:tc>
        <w:tc>
          <w:tcPr>
            <w:tcW w:w="599" w:type="pct"/>
            <w:vAlign w:val="center"/>
          </w:tcPr>
          <w:p w:rsidR="004E28FB" w:rsidRPr="00262858" w:rsidRDefault="004E28FB" w:rsidP="004E28FB">
            <w:pPr>
              <w:pStyle w:val="CENN2"/>
              <w:rPr>
                <w:color w:val="auto"/>
                <w:lang w:val="en-GB"/>
              </w:rPr>
            </w:pPr>
            <w:r w:rsidRPr="00262858">
              <w:rPr>
                <w:color w:val="auto"/>
                <w:lang w:val="en-GB"/>
              </w:rPr>
              <w:t>6</w:t>
            </w:r>
          </w:p>
        </w:tc>
        <w:tc>
          <w:tcPr>
            <w:tcW w:w="450" w:type="pct"/>
            <w:vAlign w:val="center"/>
          </w:tcPr>
          <w:p w:rsidR="004E28FB" w:rsidRPr="00262858" w:rsidRDefault="004E28FB" w:rsidP="004E28FB">
            <w:pPr>
              <w:pStyle w:val="CENN2"/>
              <w:rPr>
                <w:color w:val="auto"/>
                <w:lang w:val="en-GB"/>
              </w:rPr>
            </w:pPr>
            <w:r w:rsidRPr="00262858">
              <w:rPr>
                <w:color w:val="auto"/>
                <w:lang w:val="en-GB"/>
              </w:rPr>
              <w:t>2</w:t>
            </w:r>
          </w:p>
        </w:tc>
        <w:tc>
          <w:tcPr>
            <w:tcW w:w="450" w:type="pct"/>
            <w:vAlign w:val="center"/>
          </w:tcPr>
          <w:p w:rsidR="004E28FB" w:rsidRPr="00262858" w:rsidRDefault="004E28FB" w:rsidP="004E28FB">
            <w:pPr>
              <w:pStyle w:val="CENN2"/>
              <w:rPr>
                <w:color w:val="auto"/>
                <w:lang w:val="en-GB"/>
              </w:rPr>
            </w:pPr>
            <w:r w:rsidRPr="00262858">
              <w:rPr>
                <w:color w:val="auto"/>
                <w:lang w:val="en-GB"/>
              </w:rPr>
              <w:t>2</w:t>
            </w:r>
          </w:p>
        </w:tc>
      </w:tr>
      <w:tr w:rsidR="004E28FB" w:rsidRPr="00623E33" w:rsidTr="00C50B1B">
        <w:tc>
          <w:tcPr>
            <w:tcW w:w="804" w:type="pct"/>
            <w:vAlign w:val="center"/>
          </w:tcPr>
          <w:p w:rsidR="004E28FB" w:rsidRPr="00262858" w:rsidRDefault="004E28FB" w:rsidP="004E28FB">
            <w:pPr>
              <w:pStyle w:val="CENN2"/>
              <w:rPr>
                <w:color w:val="auto"/>
                <w:lang w:val="en-GB"/>
              </w:rPr>
            </w:pPr>
            <w:r w:rsidRPr="00262858">
              <w:rPr>
                <w:color w:val="auto"/>
                <w:lang w:val="en-GB"/>
              </w:rPr>
              <w:t>&gt; 6,000</w:t>
            </w:r>
          </w:p>
        </w:tc>
        <w:tc>
          <w:tcPr>
            <w:tcW w:w="599" w:type="pct"/>
            <w:vAlign w:val="center"/>
          </w:tcPr>
          <w:p w:rsidR="004E28FB" w:rsidRPr="00262858" w:rsidRDefault="004E28FB" w:rsidP="004E28FB">
            <w:pPr>
              <w:pStyle w:val="CENN2"/>
              <w:rPr>
                <w:color w:val="auto"/>
                <w:lang w:val="en-GB"/>
              </w:rPr>
            </w:pPr>
            <w:r w:rsidRPr="00262858">
              <w:rPr>
                <w:color w:val="auto"/>
                <w:lang w:val="en-GB"/>
              </w:rPr>
              <w:t>10</w:t>
            </w:r>
          </w:p>
        </w:tc>
        <w:tc>
          <w:tcPr>
            <w:tcW w:w="599" w:type="pct"/>
            <w:vAlign w:val="center"/>
          </w:tcPr>
          <w:p w:rsidR="004E28FB" w:rsidRPr="00262858" w:rsidRDefault="004E28FB" w:rsidP="004E28FB">
            <w:pPr>
              <w:pStyle w:val="CENN2"/>
              <w:rPr>
                <w:color w:val="auto"/>
                <w:lang w:val="en-GB"/>
              </w:rPr>
            </w:pPr>
            <w:r w:rsidRPr="00262858">
              <w:rPr>
                <w:color w:val="auto"/>
                <w:lang w:val="en-GB"/>
              </w:rPr>
              <w:t>15</w:t>
            </w:r>
          </w:p>
        </w:tc>
        <w:tc>
          <w:tcPr>
            <w:tcW w:w="450" w:type="pct"/>
            <w:vAlign w:val="center"/>
          </w:tcPr>
          <w:p w:rsidR="004E28FB" w:rsidRPr="00262858" w:rsidRDefault="004E28FB" w:rsidP="004E28FB">
            <w:pPr>
              <w:pStyle w:val="CENN2"/>
              <w:rPr>
                <w:color w:val="auto"/>
                <w:lang w:val="en-GB"/>
              </w:rPr>
            </w:pPr>
            <w:r w:rsidRPr="00262858">
              <w:rPr>
                <w:color w:val="auto"/>
                <w:lang w:val="en-GB"/>
              </w:rPr>
              <w:t>5</w:t>
            </w:r>
          </w:p>
        </w:tc>
        <w:tc>
          <w:tcPr>
            <w:tcW w:w="450" w:type="pct"/>
            <w:vAlign w:val="center"/>
          </w:tcPr>
          <w:p w:rsidR="004E28FB" w:rsidRPr="00262858" w:rsidRDefault="004E28FB" w:rsidP="004E28FB">
            <w:pPr>
              <w:pStyle w:val="CENN2"/>
              <w:rPr>
                <w:color w:val="auto"/>
                <w:lang w:val="en-GB"/>
              </w:rPr>
            </w:pPr>
            <w:r w:rsidRPr="00262858">
              <w:rPr>
                <w:color w:val="auto"/>
                <w:lang w:val="en-GB"/>
              </w:rPr>
              <w:t>5</w:t>
            </w:r>
          </w:p>
        </w:tc>
        <w:tc>
          <w:tcPr>
            <w:tcW w:w="599" w:type="pct"/>
            <w:vAlign w:val="center"/>
          </w:tcPr>
          <w:p w:rsidR="004E28FB" w:rsidRPr="00262858" w:rsidRDefault="004E28FB" w:rsidP="004E28FB">
            <w:pPr>
              <w:pStyle w:val="CENN2"/>
              <w:rPr>
                <w:color w:val="auto"/>
                <w:lang w:val="en-GB"/>
              </w:rPr>
            </w:pPr>
            <w:r w:rsidRPr="00262858">
              <w:rPr>
                <w:color w:val="auto"/>
                <w:lang w:val="en-GB"/>
              </w:rPr>
              <w:t>4</w:t>
            </w:r>
          </w:p>
        </w:tc>
        <w:tc>
          <w:tcPr>
            <w:tcW w:w="599" w:type="pct"/>
            <w:vAlign w:val="center"/>
          </w:tcPr>
          <w:p w:rsidR="004E28FB" w:rsidRPr="00262858" w:rsidRDefault="004E28FB" w:rsidP="004E28FB">
            <w:pPr>
              <w:pStyle w:val="CENN2"/>
              <w:rPr>
                <w:color w:val="auto"/>
                <w:lang w:val="en-GB"/>
              </w:rPr>
            </w:pPr>
            <w:r w:rsidRPr="00262858">
              <w:rPr>
                <w:color w:val="auto"/>
                <w:lang w:val="en-GB"/>
              </w:rPr>
              <w:t>7</w:t>
            </w:r>
          </w:p>
        </w:tc>
        <w:tc>
          <w:tcPr>
            <w:tcW w:w="450" w:type="pct"/>
            <w:vAlign w:val="center"/>
          </w:tcPr>
          <w:p w:rsidR="004E28FB" w:rsidRPr="00262858" w:rsidRDefault="004E28FB" w:rsidP="004E28FB">
            <w:pPr>
              <w:pStyle w:val="CENN2"/>
              <w:rPr>
                <w:color w:val="auto"/>
                <w:lang w:val="en-GB"/>
              </w:rPr>
            </w:pPr>
            <w:r w:rsidRPr="00262858">
              <w:rPr>
                <w:color w:val="auto"/>
                <w:lang w:val="en-GB"/>
              </w:rPr>
              <w:t>2</w:t>
            </w:r>
          </w:p>
        </w:tc>
        <w:tc>
          <w:tcPr>
            <w:tcW w:w="450" w:type="pct"/>
            <w:vAlign w:val="center"/>
          </w:tcPr>
          <w:p w:rsidR="004E28FB" w:rsidRPr="00262858" w:rsidRDefault="004E28FB" w:rsidP="004E28FB">
            <w:pPr>
              <w:pStyle w:val="CENN2"/>
              <w:rPr>
                <w:color w:val="auto"/>
                <w:lang w:val="en-GB"/>
              </w:rPr>
            </w:pPr>
            <w:r w:rsidRPr="00262858">
              <w:rPr>
                <w:color w:val="auto"/>
                <w:lang w:val="en-GB"/>
              </w:rPr>
              <w:t>2</w:t>
            </w:r>
          </w:p>
        </w:tc>
      </w:tr>
    </w:tbl>
    <w:p w:rsidR="004E28FB" w:rsidRPr="00093A43" w:rsidRDefault="004E28FB" w:rsidP="000E313D">
      <w:pPr>
        <w:pStyle w:val="Heading3"/>
      </w:pPr>
      <w:bookmarkStart w:id="513" w:name="_Toc392596377"/>
      <w:r w:rsidRPr="00093A43">
        <w:t>Minimum number of sampling points for fixed measurements of concentrations of ozone</w:t>
      </w:r>
      <w:bookmarkEnd w:id="513"/>
    </w:p>
    <w:p w:rsidR="004E28FB" w:rsidRDefault="004E28FB" w:rsidP="000E313D">
      <w:pPr>
        <w:rPr>
          <w:rFonts w:cstheme="minorHAnsi"/>
          <w:b/>
          <w:i/>
          <w:sz w:val="24"/>
        </w:rPr>
      </w:pPr>
      <w:r w:rsidRPr="00623E33">
        <w:t xml:space="preserve">The number of sampling points for fixed measurements of ozone in each zone or agglomeration within which measurement is the sole source of information for assessing air quality shall not be less than the minimum number of sampling points specified in table </w:t>
      </w:r>
      <w:r>
        <w:t>2-6</w:t>
      </w:r>
      <w:r w:rsidRPr="00623E33">
        <w:t xml:space="preserve"> below.</w:t>
      </w:r>
    </w:p>
    <w:p w:rsidR="004E28FB" w:rsidRPr="00623E33" w:rsidRDefault="004E28FB" w:rsidP="00581A85">
      <w:pPr>
        <w:pStyle w:val="TOC1"/>
      </w:pPr>
      <w:r w:rsidRPr="00623E33">
        <w:lastRenderedPageBreak/>
        <w:t xml:space="preserve">Table </w:t>
      </w:r>
      <w:r w:rsidR="005101F7">
        <w:fldChar w:fldCharType="begin"/>
      </w:r>
      <w:r w:rsidR="005101F7">
        <w:instrText xml:space="preserve"> STYLEREF 1 \s </w:instrText>
      </w:r>
      <w:r w:rsidR="005101F7">
        <w:fldChar w:fldCharType="separate"/>
      </w:r>
      <w:r>
        <w:rPr>
          <w:noProof/>
        </w:rPr>
        <w:t>2</w:t>
      </w:r>
      <w:r w:rsidR="005101F7">
        <w:rPr>
          <w:noProof/>
        </w:rPr>
        <w:fldChar w:fldCharType="end"/>
      </w:r>
      <w:r>
        <w:noBreakHyphen/>
        <w:t xml:space="preserve">6 </w:t>
      </w:r>
      <w:r w:rsidRPr="00623E33">
        <w:t xml:space="preserve">Minimum Number of Sample Points for fixed measurements for zones and agglomeration attaining the long-term objectives required under </w:t>
      </w:r>
      <w:r w:rsidRPr="00994089">
        <w:t>2008/50/EC</w:t>
      </w:r>
      <w:r>
        <w:t xml:space="preserve"> </w:t>
      </w:r>
      <w:r w:rsidRPr="00623E33">
        <w:t xml:space="preserve">(Annex </w:t>
      </w:r>
      <w:r>
        <w:t>V)</w:t>
      </w:r>
    </w:p>
    <w:tbl>
      <w:tblPr>
        <w:tblStyle w:val="TableGrid"/>
        <w:tblW w:w="0" w:type="auto"/>
        <w:tblInd w:w="108" w:type="dxa"/>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12" w:space="0" w:color="76923C" w:themeColor="accent3" w:themeShade="BF"/>
          <w:insideV w:val="single" w:sz="12" w:space="0" w:color="76923C" w:themeColor="accent3" w:themeShade="BF"/>
        </w:tblBorders>
        <w:tblLook w:val="04A0" w:firstRow="1" w:lastRow="0" w:firstColumn="1" w:lastColumn="0" w:noHBand="0" w:noVBand="1"/>
      </w:tblPr>
      <w:tblGrid>
        <w:gridCol w:w="2261"/>
        <w:gridCol w:w="2262"/>
        <w:gridCol w:w="2262"/>
        <w:gridCol w:w="2263"/>
      </w:tblGrid>
      <w:tr w:rsidR="004E28FB" w:rsidRPr="00623E33" w:rsidTr="004E28FB">
        <w:trPr>
          <w:trHeight w:val="340"/>
          <w:tblHeader/>
        </w:trPr>
        <w:tc>
          <w:tcPr>
            <w:tcW w:w="9048" w:type="dxa"/>
            <w:gridSpan w:val="4"/>
            <w:shd w:val="clear" w:color="auto" w:fill="1F497D" w:themeFill="text2"/>
            <w:vAlign w:val="center"/>
          </w:tcPr>
          <w:p w:rsidR="004E28FB" w:rsidRPr="00E61DBA" w:rsidRDefault="004E28FB" w:rsidP="00B16DB1">
            <w:pPr>
              <w:keepNext/>
              <w:keepLines/>
              <w:jc w:val="center"/>
              <w:rPr>
                <w:rFonts w:cs="Arial"/>
                <w:b/>
                <w:color w:val="FFFFFF" w:themeColor="background1"/>
                <w:sz w:val="20"/>
              </w:rPr>
            </w:pPr>
            <w:r w:rsidRPr="00E61DBA">
              <w:rPr>
                <w:rFonts w:cs="Arial"/>
                <w:b/>
                <w:color w:val="FFFFFF" w:themeColor="background1"/>
                <w:sz w:val="20"/>
              </w:rPr>
              <w:t>Minimum Number of Sample Points for fixed measurements for zones and agglomeration attaining the long-term objectives</w:t>
            </w:r>
          </w:p>
        </w:tc>
      </w:tr>
      <w:tr w:rsidR="004E28FB" w:rsidRPr="00623E33" w:rsidTr="004E28FB">
        <w:trPr>
          <w:trHeight w:val="340"/>
        </w:trPr>
        <w:tc>
          <w:tcPr>
            <w:tcW w:w="2261" w:type="dxa"/>
            <w:vAlign w:val="center"/>
          </w:tcPr>
          <w:p w:rsidR="004E28FB" w:rsidRPr="00623E33" w:rsidRDefault="004E28FB" w:rsidP="00B16DB1">
            <w:pPr>
              <w:keepNext/>
              <w:keepLines/>
              <w:rPr>
                <w:sz w:val="20"/>
              </w:rPr>
            </w:pPr>
            <w:r w:rsidRPr="00623E33">
              <w:rPr>
                <w:sz w:val="20"/>
              </w:rPr>
              <w:t>Population of agglomeration or zone (thousands)</w:t>
            </w:r>
          </w:p>
        </w:tc>
        <w:tc>
          <w:tcPr>
            <w:tcW w:w="2262" w:type="dxa"/>
            <w:vAlign w:val="center"/>
          </w:tcPr>
          <w:p w:rsidR="004E28FB" w:rsidRPr="00623E33" w:rsidRDefault="004E28FB" w:rsidP="00B16DB1">
            <w:pPr>
              <w:keepNext/>
              <w:keepLines/>
              <w:rPr>
                <w:sz w:val="20"/>
              </w:rPr>
            </w:pPr>
            <w:r w:rsidRPr="00623E33">
              <w:rPr>
                <w:sz w:val="20"/>
              </w:rPr>
              <w:t>Agglomerations (urban and suburban) or zone (thousands)</w:t>
            </w:r>
          </w:p>
        </w:tc>
        <w:tc>
          <w:tcPr>
            <w:tcW w:w="2262" w:type="dxa"/>
            <w:vAlign w:val="center"/>
          </w:tcPr>
          <w:p w:rsidR="004E28FB" w:rsidRPr="00623E33" w:rsidRDefault="004E28FB" w:rsidP="00B16DB1">
            <w:pPr>
              <w:keepNext/>
              <w:keepLines/>
              <w:rPr>
                <w:sz w:val="20"/>
              </w:rPr>
            </w:pPr>
            <w:r w:rsidRPr="00623E33">
              <w:rPr>
                <w:sz w:val="20"/>
              </w:rPr>
              <w:t xml:space="preserve">Other zones (suburban and rural) </w:t>
            </w:r>
          </w:p>
        </w:tc>
        <w:tc>
          <w:tcPr>
            <w:tcW w:w="2263" w:type="dxa"/>
            <w:vAlign w:val="center"/>
          </w:tcPr>
          <w:p w:rsidR="004E28FB" w:rsidRPr="00623E33" w:rsidRDefault="004E28FB" w:rsidP="00B16DB1">
            <w:pPr>
              <w:keepNext/>
              <w:keepLines/>
              <w:rPr>
                <w:sz w:val="20"/>
              </w:rPr>
            </w:pPr>
            <w:r w:rsidRPr="00623E33">
              <w:rPr>
                <w:sz w:val="20"/>
              </w:rPr>
              <w:t>Rural background</w:t>
            </w:r>
          </w:p>
        </w:tc>
      </w:tr>
      <w:tr w:rsidR="004E28FB" w:rsidRPr="00623E33" w:rsidTr="004E28FB">
        <w:trPr>
          <w:trHeight w:val="340"/>
        </w:trPr>
        <w:tc>
          <w:tcPr>
            <w:tcW w:w="2261" w:type="dxa"/>
            <w:vAlign w:val="center"/>
          </w:tcPr>
          <w:p w:rsidR="004E28FB" w:rsidRPr="00623E33" w:rsidRDefault="004E28FB" w:rsidP="00B16DB1">
            <w:pPr>
              <w:keepNext/>
              <w:keepLines/>
              <w:rPr>
                <w:sz w:val="20"/>
              </w:rPr>
            </w:pPr>
            <w:r w:rsidRPr="00623E33">
              <w:rPr>
                <w:sz w:val="20"/>
              </w:rPr>
              <w:t>&lt; 250</w:t>
            </w:r>
          </w:p>
        </w:tc>
        <w:tc>
          <w:tcPr>
            <w:tcW w:w="2262" w:type="dxa"/>
            <w:vAlign w:val="center"/>
          </w:tcPr>
          <w:p w:rsidR="004E28FB" w:rsidRPr="00623E33" w:rsidRDefault="004E28FB" w:rsidP="00B16DB1">
            <w:pPr>
              <w:pStyle w:val="Default"/>
              <w:keepNext/>
              <w:keepLines/>
              <w:spacing w:after="80"/>
              <w:rPr>
                <w:rFonts w:asciiTheme="minorHAnsi" w:hAnsiTheme="minorHAnsi" w:cstheme="minorHAnsi"/>
                <w:b/>
                <w:i/>
                <w:color w:val="auto"/>
                <w:sz w:val="20"/>
                <w:szCs w:val="20"/>
                <w:lang w:val="en-GB"/>
              </w:rPr>
            </w:pPr>
          </w:p>
        </w:tc>
        <w:tc>
          <w:tcPr>
            <w:tcW w:w="2262" w:type="dxa"/>
            <w:vAlign w:val="center"/>
          </w:tcPr>
          <w:p w:rsidR="004E28FB" w:rsidRPr="00623E33" w:rsidRDefault="004E28FB" w:rsidP="00B16DB1">
            <w:pPr>
              <w:keepNext/>
              <w:keepLines/>
              <w:rPr>
                <w:sz w:val="20"/>
              </w:rPr>
            </w:pPr>
            <w:r w:rsidRPr="00623E33">
              <w:rPr>
                <w:sz w:val="20"/>
              </w:rPr>
              <w:t>1</w:t>
            </w:r>
          </w:p>
        </w:tc>
        <w:tc>
          <w:tcPr>
            <w:tcW w:w="2263" w:type="dxa"/>
            <w:vMerge w:val="restart"/>
            <w:vAlign w:val="center"/>
          </w:tcPr>
          <w:p w:rsidR="004E28FB" w:rsidRPr="00297DC4" w:rsidRDefault="004E28FB" w:rsidP="00B16DB1">
            <w:pPr>
              <w:pStyle w:val="Default"/>
              <w:keepNext/>
              <w:keepLines/>
              <w:spacing w:after="80"/>
              <w:rPr>
                <w:rFonts w:asciiTheme="minorHAnsi" w:hAnsiTheme="minorHAnsi" w:cstheme="minorHAnsi"/>
                <w:i/>
                <w:color w:val="auto"/>
                <w:sz w:val="20"/>
                <w:szCs w:val="20"/>
                <w:lang w:val="en-GB"/>
              </w:rPr>
            </w:pPr>
            <w:r w:rsidRPr="00297DC4">
              <w:rPr>
                <w:rFonts w:eastAsia="Times New Roman" w:cs="Times New Roman"/>
                <w:color w:val="auto"/>
                <w:sz w:val="20"/>
                <w:szCs w:val="20"/>
                <w:lang w:val="en-GB"/>
              </w:rPr>
              <w:t>1 station/ 50,000</w:t>
            </w:r>
            <w:r w:rsidR="00297DC4">
              <w:rPr>
                <w:rFonts w:eastAsia="Times New Roman" w:cs="Times New Roman"/>
                <w:color w:val="auto"/>
                <w:sz w:val="20"/>
                <w:szCs w:val="20"/>
                <w:lang w:val="en-GB"/>
              </w:rPr>
              <w:t xml:space="preserve"> </w:t>
            </w:r>
            <w:r w:rsidRPr="00297DC4">
              <w:rPr>
                <w:rFonts w:eastAsia="Times New Roman" w:cs="Times New Roman"/>
                <w:color w:val="auto"/>
                <w:sz w:val="20"/>
                <w:szCs w:val="20"/>
                <w:lang w:val="en-GB"/>
              </w:rPr>
              <w:t>km</w:t>
            </w:r>
            <w:r w:rsidRPr="00297DC4">
              <w:rPr>
                <w:rFonts w:eastAsia="Times New Roman" w:cs="Times New Roman"/>
                <w:color w:val="auto"/>
                <w:sz w:val="20"/>
                <w:szCs w:val="20"/>
                <w:vertAlign w:val="superscript"/>
                <w:lang w:val="en-GB"/>
              </w:rPr>
              <w:t>2</w:t>
            </w:r>
            <w:r w:rsidRPr="00297DC4">
              <w:rPr>
                <w:rFonts w:eastAsia="Times New Roman" w:cs="Times New Roman"/>
                <w:color w:val="auto"/>
                <w:sz w:val="20"/>
                <w:szCs w:val="20"/>
                <w:lang w:val="en-GB"/>
              </w:rPr>
              <w:t xml:space="preserve"> as an average density overall zones per country</w:t>
            </w:r>
          </w:p>
        </w:tc>
      </w:tr>
      <w:tr w:rsidR="004E28FB" w:rsidRPr="00623E33" w:rsidTr="004E28FB">
        <w:trPr>
          <w:trHeight w:val="340"/>
        </w:trPr>
        <w:tc>
          <w:tcPr>
            <w:tcW w:w="2261" w:type="dxa"/>
            <w:vAlign w:val="center"/>
          </w:tcPr>
          <w:p w:rsidR="004E28FB" w:rsidRPr="00623E33" w:rsidRDefault="004E28FB" w:rsidP="004E28FB">
            <w:pPr>
              <w:rPr>
                <w:sz w:val="20"/>
              </w:rPr>
            </w:pPr>
            <w:r w:rsidRPr="00623E33">
              <w:rPr>
                <w:sz w:val="20"/>
              </w:rPr>
              <w:t>&lt; 500</w:t>
            </w:r>
          </w:p>
        </w:tc>
        <w:tc>
          <w:tcPr>
            <w:tcW w:w="2262" w:type="dxa"/>
            <w:vAlign w:val="center"/>
          </w:tcPr>
          <w:p w:rsidR="004E28FB" w:rsidRPr="00623E33" w:rsidRDefault="004E28FB" w:rsidP="004E28FB">
            <w:pPr>
              <w:rPr>
                <w:sz w:val="20"/>
              </w:rPr>
            </w:pPr>
            <w:r w:rsidRPr="00623E33">
              <w:rPr>
                <w:sz w:val="20"/>
              </w:rPr>
              <w:t>1</w:t>
            </w:r>
          </w:p>
        </w:tc>
        <w:tc>
          <w:tcPr>
            <w:tcW w:w="2262" w:type="dxa"/>
            <w:vAlign w:val="center"/>
          </w:tcPr>
          <w:p w:rsidR="004E28FB" w:rsidRPr="00623E33" w:rsidRDefault="004E28FB" w:rsidP="004E28FB">
            <w:pPr>
              <w:rPr>
                <w:sz w:val="20"/>
              </w:rPr>
            </w:pPr>
            <w:r w:rsidRPr="00623E33">
              <w:rPr>
                <w:sz w:val="20"/>
              </w:rPr>
              <w:t>2</w:t>
            </w:r>
          </w:p>
        </w:tc>
        <w:tc>
          <w:tcPr>
            <w:tcW w:w="2263" w:type="dxa"/>
            <w:vMerge/>
            <w:vAlign w:val="center"/>
          </w:tcPr>
          <w:p w:rsidR="004E28FB" w:rsidRPr="00623E33" w:rsidRDefault="004E28FB" w:rsidP="004E28FB">
            <w:pPr>
              <w:pStyle w:val="Default"/>
              <w:spacing w:after="80"/>
              <w:rPr>
                <w:rFonts w:asciiTheme="minorHAnsi" w:hAnsiTheme="minorHAnsi" w:cstheme="minorHAnsi"/>
                <w:b/>
                <w:i/>
                <w:color w:val="auto"/>
                <w:sz w:val="20"/>
                <w:szCs w:val="20"/>
                <w:lang w:val="en-GB"/>
              </w:rPr>
            </w:pPr>
          </w:p>
        </w:tc>
      </w:tr>
      <w:tr w:rsidR="004E28FB" w:rsidRPr="00623E33" w:rsidTr="004E28FB">
        <w:trPr>
          <w:trHeight w:val="340"/>
        </w:trPr>
        <w:tc>
          <w:tcPr>
            <w:tcW w:w="2261" w:type="dxa"/>
            <w:vAlign w:val="center"/>
          </w:tcPr>
          <w:p w:rsidR="004E28FB" w:rsidRPr="00623E33" w:rsidRDefault="004E28FB" w:rsidP="004E28FB">
            <w:pPr>
              <w:rPr>
                <w:sz w:val="20"/>
              </w:rPr>
            </w:pPr>
            <w:r w:rsidRPr="00623E33">
              <w:rPr>
                <w:sz w:val="20"/>
              </w:rPr>
              <w:t xml:space="preserve">&lt; 1,000 </w:t>
            </w:r>
          </w:p>
        </w:tc>
        <w:tc>
          <w:tcPr>
            <w:tcW w:w="2262" w:type="dxa"/>
            <w:vAlign w:val="center"/>
          </w:tcPr>
          <w:p w:rsidR="004E28FB" w:rsidRPr="00623E33" w:rsidRDefault="004E28FB" w:rsidP="004E28FB">
            <w:pPr>
              <w:rPr>
                <w:sz w:val="20"/>
              </w:rPr>
            </w:pPr>
            <w:r w:rsidRPr="00623E33">
              <w:rPr>
                <w:sz w:val="20"/>
              </w:rPr>
              <w:t>2</w:t>
            </w:r>
          </w:p>
        </w:tc>
        <w:tc>
          <w:tcPr>
            <w:tcW w:w="2262" w:type="dxa"/>
            <w:vAlign w:val="center"/>
          </w:tcPr>
          <w:p w:rsidR="004E28FB" w:rsidRPr="00623E33" w:rsidRDefault="004E28FB" w:rsidP="004E28FB">
            <w:pPr>
              <w:rPr>
                <w:sz w:val="20"/>
              </w:rPr>
            </w:pPr>
            <w:r w:rsidRPr="00623E33">
              <w:rPr>
                <w:sz w:val="20"/>
              </w:rPr>
              <w:t>2</w:t>
            </w:r>
          </w:p>
        </w:tc>
        <w:tc>
          <w:tcPr>
            <w:tcW w:w="2263" w:type="dxa"/>
            <w:vMerge/>
            <w:vAlign w:val="center"/>
          </w:tcPr>
          <w:p w:rsidR="004E28FB" w:rsidRPr="00623E33" w:rsidRDefault="004E28FB" w:rsidP="004E28FB">
            <w:pPr>
              <w:pStyle w:val="Default"/>
              <w:spacing w:after="80"/>
              <w:rPr>
                <w:rFonts w:asciiTheme="minorHAnsi" w:hAnsiTheme="minorHAnsi" w:cstheme="minorHAnsi"/>
                <w:b/>
                <w:i/>
                <w:color w:val="auto"/>
                <w:sz w:val="20"/>
                <w:szCs w:val="20"/>
                <w:lang w:val="en-GB"/>
              </w:rPr>
            </w:pPr>
          </w:p>
        </w:tc>
      </w:tr>
      <w:tr w:rsidR="004E28FB" w:rsidRPr="00623E33" w:rsidTr="004E28FB">
        <w:trPr>
          <w:trHeight w:val="340"/>
        </w:trPr>
        <w:tc>
          <w:tcPr>
            <w:tcW w:w="2261" w:type="dxa"/>
            <w:vAlign w:val="center"/>
          </w:tcPr>
          <w:p w:rsidR="004E28FB" w:rsidRPr="00623E33" w:rsidRDefault="004E28FB" w:rsidP="004E28FB">
            <w:pPr>
              <w:rPr>
                <w:sz w:val="20"/>
              </w:rPr>
            </w:pPr>
            <w:r w:rsidRPr="00623E33">
              <w:rPr>
                <w:sz w:val="20"/>
              </w:rPr>
              <w:t>&lt; 1,500</w:t>
            </w:r>
          </w:p>
        </w:tc>
        <w:tc>
          <w:tcPr>
            <w:tcW w:w="2262" w:type="dxa"/>
            <w:vAlign w:val="center"/>
          </w:tcPr>
          <w:p w:rsidR="004E28FB" w:rsidRPr="00623E33" w:rsidRDefault="004E28FB" w:rsidP="004E28FB">
            <w:pPr>
              <w:rPr>
                <w:sz w:val="20"/>
              </w:rPr>
            </w:pPr>
            <w:r w:rsidRPr="00623E33">
              <w:rPr>
                <w:sz w:val="20"/>
              </w:rPr>
              <w:t>3</w:t>
            </w:r>
          </w:p>
        </w:tc>
        <w:tc>
          <w:tcPr>
            <w:tcW w:w="2262" w:type="dxa"/>
            <w:vAlign w:val="center"/>
          </w:tcPr>
          <w:p w:rsidR="004E28FB" w:rsidRPr="00623E33" w:rsidRDefault="004E28FB" w:rsidP="004E28FB">
            <w:pPr>
              <w:rPr>
                <w:sz w:val="20"/>
              </w:rPr>
            </w:pPr>
            <w:r w:rsidRPr="00623E33">
              <w:rPr>
                <w:sz w:val="20"/>
              </w:rPr>
              <w:t>3</w:t>
            </w:r>
          </w:p>
        </w:tc>
        <w:tc>
          <w:tcPr>
            <w:tcW w:w="2263" w:type="dxa"/>
            <w:vMerge/>
            <w:vAlign w:val="center"/>
          </w:tcPr>
          <w:p w:rsidR="004E28FB" w:rsidRPr="00623E33" w:rsidRDefault="004E28FB" w:rsidP="004E28FB">
            <w:pPr>
              <w:pStyle w:val="Default"/>
              <w:spacing w:after="80"/>
              <w:rPr>
                <w:rFonts w:asciiTheme="minorHAnsi" w:hAnsiTheme="minorHAnsi" w:cstheme="minorHAnsi"/>
                <w:b/>
                <w:i/>
                <w:color w:val="auto"/>
                <w:sz w:val="20"/>
                <w:szCs w:val="20"/>
                <w:lang w:val="en-GB"/>
              </w:rPr>
            </w:pPr>
          </w:p>
        </w:tc>
      </w:tr>
      <w:tr w:rsidR="004E28FB" w:rsidRPr="00623E33" w:rsidTr="004E28FB">
        <w:trPr>
          <w:trHeight w:val="340"/>
        </w:trPr>
        <w:tc>
          <w:tcPr>
            <w:tcW w:w="2261" w:type="dxa"/>
            <w:vAlign w:val="center"/>
          </w:tcPr>
          <w:p w:rsidR="004E28FB" w:rsidRPr="00623E33" w:rsidRDefault="004E28FB" w:rsidP="004E28FB">
            <w:pPr>
              <w:rPr>
                <w:sz w:val="20"/>
              </w:rPr>
            </w:pPr>
            <w:r w:rsidRPr="00623E33">
              <w:rPr>
                <w:sz w:val="20"/>
              </w:rPr>
              <w:t>&lt; 2,000</w:t>
            </w:r>
          </w:p>
        </w:tc>
        <w:tc>
          <w:tcPr>
            <w:tcW w:w="2262" w:type="dxa"/>
            <w:vAlign w:val="center"/>
          </w:tcPr>
          <w:p w:rsidR="004E28FB" w:rsidRPr="00623E33" w:rsidRDefault="004E28FB" w:rsidP="004E28FB">
            <w:pPr>
              <w:rPr>
                <w:sz w:val="20"/>
              </w:rPr>
            </w:pPr>
            <w:r w:rsidRPr="00623E33">
              <w:rPr>
                <w:sz w:val="20"/>
              </w:rPr>
              <w:t>3</w:t>
            </w:r>
          </w:p>
        </w:tc>
        <w:tc>
          <w:tcPr>
            <w:tcW w:w="2262" w:type="dxa"/>
            <w:vAlign w:val="center"/>
          </w:tcPr>
          <w:p w:rsidR="004E28FB" w:rsidRPr="00623E33" w:rsidRDefault="004E28FB" w:rsidP="004E28FB">
            <w:pPr>
              <w:rPr>
                <w:sz w:val="20"/>
              </w:rPr>
            </w:pPr>
            <w:r w:rsidRPr="00623E33">
              <w:rPr>
                <w:sz w:val="20"/>
              </w:rPr>
              <w:t>4</w:t>
            </w:r>
          </w:p>
        </w:tc>
        <w:tc>
          <w:tcPr>
            <w:tcW w:w="2263" w:type="dxa"/>
            <w:vMerge/>
            <w:vAlign w:val="center"/>
          </w:tcPr>
          <w:p w:rsidR="004E28FB" w:rsidRPr="00623E33" w:rsidRDefault="004E28FB" w:rsidP="004E28FB">
            <w:pPr>
              <w:pStyle w:val="Default"/>
              <w:spacing w:after="80"/>
              <w:rPr>
                <w:rFonts w:asciiTheme="minorHAnsi" w:hAnsiTheme="minorHAnsi" w:cstheme="minorHAnsi"/>
                <w:b/>
                <w:i/>
                <w:color w:val="auto"/>
                <w:sz w:val="20"/>
                <w:szCs w:val="20"/>
                <w:lang w:val="en-GB"/>
              </w:rPr>
            </w:pPr>
          </w:p>
        </w:tc>
      </w:tr>
      <w:tr w:rsidR="004E28FB" w:rsidRPr="00623E33" w:rsidTr="004E28FB">
        <w:trPr>
          <w:trHeight w:val="340"/>
        </w:trPr>
        <w:tc>
          <w:tcPr>
            <w:tcW w:w="2261" w:type="dxa"/>
            <w:vAlign w:val="center"/>
          </w:tcPr>
          <w:p w:rsidR="004E28FB" w:rsidRPr="00623E33" w:rsidRDefault="004E28FB" w:rsidP="004E28FB">
            <w:pPr>
              <w:rPr>
                <w:sz w:val="20"/>
              </w:rPr>
            </w:pPr>
            <w:r w:rsidRPr="00623E33">
              <w:rPr>
                <w:sz w:val="20"/>
              </w:rPr>
              <w:t>&lt; 2,750</w:t>
            </w:r>
          </w:p>
        </w:tc>
        <w:tc>
          <w:tcPr>
            <w:tcW w:w="2262" w:type="dxa"/>
            <w:vAlign w:val="center"/>
          </w:tcPr>
          <w:p w:rsidR="004E28FB" w:rsidRPr="00623E33" w:rsidRDefault="004E28FB" w:rsidP="004E28FB">
            <w:pPr>
              <w:rPr>
                <w:sz w:val="20"/>
              </w:rPr>
            </w:pPr>
            <w:r w:rsidRPr="00623E33">
              <w:rPr>
                <w:sz w:val="20"/>
              </w:rPr>
              <w:t>4</w:t>
            </w:r>
          </w:p>
        </w:tc>
        <w:tc>
          <w:tcPr>
            <w:tcW w:w="2262" w:type="dxa"/>
            <w:vAlign w:val="center"/>
          </w:tcPr>
          <w:p w:rsidR="004E28FB" w:rsidRPr="00623E33" w:rsidRDefault="004E28FB" w:rsidP="004E28FB">
            <w:pPr>
              <w:rPr>
                <w:sz w:val="20"/>
              </w:rPr>
            </w:pPr>
            <w:r w:rsidRPr="00623E33">
              <w:rPr>
                <w:sz w:val="20"/>
              </w:rPr>
              <w:t>5</w:t>
            </w:r>
          </w:p>
        </w:tc>
        <w:tc>
          <w:tcPr>
            <w:tcW w:w="2263" w:type="dxa"/>
            <w:vMerge/>
            <w:vAlign w:val="center"/>
          </w:tcPr>
          <w:p w:rsidR="004E28FB" w:rsidRPr="00623E33" w:rsidRDefault="004E28FB" w:rsidP="004E28FB">
            <w:pPr>
              <w:pStyle w:val="Default"/>
              <w:spacing w:after="80"/>
              <w:rPr>
                <w:rFonts w:asciiTheme="minorHAnsi" w:hAnsiTheme="minorHAnsi" w:cstheme="minorHAnsi"/>
                <w:b/>
                <w:i/>
                <w:color w:val="auto"/>
                <w:sz w:val="20"/>
                <w:szCs w:val="20"/>
                <w:lang w:val="en-GB"/>
              </w:rPr>
            </w:pPr>
          </w:p>
        </w:tc>
      </w:tr>
      <w:tr w:rsidR="004E28FB" w:rsidRPr="00623E33" w:rsidTr="004E28FB">
        <w:trPr>
          <w:trHeight w:val="340"/>
        </w:trPr>
        <w:tc>
          <w:tcPr>
            <w:tcW w:w="2261" w:type="dxa"/>
            <w:vAlign w:val="center"/>
          </w:tcPr>
          <w:p w:rsidR="004E28FB" w:rsidRPr="00623E33" w:rsidRDefault="004E28FB" w:rsidP="004E28FB">
            <w:pPr>
              <w:rPr>
                <w:sz w:val="20"/>
              </w:rPr>
            </w:pPr>
            <w:r w:rsidRPr="00623E33">
              <w:rPr>
                <w:sz w:val="20"/>
              </w:rPr>
              <w:t>&lt; 3,750</w:t>
            </w:r>
          </w:p>
        </w:tc>
        <w:tc>
          <w:tcPr>
            <w:tcW w:w="2262" w:type="dxa"/>
            <w:vAlign w:val="center"/>
          </w:tcPr>
          <w:p w:rsidR="004E28FB" w:rsidRPr="00623E33" w:rsidRDefault="004E28FB" w:rsidP="004E28FB">
            <w:pPr>
              <w:rPr>
                <w:sz w:val="20"/>
              </w:rPr>
            </w:pPr>
            <w:r w:rsidRPr="00623E33">
              <w:rPr>
                <w:sz w:val="20"/>
              </w:rPr>
              <w:t>5</w:t>
            </w:r>
          </w:p>
        </w:tc>
        <w:tc>
          <w:tcPr>
            <w:tcW w:w="2262" w:type="dxa"/>
            <w:vAlign w:val="center"/>
          </w:tcPr>
          <w:p w:rsidR="004E28FB" w:rsidRPr="00623E33" w:rsidRDefault="004E28FB" w:rsidP="004E28FB">
            <w:pPr>
              <w:rPr>
                <w:sz w:val="20"/>
              </w:rPr>
            </w:pPr>
            <w:r w:rsidRPr="00623E33">
              <w:rPr>
                <w:sz w:val="20"/>
              </w:rPr>
              <w:t>6</w:t>
            </w:r>
          </w:p>
        </w:tc>
        <w:tc>
          <w:tcPr>
            <w:tcW w:w="2263" w:type="dxa"/>
            <w:vMerge/>
            <w:vAlign w:val="center"/>
          </w:tcPr>
          <w:p w:rsidR="004E28FB" w:rsidRPr="00623E33" w:rsidRDefault="004E28FB" w:rsidP="004E28FB">
            <w:pPr>
              <w:pStyle w:val="Default"/>
              <w:spacing w:after="80"/>
              <w:rPr>
                <w:rFonts w:asciiTheme="minorHAnsi" w:hAnsiTheme="minorHAnsi" w:cstheme="minorHAnsi"/>
                <w:b/>
                <w:i/>
                <w:color w:val="auto"/>
                <w:sz w:val="20"/>
                <w:szCs w:val="20"/>
                <w:lang w:val="en-GB"/>
              </w:rPr>
            </w:pPr>
          </w:p>
        </w:tc>
      </w:tr>
      <w:tr w:rsidR="004E28FB" w:rsidRPr="00623E33" w:rsidTr="004E28FB">
        <w:trPr>
          <w:trHeight w:val="340"/>
        </w:trPr>
        <w:tc>
          <w:tcPr>
            <w:tcW w:w="2261" w:type="dxa"/>
            <w:vAlign w:val="center"/>
          </w:tcPr>
          <w:p w:rsidR="004E28FB" w:rsidRPr="00623E33" w:rsidRDefault="004E28FB" w:rsidP="004E28FB">
            <w:pPr>
              <w:rPr>
                <w:sz w:val="20"/>
              </w:rPr>
            </w:pPr>
            <w:r w:rsidRPr="00623E33">
              <w:rPr>
                <w:sz w:val="20"/>
              </w:rPr>
              <w:t>&gt; 3,750</w:t>
            </w:r>
          </w:p>
        </w:tc>
        <w:tc>
          <w:tcPr>
            <w:tcW w:w="2262" w:type="dxa"/>
            <w:vAlign w:val="center"/>
          </w:tcPr>
          <w:p w:rsidR="004E28FB" w:rsidRPr="00623E33" w:rsidRDefault="004E28FB" w:rsidP="004E28FB">
            <w:pPr>
              <w:rPr>
                <w:sz w:val="20"/>
              </w:rPr>
            </w:pPr>
            <w:r w:rsidRPr="00623E33">
              <w:rPr>
                <w:sz w:val="20"/>
              </w:rPr>
              <w:t>One additional station per 2 million inhabitants</w:t>
            </w:r>
          </w:p>
        </w:tc>
        <w:tc>
          <w:tcPr>
            <w:tcW w:w="2262" w:type="dxa"/>
            <w:vAlign w:val="center"/>
          </w:tcPr>
          <w:p w:rsidR="004E28FB" w:rsidRPr="00623E33" w:rsidRDefault="004E28FB" w:rsidP="004E28FB">
            <w:pPr>
              <w:rPr>
                <w:sz w:val="20"/>
              </w:rPr>
            </w:pPr>
            <w:r w:rsidRPr="00623E33">
              <w:rPr>
                <w:sz w:val="20"/>
              </w:rPr>
              <w:t>One additional station per 2 million inhabitants</w:t>
            </w:r>
          </w:p>
        </w:tc>
        <w:tc>
          <w:tcPr>
            <w:tcW w:w="2263" w:type="dxa"/>
            <w:vMerge/>
            <w:vAlign w:val="center"/>
          </w:tcPr>
          <w:p w:rsidR="004E28FB" w:rsidRPr="00623E33" w:rsidRDefault="004E28FB" w:rsidP="004E28FB">
            <w:pPr>
              <w:pStyle w:val="Default"/>
              <w:spacing w:after="80"/>
              <w:rPr>
                <w:rFonts w:asciiTheme="minorHAnsi" w:hAnsiTheme="minorHAnsi" w:cstheme="minorHAnsi"/>
                <w:b/>
                <w:i/>
                <w:color w:val="auto"/>
                <w:sz w:val="20"/>
                <w:szCs w:val="20"/>
                <w:lang w:val="en-GB"/>
              </w:rPr>
            </w:pPr>
          </w:p>
        </w:tc>
      </w:tr>
    </w:tbl>
    <w:p w:rsidR="004E28FB" w:rsidRPr="00623E33" w:rsidRDefault="004E28FB" w:rsidP="000E313D">
      <w:r w:rsidRPr="00623E33">
        <w:t xml:space="preserve">When sampling in agglomerations at least 50% of the stations shall be located in suburban areas, and within suburban areas at least one station should be located where highest exposure of the population </w:t>
      </w:r>
      <w:r>
        <w:t>was</w:t>
      </w:r>
      <w:r w:rsidRPr="00623E33">
        <w:t xml:space="preserve"> likely to occur.</w:t>
      </w:r>
    </w:p>
    <w:p w:rsidR="004E28FB" w:rsidRPr="00623E33" w:rsidRDefault="004E28FB" w:rsidP="000E313D">
      <w:r w:rsidRPr="00623E33">
        <w:t>When sampling at a rural background with complex terrain, at least one monitoring site per 25,000</w:t>
      </w:r>
      <w:r w:rsidR="005E35E7">
        <w:t xml:space="preserve"> </w:t>
      </w:r>
      <w:r w:rsidRPr="00623E33">
        <w:t>km</w:t>
      </w:r>
      <w:r w:rsidRPr="00A9520C">
        <w:rPr>
          <w:vertAlign w:val="superscript"/>
        </w:rPr>
        <w:t>2</w:t>
      </w:r>
      <w:r w:rsidRPr="00623E33">
        <w:t xml:space="preserve"> is recommended.</w:t>
      </w:r>
    </w:p>
    <w:p w:rsidR="004E28FB" w:rsidRPr="00623E33" w:rsidRDefault="004E28FB" w:rsidP="000E313D">
      <w:r w:rsidRPr="00623E33">
        <w:t xml:space="preserve">In zones and agglomeration where the long-term objectives are attained, then the number of stations located in agglomerations and other zones may be reduced to one-third of the number specified in Table </w:t>
      </w:r>
      <w:r>
        <w:t>2</w:t>
      </w:r>
      <w:r w:rsidRPr="00623E33">
        <w:t>-</w:t>
      </w:r>
      <w:r>
        <w:t>6</w:t>
      </w:r>
      <w:r w:rsidRPr="00623E33">
        <w:t xml:space="preserve"> above. The residual number of sampling points for ozone shall be combined with supplementary assessment information (e.g. air quality modelling and collocated nitrogen dioxide measurements) in order to sufficiently examine the trend of ozone pollution and check compliance with the long-term objectives.</w:t>
      </w:r>
    </w:p>
    <w:p w:rsidR="004E28FB" w:rsidRPr="00623E33" w:rsidRDefault="004E28FB" w:rsidP="000E313D">
      <w:r w:rsidRPr="00623E33">
        <w:t>In cases where the sole source of information is from fixed measurement stations, then at least one monitoring station shall be kept. In zones with no remaining O</w:t>
      </w:r>
      <w:r w:rsidRPr="00A9520C">
        <w:rPr>
          <w:vertAlign w:val="subscript"/>
        </w:rPr>
        <w:t>3</w:t>
      </w:r>
      <w:r w:rsidRPr="00623E33">
        <w:t xml:space="preserve"> monitoring station, though supplementary assessment information is available, coordination with the number of stations in neighbouring zones should be made to ensure that adequate assessment of ozone concentrations against long-term objectives </w:t>
      </w:r>
      <w:r>
        <w:t>is</w:t>
      </w:r>
      <w:r w:rsidRPr="00623E33">
        <w:t xml:space="preserve"> undertaken.</w:t>
      </w:r>
    </w:p>
    <w:p w:rsidR="004E28FB" w:rsidRDefault="004E28FB" w:rsidP="00297DC4">
      <w:r w:rsidRPr="00623E33">
        <w:t>The minimum number of rural background stations shall be one per 100,000</w:t>
      </w:r>
      <w:r w:rsidR="00581A85">
        <w:t xml:space="preserve"> </w:t>
      </w:r>
      <w:r w:rsidRPr="00623E33">
        <w:t>km</w:t>
      </w:r>
      <w:r w:rsidRPr="00623E33">
        <w:rPr>
          <w:vertAlign w:val="superscript"/>
        </w:rPr>
        <w:t xml:space="preserve">2 </w:t>
      </w:r>
      <w:r w:rsidRPr="00623E33">
        <w:t>of land area.</w:t>
      </w:r>
    </w:p>
    <w:p w:rsidR="004E28FB" w:rsidRDefault="004E28FB" w:rsidP="004E28FB">
      <w:pPr>
        <w:shd w:val="clear" w:color="auto" w:fill="FFFFFF"/>
        <w:spacing w:before="120" w:after="120" w:line="240" w:lineRule="auto"/>
        <w:rPr>
          <w:rFonts w:cs="Arial"/>
          <w:color w:val="000000" w:themeColor="text1"/>
        </w:rPr>
      </w:pPr>
    </w:p>
    <w:p w:rsidR="004E28FB" w:rsidRPr="00581A85" w:rsidRDefault="004E28FB" w:rsidP="00581A85">
      <w:pPr>
        <w:pStyle w:val="Heading2"/>
        <w:rPr>
          <w:rStyle w:val="Strong"/>
          <w:b/>
          <w:bCs w:val="0"/>
        </w:rPr>
      </w:pPr>
      <w:bookmarkStart w:id="514" w:name="_Toc386499802"/>
      <w:bookmarkStart w:id="515" w:name="_Toc386503256"/>
      <w:bookmarkStart w:id="516" w:name="_Toc386503478"/>
      <w:bookmarkStart w:id="517" w:name="_Toc386503639"/>
      <w:bookmarkStart w:id="518" w:name="_Toc386503800"/>
      <w:bookmarkStart w:id="519" w:name="_Toc386503961"/>
      <w:bookmarkStart w:id="520" w:name="_Toc383738791"/>
      <w:bookmarkStart w:id="521" w:name="_Toc392598879"/>
      <w:bookmarkEnd w:id="514"/>
      <w:bookmarkEnd w:id="515"/>
      <w:bookmarkEnd w:id="516"/>
      <w:bookmarkEnd w:id="517"/>
      <w:bookmarkEnd w:id="518"/>
      <w:bookmarkEnd w:id="519"/>
      <w:r w:rsidRPr="00581A85">
        <w:rPr>
          <w:rStyle w:val="Strong"/>
          <w:b/>
          <w:bCs w:val="0"/>
        </w:rPr>
        <w:lastRenderedPageBreak/>
        <w:t>Minimum number of point source sampling points</w:t>
      </w:r>
      <w:bookmarkEnd w:id="520"/>
      <w:bookmarkEnd w:id="521"/>
    </w:p>
    <w:p w:rsidR="004E28FB" w:rsidRPr="00623E33" w:rsidRDefault="004E28FB" w:rsidP="004E28FB">
      <w:pPr>
        <w:shd w:val="clear" w:color="auto" w:fill="FFFFFF"/>
        <w:spacing w:before="120" w:after="120" w:line="240" w:lineRule="auto"/>
        <w:rPr>
          <w:rFonts w:cs="Arial"/>
          <w:color w:val="000000" w:themeColor="text1"/>
        </w:rPr>
      </w:pPr>
      <w:r w:rsidRPr="00623E33">
        <w:rPr>
          <w:rFonts w:cs="Arial"/>
          <w:color w:val="000000" w:themeColor="text1"/>
        </w:rPr>
        <w:t>When determining the number of fixed measurement sampling points for assessing the contribution of pollution in the vicinity of point sources, the following should be taken into account:</w:t>
      </w:r>
    </w:p>
    <w:p w:rsidR="004E28FB" w:rsidRPr="00D97C0D" w:rsidRDefault="004E28FB" w:rsidP="004E28FB">
      <w:pPr>
        <w:shd w:val="clear" w:color="auto" w:fill="FFFFFF"/>
        <w:spacing w:before="120" w:after="120"/>
        <w:rPr>
          <w:rFonts w:cs="Arial"/>
          <w:color w:val="000000" w:themeColor="text1"/>
        </w:rPr>
      </w:pPr>
      <w:r w:rsidRPr="00D97C0D">
        <w:rPr>
          <w:rFonts w:cs="Arial"/>
          <w:b/>
          <w:color w:val="000000" w:themeColor="text1"/>
        </w:rPr>
        <w:t>Emission densities</w:t>
      </w:r>
      <w:r>
        <w:rPr>
          <w:rFonts w:cs="Arial"/>
          <w:color w:val="000000" w:themeColor="text1"/>
        </w:rPr>
        <w:t xml:space="preserve"> -</w:t>
      </w:r>
      <w:r w:rsidRPr="00D97C0D">
        <w:rPr>
          <w:rFonts w:cs="Arial"/>
          <w:color w:val="000000" w:themeColor="text1"/>
        </w:rPr>
        <w:t xml:space="preserve"> where is the pollution coming from and which are the areas with the greatest pollution emissions? </w:t>
      </w:r>
    </w:p>
    <w:p w:rsidR="004E28FB" w:rsidRPr="00D97C0D" w:rsidRDefault="004E28FB" w:rsidP="004E28FB">
      <w:pPr>
        <w:shd w:val="clear" w:color="auto" w:fill="FFFFFF"/>
        <w:spacing w:before="120" w:after="120"/>
        <w:rPr>
          <w:rFonts w:cs="Arial"/>
          <w:color w:val="000000" w:themeColor="text1"/>
        </w:rPr>
      </w:pPr>
      <w:r w:rsidRPr="00D97C0D">
        <w:rPr>
          <w:rFonts w:cs="Arial"/>
          <w:b/>
          <w:color w:val="000000" w:themeColor="text1"/>
        </w:rPr>
        <w:t>Likely distribution patterns of ambient air pollution</w:t>
      </w:r>
      <w:r>
        <w:rPr>
          <w:rFonts w:cs="Arial"/>
          <w:color w:val="000000" w:themeColor="text1"/>
        </w:rPr>
        <w:t xml:space="preserve"> -</w:t>
      </w:r>
      <w:r w:rsidRPr="00D97C0D">
        <w:rPr>
          <w:rFonts w:cs="Arial"/>
          <w:color w:val="000000" w:themeColor="text1"/>
        </w:rPr>
        <w:t xml:space="preserve"> how dispersed is the pollution, where is it most and least concentrated?</w:t>
      </w:r>
    </w:p>
    <w:p w:rsidR="004E28FB" w:rsidRDefault="004E28FB" w:rsidP="004E28FB">
      <w:pPr>
        <w:shd w:val="clear" w:color="auto" w:fill="FFFFFF"/>
        <w:spacing w:before="120" w:after="120"/>
        <w:rPr>
          <w:rFonts w:cs="Arial"/>
          <w:color w:val="000000" w:themeColor="text1"/>
        </w:rPr>
      </w:pPr>
      <w:r w:rsidRPr="00D97C0D">
        <w:rPr>
          <w:rFonts w:cs="Arial"/>
          <w:b/>
          <w:color w:val="000000" w:themeColor="text1"/>
        </w:rPr>
        <w:t>Potential exposure of the population</w:t>
      </w:r>
      <w:r>
        <w:rPr>
          <w:rFonts w:cs="Arial"/>
          <w:color w:val="000000" w:themeColor="text1"/>
        </w:rPr>
        <w:t xml:space="preserve"> -</w:t>
      </w:r>
      <w:r w:rsidRPr="00D97C0D">
        <w:rPr>
          <w:rFonts w:cs="Arial"/>
          <w:color w:val="000000" w:themeColor="text1"/>
        </w:rPr>
        <w:t xml:space="preserve"> where are members </w:t>
      </w:r>
      <w:r>
        <w:rPr>
          <w:rFonts w:cs="Arial"/>
          <w:color w:val="000000" w:themeColor="text1"/>
        </w:rPr>
        <w:t xml:space="preserve">of </w:t>
      </w:r>
      <w:r w:rsidRPr="00D97C0D">
        <w:rPr>
          <w:rFonts w:cs="Arial"/>
          <w:color w:val="000000" w:themeColor="text1"/>
        </w:rPr>
        <w:t>the public at greatest risk of being exposed t</w:t>
      </w:r>
      <w:r>
        <w:rPr>
          <w:rFonts w:cs="Arial"/>
          <w:color w:val="000000" w:themeColor="text1"/>
        </w:rPr>
        <w:t>o</w:t>
      </w:r>
      <w:r w:rsidRPr="00D97C0D">
        <w:rPr>
          <w:rFonts w:cs="Arial"/>
          <w:color w:val="000000" w:themeColor="text1"/>
        </w:rPr>
        <w:t xml:space="preserve"> poor air quality</w:t>
      </w:r>
      <w:r>
        <w:rPr>
          <w:rFonts w:cs="Arial"/>
          <w:color w:val="000000" w:themeColor="text1"/>
        </w:rPr>
        <w:t>?</w:t>
      </w:r>
    </w:p>
    <w:p w:rsidR="004E28FB" w:rsidRPr="00581A85" w:rsidRDefault="004E28FB" w:rsidP="00581A85">
      <w:pPr>
        <w:pStyle w:val="Heading2"/>
        <w:rPr>
          <w:rStyle w:val="Strong"/>
          <w:b/>
          <w:bCs w:val="0"/>
        </w:rPr>
      </w:pPr>
      <w:bookmarkStart w:id="522" w:name="_Toc386499804"/>
      <w:bookmarkStart w:id="523" w:name="_Toc386503258"/>
      <w:bookmarkStart w:id="524" w:name="_Toc386503480"/>
      <w:bookmarkStart w:id="525" w:name="_Toc386503641"/>
      <w:bookmarkStart w:id="526" w:name="_Toc386503802"/>
      <w:bookmarkStart w:id="527" w:name="_Toc386503963"/>
      <w:bookmarkStart w:id="528" w:name="_Toc383738792"/>
      <w:bookmarkStart w:id="529" w:name="_Toc392598880"/>
      <w:bookmarkEnd w:id="522"/>
      <w:bookmarkEnd w:id="523"/>
      <w:bookmarkEnd w:id="524"/>
      <w:bookmarkEnd w:id="525"/>
      <w:bookmarkEnd w:id="526"/>
      <w:bookmarkEnd w:id="527"/>
      <w:r w:rsidRPr="00581A85">
        <w:rPr>
          <w:rStyle w:val="Strong"/>
          <w:b/>
          <w:bCs w:val="0"/>
        </w:rPr>
        <w:t>Compliance with the PM</w:t>
      </w:r>
      <w:r w:rsidRPr="00581A85">
        <w:rPr>
          <w:rStyle w:val="Strong"/>
          <w:b/>
          <w:bCs w:val="0"/>
          <w:vertAlign w:val="subscript"/>
        </w:rPr>
        <w:t xml:space="preserve">2.5 </w:t>
      </w:r>
      <w:r w:rsidRPr="00581A85">
        <w:rPr>
          <w:rStyle w:val="Strong"/>
          <w:b/>
          <w:bCs w:val="0"/>
        </w:rPr>
        <w:t>Exposure Reduction Target</w:t>
      </w:r>
      <w:bookmarkEnd w:id="528"/>
      <w:bookmarkEnd w:id="529"/>
    </w:p>
    <w:p w:rsidR="004E28FB" w:rsidRPr="00623E33" w:rsidRDefault="004E28FB" w:rsidP="00581A85">
      <w:r w:rsidRPr="00623E33">
        <w:t>In order to assess compliance with the PM</w:t>
      </w:r>
      <w:r w:rsidRPr="00A9520C">
        <w:rPr>
          <w:vertAlign w:val="subscript"/>
        </w:rPr>
        <w:t xml:space="preserve">2.5 </w:t>
      </w:r>
      <w:r w:rsidRPr="00623E33">
        <w:t>exposure reduction target for the protection of human health a minimum number of sampling points for fixed measurement has been set. This has a maximum ceiling of one sampling point per million inhabitants. These can be summed over</w:t>
      </w:r>
      <w:r>
        <w:t xml:space="preserve"> </w:t>
      </w:r>
      <w:r w:rsidRPr="00623E33">
        <w:t>agglomerations</w:t>
      </w:r>
      <w:r>
        <w:t>,</w:t>
      </w:r>
      <w:r w:rsidRPr="00623E33">
        <w:t xml:space="preserve"> and additional urban areas in excess of 100,000 inhabitants shall be operated for this purpose. Those sampling points may coincide with sampling points required to assess impact upon human health.</w:t>
      </w:r>
    </w:p>
    <w:p w:rsidR="004E28FB" w:rsidRPr="00581A85" w:rsidRDefault="004E28FB" w:rsidP="00581A85">
      <w:pPr>
        <w:pStyle w:val="Heading2"/>
        <w:rPr>
          <w:rStyle w:val="Strong"/>
          <w:b/>
          <w:bCs w:val="0"/>
        </w:rPr>
      </w:pPr>
      <w:bookmarkStart w:id="530" w:name="_Toc386499806"/>
      <w:bookmarkStart w:id="531" w:name="_Toc386503260"/>
      <w:bookmarkStart w:id="532" w:name="_Toc386503482"/>
      <w:bookmarkStart w:id="533" w:name="_Toc386503643"/>
      <w:bookmarkStart w:id="534" w:name="_Toc386503804"/>
      <w:bookmarkStart w:id="535" w:name="_Toc386503965"/>
      <w:bookmarkStart w:id="536" w:name="_Toc383738793"/>
      <w:bookmarkStart w:id="537" w:name="_Toc392598881"/>
      <w:bookmarkEnd w:id="530"/>
      <w:bookmarkEnd w:id="531"/>
      <w:bookmarkEnd w:id="532"/>
      <w:bookmarkEnd w:id="533"/>
      <w:bookmarkEnd w:id="534"/>
      <w:bookmarkEnd w:id="535"/>
      <w:r w:rsidRPr="00581A85">
        <w:rPr>
          <w:rStyle w:val="Strong"/>
          <w:b/>
          <w:bCs w:val="0"/>
        </w:rPr>
        <w:t>Protection of Vegetation</w:t>
      </w:r>
      <w:bookmarkEnd w:id="536"/>
      <w:bookmarkEnd w:id="537"/>
    </w:p>
    <w:p w:rsidR="004E28FB" w:rsidRDefault="004E28FB" w:rsidP="00581A85">
      <w:r w:rsidRPr="00623E33">
        <w:t>Specific criteria have been provided within Section C of Annex V of the CAFE Directive for a minimum number of sampling points for the Protection of Vegetation in zones other than agglomerations. Where maximum concentrations exceed the upper assessment threshold,</w:t>
      </w:r>
      <w:r>
        <w:t xml:space="preserve"> </w:t>
      </w:r>
      <w:r w:rsidRPr="00623E33">
        <w:t>then there should be a minimum of 1 station every 20,000</w:t>
      </w:r>
      <w:r w:rsidR="005E35E7">
        <w:t xml:space="preserve"> </w:t>
      </w:r>
      <w:r w:rsidRPr="00623E33">
        <w:t>km</w:t>
      </w:r>
      <w:r w:rsidRPr="00A9520C">
        <w:rPr>
          <w:vertAlign w:val="superscript"/>
        </w:rPr>
        <w:t>2</w:t>
      </w:r>
      <w:r w:rsidRPr="00623E33">
        <w:t xml:space="preserve">, whereas if maximum concentrations are between upper and lower assessment threshold there need only be a minimum of </w:t>
      </w:r>
      <w:r>
        <w:t xml:space="preserve">1 </w:t>
      </w:r>
      <w:r w:rsidRPr="00623E33">
        <w:t>station every 40,000</w:t>
      </w:r>
      <w:r w:rsidR="005E35E7">
        <w:t xml:space="preserve"> </w:t>
      </w:r>
      <w:r w:rsidRPr="00623E33">
        <w:t>km</w:t>
      </w:r>
      <w:r w:rsidRPr="00A9520C">
        <w:rPr>
          <w:vertAlign w:val="superscript"/>
        </w:rPr>
        <w:t>2</w:t>
      </w:r>
      <w:r w:rsidRPr="00623E33">
        <w:t>.</w:t>
      </w:r>
    </w:p>
    <w:p w:rsidR="004E28FB" w:rsidRPr="00581A85" w:rsidRDefault="004E28FB" w:rsidP="00581A85">
      <w:pPr>
        <w:pStyle w:val="Heading2"/>
        <w:rPr>
          <w:rStyle w:val="Strong"/>
          <w:b/>
          <w:bCs w:val="0"/>
        </w:rPr>
      </w:pPr>
      <w:bookmarkStart w:id="538" w:name="_Toc386499808"/>
      <w:bookmarkStart w:id="539" w:name="_Toc386503262"/>
      <w:bookmarkStart w:id="540" w:name="_Toc386503484"/>
      <w:bookmarkStart w:id="541" w:name="_Toc386503645"/>
      <w:bookmarkStart w:id="542" w:name="_Toc386503806"/>
      <w:bookmarkStart w:id="543" w:name="_Toc386503967"/>
      <w:bookmarkStart w:id="544" w:name="_Toc386499809"/>
      <w:bookmarkStart w:id="545" w:name="_Toc386503263"/>
      <w:bookmarkStart w:id="546" w:name="_Toc386503485"/>
      <w:bookmarkStart w:id="547" w:name="_Toc386503646"/>
      <w:bookmarkStart w:id="548" w:name="_Toc386503807"/>
      <w:bookmarkStart w:id="549" w:name="_Toc386503968"/>
      <w:bookmarkStart w:id="550" w:name="_Toc383736827"/>
      <w:bookmarkStart w:id="551" w:name="_Toc383738794"/>
      <w:bookmarkStart w:id="552" w:name="_Toc383764361"/>
      <w:bookmarkStart w:id="553" w:name="_Toc383738795"/>
      <w:bookmarkStart w:id="554" w:name="_Toc392598882"/>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581A85">
        <w:rPr>
          <w:rStyle w:val="Strong"/>
          <w:b/>
          <w:bCs w:val="0"/>
        </w:rPr>
        <w:t>Measurements at Rural Background Locations</w:t>
      </w:r>
      <w:bookmarkEnd w:id="553"/>
      <w:bookmarkEnd w:id="554"/>
    </w:p>
    <w:p w:rsidR="004E28FB" w:rsidRDefault="004E28FB" w:rsidP="00581A85">
      <w:r w:rsidRPr="00623E33">
        <w:t>In addition to the assessment of pollutants for purposes of protection of both human health and ecosystems, fixed measurements shall be made at rural background locations away from significant sources of air pollution. These are required for the purposes of assessing possible contribution from long-range transport of air pollutants, and should, as a minimum, include information on the total mass concentration and the chemical speciation concentrations of fine particulate matter (PM</w:t>
      </w:r>
      <w:r w:rsidRPr="00A9520C">
        <w:rPr>
          <w:vertAlign w:val="subscript"/>
        </w:rPr>
        <w:t>2.5</w:t>
      </w:r>
      <w:r w:rsidRPr="00623E33">
        <w:t>) on an annual average basis.</w:t>
      </w:r>
    </w:p>
    <w:p w:rsidR="004E28FB" w:rsidRPr="00623E33" w:rsidRDefault="004E28FB" w:rsidP="00581A85">
      <w:r w:rsidRPr="00623E33">
        <w:t>Measurements at rural locations are required to meet the following criteria:</w:t>
      </w:r>
    </w:p>
    <w:p w:rsidR="004E28FB" w:rsidRPr="00581A85" w:rsidRDefault="004E28FB" w:rsidP="009E6C1C">
      <w:pPr>
        <w:pStyle w:val="ListParagraph"/>
        <w:numPr>
          <w:ilvl w:val="0"/>
          <w:numId w:val="53"/>
        </w:numPr>
      </w:pPr>
      <w:r w:rsidRPr="00581A85">
        <w:t>That there is one sampling point every 100,000 km</w:t>
      </w:r>
      <w:r w:rsidRPr="00581A85">
        <w:rPr>
          <w:vertAlign w:val="superscript"/>
        </w:rPr>
        <w:t>2</w:t>
      </w:r>
      <w:r w:rsidRPr="00581A85">
        <w:t>.</w:t>
      </w:r>
    </w:p>
    <w:p w:rsidR="004E28FB" w:rsidRPr="00581A85" w:rsidRDefault="004E28FB" w:rsidP="009E6C1C">
      <w:pPr>
        <w:pStyle w:val="ListParagraph"/>
        <w:numPr>
          <w:ilvl w:val="0"/>
          <w:numId w:val="53"/>
        </w:numPr>
      </w:pPr>
      <w:r w:rsidRPr="00581A85">
        <w:t xml:space="preserve">Member States may set up one or in agreement with adjoining Member States, several common measuring stations, covering the relevant </w:t>
      </w:r>
      <w:proofErr w:type="spellStart"/>
      <w:r w:rsidRPr="00581A85">
        <w:t>neighbouring</w:t>
      </w:r>
      <w:proofErr w:type="spellEnd"/>
      <w:r w:rsidRPr="00581A85">
        <w:t xml:space="preserve"> zones, to achieve the necessary spatial resolution.</w:t>
      </w:r>
    </w:p>
    <w:p w:rsidR="004E28FB" w:rsidRPr="00581A85" w:rsidRDefault="004E28FB" w:rsidP="009E6C1C">
      <w:pPr>
        <w:pStyle w:val="ListParagraph"/>
        <w:numPr>
          <w:ilvl w:val="0"/>
          <w:numId w:val="53"/>
        </w:numPr>
      </w:pPr>
      <w:r w:rsidRPr="00581A85">
        <w:t xml:space="preserve">Where feasible, monitoring should be coordinated with the monitoring strategy and measurement </w:t>
      </w:r>
      <w:proofErr w:type="spellStart"/>
      <w:r w:rsidRPr="00581A85">
        <w:t>programme</w:t>
      </w:r>
      <w:proofErr w:type="spellEnd"/>
      <w:r w:rsidRPr="00581A85">
        <w:t xml:space="preserve"> of the Cooperative </w:t>
      </w:r>
      <w:proofErr w:type="spellStart"/>
      <w:r w:rsidRPr="00581A85">
        <w:t>Programme</w:t>
      </w:r>
      <w:proofErr w:type="spellEnd"/>
      <w:r w:rsidRPr="00581A85">
        <w:t xml:space="preserve"> for Monitoring and Evaluation of the Long-range Transmission of Air Pollutants in Europe (EMEP). </w:t>
      </w:r>
    </w:p>
    <w:p w:rsidR="004E28FB" w:rsidRPr="00581A85" w:rsidRDefault="004E28FB" w:rsidP="009E6C1C">
      <w:pPr>
        <w:pStyle w:val="ListParagraph"/>
        <w:numPr>
          <w:ilvl w:val="0"/>
          <w:numId w:val="53"/>
        </w:numPr>
      </w:pPr>
      <w:r w:rsidRPr="00581A85">
        <w:lastRenderedPageBreak/>
        <w:t>Measurement of PM</w:t>
      </w:r>
      <w:r w:rsidRPr="00581A85">
        <w:rPr>
          <w:vertAlign w:val="subscript"/>
        </w:rPr>
        <w:t xml:space="preserve">2.5 </w:t>
      </w:r>
      <w:r w:rsidRPr="00581A85">
        <w:t xml:space="preserve">must include at least the total mass concentration and concentrations of appropriate compounds to </w:t>
      </w:r>
      <w:proofErr w:type="spellStart"/>
      <w:r w:rsidRPr="00581A85">
        <w:t>characterise</w:t>
      </w:r>
      <w:proofErr w:type="spellEnd"/>
      <w:r w:rsidRPr="00581A85">
        <w:t xml:space="preserve"> its chemical composition. As a minimum, the following shall be included: SO4</w:t>
      </w:r>
      <w:r w:rsidRPr="00581A85">
        <w:rPr>
          <w:vertAlign w:val="superscript"/>
        </w:rPr>
        <w:t>2–</w:t>
      </w:r>
      <w:r w:rsidRPr="00581A85">
        <w:t>, Na</w:t>
      </w:r>
      <w:r w:rsidRPr="00581A85">
        <w:rPr>
          <w:vertAlign w:val="superscript"/>
        </w:rPr>
        <w:t>+</w:t>
      </w:r>
      <w:r w:rsidRPr="00581A85">
        <w:t>, NH</w:t>
      </w:r>
      <w:r w:rsidRPr="00581A85">
        <w:rPr>
          <w:vertAlign w:val="subscript"/>
        </w:rPr>
        <w:t>4</w:t>
      </w:r>
      <w:r w:rsidRPr="00581A85">
        <w:rPr>
          <w:vertAlign w:val="superscript"/>
        </w:rPr>
        <w:t>+</w:t>
      </w:r>
      <w:r w:rsidRPr="00581A85">
        <w:t xml:space="preserve"> Ca</w:t>
      </w:r>
      <w:r w:rsidRPr="00581A85">
        <w:rPr>
          <w:vertAlign w:val="superscript"/>
        </w:rPr>
        <w:t>2+</w:t>
      </w:r>
      <w:r w:rsidRPr="00581A85">
        <w:t xml:space="preserve"> NO</w:t>
      </w:r>
      <w:r w:rsidRPr="00581A85">
        <w:rPr>
          <w:vertAlign w:val="subscript"/>
        </w:rPr>
        <w:t>3</w:t>
      </w:r>
      <w:r w:rsidRPr="00581A85">
        <w:rPr>
          <w:vertAlign w:val="superscript"/>
        </w:rPr>
        <w:t>-</w:t>
      </w:r>
      <w:r w:rsidRPr="00581A85">
        <w:t>, K</w:t>
      </w:r>
      <w:r w:rsidRPr="00581A85">
        <w:rPr>
          <w:vertAlign w:val="superscript"/>
        </w:rPr>
        <w:t>+</w:t>
      </w:r>
      <w:r w:rsidRPr="00581A85">
        <w:t xml:space="preserve"> Cl</w:t>
      </w:r>
      <w:r w:rsidRPr="00581A85">
        <w:rPr>
          <w:vertAlign w:val="superscript"/>
        </w:rPr>
        <w:t>–</w:t>
      </w:r>
      <w:r w:rsidRPr="00581A85">
        <w:t>, Mg</w:t>
      </w:r>
      <w:r w:rsidRPr="00581A85">
        <w:rPr>
          <w:vertAlign w:val="superscript"/>
        </w:rPr>
        <w:t>2+</w:t>
      </w:r>
      <w:r w:rsidRPr="00581A85">
        <w:t>, organic carbon, elemental carbon.</w:t>
      </w:r>
    </w:p>
    <w:p w:rsidR="004E28FB" w:rsidRPr="00581A85" w:rsidRDefault="004E28FB" w:rsidP="00581A85">
      <w:pPr>
        <w:pStyle w:val="Heading2"/>
        <w:rPr>
          <w:rStyle w:val="Strong"/>
          <w:b/>
          <w:bCs w:val="0"/>
        </w:rPr>
      </w:pPr>
      <w:bookmarkStart w:id="555" w:name="_Toc386499811"/>
      <w:bookmarkStart w:id="556" w:name="_Toc386503265"/>
      <w:bookmarkStart w:id="557" w:name="_Toc386503487"/>
      <w:bookmarkStart w:id="558" w:name="_Toc386503648"/>
      <w:bookmarkStart w:id="559" w:name="_Toc386503809"/>
      <w:bookmarkStart w:id="560" w:name="_Toc386503970"/>
      <w:bookmarkStart w:id="561" w:name="_Toc383738796"/>
      <w:bookmarkStart w:id="562" w:name="_Toc392598883"/>
      <w:bookmarkEnd w:id="555"/>
      <w:bookmarkEnd w:id="556"/>
      <w:bookmarkEnd w:id="557"/>
      <w:bookmarkEnd w:id="558"/>
      <w:bookmarkEnd w:id="559"/>
      <w:bookmarkEnd w:id="560"/>
      <w:r w:rsidRPr="00581A85">
        <w:rPr>
          <w:rStyle w:val="Strong"/>
          <w:b/>
          <w:bCs w:val="0"/>
        </w:rPr>
        <w:t>Data quality objectives for ambient air quality assessment in EU directives</w:t>
      </w:r>
      <w:bookmarkEnd w:id="561"/>
      <w:bookmarkEnd w:id="562"/>
    </w:p>
    <w:p w:rsidR="004E28FB" w:rsidRPr="00623E33" w:rsidRDefault="004E28FB" w:rsidP="00581A85">
      <w:r w:rsidRPr="00623E33">
        <w:t>Minimum requirements for the quality of data acceptable to Directive 2008/50/EC are termed Data Quality Objectives. These include uncertainty, minimal data capture and minimal time coverage.</w:t>
      </w:r>
    </w:p>
    <w:p w:rsidR="004E28FB" w:rsidRPr="00623E33" w:rsidRDefault="004E28FB" w:rsidP="00581A85">
      <w:r>
        <w:t>Fixed measurements of monitoring ambient air quality are required where a pollutant species has been identified as exceeding the upper assessment threshold (as set out in part A  Annex II of the CAF</w:t>
      </w:r>
      <w:r w:rsidR="00E61DBA">
        <w:t>E</w:t>
      </w:r>
      <w:r>
        <w:t xml:space="preserve"> Directive).  Where a pollutant concentration is well below the lower assessment threshold (as set out in part A, Annex II of the CAFE Directive) then it is acceptable to use indicative measurement method</w:t>
      </w:r>
      <w:r w:rsidRPr="00623E33">
        <w:t>.</w:t>
      </w:r>
    </w:p>
    <w:p w:rsidR="004E28FB" w:rsidRDefault="004E28FB" w:rsidP="00581A85">
      <w:r w:rsidRPr="00623E33">
        <w:t xml:space="preserve">Data Quality Objectives for fixed </w:t>
      </w:r>
      <w:r>
        <w:t xml:space="preserve">measurements (long-term), such as a permanently located continuous monitor </w:t>
      </w:r>
      <w:r w:rsidRPr="00623E33">
        <w:t xml:space="preserve">are set out </w:t>
      </w:r>
      <w:r>
        <w:t xml:space="preserve">in </w:t>
      </w:r>
      <w:r w:rsidRPr="00623E33">
        <w:t xml:space="preserve">Table </w:t>
      </w:r>
      <w:r w:rsidR="00581A85">
        <w:t>2</w:t>
      </w:r>
      <w:r>
        <w:t xml:space="preserve">-7, and data quality objectives for </w:t>
      </w:r>
      <w:r w:rsidRPr="00623E33">
        <w:t xml:space="preserve">indicative measurements </w:t>
      </w:r>
      <w:r>
        <w:t xml:space="preserve">(short-term) are set-out in Table </w:t>
      </w:r>
      <w:r w:rsidR="00581A85">
        <w:t>2</w:t>
      </w:r>
      <w:r>
        <w:t>-8.</w:t>
      </w:r>
    </w:p>
    <w:p w:rsidR="004E28FB" w:rsidRPr="00623E33" w:rsidRDefault="004E28FB" w:rsidP="00581A85">
      <w:r>
        <w:t xml:space="preserve">Random </w:t>
      </w:r>
      <w:r w:rsidRPr="00623E33">
        <w:t xml:space="preserve">measurements </w:t>
      </w:r>
      <w:r>
        <w:t xml:space="preserve">may be applied </w:t>
      </w:r>
      <w:r w:rsidRPr="00623E33">
        <w:t>instead of continuous measurements for benzene, lead and particulate matter to the Commission if they can demonstrate that:</w:t>
      </w:r>
    </w:p>
    <w:p w:rsidR="004E28FB" w:rsidRPr="00581A85" w:rsidRDefault="004E28FB" w:rsidP="009E6C1C">
      <w:pPr>
        <w:pStyle w:val="ListParagraph"/>
        <w:numPr>
          <w:ilvl w:val="0"/>
          <w:numId w:val="54"/>
        </w:numPr>
      </w:pPr>
      <w:r w:rsidRPr="00581A85">
        <w:t xml:space="preserve">the combined uncertainty of random sampling and measurements for benzene, lead and particulate matter, meets the quality objective of 25%; </w:t>
      </w:r>
    </w:p>
    <w:p w:rsidR="004E28FB" w:rsidRPr="00581A85" w:rsidRDefault="004E28FB" w:rsidP="009E6C1C">
      <w:pPr>
        <w:pStyle w:val="ListParagraph"/>
        <w:numPr>
          <w:ilvl w:val="0"/>
          <w:numId w:val="54"/>
        </w:numPr>
      </w:pPr>
      <w:r w:rsidRPr="00581A85">
        <w:t>the time coverage is still larger than the minimum time coverage for indicative measurements; and</w:t>
      </w:r>
    </w:p>
    <w:p w:rsidR="004E28FB" w:rsidRPr="00581A85" w:rsidRDefault="004E28FB" w:rsidP="009E6C1C">
      <w:pPr>
        <w:pStyle w:val="ListParagraph"/>
        <w:numPr>
          <w:ilvl w:val="0"/>
          <w:numId w:val="54"/>
        </w:numPr>
      </w:pPr>
      <w:r w:rsidRPr="00581A85">
        <w:t>Random sampling is evenly distributed over the year in order to avoid skewing of results.</w:t>
      </w:r>
    </w:p>
    <w:p w:rsidR="004E28FB" w:rsidRPr="00623E33" w:rsidRDefault="004E28FB" w:rsidP="00581A85">
      <w:r>
        <w:t>When using indicative measurements for benzene, data quality objectives are less stringent, and only</w:t>
      </w:r>
      <w:r w:rsidRPr="00623E33">
        <w:t xml:space="preserve"> a one day random measurement a week must be taken, </w:t>
      </w:r>
      <w:r>
        <w:t xml:space="preserve">which must be </w:t>
      </w:r>
      <w:r w:rsidRPr="00623E33">
        <w:t>evenly distributed over the year, or eight weeks evenly distributed over the year.</w:t>
      </w:r>
      <w:r>
        <w:t xml:space="preserve"> Though when using a fixed measurement, t</w:t>
      </w:r>
      <w:r w:rsidRPr="00623E33">
        <w:t>he minimal time coverage must be distributed across the year to be representative of various conditions for climate and traffic.</w:t>
      </w:r>
    </w:p>
    <w:p w:rsidR="004E28FB" w:rsidRPr="00623E33" w:rsidRDefault="004E28FB" w:rsidP="00581A85">
      <w:r w:rsidRPr="00623E33">
        <w:t>When using indicative measurements for SO</w:t>
      </w:r>
      <w:r w:rsidRPr="00581A85">
        <w:rPr>
          <w:vertAlign w:val="subscript"/>
        </w:rPr>
        <w:t>2</w:t>
      </w:r>
      <w:r w:rsidRPr="00623E33">
        <w:t>, NO</w:t>
      </w:r>
      <w:r w:rsidRPr="00581A85">
        <w:rPr>
          <w:vertAlign w:val="subscript"/>
        </w:rPr>
        <w:t>2</w:t>
      </w:r>
      <w:r w:rsidRPr="003C5124">
        <w:t xml:space="preserve"> </w:t>
      </w:r>
      <w:r w:rsidRPr="00623E33">
        <w:t>and NO</w:t>
      </w:r>
      <w:r w:rsidRPr="003C5124">
        <w:t>x</w:t>
      </w:r>
      <w:r w:rsidRPr="00623E33">
        <w:t xml:space="preserve"> and CO and particulates then a one day random measurement a week must be taken, evenly distributed over the year, or eight weeks evenly distributed over the year.</w:t>
      </w:r>
    </w:p>
    <w:p w:rsidR="004E28FB" w:rsidRPr="00623E33" w:rsidRDefault="004E28FB" w:rsidP="00581A85">
      <w:r>
        <w:t>T</w:t>
      </w:r>
      <w:r w:rsidRPr="00623E33">
        <w:t>he uncertainty due to random sampling should be determined by the standard ISO 11222 (2002) ‘Air</w:t>
      </w:r>
      <w:r w:rsidR="00226319">
        <w:t xml:space="preserve"> </w:t>
      </w:r>
      <w:r w:rsidRPr="00623E33">
        <w:t>Quality — Determination of the Uncertainty of the Time Average of Air Quality Measurements’.</w:t>
      </w:r>
    </w:p>
    <w:p w:rsidR="004E28FB" w:rsidRPr="00623E33" w:rsidRDefault="004E28FB" w:rsidP="00581A85">
      <w:r w:rsidRPr="00623E33">
        <w:t>Where random measurements are used to assess compliance of the PM</w:t>
      </w:r>
      <w:r w:rsidRPr="00A9520C">
        <w:rPr>
          <w:vertAlign w:val="subscript"/>
        </w:rPr>
        <w:t>10</w:t>
      </w:r>
      <w:r w:rsidRPr="00623E33">
        <w:t xml:space="preserve"> limit value, then compliance with the daily limit of 50 µg/m</w:t>
      </w:r>
      <w:r w:rsidRPr="00A9520C">
        <w:rPr>
          <w:vertAlign w:val="superscript"/>
        </w:rPr>
        <w:t>3</w:t>
      </w:r>
      <w:r w:rsidRPr="00623E33">
        <w:t xml:space="preserve"> PM</w:t>
      </w:r>
      <w:r w:rsidRPr="00A9520C">
        <w:rPr>
          <w:vertAlign w:val="subscript"/>
        </w:rPr>
        <w:t>10</w:t>
      </w:r>
      <w:r w:rsidRPr="00623E33">
        <w:t xml:space="preserve"> (which is highly influenced by data coverage) should be assessed from the 90.4 percentile </w:t>
      </w:r>
      <w:r>
        <w:t>(to be</w:t>
      </w:r>
      <w:r w:rsidRPr="00623E33">
        <w:t xml:space="preserve"> lower than or equal to 50µg/m</w:t>
      </w:r>
      <w:r w:rsidRPr="00A9520C">
        <w:rPr>
          <w:vertAlign w:val="superscript"/>
        </w:rPr>
        <w:t>3</w:t>
      </w:r>
      <w:r>
        <w:t>)</w:t>
      </w:r>
      <w:r w:rsidRPr="00623E33">
        <w:t>, instead of the number of exceedances.</w:t>
      </w:r>
    </w:p>
    <w:p w:rsidR="004E28FB" w:rsidRPr="00623E33" w:rsidRDefault="004E28FB" w:rsidP="00581A85">
      <w:r w:rsidRPr="00623E33">
        <w:t xml:space="preserve">Minimum data capture as well as time coverage </w:t>
      </w:r>
      <w:proofErr w:type="gramStart"/>
      <w:r w:rsidRPr="00623E33">
        <w:t>are</w:t>
      </w:r>
      <w:proofErr w:type="gramEnd"/>
      <w:r w:rsidRPr="00623E33">
        <w:t xml:space="preserve"> not calculated using any losses of data which are due to the regular calibration or the normal maintenance of the instrumentation. Though any losses of data due to instrument failure, repair or baseline drift are included within the minimum data capture and time coverage calculation.</w:t>
      </w:r>
    </w:p>
    <w:p w:rsidR="004E28FB" w:rsidRPr="00623E33" w:rsidRDefault="004E28FB" w:rsidP="00581A85">
      <w:pPr>
        <w:pStyle w:val="TOC1"/>
      </w:pPr>
      <w:r w:rsidRPr="00623E33">
        <w:lastRenderedPageBreak/>
        <w:t xml:space="preserve">Table </w:t>
      </w:r>
      <w:r w:rsidR="005101F7">
        <w:fldChar w:fldCharType="begin"/>
      </w:r>
      <w:r w:rsidR="005101F7">
        <w:instrText xml:space="preserve"> STYLEREF 1 \s </w:instrText>
      </w:r>
      <w:r w:rsidR="005101F7">
        <w:fldChar w:fldCharType="separate"/>
      </w:r>
      <w:r>
        <w:rPr>
          <w:noProof/>
        </w:rPr>
        <w:t>2</w:t>
      </w:r>
      <w:r w:rsidR="005101F7">
        <w:rPr>
          <w:noProof/>
        </w:rPr>
        <w:fldChar w:fldCharType="end"/>
      </w:r>
      <w:r>
        <w:noBreakHyphen/>
        <w:t xml:space="preserve">7 </w:t>
      </w:r>
      <w:r w:rsidRPr="00623E33">
        <w:t xml:space="preserve">Data quality objectives for </w:t>
      </w:r>
      <w:r>
        <w:t>the fixed measurement of</w:t>
      </w:r>
      <w:r w:rsidRPr="00623E33">
        <w:t xml:space="preserve"> ambient air quality assessment in National Networks</w:t>
      </w:r>
    </w:p>
    <w:tbl>
      <w:tblPr>
        <w:tblStyle w:val="TableGrid"/>
        <w:tblW w:w="5000" w:type="pct"/>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12" w:space="0" w:color="76923C" w:themeColor="accent3" w:themeShade="BF"/>
          <w:insideV w:val="single" w:sz="12" w:space="0" w:color="76923C" w:themeColor="accent3" w:themeShade="BF"/>
        </w:tblBorders>
        <w:tblLayout w:type="fixed"/>
        <w:tblLook w:val="04A0" w:firstRow="1" w:lastRow="0" w:firstColumn="1" w:lastColumn="0" w:noHBand="0" w:noVBand="1"/>
      </w:tblPr>
      <w:tblGrid>
        <w:gridCol w:w="1476"/>
        <w:gridCol w:w="1018"/>
        <w:gridCol w:w="1158"/>
        <w:gridCol w:w="877"/>
        <w:gridCol w:w="1018"/>
        <w:gridCol w:w="1018"/>
        <w:gridCol w:w="914"/>
        <w:gridCol w:w="1122"/>
        <w:gridCol w:w="1020"/>
      </w:tblGrid>
      <w:tr w:rsidR="004E28FB" w:rsidRPr="00E61DBA" w:rsidTr="00581A85">
        <w:trPr>
          <w:tblHeader/>
        </w:trPr>
        <w:tc>
          <w:tcPr>
            <w:tcW w:w="767" w:type="pct"/>
            <w:shd w:val="clear" w:color="auto" w:fill="1F497D" w:themeFill="text2"/>
            <w:vAlign w:val="center"/>
          </w:tcPr>
          <w:p w:rsidR="004E28FB" w:rsidRPr="00E61DBA" w:rsidRDefault="004E28FB" w:rsidP="004E28FB">
            <w:pPr>
              <w:jc w:val="center"/>
              <w:rPr>
                <w:rFonts w:cs="Arial"/>
                <w:b/>
                <w:color w:val="FFFFFF" w:themeColor="background1"/>
                <w:sz w:val="20"/>
              </w:rPr>
            </w:pPr>
            <w:r w:rsidRPr="00E61DBA">
              <w:rPr>
                <w:rFonts w:cs="Arial"/>
                <w:b/>
                <w:color w:val="FFFFFF" w:themeColor="background1"/>
                <w:sz w:val="20"/>
              </w:rPr>
              <w:t>Objective Criteria</w:t>
            </w:r>
          </w:p>
        </w:tc>
        <w:tc>
          <w:tcPr>
            <w:tcW w:w="529" w:type="pct"/>
            <w:shd w:val="clear" w:color="auto" w:fill="1F497D" w:themeFill="text2"/>
            <w:vAlign w:val="center"/>
          </w:tcPr>
          <w:p w:rsidR="004E28FB" w:rsidRPr="00E61DBA" w:rsidRDefault="004E28FB" w:rsidP="004E28FB">
            <w:pPr>
              <w:jc w:val="center"/>
              <w:rPr>
                <w:rFonts w:cs="Arial"/>
                <w:b/>
                <w:color w:val="FFFFFF" w:themeColor="background1"/>
                <w:sz w:val="20"/>
              </w:rPr>
            </w:pPr>
            <w:r w:rsidRPr="00E61DBA">
              <w:rPr>
                <w:rFonts w:cs="Arial"/>
                <w:b/>
                <w:color w:val="FFFFFF" w:themeColor="background1"/>
                <w:sz w:val="20"/>
              </w:rPr>
              <w:t>SO</w:t>
            </w:r>
            <w:r w:rsidRPr="00E61DBA">
              <w:rPr>
                <w:rFonts w:cs="Arial"/>
                <w:b/>
                <w:color w:val="FFFFFF" w:themeColor="background1"/>
                <w:sz w:val="20"/>
                <w:vertAlign w:val="subscript"/>
              </w:rPr>
              <w:t>2</w:t>
            </w:r>
            <w:r w:rsidRPr="00E61DBA">
              <w:rPr>
                <w:rFonts w:cs="Arial"/>
                <w:b/>
                <w:color w:val="FFFFFF" w:themeColor="background1"/>
                <w:sz w:val="20"/>
              </w:rPr>
              <w:t>, NO</w:t>
            </w:r>
            <w:r w:rsidRPr="00E61DBA">
              <w:rPr>
                <w:rFonts w:cs="Arial"/>
                <w:b/>
                <w:color w:val="FFFFFF" w:themeColor="background1"/>
                <w:sz w:val="20"/>
                <w:vertAlign w:val="subscript"/>
              </w:rPr>
              <w:t>2</w:t>
            </w:r>
            <w:r w:rsidRPr="00E61DBA">
              <w:rPr>
                <w:rFonts w:cs="Arial"/>
                <w:b/>
                <w:color w:val="FFFFFF" w:themeColor="background1"/>
                <w:sz w:val="20"/>
              </w:rPr>
              <w:t xml:space="preserve"> and NOx and CO</w:t>
            </w:r>
          </w:p>
        </w:tc>
        <w:tc>
          <w:tcPr>
            <w:tcW w:w="602" w:type="pct"/>
            <w:tcBorders>
              <w:bottom w:val="single" w:sz="12" w:space="0" w:color="76923C" w:themeColor="accent3" w:themeShade="BF"/>
            </w:tcBorders>
            <w:shd w:val="clear" w:color="auto" w:fill="1F497D" w:themeFill="text2"/>
            <w:vAlign w:val="center"/>
          </w:tcPr>
          <w:p w:rsidR="004E28FB" w:rsidRPr="00E61DBA" w:rsidRDefault="004E28FB" w:rsidP="004E28FB">
            <w:pPr>
              <w:jc w:val="center"/>
              <w:rPr>
                <w:rFonts w:cs="Arial"/>
                <w:b/>
                <w:color w:val="FFFFFF" w:themeColor="background1"/>
                <w:sz w:val="20"/>
              </w:rPr>
            </w:pPr>
            <w:r w:rsidRPr="00E61DBA">
              <w:rPr>
                <w:rFonts w:cs="Arial"/>
                <w:b/>
                <w:color w:val="FFFFFF" w:themeColor="background1"/>
                <w:sz w:val="20"/>
              </w:rPr>
              <w:t>Benzene</w:t>
            </w:r>
          </w:p>
        </w:tc>
        <w:tc>
          <w:tcPr>
            <w:tcW w:w="456" w:type="pct"/>
            <w:tcBorders>
              <w:bottom w:val="single" w:sz="12" w:space="0" w:color="76923C" w:themeColor="accent3" w:themeShade="BF"/>
            </w:tcBorders>
            <w:shd w:val="clear" w:color="auto" w:fill="1F497D" w:themeFill="text2"/>
            <w:vAlign w:val="center"/>
          </w:tcPr>
          <w:p w:rsidR="004E28FB" w:rsidRPr="00E61DBA" w:rsidRDefault="004E28FB" w:rsidP="004E28FB">
            <w:pPr>
              <w:jc w:val="center"/>
              <w:rPr>
                <w:rFonts w:cs="Arial"/>
                <w:b/>
                <w:color w:val="FFFFFF" w:themeColor="background1"/>
                <w:sz w:val="20"/>
              </w:rPr>
            </w:pPr>
            <w:r w:rsidRPr="00E61DBA">
              <w:rPr>
                <w:rFonts w:cs="Arial"/>
                <w:b/>
                <w:color w:val="FFFFFF" w:themeColor="background1"/>
                <w:sz w:val="20"/>
              </w:rPr>
              <w:t>PM</w:t>
            </w:r>
            <w:r w:rsidRPr="00E61DBA">
              <w:rPr>
                <w:rFonts w:cs="Arial"/>
                <w:b/>
                <w:color w:val="FFFFFF" w:themeColor="background1"/>
                <w:sz w:val="20"/>
                <w:vertAlign w:val="subscript"/>
              </w:rPr>
              <w:t>10</w:t>
            </w:r>
            <w:r w:rsidRPr="00E61DBA">
              <w:rPr>
                <w:rFonts w:cs="Arial"/>
                <w:b/>
                <w:color w:val="FFFFFF" w:themeColor="background1"/>
                <w:sz w:val="20"/>
              </w:rPr>
              <w:t>, PM</w:t>
            </w:r>
            <w:r w:rsidRPr="00E61DBA">
              <w:rPr>
                <w:rFonts w:cs="Arial"/>
                <w:b/>
                <w:color w:val="FFFFFF" w:themeColor="background1"/>
                <w:sz w:val="20"/>
                <w:vertAlign w:val="subscript"/>
              </w:rPr>
              <w:t>2.5</w:t>
            </w:r>
            <w:r w:rsidRPr="00E61DBA">
              <w:rPr>
                <w:rFonts w:cs="Arial"/>
                <w:b/>
                <w:color w:val="FFFFFF" w:themeColor="background1"/>
                <w:sz w:val="20"/>
              </w:rPr>
              <w:t xml:space="preserve"> and </w:t>
            </w:r>
            <w:proofErr w:type="spellStart"/>
            <w:r w:rsidRPr="00E61DBA">
              <w:rPr>
                <w:rFonts w:cs="Arial"/>
                <w:b/>
                <w:color w:val="FFFFFF" w:themeColor="background1"/>
                <w:sz w:val="20"/>
              </w:rPr>
              <w:t>Pb</w:t>
            </w:r>
            <w:proofErr w:type="spellEnd"/>
          </w:p>
        </w:tc>
        <w:tc>
          <w:tcPr>
            <w:tcW w:w="529" w:type="pct"/>
            <w:tcBorders>
              <w:bottom w:val="single" w:sz="12" w:space="0" w:color="76923C" w:themeColor="accent3" w:themeShade="BF"/>
            </w:tcBorders>
            <w:shd w:val="clear" w:color="auto" w:fill="1F497D" w:themeFill="text2"/>
            <w:vAlign w:val="center"/>
          </w:tcPr>
          <w:p w:rsidR="004E28FB" w:rsidRPr="00E61DBA" w:rsidRDefault="004E28FB" w:rsidP="004E28FB">
            <w:pPr>
              <w:jc w:val="center"/>
              <w:rPr>
                <w:rFonts w:cs="Arial"/>
                <w:b/>
                <w:color w:val="FFFFFF" w:themeColor="background1"/>
                <w:sz w:val="20"/>
              </w:rPr>
            </w:pPr>
            <w:r w:rsidRPr="00E61DBA">
              <w:rPr>
                <w:rFonts w:cs="Arial"/>
                <w:b/>
                <w:color w:val="FFFFFF" w:themeColor="background1"/>
                <w:sz w:val="20"/>
              </w:rPr>
              <w:t>Ozone and related NO and NO</w:t>
            </w:r>
            <w:r w:rsidRPr="00E61DBA">
              <w:rPr>
                <w:rFonts w:cs="Arial"/>
                <w:b/>
                <w:color w:val="FFFFFF" w:themeColor="background1"/>
                <w:sz w:val="20"/>
                <w:vertAlign w:val="subscript"/>
              </w:rPr>
              <w:t>2</w:t>
            </w:r>
          </w:p>
        </w:tc>
        <w:tc>
          <w:tcPr>
            <w:tcW w:w="529" w:type="pct"/>
            <w:tcBorders>
              <w:bottom w:val="single" w:sz="12" w:space="0" w:color="76923C" w:themeColor="accent3" w:themeShade="BF"/>
            </w:tcBorders>
            <w:shd w:val="clear" w:color="auto" w:fill="1F497D" w:themeFill="text2"/>
            <w:vAlign w:val="center"/>
          </w:tcPr>
          <w:p w:rsidR="004E28FB" w:rsidRPr="00E61DBA" w:rsidRDefault="004E28FB" w:rsidP="004E28FB">
            <w:pPr>
              <w:jc w:val="center"/>
              <w:rPr>
                <w:rFonts w:cs="Arial"/>
                <w:b/>
                <w:color w:val="FFFFFF" w:themeColor="background1"/>
                <w:sz w:val="20"/>
              </w:rPr>
            </w:pPr>
            <w:r w:rsidRPr="00E61DBA">
              <w:rPr>
                <w:rFonts w:cs="Arial"/>
                <w:b/>
                <w:color w:val="FFFFFF" w:themeColor="background1"/>
                <w:sz w:val="20"/>
              </w:rPr>
              <w:t>B(a)P</w:t>
            </w:r>
          </w:p>
        </w:tc>
        <w:tc>
          <w:tcPr>
            <w:tcW w:w="475" w:type="pct"/>
            <w:tcBorders>
              <w:bottom w:val="single" w:sz="12" w:space="0" w:color="76923C" w:themeColor="accent3" w:themeShade="BF"/>
            </w:tcBorders>
            <w:shd w:val="clear" w:color="auto" w:fill="1F497D" w:themeFill="text2"/>
            <w:vAlign w:val="center"/>
          </w:tcPr>
          <w:p w:rsidR="004E28FB" w:rsidRPr="00E61DBA" w:rsidRDefault="004E28FB" w:rsidP="00C90C23">
            <w:pPr>
              <w:jc w:val="center"/>
              <w:rPr>
                <w:rFonts w:cs="Arial"/>
                <w:b/>
                <w:color w:val="FFFFFF" w:themeColor="background1"/>
                <w:sz w:val="20"/>
              </w:rPr>
            </w:pPr>
            <w:r w:rsidRPr="00E61DBA">
              <w:rPr>
                <w:rFonts w:cs="Arial"/>
                <w:b/>
                <w:color w:val="FFFFFF" w:themeColor="background1"/>
                <w:sz w:val="20"/>
              </w:rPr>
              <w:t>A</w:t>
            </w:r>
            <w:r w:rsidR="00C90C23">
              <w:rPr>
                <w:rFonts w:cs="Arial"/>
                <w:b/>
                <w:color w:val="FFFFFF" w:themeColor="background1"/>
                <w:sz w:val="20"/>
              </w:rPr>
              <w:t>s</w:t>
            </w:r>
            <w:r w:rsidRPr="00E61DBA">
              <w:rPr>
                <w:rFonts w:cs="Arial"/>
                <w:b/>
                <w:color w:val="FFFFFF" w:themeColor="background1"/>
                <w:sz w:val="20"/>
              </w:rPr>
              <w:t>, Cd, &amp; Ni</w:t>
            </w:r>
          </w:p>
        </w:tc>
        <w:tc>
          <w:tcPr>
            <w:tcW w:w="583" w:type="pct"/>
            <w:tcBorders>
              <w:bottom w:val="single" w:sz="12" w:space="0" w:color="76923C" w:themeColor="accent3" w:themeShade="BF"/>
            </w:tcBorders>
            <w:shd w:val="clear" w:color="auto" w:fill="1F497D" w:themeFill="text2"/>
            <w:vAlign w:val="center"/>
          </w:tcPr>
          <w:p w:rsidR="004E28FB" w:rsidRPr="00E61DBA" w:rsidRDefault="004E28FB" w:rsidP="004E28FB">
            <w:pPr>
              <w:jc w:val="center"/>
              <w:rPr>
                <w:rFonts w:cs="Arial"/>
                <w:b/>
                <w:color w:val="FFFFFF" w:themeColor="background1"/>
                <w:sz w:val="20"/>
              </w:rPr>
            </w:pPr>
            <w:r w:rsidRPr="00E61DBA">
              <w:rPr>
                <w:rFonts w:cs="Arial"/>
                <w:b/>
                <w:color w:val="FFFFFF" w:themeColor="background1"/>
                <w:sz w:val="20"/>
              </w:rPr>
              <w:t>PAH’s other than B(a)P, total gaseous Hg</w:t>
            </w:r>
          </w:p>
        </w:tc>
        <w:tc>
          <w:tcPr>
            <w:tcW w:w="530" w:type="pct"/>
            <w:tcBorders>
              <w:bottom w:val="single" w:sz="12" w:space="0" w:color="76923C" w:themeColor="accent3" w:themeShade="BF"/>
            </w:tcBorders>
            <w:shd w:val="clear" w:color="auto" w:fill="1F497D" w:themeFill="text2"/>
            <w:vAlign w:val="center"/>
          </w:tcPr>
          <w:p w:rsidR="004E28FB" w:rsidRPr="00E61DBA" w:rsidRDefault="004E28FB" w:rsidP="004E28FB">
            <w:pPr>
              <w:jc w:val="center"/>
              <w:rPr>
                <w:rFonts w:cs="Arial"/>
                <w:b/>
                <w:color w:val="FFFFFF" w:themeColor="background1"/>
                <w:sz w:val="20"/>
              </w:rPr>
            </w:pPr>
            <w:r w:rsidRPr="00E61DBA">
              <w:rPr>
                <w:rFonts w:cs="Arial"/>
                <w:b/>
                <w:color w:val="FFFFFF" w:themeColor="background1"/>
                <w:sz w:val="20"/>
              </w:rPr>
              <w:t>Total Deposition</w:t>
            </w:r>
          </w:p>
        </w:tc>
      </w:tr>
      <w:tr w:rsidR="004E28FB" w:rsidRPr="00E61DBA" w:rsidTr="00581A85">
        <w:tc>
          <w:tcPr>
            <w:tcW w:w="767" w:type="pct"/>
            <w:vAlign w:val="center"/>
          </w:tcPr>
          <w:p w:rsidR="004E28FB" w:rsidRPr="00E61DBA" w:rsidRDefault="004E28FB" w:rsidP="009E6C1C">
            <w:pPr>
              <w:jc w:val="left"/>
              <w:rPr>
                <w:rFonts w:cs="Arial"/>
                <w:sz w:val="20"/>
              </w:rPr>
            </w:pPr>
          </w:p>
        </w:tc>
        <w:tc>
          <w:tcPr>
            <w:tcW w:w="4233" w:type="pct"/>
            <w:gridSpan w:val="8"/>
            <w:vAlign w:val="center"/>
          </w:tcPr>
          <w:p w:rsidR="004E28FB" w:rsidRPr="00E61DBA" w:rsidRDefault="004E28FB" w:rsidP="009E6C1C">
            <w:pPr>
              <w:jc w:val="center"/>
              <w:rPr>
                <w:rFonts w:cs="Arial"/>
                <w:sz w:val="20"/>
              </w:rPr>
            </w:pPr>
            <w:r w:rsidRPr="00E61DBA">
              <w:rPr>
                <w:rFonts w:cs="Arial"/>
                <w:sz w:val="20"/>
              </w:rPr>
              <w:t>Fixed Measurements</w:t>
            </w:r>
          </w:p>
        </w:tc>
      </w:tr>
      <w:tr w:rsidR="004E28FB" w:rsidRPr="00E61DBA" w:rsidTr="00581A85">
        <w:tc>
          <w:tcPr>
            <w:tcW w:w="767" w:type="pct"/>
            <w:vAlign w:val="center"/>
          </w:tcPr>
          <w:p w:rsidR="004E28FB" w:rsidRPr="00E61DBA" w:rsidRDefault="004E28FB" w:rsidP="009E6C1C">
            <w:pPr>
              <w:jc w:val="left"/>
              <w:rPr>
                <w:rFonts w:cs="Arial"/>
                <w:sz w:val="20"/>
              </w:rPr>
            </w:pPr>
            <w:r w:rsidRPr="00E61DBA">
              <w:rPr>
                <w:rFonts w:cs="Arial"/>
                <w:sz w:val="20"/>
              </w:rPr>
              <w:t>Uncertainty</w:t>
            </w:r>
          </w:p>
        </w:tc>
        <w:tc>
          <w:tcPr>
            <w:tcW w:w="529" w:type="pct"/>
            <w:vAlign w:val="center"/>
          </w:tcPr>
          <w:p w:rsidR="004E28FB" w:rsidRPr="00E61DBA" w:rsidRDefault="004E28FB" w:rsidP="009E6C1C">
            <w:pPr>
              <w:jc w:val="left"/>
              <w:rPr>
                <w:rFonts w:cs="Arial"/>
                <w:sz w:val="20"/>
              </w:rPr>
            </w:pPr>
            <w:r w:rsidRPr="00E61DBA">
              <w:rPr>
                <w:rFonts w:cs="Arial"/>
                <w:sz w:val="20"/>
              </w:rPr>
              <w:t>15 %</w:t>
            </w:r>
          </w:p>
        </w:tc>
        <w:tc>
          <w:tcPr>
            <w:tcW w:w="602" w:type="pct"/>
            <w:vAlign w:val="center"/>
          </w:tcPr>
          <w:p w:rsidR="004E28FB" w:rsidRPr="00E61DBA" w:rsidRDefault="004E28FB" w:rsidP="009E6C1C">
            <w:pPr>
              <w:jc w:val="left"/>
              <w:rPr>
                <w:rFonts w:cs="Arial"/>
                <w:sz w:val="20"/>
              </w:rPr>
            </w:pPr>
            <w:r w:rsidRPr="00E61DBA">
              <w:rPr>
                <w:rFonts w:cs="Arial"/>
                <w:sz w:val="20"/>
              </w:rPr>
              <w:t>25 %</w:t>
            </w:r>
          </w:p>
        </w:tc>
        <w:tc>
          <w:tcPr>
            <w:tcW w:w="456" w:type="pct"/>
            <w:vAlign w:val="center"/>
          </w:tcPr>
          <w:p w:rsidR="004E28FB" w:rsidRPr="00E61DBA" w:rsidRDefault="004E28FB" w:rsidP="009E6C1C">
            <w:pPr>
              <w:jc w:val="left"/>
              <w:rPr>
                <w:rFonts w:cs="Arial"/>
                <w:sz w:val="20"/>
              </w:rPr>
            </w:pPr>
            <w:r w:rsidRPr="00E61DBA">
              <w:rPr>
                <w:rFonts w:cs="Arial"/>
                <w:sz w:val="20"/>
              </w:rPr>
              <w:t>25 %</w:t>
            </w:r>
          </w:p>
        </w:tc>
        <w:tc>
          <w:tcPr>
            <w:tcW w:w="529" w:type="pct"/>
            <w:vAlign w:val="center"/>
          </w:tcPr>
          <w:p w:rsidR="004E28FB" w:rsidRPr="00E61DBA" w:rsidRDefault="004E28FB" w:rsidP="009E6C1C">
            <w:pPr>
              <w:jc w:val="left"/>
              <w:rPr>
                <w:rFonts w:cs="Arial"/>
                <w:sz w:val="20"/>
              </w:rPr>
            </w:pPr>
            <w:r w:rsidRPr="00E61DBA">
              <w:rPr>
                <w:rFonts w:cs="Arial"/>
                <w:sz w:val="20"/>
              </w:rPr>
              <w:t>15 %</w:t>
            </w:r>
          </w:p>
        </w:tc>
        <w:tc>
          <w:tcPr>
            <w:tcW w:w="529" w:type="pct"/>
            <w:vAlign w:val="center"/>
          </w:tcPr>
          <w:p w:rsidR="004E28FB" w:rsidRPr="00E61DBA" w:rsidRDefault="004E28FB" w:rsidP="009E6C1C">
            <w:pPr>
              <w:jc w:val="left"/>
              <w:rPr>
                <w:rFonts w:cs="Arial"/>
                <w:sz w:val="20"/>
              </w:rPr>
            </w:pPr>
            <w:r w:rsidRPr="00E61DBA">
              <w:rPr>
                <w:rFonts w:cs="Arial"/>
                <w:sz w:val="20"/>
              </w:rPr>
              <w:t>50 %</w:t>
            </w:r>
          </w:p>
        </w:tc>
        <w:tc>
          <w:tcPr>
            <w:tcW w:w="475" w:type="pct"/>
            <w:vAlign w:val="center"/>
          </w:tcPr>
          <w:p w:rsidR="004E28FB" w:rsidRPr="00E61DBA" w:rsidRDefault="004E28FB" w:rsidP="009E6C1C">
            <w:pPr>
              <w:jc w:val="left"/>
              <w:rPr>
                <w:rFonts w:cs="Arial"/>
                <w:sz w:val="20"/>
              </w:rPr>
            </w:pPr>
            <w:r w:rsidRPr="00E61DBA">
              <w:rPr>
                <w:rFonts w:cs="Arial"/>
                <w:sz w:val="20"/>
              </w:rPr>
              <w:t>40 %</w:t>
            </w:r>
          </w:p>
        </w:tc>
        <w:tc>
          <w:tcPr>
            <w:tcW w:w="583" w:type="pct"/>
            <w:vAlign w:val="center"/>
          </w:tcPr>
          <w:p w:rsidR="004E28FB" w:rsidRPr="00E61DBA" w:rsidRDefault="004E28FB" w:rsidP="009E6C1C">
            <w:pPr>
              <w:jc w:val="left"/>
              <w:rPr>
                <w:rFonts w:cs="Arial"/>
                <w:sz w:val="20"/>
              </w:rPr>
            </w:pPr>
            <w:r w:rsidRPr="00E61DBA">
              <w:rPr>
                <w:rFonts w:cs="Arial"/>
                <w:sz w:val="20"/>
              </w:rPr>
              <w:t>50 %</w:t>
            </w:r>
          </w:p>
        </w:tc>
        <w:tc>
          <w:tcPr>
            <w:tcW w:w="530" w:type="pct"/>
            <w:vAlign w:val="center"/>
          </w:tcPr>
          <w:p w:rsidR="004E28FB" w:rsidRPr="00E61DBA" w:rsidRDefault="004E28FB" w:rsidP="009E6C1C">
            <w:pPr>
              <w:jc w:val="left"/>
              <w:rPr>
                <w:rFonts w:cs="Arial"/>
                <w:sz w:val="20"/>
              </w:rPr>
            </w:pPr>
            <w:r w:rsidRPr="00E61DBA">
              <w:rPr>
                <w:rFonts w:cs="Arial"/>
                <w:sz w:val="20"/>
              </w:rPr>
              <w:t>70 %</w:t>
            </w:r>
          </w:p>
        </w:tc>
      </w:tr>
      <w:tr w:rsidR="004E28FB" w:rsidRPr="00E61DBA" w:rsidTr="00581A85">
        <w:tc>
          <w:tcPr>
            <w:tcW w:w="767" w:type="pct"/>
            <w:vAlign w:val="center"/>
          </w:tcPr>
          <w:p w:rsidR="004E28FB" w:rsidRPr="00E61DBA" w:rsidRDefault="004E28FB" w:rsidP="009E6C1C">
            <w:pPr>
              <w:jc w:val="left"/>
              <w:rPr>
                <w:rFonts w:cs="Arial"/>
                <w:sz w:val="20"/>
              </w:rPr>
            </w:pPr>
            <w:r w:rsidRPr="00E61DBA">
              <w:rPr>
                <w:rFonts w:cs="Arial"/>
                <w:sz w:val="20"/>
              </w:rPr>
              <w:t>Minimum data capture</w:t>
            </w:r>
          </w:p>
        </w:tc>
        <w:tc>
          <w:tcPr>
            <w:tcW w:w="529" w:type="pct"/>
            <w:vAlign w:val="center"/>
          </w:tcPr>
          <w:p w:rsidR="004E28FB" w:rsidRPr="00E61DBA" w:rsidRDefault="004E28FB" w:rsidP="009E6C1C">
            <w:pPr>
              <w:jc w:val="left"/>
              <w:rPr>
                <w:rFonts w:cs="Arial"/>
                <w:sz w:val="20"/>
              </w:rPr>
            </w:pPr>
            <w:r w:rsidRPr="00E61DBA">
              <w:rPr>
                <w:rFonts w:cs="Arial"/>
                <w:sz w:val="20"/>
              </w:rPr>
              <w:t>90 %</w:t>
            </w:r>
          </w:p>
        </w:tc>
        <w:tc>
          <w:tcPr>
            <w:tcW w:w="602" w:type="pct"/>
            <w:vAlign w:val="center"/>
          </w:tcPr>
          <w:p w:rsidR="004E28FB" w:rsidRPr="00E61DBA" w:rsidRDefault="004E28FB" w:rsidP="009E6C1C">
            <w:pPr>
              <w:jc w:val="left"/>
              <w:rPr>
                <w:rFonts w:cs="Arial"/>
                <w:sz w:val="20"/>
              </w:rPr>
            </w:pPr>
            <w:r w:rsidRPr="00E61DBA">
              <w:rPr>
                <w:rFonts w:cs="Arial"/>
                <w:sz w:val="20"/>
              </w:rPr>
              <w:t>90 %</w:t>
            </w:r>
          </w:p>
        </w:tc>
        <w:tc>
          <w:tcPr>
            <w:tcW w:w="456" w:type="pct"/>
            <w:vAlign w:val="center"/>
          </w:tcPr>
          <w:p w:rsidR="004E28FB" w:rsidRPr="00E61DBA" w:rsidRDefault="004E28FB" w:rsidP="009E6C1C">
            <w:pPr>
              <w:jc w:val="left"/>
              <w:rPr>
                <w:rFonts w:cs="Arial"/>
                <w:sz w:val="20"/>
              </w:rPr>
            </w:pPr>
            <w:r w:rsidRPr="00E61DBA">
              <w:rPr>
                <w:rFonts w:cs="Arial"/>
                <w:sz w:val="20"/>
              </w:rPr>
              <w:t>90 %</w:t>
            </w:r>
          </w:p>
        </w:tc>
        <w:tc>
          <w:tcPr>
            <w:tcW w:w="529" w:type="pct"/>
            <w:vAlign w:val="center"/>
          </w:tcPr>
          <w:p w:rsidR="004E28FB" w:rsidRPr="00E61DBA" w:rsidRDefault="004E28FB" w:rsidP="009E6C1C">
            <w:pPr>
              <w:jc w:val="left"/>
              <w:rPr>
                <w:rFonts w:cs="Arial"/>
                <w:sz w:val="20"/>
              </w:rPr>
            </w:pPr>
            <w:r w:rsidRPr="00E61DBA">
              <w:rPr>
                <w:rFonts w:cs="Arial"/>
                <w:sz w:val="20"/>
              </w:rPr>
              <w:t>90 % during summer</w:t>
            </w:r>
          </w:p>
        </w:tc>
        <w:tc>
          <w:tcPr>
            <w:tcW w:w="529" w:type="pct"/>
            <w:vAlign w:val="center"/>
          </w:tcPr>
          <w:p w:rsidR="004E28FB" w:rsidRPr="00E61DBA" w:rsidRDefault="004E28FB" w:rsidP="009E6C1C">
            <w:pPr>
              <w:jc w:val="left"/>
              <w:rPr>
                <w:rFonts w:cs="Arial"/>
                <w:sz w:val="20"/>
              </w:rPr>
            </w:pPr>
            <w:r w:rsidRPr="00E61DBA">
              <w:rPr>
                <w:rFonts w:cs="Arial"/>
                <w:sz w:val="20"/>
              </w:rPr>
              <w:t>90 %</w:t>
            </w:r>
          </w:p>
        </w:tc>
        <w:tc>
          <w:tcPr>
            <w:tcW w:w="475" w:type="pct"/>
            <w:vAlign w:val="center"/>
          </w:tcPr>
          <w:p w:rsidR="004E28FB" w:rsidRPr="00E61DBA" w:rsidRDefault="004E28FB" w:rsidP="009E6C1C">
            <w:pPr>
              <w:jc w:val="left"/>
              <w:rPr>
                <w:rFonts w:cs="Arial"/>
                <w:sz w:val="20"/>
              </w:rPr>
            </w:pPr>
            <w:r w:rsidRPr="00E61DBA">
              <w:rPr>
                <w:rFonts w:cs="Arial"/>
                <w:sz w:val="20"/>
              </w:rPr>
              <w:t>90 %</w:t>
            </w:r>
          </w:p>
        </w:tc>
        <w:tc>
          <w:tcPr>
            <w:tcW w:w="583" w:type="pct"/>
            <w:vAlign w:val="center"/>
          </w:tcPr>
          <w:p w:rsidR="004E28FB" w:rsidRPr="00E61DBA" w:rsidRDefault="004E28FB" w:rsidP="009E6C1C">
            <w:pPr>
              <w:jc w:val="left"/>
              <w:rPr>
                <w:rFonts w:cs="Arial"/>
                <w:sz w:val="20"/>
              </w:rPr>
            </w:pPr>
            <w:r w:rsidRPr="00E61DBA">
              <w:rPr>
                <w:rFonts w:cs="Arial"/>
                <w:sz w:val="20"/>
              </w:rPr>
              <w:t>90 %</w:t>
            </w:r>
          </w:p>
        </w:tc>
        <w:tc>
          <w:tcPr>
            <w:tcW w:w="530" w:type="pct"/>
            <w:vAlign w:val="center"/>
          </w:tcPr>
          <w:p w:rsidR="004E28FB" w:rsidRPr="00E61DBA" w:rsidRDefault="004E28FB" w:rsidP="009E6C1C">
            <w:pPr>
              <w:jc w:val="left"/>
              <w:rPr>
                <w:rFonts w:cs="Arial"/>
                <w:sz w:val="20"/>
              </w:rPr>
            </w:pPr>
            <w:r w:rsidRPr="00E61DBA">
              <w:rPr>
                <w:rFonts w:cs="Arial"/>
                <w:sz w:val="20"/>
              </w:rPr>
              <w:t>90 %</w:t>
            </w:r>
          </w:p>
        </w:tc>
      </w:tr>
      <w:tr w:rsidR="004E28FB" w:rsidRPr="00E61DBA" w:rsidTr="00581A85">
        <w:tc>
          <w:tcPr>
            <w:tcW w:w="767" w:type="pct"/>
            <w:vAlign w:val="center"/>
          </w:tcPr>
          <w:p w:rsidR="004E28FB" w:rsidRPr="00E61DBA" w:rsidRDefault="004E28FB" w:rsidP="009E6C1C">
            <w:pPr>
              <w:jc w:val="left"/>
              <w:rPr>
                <w:rFonts w:cs="Arial"/>
                <w:sz w:val="20"/>
              </w:rPr>
            </w:pPr>
          </w:p>
        </w:tc>
        <w:tc>
          <w:tcPr>
            <w:tcW w:w="529" w:type="pct"/>
            <w:vAlign w:val="center"/>
          </w:tcPr>
          <w:p w:rsidR="004E28FB" w:rsidRPr="00E61DBA" w:rsidRDefault="004E28FB" w:rsidP="009E6C1C">
            <w:pPr>
              <w:jc w:val="left"/>
              <w:rPr>
                <w:rFonts w:cs="Arial"/>
                <w:sz w:val="20"/>
              </w:rPr>
            </w:pPr>
          </w:p>
        </w:tc>
        <w:tc>
          <w:tcPr>
            <w:tcW w:w="602" w:type="pct"/>
            <w:vAlign w:val="center"/>
          </w:tcPr>
          <w:p w:rsidR="004E28FB" w:rsidRPr="00E61DBA" w:rsidRDefault="004E28FB" w:rsidP="009E6C1C">
            <w:pPr>
              <w:jc w:val="left"/>
              <w:rPr>
                <w:rFonts w:cs="Arial"/>
                <w:sz w:val="20"/>
              </w:rPr>
            </w:pPr>
          </w:p>
        </w:tc>
        <w:tc>
          <w:tcPr>
            <w:tcW w:w="456" w:type="pct"/>
            <w:vAlign w:val="center"/>
          </w:tcPr>
          <w:p w:rsidR="004E28FB" w:rsidRPr="00E61DBA" w:rsidRDefault="004E28FB" w:rsidP="009E6C1C">
            <w:pPr>
              <w:jc w:val="left"/>
              <w:rPr>
                <w:rFonts w:cs="Arial"/>
                <w:sz w:val="20"/>
              </w:rPr>
            </w:pPr>
          </w:p>
        </w:tc>
        <w:tc>
          <w:tcPr>
            <w:tcW w:w="529" w:type="pct"/>
            <w:vAlign w:val="center"/>
          </w:tcPr>
          <w:p w:rsidR="004E28FB" w:rsidRPr="00E61DBA" w:rsidRDefault="004E28FB" w:rsidP="009E6C1C">
            <w:pPr>
              <w:jc w:val="left"/>
              <w:rPr>
                <w:rFonts w:cs="Arial"/>
                <w:sz w:val="20"/>
              </w:rPr>
            </w:pPr>
            <w:r w:rsidRPr="00E61DBA">
              <w:rPr>
                <w:rFonts w:cs="Arial"/>
                <w:sz w:val="20"/>
              </w:rPr>
              <w:t>75 % during winter</w:t>
            </w:r>
          </w:p>
        </w:tc>
        <w:tc>
          <w:tcPr>
            <w:tcW w:w="529" w:type="pct"/>
            <w:vAlign w:val="center"/>
          </w:tcPr>
          <w:p w:rsidR="004E28FB" w:rsidRPr="00E61DBA" w:rsidRDefault="004E28FB" w:rsidP="009E6C1C">
            <w:pPr>
              <w:jc w:val="left"/>
              <w:rPr>
                <w:rFonts w:cs="Arial"/>
                <w:sz w:val="20"/>
              </w:rPr>
            </w:pPr>
          </w:p>
        </w:tc>
        <w:tc>
          <w:tcPr>
            <w:tcW w:w="475" w:type="pct"/>
            <w:vAlign w:val="center"/>
          </w:tcPr>
          <w:p w:rsidR="004E28FB" w:rsidRPr="00E61DBA" w:rsidRDefault="004E28FB" w:rsidP="009E6C1C">
            <w:pPr>
              <w:jc w:val="left"/>
              <w:rPr>
                <w:rFonts w:cs="Arial"/>
                <w:sz w:val="20"/>
              </w:rPr>
            </w:pPr>
          </w:p>
        </w:tc>
        <w:tc>
          <w:tcPr>
            <w:tcW w:w="583" w:type="pct"/>
            <w:vAlign w:val="center"/>
          </w:tcPr>
          <w:p w:rsidR="004E28FB" w:rsidRPr="00E61DBA" w:rsidRDefault="004E28FB" w:rsidP="009E6C1C">
            <w:pPr>
              <w:jc w:val="left"/>
              <w:rPr>
                <w:rFonts w:cs="Arial"/>
                <w:sz w:val="20"/>
              </w:rPr>
            </w:pPr>
          </w:p>
        </w:tc>
        <w:tc>
          <w:tcPr>
            <w:tcW w:w="530" w:type="pct"/>
            <w:vAlign w:val="center"/>
          </w:tcPr>
          <w:p w:rsidR="004E28FB" w:rsidRPr="00E61DBA" w:rsidRDefault="004E28FB" w:rsidP="009E6C1C">
            <w:pPr>
              <w:jc w:val="left"/>
              <w:rPr>
                <w:rFonts w:cs="Arial"/>
                <w:sz w:val="20"/>
              </w:rPr>
            </w:pPr>
          </w:p>
        </w:tc>
      </w:tr>
      <w:tr w:rsidR="004E28FB" w:rsidRPr="00E61DBA" w:rsidTr="00581A85">
        <w:tc>
          <w:tcPr>
            <w:tcW w:w="767" w:type="pct"/>
            <w:vAlign w:val="center"/>
          </w:tcPr>
          <w:p w:rsidR="004E28FB" w:rsidRPr="00E61DBA" w:rsidRDefault="004E28FB" w:rsidP="009E6C1C">
            <w:pPr>
              <w:jc w:val="left"/>
              <w:rPr>
                <w:rFonts w:cs="Arial"/>
                <w:sz w:val="20"/>
              </w:rPr>
            </w:pPr>
            <w:r w:rsidRPr="00E61DBA">
              <w:rPr>
                <w:rFonts w:cs="Arial"/>
                <w:sz w:val="20"/>
              </w:rPr>
              <w:t>Minimum time coverage</w:t>
            </w:r>
          </w:p>
        </w:tc>
        <w:tc>
          <w:tcPr>
            <w:tcW w:w="529" w:type="pct"/>
            <w:vAlign w:val="center"/>
          </w:tcPr>
          <w:p w:rsidR="004E28FB" w:rsidRPr="00E61DBA" w:rsidRDefault="004E28FB" w:rsidP="009E6C1C">
            <w:pPr>
              <w:jc w:val="left"/>
              <w:rPr>
                <w:rFonts w:cs="Arial"/>
                <w:sz w:val="20"/>
              </w:rPr>
            </w:pPr>
          </w:p>
        </w:tc>
        <w:tc>
          <w:tcPr>
            <w:tcW w:w="602" w:type="pct"/>
            <w:vAlign w:val="center"/>
          </w:tcPr>
          <w:p w:rsidR="004E28FB" w:rsidRPr="00E61DBA" w:rsidRDefault="004E28FB" w:rsidP="009E6C1C">
            <w:pPr>
              <w:jc w:val="left"/>
              <w:rPr>
                <w:rFonts w:cs="Arial"/>
                <w:sz w:val="20"/>
              </w:rPr>
            </w:pPr>
          </w:p>
        </w:tc>
        <w:tc>
          <w:tcPr>
            <w:tcW w:w="456" w:type="pct"/>
            <w:vAlign w:val="center"/>
          </w:tcPr>
          <w:p w:rsidR="004E28FB" w:rsidRPr="00E61DBA" w:rsidRDefault="004E28FB" w:rsidP="009E6C1C">
            <w:pPr>
              <w:jc w:val="left"/>
              <w:rPr>
                <w:rFonts w:cs="Arial"/>
                <w:sz w:val="20"/>
              </w:rPr>
            </w:pPr>
          </w:p>
        </w:tc>
        <w:tc>
          <w:tcPr>
            <w:tcW w:w="529" w:type="pct"/>
            <w:vAlign w:val="center"/>
          </w:tcPr>
          <w:p w:rsidR="004E28FB" w:rsidRPr="00E61DBA" w:rsidRDefault="004E28FB" w:rsidP="009E6C1C">
            <w:pPr>
              <w:jc w:val="left"/>
              <w:rPr>
                <w:rFonts w:cs="Arial"/>
                <w:sz w:val="20"/>
              </w:rPr>
            </w:pPr>
          </w:p>
        </w:tc>
        <w:tc>
          <w:tcPr>
            <w:tcW w:w="529" w:type="pct"/>
            <w:vAlign w:val="center"/>
          </w:tcPr>
          <w:p w:rsidR="004E28FB" w:rsidRPr="00E61DBA" w:rsidRDefault="004E28FB" w:rsidP="009E6C1C">
            <w:pPr>
              <w:jc w:val="left"/>
              <w:rPr>
                <w:rFonts w:cs="Arial"/>
                <w:sz w:val="20"/>
              </w:rPr>
            </w:pPr>
            <w:r w:rsidRPr="00E61DBA">
              <w:rPr>
                <w:rFonts w:cs="Arial"/>
                <w:sz w:val="20"/>
              </w:rPr>
              <w:t>33 %</w:t>
            </w:r>
          </w:p>
        </w:tc>
        <w:tc>
          <w:tcPr>
            <w:tcW w:w="475" w:type="pct"/>
            <w:vAlign w:val="center"/>
          </w:tcPr>
          <w:p w:rsidR="004E28FB" w:rsidRPr="00E61DBA" w:rsidRDefault="004E28FB" w:rsidP="009E6C1C">
            <w:pPr>
              <w:jc w:val="left"/>
              <w:rPr>
                <w:rFonts w:cs="Arial"/>
                <w:sz w:val="20"/>
              </w:rPr>
            </w:pPr>
            <w:r w:rsidRPr="00E61DBA">
              <w:rPr>
                <w:rFonts w:cs="Arial"/>
                <w:sz w:val="20"/>
              </w:rPr>
              <w:t>50 %</w:t>
            </w:r>
          </w:p>
        </w:tc>
        <w:tc>
          <w:tcPr>
            <w:tcW w:w="583" w:type="pct"/>
            <w:vAlign w:val="center"/>
          </w:tcPr>
          <w:p w:rsidR="004E28FB" w:rsidRPr="00E61DBA" w:rsidRDefault="004E28FB" w:rsidP="009E6C1C">
            <w:pPr>
              <w:jc w:val="left"/>
              <w:rPr>
                <w:rFonts w:cs="Arial"/>
                <w:sz w:val="20"/>
              </w:rPr>
            </w:pPr>
          </w:p>
        </w:tc>
        <w:tc>
          <w:tcPr>
            <w:tcW w:w="530" w:type="pct"/>
            <w:vAlign w:val="center"/>
          </w:tcPr>
          <w:p w:rsidR="004E28FB" w:rsidRPr="00E61DBA" w:rsidRDefault="004E28FB" w:rsidP="009E6C1C">
            <w:pPr>
              <w:jc w:val="left"/>
              <w:rPr>
                <w:rFonts w:cs="Arial"/>
                <w:sz w:val="20"/>
              </w:rPr>
            </w:pPr>
          </w:p>
        </w:tc>
      </w:tr>
      <w:tr w:rsidR="004E28FB" w:rsidRPr="00E61DBA" w:rsidTr="00581A85">
        <w:tc>
          <w:tcPr>
            <w:tcW w:w="767" w:type="pct"/>
            <w:vAlign w:val="center"/>
          </w:tcPr>
          <w:p w:rsidR="004E28FB" w:rsidRPr="00E61DBA" w:rsidRDefault="004E28FB" w:rsidP="009E6C1C">
            <w:pPr>
              <w:jc w:val="left"/>
              <w:rPr>
                <w:rFonts w:cs="Arial"/>
                <w:sz w:val="20"/>
              </w:rPr>
            </w:pPr>
            <w:r w:rsidRPr="00E61DBA">
              <w:rPr>
                <w:rFonts w:cs="Arial"/>
                <w:sz w:val="20"/>
              </w:rPr>
              <w:t>Urban Background and traffic</w:t>
            </w:r>
          </w:p>
        </w:tc>
        <w:tc>
          <w:tcPr>
            <w:tcW w:w="529" w:type="pct"/>
            <w:vAlign w:val="center"/>
          </w:tcPr>
          <w:p w:rsidR="004E28FB" w:rsidRPr="00E61DBA" w:rsidRDefault="004E28FB" w:rsidP="009E6C1C">
            <w:pPr>
              <w:jc w:val="left"/>
              <w:rPr>
                <w:rFonts w:cs="Arial"/>
                <w:sz w:val="20"/>
              </w:rPr>
            </w:pPr>
            <w:r w:rsidRPr="00E61DBA">
              <w:rPr>
                <w:rFonts w:cs="Arial"/>
                <w:sz w:val="20"/>
              </w:rPr>
              <w:t>-</w:t>
            </w:r>
          </w:p>
        </w:tc>
        <w:tc>
          <w:tcPr>
            <w:tcW w:w="602" w:type="pct"/>
            <w:vAlign w:val="center"/>
          </w:tcPr>
          <w:p w:rsidR="004E28FB" w:rsidRPr="00E61DBA" w:rsidRDefault="004E28FB" w:rsidP="009E6C1C">
            <w:pPr>
              <w:jc w:val="left"/>
              <w:rPr>
                <w:rFonts w:cs="Arial"/>
                <w:sz w:val="20"/>
              </w:rPr>
            </w:pPr>
            <w:r w:rsidRPr="00E61DBA">
              <w:rPr>
                <w:rFonts w:cs="Arial"/>
                <w:sz w:val="20"/>
              </w:rPr>
              <w:t>35 %</w:t>
            </w:r>
          </w:p>
        </w:tc>
        <w:tc>
          <w:tcPr>
            <w:tcW w:w="456" w:type="pct"/>
            <w:vAlign w:val="center"/>
          </w:tcPr>
          <w:p w:rsidR="004E28FB" w:rsidRPr="00E61DBA" w:rsidRDefault="004E28FB" w:rsidP="009E6C1C">
            <w:pPr>
              <w:jc w:val="left"/>
              <w:rPr>
                <w:rFonts w:cs="Arial"/>
                <w:sz w:val="20"/>
              </w:rPr>
            </w:pPr>
            <w:r w:rsidRPr="00E61DBA">
              <w:rPr>
                <w:rFonts w:cs="Arial"/>
                <w:sz w:val="20"/>
              </w:rPr>
              <w:t>-</w:t>
            </w:r>
          </w:p>
        </w:tc>
        <w:tc>
          <w:tcPr>
            <w:tcW w:w="529" w:type="pct"/>
            <w:vAlign w:val="center"/>
          </w:tcPr>
          <w:p w:rsidR="004E28FB" w:rsidRPr="00E61DBA" w:rsidRDefault="004E28FB" w:rsidP="009E6C1C">
            <w:pPr>
              <w:jc w:val="left"/>
              <w:rPr>
                <w:rFonts w:cs="Arial"/>
                <w:sz w:val="20"/>
              </w:rPr>
            </w:pPr>
            <w:r w:rsidRPr="00E61DBA">
              <w:rPr>
                <w:rFonts w:cs="Arial"/>
                <w:sz w:val="20"/>
              </w:rPr>
              <w:t>-</w:t>
            </w:r>
          </w:p>
        </w:tc>
        <w:tc>
          <w:tcPr>
            <w:tcW w:w="529" w:type="pct"/>
            <w:vAlign w:val="center"/>
          </w:tcPr>
          <w:p w:rsidR="004E28FB" w:rsidRPr="00E61DBA" w:rsidRDefault="004E28FB" w:rsidP="009E6C1C">
            <w:pPr>
              <w:jc w:val="left"/>
              <w:rPr>
                <w:rFonts w:cs="Arial"/>
                <w:sz w:val="20"/>
              </w:rPr>
            </w:pPr>
          </w:p>
        </w:tc>
        <w:tc>
          <w:tcPr>
            <w:tcW w:w="475" w:type="pct"/>
            <w:vAlign w:val="center"/>
          </w:tcPr>
          <w:p w:rsidR="004E28FB" w:rsidRPr="00E61DBA" w:rsidRDefault="004E28FB" w:rsidP="009E6C1C">
            <w:pPr>
              <w:jc w:val="left"/>
              <w:rPr>
                <w:rFonts w:cs="Arial"/>
                <w:sz w:val="20"/>
              </w:rPr>
            </w:pPr>
          </w:p>
        </w:tc>
        <w:tc>
          <w:tcPr>
            <w:tcW w:w="583" w:type="pct"/>
            <w:vAlign w:val="center"/>
          </w:tcPr>
          <w:p w:rsidR="004E28FB" w:rsidRPr="00E61DBA" w:rsidRDefault="004E28FB" w:rsidP="009E6C1C">
            <w:pPr>
              <w:jc w:val="left"/>
              <w:rPr>
                <w:rFonts w:cs="Arial"/>
                <w:sz w:val="20"/>
              </w:rPr>
            </w:pPr>
          </w:p>
        </w:tc>
        <w:tc>
          <w:tcPr>
            <w:tcW w:w="530" w:type="pct"/>
            <w:vAlign w:val="center"/>
          </w:tcPr>
          <w:p w:rsidR="004E28FB" w:rsidRPr="00E61DBA" w:rsidRDefault="004E28FB" w:rsidP="009E6C1C">
            <w:pPr>
              <w:jc w:val="left"/>
              <w:rPr>
                <w:rFonts w:cs="Arial"/>
                <w:sz w:val="20"/>
              </w:rPr>
            </w:pPr>
          </w:p>
        </w:tc>
      </w:tr>
      <w:tr w:rsidR="004E28FB" w:rsidRPr="00E61DBA" w:rsidTr="00581A85">
        <w:tc>
          <w:tcPr>
            <w:tcW w:w="767" w:type="pct"/>
            <w:vAlign w:val="center"/>
          </w:tcPr>
          <w:p w:rsidR="004E28FB" w:rsidRPr="00E61DBA" w:rsidRDefault="004E28FB" w:rsidP="009E6C1C">
            <w:pPr>
              <w:spacing w:before="120" w:after="120"/>
              <w:jc w:val="left"/>
              <w:rPr>
                <w:rFonts w:cs="Arial"/>
                <w:sz w:val="20"/>
              </w:rPr>
            </w:pPr>
            <w:r w:rsidRPr="00E61DBA">
              <w:rPr>
                <w:rFonts w:cs="Arial"/>
                <w:sz w:val="20"/>
              </w:rPr>
              <w:t>Industrial sites</w:t>
            </w:r>
          </w:p>
        </w:tc>
        <w:tc>
          <w:tcPr>
            <w:tcW w:w="529" w:type="pct"/>
            <w:vAlign w:val="center"/>
          </w:tcPr>
          <w:p w:rsidR="004E28FB" w:rsidRPr="00E61DBA" w:rsidRDefault="004E28FB" w:rsidP="009E6C1C">
            <w:pPr>
              <w:spacing w:before="120" w:after="120"/>
              <w:jc w:val="left"/>
              <w:rPr>
                <w:rFonts w:cs="Arial"/>
                <w:sz w:val="20"/>
              </w:rPr>
            </w:pPr>
            <w:r w:rsidRPr="00E61DBA">
              <w:rPr>
                <w:rFonts w:cs="Arial"/>
                <w:sz w:val="20"/>
              </w:rPr>
              <w:t>-</w:t>
            </w:r>
          </w:p>
        </w:tc>
        <w:tc>
          <w:tcPr>
            <w:tcW w:w="602" w:type="pct"/>
            <w:vAlign w:val="center"/>
          </w:tcPr>
          <w:p w:rsidR="004E28FB" w:rsidRPr="00E61DBA" w:rsidRDefault="004E28FB" w:rsidP="009E6C1C">
            <w:pPr>
              <w:spacing w:before="120" w:after="120"/>
              <w:jc w:val="left"/>
              <w:rPr>
                <w:rFonts w:cs="Arial"/>
                <w:sz w:val="20"/>
              </w:rPr>
            </w:pPr>
            <w:r w:rsidRPr="00E61DBA">
              <w:rPr>
                <w:rFonts w:cs="Arial"/>
                <w:sz w:val="20"/>
              </w:rPr>
              <w:t>90 %</w:t>
            </w:r>
          </w:p>
        </w:tc>
        <w:tc>
          <w:tcPr>
            <w:tcW w:w="456" w:type="pct"/>
            <w:vAlign w:val="center"/>
          </w:tcPr>
          <w:p w:rsidR="004E28FB" w:rsidRPr="00E61DBA" w:rsidRDefault="004E28FB" w:rsidP="009E6C1C">
            <w:pPr>
              <w:spacing w:before="120" w:after="120"/>
              <w:jc w:val="left"/>
              <w:rPr>
                <w:rFonts w:cs="Arial"/>
                <w:sz w:val="20"/>
              </w:rPr>
            </w:pPr>
            <w:r w:rsidRPr="00E61DBA">
              <w:rPr>
                <w:rFonts w:cs="Arial"/>
                <w:sz w:val="20"/>
              </w:rPr>
              <w:t>-</w:t>
            </w:r>
          </w:p>
        </w:tc>
        <w:tc>
          <w:tcPr>
            <w:tcW w:w="529" w:type="pct"/>
            <w:vAlign w:val="center"/>
          </w:tcPr>
          <w:p w:rsidR="004E28FB" w:rsidRPr="00E61DBA" w:rsidRDefault="004E28FB" w:rsidP="009E6C1C">
            <w:pPr>
              <w:spacing w:before="120" w:after="120"/>
              <w:jc w:val="left"/>
              <w:rPr>
                <w:rFonts w:cs="Arial"/>
                <w:sz w:val="20"/>
              </w:rPr>
            </w:pPr>
            <w:r w:rsidRPr="00E61DBA">
              <w:rPr>
                <w:rFonts w:cs="Arial"/>
                <w:sz w:val="20"/>
              </w:rPr>
              <w:t>-</w:t>
            </w:r>
          </w:p>
        </w:tc>
        <w:tc>
          <w:tcPr>
            <w:tcW w:w="529" w:type="pct"/>
            <w:vAlign w:val="center"/>
          </w:tcPr>
          <w:p w:rsidR="004E28FB" w:rsidRPr="00E61DBA" w:rsidRDefault="004E28FB" w:rsidP="009E6C1C">
            <w:pPr>
              <w:spacing w:before="120" w:after="120"/>
              <w:jc w:val="left"/>
              <w:rPr>
                <w:rFonts w:cs="Arial"/>
                <w:sz w:val="20"/>
              </w:rPr>
            </w:pPr>
          </w:p>
        </w:tc>
        <w:tc>
          <w:tcPr>
            <w:tcW w:w="475" w:type="pct"/>
            <w:vAlign w:val="center"/>
          </w:tcPr>
          <w:p w:rsidR="004E28FB" w:rsidRPr="00E61DBA" w:rsidRDefault="004E28FB" w:rsidP="009E6C1C">
            <w:pPr>
              <w:spacing w:before="120" w:after="120"/>
              <w:jc w:val="left"/>
              <w:rPr>
                <w:rFonts w:cs="Arial"/>
                <w:sz w:val="20"/>
              </w:rPr>
            </w:pPr>
          </w:p>
        </w:tc>
        <w:tc>
          <w:tcPr>
            <w:tcW w:w="583" w:type="pct"/>
            <w:vAlign w:val="center"/>
          </w:tcPr>
          <w:p w:rsidR="004E28FB" w:rsidRPr="00E61DBA" w:rsidRDefault="004E28FB" w:rsidP="009E6C1C">
            <w:pPr>
              <w:spacing w:before="120" w:after="120"/>
              <w:jc w:val="left"/>
              <w:rPr>
                <w:rFonts w:cs="Arial"/>
                <w:sz w:val="20"/>
              </w:rPr>
            </w:pPr>
          </w:p>
        </w:tc>
        <w:tc>
          <w:tcPr>
            <w:tcW w:w="530" w:type="pct"/>
            <w:vAlign w:val="center"/>
          </w:tcPr>
          <w:p w:rsidR="004E28FB" w:rsidRPr="00E61DBA" w:rsidRDefault="004E28FB" w:rsidP="009E6C1C">
            <w:pPr>
              <w:spacing w:before="120" w:after="120"/>
              <w:jc w:val="left"/>
              <w:rPr>
                <w:rFonts w:cs="Arial"/>
                <w:sz w:val="20"/>
              </w:rPr>
            </w:pPr>
          </w:p>
        </w:tc>
      </w:tr>
    </w:tbl>
    <w:p w:rsidR="004E28FB" w:rsidRPr="00623E33" w:rsidRDefault="004E28FB" w:rsidP="00581A85">
      <w:pPr>
        <w:pStyle w:val="TOC1"/>
      </w:pPr>
      <w:r w:rsidRPr="00C26724">
        <w:t xml:space="preserve">Table </w:t>
      </w:r>
      <w:r w:rsidR="005101F7">
        <w:fldChar w:fldCharType="begin"/>
      </w:r>
      <w:r w:rsidR="005101F7">
        <w:instrText xml:space="preserve"> STYLEREF 1 \s </w:instrText>
      </w:r>
      <w:r w:rsidR="005101F7">
        <w:fldChar w:fldCharType="separate"/>
      </w:r>
      <w:r>
        <w:rPr>
          <w:noProof/>
        </w:rPr>
        <w:t>2</w:t>
      </w:r>
      <w:r w:rsidR="005101F7">
        <w:rPr>
          <w:noProof/>
        </w:rPr>
        <w:fldChar w:fldCharType="end"/>
      </w:r>
      <w:r w:rsidRPr="00623E33">
        <w:noBreakHyphen/>
      </w:r>
      <w:r>
        <w:t xml:space="preserve">8 </w:t>
      </w:r>
      <w:r w:rsidRPr="00623E33">
        <w:t xml:space="preserve">Data quality objectives for </w:t>
      </w:r>
      <w:r>
        <w:t>indicative measurement of air quality assessment in</w:t>
      </w:r>
      <w:r w:rsidRPr="00623E33">
        <w:t xml:space="preserve"> National Networks</w:t>
      </w:r>
    </w:p>
    <w:tbl>
      <w:tblPr>
        <w:tblStyle w:val="TableGrid"/>
        <w:tblW w:w="0" w:type="auto"/>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12" w:space="0" w:color="76923C" w:themeColor="accent3" w:themeShade="BF"/>
          <w:insideV w:val="single" w:sz="12" w:space="0" w:color="76923C" w:themeColor="accent3" w:themeShade="BF"/>
        </w:tblBorders>
        <w:tblLayout w:type="fixed"/>
        <w:tblLook w:val="04A0" w:firstRow="1" w:lastRow="0" w:firstColumn="1" w:lastColumn="0" w:noHBand="0" w:noVBand="1"/>
      </w:tblPr>
      <w:tblGrid>
        <w:gridCol w:w="1462"/>
        <w:gridCol w:w="1019"/>
        <w:gridCol w:w="1171"/>
        <w:gridCol w:w="869"/>
        <w:gridCol w:w="1020"/>
        <w:gridCol w:w="1020"/>
        <w:gridCol w:w="918"/>
        <w:gridCol w:w="1122"/>
        <w:gridCol w:w="1020"/>
      </w:tblGrid>
      <w:tr w:rsidR="004E28FB" w:rsidRPr="00E61DBA" w:rsidTr="00581A85">
        <w:tc>
          <w:tcPr>
            <w:tcW w:w="1462" w:type="dxa"/>
            <w:shd w:val="clear" w:color="auto" w:fill="1F497D" w:themeFill="text2"/>
            <w:vAlign w:val="center"/>
          </w:tcPr>
          <w:p w:rsidR="004E28FB" w:rsidRPr="00E61DBA" w:rsidRDefault="004E28FB" w:rsidP="00581A85">
            <w:pPr>
              <w:jc w:val="center"/>
              <w:rPr>
                <w:rFonts w:cs="Arial"/>
                <w:sz w:val="20"/>
              </w:rPr>
            </w:pPr>
            <w:r w:rsidRPr="00E61DBA">
              <w:rPr>
                <w:rFonts w:cs="Arial"/>
                <w:b/>
                <w:color w:val="FFFFFF" w:themeColor="background1"/>
                <w:sz w:val="20"/>
              </w:rPr>
              <w:t>Objective Criteria</w:t>
            </w:r>
          </w:p>
        </w:tc>
        <w:tc>
          <w:tcPr>
            <w:tcW w:w="1019" w:type="dxa"/>
            <w:shd w:val="clear" w:color="auto" w:fill="1F497D" w:themeFill="text2"/>
            <w:vAlign w:val="center"/>
          </w:tcPr>
          <w:p w:rsidR="004E28FB" w:rsidRPr="00E61DBA" w:rsidRDefault="004E28FB" w:rsidP="00581A85">
            <w:pPr>
              <w:jc w:val="center"/>
              <w:rPr>
                <w:rFonts w:cs="Arial"/>
                <w:sz w:val="20"/>
              </w:rPr>
            </w:pPr>
            <w:r w:rsidRPr="00E61DBA">
              <w:rPr>
                <w:rFonts w:cs="Arial"/>
                <w:b/>
                <w:color w:val="FFFFFF" w:themeColor="background1"/>
                <w:sz w:val="20"/>
              </w:rPr>
              <w:t>SO</w:t>
            </w:r>
            <w:r w:rsidRPr="00E61DBA">
              <w:rPr>
                <w:rFonts w:cs="Arial"/>
                <w:b/>
                <w:color w:val="FFFFFF" w:themeColor="background1"/>
                <w:sz w:val="20"/>
                <w:vertAlign w:val="subscript"/>
              </w:rPr>
              <w:t>2</w:t>
            </w:r>
            <w:r w:rsidRPr="00E61DBA">
              <w:rPr>
                <w:rFonts w:cs="Arial"/>
                <w:b/>
                <w:color w:val="FFFFFF" w:themeColor="background1"/>
                <w:sz w:val="20"/>
              </w:rPr>
              <w:t>, NO</w:t>
            </w:r>
            <w:r w:rsidRPr="00E61DBA">
              <w:rPr>
                <w:rFonts w:cs="Arial"/>
                <w:b/>
                <w:color w:val="FFFFFF" w:themeColor="background1"/>
                <w:sz w:val="20"/>
                <w:vertAlign w:val="subscript"/>
              </w:rPr>
              <w:t>2</w:t>
            </w:r>
            <w:r w:rsidRPr="00E61DBA">
              <w:rPr>
                <w:rFonts w:cs="Arial"/>
                <w:b/>
                <w:color w:val="FFFFFF" w:themeColor="background1"/>
                <w:sz w:val="20"/>
              </w:rPr>
              <w:t xml:space="preserve"> and NOx and CO</w:t>
            </w:r>
          </w:p>
        </w:tc>
        <w:tc>
          <w:tcPr>
            <w:tcW w:w="1171" w:type="dxa"/>
            <w:shd w:val="clear" w:color="auto" w:fill="1F497D" w:themeFill="text2"/>
            <w:vAlign w:val="center"/>
          </w:tcPr>
          <w:p w:rsidR="004E28FB" w:rsidRPr="00E61DBA" w:rsidRDefault="004E28FB" w:rsidP="00581A85">
            <w:pPr>
              <w:jc w:val="center"/>
              <w:rPr>
                <w:rFonts w:cs="Arial"/>
                <w:sz w:val="20"/>
              </w:rPr>
            </w:pPr>
            <w:r w:rsidRPr="00E61DBA">
              <w:rPr>
                <w:rFonts w:cs="Arial"/>
                <w:b/>
                <w:color w:val="FFFFFF" w:themeColor="background1"/>
                <w:sz w:val="20"/>
              </w:rPr>
              <w:t>Benzene</w:t>
            </w:r>
          </w:p>
        </w:tc>
        <w:tc>
          <w:tcPr>
            <w:tcW w:w="869" w:type="dxa"/>
            <w:shd w:val="clear" w:color="auto" w:fill="1F497D" w:themeFill="text2"/>
            <w:vAlign w:val="center"/>
          </w:tcPr>
          <w:p w:rsidR="004E28FB" w:rsidRPr="00E61DBA" w:rsidRDefault="004E28FB" w:rsidP="00581A85">
            <w:pPr>
              <w:jc w:val="center"/>
              <w:rPr>
                <w:rFonts w:cs="Arial"/>
                <w:sz w:val="20"/>
              </w:rPr>
            </w:pPr>
            <w:r w:rsidRPr="00E61DBA">
              <w:rPr>
                <w:rFonts w:cs="Arial"/>
                <w:b/>
                <w:color w:val="FFFFFF" w:themeColor="background1"/>
                <w:sz w:val="20"/>
              </w:rPr>
              <w:t>PM</w:t>
            </w:r>
            <w:r w:rsidRPr="00E61DBA">
              <w:rPr>
                <w:rFonts w:cs="Arial"/>
                <w:b/>
                <w:color w:val="FFFFFF" w:themeColor="background1"/>
                <w:sz w:val="20"/>
                <w:vertAlign w:val="subscript"/>
              </w:rPr>
              <w:t>10</w:t>
            </w:r>
            <w:r w:rsidRPr="00E61DBA">
              <w:rPr>
                <w:rFonts w:cs="Arial"/>
                <w:b/>
                <w:color w:val="FFFFFF" w:themeColor="background1"/>
                <w:sz w:val="20"/>
              </w:rPr>
              <w:t>, PM</w:t>
            </w:r>
            <w:r w:rsidRPr="00E61DBA">
              <w:rPr>
                <w:rFonts w:cs="Arial"/>
                <w:b/>
                <w:color w:val="FFFFFF" w:themeColor="background1"/>
                <w:sz w:val="20"/>
                <w:vertAlign w:val="subscript"/>
              </w:rPr>
              <w:t>2.5</w:t>
            </w:r>
            <w:r w:rsidRPr="00E61DBA">
              <w:rPr>
                <w:rFonts w:cs="Arial"/>
                <w:b/>
                <w:color w:val="FFFFFF" w:themeColor="background1"/>
                <w:sz w:val="20"/>
              </w:rPr>
              <w:t xml:space="preserve"> and </w:t>
            </w:r>
            <w:proofErr w:type="spellStart"/>
            <w:r w:rsidRPr="00E61DBA">
              <w:rPr>
                <w:rFonts w:cs="Arial"/>
                <w:b/>
                <w:color w:val="FFFFFF" w:themeColor="background1"/>
                <w:sz w:val="20"/>
              </w:rPr>
              <w:t>Pb</w:t>
            </w:r>
            <w:proofErr w:type="spellEnd"/>
          </w:p>
        </w:tc>
        <w:tc>
          <w:tcPr>
            <w:tcW w:w="1020" w:type="dxa"/>
            <w:shd w:val="clear" w:color="auto" w:fill="1F497D" w:themeFill="text2"/>
            <w:vAlign w:val="center"/>
          </w:tcPr>
          <w:p w:rsidR="004E28FB" w:rsidRPr="00E61DBA" w:rsidRDefault="004E28FB" w:rsidP="00581A85">
            <w:pPr>
              <w:jc w:val="center"/>
              <w:rPr>
                <w:rFonts w:cs="Arial"/>
                <w:sz w:val="20"/>
              </w:rPr>
            </w:pPr>
            <w:r w:rsidRPr="00E61DBA">
              <w:rPr>
                <w:rFonts w:cs="Arial"/>
                <w:b/>
                <w:color w:val="FFFFFF" w:themeColor="background1"/>
                <w:sz w:val="20"/>
              </w:rPr>
              <w:t>Ozone and related NO and NO</w:t>
            </w:r>
            <w:r w:rsidRPr="00E61DBA">
              <w:rPr>
                <w:rFonts w:cs="Arial"/>
                <w:b/>
                <w:color w:val="FFFFFF" w:themeColor="background1"/>
                <w:sz w:val="20"/>
                <w:vertAlign w:val="subscript"/>
              </w:rPr>
              <w:t>2</w:t>
            </w:r>
          </w:p>
        </w:tc>
        <w:tc>
          <w:tcPr>
            <w:tcW w:w="1020" w:type="dxa"/>
            <w:shd w:val="clear" w:color="auto" w:fill="1F497D" w:themeFill="text2"/>
            <w:vAlign w:val="center"/>
          </w:tcPr>
          <w:p w:rsidR="004E28FB" w:rsidRPr="00E61DBA" w:rsidRDefault="004E28FB" w:rsidP="00581A85">
            <w:pPr>
              <w:jc w:val="center"/>
              <w:rPr>
                <w:rFonts w:cs="Arial"/>
                <w:sz w:val="20"/>
              </w:rPr>
            </w:pPr>
            <w:r w:rsidRPr="00E61DBA">
              <w:rPr>
                <w:rFonts w:cs="Arial"/>
                <w:b/>
                <w:color w:val="FFFFFF" w:themeColor="background1"/>
                <w:sz w:val="20"/>
              </w:rPr>
              <w:t>B(a)P</w:t>
            </w:r>
          </w:p>
        </w:tc>
        <w:tc>
          <w:tcPr>
            <w:tcW w:w="918" w:type="dxa"/>
            <w:shd w:val="clear" w:color="auto" w:fill="1F497D" w:themeFill="text2"/>
            <w:vAlign w:val="center"/>
          </w:tcPr>
          <w:p w:rsidR="004E28FB" w:rsidRPr="00E61DBA" w:rsidRDefault="004E28FB" w:rsidP="00C90C23">
            <w:pPr>
              <w:jc w:val="center"/>
              <w:rPr>
                <w:rFonts w:cs="Arial"/>
                <w:sz w:val="20"/>
              </w:rPr>
            </w:pPr>
            <w:r w:rsidRPr="00E61DBA">
              <w:rPr>
                <w:rFonts w:cs="Arial"/>
                <w:b/>
                <w:color w:val="FFFFFF" w:themeColor="background1"/>
                <w:sz w:val="20"/>
              </w:rPr>
              <w:t>A</w:t>
            </w:r>
            <w:r w:rsidR="00C90C23">
              <w:rPr>
                <w:rFonts w:cs="Arial"/>
                <w:b/>
                <w:color w:val="FFFFFF" w:themeColor="background1"/>
                <w:sz w:val="20"/>
              </w:rPr>
              <w:t>s</w:t>
            </w:r>
            <w:r w:rsidRPr="00E61DBA">
              <w:rPr>
                <w:rFonts w:cs="Arial"/>
                <w:b/>
                <w:color w:val="FFFFFF" w:themeColor="background1"/>
                <w:sz w:val="20"/>
              </w:rPr>
              <w:t>, Cd, &amp; Ni</w:t>
            </w:r>
          </w:p>
        </w:tc>
        <w:tc>
          <w:tcPr>
            <w:tcW w:w="1122" w:type="dxa"/>
            <w:shd w:val="clear" w:color="auto" w:fill="1F497D" w:themeFill="text2"/>
            <w:vAlign w:val="center"/>
          </w:tcPr>
          <w:p w:rsidR="004E28FB" w:rsidRPr="00E61DBA" w:rsidRDefault="004E28FB" w:rsidP="00581A85">
            <w:pPr>
              <w:jc w:val="center"/>
              <w:rPr>
                <w:rFonts w:cs="Arial"/>
                <w:sz w:val="20"/>
              </w:rPr>
            </w:pPr>
            <w:r w:rsidRPr="00E61DBA">
              <w:rPr>
                <w:rFonts w:cs="Arial"/>
                <w:b/>
                <w:color w:val="FFFFFF" w:themeColor="background1"/>
                <w:sz w:val="20"/>
              </w:rPr>
              <w:t>PAH’s other than B(a)P, total gaseous Hg</w:t>
            </w:r>
          </w:p>
        </w:tc>
        <w:tc>
          <w:tcPr>
            <w:tcW w:w="1020" w:type="dxa"/>
            <w:shd w:val="clear" w:color="auto" w:fill="1F497D" w:themeFill="text2"/>
            <w:vAlign w:val="center"/>
          </w:tcPr>
          <w:p w:rsidR="004E28FB" w:rsidRPr="00E61DBA" w:rsidRDefault="004E28FB" w:rsidP="00581A85">
            <w:pPr>
              <w:jc w:val="center"/>
              <w:rPr>
                <w:rFonts w:cs="Arial"/>
                <w:sz w:val="20"/>
              </w:rPr>
            </w:pPr>
            <w:r w:rsidRPr="00E61DBA">
              <w:rPr>
                <w:rFonts w:cs="Arial"/>
                <w:b/>
                <w:color w:val="FFFFFF" w:themeColor="background1"/>
                <w:sz w:val="20"/>
              </w:rPr>
              <w:t>Total Deposition</w:t>
            </w:r>
          </w:p>
        </w:tc>
      </w:tr>
      <w:tr w:rsidR="004E28FB" w:rsidRPr="00E61DBA" w:rsidTr="00581A85">
        <w:tc>
          <w:tcPr>
            <w:tcW w:w="1462" w:type="dxa"/>
            <w:vAlign w:val="center"/>
          </w:tcPr>
          <w:p w:rsidR="004E28FB" w:rsidRPr="00E61DBA" w:rsidRDefault="004E28FB" w:rsidP="004E28FB">
            <w:pPr>
              <w:rPr>
                <w:rFonts w:cs="Arial"/>
                <w:sz w:val="20"/>
              </w:rPr>
            </w:pPr>
          </w:p>
        </w:tc>
        <w:tc>
          <w:tcPr>
            <w:tcW w:w="8159" w:type="dxa"/>
            <w:gridSpan w:val="8"/>
            <w:vAlign w:val="center"/>
          </w:tcPr>
          <w:p w:rsidR="004E28FB" w:rsidRPr="00E61DBA" w:rsidRDefault="004E28FB" w:rsidP="004E28FB">
            <w:pPr>
              <w:jc w:val="center"/>
              <w:rPr>
                <w:rFonts w:cs="Arial"/>
                <w:sz w:val="20"/>
              </w:rPr>
            </w:pPr>
            <w:r w:rsidRPr="00E61DBA">
              <w:rPr>
                <w:rFonts w:cs="Arial"/>
                <w:sz w:val="20"/>
              </w:rPr>
              <w:t>Indicative Measurements</w:t>
            </w:r>
          </w:p>
        </w:tc>
      </w:tr>
      <w:tr w:rsidR="004E28FB" w:rsidRPr="00E61DBA" w:rsidTr="00581A85">
        <w:tc>
          <w:tcPr>
            <w:tcW w:w="1462" w:type="dxa"/>
            <w:vAlign w:val="center"/>
          </w:tcPr>
          <w:p w:rsidR="004E28FB" w:rsidRPr="00E61DBA" w:rsidRDefault="004E28FB" w:rsidP="009E6C1C">
            <w:pPr>
              <w:jc w:val="left"/>
              <w:rPr>
                <w:rFonts w:cs="Arial"/>
                <w:sz w:val="20"/>
              </w:rPr>
            </w:pPr>
            <w:r w:rsidRPr="00E61DBA">
              <w:rPr>
                <w:rFonts w:cs="Arial"/>
                <w:sz w:val="20"/>
              </w:rPr>
              <w:t>Uncertainty</w:t>
            </w:r>
          </w:p>
        </w:tc>
        <w:tc>
          <w:tcPr>
            <w:tcW w:w="1019" w:type="dxa"/>
            <w:vAlign w:val="center"/>
          </w:tcPr>
          <w:p w:rsidR="004E28FB" w:rsidRPr="00E61DBA" w:rsidRDefault="004E28FB" w:rsidP="009E6C1C">
            <w:pPr>
              <w:jc w:val="left"/>
              <w:rPr>
                <w:rFonts w:cs="Arial"/>
                <w:sz w:val="20"/>
              </w:rPr>
            </w:pPr>
            <w:r w:rsidRPr="00E61DBA">
              <w:rPr>
                <w:rFonts w:cs="Arial"/>
                <w:sz w:val="20"/>
              </w:rPr>
              <w:t>25 %</w:t>
            </w:r>
          </w:p>
        </w:tc>
        <w:tc>
          <w:tcPr>
            <w:tcW w:w="1171" w:type="dxa"/>
            <w:vAlign w:val="center"/>
          </w:tcPr>
          <w:p w:rsidR="004E28FB" w:rsidRPr="00E61DBA" w:rsidRDefault="004E28FB" w:rsidP="009E6C1C">
            <w:pPr>
              <w:jc w:val="left"/>
              <w:rPr>
                <w:rFonts w:cs="Arial"/>
                <w:sz w:val="20"/>
              </w:rPr>
            </w:pPr>
            <w:r w:rsidRPr="00E61DBA">
              <w:rPr>
                <w:rFonts w:cs="Arial"/>
                <w:sz w:val="20"/>
              </w:rPr>
              <w:t>30 %</w:t>
            </w:r>
          </w:p>
        </w:tc>
        <w:tc>
          <w:tcPr>
            <w:tcW w:w="869" w:type="dxa"/>
            <w:vAlign w:val="center"/>
          </w:tcPr>
          <w:p w:rsidR="004E28FB" w:rsidRPr="00E61DBA" w:rsidRDefault="004E28FB" w:rsidP="009E6C1C">
            <w:pPr>
              <w:jc w:val="left"/>
              <w:rPr>
                <w:rFonts w:cs="Arial"/>
                <w:sz w:val="20"/>
              </w:rPr>
            </w:pPr>
            <w:r w:rsidRPr="00E61DBA">
              <w:rPr>
                <w:rFonts w:cs="Arial"/>
                <w:sz w:val="20"/>
              </w:rPr>
              <w:t>50 %</w:t>
            </w:r>
          </w:p>
        </w:tc>
        <w:tc>
          <w:tcPr>
            <w:tcW w:w="1020" w:type="dxa"/>
            <w:vAlign w:val="center"/>
          </w:tcPr>
          <w:p w:rsidR="004E28FB" w:rsidRPr="00E61DBA" w:rsidRDefault="004E28FB" w:rsidP="009E6C1C">
            <w:pPr>
              <w:jc w:val="left"/>
              <w:rPr>
                <w:rFonts w:cs="Arial"/>
                <w:sz w:val="20"/>
              </w:rPr>
            </w:pPr>
            <w:r w:rsidRPr="00E61DBA">
              <w:rPr>
                <w:rFonts w:cs="Arial"/>
                <w:sz w:val="20"/>
              </w:rPr>
              <w:t>30 %</w:t>
            </w:r>
          </w:p>
        </w:tc>
        <w:tc>
          <w:tcPr>
            <w:tcW w:w="1020" w:type="dxa"/>
            <w:vAlign w:val="center"/>
          </w:tcPr>
          <w:p w:rsidR="004E28FB" w:rsidRPr="00E61DBA" w:rsidRDefault="004E28FB" w:rsidP="009E6C1C">
            <w:pPr>
              <w:jc w:val="left"/>
              <w:rPr>
                <w:rFonts w:cs="Arial"/>
                <w:sz w:val="20"/>
              </w:rPr>
            </w:pPr>
          </w:p>
        </w:tc>
        <w:tc>
          <w:tcPr>
            <w:tcW w:w="918" w:type="dxa"/>
            <w:vAlign w:val="center"/>
          </w:tcPr>
          <w:p w:rsidR="004E28FB" w:rsidRPr="00E61DBA" w:rsidRDefault="004E28FB" w:rsidP="009E6C1C">
            <w:pPr>
              <w:jc w:val="left"/>
              <w:rPr>
                <w:rFonts w:cs="Arial"/>
                <w:sz w:val="20"/>
              </w:rPr>
            </w:pPr>
          </w:p>
        </w:tc>
        <w:tc>
          <w:tcPr>
            <w:tcW w:w="1122" w:type="dxa"/>
            <w:vAlign w:val="center"/>
          </w:tcPr>
          <w:p w:rsidR="004E28FB" w:rsidRPr="00E61DBA" w:rsidRDefault="004E28FB" w:rsidP="009E6C1C">
            <w:pPr>
              <w:jc w:val="left"/>
              <w:rPr>
                <w:rFonts w:cs="Arial"/>
                <w:sz w:val="20"/>
              </w:rPr>
            </w:pPr>
          </w:p>
        </w:tc>
        <w:tc>
          <w:tcPr>
            <w:tcW w:w="1020" w:type="dxa"/>
            <w:vAlign w:val="center"/>
          </w:tcPr>
          <w:p w:rsidR="004E28FB" w:rsidRPr="00E61DBA" w:rsidRDefault="004E28FB" w:rsidP="009E6C1C">
            <w:pPr>
              <w:jc w:val="left"/>
              <w:rPr>
                <w:rFonts w:cs="Arial"/>
                <w:sz w:val="20"/>
              </w:rPr>
            </w:pPr>
          </w:p>
        </w:tc>
      </w:tr>
      <w:tr w:rsidR="004E28FB" w:rsidRPr="00E61DBA" w:rsidTr="00581A85">
        <w:tc>
          <w:tcPr>
            <w:tcW w:w="1462" w:type="dxa"/>
            <w:vAlign w:val="center"/>
          </w:tcPr>
          <w:p w:rsidR="004E28FB" w:rsidRPr="00E61DBA" w:rsidRDefault="004E28FB" w:rsidP="009E6C1C">
            <w:pPr>
              <w:jc w:val="left"/>
              <w:rPr>
                <w:rFonts w:cs="Arial"/>
                <w:sz w:val="20"/>
              </w:rPr>
            </w:pPr>
            <w:r w:rsidRPr="00E61DBA">
              <w:rPr>
                <w:rFonts w:cs="Arial"/>
                <w:sz w:val="20"/>
              </w:rPr>
              <w:t>Minimum data capture</w:t>
            </w:r>
          </w:p>
        </w:tc>
        <w:tc>
          <w:tcPr>
            <w:tcW w:w="1019" w:type="dxa"/>
            <w:vAlign w:val="center"/>
          </w:tcPr>
          <w:p w:rsidR="004E28FB" w:rsidRPr="00E61DBA" w:rsidRDefault="004E28FB" w:rsidP="009E6C1C">
            <w:pPr>
              <w:jc w:val="left"/>
              <w:rPr>
                <w:rFonts w:cs="Arial"/>
                <w:sz w:val="20"/>
              </w:rPr>
            </w:pPr>
            <w:r w:rsidRPr="00E61DBA">
              <w:rPr>
                <w:rFonts w:cs="Arial"/>
                <w:sz w:val="20"/>
              </w:rPr>
              <w:t>90 %</w:t>
            </w:r>
          </w:p>
        </w:tc>
        <w:tc>
          <w:tcPr>
            <w:tcW w:w="1171" w:type="dxa"/>
            <w:vAlign w:val="center"/>
          </w:tcPr>
          <w:p w:rsidR="004E28FB" w:rsidRPr="00E61DBA" w:rsidRDefault="004E28FB" w:rsidP="009E6C1C">
            <w:pPr>
              <w:jc w:val="left"/>
              <w:rPr>
                <w:rFonts w:cs="Arial"/>
                <w:sz w:val="20"/>
              </w:rPr>
            </w:pPr>
            <w:r w:rsidRPr="00E61DBA">
              <w:rPr>
                <w:rFonts w:cs="Arial"/>
                <w:sz w:val="20"/>
              </w:rPr>
              <w:t>90 %</w:t>
            </w:r>
          </w:p>
        </w:tc>
        <w:tc>
          <w:tcPr>
            <w:tcW w:w="869" w:type="dxa"/>
            <w:vAlign w:val="center"/>
          </w:tcPr>
          <w:p w:rsidR="004E28FB" w:rsidRPr="00E61DBA" w:rsidRDefault="004E28FB" w:rsidP="009E6C1C">
            <w:pPr>
              <w:jc w:val="left"/>
              <w:rPr>
                <w:rFonts w:cs="Arial"/>
                <w:sz w:val="20"/>
              </w:rPr>
            </w:pPr>
            <w:r w:rsidRPr="00E61DBA">
              <w:rPr>
                <w:rFonts w:cs="Arial"/>
                <w:sz w:val="20"/>
              </w:rPr>
              <w:t>90 %</w:t>
            </w:r>
          </w:p>
        </w:tc>
        <w:tc>
          <w:tcPr>
            <w:tcW w:w="1020" w:type="dxa"/>
            <w:vAlign w:val="center"/>
          </w:tcPr>
          <w:p w:rsidR="004E28FB" w:rsidRPr="00E61DBA" w:rsidRDefault="004E28FB" w:rsidP="009E6C1C">
            <w:pPr>
              <w:jc w:val="left"/>
              <w:rPr>
                <w:rFonts w:cs="Arial"/>
                <w:sz w:val="20"/>
              </w:rPr>
            </w:pPr>
            <w:r w:rsidRPr="00E61DBA">
              <w:rPr>
                <w:rFonts w:cs="Arial"/>
                <w:sz w:val="20"/>
              </w:rPr>
              <w:t>90 %</w:t>
            </w:r>
          </w:p>
        </w:tc>
        <w:tc>
          <w:tcPr>
            <w:tcW w:w="1020" w:type="dxa"/>
            <w:vAlign w:val="center"/>
          </w:tcPr>
          <w:p w:rsidR="004E28FB" w:rsidRPr="00E61DBA" w:rsidRDefault="004E28FB" w:rsidP="009E6C1C">
            <w:pPr>
              <w:jc w:val="left"/>
              <w:rPr>
                <w:rFonts w:cs="Arial"/>
                <w:sz w:val="20"/>
              </w:rPr>
            </w:pPr>
          </w:p>
        </w:tc>
        <w:tc>
          <w:tcPr>
            <w:tcW w:w="918" w:type="dxa"/>
            <w:vAlign w:val="center"/>
          </w:tcPr>
          <w:p w:rsidR="004E28FB" w:rsidRPr="00E61DBA" w:rsidRDefault="004E28FB" w:rsidP="009E6C1C">
            <w:pPr>
              <w:jc w:val="left"/>
              <w:rPr>
                <w:rFonts w:cs="Arial"/>
                <w:sz w:val="20"/>
              </w:rPr>
            </w:pPr>
          </w:p>
        </w:tc>
        <w:tc>
          <w:tcPr>
            <w:tcW w:w="1122" w:type="dxa"/>
            <w:vAlign w:val="center"/>
          </w:tcPr>
          <w:p w:rsidR="004E28FB" w:rsidRPr="00E61DBA" w:rsidRDefault="004E28FB" w:rsidP="009E6C1C">
            <w:pPr>
              <w:jc w:val="left"/>
              <w:rPr>
                <w:rFonts w:cs="Arial"/>
                <w:sz w:val="20"/>
              </w:rPr>
            </w:pPr>
          </w:p>
        </w:tc>
        <w:tc>
          <w:tcPr>
            <w:tcW w:w="1020" w:type="dxa"/>
            <w:vAlign w:val="center"/>
          </w:tcPr>
          <w:p w:rsidR="004E28FB" w:rsidRPr="00E61DBA" w:rsidRDefault="004E28FB" w:rsidP="009E6C1C">
            <w:pPr>
              <w:jc w:val="left"/>
              <w:rPr>
                <w:rFonts w:cs="Arial"/>
                <w:sz w:val="20"/>
              </w:rPr>
            </w:pPr>
          </w:p>
        </w:tc>
      </w:tr>
      <w:tr w:rsidR="004E28FB" w:rsidRPr="00E61DBA" w:rsidTr="00581A85">
        <w:tc>
          <w:tcPr>
            <w:tcW w:w="1462" w:type="dxa"/>
            <w:vAlign w:val="center"/>
          </w:tcPr>
          <w:p w:rsidR="004E28FB" w:rsidRPr="00E61DBA" w:rsidRDefault="004E28FB" w:rsidP="009E6C1C">
            <w:pPr>
              <w:jc w:val="left"/>
              <w:rPr>
                <w:rFonts w:cs="Arial"/>
                <w:sz w:val="20"/>
              </w:rPr>
            </w:pPr>
            <w:r w:rsidRPr="00E61DBA">
              <w:rPr>
                <w:rFonts w:cs="Arial"/>
                <w:sz w:val="20"/>
              </w:rPr>
              <w:t xml:space="preserve">Minimum time </w:t>
            </w:r>
            <w:r w:rsidRPr="00E61DBA">
              <w:rPr>
                <w:rFonts w:cs="Arial"/>
                <w:sz w:val="20"/>
              </w:rPr>
              <w:lastRenderedPageBreak/>
              <w:t>coverage</w:t>
            </w:r>
          </w:p>
        </w:tc>
        <w:tc>
          <w:tcPr>
            <w:tcW w:w="1019" w:type="dxa"/>
            <w:vAlign w:val="center"/>
          </w:tcPr>
          <w:p w:rsidR="004E28FB" w:rsidRPr="00E61DBA" w:rsidRDefault="004E28FB" w:rsidP="009E6C1C">
            <w:pPr>
              <w:jc w:val="left"/>
              <w:rPr>
                <w:rFonts w:cs="Arial"/>
                <w:sz w:val="20"/>
              </w:rPr>
            </w:pPr>
            <w:r w:rsidRPr="00E61DBA">
              <w:rPr>
                <w:rFonts w:cs="Arial"/>
                <w:sz w:val="20"/>
              </w:rPr>
              <w:lastRenderedPageBreak/>
              <w:t>14 %</w:t>
            </w:r>
          </w:p>
        </w:tc>
        <w:tc>
          <w:tcPr>
            <w:tcW w:w="1171" w:type="dxa"/>
            <w:vAlign w:val="center"/>
          </w:tcPr>
          <w:p w:rsidR="004E28FB" w:rsidRPr="00E61DBA" w:rsidRDefault="004E28FB" w:rsidP="009E6C1C">
            <w:pPr>
              <w:jc w:val="left"/>
              <w:rPr>
                <w:rFonts w:cs="Arial"/>
                <w:sz w:val="20"/>
              </w:rPr>
            </w:pPr>
            <w:r w:rsidRPr="00E61DBA">
              <w:rPr>
                <w:rFonts w:cs="Arial"/>
                <w:sz w:val="20"/>
              </w:rPr>
              <w:t>14 %</w:t>
            </w:r>
          </w:p>
        </w:tc>
        <w:tc>
          <w:tcPr>
            <w:tcW w:w="869" w:type="dxa"/>
            <w:vAlign w:val="center"/>
          </w:tcPr>
          <w:p w:rsidR="004E28FB" w:rsidRPr="00E61DBA" w:rsidRDefault="004E28FB" w:rsidP="009E6C1C">
            <w:pPr>
              <w:jc w:val="left"/>
              <w:rPr>
                <w:rFonts w:cs="Arial"/>
                <w:sz w:val="20"/>
              </w:rPr>
            </w:pPr>
            <w:r w:rsidRPr="00E61DBA">
              <w:rPr>
                <w:rFonts w:cs="Arial"/>
                <w:sz w:val="20"/>
              </w:rPr>
              <w:t>14 %</w:t>
            </w:r>
          </w:p>
        </w:tc>
        <w:tc>
          <w:tcPr>
            <w:tcW w:w="1020" w:type="dxa"/>
            <w:vAlign w:val="center"/>
          </w:tcPr>
          <w:p w:rsidR="004E28FB" w:rsidRPr="00E61DBA" w:rsidRDefault="004E28FB" w:rsidP="009E6C1C">
            <w:pPr>
              <w:jc w:val="left"/>
              <w:rPr>
                <w:rFonts w:cs="Arial"/>
                <w:sz w:val="20"/>
              </w:rPr>
            </w:pPr>
            <w:r w:rsidRPr="00E61DBA">
              <w:rPr>
                <w:rFonts w:cs="Arial"/>
                <w:sz w:val="20"/>
              </w:rPr>
              <w:t xml:space="preserve">&gt; 10 % </w:t>
            </w:r>
            <w:r w:rsidRPr="00E61DBA">
              <w:rPr>
                <w:rFonts w:cs="Arial"/>
                <w:sz w:val="20"/>
              </w:rPr>
              <w:lastRenderedPageBreak/>
              <w:t>during summer</w:t>
            </w:r>
          </w:p>
        </w:tc>
        <w:tc>
          <w:tcPr>
            <w:tcW w:w="1020" w:type="dxa"/>
            <w:vAlign w:val="center"/>
          </w:tcPr>
          <w:p w:rsidR="004E28FB" w:rsidRPr="00E61DBA" w:rsidRDefault="004E28FB" w:rsidP="009E6C1C">
            <w:pPr>
              <w:jc w:val="left"/>
              <w:rPr>
                <w:rFonts w:cs="Arial"/>
                <w:sz w:val="20"/>
              </w:rPr>
            </w:pPr>
            <w:r w:rsidRPr="00E61DBA">
              <w:rPr>
                <w:rFonts w:cs="Arial"/>
                <w:sz w:val="20"/>
              </w:rPr>
              <w:lastRenderedPageBreak/>
              <w:t>14 %</w:t>
            </w:r>
          </w:p>
        </w:tc>
        <w:tc>
          <w:tcPr>
            <w:tcW w:w="918" w:type="dxa"/>
            <w:vAlign w:val="center"/>
          </w:tcPr>
          <w:p w:rsidR="004E28FB" w:rsidRPr="00E61DBA" w:rsidRDefault="004E28FB" w:rsidP="009E6C1C">
            <w:pPr>
              <w:jc w:val="left"/>
              <w:rPr>
                <w:rFonts w:cs="Arial"/>
                <w:sz w:val="20"/>
              </w:rPr>
            </w:pPr>
            <w:r w:rsidRPr="00E61DBA">
              <w:rPr>
                <w:rFonts w:cs="Arial"/>
                <w:sz w:val="20"/>
              </w:rPr>
              <w:t>14 %</w:t>
            </w:r>
          </w:p>
        </w:tc>
        <w:tc>
          <w:tcPr>
            <w:tcW w:w="1122" w:type="dxa"/>
            <w:vAlign w:val="center"/>
          </w:tcPr>
          <w:p w:rsidR="004E28FB" w:rsidRPr="00E61DBA" w:rsidRDefault="004E28FB" w:rsidP="009E6C1C">
            <w:pPr>
              <w:jc w:val="left"/>
              <w:rPr>
                <w:rFonts w:cs="Arial"/>
                <w:sz w:val="20"/>
              </w:rPr>
            </w:pPr>
            <w:r w:rsidRPr="00E61DBA">
              <w:rPr>
                <w:rFonts w:cs="Arial"/>
                <w:sz w:val="20"/>
              </w:rPr>
              <w:t>14 %</w:t>
            </w:r>
          </w:p>
        </w:tc>
        <w:tc>
          <w:tcPr>
            <w:tcW w:w="1020" w:type="dxa"/>
            <w:vAlign w:val="center"/>
          </w:tcPr>
          <w:p w:rsidR="004E28FB" w:rsidRPr="00E61DBA" w:rsidRDefault="004E28FB" w:rsidP="009E6C1C">
            <w:pPr>
              <w:jc w:val="left"/>
              <w:rPr>
                <w:rFonts w:cs="Arial"/>
                <w:sz w:val="20"/>
              </w:rPr>
            </w:pPr>
            <w:r w:rsidRPr="00E61DBA">
              <w:rPr>
                <w:rFonts w:cs="Arial"/>
                <w:sz w:val="20"/>
              </w:rPr>
              <w:t>33 %</w:t>
            </w:r>
          </w:p>
        </w:tc>
      </w:tr>
      <w:tr w:rsidR="004E28FB" w:rsidRPr="00E61DBA" w:rsidTr="00581A85">
        <w:tc>
          <w:tcPr>
            <w:tcW w:w="1462" w:type="dxa"/>
            <w:vAlign w:val="center"/>
          </w:tcPr>
          <w:p w:rsidR="004E28FB" w:rsidRPr="00E61DBA" w:rsidRDefault="004E28FB" w:rsidP="009E6C1C">
            <w:pPr>
              <w:jc w:val="left"/>
              <w:rPr>
                <w:rFonts w:cs="Arial"/>
                <w:sz w:val="20"/>
              </w:rPr>
            </w:pPr>
            <w:r w:rsidRPr="00E61DBA">
              <w:rPr>
                <w:rFonts w:cs="Arial"/>
                <w:sz w:val="20"/>
              </w:rPr>
              <w:lastRenderedPageBreak/>
              <w:t>Objective estimation Uncertainty</w:t>
            </w:r>
          </w:p>
        </w:tc>
        <w:tc>
          <w:tcPr>
            <w:tcW w:w="1019" w:type="dxa"/>
            <w:vAlign w:val="center"/>
          </w:tcPr>
          <w:p w:rsidR="004E28FB" w:rsidRPr="00E61DBA" w:rsidRDefault="004E28FB" w:rsidP="009E6C1C">
            <w:pPr>
              <w:jc w:val="left"/>
              <w:rPr>
                <w:rFonts w:cs="Arial"/>
                <w:sz w:val="20"/>
              </w:rPr>
            </w:pPr>
            <w:r w:rsidRPr="00E61DBA">
              <w:rPr>
                <w:rFonts w:cs="Arial"/>
                <w:sz w:val="20"/>
              </w:rPr>
              <w:t>75 %</w:t>
            </w:r>
          </w:p>
        </w:tc>
        <w:tc>
          <w:tcPr>
            <w:tcW w:w="1171" w:type="dxa"/>
            <w:vAlign w:val="center"/>
          </w:tcPr>
          <w:p w:rsidR="004E28FB" w:rsidRPr="00E61DBA" w:rsidRDefault="004E28FB" w:rsidP="009E6C1C">
            <w:pPr>
              <w:jc w:val="left"/>
              <w:rPr>
                <w:rFonts w:cs="Arial"/>
                <w:sz w:val="20"/>
              </w:rPr>
            </w:pPr>
            <w:r w:rsidRPr="00E61DBA">
              <w:rPr>
                <w:rFonts w:cs="Arial"/>
                <w:sz w:val="20"/>
              </w:rPr>
              <w:t>100 %</w:t>
            </w:r>
          </w:p>
        </w:tc>
        <w:tc>
          <w:tcPr>
            <w:tcW w:w="869" w:type="dxa"/>
            <w:vAlign w:val="center"/>
          </w:tcPr>
          <w:p w:rsidR="004E28FB" w:rsidRPr="00E61DBA" w:rsidRDefault="004E28FB" w:rsidP="009E6C1C">
            <w:pPr>
              <w:jc w:val="left"/>
              <w:rPr>
                <w:rFonts w:cs="Arial"/>
                <w:sz w:val="20"/>
              </w:rPr>
            </w:pPr>
            <w:r w:rsidRPr="00E61DBA">
              <w:rPr>
                <w:rFonts w:cs="Arial"/>
                <w:sz w:val="20"/>
              </w:rPr>
              <w:t>100 %</w:t>
            </w:r>
          </w:p>
        </w:tc>
        <w:tc>
          <w:tcPr>
            <w:tcW w:w="1020" w:type="dxa"/>
            <w:vAlign w:val="center"/>
          </w:tcPr>
          <w:p w:rsidR="004E28FB" w:rsidRPr="00E61DBA" w:rsidRDefault="004E28FB" w:rsidP="009E6C1C">
            <w:pPr>
              <w:jc w:val="left"/>
              <w:rPr>
                <w:rFonts w:cs="Arial"/>
                <w:sz w:val="20"/>
              </w:rPr>
            </w:pPr>
            <w:r w:rsidRPr="00E61DBA">
              <w:rPr>
                <w:rFonts w:cs="Arial"/>
                <w:sz w:val="20"/>
              </w:rPr>
              <w:t>75 %</w:t>
            </w:r>
          </w:p>
        </w:tc>
        <w:tc>
          <w:tcPr>
            <w:tcW w:w="1020" w:type="dxa"/>
            <w:vAlign w:val="center"/>
          </w:tcPr>
          <w:p w:rsidR="004E28FB" w:rsidRPr="00E61DBA" w:rsidRDefault="004E28FB" w:rsidP="009E6C1C">
            <w:pPr>
              <w:jc w:val="left"/>
              <w:rPr>
                <w:rFonts w:cs="Arial"/>
                <w:sz w:val="20"/>
              </w:rPr>
            </w:pPr>
          </w:p>
        </w:tc>
        <w:tc>
          <w:tcPr>
            <w:tcW w:w="918" w:type="dxa"/>
            <w:vAlign w:val="center"/>
          </w:tcPr>
          <w:p w:rsidR="004E28FB" w:rsidRPr="00E61DBA" w:rsidRDefault="004E28FB" w:rsidP="009E6C1C">
            <w:pPr>
              <w:jc w:val="left"/>
              <w:rPr>
                <w:rFonts w:cs="Arial"/>
                <w:sz w:val="20"/>
              </w:rPr>
            </w:pPr>
          </w:p>
        </w:tc>
        <w:tc>
          <w:tcPr>
            <w:tcW w:w="1122" w:type="dxa"/>
            <w:vAlign w:val="center"/>
          </w:tcPr>
          <w:p w:rsidR="004E28FB" w:rsidRPr="00E61DBA" w:rsidRDefault="004E28FB" w:rsidP="009E6C1C">
            <w:pPr>
              <w:jc w:val="left"/>
              <w:rPr>
                <w:rFonts w:cs="Arial"/>
                <w:sz w:val="20"/>
              </w:rPr>
            </w:pPr>
          </w:p>
        </w:tc>
        <w:tc>
          <w:tcPr>
            <w:tcW w:w="1020" w:type="dxa"/>
            <w:vAlign w:val="center"/>
          </w:tcPr>
          <w:p w:rsidR="004E28FB" w:rsidRPr="00E61DBA" w:rsidRDefault="004E28FB" w:rsidP="009E6C1C">
            <w:pPr>
              <w:jc w:val="left"/>
              <w:rPr>
                <w:rFonts w:cs="Arial"/>
                <w:sz w:val="20"/>
              </w:rPr>
            </w:pPr>
          </w:p>
        </w:tc>
      </w:tr>
    </w:tbl>
    <w:p w:rsidR="004E28FB" w:rsidRPr="00581A85" w:rsidRDefault="004E28FB" w:rsidP="00581A85">
      <w:pPr>
        <w:pStyle w:val="Heading2"/>
        <w:rPr>
          <w:rStyle w:val="Strong"/>
          <w:b/>
          <w:bCs w:val="0"/>
        </w:rPr>
      </w:pPr>
      <w:bookmarkStart w:id="563" w:name="_Toc383738797"/>
      <w:bookmarkStart w:id="564" w:name="_Toc392598884"/>
      <w:r w:rsidRPr="00581A85">
        <w:rPr>
          <w:rStyle w:val="Strong"/>
          <w:b/>
          <w:bCs w:val="0"/>
        </w:rPr>
        <w:t>Quality assurance for ambient air quality assessment: data validation</w:t>
      </w:r>
      <w:bookmarkEnd w:id="563"/>
      <w:bookmarkEnd w:id="564"/>
    </w:p>
    <w:p w:rsidR="004E28FB" w:rsidRPr="00623E33" w:rsidRDefault="004E28FB" w:rsidP="00581A85">
      <w:r w:rsidRPr="00623E33">
        <w:t>Monitoring data collected from EU national networks are required to be collected from frequently calibrated devices, fully validated and ratified, and subject to scrutiny against data from monitoring stations nearby.</w:t>
      </w:r>
    </w:p>
    <w:p w:rsidR="004E28FB" w:rsidRPr="00623E33" w:rsidRDefault="004E28FB" w:rsidP="00581A85">
      <w:r w:rsidRPr="00623E33">
        <w:t>All networks are required to operate to minimal quality standards which allow data to meet data quality objectives.</w:t>
      </w:r>
      <w:r>
        <w:t xml:space="preserve"> </w:t>
      </w:r>
      <w:r w:rsidRPr="00623E33">
        <w:t>In order to meet minimum quality assurance and quality control criteria, air quality networks operate within parameters set out in their respective national quality plans. These form the foundation</w:t>
      </w:r>
      <w:r>
        <w:t xml:space="preserve"> </w:t>
      </w:r>
      <w:r w:rsidRPr="00623E33">
        <w:t xml:space="preserve">upon </w:t>
      </w:r>
      <w:r>
        <w:t xml:space="preserve">which </w:t>
      </w:r>
      <w:r w:rsidRPr="00623E33">
        <w:t>acceptable precision, accuracy, completeness, comparability, and representativeness can be determined if not assured</w:t>
      </w:r>
      <w:r>
        <w:t xml:space="preserve"> (Table 2-9</w:t>
      </w:r>
      <w:r w:rsidRPr="00623E33">
        <w:t>). National quality plans require the following criteria to be determined:</w:t>
      </w:r>
    </w:p>
    <w:p w:rsidR="004E28FB" w:rsidRPr="00623E33" w:rsidRDefault="004E28FB" w:rsidP="00581A85">
      <w:pPr>
        <w:pStyle w:val="TOC1"/>
        <w:rPr>
          <w:sz w:val="20"/>
        </w:rPr>
      </w:pPr>
      <w:r w:rsidRPr="00623E33">
        <w:t xml:space="preserve">Table </w:t>
      </w:r>
      <w:r w:rsidR="005101F7">
        <w:fldChar w:fldCharType="begin"/>
      </w:r>
      <w:r w:rsidR="005101F7">
        <w:instrText xml:space="preserve"> STYLEREF 1 \s </w:instrText>
      </w:r>
      <w:r w:rsidR="005101F7">
        <w:fldChar w:fldCharType="separate"/>
      </w:r>
      <w:r>
        <w:rPr>
          <w:noProof/>
        </w:rPr>
        <w:t>2</w:t>
      </w:r>
      <w:r w:rsidR="005101F7">
        <w:rPr>
          <w:noProof/>
        </w:rPr>
        <w:fldChar w:fldCharType="end"/>
      </w:r>
      <w:r>
        <w:noBreakHyphen/>
        <w:t>9</w:t>
      </w:r>
      <w:r w:rsidRPr="00623E33">
        <w:t xml:space="preserve"> Foundation of a National Air Quality Monitor Plan</w:t>
      </w:r>
    </w:p>
    <w:tbl>
      <w:tblPr>
        <w:tblStyle w:val="LightShading-Accent11"/>
        <w:tblW w:w="5000" w:type="pct"/>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12" w:space="0" w:color="76923C" w:themeColor="accent3" w:themeShade="BF"/>
          <w:insideV w:val="single" w:sz="12" w:space="0" w:color="76923C" w:themeColor="accent3" w:themeShade="BF"/>
        </w:tblBorders>
        <w:tblLook w:val="04A0" w:firstRow="1" w:lastRow="0" w:firstColumn="1" w:lastColumn="0" w:noHBand="0" w:noVBand="1"/>
      </w:tblPr>
      <w:tblGrid>
        <w:gridCol w:w="5166"/>
        <w:gridCol w:w="4455"/>
      </w:tblGrid>
      <w:tr w:rsidR="004E28FB" w:rsidRPr="00E61DBA" w:rsidTr="00581A8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12" w:space="0" w:color="76923C" w:themeColor="accent3" w:themeShade="BF"/>
              <w:left w:val="single" w:sz="12" w:space="0" w:color="76923C" w:themeColor="accent3" w:themeShade="BF"/>
              <w:right w:val="single" w:sz="12" w:space="0" w:color="76923C" w:themeColor="accent3" w:themeShade="BF"/>
            </w:tcBorders>
            <w:shd w:val="clear" w:color="auto" w:fill="1F497D" w:themeFill="text2"/>
            <w:vAlign w:val="center"/>
          </w:tcPr>
          <w:p w:rsidR="004E28FB" w:rsidRPr="00E61DBA" w:rsidRDefault="009E6C1C" w:rsidP="00E61DBA">
            <w:pPr>
              <w:spacing w:before="120"/>
              <w:rPr>
                <w:color w:val="FFFFFF" w:themeColor="background1"/>
              </w:rPr>
            </w:pPr>
            <w:r w:rsidRPr="00E61DBA">
              <w:rPr>
                <w:color w:val="FFFFFF" w:themeColor="background1"/>
              </w:rPr>
              <w:t>Foundation of a national air quality monitoring plan</w:t>
            </w:r>
          </w:p>
        </w:tc>
      </w:tr>
      <w:tr w:rsidR="004E28FB" w:rsidRPr="00581A85" w:rsidTr="00581A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5" w:type="pct"/>
            <w:tcBorders>
              <w:left w:val="single" w:sz="12" w:space="0" w:color="76923C" w:themeColor="accent3" w:themeShade="BF"/>
              <w:right w:val="single" w:sz="12" w:space="0" w:color="76923C" w:themeColor="accent3" w:themeShade="BF"/>
            </w:tcBorders>
            <w:vAlign w:val="center"/>
          </w:tcPr>
          <w:p w:rsidR="004E28FB" w:rsidRPr="009E6C1C" w:rsidRDefault="009E6C1C" w:rsidP="009E6C1C">
            <w:pPr>
              <w:rPr>
                <w:color w:val="auto"/>
              </w:rPr>
            </w:pPr>
            <w:r w:rsidRPr="009E6C1C">
              <w:rPr>
                <w:color w:val="auto"/>
              </w:rPr>
              <w:t>Quality control procedure</w:t>
            </w:r>
          </w:p>
        </w:tc>
        <w:tc>
          <w:tcPr>
            <w:tcW w:w="2315" w:type="pct"/>
            <w:tcBorders>
              <w:left w:val="single" w:sz="12" w:space="0" w:color="76923C" w:themeColor="accent3" w:themeShade="BF"/>
              <w:right w:val="single" w:sz="12" w:space="0" w:color="76923C" w:themeColor="accent3" w:themeShade="BF"/>
            </w:tcBorders>
          </w:tcPr>
          <w:p w:rsidR="004E28FB" w:rsidRPr="009E6C1C" w:rsidRDefault="009E6C1C" w:rsidP="009E6C1C">
            <w:pPr>
              <w:cnfStyle w:val="000000100000" w:firstRow="0" w:lastRow="0" w:firstColumn="0" w:lastColumn="0" w:oddVBand="0" w:evenVBand="0" w:oddHBand="1" w:evenHBand="0" w:firstRowFirstColumn="0" w:firstRowLastColumn="0" w:lastRowFirstColumn="0" w:lastRowLastColumn="0"/>
              <w:rPr>
                <w:color w:val="auto"/>
              </w:rPr>
            </w:pPr>
            <w:r w:rsidRPr="009E6C1C">
              <w:rPr>
                <w:color w:val="auto"/>
              </w:rPr>
              <w:t>Data scrutiny and instrument performance checks &amp; maintenance procedures, including calibrations &amp; flow-checks</w:t>
            </w:r>
          </w:p>
        </w:tc>
      </w:tr>
      <w:tr w:rsidR="004E28FB" w:rsidRPr="00581A85" w:rsidTr="00581A85">
        <w:trPr>
          <w:trHeight w:val="284"/>
        </w:trPr>
        <w:tc>
          <w:tcPr>
            <w:cnfStyle w:val="001000000000" w:firstRow="0" w:lastRow="0" w:firstColumn="1" w:lastColumn="0" w:oddVBand="0" w:evenVBand="0" w:oddHBand="0" w:evenHBand="0" w:firstRowFirstColumn="0" w:firstRowLastColumn="0" w:lastRowFirstColumn="0" w:lastRowLastColumn="0"/>
            <w:tcW w:w="2685" w:type="pct"/>
            <w:tcBorders>
              <w:right w:val="single" w:sz="12" w:space="0" w:color="76923C" w:themeColor="accent3" w:themeShade="BF"/>
            </w:tcBorders>
            <w:vAlign w:val="center"/>
          </w:tcPr>
          <w:p w:rsidR="004E28FB" w:rsidRPr="009E6C1C" w:rsidRDefault="009E6C1C" w:rsidP="009E6C1C">
            <w:pPr>
              <w:rPr>
                <w:color w:val="auto"/>
              </w:rPr>
            </w:pPr>
            <w:r w:rsidRPr="009E6C1C">
              <w:rPr>
                <w:color w:val="auto"/>
              </w:rPr>
              <w:t>Quality assurance</w:t>
            </w:r>
          </w:p>
        </w:tc>
        <w:tc>
          <w:tcPr>
            <w:tcW w:w="2315" w:type="pct"/>
            <w:tcBorders>
              <w:left w:val="single" w:sz="12" w:space="0" w:color="76923C" w:themeColor="accent3" w:themeShade="BF"/>
            </w:tcBorders>
          </w:tcPr>
          <w:p w:rsidR="004E28FB" w:rsidRPr="009E6C1C" w:rsidRDefault="009E6C1C" w:rsidP="009E6C1C">
            <w:pPr>
              <w:cnfStyle w:val="000000000000" w:firstRow="0" w:lastRow="0" w:firstColumn="0" w:lastColumn="0" w:oddVBand="0" w:evenVBand="0" w:oddHBand="0" w:evenHBand="0" w:firstRowFirstColumn="0" w:firstRowLastColumn="0" w:lastRowFirstColumn="0" w:lastRowLastColumn="0"/>
              <w:rPr>
                <w:color w:val="auto"/>
              </w:rPr>
            </w:pPr>
            <w:r w:rsidRPr="009E6C1C">
              <w:rPr>
                <w:color w:val="auto"/>
              </w:rPr>
              <w:t>Audit procedures involving external review and internal personnel.</w:t>
            </w:r>
          </w:p>
          <w:p w:rsidR="004E28FB" w:rsidRPr="009E6C1C" w:rsidRDefault="009E6C1C" w:rsidP="009E6C1C">
            <w:pPr>
              <w:cnfStyle w:val="000000000000" w:firstRow="0" w:lastRow="0" w:firstColumn="0" w:lastColumn="0" w:oddVBand="0" w:evenVBand="0" w:oddHBand="0" w:evenHBand="0" w:firstRowFirstColumn="0" w:firstRowLastColumn="0" w:lastRowFirstColumn="0" w:lastRowLastColumn="0"/>
              <w:rPr>
                <w:color w:val="auto"/>
              </w:rPr>
            </w:pPr>
            <w:r w:rsidRPr="009E6C1C">
              <w:rPr>
                <w:color w:val="auto"/>
              </w:rPr>
              <w:t xml:space="preserve">Requires assesses effectiveness of the QC program </w:t>
            </w:r>
          </w:p>
          <w:p w:rsidR="004E28FB" w:rsidRPr="009E6C1C" w:rsidRDefault="009E6C1C" w:rsidP="009E6C1C">
            <w:pPr>
              <w:pStyle w:val="ListParagraph"/>
              <w:cnfStyle w:val="000000000000" w:firstRow="0" w:lastRow="0" w:firstColumn="0" w:lastColumn="0" w:oddVBand="0" w:evenVBand="0" w:oddHBand="0" w:evenHBand="0" w:firstRowFirstColumn="0" w:firstRowLastColumn="0" w:lastRowFirstColumn="0" w:lastRowLastColumn="0"/>
            </w:pPr>
            <w:r w:rsidRPr="009E6C1C">
              <w:t>Data quality,</w:t>
            </w:r>
          </w:p>
          <w:p w:rsidR="004E28FB" w:rsidRPr="009E6C1C" w:rsidRDefault="009E6C1C" w:rsidP="009E6C1C">
            <w:pPr>
              <w:pStyle w:val="ListParagraph"/>
              <w:cnfStyle w:val="000000000000" w:firstRow="0" w:lastRow="0" w:firstColumn="0" w:lastColumn="0" w:oddVBand="0" w:evenVBand="0" w:oddHBand="0" w:evenHBand="0" w:firstRowFirstColumn="0" w:firstRowLastColumn="0" w:lastRowFirstColumn="0" w:lastRowLastColumn="0"/>
            </w:pPr>
            <w:r w:rsidRPr="009E6C1C">
              <w:t>Data completeness,</w:t>
            </w:r>
          </w:p>
          <w:p w:rsidR="004E28FB" w:rsidRPr="009E6C1C" w:rsidRDefault="009E6C1C" w:rsidP="009E6C1C">
            <w:pPr>
              <w:pStyle w:val="ListParagraph"/>
              <w:cnfStyle w:val="000000000000" w:firstRow="0" w:lastRow="0" w:firstColumn="0" w:lastColumn="0" w:oddVBand="0" w:evenVBand="0" w:oddHBand="0" w:evenHBand="0" w:firstRowFirstColumn="0" w:firstRowLastColumn="0" w:lastRowFirstColumn="0" w:lastRowLastColumn="0"/>
            </w:pPr>
            <w:r w:rsidRPr="009E6C1C">
              <w:t>Data accuracy,</w:t>
            </w:r>
          </w:p>
          <w:p w:rsidR="004E28FB" w:rsidRDefault="009E6C1C" w:rsidP="009E6C1C">
            <w:pPr>
              <w:pStyle w:val="ListParagraph"/>
              <w:cnfStyle w:val="000000000000" w:firstRow="0" w:lastRow="0" w:firstColumn="0" w:lastColumn="0" w:oddVBand="0" w:evenVBand="0" w:oddHBand="0" w:evenHBand="0" w:firstRowFirstColumn="0" w:firstRowLastColumn="0" w:lastRowFirstColumn="0" w:lastRowLastColumn="0"/>
            </w:pPr>
            <w:r w:rsidRPr="009E6C1C">
              <w:t xml:space="preserve">Data precision, and </w:t>
            </w:r>
          </w:p>
          <w:p w:rsidR="004E28FB" w:rsidRPr="009E6C1C" w:rsidRDefault="009E6C1C" w:rsidP="009E6C1C">
            <w:pPr>
              <w:pStyle w:val="ListParagraph"/>
              <w:cnfStyle w:val="000000000000" w:firstRow="0" w:lastRow="0" w:firstColumn="0" w:lastColumn="0" w:oddVBand="0" w:evenVBand="0" w:oddHBand="0" w:evenHBand="0" w:firstRowFirstColumn="0" w:firstRowLastColumn="0" w:lastRowFirstColumn="0" w:lastRowLastColumn="0"/>
            </w:pPr>
            <w:r w:rsidRPr="009E6C1C">
              <w:t>Representativeness of data.</w:t>
            </w:r>
          </w:p>
        </w:tc>
      </w:tr>
      <w:tr w:rsidR="004E28FB" w:rsidRPr="00581A85" w:rsidTr="00581A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5" w:type="pct"/>
            <w:tcBorders>
              <w:left w:val="single" w:sz="12" w:space="0" w:color="76923C" w:themeColor="accent3" w:themeShade="BF"/>
              <w:right w:val="single" w:sz="12" w:space="0" w:color="76923C" w:themeColor="accent3" w:themeShade="BF"/>
            </w:tcBorders>
            <w:vAlign w:val="center"/>
          </w:tcPr>
          <w:p w:rsidR="004E28FB" w:rsidRPr="009E6C1C" w:rsidRDefault="009E6C1C" w:rsidP="009E6C1C">
            <w:pPr>
              <w:rPr>
                <w:color w:val="auto"/>
              </w:rPr>
            </w:pPr>
            <w:r w:rsidRPr="009E6C1C">
              <w:rPr>
                <w:color w:val="auto"/>
              </w:rPr>
              <w:t>Analyser zero and span verifications</w:t>
            </w:r>
          </w:p>
        </w:tc>
        <w:tc>
          <w:tcPr>
            <w:tcW w:w="2315" w:type="pct"/>
            <w:tcBorders>
              <w:left w:val="single" w:sz="12" w:space="0" w:color="76923C" w:themeColor="accent3" w:themeShade="BF"/>
              <w:right w:val="single" w:sz="12" w:space="0" w:color="76923C" w:themeColor="accent3" w:themeShade="BF"/>
            </w:tcBorders>
          </w:tcPr>
          <w:p w:rsidR="004E28FB" w:rsidRPr="009E6C1C" w:rsidRDefault="009E6C1C" w:rsidP="009E6C1C">
            <w:pPr>
              <w:cnfStyle w:val="000000100000" w:firstRow="0" w:lastRow="0" w:firstColumn="0" w:lastColumn="0" w:oddVBand="0" w:evenVBand="0" w:oddHBand="1" w:evenHBand="0" w:firstRowFirstColumn="0" w:firstRowLastColumn="0" w:lastRowFirstColumn="0" w:lastRowLastColumn="0"/>
              <w:rPr>
                <w:color w:val="auto"/>
              </w:rPr>
            </w:pPr>
            <w:r w:rsidRPr="009E6C1C">
              <w:rPr>
                <w:color w:val="auto"/>
              </w:rPr>
              <w:t>Fort-nightly rapid checks of monitoring device responses using ‘zero-air’ and analytical standards</w:t>
            </w:r>
          </w:p>
        </w:tc>
      </w:tr>
      <w:tr w:rsidR="004E28FB" w:rsidRPr="00581A85" w:rsidTr="00581A85">
        <w:trPr>
          <w:trHeight w:val="284"/>
        </w:trPr>
        <w:tc>
          <w:tcPr>
            <w:cnfStyle w:val="001000000000" w:firstRow="0" w:lastRow="0" w:firstColumn="1" w:lastColumn="0" w:oddVBand="0" w:evenVBand="0" w:oddHBand="0" w:evenHBand="0" w:firstRowFirstColumn="0" w:firstRowLastColumn="0" w:lastRowFirstColumn="0" w:lastRowLastColumn="0"/>
            <w:tcW w:w="2685" w:type="pct"/>
            <w:tcBorders>
              <w:right w:val="single" w:sz="12" w:space="0" w:color="76923C" w:themeColor="accent3" w:themeShade="BF"/>
            </w:tcBorders>
            <w:vAlign w:val="center"/>
          </w:tcPr>
          <w:p w:rsidR="004E28FB" w:rsidRPr="009E6C1C" w:rsidRDefault="009E6C1C" w:rsidP="009E6C1C">
            <w:pPr>
              <w:rPr>
                <w:color w:val="auto"/>
              </w:rPr>
            </w:pPr>
            <w:r w:rsidRPr="009E6C1C">
              <w:rPr>
                <w:color w:val="auto"/>
              </w:rPr>
              <w:t>Calibrations</w:t>
            </w:r>
          </w:p>
        </w:tc>
        <w:tc>
          <w:tcPr>
            <w:tcW w:w="2315" w:type="pct"/>
            <w:tcBorders>
              <w:left w:val="single" w:sz="12" w:space="0" w:color="76923C" w:themeColor="accent3" w:themeShade="BF"/>
            </w:tcBorders>
          </w:tcPr>
          <w:p w:rsidR="004E28FB" w:rsidRPr="009E6C1C" w:rsidRDefault="009E6C1C" w:rsidP="009E6C1C">
            <w:pPr>
              <w:cnfStyle w:val="000000000000" w:firstRow="0" w:lastRow="0" w:firstColumn="0" w:lastColumn="0" w:oddVBand="0" w:evenVBand="0" w:oddHBand="0" w:evenHBand="0" w:firstRowFirstColumn="0" w:firstRowLastColumn="0" w:lastRowFirstColumn="0" w:lastRowLastColumn="0"/>
              <w:rPr>
                <w:color w:val="auto"/>
              </w:rPr>
            </w:pPr>
            <w:r w:rsidRPr="009E6C1C">
              <w:rPr>
                <w:color w:val="auto"/>
              </w:rPr>
              <w:t xml:space="preserve">Routine multi-point calibrations of monitoring devices against suitable analytical standards </w:t>
            </w:r>
          </w:p>
        </w:tc>
      </w:tr>
      <w:tr w:rsidR="004E28FB" w:rsidRPr="00581A85" w:rsidTr="00581A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5" w:type="pct"/>
            <w:tcBorders>
              <w:left w:val="single" w:sz="12" w:space="0" w:color="76923C" w:themeColor="accent3" w:themeShade="BF"/>
              <w:right w:val="single" w:sz="12" w:space="0" w:color="76923C" w:themeColor="accent3" w:themeShade="BF"/>
            </w:tcBorders>
            <w:vAlign w:val="center"/>
          </w:tcPr>
          <w:p w:rsidR="004E28FB" w:rsidRPr="009E6C1C" w:rsidRDefault="009E6C1C" w:rsidP="009E6C1C">
            <w:pPr>
              <w:rPr>
                <w:color w:val="auto"/>
              </w:rPr>
            </w:pPr>
            <w:r w:rsidRPr="009E6C1C">
              <w:rPr>
                <w:color w:val="auto"/>
              </w:rPr>
              <w:t>System audits</w:t>
            </w:r>
          </w:p>
        </w:tc>
        <w:tc>
          <w:tcPr>
            <w:tcW w:w="2315" w:type="pct"/>
            <w:tcBorders>
              <w:left w:val="single" w:sz="12" w:space="0" w:color="76923C" w:themeColor="accent3" w:themeShade="BF"/>
              <w:right w:val="single" w:sz="12" w:space="0" w:color="76923C" w:themeColor="accent3" w:themeShade="BF"/>
            </w:tcBorders>
          </w:tcPr>
          <w:p w:rsidR="004E28FB" w:rsidRPr="009E6C1C" w:rsidRDefault="009E6C1C" w:rsidP="009E6C1C">
            <w:pPr>
              <w:cnfStyle w:val="000000100000" w:firstRow="0" w:lastRow="0" w:firstColumn="0" w:lastColumn="0" w:oddVBand="0" w:evenVBand="0" w:oddHBand="1" w:evenHBand="0" w:firstRowFirstColumn="0" w:firstRowLastColumn="0" w:lastRowFirstColumn="0" w:lastRowLastColumn="0"/>
              <w:rPr>
                <w:color w:val="auto"/>
              </w:rPr>
            </w:pPr>
            <w:r w:rsidRPr="009E6C1C">
              <w:rPr>
                <w:color w:val="auto"/>
              </w:rPr>
              <w:t>Third party checks on written procedures, data recording, data storage, handling, calculation  methods and reporting</w:t>
            </w:r>
          </w:p>
        </w:tc>
      </w:tr>
      <w:tr w:rsidR="004E28FB" w:rsidRPr="00581A85" w:rsidTr="00581A85">
        <w:trPr>
          <w:trHeight w:val="284"/>
        </w:trPr>
        <w:tc>
          <w:tcPr>
            <w:cnfStyle w:val="001000000000" w:firstRow="0" w:lastRow="0" w:firstColumn="1" w:lastColumn="0" w:oddVBand="0" w:evenVBand="0" w:oddHBand="0" w:evenHBand="0" w:firstRowFirstColumn="0" w:firstRowLastColumn="0" w:lastRowFirstColumn="0" w:lastRowLastColumn="0"/>
            <w:tcW w:w="2685" w:type="pct"/>
            <w:tcBorders>
              <w:right w:val="single" w:sz="12" w:space="0" w:color="76923C" w:themeColor="accent3" w:themeShade="BF"/>
            </w:tcBorders>
            <w:vAlign w:val="center"/>
          </w:tcPr>
          <w:p w:rsidR="004E28FB" w:rsidRPr="009E6C1C" w:rsidRDefault="009E6C1C" w:rsidP="009E6C1C">
            <w:pPr>
              <w:rPr>
                <w:color w:val="auto"/>
              </w:rPr>
            </w:pPr>
            <w:r w:rsidRPr="009E6C1C">
              <w:rPr>
                <w:color w:val="auto"/>
              </w:rPr>
              <w:lastRenderedPageBreak/>
              <w:t>Equipment service and repairs</w:t>
            </w:r>
          </w:p>
        </w:tc>
        <w:tc>
          <w:tcPr>
            <w:tcW w:w="2315" w:type="pct"/>
            <w:tcBorders>
              <w:left w:val="single" w:sz="12" w:space="0" w:color="76923C" w:themeColor="accent3" w:themeShade="BF"/>
            </w:tcBorders>
          </w:tcPr>
          <w:p w:rsidR="004E28FB" w:rsidRPr="009E6C1C" w:rsidRDefault="009E6C1C" w:rsidP="009E6C1C">
            <w:pPr>
              <w:cnfStyle w:val="000000000000" w:firstRow="0" w:lastRow="0" w:firstColumn="0" w:lastColumn="0" w:oddVBand="0" w:evenVBand="0" w:oddHBand="0" w:evenHBand="0" w:firstRowFirstColumn="0" w:firstRowLastColumn="0" w:lastRowFirstColumn="0" w:lastRowLastColumn="0"/>
              <w:rPr>
                <w:color w:val="auto"/>
              </w:rPr>
            </w:pPr>
            <w:r w:rsidRPr="009E6C1C">
              <w:rPr>
                <w:color w:val="auto"/>
              </w:rPr>
              <w:t xml:space="preserve">Routine (6-monthly) servicing of all instruments and monitoring station infrastructure. Establishment of service contracts with specialist supply companies, with set response times to repair all instrument failures or replace instruments  </w:t>
            </w:r>
          </w:p>
        </w:tc>
      </w:tr>
      <w:tr w:rsidR="004E28FB" w:rsidRPr="00581A85" w:rsidTr="00581A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5" w:type="pct"/>
            <w:tcBorders>
              <w:left w:val="single" w:sz="12" w:space="0" w:color="76923C" w:themeColor="accent3" w:themeShade="BF"/>
              <w:right w:val="single" w:sz="12" w:space="0" w:color="76923C" w:themeColor="accent3" w:themeShade="BF"/>
            </w:tcBorders>
            <w:vAlign w:val="center"/>
          </w:tcPr>
          <w:p w:rsidR="004E28FB" w:rsidRPr="009E6C1C" w:rsidRDefault="009E6C1C" w:rsidP="009E6C1C">
            <w:pPr>
              <w:rPr>
                <w:color w:val="auto"/>
              </w:rPr>
            </w:pPr>
            <w:r w:rsidRPr="009E6C1C">
              <w:rPr>
                <w:color w:val="auto"/>
              </w:rPr>
              <w:t xml:space="preserve">Future network </w:t>
            </w:r>
            <w:proofErr w:type="spellStart"/>
            <w:r w:rsidRPr="009E6C1C">
              <w:rPr>
                <w:color w:val="auto"/>
              </w:rPr>
              <w:t>intercalibration</w:t>
            </w:r>
            <w:proofErr w:type="spellEnd"/>
            <w:r w:rsidRPr="009E6C1C">
              <w:rPr>
                <w:color w:val="auto"/>
              </w:rPr>
              <w:t xml:space="preserve"> and site audits</w:t>
            </w:r>
          </w:p>
        </w:tc>
        <w:tc>
          <w:tcPr>
            <w:tcW w:w="2315" w:type="pct"/>
            <w:tcBorders>
              <w:left w:val="single" w:sz="12" w:space="0" w:color="76923C" w:themeColor="accent3" w:themeShade="BF"/>
              <w:right w:val="single" w:sz="12" w:space="0" w:color="76923C" w:themeColor="accent3" w:themeShade="BF"/>
            </w:tcBorders>
          </w:tcPr>
          <w:p w:rsidR="004E28FB" w:rsidRPr="009E6C1C" w:rsidRDefault="009E6C1C" w:rsidP="009E6C1C">
            <w:pPr>
              <w:cnfStyle w:val="000000100000" w:firstRow="0" w:lastRow="0" w:firstColumn="0" w:lastColumn="0" w:oddVBand="0" w:evenVBand="0" w:oddHBand="1" w:evenHBand="0" w:firstRowFirstColumn="0" w:firstRowLastColumn="0" w:lastRowFirstColumn="0" w:lastRowLastColumn="0"/>
              <w:rPr>
                <w:color w:val="auto"/>
              </w:rPr>
            </w:pPr>
            <w:r w:rsidRPr="009E6C1C">
              <w:rPr>
                <w:color w:val="auto"/>
              </w:rPr>
              <w:t xml:space="preserve">Check network conformity by calibrating all devices against a universal reference, i.e. National reference standard. Devices must conform within the maximum margin of deviation. Check operation and condition of all monitoring sites through annual audits </w:t>
            </w:r>
          </w:p>
        </w:tc>
      </w:tr>
      <w:tr w:rsidR="004E28FB" w:rsidRPr="00581A85" w:rsidTr="00581A85">
        <w:trPr>
          <w:trHeight w:val="284"/>
        </w:trPr>
        <w:tc>
          <w:tcPr>
            <w:cnfStyle w:val="001000000000" w:firstRow="0" w:lastRow="0" w:firstColumn="1" w:lastColumn="0" w:oddVBand="0" w:evenVBand="0" w:oddHBand="0" w:evenHBand="0" w:firstRowFirstColumn="0" w:firstRowLastColumn="0" w:lastRowFirstColumn="0" w:lastRowLastColumn="0"/>
            <w:tcW w:w="2685" w:type="pct"/>
            <w:tcBorders>
              <w:right w:val="single" w:sz="12" w:space="0" w:color="76923C" w:themeColor="accent3" w:themeShade="BF"/>
            </w:tcBorders>
            <w:vAlign w:val="center"/>
          </w:tcPr>
          <w:p w:rsidR="004E28FB" w:rsidRPr="009E6C1C" w:rsidRDefault="009E6C1C" w:rsidP="009E6C1C">
            <w:pPr>
              <w:rPr>
                <w:color w:val="auto"/>
              </w:rPr>
            </w:pPr>
            <w:r w:rsidRPr="009E6C1C">
              <w:rPr>
                <w:color w:val="auto"/>
              </w:rPr>
              <w:t>Inter-calibration procedures</w:t>
            </w:r>
          </w:p>
        </w:tc>
        <w:tc>
          <w:tcPr>
            <w:tcW w:w="2315" w:type="pct"/>
            <w:tcBorders>
              <w:left w:val="single" w:sz="12" w:space="0" w:color="76923C" w:themeColor="accent3" w:themeShade="BF"/>
            </w:tcBorders>
          </w:tcPr>
          <w:p w:rsidR="004E28FB" w:rsidRPr="009E6C1C" w:rsidRDefault="009E6C1C" w:rsidP="00160B88">
            <w:pPr>
              <w:cnfStyle w:val="000000000000" w:firstRow="0" w:lastRow="0" w:firstColumn="0" w:lastColumn="0" w:oddVBand="0" w:evenVBand="0" w:oddHBand="0" w:evenHBand="0" w:firstRowFirstColumn="0" w:firstRowLastColumn="0" w:lastRowFirstColumn="0" w:lastRowLastColumn="0"/>
              <w:rPr>
                <w:color w:val="auto"/>
              </w:rPr>
            </w:pPr>
            <w:r w:rsidRPr="009E6C1C">
              <w:rPr>
                <w:color w:val="auto"/>
              </w:rPr>
              <w:t xml:space="preserve">Clear written </w:t>
            </w:r>
            <w:r w:rsidR="00160B88">
              <w:rPr>
                <w:color w:val="auto"/>
              </w:rPr>
              <w:t>SOP</w:t>
            </w:r>
            <w:r w:rsidRPr="009E6C1C">
              <w:rPr>
                <w:color w:val="auto"/>
              </w:rPr>
              <w:t xml:space="preserve"> for all </w:t>
            </w:r>
            <w:proofErr w:type="spellStart"/>
            <w:r w:rsidRPr="009E6C1C">
              <w:rPr>
                <w:color w:val="auto"/>
              </w:rPr>
              <w:t>intercalibrations</w:t>
            </w:r>
            <w:proofErr w:type="spellEnd"/>
            <w:r w:rsidRPr="009E6C1C">
              <w:rPr>
                <w:color w:val="auto"/>
              </w:rPr>
              <w:t xml:space="preserve">, use of reference standards and criteria with which to reject a device on poor performance  </w:t>
            </w:r>
          </w:p>
        </w:tc>
      </w:tr>
      <w:tr w:rsidR="004E28FB" w:rsidRPr="00581A85" w:rsidTr="00581A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5" w:type="pct"/>
            <w:tcBorders>
              <w:left w:val="single" w:sz="12" w:space="0" w:color="76923C" w:themeColor="accent3" w:themeShade="BF"/>
              <w:right w:val="single" w:sz="12" w:space="0" w:color="76923C" w:themeColor="accent3" w:themeShade="BF"/>
            </w:tcBorders>
            <w:vAlign w:val="center"/>
          </w:tcPr>
          <w:p w:rsidR="004E28FB" w:rsidRPr="009E6C1C" w:rsidRDefault="009E6C1C" w:rsidP="009E6C1C">
            <w:pPr>
              <w:rPr>
                <w:color w:val="auto"/>
              </w:rPr>
            </w:pPr>
            <w:r w:rsidRPr="009E6C1C">
              <w:rPr>
                <w:color w:val="auto"/>
              </w:rPr>
              <w:t>Data ratification</w:t>
            </w:r>
          </w:p>
        </w:tc>
        <w:tc>
          <w:tcPr>
            <w:tcW w:w="2315" w:type="pct"/>
            <w:tcBorders>
              <w:left w:val="single" w:sz="12" w:space="0" w:color="76923C" w:themeColor="accent3" w:themeShade="BF"/>
              <w:right w:val="single" w:sz="12" w:space="0" w:color="76923C" w:themeColor="accent3" w:themeShade="BF"/>
            </w:tcBorders>
          </w:tcPr>
          <w:p w:rsidR="004E28FB" w:rsidRPr="009E6C1C" w:rsidRDefault="009E6C1C" w:rsidP="009E6C1C">
            <w:pPr>
              <w:cnfStyle w:val="000000100000" w:firstRow="0" w:lastRow="0" w:firstColumn="0" w:lastColumn="0" w:oddVBand="0" w:evenVBand="0" w:oddHBand="1" w:evenHBand="0" w:firstRowFirstColumn="0" w:firstRowLastColumn="0" w:lastRowFirstColumn="0" w:lastRowLastColumn="0"/>
              <w:rPr>
                <w:color w:val="auto"/>
              </w:rPr>
            </w:pPr>
            <w:r w:rsidRPr="009E6C1C">
              <w:rPr>
                <w:color w:val="auto"/>
              </w:rPr>
              <w:t>Screening data against minimum criteria, scaling against long-term drift, removal of suspect or invalid data, verification against other relevant data</w:t>
            </w:r>
          </w:p>
        </w:tc>
      </w:tr>
    </w:tbl>
    <w:p w:rsidR="004E28FB" w:rsidRPr="00623E33" w:rsidRDefault="004E28FB" w:rsidP="009E6C1C">
      <w:r w:rsidRPr="00623E33">
        <w:t>All monitoring data are required to be traceable to a national primary reference standard, where calibration standards certify standards with a known minimal standard preparation tolerance. Measurements need to be collected and calculated in such a way as to be of a known and documented quality.</w:t>
      </w:r>
    </w:p>
    <w:p w:rsidR="004E28FB" w:rsidRPr="00623E33" w:rsidRDefault="004E28FB" w:rsidP="009E6C1C">
      <w:r w:rsidRPr="00623E33">
        <w:t>All data shall be comparable, meaning that the data shall be produced in a similar and scientific manner using standard methodologies for sampling, calibration, auditing, and collection of data.</w:t>
      </w:r>
      <w:r>
        <w:t xml:space="preserve"> </w:t>
      </w:r>
      <w:r w:rsidRPr="00623E33">
        <w:t>In order to assure that measurements are comparable designated reference or equivalent methods compliant to CEN Standard requirements are required to be used.</w:t>
      </w:r>
    </w:p>
    <w:p w:rsidR="004E28FB" w:rsidRPr="009E6C1C" w:rsidRDefault="004E28FB" w:rsidP="009E6C1C">
      <w:r w:rsidRPr="00623E33">
        <w:t xml:space="preserve">All data shall be representative of the parameters being measured with respect to time, location, and the conditions from which the data are obtained. The use of standard methodologies contained in this manual should insure that the data generated is representative. </w:t>
      </w:r>
    </w:p>
    <w:p w:rsidR="004E28FB" w:rsidRPr="009E6C1C" w:rsidRDefault="004E28FB" w:rsidP="009E6C1C">
      <w:pPr>
        <w:pStyle w:val="Heading2"/>
        <w:rPr>
          <w:rStyle w:val="Strong"/>
          <w:b/>
          <w:bCs w:val="0"/>
        </w:rPr>
      </w:pPr>
      <w:bookmarkStart w:id="565" w:name="_Toc386499814"/>
      <w:bookmarkStart w:id="566" w:name="_Toc386503268"/>
      <w:bookmarkStart w:id="567" w:name="_Toc386503490"/>
      <w:bookmarkStart w:id="568" w:name="_Toc386503651"/>
      <w:bookmarkStart w:id="569" w:name="_Toc386503812"/>
      <w:bookmarkStart w:id="570" w:name="_Toc386503973"/>
      <w:bookmarkStart w:id="571" w:name="_Toc383736831"/>
      <w:bookmarkStart w:id="572" w:name="_Toc383738798"/>
      <w:bookmarkStart w:id="573" w:name="_Toc383764365"/>
      <w:bookmarkStart w:id="574" w:name="_Toc383738799"/>
      <w:bookmarkStart w:id="575" w:name="_Toc392598885"/>
      <w:bookmarkEnd w:id="565"/>
      <w:bookmarkEnd w:id="566"/>
      <w:bookmarkEnd w:id="567"/>
      <w:bookmarkEnd w:id="568"/>
      <w:bookmarkEnd w:id="569"/>
      <w:bookmarkEnd w:id="570"/>
      <w:bookmarkEnd w:id="571"/>
      <w:bookmarkEnd w:id="572"/>
      <w:bookmarkEnd w:id="573"/>
      <w:r w:rsidRPr="009E6C1C">
        <w:rPr>
          <w:rStyle w:val="Strong"/>
          <w:b/>
          <w:bCs w:val="0"/>
        </w:rPr>
        <w:t>Reference methods for assessment of concentrations and standardization</w:t>
      </w:r>
      <w:bookmarkEnd w:id="574"/>
      <w:bookmarkEnd w:id="575"/>
    </w:p>
    <w:p w:rsidR="004E28FB" w:rsidRDefault="004E28FB" w:rsidP="009E6C1C">
      <w:r>
        <w:t xml:space="preserve">Ambient air reference methods provide concentration data which is of known (or traceable) accuracy, precision, repeatability and uncertainty. As they are universally applied, they therefore provide a standardised approach to obtaining ambient air quality data. The CAFE and Fourth Daughter Directive has stated strict data quality objectives which are easily achievable using reference methods. In addition both the CAFE and Fourth Daughter Directives require measurement to be made using a reference (or equivalent) detection method.  </w:t>
      </w:r>
    </w:p>
    <w:p w:rsidR="004E28FB" w:rsidRPr="00623E33" w:rsidRDefault="004E28FB" w:rsidP="009E6C1C">
      <w:r>
        <w:t>When designing an ambient air quality monitoring network which meets the requirements of both the CAFE and Fourth Daughter Directive c</w:t>
      </w:r>
      <w:r w:rsidRPr="00623E33">
        <w:t>areful selection of monitoring equipment is essential.</w:t>
      </w:r>
      <w:r>
        <w:t xml:space="preserve"> A </w:t>
      </w:r>
      <w:r>
        <w:lastRenderedPageBreak/>
        <w:t>r</w:t>
      </w:r>
      <w:r w:rsidRPr="00623E33">
        <w:t xml:space="preserve">eference measurement method for each pollutant </w:t>
      </w:r>
      <w:r>
        <w:t>species is available from CEN, or is in the process of being completed</w:t>
      </w:r>
      <w:r w:rsidRPr="00623E33">
        <w:t xml:space="preserve"> by CEN (e.g. EN 12341 for the measurement of PM</w:t>
      </w:r>
      <w:r w:rsidRPr="00A9520C">
        <w:rPr>
          <w:vertAlign w:val="subscript"/>
        </w:rPr>
        <w:t>10</w:t>
      </w:r>
      <w:r w:rsidRPr="00623E33">
        <w:t>).</w:t>
      </w:r>
    </w:p>
    <w:p w:rsidR="004E28FB" w:rsidRDefault="004E28FB" w:rsidP="009E6C1C">
      <w:r w:rsidRPr="00623E33">
        <w:t xml:space="preserve">A primary requirement </w:t>
      </w:r>
      <w:r>
        <w:t xml:space="preserve">in both the CAFE and Fourth Daughter Directive </w:t>
      </w:r>
      <w:r w:rsidRPr="00623E33">
        <w:t xml:space="preserve">is the principle </w:t>
      </w:r>
      <w:r>
        <w:t xml:space="preserve">that a sampling </w:t>
      </w:r>
      <w:r w:rsidRPr="00623E33">
        <w:t xml:space="preserve">operation should </w:t>
      </w:r>
      <w:r>
        <w:t>be able to demonstrate</w:t>
      </w:r>
      <w:r w:rsidRPr="00623E33">
        <w:t xml:space="preserve"> compliance with the limit and guide values </w:t>
      </w:r>
      <w:r>
        <w:t>as stated</w:t>
      </w:r>
      <w:r w:rsidRPr="00623E33">
        <w:t xml:space="preserve"> in the </w:t>
      </w:r>
      <w:r>
        <w:t>Directives</w:t>
      </w:r>
      <w:r w:rsidRPr="00623E33">
        <w:t xml:space="preserve">. This means that detection limits and averaging times must be suitable. </w:t>
      </w:r>
      <w:r>
        <w:t xml:space="preserve">Non-reference methods may not allow sample averaging times to comply with </w:t>
      </w:r>
      <w:r w:rsidRPr="00623E33">
        <w:t>the limit and guide values</w:t>
      </w:r>
      <w:r>
        <w:t>.</w:t>
      </w:r>
    </w:p>
    <w:p w:rsidR="004E28FB" w:rsidRPr="00623E33" w:rsidRDefault="004E28FB" w:rsidP="009E6C1C">
      <w:r w:rsidRPr="00623E33">
        <w:t xml:space="preserve">Likely future needs for monitoring, in terms of shorter averaging periods and/or lower detection limits, should </w:t>
      </w:r>
      <w:r>
        <w:t xml:space="preserve">also </w:t>
      </w:r>
      <w:r w:rsidRPr="00623E33">
        <w:t>be borne in mind.</w:t>
      </w:r>
      <w:r>
        <w:t xml:space="preserve"> </w:t>
      </w:r>
      <w:r w:rsidRPr="00623E33">
        <w:t>The need to use data for purposes other than the estimation of compliance, e.g. the assessment of air quality in relation to health effects, the dispersion of pollutants and the validation/calibration of models, should also be borne in mind. Other important factors to be considered in the selection of monitoring equipment are</w:t>
      </w:r>
      <w:r>
        <w:t xml:space="preserve"> outlined in Table 2-10 below.</w:t>
      </w:r>
    </w:p>
    <w:p w:rsidR="004E28FB" w:rsidRPr="00623E33" w:rsidRDefault="004E28FB" w:rsidP="009E6C1C">
      <w:pPr>
        <w:pStyle w:val="TOC1"/>
      </w:pPr>
      <w:r w:rsidRPr="00623E33">
        <w:t xml:space="preserve">Table </w:t>
      </w:r>
      <w:r w:rsidR="005101F7">
        <w:fldChar w:fldCharType="begin"/>
      </w:r>
      <w:r w:rsidR="005101F7">
        <w:instrText xml:space="preserve"> STYLEREF 1 \s </w:instrText>
      </w:r>
      <w:r w:rsidR="005101F7">
        <w:fldChar w:fldCharType="separate"/>
      </w:r>
      <w:r>
        <w:rPr>
          <w:noProof/>
        </w:rPr>
        <w:t>2</w:t>
      </w:r>
      <w:r w:rsidR="005101F7">
        <w:rPr>
          <w:noProof/>
        </w:rPr>
        <w:fldChar w:fldCharType="end"/>
      </w:r>
      <w:r>
        <w:noBreakHyphen/>
      </w:r>
      <w:r w:rsidR="005101F7">
        <w:fldChar w:fldCharType="begin"/>
      </w:r>
      <w:r w:rsidR="005101F7">
        <w:instrText xml:space="preserve"> SEQ Table \* ARABIC \s 1 </w:instrText>
      </w:r>
      <w:r w:rsidR="005101F7">
        <w:fldChar w:fldCharType="separate"/>
      </w:r>
      <w:r>
        <w:rPr>
          <w:noProof/>
        </w:rPr>
        <w:t>10</w:t>
      </w:r>
      <w:r w:rsidR="005101F7">
        <w:rPr>
          <w:noProof/>
        </w:rPr>
        <w:fldChar w:fldCharType="end"/>
      </w:r>
      <w:r w:rsidRPr="00623E33">
        <w:t xml:space="preserve"> Important Factors to be considered when Selecting Monitoring equipment</w:t>
      </w:r>
    </w:p>
    <w:tbl>
      <w:tblPr>
        <w:tblStyle w:val="LightShading-Accent11"/>
        <w:tblW w:w="5000" w:type="pct"/>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12" w:space="0" w:color="76923C" w:themeColor="accent3" w:themeShade="BF"/>
          <w:insideV w:val="single" w:sz="12" w:space="0" w:color="76923C" w:themeColor="accent3" w:themeShade="BF"/>
        </w:tblBorders>
        <w:tblLook w:val="04A0" w:firstRow="1" w:lastRow="0" w:firstColumn="1" w:lastColumn="0" w:noHBand="0" w:noVBand="1"/>
      </w:tblPr>
      <w:tblGrid>
        <w:gridCol w:w="9621"/>
      </w:tblGrid>
      <w:tr w:rsidR="009E6C1C" w:rsidRPr="00E61DBA" w:rsidTr="009E6C1C">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shd w:val="clear" w:color="auto" w:fill="1F497D" w:themeFill="text2"/>
          </w:tcPr>
          <w:p w:rsidR="004E28FB" w:rsidRPr="00E61DBA" w:rsidRDefault="004E28FB" w:rsidP="009E6C1C">
            <w:pPr>
              <w:rPr>
                <w:color w:val="FFFFFF" w:themeColor="background1"/>
                <w:sz w:val="20"/>
                <w:szCs w:val="20"/>
              </w:rPr>
            </w:pPr>
            <w:r w:rsidRPr="00E61DBA">
              <w:rPr>
                <w:color w:val="FFFFFF" w:themeColor="background1"/>
                <w:sz w:val="20"/>
                <w:szCs w:val="20"/>
              </w:rPr>
              <w:t>Important factors to be considered in the selection of monitoring equipment</w:t>
            </w:r>
          </w:p>
        </w:tc>
      </w:tr>
      <w:tr w:rsidR="004E28FB" w:rsidRPr="00E61DBA" w:rsidTr="009E6C1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tcBorders>
              <w:left w:val="none" w:sz="0" w:space="0" w:color="auto"/>
              <w:right w:val="none" w:sz="0" w:space="0" w:color="auto"/>
            </w:tcBorders>
          </w:tcPr>
          <w:p w:rsidR="004E28FB" w:rsidRPr="00E61DBA" w:rsidRDefault="004E28FB" w:rsidP="009E6C1C">
            <w:pPr>
              <w:rPr>
                <w:b w:val="0"/>
                <w:color w:val="000000" w:themeColor="text1"/>
                <w:sz w:val="20"/>
                <w:szCs w:val="20"/>
              </w:rPr>
            </w:pPr>
            <w:bookmarkStart w:id="576" w:name="_Toc266339257"/>
            <w:bookmarkStart w:id="577" w:name="_Toc279675800"/>
            <w:bookmarkStart w:id="578" w:name="_Toc279965663"/>
            <w:r w:rsidRPr="00E61DBA">
              <w:rPr>
                <w:b w:val="0"/>
                <w:color w:val="000000" w:themeColor="text1"/>
                <w:sz w:val="20"/>
                <w:szCs w:val="20"/>
              </w:rPr>
              <w:t>Ease of use</w:t>
            </w:r>
          </w:p>
        </w:tc>
      </w:tr>
      <w:tr w:rsidR="004E28FB" w:rsidRPr="00E61DBA" w:rsidTr="009E6C1C">
        <w:trPr>
          <w:trHeight w:val="284"/>
        </w:trPr>
        <w:tc>
          <w:tcPr>
            <w:cnfStyle w:val="001000000000" w:firstRow="0" w:lastRow="0" w:firstColumn="1" w:lastColumn="0" w:oddVBand="0" w:evenVBand="0" w:oddHBand="0" w:evenHBand="0" w:firstRowFirstColumn="0" w:firstRowLastColumn="0" w:lastRowFirstColumn="0" w:lastRowLastColumn="0"/>
            <w:tcW w:w="5000" w:type="pct"/>
          </w:tcPr>
          <w:p w:rsidR="004E28FB" w:rsidRPr="00E61DBA" w:rsidRDefault="004E28FB" w:rsidP="009E6C1C">
            <w:pPr>
              <w:rPr>
                <w:b w:val="0"/>
                <w:color w:val="000000" w:themeColor="text1"/>
                <w:sz w:val="20"/>
                <w:szCs w:val="20"/>
              </w:rPr>
            </w:pPr>
            <w:r w:rsidRPr="00E61DBA">
              <w:rPr>
                <w:b w:val="0"/>
                <w:color w:val="000000" w:themeColor="text1"/>
                <w:sz w:val="20"/>
                <w:szCs w:val="20"/>
              </w:rPr>
              <w:t>Expandability (mainly for data processing equipment)</w:t>
            </w:r>
          </w:p>
        </w:tc>
      </w:tr>
      <w:tr w:rsidR="004E28FB" w:rsidRPr="00E61DBA" w:rsidTr="009E6C1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tcBorders>
              <w:left w:val="none" w:sz="0" w:space="0" w:color="auto"/>
              <w:right w:val="none" w:sz="0" w:space="0" w:color="auto"/>
            </w:tcBorders>
          </w:tcPr>
          <w:p w:rsidR="004E28FB" w:rsidRPr="00E61DBA" w:rsidRDefault="004E28FB" w:rsidP="009E6C1C">
            <w:pPr>
              <w:rPr>
                <w:b w:val="0"/>
                <w:color w:val="000000" w:themeColor="text1"/>
                <w:sz w:val="20"/>
                <w:szCs w:val="20"/>
              </w:rPr>
            </w:pPr>
            <w:r w:rsidRPr="00E61DBA">
              <w:rPr>
                <w:b w:val="0"/>
                <w:color w:val="000000" w:themeColor="text1"/>
                <w:sz w:val="20"/>
                <w:szCs w:val="20"/>
              </w:rPr>
              <w:t>Reliability</w:t>
            </w:r>
          </w:p>
        </w:tc>
      </w:tr>
      <w:tr w:rsidR="004E28FB" w:rsidRPr="00E61DBA" w:rsidTr="009E6C1C">
        <w:trPr>
          <w:trHeight w:val="284"/>
        </w:trPr>
        <w:tc>
          <w:tcPr>
            <w:cnfStyle w:val="001000000000" w:firstRow="0" w:lastRow="0" w:firstColumn="1" w:lastColumn="0" w:oddVBand="0" w:evenVBand="0" w:oddHBand="0" w:evenHBand="0" w:firstRowFirstColumn="0" w:firstRowLastColumn="0" w:lastRowFirstColumn="0" w:lastRowLastColumn="0"/>
            <w:tcW w:w="5000" w:type="pct"/>
          </w:tcPr>
          <w:p w:rsidR="004E28FB" w:rsidRPr="00E61DBA" w:rsidRDefault="004E28FB" w:rsidP="009E6C1C">
            <w:pPr>
              <w:rPr>
                <w:b w:val="0"/>
                <w:color w:val="000000" w:themeColor="text1"/>
                <w:sz w:val="20"/>
                <w:szCs w:val="20"/>
              </w:rPr>
            </w:pPr>
            <w:r w:rsidRPr="00E61DBA">
              <w:rPr>
                <w:b w:val="0"/>
                <w:color w:val="000000" w:themeColor="text1"/>
                <w:sz w:val="20"/>
                <w:szCs w:val="20"/>
              </w:rPr>
              <w:t>Durability</w:t>
            </w:r>
          </w:p>
        </w:tc>
      </w:tr>
      <w:tr w:rsidR="004E28FB" w:rsidRPr="00E61DBA" w:rsidTr="009E6C1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tcBorders>
              <w:left w:val="none" w:sz="0" w:space="0" w:color="auto"/>
              <w:right w:val="none" w:sz="0" w:space="0" w:color="auto"/>
            </w:tcBorders>
          </w:tcPr>
          <w:p w:rsidR="004E28FB" w:rsidRPr="00E61DBA" w:rsidRDefault="004E28FB" w:rsidP="009E6C1C">
            <w:pPr>
              <w:rPr>
                <w:b w:val="0"/>
                <w:color w:val="000000" w:themeColor="text1"/>
                <w:sz w:val="20"/>
                <w:szCs w:val="20"/>
              </w:rPr>
            </w:pPr>
            <w:r w:rsidRPr="00E61DBA">
              <w:rPr>
                <w:b w:val="0"/>
                <w:color w:val="000000" w:themeColor="text1"/>
                <w:sz w:val="20"/>
                <w:szCs w:val="20"/>
              </w:rPr>
              <w:t>Compatibility with any existing hardware or software</w:t>
            </w:r>
          </w:p>
        </w:tc>
      </w:tr>
      <w:tr w:rsidR="004E28FB" w:rsidRPr="00E61DBA" w:rsidTr="009E6C1C">
        <w:trPr>
          <w:trHeight w:val="284"/>
        </w:trPr>
        <w:tc>
          <w:tcPr>
            <w:cnfStyle w:val="001000000000" w:firstRow="0" w:lastRow="0" w:firstColumn="1" w:lastColumn="0" w:oddVBand="0" w:evenVBand="0" w:oddHBand="0" w:evenHBand="0" w:firstRowFirstColumn="0" w:firstRowLastColumn="0" w:lastRowFirstColumn="0" w:lastRowLastColumn="0"/>
            <w:tcW w:w="5000" w:type="pct"/>
          </w:tcPr>
          <w:p w:rsidR="004E28FB" w:rsidRPr="00E61DBA" w:rsidRDefault="004E28FB" w:rsidP="009E6C1C">
            <w:pPr>
              <w:rPr>
                <w:b w:val="0"/>
                <w:color w:val="000000" w:themeColor="text1"/>
                <w:sz w:val="20"/>
                <w:szCs w:val="20"/>
              </w:rPr>
            </w:pPr>
            <w:r w:rsidRPr="00E61DBA">
              <w:rPr>
                <w:b w:val="0"/>
                <w:color w:val="000000" w:themeColor="text1"/>
                <w:sz w:val="20"/>
                <w:szCs w:val="20"/>
              </w:rPr>
              <w:t>Availability of training and documentation (including circuit diagrams)</w:t>
            </w:r>
          </w:p>
        </w:tc>
      </w:tr>
      <w:tr w:rsidR="004E28FB" w:rsidRPr="00E61DBA" w:rsidTr="009E6C1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tcBorders>
              <w:left w:val="none" w:sz="0" w:space="0" w:color="auto"/>
              <w:right w:val="none" w:sz="0" w:space="0" w:color="auto"/>
            </w:tcBorders>
          </w:tcPr>
          <w:p w:rsidR="004E28FB" w:rsidRPr="00E61DBA" w:rsidRDefault="004E28FB" w:rsidP="009E6C1C">
            <w:pPr>
              <w:rPr>
                <w:b w:val="0"/>
                <w:color w:val="000000" w:themeColor="text1"/>
                <w:sz w:val="20"/>
                <w:szCs w:val="20"/>
              </w:rPr>
            </w:pPr>
            <w:r w:rsidRPr="00E61DBA">
              <w:rPr>
                <w:b w:val="0"/>
                <w:color w:val="000000" w:themeColor="text1"/>
                <w:sz w:val="20"/>
                <w:szCs w:val="20"/>
              </w:rPr>
              <w:t>Availability of spares, warranties and after-sales services (maintenance and possibly calibration)</w:t>
            </w:r>
          </w:p>
        </w:tc>
      </w:tr>
    </w:tbl>
    <w:p w:rsidR="004E28FB" w:rsidRPr="009E6C1C" w:rsidRDefault="004E28FB" w:rsidP="009E6C1C">
      <w:pPr>
        <w:pStyle w:val="Heading2"/>
        <w:rPr>
          <w:rStyle w:val="Strong"/>
          <w:b/>
          <w:bCs w:val="0"/>
        </w:rPr>
      </w:pPr>
      <w:bookmarkStart w:id="579" w:name="_Toc383736833"/>
      <w:bookmarkStart w:id="580" w:name="_Toc383738800"/>
      <w:bookmarkStart w:id="581" w:name="_Toc383764367"/>
      <w:bookmarkStart w:id="582" w:name="_Toc386499816"/>
      <w:bookmarkStart w:id="583" w:name="_Toc386503270"/>
      <w:bookmarkStart w:id="584" w:name="_Toc386503492"/>
      <w:bookmarkStart w:id="585" w:name="_Toc386503653"/>
      <w:bookmarkStart w:id="586" w:name="_Toc386503814"/>
      <w:bookmarkStart w:id="587" w:name="_Toc386503975"/>
      <w:bookmarkStart w:id="588" w:name="_Toc383738801"/>
      <w:bookmarkStart w:id="589" w:name="_Toc392598886"/>
      <w:bookmarkEnd w:id="579"/>
      <w:bookmarkEnd w:id="580"/>
      <w:bookmarkEnd w:id="581"/>
      <w:bookmarkEnd w:id="582"/>
      <w:bookmarkEnd w:id="583"/>
      <w:bookmarkEnd w:id="584"/>
      <w:bookmarkEnd w:id="585"/>
      <w:bookmarkEnd w:id="586"/>
      <w:bookmarkEnd w:id="587"/>
      <w:r w:rsidRPr="009E6C1C">
        <w:rPr>
          <w:rStyle w:val="Strong"/>
          <w:b/>
          <w:bCs w:val="0"/>
        </w:rPr>
        <w:t>EU Requirements</w:t>
      </w:r>
      <w:bookmarkEnd w:id="576"/>
      <w:bookmarkEnd w:id="577"/>
      <w:bookmarkEnd w:id="578"/>
      <w:r w:rsidRPr="009E6C1C">
        <w:rPr>
          <w:rStyle w:val="Strong"/>
          <w:b/>
          <w:bCs w:val="0"/>
        </w:rPr>
        <w:t xml:space="preserve"> for Reference Methods</w:t>
      </w:r>
      <w:bookmarkEnd w:id="588"/>
      <w:bookmarkEnd w:id="589"/>
    </w:p>
    <w:p w:rsidR="004E28FB" w:rsidRPr="00623E33" w:rsidRDefault="004E28FB" w:rsidP="009E6C1C">
      <w:r w:rsidRPr="00623E33">
        <w:t>The required reference methods of measurement for air quality pollutants (specified in Annex VI of Directive 2008/50/EC) are based upon Standard Methods developed by CEN</w:t>
      </w:r>
      <w:r>
        <w:t xml:space="preserve"> and are outlined in Table 2-11 below</w:t>
      </w:r>
      <w:r w:rsidRPr="00623E33">
        <w:t>:</w:t>
      </w:r>
    </w:p>
    <w:p w:rsidR="004E28FB" w:rsidRPr="00623E33" w:rsidRDefault="004E28FB" w:rsidP="009E6C1C">
      <w:pPr>
        <w:pStyle w:val="TOC1"/>
      </w:pPr>
      <w:r w:rsidRPr="00623E33">
        <w:t xml:space="preserve">Table </w:t>
      </w:r>
      <w:r w:rsidR="005101F7">
        <w:fldChar w:fldCharType="begin"/>
      </w:r>
      <w:r w:rsidR="005101F7">
        <w:instrText xml:space="preserve"> STYLEREF 1 \s </w:instrText>
      </w:r>
      <w:r w:rsidR="005101F7">
        <w:fldChar w:fldCharType="separate"/>
      </w:r>
      <w:r>
        <w:rPr>
          <w:noProof/>
        </w:rPr>
        <w:t>2</w:t>
      </w:r>
      <w:r w:rsidR="005101F7">
        <w:rPr>
          <w:noProof/>
        </w:rPr>
        <w:fldChar w:fldCharType="end"/>
      </w:r>
      <w:r>
        <w:noBreakHyphen/>
        <w:t>11</w:t>
      </w:r>
      <w:r w:rsidRPr="00623E33">
        <w:t>CEN Air Quality Standard Method</w:t>
      </w:r>
    </w:p>
    <w:tbl>
      <w:tblPr>
        <w:tblStyle w:val="LightShading-Accent11"/>
        <w:tblW w:w="9356" w:type="dxa"/>
        <w:tblInd w:w="108" w:type="dxa"/>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12" w:space="0" w:color="76923C" w:themeColor="accent3" w:themeShade="BF"/>
          <w:insideV w:val="single" w:sz="12" w:space="0" w:color="76923C" w:themeColor="accent3" w:themeShade="BF"/>
        </w:tblBorders>
        <w:tblLook w:val="04A0" w:firstRow="1" w:lastRow="0" w:firstColumn="1" w:lastColumn="0" w:noHBand="0" w:noVBand="1"/>
      </w:tblPr>
      <w:tblGrid>
        <w:gridCol w:w="1929"/>
        <w:gridCol w:w="1473"/>
        <w:gridCol w:w="4820"/>
        <w:gridCol w:w="1134"/>
      </w:tblGrid>
      <w:tr w:rsidR="009E6C1C" w:rsidRPr="00E61DBA" w:rsidTr="009E6C1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29" w:type="dxa"/>
            <w:tcBorders>
              <w:top w:val="none" w:sz="0" w:space="0" w:color="auto"/>
              <w:left w:val="none" w:sz="0" w:space="0" w:color="auto"/>
              <w:bottom w:val="none" w:sz="0" w:space="0" w:color="auto"/>
              <w:right w:val="none" w:sz="0" w:space="0" w:color="auto"/>
            </w:tcBorders>
            <w:shd w:val="clear" w:color="auto" w:fill="1F497D" w:themeFill="text2"/>
            <w:vAlign w:val="center"/>
          </w:tcPr>
          <w:p w:rsidR="004E28FB" w:rsidRPr="00E61DBA" w:rsidRDefault="004E28FB" w:rsidP="009E6C1C">
            <w:pPr>
              <w:rPr>
                <w:color w:val="FFFFFF" w:themeColor="background1"/>
                <w:sz w:val="20"/>
                <w:szCs w:val="20"/>
              </w:rPr>
            </w:pPr>
            <w:r w:rsidRPr="00E61DBA">
              <w:rPr>
                <w:color w:val="FFFFFF" w:themeColor="background1"/>
                <w:sz w:val="20"/>
                <w:szCs w:val="20"/>
              </w:rPr>
              <w:t>Pollutants</w:t>
            </w:r>
          </w:p>
        </w:tc>
        <w:tc>
          <w:tcPr>
            <w:tcW w:w="1473" w:type="dxa"/>
            <w:tcBorders>
              <w:top w:val="none" w:sz="0" w:space="0" w:color="auto"/>
              <w:left w:val="none" w:sz="0" w:space="0" w:color="auto"/>
              <w:bottom w:val="none" w:sz="0" w:space="0" w:color="auto"/>
              <w:right w:val="none" w:sz="0" w:space="0" w:color="auto"/>
            </w:tcBorders>
            <w:shd w:val="clear" w:color="auto" w:fill="1F497D" w:themeFill="text2"/>
            <w:vAlign w:val="center"/>
          </w:tcPr>
          <w:p w:rsidR="004E28FB" w:rsidRPr="00E61DBA" w:rsidRDefault="004E28FB" w:rsidP="009E6C1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61DBA">
              <w:rPr>
                <w:color w:val="FFFFFF" w:themeColor="background1"/>
                <w:sz w:val="20"/>
                <w:szCs w:val="20"/>
              </w:rPr>
              <w:t>Reference standard</w:t>
            </w:r>
          </w:p>
        </w:tc>
        <w:tc>
          <w:tcPr>
            <w:tcW w:w="4820" w:type="dxa"/>
            <w:tcBorders>
              <w:top w:val="none" w:sz="0" w:space="0" w:color="auto"/>
              <w:left w:val="none" w:sz="0" w:space="0" w:color="auto"/>
              <w:bottom w:val="none" w:sz="0" w:space="0" w:color="auto"/>
              <w:right w:val="none" w:sz="0" w:space="0" w:color="auto"/>
            </w:tcBorders>
            <w:shd w:val="clear" w:color="auto" w:fill="1F497D" w:themeFill="text2"/>
            <w:vAlign w:val="center"/>
          </w:tcPr>
          <w:p w:rsidR="004E28FB" w:rsidRPr="00E61DBA" w:rsidRDefault="004E28FB" w:rsidP="009E6C1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61DBA">
              <w:rPr>
                <w:color w:val="FFFFFF" w:themeColor="background1"/>
                <w:sz w:val="20"/>
                <w:szCs w:val="20"/>
              </w:rPr>
              <w:t>Method Description</w:t>
            </w:r>
          </w:p>
        </w:tc>
        <w:tc>
          <w:tcPr>
            <w:tcW w:w="1134" w:type="dxa"/>
            <w:tcBorders>
              <w:top w:val="none" w:sz="0" w:space="0" w:color="auto"/>
              <w:left w:val="none" w:sz="0" w:space="0" w:color="auto"/>
              <w:bottom w:val="none" w:sz="0" w:space="0" w:color="auto"/>
              <w:right w:val="none" w:sz="0" w:space="0" w:color="auto"/>
            </w:tcBorders>
            <w:shd w:val="clear" w:color="auto" w:fill="1F497D" w:themeFill="text2"/>
            <w:vAlign w:val="center"/>
          </w:tcPr>
          <w:p w:rsidR="004E28FB" w:rsidRPr="00E61DBA" w:rsidRDefault="004E28FB" w:rsidP="009E6C1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61DBA">
              <w:rPr>
                <w:color w:val="FFFFFF" w:themeColor="background1"/>
                <w:sz w:val="20"/>
                <w:szCs w:val="20"/>
              </w:rPr>
              <w:t>Year</w:t>
            </w:r>
          </w:p>
        </w:tc>
      </w:tr>
      <w:tr w:rsidR="004E28FB" w:rsidRPr="00E61DBA" w:rsidTr="009E6C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29" w:type="dxa"/>
            <w:tcBorders>
              <w:left w:val="none" w:sz="0" w:space="0" w:color="auto"/>
              <w:right w:val="none" w:sz="0" w:space="0" w:color="auto"/>
            </w:tcBorders>
            <w:vAlign w:val="center"/>
          </w:tcPr>
          <w:p w:rsidR="004E28FB" w:rsidRPr="00E61DBA" w:rsidRDefault="004E28FB" w:rsidP="009E6C1C">
            <w:pPr>
              <w:rPr>
                <w:color w:val="auto"/>
                <w:sz w:val="20"/>
                <w:szCs w:val="20"/>
              </w:rPr>
            </w:pPr>
            <w:r w:rsidRPr="00E61DBA">
              <w:rPr>
                <w:color w:val="auto"/>
                <w:sz w:val="20"/>
                <w:szCs w:val="20"/>
              </w:rPr>
              <w:t>(NO</w:t>
            </w:r>
            <w:r w:rsidRPr="00E61DBA">
              <w:rPr>
                <w:color w:val="auto"/>
                <w:sz w:val="20"/>
                <w:szCs w:val="20"/>
                <w:vertAlign w:val="subscript"/>
              </w:rPr>
              <w:t>x</w:t>
            </w:r>
            <w:r w:rsidRPr="00E61DBA">
              <w:rPr>
                <w:color w:val="auto"/>
                <w:sz w:val="20"/>
                <w:szCs w:val="20"/>
              </w:rPr>
              <w:t>)</w:t>
            </w:r>
          </w:p>
        </w:tc>
        <w:tc>
          <w:tcPr>
            <w:tcW w:w="1473" w:type="dxa"/>
            <w:tcBorders>
              <w:left w:val="none" w:sz="0" w:space="0" w:color="auto"/>
              <w:right w:val="none" w:sz="0" w:space="0" w:color="auto"/>
            </w:tcBorders>
            <w:vAlign w:val="center"/>
          </w:tcPr>
          <w:p w:rsidR="004E28FB" w:rsidRPr="00E61DBA" w:rsidRDefault="004E28FB" w:rsidP="009E6C1C">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61DBA">
              <w:rPr>
                <w:color w:val="auto"/>
                <w:sz w:val="20"/>
                <w:szCs w:val="20"/>
              </w:rPr>
              <w:t>EN14211:</w:t>
            </w:r>
          </w:p>
        </w:tc>
        <w:tc>
          <w:tcPr>
            <w:tcW w:w="4820" w:type="dxa"/>
            <w:tcBorders>
              <w:left w:val="none" w:sz="0" w:space="0" w:color="auto"/>
              <w:right w:val="none" w:sz="0" w:space="0" w:color="auto"/>
            </w:tcBorders>
            <w:vAlign w:val="center"/>
          </w:tcPr>
          <w:p w:rsidR="004E28FB" w:rsidRPr="00E61DBA" w:rsidRDefault="004E28FB" w:rsidP="009E6C1C">
            <w:pPr>
              <w:cnfStyle w:val="000000100000" w:firstRow="0" w:lastRow="0" w:firstColumn="0" w:lastColumn="0" w:oddVBand="0" w:evenVBand="0" w:oddHBand="1" w:evenHBand="0" w:firstRowFirstColumn="0" w:firstRowLastColumn="0" w:lastRowFirstColumn="0" w:lastRowLastColumn="0"/>
              <w:rPr>
                <w:color w:val="auto"/>
                <w:sz w:val="20"/>
                <w:szCs w:val="20"/>
              </w:rPr>
            </w:pPr>
            <w:proofErr w:type="spellStart"/>
            <w:r w:rsidRPr="00E61DBA">
              <w:rPr>
                <w:color w:val="auto"/>
                <w:sz w:val="20"/>
                <w:szCs w:val="20"/>
              </w:rPr>
              <w:t>Chemiluminescence</w:t>
            </w:r>
            <w:proofErr w:type="spellEnd"/>
            <w:r w:rsidRPr="00E61DBA">
              <w:rPr>
                <w:color w:val="auto"/>
                <w:sz w:val="20"/>
                <w:szCs w:val="20"/>
              </w:rPr>
              <w:t xml:space="preserve"> Detection</w:t>
            </w:r>
          </w:p>
        </w:tc>
        <w:tc>
          <w:tcPr>
            <w:tcW w:w="1134" w:type="dxa"/>
            <w:tcBorders>
              <w:left w:val="none" w:sz="0" w:space="0" w:color="auto"/>
              <w:right w:val="none" w:sz="0" w:space="0" w:color="auto"/>
            </w:tcBorders>
            <w:vAlign w:val="center"/>
          </w:tcPr>
          <w:p w:rsidR="004E28FB" w:rsidRPr="00E61DBA" w:rsidRDefault="004E28FB" w:rsidP="009E6C1C">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61DBA">
              <w:rPr>
                <w:color w:val="auto"/>
                <w:sz w:val="20"/>
                <w:szCs w:val="20"/>
              </w:rPr>
              <w:t>2005</w:t>
            </w:r>
          </w:p>
        </w:tc>
      </w:tr>
      <w:tr w:rsidR="004E28FB" w:rsidRPr="00E61DBA" w:rsidTr="004E28FB">
        <w:trPr>
          <w:trHeight w:val="340"/>
        </w:trPr>
        <w:tc>
          <w:tcPr>
            <w:cnfStyle w:val="001000000000" w:firstRow="0" w:lastRow="0" w:firstColumn="1" w:lastColumn="0" w:oddVBand="0" w:evenVBand="0" w:oddHBand="0" w:evenHBand="0" w:firstRowFirstColumn="0" w:firstRowLastColumn="0" w:lastRowFirstColumn="0" w:lastRowLastColumn="0"/>
            <w:tcW w:w="1929" w:type="dxa"/>
            <w:vAlign w:val="center"/>
          </w:tcPr>
          <w:p w:rsidR="004E28FB" w:rsidRPr="00E61DBA" w:rsidRDefault="004E28FB" w:rsidP="009E6C1C">
            <w:pPr>
              <w:rPr>
                <w:color w:val="auto"/>
                <w:sz w:val="20"/>
                <w:szCs w:val="20"/>
              </w:rPr>
            </w:pPr>
            <w:r w:rsidRPr="00E61DBA">
              <w:rPr>
                <w:color w:val="auto"/>
                <w:sz w:val="20"/>
                <w:szCs w:val="20"/>
              </w:rPr>
              <w:t>(SO</w:t>
            </w:r>
            <w:r w:rsidRPr="00E61DBA">
              <w:rPr>
                <w:color w:val="auto"/>
                <w:sz w:val="20"/>
                <w:szCs w:val="20"/>
                <w:vertAlign w:val="subscript"/>
              </w:rPr>
              <w:t>2</w:t>
            </w:r>
            <w:r w:rsidRPr="00E61DBA">
              <w:rPr>
                <w:color w:val="auto"/>
                <w:sz w:val="20"/>
                <w:szCs w:val="20"/>
              </w:rPr>
              <w:t>)</w:t>
            </w:r>
          </w:p>
        </w:tc>
        <w:tc>
          <w:tcPr>
            <w:tcW w:w="1473" w:type="dxa"/>
            <w:vAlign w:val="center"/>
          </w:tcPr>
          <w:p w:rsidR="004E28FB" w:rsidRPr="00E61DBA" w:rsidRDefault="004E28FB" w:rsidP="009E6C1C">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61DBA">
              <w:rPr>
                <w:color w:val="auto"/>
                <w:sz w:val="20"/>
                <w:szCs w:val="20"/>
              </w:rPr>
              <w:t>EN14212:</w:t>
            </w:r>
          </w:p>
        </w:tc>
        <w:tc>
          <w:tcPr>
            <w:tcW w:w="4820" w:type="dxa"/>
            <w:vAlign w:val="center"/>
          </w:tcPr>
          <w:p w:rsidR="004E28FB" w:rsidRPr="00E61DBA" w:rsidRDefault="004E28FB" w:rsidP="009E6C1C">
            <w:pPr>
              <w:cnfStyle w:val="000000000000" w:firstRow="0" w:lastRow="0" w:firstColumn="0" w:lastColumn="0" w:oddVBand="0" w:evenVBand="0" w:oddHBand="0" w:evenHBand="0" w:firstRowFirstColumn="0" w:firstRowLastColumn="0" w:lastRowFirstColumn="0" w:lastRowLastColumn="0"/>
              <w:rPr>
                <w:color w:val="auto"/>
                <w:sz w:val="20"/>
                <w:szCs w:val="20"/>
              </w:rPr>
            </w:pPr>
            <w:proofErr w:type="spellStart"/>
            <w:r w:rsidRPr="00E61DBA">
              <w:rPr>
                <w:color w:val="auto"/>
                <w:sz w:val="20"/>
                <w:szCs w:val="20"/>
              </w:rPr>
              <w:t>Fluoresence</w:t>
            </w:r>
            <w:proofErr w:type="spellEnd"/>
            <w:r w:rsidRPr="00E61DBA">
              <w:rPr>
                <w:color w:val="auto"/>
                <w:sz w:val="20"/>
                <w:szCs w:val="20"/>
              </w:rPr>
              <w:t xml:space="preserve"> Detection</w:t>
            </w:r>
          </w:p>
        </w:tc>
        <w:tc>
          <w:tcPr>
            <w:tcW w:w="1134" w:type="dxa"/>
            <w:vAlign w:val="center"/>
          </w:tcPr>
          <w:p w:rsidR="004E28FB" w:rsidRPr="00E61DBA" w:rsidRDefault="004E28FB" w:rsidP="009E6C1C">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61DBA">
              <w:rPr>
                <w:color w:val="auto"/>
                <w:sz w:val="20"/>
                <w:szCs w:val="20"/>
              </w:rPr>
              <w:t>2005</w:t>
            </w:r>
          </w:p>
        </w:tc>
      </w:tr>
      <w:tr w:rsidR="004E28FB" w:rsidRPr="00E61DBA" w:rsidTr="009E6C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29" w:type="dxa"/>
            <w:tcBorders>
              <w:left w:val="none" w:sz="0" w:space="0" w:color="auto"/>
              <w:right w:val="none" w:sz="0" w:space="0" w:color="auto"/>
            </w:tcBorders>
            <w:vAlign w:val="center"/>
          </w:tcPr>
          <w:p w:rsidR="004E28FB" w:rsidRPr="00E61DBA" w:rsidRDefault="004E28FB" w:rsidP="009E6C1C">
            <w:pPr>
              <w:rPr>
                <w:color w:val="auto"/>
                <w:sz w:val="20"/>
                <w:szCs w:val="20"/>
              </w:rPr>
            </w:pPr>
            <w:r w:rsidRPr="00E61DBA">
              <w:rPr>
                <w:color w:val="auto"/>
                <w:sz w:val="20"/>
                <w:szCs w:val="20"/>
              </w:rPr>
              <w:t>(O</w:t>
            </w:r>
            <w:r w:rsidRPr="00E61DBA">
              <w:rPr>
                <w:color w:val="auto"/>
                <w:sz w:val="20"/>
                <w:szCs w:val="20"/>
                <w:vertAlign w:val="subscript"/>
              </w:rPr>
              <w:t>3</w:t>
            </w:r>
            <w:r w:rsidRPr="00E61DBA">
              <w:rPr>
                <w:color w:val="auto"/>
                <w:sz w:val="20"/>
                <w:szCs w:val="20"/>
              </w:rPr>
              <w:t>)</w:t>
            </w:r>
          </w:p>
        </w:tc>
        <w:tc>
          <w:tcPr>
            <w:tcW w:w="1473" w:type="dxa"/>
            <w:tcBorders>
              <w:left w:val="none" w:sz="0" w:space="0" w:color="auto"/>
              <w:right w:val="none" w:sz="0" w:space="0" w:color="auto"/>
            </w:tcBorders>
            <w:vAlign w:val="center"/>
          </w:tcPr>
          <w:p w:rsidR="004E28FB" w:rsidRPr="00E61DBA" w:rsidRDefault="004E28FB" w:rsidP="009E6C1C">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61DBA">
              <w:rPr>
                <w:color w:val="auto"/>
                <w:sz w:val="20"/>
                <w:szCs w:val="20"/>
              </w:rPr>
              <w:t>EN14625:</w:t>
            </w:r>
          </w:p>
        </w:tc>
        <w:tc>
          <w:tcPr>
            <w:tcW w:w="4820" w:type="dxa"/>
            <w:tcBorders>
              <w:left w:val="none" w:sz="0" w:space="0" w:color="auto"/>
              <w:right w:val="none" w:sz="0" w:space="0" w:color="auto"/>
            </w:tcBorders>
            <w:vAlign w:val="center"/>
          </w:tcPr>
          <w:p w:rsidR="004E28FB" w:rsidRPr="00E61DBA" w:rsidRDefault="004E28FB" w:rsidP="009E6C1C">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61DBA">
              <w:rPr>
                <w:color w:val="auto"/>
                <w:sz w:val="20"/>
                <w:szCs w:val="20"/>
              </w:rPr>
              <w:t xml:space="preserve">UV </w:t>
            </w:r>
            <w:proofErr w:type="spellStart"/>
            <w:r w:rsidRPr="00E61DBA">
              <w:rPr>
                <w:color w:val="auto"/>
                <w:sz w:val="20"/>
                <w:szCs w:val="20"/>
              </w:rPr>
              <w:t>Photoionisation</w:t>
            </w:r>
            <w:proofErr w:type="spellEnd"/>
          </w:p>
        </w:tc>
        <w:tc>
          <w:tcPr>
            <w:tcW w:w="1134" w:type="dxa"/>
            <w:tcBorders>
              <w:left w:val="none" w:sz="0" w:space="0" w:color="auto"/>
              <w:right w:val="none" w:sz="0" w:space="0" w:color="auto"/>
            </w:tcBorders>
            <w:vAlign w:val="center"/>
          </w:tcPr>
          <w:p w:rsidR="004E28FB" w:rsidRPr="00E61DBA" w:rsidRDefault="004E28FB" w:rsidP="009E6C1C">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61DBA">
              <w:rPr>
                <w:color w:val="auto"/>
                <w:sz w:val="20"/>
                <w:szCs w:val="20"/>
              </w:rPr>
              <w:t>2005</w:t>
            </w:r>
          </w:p>
        </w:tc>
      </w:tr>
      <w:tr w:rsidR="004E28FB" w:rsidRPr="00E61DBA" w:rsidTr="004E28FB">
        <w:trPr>
          <w:trHeight w:val="340"/>
        </w:trPr>
        <w:tc>
          <w:tcPr>
            <w:cnfStyle w:val="001000000000" w:firstRow="0" w:lastRow="0" w:firstColumn="1" w:lastColumn="0" w:oddVBand="0" w:evenVBand="0" w:oddHBand="0" w:evenHBand="0" w:firstRowFirstColumn="0" w:firstRowLastColumn="0" w:lastRowFirstColumn="0" w:lastRowLastColumn="0"/>
            <w:tcW w:w="1929" w:type="dxa"/>
            <w:vAlign w:val="center"/>
          </w:tcPr>
          <w:p w:rsidR="004E28FB" w:rsidRPr="00E61DBA" w:rsidRDefault="004E28FB" w:rsidP="009E6C1C">
            <w:pPr>
              <w:rPr>
                <w:color w:val="auto"/>
                <w:sz w:val="20"/>
                <w:szCs w:val="20"/>
              </w:rPr>
            </w:pPr>
            <w:r w:rsidRPr="00E61DBA">
              <w:rPr>
                <w:color w:val="auto"/>
                <w:sz w:val="20"/>
                <w:szCs w:val="20"/>
              </w:rPr>
              <w:t>(CO)</w:t>
            </w:r>
          </w:p>
        </w:tc>
        <w:tc>
          <w:tcPr>
            <w:tcW w:w="1473" w:type="dxa"/>
            <w:vAlign w:val="center"/>
          </w:tcPr>
          <w:p w:rsidR="004E28FB" w:rsidRPr="00E61DBA" w:rsidRDefault="004E28FB" w:rsidP="009E6C1C">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61DBA">
              <w:rPr>
                <w:color w:val="auto"/>
                <w:sz w:val="20"/>
                <w:szCs w:val="20"/>
              </w:rPr>
              <w:t>EN14626:</w:t>
            </w:r>
          </w:p>
        </w:tc>
        <w:tc>
          <w:tcPr>
            <w:tcW w:w="4820" w:type="dxa"/>
            <w:vAlign w:val="center"/>
          </w:tcPr>
          <w:p w:rsidR="004E28FB" w:rsidRPr="00E61DBA" w:rsidRDefault="004E28FB" w:rsidP="009E6C1C">
            <w:pPr>
              <w:cnfStyle w:val="000000000000" w:firstRow="0" w:lastRow="0" w:firstColumn="0" w:lastColumn="0" w:oddVBand="0" w:evenVBand="0" w:oddHBand="0" w:evenHBand="0" w:firstRowFirstColumn="0" w:firstRowLastColumn="0" w:lastRowFirstColumn="0" w:lastRowLastColumn="0"/>
              <w:rPr>
                <w:color w:val="auto"/>
                <w:sz w:val="20"/>
                <w:szCs w:val="20"/>
              </w:rPr>
            </w:pPr>
            <w:proofErr w:type="spellStart"/>
            <w:r w:rsidRPr="00E61DBA">
              <w:rPr>
                <w:color w:val="auto"/>
                <w:sz w:val="20"/>
                <w:szCs w:val="20"/>
              </w:rPr>
              <w:t>Infra Red</w:t>
            </w:r>
            <w:proofErr w:type="spellEnd"/>
            <w:r w:rsidRPr="00E61DBA">
              <w:rPr>
                <w:color w:val="auto"/>
                <w:sz w:val="20"/>
                <w:szCs w:val="20"/>
              </w:rPr>
              <w:t xml:space="preserve"> Detection</w:t>
            </w:r>
          </w:p>
        </w:tc>
        <w:tc>
          <w:tcPr>
            <w:tcW w:w="1134" w:type="dxa"/>
            <w:vAlign w:val="center"/>
          </w:tcPr>
          <w:p w:rsidR="004E28FB" w:rsidRPr="00E61DBA" w:rsidRDefault="004E28FB" w:rsidP="009E6C1C">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61DBA">
              <w:rPr>
                <w:color w:val="auto"/>
                <w:sz w:val="20"/>
                <w:szCs w:val="20"/>
              </w:rPr>
              <w:t>2005</w:t>
            </w:r>
          </w:p>
        </w:tc>
      </w:tr>
      <w:tr w:rsidR="004E28FB" w:rsidRPr="00E61DBA" w:rsidTr="009E6C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29" w:type="dxa"/>
            <w:tcBorders>
              <w:left w:val="none" w:sz="0" w:space="0" w:color="auto"/>
              <w:right w:val="none" w:sz="0" w:space="0" w:color="auto"/>
            </w:tcBorders>
            <w:vAlign w:val="center"/>
          </w:tcPr>
          <w:p w:rsidR="004E28FB" w:rsidRPr="00E61DBA" w:rsidRDefault="004E28FB" w:rsidP="009E6C1C">
            <w:pPr>
              <w:rPr>
                <w:color w:val="auto"/>
                <w:sz w:val="20"/>
                <w:szCs w:val="20"/>
              </w:rPr>
            </w:pPr>
            <w:r w:rsidRPr="00E61DBA">
              <w:rPr>
                <w:color w:val="auto"/>
                <w:sz w:val="20"/>
                <w:szCs w:val="20"/>
              </w:rPr>
              <w:t>(PM</w:t>
            </w:r>
            <w:r w:rsidRPr="00E61DBA">
              <w:rPr>
                <w:color w:val="auto"/>
                <w:sz w:val="20"/>
                <w:szCs w:val="20"/>
                <w:vertAlign w:val="subscript"/>
              </w:rPr>
              <w:t>10</w:t>
            </w:r>
            <w:r w:rsidRPr="00E61DBA">
              <w:rPr>
                <w:color w:val="auto"/>
                <w:sz w:val="20"/>
                <w:szCs w:val="20"/>
              </w:rPr>
              <w:t>)</w:t>
            </w:r>
          </w:p>
        </w:tc>
        <w:tc>
          <w:tcPr>
            <w:tcW w:w="1473" w:type="dxa"/>
            <w:tcBorders>
              <w:left w:val="none" w:sz="0" w:space="0" w:color="auto"/>
              <w:right w:val="none" w:sz="0" w:space="0" w:color="auto"/>
            </w:tcBorders>
            <w:vAlign w:val="center"/>
          </w:tcPr>
          <w:p w:rsidR="004E28FB" w:rsidRPr="00E61DBA" w:rsidRDefault="004E28FB" w:rsidP="009E6C1C">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61DBA">
              <w:rPr>
                <w:color w:val="auto"/>
                <w:sz w:val="20"/>
                <w:szCs w:val="20"/>
              </w:rPr>
              <w:t>EN12341:</w:t>
            </w:r>
          </w:p>
        </w:tc>
        <w:tc>
          <w:tcPr>
            <w:tcW w:w="4820" w:type="dxa"/>
            <w:tcBorders>
              <w:left w:val="none" w:sz="0" w:space="0" w:color="auto"/>
              <w:right w:val="none" w:sz="0" w:space="0" w:color="auto"/>
            </w:tcBorders>
            <w:vAlign w:val="center"/>
          </w:tcPr>
          <w:p w:rsidR="004E28FB" w:rsidRPr="00E61DBA" w:rsidRDefault="004E28FB" w:rsidP="009E6C1C">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61DBA">
              <w:rPr>
                <w:color w:val="auto"/>
                <w:sz w:val="20"/>
                <w:szCs w:val="20"/>
              </w:rPr>
              <w:t>Gravimetric determination by weight difference</w:t>
            </w:r>
          </w:p>
        </w:tc>
        <w:tc>
          <w:tcPr>
            <w:tcW w:w="1134" w:type="dxa"/>
            <w:tcBorders>
              <w:left w:val="none" w:sz="0" w:space="0" w:color="auto"/>
              <w:right w:val="none" w:sz="0" w:space="0" w:color="auto"/>
            </w:tcBorders>
            <w:vAlign w:val="center"/>
          </w:tcPr>
          <w:p w:rsidR="004E28FB" w:rsidRPr="00E61DBA" w:rsidRDefault="004E28FB" w:rsidP="009E6C1C">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61DBA">
              <w:rPr>
                <w:color w:val="auto"/>
                <w:sz w:val="20"/>
                <w:szCs w:val="20"/>
              </w:rPr>
              <w:t>1999</w:t>
            </w:r>
          </w:p>
        </w:tc>
      </w:tr>
      <w:tr w:rsidR="004E28FB" w:rsidRPr="00E61DBA" w:rsidTr="004E28FB">
        <w:trPr>
          <w:trHeight w:val="340"/>
        </w:trPr>
        <w:tc>
          <w:tcPr>
            <w:cnfStyle w:val="001000000000" w:firstRow="0" w:lastRow="0" w:firstColumn="1" w:lastColumn="0" w:oddVBand="0" w:evenVBand="0" w:oddHBand="0" w:evenHBand="0" w:firstRowFirstColumn="0" w:firstRowLastColumn="0" w:lastRowFirstColumn="0" w:lastRowLastColumn="0"/>
            <w:tcW w:w="1929" w:type="dxa"/>
            <w:vAlign w:val="center"/>
          </w:tcPr>
          <w:p w:rsidR="004E28FB" w:rsidRPr="00E61DBA" w:rsidRDefault="004E28FB" w:rsidP="009E6C1C">
            <w:pPr>
              <w:rPr>
                <w:color w:val="auto"/>
                <w:sz w:val="20"/>
                <w:szCs w:val="20"/>
              </w:rPr>
            </w:pPr>
            <w:r w:rsidRPr="00E61DBA">
              <w:rPr>
                <w:color w:val="auto"/>
                <w:sz w:val="20"/>
                <w:szCs w:val="20"/>
              </w:rPr>
              <w:t>(PM</w:t>
            </w:r>
            <w:r w:rsidRPr="00E61DBA">
              <w:rPr>
                <w:color w:val="auto"/>
                <w:sz w:val="20"/>
                <w:szCs w:val="20"/>
                <w:vertAlign w:val="subscript"/>
              </w:rPr>
              <w:t>2.5</w:t>
            </w:r>
            <w:r w:rsidR="005E35E7">
              <w:rPr>
                <w:color w:val="auto"/>
                <w:sz w:val="20"/>
                <w:szCs w:val="20"/>
              </w:rPr>
              <w:t>)</w:t>
            </w:r>
          </w:p>
        </w:tc>
        <w:tc>
          <w:tcPr>
            <w:tcW w:w="1473" w:type="dxa"/>
            <w:vAlign w:val="center"/>
          </w:tcPr>
          <w:p w:rsidR="004E28FB" w:rsidRPr="00E61DBA" w:rsidRDefault="004E28FB" w:rsidP="009E6C1C">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61DBA">
              <w:rPr>
                <w:color w:val="auto"/>
                <w:sz w:val="20"/>
                <w:szCs w:val="20"/>
              </w:rPr>
              <w:t>EN14907:</w:t>
            </w:r>
          </w:p>
        </w:tc>
        <w:tc>
          <w:tcPr>
            <w:tcW w:w="4820" w:type="dxa"/>
            <w:vAlign w:val="center"/>
          </w:tcPr>
          <w:p w:rsidR="004E28FB" w:rsidRPr="00E61DBA" w:rsidRDefault="004E28FB" w:rsidP="009E6C1C">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61DBA">
              <w:rPr>
                <w:color w:val="auto"/>
                <w:sz w:val="20"/>
                <w:szCs w:val="20"/>
              </w:rPr>
              <w:t>Gravimetric determination by weight difference</w:t>
            </w:r>
          </w:p>
        </w:tc>
        <w:tc>
          <w:tcPr>
            <w:tcW w:w="1134" w:type="dxa"/>
            <w:vAlign w:val="center"/>
          </w:tcPr>
          <w:p w:rsidR="004E28FB" w:rsidRPr="00E61DBA" w:rsidRDefault="004E28FB" w:rsidP="009E6C1C">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61DBA">
              <w:rPr>
                <w:color w:val="auto"/>
                <w:sz w:val="20"/>
                <w:szCs w:val="20"/>
              </w:rPr>
              <w:t>2005</w:t>
            </w:r>
          </w:p>
        </w:tc>
      </w:tr>
      <w:tr w:rsidR="004E28FB" w:rsidRPr="00E61DBA" w:rsidTr="009E6C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29" w:type="dxa"/>
            <w:tcBorders>
              <w:left w:val="none" w:sz="0" w:space="0" w:color="auto"/>
              <w:right w:val="none" w:sz="0" w:space="0" w:color="auto"/>
            </w:tcBorders>
            <w:vAlign w:val="center"/>
          </w:tcPr>
          <w:p w:rsidR="004E28FB" w:rsidRPr="00E61DBA" w:rsidRDefault="004E28FB" w:rsidP="009E6C1C">
            <w:pPr>
              <w:rPr>
                <w:color w:val="auto"/>
                <w:sz w:val="20"/>
                <w:szCs w:val="20"/>
              </w:rPr>
            </w:pPr>
            <w:r w:rsidRPr="00E61DBA">
              <w:rPr>
                <w:color w:val="auto"/>
                <w:sz w:val="20"/>
                <w:szCs w:val="20"/>
              </w:rPr>
              <w:lastRenderedPageBreak/>
              <w:t>(Benzene)</w:t>
            </w:r>
          </w:p>
        </w:tc>
        <w:tc>
          <w:tcPr>
            <w:tcW w:w="1473" w:type="dxa"/>
            <w:tcBorders>
              <w:left w:val="none" w:sz="0" w:space="0" w:color="auto"/>
              <w:right w:val="none" w:sz="0" w:space="0" w:color="auto"/>
            </w:tcBorders>
            <w:vAlign w:val="center"/>
          </w:tcPr>
          <w:p w:rsidR="004E28FB" w:rsidRPr="00E61DBA" w:rsidRDefault="004E28FB" w:rsidP="009E6C1C">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61DBA">
              <w:rPr>
                <w:color w:val="auto"/>
                <w:sz w:val="20"/>
                <w:szCs w:val="20"/>
              </w:rPr>
              <w:t>EN14662</w:t>
            </w:r>
          </w:p>
        </w:tc>
        <w:tc>
          <w:tcPr>
            <w:tcW w:w="4820" w:type="dxa"/>
            <w:tcBorders>
              <w:left w:val="none" w:sz="0" w:space="0" w:color="auto"/>
              <w:right w:val="none" w:sz="0" w:space="0" w:color="auto"/>
            </w:tcBorders>
            <w:vAlign w:val="center"/>
          </w:tcPr>
          <w:p w:rsidR="004E28FB" w:rsidRPr="00E61DBA" w:rsidRDefault="004E28FB" w:rsidP="009E6C1C">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61DBA">
              <w:rPr>
                <w:color w:val="auto"/>
                <w:sz w:val="20"/>
                <w:szCs w:val="20"/>
              </w:rPr>
              <w:t xml:space="preserve">Gas chromatography and photo ionisation Detection </w:t>
            </w:r>
          </w:p>
        </w:tc>
        <w:tc>
          <w:tcPr>
            <w:tcW w:w="1134" w:type="dxa"/>
            <w:tcBorders>
              <w:left w:val="none" w:sz="0" w:space="0" w:color="auto"/>
              <w:right w:val="none" w:sz="0" w:space="0" w:color="auto"/>
            </w:tcBorders>
            <w:vAlign w:val="center"/>
          </w:tcPr>
          <w:p w:rsidR="004E28FB" w:rsidRPr="00E61DBA" w:rsidRDefault="004E28FB" w:rsidP="009E6C1C">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61DBA">
              <w:rPr>
                <w:color w:val="auto"/>
                <w:sz w:val="20"/>
                <w:szCs w:val="20"/>
              </w:rPr>
              <w:t>2005</w:t>
            </w:r>
          </w:p>
        </w:tc>
      </w:tr>
      <w:tr w:rsidR="004E28FB" w:rsidRPr="00E61DBA" w:rsidTr="004E28FB">
        <w:trPr>
          <w:trHeight w:val="340"/>
        </w:trPr>
        <w:tc>
          <w:tcPr>
            <w:cnfStyle w:val="001000000000" w:firstRow="0" w:lastRow="0" w:firstColumn="1" w:lastColumn="0" w:oddVBand="0" w:evenVBand="0" w:oddHBand="0" w:evenHBand="0" w:firstRowFirstColumn="0" w:firstRowLastColumn="0" w:lastRowFirstColumn="0" w:lastRowLastColumn="0"/>
            <w:tcW w:w="1929" w:type="dxa"/>
            <w:vAlign w:val="center"/>
          </w:tcPr>
          <w:p w:rsidR="004E28FB" w:rsidRPr="00E61DBA" w:rsidRDefault="004E28FB" w:rsidP="009E6C1C">
            <w:pPr>
              <w:rPr>
                <w:color w:val="auto"/>
                <w:sz w:val="20"/>
                <w:szCs w:val="20"/>
              </w:rPr>
            </w:pPr>
            <w:r w:rsidRPr="00E61DBA">
              <w:rPr>
                <w:color w:val="auto"/>
                <w:sz w:val="20"/>
                <w:szCs w:val="20"/>
              </w:rPr>
              <w:t>PAH’s and B(a)P</w:t>
            </w:r>
          </w:p>
        </w:tc>
        <w:tc>
          <w:tcPr>
            <w:tcW w:w="1473" w:type="dxa"/>
            <w:vAlign w:val="center"/>
          </w:tcPr>
          <w:p w:rsidR="004E28FB" w:rsidRPr="00E61DBA" w:rsidRDefault="004E28FB" w:rsidP="009E6C1C">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61DBA">
              <w:rPr>
                <w:color w:val="auto"/>
                <w:sz w:val="20"/>
                <w:szCs w:val="20"/>
              </w:rPr>
              <w:t>EN12884</w:t>
            </w:r>
          </w:p>
        </w:tc>
        <w:tc>
          <w:tcPr>
            <w:tcW w:w="4820" w:type="dxa"/>
            <w:vAlign w:val="center"/>
          </w:tcPr>
          <w:p w:rsidR="004E28FB" w:rsidRPr="00E61DBA" w:rsidRDefault="004E28FB" w:rsidP="009E6C1C">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61DBA">
              <w:rPr>
                <w:color w:val="auto"/>
                <w:sz w:val="20"/>
                <w:szCs w:val="20"/>
              </w:rPr>
              <w:t>High Volume Sampling and detection using Gas Chromatography / Mass Spectrometry</w:t>
            </w:r>
          </w:p>
        </w:tc>
        <w:tc>
          <w:tcPr>
            <w:tcW w:w="1134" w:type="dxa"/>
            <w:vAlign w:val="center"/>
          </w:tcPr>
          <w:p w:rsidR="004E28FB" w:rsidRPr="00E61DBA" w:rsidRDefault="004E28FB" w:rsidP="009E6C1C">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61DBA">
              <w:rPr>
                <w:color w:val="auto"/>
                <w:sz w:val="20"/>
                <w:szCs w:val="20"/>
              </w:rPr>
              <w:t>2005</w:t>
            </w:r>
          </w:p>
        </w:tc>
      </w:tr>
      <w:tr w:rsidR="004E28FB" w:rsidRPr="00E61DBA" w:rsidTr="009E6C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29" w:type="dxa"/>
            <w:tcBorders>
              <w:left w:val="none" w:sz="0" w:space="0" w:color="auto"/>
              <w:right w:val="none" w:sz="0" w:space="0" w:color="auto"/>
            </w:tcBorders>
            <w:vAlign w:val="center"/>
          </w:tcPr>
          <w:p w:rsidR="004E28FB" w:rsidRPr="00E61DBA" w:rsidRDefault="004E28FB" w:rsidP="009E6C1C">
            <w:pPr>
              <w:rPr>
                <w:color w:val="auto"/>
                <w:sz w:val="20"/>
                <w:szCs w:val="20"/>
              </w:rPr>
            </w:pPr>
            <w:proofErr w:type="spellStart"/>
            <w:r w:rsidRPr="00E61DBA">
              <w:rPr>
                <w:color w:val="auto"/>
                <w:sz w:val="20"/>
                <w:szCs w:val="20"/>
              </w:rPr>
              <w:t>Pb</w:t>
            </w:r>
            <w:proofErr w:type="spellEnd"/>
            <w:r w:rsidRPr="00E61DBA">
              <w:rPr>
                <w:color w:val="auto"/>
                <w:sz w:val="20"/>
                <w:szCs w:val="20"/>
              </w:rPr>
              <w:t>, As, Cd &amp; Ni</w:t>
            </w:r>
          </w:p>
        </w:tc>
        <w:tc>
          <w:tcPr>
            <w:tcW w:w="1473" w:type="dxa"/>
            <w:tcBorders>
              <w:left w:val="none" w:sz="0" w:space="0" w:color="auto"/>
              <w:right w:val="none" w:sz="0" w:space="0" w:color="auto"/>
            </w:tcBorders>
            <w:vAlign w:val="center"/>
          </w:tcPr>
          <w:p w:rsidR="004E28FB" w:rsidRPr="00E61DBA" w:rsidRDefault="004E28FB" w:rsidP="009E6C1C">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61DBA">
              <w:rPr>
                <w:color w:val="auto"/>
                <w:sz w:val="20"/>
                <w:szCs w:val="20"/>
              </w:rPr>
              <w:t>EN14902</w:t>
            </w:r>
          </w:p>
        </w:tc>
        <w:tc>
          <w:tcPr>
            <w:tcW w:w="4820" w:type="dxa"/>
            <w:tcBorders>
              <w:left w:val="none" w:sz="0" w:space="0" w:color="auto"/>
              <w:right w:val="none" w:sz="0" w:space="0" w:color="auto"/>
            </w:tcBorders>
            <w:vAlign w:val="center"/>
          </w:tcPr>
          <w:p w:rsidR="004E28FB" w:rsidRPr="00E61DBA" w:rsidRDefault="004E28FB" w:rsidP="009E6C1C">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61DBA">
              <w:rPr>
                <w:color w:val="auto"/>
                <w:sz w:val="20"/>
                <w:szCs w:val="20"/>
              </w:rPr>
              <w:t>Pumped samples onto a filter and determination by Inductively Coupled Plasma Atomic Absorption/ Atomic Absorption</w:t>
            </w:r>
          </w:p>
        </w:tc>
        <w:tc>
          <w:tcPr>
            <w:tcW w:w="1134" w:type="dxa"/>
            <w:tcBorders>
              <w:left w:val="none" w:sz="0" w:space="0" w:color="auto"/>
              <w:right w:val="none" w:sz="0" w:space="0" w:color="auto"/>
            </w:tcBorders>
            <w:vAlign w:val="center"/>
          </w:tcPr>
          <w:p w:rsidR="004E28FB" w:rsidRPr="00E61DBA" w:rsidRDefault="004E28FB" w:rsidP="009E6C1C">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61DBA">
              <w:rPr>
                <w:color w:val="auto"/>
                <w:sz w:val="20"/>
                <w:szCs w:val="20"/>
              </w:rPr>
              <w:t>2005</w:t>
            </w:r>
          </w:p>
        </w:tc>
      </w:tr>
      <w:tr w:rsidR="004E28FB" w:rsidRPr="00E61DBA" w:rsidTr="004E28FB">
        <w:trPr>
          <w:trHeight w:val="340"/>
        </w:trPr>
        <w:tc>
          <w:tcPr>
            <w:cnfStyle w:val="001000000000" w:firstRow="0" w:lastRow="0" w:firstColumn="1" w:lastColumn="0" w:oddVBand="0" w:evenVBand="0" w:oddHBand="0" w:evenHBand="0" w:firstRowFirstColumn="0" w:firstRowLastColumn="0" w:lastRowFirstColumn="0" w:lastRowLastColumn="0"/>
            <w:tcW w:w="1929" w:type="dxa"/>
            <w:vAlign w:val="center"/>
          </w:tcPr>
          <w:p w:rsidR="004E28FB" w:rsidRPr="00E61DBA" w:rsidRDefault="004E28FB" w:rsidP="009E6C1C">
            <w:pPr>
              <w:rPr>
                <w:color w:val="auto"/>
                <w:sz w:val="20"/>
                <w:szCs w:val="20"/>
              </w:rPr>
            </w:pPr>
            <w:r w:rsidRPr="00E61DBA">
              <w:rPr>
                <w:color w:val="auto"/>
                <w:sz w:val="20"/>
                <w:szCs w:val="20"/>
              </w:rPr>
              <w:t>Gaseous Mercury</w:t>
            </w:r>
          </w:p>
        </w:tc>
        <w:tc>
          <w:tcPr>
            <w:tcW w:w="1473" w:type="dxa"/>
            <w:vAlign w:val="center"/>
          </w:tcPr>
          <w:p w:rsidR="004E28FB" w:rsidRPr="00E61DBA" w:rsidRDefault="004E28FB" w:rsidP="009E6C1C">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61DBA">
              <w:rPr>
                <w:color w:val="auto"/>
                <w:sz w:val="20"/>
                <w:szCs w:val="20"/>
              </w:rPr>
              <w:t>EN 15852</w:t>
            </w:r>
          </w:p>
        </w:tc>
        <w:tc>
          <w:tcPr>
            <w:tcW w:w="4820" w:type="dxa"/>
            <w:vAlign w:val="center"/>
          </w:tcPr>
          <w:p w:rsidR="004E28FB" w:rsidRPr="00E61DBA" w:rsidRDefault="004E28FB" w:rsidP="009E6C1C">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61DBA">
              <w:rPr>
                <w:color w:val="auto"/>
                <w:sz w:val="20"/>
                <w:szCs w:val="20"/>
              </w:rPr>
              <w:t>Fluorescence Detection</w:t>
            </w:r>
          </w:p>
        </w:tc>
        <w:tc>
          <w:tcPr>
            <w:tcW w:w="1134" w:type="dxa"/>
            <w:vAlign w:val="center"/>
          </w:tcPr>
          <w:p w:rsidR="004E28FB" w:rsidRPr="00E61DBA" w:rsidRDefault="004E28FB" w:rsidP="009E6C1C">
            <w:pPr>
              <w:cnfStyle w:val="000000000000" w:firstRow="0" w:lastRow="0" w:firstColumn="0" w:lastColumn="0" w:oddVBand="0" w:evenVBand="0" w:oddHBand="0" w:evenHBand="0" w:firstRowFirstColumn="0" w:firstRowLastColumn="0" w:lastRowFirstColumn="0" w:lastRowLastColumn="0"/>
              <w:rPr>
                <w:color w:val="auto"/>
                <w:sz w:val="20"/>
                <w:szCs w:val="20"/>
              </w:rPr>
            </w:pPr>
          </w:p>
        </w:tc>
      </w:tr>
    </w:tbl>
    <w:p w:rsidR="004E28FB" w:rsidRPr="00623E33" w:rsidRDefault="004E28FB" w:rsidP="009E6C1C">
      <w:r w:rsidRPr="00623E33">
        <w:t xml:space="preserve">Member </w:t>
      </w:r>
      <w:r>
        <w:t>s</w:t>
      </w:r>
      <w:r w:rsidRPr="00623E33">
        <w:t>tate may also use any other methods which it can demonstrate give results equivalent to the above methods.</w:t>
      </w:r>
    </w:p>
    <w:p w:rsidR="004E28FB" w:rsidRPr="00623E33" w:rsidRDefault="004E28FB" w:rsidP="009E6C1C">
      <w:r w:rsidRPr="00623E33">
        <w:t xml:space="preserve">These standards describe in detail how analysers are to be tested, approved for use, calibrated and their ongoing performance determined. These harmonised procedures allow </w:t>
      </w:r>
      <w:r>
        <w:t>m</w:t>
      </w:r>
      <w:r w:rsidRPr="00623E33">
        <w:t xml:space="preserve">ember </w:t>
      </w:r>
      <w:r>
        <w:t>s</w:t>
      </w:r>
      <w:r w:rsidRPr="00623E33">
        <w:t>tates to reliably and consistently quantify the uncertainties associated with their measurements of air pollution. CEN, through the various Working Groups, continue to revise and improve the Standards as new information becomes available.</w:t>
      </w:r>
    </w:p>
    <w:p w:rsidR="004E28FB" w:rsidRPr="00623E33" w:rsidRDefault="004E28FB" w:rsidP="009E6C1C">
      <w:r w:rsidRPr="00623E33">
        <w:t>For the gaseous analysers, the relevant Standard Methods include a requirement for type testing and approval.</w:t>
      </w:r>
    </w:p>
    <w:p w:rsidR="004E28FB" w:rsidRDefault="004E28FB" w:rsidP="009E6C1C">
      <w:r w:rsidRPr="00623E33">
        <w:t>For particle monitoring (PM</w:t>
      </w:r>
      <w:r w:rsidRPr="00A9520C">
        <w:rPr>
          <w:vertAlign w:val="subscript"/>
        </w:rPr>
        <w:t>10</w:t>
      </w:r>
      <w:r w:rsidRPr="00623E33">
        <w:t xml:space="preserve"> and PM</w:t>
      </w:r>
      <w:r w:rsidRPr="00A9520C">
        <w:rPr>
          <w:vertAlign w:val="subscript"/>
        </w:rPr>
        <w:t>2.5</w:t>
      </w:r>
      <w:r w:rsidRPr="00623E33">
        <w:t xml:space="preserve">) compliance is achieved by either using a reference method device or ensuring that all analysers used in the network have been demonstrated </w:t>
      </w:r>
      <w:r>
        <w:t>as satisfying the compliance criteria</w:t>
      </w:r>
      <w:r w:rsidRPr="00623E33">
        <w:t xml:space="preserve"> whilst operating within the </w:t>
      </w:r>
      <w:r>
        <w:t>m</w:t>
      </w:r>
      <w:r w:rsidRPr="00623E33">
        <w:t>ember state</w:t>
      </w:r>
      <w:r>
        <w:t xml:space="preserve"> and proven </w:t>
      </w:r>
      <w:r w:rsidRPr="00623E33">
        <w:t>to be equivalent to the reference methods. The details of the compatibility test with a reference procedure are contained in both the method document EN 12341.1:1998 and EN</w:t>
      </w:r>
      <w:r>
        <w:t xml:space="preserve"> </w:t>
      </w:r>
      <w:r w:rsidRPr="00623E33">
        <w:t>14907:2005.</w:t>
      </w:r>
    </w:p>
    <w:p w:rsidR="004E28FB" w:rsidRPr="009E6C1C" w:rsidRDefault="004E28FB" w:rsidP="009E6C1C">
      <w:pPr>
        <w:pStyle w:val="Heading2"/>
        <w:rPr>
          <w:rStyle w:val="Strong"/>
          <w:b/>
          <w:bCs w:val="0"/>
        </w:rPr>
      </w:pPr>
      <w:bookmarkStart w:id="590" w:name="_Toc386499818"/>
      <w:bookmarkStart w:id="591" w:name="_Toc386503272"/>
      <w:bookmarkStart w:id="592" w:name="_Toc386503494"/>
      <w:bookmarkStart w:id="593" w:name="_Toc386503655"/>
      <w:bookmarkStart w:id="594" w:name="_Toc386503816"/>
      <w:bookmarkStart w:id="595" w:name="_Toc386503977"/>
      <w:bookmarkStart w:id="596" w:name="_Toc266339258"/>
      <w:bookmarkStart w:id="597" w:name="_Toc279675801"/>
      <w:bookmarkStart w:id="598" w:name="_Toc279965664"/>
      <w:bookmarkStart w:id="599" w:name="_Toc383738802"/>
      <w:bookmarkStart w:id="600" w:name="_Toc392598887"/>
      <w:bookmarkEnd w:id="590"/>
      <w:bookmarkEnd w:id="591"/>
      <w:bookmarkEnd w:id="592"/>
      <w:bookmarkEnd w:id="593"/>
      <w:bookmarkEnd w:id="594"/>
      <w:bookmarkEnd w:id="595"/>
      <w:r w:rsidRPr="009E6C1C">
        <w:rPr>
          <w:rStyle w:val="Strong"/>
          <w:b/>
          <w:bCs w:val="0"/>
        </w:rPr>
        <w:t>Type Approval of Analysers for National Networks</w:t>
      </w:r>
      <w:bookmarkEnd w:id="596"/>
      <w:bookmarkEnd w:id="597"/>
      <w:bookmarkEnd w:id="598"/>
      <w:bookmarkEnd w:id="599"/>
      <w:bookmarkEnd w:id="600"/>
    </w:p>
    <w:p w:rsidR="004E28FB" w:rsidRPr="00623E33" w:rsidRDefault="004E28FB" w:rsidP="004F613B">
      <w:r w:rsidRPr="00623E33">
        <w:t>All analysers and samplers used in the national networks are required to be Type approved devices.</w:t>
      </w:r>
    </w:p>
    <w:p w:rsidR="004E28FB" w:rsidRPr="00623E33" w:rsidRDefault="004E28FB" w:rsidP="004F613B">
      <w:r w:rsidRPr="00623E33">
        <w:t>For an analytical method to comply with a CEN standard it must undergo a ‘type-approval test’ in order to meet the minimum requirement within a set of performance characteristics.</w:t>
      </w:r>
    </w:p>
    <w:p w:rsidR="004E28FB" w:rsidRPr="00623E33" w:rsidRDefault="004E28FB" w:rsidP="004F613B">
      <w:r w:rsidRPr="00623E33">
        <w:t xml:space="preserve">Individual gas analyser type approval compliance tests carried out are contained in table </w:t>
      </w:r>
      <w:r>
        <w:t>2-12</w:t>
      </w:r>
      <w:r w:rsidRPr="00623E33">
        <w:t xml:space="preserve"> below.</w:t>
      </w:r>
    </w:p>
    <w:p w:rsidR="004E28FB" w:rsidRPr="00623E33" w:rsidRDefault="004E28FB" w:rsidP="004F613B">
      <w:pPr>
        <w:pStyle w:val="TOC1"/>
      </w:pPr>
      <w:r w:rsidRPr="00623E33">
        <w:t xml:space="preserve">Table </w:t>
      </w:r>
      <w:r w:rsidR="005101F7">
        <w:fldChar w:fldCharType="begin"/>
      </w:r>
      <w:r w:rsidR="005101F7">
        <w:instrText xml:space="preserve"> STYLEREF 1 \s </w:instrText>
      </w:r>
      <w:r w:rsidR="005101F7">
        <w:fldChar w:fldCharType="separate"/>
      </w:r>
      <w:r>
        <w:rPr>
          <w:noProof/>
        </w:rPr>
        <w:t>2</w:t>
      </w:r>
      <w:r w:rsidR="005101F7">
        <w:rPr>
          <w:noProof/>
        </w:rPr>
        <w:fldChar w:fldCharType="end"/>
      </w:r>
      <w:r>
        <w:noBreakHyphen/>
        <w:t xml:space="preserve">12 </w:t>
      </w:r>
      <w:r w:rsidRPr="00623E33">
        <w:t>Individual Gas Analysers Laboratory and Field Compliance Tests</w:t>
      </w:r>
    </w:p>
    <w:tbl>
      <w:tblPr>
        <w:tblStyle w:val="LightShading-Accent11"/>
        <w:tblW w:w="9252" w:type="dxa"/>
        <w:tblInd w:w="108" w:type="dxa"/>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12" w:space="0" w:color="76923C" w:themeColor="accent3" w:themeShade="BF"/>
          <w:insideV w:val="single" w:sz="12" w:space="0" w:color="76923C" w:themeColor="accent3" w:themeShade="BF"/>
        </w:tblBorders>
        <w:tblLook w:val="04A0" w:firstRow="1" w:lastRow="0" w:firstColumn="1" w:lastColumn="0" w:noHBand="0" w:noVBand="1"/>
      </w:tblPr>
      <w:tblGrid>
        <w:gridCol w:w="5670"/>
        <w:gridCol w:w="3582"/>
      </w:tblGrid>
      <w:tr w:rsidR="005E3A9C" w:rsidRPr="00E61DBA" w:rsidTr="004E28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top w:val="single" w:sz="12" w:space="0" w:color="76923C" w:themeColor="accent3" w:themeShade="BF"/>
              <w:left w:val="single" w:sz="12" w:space="0" w:color="76923C" w:themeColor="accent3" w:themeShade="BF"/>
              <w:bottom w:val="single" w:sz="12" w:space="0" w:color="76923C" w:themeColor="accent3" w:themeShade="BF"/>
            </w:tcBorders>
            <w:shd w:val="clear" w:color="auto" w:fill="1F497D" w:themeFill="text2"/>
            <w:vAlign w:val="center"/>
          </w:tcPr>
          <w:p w:rsidR="004E28FB" w:rsidRPr="00E61DBA" w:rsidRDefault="004E28FB" w:rsidP="005E3A9C">
            <w:pPr>
              <w:rPr>
                <w:color w:val="FFFFFF" w:themeColor="background1"/>
                <w:sz w:val="20"/>
                <w:szCs w:val="20"/>
              </w:rPr>
            </w:pPr>
            <w:r w:rsidRPr="00E61DBA">
              <w:rPr>
                <w:color w:val="FFFFFF" w:themeColor="background1"/>
                <w:sz w:val="20"/>
                <w:szCs w:val="20"/>
              </w:rPr>
              <w:t>Laboratory tests:</w:t>
            </w:r>
          </w:p>
        </w:tc>
        <w:tc>
          <w:tcPr>
            <w:tcW w:w="3582" w:type="dxa"/>
            <w:tcBorders>
              <w:top w:val="single" w:sz="12" w:space="0" w:color="76923C" w:themeColor="accent3" w:themeShade="BF"/>
              <w:bottom w:val="single" w:sz="12" w:space="0" w:color="76923C" w:themeColor="accent3" w:themeShade="BF"/>
              <w:right w:val="single" w:sz="12" w:space="0" w:color="76923C" w:themeColor="accent3" w:themeShade="BF"/>
            </w:tcBorders>
            <w:shd w:val="clear" w:color="auto" w:fill="1F497D" w:themeFill="text2"/>
            <w:vAlign w:val="center"/>
          </w:tcPr>
          <w:p w:rsidR="004E28FB" w:rsidRPr="00E61DBA" w:rsidRDefault="004E28FB" w:rsidP="005E3A9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61DBA">
              <w:rPr>
                <w:color w:val="FFFFFF" w:themeColor="background1"/>
                <w:sz w:val="20"/>
                <w:szCs w:val="20"/>
              </w:rPr>
              <w:t>Field tests:</w:t>
            </w:r>
          </w:p>
        </w:tc>
      </w:tr>
      <w:tr w:rsidR="004E28FB" w:rsidRPr="00E61DBA" w:rsidTr="004E2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left w:val="single" w:sz="12" w:space="0" w:color="76923C" w:themeColor="accent3" w:themeShade="BF"/>
            </w:tcBorders>
            <w:vAlign w:val="center"/>
          </w:tcPr>
          <w:p w:rsidR="004E28FB" w:rsidRPr="00E61DBA" w:rsidRDefault="004E28FB" w:rsidP="004E28FB">
            <w:pPr>
              <w:spacing w:before="40" w:after="40"/>
              <w:rPr>
                <w:b w:val="0"/>
                <w:color w:val="auto"/>
                <w:sz w:val="20"/>
                <w:szCs w:val="20"/>
              </w:rPr>
            </w:pPr>
            <w:r w:rsidRPr="00E61DBA">
              <w:rPr>
                <w:b w:val="0"/>
                <w:color w:val="auto"/>
                <w:sz w:val="20"/>
                <w:szCs w:val="20"/>
              </w:rPr>
              <w:t>Short-term drift of instrument</w:t>
            </w:r>
          </w:p>
          <w:p w:rsidR="004E28FB" w:rsidRPr="00E61DBA" w:rsidRDefault="004E28FB" w:rsidP="004E28FB">
            <w:pPr>
              <w:spacing w:before="40" w:after="40"/>
              <w:rPr>
                <w:b w:val="0"/>
                <w:color w:val="auto"/>
                <w:sz w:val="20"/>
                <w:szCs w:val="20"/>
              </w:rPr>
            </w:pPr>
            <w:r w:rsidRPr="00E61DBA">
              <w:rPr>
                <w:b w:val="0"/>
                <w:color w:val="auto"/>
                <w:sz w:val="20"/>
                <w:szCs w:val="20"/>
              </w:rPr>
              <w:t>Response times to Concentration change</w:t>
            </w:r>
          </w:p>
        </w:tc>
        <w:tc>
          <w:tcPr>
            <w:tcW w:w="3582" w:type="dxa"/>
            <w:tcBorders>
              <w:right w:val="single" w:sz="12" w:space="0" w:color="76923C" w:themeColor="accent3" w:themeShade="BF"/>
            </w:tcBorders>
            <w:vAlign w:val="center"/>
          </w:tcPr>
          <w:p w:rsidR="004E28FB" w:rsidRPr="00E61DBA" w:rsidRDefault="004E28FB" w:rsidP="004E28FB">
            <w:pPr>
              <w:spacing w:before="40" w:after="40"/>
              <w:cnfStyle w:val="000000100000" w:firstRow="0" w:lastRow="0" w:firstColumn="0" w:lastColumn="0" w:oddVBand="0" w:evenVBand="0" w:oddHBand="1" w:evenHBand="0" w:firstRowFirstColumn="0" w:firstRowLastColumn="0" w:lastRowFirstColumn="0" w:lastRowLastColumn="0"/>
              <w:rPr>
                <w:color w:val="auto"/>
                <w:sz w:val="20"/>
                <w:szCs w:val="20"/>
              </w:rPr>
            </w:pPr>
            <w:r w:rsidRPr="00E61DBA">
              <w:rPr>
                <w:color w:val="auto"/>
                <w:sz w:val="20"/>
                <w:szCs w:val="20"/>
              </w:rPr>
              <w:t xml:space="preserve">Reproducibility between two analysers in over 3 months </w:t>
            </w:r>
          </w:p>
        </w:tc>
      </w:tr>
      <w:tr w:rsidR="004E28FB" w:rsidRPr="00E61DBA" w:rsidTr="004E28FB">
        <w:tc>
          <w:tcPr>
            <w:cnfStyle w:val="001000000000" w:firstRow="0" w:lastRow="0" w:firstColumn="1" w:lastColumn="0" w:oddVBand="0" w:evenVBand="0" w:oddHBand="0" w:evenHBand="0" w:firstRowFirstColumn="0" w:firstRowLastColumn="0" w:lastRowFirstColumn="0" w:lastRowLastColumn="0"/>
            <w:tcW w:w="5670" w:type="dxa"/>
            <w:vAlign w:val="center"/>
          </w:tcPr>
          <w:p w:rsidR="004E28FB" w:rsidRPr="00E61DBA" w:rsidRDefault="004E28FB" w:rsidP="004E28FB">
            <w:pPr>
              <w:spacing w:before="40" w:after="40"/>
              <w:rPr>
                <w:b w:val="0"/>
                <w:color w:val="auto"/>
                <w:sz w:val="20"/>
                <w:szCs w:val="20"/>
              </w:rPr>
            </w:pPr>
            <w:r w:rsidRPr="00E61DBA">
              <w:rPr>
                <w:b w:val="0"/>
                <w:color w:val="auto"/>
                <w:sz w:val="20"/>
                <w:szCs w:val="20"/>
              </w:rPr>
              <w:t>Repeatability at zero concentrations and limit value</w:t>
            </w:r>
          </w:p>
        </w:tc>
        <w:tc>
          <w:tcPr>
            <w:tcW w:w="3582" w:type="dxa"/>
            <w:vAlign w:val="center"/>
          </w:tcPr>
          <w:p w:rsidR="004E28FB" w:rsidRPr="00E61DBA" w:rsidRDefault="004E28FB" w:rsidP="004E28FB">
            <w:pPr>
              <w:spacing w:before="40" w:after="40"/>
              <w:cnfStyle w:val="000000000000" w:firstRow="0" w:lastRow="0" w:firstColumn="0" w:lastColumn="0" w:oddVBand="0" w:evenVBand="0" w:oddHBand="0" w:evenHBand="0" w:firstRowFirstColumn="0" w:firstRowLastColumn="0" w:lastRowFirstColumn="0" w:lastRowLastColumn="0"/>
              <w:rPr>
                <w:color w:val="auto"/>
                <w:sz w:val="20"/>
                <w:szCs w:val="20"/>
              </w:rPr>
            </w:pPr>
            <w:r w:rsidRPr="00E61DBA">
              <w:rPr>
                <w:color w:val="auto"/>
                <w:sz w:val="20"/>
                <w:szCs w:val="20"/>
              </w:rPr>
              <w:t xml:space="preserve">Long-term drifts of instrument </w:t>
            </w:r>
          </w:p>
        </w:tc>
      </w:tr>
      <w:tr w:rsidR="004E28FB" w:rsidRPr="00E61DBA" w:rsidTr="004E2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left w:val="single" w:sz="12" w:space="0" w:color="76923C" w:themeColor="accent3" w:themeShade="BF"/>
            </w:tcBorders>
            <w:vAlign w:val="center"/>
          </w:tcPr>
          <w:p w:rsidR="004E28FB" w:rsidRPr="00E61DBA" w:rsidRDefault="004E28FB" w:rsidP="004E28FB">
            <w:pPr>
              <w:spacing w:before="40" w:after="40"/>
              <w:rPr>
                <w:b w:val="0"/>
                <w:color w:val="auto"/>
                <w:sz w:val="20"/>
                <w:szCs w:val="20"/>
              </w:rPr>
            </w:pPr>
            <w:r w:rsidRPr="00E61DBA">
              <w:rPr>
                <w:b w:val="0"/>
                <w:color w:val="auto"/>
                <w:sz w:val="20"/>
                <w:szCs w:val="20"/>
              </w:rPr>
              <w:t>Lack of fit</w:t>
            </w:r>
          </w:p>
        </w:tc>
        <w:tc>
          <w:tcPr>
            <w:tcW w:w="3582" w:type="dxa"/>
            <w:tcBorders>
              <w:right w:val="single" w:sz="12" w:space="0" w:color="76923C" w:themeColor="accent3" w:themeShade="BF"/>
            </w:tcBorders>
            <w:vAlign w:val="center"/>
          </w:tcPr>
          <w:p w:rsidR="004E28FB" w:rsidRPr="00E61DBA" w:rsidRDefault="004E28FB" w:rsidP="004E28FB">
            <w:pPr>
              <w:spacing w:before="40" w:after="40"/>
              <w:cnfStyle w:val="000000100000" w:firstRow="0" w:lastRow="0" w:firstColumn="0" w:lastColumn="0" w:oddVBand="0" w:evenVBand="0" w:oddHBand="1" w:evenHBand="0" w:firstRowFirstColumn="0" w:firstRowLastColumn="0" w:lastRowFirstColumn="0" w:lastRowLastColumn="0"/>
              <w:rPr>
                <w:color w:val="auto"/>
                <w:sz w:val="20"/>
                <w:szCs w:val="20"/>
              </w:rPr>
            </w:pPr>
            <w:r w:rsidRPr="00E61DBA">
              <w:rPr>
                <w:color w:val="auto"/>
                <w:sz w:val="20"/>
                <w:szCs w:val="20"/>
              </w:rPr>
              <w:t>Period of unattended operation.</w:t>
            </w:r>
          </w:p>
        </w:tc>
      </w:tr>
      <w:tr w:rsidR="004E28FB" w:rsidRPr="00E61DBA" w:rsidTr="004E28FB">
        <w:tc>
          <w:tcPr>
            <w:cnfStyle w:val="001000000000" w:firstRow="0" w:lastRow="0" w:firstColumn="1" w:lastColumn="0" w:oddVBand="0" w:evenVBand="0" w:oddHBand="0" w:evenHBand="0" w:firstRowFirstColumn="0" w:firstRowLastColumn="0" w:lastRowFirstColumn="0" w:lastRowLastColumn="0"/>
            <w:tcW w:w="5670" w:type="dxa"/>
            <w:vAlign w:val="center"/>
          </w:tcPr>
          <w:p w:rsidR="004E28FB" w:rsidRPr="00E61DBA" w:rsidRDefault="004E28FB" w:rsidP="004E28FB">
            <w:pPr>
              <w:spacing w:before="40" w:after="40"/>
              <w:rPr>
                <w:b w:val="0"/>
                <w:color w:val="auto"/>
                <w:sz w:val="20"/>
                <w:szCs w:val="20"/>
              </w:rPr>
            </w:pPr>
            <w:r w:rsidRPr="00E61DBA">
              <w:rPr>
                <w:b w:val="0"/>
                <w:color w:val="auto"/>
                <w:sz w:val="20"/>
                <w:szCs w:val="20"/>
              </w:rPr>
              <w:t xml:space="preserve">Sample gas pressure sensitivity </w:t>
            </w:r>
          </w:p>
          <w:p w:rsidR="004E28FB" w:rsidRPr="00E61DBA" w:rsidRDefault="004E28FB" w:rsidP="004E28FB">
            <w:pPr>
              <w:spacing w:before="40" w:after="40"/>
              <w:rPr>
                <w:b w:val="0"/>
                <w:color w:val="auto"/>
                <w:sz w:val="20"/>
                <w:szCs w:val="20"/>
              </w:rPr>
            </w:pPr>
            <w:r w:rsidRPr="00E61DBA">
              <w:rPr>
                <w:b w:val="0"/>
                <w:color w:val="auto"/>
                <w:sz w:val="20"/>
                <w:szCs w:val="20"/>
              </w:rPr>
              <w:t>Sample temperature sensitivity</w:t>
            </w:r>
          </w:p>
        </w:tc>
        <w:tc>
          <w:tcPr>
            <w:tcW w:w="3582" w:type="dxa"/>
            <w:vAlign w:val="center"/>
          </w:tcPr>
          <w:p w:rsidR="004E28FB" w:rsidRPr="00E61DBA" w:rsidRDefault="004E28FB" w:rsidP="004E28FB">
            <w:pPr>
              <w:spacing w:before="40" w:after="40"/>
              <w:cnfStyle w:val="000000000000" w:firstRow="0" w:lastRow="0" w:firstColumn="0" w:lastColumn="0" w:oddVBand="0" w:evenVBand="0" w:oddHBand="0" w:evenHBand="0" w:firstRowFirstColumn="0" w:firstRowLastColumn="0" w:lastRowFirstColumn="0" w:lastRowLastColumn="0"/>
              <w:rPr>
                <w:color w:val="auto"/>
                <w:sz w:val="20"/>
                <w:szCs w:val="20"/>
              </w:rPr>
            </w:pPr>
            <w:r w:rsidRPr="00E61DBA">
              <w:rPr>
                <w:color w:val="auto"/>
                <w:sz w:val="20"/>
                <w:szCs w:val="20"/>
              </w:rPr>
              <w:t>Percentage time the analyser is available for measurements</w:t>
            </w:r>
          </w:p>
        </w:tc>
      </w:tr>
      <w:tr w:rsidR="004E28FB" w:rsidRPr="00E61DBA" w:rsidTr="004E2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left w:val="single" w:sz="12" w:space="0" w:color="76923C" w:themeColor="accent3" w:themeShade="BF"/>
            </w:tcBorders>
            <w:vAlign w:val="center"/>
          </w:tcPr>
          <w:p w:rsidR="004E28FB" w:rsidRPr="00E61DBA" w:rsidRDefault="004E28FB" w:rsidP="004E28FB">
            <w:pPr>
              <w:spacing w:before="40" w:after="40"/>
              <w:rPr>
                <w:b w:val="0"/>
                <w:color w:val="auto"/>
                <w:sz w:val="20"/>
                <w:szCs w:val="20"/>
              </w:rPr>
            </w:pPr>
            <w:r w:rsidRPr="00E61DBA">
              <w:rPr>
                <w:b w:val="0"/>
                <w:color w:val="auto"/>
                <w:sz w:val="20"/>
                <w:szCs w:val="20"/>
              </w:rPr>
              <w:lastRenderedPageBreak/>
              <w:t xml:space="preserve">Sensitivity to electrical voltage </w:t>
            </w:r>
          </w:p>
        </w:tc>
        <w:tc>
          <w:tcPr>
            <w:tcW w:w="3582" w:type="dxa"/>
            <w:tcBorders>
              <w:right w:val="single" w:sz="12" w:space="0" w:color="76923C" w:themeColor="accent3" w:themeShade="BF"/>
            </w:tcBorders>
            <w:vAlign w:val="center"/>
          </w:tcPr>
          <w:p w:rsidR="004E28FB" w:rsidRPr="00E61DBA" w:rsidRDefault="004E28FB" w:rsidP="004E28FB">
            <w:pPr>
              <w:spacing w:before="40" w:after="4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4E28FB" w:rsidRPr="00E61DBA" w:rsidTr="004E28FB">
        <w:tc>
          <w:tcPr>
            <w:cnfStyle w:val="001000000000" w:firstRow="0" w:lastRow="0" w:firstColumn="1" w:lastColumn="0" w:oddVBand="0" w:evenVBand="0" w:oddHBand="0" w:evenHBand="0" w:firstRowFirstColumn="0" w:firstRowLastColumn="0" w:lastRowFirstColumn="0" w:lastRowLastColumn="0"/>
            <w:tcW w:w="5670" w:type="dxa"/>
            <w:vAlign w:val="center"/>
          </w:tcPr>
          <w:p w:rsidR="004E28FB" w:rsidRPr="00E61DBA" w:rsidRDefault="004E28FB" w:rsidP="004E28FB">
            <w:pPr>
              <w:spacing w:before="40" w:after="40"/>
              <w:rPr>
                <w:b w:val="0"/>
                <w:color w:val="auto"/>
                <w:sz w:val="20"/>
                <w:szCs w:val="20"/>
              </w:rPr>
            </w:pPr>
            <w:r w:rsidRPr="00E61DBA">
              <w:rPr>
                <w:b w:val="0"/>
                <w:color w:val="auto"/>
                <w:sz w:val="20"/>
                <w:szCs w:val="20"/>
              </w:rPr>
              <w:t>Analyser temperature sensitivity to the surrounding temperature</w:t>
            </w:r>
          </w:p>
        </w:tc>
        <w:tc>
          <w:tcPr>
            <w:tcW w:w="3582" w:type="dxa"/>
            <w:vAlign w:val="center"/>
          </w:tcPr>
          <w:p w:rsidR="004E28FB" w:rsidRPr="00E61DBA" w:rsidRDefault="004E28FB" w:rsidP="004E28FB">
            <w:pPr>
              <w:spacing w:before="40" w:after="4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4E28FB" w:rsidRPr="00E61DBA" w:rsidTr="004E2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left w:val="single" w:sz="12" w:space="0" w:color="76923C" w:themeColor="accent3" w:themeShade="BF"/>
            </w:tcBorders>
            <w:vAlign w:val="center"/>
          </w:tcPr>
          <w:p w:rsidR="004E28FB" w:rsidRPr="00E61DBA" w:rsidRDefault="004E28FB" w:rsidP="004E28FB">
            <w:pPr>
              <w:spacing w:before="40" w:after="40"/>
              <w:rPr>
                <w:b w:val="0"/>
                <w:color w:val="auto"/>
                <w:sz w:val="20"/>
                <w:szCs w:val="20"/>
              </w:rPr>
            </w:pPr>
            <w:r w:rsidRPr="00E61DBA">
              <w:rPr>
                <w:b w:val="0"/>
                <w:color w:val="auto"/>
                <w:sz w:val="20"/>
                <w:szCs w:val="20"/>
              </w:rPr>
              <w:t xml:space="preserve">Sensitivity to interfering substances </w:t>
            </w:r>
          </w:p>
        </w:tc>
        <w:tc>
          <w:tcPr>
            <w:tcW w:w="3582" w:type="dxa"/>
            <w:tcBorders>
              <w:right w:val="single" w:sz="12" w:space="0" w:color="76923C" w:themeColor="accent3" w:themeShade="BF"/>
            </w:tcBorders>
            <w:vAlign w:val="center"/>
          </w:tcPr>
          <w:p w:rsidR="004E28FB" w:rsidRPr="00E61DBA" w:rsidRDefault="004E28FB" w:rsidP="004E28FB">
            <w:pPr>
              <w:spacing w:before="40" w:after="4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4E28FB" w:rsidRPr="00E61DBA" w:rsidTr="004E28FB">
        <w:tc>
          <w:tcPr>
            <w:cnfStyle w:val="001000000000" w:firstRow="0" w:lastRow="0" w:firstColumn="1" w:lastColumn="0" w:oddVBand="0" w:evenVBand="0" w:oddHBand="0" w:evenHBand="0" w:firstRowFirstColumn="0" w:firstRowLastColumn="0" w:lastRowFirstColumn="0" w:lastRowLastColumn="0"/>
            <w:tcW w:w="5670" w:type="dxa"/>
            <w:vAlign w:val="center"/>
          </w:tcPr>
          <w:p w:rsidR="004E28FB" w:rsidRPr="00E61DBA" w:rsidRDefault="004E28FB" w:rsidP="004E28FB">
            <w:pPr>
              <w:spacing w:before="40" w:after="40"/>
              <w:rPr>
                <w:b w:val="0"/>
                <w:color w:val="auto"/>
                <w:sz w:val="20"/>
                <w:szCs w:val="20"/>
              </w:rPr>
            </w:pPr>
            <w:r w:rsidRPr="00E61DBA">
              <w:rPr>
                <w:b w:val="0"/>
                <w:color w:val="auto"/>
                <w:sz w:val="20"/>
                <w:szCs w:val="20"/>
              </w:rPr>
              <w:t>Averaging Tests</w:t>
            </w:r>
          </w:p>
        </w:tc>
        <w:tc>
          <w:tcPr>
            <w:tcW w:w="3582" w:type="dxa"/>
            <w:vAlign w:val="center"/>
          </w:tcPr>
          <w:p w:rsidR="004E28FB" w:rsidRPr="00E61DBA" w:rsidRDefault="004E28FB" w:rsidP="004E28FB">
            <w:pPr>
              <w:spacing w:before="40" w:after="4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4E28FB" w:rsidRPr="00E61DBA" w:rsidTr="004E2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left w:val="single" w:sz="12" w:space="0" w:color="76923C" w:themeColor="accent3" w:themeShade="BF"/>
            </w:tcBorders>
            <w:vAlign w:val="center"/>
          </w:tcPr>
          <w:p w:rsidR="004E28FB" w:rsidRPr="00E61DBA" w:rsidRDefault="004E28FB" w:rsidP="004E28FB">
            <w:pPr>
              <w:spacing w:before="40" w:after="40"/>
              <w:rPr>
                <w:b w:val="0"/>
                <w:color w:val="auto"/>
                <w:sz w:val="20"/>
                <w:szCs w:val="20"/>
              </w:rPr>
            </w:pPr>
            <w:r w:rsidRPr="00E61DBA">
              <w:rPr>
                <w:b w:val="0"/>
                <w:color w:val="auto"/>
                <w:sz w:val="20"/>
                <w:szCs w:val="20"/>
              </w:rPr>
              <w:t xml:space="preserve">Molybdenum converter efficiency (NOx) </w:t>
            </w:r>
          </w:p>
        </w:tc>
        <w:tc>
          <w:tcPr>
            <w:tcW w:w="3582" w:type="dxa"/>
            <w:tcBorders>
              <w:right w:val="single" w:sz="12" w:space="0" w:color="76923C" w:themeColor="accent3" w:themeShade="BF"/>
            </w:tcBorders>
            <w:vAlign w:val="center"/>
          </w:tcPr>
          <w:p w:rsidR="004E28FB" w:rsidRPr="00E61DBA" w:rsidRDefault="004E28FB" w:rsidP="004E28FB">
            <w:pPr>
              <w:spacing w:before="40" w:after="4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4E28FB" w:rsidRPr="00E61DBA" w:rsidTr="004E28FB">
        <w:tc>
          <w:tcPr>
            <w:cnfStyle w:val="001000000000" w:firstRow="0" w:lastRow="0" w:firstColumn="1" w:lastColumn="0" w:oddVBand="0" w:evenVBand="0" w:oddHBand="0" w:evenHBand="0" w:firstRowFirstColumn="0" w:firstRowLastColumn="0" w:lastRowFirstColumn="0" w:lastRowLastColumn="0"/>
            <w:tcW w:w="5670" w:type="dxa"/>
            <w:vAlign w:val="center"/>
          </w:tcPr>
          <w:p w:rsidR="004E28FB" w:rsidRPr="00E61DBA" w:rsidRDefault="004E28FB" w:rsidP="004E28FB">
            <w:pPr>
              <w:spacing w:before="40" w:after="40"/>
              <w:rPr>
                <w:b w:val="0"/>
                <w:color w:val="auto"/>
                <w:sz w:val="20"/>
                <w:szCs w:val="20"/>
              </w:rPr>
            </w:pPr>
            <w:r w:rsidRPr="00E61DBA">
              <w:rPr>
                <w:b w:val="0"/>
                <w:color w:val="auto"/>
                <w:sz w:val="20"/>
                <w:szCs w:val="20"/>
              </w:rPr>
              <w:t>Sample and span inputs differences.</w:t>
            </w:r>
          </w:p>
        </w:tc>
        <w:tc>
          <w:tcPr>
            <w:tcW w:w="3582" w:type="dxa"/>
            <w:vAlign w:val="center"/>
          </w:tcPr>
          <w:p w:rsidR="004E28FB" w:rsidRPr="00E61DBA" w:rsidRDefault="004E28FB" w:rsidP="004E28FB">
            <w:pPr>
              <w:spacing w:before="40" w:after="40"/>
              <w:cnfStyle w:val="000000000000" w:firstRow="0" w:lastRow="0" w:firstColumn="0" w:lastColumn="0" w:oddVBand="0" w:evenVBand="0" w:oddHBand="0" w:evenHBand="0" w:firstRowFirstColumn="0" w:firstRowLastColumn="0" w:lastRowFirstColumn="0" w:lastRowLastColumn="0"/>
              <w:rPr>
                <w:color w:val="auto"/>
                <w:sz w:val="20"/>
                <w:szCs w:val="20"/>
              </w:rPr>
            </w:pPr>
          </w:p>
        </w:tc>
      </w:tr>
    </w:tbl>
    <w:p w:rsidR="004E28FB" w:rsidRPr="000A7FAA" w:rsidRDefault="004E28FB" w:rsidP="000A7FAA">
      <w:r w:rsidRPr="00623E33">
        <w:t xml:space="preserve">In addition to achieve compliance an overall expanded uncertainty of the measurement result is required, this is based on the output from the relevant performance characteristics. Expanded uncertainties are assessed against the maximum uncertainty in the Directive’s Data Quality Objective (Table </w:t>
      </w:r>
      <w:r>
        <w:t>2-7</w:t>
      </w:r>
      <w:r w:rsidRPr="00623E33">
        <w:t>).</w:t>
      </w:r>
      <w:bookmarkStart w:id="601" w:name="_Toc279675802"/>
      <w:bookmarkStart w:id="602" w:name="_Toc279965665"/>
    </w:p>
    <w:p w:rsidR="004E28FB" w:rsidRPr="000A7FAA" w:rsidRDefault="004E28FB" w:rsidP="000A7FAA">
      <w:pPr>
        <w:pStyle w:val="Heading2"/>
        <w:rPr>
          <w:rStyle w:val="Strong"/>
          <w:b/>
          <w:bCs w:val="0"/>
        </w:rPr>
      </w:pPr>
      <w:bookmarkStart w:id="603" w:name="_Toc386499820"/>
      <w:bookmarkStart w:id="604" w:name="_Toc386503274"/>
      <w:bookmarkStart w:id="605" w:name="_Toc386503496"/>
      <w:bookmarkStart w:id="606" w:name="_Toc386503657"/>
      <w:bookmarkStart w:id="607" w:name="_Toc386503818"/>
      <w:bookmarkStart w:id="608" w:name="_Toc386503979"/>
      <w:bookmarkStart w:id="609" w:name="_Toc383736836"/>
      <w:bookmarkStart w:id="610" w:name="_Toc383738803"/>
      <w:bookmarkStart w:id="611" w:name="_Toc383764370"/>
      <w:bookmarkStart w:id="612" w:name="_Toc383738804"/>
      <w:bookmarkStart w:id="613" w:name="_Toc392598888"/>
      <w:bookmarkEnd w:id="603"/>
      <w:bookmarkEnd w:id="604"/>
      <w:bookmarkEnd w:id="605"/>
      <w:bookmarkEnd w:id="606"/>
      <w:bookmarkEnd w:id="607"/>
      <w:bookmarkEnd w:id="608"/>
      <w:bookmarkEnd w:id="609"/>
      <w:bookmarkEnd w:id="610"/>
      <w:bookmarkEnd w:id="611"/>
      <w:r w:rsidRPr="000A7FAA">
        <w:rPr>
          <w:rStyle w:val="Strong"/>
          <w:b/>
          <w:bCs w:val="0"/>
        </w:rPr>
        <w:t>Relative Uncertainty of Analyser measurements</w:t>
      </w:r>
      <w:bookmarkEnd w:id="601"/>
      <w:bookmarkEnd w:id="602"/>
      <w:bookmarkEnd w:id="612"/>
      <w:bookmarkEnd w:id="613"/>
    </w:p>
    <w:p w:rsidR="004E28FB" w:rsidRPr="00623E33" w:rsidRDefault="004E28FB" w:rsidP="00CB0844">
      <w:r w:rsidRPr="00623E33">
        <w:t>Instrument uncertainty is calculated using a combination of laboratory instrument performance characteristics and field test data.</w:t>
      </w:r>
      <w:r>
        <w:t xml:space="preserve"> </w:t>
      </w:r>
      <w:r w:rsidRPr="00623E33">
        <w:t>Uncertainty (expressed at a 95% confidence level) of the assessment methods will be evaluated in accordance with the principles of the CEN Guide to the Expression of Uncertainty in Measurement (ENV</w:t>
      </w:r>
      <w:r>
        <w:t xml:space="preserve"> </w:t>
      </w:r>
      <w:r w:rsidRPr="00623E33">
        <w:t>13005-1999), the methodology of ISO</w:t>
      </w:r>
      <w:r>
        <w:t xml:space="preserve"> </w:t>
      </w:r>
      <w:r w:rsidRPr="00623E33">
        <w:t>5725:1994 and the guidance provided in the CEN report ‘Air Quality—Approach to Uncertainty Estimation for Ambient Air Reference Measurement Methods’ (CR14377:2002E).</w:t>
      </w:r>
    </w:p>
    <w:p w:rsidR="004E28FB" w:rsidRPr="00623E33" w:rsidRDefault="004E28FB" w:rsidP="00CB0844">
      <w:r w:rsidRPr="00623E33">
        <w:t xml:space="preserve">Measurement uncertainty given in Table </w:t>
      </w:r>
      <w:r>
        <w:t xml:space="preserve">2-7 and Table 2-8 </w:t>
      </w:r>
      <w:r w:rsidRPr="00623E33">
        <w:t xml:space="preserve">above are given for both fixed and indicative individual measurements averaged over the period considered by the limit value (or target value in the case of ozone), for a 95% confidence interval. </w:t>
      </w:r>
    </w:p>
    <w:p w:rsidR="004E28FB" w:rsidRPr="00CB0844" w:rsidRDefault="004E28FB" w:rsidP="00CB0844">
      <w:r w:rsidRPr="00623E33">
        <w:t xml:space="preserve">The uncertainty for the fixed measurements shall be interpreted as being applicable when measuring at a concentration close to the appropriate limit value (or target value in the case of ozone). Expanded uncertainties for measurements are assessed against </w:t>
      </w:r>
      <w:r w:rsidR="00CB0844">
        <w:t>Data Quality Objectives (Table 2</w:t>
      </w:r>
      <w:r>
        <w:t>-7</w:t>
      </w:r>
      <w:r w:rsidRPr="00623E33">
        <w:t>) which for fixed measurements are typically 15% for gas analysers and 25% for particulate monitors and benzene analyser, 50% for the determination of B(a)P and gaseous Hg, 40% for heavy metals (As, Cd &amp; Ni) and 70% for total deposition.</w:t>
      </w:r>
    </w:p>
    <w:p w:rsidR="004E28FB" w:rsidRPr="00CB0844" w:rsidRDefault="004E28FB" w:rsidP="00CB0844">
      <w:pPr>
        <w:pStyle w:val="Heading2"/>
        <w:rPr>
          <w:rStyle w:val="Strong"/>
          <w:b/>
          <w:bCs w:val="0"/>
        </w:rPr>
      </w:pPr>
      <w:bookmarkStart w:id="614" w:name="_Toc386499822"/>
      <w:bookmarkStart w:id="615" w:name="_Toc386503276"/>
      <w:bookmarkStart w:id="616" w:name="_Toc386503498"/>
      <w:bookmarkStart w:id="617" w:name="_Toc386503659"/>
      <w:bookmarkStart w:id="618" w:name="_Toc386503820"/>
      <w:bookmarkStart w:id="619" w:name="_Toc386503981"/>
      <w:bookmarkStart w:id="620" w:name="_Toc383736838"/>
      <w:bookmarkStart w:id="621" w:name="_Toc383738805"/>
      <w:bookmarkStart w:id="622" w:name="_Toc383764372"/>
      <w:bookmarkStart w:id="623" w:name="_Toc383738806"/>
      <w:bookmarkStart w:id="624" w:name="_Toc392598889"/>
      <w:bookmarkEnd w:id="614"/>
      <w:bookmarkEnd w:id="615"/>
      <w:bookmarkEnd w:id="616"/>
      <w:bookmarkEnd w:id="617"/>
      <w:bookmarkEnd w:id="618"/>
      <w:bookmarkEnd w:id="619"/>
      <w:bookmarkEnd w:id="620"/>
      <w:bookmarkEnd w:id="621"/>
      <w:bookmarkEnd w:id="622"/>
      <w:r w:rsidRPr="00CB0844">
        <w:rPr>
          <w:rStyle w:val="Strong"/>
          <w:b/>
          <w:bCs w:val="0"/>
        </w:rPr>
        <w:t>Reporting and communication</w:t>
      </w:r>
      <w:bookmarkEnd w:id="623"/>
      <w:bookmarkEnd w:id="624"/>
    </w:p>
    <w:p w:rsidR="004E28FB" w:rsidRPr="00623E33" w:rsidRDefault="004E28FB" w:rsidP="004E28FB">
      <w:pPr>
        <w:shd w:val="clear" w:color="auto" w:fill="FFFFFF"/>
        <w:spacing w:before="120" w:after="120" w:line="240" w:lineRule="auto"/>
        <w:rPr>
          <w:rFonts w:cs="Arial"/>
          <w:color w:val="000000" w:themeColor="text1"/>
        </w:rPr>
      </w:pPr>
      <w:r w:rsidRPr="00623E33">
        <w:rPr>
          <w:rFonts w:cs="Arial"/>
          <w:color w:val="000000" w:themeColor="text1"/>
        </w:rPr>
        <w:t xml:space="preserve">Among the principal obligations of </w:t>
      </w:r>
      <w:r>
        <w:rPr>
          <w:rFonts w:cs="Arial"/>
          <w:color w:val="000000" w:themeColor="text1"/>
        </w:rPr>
        <w:t>m</w:t>
      </w:r>
      <w:r w:rsidRPr="00623E33">
        <w:rPr>
          <w:rFonts w:cs="Arial"/>
          <w:color w:val="000000" w:themeColor="text1"/>
        </w:rPr>
        <w:t xml:space="preserve">ember </w:t>
      </w:r>
      <w:r>
        <w:rPr>
          <w:rFonts w:cs="Arial"/>
          <w:color w:val="000000" w:themeColor="text1"/>
        </w:rPr>
        <w:t>s</w:t>
      </w:r>
      <w:r w:rsidRPr="00623E33">
        <w:rPr>
          <w:rFonts w:cs="Arial"/>
          <w:color w:val="000000" w:themeColor="text1"/>
        </w:rPr>
        <w:t>tates are information and reporting requirements. These include the requirement to</w:t>
      </w:r>
      <w:r>
        <w:rPr>
          <w:rFonts w:cs="Arial"/>
          <w:color w:val="000000" w:themeColor="text1"/>
        </w:rPr>
        <w:t xml:space="preserve"> i</w:t>
      </w:r>
      <w:r w:rsidRPr="00623E33">
        <w:rPr>
          <w:rFonts w:cs="Arial"/>
          <w:color w:val="000000" w:themeColor="text1"/>
        </w:rPr>
        <w:t>nform the public of:</w:t>
      </w:r>
    </w:p>
    <w:p w:rsidR="004E28FB" w:rsidRPr="00623E33" w:rsidRDefault="004E28FB" w:rsidP="009E6C1C">
      <w:pPr>
        <w:pStyle w:val="ListParagraph"/>
        <w:numPr>
          <w:ilvl w:val="0"/>
          <w:numId w:val="55"/>
        </w:numPr>
      </w:pPr>
      <w:r w:rsidRPr="00623E33">
        <w:t>cases where the air quality alert thresholds are exceeded;</w:t>
      </w:r>
    </w:p>
    <w:p w:rsidR="004E28FB" w:rsidRPr="00623E33" w:rsidRDefault="004E28FB" w:rsidP="009E6C1C">
      <w:pPr>
        <w:pStyle w:val="ListParagraph"/>
        <w:numPr>
          <w:ilvl w:val="0"/>
          <w:numId w:val="55"/>
        </w:numPr>
      </w:pPr>
      <w:r>
        <w:t xml:space="preserve">the identity of </w:t>
      </w:r>
      <w:r w:rsidRPr="00623E33">
        <w:t>competent authorities and bodies responsible for implementing the directive; and</w:t>
      </w:r>
    </w:p>
    <w:p w:rsidR="004E28FB" w:rsidRPr="00623E33" w:rsidRDefault="004E28FB" w:rsidP="009E6C1C">
      <w:pPr>
        <w:pStyle w:val="ListParagraph"/>
        <w:numPr>
          <w:ilvl w:val="0"/>
          <w:numId w:val="55"/>
        </w:numPr>
      </w:pPr>
      <w:proofErr w:type="gramStart"/>
      <w:r>
        <w:t>the</w:t>
      </w:r>
      <w:proofErr w:type="gramEnd"/>
      <w:r>
        <w:t xml:space="preserve"> </w:t>
      </w:r>
      <w:r w:rsidRPr="00623E33">
        <w:t>plans and programmes for attaining limit value in zones where prescribed limit values have been exceeded.</w:t>
      </w:r>
    </w:p>
    <w:p w:rsidR="004E28FB" w:rsidRDefault="004E28FB" w:rsidP="004E28FB">
      <w:pPr>
        <w:shd w:val="clear" w:color="auto" w:fill="FFFFFF"/>
        <w:spacing w:before="120" w:after="120" w:line="240" w:lineRule="auto"/>
        <w:rPr>
          <w:rFonts w:cs="Arial"/>
          <w:color w:val="000000" w:themeColor="text1"/>
        </w:rPr>
      </w:pPr>
      <w:r w:rsidRPr="00623E33">
        <w:rPr>
          <w:rFonts w:cs="Arial"/>
          <w:color w:val="000000" w:themeColor="text1"/>
        </w:rPr>
        <w:t xml:space="preserve">Where there is a risk of air quality limit values being exceeded following significant pollution originating in another </w:t>
      </w:r>
      <w:r>
        <w:rPr>
          <w:rFonts w:cs="Arial"/>
          <w:color w:val="000000" w:themeColor="text1"/>
        </w:rPr>
        <w:t>member s</w:t>
      </w:r>
      <w:r w:rsidRPr="00623E33">
        <w:rPr>
          <w:rFonts w:cs="Arial"/>
          <w:color w:val="000000" w:themeColor="text1"/>
        </w:rPr>
        <w:t xml:space="preserve">tate, </w:t>
      </w:r>
      <w:r>
        <w:rPr>
          <w:rFonts w:cs="Arial"/>
          <w:color w:val="000000" w:themeColor="text1"/>
        </w:rPr>
        <w:t xml:space="preserve">then the state must communicate this risk to </w:t>
      </w:r>
      <w:r w:rsidRPr="00623E33">
        <w:rPr>
          <w:rFonts w:cs="Arial"/>
          <w:color w:val="000000" w:themeColor="text1"/>
        </w:rPr>
        <w:t xml:space="preserve">that </w:t>
      </w:r>
      <w:r>
        <w:rPr>
          <w:rFonts w:cs="Arial"/>
          <w:color w:val="000000" w:themeColor="text1"/>
        </w:rPr>
        <w:t>neighbouring</w:t>
      </w:r>
      <w:r w:rsidRPr="00623E33">
        <w:rPr>
          <w:rFonts w:cs="Arial"/>
          <w:color w:val="000000" w:themeColor="text1"/>
        </w:rPr>
        <w:t xml:space="preserve"> </w:t>
      </w:r>
      <w:r>
        <w:rPr>
          <w:rFonts w:cs="Arial"/>
          <w:color w:val="000000" w:themeColor="text1"/>
        </w:rPr>
        <w:t>s</w:t>
      </w:r>
      <w:r w:rsidRPr="00623E33">
        <w:rPr>
          <w:rFonts w:cs="Arial"/>
          <w:color w:val="000000" w:themeColor="text1"/>
        </w:rPr>
        <w:t xml:space="preserve">tate with a view to finding a solution. </w:t>
      </w:r>
    </w:p>
    <w:p w:rsidR="004E28FB" w:rsidRPr="00623E33" w:rsidRDefault="004E28FB" w:rsidP="004E28FB">
      <w:pPr>
        <w:shd w:val="clear" w:color="auto" w:fill="FFFFFF"/>
        <w:spacing w:before="120" w:after="120" w:line="240" w:lineRule="auto"/>
        <w:rPr>
          <w:rFonts w:cs="Arial"/>
          <w:color w:val="000000" w:themeColor="text1"/>
        </w:rPr>
      </w:pPr>
      <w:r>
        <w:rPr>
          <w:rFonts w:cs="Arial"/>
          <w:color w:val="000000" w:themeColor="text1"/>
        </w:rPr>
        <w:lastRenderedPageBreak/>
        <w:t xml:space="preserve">Member states are also required to submit annual reports. Table 2-13 below contains an outline of the Air Quality annual report </w:t>
      </w:r>
      <w:r w:rsidRPr="00623E33">
        <w:rPr>
          <w:rFonts w:cs="Arial"/>
          <w:color w:val="000000" w:themeColor="text1"/>
        </w:rPr>
        <w:t xml:space="preserve">required </w:t>
      </w:r>
      <w:r>
        <w:rPr>
          <w:rFonts w:cs="Arial"/>
          <w:color w:val="000000" w:themeColor="text1"/>
        </w:rPr>
        <w:t>by</w:t>
      </w:r>
      <w:r w:rsidRPr="00623E33">
        <w:rPr>
          <w:rFonts w:cs="Arial"/>
          <w:color w:val="000000" w:themeColor="text1"/>
        </w:rPr>
        <w:t xml:space="preserve"> the </w:t>
      </w:r>
      <w:r>
        <w:rPr>
          <w:rFonts w:cs="Arial"/>
          <w:color w:val="000000" w:themeColor="text1"/>
        </w:rPr>
        <w:t xml:space="preserve">European </w:t>
      </w:r>
      <w:r w:rsidRPr="00623E33">
        <w:rPr>
          <w:rFonts w:cs="Arial"/>
          <w:color w:val="000000" w:themeColor="text1"/>
        </w:rPr>
        <w:t xml:space="preserve">Commission </w:t>
      </w:r>
      <w:r>
        <w:rPr>
          <w:rFonts w:cs="Arial"/>
          <w:color w:val="000000" w:themeColor="text1"/>
        </w:rPr>
        <w:t>from each m</w:t>
      </w:r>
      <w:r w:rsidRPr="00623E33">
        <w:rPr>
          <w:rFonts w:cs="Arial"/>
          <w:color w:val="000000" w:themeColor="text1"/>
        </w:rPr>
        <w:t>ember state</w:t>
      </w:r>
      <w:r>
        <w:rPr>
          <w:rFonts w:cs="Arial"/>
          <w:color w:val="000000" w:themeColor="text1"/>
        </w:rPr>
        <w:t>.</w:t>
      </w:r>
    </w:p>
    <w:p w:rsidR="004E28FB" w:rsidRPr="00623E33" w:rsidRDefault="004E28FB" w:rsidP="00226319">
      <w:pPr>
        <w:pStyle w:val="TOC1"/>
      </w:pPr>
      <w:r w:rsidRPr="00623E33">
        <w:t xml:space="preserve">Table </w:t>
      </w:r>
      <w:r>
        <w:fldChar w:fldCharType="begin"/>
      </w:r>
      <w:r>
        <w:instrText xml:space="preserve"> STYLEREF 1 \s </w:instrText>
      </w:r>
      <w:r>
        <w:fldChar w:fldCharType="separate"/>
      </w:r>
      <w:r>
        <w:rPr>
          <w:noProof/>
        </w:rPr>
        <w:t>2</w:t>
      </w:r>
      <w:r>
        <w:fldChar w:fldCharType="end"/>
      </w:r>
      <w:r>
        <w:noBreakHyphen/>
      </w:r>
      <w:r>
        <w:fldChar w:fldCharType="begin"/>
      </w:r>
      <w:r>
        <w:instrText xml:space="preserve"> SEQ Table \* ARABIC \s 1 </w:instrText>
      </w:r>
      <w:r>
        <w:fldChar w:fldCharType="separate"/>
      </w:r>
      <w:r>
        <w:rPr>
          <w:noProof/>
        </w:rPr>
        <w:t>13</w:t>
      </w:r>
      <w:r>
        <w:fldChar w:fldCharType="end"/>
      </w:r>
      <w:r>
        <w:t xml:space="preserve"> </w:t>
      </w:r>
      <w:r w:rsidRPr="00623E33">
        <w:t>Required to be Reported to the European Commission by Member States</w:t>
      </w:r>
    </w:p>
    <w:tbl>
      <w:tblPr>
        <w:tblStyle w:val="LightShading-Accent11"/>
        <w:tblW w:w="0" w:type="auto"/>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12" w:space="0" w:color="76923C" w:themeColor="accent3" w:themeShade="BF"/>
          <w:insideV w:val="single" w:sz="12" w:space="0" w:color="76923C" w:themeColor="accent3" w:themeShade="BF"/>
        </w:tblBorders>
        <w:tblLook w:val="04A0" w:firstRow="1" w:lastRow="0" w:firstColumn="1" w:lastColumn="0" w:noHBand="0" w:noVBand="1"/>
      </w:tblPr>
      <w:tblGrid>
        <w:gridCol w:w="9464"/>
      </w:tblGrid>
      <w:tr w:rsidR="004E28FB" w:rsidRPr="00623E33" w:rsidTr="00E61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Borders>
              <w:top w:val="none" w:sz="0" w:space="0" w:color="auto"/>
              <w:left w:val="none" w:sz="0" w:space="0" w:color="auto"/>
              <w:bottom w:val="none" w:sz="0" w:space="0" w:color="auto"/>
              <w:right w:val="none" w:sz="0" w:space="0" w:color="auto"/>
            </w:tcBorders>
            <w:shd w:val="clear" w:color="auto" w:fill="1F497D" w:themeFill="text2"/>
            <w:vAlign w:val="center"/>
          </w:tcPr>
          <w:p w:rsidR="004E28FB" w:rsidRPr="00CB0844" w:rsidRDefault="004E28FB" w:rsidP="00CB0844">
            <w:pPr>
              <w:rPr>
                <w:color w:val="FFFFFF" w:themeColor="background1"/>
              </w:rPr>
            </w:pPr>
            <w:r w:rsidRPr="00CB0844">
              <w:rPr>
                <w:color w:val="FFFFFF" w:themeColor="background1"/>
              </w:rPr>
              <w:t>Member states are required to report to the Commission on</w:t>
            </w:r>
          </w:p>
        </w:tc>
      </w:tr>
      <w:tr w:rsidR="004E28FB" w:rsidRPr="00623E33" w:rsidTr="00E61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Borders>
              <w:left w:val="none" w:sz="0" w:space="0" w:color="auto"/>
              <w:right w:val="none" w:sz="0" w:space="0" w:color="auto"/>
            </w:tcBorders>
            <w:vAlign w:val="center"/>
          </w:tcPr>
          <w:p w:rsidR="004E28FB" w:rsidRPr="00CB0844" w:rsidRDefault="004E28FB" w:rsidP="00CB0844">
            <w:pPr>
              <w:rPr>
                <w:b w:val="0"/>
                <w:color w:val="auto"/>
              </w:rPr>
            </w:pPr>
            <w:r w:rsidRPr="00CB0844">
              <w:rPr>
                <w:b w:val="0"/>
                <w:color w:val="auto"/>
              </w:rPr>
              <w:t>Competent authorities and bodies responsible for implementing the directive;</w:t>
            </w:r>
          </w:p>
        </w:tc>
      </w:tr>
      <w:tr w:rsidR="004E28FB" w:rsidRPr="00623E33" w:rsidTr="004E28FB">
        <w:tc>
          <w:tcPr>
            <w:cnfStyle w:val="001000000000" w:firstRow="0" w:lastRow="0" w:firstColumn="1" w:lastColumn="0" w:oddVBand="0" w:evenVBand="0" w:oddHBand="0" w:evenHBand="0" w:firstRowFirstColumn="0" w:firstRowLastColumn="0" w:lastRowFirstColumn="0" w:lastRowLastColumn="0"/>
            <w:tcW w:w="9464" w:type="dxa"/>
            <w:vAlign w:val="center"/>
          </w:tcPr>
          <w:p w:rsidR="004E28FB" w:rsidRPr="00CB0844" w:rsidRDefault="004E28FB" w:rsidP="00CB0844">
            <w:pPr>
              <w:rPr>
                <w:b w:val="0"/>
                <w:color w:val="auto"/>
              </w:rPr>
            </w:pPr>
            <w:r w:rsidRPr="00CB0844">
              <w:rPr>
                <w:b w:val="0"/>
                <w:color w:val="auto"/>
              </w:rPr>
              <w:t>National standards, criteria and techniques that are more stringent than Community standards or that relate to pollutants not covered by Community legislation;</w:t>
            </w:r>
          </w:p>
        </w:tc>
      </w:tr>
      <w:tr w:rsidR="004E28FB" w:rsidRPr="00623E33" w:rsidTr="00E61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Borders>
              <w:left w:val="none" w:sz="0" w:space="0" w:color="auto"/>
              <w:right w:val="none" w:sz="0" w:space="0" w:color="auto"/>
            </w:tcBorders>
            <w:vAlign w:val="center"/>
          </w:tcPr>
          <w:p w:rsidR="004E28FB" w:rsidRPr="00CB0844" w:rsidRDefault="004E28FB" w:rsidP="00CB0844">
            <w:pPr>
              <w:rPr>
                <w:b w:val="0"/>
                <w:color w:val="auto"/>
              </w:rPr>
            </w:pPr>
            <w:r w:rsidRPr="00CB0844">
              <w:rPr>
                <w:b w:val="0"/>
                <w:color w:val="auto"/>
              </w:rPr>
              <w:t>Lists of zones and agglomerations drawn up pursuant to Articles 8 and 9;</w:t>
            </w:r>
          </w:p>
        </w:tc>
      </w:tr>
      <w:tr w:rsidR="004E28FB" w:rsidRPr="00623E33" w:rsidTr="004E28FB">
        <w:tc>
          <w:tcPr>
            <w:cnfStyle w:val="001000000000" w:firstRow="0" w:lastRow="0" w:firstColumn="1" w:lastColumn="0" w:oddVBand="0" w:evenVBand="0" w:oddHBand="0" w:evenHBand="0" w:firstRowFirstColumn="0" w:firstRowLastColumn="0" w:lastRowFirstColumn="0" w:lastRowLastColumn="0"/>
            <w:tcW w:w="9464" w:type="dxa"/>
            <w:vAlign w:val="center"/>
          </w:tcPr>
          <w:p w:rsidR="004E28FB" w:rsidRPr="00CB0844" w:rsidRDefault="004E28FB" w:rsidP="00CB0844">
            <w:pPr>
              <w:rPr>
                <w:b w:val="0"/>
                <w:color w:val="auto"/>
              </w:rPr>
            </w:pPr>
            <w:r w:rsidRPr="00CB0844">
              <w:rPr>
                <w:b w:val="0"/>
                <w:color w:val="auto"/>
              </w:rPr>
              <w:t>Methods used for the preliminary assessment of air quality;</w:t>
            </w:r>
          </w:p>
        </w:tc>
      </w:tr>
      <w:tr w:rsidR="004E28FB" w:rsidRPr="00623E33" w:rsidTr="00E61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Borders>
              <w:left w:val="none" w:sz="0" w:space="0" w:color="auto"/>
              <w:right w:val="none" w:sz="0" w:space="0" w:color="auto"/>
            </w:tcBorders>
            <w:vAlign w:val="center"/>
          </w:tcPr>
          <w:p w:rsidR="004E28FB" w:rsidRPr="00CB0844" w:rsidRDefault="004E28FB" w:rsidP="00CB0844">
            <w:pPr>
              <w:rPr>
                <w:b w:val="0"/>
                <w:color w:val="auto"/>
              </w:rPr>
            </w:pPr>
            <w:r w:rsidRPr="00CB0844">
              <w:rPr>
                <w:b w:val="0"/>
                <w:color w:val="auto"/>
              </w:rPr>
              <w:t>Cases where limit values and alert thresholds are exceeded, and reasons for the occurrence;</w:t>
            </w:r>
          </w:p>
        </w:tc>
      </w:tr>
      <w:tr w:rsidR="004E28FB" w:rsidRPr="00623E33" w:rsidTr="004E28FB">
        <w:tc>
          <w:tcPr>
            <w:cnfStyle w:val="001000000000" w:firstRow="0" w:lastRow="0" w:firstColumn="1" w:lastColumn="0" w:oddVBand="0" w:evenVBand="0" w:oddHBand="0" w:evenHBand="0" w:firstRowFirstColumn="0" w:firstRowLastColumn="0" w:lastRowFirstColumn="0" w:lastRowLastColumn="0"/>
            <w:tcW w:w="9464" w:type="dxa"/>
            <w:vAlign w:val="center"/>
          </w:tcPr>
          <w:p w:rsidR="004E28FB" w:rsidRPr="00CB0844" w:rsidRDefault="004E28FB" w:rsidP="00CB0844">
            <w:pPr>
              <w:rPr>
                <w:b w:val="0"/>
                <w:color w:val="auto"/>
              </w:rPr>
            </w:pPr>
            <w:r w:rsidRPr="00CB0844">
              <w:rPr>
                <w:b w:val="0"/>
                <w:color w:val="auto"/>
              </w:rPr>
              <w:t>Plans and programmes adopted pursuant to Article 8, and (every three years) progress in implementing the plans or programmes;</w:t>
            </w:r>
          </w:p>
        </w:tc>
      </w:tr>
      <w:tr w:rsidR="004E28FB" w:rsidRPr="00623E33" w:rsidTr="00E61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Borders>
              <w:left w:val="none" w:sz="0" w:space="0" w:color="auto"/>
              <w:right w:val="none" w:sz="0" w:space="0" w:color="auto"/>
            </w:tcBorders>
            <w:vAlign w:val="center"/>
          </w:tcPr>
          <w:p w:rsidR="004E28FB" w:rsidRPr="00CB0844" w:rsidRDefault="004E28FB" w:rsidP="00CB0844">
            <w:pPr>
              <w:rPr>
                <w:b w:val="0"/>
                <w:color w:val="auto"/>
              </w:rPr>
            </w:pPr>
            <w:r w:rsidRPr="00CB0844">
              <w:rPr>
                <w:b w:val="0"/>
                <w:color w:val="auto"/>
              </w:rPr>
              <w:t>Measures taken to attain target value for zone that exceeds that set by the Commission;</w:t>
            </w:r>
          </w:p>
        </w:tc>
      </w:tr>
      <w:tr w:rsidR="004E28FB" w:rsidRPr="00623E33" w:rsidTr="004E28FB">
        <w:tc>
          <w:tcPr>
            <w:cnfStyle w:val="001000000000" w:firstRow="0" w:lastRow="0" w:firstColumn="1" w:lastColumn="0" w:oddVBand="0" w:evenVBand="0" w:oddHBand="0" w:evenHBand="0" w:firstRowFirstColumn="0" w:firstRowLastColumn="0" w:lastRowFirstColumn="0" w:lastRowLastColumn="0"/>
            <w:tcW w:w="9464" w:type="dxa"/>
            <w:vAlign w:val="center"/>
          </w:tcPr>
          <w:p w:rsidR="004E28FB" w:rsidRPr="00CB0844" w:rsidRDefault="004E28FB" w:rsidP="00CB0844">
            <w:pPr>
              <w:rPr>
                <w:b w:val="0"/>
                <w:color w:val="auto"/>
              </w:rPr>
            </w:pPr>
            <w:r w:rsidRPr="00CB0844">
              <w:rPr>
                <w:b w:val="0"/>
                <w:color w:val="auto"/>
              </w:rPr>
              <w:t>Transposition, with texts of the main provisions of national law adopted in the field covered by the directive (Art. 13); and</w:t>
            </w:r>
          </w:p>
        </w:tc>
      </w:tr>
      <w:tr w:rsidR="004E28FB" w:rsidRPr="00623E33" w:rsidTr="00E61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Borders>
              <w:left w:val="none" w:sz="0" w:space="0" w:color="auto"/>
              <w:right w:val="none" w:sz="0" w:space="0" w:color="auto"/>
            </w:tcBorders>
            <w:vAlign w:val="center"/>
          </w:tcPr>
          <w:p w:rsidR="004E28FB" w:rsidRPr="00CB0844" w:rsidRDefault="004E28FB" w:rsidP="00CB0844">
            <w:pPr>
              <w:rPr>
                <w:b w:val="0"/>
                <w:color w:val="auto"/>
              </w:rPr>
            </w:pPr>
            <w:r w:rsidRPr="00CB0844">
              <w:rPr>
                <w:b w:val="0"/>
                <w:color w:val="auto"/>
              </w:rPr>
              <w:t xml:space="preserve">Every three years, information on reviews of the levels in zones and agglomerations referred to in Articles 8 and 9 of the Directive </w:t>
            </w:r>
          </w:p>
        </w:tc>
      </w:tr>
    </w:tbl>
    <w:p w:rsidR="004E28FB" w:rsidRPr="00623E33" w:rsidRDefault="004E28FB" w:rsidP="00CB0844">
      <w:r w:rsidRPr="00623E33">
        <w:t>Complete and efficient data collection and reporting are essential components of air quality management. Air Quality Directives requiring air quality monitoring to be undertaken impose a duty to report to the Commission on their implementation and to report the results and the degree of compliance to both the Commission and the public. The format of this reporting is specified by Directive 91/692/EEC on standardising and rationalising reports on the implementation of certain directives relating to the environment, which amends the reporting requirements in original directives.</w:t>
      </w:r>
    </w:p>
    <w:p w:rsidR="004E28FB" w:rsidRPr="00623E33" w:rsidRDefault="004E28FB" w:rsidP="00CB0844">
      <w:r w:rsidRPr="00623E33">
        <w:t>Competent authorities are required to ensure that reporting is undertaken in accordance with the requirements of this directive.</w:t>
      </w:r>
    </w:p>
    <w:p w:rsidR="004E28FB" w:rsidRPr="00623E33" w:rsidRDefault="004E28FB" w:rsidP="00CB0844">
      <w:r w:rsidRPr="00623E33">
        <w:t>Data should be subject to quality control before it can be accepted as part of an archive of data, which can then be used for the analysis of high pollution episodes or the detection of trends in air quality over time. Where data needs to be supplied rapidly (for example, to warn the public regarding ozone levels) it may be impossible to complete all the quality assurance procedures. Where this occurs, the data should be accompanied by a statement to this effect.</w:t>
      </w:r>
    </w:p>
    <w:p w:rsidR="004E28FB" w:rsidRDefault="004E28FB" w:rsidP="00CB0844">
      <w:r w:rsidRPr="00623E33">
        <w:t>Data on emission rates from sources (and surrogate data such as traffic flows) are also of value, for example in building up a picture at the national and regional level of the causes of high pollution episodes.</w:t>
      </w:r>
      <w:bookmarkStart w:id="625" w:name="_Toc383735161"/>
      <w:bookmarkStart w:id="626" w:name="_Toc383736840"/>
      <w:bookmarkStart w:id="627" w:name="_Toc383738807"/>
      <w:bookmarkEnd w:id="625"/>
      <w:bookmarkEnd w:id="626"/>
      <w:bookmarkEnd w:id="627"/>
    </w:p>
    <w:p w:rsidR="004E28FB" w:rsidRDefault="004E28FB" w:rsidP="004E28FB">
      <w:pPr>
        <w:rPr>
          <w:rFonts w:cs="Arial"/>
          <w:color w:val="000000" w:themeColor="text1"/>
        </w:rPr>
      </w:pPr>
      <w:r>
        <w:rPr>
          <w:rFonts w:cs="Arial"/>
          <w:color w:val="000000" w:themeColor="text1"/>
        </w:rPr>
        <w:br w:type="page"/>
      </w:r>
    </w:p>
    <w:p w:rsidR="004E28FB" w:rsidRPr="00C26724" w:rsidRDefault="004E28FB" w:rsidP="004E28FB">
      <w:pPr>
        <w:shd w:val="clear" w:color="auto" w:fill="FFFFFF"/>
        <w:spacing w:before="120" w:after="120" w:line="240" w:lineRule="auto"/>
        <w:rPr>
          <w:rFonts w:cs="Arial"/>
          <w:color w:val="000000" w:themeColor="text1"/>
        </w:rPr>
      </w:pPr>
    </w:p>
    <w:p w:rsidR="004E28FB" w:rsidRPr="00623E33" w:rsidRDefault="00DB2E3D" w:rsidP="004E28FB">
      <w:pPr>
        <w:pStyle w:val="Heading1"/>
      </w:pPr>
      <w:bookmarkStart w:id="628" w:name="_Toc392598890"/>
      <w:r>
        <w:t>O</w:t>
      </w:r>
      <w:r w:rsidR="004E28FB" w:rsidRPr="00623E33">
        <w:t xml:space="preserve">rganisation of air quality monitoring systems in </w:t>
      </w:r>
      <w:r w:rsidR="004E28FB">
        <w:t>Europe</w:t>
      </w:r>
      <w:bookmarkEnd w:id="628"/>
    </w:p>
    <w:p w:rsidR="004E28FB" w:rsidRPr="00623E33" w:rsidRDefault="004E28FB" w:rsidP="00CB0844">
      <w:r w:rsidRPr="00623E33">
        <w:t xml:space="preserve">The EU Air Quality Directives are precise and distinct in what monitoring they require Member States to conduct. These requirement have been outlined in </w:t>
      </w:r>
      <w:r>
        <w:t>chapters 2</w:t>
      </w:r>
      <w:r w:rsidRPr="00534D74">
        <w:t xml:space="preserve">-7 and </w:t>
      </w:r>
      <w:r>
        <w:t>2</w:t>
      </w:r>
      <w:r w:rsidRPr="00534D74">
        <w:t>-8</w:t>
      </w:r>
      <w:r w:rsidRPr="00623E33">
        <w:t xml:space="preserve"> above, and include a minimum number of monitoring stations per population/ land mass, that a discrete set of chemical species are measured for minimal averaging period, and that measurements systems to be used are required to meet the reference criteria or its equivalence.</w:t>
      </w:r>
    </w:p>
    <w:p w:rsidR="004E28FB" w:rsidRPr="00623E33" w:rsidRDefault="004E28FB" w:rsidP="00CB0844">
      <w:r w:rsidRPr="00623E33">
        <w:t xml:space="preserve">Existing European air quality monitoring networks and sites included in routine long-term operations and reported within national reports to the EU have been analysed for their performance and quality in order to assess their suitability to be used as a template for the proposed air quality network in </w:t>
      </w:r>
      <w:r>
        <w:t>Partner Countries</w:t>
      </w:r>
      <w:r w:rsidRPr="00623E33">
        <w:t>.</w:t>
      </w:r>
    </w:p>
    <w:p w:rsidR="004E28FB" w:rsidRPr="00CB0844" w:rsidRDefault="004E28FB" w:rsidP="00CB0844">
      <w:pPr>
        <w:pStyle w:val="Heading2"/>
        <w:rPr>
          <w:rStyle w:val="Strong"/>
          <w:b/>
          <w:bCs w:val="0"/>
        </w:rPr>
      </w:pPr>
      <w:bookmarkStart w:id="629" w:name="_Toc383736851"/>
      <w:bookmarkStart w:id="630" w:name="_Toc383738818"/>
      <w:bookmarkStart w:id="631" w:name="_Toc383764383"/>
      <w:bookmarkStart w:id="632" w:name="_Toc383738819"/>
      <w:bookmarkStart w:id="633" w:name="_Toc392598891"/>
      <w:bookmarkEnd w:id="629"/>
      <w:bookmarkEnd w:id="630"/>
      <w:bookmarkEnd w:id="631"/>
      <w:r w:rsidRPr="00CB0844">
        <w:rPr>
          <w:rStyle w:val="Strong"/>
          <w:b/>
          <w:bCs w:val="0"/>
        </w:rPr>
        <w:t>State of air quality monitoring in Europe</w:t>
      </w:r>
      <w:bookmarkEnd w:id="632"/>
      <w:bookmarkEnd w:id="633"/>
    </w:p>
    <w:p w:rsidR="004E28FB" w:rsidRPr="00623E33" w:rsidRDefault="004E28FB" w:rsidP="004E28FB">
      <w:pPr>
        <w:shd w:val="clear" w:color="auto" w:fill="FFFFFF"/>
        <w:spacing w:before="120" w:after="120" w:line="240" w:lineRule="auto"/>
        <w:rPr>
          <w:rFonts w:cs="Arial"/>
          <w:color w:val="000000" w:themeColor="text1"/>
        </w:rPr>
      </w:pPr>
      <w:r w:rsidRPr="00623E33">
        <w:rPr>
          <w:rFonts w:cs="Arial"/>
          <w:color w:val="000000" w:themeColor="text1"/>
        </w:rPr>
        <w:t xml:space="preserve">This chapter is a summary comparison of practices in existing EU member states, countries of the European Economic Area (Iceland &amp; Norway), where each state performance against the following criteria </w:t>
      </w:r>
      <w:proofErr w:type="gramStart"/>
      <w:r w:rsidRPr="00623E33">
        <w:rPr>
          <w:rFonts w:cs="Arial"/>
          <w:color w:val="000000" w:themeColor="text1"/>
        </w:rPr>
        <w:t>have</w:t>
      </w:r>
      <w:proofErr w:type="gramEnd"/>
      <w:r w:rsidRPr="00623E33">
        <w:rPr>
          <w:rFonts w:cs="Arial"/>
          <w:color w:val="000000" w:themeColor="text1"/>
        </w:rPr>
        <w:t xml:space="preserve"> been examined:</w:t>
      </w:r>
    </w:p>
    <w:p w:rsidR="004E28FB" w:rsidRPr="00623E33" w:rsidRDefault="004E28FB" w:rsidP="009E6C1C">
      <w:pPr>
        <w:pStyle w:val="ListParagraph"/>
        <w:numPr>
          <w:ilvl w:val="0"/>
          <w:numId w:val="60"/>
        </w:numPr>
      </w:pPr>
      <w:r w:rsidRPr="00623E33">
        <w:t>Network Description</w:t>
      </w:r>
    </w:p>
    <w:p w:rsidR="004E28FB" w:rsidRPr="00623E33" w:rsidRDefault="004E28FB" w:rsidP="009E6C1C">
      <w:pPr>
        <w:pStyle w:val="ListParagraph"/>
        <w:numPr>
          <w:ilvl w:val="0"/>
          <w:numId w:val="60"/>
        </w:numPr>
      </w:pPr>
      <w:r w:rsidRPr="00623E33">
        <w:t>Methods</w:t>
      </w:r>
    </w:p>
    <w:p w:rsidR="004E28FB" w:rsidRPr="00623E33" w:rsidRDefault="004E28FB" w:rsidP="009E6C1C">
      <w:pPr>
        <w:pStyle w:val="ListParagraph"/>
        <w:numPr>
          <w:ilvl w:val="0"/>
          <w:numId w:val="60"/>
        </w:numPr>
      </w:pPr>
      <w:r w:rsidRPr="00623E33">
        <w:t>Coverage</w:t>
      </w:r>
    </w:p>
    <w:p w:rsidR="004E28FB" w:rsidRPr="00623E33" w:rsidRDefault="004E28FB" w:rsidP="009E6C1C">
      <w:pPr>
        <w:pStyle w:val="ListParagraph"/>
        <w:numPr>
          <w:ilvl w:val="0"/>
          <w:numId w:val="60"/>
        </w:numPr>
      </w:pPr>
      <w:r w:rsidRPr="00623E33">
        <w:t>Data availability</w:t>
      </w:r>
    </w:p>
    <w:p w:rsidR="004E28FB" w:rsidRPr="00623E33" w:rsidRDefault="004E28FB" w:rsidP="009E6C1C">
      <w:pPr>
        <w:pStyle w:val="ListParagraph"/>
        <w:numPr>
          <w:ilvl w:val="0"/>
          <w:numId w:val="60"/>
        </w:numPr>
      </w:pPr>
      <w:r w:rsidRPr="00623E33">
        <w:t>Reporting</w:t>
      </w:r>
    </w:p>
    <w:p w:rsidR="004E28FB" w:rsidRPr="00623E33" w:rsidRDefault="004E28FB" w:rsidP="00CB0844">
      <w:pPr>
        <w:pStyle w:val="ListParagraph"/>
        <w:numPr>
          <w:ilvl w:val="0"/>
          <w:numId w:val="60"/>
        </w:numPr>
      </w:pPr>
      <w:r w:rsidRPr="00623E33">
        <w:t>Trends</w:t>
      </w:r>
    </w:p>
    <w:p w:rsidR="004E28FB" w:rsidRPr="00CB0844" w:rsidRDefault="00CB0844" w:rsidP="00806588">
      <w:pPr>
        <w:pStyle w:val="Heading3"/>
      </w:pPr>
      <w:r>
        <w:t xml:space="preserve">Zones </w:t>
      </w:r>
      <w:proofErr w:type="gramStart"/>
      <w:r w:rsidR="004E28FB" w:rsidRPr="00CB0844">
        <w:t>Per</w:t>
      </w:r>
      <w:proofErr w:type="gramEnd"/>
      <w:r w:rsidR="004E28FB" w:rsidRPr="00CB0844">
        <w:t xml:space="preserve"> Population</w:t>
      </w:r>
    </w:p>
    <w:p w:rsidR="004E28FB" w:rsidRPr="00623E33" w:rsidRDefault="004E28FB" w:rsidP="00CB0844">
      <w:r w:rsidRPr="00623E33">
        <w:t>EU Members States are obliged (under CAF</w:t>
      </w:r>
      <w:r>
        <w:t>E</w:t>
      </w:r>
      <w:r w:rsidRPr="00623E33">
        <w:t xml:space="preserve"> Directive 2005/50/EC) required to separate their land mass into a minimum number of designated monitoring zones.</w:t>
      </w:r>
      <w:r>
        <w:t xml:space="preserve"> </w:t>
      </w:r>
      <w:r w:rsidRPr="00623E33">
        <w:t>Minimum criteria for this process ha</w:t>
      </w:r>
      <w:r>
        <w:t>ve</w:t>
      </w:r>
      <w:r w:rsidRPr="00623E33">
        <w:t xml:space="preserve"> been outlined in </w:t>
      </w:r>
      <w:r w:rsidRPr="00534D74">
        <w:t xml:space="preserve">Table </w:t>
      </w:r>
      <w:r w:rsidR="002E0E1F">
        <w:t>2</w:t>
      </w:r>
      <w:r w:rsidRPr="00534D74">
        <w:t xml:space="preserve">-5 and </w:t>
      </w:r>
      <w:r w:rsidR="002E0E1F">
        <w:t>2</w:t>
      </w:r>
      <w:r w:rsidRPr="00534D74">
        <w:t>-6</w:t>
      </w:r>
      <w:r w:rsidRPr="00623E33">
        <w:t xml:space="preserve"> above. As a guide the number of zones within EU states has been assessed across the populations of those states</w:t>
      </w:r>
      <w:r w:rsidRPr="00623E33">
        <w:rPr>
          <w:vertAlign w:val="superscript"/>
        </w:rPr>
        <w:footnoteReference w:id="3"/>
      </w:r>
      <w:r w:rsidR="00E61DBA">
        <w:t xml:space="preserve"> </w:t>
      </w:r>
      <w:r w:rsidRPr="00623E33">
        <w:t xml:space="preserve">(Figure </w:t>
      </w:r>
      <w:r>
        <w:t>3</w:t>
      </w:r>
      <w:r w:rsidRPr="00623E33">
        <w:t xml:space="preserve">-1). </w:t>
      </w:r>
    </w:p>
    <w:p w:rsidR="004E28FB" w:rsidRDefault="004E28FB" w:rsidP="004E28FB">
      <w:pPr>
        <w:tabs>
          <w:tab w:val="left" w:pos="5310"/>
        </w:tabs>
        <w:spacing w:line="240" w:lineRule="auto"/>
        <w:rPr>
          <w:b/>
          <w:i/>
        </w:rPr>
      </w:pPr>
    </w:p>
    <w:p w:rsidR="004E28FB" w:rsidRPr="00623E33" w:rsidRDefault="004E28FB" w:rsidP="00CB0844">
      <w:pPr>
        <w:pStyle w:val="TOC1"/>
      </w:pPr>
      <w:r w:rsidRPr="00623E33">
        <w:lastRenderedPageBreak/>
        <w:t xml:space="preserve">Figure </w:t>
      </w:r>
      <w:r w:rsidR="005101F7">
        <w:fldChar w:fldCharType="begin"/>
      </w:r>
      <w:r w:rsidR="005101F7">
        <w:instrText xml:space="preserve"> STYLEREF 1 \s </w:instrText>
      </w:r>
      <w:r w:rsidR="005101F7">
        <w:fldChar w:fldCharType="separate"/>
      </w:r>
      <w:r>
        <w:rPr>
          <w:noProof/>
        </w:rPr>
        <w:t>3</w:t>
      </w:r>
      <w:r w:rsidR="005101F7">
        <w:rPr>
          <w:noProof/>
        </w:rPr>
        <w:fldChar w:fldCharType="end"/>
      </w:r>
      <w:r>
        <w:noBreakHyphen/>
      </w:r>
      <w:r w:rsidR="005101F7">
        <w:fldChar w:fldCharType="begin"/>
      </w:r>
      <w:r w:rsidR="005101F7">
        <w:instrText xml:space="preserve"> SEQ Figure \* ARABIC \s 1 </w:instrText>
      </w:r>
      <w:r w:rsidR="005101F7">
        <w:fldChar w:fldCharType="separate"/>
      </w:r>
      <w:r>
        <w:rPr>
          <w:noProof/>
        </w:rPr>
        <w:t>1</w:t>
      </w:r>
      <w:r w:rsidR="005101F7">
        <w:rPr>
          <w:noProof/>
        </w:rPr>
        <w:fldChar w:fldCharType="end"/>
      </w:r>
      <w:r w:rsidRPr="00623E33">
        <w:t xml:space="preserve"> Number of Air Quality Monitoring Zones in EU Countries against population size</w:t>
      </w:r>
    </w:p>
    <w:p w:rsidR="004E28FB" w:rsidRPr="00623E33" w:rsidRDefault="004E28FB" w:rsidP="00CB0844">
      <w:pPr>
        <w:keepNext/>
        <w:keepLines/>
        <w:spacing w:line="240" w:lineRule="auto"/>
      </w:pPr>
      <w:r>
        <w:rPr>
          <w:noProof/>
          <w:lang w:eastAsia="en-GB"/>
        </w:rPr>
        <w:drawing>
          <wp:inline distT="0" distB="0" distL="0" distR="0" wp14:anchorId="0A66E4EF" wp14:editId="28695441">
            <wp:extent cx="5989488" cy="2757953"/>
            <wp:effectExtent l="19050" t="0" r="0" b="0"/>
            <wp:docPr id="11" name="Picture 10" descr="EU Chart Zone vs P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Chart Zone vs Pop.jpg"/>
                    <pic:cNvPicPr/>
                  </pic:nvPicPr>
                  <pic:blipFill>
                    <a:blip r:embed="rId25" cstate="print"/>
                    <a:srcRect l="15545" t="42019" r="7620" b="32969"/>
                    <a:stretch>
                      <a:fillRect/>
                    </a:stretch>
                  </pic:blipFill>
                  <pic:spPr>
                    <a:xfrm>
                      <a:off x="0" y="0"/>
                      <a:ext cx="5989488" cy="2757953"/>
                    </a:xfrm>
                    <a:prstGeom prst="rect">
                      <a:avLst/>
                    </a:prstGeom>
                  </pic:spPr>
                </pic:pic>
              </a:graphicData>
            </a:graphic>
          </wp:inline>
        </w:drawing>
      </w:r>
    </w:p>
    <w:p w:rsidR="004E28FB" w:rsidRPr="00623E33" w:rsidRDefault="004E28FB" w:rsidP="00806588">
      <w:pPr>
        <w:pStyle w:val="Heading3"/>
      </w:pPr>
      <w:r w:rsidRPr="00623E33">
        <w:t xml:space="preserve">Zones </w:t>
      </w:r>
      <w:proofErr w:type="gramStart"/>
      <w:r w:rsidRPr="00623E33">
        <w:t>Per</w:t>
      </w:r>
      <w:proofErr w:type="gramEnd"/>
      <w:r w:rsidRPr="00623E33">
        <w:t xml:space="preserve"> Land Area</w:t>
      </w:r>
    </w:p>
    <w:p w:rsidR="004E28FB" w:rsidRPr="00623E33" w:rsidRDefault="004E28FB" w:rsidP="00CB0844">
      <w:r w:rsidRPr="00623E33">
        <w:t xml:space="preserve">An additional set of criteria for the purpose of designated number of air quality </w:t>
      </w:r>
      <w:bookmarkStart w:id="634" w:name="_GoBack"/>
      <w:bookmarkEnd w:id="634"/>
      <w:r w:rsidRPr="00623E33">
        <w:t xml:space="preserve">monitoring zones is the land area for a particulate </w:t>
      </w:r>
      <w:r>
        <w:t>m</w:t>
      </w:r>
      <w:r w:rsidRPr="00623E33">
        <w:t xml:space="preserve">ember state (as outlined </w:t>
      </w:r>
      <w:r w:rsidRPr="00582401">
        <w:t xml:space="preserve">in Table </w:t>
      </w:r>
      <w:r>
        <w:t>2</w:t>
      </w:r>
      <w:r w:rsidRPr="00582401">
        <w:t xml:space="preserve">-5 and </w:t>
      </w:r>
      <w:r>
        <w:t>2</w:t>
      </w:r>
      <w:r w:rsidRPr="00582401">
        <w:t>-6</w:t>
      </w:r>
      <w:r w:rsidRPr="00623E33">
        <w:t xml:space="preserve">). Once again, the number of zones within EU states has been assessed across the land area of </w:t>
      </w:r>
      <w:r w:rsidRPr="001F12F0">
        <w:t>those states</w:t>
      </w:r>
      <w:r w:rsidRPr="00623E33">
        <w:t xml:space="preserve"> (</w:t>
      </w:r>
      <w:r w:rsidRPr="00582401">
        <w:t xml:space="preserve">Figure </w:t>
      </w:r>
      <w:r>
        <w:t>3</w:t>
      </w:r>
      <w:r w:rsidRPr="00582401">
        <w:t>-2</w:t>
      </w:r>
      <w:r w:rsidRPr="00623E33">
        <w:t xml:space="preserve">). </w:t>
      </w:r>
    </w:p>
    <w:p w:rsidR="004E28FB" w:rsidRPr="00623E33" w:rsidRDefault="004E28FB" w:rsidP="00CB0844">
      <w:pPr>
        <w:pStyle w:val="TOC1"/>
      </w:pPr>
      <w:r w:rsidRPr="00623E33">
        <w:t xml:space="preserve">Figure </w:t>
      </w:r>
      <w:r w:rsidR="005101F7">
        <w:fldChar w:fldCharType="begin"/>
      </w:r>
      <w:r w:rsidR="005101F7">
        <w:instrText xml:space="preserve"> STYLEREF 1 \s </w:instrText>
      </w:r>
      <w:r w:rsidR="005101F7">
        <w:fldChar w:fldCharType="separate"/>
      </w:r>
      <w:r>
        <w:rPr>
          <w:noProof/>
        </w:rPr>
        <w:t>3</w:t>
      </w:r>
      <w:r w:rsidR="005101F7">
        <w:rPr>
          <w:noProof/>
        </w:rPr>
        <w:fldChar w:fldCharType="end"/>
      </w:r>
      <w:r>
        <w:noBreakHyphen/>
      </w:r>
      <w:r w:rsidR="005101F7">
        <w:fldChar w:fldCharType="begin"/>
      </w:r>
      <w:r w:rsidR="005101F7">
        <w:instrText xml:space="preserve"> SEQ Figure \* ARABIC \s 1 </w:instrText>
      </w:r>
      <w:r w:rsidR="005101F7">
        <w:fldChar w:fldCharType="separate"/>
      </w:r>
      <w:r>
        <w:rPr>
          <w:noProof/>
        </w:rPr>
        <w:t>2</w:t>
      </w:r>
      <w:r w:rsidR="005101F7">
        <w:rPr>
          <w:noProof/>
        </w:rPr>
        <w:fldChar w:fldCharType="end"/>
      </w:r>
      <w:r>
        <w:t xml:space="preserve"> </w:t>
      </w:r>
      <w:r w:rsidRPr="00623E33">
        <w:t>Number of Air Quality Monitoring Zones in EU Countries against Land Area</w:t>
      </w:r>
    </w:p>
    <w:p w:rsidR="004E28FB" w:rsidRPr="00623E33" w:rsidRDefault="004E28FB" w:rsidP="004E28FB">
      <w:pPr>
        <w:spacing w:line="240" w:lineRule="auto"/>
      </w:pPr>
      <w:r>
        <w:rPr>
          <w:noProof/>
          <w:lang w:eastAsia="en-GB"/>
        </w:rPr>
        <w:drawing>
          <wp:inline distT="0" distB="0" distL="0" distR="0" wp14:anchorId="6BD21AA0" wp14:editId="7654643B">
            <wp:extent cx="5985965" cy="2978475"/>
            <wp:effectExtent l="19050" t="0" r="0" b="0"/>
            <wp:docPr id="13" name="Picture 10" descr="EU Chart Zone vs P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Chart Zone vs Pop.jpg"/>
                    <pic:cNvPicPr/>
                  </pic:nvPicPr>
                  <pic:blipFill>
                    <a:blip r:embed="rId25" cstate="print"/>
                    <a:srcRect l="15545" t="13791" r="7620" b="59473"/>
                    <a:stretch>
                      <a:fillRect/>
                    </a:stretch>
                  </pic:blipFill>
                  <pic:spPr>
                    <a:xfrm>
                      <a:off x="0" y="0"/>
                      <a:ext cx="5985965" cy="2978475"/>
                    </a:xfrm>
                    <a:prstGeom prst="rect">
                      <a:avLst/>
                    </a:prstGeom>
                  </pic:spPr>
                </pic:pic>
              </a:graphicData>
            </a:graphic>
          </wp:inline>
        </w:drawing>
      </w:r>
    </w:p>
    <w:p w:rsidR="004E28FB" w:rsidRPr="00623E33" w:rsidRDefault="004E28FB" w:rsidP="00806588">
      <w:pPr>
        <w:pStyle w:val="Heading3"/>
      </w:pPr>
      <w:r w:rsidRPr="00623E33">
        <w:t>Network description</w:t>
      </w:r>
    </w:p>
    <w:p w:rsidR="004E28FB" w:rsidRDefault="004E28FB" w:rsidP="00CB0844">
      <w:r w:rsidRPr="00623E33">
        <w:t xml:space="preserve">Detailed site descriptions are an important background for evaluating representatively of networks and for judging the air quality information from the network correctly. Dedicated reports with detailed </w:t>
      </w:r>
      <w:r w:rsidRPr="00623E33">
        <w:lastRenderedPageBreak/>
        <w:t>site descriptions are available from Austria, the Netherlands and Spain. For some other countries, brief descriptions were available within the AQ reports, such as for Sweden, the UK.</w:t>
      </w:r>
    </w:p>
    <w:p w:rsidR="004E28FB" w:rsidRPr="00CB0844" w:rsidRDefault="004E28FB" w:rsidP="00CB0844">
      <w:pPr>
        <w:pStyle w:val="Heading2"/>
        <w:rPr>
          <w:rStyle w:val="Strong"/>
          <w:b/>
          <w:bCs w:val="0"/>
        </w:rPr>
      </w:pPr>
      <w:bookmarkStart w:id="635" w:name="_Toc383736854"/>
      <w:bookmarkStart w:id="636" w:name="_Toc383738821"/>
      <w:bookmarkStart w:id="637" w:name="_Toc383764386"/>
      <w:bookmarkStart w:id="638" w:name="_Toc383738822"/>
      <w:bookmarkStart w:id="639" w:name="_Toc392598892"/>
      <w:bookmarkEnd w:id="635"/>
      <w:bookmarkEnd w:id="636"/>
      <w:bookmarkEnd w:id="637"/>
      <w:r w:rsidRPr="00CB0844">
        <w:rPr>
          <w:rStyle w:val="Strong"/>
          <w:b/>
          <w:bCs w:val="0"/>
        </w:rPr>
        <w:t>Temporal Coverage</w:t>
      </w:r>
      <w:bookmarkEnd w:id="638"/>
      <w:bookmarkEnd w:id="639"/>
    </w:p>
    <w:p w:rsidR="004E28FB" w:rsidRPr="00623E33" w:rsidRDefault="004E28FB" w:rsidP="00CB0844">
      <w:r w:rsidRPr="00623E33">
        <w:t>Most countries operate their networks the entire year. Exceptions are Norway and Sweden, where the monitoring is concentrated to the six winter months, which have the highest concentrations. For regional sites in Sweden, O</w:t>
      </w:r>
      <w:r w:rsidRPr="00623E33">
        <w:rPr>
          <w:vertAlign w:val="subscript"/>
        </w:rPr>
        <w:t>3</w:t>
      </w:r>
      <w:r w:rsidRPr="00623E33">
        <w:t xml:space="preserve"> and NO</w:t>
      </w:r>
      <w:r w:rsidRPr="00623E33">
        <w:rPr>
          <w:vertAlign w:val="subscript"/>
        </w:rPr>
        <w:t>2</w:t>
      </w:r>
      <w:r w:rsidRPr="00623E33">
        <w:t xml:space="preserve"> are monitored only in the six summer months, except for the 6 EMEP stations, which are monitored all the year.</w:t>
      </w:r>
    </w:p>
    <w:p w:rsidR="004E28FB" w:rsidRPr="00623E33" w:rsidRDefault="004E28FB" w:rsidP="00CB0844">
      <w:r w:rsidRPr="00623E33">
        <w:t>With a few exceptions, especially some East European countr</w:t>
      </w:r>
      <w:r w:rsidR="00CB0844">
        <w:t>ies, monitoring and/or sampling cover</w:t>
      </w:r>
      <w:r w:rsidRPr="00623E33">
        <w:t xml:space="preserve"> all days/hours.</w:t>
      </w:r>
    </w:p>
    <w:p w:rsidR="004E28FB" w:rsidRPr="00CB0844" w:rsidRDefault="004E28FB" w:rsidP="00CB0844">
      <w:pPr>
        <w:pStyle w:val="Heading2"/>
        <w:rPr>
          <w:rStyle w:val="Strong"/>
          <w:b/>
          <w:bCs w:val="0"/>
        </w:rPr>
      </w:pPr>
      <w:bookmarkStart w:id="640" w:name="_Toc383738823"/>
      <w:bookmarkStart w:id="641" w:name="_Toc392598893"/>
      <w:r w:rsidRPr="00CB0844">
        <w:rPr>
          <w:rStyle w:val="Strong"/>
          <w:b/>
          <w:bCs w:val="0"/>
        </w:rPr>
        <w:t>Spatial Coverage</w:t>
      </w:r>
      <w:bookmarkEnd w:id="640"/>
      <w:bookmarkEnd w:id="641"/>
    </w:p>
    <w:p w:rsidR="004E28FB" w:rsidRPr="00623E33" w:rsidRDefault="004E28FB" w:rsidP="00CB0844">
      <w:r w:rsidRPr="00623E33">
        <w:t>Most member states have a substantial number of monitoring sites in operation. The monitoring networks in each state may be national, regional or local in area coverage, and the organisation of monitoring responsibilities between national, regional or local authorities (municipalities) differs between states.</w:t>
      </w:r>
    </w:p>
    <w:p w:rsidR="004E28FB" w:rsidRPr="00710068" w:rsidRDefault="004E28FB" w:rsidP="00CB0844">
      <w:r w:rsidRPr="00710068">
        <w:t>The largest states in EU have the most sites. For example</w:t>
      </w:r>
      <w:r>
        <w:t xml:space="preserve"> (Table 3-1)</w:t>
      </w:r>
      <w:r w:rsidRPr="00710068">
        <w:t>, France has close to 900</w:t>
      </w:r>
      <w:r>
        <w:t xml:space="preserve"> </w:t>
      </w:r>
      <w:r w:rsidRPr="00710068">
        <w:t>sites, Germany has more than 500 sites, Spain about 1000 sites and the UK has about 80 active sampling and over 1100 passive sampling sites.</w:t>
      </w:r>
    </w:p>
    <w:p w:rsidR="004E28FB" w:rsidRPr="00710068" w:rsidRDefault="004E28FB" w:rsidP="00CB0844">
      <w:r>
        <w:t>European countries,</w:t>
      </w:r>
      <w:r w:rsidRPr="00710068">
        <w:t xml:space="preserve"> which have fewer monitoring </w:t>
      </w:r>
      <w:r>
        <w:t xml:space="preserve">stations </w:t>
      </w:r>
      <w:r w:rsidRPr="00710068">
        <w:t>deployed</w:t>
      </w:r>
      <w:r>
        <w:t>, include:</w:t>
      </w:r>
    </w:p>
    <w:p w:rsidR="004E28FB" w:rsidRPr="00623E33" w:rsidRDefault="004E28FB" w:rsidP="009E6C1C">
      <w:pPr>
        <w:pStyle w:val="ListParagraph"/>
        <w:numPr>
          <w:ilvl w:val="0"/>
          <w:numId w:val="61"/>
        </w:numPr>
      </w:pPr>
      <w:r w:rsidRPr="00623E33">
        <w:t xml:space="preserve">Albania which has 23 urban sites, Greece has 32 sites (31 are urban), Croatia has 41 sites (40 are urban), </w:t>
      </w:r>
      <w:proofErr w:type="gramStart"/>
      <w:r w:rsidRPr="00623E33">
        <w:t>Norway</w:t>
      </w:r>
      <w:proofErr w:type="gramEnd"/>
      <w:r w:rsidRPr="00623E33">
        <w:t xml:space="preserve"> has 45 sites (6 are urban), Denmark 35 sites (18 are urban), Hungary 39 urban sites, Estonia 18 sites (16 urban/local).</w:t>
      </w:r>
    </w:p>
    <w:p w:rsidR="004E28FB" w:rsidRPr="00623E33" w:rsidRDefault="004E28FB" w:rsidP="009E6C1C">
      <w:pPr>
        <w:pStyle w:val="ListParagraph"/>
        <w:numPr>
          <w:ilvl w:val="0"/>
          <w:numId w:val="61"/>
        </w:numPr>
      </w:pPr>
      <w:r w:rsidRPr="00623E33">
        <w:t>The total number of air pollution monitoring sites across the whole European network is very large. For the 29 countries who supply data, there are close to 5,000 urban/local sites, and more than 800 regional sites.</w:t>
      </w:r>
    </w:p>
    <w:p w:rsidR="004E28FB" w:rsidRPr="00623E33" w:rsidRDefault="004E28FB" w:rsidP="00687FD1">
      <w:pPr>
        <w:pStyle w:val="TOC1"/>
      </w:pPr>
      <w:r w:rsidRPr="00623E33">
        <w:lastRenderedPageBreak/>
        <w:t xml:space="preserve">Table </w:t>
      </w:r>
      <w:r w:rsidR="005101F7">
        <w:fldChar w:fldCharType="begin"/>
      </w:r>
      <w:r w:rsidR="005101F7">
        <w:instrText xml:space="preserve"> STYLEREF 1 \s </w:instrText>
      </w:r>
      <w:r w:rsidR="005101F7">
        <w:fldChar w:fldCharType="separate"/>
      </w:r>
      <w:r>
        <w:rPr>
          <w:noProof/>
        </w:rPr>
        <w:t>3</w:t>
      </w:r>
      <w:r w:rsidR="005101F7">
        <w:rPr>
          <w:noProof/>
        </w:rPr>
        <w:fldChar w:fldCharType="end"/>
      </w:r>
      <w:r>
        <w:noBreakHyphen/>
      </w:r>
      <w:r w:rsidR="005101F7">
        <w:fldChar w:fldCharType="begin"/>
      </w:r>
      <w:r w:rsidR="005101F7">
        <w:instrText xml:space="preserve"> SEQ Table \* ARABIC \s 1 </w:instrText>
      </w:r>
      <w:r w:rsidR="005101F7">
        <w:fldChar w:fldCharType="separate"/>
      </w:r>
      <w:r>
        <w:rPr>
          <w:noProof/>
        </w:rPr>
        <w:t>1</w:t>
      </w:r>
      <w:r w:rsidR="005101F7">
        <w:rPr>
          <w:noProof/>
        </w:rPr>
        <w:fldChar w:fldCharType="end"/>
      </w:r>
      <w:r w:rsidRPr="00623E33">
        <w:t xml:space="preserve"> Spatial coverage of AQ monitoring Sites Across European States</w:t>
      </w:r>
      <w:r w:rsidRPr="00623E33">
        <w:rPr>
          <w:rStyle w:val="FootnoteReference"/>
          <w:sz w:val="24"/>
          <w:szCs w:val="24"/>
        </w:rPr>
        <w:footnoteReference w:id="4"/>
      </w:r>
    </w:p>
    <w:tbl>
      <w:tblPr>
        <w:tblStyle w:val="TableGrid8"/>
        <w:tblW w:w="5000" w:type="pct"/>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12" w:space="0" w:color="76923C" w:themeColor="accent3" w:themeShade="BF"/>
          <w:insideV w:val="single" w:sz="12" w:space="0" w:color="76923C" w:themeColor="accent3" w:themeShade="BF"/>
        </w:tblBorders>
        <w:tblLook w:val="04A0" w:firstRow="1" w:lastRow="0" w:firstColumn="1" w:lastColumn="0" w:noHBand="0" w:noVBand="1"/>
      </w:tblPr>
      <w:tblGrid>
        <w:gridCol w:w="1632"/>
        <w:gridCol w:w="836"/>
        <w:gridCol w:w="1391"/>
        <w:gridCol w:w="411"/>
        <w:gridCol w:w="506"/>
        <w:gridCol w:w="696"/>
        <w:gridCol w:w="552"/>
        <w:gridCol w:w="694"/>
        <w:gridCol w:w="690"/>
        <w:gridCol w:w="695"/>
        <w:gridCol w:w="955"/>
        <w:gridCol w:w="563"/>
      </w:tblGrid>
      <w:tr w:rsidR="00687FD1" w:rsidRPr="00687FD1" w:rsidTr="00E61DBA">
        <w:trPr>
          <w:cnfStyle w:val="100000000000" w:firstRow="1" w:lastRow="0" w:firstColumn="0" w:lastColumn="0" w:oddVBand="0" w:evenVBand="0" w:oddHBand="0" w:evenHBand="0" w:firstRowFirstColumn="0" w:firstRowLastColumn="0" w:lastRowFirstColumn="0" w:lastRowLastColumn="0"/>
          <w:trHeight w:val="284"/>
        </w:trPr>
        <w:tc>
          <w:tcPr>
            <w:tcW w:w="853" w:type="pct"/>
            <w:vMerge w:val="restart"/>
            <w:shd w:val="clear" w:color="auto" w:fill="1F497D" w:themeFill="text2"/>
            <w:vAlign w:val="center"/>
          </w:tcPr>
          <w:p w:rsidR="004E28FB" w:rsidRPr="00E61DBA" w:rsidRDefault="004E28FB" w:rsidP="00687FD1">
            <w:pPr>
              <w:keepNext/>
              <w:keepLines/>
              <w:rPr>
                <w:color w:val="FFFFFF" w:themeColor="background1"/>
                <w:sz w:val="20"/>
                <w:szCs w:val="20"/>
              </w:rPr>
            </w:pPr>
          </w:p>
        </w:tc>
        <w:tc>
          <w:tcPr>
            <w:tcW w:w="2620" w:type="pct"/>
            <w:gridSpan w:val="7"/>
            <w:shd w:val="clear" w:color="auto" w:fill="1F497D" w:themeFill="text2"/>
            <w:vAlign w:val="center"/>
          </w:tcPr>
          <w:p w:rsidR="004E28FB" w:rsidRPr="00E61DBA" w:rsidRDefault="004E28FB" w:rsidP="00687FD1">
            <w:pPr>
              <w:keepNext/>
              <w:keepLines/>
              <w:jc w:val="center"/>
              <w:rPr>
                <w:color w:val="FFFFFF" w:themeColor="background1"/>
                <w:sz w:val="20"/>
                <w:szCs w:val="20"/>
              </w:rPr>
            </w:pPr>
            <w:r w:rsidRPr="00E61DBA">
              <w:rPr>
                <w:color w:val="FFFFFF" w:themeColor="background1"/>
                <w:sz w:val="20"/>
                <w:szCs w:val="20"/>
              </w:rPr>
              <w:t>LOCAL</w:t>
            </w:r>
          </w:p>
        </w:tc>
        <w:tc>
          <w:tcPr>
            <w:tcW w:w="1527" w:type="pct"/>
            <w:gridSpan w:val="4"/>
            <w:shd w:val="clear" w:color="auto" w:fill="1F497D" w:themeFill="text2"/>
            <w:vAlign w:val="center"/>
          </w:tcPr>
          <w:p w:rsidR="004E28FB" w:rsidRPr="00E61DBA" w:rsidRDefault="004E28FB" w:rsidP="00687FD1">
            <w:pPr>
              <w:keepNext/>
              <w:keepLines/>
              <w:jc w:val="center"/>
              <w:rPr>
                <w:color w:val="FFFFFF" w:themeColor="background1"/>
                <w:sz w:val="20"/>
                <w:szCs w:val="20"/>
              </w:rPr>
            </w:pPr>
            <w:r w:rsidRPr="00E61DBA">
              <w:rPr>
                <w:color w:val="FFFFFF" w:themeColor="background1"/>
                <w:sz w:val="20"/>
                <w:szCs w:val="20"/>
              </w:rPr>
              <w:t>REGIONAL</w:t>
            </w:r>
          </w:p>
        </w:tc>
      </w:tr>
      <w:tr w:rsidR="00687FD1" w:rsidRPr="00687FD1" w:rsidTr="00E61DBA">
        <w:trPr>
          <w:trHeight w:val="1812"/>
        </w:trPr>
        <w:tc>
          <w:tcPr>
            <w:tcW w:w="853" w:type="pct"/>
            <w:vMerge/>
            <w:shd w:val="clear" w:color="auto" w:fill="1F497D" w:themeFill="text2"/>
            <w:vAlign w:val="center"/>
          </w:tcPr>
          <w:p w:rsidR="004E28FB" w:rsidRPr="00E61DBA" w:rsidRDefault="004E28FB" w:rsidP="00687FD1">
            <w:pPr>
              <w:keepNext/>
              <w:keepLines/>
              <w:rPr>
                <w:color w:val="FFFFFF" w:themeColor="background1"/>
                <w:sz w:val="20"/>
                <w:szCs w:val="20"/>
              </w:rPr>
            </w:pPr>
          </w:p>
        </w:tc>
        <w:tc>
          <w:tcPr>
            <w:tcW w:w="439" w:type="pct"/>
            <w:vMerge w:val="restart"/>
            <w:shd w:val="clear" w:color="auto" w:fill="1F497D" w:themeFill="text2"/>
            <w:vAlign w:val="center"/>
          </w:tcPr>
          <w:p w:rsidR="004E28FB" w:rsidRPr="00E61DBA" w:rsidRDefault="004E28FB" w:rsidP="00687FD1">
            <w:pPr>
              <w:keepNext/>
              <w:keepLines/>
              <w:jc w:val="center"/>
              <w:rPr>
                <w:color w:val="FFFFFF" w:themeColor="background1"/>
                <w:sz w:val="20"/>
                <w:szCs w:val="20"/>
              </w:rPr>
            </w:pPr>
            <w:r w:rsidRPr="00E61DBA">
              <w:rPr>
                <w:color w:val="FFFFFF" w:themeColor="background1"/>
                <w:sz w:val="20"/>
                <w:szCs w:val="20"/>
              </w:rPr>
              <w:t>No. of sites</w:t>
            </w:r>
          </w:p>
        </w:tc>
        <w:tc>
          <w:tcPr>
            <w:tcW w:w="945" w:type="pct"/>
            <w:gridSpan w:val="2"/>
            <w:vMerge w:val="restart"/>
            <w:shd w:val="clear" w:color="auto" w:fill="1F497D" w:themeFill="text2"/>
            <w:vAlign w:val="center"/>
          </w:tcPr>
          <w:p w:rsidR="004E28FB" w:rsidRPr="00E61DBA" w:rsidRDefault="004E28FB" w:rsidP="00687FD1">
            <w:pPr>
              <w:keepNext/>
              <w:keepLines/>
              <w:jc w:val="center"/>
              <w:rPr>
                <w:color w:val="FFFFFF" w:themeColor="background1"/>
                <w:sz w:val="20"/>
                <w:szCs w:val="20"/>
              </w:rPr>
            </w:pPr>
            <w:r w:rsidRPr="00E61DBA">
              <w:rPr>
                <w:color w:val="FFFFFF" w:themeColor="background1"/>
                <w:sz w:val="20"/>
                <w:szCs w:val="20"/>
              </w:rPr>
              <w:t>No. of cities/towns</w:t>
            </w:r>
          </w:p>
        </w:tc>
        <w:tc>
          <w:tcPr>
            <w:tcW w:w="1236" w:type="pct"/>
            <w:gridSpan w:val="4"/>
            <w:shd w:val="clear" w:color="auto" w:fill="1F497D" w:themeFill="text2"/>
            <w:vAlign w:val="center"/>
          </w:tcPr>
          <w:p w:rsidR="004E28FB" w:rsidRPr="00E61DBA" w:rsidRDefault="004E28FB" w:rsidP="00687FD1">
            <w:pPr>
              <w:keepNext/>
              <w:keepLines/>
              <w:jc w:val="center"/>
              <w:rPr>
                <w:color w:val="FFFFFF" w:themeColor="background1"/>
                <w:sz w:val="20"/>
                <w:szCs w:val="20"/>
              </w:rPr>
            </w:pPr>
            <w:r w:rsidRPr="00E61DBA">
              <w:rPr>
                <w:color w:val="FFFFFF" w:themeColor="background1"/>
                <w:sz w:val="20"/>
                <w:szCs w:val="20"/>
              </w:rPr>
              <w:t>Site class distribution</w:t>
            </w:r>
          </w:p>
        </w:tc>
        <w:tc>
          <w:tcPr>
            <w:tcW w:w="363" w:type="pct"/>
            <w:vMerge w:val="restart"/>
            <w:shd w:val="clear" w:color="auto" w:fill="1F497D" w:themeFill="text2"/>
            <w:vAlign w:val="center"/>
          </w:tcPr>
          <w:p w:rsidR="004E28FB" w:rsidRPr="00E61DBA" w:rsidRDefault="004E28FB" w:rsidP="00687FD1">
            <w:pPr>
              <w:keepNext/>
              <w:keepLines/>
              <w:jc w:val="center"/>
              <w:rPr>
                <w:color w:val="FFFFFF" w:themeColor="background1"/>
                <w:sz w:val="20"/>
                <w:szCs w:val="20"/>
              </w:rPr>
            </w:pPr>
            <w:r w:rsidRPr="00E61DBA">
              <w:rPr>
                <w:color w:val="FFFFFF" w:themeColor="background1"/>
                <w:sz w:val="20"/>
                <w:szCs w:val="20"/>
              </w:rPr>
              <w:t>No. of sites</w:t>
            </w:r>
          </w:p>
        </w:tc>
        <w:tc>
          <w:tcPr>
            <w:tcW w:w="364" w:type="pct"/>
            <w:vMerge w:val="restart"/>
            <w:shd w:val="clear" w:color="auto" w:fill="1F497D" w:themeFill="text2"/>
            <w:vAlign w:val="center"/>
          </w:tcPr>
          <w:p w:rsidR="004E28FB" w:rsidRPr="00E61DBA" w:rsidRDefault="004E28FB" w:rsidP="00687FD1">
            <w:pPr>
              <w:keepNext/>
              <w:keepLines/>
              <w:jc w:val="center"/>
              <w:rPr>
                <w:color w:val="FFFFFF" w:themeColor="background1"/>
                <w:sz w:val="20"/>
                <w:szCs w:val="20"/>
              </w:rPr>
            </w:pPr>
            <w:r w:rsidRPr="00E61DBA">
              <w:rPr>
                <w:color w:val="FFFFFF" w:themeColor="background1"/>
                <w:sz w:val="20"/>
                <w:szCs w:val="20"/>
              </w:rPr>
              <w:t>SO</w:t>
            </w:r>
            <w:r w:rsidRPr="00E61DBA">
              <w:rPr>
                <w:color w:val="FFFFFF" w:themeColor="background1"/>
                <w:sz w:val="20"/>
                <w:szCs w:val="20"/>
                <w:vertAlign w:val="subscript"/>
              </w:rPr>
              <w:t>2</w:t>
            </w:r>
            <w:r w:rsidRPr="00E61DBA">
              <w:rPr>
                <w:color w:val="FFFFFF" w:themeColor="background1"/>
                <w:sz w:val="20"/>
                <w:szCs w:val="20"/>
              </w:rPr>
              <w:t>+</w:t>
            </w:r>
          </w:p>
        </w:tc>
        <w:tc>
          <w:tcPr>
            <w:tcW w:w="502" w:type="pct"/>
            <w:vMerge w:val="restart"/>
            <w:shd w:val="clear" w:color="auto" w:fill="1F497D" w:themeFill="text2"/>
            <w:vAlign w:val="center"/>
          </w:tcPr>
          <w:p w:rsidR="004E28FB" w:rsidRPr="00E61DBA" w:rsidRDefault="004E28FB" w:rsidP="00687FD1">
            <w:pPr>
              <w:keepNext/>
              <w:keepLines/>
              <w:jc w:val="center"/>
              <w:rPr>
                <w:color w:val="FFFFFF" w:themeColor="background1"/>
                <w:sz w:val="20"/>
                <w:szCs w:val="20"/>
              </w:rPr>
            </w:pPr>
            <w:proofErr w:type="spellStart"/>
            <w:r w:rsidRPr="00E61DBA">
              <w:rPr>
                <w:color w:val="FFFFFF" w:themeColor="background1"/>
                <w:sz w:val="20"/>
                <w:szCs w:val="20"/>
              </w:rPr>
              <w:t>Deposi</w:t>
            </w:r>
            <w:r w:rsidR="00687FD1" w:rsidRPr="00E61DBA">
              <w:rPr>
                <w:color w:val="FFFFFF" w:themeColor="background1"/>
                <w:sz w:val="20"/>
                <w:szCs w:val="20"/>
              </w:rPr>
              <w:t>-</w:t>
            </w:r>
            <w:r w:rsidRPr="00E61DBA">
              <w:rPr>
                <w:color w:val="FFFFFF" w:themeColor="background1"/>
                <w:sz w:val="20"/>
                <w:szCs w:val="20"/>
              </w:rPr>
              <w:t>tion</w:t>
            </w:r>
            <w:proofErr w:type="spellEnd"/>
          </w:p>
        </w:tc>
        <w:tc>
          <w:tcPr>
            <w:tcW w:w="298" w:type="pct"/>
            <w:vMerge w:val="restart"/>
            <w:shd w:val="clear" w:color="auto" w:fill="1F497D" w:themeFill="text2"/>
            <w:vAlign w:val="center"/>
          </w:tcPr>
          <w:p w:rsidR="004E28FB" w:rsidRPr="00E61DBA" w:rsidRDefault="004E28FB" w:rsidP="00687FD1">
            <w:pPr>
              <w:keepNext/>
              <w:keepLines/>
              <w:jc w:val="center"/>
              <w:rPr>
                <w:color w:val="FFFFFF" w:themeColor="background1"/>
                <w:sz w:val="20"/>
                <w:szCs w:val="20"/>
              </w:rPr>
            </w:pPr>
            <w:r w:rsidRPr="00E61DBA">
              <w:rPr>
                <w:color w:val="FFFFFF" w:themeColor="background1"/>
                <w:sz w:val="20"/>
                <w:szCs w:val="20"/>
              </w:rPr>
              <w:t>O</w:t>
            </w:r>
            <w:r w:rsidRPr="00E61DBA">
              <w:rPr>
                <w:color w:val="FFFFFF" w:themeColor="background1"/>
                <w:sz w:val="20"/>
                <w:szCs w:val="20"/>
                <w:vertAlign w:val="subscript"/>
              </w:rPr>
              <w:t>3</w:t>
            </w:r>
          </w:p>
        </w:tc>
      </w:tr>
      <w:tr w:rsidR="00687FD1" w:rsidRPr="00687FD1" w:rsidTr="00E61DBA">
        <w:trPr>
          <w:trHeight w:val="247"/>
        </w:trPr>
        <w:tc>
          <w:tcPr>
            <w:tcW w:w="853" w:type="pct"/>
            <w:vMerge/>
            <w:vAlign w:val="center"/>
          </w:tcPr>
          <w:p w:rsidR="00687FD1" w:rsidRPr="00687FD1" w:rsidRDefault="00687FD1" w:rsidP="00687FD1">
            <w:pPr>
              <w:keepNext/>
              <w:keepLines/>
              <w:rPr>
                <w:color w:val="FFFFFF" w:themeColor="background1"/>
                <w:sz w:val="20"/>
                <w:szCs w:val="20"/>
              </w:rPr>
            </w:pPr>
          </w:p>
        </w:tc>
        <w:tc>
          <w:tcPr>
            <w:tcW w:w="439" w:type="pct"/>
            <w:vMerge/>
            <w:vAlign w:val="center"/>
          </w:tcPr>
          <w:p w:rsidR="00687FD1" w:rsidRPr="00687FD1" w:rsidRDefault="00687FD1" w:rsidP="00687FD1">
            <w:pPr>
              <w:keepNext/>
              <w:keepLines/>
              <w:jc w:val="center"/>
              <w:rPr>
                <w:color w:val="FFFFFF" w:themeColor="background1"/>
                <w:sz w:val="20"/>
                <w:szCs w:val="20"/>
              </w:rPr>
            </w:pPr>
          </w:p>
        </w:tc>
        <w:tc>
          <w:tcPr>
            <w:tcW w:w="945" w:type="pct"/>
            <w:gridSpan w:val="2"/>
            <w:vMerge/>
            <w:vAlign w:val="center"/>
          </w:tcPr>
          <w:p w:rsidR="00687FD1" w:rsidRPr="00687FD1" w:rsidRDefault="00687FD1" w:rsidP="00687FD1">
            <w:pPr>
              <w:keepNext/>
              <w:keepLines/>
              <w:jc w:val="center"/>
              <w:rPr>
                <w:color w:val="FFFFFF" w:themeColor="background1"/>
                <w:sz w:val="20"/>
                <w:szCs w:val="20"/>
              </w:rPr>
            </w:pPr>
          </w:p>
        </w:tc>
        <w:tc>
          <w:tcPr>
            <w:tcW w:w="872" w:type="pct"/>
            <w:gridSpan w:val="3"/>
            <w:shd w:val="clear" w:color="auto" w:fill="1F497D" w:themeFill="text2"/>
            <w:vAlign w:val="center"/>
          </w:tcPr>
          <w:p w:rsidR="00687FD1" w:rsidRPr="00E61DBA" w:rsidRDefault="00687FD1" w:rsidP="00687FD1">
            <w:pPr>
              <w:keepNext/>
              <w:keepLines/>
              <w:jc w:val="center"/>
              <w:rPr>
                <w:color w:val="FFFFFF" w:themeColor="background1"/>
                <w:sz w:val="20"/>
                <w:szCs w:val="20"/>
              </w:rPr>
            </w:pPr>
            <w:r w:rsidRPr="00E61DBA">
              <w:rPr>
                <w:color w:val="FFFFFF" w:themeColor="background1"/>
                <w:sz w:val="20"/>
                <w:szCs w:val="20"/>
              </w:rPr>
              <w:t>Urban</w:t>
            </w:r>
          </w:p>
        </w:tc>
        <w:tc>
          <w:tcPr>
            <w:tcW w:w="364" w:type="pct"/>
            <w:vMerge w:val="restart"/>
            <w:shd w:val="clear" w:color="auto" w:fill="1F497D" w:themeFill="text2"/>
            <w:textDirection w:val="btLr"/>
            <w:vAlign w:val="center"/>
          </w:tcPr>
          <w:p w:rsidR="00687FD1" w:rsidRPr="00E61DBA" w:rsidRDefault="00687FD1" w:rsidP="00687FD1">
            <w:pPr>
              <w:keepNext/>
              <w:keepLines/>
              <w:ind w:left="113" w:right="113"/>
              <w:jc w:val="center"/>
              <w:rPr>
                <w:color w:val="FFFFFF" w:themeColor="background1"/>
                <w:sz w:val="20"/>
                <w:szCs w:val="20"/>
              </w:rPr>
            </w:pPr>
            <w:r w:rsidRPr="00E61DBA">
              <w:rPr>
                <w:color w:val="FFFFFF" w:themeColor="background1"/>
                <w:sz w:val="20"/>
                <w:szCs w:val="20"/>
              </w:rPr>
              <w:t>Regional</w:t>
            </w:r>
          </w:p>
        </w:tc>
        <w:tc>
          <w:tcPr>
            <w:tcW w:w="363" w:type="pct"/>
            <w:vMerge/>
            <w:vAlign w:val="center"/>
          </w:tcPr>
          <w:p w:rsidR="00687FD1" w:rsidRPr="00687FD1" w:rsidRDefault="00687FD1" w:rsidP="00687FD1">
            <w:pPr>
              <w:keepNext/>
              <w:keepLines/>
              <w:jc w:val="center"/>
              <w:rPr>
                <w:color w:val="FFFFFF" w:themeColor="background1"/>
                <w:sz w:val="20"/>
                <w:szCs w:val="20"/>
              </w:rPr>
            </w:pPr>
          </w:p>
        </w:tc>
        <w:tc>
          <w:tcPr>
            <w:tcW w:w="364" w:type="pct"/>
            <w:vMerge/>
            <w:vAlign w:val="center"/>
          </w:tcPr>
          <w:p w:rsidR="00687FD1" w:rsidRPr="00687FD1" w:rsidRDefault="00687FD1" w:rsidP="00687FD1">
            <w:pPr>
              <w:keepNext/>
              <w:keepLines/>
              <w:jc w:val="center"/>
              <w:rPr>
                <w:color w:val="FFFFFF" w:themeColor="background1"/>
                <w:sz w:val="20"/>
                <w:szCs w:val="20"/>
              </w:rPr>
            </w:pPr>
          </w:p>
        </w:tc>
        <w:tc>
          <w:tcPr>
            <w:tcW w:w="502" w:type="pct"/>
            <w:vMerge/>
            <w:vAlign w:val="center"/>
          </w:tcPr>
          <w:p w:rsidR="00687FD1" w:rsidRPr="00687FD1" w:rsidRDefault="00687FD1" w:rsidP="00687FD1">
            <w:pPr>
              <w:keepNext/>
              <w:keepLines/>
              <w:jc w:val="center"/>
              <w:rPr>
                <w:color w:val="FFFFFF" w:themeColor="background1"/>
                <w:sz w:val="20"/>
                <w:szCs w:val="20"/>
              </w:rPr>
            </w:pPr>
          </w:p>
        </w:tc>
        <w:tc>
          <w:tcPr>
            <w:tcW w:w="298" w:type="pct"/>
            <w:vMerge/>
            <w:vAlign w:val="center"/>
          </w:tcPr>
          <w:p w:rsidR="00687FD1" w:rsidRPr="00687FD1" w:rsidRDefault="00687FD1" w:rsidP="00687FD1">
            <w:pPr>
              <w:keepNext/>
              <w:keepLines/>
              <w:jc w:val="center"/>
              <w:rPr>
                <w:color w:val="FFFFFF" w:themeColor="background1"/>
                <w:sz w:val="20"/>
                <w:szCs w:val="20"/>
              </w:rPr>
            </w:pPr>
          </w:p>
        </w:tc>
      </w:tr>
      <w:tr w:rsidR="00687FD1" w:rsidRPr="00687FD1" w:rsidTr="00E61DBA">
        <w:trPr>
          <w:cantSplit/>
          <w:trHeight w:val="2040"/>
        </w:trPr>
        <w:tc>
          <w:tcPr>
            <w:tcW w:w="853" w:type="pct"/>
            <w:vMerge/>
            <w:vAlign w:val="center"/>
          </w:tcPr>
          <w:p w:rsidR="00687FD1" w:rsidRPr="00687FD1" w:rsidRDefault="00687FD1" w:rsidP="00687FD1">
            <w:pPr>
              <w:keepNext/>
              <w:keepLines/>
              <w:rPr>
                <w:color w:val="FFFFFF" w:themeColor="background1"/>
                <w:sz w:val="20"/>
                <w:szCs w:val="20"/>
              </w:rPr>
            </w:pPr>
          </w:p>
        </w:tc>
        <w:tc>
          <w:tcPr>
            <w:tcW w:w="439" w:type="pct"/>
            <w:vMerge/>
            <w:vAlign w:val="center"/>
          </w:tcPr>
          <w:p w:rsidR="00687FD1" w:rsidRPr="00687FD1" w:rsidRDefault="00687FD1" w:rsidP="00687FD1">
            <w:pPr>
              <w:keepNext/>
              <w:keepLines/>
              <w:jc w:val="center"/>
              <w:rPr>
                <w:color w:val="FFFFFF" w:themeColor="background1"/>
                <w:sz w:val="20"/>
                <w:szCs w:val="20"/>
              </w:rPr>
            </w:pPr>
          </w:p>
        </w:tc>
        <w:tc>
          <w:tcPr>
            <w:tcW w:w="945" w:type="pct"/>
            <w:gridSpan w:val="2"/>
            <w:vMerge/>
            <w:vAlign w:val="center"/>
          </w:tcPr>
          <w:p w:rsidR="00687FD1" w:rsidRPr="00687FD1" w:rsidRDefault="00687FD1" w:rsidP="00687FD1">
            <w:pPr>
              <w:keepNext/>
              <w:keepLines/>
              <w:jc w:val="center"/>
              <w:rPr>
                <w:color w:val="FFFFFF" w:themeColor="background1"/>
                <w:sz w:val="20"/>
                <w:szCs w:val="20"/>
              </w:rPr>
            </w:pPr>
          </w:p>
        </w:tc>
        <w:tc>
          <w:tcPr>
            <w:tcW w:w="215" w:type="pct"/>
            <w:shd w:val="clear" w:color="auto" w:fill="1F497D" w:themeFill="text2"/>
            <w:textDirection w:val="btLr"/>
          </w:tcPr>
          <w:p w:rsidR="00687FD1" w:rsidRPr="00E61DBA" w:rsidRDefault="00687FD1" w:rsidP="00E61DBA">
            <w:pPr>
              <w:keepNext/>
              <w:keepLines/>
              <w:spacing w:before="0"/>
              <w:ind w:left="113" w:right="113"/>
              <w:jc w:val="left"/>
              <w:rPr>
                <w:color w:val="FFFFFF" w:themeColor="background1"/>
                <w:sz w:val="20"/>
                <w:szCs w:val="20"/>
              </w:rPr>
            </w:pPr>
            <w:r w:rsidRPr="00E61DBA">
              <w:rPr>
                <w:color w:val="FFFFFF" w:themeColor="background1"/>
                <w:sz w:val="20"/>
                <w:szCs w:val="20"/>
              </w:rPr>
              <w:t>General</w:t>
            </w:r>
          </w:p>
        </w:tc>
        <w:tc>
          <w:tcPr>
            <w:tcW w:w="366" w:type="pct"/>
            <w:shd w:val="clear" w:color="auto" w:fill="1F497D" w:themeFill="text2"/>
            <w:textDirection w:val="btLr"/>
          </w:tcPr>
          <w:p w:rsidR="00687FD1" w:rsidRPr="00E61DBA" w:rsidRDefault="00687FD1" w:rsidP="00E61DBA">
            <w:pPr>
              <w:keepNext/>
              <w:keepLines/>
              <w:spacing w:before="0"/>
              <w:ind w:left="113" w:right="113"/>
              <w:jc w:val="left"/>
              <w:rPr>
                <w:color w:val="FFFFFF" w:themeColor="background1"/>
                <w:sz w:val="20"/>
                <w:szCs w:val="20"/>
              </w:rPr>
            </w:pPr>
            <w:r w:rsidRPr="00E61DBA">
              <w:rPr>
                <w:color w:val="FFFFFF" w:themeColor="background1"/>
                <w:sz w:val="20"/>
                <w:szCs w:val="20"/>
              </w:rPr>
              <w:t>Traffic hot-spot</w:t>
            </w:r>
          </w:p>
        </w:tc>
        <w:tc>
          <w:tcPr>
            <w:tcW w:w="291" w:type="pct"/>
            <w:shd w:val="clear" w:color="auto" w:fill="1F497D" w:themeFill="text2"/>
            <w:textDirection w:val="btLr"/>
          </w:tcPr>
          <w:p w:rsidR="00687FD1" w:rsidRPr="00E61DBA" w:rsidRDefault="00687FD1" w:rsidP="00E61DBA">
            <w:pPr>
              <w:keepNext/>
              <w:keepLines/>
              <w:spacing w:before="0"/>
              <w:ind w:left="113" w:right="113"/>
              <w:jc w:val="left"/>
              <w:rPr>
                <w:color w:val="FFFFFF" w:themeColor="background1"/>
                <w:sz w:val="20"/>
                <w:szCs w:val="20"/>
              </w:rPr>
            </w:pPr>
            <w:r w:rsidRPr="00E61DBA">
              <w:rPr>
                <w:color w:val="FFFFFF" w:themeColor="background1"/>
                <w:sz w:val="20"/>
                <w:szCs w:val="20"/>
              </w:rPr>
              <w:t>Industrial/ hot spot</w:t>
            </w:r>
          </w:p>
        </w:tc>
        <w:tc>
          <w:tcPr>
            <w:tcW w:w="364" w:type="pct"/>
            <w:vMerge/>
            <w:shd w:val="clear" w:color="auto" w:fill="1F497D" w:themeFill="text2"/>
            <w:textDirection w:val="btLr"/>
          </w:tcPr>
          <w:p w:rsidR="00687FD1" w:rsidRPr="00687FD1" w:rsidRDefault="00687FD1" w:rsidP="00687FD1">
            <w:pPr>
              <w:keepNext/>
              <w:keepLines/>
              <w:ind w:left="113" w:right="113"/>
              <w:jc w:val="left"/>
              <w:rPr>
                <w:b w:val="0"/>
                <w:color w:val="FFFFFF" w:themeColor="background1"/>
                <w:sz w:val="20"/>
                <w:szCs w:val="20"/>
              </w:rPr>
            </w:pPr>
          </w:p>
        </w:tc>
        <w:tc>
          <w:tcPr>
            <w:tcW w:w="363" w:type="pct"/>
            <w:vMerge/>
            <w:vAlign w:val="center"/>
          </w:tcPr>
          <w:p w:rsidR="00687FD1" w:rsidRPr="00687FD1" w:rsidRDefault="00687FD1" w:rsidP="00687FD1">
            <w:pPr>
              <w:keepNext/>
              <w:keepLines/>
              <w:jc w:val="center"/>
              <w:rPr>
                <w:color w:val="FFFFFF" w:themeColor="background1"/>
                <w:sz w:val="20"/>
                <w:szCs w:val="20"/>
              </w:rPr>
            </w:pPr>
          </w:p>
        </w:tc>
        <w:tc>
          <w:tcPr>
            <w:tcW w:w="364" w:type="pct"/>
            <w:vMerge/>
            <w:vAlign w:val="center"/>
          </w:tcPr>
          <w:p w:rsidR="00687FD1" w:rsidRPr="00687FD1" w:rsidRDefault="00687FD1" w:rsidP="00687FD1">
            <w:pPr>
              <w:keepNext/>
              <w:keepLines/>
              <w:jc w:val="center"/>
              <w:rPr>
                <w:color w:val="FFFFFF" w:themeColor="background1"/>
                <w:sz w:val="20"/>
                <w:szCs w:val="20"/>
              </w:rPr>
            </w:pPr>
          </w:p>
        </w:tc>
        <w:tc>
          <w:tcPr>
            <w:tcW w:w="502" w:type="pct"/>
            <w:vMerge/>
            <w:vAlign w:val="center"/>
          </w:tcPr>
          <w:p w:rsidR="00687FD1" w:rsidRPr="00687FD1" w:rsidRDefault="00687FD1" w:rsidP="00687FD1">
            <w:pPr>
              <w:keepNext/>
              <w:keepLines/>
              <w:jc w:val="center"/>
              <w:rPr>
                <w:color w:val="FFFFFF" w:themeColor="background1"/>
                <w:sz w:val="20"/>
                <w:szCs w:val="20"/>
              </w:rPr>
            </w:pPr>
          </w:p>
        </w:tc>
        <w:tc>
          <w:tcPr>
            <w:tcW w:w="298" w:type="pct"/>
            <w:vMerge/>
            <w:vAlign w:val="center"/>
          </w:tcPr>
          <w:p w:rsidR="00687FD1" w:rsidRPr="00687FD1" w:rsidRDefault="00687FD1" w:rsidP="00687FD1">
            <w:pPr>
              <w:keepNext/>
              <w:keepLines/>
              <w:jc w:val="center"/>
              <w:rPr>
                <w:color w:val="FFFFFF" w:themeColor="background1"/>
                <w:sz w:val="20"/>
                <w:szCs w:val="20"/>
              </w:rPr>
            </w:pPr>
          </w:p>
        </w:tc>
      </w:tr>
      <w:tr w:rsidR="004E28FB" w:rsidRPr="00687FD1" w:rsidTr="00E61DBA">
        <w:trPr>
          <w:trHeight w:val="284"/>
        </w:trPr>
        <w:tc>
          <w:tcPr>
            <w:tcW w:w="853" w:type="pct"/>
            <w:vAlign w:val="center"/>
          </w:tcPr>
          <w:p w:rsidR="004E28FB" w:rsidRPr="00687FD1" w:rsidRDefault="004E28FB" w:rsidP="00687FD1">
            <w:pPr>
              <w:keepNext/>
              <w:keepLines/>
              <w:rPr>
                <w:sz w:val="20"/>
                <w:szCs w:val="20"/>
              </w:rPr>
            </w:pPr>
            <w:r w:rsidRPr="00687FD1">
              <w:rPr>
                <w:sz w:val="20"/>
                <w:szCs w:val="20"/>
              </w:rPr>
              <w:t>Austria</w:t>
            </w:r>
          </w:p>
        </w:tc>
        <w:tc>
          <w:tcPr>
            <w:tcW w:w="439" w:type="pct"/>
            <w:vAlign w:val="center"/>
          </w:tcPr>
          <w:p w:rsidR="004E28FB" w:rsidRPr="00687FD1" w:rsidRDefault="004E28FB" w:rsidP="00687FD1">
            <w:pPr>
              <w:keepNext/>
              <w:keepLines/>
              <w:jc w:val="center"/>
              <w:rPr>
                <w:b w:val="0"/>
                <w:sz w:val="20"/>
                <w:szCs w:val="20"/>
              </w:rPr>
            </w:pPr>
            <w:r w:rsidRPr="00687FD1">
              <w:rPr>
                <w:b w:val="0"/>
                <w:sz w:val="20"/>
                <w:szCs w:val="20"/>
              </w:rPr>
              <w:t>165</w:t>
            </w:r>
          </w:p>
        </w:tc>
        <w:tc>
          <w:tcPr>
            <w:tcW w:w="727" w:type="pct"/>
            <w:vAlign w:val="center"/>
          </w:tcPr>
          <w:p w:rsidR="004E28FB" w:rsidRPr="00687FD1" w:rsidRDefault="004E28FB" w:rsidP="00687FD1">
            <w:pPr>
              <w:keepNext/>
              <w:keepLines/>
              <w:jc w:val="center"/>
              <w:rPr>
                <w:b w:val="0"/>
                <w:sz w:val="20"/>
                <w:szCs w:val="20"/>
              </w:rPr>
            </w:pPr>
            <w:r w:rsidRPr="00687FD1">
              <w:rPr>
                <w:b w:val="0"/>
                <w:sz w:val="20"/>
                <w:szCs w:val="20"/>
              </w:rPr>
              <w:t>10</w:t>
            </w:r>
          </w:p>
        </w:tc>
        <w:tc>
          <w:tcPr>
            <w:tcW w:w="433" w:type="pct"/>
            <w:gridSpan w:val="2"/>
            <w:vAlign w:val="center"/>
          </w:tcPr>
          <w:p w:rsidR="004E28FB" w:rsidRPr="00687FD1" w:rsidRDefault="004E28FB" w:rsidP="00687FD1">
            <w:pPr>
              <w:keepNext/>
              <w:keepLines/>
              <w:jc w:val="center"/>
              <w:rPr>
                <w:b w:val="0"/>
                <w:sz w:val="20"/>
                <w:szCs w:val="20"/>
              </w:rPr>
            </w:pPr>
            <w:r w:rsidRPr="00687FD1">
              <w:rPr>
                <w:b w:val="0"/>
                <w:sz w:val="20"/>
                <w:szCs w:val="20"/>
              </w:rPr>
              <w:t>100</w:t>
            </w:r>
          </w:p>
        </w:tc>
        <w:tc>
          <w:tcPr>
            <w:tcW w:w="366" w:type="pct"/>
            <w:vAlign w:val="center"/>
          </w:tcPr>
          <w:p w:rsidR="004E28FB" w:rsidRPr="00687FD1" w:rsidRDefault="004E28FB" w:rsidP="00687FD1">
            <w:pPr>
              <w:keepNext/>
              <w:keepLines/>
              <w:jc w:val="center"/>
              <w:rPr>
                <w:b w:val="0"/>
                <w:sz w:val="20"/>
                <w:szCs w:val="20"/>
              </w:rPr>
            </w:pPr>
            <w:r w:rsidRPr="00687FD1">
              <w:rPr>
                <w:b w:val="0"/>
                <w:sz w:val="20"/>
                <w:szCs w:val="20"/>
              </w:rPr>
              <w:t>30</w:t>
            </w:r>
          </w:p>
        </w:tc>
        <w:tc>
          <w:tcPr>
            <w:tcW w:w="291" w:type="pct"/>
            <w:vAlign w:val="center"/>
          </w:tcPr>
          <w:p w:rsidR="004E28FB" w:rsidRPr="00687FD1" w:rsidRDefault="004E28FB" w:rsidP="00687FD1">
            <w:pPr>
              <w:keepNext/>
              <w:keepLines/>
              <w:jc w:val="center"/>
              <w:rPr>
                <w:b w:val="0"/>
                <w:sz w:val="20"/>
                <w:szCs w:val="20"/>
              </w:rPr>
            </w:pPr>
            <w:r w:rsidRPr="00687FD1">
              <w:rPr>
                <w:b w:val="0"/>
                <w:sz w:val="20"/>
                <w:szCs w:val="20"/>
              </w:rPr>
              <w:t>20</w:t>
            </w:r>
          </w:p>
        </w:tc>
        <w:tc>
          <w:tcPr>
            <w:tcW w:w="364" w:type="pct"/>
            <w:vAlign w:val="center"/>
          </w:tcPr>
          <w:p w:rsidR="004E28FB" w:rsidRPr="00687FD1" w:rsidRDefault="004E28FB" w:rsidP="00687FD1">
            <w:pPr>
              <w:keepNext/>
              <w:keepLines/>
              <w:jc w:val="center"/>
              <w:rPr>
                <w:b w:val="0"/>
                <w:sz w:val="20"/>
                <w:szCs w:val="20"/>
              </w:rPr>
            </w:pPr>
            <w:r w:rsidRPr="00687FD1">
              <w:rPr>
                <w:b w:val="0"/>
                <w:sz w:val="20"/>
                <w:szCs w:val="20"/>
              </w:rPr>
              <w:t>15</w:t>
            </w:r>
          </w:p>
        </w:tc>
        <w:tc>
          <w:tcPr>
            <w:tcW w:w="363" w:type="pct"/>
            <w:vAlign w:val="center"/>
          </w:tcPr>
          <w:p w:rsidR="004E28FB" w:rsidRPr="00687FD1" w:rsidRDefault="004E28FB" w:rsidP="00687FD1">
            <w:pPr>
              <w:keepNext/>
              <w:keepLines/>
              <w:jc w:val="center"/>
              <w:rPr>
                <w:b w:val="0"/>
                <w:sz w:val="20"/>
                <w:szCs w:val="20"/>
              </w:rPr>
            </w:pPr>
            <w:r w:rsidRPr="00687FD1">
              <w:rPr>
                <w:b w:val="0"/>
                <w:sz w:val="20"/>
                <w:szCs w:val="20"/>
              </w:rPr>
              <w:t>55</w:t>
            </w:r>
          </w:p>
        </w:tc>
        <w:tc>
          <w:tcPr>
            <w:tcW w:w="364" w:type="pct"/>
            <w:vAlign w:val="center"/>
          </w:tcPr>
          <w:p w:rsidR="004E28FB" w:rsidRPr="00687FD1" w:rsidRDefault="004E28FB" w:rsidP="00687FD1">
            <w:pPr>
              <w:keepNext/>
              <w:keepLines/>
              <w:jc w:val="center"/>
              <w:rPr>
                <w:b w:val="0"/>
                <w:sz w:val="20"/>
                <w:szCs w:val="20"/>
              </w:rPr>
            </w:pPr>
            <w:r w:rsidRPr="00687FD1">
              <w:rPr>
                <w:b w:val="0"/>
                <w:sz w:val="20"/>
                <w:szCs w:val="20"/>
              </w:rPr>
              <w:t>55</w:t>
            </w:r>
          </w:p>
        </w:tc>
        <w:tc>
          <w:tcPr>
            <w:tcW w:w="502" w:type="pct"/>
            <w:vAlign w:val="center"/>
          </w:tcPr>
          <w:p w:rsidR="004E28FB" w:rsidRPr="00687FD1" w:rsidRDefault="004E28FB" w:rsidP="00687FD1">
            <w:pPr>
              <w:keepNext/>
              <w:keepLines/>
              <w:jc w:val="center"/>
              <w:rPr>
                <w:b w:val="0"/>
                <w:sz w:val="20"/>
                <w:szCs w:val="20"/>
              </w:rPr>
            </w:pPr>
            <w:r w:rsidRPr="00687FD1">
              <w:rPr>
                <w:b w:val="0"/>
                <w:sz w:val="20"/>
                <w:szCs w:val="20"/>
              </w:rPr>
              <w:t>35</w:t>
            </w:r>
          </w:p>
        </w:tc>
        <w:tc>
          <w:tcPr>
            <w:tcW w:w="298" w:type="pct"/>
            <w:vAlign w:val="center"/>
          </w:tcPr>
          <w:p w:rsidR="004E28FB" w:rsidRPr="00687FD1" w:rsidRDefault="004E28FB" w:rsidP="00687FD1">
            <w:pPr>
              <w:keepNext/>
              <w:keepLines/>
              <w:jc w:val="center"/>
              <w:rPr>
                <w:b w:val="0"/>
                <w:sz w:val="20"/>
                <w:szCs w:val="20"/>
              </w:rPr>
            </w:pPr>
            <w:r w:rsidRPr="00687FD1">
              <w:rPr>
                <w:b w:val="0"/>
                <w:sz w:val="20"/>
                <w:szCs w:val="20"/>
              </w:rPr>
              <w:t>55</w:t>
            </w: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Belgium</w:t>
            </w:r>
          </w:p>
        </w:tc>
        <w:tc>
          <w:tcPr>
            <w:tcW w:w="439" w:type="pct"/>
            <w:vAlign w:val="center"/>
          </w:tcPr>
          <w:p w:rsidR="004E28FB" w:rsidRPr="00687FD1" w:rsidRDefault="004E28FB" w:rsidP="004E28FB">
            <w:pPr>
              <w:jc w:val="center"/>
              <w:rPr>
                <w:b w:val="0"/>
                <w:sz w:val="20"/>
                <w:szCs w:val="20"/>
              </w:rPr>
            </w:pPr>
            <w:r w:rsidRPr="00687FD1">
              <w:rPr>
                <w:b w:val="0"/>
                <w:sz w:val="20"/>
                <w:szCs w:val="20"/>
              </w:rPr>
              <w:t>168</w:t>
            </w:r>
          </w:p>
        </w:tc>
        <w:tc>
          <w:tcPr>
            <w:tcW w:w="727" w:type="pct"/>
            <w:vAlign w:val="center"/>
          </w:tcPr>
          <w:p w:rsidR="004E28FB" w:rsidRPr="00687FD1" w:rsidRDefault="004E28FB" w:rsidP="004E28FB">
            <w:pPr>
              <w:jc w:val="center"/>
              <w:rPr>
                <w:b w:val="0"/>
                <w:sz w:val="20"/>
                <w:szCs w:val="20"/>
              </w:rPr>
            </w:pPr>
            <w:r w:rsidRPr="00687FD1">
              <w:rPr>
                <w:b w:val="0"/>
                <w:sz w:val="20"/>
                <w:szCs w:val="20"/>
              </w:rPr>
              <w:t>60</w:t>
            </w:r>
          </w:p>
        </w:tc>
        <w:tc>
          <w:tcPr>
            <w:tcW w:w="799" w:type="pct"/>
            <w:gridSpan w:val="3"/>
            <w:vAlign w:val="center"/>
          </w:tcPr>
          <w:p w:rsidR="004E28FB" w:rsidRPr="00687FD1" w:rsidRDefault="004E28FB" w:rsidP="004E28FB">
            <w:pPr>
              <w:jc w:val="center"/>
              <w:rPr>
                <w:b w:val="0"/>
                <w:sz w:val="20"/>
                <w:szCs w:val="20"/>
              </w:rPr>
            </w:pPr>
            <w:r w:rsidRPr="00687FD1">
              <w:rPr>
                <w:b w:val="0"/>
                <w:sz w:val="20"/>
                <w:szCs w:val="20"/>
              </w:rPr>
              <w:t>125</w:t>
            </w:r>
          </w:p>
        </w:tc>
        <w:tc>
          <w:tcPr>
            <w:tcW w:w="291" w:type="pct"/>
            <w:vAlign w:val="center"/>
          </w:tcPr>
          <w:p w:rsidR="004E28FB" w:rsidRPr="00687FD1" w:rsidRDefault="004E28FB" w:rsidP="004E28FB">
            <w:pPr>
              <w:jc w:val="center"/>
              <w:rPr>
                <w:b w:val="0"/>
                <w:sz w:val="20"/>
                <w:szCs w:val="20"/>
              </w:rPr>
            </w:pPr>
            <w:r w:rsidRPr="00687FD1">
              <w:rPr>
                <w:b w:val="0"/>
                <w:sz w:val="20"/>
                <w:szCs w:val="20"/>
              </w:rPr>
              <w:t>30</w:t>
            </w:r>
          </w:p>
        </w:tc>
        <w:tc>
          <w:tcPr>
            <w:tcW w:w="364" w:type="pct"/>
            <w:vAlign w:val="center"/>
          </w:tcPr>
          <w:p w:rsidR="004E28FB" w:rsidRPr="00687FD1" w:rsidRDefault="004E28FB" w:rsidP="004E28FB">
            <w:pPr>
              <w:jc w:val="center"/>
              <w:rPr>
                <w:b w:val="0"/>
                <w:sz w:val="20"/>
                <w:szCs w:val="20"/>
              </w:rPr>
            </w:pPr>
            <w:r w:rsidRPr="00687FD1">
              <w:rPr>
                <w:b w:val="0"/>
                <w:sz w:val="20"/>
                <w:szCs w:val="20"/>
              </w:rPr>
              <w:t>13</w:t>
            </w:r>
          </w:p>
        </w:tc>
        <w:tc>
          <w:tcPr>
            <w:tcW w:w="363" w:type="pct"/>
            <w:vAlign w:val="center"/>
          </w:tcPr>
          <w:p w:rsidR="004E28FB" w:rsidRPr="00687FD1" w:rsidRDefault="004E28FB" w:rsidP="004E28FB">
            <w:pPr>
              <w:jc w:val="center"/>
              <w:rPr>
                <w:b w:val="0"/>
                <w:sz w:val="20"/>
                <w:szCs w:val="20"/>
              </w:rPr>
            </w:pPr>
            <w:r w:rsidRPr="00687FD1">
              <w:rPr>
                <w:b w:val="0"/>
                <w:sz w:val="20"/>
                <w:szCs w:val="20"/>
              </w:rPr>
              <w:t>25</w:t>
            </w:r>
          </w:p>
        </w:tc>
        <w:tc>
          <w:tcPr>
            <w:tcW w:w="364" w:type="pct"/>
            <w:vAlign w:val="center"/>
          </w:tcPr>
          <w:p w:rsidR="004E28FB" w:rsidRPr="00687FD1" w:rsidRDefault="004E28FB" w:rsidP="004E28FB">
            <w:pPr>
              <w:jc w:val="center"/>
              <w:rPr>
                <w:b w:val="0"/>
                <w:sz w:val="20"/>
                <w:szCs w:val="20"/>
              </w:rPr>
            </w:pPr>
          </w:p>
        </w:tc>
        <w:tc>
          <w:tcPr>
            <w:tcW w:w="502" w:type="pct"/>
            <w:vAlign w:val="center"/>
          </w:tcPr>
          <w:p w:rsidR="004E28FB" w:rsidRPr="00687FD1" w:rsidRDefault="004E28FB" w:rsidP="004E28FB">
            <w:pPr>
              <w:jc w:val="center"/>
              <w:rPr>
                <w:b w:val="0"/>
                <w:sz w:val="20"/>
                <w:szCs w:val="20"/>
              </w:rPr>
            </w:pPr>
          </w:p>
        </w:tc>
        <w:tc>
          <w:tcPr>
            <w:tcW w:w="298" w:type="pct"/>
            <w:vAlign w:val="center"/>
          </w:tcPr>
          <w:p w:rsidR="004E28FB" w:rsidRPr="00687FD1" w:rsidRDefault="004E28FB" w:rsidP="004E28FB">
            <w:pPr>
              <w:jc w:val="center"/>
              <w:rPr>
                <w:b w:val="0"/>
                <w:sz w:val="20"/>
                <w:szCs w:val="20"/>
              </w:rPr>
            </w:pPr>
          </w:p>
        </w:tc>
      </w:tr>
      <w:tr w:rsidR="004E28FB" w:rsidRPr="00687FD1" w:rsidTr="00E61DBA">
        <w:trPr>
          <w:trHeight w:val="284"/>
        </w:trPr>
        <w:tc>
          <w:tcPr>
            <w:tcW w:w="853" w:type="pct"/>
            <w:shd w:val="clear" w:color="auto" w:fill="FFFFFF" w:themeFill="background1"/>
            <w:vAlign w:val="center"/>
          </w:tcPr>
          <w:p w:rsidR="004E28FB" w:rsidRPr="00687FD1" w:rsidRDefault="004E28FB" w:rsidP="004E28FB">
            <w:pPr>
              <w:rPr>
                <w:sz w:val="20"/>
                <w:szCs w:val="20"/>
              </w:rPr>
            </w:pPr>
            <w:r w:rsidRPr="00687FD1">
              <w:rPr>
                <w:sz w:val="20"/>
                <w:szCs w:val="20"/>
              </w:rPr>
              <w:t>Denmark</w:t>
            </w:r>
          </w:p>
        </w:tc>
        <w:tc>
          <w:tcPr>
            <w:tcW w:w="439"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18</w:t>
            </w:r>
          </w:p>
        </w:tc>
        <w:tc>
          <w:tcPr>
            <w:tcW w:w="727"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3</w:t>
            </w:r>
          </w:p>
        </w:tc>
        <w:tc>
          <w:tcPr>
            <w:tcW w:w="433" w:type="pct"/>
            <w:gridSpan w:val="2"/>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7</w:t>
            </w:r>
          </w:p>
        </w:tc>
        <w:tc>
          <w:tcPr>
            <w:tcW w:w="366"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8</w:t>
            </w:r>
          </w:p>
        </w:tc>
        <w:tc>
          <w:tcPr>
            <w:tcW w:w="291"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3</w:t>
            </w:r>
          </w:p>
        </w:tc>
        <w:tc>
          <w:tcPr>
            <w:tcW w:w="364"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0</w:t>
            </w:r>
          </w:p>
        </w:tc>
        <w:tc>
          <w:tcPr>
            <w:tcW w:w="363"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17</w:t>
            </w:r>
          </w:p>
        </w:tc>
        <w:tc>
          <w:tcPr>
            <w:tcW w:w="364"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6</w:t>
            </w:r>
          </w:p>
        </w:tc>
        <w:tc>
          <w:tcPr>
            <w:tcW w:w="502"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17</w:t>
            </w:r>
          </w:p>
        </w:tc>
        <w:tc>
          <w:tcPr>
            <w:tcW w:w="298"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3</w:t>
            </w: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Finland</w:t>
            </w:r>
          </w:p>
        </w:tc>
        <w:tc>
          <w:tcPr>
            <w:tcW w:w="439" w:type="pct"/>
            <w:vAlign w:val="center"/>
          </w:tcPr>
          <w:p w:rsidR="004E28FB" w:rsidRPr="00687FD1" w:rsidRDefault="004E28FB" w:rsidP="004E28FB">
            <w:pPr>
              <w:jc w:val="center"/>
              <w:rPr>
                <w:b w:val="0"/>
                <w:sz w:val="20"/>
                <w:szCs w:val="20"/>
              </w:rPr>
            </w:pPr>
            <w:r w:rsidRPr="00687FD1">
              <w:rPr>
                <w:b w:val="0"/>
                <w:sz w:val="20"/>
                <w:szCs w:val="20"/>
              </w:rPr>
              <w:t>120</w:t>
            </w:r>
          </w:p>
        </w:tc>
        <w:tc>
          <w:tcPr>
            <w:tcW w:w="727" w:type="pct"/>
            <w:vAlign w:val="center"/>
          </w:tcPr>
          <w:p w:rsidR="004E28FB" w:rsidRPr="00687FD1" w:rsidRDefault="004E28FB" w:rsidP="004E28FB">
            <w:pPr>
              <w:jc w:val="center"/>
              <w:rPr>
                <w:b w:val="0"/>
                <w:sz w:val="20"/>
                <w:szCs w:val="20"/>
              </w:rPr>
            </w:pPr>
            <w:r w:rsidRPr="00687FD1">
              <w:rPr>
                <w:b w:val="0"/>
                <w:sz w:val="20"/>
                <w:szCs w:val="20"/>
              </w:rPr>
              <w:t>30</w:t>
            </w:r>
          </w:p>
        </w:tc>
        <w:tc>
          <w:tcPr>
            <w:tcW w:w="433" w:type="pct"/>
            <w:gridSpan w:val="2"/>
            <w:vAlign w:val="center"/>
          </w:tcPr>
          <w:p w:rsidR="004E28FB" w:rsidRPr="00687FD1" w:rsidRDefault="004E28FB" w:rsidP="004E28FB">
            <w:pPr>
              <w:jc w:val="center"/>
              <w:rPr>
                <w:b w:val="0"/>
                <w:sz w:val="20"/>
                <w:szCs w:val="20"/>
              </w:rPr>
            </w:pPr>
            <w:r w:rsidRPr="00687FD1">
              <w:rPr>
                <w:b w:val="0"/>
                <w:sz w:val="20"/>
                <w:szCs w:val="20"/>
              </w:rPr>
              <w:t>71</w:t>
            </w:r>
          </w:p>
        </w:tc>
        <w:tc>
          <w:tcPr>
            <w:tcW w:w="366" w:type="pct"/>
            <w:vAlign w:val="center"/>
          </w:tcPr>
          <w:p w:rsidR="004E28FB" w:rsidRPr="00687FD1" w:rsidRDefault="004E28FB" w:rsidP="004E28FB">
            <w:pPr>
              <w:jc w:val="center"/>
              <w:rPr>
                <w:b w:val="0"/>
                <w:sz w:val="20"/>
                <w:szCs w:val="20"/>
              </w:rPr>
            </w:pPr>
            <w:r w:rsidRPr="00687FD1">
              <w:rPr>
                <w:b w:val="0"/>
                <w:sz w:val="20"/>
                <w:szCs w:val="20"/>
              </w:rPr>
              <w:t>18</w:t>
            </w:r>
          </w:p>
        </w:tc>
        <w:tc>
          <w:tcPr>
            <w:tcW w:w="291" w:type="pct"/>
            <w:vAlign w:val="center"/>
          </w:tcPr>
          <w:p w:rsidR="004E28FB" w:rsidRPr="00687FD1" w:rsidRDefault="004E28FB" w:rsidP="004E28FB">
            <w:pPr>
              <w:jc w:val="center"/>
              <w:rPr>
                <w:b w:val="0"/>
                <w:sz w:val="20"/>
                <w:szCs w:val="20"/>
              </w:rPr>
            </w:pPr>
            <w:r w:rsidRPr="00687FD1">
              <w:rPr>
                <w:b w:val="0"/>
                <w:sz w:val="20"/>
                <w:szCs w:val="20"/>
              </w:rPr>
              <w:t>28</w:t>
            </w:r>
          </w:p>
        </w:tc>
        <w:tc>
          <w:tcPr>
            <w:tcW w:w="364" w:type="pct"/>
            <w:vAlign w:val="center"/>
          </w:tcPr>
          <w:p w:rsidR="004E28FB" w:rsidRPr="00687FD1" w:rsidRDefault="004E28FB" w:rsidP="004E28FB">
            <w:pPr>
              <w:jc w:val="center"/>
              <w:rPr>
                <w:b w:val="0"/>
                <w:sz w:val="20"/>
                <w:szCs w:val="20"/>
              </w:rPr>
            </w:pPr>
            <w:r w:rsidRPr="00687FD1">
              <w:rPr>
                <w:b w:val="0"/>
                <w:sz w:val="20"/>
                <w:szCs w:val="20"/>
              </w:rPr>
              <w:t>3</w:t>
            </w:r>
          </w:p>
        </w:tc>
        <w:tc>
          <w:tcPr>
            <w:tcW w:w="363" w:type="pct"/>
            <w:vAlign w:val="center"/>
          </w:tcPr>
          <w:p w:rsidR="004E28FB" w:rsidRPr="00687FD1" w:rsidRDefault="004E28FB" w:rsidP="004E28FB">
            <w:pPr>
              <w:jc w:val="center"/>
              <w:rPr>
                <w:b w:val="0"/>
                <w:sz w:val="20"/>
                <w:szCs w:val="20"/>
              </w:rPr>
            </w:pPr>
            <w:r w:rsidRPr="00687FD1">
              <w:rPr>
                <w:b w:val="0"/>
                <w:sz w:val="20"/>
                <w:szCs w:val="20"/>
              </w:rPr>
              <w:t>22</w:t>
            </w:r>
          </w:p>
        </w:tc>
        <w:tc>
          <w:tcPr>
            <w:tcW w:w="364" w:type="pct"/>
            <w:vAlign w:val="center"/>
          </w:tcPr>
          <w:p w:rsidR="004E28FB" w:rsidRPr="00687FD1" w:rsidRDefault="004E28FB" w:rsidP="004E28FB">
            <w:pPr>
              <w:jc w:val="center"/>
              <w:rPr>
                <w:b w:val="0"/>
                <w:sz w:val="20"/>
                <w:szCs w:val="20"/>
              </w:rPr>
            </w:pPr>
            <w:r w:rsidRPr="00687FD1">
              <w:rPr>
                <w:b w:val="0"/>
                <w:sz w:val="20"/>
                <w:szCs w:val="20"/>
              </w:rPr>
              <w:t>8</w:t>
            </w:r>
          </w:p>
        </w:tc>
        <w:tc>
          <w:tcPr>
            <w:tcW w:w="502" w:type="pct"/>
            <w:vAlign w:val="center"/>
          </w:tcPr>
          <w:p w:rsidR="004E28FB" w:rsidRPr="00687FD1" w:rsidRDefault="004E28FB" w:rsidP="004E28FB">
            <w:pPr>
              <w:jc w:val="center"/>
              <w:rPr>
                <w:b w:val="0"/>
                <w:sz w:val="20"/>
                <w:szCs w:val="20"/>
              </w:rPr>
            </w:pPr>
            <w:r w:rsidRPr="00687FD1">
              <w:rPr>
                <w:b w:val="0"/>
                <w:sz w:val="20"/>
                <w:szCs w:val="20"/>
              </w:rPr>
              <w:t>7</w:t>
            </w:r>
          </w:p>
        </w:tc>
        <w:tc>
          <w:tcPr>
            <w:tcW w:w="298" w:type="pct"/>
            <w:vAlign w:val="center"/>
          </w:tcPr>
          <w:p w:rsidR="004E28FB" w:rsidRPr="00687FD1" w:rsidRDefault="004E28FB" w:rsidP="004E28FB">
            <w:pPr>
              <w:jc w:val="center"/>
              <w:rPr>
                <w:b w:val="0"/>
                <w:sz w:val="20"/>
                <w:szCs w:val="20"/>
              </w:rPr>
            </w:pPr>
            <w:r w:rsidRPr="00687FD1">
              <w:rPr>
                <w:b w:val="0"/>
                <w:sz w:val="20"/>
                <w:szCs w:val="20"/>
              </w:rPr>
              <w:t>9</w:t>
            </w: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France</w:t>
            </w:r>
          </w:p>
        </w:tc>
        <w:tc>
          <w:tcPr>
            <w:tcW w:w="439" w:type="pct"/>
            <w:vAlign w:val="center"/>
          </w:tcPr>
          <w:p w:rsidR="004E28FB" w:rsidRPr="00687FD1" w:rsidRDefault="004E28FB" w:rsidP="004E28FB">
            <w:pPr>
              <w:jc w:val="center"/>
              <w:rPr>
                <w:b w:val="0"/>
                <w:sz w:val="20"/>
                <w:szCs w:val="20"/>
              </w:rPr>
            </w:pPr>
            <w:r w:rsidRPr="00687FD1">
              <w:rPr>
                <w:b w:val="0"/>
                <w:sz w:val="20"/>
                <w:szCs w:val="20"/>
              </w:rPr>
              <w:t>875</w:t>
            </w:r>
          </w:p>
        </w:tc>
        <w:tc>
          <w:tcPr>
            <w:tcW w:w="727" w:type="pct"/>
            <w:vAlign w:val="center"/>
          </w:tcPr>
          <w:p w:rsidR="004E28FB" w:rsidRPr="00687FD1" w:rsidRDefault="004E28FB" w:rsidP="004E28FB">
            <w:pPr>
              <w:jc w:val="center"/>
              <w:rPr>
                <w:b w:val="0"/>
                <w:sz w:val="20"/>
                <w:szCs w:val="20"/>
              </w:rPr>
            </w:pPr>
          </w:p>
        </w:tc>
        <w:tc>
          <w:tcPr>
            <w:tcW w:w="1454" w:type="pct"/>
            <w:gridSpan w:val="5"/>
            <w:vAlign w:val="center"/>
          </w:tcPr>
          <w:p w:rsidR="004E28FB" w:rsidRPr="00687FD1" w:rsidRDefault="004E28FB" w:rsidP="004E28FB">
            <w:pPr>
              <w:jc w:val="center"/>
              <w:rPr>
                <w:b w:val="0"/>
                <w:sz w:val="20"/>
                <w:szCs w:val="20"/>
              </w:rPr>
            </w:pPr>
            <w:r w:rsidRPr="00687FD1">
              <w:rPr>
                <w:b w:val="0"/>
                <w:sz w:val="20"/>
                <w:szCs w:val="20"/>
              </w:rPr>
              <w:t>875</w:t>
            </w:r>
          </w:p>
        </w:tc>
        <w:tc>
          <w:tcPr>
            <w:tcW w:w="363" w:type="pct"/>
            <w:vAlign w:val="center"/>
          </w:tcPr>
          <w:p w:rsidR="004E28FB" w:rsidRPr="00687FD1" w:rsidRDefault="004E28FB" w:rsidP="004E28FB">
            <w:pPr>
              <w:jc w:val="center"/>
              <w:rPr>
                <w:b w:val="0"/>
                <w:sz w:val="20"/>
                <w:szCs w:val="20"/>
              </w:rPr>
            </w:pPr>
            <w:r w:rsidRPr="00687FD1">
              <w:rPr>
                <w:b w:val="0"/>
                <w:sz w:val="20"/>
                <w:szCs w:val="20"/>
              </w:rPr>
              <w:t>21</w:t>
            </w:r>
          </w:p>
        </w:tc>
        <w:tc>
          <w:tcPr>
            <w:tcW w:w="364" w:type="pct"/>
            <w:vAlign w:val="center"/>
          </w:tcPr>
          <w:p w:rsidR="004E28FB" w:rsidRPr="00687FD1" w:rsidRDefault="004E28FB" w:rsidP="004E28FB">
            <w:pPr>
              <w:jc w:val="center"/>
              <w:rPr>
                <w:b w:val="0"/>
                <w:sz w:val="20"/>
                <w:szCs w:val="20"/>
              </w:rPr>
            </w:pPr>
            <w:r w:rsidRPr="00687FD1">
              <w:rPr>
                <w:b w:val="0"/>
                <w:sz w:val="20"/>
                <w:szCs w:val="20"/>
              </w:rPr>
              <w:t>17</w:t>
            </w:r>
          </w:p>
        </w:tc>
        <w:tc>
          <w:tcPr>
            <w:tcW w:w="502" w:type="pct"/>
            <w:vAlign w:val="center"/>
          </w:tcPr>
          <w:p w:rsidR="004E28FB" w:rsidRPr="00687FD1" w:rsidRDefault="004E28FB" w:rsidP="004E28FB">
            <w:pPr>
              <w:jc w:val="center"/>
              <w:rPr>
                <w:b w:val="0"/>
                <w:sz w:val="20"/>
                <w:szCs w:val="20"/>
              </w:rPr>
            </w:pPr>
          </w:p>
        </w:tc>
        <w:tc>
          <w:tcPr>
            <w:tcW w:w="298" w:type="pct"/>
            <w:vAlign w:val="center"/>
          </w:tcPr>
          <w:p w:rsidR="004E28FB" w:rsidRPr="00687FD1" w:rsidRDefault="004E28FB" w:rsidP="004E28FB">
            <w:pPr>
              <w:jc w:val="center"/>
              <w:rPr>
                <w:b w:val="0"/>
                <w:sz w:val="20"/>
                <w:szCs w:val="20"/>
              </w:rPr>
            </w:pPr>
            <w:r w:rsidRPr="00687FD1">
              <w:rPr>
                <w:b w:val="0"/>
                <w:sz w:val="20"/>
                <w:szCs w:val="20"/>
              </w:rPr>
              <w:t>21</w:t>
            </w: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Germany</w:t>
            </w:r>
          </w:p>
        </w:tc>
        <w:tc>
          <w:tcPr>
            <w:tcW w:w="439" w:type="pct"/>
            <w:vAlign w:val="center"/>
          </w:tcPr>
          <w:p w:rsidR="004E28FB" w:rsidRPr="00687FD1" w:rsidRDefault="004E28FB" w:rsidP="004E28FB">
            <w:pPr>
              <w:jc w:val="center"/>
              <w:rPr>
                <w:b w:val="0"/>
                <w:sz w:val="20"/>
                <w:szCs w:val="20"/>
              </w:rPr>
            </w:pPr>
            <w:r w:rsidRPr="00687FD1">
              <w:rPr>
                <w:b w:val="0"/>
                <w:sz w:val="20"/>
                <w:szCs w:val="20"/>
              </w:rPr>
              <w:t>467</w:t>
            </w:r>
          </w:p>
        </w:tc>
        <w:tc>
          <w:tcPr>
            <w:tcW w:w="727" w:type="pct"/>
            <w:vAlign w:val="center"/>
          </w:tcPr>
          <w:p w:rsidR="004E28FB" w:rsidRPr="00687FD1" w:rsidRDefault="004E28FB" w:rsidP="004E28FB">
            <w:pPr>
              <w:jc w:val="center"/>
              <w:rPr>
                <w:b w:val="0"/>
                <w:sz w:val="20"/>
                <w:szCs w:val="20"/>
              </w:rPr>
            </w:pPr>
          </w:p>
        </w:tc>
        <w:tc>
          <w:tcPr>
            <w:tcW w:w="433" w:type="pct"/>
            <w:gridSpan w:val="2"/>
            <w:vAlign w:val="center"/>
          </w:tcPr>
          <w:p w:rsidR="004E28FB" w:rsidRPr="00687FD1" w:rsidRDefault="004E28FB" w:rsidP="004E28FB">
            <w:pPr>
              <w:jc w:val="center"/>
              <w:rPr>
                <w:b w:val="0"/>
                <w:sz w:val="20"/>
                <w:szCs w:val="20"/>
              </w:rPr>
            </w:pPr>
            <w:r w:rsidRPr="00687FD1">
              <w:rPr>
                <w:b w:val="0"/>
                <w:sz w:val="20"/>
                <w:szCs w:val="20"/>
              </w:rPr>
              <w:t>232</w:t>
            </w:r>
          </w:p>
        </w:tc>
        <w:tc>
          <w:tcPr>
            <w:tcW w:w="366" w:type="pct"/>
            <w:vAlign w:val="center"/>
          </w:tcPr>
          <w:p w:rsidR="004E28FB" w:rsidRPr="00687FD1" w:rsidRDefault="004E28FB" w:rsidP="004E28FB">
            <w:pPr>
              <w:jc w:val="center"/>
              <w:rPr>
                <w:b w:val="0"/>
                <w:sz w:val="20"/>
                <w:szCs w:val="20"/>
              </w:rPr>
            </w:pPr>
            <w:r w:rsidRPr="00687FD1">
              <w:rPr>
                <w:b w:val="0"/>
                <w:sz w:val="20"/>
                <w:szCs w:val="20"/>
              </w:rPr>
              <w:t>156</w:t>
            </w:r>
          </w:p>
        </w:tc>
        <w:tc>
          <w:tcPr>
            <w:tcW w:w="656" w:type="pct"/>
            <w:gridSpan w:val="2"/>
            <w:vAlign w:val="center"/>
          </w:tcPr>
          <w:p w:rsidR="004E28FB" w:rsidRPr="00687FD1" w:rsidRDefault="004E28FB" w:rsidP="004E28FB">
            <w:pPr>
              <w:jc w:val="center"/>
              <w:rPr>
                <w:b w:val="0"/>
                <w:sz w:val="20"/>
                <w:szCs w:val="20"/>
              </w:rPr>
            </w:pPr>
            <w:r w:rsidRPr="00687FD1">
              <w:rPr>
                <w:b w:val="0"/>
                <w:sz w:val="20"/>
                <w:szCs w:val="20"/>
              </w:rPr>
              <w:t>79</w:t>
            </w:r>
          </w:p>
        </w:tc>
        <w:tc>
          <w:tcPr>
            <w:tcW w:w="363" w:type="pct"/>
            <w:vAlign w:val="center"/>
          </w:tcPr>
          <w:p w:rsidR="004E28FB" w:rsidRPr="00687FD1" w:rsidRDefault="004E28FB" w:rsidP="004E28FB">
            <w:pPr>
              <w:jc w:val="center"/>
              <w:rPr>
                <w:b w:val="0"/>
                <w:sz w:val="20"/>
                <w:szCs w:val="20"/>
              </w:rPr>
            </w:pPr>
            <w:r w:rsidRPr="00687FD1">
              <w:rPr>
                <w:b w:val="0"/>
                <w:sz w:val="20"/>
                <w:szCs w:val="20"/>
              </w:rPr>
              <w:t>74</w:t>
            </w:r>
          </w:p>
        </w:tc>
        <w:tc>
          <w:tcPr>
            <w:tcW w:w="364" w:type="pct"/>
            <w:vAlign w:val="center"/>
          </w:tcPr>
          <w:p w:rsidR="004E28FB" w:rsidRPr="00687FD1" w:rsidRDefault="004E28FB" w:rsidP="004E28FB">
            <w:pPr>
              <w:jc w:val="center"/>
              <w:rPr>
                <w:b w:val="0"/>
                <w:sz w:val="20"/>
                <w:szCs w:val="20"/>
              </w:rPr>
            </w:pPr>
            <w:r w:rsidRPr="00687FD1">
              <w:rPr>
                <w:b w:val="0"/>
                <w:sz w:val="20"/>
                <w:szCs w:val="20"/>
              </w:rPr>
              <w:t>65</w:t>
            </w:r>
            <w:r w:rsidRPr="00687FD1">
              <w:rPr>
                <w:b w:val="0"/>
                <w:sz w:val="20"/>
                <w:szCs w:val="20"/>
                <w:vertAlign w:val="superscript"/>
              </w:rPr>
              <w:t>8</w:t>
            </w:r>
          </w:p>
        </w:tc>
        <w:tc>
          <w:tcPr>
            <w:tcW w:w="502" w:type="pct"/>
            <w:vAlign w:val="center"/>
          </w:tcPr>
          <w:p w:rsidR="004E28FB" w:rsidRPr="00687FD1" w:rsidRDefault="004E28FB" w:rsidP="004E28FB">
            <w:pPr>
              <w:jc w:val="center"/>
              <w:rPr>
                <w:b w:val="0"/>
                <w:sz w:val="20"/>
                <w:szCs w:val="20"/>
              </w:rPr>
            </w:pPr>
          </w:p>
        </w:tc>
        <w:tc>
          <w:tcPr>
            <w:tcW w:w="298" w:type="pct"/>
            <w:vAlign w:val="center"/>
          </w:tcPr>
          <w:p w:rsidR="004E28FB" w:rsidRPr="00687FD1" w:rsidRDefault="004E28FB" w:rsidP="004E28FB">
            <w:pPr>
              <w:jc w:val="center"/>
              <w:rPr>
                <w:b w:val="0"/>
                <w:sz w:val="20"/>
                <w:szCs w:val="20"/>
              </w:rPr>
            </w:pPr>
            <w:r w:rsidRPr="00687FD1">
              <w:rPr>
                <w:b w:val="0"/>
                <w:sz w:val="20"/>
                <w:szCs w:val="20"/>
              </w:rPr>
              <w:t>57</w:t>
            </w:r>
            <w:r w:rsidRPr="00687FD1">
              <w:rPr>
                <w:b w:val="0"/>
                <w:sz w:val="20"/>
                <w:szCs w:val="20"/>
                <w:vertAlign w:val="superscript"/>
              </w:rPr>
              <w:t>8</w:t>
            </w:r>
          </w:p>
        </w:tc>
      </w:tr>
      <w:tr w:rsidR="004E28FB" w:rsidRPr="00687FD1" w:rsidTr="00E61DBA">
        <w:trPr>
          <w:trHeight w:val="284"/>
        </w:trPr>
        <w:tc>
          <w:tcPr>
            <w:tcW w:w="853" w:type="pct"/>
            <w:shd w:val="clear" w:color="auto" w:fill="FFFFFF" w:themeFill="background1"/>
            <w:vAlign w:val="center"/>
          </w:tcPr>
          <w:p w:rsidR="004E28FB" w:rsidRPr="00687FD1" w:rsidRDefault="004E28FB" w:rsidP="004E28FB">
            <w:pPr>
              <w:rPr>
                <w:sz w:val="20"/>
                <w:szCs w:val="20"/>
              </w:rPr>
            </w:pPr>
            <w:r w:rsidRPr="00687FD1">
              <w:rPr>
                <w:sz w:val="20"/>
                <w:szCs w:val="20"/>
              </w:rPr>
              <w:t>Greece</w:t>
            </w:r>
          </w:p>
        </w:tc>
        <w:tc>
          <w:tcPr>
            <w:tcW w:w="439"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31</w:t>
            </w:r>
          </w:p>
        </w:tc>
        <w:tc>
          <w:tcPr>
            <w:tcW w:w="727"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11</w:t>
            </w:r>
          </w:p>
        </w:tc>
        <w:tc>
          <w:tcPr>
            <w:tcW w:w="433" w:type="pct"/>
            <w:gridSpan w:val="2"/>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22</w:t>
            </w:r>
          </w:p>
        </w:tc>
        <w:tc>
          <w:tcPr>
            <w:tcW w:w="366"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2</w:t>
            </w:r>
          </w:p>
        </w:tc>
        <w:tc>
          <w:tcPr>
            <w:tcW w:w="291"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7</w:t>
            </w:r>
          </w:p>
        </w:tc>
        <w:tc>
          <w:tcPr>
            <w:tcW w:w="364"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0</w:t>
            </w:r>
          </w:p>
        </w:tc>
        <w:tc>
          <w:tcPr>
            <w:tcW w:w="363"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1</w:t>
            </w:r>
          </w:p>
        </w:tc>
        <w:tc>
          <w:tcPr>
            <w:tcW w:w="364"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1</w:t>
            </w:r>
          </w:p>
        </w:tc>
        <w:tc>
          <w:tcPr>
            <w:tcW w:w="502"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1</w:t>
            </w:r>
          </w:p>
        </w:tc>
        <w:tc>
          <w:tcPr>
            <w:tcW w:w="298"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0</w:t>
            </w: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Ireland</w:t>
            </w:r>
          </w:p>
        </w:tc>
        <w:tc>
          <w:tcPr>
            <w:tcW w:w="439" w:type="pct"/>
            <w:vAlign w:val="center"/>
          </w:tcPr>
          <w:p w:rsidR="004E28FB" w:rsidRPr="00687FD1" w:rsidRDefault="004E28FB" w:rsidP="004E28FB">
            <w:pPr>
              <w:jc w:val="center"/>
              <w:rPr>
                <w:b w:val="0"/>
                <w:sz w:val="20"/>
                <w:szCs w:val="20"/>
              </w:rPr>
            </w:pPr>
            <w:r w:rsidRPr="00687FD1">
              <w:rPr>
                <w:b w:val="0"/>
                <w:sz w:val="20"/>
                <w:szCs w:val="20"/>
              </w:rPr>
              <w:t>81</w:t>
            </w:r>
          </w:p>
        </w:tc>
        <w:tc>
          <w:tcPr>
            <w:tcW w:w="727" w:type="pct"/>
            <w:vAlign w:val="center"/>
          </w:tcPr>
          <w:p w:rsidR="004E28FB" w:rsidRPr="00687FD1" w:rsidRDefault="004E28FB" w:rsidP="004E28FB">
            <w:pPr>
              <w:jc w:val="center"/>
              <w:rPr>
                <w:b w:val="0"/>
                <w:sz w:val="20"/>
                <w:szCs w:val="20"/>
              </w:rPr>
            </w:pPr>
            <w:r w:rsidRPr="00687FD1">
              <w:rPr>
                <w:b w:val="0"/>
                <w:sz w:val="20"/>
                <w:szCs w:val="20"/>
              </w:rPr>
              <w:t>15</w:t>
            </w:r>
          </w:p>
        </w:tc>
        <w:tc>
          <w:tcPr>
            <w:tcW w:w="433" w:type="pct"/>
            <w:gridSpan w:val="2"/>
            <w:vAlign w:val="center"/>
          </w:tcPr>
          <w:p w:rsidR="004E28FB" w:rsidRPr="00687FD1" w:rsidRDefault="004E28FB" w:rsidP="004E28FB">
            <w:pPr>
              <w:jc w:val="center"/>
              <w:rPr>
                <w:b w:val="0"/>
                <w:sz w:val="20"/>
                <w:szCs w:val="20"/>
              </w:rPr>
            </w:pPr>
            <w:r w:rsidRPr="00687FD1">
              <w:rPr>
                <w:b w:val="0"/>
                <w:sz w:val="20"/>
                <w:szCs w:val="20"/>
              </w:rPr>
              <w:t>45</w:t>
            </w:r>
          </w:p>
        </w:tc>
        <w:tc>
          <w:tcPr>
            <w:tcW w:w="366" w:type="pct"/>
            <w:vAlign w:val="center"/>
          </w:tcPr>
          <w:p w:rsidR="004E28FB" w:rsidRPr="00687FD1" w:rsidRDefault="004E28FB" w:rsidP="004E28FB">
            <w:pPr>
              <w:jc w:val="center"/>
              <w:rPr>
                <w:b w:val="0"/>
                <w:sz w:val="20"/>
                <w:szCs w:val="20"/>
              </w:rPr>
            </w:pPr>
            <w:r w:rsidRPr="00687FD1">
              <w:rPr>
                <w:b w:val="0"/>
                <w:sz w:val="20"/>
                <w:szCs w:val="20"/>
              </w:rPr>
              <w:t>25</w:t>
            </w:r>
          </w:p>
        </w:tc>
        <w:tc>
          <w:tcPr>
            <w:tcW w:w="291" w:type="pct"/>
            <w:vAlign w:val="center"/>
          </w:tcPr>
          <w:p w:rsidR="004E28FB" w:rsidRPr="00687FD1" w:rsidRDefault="004E28FB" w:rsidP="004E28FB">
            <w:pPr>
              <w:jc w:val="center"/>
              <w:rPr>
                <w:b w:val="0"/>
                <w:sz w:val="20"/>
                <w:szCs w:val="20"/>
              </w:rPr>
            </w:pPr>
            <w:r w:rsidRPr="00687FD1">
              <w:rPr>
                <w:b w:val="0"/>
                <w:sz w:val="20"/>
                <w:szCs w:val="20"/>
              </w:rPr>
              <w:t>10</w:t>
            </w:r>
          </w:p>
        </w:tc>
        <w:tc>
          <w:tcPr>
            <w:tcW w:w="364" w:type="pct"/>
            <w:vAlign w:val="center"/>
          </w:tcPr>
          <w:p w:rsidR="004E28FB" w:rsidRPr="00687FD1" w:rsidRDefault="004E28FB" w:rsidP="004E28FB">
            <w:pPr>
              <w:jc w:val="center"/>
              <w:rPr>
                <w:b w:val="0"/>
                <w:sz w:val="20"/>
                <w:szCs w:val="20"/>
              </w:rPr>
            </w:pPr>
            <w:r w:rsidRPr="00687FD1">
              <w:rPr>
                <w:b w:val="0"/>
                <w:sz w:val="20"/>
                <w:szCs w:val="20"/>
              </w:rPr>
              <w:t>1</w:t>
            </w:r>
          </w:p>
        </w:tc>
        <w:tc>
          <w:tcPr>
            <w:tcW w:w="363" w:type="pct"/>
            <w:vAlign w:val="center"/>
          </w:tcPr>
          <w:p w:rsidR="004E28FB" w:rsidRPr="00687FD1" w:rsidRDefault="004E28FB" w:rsidP="004E28FB">
            <w:pPr>
              <w:jc w:val="center"/>
              <w:rPr>
                <w:b w:val="0"/>
                <w:sz w:val="20"/>
                <w:szCs w:val="20"/>
              </w:rPr>
            </w:pPr>
            <w:r w:rsidRPr="00687FD1">
              <w:rPr>
                <w:b w:val="0"/>
                <w:sz w:val="20"/>
                <w:szCs w:val="20"/>
              </w:rPr>
              <w:t>12</w:t>
            </w:r>
          </w:p>
        </w:tc>
        <w:tc>
          <w:tcPr>
            <w:tcW w:w="364" w:type="pct"/>
            <w:vAlign w:val="center"/>
          </w:tcPr>
          <w:p w:rsidR="004E28FB" w:rsidRPr="00687FD1" w:rsidRDefault="004E28FB" w:rsidP="004E28FB">
            <w:pPr>
              <w:jc w:val="center"/>
              <w:rPr>
                <w:b w:val="0"/>
                <w:sz w:val="20"/>
                <w:szCs w:val="20"/>
              </w:rPr>
            </w:pPr>
            <w:r w:rsidRPr="00687FD1">
              <w:rPr>
                <w:b w:val="0"/>
                <w:sz w:val="20"/>
                <w:szCs w:val="20"/>
              </w:rPr>
              <w:t>7</w:t>
            </w:r>
          </w:p>
        </w:tc>
        <w:tc>
          <w:tcPr>
            <w:tcW w:w="502" w:type="pct"/>
            <w:vAlign w:val="center"/>
          </w:tcPr>
          <w:p w:rsidR="004E28FB" w:rsidRPr="00687FD1" w:rsidRDefault="004E28FB" w:rsidP="004E28FB">
            <w:pPr>
              <w:jc w:val="center"/>
              <w:rPr>
                <w:b w:val="0"/>
                <w:sz w:val="20"/>
                <w:szCs w:val="20"/>
              </w:rPr>
            </w:pPr>
          </w:p>
        </w:tc>
        <w:tc>
          <w:tcPr>
            <w:tcW w:w="298" w:type="pct"/>
            <w:vAlign w:val="center"/>
          </w:tcPr>
          <w:p w:rsidR="004E28FB" w:rsidRPr="00687FD1" w:rsidRDefault="004E28FB" w:rsidP="004E28FB">
            <w:pPr>
              <w:jc w:val="center"/>
              <w:rPr>
                <w:b w:val="0"/>
                <w:sz w:val="20"/>
                <w:szCs w:val="20"/>
              </w:rPr>
            </w:pPr>
            <w:r w:rsidRPr="00687FD1">
              <w:rPr>
                <w:b w:val="0"/>
                <w:sz w:val="20"/>
                <w:szCs w:val="20"/>
              </w:rPr>
              <w:t>5</w:t>
            </w: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Italy</w:t>
            </w:r>
          </w:p>
        </w:tc>
        <w:tc>
          <w:tcPr>
            <w:tcW w:w="439" w:type="pct"/>
            <w:vAlign w:val="center"/>
          </w:tcPr>
          <w:p w:rsidR="004E28FB" w:rsidRPr="00687FD1" w:rsidRDefault="004E28FB" w:rsidP="004E28FB">
            <w:pPr>
              <w:jc w:val="center"/>
              <w:rPr>
                <w:b w:val="0"/>
                <w:sz w:val="20"/>
                <w:szCs w:val="20"/>
              </w:rPr>
            </w:pPr>
            <w:r w:rsidRPr="00687FD1">
              <w:rPr>
                <w:b w:val="0"/>
                <w:sz w:val="20"/>
                <w:szCs w:val="20"/>
              </w:rPr>
              <w:t>129</w:t>
            </w:r>
            <w:r w:rsidRPr="00687FD1">
              <w:rPr>
                <w:b w:val="0"/>
                <w:sz w:val="20"/>
                <w:szCs w:val="20"/>
                <w:vertAlign w:val="superscript"/>
              </w:rPr>
              <w:t>3</w:t>
            </w:r>
          </w:p>
        </w:tc>
        <w:tc>
          <w:tcPr>
            <w:tcW w:w="727" w:type="pct"/>
            <w:vAlign w:val="center"/>
          </w:tcPr>
          <w:p w:rsidR="004E28FB" w:rsidRPr="00687FD1" w:rsidRDefault="004E28FB" w:rsidP="004E28FB">
            <w:pPr>
              <w:jc w:val="center"/>
              <w:rPr>
                <w:b w:val="0"/>
                <w:sz w:val="20"/>
                <w:szCs w:val="20"/>
              </w:rPr>
            </w:pPr>
            <w:r w:rsidRPr="00687FD1">
              <w:rPr>
                <w:b w:val="0"/>
                <w:sz w:val="20"/>
                <w:szCs w:val="20"/>
              </w:rPr>
              <w:t>41</w:t>
            </w:r>
          </w:p>
        </w:tc>
        <w:tc>
          <w:tcPr>
            <w:tcW w:w="1454" w:type="pct"/>
            <w:gridSpan w:val="5"/>
            <w:vAlign w:val="center"/>
          </w:tcPr>
          <w:p w:rsidR="004E28FB" w:rsidRPr="00687FD1" w:rsidRDefault="004E28FB" w:rsidP="004E28FB">
            <w:pPr>
              <w:jc w:val="center"/>
              <w:rPr>
                <w:b w:val="0"/>
                <w:sz w:val="20"/>
                <w:szCs w:val="20"/>
              </w:rPr>
            </w:pPr>
            <w:r w:rsidRPr="00687FD1">
              <w:rPr>
                <w:b w:val="0"/>
                <w:sz w:val="20"/>
                <w:szCs w:val="20"/>
              </w:rPr>
              <w:t>129</w:t>
            </w:r>
          </w:p>
        </w:tc>
        <w:tc>
          <w:tcPr>
            <w:tcW w:w="363" w:type="pct"/>
            <w:vAlign w:val="center"/>
          </w:tcPr>
          <w:p w:rsidR="004E28FB" w:rsidRPr="00687FD1" w:rsidRDefault="004E28FB" w:rsidP="004E28FB">
            <w:pPr>
              <w:jc w:val="center"/>
              <w:rPr>
                <w:b w:val="0"/>
                <w:sz w:val="20"/>
                <w:szCs w:val="20"/>
              </w:rPr>
            </w:pPr>
            <w:r w:rsidRPr="00687FD1">
              <w:rPr>
                <w:b w:val="0"/>
                <w:sz w:val="20"/>
                <w:szCs w:val="20"/>
              </w:rPr>
              <w:t>3</w:t>
            </w:r>
            <w:r w:rsidRPr="00687FD1">
              <w:rPr>
                <w:b w:val="0"/>
                <w:sz w:val="20"/>
                <w:szCs w:val="20"/>
                <w:vertAlign w:val="superscript"/>
              </w:rPr>
              <w:t>4</w:t>
            </w:r>
          </w:p>
        </w:tc>
        <w:tc>
          <w:tcPr>
            <w:tcW w:w="364" w:type="pct"/>
            <w:vAlign w:val="center"/>
          </w:tcPr>
          <w:p w:rsidR="004E28FB" w:rsidRPr="00687FD1" w:rsidRDefault="004E28FB" w:rsidP="004E28FB">
            <w:pPr>
              <w:jc w:val="center"/>
              <w:rPr>
                <w:b w:val="0"/>
                <w:sz w:val="20"/>
                <w:szCs w:val="20"/>
              </w:rPr>
            </w:pPr>
            <w:r w:rsidRPr="00687FD1">
              <w:rPr>
                <w:b w:val="0"/>
                <w:sz w:val="20"/>
                <w:szCs w:val="20"/>
              </w:rPr>
              <w:t>3</w:t>
            </w:r>
          </w:p>
        </w:tc>
        <w:tc>
          <w:tcPr>
            <w:tcW w:w="502" w:type="pct"/>
            <w:vAlign w:val="center"/>
          </w:tcPr>
          <w:p w:rsidR="004E28FB" w:rsidRPr="00687FD1" w:rsidRDefault="004E28FB" w:rsidP="004E28FB">
            <w:pPr>
              <w:jc w:val="center"/>
              <w:rPr>
                <w:b w:val="0"/>
                <w:sz w:val="20"/>
                <w:szCs w:val="20"/>
              </w:rPr>
            </w:pPr>
            <w:r w:rsidRPr="00687FD1">
              <w:rPr>
                <w:b w:val="0"/>
                <w:sz w:val="20"/>
                <w:szCs w:val="20"/>
              </w:rPr>
              <w:t>3</w:t>
            </w:r>
          </w:p>
        </w:tc>
        <w:tc>
          <w:tcPr>
            <w:tcW w:w="298" w:type="pct"/>
            <w:vAlign w:val="center"/>
          </w:tcPr>
          <w:p w:rsidR="004E28FB" w:rsidRPr="00687FD1" w:rsidRDefault="004E28FB" w:rsidP="004E28FB">
            <w:pPr>
              <w:jc w:val="center"/>
              <w:rPr>
                <w:b w:val="0"/>
                <w:sz w:val="20"/>
                <w:szCs w:val="20"/>
              </w:rPr>
            </w:pPr>
            <w:r w:rsidRPr="00687FD1">
              <w:rPr>
                <w:b w:val="0"/>
                <w:sz w:val="20"/>
                <w:szCs w:val="20"/>
              </w:rPr>
              <w:t>2</w:t>
            </w: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Luxembourg</w:t>
            </w:r>
          </w:p>
        </w:tc>
        <w:tc>
          <w:tcPr>
            <w:tcW w:w="439" w:type="pct"/>
            <w:vAlign w:val="center"/>
          </w:tcPr>
          <w:p w:rsidR="004E28FB" w:rsidRPr="00687FD1" w:rsidRDefault="004E28FB" w:rsidP="004E28FB">
            <w:pPr>
              <w:jc w:val="center"/>
              <w:rPr>
                <w:b w:val="0"/>
                <w:sz w:val="20"/>
                <w:szCs w:val="20"/>
              </w:rPr>
            </w:pPr>
            <w:r w:rsidRPr="00687FD1">
              <w:rPr>
                <w:b w:val="0"/>
                <w:sz w:val="20"/>
                <w:szCs w:val="20"/>
              </w:rPr>
              <w:t>4</w:t>
            </w:r>
          </w:p>
        </w:tc>
        <w:tc>
          <w:tcPr>
            <w:tcW w:w="727" w:type="pct"/>
            <w:vAlign w:val="center"/>
          </w:tcPr>
          <w:p w:rsidR="004E28FB" w:rsidRPr="00687FD1" w:rsidRDefault="004E28FB" w:rsidP="004E28FB">
            <w:pPr>
              <w:jc w:val="center"/>
              <w:rPr>
                <w:b w:val="0"/>
                <w:sz w:val="20"/>
                <w:szCs w:val="20"/>
              </w:rPr>
            </w:pPr>
            <w:r w:rsidRPr="00687FD1">
              <w:rPr>
                <w:b w:val="0"/>
                <w:sz w:val="20"/>
                <w:szCs w:val="20"/>
              </w:rPr>
              <w:t>1</w:t>
            </w:r>
          </w:p>
        </w:tc>
        <w:tc>
          <w:tcPr>
            <w:tcW w:w="433" w:type="pct"/>
            <w:gridSpan w:val="2"/>
            <w:vAlign w:val="center"/>
          </w:tcPr>
          <w:p w:rsidR="004E28FB" w:rsidRPr="00687FD1" w:rsidRDefault="004E28FB" w:rsidP="004E28FB">
            <w:pPr>
              <w:jc w:val="center"/>
              <w:rPr>
                <w:b w:val="0"/>
                <w:sz w:val="20"/>
                <w:szCs w:val="20"/>
              </w:rPr>
            </w:pPr>
            <w:r w:rsidRPr="00687FD1">
              <w:rPr>
                <w:b w:val="0"/>
                <w:sz w:val="20"/>
                <w:szCs w:val="20"/>
              </w:rPr>
              <w:t>1</w:t>
            </w:r>
          </w:p>
        </w:tc>
        <w:tc>
          <w:tcPr>
            <w:tcW w:w="366" w:type="pct"/>
            <w:vAlign w:val="center"/>
          </w:tcPr>
          <w:p w:rsidR="004E28FB" w:rsidRPr="00687FD1" w:rsidRDefault="004E28FB" w:rsidP="004E28FB">
            <w:pPr>
              <w:jc w:val="center"/>
              <w:rPr>
                <w:b w:val="0"/>
                <w:sz w:val="20"/>
                <w:szCs w:val="20"/>
              </w:rPr>
            </w:pPr>
            <w:r w:rsidRPr="00687FD1">
              <w:rPr>
                <w:b w:val="0"/>
                <w:sz w:val="20"/>
                <w:szCs w:val="20"/>
              </w:rPr>
              <w:t>2</w:t>
            </w:r>
          </w:p>
        </w:tc>
        <w:tc>
          <w:tcPr>
            <w:tcW w:w="291" w:type="pct"/>
            <w:vAlign w:val="center"/>
          </w:tcPr>
          <w:p w:rsidR="004E28FB" w:rsidRPr="00687FD1" w:rsidRDefault="004E28FB" w:rsidP="004E28FB">
            <w:pPr>
              <w:jc w:val="center"/>
              <w:rPr>
                <w:b w:val="0"/>
                <w:sz w:val="20"/>
                <w:szCs w:val="20"/>
              </w:rPr>
            </w:pPr>
            <w:r w:rsidRPr="00687FD1">
              <w:rPr>
                <w:b w:val="0"/>
                <w:sz w:val="20"/>
                <w:szCs w:val="20"/>
              </w:rPr>
              <w:t>1</w:t>
            </w:r>
          </w:p>
        </w:tc>
        <w:tc>
          <w:tcPr>
            <w:tcW w:w="364" w:type="pct"/>
            <w:vAlign w:val="center"/>
          </w:tcPr>
          <w:p w:rsidR="004E28FB" w:rsidRPr="00687FD1" w:rsidRDefault="004E28FB" w:rsidP="004E28FB">
            <w:pPr>
              <w:jc w:val="center"/>
              <w:rPr>
                <w:b w:val="0"/>
                <w:sz w:val="20"/>
                <w:szCs w:val="20"/>
              </w:rPr>
            </w:pPr>
            <w:r w:rsidRPr="00687FD1">
              <w:rPr>
                <w:b w:val="0"/>
                <w:sz w:val="20"/>
                <w:szCs w:val="20"/>
              </w:rPr>
              <w:t>0</w:t>
            </w:r>
          </w:p>
        </w:tc>
        <w:tc>
          <w:tcPr>
            <w:tcW w:w="363" w:type="pct"/>
            <w:vAlign w:val="center"/>
          </w:tcPr>
          <w:p w:rsidR="004E28FB" w:rsidRPr="00687FD1" w:rsidRDefault="004E28FB" w:rsidP="004E28FB">
            <w:pPr>
              <w:jc w:val="center"/>
              <w:rPr>
                <w:b w:val="0"/>
                <w:sz w:val="20"/>
                <w:szCs w:val="20"/>
              </w:rPr>
            </w:pPr>
            <w:r w:rsidRPr="00687FD1">
              <w:rPr>
                <w:b w:val="0"/>
                <w:sz w:val="20"/>
                <w:szCs w:val="20"/>
              </w:rPr>
              <w:t>2</w:t>
            </w:r>
          </w:p>
        </w:tc>
        <w:tc>
          <w:tcPr>
            <w:tcW w:w="364" w:type="pct"/>
            <w:vAlign w:val="center"/>
          </w:tcPr>
          <w:p w:rsidR="004E28FB" w:rsidRPr="00687FD1" w:rsidRDefault="004E28FB" w:rsidP="004E28FB">
            <w:pPr>
              <w:jc w:val="center"/>
              <w:rPr>
                <w:b w:val="0"/>
                <w:sz w:val="20"/>
                <w:szCs w:val="20"/>
              </w:rPr>
            </w:pPr>
            <w:r w:rsidRPr="00687FD1">
              <w:rPr>
                <w:b w:val="0"/>
                <w:sz w:val="20"/>
                <w:szCs w:val="20"/>
              </w:rPr>
              <w:t>1</w:t>
            </w:r>
          </w:p>
        </w:tc>
        <w:tc>
          <w:tcPr>
            <w:tcW w:w="502" w:type="pct"/>
            <w:vAlign w:val="center"/>
          </w:tcPr>
          <w:p w:rsidR="004E28FB" w:rsidRPr="00687FD1" w:rsidRDefault="004E28FB" w:rsidP="004E28FB">
            <w:pPr>
              <w:jc w:val="center"/>
              <w:rPr>
                <w:b w:val="0"/>
                <w:sz w:val="20"/>
                <w:szCs w:val="20"/>
              </w:rPr>
            </w:pPr>
            <w:r w:rsidRPr="00687FD1">
              <w:rPr>
                <w:b w:val="0"/>
                <w:sz w:val="20"/>
                <w:szCs w:val="20"/>
              </w:rPr>
              <w:t>0</w:t>
            </w:r>
          </w:p>
        </w:tc>
        <w:tc>
          <w:tcPr>
            <w:tcW w:w="298" w:type="pct"/>
            <w:vAlign w:val="center"/>
          </w:tcPr>
          <w:p w:rsidR="004E28FB" w:rsidRPr="00687FD1" w:rsidRDefault="004E28FB" w:rsidP="004E28FB">
            <w:pPr>
              <w:jc w:val="center"/>
              <w:rPr>
                <w:b w:val="0"/>
                <w:sz w:val="20"/>
                <w:szCs w:val="20"/>
              </w:rPr>
            </w:pPr>
            <w:r w:rsidRPr="00687FD1">
              <w:rPr>
                <w:b w:val="0"/>
                <w:sz w:val="20"/>
                <w:szCs w:val="20"/>
              </w:rPr>
              <w:t>1</w:t>
            </w: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The Netherlands</w:t>
            </w:r>
          </w:p>
        </w:tc>
        <w:tc>
          <w:tcPr>
            <w:tcW w:w="439" w:type="pct"/>
            <w:vAlign w:val="center"/>
          </w:tcPr>
          <w:p w:rsidR="004E28FB" w:rsidRPr="00687FD1" w:rsidRDefault="004E28FB" w:rsidP="004E28FB">
            <w:pPr>
              <w:jc w:val="center"/>
              <w:rPr>
                <w:b w:val="0"/>
                <w:sz w:val="20"/>
                <w:szCs w:val="20"/>
              </w:rPr>
            </w:pPr>
            <w:r w:rsidRPr="00687FD1">
              <w:rPr>
                <w:b w:val="0"/>
                <w:sz w:val="20"/>
                <w:szCs w:val="20"/>
              </w:rPr>
              <w:t>20</w:t>
            </w:r>
          </w:p>
        </w:tc>
        <w:tc>
          <w:tcPr>
            <w:tcW w:w="727" w:type="pct"/>
            <w:vAlign w:val="center"/>
          </w:tcPr>
          <w:p w:rsidR="004E28FB" w:rsidRPr="00687FD1" w:rsidRDefault="004E28FB" w:rsidP="004E28FB">
            <w:pPr>
              <w:jc w:val="center"/>
              <w:rPr>
                <w:b w:val="0"/>
                <w:sz w:val="20"/>
                <w:szCs w:val="20"/>
              </w:rPr>
            </w:pPr>
            <w:r w:rsidRPr="00687FD1">
              <w:rPr>
                <w:b w:val="0"/>
                <w:sz w:val="20"/>
                <w:szCs w:val="20"/>
              </w:rPr>
              <w:t>9</w:t>
            </w:r>
          </w:p>
        </w:tc>
        <w:tc>
          <w:tcPr>
            <w:tcW w:w="433" w:type="pct"/>
            <w:gridSpan w:val="2"/>
            <w:vAlign w:val="center"/>
          </w:tcPr>
          <w:p w:rsidR="004E28FB" w:rsidRPr="00687FD1" w:rsidRDefault="004E28FB" w:rsidP="004E28FB">
            <w:pPr>
              <w:jc w:val="center"/>
              <w:rPr>
                <w:b w:val="0"/>
                <w:sz w:val="20"/>
                <w:szCs w:val="20"/>
              </w:rPr>
            </w:pPr>
            <w:r w:rsidRPr="00687FD1">
              <w:rPr>
                <w:b w:val="0"/>
                <w:sz w:val="20"/>
                <w:szCs w:val="20"/>
              </w:rPr>
              <w:t>7</w:t>
            </w:r>
          </w:p>
        </w:tc>
        <w:tc>
          <w:tcPr>
            <w:tcW w:w="366" w:type="pct"/>
            <w:vAlign w:val="center"/>
          </w:tcPr>
          <w:p w:rsidR="004E28FB" w:rsidRPr="00687FD1" w:rsidRDefault="004E28FB" w:rsidP="004E28FB">
            <w:pPr>
              <w:jc w:val="center"/>
              <w:rPr>
                <w:b w:val="0"/>
                <w:sz w:val="20"/>
                <w:szCs w:val="20"/>
              </w:rPr>
            </w:pPr>
            <w:r w:rsidRPr="00687FD1">
              <w:rPr>
                <w:b w:val="0"/>
                <w:sz w:val="20"/>
                <w:szCs w:val="20"/>
              </w:rPr>
              <w:t>13</w:t>
            </w:r>
          </w:p>
        </w:tc>
        <w:tc>
          <w:tcPr>
            <w:tcW w:w="291" w:type="pct"/>
            <w:vAlign w:val="center"/>
          </w:tcPr>
          <w:p w:rsidR="004E28FB" w:rsidRPr="00687FD1" w:rsidRDefault="004E28FB" w:rsidP="004E28FB">
            <w:pPr>
              <w:jc w:val="center"/>
              <w:rPr>
                <w:b w:val="0"/>
                <w:sz w:val="20"/>
                <w:szCs w:val="20"/>
              </w:rPr>
            </w:pPr>
            <w:r w:rsidRPr="00687FD1">
              <w:rPr>
                <w:b w:val="0"/>
                <w:sz w:val="20"/>
                <w:szCs w:val="20"/>
              </w:rPr>
              <w:t>0</w:t>
            </w:r>
          </w:p>
        </w:tc>
        <w:tc>
          <w:tcPr>
            <w:tcW w:w="364" w:type="pct"/>
            <w:vAlign w:val="center"/>
          </w:tcPr>
          <w:p w:rsidR="004E28FB" w:rsidRPr="00687FD1" w:rsidRDefault="004E28FB" w:rsidP="004E28FB">
            <w:pPr>
              <w:jc w:val="center"/>
              <w:rPr>
                <w:b w:val="0"/>
                <w:sz w:val="20"/>
                <w:szCs w:val="20"/>
              </w:rPr>
            </w:pPr>
            <w:r w:rsidRPr="00687FD1">
              <w:rPr>
                <w:b w:val="0"/>
                <w:sz w:val="20"/>
                <w:szCs w:val="20"/>
              </w:rPr>
              <w:t>0</w:t>
            </w:r>
          </w:p>
        </w:tc>
        <w:tc>
          <w:tcPr>
            <w:tcW w:w="363" w:type="pct"/>
            <w:vAlign w:val="center"/>
          </w:tcPr>
          <w:p w:rsidR="004E28FB" w:rsidRPr="00687FD1" w:rsidRDefault="004E28FB" w:rsidP="004E28FB">
            <w:pPr>
              <w:jc w:val="center"/>
              <w:rPr>
                <w:b w:val="0"/>
                <w:sz w:val="20"/>
                <w:szCs w:val="20"/>
              </w:rPr>
            </w:pPr>
            <w:r w:rsidRPr="00687FD1">
              <w:rPr>
                <w:b w:val="0"/>
                <w:sz w:val="20"/>
                <w:szCs w:val="20"/>
              </w:rPr>
              <w:t>36</w:t>
            </w:r>
          </w:p>
        </w:tc>
        <w:tc>
          <w:tcPr>
            <w:tcW w:w="364" w:type="pct"/>
            <w:vAlign w:val="center"/>
          </w:tcPr>
          <w:p w:rsidR="004E28FB" w:rsidRPr="00687FD1" w:rsidRDefault="004E28FB" w:rsidP="004E28FB">
            <w:pPr>
              <w:jc w:val="center"/>
              <w:rPr>
                <w:b w:val="0"/>
                <w:sz w:val="20"/>
                <w:szCs w:val="20"/>
              </w:rPr>
            </w:pPr>
            <w:r w:rsidRPr="00687FD1">
              <w:rPr>
                <w:b w:val="0"/>
                <w:sz w:val="20"/>
                <w:szCs w:val="20"/>
              </w:rPr>
              <w:t>30</w:t>
            </w:r>
          </w:p>
        </w:tc>
        <w:tc>
          <w:tcPr>
            <w:tcW w:w="502" w:type="pct"/>
            <w:vAlign w:val="center"/>
          </w:tcPr>
          <w:p w:rsidR="004E28FB" w:rsidRPr="00687FD1" w:rsidRDefault="004E28FB" w:rsidP="004E28FB">
            <w:pPr>
              <w:jc w:val="center"/>
              <w:rPr>
                <w:b w:val="0"/>
                <w:sz w:val="20"/>
                <w:szCs w:val="20"/>
              </w:rPr>
            </w:pPr>
            <w:r w:rsidRPr="00687FD1">
              <w:rPr>
                <w:b w:val="0"/>
                <w:sz w:val="20"/>
                <w:szCs w:val="20"/>
              </w:rPr>
              <w:t>14</w:t>
            </w:r>
          </w:p>
        </w:tc>
        <w:tc>
          <w:tcPr>
            <w:tcW w:w="298" w:type="pct"/>
            <w:vAlign w:val="center"/>
          </w:tcPr>
          <w:p w:rsidR="004E28FB" w:rsidRPr="00687FD1" w:rsidRDefault="004E28FB" w:rsidP="004E28FB">
            <w:pPr>
              <w:jc w:val="center"/>
              <w:rPr>
                <w:b w:val="0"/>
                <w:sz w:val="20"/>
                <w:szCs w:val="20"/>
              </w:rPr>
            </w:pPr>
            <w:r w:rsidRPr="00687FD1">
              <w:rPr>
                <w:b w:val="0"/>
                <w:sz w:val="20"/>
                <w:szCs w:val="20"/>
              </w:rPr>
              <w:t>26</w:t>
            </w: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Portugal</w:t>
            </w:r>
          </w:p>
        </w:tc>
        <w:tc>
          <w:tcPr>
            <w:tcW w:w="439" w:type="pct"/>
            <w:vAlign w:val="center"/>
          </w:tcPr>
          <w:p w:rsidR="004E28FB" w:rsidRPr="00687FD1" w:rsidRDefault="004E28FB" w:rsidP="004E28FB">
            <w:pPr>
              <w:jc w:val="center"/>
              <w:rPr>
                <w:b w:val="0"/>
                <w:sz w:val="20"/>
                <w:szCs w:val="20"/>
              </w:rPr>
            </w:pPr>
            <w:r w:rsidRPr="00687FD1">
              <w:rPr>
                <w:b w:val="0"/>
                <w:sz w:val="20"/>
                <w:szCs w:val="20"/>
              </w:rPr>
              <w:t>80</w:t>
            </w:r>
          </w:p>
        </w:tc>
        <w:tc>
          <w:tcPr>
            <w:tcW w:w="727" w:type="pct"/>
            <w:vAlign w:val="center"/>
          </w:tcPr>
          <w:p w:rsidR="004E28FB" w:rsidRPr="00687FD1" w:rsidRDefault="004E28FB" w:rsidP="004E28FB">
            <w:pPr>
              <w:jc w:val="center"/>
              <w:rPr>
                <w:b w:val="0"/>
                <w:sz w:val="20"/>
                <w:szCs w:val="20"/>
              </w:rPr>
            </w:pPr>
            <w:r w:rsidRPr="00687FD1">
              <w:rPr>
                <w:b w:val="0"/>
                <w:sz w:val="20"/>
                <w:szCs w:val="20"/>
              </w:rPr>
              <w:t>5</w:t>
            </w:r>
          </w:p>
        </w:tc>
        <w:tc>
          <w:tcPr>
            <w:tcW w:w="433" w:type="pct"/>
            <w:gridSpan w:val="2"/>
            <w:vAlign w:val="center"/>
          </w:tcPr>
          <w:p w:rsidR="004E28FB" w:rsidRPr="00687FD1" w:rsidRDefault="004E28FB" w:rsidP="004E28FB">
            <w:pPr>
              <w:jc w:val="center"/>
              <w:rPr>
                <w:b w:val="0"/>
                <w:sz w:val="20"/>
                <w:szCs w:val="20"/>
              </w:rPr>
            </w:pPr>
            <w:r w:rsidRPr="00687FD1">
              <w:rPr>
                <w:b w:val="0"/>
                <w:sz w:val="20"/>
                <w:szCs w:val="20"/>
              </w:rPr>
              <w:t>6</w:t>
            </w:r>
          </w:p>
        </w:tc>
        <w:tc>
          <w:tcPr>
            <w:tcW w:w="366" w:type="pct"/>
            <w:vAlign w:val="center"/>
          </w:tcPr>
          <w:p w:rsidR="004E28FB" w:rsidRPr="00687FD1" w:rsidRDefault="004E28FB" w:rsidP="004E28FB">
            <w:pPr>
              <w:jc w:val="center"/>
              <w:rPr>
                <w:b w:val="0"/>
                <w:sz w:val="20"/>
                <w:szCs w:val="20"/>
              </w:rPr>
            </w:pPr>
            <w:r w:rsidRPr="00687FD1">
              <w:rPr>
                <w:b w:val="0"/>
                <w:sz w:val="20"/>
                <w:szCs w:val="20"/>
              </w:rPr>
              <w:t>15</w:t>
            </w:r>
          </w:p>
        </w:tc>
        <w:tc>
          <w:tcPr>
            <w:tcW w:w="291" w:type="pct"/>
            <w:vAlign w:val="center"/>
          </w:tcPr>
          <w:p w:rsidR="004E28FB" w:rsidRPr="00687FD1" w:rsidRDefault="004E28FB" w:rsidP="004E28FB">
            <w:pPr>
              <w:jc w:val="center"/>
              <w:rPr>
                <w:b w:val="0"/>
                <w:sz w:val="20"/>
                <w:szCs w:val="20"/>
              </w:rPr>
            </w:pPr>
            <w:r w:rsidRPr="00687FD1">
              <w:rPr>
                <w:b w:val="0"/>
                <w:sz w:val="20"/>
                <w:szCs w:val="20"/>
              </w:rPr>
              <w:t>6</w:t>
            </w:r>
          </w:p>
        </w:tc>
        <w:tc>
          <w:tcPr>
            <w:tcW w:w="364" w:type="pct"/>
            <w:vAlign w:val="center"/>
          </w:tcPr>
          <w:p w:rsidR="004E28FB" w:rsidRPr="00687FD1" w:rsidRDefault="004E28FB" w:rsidP="004E28FB">
            <w:pPr>
              <w:jc w:val="center"/>
              <w:rPr>
                <w:b w:val="0"/>
                <w:sz w:val="20"/>
                <w:szCs w:val="20"/>
              </w:rPr>
            </w:pPr>
            <w:r w:rsidRPr="00687FD1">
              <w:rPr>
                <w:b w:val="0"/>
                <w:sz w:val="20"/>
                <w:szCs w:val="20"/>
              </w:rPr>
              <w:t>53</w:t>
            </w:r>
          </w:p>
        </w:tc>
        <w:tc>
          <w:tcPr>
            <w:tcW w:w="363" w:type="pct"/>
            <w:vAlign w:val="center"/>
          </w:tcPr>
          <w:p w:rsidR="004E28FB" w:rsidRPr="00687FD1" w:rsidRDefault="004E28FB" w:rsidP="004E28FB">
            <w:pPr>
              <w:jc w:val="center"/>
              <w:rPr>
                <w:b w:val="0"/>
                <w:sz w:val="20"/>
                <w:szCs w:val="20"/>
              </w:rPr>
            </w:pPr>
            <w:r w:rsidRPr="00687FD1">
              <w:rPr>
                <w:b w:val="0"/>
                <w:sz w:val="20"/>
                <w:szCs w:val="20"/>
              </w:rPr>
              <w:t>13</w:t>
            </w:r>
          </w:p>
        </w:tc>
        <w:tc>
          <w:tcPr>
            <w:tcW w:w="364" w:type="pct"/>
            <w:vAlign w:val="center"/>
          </w:tcPr>
          <w:p w:rsidR="004E28FB" w:rsidRPr="00687FD1" w:rsidRDefault="004E28FB" w:rsidP="004E28FB">
            <w:pPr>
              <w:jc w:val="center"/>
              <w:rPr>
                <w:b w:val="0"/>
                <w:sz w:val="20"/>
                <w:szCs w:val="20"/>
              </w:rPr>
            </w:pPr>
            <w:r w:rsidRPr="00687FD1">
              <w:rPr>
                <w:b w:val="0"/>
                <w:sz w:val="20"/>
                <w:szCs w:val="20"/>
              </w:rPr>
              <w:t>12</w:t>
            </w:r>
          </w:p>
        </w:tc>
        <w:tc>
          <w:tcPr>
            <w:tcW w:w="502" w:type="pct"/>
            <w:vAlign w:val="center"/>
          </w:tcPr>
          <w:p w:rsidR="004E28FB" w:rsidRPr="00687FD1" w:rsidRDefault="004E28FB" w:rsidP="004E28FB">
            <w:pPr>
              <w:jc w:val="center"/>
              <w:rPr>
                <w:b w:val="0"/>
                <w:sz w:val="20"/>
                <w:szCs w:val="20"/>
              </w:rPr>
            </w:pPr>
            <w:r w:rsidRPr="00687FD1">
              <w:rPr>
                <w:b w:val="0"/>
                <w:sz w:val="20"/>
                <w:szCs w:val="20"/>
              </w:rPr>
              <w:t>3</w:t>
            </w:r>
          </w:p>
        </w:tc>
        <w:tc>
          <w:tcPr>
            <w:tcW w:w="298" w:type="pct"/>
            <w:vAlign w:val="center"/>
          </w:tcPr>
          <w:p w:rsidR="004E28FB" w:rsidRPr="00687FD1" w:rsidRDefault="004E28FB" w:rsidP="004E28FB">
            <w:pPr>
              <w:jc w:val="center"/>
              <w:rPr>
                <w:b w:val="0"/>
                <w:sz w:val="20"/>
                <w:szCs w:val="20"/>
              </w:rPr>
            </w:pPr>
            <w:r w:rsidRPr="00687FD1">
              <w:rPr>
                <w:b w:val="0"/>
                <w:sz w:val="20"/>
                <w:szCs w:val="20"/>
              </w:rPr>
              <w:t>3</w:t>
            </w: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Spain</w:t>
            </w:r>
          </w:p>
        </w:tc>
        <w:tc>
          <w:tcPr>
            <w:tcW w:w="439" w:type="pct"/>
            <w:vAlign w:val="center"/>
          </w:tcPr>
          <w:p w:rsidR="004E28FB" w:rsidRPr="00687FD1" w:rsidRDefault="004E28FB" w:rsidP="004E28FB">
            <w:pPr>
              <w:jc w:val="center"/>
              <w:rPr>
                <w:b w:val="0"/>
                <w:sz w:val="20"/>
                <w:szCs w:val="20"/>
              </w:rPr>
            </w:pPr>
            <w:r w:rsidRPr="00687FD1">
              <w:rPr>
                <w:b w:val="0"/>
                <w:sz w:val="20"/>
                <w:szCs w:val="20"/>
              </w:rPr>
              <w:t>893</w:t>
            </w:r>
          </w:p>
        </w:tc>
        <w:tc>
          <w:tcPr>
            <w:tcW w:w="727" w:type="pct"/>
            <w:vAlign w:val="center"/>
          </w:tcPr>
          <w:p w:rsidR="004E28FB" w:rsidRPr="00687FD1" w:rsidRDefault="004E28FB" w:rsidP="004E28FB">
            <w:pPr>
              <w:jc w:val="center"/>
              <w:rPr>
                <w:b w:val="0"/>
                <w:sz w:val="20"/>
                <w:szCs w:val="20"/>
              </w:rPr>
            </w:pPr>
          </w:p>
        </w:tc>
        <w:tc>
          <w:tcPr>
            <w:tcW w:w="433" w:type="pct"/>
            <w:gridSpan w:val="2"/>
            <w:vAlign w:val="center"/>
          </w:tcPr>
          <w:p w:rsidR="004E28FB" w:rsidRPr="00687FD1" w:rsidRDefault="004E28FB" w:rsidP="004E28FB">
            <w:pPr>
              <w:jc w:val="center"/>
              <w:rPr>
                <w:b w:val="0"/>
                <w:sz w:val="20"/>
                <w:szCs w:val="20"/>
              </w:rPr>
            </w:pPr>
            <w:r w:rsidRPr="00687FD1">
              <w:rPr>
                <w:b w:val="0"/>
                <w:sz w:val="20"/>
                <w:szCs w:val="20"/>
              </w:rPr>
              <w:t>288</w:t>
            </w:r>
          </w:p>
        </w:tc>
        <w:tc>
          <w:tcPr>
            <w:tcW w:w="366" w:type="pct"/>
            <w:vAlign w:val="center"/>
          </w:tcPr>
          <w:p w:rsidR="004E28FB" w:rsidRPr="00687FD1" w:rsidRDefault="004E28FB" w:rsidP="004E28FB">
            <w:pPr>
              <w:jc w:val="center"/>
              <w:rPr>
                <w:b w:val="0"/>
                <w:sz w:val="20"/>
                <w:szCs w:val="20"/>
              </w:rPr>
            </w:pPr>
            <w:r w:rsidRPr="00687FD1">
              <w:rPr>
                <w:b w:val="0"/>
                <w:sz w:val="20"/>
                <w:szCs w:val="20"/>
              </w:rPr>
              <w:t>438</w:t>
            </w:r>
          </w:p>
        </w:tc>
        <w:tc>
          <w:tcPr>
            <w:tcW w:w="656" w:type="pct"/>
            <w:gridSpan w:val="2"/>
            <w:vAlign w:val="center"/>
          </w:tcPr>
          <w:p w:rsidR="004E28FB" w:rsidRPr="00687FD1" w:rsidRDefault="004E28FB" w:rsidP="004E28FB">
            <w:pPr>
              <w:jc w:val="center"/>
              <w:rPr>
                <w:b w:val="0"/>
                <w:sz w:val="20"/>
                <w:szCs w:val="20"/>
              </w:rPr>
            </w:pPr>
            <w:r w:rsidRPr="00687FD1">
              <w:rPr>
                <w:b w:val="0"/>
                <w:sz w:val="20"/>
                <w:szCs w:val="20"/>
              </w:rPr>
              <w:t>167</w:t>
            </w:r>
          </w:p>
        </w:tc>
        <w:tc>
          <w:tcPr>
            <w:tcW w:w="363" w:type="pct"/>
            <w:vAlign w:val="center"/>
          </w:tcPr>
          <w:p w:rsidR="004E28FB" w:rsidRPr="00687FD1" w:rsidRDefault="004E28FB" w:rsidP="004E28FB">
            <w:pPr>
              <w:jc w:val="center"/>
              <w:rPr>
                <w:b w:val="0"/>
                <w:sz w:val="20"/>
                <w:szCs w:val="20"/>
              </w:rPr>
            </w:pPr>
            <w:r w:rsidRPr="00687FD1">
              <w:rPr>
                <w:b w:val="0"/>
                <w:sz w:val="20"/>
                <w:szCs w:val="20"/>
              </w:rPr>
              <w:t>190</w:t>
            </w:r>
          </w:p>
        </w:tc>
        <w:tc>
          <w:tcPr>
            <w:tcW w:w="364" w:type="pct"/>
            <w:vAlign w:val="center"/>
          </w:tcPr>
          <w:p w:rsidR="004E28FB" w:rsidRPr="00687FD1" w:rsidRDefault="004E28FB" w:rsidP="004E28FB">
            <w:pPr>
              <w:jc w:val="center"/>
              <w:rPr>
                <w:b w:val="0"/>
                <w:sz w:val="20"/>
                <w:szCs w:val="20"/>
              </w:rPr>
            </w:pPr>
          </w:p>
        </w:tc>
        <w:tc>
          <w:tcPr>
            <w:tcW w:w="502" w:type="pct"/>
            <w:vAlign w:val="center"/>
          </w:tcPr>
          <w:p w:rsidR="004E28FB" w:rsidRPr="00687FD1" w:rsidRDefault="004E28FB" w:rsidP="004E28FB">
            <w:pPr>
              <w:jc w:val="center"/>
              <w:rPr>
                <w:b w:val="0"/>
                <w:sz w:val="20"/>
                <w:szCs w:val="20"/>
              </w:rPr>
            </w:pPr>
          </w:p>
        </w:tc>
        <w:tc>
          <w:tcPr>
            <w:tcW w:w="298" w:type="pct"/>
            <w:vAlign w:val="center"/>
          </w:tcPr>
          <w:p w:rsidR="004E28FB" w:rsidRPr="00687FD1" w:rsidRDefault="004E28FB" w:rsidP="004E28FB">
            <w:pPr>
              <w:jc w:val="center"/>
              <w:rPr>
                <w:b w:val="0"/>
                <w:sz w:val="20"/>
                <w:szCs w:val="20"/>
              </w:rPr>
            </w:pPr>
            <w:r w:rsidRPr="00687FD1">
              <w:rPr>
                <w:b w:val="0"/>
                <w:sz w:val="20"/>
                <w:szCs w:val="20"/>
              </w:rPr>
              <w:t>&gt;7</w:t>
            </w:r>
          </w:p>
        </w:tc>
      </w:tr>
      <w:tr w:rsidR="004E28FB" w:rsidRPr="00687FD1" w:rsidTr="00E61DBA">
        <w:trPr>
          <w:trHeight w:val="284"/>
        </w:trPr>
        <w:tc>
          <w:tcPr>
            <w:tcW w:w="853" w:type="pct"/>
            <w:shd w:val="clear" w:color="auto" w:fill="FFFFFF" w:themeFill="background1"/>
            <w:vAlign w:val="center"/>
          </w:tcPr>
          <w:p w:rsidR="004E28FB" w:rsidRPr="00687FD1" w:rsidRDefault="004E28FB" w:rsidP="004E28FB">
            <w:pPr>
              <w:rPr>
                <w:sz w:val="20"/>
                <w:szCs w:val="20"/>
              </w:rPr>
            </w:pPr>
            <w:r w:rsidRPr="00687FD1">
              <w:rPr>
                <w:sz w:val="20"/>
                <w:szCs w:val="20"/>
              </w:rPr>
              <w:t>Sweden</w:t>
            </w:r>
          </w:p>
        </w:tc>
        <w:tc>
          <w:tcPr>
            <w:tcW w:w="439"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66</w:t>
            </w:r>
          </w:p>
        </w:tc>
        <w:tc>
          <w:tcPr>
            <w:tcW w:w="727"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45</w:t>
            </w:r>
          </w:p>
        </w:tc>
        <w:tc>
          <w:tcPr>
            <w:tcW w:w="433" w:type="pct"/>
            <w:gridSpan w:val="2"/>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63</w:t>
            </w:r>
          </w:p>
        </w:tc>
        <w:tc>
          <w:tcPr>
            <w:tcW w:w="366"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3</w:t>
            </w:r>
          </w:p>
        </w:tc>
        <w:tc>
          <w:tcPr>
            <w:tcW w:w="291" w:type="pct"/>
            <w:shd w:val="clear" w:color="auto" w:fill="FFFFFF" w:themeFill="background1"/>
            <w:vAlign w:val="center"/>
          </w:tcPr>
          <w:p w:rsidR="004E28FB" w:rsidRPr="00687FD1" w:rsidRDefault="004E28FB" w:rsidP="004E28FB">
            <w:pPr>
              <w:jc w:val="center"/>
              <w:rPr>
                <w:b w:val="0"/>
                <w:sz w:val="20"/>
                <w:szCs w:val="20"/>
              </w:rPr>
            </w:pPr>
          </w:p>
        </w:tc>
        <w:tc>
          <w:tcPr>
            <w:tcW w:w="364" w:type="pct"/>
            <w:shd w:val="clear" w:color="auto" w:fill="FFFFFF" w:themeFill="background1"/>
            <w:vAlign w:val="center"/>
          </w:tcPr>
          <w:p w:rsidR="004E28FB" w:rsidRPr="00687FD1" w:rsidRDefault="004E28FB" w:rsidP="004E28FB">
            <w:pPr>
              <w:jc w:val="center"/>
              <w:rPr>
                <w:b w:val="0"/>
                <w:sz w:val="20"/>
                <w:szCs w:val="20"/>
              </w:rPr>
            </w:pPr>
          </w:p>
        </w:tc>
        <w:tc>
          <w:tcPr>
            <w:tcW w:w="363"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49</w:t>
            </w:r>
          </w:p>
        </w:tc>
        <w:tc>
          <w:tcPr>
            <w:tcW w:w="364"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12</w:t>
            </w:r>
          </w:p>
        </w:tc>
        <w:tc>
          <w:tcPr>
            <w:tcW w:w="502"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36</w:t>
            </w:r>
          </w:p>
        </w:tc>
        <w:tc>
          <w:tcPr>
            <w:tcW w:w="298"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5</w:t>
            </w:r>
          </w:p>
        </w:tc>
      </w:tr>
      <w:tr w:rsidR="004E28FB" w:rsidRPr="00687FD1" w:rsidTr="00E61DBA">
        <w:trPr>
          <w:trHeight w:val="284"/>
        </w:trPr>
        <w:tc>
          <w:tcPr>
            <w:tcW w:w="853" w:type="pct"/>
            <w:shd w:val="clear" w:color="auto" w:fill="FFFFFF" w:themeFill="background1"/>
            <w:vAlign w:val="center"/>
          </w:tcPr>
          <w:p w:rsidR="004E28FB" w:rsidRPr="00687FD1" w:rsidRDefault="004E28FB" w:rsidP="004E28FB">
            <w:pPr>
              <w:rPr>
                <w:sz w:val="20"/>
                <w:szCs w:val="20"/>
              </w:rPr>
            </w:pPr>
            <w:r w:rsidRPr="00687FD1">
              <w:rPr>
                <w:sz w:val="20"/>
                <w:szCs w:val="20"/>
              </w:rPr>
              <w:lastRenderedPageBreak/>
              <w:t>U.K.</w:t>
            </w:r>
          </w:p>
        </w:tc>
        <w:tc>
          <w:tcPr>
            <w:tcW w:w="439"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51</w:t>
            </w:r>
            <w:r w:rsidRPr="00687FD1">
              <w:rPr>
                <w:b w:val="0"/>
                <w:sz w:val="20"/>
                <w:szCs w:val="20"/>
                <w:vertAlign w:val="superscript"/>
              </w:rPr>
              <w:t>5</w:t>
            </w:r>
          </w:p>
        </w:tc>
        <w:tc>
          <w:tcPr>
            <w:tcW w:w="727"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34</w:t>
            </w:r>
          </w:p>
        </w:tc>
        <w:tc>
          <w:tcPr>
            <w:tcW w:w="433" w:type="pct"/>
            <w:gridSpan w:val="2"/>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45</w:t>
            </w:r>
          </w:p>
        </w:tc>
        <w:tc>
          <w:tcPr>
            <w:tcW w:w="366"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2</w:t>
            </w:r>
          </w:p>
        </w:tc>
        <w:tc>
          <w:tcPr>
            <w:tcW w:w="291" w:type="pct"/>
            <w:shd w:val="clear" w:color="auto" w:fill="FFFFFF" w:themeFill="background1"/>
            <w:vAlign w:val="center"/>
          </w:tcPr>
          <w:p w:rsidR="004E28FB" w:rsidRPr="00687FD1" w:rsidRDefault="004E28FB" w:rsidP="004E28FB">
            <w:pPr>
              <w:jc w:val="center"/>
              <w:rPr>
                <w:b w:val="0"/>
                <w:sz w:val="20"/>
                <w:szCs w:val="20"/>
              </w:rPr>
            </w:pPr>
          </w:p>
        </w:tc>
        <w:tc>
          <w:tcPr>
            <w:tcW w:w="364"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4</w:t>
            </w:r>
          </w:p>
        </w:tc>
        <w:tc>
          <w:tcPr>
            <w:tcW w:w="363"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&gt;38</w:t>
            </w:r>
          </w:p>
        </w:tc>
        <w:tc>
          <w:tcPr>
            <w:tcW w:w="364"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38</w:t>
            </w:r>
          </w:p>
        </w:tc>
        <w:tc>
          <w:tcPr>
            <w:tcW w:w="502"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32</w:t>
            </w:r>
          </w:p>
        </w:tc>
        <w:tc>
          <w:tcPr>
            <w:tcW w:w="298"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15</w:t>
            </w: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Iceland</w:t>
            </w:r>
          </w:p>
        </w:tc>
        <w:tc>
          <w:tcPr>
            <w:tcW w:w="439" w:type="pct"/>
            <w:vAlign w:val="center"/>
          </w:tcPr>
          <w:p w:rsidR="004E28FB" w:rsidRPr="00687FD1" w:rsidRDefault="004E28FB" w:rsidP="004E28FB">
            <w:pPr>
              <w:jc w:val="center"/>
              <w:rPr>
                <w:b w:val="0"/>
                <w:sz w:val="20"/>
                <w:szCs w:val="20"/>
              </w:rPr>
            </w:pPr>
            <w:r w:rsidRPr="00687FD1">
              <w:rPr>
                <w:b w:val="0"/>
                <w:sz w:val="20"/>
                <w:szCs w:val="20"/>
              </w:rPr>
              <w:t>3</w:t>
            </w:r>
          </w:p>
        </w:tc>
        <w:tc>
          <w:tcPr>
            <w:tcW w:w="727" w:type="pct"/>
            <w:vAlign w:val="center"/>
          </w:tcPr>
          <w:p w:rsidR="004E28FB" w:rsidRPr="00687FD1" w:rsidRDefault="004E28FB" w:rsidP="004E28FB">
            <w:pPr>
              <w:jc w:val="center"/>
              <w:rPr>
                <w:b w:val="0"/>
                <w:sz w:val="20"/>
                <w:szCs w:val="20"/>
              </w:rPr>
            </w:pPr>
            <w:r w:rsidRPr="00687FD1">
              <w:rPr>
                <w:b w:val="0"/>
                <w:sz w:val="20"/>
                <w:szCs w:val="20"/>
              </w:rPr>
              <w:t>2</w:t>
            </w:r>
          </w:p>
        </w:tc>
        <w:tc>
          <w:tcPr>
            <w:tcW w:w="433" w:type="pct"/>
            <w:gridSpan w:val="2"/>
            <w:vAlign w:val="center"/>
          </w:tcPr>
          <w:p w:rsidR="004E28FB" w:rsidRPr="00687FD1" w:rsidRDefault="004E28FB" w:rsidP="004E28FB">
            <w:pPr>
              <w:jc w:val="center"/>
              <w:rPr>
                <w:b w:val="0"/>
                <w:sz w:val="20"/>
                <w:szCs w:val="20"/>
              </w:rPr>
            </w:pPr>
            <w:r w:rsidRPr="00687FD1">
              <w:rPr>
                <w:b w:val="0"/>
                <w:sz w:val="20"/>
                <w:szCs w:val="20"/>
              </w:rPr>
              <w:t>1</w:t>
            </w:r>
          </w:p>
        </w:tc>
        <w:tc>
          <w:tcPr>
            <w:tcW w:w="366" w:type="pct"/>
            <w:vAlign w:val="center"/>
          </w:tcPr>
          <w:p w:rsidR="004E28FB" w:rsidRPr="00687FD1" w:rsidRDefault="004E28FB" w:rsidP="004E28FB">
            <w:pPr>
              <w:jc w:val="center"/>
              <w:rPr>
                <w:b w:val="0"/>
                <w:sz w:val="20"/>
                <w:szCs w:val="20"/>
              </w:rPr>
            </w:pPr>
            <w:r w:rsidRPr="00687FD1">
              <w:rPr>
                <w:b w:val="0"/>
                <w:sz w:val="20"/>
                <w:szCs w:val="20"/>
              </w:rPr>
              <w:t>1</w:t>
            </w:r>
          </w:p>
        </w:tc>
        <w:tc>
          <w:tcPr>
            <w:tcW w:w="291" w:type="pct"/>
            <w:vAlign w:val="center"/>
          </w:tcPr>
          <w:p w:rsidR="004E28FB" w:rsidRPr="00687FD1" w:rsidRDefault="004E28FB" w:rsidP="004E28FB">
            <w:pPr>
              <w:jc w:val="center"/>
              <w:rPr>
                <w:b w:val="0"/>
                <w:sz w:val="20"/>
                <w:szCs w:val="20"/>
              </w:rPr>
            </w:pPr>
            <w:r w:rsidRPr="00687FD1">
              <w:rPr>
                <w:b w:val="0"/>
                <w:sz w:val="20"/>
                <w:szCs w:val="20"/>
              </w:rPr>
              <w:t>0</w:t>
            </w:r>
          </w:p>
        </w:tc>
        <w:tc>
          <w:tcPr>
            <w:tcW w:w="364" w:type="pct"/>
            <w:vAlign w:val="center"/>
          </w:tcPr>
          <w:p w:rsidR="004E28FB" w:rsidRPr="00687FD1" w:rsidRDefault="004E28FB" w:rsidP="004E28FB">
            <w:pPr>
              <w:jc w:val="center"/>
              <w:rPr>
                <w:b w:val="0"/>
                <w:sz w:val="20"/>
                <w:szCs w:val="20"/>
              </w:rPr>
            </w:pPr>
            <w:r w:rsidRPr="00687FD1">
              <w:rPr>
                <w:b w:val="0"/>
                <w:sz w:val="20"/>
                <w:szCs w:val="20"/>
              </w:rPr>
              <w:t>1</w:t>
            </w:r>
          </w:p>
        </w:tc>
        <w:tc>
          <w:tcPr>
            <w:tcW w:w="363" w:type="pct"/>
            <w:vAlign w:val="center"/>
          </w:tcPr>
          <w:p w:rsidR="004E28FB" w:rsidRPr="00687FD1" w:rsidRDefault="004E28FB" w:rsidP="004E28FB">
            <w:pPr>
              <w:jc w:val="center"/>
              <w:rPr>
                <w:b w:val="0"/>
                <w:sz w:val="20"/>
                <w:szCs w:val="20"/>
              </w:rPr>
            </w:pPr>
            <w:r w:rsidRPr="00687FD1">
              <w:rPr>
                <w:b w:val="0"/>
                <w:sz w:val="20"/>
                <w:szCs w:val="20"/>
              </w:rPr>
              <w:t>1</w:t>
            </w:r>
          </w:p>
        </w:tc>
        <w:tc>
          <w:tcPr>
            <w:tcW w:w="364" w:type="pct"/>
            <w:vAlign w:val="center"/>
          </w:tcPr>
          <w:p w:rsidR="004E28FB" w:rsidRPr="00687FD1" w:rsidRDefault="004E28FB" w:rsidP="004E28FB">
            <w:pPr>
              <w:jc w:val="center"/>
              <w:rPr>
                <w:b w:val="0"/>
                <w:sz w:val="20"/>
                <w:szCs w:val="20"/>
              </w:rPr>
            </w:pPr>
            <w:r w:rsidRPr="00687FD1">
              <w:rPr>
                <w:b w:val="0"/>
                <w:sz w:val="20"/>
                <w:szCs w:val="20"/>
              </w:rPr>
              <w:t>1</w:t>
            </w:r>
          </w:p>
        </w:tc>
        <w:tc>
          <w:tcPr>
            <w:tcW w:w="502" w:type="pct"/>
            <w:vAlign w:val="center"/>
          </w:tcPr>
          <w:p w:rsidR="004E28FB" w:rsidRPr="00687FD1" w:rsidRDefault="004E28FB" w:rsidP="004E28FB">
            <w:pPr>
              <w:jc w:val="center"/>
              <w:rPr>
                <w:b w:val="0"/>
                <w:sz w:val="20"/>
                <w:szCs w:val="20"/>
              </w:rPr>
            </w:pPr>
          </w:p>
        </w:tc>
        <w:tc>
          <w:tcPr>
            <w:tcW w:w="298" w:type="pct"/>
            <w:vAlign w:val="center"/>
          </w:tcPr>
          <w:p w:rsidR="004E28FB" w:rsidRPr="00687FD1" w:rsidRDefault="004E28FB" w:rsidP="004E28FB">
            <w:pPr>
              <w:jc w:val="center"/>
              <w:rPr>
                <w:b w:val="0"/>
                <w:sz w:val="20"/>
                <w:szCs w:val="20"/>
              </w:rPr>
            </w:pP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Liechtenstein</w:t>
            </w:r>
          </w:p>
        </w:tc>
        <w:tc>
          <w:tcPr>
            <w:tcW w:w="439" w:type="pct"/>
            <w:vAlign w:val="center"/>
          </w:tcPr>
          <w:p w:rsidR="004E28FB" w:rsidRPr="00687FD1" w:rsidRDefault="004E28FB" w:rsidP="004E28FB">
            <w:pPr>
              <w:jc w:val="center"/>
              <w:rPr>
                <w:b w:val="0"/>
                <w:sz w:val="20"/>
                <w:szCs w:val="20"/>
              </w:rPr>
            </w:pPr>
            <w:r w:rsidRPr="00687FD1">
              <w:rPr>
                <w:b w:val="0"/>
                <w:sz w:val="20"/>
                <w:szCs w:val="20"/>
              </w:rPr>
              <w:t>1</w:t>
            </w:r>
          </w:p>
        </w:tc>
        <w:tc>
          <w:tcPr>
            <w:tcW w:w="727" w:type="pct"/>
            <w:vAlign w:val="center"/>
          </w:tcPr>
          <w:p w:rsidR="004E28FB" w:rsidRPr="00687FD1" w:rsidRDefault="004E28FB" w:rsidP="004E28FB">
            <w:pPr>
              <w:jc w:val="center"/>
              <w:rPr>
                <w:b w:val="0"/>
                <w:sz w:val="20"/>
                <w:szCs w:val="20"/>
              </w:rPr>
            </w:pPr>
            <w:r w:rsidRPr="00687FD1">
              <w:rPr>
                <w:b w:val="0"/>
                <w:sz w:val="20"/>
                <w:szCs w:val="20"/>
              </w:rPr>
              <w:t>1</w:t>
            </w:r>
          </w:p>
        </w:tc>
        <w:tc>
          <w:tcPr>
            <w:tcW w:w="433" w:type="pct"/>
            <w:gridSpan w:val="2"/>
            <w:vAlign w:val="center"/>
          </w:tcPr>
          <w:p w:rsidR="004E28FB" w:rsidRPr="00687FD1" w:rsidRDefault="004E28FB" w:rsidP="004E28FB">
            <w:pPr>
              <w:jc w:val="center"/>
              <w:rPr>
                <w:b w:val="0"/>
                <w:sz w:val="20"/>
                <w:szCs w:val="20"/>
              </w:rPr>
            </w:pPr>
            <w:r w:rsidRPr="00687FD1">
              <w:rPr>
                <w:b w:val="0"/>
                <w:sz w:val="20"/>
                <w:szCs w:val="20"/>
              </w:rPr>
              <w:t>1</w:t>
            </w:r>
          </w:p>
        </w:tc>
        <w:tc>
          <w:tcPr>
            <w:tcW w:w="366" w:type="pct"/>
            <w:vAlign w:val="center"/>
          </w:tcPr>
          <w:p w:rsidR="004E28FB" w:rsidRPr="00687FD1" w:rsidRDefault="004E28FB" w:rsidP="004E28FB">
            <w:pPr>
              <w:jc w:val="center"/>
              <w:rPr>
                <w:b w:val="0"/>
                <w:sz w:val="20"/>
                <w:szCs w:val="20"/>
              </w:rPr>
            </w:pPr>
            <w:r w:rsidRPr="00687FD1">
              <w:rPr>
                <w:b w:val="0"/>
                <w:sz w:val="20"/>
                <w:szCs w:val="20"/>
              </w:rPr>
              <w:t>0</w:t>
            </w:r>
          </w:p>
        </w:tc>
        <w:tc>
          <w:tcPr>
            <w:tcW w:w="291" w:type="pct"/>
            <w:vAlign w:val="center"/>
          </w:tcPr>
          <w:p w:rsidR="004E28FB" w:rsidRPr="00687FD1" w:rsidRDefault="004E28FB" w:rsidP="004E28FB">
            <w:pPr>
              <w:jc w:val="center"/>
              <w:rPr>
                <w:b w:val="0"/>
                <w:sz w:val="20"/>
                <w:szCs w:val="20"/>
              </w:rPr>
            </w:pPr>
            <w:r w:rsidRPr="00687FD1">
              <w:rPr>
                <w:b w:val="0"/>
                <w:sz w:val="20"/>
                <w:szCs w:val="20"/>
              </w:rPr>
              <w:t>0</w:t>
            </w:r>
          </w:p>
        </w:tc>
        <w:tc>
          <w:tcPr>
            <w:tcW w:w="364" w:type="pct"/>
            <w:vAlign w:val="center"/>
          </w:tcPr>
          <w:p w:rsidR="004E28FB" w:rsidRPr="00687FD1" w:rsidRDefault="004E28FB" w:rsidP="004E28FB">
            <w:pPr>
              <w:jc w:val="center"/>
              <w:rPr>
                <w:b w:val="0"/>
                <w:sz w:val="20"/>
                <w:szCs w:val="20"/>
              </w:rPr>
            </w:pPr>
            <w:r w:rsidRPr="00687FD1">
              <w:rPr>
                <w:b w:val="0"/>
                <w:sz w:val="20"/>
                <w:szCs w:val="20"/>
              </w:rPr>
              <w:t>0</w:t>
            </w:r>
          </w:p>
        </w:tc>
        <w:tc>
          <w:tcPr>
            <w:tcW w:w="363" w:type="pct"/>
            <w:vAlign w:val="center"/>
          </w:tcPr>
          <w:p w:rsidR="004E28FB" w:rsidRPr="00687FD1" w:rsidRDefault="004E28FB" w:rsidP="004E28FB">
            <w:pPr>
              <w:jc w:val="center"/>
              <w:rPr>
                <w:b w:val="0"/>
                <w:sz w:val="20"/>
                <w:szCs w:val="20"/>
              </w:rPr>
            </w:pPr>
          </w:p>
        </w:tc>
        <w:tc>
          <w:tcPr>
            <w:tcW w:w="364" w:type="pct"/>
            <w:vAlign w:val="center"/>
          </w:tcPr>
          <w:p w:rsidR="004E28FB" w:rsidRPr="00687FD1" w:rsidRDefault="004E28FB" w:rsidP="004E28FB">
            <w:pPr>
              <w:jc w:val="center"/>
              <w:rPr>
                <w:b w:val="0"/>
                <w:sz w:val="20"/>
                <w:szCs w:val="20"/>
              </w:rPr>
            </w:pPr>
          </w:p>
        </w:tc>
        <w:tc>
          <w:tcPr>
            <w:tcW w:w="502" w:type="pct"/>
            <w:vAlign w:val="center"/>
          </w:tcPr>
          <w:p w:rsidR="004E28FB" w:rsidRPr="00687FD1" w:rsidRDefault="004E28FB" w:rsidP="004E28FB">
            <w:pPr>
              <w:jc w:val="center"/>
              <w:rPr>
                <w:b w:val="0"/>
                <w:sz w:val="20"/>
                <w:szCs w:val="20"/>
              </w:rPr>
            </w:pPr>
          </w:p>
        </w:tc>
        <w:tc>
          <w:tcPr>
            <w:tcW w:w="298" w:type="pct"/>
            <w:vAlign w:val="center"/>
          </w:tcPr>
          <w:p w:rsidR="004E28FB" w:rsidRPr="00687FD1" w:rsidRDefault="004E28FB" w:rsidP="004E28FB">
            <w:pPr>
              <w:jc w:val="center"/>
              <w:rPr>
                <w:b w:val="0"/>
                <w:sz w:val="20"/>
                <w:szCs w:val="20"/>
              </w:rPr>
            </w:pP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Norway</w:t>
            </w:r>
          </w:p>
        </w:tc>
        <w:tc>
          <w:tcPr>
            <w:tcW w:w="439" w:type="pct"/>
            <w:vAlign w:val="center"/>
          </w:tcPr>
          <w:p w:rsidR="004E28FB" w:rsidRPr="00687FD1" w:rsidRDefault="004E28FB" w:rsidP="004E28FB">
            <w:pPr>
              <w:jc w:val="center"/>
              <w:rPr>
                <w:b w:val="0"/>
                <w:sz w:val="20"/>
                <w:szCs w:val="20"/>
              </w:rPr>
            </w:pPr>
            <w:r w:rsidRPr="00687FD1">
              <w:rPr>
                <w:b w:val="0"/>
                <w:sz w:val="20"/>
                <w:szCs w:val="20"/>
              </w:rPr>
              <w:t>6</w:t>
            </w:r>
          </w:p>
        </w:tc>
        <w:tc>
          <w:tcPr>
            <w:tcW w:w="727" w:type="pct"/>
            <w:vAlign w:val="center"/>
          </w:tcPr>
          <w:p w:rsidR="004E28FB" w:rsidRPr="00687FD1" w:rsidRDefault="004E28FB" w:rsidP="004E28FB">
            <w:pPr>
              <w:jc w:val="center"/>
              <w:rPr>
                <w:b w:val="0"/>
                <w:sz w:val="20"/>
                <w:szCs w:val="20"/>
              </w:rPr>
            </w:pPr>
            <w:r w:rsidRPr="00687FD1">
              <w:rPr>
                <w:b w:val="0"/>
                <w:sz w:val="20"/>
                <w:szCs w:val="20"/>
              </w:rPr>
              <w:t>6</w:t>
            </w:r>
          </w:p>
        </w:tc>
        <w:tc>
          <w:tcPr>
            <w:tcW w:w="433" w:type="pct"/>
            <w:gridSpan w:val="2"/>
            <w:vAlign w:val="center"/>
          </w:tcPr>
          <w:p w:rsidR="004E28FB" w:rsidRPr="00687FD1" w:rsidRDefault="004E28FB" w:rsidP="004E28FB">
            <w:pPr>
              <w:jc w:val="center"/>
              <w:rPr>
                <w:b w:val="0"/>
                <w:sz w:val="20"/>
                <w:szCs w:val="20"/>
              </w:rPr>
            </w:pPr>
            <w:r w:rsidRPr="00687FD1">
              <w:rPr>
                <w:b w:val="0"/>
                <w:sz w:val="20"/>
                <w:szCs w:val="20"/>
              </w:rPr>
              <w:t>6</w:t>
            </w:r>
          </w:p>
        </w:tc>
        <w:tc>
          <w:tcPr>
            <w:tcW w:w="366" w:type="pct"/>
            <w:vAlign w:val="center"/>
          </w:tcPr>
          <w:p w:rsidR="004E28FB" w:rsidRPr="00687FD1" w:rsidRDefault="004E28FB" w:rsidP="004E28FB">
            <w:pPr>
              <w:jc w:val="center"/>
              <w:rPr>
                <w:b w:val="0"/>
                <w:sz w:val="20"/>
                <w:szCs w:val="20"/>
              </w:rPr>
            </w:pPr>
            <w:r w:rsidRPr="00687FD1">
              <w:rPr>
                <w:b w:val="0"/>
                <w:sz w:val="20"/>
                <w:szCs w:val="20"/>
              </w:rPr>
              <w:t>0</w:t>
            </w:r>
          </w:p>
        </w:tc>
        <w:tc>
          <w:tcPr>
            <w:tcW w:w="291" w:type="pct"/>
            <w:vAlign w:val="center"/>
          </w:tcPr>
          <w:p w:rsidR="004E28FB" w:rsidRPr="00687FD1" w:rsidRDefault="004E28FB" w:rsidP="004E28FB">
            <w:pPr>
              <w:jc w:val="center"/>
              <w:rPr>
                <w:b w:val="0"/>
                <w:sz w:val="20"/>
                <w:szCs w:val="20"/>
              </w:rPr>
            </w:pPr>
            <w:r w:rsidRPr="00687FD1">
              <w:rPr>
                <w:b w:val="0"/>
                <w:sz w:val="20"/>
                <w:szCs w:val="20"/>
              </w:rPr>
              <w:t>0</w:t>
            </w:r>
          </w:p>
        </w:tc>
        <w:tc>
          <w:tcPr>
            <w:tcW w:w="364" w:type="pct"/>
            <w:vAlign w:val="center"/>
          </w:tcPr>
          <w:p w:rsidR="004E28FB" w:rsidRPr="00687FD1" w:rsidRDefault="004E28FB" w:rsidP="004E28FB">
            <w:pPr>
              <w:jc w:val="center"/>
              <w:rPr>
                <w:b w:val="0"/>
                <w:sz w:val="20"/>
                <w:szCs w:val="20"/>
              </w:rPr>
            </w:pPr>
            <w:r w:rsidRPr="00687FD1">
              <w:rPr>
                <w:b w:val="0"/>
                <w:sz w:val="20"/>
                <w:szCs w:val="20"/>
              </w:rPr>
              <w:t>0</w:t>
            </w:r>
          </w:p>
        </w:tc>
        <w:tc>
          <w:tcPr>
            <w:tcW w:w="363" w:type="pct"/>
            <w:vAlign w:val="center"/>
          </w:tcPr>
          <w:p w:rsidR="004E28FB" w:rsidRPr="00687FD1" w:rsidRDefault="004E28FB" w:rsidP="004E28FB">
            <w:pPr>
              <w:jc w:val="center"/>
              <w:rPr>
                <w:b w:val="0"/>
                <w:sz w:val="20"/>
                <w:szCs w:val="20"/>
              </w:rPr>
            </w:pPr>
            <w:r w:rsidRPr="00687FD1">
              <w:rPr>
                <w:b w:val="0"/>
                <w:sz w:val="20"/>
                <w:szCs w:val="20"/>
              </w:rPr>
              <w:t>39</w:t>
            </w:r>
          </w:p>
        </w:tc>
        <w:tc>
          <w:tcPr>
            <w:tcW w:w="364" w:type="pct"/>
            <w:vAlign w:val="center"/>
          </w:tcPr>
          <w:p w:rsidR="004E28FB" w:rsidRPr="00687FD1" w:rsidRDefault="004E28FB" w:rsidP="004E28FB">
            <w:pPr>
              <w:jc w:val="center"/>
              <w:rPr>
                <w:b w:val="0"/>
                <w:sz w:val="20"/>
                <w:szCs w:val="20"/>
              </w:rPr>
            </w:pPr>
            <w:r w:rsidRPr="00687FD1">
              <w:rPr>
                <w:b w:val="0"/>
                <w:sz w:val="20"/>
                <w:szCs w:val="20"/>
              </w:rPr>
              <w:t>12</w:t>
            </w:r>
          </w:p>
        </w:tc>
        <w:tc>
          <w:tcPr>
            <w:tcW w:w="502" w:type="pct"/>
            <w:vAlign w:val="center"/>
          </w:tcPr>
          <w:p w:rsidR="004E28FB" w:rsidRPr="00687FD1" w:rsidRDefault="004E28FB" w:rsidP="004E28FB">
            <w:pPr>
              <w:jc w:val="center"/>
              <w:rPr>
                <w:b w:val="0"/>
                <w:sz w:val="20"/>
                <w:szCs w:val="20"/>
              </w:rPr>
            </w:pPr>
            <w:r w:rsidRPr="00687FD1">
              <w:rPr>
                <w:b w:val="0"/>
                <w:sz w:val="20"/>
                <w:szCs w:val="20"/>
              </w:rPr>
              <w:t>34</w:t>
            </w:r>
          </w:p>
        </w:tc>
        <w:tc>
          <w:tcPr>
            <w:tcW w:w="298" w:type="pct"/>
            <w:vAlign w:val="center"/>
          </w:tcPr>
          <w:p w:rsidR="004E28FB" w:rsidRPr="00687FD1" w:rsidRDefault="004E28FB" w:rsidP="004E28FB">
            <w:pPr>
              <w:jc w:val="center"/>
              <w:rPr>
                <w:b w:val="0"/>
                <w:sz w:val="20"/>
                <w:szCs w:val="20"/>
              </w:rPr>
            </w:pPr>
            <w:r w:rsidRPr="00687FD1">
              <w:rPr>
                <w:b w:val="0"/>
                <w:sz w:val="20"/>
                <w:szCs w:val="20"/>
              </w:rPr>
              <w:t>15</w:t>
            </w: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Albania</w:t>
            </w:r>
          </w:p>
        </w:tc>
        <w:tc>
          <w:tcPr>
            <w:tcW w:w="439" w:type="pct"/>
            <w:vAlign w:val="center"/>
          </w:tcPr>
          <w:p w:rsidR="004E28FB" w:rsidRPr="00687FD1" w:rsidRDefault="004E28FB" w:rsidP="004E28FB">
            <w:pPr>
              <w:jc w:val="center"/>
              <w:rPr>
                <w:b w:val="0"/>
                <w:sz w:val="20"/>
                <w:szCs w:val="20"/>
              </w:rPr>
            </w:pPr>
            <w:r w:rsidRPr="00687FD1">
              <w:rPr>
                <w:b w:val="0"/>
                <w:sz w:val="20"/>
                <w:szCs w:val="20"/>
              </w:rPr>
              <w:t>23</w:t>
            </w:r>
          </w:p>
        </w:tc>
        <w:tc>
          <w:tcPr>
            <w:tcW w:w="727" w:type="pct"/>
            <w:vAlign w:val="center"/>
          </w:tcPr>
          <w:p w:rsidR="004E28FB" w:rsidRPr="00687FD1" w:rsidRDefault="004E28FB" w:rsidP="004E28FB">
            <w:pPr>
              <w:jc w:val="center"/>
              <w:rPr>
                <w:b w:val="0"/>
                <w:sz w:val="20"/>
                <w:szCs w:val="20"/>
              </w:rPr>
            </w:pPr>
            <w:r w:rsidRPr="00687FD1">
              <w:rPr>
                <w:b w:val="0"/>
                <w:sz w:val="20"/>
                <w:szCs w:val="20"/>
              </w:rPr>
              <w:t>11</w:t>
            </w:r>
          </w:p>
        </w:tc>
        <w:tc>
          <w:tcPr>
            <w:tcW w:w="1454" w:type="pct"/>
            <w:gridSpan w:val="5"/>
            <w:vAlign w:val="center"/>
          </w:tcPr>
          <w:p w:rsidR="004E28FB" w:rsidRPr="00687FD1" w:rsidRDefault="004E28FB" w:rsidP="004E28FB">
            <w:pPr>
              <w:jc w:val="center"/>
              <w:rPr>
                <w:b w:val="0"/>
                <w:sz w:val="20"/>
                <w:szCs w:val="20"/>
              </w:rPr>
            </w:pPr>
            <w:r w:rsidRPr="00687FD1">
              <w:rPr>
                <w:b w:val="0"/>
                <w:sz w:val="20"/>
                <w:szCs w:val="20"/>
              </w:rPr>
              <w:t>23</w:t>
            </w:r>
          </w:p>
        </w:tc>
        <w:tc>
          <w:tcPr>
            <w:tcW w:w="363" w:type="pct"/>
            <w:vAlign w:val="center"/>
          </w:tcPr>
          <w:p w:rsidR="004E28FB" w:rsidRPr="00687FD1" w:rsidRDefault="004E28FB" w:rsidP="004E28FB">
            <w:pPr>
              <w:jc w:val="center"/>
              <w:rPr>
                <w:b w:val="0"/>
                <w:sz w:val="20"/>
                <w:szCs w:val="20"/>
              </w:rPr>
            </w:pPr>
          </w:p>
        </w:tc>
        <w:tc>
          <w:tcPr>
            <w:tcW w:w="364" w:type="pct"/>
            <w:vAlign w:val="center"/>
          </w:tcPr>
          <w:p w:rsidR="004E28FB" w:rsidRPr="00687FD1" w:rsidRDefault="004E28FB" w:rsidP="004E28FB">
            <w:pPr>
              <w:jc w:val="center"/>
              <w:rPr>
                <w:b w:val="0"/>
                <w:sz w:val="20"/>
                <w:szCs w:val="20"/>
              </w:rPr>
            </w:pPr>
          </w:p>
        </w:tc>
        <w:tc>
          <w:tcPr>
            <w:tcW w:w="502" w:type="pct"/>
            <w:vAlign w:val="center"/>
          </w:tcPr>
          <w:p w:rsidR="004E28FB" w:rsidRPr="00687FD1" w:rsidRDefault="004E28FB" w:rsidP="004E28FB">
            <w:pPr>
              <w:jc w:val="center"/>
              <w:rPr>
                <w:b w:val="0"/>
                <w:sz w:val="20"/>
                <w:szCs w:val="20"/>
              </w:rPr>
            </w:pPr>
          </w:p>
        </w:tc>
        <w:tc>
          <w:tcPr>
            <w:tcW w:w="298" w:type="pct"/>
            <w:vAlign w:val="center"/>
          </w:tcPr>
          <w:p w:rsidR="004E28FB" w:rsidRPr="00687FD1" w:rsidRDefault="004E28FB" w:rsidP="004E28FB">
            <w:pPr>
              <w:jc w:val="center"/>
              <w:rPr>
                <w:b w:val="0"/>
                <w:sz w:val="20"/>
                <w:szCs w:val="20"/>
              </w:rPr>
            </w:pP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Bulgaria</w:t>
            </w:r>
          </w:p>
        </w:tc>
        <w:tc>
          <w:tcPr>
            <w:tcW w:w="439" w:type="pct"/>
            <w:vAlign w:val="center"/>
          </w:tcPr>
          <w:p w:rsidR="004E28FB" w:rsidRPr="00687FD1" w:rsidRDefault="004E28FB" w:rsidP="004E28FB">
            <w:pPr>
              <w:jc w:val="center"/>
              <w:rPr>
                <w:b w:val="0"/>
                <w:sz w:val="20"/>
                <w:szCs w:val="20"/>
              </w:rPr>
            </w:pPr>
            <w:r w:rsidRPr="00687FD1">
              <w:rPr>
                <w:b w:val="0"/>
                <w:sz w:val="20"/>
                <w:szCs w:val="20"/>
              </w:rPr>
              <w:t>100</w:t>
            </w:r>
          </w:p>
        </w:tc>
        <w:tc>
          <w:tcPr>
            <w:tcW w:w="727" w:type="pct"/>
            <w:vAlign w:val="center"/>
          </w:tcPr>
          <w:p w:rsidR="004E28FB" w:rsidRPr="00687FD1" w:rsidRDefault="004E28FB" w:rsidP="004E28FB">
            <w:pPr>
              <w:jc w:val="center"/>
              <w:rPr>
                <w:b w:val="0"/>
                <w:sz w:val="20"/>
                <w:szCs w:val="20"/>
              </w:rPr>
            </w:pPr>
          </w:p>
        </w:tc>
        <w:tc>
          <w:tcPr>
            <w:tcW w:w="1454" w:type="pct"/>
            <w:gridSpan w:val="5"/>
            <w:vAlign w:val="center"/>
          </w:tcPr>
          <w:p w:rsidR="004E28FB" w:rsidRPr="00687FD1" w:rsidRDefault="004E28FB" w:rsidP="004E28FB">
            <w:pPr>
              <w:jc w:val="center"/>
              <w:rPr>
                <w:b w:val="0"/>
                <w:sz w:val="20"/>
                <w:szCs w:val="20"/>
              </w:rPr>
            </w:pPr>
            <w:r w:rsidRPr="00687FD1">
              <w:rPr>
                <w:b w:val="0"/>
                <w:sz w:val="20"/>
                <w:szCs w:val="20"/>
              </w:rPr>
              <w:t>100</w:t>
            </w:r>
          </w:p>
        </w:tc>
        <w:tc>
          <w:tcPr>
            <w:tcW w:w="363" w:type="pct"/>
            <w:vAlign w:val="center"/>
          </w:tcPr>
          <w:p w:rsidR="004E28FB" w:rsidRPr="00687FD1" w:rsidRDefault="004E28FB" w:rsidP="004E28FB">
            <w:pPr>
              <w:jc w:val="center"/>
              <w:rPr>
                <w:b w:val="0"/>
                <w:sz w:val="20"/>
                <w:szCs w:val="20"/>
              </w:rPr>
            </w:pPr>
          </w:p>
        </w:tc>
        <w:tc>
          <w:tcPr>
            <w:tcW w:w="364" w:type="pct"/>
            <w:vAlign w:val="center"/>
          </w:tcPr>
          <w:p w:rsidR="004E28FB" w:rsidRPr="00687FD1" w:rsidRDefault="004E28FB" w:rsidP="004E28FB">
            <w:pPr>
              <w:jc w:val="center"/>
              <w:rPr>
                <w:b w:val="0"/>
                <w:sz w:val="20"/>
                <w:szCs w:val="20"/>
              </w:rPr>
            </w:pPr>
          </w:p>
        </w:tc>
        <w:tc>
          <w:tcPr>
            <w:tcW w:w="502" w:type="pct"/>
            <w:vAlign w:val="center"/>
          </w:tcPr>
          <w:p w:rsidR="004E28FB" w:rsidRPr="00687FD1" w:rsidRDefault="004E28FB" w:rsidP="004E28FB">
            <w:pPr>
              <w:jc w:val="center"/>
              <w:rPr>
                <w:b w:val="0"/>
                <w:sz w:val="20"/>
                <w:szCs w:val="20"/>
              </w:rPr>
            </w:pPr>
          </w:p>
        </w:tc>
        <w:tc>
          <w:tcPr>
            <w:tcW w:w="298" w:type="pct"/>
            <w:vAlign w:val="center"/>
          </w:tcPr>
          <w:p w:rsidR="004E28FB" w:rsidRPr="00687FD1" w:rsidRDefault="004E28FB" w:rsidP="004E28FB">
            <w:pPr>
              <w:jc w:val="center"/>
              <w:rPr>
                <w:b w:val="0"/>
                <w:sz w:val="20"/>
                <w:szCs w:val="20"/>
              </w:rPr>
            </w:pP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Croatia</w:t>
            </w:r>
          </w:p>
        </w:tc>
        <w:tc>
          <w:tcPr>
            <w:tcW w:w="439" w:type="pct"/>
            <w:vAlign w:val="center"/>
          </w:tcPr>
          <w:p w:rsidR="004E28FB" w:rsidRPr="00687FD1" w:rsidRDefault="004E28FB" w:rsidP="004E28FB">
            <w:pPr>
              <w:jc w:val="center"/>
              <w:rPr>
                <w:b w:val="0"/>
                <w:sz w:val="20"/>
                <w:szCs w:val="20"/>
              </w:rPr>
            </w:pPr>
            <w:r w:rsidRPr="00687FD1">
              <w:rPr>
                <w:b w:val="0"/>
                <w:sz w:val="20"/>
                <w:szCs w:val="20"/>
              </w:rPr>
              <w:t>62</w:t>
            </w:r>
          </w:p>
        </w:tc>
        <w:tc>
          <w:tcPr>
            <w:tcW w:w="727" w:type="pct"/>
            <w:vAlign w:val="center"/>
          </w:tcPr>
          <w:p w:rsidR="004E28FB" w:rsidRPr="00687FD1" w:rsidRDefault="004E28FB" w:rsidP="004E28FB">
            <w:pPr>
              <w:jc w:val="center"/>
              <w:rPr>
                <w:b w:val="0"/>
                <w:sz w:val="20"/>
                <w:szCs w:val="20"/>
              </w:rPr>
            </w:pPr>
            <w:r w:rsidRPr="00687FD1">
              <w:rPr>
                <w:b w:val="0"/>
                <w:sz w:val="20"/>
                <w:szCs w:val="20"/>
              </w:rPr>
              <w:t>8</w:t>
            </w:r>
          </w:p>
        </w:tc>
        <w:tc>
          <w:tcPr>
            <w:tcW w:w="1454" w:type="pct"/>
            <w:gridSpan w:val="5"/>
            <w:vAlign w:val="center"/>
          </w:tcPr>
          <w:p w:rsidR="004E28FB" w:rsidRPr="00687FD1" w:rsidRDefault="004E28FB" w:rsidP="004E28FB">
            <w:pPr>
              <w:jc w:val="center"/>
              <w:rPr>
                <w:b w:val="0"/>
                <w:sz w:val="20"/>
                <w:szCs w:val="20"/>
              </w:rPr>
            </w:pPr>
            <w:r w:rsidRPr="00687FD1">
              <w:rPr>
                <w:b w:val="0"/>
                <w:sz w:val="20"/>
                <w:szCs w:val="20"/>
              </w:rPr>
              <w:t>62</w:t>
            </w:r>
          </w:p>
        </w:tc>
        <w:tc>
          <w:tcPr>
            <w:tcW w:w="363" w:type="pct"/>
            <w:vAlign w:val="center"/>
          </w:tcPr>
          <w:p w:rsidR="004E28FB" w:rsidRPr="00687FD1" w:rsidRDefault="004E28FB" w:rsidP="004E28FB">
            <w:pPr>
              <w:jc w:val="center"/>
              <w:rPr>
                <w:b w:val="0"/>
                <w:sz w:val="20"/>
                <w:szCs w:val="20"/>
              </w:rPr>
            </w:pPr>
            <w:r w:rsidRPr="00687FD1">
              <w:rPr>
                <w:b w:val="0"/>
                <w:sz w:val="20"/>
                <w:szCs w:val="20"/>
              </w:rPr>
              <w:t>1</w:t>
            </w:r>
          </w:p>
        </w:tc>
        <w:tc>
          <w:tcPr>
            <w:tcW w:w="364" w:type="pct"/>
            <w:vAlign w:val="center"/>
          </w:tcPr>
          <w:p w:rsidR="004E28FB" w:rsidRPr="00687FD1" w:rsidRDefault="004E28FB" w:rsidP="004E28FB">
            <w:pPr>
              <w:jc w:val="center"/>
              <w:rPr>
                <w:b w:val="0"/>
                <w:sz w:val="20"/>
                <w:szCs w:val="20"/>
              </w:rPr>
            </w:pPr>
            <w:r w:rsidRPr="00687FD1">
              <w:rPr>
                <w:b w:val="0"/>
                <w:sz w:val="20"/>
                <w:szCs w:val="20"/>
              </w:rPr>
              <w:t>1</w:t>
            </w:r>
          </w:p>
        </w:tc>
        <w:tc>
          <w:tcPr>
            <w:tcW w:w="502" w:type="pct"/>
            <w:vAlign w:val="center"/>
          </w:tcPr>
          <w:p w:rsidR="004E28FB" w:rsidRPr="00687FD1" w:rsidRDefault="004E28FB" w:rsidP="004E28FB">
            <w:pPr>
              <w:jc w:val="center"/>
              <w:rPr>
                <w:b w:val="0"/>
                <w:sz w:val="20"/>
                <w:szCs w:val="20"/>
              </w:rPr>
            </w:pPr>
            <w:r w:rsidRPr="00687FD1">
              <w:rPr>
                <w:b w:val="0"/>
                <w:sz w:val="20"/>
                <w:szCs w:val="20"/>
              </w:rPr>
              <w:t>0</w:t>
            </w:r>
          </w:p>
        </w:tc>
        <w:tc>
          <w:tcPr>
            <w:tcW w:w="298" w:type="pct"/>
            <w:vAlign w:val="center"/>
          </w:tcPr>
          <w:p w:rsidR="004E28FB" w:rsidRPr="00687FD1" w:rsidRDefault="004E28FB" w:rsidP="004E28FB">
            <w:pPr>
              <w:jc w:val="center"/>
              <w:rPr>
                <w:b w:val="0"/>
                <w:sz w:val="20"/>
                <w:szCs w:val="20"/>
              </w:rPr>
            </w:pPr>
            <w:r w:rsidRPr="00687FD1">
              <w:rPr>
                <w:b w:val="0"/>
                <w:sz w:val="20"/>
                <w:szCs w:val="20"/>
              </w:rPr>
              <w:t>0</w:t>
            </w: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Cyprus</w:t>
            </w:r>
          </w:p>
        </w:tc>
        <w:tc>
          <w:tcPr>
            <w:tcW w:w="439" w:type="pct"/>
            <w:vAlign w:val="center"/>
          </w:tcPr>
          <w:p w:rsidR="004E28FB" w:rsidRPr="00687FD1" w:rsidRDefault="004E28FB" w:rsidP="004E28FB">
            <w:pPr>
              <w:jc w:val="center"/>
              <w:rPr>
                <w:b w:val="0"/>
                <w:sz w:val="20"/>
                <w:szCs w:val="20"/>
              </w:rPr>
            </w:pPr>
            <w:r w:rsidRPr="00687FD1">
              <w:rPr>
                <w:b w:val="0"/>
                <w:sz w:val="20"/>
                <w:szCs w:val="20"/>
              </w:rPr>
              <w:t>2</w:t>
            </w:r>
          </w:p>
        </w:tc>
        <w:tc>
          <w:tcPr>
            <w:tcW w:w="727" w:type="pct"/>
            <w:vAlign w:val="center"/>
          </w:tcPr>
          <w:p w:rsidR="004E28FB" w:rsidRPr="00687FD1" w:rsidRDefault="004E28FB" w:rsidP="004E28FB">
            <w:pPr>
              <w:jc w:val="center"/>
              <w:rPr>
                <w:b w:val="0"/>
                <w:sz w:val="20"/>
                <w:szCs w:val="20"/>
              </w:rPr>
            </w:pPr>
            <w:r w:rsidRPr="00687FD1">
              <w:rPr>
                <w:b w:val="0"/>
                <w:sz w:val="20"/>
                <w:szCs w:val="20"/>
              </w:rPr>
              <w:t>1</w:t>
            </w:r>
          </w:p>
        </w:tc>
        <w:tc>
          <w:tcPr>
            <w:tcW w:w="433" w:type="pct"/>
            <w:gridSpan w:val="2"/>
            <w:vAlign w:val="center"/>
          </w:tcPr>
          <w:p w:rsidR="004E28FB" w:rsidRPr="00687FD1" w:rsidRDefault="004E28FB" w:rsidP="004E28FB">
            <w:pPr>
              <w:jc w:val="center"/>
              <w:rPr>
                <w:b w:val="0"/>
                <w:sz w:val="20"/>
                <w:szCs w:val="20"/>
              </w:rPr>
            </w:pPr>
            <w:r w:rsidRPr="00687FD1">
              <w:rPr>
                <w:b w:val="0"/>
                <w:sz w:val="20"/>
                <w:szCs w:val="20"/>
              </w:rPr>
              <w:t>0</w:t>
            </w:r>
          </w:p>
        </w:tc>
        <w:tc>
          <w:tcPr>
            <w:tcW w:w="366" w:type="pct"/>
            <w:vAlign w:val="center"/>
          </w:tcPr>
          <w:p w:rsidR="004E28FB" w:rsidRPr="00687FD1" w:rsidRDefault="004E28FB" w:rsidP="004E28FB">
            <w:pPr>
              <w:jc w:val="center"/>
              <w:rPr>
                <w:b w:val="0"/>
                <w:sz w:val="20"/>
                <w:szCs w:val="20"/>
              </w:rPr>
            </w:pPr>
            <w:r w:rsidRPr="00687FD1">
              <w:rPr>
                <w:b w:val="0"/>
                <w:sz w:val="20"/>
                <w:szCs w:val="20"/>
              </w:rPr>
              <w:t>2</w:t>
            </w:r>
          </w:p>
        </w:tc>
        <w:tc>
          <w:tcPr>
            <w:tcW w:w="291" w:type="pct"/>
            <w:vAlign w:val="center"/>
          </w:tcPr>
          <w:p w:rsidR="004E28FB" w:rsidRPr="00687FD1" w:rsidRDefault="004E28FB" w:rsidP="004E28FB">
            <w:pPr>
              <w:jc w:val="center"/>
              <w:rPr>
                <w:b w:val="0"/>
                <w:sz w:val="20"/>
                <w:szCs w:val="20"/>
              </w:rPr>
            </w:pPr>
            <w:r w:rsidRPr="00687FD1">
              <w:rPr>
                <w:b w:val="0"/>
                <w:sz w:val="20"/>
                <w:szCs w:val="20"/>
              </w:rPr>
              <w:t>0</w:t>
            </w:r>
          </w:p>
        </w:tc>
        <w:tc>
          <w:tcPr>
            <w:tcW w:w="364" w:type="pct"/>
            <w:vAlign w:val="center"/>
          </w:tcPr>
          <w:p w:rsidR="004E28FB" w:rsidRPr="00687FD1" w:rsidRDefault="004E28FB" w:rsidP="004E28FB">
            <w:pPr>
              <w:jc w:val="center"/>
              <w:rPr>
                <w:b w:val="0"/>
                <w:sz w:val="20"/>
                <w:szCs w:val="20"/>
              </w:rPr>
            </w:pPr>
            <w:r w:rsidRPr="00687FD1">
              <w:rPr>
                <w:b w:val="0"/>
                <w:sz w:val="20"/>
                <w:szCs w:val="20"/>
              </w:rPr>
              <w:t>0</w:t>
            </w:r>
          </w:p>
        </w:tc>
        <w:tc>
          <w:tcPr>
            <w:tcW w:w="363" w:type="pct"/>
            <w:vAlign w:val="center"/>
          </w:tcPr>
          <w:p w:rsidR="004E28FB" w:rsidRPr="00687FD1" w:rsidRDefault="004E28FB" w:rsidP="004E28FB">
            <w:pPr>
              <w:jc w:val="center"/>
              <w:rPr>
                <w:b w:val="0"/>
                <w:sz w:val="20"/>
                <w:szCs w:val="20"/>
              </w:rPr>
            </w:pPr>
            <w:r w:rsidRPr="00687FD1">
              <w:rPr>
                <w:b w:val="0"/>
                <w:sz w:val="20"/>
                <w:szCs w:val="20"/>
              </w:rPr>
              <w:t>1</w:t>
            </w:r>
          </w:p>
        </w:tc>
        <w:tc>
          <w:tcPr>
            <w:tcW w:w="364" w:type="pct"/>
            <w:vAlign w:val="center"/>
          </w:tcPr>
          <w:p w:rsidR="004E28FB" w:rsidRPr="00687FD1" w:rsidRDefault="004E28FB" w:rsidP="004E28FB">
            <w:pPr>
              <w:jc w:val="center"/>
              <w:rPr>
                <w:b w:val="0"/>
                <w:sz w:val="20"/>
                <w:szCs w:val="20"/>
              </w:rPr>
            </w:pPr>
            <w:r w:rsidRPr="00687FD1">
              <w:rPr>
                <w:b w:val="0"/>
                <w:sz w:val="20"/>
                <w:szCs w:val="20"/>
              </w:rPr>
              <w:t>1</w:t>
            </w:r>
          </w:p>
        </w:tc>
        <w:tc>
          <w:tcPr>
            <w:tcW w:w="502" w:type="pct"/>
            <w:vAlign w:val="center"/>
          </w:tcPr>
          <w:p w:rsidR="004E28FB" w:rsidRPr="00687FD1" w:rsidRDefault="004E28FB" w:rsidP="004E28FB">
            <w:pPr>
              <w:jc w:val="center"/>
              <w:rPr>
                <w:b w:val="0"/>
                <w:sz w:val="20"/>
                <w:szCs w:val="20"/>
              </w:rPr>
            </w:pPr>
            <w:r w:rsidRPr="00687FD1">
              <w:rPr>
                <w:b w:val="0"/>
                <w:sz w:val="20"/>
                <w:szCs w:val="20"/>
              </w:rPr>
              <w:t>1</w:t>
            </w:r>
          </w:p>
        </w:tc>
        <w:tc>
          <w:tcPr>
            <w:tcW w:w="298" w:type="pct"/>
            <w:vAlign w:val="center"/>
          </w:tcPr>
          <w:p w:rsidR="004E28FB" w:rsidRPr="00687FD1" w:rsidRDefault="004E28FB" w:rsidP="004E28FB">
            <w:pPr>
              <w:jc w:val="center"/>
              <w:rPr>
                <w:b w:val="0"/>
                <w:sz w:val="20"/>
                <w:szCs w:val="20"/>
              </w:rPr>
            </w:pPr>
            <w:r w:rsidRPr="00687FD1">
              <w:rPr>
                <w:b w:val="0"/>
                <w:sz w:val="20"/>
                <w:szCs w:val="20"/>
              </w:rPr>
              <w:t>1</w:t>
            </w: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Czech Republic</w:t>
            </w:r>
          </w:p>
        </w:tc>
        <w:tc>
          <w:tcPr>
            <w:tcW w:w="439" w:type="pct"/>
            <w:vAlign w:val="center"/>
          </w:tcPr>
          <w:p w:rsidR="004E28FB" w:rsidRPr="00687FD1" w:rsidRDefault="004E28FB" w:rsidP="004E28FB">
            <w:pPr>
              <w:jc w:val="center"/>
              <w:rPr>
                <w:b w:val="0"/>
                <w:sz w:val="20"/>
                <w:szCs w:val="20"/>
              </w:rPr>
            </w:pPr>
            <w:r w:rsidRPr="00687FD1">
              <w:rPr>
                <w:b w:val="0"/>
                <w:sz w:val="20"/>
                <w:szCs w:val="20"/>
              </w:rPr>
              <w:t>650</w:t>
            </w:r>
            <w:r w:rsidRPr="00687FD1">
              <w:rPr>
                <w:b w:val="0"/>
                <w:sz w:val="20"/>
                <w:szCs w:val="20"/>
                <w:vertAlign w:val="superscript"/>
              </w:rPr>
              <w:t>1</w:t>
            </w:r>
          </w:p>
        </w:tc>
        <w:tc>
          <w:tcPr>
            <w:tcW w:w="727" w:type="pct"/>
            <w:vAlign w:val="center"/>
          </w:tcPr>
          <w:p w:rsidR="004E28FB" w:rsidRPr="00687FD1" w:rsidRDefault="004E28FB" w:rsidP="004E28FB">
            <w:pPr>
              <w:jc w:val="center"/>
              <w:rPr>
                <w:b w:val="0"/>
                <w:sz w:val="20"/>
                <w:szCs w:val="20"/>
              </w:rPr>
            </w:pPr>
          </w:p>
        </w:tc>
        <w:tc>
          <w:tcPr>
            <w:tcW w:w="433" w:type="pct"/>
            <w:gridSpan w:val="2"/>
            <w:vAlign w:val="center"/>
          </w:tcPr>
          <w:p w:rsidR="004E28FB" w:rsidRPr="00687FD1" w:rsidRDefault="004E28FB" w:rsidP="004E28FB">
            <w:pPr>
              <w:jc w:val="center"/>
              <w:rPr>
                <w:b w:val="0"/>
                <w:sz w:val="20"/>
                <w:szCs w:val="20"/>
              </w:rPr>
            </w:pPr>
          </w:p>
        </w:tc>
        <w:tc>
          <w:tcPr>
            <w:tcW w:w="366" w:type="pct"/>
            <w:vAlign w:val="center"/>
          </w:tcPr>
          <w:p w:rsidR="004E28FB" w:rsidRPr="00687FD1" w:rsidRDefault="004E28FB" w:rsidP="004E28FB">
            <w:pPr>
              <w:jc w:val="center"/>
              <w:rPr>
                <w:b w:val="0"/>
                <w:sz w:val="20"/>
                <w:szCs w:val="20"/>
              </w:rPr>
            </w:pPr>
          </w:p>
        </w:tc>
        <w:tc>
          <w:tcPr>
            <w:tcW w:w="291" w:type="pct"/>
            <w:vAlign w:val="center"/>
          </w:tcPr>
          <w:p w:rsidR="004E28FB" w:rsidRPr="00687FD1" w:rsidRDefault="004E28FB" w:rsidP="004E28FB">
            <w:pPr>
              <w:jc w:val="center"/>
              <w:rPr>
                <w:b w:val="0"/>
                <w:sz w:val="20"/>
                <w:szCs w:val="20"/>
              </w:rPr>
            </w:pPr>
          </w:p>
        </w:tc>
        <w:tc>
          <w:tcPr>
            <w:tcW w:w="364" w:type="pct"/>
            <w:vAlign w:val="center"/>
          </w:tcPr>
          <w:p w:rsidR="004E28FB" w:rsidRPr="00687FD1" w:rsidRDefault="004E28FB" w:rsidP="004E28FB">
            <w:pPr>
              <w:jc w:val="center"/>
              <w:rPr>
                <w:b w:val="0"/>
                <w:sz w:val="20"/>
                <w:szCs w:val="20"/>
              </w:rPr>
            </w:pPr>
          </w:p>
        </w:tc>
        <w:tc>
          <w:tcPr>
            <w:tcW w:w="363" w:type="pct"/>
            <w:vAlign w:val="center"/>
          </w:tcPr>
          <w:p w:rsidR="004E28FB" w:rsidRPr="00687FD1" w:rsidRDefault="004E28FB" w:rsidP="004E28FB">
            <w:pPr>
              <w:jc w:val="center"/>
              <w:rPr>
                <w:b w:val="0"/>
                <w:sz w:val="20"/>
                <w:szCs w:val="20"/>
              </w:rPr>
            </w:pPr>
          </w:p>
        </w:tc>
        <w:tc>
          <w:tcPr>
            <w:tcW w:w="364" w:type="pct"/>
            <w:vAlign w:val="center"/>
          </w:tcPr>
          <w:p w:rsidR="004E28FB" w:rsidRPr="00687FD1" w:rsidRDefault="004E28FB" w:rsidP="004E28FB">
            <w:pPr>
              <w:jc w:val="center"/>
              <w:rPr>
                <w:b w:val="0"/>
                <w:sz w:val="20"/>
                <w:szCs w:val="20"/>
              </w:rPr>
            </w:pPr>
          </w:p>
        </w:tc>
        <w:tc>
          <w:tcPr>
            <w:tcW w:w="502" w:type="pct"/>
            <w:vAlign w:val="center"/>
          </w:tcPr>
          <w:p w:rsidR="004E28FB" w:rsidRPr="00687FD1" w:rsidRDefault="004E28FB" w:rsidP="004E28FB">
            <w:pPr>
              <w:jc w:val="center"/>
              <w:rPr>
                <w:b w:val="0"/>
                <w:sz w:val="20"/>
                <w:szCs w:val="20"/>
              </w:rPr>
            </w:pPr>
          </w:p>
        </w:tc>
        <w:tc>
          <w:tcPr>
            <w:tcW w:w="298" w:type="pct"/>
            <w:vAlign w:val="center"/>
          </w:tcPr>
          <w:p w:rsidR="004E28FB" w:rsidRPr="00687FD1" w:rsidRDefault="004E28FB" w:rsidP="004E28FB">
            <w:pPr>
              <w:jc w:val="center"/>
              <w:rPr>
                <w:b w:val="0"/>
                <w:sz w:val="20"/>
                <w:szCs w:val="20"/>
              </w:rPr>
            </w:pPr>
          </w:p>
        </w:tc>
      </w:tr>
      <w:tr w:rsidR="004E28FB" w:rsidRPr="00687FD1" w:rsidTr="00E61DBA">
        <w:trPr>
          <w:trHeight w:val="284"/>
        </w:trPr>
        <w:tc>
          <w:tcPr>
            <w:tcW w:w="853" w:type="pct"/>
            <w:shd w:val="clear" w:color="auto" w:fill="FFFFFF" w:themeFill="background1"/>
            <w:vAlign w:val="center"/>
          </w:tcPr>
          <w:p w:rsidR="004E28FB" w:rsidRPr="00687FD1" w:rsidRDefault="004E28FB" w:rsidP="004E28FB">
            <w:pPr>
              <w:rPr>
                <w:sz w:val="20"/>
                <w:szCs w:val="20"/>
              </w:rPr>
            </w:pPr>
            <w:r w:rsidRPr="00687FD1">
              <w:rPr>
                <w:sz w:val="20"/>
                <w:szCs w:val="20"/>
              </w:rPr>
              <w:t>Estonia</w:t>
            </w:r>
          </w:p>
        </w:tc>
        <w:tc>
          <w:tcPr>
            <w:tcW w:w="439"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16</w:t>
            </w:r>
          </w:p>
        </w:tc>
        <w:tc>
          <w:tcPr>
            <w:tcW w:w="727"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9</w:t>
            </w:r>
          </w:p>
        </w:tc>
        <w:tc>
          <w:tcPr>
            <w:tcW w:w="433" w:type="pct"/>
            <w:gridSpan w:val="2"/>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8</w:t>
            </w:r>
          </w:p>
        </w:tc>
        <w:tc>
          <w:tcPr>
            <w:tcW w:w="366"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2</w:t>
            </w:r>
          </w:p>
        </w:tc>
        <w:tc>
          <w:tcPr>
            <w:tcW w:w="291"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6</w:t>
            </w:r>
          </w:p>
        </w:tc>
        <w:tc>
          <w:tcPr>
            <w:tcW w:w="364" w:type="pct"/>
            <w:shd w:val="clear" w:color="auto" w:fill="FFFFFF" w:themeFill="background1"/>
            <w:vAlign w:val="center"/>
          </w:tcPr>
          <w:p w:rsidR="004E28FB" w:rsidRPr="00687FD1" w:rsidRDefault="004E28FB" w:rsidP="004E28FB">
            <w:pPr>
              <w:jc w:val="center"/>
              <w:rPr>
                <w:b w:val="0"/>
                <w:sz w:val="20"/>
                <w:szCs w:val="20"/>
              </w:rPr>
            </w:pPr>
          </w:p>
        </w:tc>
        <w:tc>
          <w:tcPr>
            <w:tcW w:w="363"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2</w:t>
            </w:r>
          </w:p>
        </w:tc>
        <w:tc>
          <w:tcPr>
            <w:tcW w:w="364"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2</w:t>
            </w:r>
          </w:p>
        </w:tc>
        <w:tc>
          <w:tcPr>
            <w:tcW w:w="502"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2</w:t>
            </w:r>
          </w:p>
        </w:tc>
        <w:tc>
          <w:tcPr>
            <w:tcW w:w="298" w:type="pct"/>
            <w:shd w:val="clear" w:color="auto" w:fill="FFFFFF" w:themeFill="background1"/>
            <w:vAlign w:val="center"/>
          </w:tcPr>
          <w:p w:rsidR="004E28FB" w:rsidRPr="00687FD1" w:rsidRDefault="004E28FB" w:rsidP="004E28FB">
            <w:pPr>
              <w:jc w:val="center"/>
              <w:rPr>
                <w:b w:val="0"/>
                <w:sz w:val="20"/>
                <w:szCs w:val="20"/>
              </w:rPr>
            </w:pPr>
            <w:r w:rsidRPr="00687FD1">
              <w:rPr>
                <w:b w:val="0"/>
                <w:sz w:val="20"/>
                <w:szCs w:val="20"/>
              </w:rPr>
              <w:t>2</w:t>
            </w: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Hungary</w:t>
            </w:r>
          </w:p>
        </w:tc>
        <w:tc>
          <w:tcPr>
            <w:tcW w:w="439" w:type="pct"/>
            <w:vAlign w:val="center"/>
          </w:tcPr>
          <w:p w:rsidR="004E28FB" w:rsidRPr="00687FD1" w:rsidRDefault="004E28FB" w:rsidP="004E28FB">
            <w:pPr>
              <w:jc w:val="center"/>
              <w:rPr>
                <w:b w:val="0"/>
                <w:sz w:val="20"/>
                <w:szCs w:val="20"/>
              </w:rPr>
            </w:pPr>
            <w:r w:rsidRPr="00687FD1">
              <w:rPr>
                <w:b w:val="0"/>
                <w:sz w:val="20"/>
                <w:szCs w:val="20"/>
              </w:rPr>
              <w:t>39</w:t>
            </w:r>
          </w:p>
        </w:tc>
        <w:tc>
          <w:tcPr>
            <w:tcW w:w="727" w:type="pct"/>
            <w:vAlign w:val="center"/>
          </w:tcPr>
          <w:p w:rsidR="004E28FB" w:rsidRPr="00687FD1" w:rsidRDefault="004E28FB" w:rsidP="004E28FB">
            <w:pPr>
              <w:jc w:val="center"/>
              <w:rPr>
                <w:b w:val="0"/>
                <w:sz w:val="20"/>
                <w:szCs w:val="20"/>
              </w:rPr>
            </w:pPr>
          </w:p>
        </w:tc>
        <w:tc>
          <w:tcPr>
            <w:tcW w:w="1454" w:type="pct"/>
            <w:gridSpan w:val="5"/>
            <w:vAlign w:val="center"/>
          </w:tcPr>
          <w:p w:rsidR="004E28FB" w:rsidRPr="00687FD1" w:rsidRDefault="004E28FB" w:rsidP="004E28FB">
            <w:pPr>
              <w:jc w:val="center"/>
              <w:rPr>
                <w:b w:val="0"/>
                <w:sz w:val="20"/>
                <w:szCs w:val="20"/>
              </w:rPr>
            </w:pPr>
            <w:r w:rsidRPr="00687FD1">
              <w:rPr>
                <w:b w:val="0"/>
                <w:sz w:val="20"/>
                <w:szCs w:val="20"/>
              </w:rPr>
              <w:t>39</w:t>
            </w:r>
          </w:p>
        </w:tc>
        <w:tc>
          <w:tcPr>
            <w:tcW w:w="363" w:type="pct"/>
            <w:vAlign w:val="center"/>
          </w:tcPr>
          <w:p w:rsidR="004E28FB" w:rsidRPr="00687FD1" w:rsidRDefault="004E28FB" w:rsidP="004E28FB">
            <w:pPr>
              <w:jc w:val="center"/>
              <w:rPr>
                <w:b w:val="0"/>
                <w:sz w:val="20"/>
                <w:szCs w:val="20"/>
              </w:rPr>
            </w:pPr>
            <w:r w:rsidRPr="00687FD1">
              <w:rPr>
                <w:b w:val="0"/>
                <w:sz w:val="20"/>
                <w:szCs w:val="20"/>
              </w:rPr>
              <w:t>2</w:t>
            </w:r>
          </w:p>
        </w:tc>
        <w:tc>
          <w:tcPr>
            <w:tcW w:w="364" w:type="pct"/>
            <w:vAlign w:val="center"/>
          </w:tcPr>
          <w:p w:rsidR="004E28FB" w:rsidRPr="00687FD1" w:rsidRDefault="004E28FB" w:rsidP="004E28FB">
            <w:pPr>
              <w:jc w:val="center"/>
              <w:rPr>
                <w:b w:val="0"/>
                <w:sz w:val="20"/>
                <w:szCs w:val="20"/>
              </w:rPr>
            </w:pPr>
            <w:r w:rsidRPr="00687FD1">
              <w:rPr>
                <w:b w:val="0"/>
                <w:sz w:val="20"/>
                <w:szCs w:val="20"/>
              </w:rPr>
              <w:t>2</w:t>
            </w:r>
          </w:p>
        </w:tc>
        <w:tc>
          <w:tcPr>
            <w:tcW w:w="502" w:type="pct"/>
            <w:vAlign w:val="center"/>
          </w:tcPr>
          <w:p w:rsidR="004E28FB" w:rsidRPr="00687FD1" w:rsidRDefault="004E28FB" w:rsidP="004E28FB">
            <w:pPr>
              <w:jc w:val="center"/>
              <w:rPr>
                <w:b w:val="0"/>
                <w:sz w:val="20"/>
                <w:szCs w:val="20"/>
              </w:rPr>
            </w:pPr>
            <w:r w:rsidRPr="00687FD1">
              <w:rPr>
                <w:b w:val="0"/>
                <w:sz w:val="20"/>
                <w:szCs w:val="20"/>
              </w:rPr>
              <w:t>2</w:t>
            </w:r>
          </w:p>
        </w:tc>
        <w:tc>
          <w:tcPr>
            <w:tcW w:w="298" w:type="pct"/>
            <w:vAlign w:val="center"/>
          </w:tcPr>
          <w:p w:rsidR="004E28FB" w:rsidRPr="00687FD1" w:rsidRDefault="004E28FB" w:rsidP="004E28FB">
            <w:pPr>
              <w:jc w:val="center"/>
              <w:rPr>
                <w:b w:val="0"/>
                <w:sz w:val="20"/>
                <w:szCs w:val="20"/>
              </w:rPr>
            </w:pP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Poland</w:t>
            </w:r>
            <w:r w:rsidRPr="00687FD1">
              <w:rPr>
                <w:b w:val="0"/>
                <w:sz w:val="20"/>
                <w:szCs w:val="20"/>
                <w:vertAlign w:val="superscript"/>
              </w:rPr>
              <w:t>7</w:t>
            </w:r>
          </w:p>
        </w:tc>
        <w:tc>
          <w:tcPr>
            <w:tcW w:w="439" w:type="pct"/>
            <w:vAlign w:val="center"/>
          </w:tcPr>
          <w:p w:rsidR="004E28FB" w:rsidRPr="00687FD1" w:rsidRDefault="004E28FB" w:rsidP="004E28FB">
            <w:pPr>
              <w:jc w:val="center"/>
              <w:rPr>
                <w:b w:val="0"/>
                <w:sz w:val="20"/>
                <w:szCs w:val="20"/>
              </w:rPr>
            </w:pPr>
            <w:r w:rsidRPr="00687FD1">
              <w:rPr>
                <w:b w:val="0"/>
                <w:sz w:val="20"/>
                <w:szCs w:val="20"/>
              </w:rPr>
              <w:t>&gt;540</w:t>
            </w:r>
          </w:p>
        </w:tc>
        <w:tc>
          <w:tcPr>
            <w:tcW w:w="727" w:type="pct"/>
            <w:vAlign w:val="center"/>
          </w:tcPr>
          <w:p w:rsidR="004E28FB" w:rsidRPr="00687FD1" w:rsidRDefault="004E28FB" w:rsidP="004E28FB">
            <w:pPr>
              <w:jc w:val="center"/>
              <w:rPr>
                <w:b w:val="0"/>
                <w:sz w:val="20"/>
                <w:szCs w:val="20"/>
                <w:vertAlign w:val="superscript"/>
              </w:rPr>
            </w:pPr>
          </w:p>
        </w:tc>
        <w:tc>
          <w:tcPr>
            <w:tcW w:w="433" w:type="pct"/>
            <w:gridSpan w:val="2"/>
            <w:vAlign w:val="center"/>
          </w:tcPr>
          <w:p w:rsidR="004E28FB" w:rsidRPr="00687FD1" w:rsidRDefault="004E28FB" w:rsidP="004E28FB">
            <w:pPr>
              <w:jc w:val="center"/>
              <w:rPr>
                <w:b w:val="0"/>
                <w:sz w:val="20"/>
                <w:szCs w:val="20"/>
              </w:rPr>
            </w:pPr>
            <w:r w:rsidRPr="00687FD1">
              <w:rPr>
                <w:b w:val="0"/>
                <w:sz w:val="20"/>
                <w:szCs w:val="20"/>
              </w:rPr>
              <w:t>&gt;500</w:t>
            </w:r>
          </w:p>
        </w:tc>
        <w:tc>
          <w:tcPr>
            <w:tcW w:w="366" w:type="pct"/>
            <w:vAlign w:val="center"/>
          </w:tcPr>
          <w:p w:rsidR="004E28FB" w:rsidRPr="00687FD1" w:rsidRDefault="004E28FB" w:rsidP="004E28FB">
            <w:pPr>
              <w:jc w:val="center"/>
              <w:rPr>
                <w:b w:val="0"/>
                <w:sz w:val="20"/>
                <w:szCs w:val="20"/>
              </w:rPr>
            </w:pPr>
          </w:p>
        </w:tc>
        <w:tc>
          <w:tcPr>
            <w:tcW w:w="291" w:type="pct"/>
            <w:vAlign w:val="center"/>
          </w:tcPr>
          <w:p w:rsidR="004E28FB" w:rsidRPr="00687FD1" w:rsidRDefault="004E28FB" w:rsidP="004E28FB">
            <w:pPr>
              <w:jc w:val="center"/>
              <w:rPr>
                <w:b w:val="0"/>
                <w:sz w:val="20"/>
                <w:szCs w:val="20"/>
              </w:rPr>
            </w:pPr>
          </w:p>
        </w:tc>
        <w:tc>
          <w:tcPr>
            <w:tcW w:w="364" w:type="pct"/>
            <w:vAlign w:val="center"/>
          </w:tcPr>
          <w:p w:rsidR="004E28FB" w:rsidRPr="00687FD1" w:rsidRDefault="004E28FB" w:rsidP="004E28FB">
            <w:pPr>
              <w:jc w:val="center"/>
              <w:rPr>
                <w:b w:val="0"/>
                <w:sz w:val="20"/>
                <w:szCs w:val="20"/>
              </w:rPr>
            </w:pPr>
            <w:r w:rsidRPr="00687FD1">
              <w:rPr>
                <w:b w:val="0"/>
                <w:sz w:val="20"/>
                <w:szCs w:val="20"/>
              </w:rPr>
              <w:t>33</w:t>
            </w:r>
          </w:p>
        </w:tc>
        <w:tc>
          <w:tcPr>
            <w:tcW w:w="363" w:type="pct"/>
            <w:vAlign w:val="center"/>
          </w:tcPr>
          <w:p w:rsidR="004E28FB" w:rsidRPr="00687FD1" w:rsidRDefault="004E28FB" w:rsidP="004E28FB">
            <w:pPr>
              <w:jc w:val="center"/>
              <w:rPr>
                <w:b w:val="0"/>
                <w:sz w:val="20"/>
                <w:szCs w:val="20"/>
              </w:rPr>
            </w:pPr>
            <w:r w:rsidRPr="00687FD1">
              <w:rPr>
                <w:b w:val="0"/>
                <w:sz w:val="20"/>
                <w:szCs w:val="20"/>
              </w:rPr>
              <w:t>11</w:t>
            </w:r>
          </w:p>
        </w:tc>
        <w:tc>
          <w:tcPr>
            <w:tcW w:w="364" w:type="pct"/>
            <w:vAlign w:val="center"/>
          </w:tcPr>
          <w:p w:rsidR="004E28FB" w:rsidRPr="00687FD1" w:rsidRDefault="004E28FB" w:rsidP="004E28FB">
            <w:pPr>
              <w:jc w:val="center"/>
              <w:rPr>
                <w:b w:val="0"/>
                <w:sz w:val="20"/>
                <w:szCs w:val="20"/>
              </w:rPr>
            </w:pPr>
          </w:p>
        </w:tc>
        <w:tc>
          <w:tcPr>
            <w:tcW w:w="502" w:type="pct"/>
            <w:vAlign w:val="center"/>
          </w:tcPr>
          <w:p w:rsidR="004E28FB" w:rsidRPr="00687FD1" w:rsidRDefault="004E28FB" w:rsidP="004E28FB">
            <w:pPr>
              <w:jc w:val="center"/>
              <w:rPr>
                <w:b w:val="0"/>
                <w:sz w:val="20"/>
                <w:szCs w:val="20"/>
              </w:rPr>
            </w:pPr>
          </w:p>
        </w:tc>
        <w:tc>
          <w:tcPr>
            <w:tcW w:w="298" w:type="pct"/>
            <w:vAlign w:val="center"/>
          </w:tcPr>
          <w:p w:rsidR="004E28FB" w:rsidRPr="00687FD1" w:rsidRDefault="004E28FB" w:rsidP="004E28FB">
            <w:pPr>
              <w:jc w:val="center"/>
              <w:rPr>
                <w:b w:val="0"/>
                <w:sz w:val="20"/>
                <w:szCs w:val="20"/>
              </w:rPr>
            </w:pP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Romania</w:t>
            </w:r>
          </w:p>
        </w:tc>
        <w:tc>
          <w:tcPr>
            <w:tcW w:w="439" w:type="pct"/>
            <w:vAlign w:val="center"/>
          </w:tcPr>
          <w:p w:rsidR="004E28FB" w:rsidRPr="00687FD1" w:rsidRDefault="004E28FB" w:rsidP="004E28FB">
            <w:pPr>
              <w:jc w:val="center"/>
              <w:rPr>
                <w:b w:val="0"/>
                <w:sz w:val="20"/>
                <w:szCs w:val="20"/>
              </w:rPr>
            </w:pPr>
            <w:r w:rsidRPr="00687FD1">
              <w:rPr>
                <w:b w:val="0"/>
                <w:sz w:val="20"/>
                <w:szCs w:val="20"/>
              </w:rPr>
              <w:t>152</w:t>
            </w:r>
          </w:p>
        </w:tc>
        <w:tc>
          <w:tcPr>
            <w:tcW w:w="727" w:type="pct"/>
            <w:vAlign w:val="center"/>
          </w:tcPr>
          <w:p w:rsidR="004E28FB" w:rsidRPr="00687FD1" w:rsidRDefault="004E28FB" w:rsidP="004E28FB">
            <w:pPr>
              <w:jc w:val="center"/>
              <w:rPr>
                <w:b w:val="0"/>
                <w:sz w:val="20"/>
                <w:szCs w:val="20"/>
              </w:rPr>
            </w:pPr>
          </w:p>
        </w:tc>
        <w:tc>
          <w:tcPr>
            <w:tcW w:w="1454" w:type="pct"/>
            <w:gridSpan w:val="5"/>
            <w:vAlign w:val="center"/>
          </w:tcPr>
          <w:p w:rsidR="004E28FB" w:rsidRPr="00687FD1" w:rsidRDefault="004E28FB" w:rsidP="004E28FB">
            <w:pPr>
              <w:jc w:val="center"/>
              <w:rPr>
                <w:b w:val="0"/>
                <w:sz w:val="20"/>
                <w:szCs w:val="20"/>
              </w:rPr>
            </w:pPr>
            <w:r w:rsidRPr="00687FD1">
              <w:rPr>
                <w:b w:val="0"/>
                <w:sz w:val="20"/>
                <w:szCs w:val="20"/>
              </w:rPr>
              <w:t>152</w:t>
            </w:r>
          </w:p>
        </w:tc>
        <w:tc>
          <w:tcPr>
            <w:tcW w:w="363" w:type="pct"/>
            <w:vAlign w:val="center"/>
          </w:tcPr>
          <w:p w:rsidR="004E28FB" w:rsidRPr="00687FD1" w:rsidRDefault="004E28FB" w:rsidP="004E28FB">
            <w:pPr>
              <w:jc w:val="center"/>
              <w:rPr>
                <w:b w:val="0"/>
                <w:sz w:val="20"/>
                <w:szCs w:val="20"/>
              </w:rPr>
            </w:pPr>
            <w:r w:rsidRPr="00687FD1">
              <w:rPr>
                <w:b w:val="0"/>
                <w:sz w:val="20"/>
                <w:szCs w:val="20"/>
              </w:rPr>
              <w:t>138</w:t>
            </w:r>
          </w:p>
        </w:tc>
        <w:tc>
          <w:tcPr>
            <w:tcW w:w="364" w:type="pct"/>
            <w:vAlign w:val="center"/>
          </w:tcPr>
          <w:p w:rsidR="004E28FB" w:rsidRPr="00687FD1" w:rsidRDefault="004E28FB" w:rsidP="004E28FB">
            <w:pPr>
              <w:jc w:val="center"/>
              <w:rPr>
                <w:b w:val="0"/>
                <w:sz w:val="20"/>
                <w:szCs w:val="20"/>
              </w:rPr>
            </w:pPr>
            <w:r w:rsidRPr="00687FD1">
              <w:rPr>
                <w:b w:val="0"/>
                <w:sz w:val="20"/>
                <w:szCs w:val="20"/>
              </w:rPr>
              <w:t>4</w:t>
            </w:r>
          </w:p>
        </w:tc>
        <w:tc>
          <w:tcPr>
            <w:tcW w:w="502" w:type="pct"/>
            <w:vAlign w:val="center"/>
          </w:tcPr>
          <w:p w:rsidR="004E28FB" w:rsidRPr="00687FD1" w:rsidRDefault="004E28FB" w:rsidP="004E28FB">
            <w:pPr>
              <w:jc w:val="center"/>
              <w:rPr>
                <w:b w:val="0"/>
                <w:sz w:val="20"/>
                <w:szCs w:val="20"/>
              </w:rPr>
            </w:pPr>
            <w:r w:rsidRPr="00687FD1">
              <w:rPr>
                <w:b w:val="0"/>
                <w:sz w:val="20"/>
                <w:szCs w:val="20"/>
              </w:rPr>
              <w:t>137</w:t>
            </w:r>
            <w:r w:rsidRPr="00687FD1">
              <w:rPr>
                <w:sz w:val="20"/>
                <w:szCs w:val="20"/>
                <w:vertAlign w:val="superscript"/>
              </w:rPr>
              <w:t>2</w:t>
            </w:r>
          </w:p>
        </w:tc>
        <w:tc>
          <w:tcPr>
            <w:tcW w:w="298" w:type="pct"/>
            <w:vAlign w:val="center"/>
          </w:tcPr>
          <w:p w:rsidR="004E28FB" w:rsidRPr="00687FD1" w:rsidRDefault="004E28FB" w:rsidP="004E28FB">
            <w:pPr>
              <w:jc w:val="center"/>
              <w:rPr>
                <w:b w:val="0"/>
                <w:sz w:val="20"/>
                <w:szCs w:val="20"/>
              </w:rPr>
            </w:pPr>
            <w:r w:rsidRPr="00687FD1">
              <w:rPr>
                <w:b w:val="0"/>
                <w:sz w:val="20"/>
                <w:szCs w:val="20"/>
              </w:rPr>
              <w:t>4</w:t>
            </w: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Slovakia</w:t>
            </w:r>
          </w:p>
        </w:tc>
        <w:tc>
          <w:tcPr>
            <w:tcW w:w="439" w:type="pct"/>
            <w:vAlign w:val="center"/>
          </w:tcPr>
          <w:p w:rsidR="004E28FB" w:rsidRPr="00687FD1" w:rsidRDefault="004E28FB" w:rsidP="004E28FB">
            <w:pPr>
              <w:jc w:val="center"/>
              <w:rPr>
                <w:b w:val="0"/>
                <w:sz w:val="20"/>
                <w:szCs w:val="20"/>
              </w:rPr>
            </w:pPr>
            <w:r w:rsidRPr="00687FD1">
              <w:rPr>
                <w:b w:val="0"/>
                <w:sz w:val="20"/>
                <w:szCs w:val="20"/>
              </w:rPr>
              <w:t>37</w:t>
            </w:r>
          </w:p>
        </w:tc>
        <w:tc>
          <w:tcPr>
            <w:tcW w:w="727" w:type="pct"/>
            <w:vAlign w:val="center"/>
          </w:tcPr>
          <w:p w:rsidR="004E28FB" w:rsidRPr="00687FD1" w:rsidRDefault="004E28FB" w:rsidP="004E28FB">
            <w:pPr>
              <w:jc w:val="center"/>
              <w:rPr>
                <w:b w:val="0"/>
                <w:sz w:val="20"/>
                <w:szCs w:val="20"/>
              </w:rPr>
            </w:pPr>
            <w:r w:rsidRPr="00687FD1">
              <w:rPr>
                <w:b w:val="0"/>
                <w:sz w:val="20"/>
                <w:szCs w:val="20"/>
              </w:rPr>
              <w:t>17</w:t>
            </w:r>
          </w:p>
        </w:tc>
        <w:tc>
          <w:tcPr>
            <w:tcW w:w="433" w:type="pct"/>
            <w:gridSpan w:val="2"/>
            <w:vAlign w:val="center"/>
          </w:tcPr>
          <w:p w:rsidR="004E28FB" w:rsidRPr="00687FD1" w:rsidRDefault="004E28FB" w:rsidP="004E28FB">
            <w:pPr>
              <w:jc w:val="center"/>
              <w:rPr>
                <w:b w:val="0"/>
                <w:sz w:val="20"/>
                <w:szCs w:val="20"/>
              </w:rPr>
            </w:pPr>
            <w:r w:rsidRPr="00687FD1">
              <w:rPr>
                <w:b w:val="0"/>
                <w:sz w:val="20"/>
                <w:szCs w:val="20"/>
              </w:rPr>
              <w:t>14</w:t>
            </w:r>
          </w:p>
        </w:tc>
        <w:tc>
          <w:tcPr>
            <w:tcW w:w="366" w:type="pct"/>
            <w:vAlign w:val="center"/>
          </w:tcPr>
          <w:p w:rsidR="004E28FB" w:rsidRPr="00687FD1" w:rsidRDefault="004E28FB" w:rsidP="004E28FB">
            <w:pPr>
              <w:jc w:val="center"/>
              <w:rPr>
                <w:b w:val="0"/>
                <w:sz w:val="20"/>
                <w:szCs w:val="20"/>
              </w:rPr>
            </w:pPr>
            <w:r w:rsidRPr="00687FD1">
              <w:rPr>
                <w:b w:val="0"/>
                <w:sz w:val="20"/>
                <w:szCs w:val="20"/>
              </w:rPr>
              <w:t>6</w:t>
            </w:r>
          </w:p>
        </w:tc>
        <w:tc>
          <w:tcPr>
            <w:tcW w:w="291" w:type="pct"/>
            <w:vAlign w:val="center"/>
          </w:tcPr>
          <w:p w:rsidR="004E28FB" w:rsidRPr="00687FD1" w:rsidRDefault="004E28FB" w:rsidP="004E28FB">
            <w:pPr>
              <w:jc w:val="center"/>
              <w:rPr>
                <w:b w:val="0"/>
                <w:sz w:val="20"/>
                <w:szCs w:val="20"/>
              </w:rPr>
            </w:pPr>
            <w:r w:rsidRPr="00687FD1">
              <w:rPr>
                <w:b w:val="0"/>
                <w:sz w:val="20"/>
                <w:szCs w:val="20"/>
              </w:rPr>
              <w:t>10</w:t>
            </w:r>
          </w:p>
        </w:tc>
        <w:tc>
          <w:tcPr>
            <w:tcW w:w="364" w:type="pct"/>
            <w:vAlign w:val="center"/>
          </w:tcPr>
          <w:p w:rsidR="004E28FB" w:rsidRPr="00687FD1" w:rsidRDefault="004E28FB" w:rsidP="004E28FB">
            <w:pPr>
              <w:jc w:val="center"/>
              <w:rPr>
                <w:b w:val="0"/>
                <w:sz w:val="20"/>
                <w:szCs w:val="20"/>
              </w:rPr>
            </w:pPr>
          </w:p>
        </w:tc>
        <w:tc>
          <w:tcPr>
            <w:tcW w:w="363" w:type="pct"/>
            <w:vAlign w:val="center"/>
          </w:tcPr>
          <w:p w:rsidR="004E28FB" w:rsidRPr="00687FD1" w:rsidRDefault="004E28FB" w:rsidP="004E28FB">
            <w:pPr>
              <w:jc w:val="center"/>
              <w:rPr>
                <w:b w:val="0"/>
                <w:sz w:val="20"/>
                <w:szCs w:val="20"/>
              </w:rPr>
            </w:pPr>
            <w:r w:rsidRPr="00687FD1">
              <w:rPr>
                <w:b w:val="0"/>
                <w:sz w:val="20"/>
                <w:szCs w:val="20"/>
              </w:rPr>
              <w:t>7</w:t>
            </w:r>
          </w:p>
        </w:tc>
        <w:tc>
          <w:tcPr>
            <w:tcW w:w="364" w:type="pct"/>
            <w:vAlign w:val="center"/>
          </w:tcPr>
          <w:p w:rsidR="004E28FB" w:rsidRPr="00687FD1" w:rsidRDefault="004E28FB" w:rsidP="004E28FB">
            <w:pPr>
              <w:jc w:val="center"/>
              <w:rPr>
                <w:b w:val="0"/>
                <w:sz w:val="20"/>
                <w:szCs w:val="20"/>
              </w:rPr>
            </w:pPr>
            <w:r w:rsidRPr="00687FD1">
              <w:rPr>
                <w:b w:val="0"/>
                <w:sz w:val="20"/>
                <w:szCs w:val="20"/>
              </w:rPr>
              <w:t>7</w:t>
            </w:r>
          </w:p>
        </w:tc>
        <w:tc>
          <w:tcPr>
            <w:tcW w:w="502" w:type="pct"/>
            <w:vAlign w:val="center"/>
          </w:tcPr>
          <w:p w:rsidR="004E28FB" w:rsidRPr="00687FD1" w:rsidRDefault="004E28FB" w:rsidP="004E28FB">
            <w:pPr>
              <w:jc w:val="center"/>
              <w:rPr>
                <w:b w:val="0"/>
                <w:sz w:val="20"/>
                <w:szCs w:val="20"/>
              </w:rPr>
            </w:pPr>
            <w:r w:rsidRPr="00687FD1">
              <w:rPr>
                <w:b w:val="0"/>
                <w:sz w:val="20"/>
                <w:szCs w:val="20"/>
              </w:rPr>
              <w:t>7</w:t>
            </w:r>
          </w:p>
        </w:tc>
        <w:tc>
          <w:tcPr>
            <w:tcW w:w="298" w:type="pct"/>
            <w:vAlign w:val="center"/>
          </w:tcPr>
          <w:p w:rsidR="004E28FB" w:rsidRPr="00687FD1" w:rsidRDefault="004E28FB" w:rsidP="004E28FB">
            <w:pPr>
              <w:jc w:val="center"/>
              <w:rPr>
                <w:b w:val="0"/>
                <w:sz w:val="20"/>
                <w:szCs w:val="20"/>
              </w:rPr>
            </w:pPr>
            <w:r w:rsidRPr="00687FD1">
              <w:rPr>
                <w:b w:val="0"/>
                <w:sz w:val="20"/>
                <w:szCs w:val="20"/>
              </w:rPr>
              <w:t>4</w:t>
            </w: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Slovenia</w:t>
            </w:r>
          </w:p>
        </w:tc>
        <w:tc>
          <w:tcPr>
            <w:tcW w:w="439" w:type="pct"/>
            <w:vAlign w:val="center"/>
          </w:tcPr>
          <w:p w:rsidR="004E28FB" w:rsidRPr="00687FD1" w:rsidRDefault="004E28FB" w:rsidP="004E28FB">
            <w:pPr>
              <w:jc w:val="center"/>
              <w:rPr>
                <w:b w:val="0"/>
                <w:sz w:val="20"/>
                <w:szCs w:val="20"/>
              </w:rPr>
            </w:pPr>
            <w:r w:rsidRPr="00687FD1">
              <w:rPr>
                <w:b w:val="0"/>
                <w:sz w:val="20"/>
                <w:szCs w:val="20"/>
              </w:rPr>
              <w:t>86</w:t>
            </w:r>
          </w:p>
        </w:tc>
        <w:tc>
          <w:tcPr>
            <w:tcW w:w="727" w:type="pct"/>
            <w:vAlign w:val="center"/>
          </w:tcPr>
          <w:p w:rsidR="004E28FB" w:rsidRPr="00687FD1" w:rsidRDefault="004E28FB" w:rsidP="004E28FB">
            <w:pPr>
              <w:jc w:val="center"/>
              <w:rPr>
                <w:b w:val="0"/>
                <w:sz w:val="20"/>
                <w:szCs w:val="20"/>
              </w:rPr>
            </w:pPr>
          </w:p>
        </w:tc>
        <w:tc>
          <w:tcPr>
            <w:tcW w:w="433" w:type="pct"/>
            <w:gridSpan w:val="2"/>
            <w:vAlign w:val="center"/>
          </w:tcPr>
          <w:p w:rsidR="004E28FB" w:rsidRPr="00687FD1" w:rsidRDefault="004E28FB" w:rsidP="004E28FB">
            <w:pPr>
              <w:jc w:val="center"/>
              <w:rPr>
                <w:b w:val="0"/>
                <w:sz w:val="20"/>
                <w:szCs w:val="20"/>
              </w:rPr>
            </w:pPr>
            <w:r w:rsidRPr="00687FD1">
              <w:rPr>
                <w:b w:val="0"/>
                <w:sz w:val="20"/>
                <w:szCs w:val="20"/>
              </w:rPr>
              <w:t>86</w:t>
            </w:r>
          </w:p>
        </w:tc>
        <w:tc>
          <w:tcPr>
            <w:tcW w:w="366" w:type="pct"/>
            <w:vAlign w:val="center"/>
          </w:tcPr>
          <w:p w:rsidR="004E28FB" w:rsidRPr="00687FD1" w:rsidRDefault="004E28FB" w:rsidP="004E28FB">
            <w:pPr>
              <w:jc w:val="center"/>
              <w:rPr>
                <w:b w:val="0"/>
                <w:sz w:val="20"/>
                <w:szCs w:val="20"/>
              </w:rPr>
            </w:pPr>
          </w:p>
        </w:tc>
        <w:tc>
          <w:tcPr>
            <w:tcW w:w="291" w:type="pct"/>
            <w:vAlign w:val="center"/>
          </w:tcPr>
          <w:p w:rsidR="004E28FB" w:rsidRPr="00687FD1" w:rsidRDefault="004E28FB" w:rsidP="004E28FB">
            <w:pPr>
              <w:jc w:val="center"/>
              <w:rPr>
                <w:b w:val="0"/>
                <w:sz w:val="20"/>
                <w:szCs w:val="20"/>
              </w:rPr>
            </w:pPr>
          </w:p>
        </w:tc>
        <w:tc>
          <w:tcPr>
            <w:tcW w:w="364" w:type="pct"/>
            <w:vAlign w:val="center"/>
          </w:tcPr>
          <w:p w:rsidR="004E28FB" w:rsidRPr="00687FD1" w:rsidRDefault="004E28FB" w:rsidP="004E28FB">
            <w:pPr>
              <w:jc w:val="center"/>
              <w:rPr>
                <w:b w:val="0"/>
                <w:sz w:val="20"/>
                <w:szCs w:val="20"/>
              </w:rPr>
            </w:pPr>
          </w:p>
        </w:tc>
        <w:tc>
          <w:tcPr>
            <w:tcW w:w="363" w:type="pct"/>
            <w:vAlign w:val="center"/>
          </w:tcPr>
          <w:p w:rsidR="004E28FB" w:rsidRPr="00687FD1" w:rsidRDefault="004E28FB" w:rsidP="004E28FB">
            <w:pPr>
              <w:jc w:val="center"/>
              <w:rPr>
                <w:b w:val="0"/>
                <w:sz w:val="20"/>
                <w:szCs w:val="20"/>
              </w:rPr>
            </w:pPr>
            <w:r w:rsidRPr="00687FD1">
              <w:rPr>
                <w:b w:val="0"/>
                <w:sz w:val="20"/>
                <w:szCs w:val="20"/>
              </w:rPr>
              <w:t>4</w:t>
            </w:r>
          </w:p>
        </w:tc>
        <w:tc>
          <w:tcPr>
            <w:tcW w:w="364" w:type="pct"/>
            <w:vAlign w:val="center"/>
          </w:tcPr>
          <w:p w:rsidR="004E28FB" w:rsidRPr="00687FD1" w:rsidRDefault="004E28FB" w:rsidP="004E28FB">
            <w:pPr>
              <w:jc w:val="center"/>
              <w:rPr>
                <w:b w:val="0"/>
                <w:sz w:val="20"/>
                <w:szCs w:val="20"/>
              </w:rPr>
            </w:pPr>
          </w:p>
        </w:tc>
        <w:tc>
          <w:tcPr>
            <w:tcW w:w="502" w:type="pct"/>
            <w:vAlign w:val="center"/>
          </w:tcPr>
          <w:p w:rsidR="004E28FB" w:rsidRPr="00687FD1" w:rsidRDefault="004E28FB" w:rsidP="004E28FB">
            <w:pPr>
              <w:jc w:val="center"/>
              <w:rPr>
                <w:b w:val="0"/>
                <w:sz w:val="20"/>
                <w:szCs w:val="20"/>
              </w:rPr>
            </w:pPr>
          </w:p>
        </w:tc>
        <w:tc>
          <w:tcPr>
            <w:tcW w:w="298" w:type="pct"/>
            <w:vAlign w:val="center"/>
          </w:tcPr>
          <w:p w:rsidR="004E28FB" w:rsidRPr="00687FD1" w:rsidRDefault="004E28FB" w:rsidP="004E28FB">
            <w:pPr>
              <w:jc w:val="center"/>
              <w:rPr>
                <w:b w:val="0"/>
                <w:sz w:val="20"/>
                <w:szCs w:val="20"/>
              </w:rPr>
            </w:pPr>
          </w:p>
        </w:tc>
      </w:tr>
      <w:tr w:rsidR="004E28FB" w:rsidRPr="00687FD1" w:rsidTr="00E61DBA">
        <w:trPr>
          <w:trHeight w:val="284"/>
        </w:trPr>
        <w:tc>
          <w:tcPr>
            <w:tcW w:w="853" w:type="pct"/>
            <w:vAlign w:val="center"/>
          </w:tcPr>
          <w:p w:rsidR="004E28FB" w:rsidRPr="00687FD1" w:rsidRDefault="004E28FB" w:rsidP="004E28FB">
            <w:pPr>
              <w:rPr>
                <w:sz w:val="20"/>
                <w:szCs w:val="20"/>
              </w:rPr>
            </w:pPr>
            <w:r w:rsidRPr="00687FD1">
              <w:rPr>
                <w:sz w:val="20"/>
                <w:szCs w:val="20"/>
              </w:rPr>
              <w:t>Switzerland</w:t>
            </w:r>
          </w:p>
        </w:tc>
        <w:tc>
          <w:tcPr>
            <w:tcW w:w="439" w:type="pct"/>
            <w:vAlign w:val="center"/>
          </w:tcPr>
          <w:p w:rsidR="004E28FB" w:rsidRPr="00687FD1" w:rsidRDefault="004E28FB" w:rsidP="004E28FB">
            <w:pPr>
              <w:jc w:val="center"/>
              <w:rPr>
                <w:b w:val="0"/>
                <w:sz w:val="20"/>
                <w:szCs w:val="20"/>
              </w:rPr>
            </w:pPr>
            <w:r w:rsidRPr="00687FD1">
              <w:rPr>
                <w:b w:val="0"/>
                <w:sz w:val="20"/>
                <w:szCs w:val="20"/>
              </w:rPr>
              <w:t>98</w:t>
            </w:r>
            <w:r w:rsidRPr="00687FD1">
              <w:rPr>
                <w:b w:val="0"/>
                <w:sz w:val="20"/>
                <w:szCs w:val="20"/>
                <w:vertAlign w:val="superscript"/>
              </w:rPr>
              <w:t>6</w:t>
            </w:r>
          </w:p>
        </w:tc>
        <w:tc>
          <w:tcPr>
            <w:tcW w:w="727" w:type="pct"/>
            <w:vAlign w:val="center"/>
          </w:tcPr>
          <w:p w:rsidR="004E28FB" w:rsidRPr="00687FD1" w:rsidRDefault="004E28FB" w:rsidP="004E28FB">
            <w:pPr>
              <w:jc w:val="center"/>
              <w:rPr>
                <w:b w:val="0"/>
                <w:sz w:val="20"/>
                <w:szCs w:val="20"/>
              </w:rPr>
            </w:pPr>
          </w:p>
        </w:tc>
        <w:tc>
          <w:tcPr>
            <w:tcW w:w="433" w:type="pct"/>
            <w:gridSpan w:val="2"/>
            <w:vAlign w:val="center"/>
          </w:tcPr>
          <w:p w:rsidR="004E28FB" w:rsidRPr="00687FD1" w:rsidRDefault="004E28FB" w:rsidP="004E28FB">
            <w:pPr>
              <w:jc w:val="center"/>
              <w:rPr>
                <w:b w:val="0"/>
                <w:sz w:val="20"/>
                <w:szCs w:val="20"/>
              </w:rPr>
            </w:pPr>
            <w:r w:rsidRPr="00687FD1">
              <w:rPr>
                <w:b w:val="0"/>
                <w:sz w:val="20"/>
                <w:szCs w:val="20"/>
              </w:rPr>
              <w:t>55</w:t>
            </w:r>
          </w:p>
        </w:tc>
        <w:tc>
          <w:tcPr>
            <w:tcW w:w="366" w:type="pct"/>
            <w:vAlign w:val="center"/>
          </w:tcPr>
          <w:p w:rsidR="004E28FB" w:rsidRPr="00687FD1" w:rsidRDefault="004E28FB" w:rsidP="004E28FB">
            <w:pPr>
              <w:jc w:val="center"/>
              <w:rPr>
                <w:b w:val="0"/>
                <w:sz w:val="20"/>
                <w:szCs w:val="20"/>
              </w:rPr>
            </w:pPr>
            <w:r w:rsidRPr="00687FD1">
              <w:rPr>
                <w:b w:val="0"/>
                <w:sz w:val="20"/>
                <w:szCs w:val="20"/>
              </w:rPr>
              <w:t>31</w:t>
            </w:r>
          </w:p>
        </w:tc>
        <w:tc>
          <w:tcPr>
            <w:tcW w:w="291" w:type="pct"/>
            <w:vAlign w:val="center"/>
          </w:tcPr>
          <w:p w:rsidR="004E28FB" w:rsidRPr="00687FD1" w:rsidRDefault="004E28FB" w:rsidP="004E28FB">
            <w:pPr>
              <w:jc w:val="center"/>
              <w:rPr>
                <w:b w:val="0"/>
                <w:sz w:val="20"/>
                <w:szCs w:val="20"/>
              </w:rPr>
            </w:pPr>
            <w:r w:rsidRPr="00687FD1">
              <w:rPr>
                <w:b w:val="0"/>
                <w:sz w:val="20"/>
                <w:szCs w:val="20"/>
              </w:rPr>
              <w:t>12</w:t>
            </w:r>
          </w:p>
        </w:tc>
        <w:tc>
          <w:tcPr>
            <w:tcW w:w="364" w:type="pct"/>
            <w:vAlign w:val="center"/>
          </w:tcPr>
          <w:p w:rsidR="004E28FB" w:rsidRPr="00687FD1" w:rsidRDefault="004E28FB" w:rsidP="004E28FB">
            <w:pPr>
              <w:jc w:val="center"/>
              <w:rPr>
                <w:b w:val="0"/>
                <w:sz w:val="20"/>
                <w:szCs w:val="20"/>
              </w:rPr>
            </w:pPr>
          </w:p>
        </w:tc>
        <w:tc>
          <w:tcPr>
            <w:tcW w:w="363" w:type="pct"/>
            <w:vAlign w:val="center"/>
          </w:tcPr>
          <w:p w:rsidR="004E28FB" w:rsidRPr="00687FD1" w:rsidRDefault="004E28FB" w:rsidP="004E28FB">
            <w:pPr>
              <w:jc w:val="center"/>
              <w:rPr>
                <w:b w:val="0"/>
                <w:sz w:val="20"/>
                <w:szCs w:val="20"/>
              </w:rPr>
            </w:pPr>
            <w:r w:rsidRPr="00687FD1">
              <w:rPr>
                <w:b w:val="0"/>
                <w:sz w:val="20"/>
                <w:szCs w:val="20"/>
              </w:rPr>
              <w:t>54</w:t>
            </w:r>
          </w:p>
        </w:tc>
        <w:tc>
          <w:tcPr>
            <w:tcW w:w="364" w:type="pct"/>
            <w:vAlign w:val="center"/>
          </w:tcPr>
          <w:p w:rsidR="004E28FB" w:rsidRPr="00687FD1" w:rsidRDefault="004E28FB" w:rsidP="004E28FB">
            <w:pPr>
              <w:jc w:val="center"/>
              <w:rPr>
                <w:b w:val="0"/>
                <w:sz w:val="20"/>
                <w:szCs w:val="20"/>
              </w:rPr>
            </w:pPr>
          </w:p>
        </w:tc>
        <w:tc>
          <w:tcPr>
            <w:tcW w:w="502" w:type="pct"/>
            <w:vAlign w:val="center"/>
          </w:tcPr>
          <w:p w:rsidR="004E28FB" w:rsidRPr="00687FD1" w:rsidRDefault="004E28FB" w:rsidP="004E28FB">
            <w:pPr>
              <w:jc w:val="center"/>
              <w:rPr>
                <w:b w:val="0"/>
                <w:sz w:val="20"/>
                <w:szCs w:val="20"/>
              </w:rPr>
            </w:pPr>
          </w:p>
        </w:tc>
        <w:tc>
          <w:tcPr>
            <w:tcW w:w="298" w:type="pct"/>
            <w:vAlign w:val="center"/>
          </w:tcPr>
          <w:p w:rsidR="004E28FB" w:rsidRPr="00687FD1" w:rsidRDefault="004E28FB" w:rsidP="004E28FB">
            <w:pPr>
              <w:jc w:val="center"/>
              <w:rPr>
                <w:b w:val="0"/>
                <w:sz w:val="20"/>
                <w:szCs w:val="20"/>
              </w:rPr>
            </w:pPr>
          </w:p>
        </w:tc>
      </w:tr>
    </w:tbl>
    <w:p w:rsidR="004E28FB" w:rsidRPr="005B6270" w:rsidRDefault="004E28FB" w:rsidP="00E61DBA">
      <w:pPr>
        <w:spacing w:before="120"/>
        <w:rPr>
          <w:sz w:val="18"/>
          <w:szCs w:val="18"/>
        </w:rPr>
      </w:pPr>
      <w:proofErr w:type="gramStart"/>
      <w:r w:rsidRPr="005B6270">
        <w:rPr>
          <w:sz w:val="18"/>
          <w:szCs w:val="18"/>
          <w:vertAlign w:val="superscript"/>
        </w:rPr>
        <w:t>1</w:t>
      </w:r>
      <w:r w:rsidRPr="005B6270">
        <w:rPr>
          <w:sz w:val="18"/>
          <w:szCs w:val="18"/>
        </w:rPr>
        <w:t xml:space="preserve"> Total for urban and regional</w:t>
      </w:r>
      <w:r w:rsidR="00CB0844" w:rsidRPr="005B6270">
        <w:rPr>
          <w:sz w:val="18"/>
          <w:szCs w:val="18"/>
        </w:rPr>
        <w:t>.</w:t>
      </w:r>
      <w:proofErr w:type="gramEnd"/>
      <w:r w:rsidR="00CB0844" w:rsidRPr="005B6270">
        <w:rPr>
          <w:sz w:val="18"/>
          <w:szCs w:val="18"/>
        </w:rPr>
        <w:t xml:space="preserve"> Site classification not known</w:t>
      </w:r>
    </w:p>
    <w:p w:rsidR="004E28FB" w:rsidRPr="005B6270" w:rsidRDefault="004E28FB" w:rsidP="00E61DBA">
      <w:pPr>
        <w:spacing w:before="0"/>
        <w:rPr>
          <w:sz w:val="18"/>
          <w:szCs w:val="18"/>
        </w:rPr>
      </w:pPr>
      <w:r w:rsidRPr="005B6270">
        <w:rPr>
          <w:sz w:val="18"/>
          <w:szCs w:val="18"/>
          <w:vertAlign w:val="superscript"/>
        </w:rPr>
        <w:t>2</w:t>
      </w:r>
      <w:r w:rsidRPr="005B6270">
        <w:rPr>
          <w:sz w:val="18"/>
          <w:szCs w:val="18"/>
        </w:rPr>
        <w:t xml:space="preserve"> All stations measure pH, conductivity and acidity/alkalinity. 14 sites measure major ions.</w:t>
      </w:r>
    </w:p>
    <w:p w:rsidR="004E28FB" w:rsidRPr="005B6270" w:rsidRDefault="004E28FB" w:rsidP="00E61DBA">
      <w:pPr>
        <w:spacing w:before="0"/>
        <w:rPr>
          <w:sz w:val="18"/>
          <w:szCs w:val="18"/>
        </w:rPr>
      </w:pPr>
      <w:r w:rsidRPr="005B6270">
        <w:rPr>
          <w:sz w:val="18"/>
          <w:szCs w:val="18"/>
          <w:vertAlign w:val="superscript"/>
        </w:rPr>
        <w:t>3</w:t>
      </w:r>
      <w:r w:rsidRPr="005B6270">
        <w:rPr>
          <w:sz w:val="18"/>
          <w:szCs w:val="18"/>
        </w:rPr>
        <w:t xml:space="preserve"> Not complete.</w:t>
      </w:r>
    </w:p>
    <w:p w:rsidR="004E28FB" w:rsidRPr="005B6270" w:rsidRDefault="004E28FB" w:rsidP="00E61DBA">
      <w:pPr>
        <w:spacing w:before="0"/>
        <w:rPr>
          <w:sz w:val="18"/>
          <w:szCs w:val="18"/>
        </w:rPr>
      </w:pPr>
      <w:r w:rsidRPr="005B6270">
        <w:rPr>
          <w:sz w:val="18"/>
          <w:szCs w:val="18"/>
          <w:vertAlign w:val="superscript"/>
        </w:rPr>
        <w:t>4</w:t>
      </w:r>
      <w:r w:rsidRPr="005B6270">
        <w:rPr>
          <w:sz w:val="18"/>
          <w:szCs w:val="18"/>
        </w:rPr>
        <w:t xml:space="preserve"> Only EMEP sites</w:t>
      </w:r>
    </w:p>
    <w:p w:rsidR="004E28FB" w:rsidRPr="005B6270" w:rsidRDefault="004E28FB" w:rsidP="00E61DBA">
      <w:pPr>
        <w:spacing w:before="0"/>
        <w:rPr>
          <w:sz w:val="18"/>
          <w:szCs w:val="18"/>
        </w:rPr>
      </w:pPr>
      <w:r w:rsidRPr="005B6270">
        <w:rPr>
          <w:sz w:val="18"/>
          <w:szCs w:val="18"/>
          <w:vertAlign w:val="superscript"/>
        </w:rPr>
        <w:t>5</w:t>
      </w:r>
      <w:r w:rsidRPr="005B6270">
        <w:rPr>
          <w:sz w:val="18"/>
          <w:szCs w:val="18"/>
        </w:rPr>
        <w:t xml:space="preserve"> Plus 1100 passive NO</w:t>
      </w:r>
      <w:r w:rsidRPr="005B6270">
        <w:rPr>
          <w:sz w:val="18"/>
          <w:szCs w:val="18"/>
          <w:vertAlign w:val="subscript"/>
        </w:rPr>
        <w:t>2</w:t>
      </w:r>
      <w:r w:rsidRPr="005B6270">
        <w:rPr>
          <w:sz w:val="18"/>
          <w:szCs w:val="18"/>
        </w:rPr>
        <w:t xml:space="preserve"> sampling sites</w:t>
      </w:r>
    </w:p>
    <w:p w:rsidR="004E28FB" w:rsidRPr="005B6270" w:rsidRDefault="004E28FB" w:rsidP="00E61DBA">
      <w:pPr>
        <w:spacing w:before="0"/>
        <w:rPr>
          <w:sz w:val="18"/>
          <w:szCs w:val="18"/>
        </w:rPr>
      </w:pPr>
      <w:r w:rsidRPr="005B6270">
        <w:rPr>
          <w:sz w:val="18"/>
          <w:szCs w:val="18"/>
          <w:vertAlign w:val="superscript"/>
        </w:rPr>
        <w:t>6</w:t>
      </w:r>
      <w:r w:rsidRPr="005B6270">
        <w:rPr>
          <w:sz w:val="18"/>
          <w:szCs w:val="18"/>
        </w:rPr>
        <w:t xml:space="preserve"> Plus 12 passive SO</w:t>
      </w:r>
      <w:r w:rsidRPr="005B6270">
        <w:rPr>
          <w:sz w:val="18"/>
          <w:szCs w:val="18"/>
          <w:vertAlign w:val="subscript"/>
        </w:rPr>
        <w:t>2</w:t>
      </w:r>
      <w:r w:rsidRPr="005B6270">
        <w:rPr>
          <w:sz w:val="18"/>
          <w:szCs w:val="18"/>
        </w:rPr>
        <w:t xml:space="preserve"> and 102 passive NO</w:t>
      </w:r>
      <w:r w:rsidRPr="005B6270">
        <w:rPr>
          <w:sz w:val="18"/>
          <w:szCs w:val="18"/>
          <w:vertAlign w:val="subscript"/>
        </w:rPr>
        <w:t>2</w:t>
      </w:r>
      <w:r w:rsidRPr="005B6270">
        <w:rPr>
          <w:sz w:val="18"/>
          <w:szCs w:val="18"/>
        </w:rPr>
        <w:t xml:space="preserve"> sites.</w:t>
      </w:r>
    </w:p>
    <w:p w:rsidR="004E28FB" w:rsidRPr="005B6270" w:rsidRDefault="004E28FB" w:rsidP="00E61DBA">
      <w:pPr>
        <w:spacing w:before="0"/>
        <w:rPr>
          <w:sz w:val="18"/>
          <w:szCs w:val="18"/>
        </w:rPr>
      </w:pPr>
      <w:r w:rsidRPr="005B6270">
        <w:rPr>
          <w:sz w:val="18"/>
          <w:szCs w:val="18"/>
          <w:vertAlign w:val="superscript"/>
        </w:rPr>
        <w:t>7</w:t>
      </w:r>
      <w:r w:rsidRPr="005B6270">
        <w:rPr>
          <w:sz w:val="18"/>
          <w:szCs w:val="18"/>
        </w:rPr>
        <w:t xml:space="preserve"> All cities with &gt;20,000 inhabitants.</w:t>
      </w:r>
    </w:p>
    <w:p w:rsidR="004E28FB" w:rsidRDefault="004E28FB" w:rsidP="00E61DBA">
      <w:pPr>
        <w:spacing w:before="0"/>
      </w:pPr>
      <w:r w:rsidRPr="005B6270">
        <w:rPr>
          <w:sz w:val="18"/>
          <w:szCs w:val="18"/>
          <w:vertAlign w:val="superscript"/>
        </w:rPr>
        <w:t>8</w:t>
      </w:r>
      <w:r w:rsidRPr="005B6270">
        <w:rPr>
          <w:sz w:val="18"/>
          <w:szCs w:val="18"/>
        </w:rPr>
        <w:t xml:space="preserve"> The number of sites may not be quite correct</w:t>
      </w:r>
      <w:r w:rsidRPr="00623E33">
        <w:t>.</w:t>
      </w:r>
    </w:p>
    <w:p w:rsidR="004E28FB" w:rsidRPr="00623E33" w:rsidRDefault="004E28FB" w:rsidP="005B6270">
      <w:pPr>
        <w:pStyle w:val="TOC1"/>
        <w:keepLines/>
      </w:pPr>
      <w:r w:rsidRPr="00623E33">
        <w:lastRenderedPageBreak/>
        <w:t xml:space="preserve">Table </w:t>
      </w:r>
      <w:r w:rsidR="005101F7">
        <w:fldChar w:fldCharType="begin"/>
      </w:r>
      <w:r w:rsidR="005101F7">
        <w:instrText xml:space="preserve"> STYLEREF 1 \s </w:instrText>
      </w:r>
      <w:r w:rsidR="005101F7">
        <w:fldChar w:fldCharType="separate"/>
      </w:r>
      <w:r>
        <w:rPr>
          <w:noProof/>
        </w:rPr>
        <w:t>3</w:t>
      </w:r>
      <w:r w:rsidR="005101F7">
        <w:rPr>
          <w:noProof/>
        </w:rPr>
        <w:fldChar w:fldCharType="end"/>
      </w:r>
      <w:r>
        <w:noBreakHyphen/>
      </w:r>
      <w:r w:rsidR="005101F7">
        <w:fldChar w:fldCharType="begin"/>
      </w:r>
      <w:r w:rsidR="005101F7">
        <w:instrText xml:space="preserve"> SEQ Table \* ARABIC \s 1 </w:instrText>
      </w:r>
      <w:r w:rsidR="005101F7">
        <w:fldChar w:fldCharType="separate"/>
      </w:r>
      <w:r>
        <w:rPr>
          <w:noProof/>
        </w:rPr>
        <w:t>2</w:t>
      </w:r>
      <w:r w:rsidR="005101F7">
        <w:rPr>
          <w:noProof/>
        </w:rPr>
        <w:fldChar w:fldCharType="end"/>
      </w:r>
      <w:r>
        <w:t xml:space="preserve"> </w:t>
      </w:r>
      <w:r w:rsidRPr="00623E33">
        <w:t>Compound coverage of AQ monitoring Networks across European States</w:t>
      </w:r>
    </w:p>
    <w:tbl>
      <w:tblPr>
        <w:tblStyle w:val="TableGrid8"/>
        <w:tblW w:w="9656"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tblLayout w:type="fixed"/>
        <w:tblLook w:val="04A0" w:firstRow="1" w:lastRow="0" w:firstColumn="1" w:lastColumn="0" w:noHBand="0" w:noVBand="1"/>
      </w:tblPr>
      <w:tblGrid>
        <w:gridCol w:w="1668"/>
        <w:gridCol w:w="1141"/>
        <w:gridCol w:w="1141"/>
        <w:gridCol w:w="1120"/>
        <w:gridCol w:w="992"/>
        <w:gridCol w:w="1311"/>
        <w:gridCol w:w="957"/>
        <w:gridCol w:w="1326"/>
      </w:tblGrid>
      <w:tr w:rsidR="004E28FB" w:rsidRPr="00687FD1" w:rsidTr="00687FD1">
        <w:trPr>
          <w:cnfStyle w:val="100000000000" w:firstRow="1" w:lastRow="0" w:firstColumn="0" w:lastColumn="0" w:oddVBand="0" w:evenVBand="0" w:oddHBand="0" w:evenHBand="0" w:firstRowFirstColumn="0" w:firstRowLastColumn="0" w:lastRowFirstColumn="0" w:lastRowLastColumn="0"/>
          <w:trHeight w:val="284"/>
        </w:trPr>
        <w:tc>
          <w:tcPr>
            <w:tcW w:w="1668" w:type="dxa"/>
            <w:vMerge w:val="restart"/>
            <w:shd w:val="clear" w:color="auto" w:fill="1F497D" w:themeFill="text2"/>
            <w:vAlign w:val="center"/>
          </w:tcPr>
          <w:p w:rsidR="004E28FB" w:rsidRPr="00687FD1" w:rsidRDefault="004E28FB" w:rsidP="005B6270">
            <w:pPr>
              <w:keepNext/>
              <w:keepLines/>
              <w:rPr>
                <w:sz w:val="20"/>
                <w:szCs w:val="20"/>
              </w:rPr>
            </w:pPr>
          </w:p>
        </w:tc>
        <w:tc>
          <w:tcPr>
            <w:tcW w:w="3402" w:type="dxa"/>
            <w:gridSpan w:val="3"/>
            <w:shd w:val="clear" w:color="auto" w:fill="1F497D" w:themeFill="text2"/>
            <w:vAlign w:val="center"/>
          </w:tcPr>
          <w:p w:rsidR="004E28FB" w:rsidRPr="00687FD1" w:rsidRDefault="004E28FB" w:rsidP="005B6270">
            <w:pPr>
              <w:keepNext/>
              <w:keepLines/>
              <w:jc w:val="center"/>
              <w:rPr>
                <w:b w:val="0"/>
                <w:bCs w:val="0"/>
                <w:color w:val="FFFFFF" w:themeColor="background1"/>
                <w:sz w:val="20"/>
                <w:szCs w:val="20"/>
              </w:rPr>
            </w:pPr>
            <w:r w:rsidRPr="00687FD1">
              <w:rPr>
                <w:color w:val="FFFFFF" w:themeColor="background1"/>
                <w:sz w:val="20"/>
                <w:szCs w:val="20"/>
              </w:rPr>
              <w:t>LOCAL</w:t>
            </w:r>
          </w:p>
        </w:tc>
        <w:tc>
          <w:tcPr>
            <w:tcW w:w="4586" w:type="dxa"/>
            <w:gridSpan w:val="4"/>
            <w:shd w:val="clear" w:color="auto" w:fill="1F497D" w:themeFill="text2"/>
            <w:vAlign w:val="center"/>
          </w:tcPr>
          <w:p w:rsidR="004E28FB" w:rsidRPr="00687FD1" w:rsidRDefault="004E28FB" w:rsidP="005B6270">
            <w:pPr>
              <w:keepNext/>
              <w:keepLines/>
              <w:jc w:val="center"/>
              <w:rPr>
                <w:b w:val="0"/>
                <w:bCs w:val="0"/>
                <w:color w:val="FFFFFF" w:themeColor="background1"/>
                <w:sz w:val="20"/>
                <w:szCs w:val="20"/>
              </w:rPr>
            </w:pPr>
            <w:r w:rsidRPr="00687FD1">
              <w:rPr>
                <w:color w:val="FFFFFF" w:themeColor="background1"/>
                <w:sz w:val="20"/>
                <w:szCs w:val="20"/>
              </w:rPr>
              <w:t>REGIONAL</w:t>
            </w:r>
          </w:p>
        </w:tc>
      </w:tr>
      <w:tr w:rsidR="004E28FB" w:rsidRPr="00687FD1" w:rsidTr="00687FD1">
        <w:trPr>
          <w:trHeight w:val="284"/>
        </w:trPr>
        <w:tc>
          <w:tcPr>
            <w:tcW w:w="1668" w:type="dxa"/>
            <w:vMerge/>
            <w:shd w:val="clear" w:color="auto" w:fill="1F497D" w:themeFill="text2"/>
            <w:vAlign w:val="center"/>
          </w:tcPr>
          <w:p w:rsidR="004E28FB" w:rsidRPr="00687FD1" w:rsidRDefault="004E28FB" w:rsidP="005B6270">
            <w:pPr>
              <w:keepNext/>
              <w:keepLines/>
              <w:rPr>
                <w:sz w:val="20"/>
                <w:szCs w:val="20"/>
              </w:rPr>
            </w:pPr>
          </w:p>
        </w:tc>
        <w:tc>
          <w:tcPr>
            <w:tcW w:w="1141" w:type="dxa"/>
            <w:shd w:val="clear" w:color="auto" w:fill="1F497D" w:themeFill="text2"/>
            <w:vAlign w:val="center"/>
          </w:tcPr>
          <w:p w:rsidR="00687FD1" w:rsidRDefault="004E28FB" w:rsidP="005B6270">
            <w:pPr>
              <w:keepNext/>
              <w:keepLines/>
              <w:jc w:val="center"/>
              <w:rPr>
                <w:color w:val="FFFFFF" w:themeColor="background1"/>
                <w:sz w:val="20"/>
                <w:szCs w:val="20"/>
              </w:rPr>
            </w:pPr>
            <w:r w:rsidRPr="00687FD1">
              <w:rPr>
                <w:color w:val="FFFFFF" w:themeColor="background1"/>
                <w:sz w:val="20"/>
                <w:szCs w:val="20"/>
              </w:rPr>
              <w:t>SO</w:t>
            </w:r>
            <w:r w:rsidRPr="00687FD1">
              <w:rPr>
                <w:color w:val="FFFFFF" w:themeColor="background1"/>
                <w:sz w:val="20"/>
                <w:szCs w:val="20"/>
                <w:vertAlign w:val="subscript"/>
              </w:rPr>
              <w:t>2</w:t>
            </w:r>
            <w:r w:rsidRPr="00687FD1">
              <w:rPr>
                <w:color w:val="FFFFFF" w:themeColor="background1"/>
                <w:sz w:val="20"/>
                <w:szCs w:val="20"/>
              </w:rPr>
              <w:t>, NO</w:t>
            </w:r>
            <w:r w:rsidRPr="00687FD1">
              <w:rPr>
                <w:color w:val="FFFFFF" w:themeColor="background1"/>
                <w:sz w:val="20"/>
                <w:szCs w:val="20"/>
                <w:vertAlign w:val="subscript"/>
              </w:rPr>
              <w:t>2</w:t>
            </w:r>
            <w:r w:rsidRPr="00687FD1">
              <w:rPr>
                <w:color w:val="FFFFFF" w:themeColor="background1"/>
                <w:sz w:val="20"/>
                <w:szCs w:val="20"/>
              </w:rPr>
              <w:t>, Black Smoke/</w:t>
            </w:r>
          </w:p>
          <w:p w:rsidR="004E28FB" w:rsidRPr="00687FD1" w:rsidRDefault="004E28FB" w:rsidP="005B6270">
            <w:pPr>
              <w:keepNext/>
              <w:keepLines/>
              <w:jc w:val="center"/>
              <w:rPr>
                <w:color w:val="FFFFFF" w:themeColor="background1"/>
                <w:sz w:val="20"/>
                <w:szCs w:val="20"/>
              </w:rPr>
            </w:pPr>
            <w:r w:rsidRPr="00687FD1">
              <w:rPr>
                <w:color w:val="FFFFFF" w:themeColor="background1"/>
                <w:sz w:val="20"/>
                <w:szCs w:val="20"/>
              </w:rPr>
              <w:t>PM</w:t>
            </w:r>
            <w:r w:rsidRPr="00687FD1">
              <w:rPr>
                <w:color w:val="FFFFFF" w:themeColor="background1"/>
                <w:sz w:val="20"/>
                <w:szCs w:val="20"/>
                <w:vertAlign w:val="subscript"/>
              </w:rPr>
              <w:t>10</w:t>
            </w:r>
            <w:r w:rsidRPr="00687FD1">
              <w:rPr>
                <w:color w:val="FFFFFF" w:themeColor="background1"/>
                <w:sz w:val="20"/>
                <w:szCs w:val="20"/>
              </w:rPr>
              <w:t xml:space="preserve">, TSP, </w:t>
            </w:r>
            <w:proofErr w:type="spellStart"/>
            <w:r w:rsidRPr="00687FD1">
              <w:rPr>
                <w:color w:val="FFFFFF" w:themeColor="background1"/>
                <w:sz w:val="20"/>
                <w:szCs w:val="20"/>
              </w:rPr>
              <w:t>Pb</w:t>
            </w:r>
            <w:proofErr w:type="spellEnd"/>
            <w:r w:rsidRPr="00687FD1">
              <w:rPr>
                <w:color w:val="FFFFFF" w:themeColor="background1"/>
                <w:sz w:val="20"/>
                <w:szCs w:val="20"/>
              </w:rPr>
              <w:t>, O</w:t>
            </w:r>
            <w:r w:rsidRPr="00687FD1">
              <w:rPr>
                <w:color w:val="FFFFFF" w:themeColor="background1"/>
                <w:sz w:val="20"/>
                <w:szCs w:val="20"/>
                <w:vertAlign w:val="subscript"/>
              </w:rPr>
              <w:t>3</w:t>
            </w:r>
          </w:p>
        </w:tc>
        <w:tc>
          <w:tcPr>
            <w:tcW w:w="1141" w:type="dxa"/>
            <w:shd w:val="clear" w:color="auto" w:fill="1F497D" w:themeFill="text2"/>
            <w:vAlign w:val="center"/>
          </w:tcPr>
          <w:p w:rsidR="004E28FB" w:rsidRPr="00687FD1" w:rsidRDefault="004E28FB" w:rsidP="005B6270">
            <w:pPr>
              <w:keepNext/>
              <w:keepLines/>
              <w:jc w:val="center"/>
              <w:rPr>
                <w:color w:val="FFFFFF" w:themeColor="background1"/>
                <w:sz w:val="20"/>
                <w:szCs w:val="20"/>
              </w:rPr>
            </w:pPr>
            <w:r w:rsidRPr="00687FD1">
              <w:rPr>
                <w:color w:val="FFFFFF" w:themeColor="background1"/>
                <w:sz w:val="20"/>
                <w:szCs w:val="20"/>
              </w:rPr>
              <w:t>CO, Heavy</w:t>
            </w:r>
            <w:r w:rsidR="00687FD1">
              <w:rPr>
                <w:color w:val="FFFFFF" w:themeColor="background1"/>
                <w:sz w:val="20"/>
                <w:szCs w:val="20"/>
              </w:rPr>
              <w:t xml:space="preserve"> </w:t>
            </w:r>
            <w:r w:rsidRPr="00687FD1">
              <w:rPr>
                <w:color w:val="FFFFFF" w:themeColor="background1"/>
                <w:sz w:val="20"/>
                <w:szCs w:val="20"/>
              </w:rPr>
              <w:t>Metals</w:t>
            </w:r>
          </w:p>
        </w:tc>
        <w:tc>
          <w:tcPr>
            <w:tcW w:w="1120" w:type="dxa"/>
            <w:shd w:val="clear" w:color="auto" w:fill="1F497D" w:themeFill="text2"/>
            <w:vAlign w:val="center"/>
          </w:tcPr>
          <w:p w:rsidR="004E28FB" w:rsidRPr="00687FD1" w:rsidRDefault="004E28FB" w:rsidP="005B6270">
            <w:pPr>
              <w:keepNext/>
              <w:keepLines/>
              <w:jc w:val="center"/>
              <w:rPr>
                <w:color w:val="FFFFFF" w:themeColor="background1"/>
                <w:sz w:val="20"/>
                <w:szCs w:val="20"/>
              </w:rPr>
            </w:pPr>
            <w:r w:rsidRPr="00687FD1">
              <w:rPr>
                <w:color w:val="FFFFFF" w:themeColor="background1"/>
                <w:sz w:val="20"/>
                <w:szCs w:val="20"/>
              </w:rPr>
              <w:t>Benzene, VOC, H</w:t>
            </w:r>
            <w:r w:rsidRPr="00687FD1">
              <w:rPr>
                <w:color w:val="FFFFFF" w:themeColor="background1"/>
                <w:sz w:val="20"/>
                <w:szCs w:val="20"/>
                <w:vertAlign w:val="subscript"/>
              </w:rPr>
              <w:t>2</w:t>
            </w:r>
            <w:r w:rsidRPr="00687FD1">
              <w:rPr>
                <w:color w:val="FFFFFF" w:themeColor="background1"/>
                <w:sz w:val="20"/>
                <w:szCs w:val="20"/>
              </w:rPr>
              <w:t>S</w:t>
            </w:r>
          </w:p>
        </w:tc>
        <w:tc>
          <w:tcPr>
            <w:tcW w:w="992" w:type="dxa"/>
            <w:shd w:val="clear" w:color="auto" w:fill="1F497D" w:themeFill="text2"/>
            <w:vAlign w:val="center"/>
          </w:tcPr>
          <w:p w:rsidR="004E28FB" w:rsidRPr="00687FD1" w:rsidRDefault="004E28FB" w:rsidP="005B6270">
            <w:pPr>
              <w:keepNext/>
              <w:keepLines/>
              <w:jc w:val="center"/>
              <w:rPr>
                <w:color w:val="FFFFFF" w:themeColor="background1"/>
                <w:sz w:val="20"/>
                <w:szCs w:val="20"/>
              </w:rPr>
            </w:pPr>
            <w:r w:rsidRPr="00687FD1">
              <w:rPr>
                <w:color w:val="FFFFFF" w:themeColor="background1"/>
                <w:sz w:val="20"/>
                <w:szCs w:val="20"/>
              </w:rPr>
              <w:t>SO</w:t>
            </w:r>
            <w:r w:rsidRPr="00687FD1">
              <w:rPr>
                <w:color w:val="FFFFFF" w:themeColor="background1"/>
                <w:sz w:val="20"/>
                <w:szCs w:val="20"/>
                <w:vertAlign w:val="subscript"/>
              </w:rPr>
              <w:t>2</w:t>
            </w:r>
            <w:r w:rsidRPr="00687FD1">
              <w:rPr>
                <w:color w:val="FFFFFF" w:themeColor="background1"/>
                <w:sz w:val="20"/>
                <w:szCs w:val="20"/>
              </w:rPr>
              <w:t xml:space="preserve"> +</w:t>
            </w:r>
          </w:p>
        </w:tc>
        <w:tc>
          <w:tcPr>
            <w:tcW w:w="1311" w:type="dxa"/>
            <w:shd w:val="clear" w:color="auto" w:fill="1F497D" w:themeFill="text2"/>
            <w:vAlign w:val="center"/>
          </w:tcPr>
          <w:p w:rsidR="004E28FB" w:rsidRPr="00687FD1" w:rsidRDefault="004E28FB" w:rsidP="005B6270">
            <w:pPr>
              <w:keepNext/>
              <w:keepLines/>
              <w:jc w:val="center"/>
              <w:rPr>
                <w:color w:val="FFFFFF" w:themeColor="background1"/>
                <w:sz w:val="20"/>
                <w:szCs w:val="20"/>
              </w:rPr>
            </w:pPr>
            <w:r w:rsidRPr="00687FD1">
              <w:rPr>
                <w:color w:val="FFFFFF" w:themeColor="background1"/>
                <w:sz w:val="20"/>
                <w:szCs w:val="20"/>
              </w:rPr>
              <w:t>Deposition</w:t>
            </w:r>
          </w:p>
        </w:tc>
        <w:tc>
          <w:tcPr>
            <w:tcW w:w="957" w:type="dxa"/>
            <w:shd w:val="clear" w:color="auto" w:fill="1F497D" w:themeFill="text2"/>
            <w:vAlign w:val="center"/>
          </w:tcPr>
          <w:p w:rsidR="004E28FB" w:rsidRPr="00687FD1" w:rsidRDefault="004E28FB" w:rsidP="005B6270">
            <w:pPr>
              <w:keepNext/>
              <w:keepLines/>
              <w:jc w:val="center"/>
              <w:rPr>
                <w:color w:val="FFFFFF" w:themeColor="background1"/>
                <w:sz w:val="20"/>
                <w:szCs w:val="20"/>
              </w:rPr>
            </w:pPr>
            <w:r w:rsidRPr="00687FD1">
              <w:rPr>
                <w:color w:val="FFFFFF" w:themeColor="background1"/>
                <w:sz w:val="20"/>
                <w:szCs w:val="20"/>
              </w:rPr>
              <w:t>O</w:t>
            </w:r>
            <w:r w:rsidRPr="00687FD1">
              <w:rPr>
                <w:color w:val="FFFFFF" w:themeColor="background1"/>
                <w:sz w:val="20"/>
                <w:szCs w:val="20"/>
                <w:vertAlign w:val="subscript"/>
              </w:rPr>
              <w:t>3</w:t>
            </w:r>
          </w:p>
        </w:tc>
        <w:tc>
          <w:tcPr>
            <w:tcW w:w="1326" w:type="dxa"/>
            <w:shd w:val="clear" w:color="auto" w:fill="1F497D" w:themeFill="text2"/>
            <w:vAlign w:val="center"/>
          </w:tcPr>
          <w:p w:rsidR="004E28FB" w:rsidRPr="00687FD1" w:rsidRDefault="004E28FB" w:rsidP="005B6270">
            <w:pPr>
              <w:keepNext/>
              <w:keepLines/>
              <w:jc w:val="center"/>
              <w:rPr>
                <w:color w:val="FFFFFF" w:themeColor="background1"/>
                <w:sz w:val="20"/>
                <w:szCs w:val="20"/>
              </w:rPr>
            </w:pPr>
            <w:r w:rsidRPr="00687FD1">
              <w:rPr>
                <w:color w:val="FFFFFF" w:themeColor="background1"/>
                <w:sz w:val="20"/>
                <w:szCs w:val="20"/>
              </w:rPr>
              <w:t>O</w:t>
            </w:r>
            <w:r w:rsidRPr="00687FD1">
              <w:rPr>
                <w:color w:val="FFFFFF" w:themeColor="background1"/>
                <w:sz w:val="20"/>
                <w:szCs w:val="20"/>
                <w:vertAlign w:val="subscript"/>
              </w:rPr>
              <w:t>3</w:t>
            </w:r>
            <w:r w:rsidR="00687FD1">
              <w:rPr>
                <w:color w:val="FFFFFF" w:themeColor="background1"/>
                <w:sz w:val="20"/>
                <w:szCs w:val="20"/>
              </w:rPr>
              <w:t xml:space="preserve"> </w:t>
            </w:r>
            <w:proofErr w:type="spellStart"/>
            <w:r w:rsidRPr="00687FD1">
              <w:rPr>
                <w:color w:val="FFFFFF" w:themeColor="background1"/>
                <w:sz w:val="20"/>
                <w:szCs w:val="20"/>
              </w:rPr>
              <w:t>Precusors</w:t>
            </w:r>
            <w:proofErr w:type="spellEnd"/>
          </w:p>
        </w:tc>
      </w:tr>
      <w:tr w:rsidR="00687FD1" w:rsidRPr="00687FD1" w:rsidTr="00687FD1">
        <w:trPr>
          <w:trHeight w:val="284"/>
        </w:trPr>
        <w:tc>
          <w:tcPr>
            <w:tcW w:w="1668" w:type="dxa"/>
            <w:vAlign w:val="center"/>
          </w:tcPr>
          <w:p w:rsidR="00687FD1" w:rsidRPr="00687FD1" w:rsidRDefault="00687FD1" w:rsidP="005B6270">
            <w:pPr>
              <w:keepNext/>
              <w:keepLines/>
              <w:jc w:val="left"/>
              <w:rPr>
                <w:sz w:val="20"/>
                <w:szCs w:val="20"/>
              </w:rPr>
            </w:pPr>
            <w:r w:rsidRPr="00687FD1">
              <w:rPr>
                <w:sz w:val="20"/>
                <w:szCs w:val="20"/>
              </w:rPr>
              <w:t>Austria</w:t>
            </w:r>
          </w:p>
        </w:tc>
        <w:tc>
          <w:tcPr>
            <w:tcW w:w="1141" w:type="dxa"/>
            <w:vAlign w:val="center"/>
          </w:tcPr>
          <w:p w:rsidR="00687FD1" w:rsidRPr="00687FD1" w:rsidRDefault="00687FD1" w:rsidP="005B6270">
            <w:pPr>
              <w:keepNext/>
              <w:keepLines/>
              <w:jc w:val="left"/>
              <w:rPr>
                <w:b w:val="0"/>
                <w:sz w:val="20"/>
                <w:szCs w:val="20"/>
              </w:rPr>
            </w:pPr>
            <w:r w:rsidRPr="00687FD1">
              <w:rPr>
                <w:b w:val="0"/>
                <w:sz w:val="20"/>
                <w:szCs w:val="20"/>
              </w:rPr>
              <w:t>x</w:t>
            </w:r>
          </w:p>
        </w:tc>
        <w:tc>
          <w:tcPr>
            <w:tcW w:w="1141" w:type="dxa"/>
            <w:vAlign w:val="center"/>
          </w:tcPr>
          <w:p w:rsidR="00687FD1" w:rsidRPr="00687FD1" w:rsidRDefault="00687FD1" w:rsidP="005B6270">
            <w:pPr>
              <w:keepNext/>
              <w:keepLines/>
              <w:jc w:val="left"/>
              <w:rPr>
                <w:b w:val="0"/>
                <w:sz w:val="20"/>
                <w:szCs w:val="20"/>
              </w:rPr>
            </w:pPr>
            <w:r w:rsidRPr="00687FD1">
              <w:rPr>
                <w:b w:val="0"/>
                <w:sz w:val="20"/>
                <w:szCs w:val="20"/>
              </w:rPr>
              <w:t>CO</w:t>
            </w:r>
          </w:p>
        </w:tc>
        <w:tc>
          <w:tcPr>
            <w:tcW w:w="1120" w:type="dxa"/>
            <w:vAlign w:val="center"/>
          </w:tcPr>
          <w:p w:rsidR="00687FD1" w:rsidRPr="00687FD1" w:rsidRDefault="00687FD1" w:rsidP="005B6270">
            <w:pPr>
              <w:keepNext/>
              <w:keepLines/>
              <w:jc w:val="left"/>
              <w:rPr>
                <w:b w:val="0"/>
                <w:sz w:val="20"/>
                <w:szCs w:val="20"/>
              </w:rPr>
            </w:pPr>
            <w:r w:rsidRPr="00687FD1">
              <w:rPr>
                <w:b w:val="0"/>
                <w:sz w:val="20"/>
                <w:szCs w:val="20"/>
              </w:rPr>
              <w:t>VOC, H</w:t>
            </w:r>
            <w:r w:rsidRPr="00687FD1">
              <w:rPr>
                <w:b w:val="0"/>
                <w:sz w:val="20"/>
                <w:szCs w:val="20"/>
                <w:vertAlign w:val="subscript"/>
              </w:rPr>
              <w:t>2</w:t>
            </w:r>
            <w:r w:rsidRPr="00687FD1">
              <w:rPr>
                <w:b w:val="0"/>
                <w:sz w:val="20"/>
                <w:szCs w:val="20"/>
              </w:rPr>
              <w:t>S</w:t>
            </w:r>
          </w:p>
        </w:tc>
        <w:tc>
          <w:tcPr>
            <w:tcW w:w="992" w:type="dxa"/>
            <w:vAlign w:val="center"/>
          </w:tcPr>
          <w:p w:rsidR="00687FD1" w:rsidRPr="00687FD1" w:rsidRDefault="00687FD1" w:rsidP="005B6270">
            <w:pPr>
              <w:keepNext/>
              <w:keepLines/>
              <w:jc w:val="left"/>
              <w:rPr>
                <w:b w:val="0"/>
                <w:sz w:val="20"/>
                <w:szCs w:val="20"/>
              </w:rPr>
            </w:pPr>
            <w:r w:rsidRPr="00687FD1">
              <w:rPr>
                <w:b w:val="0"/>
                <w:sz w:val="20"/>
                <w:szCs w:val="20"/>
              </w:rPr>
              <w:t>x</w:t>
            </w:r>
          </w:p>
        </w:tc>
        <w:tc>
          <w:tcPr>
            <w:tcW w:w="1311" w:type="dxa"/>
            <w:vAlign w:val="center"/>
          </w:tcPr>
          <w:p w:rsidR="00687FD1" w:rsidRDefault="00687FD1" w:rsidP="005B6270">
            <w:pPr>
              <w:keepNext/>
              <w:keepLines/>
              <w:jc w:val="left"/>
            </w:pPr>
            <w:r w:rsidRPr="00C07A76">
              <w:rPr>
                <w:b w:val="0"/>
                <w:sz w:val="20"/>
                <w:szCs w:val="20"/>
              </w:rPr>
              <w:t>x</w:t>
            </w:r>
          </w:p>
        </w:tc>
        <w:tc>
          <w:tcPr>
            <w:tcW w:w="957" w:type="dxa"/>
            <w:vAlign w:val="center"/>
          </w:tcPr>
          <w:p w:rsidR="00687FD1" w:rsidRPr="00687FD1" w:rsidRDefault="00687FD1" w:rsidP="005B6270">
            <w:pPr>
              <w:keepNext/>
              <w:keepLines/>
              <w:jc w:val="left"/>
              <w:rPr>
                <w:b w:val="0"/>
                <w:sz w:val="20"/>
                <w:szCs w:val="20"/>
              </w:rPr>
            </w:pPr>
            <w:r w:rsidRPr="00687FD1">
              <w:rPr>
                <w:b w:val="0"/>
                <w:sz w:val="20"/>
                <w:szCs w:val="20"/>
              </w:rPr>
              <w:t>x</w:t>
            </w:r>
          </w:p>
        </w:tc>
        <w:tc>
          <w:tcPr>
            <w:tcW w:w="1326" w:type="dxa"/>
            <w:vAlign w:val="center"/>
          </w:tcPr>
          <w:p w:rsidR="00687FD1" w:rsidRPr="00687FD1" w:rsidRDefault="00687FD1" w:rsidP="005B6270">
            <w:pPr>
              <w:keepNext/>
              <w:keepLines/>
              <w:jc w:val="left"/>
              <w:rPr>
                <w:b w:val="0"/>
                <w:sz w:val="20"/>
                <w:szCs w:val="20"/>
              </w:rPr>
            </w:pPr>
            <w:r w:rsidRPr="00687FD1">
              <w:rPr>
                <w:b w:val="0"/>
                <w:sz w:val="20"/>
                <w:szCs w:val="20"/>
              </w:rPr>
              <w:t>x</w:t>
            </w:r>
          </w:p>
        </w:tc>
      </w:tr>
      <w:tr w:rsidR="00687FD1" w:rsidRPr="00687FD1" w:rsidTr="00687FD1">
        <w:trPr>
          <w:trHeight w:val="284"/>
        </w:trPr>
        <w:tc>
          <w:tcPr>
            <w:tcW w:w="1668" w:type="dxa"/>
            <w:vAlign w:val="center"/>
          </w:tcPr>
          <w:p w:rsidR="00687FD1" w:rsidRPr="00687FD1" w:rsidRDefault="00687FD1" w:rsidP="00687FD1">
            <w:pPr>
              <w:jc w:val="left"/>
              <w:rPr>
                <w:sz w:val="20"/>
                <w:szCs w:val="20"/>
              </w:rPr>
            </w:pPr>
            <w:r w:rsidRPr="00687FD1">
              <w:rPr>
                <w:sz w:val="20"/>
                <w:szCs w:val="20"/>
              </w:rPr>
              <w:t>Belgium</w:t>
            </w:r>
          </w:p>
        </w:tc>
        <w:tc>
          <w:tcPr>
            <w:tcW w:w="1141" w:type="dxa"/>
            <w:vAlign w:val="center"/>
          </w:tcPr>
          <w:p w:rsidR="00687FD1" w:rsidRPr="00687FD1" w:rsidRDefault="00687FD1" w:rsidP="00687FD1">
            <w:pPr>
              <w:jc w:val="left"/>
              <w:rPr>
                <w:b w:val="0"/>
                <w:sz w:val="20"/>
                <w:szCs w:val="20"/>
              </w:rPr>
            </w:pPr>
            <w:r w:rsidRPr="00687FD1">
              <w:rPr>
                <w:b w:val="0"/>
                <w:sz w:val="20"/>
                <w:szCs w:val="20"/>
              </w:rPr>
              <w:t>x</w:t>
            </w:r>
          </w:p>
        </w:tc>
        <w:tc>
          <w:tcPr>
            <w:tcW w:w="1141" w:type="dxa"/>
            <w:vAlign w:val="center"/>
          </w:tcPr>
          <w:p w:rsidR="00687FD1" w:rsidRPr="00687FD1" w:rsidRDefault="00687FD1" w:rsidP="00687FD1">
            <w:pPr>
              <w:jc w:val="left"/>
              <w:rPr>
                <w:b w:val="0"/>
                <w:sz w:val="20"/>
                <w:szCs w:val="20"/>
              </w:rPr>
            </w:pPr>
            <w:r w:rsidRPr="00687FD1">
              <w:rPr>
                <w:b w:val="0"/>
                <w:sz w:val="20"/>
                <w:szCs w:val="20"/>
              </w:rPr>
              <w:t>CO</w:t>
            </w:r>
          </w:p>
        </w:tc>
        <w:tc>
          <w:tcPr>
            <w:tcW w:w="1120" w:type="dxa"/>
            <w:vAlign w:val="center"/>
          </w:tcPr>
          <w:p w:rsidR="00687FD1" w:rsidRPr="00687FD1" w:rsidRDefault="00687FD1" w:rsidP="00687FD1">
            <w:pPr>
              <w:jc w:val="left"/>
              <w:rPr>
                <w:b w:val="0"/>
                <w:sz w:val="20"/>
                <w:szCs w:val="20"/>
              </w:rPr>
            </w:pPr>
            <w:r w:rsidRPr="00687FD1">
              <w:rPr>
                <w:b w:val="0"/>
                <w:sz w:val="20"/>
                <w:szCs w:val="20"/>
              </w:rPr>
              <w:t>VOC</w:t>
            </w: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vAlign w:val="center"/>
          </w:tcPr>
          <w:p w:rsidR="00687FD1" w:rsidRDefault="00687FD1" w:rsidP="00687FD1">
            <w:pPr>
              <w:jc w:val="left"/>
            </w:pPr>
            <w:r w:rsidRPr="00C07A76">
              <w:rPr>
                <w:b w:val="0"/>
                <w:sz w:val="20"/>
                <w:szCs w:val="20"/>
              </w:rPr>
              <w:t>x</w:t>
            </w:r>
          </w:p>
        </w:tc>
        <w:tc>
          <w:tcPr>
            <w:tcW w:w="957" w:type="dxa"/>
            <w:vAlign w:val="center"/>
          </w:tcPr>
          <w:p w:rsidR="00687FD1" w:rsidRPr="00687FD1" w:rsidRDefault="00687FD1" w:rsidP="00687FD1">
            <w:pPr>
              <w:jc w:val="left"/>
              <w:rPr>
                <w:b w:val="0"/>
                <w:sz w:val="20"/>
                <w:szCs w:val="20"/>
              </w:rPr>
            </w:pPr>
            <w:r w:rsidRPr="00687FD1">
              <w:rPr>
                <w:b w:val="0"/>
                <w:sz w:val="20"/>
                <w:szCs w:val="20"/>
              </w:rPr>
              <w:t>x</w:t>
            </w:r>
          </w:p>
        </w:tc>
        <w:tc>
          <w:tcPr>
            <w:tcW w:w="1326" w:type="dxa"/>
            <w:vAlign w:val="center"/>
          </w:tcPr>
          <w:p w:rsidR="00687FD1" w:rsidRPr="00687FD1" w:rsidRDefault="00687FD1" w:rsidP="00687FD1">
            <w:pPr>
              <w:jc w:val="left"/>
              <w:rPr>
                <w:b w:val="0"/>
                <w:sz w:val="20"/>
                <w:szCs w:val="20"/>
              </w:rPr>
            </w:pPr>
          </w:p>
        </w:tc>
      </w:tr>
      <w:tr w:rsidR="00687FD1" w:rsidRPr="00687FD1" w:rsidTr="00687FD1">
        <w:trPr>
          <w:trHeight w:val="284"/>
        </w:trPr>
        <w:tc>
          <w:tcPr>
            <w:tcW w:w="1668" w:type="dxa"/>
            <w:shd w:val="clear" w:color="auto" w:fill="FFFFFF" w:themeFill="background1"/>
            <w:vAlign w:val="center"/>
          </w:tcPr>
          <w:p w:rsidR="00687FD1" w:rsidRPr="00687FD1" w:rsidRDefault="00687FD1" w:rsidP="00687FD1">
            <w:pPr>
              <w:jc w:val="left"/>
              <w:rPr>
                <w:sz w:val="20"/>
                <w:szCs w:val="20"/>
              </w:rPr>
            </w:pPr>
            <w:r w:rsidRPr="00687FD1">
              <w:rPr>
                <w:sz w:val="20"/>
                <w:szCs w:val="20"/>
              </w:rPr>
              <w:t>Denmark</w:t>
            </w:r>
          </w:p>
        </w:tc>
        <w:tc>
          <w:tcPr>
            <w:tcW w:w="1141" w:type="dxa"/>
            <w:shd w:val="clear" w:color="auto" w:fill="FFFFFF" w:themeFill="background1"/>
            <w:vAlign w:val="center"/>
          </w:tcPr>
          <w:p w:rsidR="00687FD1" w:rsidRPr="00687FD1" w:rsidRDefault="00687FD1" w:rsidP="00687FD1">
            <w:pPr>
              <w:jc w:val="left"/>
              <w:rPr>
                <w:b w:val="0"/>
                <w:sz w:val="20"/>
                <w:szCs w:val="20"/>
              </w:rPr>
            </w:pPr>
            <w:r w:rsidRPr="00687FD1">
              <w:rPr>
                <w:b w:val="0"/>
                <w:sz w:val="20"/>
                <w:szCs w:val="20"/>
              </w:rPr>
              <w:t>x</w:t>
            </w:r>
          </w:p>
        </w:tc>
        <w:tc>
          <w:tcPr>
            <w:tcW w:w="1141" w:type="dxa"/>
            <w:shd w:val="clear" w:color="auto" w:fill="FFFFFF" w:themeFill="background1"/>
            <w:vAlign w:val="center"/>
          </w:tcPr>
          <w:p w:rsidR="00687FD1" w:rsidRPr="00687FD1" w:rsidRDefault="00687FD1" w:rsidP="00687FD1">
            <w:pPr>
              <w:jc w:val="left"/>
              <w:rPr>
                <w:b w:val="0"/>
                <w:sz w:val="20"/>
                <w:szCs w:val="20"/>
              </w:rPr>
            </w:pPr>
            <w:r w:rsidRPr="00687FD1">
              <w:rPr>
                <w:b w:val="0"/>
                <w:sz w:val="20"/>
                <w:szCs w:val="20"/>
              </w:rPr>
              <w:t>CO, Heavy Metals</w:t>
            </w:r>
          </w:p>
        </w:tc>
        <w:tc>
          <w:tcPr>
            <w:tcW w:w="1120" w:type="dxa"/>
            <w:shd w:val="clear" w:color="auto" w:fill="FFFFFF" w:themeFill="background1"/>
            <w:vAlign w:val="center"/>
          </w:tcPr>
          <w:p w:rsidR="00687FD1" w:rsidRPr="00687FD1" w:rsidRDefault="00687FD1" w:rsidP="00687FD1">
            <w:pPr>
              <w:jc w:val="left"/>
              <w:rPr>
                <w:b w:val="0"/>
                <w:sz w:val="20"/>
                <w:szCs w:val="20"/>
              </w:rPr>
            </w:pPr>
          </w:p>
        </w:tc>
        <w:tc>
          <w:tcPr>
            <w:tcW w:w="992" w:type="dxa"/>
            <w:shd w:val="clear" w:color="auto" w:fill="FFFFFF" w:themeFill="background1"/>
            <w:vAlign w:val="center"/>
          </w:tcPr>
          <w:p w:rsidR="00687FD1" w:rsidRPr="00687FD1" w:rsidRDefault="00687FD1" w:rsidP="00687FD1">
            <w:pPr>
              <w:jc w:val="left"/>
              <w:rPr>
                <w:b w:val="0"/>
                <w:sz w:val="20"/>
                <w:szCs w:val="20"/>
              </w:rPr>
            </w:pPr>
            <w:r w:rsidRPr="00687FD1">
              <w:rPr>
                <w:b w:val="0"/>
                <w:sz w:val="20"/>
                <w:szCs w:val="20"/>
              </w:rPr>
              <w:t>x</w:t>
            </w:r>
          </w:p>
        </w:tc>
        <w:tc>
          <w:tcPr>
            <w:tcW w:w="1311" w:type="dxa"/>
            <w:shd w:val="clear" w:color="auto" w:fill="FFFFFF" w:themeFill="background1"/>
            <w:vAlign w:val="center"/>
          </w:tcPr>
          <w:p w:rsidR="00687FD1" w:rsidRDefault="00687FD1" w:rsidP="00687FD1">
            <w:pPr>
              <w:jc w:val="left"/>
            </w:pPr>
            <w:r w:rsidRPr="00C07A76">
              <w:rPr>
                <w:b w:val="0"/>
                <w:sz w:val="20"/>
                <w:szCs w:val="20"/>
              </w:rPr>
              <w:t>x</w:t>
            </w:r>
          </w:p>
        </w:tc>
        <w:tc>
          <w:tcPr>
            <w:tcW w:w="957" w:type="dxa"/>
            <w:shd w:val="clear" w:color="auto" w:fill="FFFFFF" w:themeFill="background1"/>
            <w:vAlign w:val="center"/>
          </w:tcPr>
          <w:p w:rsidR="00687FD1" w:rsidRPr="00687FD1" w:rsidRDefault="00687FD1" w:rsidP="00687FD1">
            <w:pPr>
              <w:jc w:val="left"/>
              <w:rPr>
                <w:b w:val="0"/>
                <w:sz w:val="20"/>
                <w:szCs w:val="20"/>
              </w:rPr>
            </w:pPr>
            <w:r w:rsidRPr="00687FD1">
              <w:rPr>
                <w:b w:val="0"/>
                <w:sz w:val="20"/>
                <w:szCs w:val="20"/>
              </w:rPr>
              <w:t>x</w:t>
            </w:r>
          </w:p>
        </w:tc>
        <w:tc>
          <w:tcPr>
            <w:tcW w:w="1326" w:type="dxa"/>
            <w:shd w:val="clear" w:color="auto" w:fill="FFFFFF" w:themeFill="background1"/>
            <w:vAlign w:val="center"/>
          </w:tcPr>
          <w:p w:rsidR="00687FD1" w:rsidRPr="00687FD1" w:rsidRDefault="00687FD1" w:rsidP="00687FD1">
            <w:pPr>
              <w:jc w:val="left"/>
              <w:rPr>
                <w:b w:val="0"/>
                <w:sz w:val="20"/>
                <w:szCs w:val="20"/>
              </w:rPr>
            </w:pPr>
          </w:p>
        </w:tc>
      </w:tr>
      <w:tr w:rsidR="00687FD1" w:rsidRPr="00687FD1" w:rsidTr="00687FD1">
        <w:trPr>
          <w:trHeight w:val="284"/>
        </w:trPr>
        <w:tc>
          <w:tcPr>
            <w:tcW w:w="1668" w:type="dxa"/>
            <w:vAlign w:val="center"/>
          </w:tcPr>
          <w:p w:rsidR="00687FD1" w:rsidRPr="00687FD1" w:rsidRDefault="00687FD1" w:rsidP="00687FD1">
            <w:pPr>
              <w:jc w:val="left"/>
              <w:rPr>
                <w:sz w:val="20"/>
                <w:szCs w:val="20"/>
              </w:rPr>
            </w:pPr>
            <w:r w:rsidRPr="00687FD1">
              <w:rPr>
                <w:sz w:val="20"/>
                <w:szCs w:val="20"/>
              </w:rPr>
              <w:t>Finland</w:t>
            </w:r>
          </w:p>
        </w:tc>
        <w:tc>
          <w:tcPr>
            <w:tcW w:w="1141" w:type="dxa"/>
            <w:vAlign w:val="center"/>
          </w:tcPr>
          <w:p w:rsidR="00687FD1" w:rsidRPr="00687FD1" w:rsidRDefault="00687FD1" w:rsidP="00687FD1">
            <w:pPr>
              <w:jc w:val="left"/>
              <w:rPr>
                <w:b w:val="0"/>
                <w:sz w:val="20"/>
                <w:szCs w:val="20"/>
              </w:rPr>
            </w:pPr>
            <w:r w:rsidRPr="00687FD1">
              <w:rPr>
                <w:b w:val="0"/>
                <w:sz w:val="20"/>
                <w:szCs w:val="20"/>
              </w:rPr>
              <w:t>x</w:t>
            </w:r>
          </w:p>
        </w:tc>
        <w:tc>
          <w:tcPr>
            <w:tcW w:w="1141" w:type="dxa"/>
            <w:vAlign w:val="center"/>
          </w:tcPr>
          <w:p w:rsidR="00687FD1" w:rsidRPr="00687FD1" w:rsidRDefault="00687FD1" w:rsidP="00687FD1">
            <w:pPr>
              <w:jc w:val="left"/>
              <w:rPr>
                <w:b w:val="0"/>
                <w:sz w:val="20"/>
                <w:szCs w:val="20"/>
              </w:rPr>
            </w:pPr>
            <w:r w:rsidRPr="00687FD1">
              <w:rPr>
                <w:b w:val="0"/>
                <w:sz w:val="20"/>
                <w:szCs w:val="20"/>
              </w:rPr>
              <w:t>CO, Metals</w:t>
            </w:r>
          </w:p>
        </w:tc>
        <w:tc>
          <w:tcPr>
            <w:tcW w:w="1120" w:type="dxa"/>
            <w:vAlign w:val="center"/>
          </w:tcPr>
          <w:p w:rsidR="00687FD1" w:rsidRPr="00687FD1" w:rsidRDefault="00687FD1" w:rsidP="00687FD1">
            <w:pPr>
              <w:jc w:val="left"/>
              <w:rPr>
                <w:b w:val="0"/>
                <w:sz w:val="20"/>
                <w:szCs w:val="20"/>
              </w:rPr>
            </w:pP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vAlign w:val="center"/>
          </w:tcPr>
          <w:p w:rsidR="00687FD1" w:rsidRDefault="00687FD1" w:rsidP="00687FD1">
            <w:pPr>
              <w:jc w:val="left"/>
            </w:pPr>
            <w:r w:rsidRPr="00C07A76">
              <w:rPr>
                <w:b w:val="0"/>
                <w:sz w:val="20"/>
                <w:szCs w:val="20"/>
              </w:rPr>
              <w:t>x</w:t>
            </w:r>
          </w:p>
        </w:tc>
        <w:tc>
          <w:tcPr>
            <w:tcW w:w="957" w:type="dxa"/>
            <w:vAlign w:val="center"/>
          </w:tcPr>
          <w:p w:rsidR="00687FD1" w:rsidRPr="00687FD1" w:rsidRDefault="00687FD1" w:rsidP="00687FD1">
            <w:pPr>
              <w:jc w:val="left"/>
              <w:rPr>
                <w:b w:val="0"/>
                <w:sz w:val="20"/>
                <w:szCs w:val="20"/>
              </w:rPr>
            </w:pPr>
            <w:r w:rsidRPr="00687FD1">
              <w:rPr>
                <w:b w:val="0"/>
                <w:sz w:val="20"/>
                <w:szCs w:val="20"/>
              </w:rPr>
              <w:t>x</w:t>
            </w:r>
          </w:p>
        </w:tc>
        <w:tc>
          <w:tcPr>
            <w:tcW w:w="1326" w:type="dxa"/>
            <w:vAlign w:val="center"/>
          </w:tcPr>
          <w:p w:rsidR="00687FD1" w:rsidRPr="00687FD1" w:rsidRDefault="00687FD1" w:rsidP="00687FD1">
            <w:pPr>
              <w:jc w:val="left"/>
              <w:rPr>
                <w:b w:val="0"/>
                <w:sz w:val="20"/>
                <w:szCs w:val="20"/>
              </w:rPr>
            </w:pPr>
          </w:p>
        </w:tc>
      </w:tr>
      <w:tr w:rsidR="00687FD1" w:rsidRPr="00687FD1" w:rsidTr="00687FD1">
        <w:trPr>
          <w:trHeight w:val="284"/>
        </w:trPr>
        <w:tc>
          <w:tcPr>
            <w:tcW w:w="1668" w:type="dxa"/>
            <w:vAlign w:val="center"/>
          </w:tcPr>
          <w:p w:rsidR="00687FD1" w:rsidRPr="00687FD1" w:rsidRDefault="00687FD1" w:rsidP="00687FD1">
            <w:pPr>
              <w:jc w:val="left"/>
              <w:rPr>
                <w:sz w:val="20"/>
                <w:szCs w:val="20"/>
              </w:rPr>
            </w:pPr>
            <w:r w:rsidRPr="00687FD1">
              <w:rPr>
                <w:sz w:val="20"/>
                <w:szCs w:val="20"/>
              </w:rPr>
              <w:t>France</w:t>
            </w:r>
          </w:p>
        </w:tc>
        <w:tc>
          <w:tcPr>
            <w:tcW w:w="1141" w:type="dxa"/>
            <w:vAlign w:val="center"/>
          </w:tcPr>
          <w:p w:rsidR="00687FD1" w:rsidRPr="00687FD1" w:rsidRDefault="00687FD1" w:rsidP="00687FD1">
            <w:pPr>
              <w:jc w:val="left"/>
              <w:rPr>
                <w:b w:val="0"/>
                <w:sz w:val="20"/>
                <w:szCs w:val="20"/>
              </w:rPr>
            </w:pPr>
            <w:r w:rsidRPr="00687FD1">
              <w:rPr>
                <w:b w:val="0"/>
                <w:sz w:val="20"/>
                <w:szCs w:val="20"/>
              </w:rPr>
              <w:t>x</w:t>
            </w:r>
          </w:p>
        </w:tc>
        <w:tc>
          <w:tcPr>
            <w:tcW w:w="1141" w:type="dxa"/>
            <w:vAlign w:val="center"/>
          </w:tcPr>
          <w:p w:rsidR="00687FD1" w:rsidRPr="00687FD1" w:rsidRDefault="00687FD1" w:rsidP="00687FD1">
            <w:pPr>
              <w:jc w:val="left"/>
              <w:rPr>
                <w:b w:val="0"/>
                <w:sz w:val="20"/>
                <w:szCs w:val="20"/>
              </w:rPr>
            </w:pPr>
            <w:r w:rsidRPr="00687FD1">
              <w:rPr>
                <w:b w:val="0"/>
                <w:sz w:val="20"/>
                <w:szCs w:val="20"/>
              </w:rPr>
              <w:t>CO</w:t>
            </w:r>
          </w:p>
        </w:tc>
        <w:tc>
          <w:tcPr>
            <w:tcW w:w="1120" w:type="dxa"/>
            <w:vAlign w:val="center"/>
          </w:tcPr>
          <w:p w:rsidR="00687FD1" w:rsidRPr="00687FD1" w:rsidRDefault="00687FD1" w:rsidP="00687FD1">
            <w:pPr>
              <w:jc w:val="left"/>
              <w:rPr>
                <w:b w:val="0"/>
                <w:sz w:val="20"/>
                <w:szCs w:val="20"/>
              </w:rPr>
            </w:pPr>
            <w:r w:rsidRPr="00687FD1">
              <w:rPr>
                <w:b w:val="0"/>
                <w:sz w:val="20"/>
                <w:szCs w:val="20"/>
              </w:rPr>
              <w:t>VOC</w:t>
            </w: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vAlign w:val="center"/>
          </w:tcPr>
          <w:p w:rsidR="00687FD1" w:rsidRDefault="00687FD1" w:rsidP="00687FD1">
            <w:pPr>
              <w:jc w:val="left"/>
            </w:pPr>
            <w:r w:rsidRPr="00C07A76">
              <w:rPr>
                <w:b w:val="0"/>
                <w:sz w:val="20"/>
                <w:szCs w:val="20"/>
              </w:rPr>
              <w:t>x</w:t>
            </w:r>
          </w:p>
        </w:tc>
        <w:tc>
          <w:tcPr>
            <w:tcW w:w="957" w:type="dxa"/>
            <w:vAlign w:val="center"/>
          </w:tcPr>
          <w:p w:rsidR="00687FD1" w:rsidRPr="00687FD1" w:rsidRDefault="00687FD1" w:rsidP="00687FD1">
            <w:pPr>
              <w:jc w:val="left"/>
              <w:rPr>
                <w:b w:val="0"/>
                <w:sz w:val="20"/>
                <w:szCs w:val="20"/>
              </w:rPr>
            </w:pPr>
            <w:r w:rsidRPr="00687FD1">
              <w:rPr>
                <w:b w:val="0"/>
                <w:sz w:val="20"/>
                <w:szCs w:val="20"/>
              </w:rPr>
              <w:t>x</w:t>
            </w:r>
          </w:p>
        </w:tc>
        <w:tc>
          <w:tcPr>
            <w:tcW w:w="1326" w:type="dxa"/>
            <w:vAlign w:val="center"/>
          </w:tcPr>
          <w:p w:rsidR="00687FD1" w:rsidRPr="00687FD1" w:rsidRDefault="00687FD1" w:rsidP="00687FD1">
            <w:pPr>
              <w:jc w:val="left"/>
              <w:rPr>
                <w:b w:val="0"/>
                <w:sz w:val="20"/>
                <w:szCs w:val="20"/>
              </w:rPr>
            </w:pPr>
            <w:r w:rsidRPr="00687FD1">
              <w:rPr>
                <w:b w:val="0"/>
                <w:sz w:val="20"/>
                <w:szCs w:val="20"/>
              </w:rPr>
              <w:t>x</w:t>
            </w:r>
          </w:p>
        </w:tc>
      </w:tr>
      <w:tr w:rsidR="00687FD1" w:rsidRPr="00687FD1" w:rsidTr="00687FD1">
        <w:trPr>
          <w:trHeight w:val="284"/>
        </w:trPr>
        <w:tc>
          <w:tcPr>
            <w:tcW w:w="1668" w:type="dxa"/>
            <w:vAlign w:val="center"/>
          </w:tcPr>
          <w:p w:rsidR="00687FD1" w:rsidRPr="00687FD1" w:rsidRDefault="00687FD1" w:rsidP="00687FD1">
            <w:pPr>
              <w:jc w:val="left"/>
              <w:rPr>
                <w:sz w:val="20"/>
                <w:szCs w:val="20"/>
              </w:rPr>
            </w:pPr>
            <w:r w:rsidRPr="00687FD1">
              <w:rPr>
                <w:sz w:val="20"/>
                <w:szCs w:val="20"/>
              </w:rPr>
              <w:t>Germany</w:t>
            </w:r>
          </w:p>
        </w:tc>
        <w:tc>
          <w:tcPr>
            <w:tcW w:w="1141" w:type="dxa"/>
            <w:vAlign w:val="center"/>
          </w:tcPr>
          <w:p w:rsidR="00687FD1" w:rsidRPr="00687FD1" w:rsidRDefault="00687FD1" w:rsidP="00687FD1">
            <w:pPr>
              <w:jc w:val="left"/>
              <w:rPr>
                <w:b w:val="0"/>
                <w:sz w:val="20"/>
                <w:szCs w:val="20"/>
              </w:rPr>
            </w:pPr>
            <w:r w:rsidRPr="00687FD1">
              <w:rPr>
                <w:b w:val="0"/>
                <w:sz w:val="20"/>
                <w:szCs w:val="20"/>
              </w:rPr>
              <w:t>x</w:t>
            </w:r>
          </w:p>
        </w:tc>
        <w:tc>
          <w:tcPr>
            <w:tcW w:w="1141" w:type="dxa"/>
            <w:vAlign w:val="center"/>
          </w:tcPr>
          <w:p w:rsidR="00687FD1" w:rsidRPr="00687FD1" w:rsidRDefault="00687FD1" w:rsidP="00687FD1">
            <w:pPr>
              <w:jc w:val="left"/>
              <w:rPr>
                <w:b w:val="0"/>
                <w:sz w:val="20"/>
                <w:szCs w:val="20"/>
              </w:rPr>
            </w:pPr>
            <w:r w:rsidRPr="00687FD1">
              <w:rPr>
                <w:b w:val="0"/>
                <w:sz w:val="20"/>
                <w:szCs w:val="20"/>
              </w:rPr>
              <w:t>CO</w:t>
            </w:r>
          </w:p>
        </w:tc>
        <w:tc>
          <w:tcPr>
            <w:tcW w:w="1120" w:type="dxa"/>
            <w:vAlign w:val="center"/>
          </w:tcPr>
          <w:p w:rsidR="00687FD1" w:rsidRPr="00687FD1" w:rsidRDefault="00687FD1" w:rsidP="00687FD1">
            <w:pPr>
              <w:jc w:val="left"/>
              <w:rPr>
                <w:b w:val="0"/>
                <w:sz w:val="20"/>
                <w:szCs w:val="20"/>
              </w:rPr>
            </w:pPr>
            <w:r w:rsidRPr="00687FD1">
              <w:rPr>
                <w:b w:val="0"/>
                <w:sz w:val="20"/>
                <w:szCs w:val="20"/>
              </w:rPr>
              <w:t>VOC</w:t>
            </w: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vAlign w:val="center"/>
          </w:tcPr>
          <w:p w:rsidR="00687FD1" w:rsidRDefault="00687FD1" w:rsidP="00687FD1">
            <w:pPr>
              <w:jc w:val="left"/>
            </w:pPr>
            <w:r w:rsidRPr="00C07A76">
              <w:rPr>
                <w:b w:val="0"/>
                <w:sz w:val="20"/>
                <w:szCs w:val="20"/>
              </w:rPr>
              <w:t>x</w:t>
            </w:r>
          </w:p>
        </w:tc>
        <w:tc>
          <w:tcPr>
            <w:tcW w:w="957" w:type="dxa"/>
            <w:vAlign w:val="center"/>
          </w:tcPr>
          <w:p w:rsidR="00687FD1" w:rsidRPr="00687FD1" w:rsidRDefault="00687FD1" w:rsidP="00687FD1">
            <w:pPr>
              <w:jc w:val="left"/>
              <w:rPr>
                <w:b w:val="0"/>
                <w:sz w:val="20"/>
                <w:szCs w:val="20"/>
              </w:rPr>
            </w:pPr>
            <w:r w:rsidRPr="00687FD1">
              <w:rPr>
                <w:b w:val="0"/>
                <w:sz w:val="20"/>
                <w:szCs w:val="20"/>
              </w:rPr>
              <w:t>x</w:t>
            </w:r>
          </w:p>
        </w:tc>
        <w:tc>
          <w:tcPr>
            <w:tcW w:w="1326" w:type="dxa"/>
            <w:vAlign w:val="center"/>
          </w:tcPr>
          <w:p w:rsidR="00687FD1" w:rsidRPr="00687FD1" w:rsidRDefault="00687FD1" w:rsidP="00687FD1">
            <w:pPr>
              <w:jc w:val="left"/>
              <w:rPr>
                <w:b w:val="0"/>
                <w:sz w:val="20"/>
                <w:szCs w:val="20"/>
              </w:rPr>
            </w:pPr>
            <w:r w:rsidRPr="00687FD1">
              <w:rPr>
                <w:b w:val="0"/>
                <w:sz w:val="20"/>
                <w:szCs w:val="20"/>
              </w:rPr>
              <w:t>x</w:t>
            </w:r>
          </w:p>
        </w:tc>
      </w:tr>
      <w:tr w:rsidR="00687FD1" w:rsidRPr="00687FD1" w:rsidTr="00687FD1">
        <w:trPr>
          <w:trHeight w:val="284"/>
        </w:trPr>
        <w:tc>
          <w:tcPr>
            <w:tcW w:w="1668" w:type="dxa"/>
            <w:vAlign w:val="center"/>
          </w:tcPr>
          <w:p w:rsidR="00687FD1" w:rsidRPr="00687FD1" w:rsidRDefault="00687FD1" w:rsidP="00687FD1">
            <w:pPr>
              <w:jc w:val="left"/>
              <w:rPr>
                <w:sz w:val="20"/>
                <w:szCs w:val="20"/>
              </w:rPr>
            </w:pPr>
            <w:r w:rsidRPr="00687FD1">
              <w:rPr>
                <w:sz w:val="20"/>
                <w:szCs w:val="20"/>
              </w:rPr>
              <w:t>Greece</w:t>
            </w:r>
          </w:p>
        </w:tc>
        <w:tc>
          <w:tcPr>
            <w:tcW w:w="1141" w:type="dxa"/>
            <w:vAlign w:val="center"/>
          </w:tcPr>
          <w:p w:rsidR="00687FD1" w:rsidRPr="00687FD1" w:rsidRDefault="00687FD1" w:rsidP="00687FD1">
            <w:pPr>
              <w:jc w:val="left"/>
              <w:rPr>
                <w:b w:val="0"/>
                <w:sz w:val="20"/>
                <w:szCs w:val="20"/>
              </w:rPr>
            </w:pPr>
            <w:r w:rsidRPr="00687FD1">
              <w:rPr>
                <w:b w:val="0"/>
                <w:sz w:val="20"/>
                <w:szCs w:val="20"/>
              </w:rPr>
              <w:t>x</w:t>
            </w:r>
          </w:p>
        </w:tc>
        <w:tc>
          <w:tcPr>
            <w:tcW w:w="1141" w:type="dxa"/>
            <w:vAlign w:val="center"/>
          </w:tcPr>
          <w:p w:rsidR="00687FD1" w:rsidRPr="00687FD1" w:rsidRDefault="00687FD1" w:rsidP="00687FD1">
            <w:pPr>
              <w:jc w:val="left"/>
              <w:rPr>
                <w:b w:val="0"/>
                <w:sz w:val="20"/>
                <w:szCs w:val="20"/>
              </w:rPr>
            </w:pPr>
            <w:r w:rsidRPr="00687FD1">
              <w:rPr>
                <w:b w:val="0"/>
                <w:sz w:val="20"/>
                <w:szCs w:val="20"/>
              </w:rPr>
              <w:t>CO</w:t>
            </w:r>
          </w:p>
        </w:tc>
        <w:tc>
          <w:tcPr>
            <w:tcW w:w="1120" w:type="dxa"/>
            <w:vAlign w:val="center"/>
          </w:tcPr>
          <w:p w:rsidR="00687FD1" w:rsidRPr="00687FD1" w:rsidRDefault="00687FD1" w:rsidP="00687FD1">
            <w:pPr>
              <w:jc w:val="left"/>
              <w:rPr>
                <w:b w:val="0"/>
                <w:sz w:val="20"/>
                <w:szCs w:val="20"/>
              </w:rPr>
            </w:pP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vAlign w:val="center"/>
          </w:tcPr>
          <w:p w:rsidR="00687FD1" w:rsidRDefault="00687FD1" w:rsidP="00687FD1">
            <w:pPr>
              <w:jc w:val="left"/>
            </w:pPr>
            <w:r w:rsidRPr="00C07A76">
              <w:rPr>
                <w:b w:val="0"/>
                <w:sz w:val="20"/>
                <w:szCs w:val="20"/>
              </w:rPr>
              <w:t>x</w:t>
            </w:r>
          </w:p>
        </w:tc>
        <w:tc>
          <w:tcPr>
            <w:tcW w:w="957" w:type="dxa"/>
            <w:vAlign w:val="center"/>
          </w:tcPr>
          <w:p w:rsidR="00687FD1" w:rsidRPr="00687FD1" w:rsidRDefault="00687FD1" w:rsidP="00687FD1">
            <w:pPr>
              <w:jc w:val="left"/>
              <w:rPr>
                <w:b w:val="0"/>
                <w:sz w:val="20"/>
                <w:szCs w:val="20"/>
              </w:rPr>
            </w:pPr>
          </w:p>
        </w:tc>
        <w:tc>
          <w:tcPr>
            <w:tcW w:w="1326" w:type="dxa"/>
            <w:vAlign w:val="center"/>
          </w:tcPr>
          <w:p w:rsidR="00687FD1" w:rsidRPr="00687FD1" w:rsidRDefault="00687FD1" w:rsidP="00687FD1">
            <w:pPr>
              <w:jc w:val="left"/>
              <w:rPr>
                <w:b w:val="0"/>
                <w:sz w:val="20"/>
                <w:szCs w:val="20"/>
              </w:rPr>
            </w:pPr>
          </w:p>
        </w:tc>
      </w:tr>
      <w:tr w:rsidR="00687FD1" w:rsidRPr="00687FD1" w:rsidTr="00687FD1">
        <w:trPr>
          <w:trHeight w:val="284"/>
        </w:trPr>
        <w:tc>
          <w:tcPr>
            <w:tcW w:w="1668" w:type="dxa"/>
            <w:vAlign w:val="center"/>
          </w:tcPr>
          <w:p w:rsidR="00687FD1" w:rsidRPr="00687FD1" w:rsidRDefault="00687FD1" w:rsidP="00687FD1">
            <w:pPr>
              <w:jc w:val="left"/>
              <w:rPr>
                <w:sz w:val="20"/>
                <w:szCs w:val="20"/>
              </w:rPr>
            </w:pPr>
            <w:r w:rsidRPr="00687FD1">
              <w:rPr>
                <w:sz w:val="20"/>
                <w:szCs w:val="20"/>
              </w:rPr>
              <w:t>Ireland</w:t>
            </w:r>
          </w:p>
        </w:tc>
        <w:tc>
          <w:tcPr>
            <w:tcW w:w="1141" w:type="dxa"/>
            <w:vAlign w:val="center"/>
          </w:tcPr>
          <w:p w:rsidR="00687FD1" w:rsidRPr="00687FD1" w:rsidRDefault="00687FD1" w:rsidP="00687FD1">
            <w:pPr>
              <w:jc w:val="left"/>
              <w:rPr>
                <w:b w:val="0"/>
                <w:sz w:val="20"/>
                <w:szCs w:val="20"/>
              </w:rPr>
            </w:pPr>
            <w:r w:rsidRPr="00687FD1">
              <w:rPr>
                <w:b w:val="0"/>
                <w:sz w:val="20"/>
                <w:szCs w:val="20"/>
              </w:rPr>
              <w:t>x</w:t>
            </w:r>
          </w:p>
        </w:tc>
        <w:tc>
          <w:tcPr>
            <w:tcW w:w="1141" w:type="dxa"/>
            <w:vAlign w:val="center"/>
          </w:tcPr>
          <w:p w:rsidR="00687FD1" w:rsidRPr="00687FD1" w:rsidRDefault="00687FD1" w:rsidP="00687FD1">
            <w:pPr>
              <w:jc w:val="left"/>
              <w:rPr>
                <w:b w:val="0"/>
                <w:sz w:val="20"/>
                <w:szCs w:val="20"/>
              </w:rPr>
            </w:pPr>
          </w:p>
        </w:tc>
        <w:tc>
          <w:tcPr>
            <w:tcW w:w="1120" w:type="dxa"/>
            <w:vAlign w:val="center"/>
          </w:tcPr>
          <w:p w:rsidR="00687FD1" w:rsidRPr="00687FD1" w:rsidRDefault="00687FD1" w:rsidP="00687FD1">
            <w:pPr>
              <w:jc w:val="left"/>
              <w:rPr>
                <w:b w:val="0"/>
                <w:sz w:val="20"/>
                <w:szCs w:val="20"/>
              </w:rPr>
            </w:pP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vAlign w:val="center"/>
          </w:tcPr>
          <w:p w:rsidR="00687FD1" w:rsidRDefault="00687FD1" w:rsidP="00687FD1">
            <w:pPr>
              <w:jc w:val="left"/>
            </w:pPr>
            <w:r w:rsidRPr="00C07A76">
              <w:rPr>
                <w:b w:val="0"/>
                <w:sz w:val="20"/>
                <w:szCs w:val="20"/>
              </w:rPr>
              <w:t>x</w:t>
            </w:r>
          </w:p>
        </w:tc>
        <w:tc>
          <w:tcPr>
            <w:tcW w:w="957" w:type="dxa"/>
            <w:vAlign w:val="center"/>
          </w:tcPr>
          <w:p w:rsidR="00687FD1" w:rsidRPr="00687FD1" w:rsidRDefault="00687FD1" w:rsidP="00687FD1">
            <w:pPr>
              <w:jc w:val="left"/>
              <w:rPr>
                <w:b w:val="0"/>
                <w:sz w:val="20"/>
                <w:szCs w:val="20"/>
              </w:rPr>
            </w:pPr>
            <w:r w:rsidRPr="00687FD1">
              <w:rPr>
                <w:b w:val="0"/>
                <w:sz w:val="20"/>
                <w:szCs w:val="20"/>
              </w:rPr>
              <w:t>x</w:t>
            </w:r>
          </w:p>
        </w:tc>
        <w:tc>
          <w:tcPr>
            <w:tcW w:w="1326" w:type="dxa"/>
            <w:vAlign w:val="center"/>
          </w:tcPr>
          <w:p w:rsidR="00687FD1" w:rsidRPr="00687FD1" w:rsidRDefault="00687FD1" w:rsidP="00687FD1">
            <w:pPr>
              <w:jc w:val="left"/>
              <w:rPr>
                <w:b w:val="0"/>
                <w:sz w:val="20"/>
                <w:szCs w:val="20"/>
              </w:rPr>
            </w:pPr>
          </w:p>
        </w:tc>
      </w:tr>
      <w:tr w:rsidR="00687FD1" w:rsidRPr="00687FD1" w:rsidTr="00687FD1">
        <w:trPr>
          <w:trHeight w:val="284"/>
        </w:trPr>
        <w:tc>
          <w:tcPr>
            <w:tcW w:w="1668" w:type="dxa"/>
            <w:vAlign w:val="center"/>
          </w:tcPr>
          <w:p w:rsidR="00687FD1" w:rsidRPr="00687FD1" w:rsidRDefault="00687FD1" w:rsidP="00687FD1">
            <w:pPr>
              <w:jc w:val="left"/>
              <w:rPr>
                <w:sz w:val="20"/>
                <w:szCs w:val="20"/>
              </w:rPr>
            </w:pPr>
            <w:r w:rsidRPr="00687FD1">
              <w:rPr>
                <w:sz w:val="20"/>
                <w:szCs w:val="20"/>
              </w:rPr>
              <w:t>Italy</w:t>
            </w:r>
          </w:p>
        </w:tc>
        <w:tc>
          <w:tcPr>
            <w:tcW w:w="1141" w:type="dxa"/>
            <w:vAlign w:val="center"/>
          </w:tcPr>
          <w:p w:rsidR="00687FD1" w:rsidRPr="00687FD1" w:rsidRDefault="00687FD1" w:rsidP="00687FD1">
            <w:pPr>
              <w:jc w:val="left"/>
              <w:rPr>
                <w:b w:val="0"/>
                <w:sz w:val="20"/>
                <w:szCs w:val="20"/>
              </w:rPr>
            </w:pPr>
            <w:r w:rsidRPr="00687FD1">
              <w:rPr>
                <w:b w:val="0"/>
                <w:sz w:val="20"/>
                <w:szCs w:val="20"/>
              </w:rPr>
              <w:t>x</w:t>
            </w:r>
          </w:p>
        </w:tc>
        <w:tc>
          <w:tcPr>
            <w:tcW w:w="1141" w:type="dxa"/>
            <w:vAlign w:val="center"/>
          </w:tcPr>
          <w:p w:rsidR="00687FD1" w:rsidRPr="00687FD1" w:rsidRDefault="00687FD1" w:rsidP="00687FD1">
            <w:pPr>
              <w:jc w:val="left"/>
              <w:rPr>
                <w:b w:val="0"/>
                <w:sz w:val="20"/>
                <w:szCs w:val="20"/>
              </w:rPr>
            </w:pPr>
          </w:p>
        </w:tc>
        <w:tc>
          <w:tcPr>
            <w:tcW w:w="1120" w:type="dxa"/>
            <w:vAlign w:val="center"/>
          </w:tcPr>
          <w:p w:rsidR="00687FD1" w:rsidRPr="00687FD1" w:rsidRDefault="00687FD1" w:rsidP="00687FD1">
            <w:pPr>
              <w:jc w:val="left"/>
              <w:rPr>
                <w:b w:val="0"/>
                <w:sz w:val="20"/>
                <w:szCs w:val="20"/>
              </w:rPr>
            </w:pP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vAlign w:val="center"/>
          </w:tcPr>
          <w:p w:rsidR="00687FD1" w:rsidRDefault="00687FD1" w:rsidP="00687FD1">
            <w:pPr>
              <w:jc w:val="left"/>
            </w:pPr>
            <w:r w:rsidRPr="00C07A76">
              <w:rPr>
                <w:b w:val="0"/>
                <w:sz w:val="20"/>
                <w:szCs w:val="20"/>
              </w:rPr>
              <w:t>x</w:t>
            </w:r>
          </w:p>
        </w:tc>
        <w:tc>
          <w:tcPr>
            <w:tcW w:w="957" w:type="dxa"/>
            <w:vAlign w:val="center"/>
          </w:tcPr>
          <w:p w:rsidR="00687FD1" w:rsidRPr="00687FD1" w:rsidRDefault="00687FD1" w:rsidP="00687FD1">
            <w:pPr>
              <w:jc w:val="left"/>
              <w:rPr>
                <w:b w:val="0"/>
                <w:sz w:val="20"/>
                <w:szCs w:val="20"/>
              </w:rPr>
            </w:pPr>
            <w:r w:rsidRPr="00687FD1">
              <w:rPr>
                <w:b w:val="0"/>
                <w:sz w:val="20"/>
                <w:szCs w:val="20"/>
              </w:rPr>
              <w:t>x</w:t>
            </w:r>
          </w:p>
        </w:tc>
        <w:tc>
          <w:tcPr>
            <w:tcW w:w="1326" w:type="dxa"/>
            <w:vAlign w:val="center"/>
          </w:tcPr>
          <w:p w:rsidR="00687FD1" w:rsidRPr="00687FD1" w:rsidRDefault="00687FD1" w:rsidP="00687FD1">
            <w:pPr>
              <w:jc w:val="left"/>
              <w:rPr>
                <w:b w:val="0"/>
                <w:sz w:val="20"/>
                <w:szCs w:val="20"/>
              </w:rPr>
            </w:pPr>
          </w:p>
        </w:tc>
      </w:tr>
      <w:tr w:rsidR="00687FD1" w:rsidRPr="00687FD1" w:rsidTr="00687FD1">
        <w:trPr>
          <w:trHeight w:val="284"/>
        </w:trPr>
        <w:tc>
          <w:tcPr>
            <w:tcW w:w="1668" w:type="dxa"/>
            <w:vAlign w:val="center"/>
          </w:tcPr>
          <w:p w:rsidR="00687FD1" w:rsidRPr="00687FD1" w:rsidRDefault="00687FD1" w:rsidP="00687FD1">
            <w:pPr>
              <w:jc w:val="left"/>
              <w:rPr>
                <w:sz w:val="20"/>
                <w:szCs w:val="20"/>
              </w:rPr>
            </w:pPr>
            <w:r w:rsidRPr="00687FD1">
              <w:rPr>
                <w:sz w:val="20"/>
                <w:szCs w:val="20"/>
              </w:rPr>
              <w:t>Luxembourg</w:t>
            </w:r>
          </w:p>
        </w:tc>
        <w:tc>
          <w:tcPr>
            <w:tcW w:w="1141" w:type="dxa"/>
            <w:vAlign w:val="center"/>
          </w:tcPr>
          <w:p w:rsidR="00687FD1" w:rsidRPr="00687FD1" w:rsidRDefault="00687FD1" w:rsidP="00687FD1">
            <w:pPr>
              <w:jc w:val="left"/>
              <w:rPr>
                <w:b w:val="0"/>
                <w:sz w:val="20"/>
                <w:szCs w:val="20"/>
              </w:rPr>
            </w:pPr>
            <w:r w:rsidRPr="00687FD1">
              <w:rPr>
                <w:b w:val="0"/>
                <w:sz w:val="20"/>
                <w:szCs w:val="20"/>
              </w:rPr>
              <w:t>x</w:t>
            </w:r>
          </w:p>
        </w:tc>
        <w:tc>
          <w:tcPr>
            <w:tcW w:w="1141" w:type="dxa"/>
            <w:vAlign w:val="center"/>
          </w:tcPr>
          <w:p w:rsidR="00687FD1" w:rsidRPr="00687FD1" w:rsidRDefault="00687FD1" w:rsidP="00687FD1">
            <w:pPr>
              <w:jc w:val="left"/>
              <w:rPr>
                <w:b w:val="0"/>
                <w:sz w:val="20"/>
                <w:szCs w:val="20"/>
              </w:rPr>
            </w:pPr>
            <w:r w:rsidRPr="00687FD1">
              <w:rPr>
                <w:b w:val="0"/>
                <w:sz w:val="20"/>
                <w:szCs w:val="20"/>
              </w:rPr>
              <w:t>CO, Heavy Metals</w:t>
            </w:r>
          </w:p>
        </w:tc>
        <w:tc>
          <w:tcPr>
            <w:tcW w:w="1120" w:type="dxa"/>
            <w:vAlign w:val="center"/>
          </w:tcPr>
          <w:p w:rsidR="00687FD1" w:rsidRPr="00687FD1" w:rsidRDefault="00687FD1" w:rsidP="00687FD1">
            <w:pPr>
              <w:jc w:val="left"/>
              <w:rPr>
                <w:b w:val="0"/>
                <w:sz w:val="20"/>
                <w:szCs w:val="20"/>
              </w:rPr>
            </w:pPr>
            <w:r w:rsidRPr="00687FD1">
              <w:rPr>
                <w:b w:val="0"/>
                <w:sz w:val="20"/>
                <w:szCs w:val="20"/>
              </w:rPr>
              <w:t>VOC</w:t>
            </w: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vAlign w:val="center"/>
          </w:tcPr>
          <w:p w:rsidR="00687FD1" w:rsidRDefault="00687FD1" w:rsidP="00687FD1">
            <w:pPr>
              <w:jc w:val="left"/>
            </w:pPr>
            <w:r w:rsidRPr="00C07A76">
              <w:rPr>
                <w:b w:val="0"/>
                <w:sz w:val="20"/>
                <w:szCs w:val="20"/>
              </w:rPr>
              <w:t>x</w:t>
            </w:r>
          </w:p>
        </w:tc>
        <w:tc>
          <w:tcPr>
            <w:tcW w:w="957" w:type="dxa"/>
            <w:vAlign w:val="center"/>
          </w:tcPr>
          <w:p w:rsidR="00687FD1" w:rsidRPr="00687FD1" w:rsidRDefault="00687FD1" w:rsidP="00687FD1">
            <w:pPr>
              <w:jc w:val="left"/>
              <w:rPr>
                <w:b w:val="0"/>
                <w:sz w:val="20"/>
                <w:szCs w:val="20"/>
              </w:rPr>
            </w:pPr>
            <w:r w:rsidRPr="00687FD1">
              <w:rPr>
                <w:b w:val="0"/>
                <w:sz w:val="20"/>
                <w:szCs w:val="20"/>
              </w:rPr>
              <w:t>x</w:t>
            </w:r>
          </w:p>
        </w:tc>
        <w:tc>
          <w:tcPr>
            <w:tcW w:w="1326" w:type="dxa"/>
            <w:vAlign w:val="center"/>
          </w:tcPr>
          <w:p w:rsidR="00687FD1" w:rsidRPr="00687FD1" w:rsidRDefault="00687FD1" w:rsidP="00687FD1">
            <w:pPr>
              <w:jc w:val="left"/>
              <w:rPr>
                <w:b w:val="0"/>
                <w:sz w:val="20"/>
                <w:szCs w:val="20"/>
              </w:rPr>
            </w:pPr>
            <w:r w:rsidRPr="00687FD1">
              <w:rPr>
                <w:b w:val="0"/>
                <w:sz w:val="20"/>
                <w:szCs w:val="20"/>
              </w:rPr>
              <w:t>x</w:t>
            </w:r>
          </w:p>
        </w:tc>
      </w:tr>
      <w:tr w:rsidR="00687FD1" w:rsidRPr="00687FD1" w:rsidTr="00687FD1">
        <w:trPr>
          <w:trHeight w:val="284"/>
        </w:trPr>
        <w:tc>
          <w:tcPr>
            <w:tcW w:w="1668" w:type="dxa"/>
            <w:vAlign w:val="center"/>
          </w:tcPr>
          <w:p w:rsidR="00687FD1" w:rsidRPr="00687FD1" w:rsidRDefault="00687FD1" w:rsidP="00687FD1">
            <w:pPr>
              <w:jc w:val="left"/>
              <w:rPr>
                <w:sz w:val="20"/>
                <w:szCs w:val="20"/>
              </w:rPr>
            </w:pPr>
            <w:r w:rsidRPr="00687FD1">
              <w:rPr>
                <w:sz w:val="20"/>
                <w:szCs w:val="20"/>
              </w:rPr>
              <w:t>The Netherlands</w:t>
            </w:r>
          </w:p>
        </w:tc>
        <w:tc>
          <w:tcPr>
            <w:tcW w:w="1141" w:type="dxa"/>
            <w:vAlign w:val="center"/>
          </w:tcPr>
          <w:p w:rsidR="00687FD1" w:rsidRPr="00687FD1" w:rsidRDefault="00687FD1" w:rsidP="00687FD1">
            <w:pPr>
              <w:jc w:val="left"/>
              <w:rPr>
                <w:b w:val="0"/>
                <w:sz w:val="20"/>
                <w:szCs w:val="20"/>
              </w:rPr>
            </w:pPr>
            <w:r w:rsidRPr="00687FD1">
              <w:rPr>
                <w:b w:val="0"/>
                <w:sz w:val="20"/>
                <w:szCs w:val="20"/>
              </w:rPr>
              <w:t>x</w:t>
            </w:r>
          </w:p>
        </w:tc>
        <w:tc>
          <w:tcPr>
            <w:tcW w:w="1141" w:type="dxa"/>
            <w:vAlign w:val="center"/>
          </w:tcPr>
          <w:p w:rsidR="00687FD1" w:rsidRPr="00687FD1" w:rsidRDefault="00687FD1" w:rsidP="00687FD1">
            <w:pPr>
              <w:jc w:val="left"/>
              <w:rPr>
                <w:b w:val="0"/>
                <w:sz w:val="20"/>
                <w:szCs w:val="20"/>
              </w:rPr>
            </w:pPr>
            <w:r w:rsidRPr="00687FD1">
              <w:rPr>
                <w:b w:val="0"/>
                <w:sz w:val="20"/>
                <w:szCs w:val="20"/>
              </w:rPr>
              <w:t>CO, Heavy Metals</w:t>
            </w:r>
          </w:p>
        </w:tc>
        <w:tc>
          <w:tcPr>
            <w:tcW w:w="1120" w:type="dxa"/>
            <w:vAlign w:val="center"/>
          </w:tcPr>
          <w:p w:rsidR="00687FD1" w:rsidRPr="00687FD1" w:rsidRDefault="00687FD1" w:rsidP="00687FD1">
            <w:pPr>
              <w:jc w:val="left"/>
              <w:rPr>
                <w:b w:val="0"/>
                <w:sz w:val="20"/>
                <w:szCs w:val="20"/>
              </w:rPr>
            </w:pPr>
            <w:r w:rsidRPr="00687FD1">
              <w:rPr>
                <w:b w:val="0"/>
                <w:sz w:val="20"/>
                <w:szCs w:val="20"/>
              </w:rPr>
              <w:t>PAH</w:t>
            </w: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vAlign w:val="center"/>
          </w:tcPr>
          <w:p w:rsidR="00687FD1" w:rsidRDefault="00687FD1" w:rsidP="00687FD1">
            <w:pPr>
              <w:jc w:val="left"/>
            </w:pPr>
            <w:r w:rsidRPr="00C07A76">
              <w:rPr>
                <w:b w:val="0"/>
                <w:sz w:val="20"/>
                <w:szCs w:val="20"/>
              </w:rPr>
              <w:t>x</w:t>
            </w:r>
          </w:p>
        </w:tc>
        <w:tc>
          <w:tcPr>
            <w:tcW w:w="957" w:type="dxa"/>
            <w:vAlign w:val="center"/>
          </w:tcPr>
          <w:p w:rsidR="00687FD1" w:rsidRPr="00687FD1" w:rsidRDefault="00687FD1" w:rsidP="00687FD1">
            <w:pPr>
              <w:jc w:val="left"/>
              <w:rPr>
                <w:b w:val="0"/>
                <w:sz w:val="20"/>
                <w:szCs w:val="20"/>
              </w:rPr>
            </w:pPr>
            <w:r w:rsidRPr="00687FD1">
              <w:rPr>
                <w:b w:val="0"/>
                <w:sz w:val="20"/>
                <w:szCs w:val="20"/>
              </w:rPr>
              <w:t>x</w:t>
            </w:r>
          </w:p>
        </w:tc>
        <w:tc>
          <w:tcPr>
            <w:tcW w:w="1326" w:type="dxa"/>
            <w:vAlign w:val="center"/>
          </w:tcPr>
          <w:p w:rsidR="00687FD1" w:rsidRPr="00687FD1" w:rsidRDefault="00687FD1" w:rsidP="00687FD1">
            <w:pPr>
              <w:jc w:val="left"/>
              <w:rPr>
                <w:b w:val="0"/>
                <w:sz w:val="20"/>
                <w:szCs w:val="20"/>
              </w:rPr>
            </w:pPr>
            <w:r w:rsidRPr="00687FD1">
              <w:rPr>
                <w:b w:val="0"/>
                <w:sz w:val="20"/>
                <w:szCs w:val="20"/>
              </w:rPr>
              <w:t>x</w:t>
            </w:r>
          </w:p>
        </w:tc>
      </w:tr>
      <w:tr w:rsidR="00687FD1" w:rsidRPr="00687FD1" w:rsidTr="00687FD1">
        <w:trPr>
          <w:trHeight w:val="284"/>
        </w:trPr>
        <w:tc>
          <w:tcPr>
            <w:tcW w:w="1668" w:type="dxa"/>
            <w:vAlign w:val="center"/>
          </w:tcPr>
          <w:p w:rsidR="00687FD1" w:rsidRPr="00687FD1" w:rsidRDefault="00687FD1" w:rsidP="00687FD1">
            <w:pPr>
              <w:jc w:val="left"/>
              <w:rPr>
                <w:sz w:val="20"/>
                <w:szCs w:val="20"/>
              </w:rPr>
            </w:pPr>
            <w:r w:rsidRPr="00687FD1">
              <w:rPr>
                <w:sz w:val="20"/>
                <w:szCs w:val="20"/>
              </w:rPr>
              <w:t>Portugal</w:t>
            </w:r>
          </w:p>
        </w:tc>
        <w:tc>
          <w:tcPr>
            <w:tcW w:w="1141" w:type="dxa"/>
            <w:vAlign w:val="center"/>
          </w:tcPr>
          <w:p w:rsidR="00687FD1" w:rsidRPr="00687FD1" w:rsidRDefault="00687FD1" w:rsidP="00687FD1">
            <w:pPr>
              <w:jc w:val="left"/>
              <w:rPr>
                <w:b w:val="0"/>
                <w:sz w:val="20"/>
                <w:szCs w:val="20"/>
              </w:rPr>
            </w:pPr>
            <w:r w:rsidRPr="00687FD1">
              <w:rPr>
                <w:b w:val="0"/>
                <w:sz w:val="20"/>
                <w:szCs w:val="20"/>
              </w:rPr>
              <w:t>x (-</w:t>
            </w:r>
            <w:proofErr w:type="spellStart"/>
            <w:r w:rsidRPr="00687FD1">
              <w:rPr>
                <w:b w:val="0"/>
                <w:sz w:val="20"/>
                <w:szCs w:val="20"/>
              </w:rPr>
              <w:t>Pb</w:t>
            </w:r>
            <w:proofErr w:type="spellEnd"/>
            <w:r w:rsidRPr="00687FD1">
              <w:rPr>
                <w:b w:val="0"/>
                <w:sz w:val="20"/>
                <w:szCs w:val="20"/>
              </w:rPr>
              <w:t>)</w:t>
            </w:r>
          </w:p>
        </w:tc>
        <w:tc>
          <w:tcPr>
            <w:tcW w:w="1141" w:type="dxa"/>
            <w:vAlign w:val="center"/>
          </w:tcPr>
          <w:p w:rsidR="00687FD1" w:rsidRPr="00687FD1" w:rsidRDefault="00687FD1" w:rsidP="00687FD1">
            <w:pPr>
              <w:jc w:val="left"/>
              <w:rPr>
                <w:b w:val="0"/>
                <w:sz w:val="20"/>
                <w:szCs w:val="20"/>
              </w:rPr>
            </w:pPr>
            <w:r w:rsidRPr="00687FD1">
              <w:rPr>
                <w:b w:val="0"/>
                <w:sz w:val="20"/>
                <w:szCs w:val="20"/>
              </w:rPr>
              <w:t>CO</w:t>
            </w:r>
          </w:p>
        </w:tc>
        <w:tc>
          <w:tcPr>
            <w:tcW w:w="1120" w:type="dxa"/>
            <w:vAlign w:val="center"/>
          </w:tcPr>
          <w:p w:rsidR="00687FD1" w:rsidRPr="00687FD1" w:rsidRDefault="00687FD1" w:rsidP="00687FD1">
            <w:pPr>
              <w:jc w:val="left"/>
              <w:rPr>
                <w:b w:val="0"/>
                <w:sz w:val="20"/>
                <w:szCs w:val="20"/>
              </w:rPr>
            </w:pP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vAlign w:val="center"/>
          </w:tcPr>
          <w:p w:rsidR="00687FD1" w:rsidRDefault="00687FD1" w:rsidP="00687FD1">
            <w:pPr>
              <w:jc w:val="left"/>
            </w:pPr>
            <w:r w:rsidRPr="00C07A76">
              <w:rPr>
                <w:b w:val="0"/>
                <w:sz w:val="20"/>
                <w:szCs w:val="20"/>
              </w:rPr>
              <w:t>x</w:t>
            </w:r>
          </w:p>
        </w:tc>
        <w:tc>
          <w:tcPr>
            <w:tcW w:w="957" w:type="dxa"/>
            <w:vAlign w:val="center"/>
          </w:tcPr>
          <w:p w:rsidR="00687FD1" w:rsidRPr="00687FD1" w:rsidRDefault="00687FD1" w:rsidP="00687FD1">
            <w:pPr>
              <w:jc w:val="left"/>
              <w:rPr>
                <w:b w:val="0"/>
                <w:sz w:val="20"/>
                <w:szCs w:val="20"/>
              </w:rPr>
            </w:pPr>
            <w:r w:rsidRPr="00687FD1">
              <w:rPr>
                <w:b w:val="0"/>
                <w:sz w:val="20"/>
                <w:szCs w:val="20"/>
              </w:rPr>
              <w:t>x</w:t>
            </w:r>
          </w:p>
        </w:tc>
        <w:tc>
          <w:tcPr>
            <w:tcW w:w="1326" w:type="dxa"/>
            <w:vAlign w:val="center"/>
          </w:tcPr>
          <w:p w:rsidR="00687FD1" w:rsidRPr="00687FD1" w:rsidRDefault="00687FD1" w:rsidP="00687FD1">
            <w:pPr>
              <w:jc w:val="left"/>
              <w:rPr>
                <w:b w:val="0"/>
                <w:sz w:val="20"/>
                <w:szCs w:val="20"/>
              </w:rPr>
            </w:pPr>
          </w:p>
        </w:tc>
      </w:tr>
      <w:tr w:rsidR="00687FD1" w:rsidRPr="00687FD1" w:rsidTr="00687FD1">
        <w:trPr>
          <w:trHeight w:val="284"/>
        </w:trPr>
        <w:tc>
          <w:tcPr>
            <w:tcW w:w="1668" w:type="dxa"/>
            <w:vAlign w:val="center"/>
          </w:tcPr>
          <w:p w:rsidR="00687FD1" w:rsidRPr="00687FD1" w:rsidRDefault="00687FD1" w:rsidP="00687FD1">
            <w:pPr>
              <w:jc w:val="left"/>
              <w:rPr>
                <w:sz w:val="20"/>
                <w:szCs w:val="20"/>
              </w:rPr>
            </w:pPr>
            <w:r w:rsidRPr="00687FD1">
              <w:rPr>
                <w:sz w:val="20"/>
                <w:szCs w:val="20"/>
              </w:rPr>
              <w:t>Spain</w:t>
            </w:r>
          </w:p>
        </w:tc>
        <w:tc>
          <w:tcPr>
            <w:tcW w:w="1141" w:type="dxa"/>
            <w:vAlign w:val="center"/>
          </w:tcPr>
          <w:p w:rsidR="00687FD1" w:rsidRPr="00687FD1" w:rsidRDefault="00687FD1" w:rsidP="00687FD1">
            <w:pPr>
              <w:jc w:val="left"/>
              <w:rPr>
                <w:b w:val="0"/>
                <w:sz w:val="20"/>
                <w:szCs w:val="20"/>
              </w:rPr>
            </w:pPr>
            <w:r w:rsidRPr="00687FD1">
              <w:rPr>
                <w:b w:val="0"/>
                <w:sz w:val="20"/>
                <w:szCs w:val="20"/>
              </w:rPr>
              <w:t>x</w:t>
            </w:r>
          </w:p>
        </w:tc>
        <w:tc>
          <w:tcPr>
            <w:tcW w:w="1141" w:type="dxa"/>
            <w:vAlign w:val="center"/>
          </w:tcPr>
          <w:p w:rsidR="00687FD1" w:rsidRPr="00687FD1" w:rsidRDefault="00687FD1" w:rsidP="00687FD1">
            <w:pPr>
              <w:jc w:val="left"/>
              <w:rPr>
                <w:b w:val="0"/>
                <w:sz w:val="20"/>
                <w:szCs w:val="20"/>
              </w:rPr>
            </w:pPr>
            <w:r w:rsidRPr="00687FD1">
              <w:rPr>
                <w:b w:val="0"/>
                <w:sz w:val="20"/>
                <w:szCs w:val="20"/>
              </w:rPr>
              <w:t>CO, Heavy Metals</w:t>
            </w:r>
          </w:p>
        </w:tc>
        <w:tc>
          <w:tcPr>
            <w:tcW w:w="1120" w:type="dxa"/>
            <w:vAlign w:val="center"/>
          </w:tcPr>
          <w:p w:rsidR="00687FD1" w:rsidRPr="00687FD1" w:rsidRDefault="00687FD1" w:rsidP="00687FD1">
            <w:pPr>
              <w:jc w:val="left"/>
              <w:rPr>
                <w:b w:val="0"/>
                <w:sz w:val="20"/>
                <w:szCs w:val="20"/>
              </w:rPr>
            </w:pPr>
            <w:r w:rsidRPr="00687FD1">
              <w:rPr>
                <w:b w:val="0"/>
                <w:sz w:val="20"/>
                <w:szCs w:val="20"/>
              </w:rPr>
              <w:t>VOC, H</w:t>
            </w:r>
            <w:r w:rsidRPr="00687FD1">
              <w:rPr>
                <w:b w:val="0"/>
                <w:sz w:val="20"/>
                <w:szCs w:val="20"/>
                <w:vertAlign w:val="subscript"/>
              </w:rPr>
              <w:t>2</w:t>
            </w:r>
            <w:r w:rsidRPr="00687FD1">
              <w:rPr>
                <w:b w:val="0"/>
                <w:sz w:val="20"/>
                <w:szCs w:val="20"/>
              </w:rPr>
              <w:t>S</w:t>
            </w: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vAlign w:val="center"/>
          </w:tcPr>
          <w:p w:rsidR="00687FD1" w:rsidRDefault="00687FD1" w:rsidP="00687FD1">
            <w:pPr>
              <w:jc w:val="left"/>
            </w:pPr>
            <w:r w:rsidRPr="00C07A76">
              <w:rPr>
                <w:b w:val="0"/>
                <w:sz w:val="20"/>
                <w:szCs w:val="20"/>
              </w:rPr>
              <w:t>x</w:t>
            </w:r>
          </w:p>
        </w:tc>
        <w:tc>
          <w:tcPr>
            <w:tcW w:w="957" w:type="dxa"/>
            <w:vAlign w:val="center"/>
          </w:tcPr>
          <w:p w:rsidR="00687FD1" w:rsidRPr="00687FD1" w:rsidRDefault="00687FD1" w:rsidP="00687FD1">
            <w:pPr>
              <w:jc w:val="left"/>
              <w:rPr>
                <w:b w:val="0"/>
                <w:sz w:val="20"/>
                <w:szCs w:val="20"/>
              </w:rPr>
            </w:pPr>
            <w:r w:rsidRPr="00687FD1">
              <w:rPr>
                <w:b w:val="0"/>
                <w:sz w:val="20"/>
                <w:szCs w:val="20"/>
              </w:rPr>
              <w:t>x</w:t>
            </w:r>
          </w:p>
        </w:tc>
        <w:tc>
          <w:tcPr>
            <w:tcW w:w="1326" w:type="dxa"/>
            <w:vAlign w:val="center"/>
          </w:tcPr>
          <w:p w:rsidR="00687FD1" w:rsidRPr="00687FD1" w:rsidRDefault="00687FD1" w:rsidP="00687FD1">
            <w:pPr>
              <w:jc w:val="left"/>
              <w:rPr>
                <w:b w:val="0"/>
                <w:sz w:val="20"/>
                <w:szCs w:val="20"/>
              </w:rPr>
            </w:pPr>
          </w:p>
        </w:tc>
      </w:tr>
      <w:tr w:rsidR="00687FD1" w:rsidRPr="00687FD1" w:rsidTr="00687FD1">
        <w:trPr>
          <w:trHeight w:val="284"/>
        </w:trPr>
        <w:tc>
          <w:tcPr>
            <w:tcW w:w="1668" w:type="dxa"/>
            <w:shd w:val="clear" w:color="auto" w:fill="FFFFFF" w:themeFill="background1"/>
            <w:vAlign w:val="center"/>
          </w:tcPr>
          <w:p w:rsidR="00687FD1" w:rsidRPr="00687FD1" w:rsidRDefault="00687FD1" w:rsidP="00687FD1">
            <w:pPr>
              <w:jc w:val="left"/>
              <w:rPr>
                <w:sz w:val="20"/>
                <w:szCs w:val="20"/>
              </w:rPr>
            </w:pPr>
            <w:r w:rsidRPr="00687FD1">
              <w:rPr>
                <w:sz w:val="20"/>
                <w:szCs w:val="20"/>
              </w:rPr>
              <w:t>Sweden</w:t>
            </w:r>
          </w:p>
        </w:tc>
        <w:tc>
          <w:tcPr>
            <w:tcW w:w="1141" w:type="dxa"/>
            <w:shd w:val="clear" w:color="auto" w:fill="FFFFFF" w:themeFill="background1"/>
            <w:vAlign w:val="center"/>
          </w:tcPr>
          <w:p w:rsidR="00687FD1" w:rsidRPr="00687FD1" w:rsidRDefault="00687FD1" w:rsidP="00687FD1">
            <w:pPr>
              <w:jc w:val="left"/>
              <w:rPr>
                <w:b w:val="0"/>
                <w:sz w:val="20"/>
                <w:szCs w:val="20"/>
              </w:rPr>
            </w:pPr>
            <w:r w:rsidRPr="00687FD1">
              <w:rPr>
                <w:b w:val="0"/>
                <w:sz w:val="20"/>
                <w:szCs w:val="20"/>
              </w:rPr>
              <w:t>x</w:t>
            </w:r>
          </w:p>
        </w:tc>
        <w:tc>
          <w:tcPr>
            <w:tcW w:w="1141" w:type="dxa"/>
            <w:shd w:val="clear" w:color="auto" w:fill="FFFFFF" w:themeFill="background1"/>
            <w:vAlign w:val="center"/>
          </w:tcPr>
          <w:p w:rsidR="00687FD1" w:rsidRPr="00687FD1" w:rsidRDefault="00687FD1" w:rsidP="00687FD1">
            <w:pPr>
              <w:jc w:val="left"/>
              <w:rPr>
                <w:b w:val="0"/>
                <w:sz w:val="20"/>
                <w:szCs w:val="20"/>
              </w:rPr>
            </w:pPr>
            <w:r w:rsidRPr="00687FD1">
              <w:rPr>
                <w:b w:val="0"/>
                <w:sz w:val="20"/>
                <w:szCs w:val="20"/>
              </w:rPr>
              <w:t>Heavy Metals</w:t>
            </w:r>
          </w:p>
        </w:tc>
        <w:tc>
          <w:tcPr>
            <w:tcW w:w="1120" w:type="dxa"/>
            <w:shd w:val="clear" w:color="auto" w:fill="FFFFFF" w:themeFill="background1"/>
            <w:vAlign w:val="center"/>
          </w:tcPr>
          <w:p w:rsidR="00687FD1" w:rsidRPr="00687FD1" w:rsidRDefault="00687FD1" w:rsidP="00687FD1">
            <w:pPr>
              <w:jc w:val="left"/>
              <w:rPr>
                <w:b w:val="0"/>
                <w:sz w:val="20"/>
                <w:szCs w:val="20"/>
              </w:rPr>
            </w:pPr>
            <w:r w:rsidRPr="00687FD1">
              <w:rPr>
                <w:b w:val="0"/>
                <w:sz w:val="20"/>
                <w:szCs w:val="20"/>
              </w:rPr>
              <w:t>VOC</w:t>
            </w:r>
          </w:p>
        </w:tc>
        <w:tc>
          <w:tcPr>
            <w:tcW w:w="992" w:type="dxa"/>
            <w:shd w:val="clear" w:color="auto" w:fill="FFFFFF" w:themeFill="background1"/>
            <w:vAlign w:val="center"/>
          </w:tcPr>
          <w:p w:rsidR="00687FD1" w:rsidRPr="00687FD1" w:rsidRDefault="00687FD1" w:rsidP="00687FD1">
            <w:pPr>
              <w:jc w:val="left"/>
              <w:rPr>
                <w:b w:val="0"/>
                <w:sz w:val="20"/>
                <w:szCs w:val="20"/>
              </w:rPr>
            </w:pPr>
            <w:r w:rsidRPr="00687FD1">
              <w:rPr>
                <w:b w:val="0"/>
                <w:sz w:val="20"/>
                <w:szCs w:val="20"/>
              </w:rPr>
              <w:t>x</w:t>
            </w:r>
          </w:p>
        </w:tc>
        <w:tc>
          <w:tcPr>
            <w:tcW w:w="1311" w:type="dxa"/>
            <w:shd w:val="clear" w:color="auto" w:fill="FFFFFF" w:themeFill="background1"/>
            <w:vAlign w:val="center"/>
          </w:tcPr>
          <w:p w:rsidR="00687FD1" w:rsidRDefault="00687FD1" w:rsidP="00687FD1">
            <w:pPr>
              <w:jc w:val="left"/>
            </w:pPr>
            <w:r w:rsidRPr="00C07A76">
              <w:rPr>
                <w:b w:val="0"/>
                <w:sz w:val="20"/>
                <w:szCs w:val="20"/>
              </w:rPr>
              <w:t>x</w:t>
            </w:r>
          </w:p>
        </w:tc>
        <w:tc>
          <w:tcPr>
            <w:tcW w:w="957" w:type="dxa"/>
            <w:shd w:val="clear" w:color="auto" w:fill="FFFFFF" w:themeFill="background1"/>
            <w:vAlign w:val="center"/>
          </w:tcPr>
          <w:p w:rsidR="00687FD1" w:rsidRPr="00687FD1" w:rsidRDefault="00687FD1" w:rsidP="00687FD1">
            <w:pPr>
              <w:jc w:val="left"/>
              <w:rPr>
                <w:b w:val="0"/>
                <w:sz w:val="20"/>
                <w:szCs w:val="20"/>
              </w:rPr>
            </w:pPr>
            <w:r w:rsidRPr="00687FD1">
              <w:rPr>
                <w:b w:val="0"/>
                <w:sz w:val="20"/>
                <w:szCs w:val="20"/>
              </w:rPr>
              <w:t>x</w:t>
            </w:r>
          </w:p>
        </w:tc>
        <w:tc>
          <w:tcPr>
            <w:tcW w:w="1326" w:type="dxa"/>
            <w:shd w:val="clear" w:color="auto" w:fill="FFFFFF" w:themeFill="background1"/>
            <w:vAlign w:val="center"/>
          </w:tcPr>
          <w:p w:rsidR="00687FD1" w:rsidRDefault="00687FD1" w:rsidP="00687FD1">
            <w:pPr>
              <w:jc w:val="left"/>
            </w:pPr>
            <w:r w:rsidRPr="0087756B">
              <w:rPr>
                <w:b w:val="0"/>
                <w:sz w:val="20"/>
                <w:szCs w:val="20"/>
              </w:rPr>
              <w:t>x</w:t>
            </w:r>
          </w:p>
        </w:tc>
      </w:tr>
      <w:tr w:rsidR="00687FD1" w:rsidRPr="00687FD1" w:rsidTr="00687FD1">
        <w:trPr>
          <w:trHeight w:val="284"/>
        </w:trPr>
        <w:tc>
          <w:tcPr>
            <w:tcW w:w="1668" w:type="dxa"/>
            <w:shd w:val="clear" w:color="auto" w:fill="FFFFFF" w:themeFill="background1"/>
            <w:vAlign w:val="center"/>
          </w:tcPr>
          <w:p w:rsidR="00687FD1" w:rsidRPr="00687FD1" w:rsidRDefault="00687FD1" w:rsidP="00687FD1">
            <w:pPr>
              <w:jc w:val="left"/>
              <w:rPr>
                <w:sz w:val="20"/>
                <w:szCs w:val="20"/>
              </w:rPr>
            </w:pPr>
            <w:r w:rsidRPr="00687FD1">
              <w:rPr>
                <w:sz w:val="20"/>
                <w:szCs w:val="20"/>
              </w:rPr>
              <w:t>U.K.</w:t>
            </w:r>
          </w:p>
        </w:tc>
        <w:tc>
          <w:tcPr>
            <w:tcW w:w="1141" w:type="dxa"/>
            <w:shd w:val="clear" w:color="auto" w:fill="FFFFFF" w:themeFill="background1"/>
            <w:vAlign w:val="center"/>
          </w:tcPr>
          <w:p w:rsidR="00687FD1" w:rsidRPr="00687FD1" w:rsidRDefault="00687FD1" w:rsidP="00687FD1">
            <w:pPr>
              <w:jc w:val="left"/>
              <w:rPr>
                <w:b w:val="0"/>
                <w:sz w:val="20"/>
                <w:szCs w:val="20"/>
              </w:rPr>
            </w:pPr>
            <w:r w:rsidRPr="00687FD1">
              <w:rPr>
                <w:b w:val="0"/>
                <w:sz w:val="20"/>
                <w:szCs w:val="20"/>
              </w:rPr>
              <w:t>x</w:t>
            </w:r>
          </w:p>
        </w:tc>
        <w:tc>
          <w:tcPr>
            <w:tcW w:w="1141" w:type="dxa"/>
            <w:shd w:val="clear" w:color="auto" w:fill="FFFFFF" w:themeFill="background1"/>
            <w:vAlign w:val="center"/>
          </w:tcPr>
          <w:p w:rsidR="00687FD1" w:rsidRPr="00687FD1" w:rsidRDefault="00687FD1" w:rsidP="00687FD1">
            <w:pPr>
              <w:jc w:val="left"/>
              <w:rPr>
                <w:b w:val="0"/>
                <w:sz w:val="20"/>
                <w:szCs w:val="20"/>
              </w:rPr>
            </w:pPr>
            <w:r w:rsidRPr="00687FD1">
              <w:rPr>
                <w:b w:val="0"/>
                <w:sz w:val="20"/>
                <w:szCs w:val="20"/>
              </w:rPr>
              <w:t>CO, Heavy Metals</w:t>
            </w:r>
          </w:p>
        </w:tc>
        <w:tc>
          <w:tcPr>
            <w:tcW w:w="1120" w:type="dxa"/>
            <w:shd w:val="clear" w:color="auto" w:fill="FFFFFF" w:themeFill="background1"/>
            <w:vAlign w:val="center"/>
          </w:tcPr>
          <w:p w:rsidR="00687FD1" w:rsidRPr="00687FD1" w:rsidRDefault="00687FD1" w:rsidP="00687FD1">
            <w:pPr>
              <w:jc w:val="left"/>
              <w:rPr>
                <w:b w:val="0"/>
                <w:sz w:val="20"/>
                <w:szCs w:val="20"/>
              </w:rPr>
            </w:pPr>
            <w:r w:rsidRPr="00687FD1">
              <w:rPr>
                <w:b w:val="0"/>
                <w:sz w:val="20"/>
                <w:szCs w:val="20"/>
              </w:rPr>
              <w:t>VOC, PAH</w:t>
            </w:r>
          </w:p>
        </w:tc>
        <w:tc>
          <w:tcPr>
            <w:tcW w:w="992" w:type="dxa"/>
            <w:shd w:val="clear" w:color="auto" w:fill="FFFFFF" w:themeFill="background1"/>
            <w:vAlign w:val="center"/>
          </w:tcPr>
          <w:p w:rsidR="00687FD1" w:rsidRPr="00687FD1" w:rsidRDefault="00687FD1" w:rsidP="00687FD1">
            <w:pPr>
              <w:jc w:val="left"/>
              <w:rPr>
                <w:b w:val="0"/>
                <w:sz w:val="20"/>
                <w:szCs w:val="20"/>
              </w:rPr>
            </w:pPr>
            <w:r w:rsidRPr="00687FD1">
              <w:rPr>
                <w:b w:val="0"/>
                <w:sz w:val="20"/>
                <w:szCs w:val="20"/>
              </w:rPr>
              <w:t>x</w:t>
            </w:r>
          </w:p>
        </w:tc>
        <w:tc>
          <w:tcPr>
            <w:tcW w:w="1311" w:type="dxa"/>
            <w:shd w:val="clear" w:color="auto" w:fill="FFFFFF" w:themeFill="background1"/>
          </w:tcPr>
          <w:p w:rsidR="00687FD1" w:rsidRDefault="00687FD1">
            <w:r w:rsidRPr="00DC58F1">
              <w:rPr>
                <w:b w:val="0"/>
                <w:sz w:val="20"/>
                <w:szCs w:val="20"/>
              </w:rPr>
              <w:t>x</w:t>
            </w:r>
          </w:p>
        </w:tc>
        <w:tc>
          <w:tcPr>
            <w:tcW w:w="957" w:type="dxa"/>
            <w:shd w:val="clear" w:color="auto" w:fill="FFFFFF" w:themeFill="background1"/>
            <w:vAlign w:val="center"/>
          </w:tcPr>
          <w:p w:rsidR="00687FD1" w:rsidRPr="00687FD1" w:rsidRDefault="00687FD1" w:rsidP="00687FD1">
            <w:pPr>
              <w:jc w:val="left"/>
              <w:rPr>
                <w:b w:val="0"/>
                <w:sz w:val="20"/>
                <w:szCs w:val="20"/>
              </w:rPr>
            </w:pPr>
            <w:r w:rsidRPr="00687FD1">
              <w:rPr>
                <w:b w:val="0"/>
                <w:sz w:val="20"/>
                <w:szCs w:val="20"/>
              </w:rPr>
              <w:t>x</w:t>
            </w:r>
          </w:p>
        </w:tc>
        <w:tc>
          <w:tcPr>
            <w:tcW w:w="1326" w:type="dxa"/>
            <w:shd w:val="clear" w:color="auto" w:fill="FFFFFF" w:themeFill="background1"/>
            <w:vAlign w:val="center"/>
          </w:tcPr>
          <w:p w:rsidR="00687FD1" w:rsidRDefault="00687FD1" w:rsidP="00687FD1">
            <w:pPr>
              <w:jc w:val="left"/>
            </w:pPr>
            <w:r w:rsidRPr="0087756B">
              <w:rPr>
                <w:b w:val="0"/>
                <w:sz w:val="20"/>
                <w:szCs w:val="20"/>
              </w:rPr>
              <w:t>x</w:t>
            </w:r>
          </w:p>
        </w:tc>
      </w:tr>
      <w:tr w:rsidR="00687FD1" w:rsidRPr="00687FD1" w:rsidTr="00295731">
        <w:trPr>
          <w:trHeight w:val="284"/>
        </w:trPr>
        <w:tc>
          <w:tcPr>
            <w:tcW w:w="1668" w:type="dxa"/>
            <w:vAlign w:val="center"/>
          </w:tcPr>
          <w:p w:rsidR="00687FD1" w:rsidRPr="00687FD1" w:rsidRDefault="00687FD1" w:rsidP="00687FD1">
            <w:pPr>
              <w:jc w:val="left"/>
              <w:rPr>
                <w:sz w:val="20"/>
                <w:szCs w:val="20"/>
              </w:rPr>
            </w:pPr>
            <w:r w:rsidRPr="00687FD1">
              <w:rPr>
                <w:sz w:val="20"/>
                <w:szCs w:val="20"/>
              </w:rPr>
              <w:t>Iceland</w:t>
            </w:r>
          </w:p>
        </w:tc>
        <w:tc>
          <w:tcPr>
            <w:tcW w:w="1141" w:type="dxa"/>
            <w:vAlign w:val="center"/>
          </w:tcPr>
          <w:p w:rsidR="00687FD1" w:rsidRPr="00687FD1" w:rsidRDefault="00687FD1" w:rsidP="00687FD1">
            <w:pPr>
              <w:jc w:val="left"/>
              <w:rPr>
                <w:b w:val="0"/>
                <w:sz w:val="20"/>
                <w:szCs w:val="20"/>
              </w:rPr>
            </w:pPr>
            <w:r w:rsidRPr="00687FD1">
              <w:rPr>
                <w:b w:val="0"/>
                <w:sz w:val="20"/>
                <w:szCs w:val="20"/>
              </w:rPr>
              <w:t>x</w:t>
            </w:r>
          </w:p>
        </w:tc>
        <w:tc>
          <w:tcPr>
            <w:tcW w:w="1141" w:type="dxa"/>
            <w:vAlign w:val="center"/>
          </w:tcPr>
          <w:p w:rsidR="00687FD1" w:rsidRPr="00687FD1" w:rsidRDefault="00687FD1" w:rsidP="00687FD1">
            <w:pPr>
              <w:jc w:val="left"/>
              <w:rPr>
                <w:b w:val="0"/>
                <w:sz w:val="20"/>
                <w:szCs w:val="20"/>
              </w:rPr>
            </w:pPr>
            <w:r w:rsidRPr="00687FD1">
              <w:rPr>
                <w:b w:val="0"/>
                <w:sz w:val="20"/>
                <w:szCs w:val="20"/>
              </w:rPr>
              <w:t>CO</w:t>
            </w:r>
          </w:p>
        </w:tc>
        <w:tc>
          <w:tcPr>
            <w:tcW w:w="1120" w:type="dxa"/>
            <w:vAlign w:val="center"/>
          </w:tcPr>
          <w:p w:rsidR="00687FD1" w:rsidRPr="00687FD1" w:rsidRDefault="00687FD1" w:rsidP="00687FD1">
            <w:pPr>
              <w:jc w:val="left"/>
              <w:rPr>
                <w:b w:val="0"/>
                <w:sz w:val="20"/>
                <w:szCs w:val="20"/>
              </w:rPr>
            </w:pP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tcPr>
          <w:p w:rsidR="00687FD1" w:rsidRDefault="00687FD1">
            <w:r w:rsidRPr="00DC58F1">
              <w:rPr>
                <w:b w:val="0"/>
                <w:sz w:val="20"/>
                <w:szCs w:val="20"/>
              </w:rPr>
              <w:t>x</w:t>
            </w:r>
          </w:p>
        </w:tc>
        <w:tc>
          <w:tcPr>
            <w:tcW w:w="957" w:type="dxa"/>
            <w:vAlign w:val="center"/>
          </w:tcPr>
          <w:p w:rsidR="00687FD1" w:rsidRPr="00687FD1" w:rsidRDefault="00687FD1" w:rsidP="00687FD1">
            <w:pPr>
              <w:jc w:val="left"/>
              <w:rPr>
                <w:b w:val="0"/>
                <w:sz w:val="20"/>
                <w:szCs w:val="20"/>
              </w:rPr>
            </w:pPr>
          </w:p>
        </w:tc>
        <w:tc>
          <w:tcPr>
            <w:tcW w:w="1326" w:type="dxa"/>
            <w:vAlign w:val="center"/>
          </w:tcPr>
          <w:p w:rsidR="00687FD1" w:rsidRPr="00687FD1" w:rsidRDefault="00687FD1" w:rsidP="00687FD1">
            <w:pPr>
              <w:jc w:val="left"/>
              <w:rPr>
                <w:b w:val="0"/>
                <w:sz w:val="20"/>
                <w:szCs w:val="20"/>
              </w:rPr>
            </w:pPr>
          </w:p>
        </w:tc>
      </w:tr>
      <w:tr w:rsidR="00687FD1" w:rsidRPr="00687FD1" w:rsidTr="00295731">
        <w:trPr>
          <w:trHeight w:val="284"/>
        </w:trPr>
        <w:tc>
          <w:tcPr>
            <w:tcW w:w="1668" w:type="dxa"/>
            <w:vAlign w:val="center"/>
          </w:tcPr>
          <w:p w:rsidR="00687FD1" w:rsidRPr="00687FD1" w:rsidRDefault="00687FD1" w:rsidP="00687FD1">
            <w:pPr>
              <w:jc w:val="left"/>
              <w:rPr>
                <w:sz w:val="20"/>
                <w:szCs w:val="20"/>
              </w:rPr>
            </w:pPr>
            <w:r w:rsidRPr="00687FD1">
              <w:rPr>
                <w:sz w:val="20"/>
                <w:szCs w:val="20"/>
              </w:rPr>
              <w:lastRenderedPageBreak/>
              <w:t>Liechtenstein</w:t>
            </w:r>
          </w:p>
        </w:tc>
        <w:tc>
          <w:tcPr>
            <w:tcW w:w="1141" w:type="dxa"/>
            <w:vAlign w:val="center"/>
          </w:tcPr>
          <w:p w:rsidR="00687FD1" w:rsidRPr="00687FD1" w:rsidRDefault="00687FD1" w:rsidP="00687FD1">
            <w:pPr>
              <w:jc w:val="left"/>
              <w:rPr>
                <w:b w:val="0"/>
                <w:sz w:val="20"/>
                <w:szCs w:val="20"/>
              </w:rPr>
            </w:pPr>
            <w:r w:rsidRPr="00687FD1">
              <w:rPr>
                <w:b w:val="0"/>
                <w:sz w:val="20"/>
                <w:szCs w:val="20"/>
              </w:rPr>
              <w:t>x (-</w:t>
            </w:r>
            <w:proofErr w:type="spellStart"/>
            <w:r w:rsidRPr="00687FD1">
              <w:rPr>
                <w:b w:val="0"/>
                <w:sz w:val="20"/>
                <w:szCs w:val="20"/>
              </w:rPr>
              <w:t>Pb</w:t>
            </w:r>
            <w:proofErr w:type="spellEnd"/>
            <w:r w:rsidRPr="00687FD1">
              <w:rPr>
                <w:b w:val="0"/>
                <w:sz w:val="20"/>
                <w:szCs w:val="20"/>
              </w:rPr>
              <w:t>)</w:t>
            </w:r>
          </w:p>
        </w:tc>
        <w:tc>
          <w:tcPr>
            <w:tcW w:w="1141" w:type="dxa"/>
            <w:vAlign w:val="center"/>
          </w:tcPr>
          <w:p w:rsidR="00687FD1" w:rsidRPr="00687FD1" w:rsidRDefault="00687FD1" w:rsidP="00687FD1">
            <w:pPr>
              <w:jc w:val="left"/>
              <w:rPr>
                <w:b w:val="0"/>
                <w:sz w:val="20"/>
                <w:szCs w:val="20"/>
              </w:rPr>
            </w:pPr>
            <w:r w:rsidRPr="00687FD1">
              <w:rPr>
                <w:b w:val="0"/>
                <w:sz w:val="20"/>
                <w:szCs w:val="20"/>
              </w:rPr>
              <w:t>CO</w:t>
            </w:r>
          </w:p>
        </w:tc>
        <w:tc>
          <w:tcPr>
            <w:tcW w:w="1120" w:type="dxa"/>
            <w:vAlign w:val="center"/>
          </w:tcPr>
          <w:p w:rsidR="00687FD1" w:rsidRPr="00687FD1" w:rsidRDefault="00687FD1" w:rsidP="00687FD1">
            <w:pPr>
              <w:jc w:val="left"/>
              <w:rPr>
                <w:b w:val="0"/>
                <w:sz w:val="20"/>
                <w:szCs w:val="20"/>
              </w:rPr>
            </w:pPr>
          </w:p>
        </w:tc>
        <w:tc>
          <w:tcPr>
            <w:tcW w:w="992" w:type="dxa"/>
            <w:vAlign w:val="center"/>
          </w:tcPr>
          <w:p w:rsidR="00687FD1" w:rsidRPr="00687FD1" w:rsidRDefault="00687FD1" w:rsidP="00687FD1">
            <w:pPr>
              <w:jc w:val="left"/>
              <w:rPr>
                <w:b w:val="0"/>
                <w:sz w:val="20"/>
                <w:szCs w:val="20"/>
              </w:rPr>
            </w:pPr>
          </w:p>
        </w:tc>
        <w:tc>
          <w:tcPr>
            <w:tcW w:w="1311" w:type="dxa"/>
          </w:tcPr>
          <w:p w:rsidR="00687FD1" w:rsidRDefault="00687FD1">
            <w:r w:rsidRPr="00DC58F1">
              <w:rPr>
                <w:b w:val="0"/>
                <w:sz w:val="20"/>
                <w:szCs w:val="20"/>
              </w:rPr>
              <w:t>x</w:t>
            </w:r>
          </w:p>
        </w:tc>
        <w:tc>
          <w:tcPr>
            <w:tcW w:w="957" w:type="dxa"/>
            <w:vAlign w:val="center"/>
          </w:tcPr>
          <w:p w:rsidR="00687FD1" w:rsidRPr="00687FD1" w:rsidRDefault="00687FD1" w:rsidP="00687FD1">
            <w:pPr>
              <w:jc w:val="left"/>
              <w:rPr>
                <w:b w:val="0"/>
                <w:sz w:val="20"/>
                <w:szCs w:val="20"/>
              </w:rPr>
            </w:pPr>
          </w:p>
        </w:tc>
        <w:tc>
          <w:tcPr>
            <w:tcW w:w="1326" w:type="dxa"/>
            <w:vAlign w:val="center"/>
          </w:tcPr>
          <w:p w:rsidR="00687FD1" w:rsidRPr="00687FD1" w:rsidRDefault="00687FD1" w:rsidP="00687FD1">
            <w:pPr>
              <w:jc w:val="left"/>
              <w:rPr>
                <w:b w:val="0"/>
                <w:sz w:val="20"/>
                <w:szCs w:val="20"/>
              </w:rPr>
            </w:pPr>
          </w:p>
        </w:tc>
      </w:tr>
      <w:tr w:rsidR="00687FD1" w:rsidRPr="00687FD1" w:rsidTr="00295731">
        <w:trPr>
          <w:trHeight w:val="284"/>
        </w:trPr>
        <w:tc>
          <w:tcPr>
            <w:tcW w:w="1668" w:type="dxa"/>
            <w:vAlign w:val="center"/>
          </w:tcPr>
          <w:p w:rsidR="00687FD1" w:rsidRPr="00687FD1" w:rsidRDefault="00687FD1" w:rsidP="00687FD1">
            <w:pPr>
              <w:jc w:val="left"/>
              <w:rPr>
                <w:sz w:val="20"/>
                <w:szCs w:val="20"/>
              </w:rPr>
            </w:pPr>
            <w:r w:rsidRPr="00687FD1">
              <w:rPr>
                <w:sz w:val="20"/>
                <w:szCs w:val="20"/>
              </w:rPr>
              <w:t>Norway</w:t>
            </w:r>
          </w:p>
        </w:tc>
        <w:tc>
          <w:tcPr>
            <w:tcW w:w="1141" w:type="dxa"/>
            <w:vAlign w:val="center"/>
          </w:tcPr>
          <w:p w:rsidR="00687FD1" w:rsidRPr="00687FD1" w:rsidRDefault="00687FD1" w:rsidP="00687FD1">
            <w:pPr>
              <w:jc w:val="left"/>
              <w:rPr>
                <w:b w:val="0"/>
                <w:sz w:val="20"/>
                <w:szCs w:val="20"/>
              </w:rPr>
            </w:pPr>
            <w:r w:rsidRPr="00687FD1">
              <w:rPr>
                <w:b w:val="0"/>
                <w:sz w:val="20"/>
                <w:szCs w:val="20"/>
              </w:rPr>
              <w:t>x (-SO</w:t>
            </w:r>
            <w:r w:rsidRPr="00687FD1">
              <w:rPr>
                <w:b w:val="0"/>
                <w:sz w:val="20"/>
                <w:szCs w:val="20"/>
                <w:vertAlign w:val="subscript"/>
              </w:rPr>
              <w:t>2</w:t>
            </w:r>
            <w:r w:rsidRPr="00687FD1">
              <w:rPr>
                <w:b w:val="0"/>
                <w:sz w:val="20"/>
                <w:szCs w:val="20"/>
              </w:rPr>
              <w:t xml:space="preserve">, </w:t>
            </w:r>
            <w:proofErr w:type="spellStart"/>
            <w:r w:rsidRPr="00687FD1">
              <w:rPr>
                <w:b w:val="0"/>
                <w:sz w:val="20"/>
                <w:szCs w:val="20"/>
              </w:rPr>
              <w:t>Pb</w:t>
            </w:r>
            <w:proofErr w:type="spellEnd"/>
            <w:r w:rsidRPr="00687FD1">
              <w:rPr>
                <w:b w:val="0"/>
                <w:sz w:val="20"/>
                <w:szCs w:val="20"/>
              </w:rPr>
              <w:t>)</w:t>
            </w:r>
          </w:p>
        </w:tc>
        <w:tc>
          <w:tcPr>
            <w:tcW w:w="1141" w:type="dxa"/>
            <w:vAlign w:val="center"/>
          </w:tcPr>
          <w:p w:rsidR="00687FD1" w:rsidRPr="00687FD1" w:rsidRDefault="00687FD1" w:rsidP="00687FD1">
            <w:pPr>
              <w:jc w:val="left"/>
              <w:rPr>
                <w:b w:val="0"/>
                <w:sz w:val="20"/>
                <w:szCs w:val="20"/>
              </w:rPr>
            </w:pPr>
          </w:p>
        </w:tc>
        <w:tc>
          <w:tcPr>
            <w:tcW w:w="1120" w:type="dxa"/>
            <w:vAlign w:val="center"/>
          </w:tcPr>
          <w:p w:rsidR="00687FD1" w:rsidRPr="00687FD1" w:rsidRDefault="00687FD1" w:rsidP="00687FD1">
            <w:pPr>
              <w:jc w:val="left"/>
              <w:rPr>
                <w:b w:val="0"/>
                <w:sz w:val="20"/>
                <w:szCs w:val="20"/>
              </w:rPr>
            </w:pPr>
            <w:r w:rsidRPr="00687FD1">
              <w:rPr>
                <w:b w:val="0"/>
                <w:sz w:val="20"/>
                <w:szCs w:val="20"/>
              </w:rPr>
              <w:t>BTX</w:t>
            </w: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tcPr>
          <w:p w:rsidR="00687FD1" w:rsidRDefault="00687FD1">
            <w:r w:rsidRPr="00DC58F1">
              <w:rPr>
                <w:b w:val="0"/>
                <w:sz w:val="20"/>
                <w:szCs w:val="20"/>
              </w:rPr>
              <w:t>x</w:t>
            </w:r>
          </w:p>
        </w:tc>
        <w:tc>
          <w:tcPr>
            <w:tcW w:w="957" w:type="dxa"/>
            <w:vAlign w:val="center"/>
          </w:tcPr>
          <w:p w:rsidR="00687FD1" w:rsidRPr="00687FD1" w:rsidRDefault="00687FD1" w:rsidP="00687FD1">
            <w:pPr>
              <w:jc w:val="left"/>
              <w:rPr>
                <w:b w:val="0"/>
                <w:sz w:val="20"/>
                <w:szCs w:val="20"/>
              </w:rPr>
            </w:pPr>
            <w:r w:rsidRPr="00687FD1">
              <w:rPr>
                <w:b w:val="0"/>
                <w:sz w:val="20"/>
                <w:szCs w:val="20"/>
              </w:rPr>
              <w:t>x</w:t>
            </w:r>
          </w:p>
        </w:tc>
        <w:tc>
          <w:tcPr>
            <w:tcW w:w="1326" w:type="dxa"/>
            <w:vAlign w:val="center"/>
          </w:tcPr>
          <w:p w:rsidR="00687FD1" w:rsidRPr="00687FD1" w:rsidRDefault="00687FD1" w:rsidP="00687FD1">
            <w:pPr>
              <w:jc w:val="left"/>
              <w:rPr>
                <w:b w:val="0"/>
                <w:sz w:val="20"/>
                <w:szCs w:val="20"/>
              </w:rPr>
            </w:pPr>
          </w:p>
        </w:tc>
      </w:tr>
      <w:tr w:rsidR="00687FD1" w:rsidRPr="00687FD1" w:rsidTr="00295731">
        <w:trPr>
          <w:trHeight w:val="284"/>
        </w:trPr>
        <w:tc>
          <w:tcPr>
            <w:tcW w:w="1668" w:type="dxa"/>
            <w:vAlign w:val="center"/>
          </w:tcPr>
          <w:p w:rsidR="00687FD1" w:rsidRPr="00687FD1" w:rsidRDefault="00687FD1" w:rsidP="00687FD1">
            <w:pPr>
              <w:jc w:val="left"/>
              <w:rPr>
                <w:sz w:val="20"/>
                <w:szCs w:val="20"/>
              </w:rPr>
            </w:pPr>
            <w:r w:rsidRPr="00687FD1">
              <w:rPr>
                <w:sz w:val="20"/>
                <w:szCs w:val="20"/>
              </w:rPr>
              <w:t>Albania</w:t>
            </w:r>
          </w:p>
        </w:tc>
        <w:tc>
          <w:tcPr>
            <w:tcW w:w="1141" w:type="dxa"/>
            <w:vAlign w:val="center"/>
          </w:tcPr>
          <w:p w:rsidR="00687FD1" w:rsidRPr="00687FD1" w:rsidRDefault="00687FD1" w:rsidP="00687FD1">
            <w:pPr>
              <w:jc w:val="left"/>
              <w:rPr>
                <w:b w:val="0"/>
                <w:sz w:val="20"/>
                <w:szCs w:val="20"/>
              </w:rPr>
            </w:pPr>
            <w:r w:rsidRPr="00687FD1">
              <w:rPr>
                <w:b w:val="0"/>
                <w:sz w:val="20"/>
                <w:szCs w:val="20"/>
              </w:rPr>
              <w:t>x (-O</w:t>
            </w:r>
            <w:r w:rsidRPr="00687FD1">
              <w:rPr>
                <w:b w:val="0"/>
                <w:sz w:val="20"/>
                <w:szCs w:val="20"/>
                <w:vertAlign w:val="subscript"/>
              </w:rPr>
              <w:t>3</w:t>
            </w:r>
            <w:r w:rsidRPr="00687FD1">
              <w:rPr>
                <w:b w:val="0"/>
                <w:sz w:val="20"/>
                <w:szCs w:val="20"/>
              </w:rPr>
              <w:t xml:space="preserve">, </w:t>
            </w:r>
            <w:proofErr w:type="spellStart"/>
            <w:r w:rsidRPr="00687FD1">
              <w:rPr>
                <w:b w:val="0"/>
                <w:sz w:val="20"/>
                <w:szCs w:val="20"/>
              </w:rPr>
              <w:t>Pb</w:t>
            </w:r>
            <w:proofErr w:type="spellEnd"/>
            <w:r w:rsidRPr="00687FD1">
              <w:rPr>
                <w:b w:val="0"/>
                <w:sz w:val="20"/>
                <w:szCs w:val="20"/>
              </w:rPr>
              <w:t>)</w:t>
            </w:r>
          </w:p>
        </w:tc>
        <w:tc>
          <w:tcPr>
            <w:tcW w:w="1141" w:type="dxa"/>
            <w:vAlign w:val="center"/>
          </w:tcPr>
          <w:p w:rsidR="00687FD1" w:rsidRPr="00687FD1" w:rsidRDefault="00687FD1" w:rsidP="00687FD1">
            <w:pPr>
              <w:jc w:val="left"/>
              <w:rPr>
                <w:b w:val="0"/>
                <w:sz w:val="20"/>
                <w:szCs w:val="20"/>
              </w:rPr>
            </w:pPr>
          </w:p>
        </w:tc>
        <w:tc>
          <w:tcPr>
            <w:tcW w:w="1120" w:type="dxa"/>
            <w:vAlign w:val="center"/>
          </w:tcPr>
          <w:p w:rsidR="00687FD1" w:rsidRPr="00687FD1" w:rsidRDefault="00687FD1" w:rsidP="00687FD1">
            <w:pPr>
              <w:jc w:val="left"/>
              <w:rPr>
                <w:b w:val="0"/>
                <w:sz w:val="20"/>
                <w:szCs w:val="20"/>
              </w:rPr>
            </w:pP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tcPr>
          <w:p w:rsidR="00687FD1" w:rsidRDefault="00687FD1">
            <w:r w:rsidRPr="00DC58F1">
              <w:rPr>
                <w:b w:val="0"/>
                <w:sz w:val="20"/>
                <w:szCs w:val="20"/>
              </w:rPr>
              <w:t>x</w:t>
            </w:r>
          </w:p>
        </w:tc>
        <w:tc>
          <w:tcPr>
            <w:tcW w:w="957" w:type="dxa"/>
            <w:vAlign w:val="center"/>
          </w:tcPr>
          <w:p w:rsidR="00687FD1" w:rsidRPr="00687FD1" w:rsidRDefault="00687FD1" w:rsidP="00687FD1">
            <w:pPr>
              <w:jc w:val="left"/>
              <w:rPr>
                <w:b w:val="0"/>
                <w:sz w:val="20"/>
                <w:szCs w:val="20"/>
              </w:rPr>
            </w:pPr>
          </w:p>
        </w:tc>
        <w:tc>
          <w:tcPr>
            <w:tcW w:w="1326" w:type="dxa"/>
            <w:vAlign w:val="center"/>
          </w:tcPr>
          <w:p w:rsidR="00687FD1" w:rsidRPr="00687FD1" w:rsidRDefault="00687FD1" w:rsidP="00687FD1">
            <w:pPr>
              <w:jc w:val="left"/>
              <w:rPr>
                <w:b w:val="0"/>
                <w:sz w:val="20"/>
                <w:szCs w:val="20"/>
              </w:rPr>
            </w:pPr>
          </w:p>
        </w:tc>
      </w:tr>
      <w:tr w:rsidR="00687FD1" w:rsidRPr="00687FD1" w:rsidTr="00295731">
        <w:trPr>
          <w:trHeight w:val="284"/>
        </w:trPr>
        <w:tc>
          <w:tcPr>
            <w:tcW w:w="1668" w:type="dxa"/>
            <w:vAlign w:val="center"/>
          </w:tcPr>
          <w:p w:rsidR="00687FD1" w:rsidRPr="00687FD1" w:rsidRDefault="00687FD1" w:rsidP="00687FD1">
            <w:pPr>
              <w:jc w:val="left"/>
              <w:rPr>
                <w:sz w:val="20"/>
                <w:szCs w:val="20"/>
              </w:rPr>
            </w:pPr>
            <w:r w:rsidRPr="00687FD1">
              <w:rPr>
                <w:sz w:val="20"/>
                <w:szCs w:val="20"/>
              </w:rPr>
              <w:t>Bulgaria</w:t>
            </w:r>
          </w:p>
        </w:tc>
        <w:tc>
          <w:tcPr>
            <w:tcW w:w="1141" w:type="dxa"/>
            <w:vAlign w:val="center"/>
          </w:tcPr>
          <w:p w:rsidR="00687FD1" w:rsidRPr="00687FD1" w:rsidRDefault="00687FD1" w:rsidP="00687FD1">
            <w:pPr>
              <w:jc w:val="left"/>
              <w:rPr>
                <w:b w:val="0"/>
                <w:sz w:val="20"/>
                <w:szCs w:val="20"/>
              </w:rPr>
            </w:pPr>
            <w:r w:rsidRPr="00687FD1">
              <w:rPr>
                <w:b w:val="0"/>
                <w:sz w:val="20"/>
                <w:szCs w:val="20"/>
              </w:rPr>
              <w:t>x</w:t>
            </w:r>
          </w:p>
        </w:tc>
        <w:tc>
          <w:tcPr>
            <w:tcW w:w="1141" w:type="dxa"/>
            <w:vAlign w:val="center"/>
          </w:tcPr>
          <w:p w:rsidR="00687FD1" w:rsidRPr="00687FD1" w:rsidRDefault="00687FD1" w:rsidP="00687FD1">
            <w:pPr>
              <w:jc w:val="left"/>
              <w:rPr>
                <w:b w:val="0"/>
                <w:sz w:val="20"/>
                <w:szCs w:val="20"/>
              </w:rPr>
            </w:pPr>
            <w:r w:rsidRPr="00687FD1">
              <w:rPr>
                <w:b w:val="0"/>
                <w:sz w:val="20"/>
                <w:szCs w:val="20"/>
              </w:rPr>
              <w:t>CO, As</w:t>
            </w:r>
          </w:p>
        </w:tc>
        <w:tc>
          <w:tcPr>
            <w:tcW w:w="1120" w:type="dxa"/>
            <w:vAlign w:val="center"/>
          </w:tcPr>
          <w:p w:rsidR="00687FD1" w:rsidRPr="00687FD1" w:rsidRDefault="00687FD1" w:rsidP="00687FD1">
            <w:pPr>
              <w:jc w:val="left"/>
              <w:rPr>
                <w:b w:val="0"/>
                <w:sz w:val="20"/>
                <w:szCs w:val="20"/>
              </w:rPr>
            </w:pPr>
            <w:r w:rsidRPr="00687FD1">
              <w:rPr>
                <w:b w:val="0"/>
                <w:sz w:val="20"/>
                <w:szCs w:val="20"/>
              </w:rPr>
              <w:t>H</w:t>
            </w:r>
            <w:r w:rsidRPr="00687FD1">
              <w:rPr>
                <w:b w:val="0"/>
                <w:sz w:val="20"/>
                <w:szCs w:val="20"/>
                <w:vertAlign w:val="subscript"/>
              </w:rPr>
              <w:t>2</w:t>
            </w:r>
            <w:r w:rsidRPr="00687FD1">
              <w:rPr>
                <w:b w:val="0"/>
                <w:sz w:val="20"/>
                <w:szCs w:val="20"/>
              </w:rPr>
              <w:t>S</w:t>
            </w: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tcPr>
          <w:p w:rsidR="00687FD1" w:rsidRDefault="00687FD1">
            <w:r w:rsidRPr="00DC58F1">
              <w:rPr>
                <w:b w:val="0"/>
                <w:sz w:val="20"/>
                <w:szCs w:val="20"/>
              </w:rPr>
              <w:t>x</w:t>
            </w:r>
          </w:p>
        </w:tc>
        <w:tc>
          <w:tcPr>
            <w:tcW w:w="957" w:type="dxa"/>
            <w:vAlign w:val="center"/>
          </w:tcPr>
          <w:p w:rsidR="00687FD1" w:rsidRPr="00687FD1" w:rsidRDefault="00687FD1" w:rsidP="00687FD1">
            <w:pPr>
              <w:jc w:val="left"/>
              <w:rPr>
                <w:b w:val="0"/>
                <w:sz w:val="20"/>
                <w:szCs w:val="20"/>
              </w:rPr>
            </w:pPr>
          </w:p>
        </w:tc>
        <w:tc>
          <w:tcPr>
            <w:tcW w:w="1326" w:type="dxa"/>
            <w:vAlign w:val="center"/>
          </w:tcPr>
          <w:p w:rsidR="00687FD1" w:rsidRPr="00687FD1" w:rsidRDefault="00687FD1" w:rsidP="00687FD1">
            <w:pPr>
              <w:jc w:val="left"/>
              <w:rPr>
                <w:b w:val="0"/>
                <w:sz w:val="20"/>
                <w:szCs w:val="20"/>
              </w:rPr>
            </w:pPr>
          </w:p>
        </w:tc>
      </w:tr>
      <w:tr w:rsidR="00687FD1" w:rsidRPr="00687FD1" w:rsidTr="00295731">
        <w:trPr>
          <w:trHeight w:val="284"/>
        </w:trPr>
        <w:tc>
          <w:tcPr>
            <w:tcW w:w="1668" w:type="dxa"/>
            <w:vAlign w:val="center"/>
          </w:tcPr>
          <w:p w:rsidR="00687FD1" w:rsidRPr="00687FD1" w:rsidRDefault="00687FD1" w:rsidP="00687FD1">
            <w:pPr>
              <w:jc w:val="left"/>
              <w:rPr>
                <w:sz w:val="20"/>
                <w:szCs w:val="20"/>
              </w:rPr>
            </w:pPr>
            <w:r w:rsidRPr="00687FD1">
              <w:rPr>
                <w:sz w:val="20"/>
                <w:szCs w:val="20"/>
              </w:rPr>
              <w:t>Croatia</w:t>
            </w:r>
          </w:p>
        </w:tc>
        <w:tc>
          <w:tcPr>
            <w:tcW w:w="1141" w:type="dxa"/>
            <w:vAlign w:val="center"/>
          </w:tcPr>
          <w:p w:rsidR="00687FD1" w:rsidRPr="00687FD1" w:rsidRDefault="00687FD1" w:rsidP="00687FD1">
            <w:pPr>
              <w:jc w:val="left"/>
              <w:rPr>
                <w:b w:val="0"/>
                <w:sz w:val="20"/>
                <w:szCs w:val="20"/>
              </w:rPr>
            </w:pPr>
            <w:r w:rsidRPr="00687FD1">
              <w:rPr>
                <w:b w:val="0"/>
                <w:sz w:val="20"/>
                <w:szCs w:val="20"/>
              </w:rPr>
              <w:t>x (-O</w:t>
            </w:r>
            <w:r w:rsidRPr="00687FD1">
              <w:rPr>
                <w:b w:val="0"/>
                <w:sz w:val="20"/>
                <w:szCs w:val="20"/>
                <w:vertAlign w:val="subscript"/>
              </w:rPr>
              <w:t>3</w:t>
            </w:r>
            <w:r w:rsidRPr="00687FD1">
              <w:rPr>
                <w:b w:val="0"/>
                <w:sz w:val="20"/>
                <w:szCs w:val="20"/>
              </w:rPr>
              <w:t xml:space="preserve">, </w:t>
            </w:r>
            <w:proofErr w:type="spellStart"/>
            <w:r w:rsidRPr="00687FD1">
              <w:rPr>
                <w:b w:val="0"/>
                <w:sz w:val="20"/>
                <w:szCs w:val="20"/>
              </w:rPr>
              <w:t>Pb</w:t>
            </w:r>
            <w:proofErr w:type="spellEnd"/>
            <w:r w:rsidRPr="00687FD1">
              <w:rPr>
                <w:b w:val="0"/>
                <w:sz w:val="20"/>
                <w:szCs w:val="20"/>
              </w:rPr>
              <w:t>)</w:t>
            </w:r>
          </w:p>
        </w:tc>
        <w:tc>
          <w:tcPr>
            <w:tcW w:w="1141" w:type="dxa"/>
            <w:vAlign w:val="center"/>
          </w:tcPr>
          <w:p w:rsidR="00687FD1" w:rsidRPr="00687FD1" w:rsidRDefault="00687FD1" w:rsidP="00687FD1">
            <w:pPr>
              <w:jc w:val="left"/>
              <w:rPr>
                <w:b w:val="0"/>
                <w:sz w:val="20"/>
                <w:szCs w:val="20"/>
              </w:rPr>
            </w:pPr>
          </w:p>
        </w:tc>
        <w:tc>
          <w:tcPr>
            <w:tcW w:w="1120" w:type="dxa"/>
            <w:vAlign w:val="center"/>
          </w:tcPr>
          <w:p w:rsidR="00687FD1" w:rsidRPr="00687FD1" w:rsidRDefault="00687FD1" w:rsidP="00687FD1">
            <w:pPr>
              <w:jc w:val="left"/>
              <w:rPr>
                <w:b w:val="0"/>
                <w:sz w:val="20"/>
                <w:szCs w:val="20"/>
              </w:rPr>
            </w:pPr>
            <w:r w:rsidRPr="00687FD1">
              <w:rPr>
                <w:b w:val="0"/>
                <w:sz w:val="20"/>
                <w:szCs w:val="20"/>
              </w:rPr>
              <w:t>H</w:t>
            </w:r>
            <w:r w:rsidRPr="00687FD1">
              <w:rPr>
                <w:b w:val="0"/>
                <w:sz w:val="20"/>
                <w:szCs w:val="20"/>
                <w:vertAlign w:val="subscript"/>
              </w:rPr>
              <w:t>2</w:t>
            </w:r>
            <w:r w:rsidRPr="00687FD1">
              <w:rPr>
                <w:b w:val="0"/>
                <w:sz w:val="20"/>
                <w:szCs w:val="20"/>
              </w:rPr>
              <w:t>S, PAH</w:t>
            </w: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tcPr>
          <w:p w:rsidR="00687FD1" w:rsidRDefault="00687FD1">
            <w:r w:rsidRPr="00DC58F1">
              <w:rPr>
                <w:b w:val="0"/>
                <w:sz w:val="20"/>
                <w:szCs w:val="20"/>
              </w:rPr>
              <w:t>x</w:t>
            </w:r>
          </w:p>
        </w:tc>
        <w:tc>
          <w:tcPr>
            <w:tcW w:w="957" w:type="dxa"/>
            <w:vAlign w:val="center"/>
          </w:tcPr>
          <w:p w:rsidR="00687FD1" w:rsidRPr="00687FD1" w:rsidRDefault="00687FD1" w:rsidP="00687FD1">
            <w:pPr>
              <w:jc w:val="left"/>
              <w:rPr>
                <w:b w:val="0"/>
                <w:sz w:val="20"/>
                <w:szCs w:val="20"/>
              </w:rPr>
            </w:pPr>
          </w:p>
        </w:tc>
        <w:tc>
          <w:tcPr>
            <w:tcW w:w="1326" w:type="dxa"/>
            <w:vAlign w:val="center"/>
          </w:tcPr>
          <w:p w:rsidR="00687FD1" w:rsidRPr="00687FD1" w:rsidRDefault="00687FD1" w:rsidP="00687FD1">
            <w:pPr>
              <w:jc w:val="left"/>
              <w:rPr>
                <w:b w:val="0"/>
                <w:sz w:val="20"/>
                <w:szCs w:val="20"/>
              </w:rPr>
            </w:pPr>
          </w:p>
        </w:tc>
      </w:tr>
      <w:tr w:rsidR="00687FD1" w:rsidRPr="00687FD1" w:rsidTr="00295731">
        <w:trPr>
          <w:trHeight w:val="284"/>
        </w:trPr>
        <w:tc>
          <w:tcPr>
            <w:tcW w:w="1668" w:type="dxa"/>
            <w:vAlign w:val="center"/>
          </w:tcPr>
          <w:p w:rsidR="00687FD1" w:rsidRPr="00687FD1" w:rsidRDefault="00687FD1" w:rsidP="00687FD1">
            <w:pPr>
              <w:jc w:val="left"/>
              <w:rPr>
                <w:sz w:val="20"/>
                <w:szCs w:val="20"/>
              </w:rPr>
            </w:pPr>
            <w:r w:rsidRPr="00687FD1">
              <w:rPr>
                <w:sz w:val="20"/>
                <w:szCs w:val="20"/>
              </w:rPr>
              <w:t>Cyprus</w:t>
            </w:r>
          </w:p>
        </w:tc>
        <w:tc>
          <w:tcPr>
            <w:tcW w:w="1141" w:type="dxa"/>
            <w:vAlign w:val="center"/>
          </w:tcPr>
          <w:p w:rsidR="00687FD1" w:rsidRPr="00687FD1" w:rsidRDefault="00687FD1" w:rsidP="00687FD1">
            <w:pPr>
              <w:jc w:val="left"/>
              <w:rPr>
                <w:b w:val="0"/>
                <w:sz w:val="20"/>
                <w:szCs w:val="20"/>
              </w:rPr>
            </w:pPr>
            <w:r w:rsidRPr="00687FD1">
              <w:rPr>
                <w:b w:val="0"/>
                <w:sz w:val="20"/>
                <w:szCs w:val="20"/>
              </w:rPr>
              <w:t>x</w:t>
            </w:r>
          </w:p>
        </w:tc>
        <w:tc>
          <w:tcPr>
            <w:tcW w:w="1141" w:type="dxa"/>
            <w:vAlign w:val="center"/>
          </w:tcPr>
          <w:p w:rsidR="00687FD1" w:rsidRPr="00687FD1" w:rsidRDefault="00687FD1" w:rsidP="00687FD1">
            <w:pPr>
              <w:jc w:val="left"/>
              <w:rPr>
                <w:b w:val="0"/>
                <w:sz w:val="20"/>
                <w:szCs w:val="20"/>
              </w:rPr>
            </w:pPr>
            <w:r w:rsidRPr="00687FD1">
              <w:rPr>
                <w:b w:val="0"/>
                <w:sz w:val="20"/>
                <w:szCs w:val="20"/>
              </w:rPr>
              <w:t>CO</w:t>
            </w:r>
          </w:p>
        </w:tc>
        <w:tc>
          <w:tcPr>
            <w:tcW w:w="1120" w:type="dxa"/>
            <w:vAlign w:val="center"/>
          </w:tcPr>
          <w:p w:rsidR="00687FD1" w:rsidRPr="00687FD1" w:rsidRDefault="00687FD1" w:rsidP="00687FD1">
            <w:pPr>
              <w:jc w:val="left"/>
              <w:rPr>
                <w:b w:val="0"/>
                <w:sz w:val="20"/>
                <w:szCs w:val="20"/>
              </w:rPr>
            </w:pP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tcPr>
          <w:p w:rsidR="00687FD1" w:rsidRDefault="00687FD1">
            <w:r w:rsidRPr="00DC58F1">
              <w:rPr>
                <w:b w:val="0"/>
                <w:sz w:val="20"/>
                <w:szCs w:val="20"/>
              </w:rPr>
              <w:t>x</w:t>
            </w:r>
          </w:p>
        </w:tc>
        <w:tc>
          <w:tcPr>
            <w:tcW w:w="957" w:type="dxa"/>
            <w:vAlign w:val="center"/>
          </w:tcPr>
          <w:p w:rsidR="00687FD1" w:rsidRPr="00687FD1" w:rsidRDefault="00687FD1" w:rsidP="00687FD1">
            <w:pPr>
              <w:jc w:val="left"/>
              <w:rPr>
                <w:b w:val="0"/>
                <w:sz w:val="20"/>
                <w:szCs w:val="20"/>
              </w:rPr>
            </w:pPr>
            <w:r w:rsidRPr="00687FD1">
              <w:rPr>
                <w:b w:val="0"/>
                <w:sz w:val="20"/>
                <w:szCs w:val="20"/>
              </w:rPr>
              <w:t>x</w:t>
            </w:r>
          </w:p>
        </w:tc>
        <w:tc>
          <w:tcPr>
            <w:tcW w:w="1326" w:type="dxa"/>
            <w:vAlign w:val="center"/>
          </w:tcPr>
          <w:p w:rsidR="00687FD1" w:rsidRPr="00687FD1" w:rsidRDefault="00687FD1" w:rsidP="00687FD1">
            <w:pPr>
              <w:jc w:val="left"/>
              <w:rPr>
                <w:b w:val="0"/>
                <w:sz w:val="20"/>
                <w:szCs w:val="20"/>
              </w:rPr>
            </w:pPr>
          </w:p>
        </w:tc>
      </w:tr>
      <w:tr w:rsidR="00687FD1" w:rsidRPr="00687FD1" w:rsidTr="00295731">
        <w:trPr>
          <w:trHeight w:val="284"/>
        </w:trPr>
        <w:tc>
          <w:tcPr>
            <w:tcW w:w="1668" w:type="dxa"/>
            <w:vAlign w:val="center"/>
          </w:tcPr>
          <w:p w:rsidR="00687FD1" w:rsidRPr="00687FD1" w:rsidRDefault="00687FD1" w:rsidP="00687FD1">
            <w:pPr>
              <w:jc w:val="left"/>
              <w:rPr>
                <w:sz w:val="20"/>
                <w:szCs w:val="20"/>
              </w:rPr>
            </w:pPr>
            <w:r w:rsidRPr="00687FD1">
              <w:rPr>
                <w:sz w:val="20"/>
                <w:szCs w:val="20"/>
              </w:rPr>
              <w:t>Czech Republic</w:t>
            </w:r>
          </w:p>
        </w:tc>
        <w:tc>
          <w:tcPr>
            <w:tcW w:w="1141" w:type="dxa"/>
            <w:vAlign w:val="center"/>
          </w:tcPr>
          <w:p w:rsidR="00687FD1" w:rsidRPr="00687FD1" w:rsidRDefault="00687FD1" w:rsidP="00687FD1">
            <w:pPr>
              <w:jc w:val="left"/>
              <w:rPr>
                <w:b w:val="0"/>
                <w:sz w:val="20"/>
                <w:szCs w:val="20"/>
              </w:rPr>
            </w:pPr>
            <w:r w:rsidRPr="00687FD1">
              <w:rPr>
                <w:b w:val="0"/>
                <w:sz w:val="20"/>
                <w:szCs w:val="20"/>
              </w:rPr>
              <w:t>x</w:t>
            </w:r>
          </w:p>
        </w:tc>
        <w:tc>
          <w:tcPr>
            <w:tcW w:w="1141" w:type="dxa"/>
            <w:vAlign w:val="center"/>
          </w:tcPr>
          <w:p w:rsidR="00687FD1" w:rsidRPr="00687FD1" w:rsidRDefault="00687FD1" w:rsidP="00687FD1">
            <w:pPr>
              <w:jc w:val="left"/>
              <w:rPr>
                <w:b w:val="0"/>
                <w:sz w:val="20"/>
                <w:szCs w:val="20"/>
              </w:rPr>
            </w:pPr>
            <w:r w:rsidRPr="00687FD1">
              <w:rPr>
                <w:b w:val="0"/>
                <w:sz w:val="20"/>
                <w:szCs w:val="20"/>
              </w:rPr>
              <w:t>AD, Heavy Metals</w:t>
            </w:r>
          </w:p>
        </w:tc>
        <w:tc>
          <w:tcPr>
            <w:tcW w:w="1120" w:type="dxa"/>
            <w:vAlign w:val="center"/>
          </w:tcPr>
          <w:p w:rsidR="00687FD1" w:rsidRPr="00687FD1" w:rsidRDefault="00687FD1" w:rsidP="00687FD1">
            <w:pPr>
              <w:jc w:val="left"/>
              <w:rPr>
                <w:b w:val="0"/>
                <w:sz w:val="20"/>
                <w:szCs w:val="20"/>
              </w:rPr>
            </w:pP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tcPr>
          <w:p w:rsidR="00687FD1" w:rsidRDefault="00687FD1">
            <w:r w:rsidRPr="00DC58F1">
              <w:rPr>
                <w:b w:val="0"/>
                <w:sz w:val="20"/>
                <w:szCs w:val="20"/>
              </w:rPr>
              <w:t>x</w:t>
            </w:r>
          </w:p>
        </w:tc>
        <w:tc>
          <w:tcPr>
            <w:tcW w:w="957" w:type="dxa"/>
            <w:vAlign w:val="center"/>
          </w:tcPr>
          <w:p w:rsidR="00687FD1" w:rsidRPr="00687FD1" w:rsidRDefault="00687FD1" w:rsidP="00687FD1">
            <w:pPr>
              <w:jc w:val="left"/>
              <w:rPr>
                <w:b w:val="0"/>
                <w:sz w:val="20"/>
                <w:szCs w:val="20"/>
              </w:rPr>
            </w:pPr>
            <w:r w:rsidRPr="00687FD1">
              <w:rPr>
                <w:b w:val="0"/>
                <w:sz w:val="20"/>
                <w:szCs w:val="20"/>
              </w:rPr>
              <w:t>x</w:t>
            </w:r>
          </w:p>
        </w:tc>
        <w:tc>
          <w:tcPr>
            <w:tcW w:w="1326" w:type="dxa"/>
            <w:vAlign w:val="center"/>
          </w:tcPr>
          <w:p w:rsidR="00687FD1" w:rsidRPr="00687FD1" w:rsidRDefault="00687FD1" w:rsidP="00687FD1">
            <w:pPr>
              <w:jc w:val="left"/>
              <w:rPr>
                <w:b w:val="0"/>
                <w:sz w:val="20"/>
                <w:szCs w:val="20"/>
              </w:rPr>
            </w:pPr>
          </w:p>
        </w:tc>
      </w:tr>
      <w:tr w:rsidR="00687FD1" w:rsidRPr="00687FD1" w:rsidTr="00295731">
        <w:trPr>
          <w:trHeight w:val="284"/>
        </w:trPr>
        <w:tc>
          <w:tcPr>
            <w:tcW w:w="1668" w:type="dxa"/>
            <w:shd w:val="clear" w:color="auto" w:fill="FFFFFF" w:themeFill="background1"/>
            <w:vAlign w:val="center"/>
          </w:tcPr>
          <w:p w:rsidR="00687FD1" w:rsidRPr="00687FD1" w:rsidRDefault="00687FD1" w:rsidP="00687FD1">
            <w:pPr>
              <w:jc w:val="left"/>
              <w:rPr>
                <w:sz w:val="20"/>
                <w:szCs w:val="20"/>
              </w:rPr>
            </w:pPr>
            <w:r w:rsidRPr="00687FD1">
              <w:rPr>
                <w:sz w:val="20"/>
                <w:szCs w:val="20"/>
              </w:rPr>
              <w:t>Estonia</w:t>
            </w:r>
          </w:p>
        </w:tc>
        <w:tc>
          <w:tcPr>
            <w:tcW w:w="1141" w:type="dxa"/>
            <w:shd w:val="clear" w:color="auto" w:fill="FFFFFF" w:themeFill="background1"/>
            <w:vAlign w:val="center"/>
          </w:tcPr>
          <w:p w:rsidR="00687FD1" w:rsidRPr="00687FD1" w:rsidRDefault="00687FD1" w:rsidP="00687FD1">
            <w:pPr>
              <w:jc w:val="left"/>
              <w:rPr>
                <w:b w:val="0"/>
                <w:sz w:val="20"/>
                <w:szCs w:val="20"/>
              </w:rPr>
            </w:pPr>
            <w:r w:rsidRPr="00687FD1">
              <w:rPr>
                <w:b w:val="0"/>
                <w:sz w:val="20"/>
                <w:szCs w:val="20"/>
              </w:rPr>
              <w:t>x (-</w:t>
            </w:r>
            <w:proofErr w:type="spellStart"/>
            <w:r w:rsidRPr="00687FD1">
              <w:rPr>
                <w:b w:val="0"/>
                <w:sz w:val="20"/>
                <w:szCs w:val="20"/>
              </w:rPr>
              <w:t>Pb</w:t>
            </w:r>
            <w:proofErr w:type="spellEnd"/>
            <w:r w:rsidRPr="00687FD1">
              <w:rPr>
                <w:b w:val="0"/>
                <w:sz w:val="20"/>
                <w:szCs w:val="20"/>
              </w:rPr>
              <w:t>)</w:t>
            </w:r>
          </w:p>
        </w:tc>
        <w:tc>
          <w:tcPr>
            <w:tcW w:w="1141" w:type="dxa"/>
            <w:shd w:val="clear" w:color="auto" w:fill="FFFFFF" w:themeFill="background1"/>
            <w:vAlign w:val="center"/>
          </w:tcPr>
          <w:p w:rsidR="00687FD1" w:rsidRPr="00687FD1" w:rsidRDefault="00687FD1" w:rsidP="00687FD1">
            <w:pPr>
              <w:jc w:val="left"/>
              <w:rPr>
                <w:b w:val="0"/>
                <w:sz w:val="20"/>
                <w:szCs w:val="20"/>
              </w:rPr>
            </w:pPr>
            <w:r w:rsidRPr="00687FD1">
              <w:rPr>
                <w:b w:val="0"/>
                <w:sz w:val="20"/>
                <w:szCs w:val="20"/>
              </w:rPr>
              <w:t>CO</w:t>
            </w:r>
          </w:p>
        </w:tc>
        <w:tc>
          <w:tcPr>
            <w:tcW w:w="1120" w:type="dxa"/>
            <w:shd w:val="clear" w:color="auto" w:fill="FFFFFF" w:themeFill="background1"/>
            <w:vAlign w:val="center"/>
          </w:tcPr>
          <w:p w:rsidR="00687FD1" w:rsidRPr="00687FD1" w:rsidRDefault="00687FD1" w:rsidP="00687FD1">
            <w:pPr>
              <w:jc w:val="left"/>
              <w:rPr>
                <w:b w:val="0"/>
                <w:sz w:val="20"/>
                <w:szCs w:val="20"/>
              </w:rPr>
            </w:pPr>
            <w:r w:rsidRPr="00687FD1">
              <w:rPr>
                <w:b w:val="0"/>
                <w:sz w:val="20"/>
                <w:szCs w:val="20"/>
              </w:rPr>
              <w:t>H</w:t>
            </w:r>
            <w:r w:rsidRPr="00687FD1">
              <w:rPr>
                <w:b w:val="0"/>
                <w:sz w:val="20"/>
                <w:szCs w:val="20"/>
                <w:vertAlign w:val="subscript"/>
              </w:rPr>
              <w:t>2</w:t>
            </w:r>
            <w:r w:rsidRPr="00687FD1">
              <w:rPr>
                <w:b w:val="0"/>
                <w:sz w:val="20"/>
                <w:szCs w:val="20"/>
              </w:rPr>
              <w:t>S, BTX</w:t>
            </w:r>
          </w:p>
        </w:tc>
        <w:tc>
          <w:tcPr>
            <w:tcW w:w="992" w:type="dxa"/>
            <w:shd w:val="clear" w:color="auto" w:fill="FFFFFF" w:themeFill="background1"/>
            <w:vAlign w:val="center"/>
          </w:tcPr>
          <w:p w:rsidR="00687FD1" w:rsidRPr="00687FD1" w:rsidRDefault="00687FD1" w:rsidP="00687FD1">
            <w:pPr>
              <w:jc w:val="left"/>
              <w:rPr>
                <w:b w:val="0"/>
                <w:sz w:val="20"/>
                <w:szCs w:val="20"/>
              </w:rPr>
            </w:pPr>
            <w:r w:rsidRPr="00687FD1">
              <w:rPr>
                <w:b w:val="0"/>
                <w:sz w:val="20"/>
                <w:szCs w:val="20"/>
              </w:rPr>
              <w:t>x</w:t>
            </w:r>
          </w:p>
        </w:tc>
        <w:tc>
          <w:tcPr>
            <w:tcW w:w="1311" w:type="dxa"/>
            <w:shd w:val="clear" w:color="auto" w:fill="FFFFFF" w:themeFill="background1"/>
          </w:tcPr>
          <w:p w:rsidR="00687FD1" w:rsidRDefault="00687FD1">
            <w:r w:rsidRPr="00DC58F1">
              <w:rPr>
                <w:b w:val="0"/>
                <w:sz w:val="20"/>
                <w:szCs w:val="20"/>
              </w:rPr>
              <w:t>x</w:t>
            </w:r>
          </w:p>
        </w:tc>
        <w:tc>
          <w:tcPr>
            <w:tcW w:w="957" w:type="dxa"/>
            <w:shd w:val="clear" w:color="auto" w:fill="FFFFFF" w:themeFill="background1"/>
            <w:vAlign w:val="center"/>
          </w:tcPr>
          <w:p w:rsidR="00687FD1" w:rsidRPr="00687FD1" w:rsidRDefault="00687FD1" w:rsidP="00687FD1">
            <w:pPr>
              <w:jc w:val="left"/>
              <w:rPr>
                <w:b w:val="0"/>
                <w:sz w:val="20"/>
                <w:szCs w:val="20"/>
              </w:rPr>
            </w:pPr>
          </w:p>
        </w:tc>
        <w:tc>
          <w:tcPr>
            <w:tcW w:w="1326" w:type="dxa"/>
            <w:shd w:val="clear" w:color="auto" w:fill="FFFFFF" w:themeFill="background1"/>
            <w:vAlign w:val="center"/>
          </w:tcPr>
          <w:p w:rsidR="00687FD1" w:rsidRPr="00687FD1" w:rsidRDefault="00687FD1" w:rsidP="00687FD1">
            <w:pPr>
              <w:jc w:val="left"/>
              <w:rPr>
                <w:b w:val="0"/>
                <w:sz w:val="20"/>
                <w:szCs w:val="20"/>
              </w:rPr>
            </w:pPr>
          </w:p>
        </w:tc>
      </w:tr>
      <w:tr w:rsidR="00687FD1" w:rsidRPr="00687FD1" w:rsidTr="00295731">
        <w:trPr>
          <w:trHeight w:val="284"/>
        </w:trPr>
        <w:tc>
          <w:tcPr>
            <w:tcW w:w="1668" w:type="dxa"/>
            <w:vAlign w:val="center"/>
          </w:tcPr>
          <w:p w:rsidR="00687FD1" w:rsidRPr="00687FD1" w:rsidRDefault="00687FD1" w:rsidP="00687FD1">
            <w:pPr>
              <w:jc w:val="left"/>
              <w:rPr>
                <w:sz w:val="20"/>
                <w:szCs w:val="20"/>
              </w:rPr>
            </w:pPr>
            <w:r w:rsidRPr="00687FD1">
              <w:rPr>
                <w:sz w:val="20"/>
                <w:szCs w:val="20"/>
              </w:rPr>
              <w:t>Hungary</w:t>
            </w:r>
          </w:p>
        </w:tc>
        <w:tc>
          <w:tcPr>
            <w:tcW w:w="1141" w:type="dxa"/>
            <w:vAlign w:val="center"/>
          </w:tcPr>
          <w:p w:rsidR="00687FD1" w:rsidRPr="00687FD1" w:rsidRDefault="00687FD1" w:rsidP="00687FD1">
            <w:pPr>
              <w:jc w:val="left"/>
              <w:rPr>
                <w:b w:val="0"/>
                <w:sz w:val="20"/>
                <w:szCs w:val="20"/>
              </w:rPr>
            </w:pPr>
            <w:r w:rsidRPr="00687FD1">
              <w:rPr>
                <w:b w:val="0"/>
                <w:sz w:val="20"/>
                <w:szCs w:val="20"/>
              </w:rPr>
              <w:t>x (-</w:t>
            </w:r>
            <w:proofErr w:type="spellStart"/>
            <w:r w:rsidRPr="00687FD1">
              <w:rPr>
                <w:b w:val="0"/>
                <w:sz w:val="20"/>
                <w:szCs w:val="20"/>
              </w:rPr>
              <w:t>Pb</w:t>
            </w:r>
            <w:proofErr w:type="spellEnd"/>
            <w:r w:rsidRPr="00687FD1">
              <w:rPr>
                <w:b w:val="0"/>
                <w:sz w:val="20"/>
                <w:szCs w:val="20"/>
              </w:rPr>
              <w:t>)</w:t>
            </w:r>
          </w:p>
        </w:tc>
        <w:tc>
          <w:tcPr>
            <w:tcW w:w="1141" w:type="dxa"/>
            <w:vAlign w:val="center"/>
          </w:tcPr>
          <w:p w:rsidR="00687FD1" w:rsidRPr="00687FD1" w:rsidRDefault="00687FD1" w:rsidP="00687FD1">
            <w:pPr>
              <w:jc w:val="left"/>
              <w:rPr>
                <w:b w:val="0"/>
                <w:sz w:val="20"/>
                <w:szCs w:val="20"/>
              </w:rPr>
            </w:pPr>
            <w:r w:rsidRPr="00687FD1">
              <w:rPr>
                <w:b w:val="0"/>
                <w:sz w:val="20"/>
                <w:szCs w:val="20"/>
              </w:rPr>
              <w:t>CO</w:t>
            </w:r>
          </w:p>
        </w:tc>
        <w:tc>
          <w:tcPr>
            <w:tcW w:w="1120" w:type="dxa"/>
            <w:vAlign w:val="center"/>
          </w:tcPr>
          <w:p w:rsidR="00687FD1" w:rsidRPr="00687FD1" w:rsidRDefault="00687FD1" w:rsidP="00687FD1">
            <w:pPr>
              <w:jc w:val="left"/>
              <w:rPr>
                <w:b w:val="0"/>
                <w:sz w:val="20"/>
                <w:szCs w:val="20"/>
              </w:rPr>
            </w:pPr>
            <w:r w:rsidRPr="00687FD1">
              <w:rPr>
                <w:b w:val="0"/>
                <w:sz w:val="20"/>
                <w:szCs w:val="20"/>
              </w:rPr>
              <w:t>VOC</w:t>
            </w: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tcPr>
          <w:p w:rsidR="00687FD1" w:rsidRDefault="00687FD1">
            <w:r w:rsidRPr="00DC58F1">
              <w:rPr>
                <w:b w:val="0"/>
                <w:sz w:val="20"/>
                <w:szCs w:val="20"/>
              </w:rPr>
              <w:t>x</w:t>
            </w:r>
          </w:p>
        </w:tc>
        <w:tc>
          <w:tcPr>
            <w:tcW w:w="957" w:type="dxa"/>
            <w:vAlign w:val="center"/>
          </w:tcPr>
          <w:p w:rsidR="00687FD1" w:rsidRPr="00687FD1" w:rsidRDefault="00687FD1" w:rsidP="00687FD1">
            <w:pPr>
              <w:jc w:val="left"/>
              <w:rPr>
                <w:b w:val="0"/>
                <w:sz w:val="20"/>
                <w:szCs w:val="20"/>
              </w:rPr>
            </w:pPr>
          </w:p>
        </w:tc>
        <w:tc>
          <w:tcPr>
            <w:tcW w:w="1326" w:type="dxa"/>
            <w:vAlign w:val="center"/>
          </w:tcPr>
          <w:p w:rsidR="00687FD1" w:rsidRPr="00687FD1" w:rsidRDefault="00687FD1" w:rsidP="00687FD1">
            <w:pPr>
              <w:jc w:val="left"/>
              <w:rPr>
                <w:b w:val="0"/>
                <w:sz w:val="20"/>
                <w:szCs w:val="20"/>
              </w:rPr>
            </w:pPr>
          </w:p>
        </w:tc>
      </w:tr>
      <w:tr w:rsidR="00687FD1" w:rsidRPr="00687FD1" w:rsidTr="00295731">
        <w:trPr>
          <w:trHeight w:val="284"/>
        </w:trPr>
        <w:tc>
          <w:tcPr>
            <w:tcW w:w="1668" w:type="dxa"/>
            <w:vAlign w:val="center"/>
          </w:tcPr>
          <w:p w:rsidR="00687FD1" w:rsidRPr="00687FD1" w:rsidRDefault="00687FD1" w:rsidP="00687FD1">
            <w:pPr>
              <w:jc w:val="left"/>
              <w:rPr>
                <w:sz w:val="20"/>
                <w:szCs w:val="20"/>
              </w:rPr>
            </w:pPr>
            <w:r w:rsidRPr="00687FD1">
              <w:rPr>
                <w:sz w:val="20"/>
                <w:szCs w:val="20"/>
              </w:rPr>
              <w:t>Poland</w:t>
            </w:r>
          </w:p>
        </w:tc>
        <w:tc>
          <w:tcPr>
            <w:tcW w:w="1141" w:type="dxa"/>
            <w:vAlign w:val="center"/>
          </w:tcPr>
          <w:p w:rsidR="00687FD1" w:rsidRPr="00687FD1" w:rsidRDefault="00687FD1" w:rsidP="00687FD1">
            <w:pPr>
              <w:jc w:val="left"/>
              <w:rPr>
                <w:b w:val="0"/>
                <w:sz w:val="20"/>
                <w:szCs w:val="20"/>
              </w:rPr>
            </w:pPr>
            <w:r w:rsidRPr="00687FD1">
              <w:rPr>
                <w:b w:val="0"/>
                <w:sz w:val="20"/>
                <w:szCs w:val="20"/>
              </w:rPr>
              <w:t>x</w:t>
            </w:r>
          </w:p>
        </w:tc>
        <w:tc>
          <w:tcPr>
            <w:tcW w:w="1141" w:type="dxa"/>
            <w:vAlign w:val="center"/>
          </w:tcPr>
          <w:p w:rsidR="00687FD1" w:rsidRPr="00687FD1" w:rsidRDefault="00687FD1" w:rsidP="00687FD1">
            <w:pPr>
              <w:jc w:val="left"/>
              <w:rPr>
                <w:b w:val="0"/>
                <w:sz w:val="20"/>
                <w:szCs w:val="20"/>
              </w:rPr>
            </w:pPr>
            <w:r w:rsidRPr="00687FD1">
              <w:rPr>
                <w:b w:val="0"/>
                <w:sz w:val="20"/>
                <w:szCs w:val="20"/>
              </w:rPr>
              <w:t>CO, Heavy Metals</w:t>
            </w:r>
          </w:p>
        </w:tc>
        <w:tc>
          <w:tcPr>
            <w:tcW w:w="1120" w:type="dxa"/>
            <w:vAlign w:val="center"/>
          </w:tcPr>
          <w:p w:rsidR="00687FD1" w:rsidRPr="00687FD1" w:rsidRDefault="00687FD1" w:rsidP="00687FD1">
            <w:pPr>
              <w:jc w:val="left"/>
              <w:rPr>
                <w:b w:val="0"/>
                <w:sz w:val="20"/>
                <w:szCs w:val="20"/>
              </w:rPr>
            </w:pP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tcPr>
          <w:p w:rsidR="00687FD1" w:rsidRDefault="00687FD1">
            <w:r w:rsidRPr="00DC58F1">
              <w:rPr>
                <w:b w:val="0"/>
                <w:sz w:val="20"/>
                <w:szCs w:val="20"/>
              </w:rPr>
              <w:t>x</w:t>
            </w:r>
          </w:p>
        </w:tc>
        <w:tc>
          <w:tcPr>
            <w:tcW w:w="957" w:type="dxa"/>
            <w:vAlign w:val="center"/>
          </w:tcPr>
          <w:p w:rsidR="00687FD1" w:rsidRPr="00687FD1" w:rsidRDefault="00687FD1" w:rsidP="00687FD1">
            <w:pPr>
              <w:jc w:val="left"/>
              <w:rPr>
                <w:b w:val="0"/>
                <w:sz w:val="20"/>
                <w:szCs w:val="20"/>
              </w:rPr>
            </w:pPr>
          </w:p>
        </w:tc>
        <w:tc>
          <w:tcPr>
            <w:tcW w:w="1326" w:type="dxa"/>
            <w:vAlign w:val="center"/>
          </w:tcPr>
          <w:p w:rsidR="00687FD1" w:rsidRPr="00687FD1" w:rsidRDefault="00687FD1" w:rsidP="00687FD1">
            <w:pPr>
              <w:jc w:val="left"/>
              <w:rPr>
                <w:b w:val="0"/>
                <w:sz w:val="20"/>
                <w:szCs w:val="20"/>
              </w:rPr>
            </w:pPr>
          </w:p>
        </w:tc>
      </w:tr>
      <w:tr w:rsidR="00687FD1" w:rsidRPr="00687FD1" w:rsidTr="00295731">
        <w:trPr>
          <w:trHeight w:val="284"/>
        </w:trPr>
        <w:tc>
          <w:tcPr>
            <w:tcW w:w="1668" w:type="dxa"/>
            <w:vAlign w:val="center"/>
          </w:tcPr>
          <w:p w:rsidR="00687FD1" w:rsidRPr="00687FD1" w:rsidRDefault="00687FD1" w:rsidP="00687FD1">
            <w:pPr>
              <w:jc w:val="left"/>
              <w:rPr>
                <w:sz w:val="20"/>
                <w:szCs w:val="20"/>
              </w:rPr>
            </w:pPr>
            <w:r w:rsidRPr="00687FD1">
              <w:rPr>
                <w:sz w:val="20"/>
                <w:szCs w:val="20"/>
              </w:rPr>
              <w:t>Romania</w:t>
            </w:r>
          </w:p>
        </w:tc>
        <w:tc>
          <w:tcPr>
            <w:tcW w:w="1141" w:type="dxa"/>
            <w:vAlign w:val="center"/>
          </w:tcPr>
          <w:p w:rsidR="00687FD1" w:rsidRPr="00687FD1" w:rsidRDefault="00687FD1" w:rsidP="00687FD1">
            <w:pPr>
              <w:jc w:val="left"/>
              <w:rPr>
                <w:b w:val="0"/>
                <w:sz w:val="20"/>
                <w:szCs w:val="20"/>
              </w:rPr>
            </w:pPr>
            <w:r w:rsidRPr="00687FD1">
              <w:rPr>
                <w:b w:val="0"/>
                <w:sz w:val="20"/>
                <w:szCs w:val="20"/>
              </w:rPr>
              <w:t>x (-</w:t>
            </w:r>
            <w:proofErr w:type="spellStart"/>
            <w:r w:rsidRPr="00687FD1">
              <w:rPr>
                <w:b w:val="0"/>
                <w:sz w:val="20"/>
                <w:szCs w:val="20"/>
              </w:rPr>
              <w:t>Pb</w:t>
            </w:r>
            <w:proofErr w:type="spellEnd"/>
            <w:r w:rsidRPr="00687FD1">
              <w:rPr>
                <w:b w:val="0"/>
                <w:sz w:val="20"/>
                <w:szCs w:val="20"/>
              </w:rPr>
              <w:t>, SPM)</w:t>
            </w:r>
          </w:p>
        </w:tc>
        <w:tc>
          <w:tcPr>
            <w:tcW w:w="1141" w:type="dxa"/>
            <w:vAlign w:val="center"/>
          </w:tcPr>
          <w:p w:rsidR="00687FD1" w:rsidRPr="00687FD1" w:rsidRDefault="00687FD1" w:rsidP="00687FD1">
            <w:pPr>
              <w:jc w:val="left"/>
              <w:rPr>
                <w:b w:val="0"/>
                <w:sz w:val="20"/>
                <w:szCs w:val="20"/>
              </w:rPr>
            </w:pPr>
            <w:r w:rsidRPr="00687FD1">
              <w:rPr>
                <w:b w:val="0"/>
                <w:sz w:val="20"/>
                <w:szCs w:val="20"/>
              </w:rPr>
              <w:t>CO</w:t>
            </w:r>
          </w:p>
        </w:tc>
        <w:tc>
          <w:tcPr>
            <w:tcW w:w="1120" w:type="dxa"/>
            <w:vAlign w:val="center"/>
          </w:tcPr>
          <w:p w:rsidR="00687FD1" w:rsidRPr="00687FD1" w:rsidRDefault="00687FD1" w:rsidP="00687FD1">
            <w:pPr>
              <w:jc w:val="left"/>
              <w:rPr>
                <w:b w:val="0"/>
                <w:sz w:val="20"/>
                <w:szCs w:val="20"/>
              </w:rPr>
            </w:pPr>
            <w:r w:rsidRPr="00687FD1">
              <w:rPr>
                <w:b w:val="0"/>
                <w:sz w:val="20"/>
                <w:szCs w:val="20"/>
              </w:rPr>
              <w:t>VOC</w:t>
            </w: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tcPr>
          <w:p w:rsidR="00687FD1" w:rsidRDefault="00687FD1">
            <w:r w:rsidRPr="00DC58F1">
              <w:rPr>
                <w:b w:val="0"/>
                <w:sz w:val="20"/>
                <w:szCs w:val="20"/>
              </w:rPr>
              <w:t>x</w:t>
            </w:r>
          </w:p>
        </w:tc>
        <w:tc>
          <w:tcPr>
            <w:tcW w:w="957" w:type="dxa"/>
            <w:vAlign w:val="center"/>
          </w:tcPr>
          <w:p w:rsidR="00687FD1" w:rsidRPr="00687FD1" w:rsidRDefault="00687FD1" w:rsidP="00687FD1">
            <w:pPr>
              <w:jc w:val="left"/>
              <w:rPr>
                <w:b w:val="0"/>
                <w:sz w:val="20"/>
                <w:szCs w:val="20"/>
              </w:rPr>
            </w:pPr>
            <w:r w:rsidRPr="00687FD1">
              <w:rPr>
                <w:b w:val="0"/>
                <w:sz w:val="20"/>
                <w:szCs w:val="20"/>
              </w:rPr>
              <w:t>x</w:t>
            </w:r>
          </w:p>
        </w:tc>
        <w:tc>
          <w:tcPr>
            <w:tcW w:w="1326" w:type="dxa"/>
            <w:vAlign w:val="center"/>
          </w:tcPr>
          <w:p w:rsidR="00687FD1" w:rsidRPr="00687FD1" w:rsidRDefault="00687FD1" w:rsidP="00687FD1">
            <w:pPr>
              <w:jc w:val="left"/>
              <w:rPr>
                <w:b w:val="0"/>
                <w:sz w:val="20"/>
                <w:szCs w:val="20"/>
              </w:rPr>
            </w:pPr>
          </w:p>
        </w:tc>
      </w:tr>
      <w:tr w:rsidR="00687FD1" w:rsidRPr="00687FD1" w:rsidTr="00295731">
        <w:trPr>
          <w:trHeight w:val="284"/>
        </w:trPr>
        <w:tc>
          <w:tcPr>
            <w:tcW w:w="1668" w:type="dxa"/>
            <w:vAlign w:val="center"/>
          </w:tcPr>
          <w:p w:rsidR="00687FD1" w:rsidRPr="00687FD1" w:rsidRDefault="00687FD1" w:rsidP="00687FD1">
            <w:pPr>
              <w:jc w:val="left"/>
              <w:rPr>
                <w:sz w:val="20"/>
                <w:szCs w:val="20"/>
              </w:rPr>
            </w:pPr>
            <w:r w:rsidRPr="00687FD1">
              <w:rPr>
                <w:sz w:val="20"/>
                <w:szCs w:val="20"/>
              </w:rPr>
              <w:t>Slovakia</w:t>
            </w:r>
          </w:p>
        </w:tc>
        <w:tc>
          <w:tcPr>
            <w:tcW w:w="1141" w:type="dxa"/>
            <w:vAlign w:val="center"/>
          </w:tcPr>
          <w:p w:rsidR="00687FD1" w:rsidRPr="00687FD1" w:rsidRDefault="00687FD1" w:rsidP="00687FD1">
            <w:pPr>
              <w:jc w:val="left"/>
              <w:rPr>
                <w:b w:val="0"/>
                <w:sz w:val="20"/>
                <w:szCs w:val="20"/>
              </w:rPr>
            </w:pPr>
            <w:r w:rsidRPr="00687FD1">
              <w:rPr>
                <w:b w:val="0"/>
                <w:sz w:val="20"/>
                <w:szCs w:val="20"/>
              </w:rPr>
              <w:t>x</w:t>
            </w:r>
          </w:p>
        </w:tc>
        <w:tc>
          <w:tcPr>
            <w:tcW w:w="1141" w:type="dxa"/>
            <w:vAlign w:val="center"/>
          </w:tcPr>
          <w:p w:rsidR="00687FD1" w:rsidRPr="00687FD1" w:rsidRDefault="00687FD1" w:rsidP="00687FD1">
            <w:pPr>
              <w:jc w:val="left"/>
              <w:rPr>
                <w:b w:val="0"/>
                <w:sz w:val="20"/>
                <w:szCs w:val="20"/>
              </w:rPr>
            </w:pPr>
            <w:r w:rsidRPr="00687FD1">
              <w:rPr>
                <w:b w:val="0"/>
                <w:sz w:val="20"/>
                <w:szCs w:val="20"/>
              </w:rPr>
              <w:t>CO</w:t>
            </w:r>
          </w:p>
        </w:tc>
        <w:tc>
          <w:tcPr>
            <w:tcW w:w="1120" w:type="dxa"/>
            <w:vAlign w:val="center"/>
          </w:tcPr>
          <w:p w:rsidR="00687FD1" w:rsidRPr="00687FD1" w:rsidRDefault="00687FD1" w:rsidP="00687FD1">
            <w:pPr>
              <w:jc w:val="left"/>
              <w:rPr>
                <w:b w:val="0"/>
                <w:sz w:val="20"/>
                <w:szCs w:val="20"/>
              </w:rPr>
            </w:pP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tcPr>
          <w:p w:rsidR="00687FD1" w:rsidRDefault="00687FD1">
            <w:r w:rsidRPr="00DC58F1">
              <w:rPr>
                <w:b w:val="0"/>
                <w:sz w:val="20"/>
                <w:szCs w:val="20"/>
              </w:rPr>
              <w:t>x</w:t>
            </w:r>
          </w:p>
        </w:tc>
        <w:tc>
          <w:tcPr>
            <w:tcW w:w="957" w:type="dxa"/>
            <w:vAlign w:val="center"/>
          </w:tcPr>
          <w:p w:rsidR="00687FD1" w:rsidRPr="00687FD1" w:rsidRDefault="00687FD1" w:rsidP="00687FD1">
            <w:pPr>
              <w:jc w:val="left"/>
              <w:rPr>
                <w:b w:val="0"/>
                <w:sz w:val="20"/>
                <w:szCs w:val="20"/>
              </w:rPr>
            </w:pPr>
            <w:r w:rsidRPr="00687FD1">
              <w:rPr>
                <w:b w:val="0"/>
                <w:sz w:val="20"/>
                <w:szCs w:val="20"/>
              </w:rPr>
              <w:t>x</w:t>
            </w:r>
          </w:p>
        </w:tc>
        <w:tc>
          <w:tcPr>
            <w:tcW w:w="1326" w:type="dxa"/>
            <w:vAlign w:val="center"/>
          </w:tcPr>
          <w:p w:rsidR="00687FD1" w:rsidRPr="00687FD1" w:rsidRDefault="00687FD1" w:rsidP="00687FD1">
            <w:pPr>
              <w:jc w:val="left"/>
              <w:rPr>
                <w:b w:val="0"/>
                <w:sz w:val="20"/>
                <w:szCs w:val="20"/>
              </w:rPr>
            </w:pPr>
          </w:p>
        </w:tc>
      </w:tr>
      <w:tr w:rsidR="00687FD1" w:rsidRPr="00687FD1" w:rsidTr="00295731">
        <w:trPr>
          <w:trHeight w:val="284"/>
        </w:trPr>
        <w:tc>
          <w:tcPr>
            <w:tcW w:w="1668" w:type="dxa"/>
            <w:vAlign w:val="center"/>
          </w:tcPr>
          <w:p w:rsidR="00687FD1" w:rsidRPr="00687FD1" w:rsidRDefault="00687FD1" w:rsidP="00687FD1">
            <w:pPr>
              <w:jc w:val="left"/>
              <w:rPr>
                <w:sz w:val="20"/>
                <w:szCs w:val="20"/>
              </w:rPr>
            </w:pPr>
            <w:r w:rsidRPr="00687FD1">
              <w:rPr>
                <w:sz w:val="20"/>
                <w:szCs w:val="20"/>
              </w:rPr>
              <w:t>Slovenia</w:t>
            </w:r>
          </w:p>
        </w:tc>
        <w:tc>
          <w:tcPr>
            <w:tcW w:w="1141" w:type="dxa"/>
            <w:vAlign w:val="center"/>
          </w:tcPr>
          <w:p w:rsidR="00687FD1" w:rsidRPr="00687FD1" w:rsidRDefault="00687FD1" w:rsidP="00687FD1">
            <w:pPr>
              <w:jc w:val="left"/>
              <w:rPr>
                <w:b w:val="0"/>
                <w:sz w:val="20"/>
                <w:szCs w:val="20"/>
              </w:rPr>
            </w:pPr>
            <w:r w:rsidRPr="00687FD1">
              <w:rPr>
                <w:b w:val="0"/>
                <w:sz w:val="20"/>
                <w:szCs w:val="20"/>
              </w:rPr>
              <w:t>x</w:t>
            </w:r>
          </w:p>
        </w:tc>
        <w:tc>
          <w:tcPr>
            <w:tcW w:w="1141" w:type="dxa"/>
            <w:vAlign w:val="center"/>
          </w:tcPr>
          <w:p w:rsidR="00687FD1" w:rsidRPr="00687FD1" w:rsidRDefault="00687FD1" w:rsidP="00687FD1">
            <w:pPr>
              <w:jc w:val="left"/>
              <w:rPr>
                <w:b w:val="0"/>
                <w:sz w:val="20"/>
                <w:szCs w:val="20"/>
              </w:rPr>
            </w:pPr>
            <w:r w:rsidRPr="00687FD1">
              <w:rPr>
                <w:b w:val="0"/>
                <w:sz w:val="20"/>
                <w:szCs w:val="20"/>
              </w:rPr>
              <w:t>CO</w:t>
            </w:r>
          </w:p>
        </w:tc>
        <w:tc>
          <w:tcPr>
            <w:tcW w:w="1120" w:type="dxa"/>
            <w:vAlign w:val="center"/>
          </w:tcPr>
          <w:p w:rsidR="00687FD1" w:rsidRPr="00687FD1" w:rsidRDefault="00687FD1" w:rsidP="00687FD1">
            <w:pPr>
              <w:jc w:val="left"/>
              <w:rPr>
                <w:b w:val="0"/>
                <w:sz w:val="20"/>
                <w:szCs w:val="20"/>
              </w:rPr>
            </w:pP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tcPr>
          <w:p w:rsidR="00687FD1" w:rsidRDefault="00687FD1">
            <w:r w:rsidRPr="00DC58F1">
              <w:rPr>
                <w:b w:val="0"/>
                <w:sz w:val="20"/>
                <w:szCs w:val="20"/>
              </w:rPr>
              <w:t>x</w:t>
            </w:r>
          </w:p>
        </w:tc>
        <w:tc>
          <w:tcPr>
            <w:tcW w:w="957" w:type="dxa"/>
            <w:vAlign w:val="center"/>
          </w:tcPr>
          <w:p w:rsidR="00687FD1" w:rsidRPr="00687FD1" w:rsidRDefault="00687FD1" w:rsidP="00687FD1">
            <w:pPr>
              <w:jc w:val="left"/>
              <w:rPr>
                <w:b w:val="0"/>
                <w:sz w:val="20"/>
                <w:szCs w:val="20"/>
              </w:rPr>
            </w:pPr>
            <w:r w:rsidRPr="00687FD1">
              <w:rPr>
                <w:b w:val="0"/>
                <w:sz w:val="20"/>
                <w:szCs w:val="20"/>
              </w:rPr>
              <w:t>x</w:t>
            </w:r>
          </w:p>
        </w:tc>
        <w:tc>
          <w:tcPr>
            <w:tcW w:w="1326" w:type="dxa"/>
            <w:vAlign w:val="center"/>
          </w:tcPr>
          <w:p w:rsidR="00687FD1" w:rsidRPr="00687FD1" w:rsidRDefault="00687FD1" w:rsidP="00687FD1">
            <w:pPr>
              <w:jc w:val="left"/>
              <w:rPr>
                <w:b w:val="0"/>
                <w:sz w:val="20"/>
                <w:szCs w:val="20"/>
              </w:rPr>
            </w:pPr>
          </w:p>
        </w:tc>
      </w:tr>
      <w:tr w:rsidR="00687FD1" w:rsidRPr="00687FD1" w:rsidTr="00295731">
        <w:trPr>
          <w:trHeight w:val="284"/>
        </w:trPr>
        <w:tc>
          <w:tcPr>
            <w:tcW w:w="1668" w:type="dxa"/>
            <w:vAlign w:val="center"/>
          </w:tcPr>
          <w:p w:rsidR="00687FD1" w:rsidRPr="00687FD1" w:rsidRDefault="00687FD1" w:rsidP="00687FD1">
            <w:pPr>
              <w:jc w:val="left"/>
              <w:rPr>
                <w:sz w:val="20"/>
                <w:szCs w:val="20"/>
              </w:rPr>
            </w:pPr>
            <w:r w:rsidRPr="00687FD1">
              <w:rPr>
                <w:sz w:val="20"/>
                <w:szCs w:val="20"/>
              </w:rPr>
              <w:t>Switzerland</w:t>
            </w:r>
          </w:p>
        </w:tc>
        <w:tc>
          <w:tcPr>
            <w:tcW w:w="1141" w:type="dxa"/>
            <w:vAlign w:val="center"/>
          </w:tcPr>
          <w:p w:rsidR="00687FD1" w:rsidRPr="00687FD1" w:rsidRDefault="00687FD1" w:rsidP="00687FD1">
            <w:pPr>
              <w:jc w:val="left"/>
              <w:rPr>
                <w:b w:val="0"/>
                <w:sz w:val="20"/>
                <w:szCs w:val="20"/>
              </w:rPr>
            </w:pPr>
            <w:r w:rsidRPr="00687FD1">
              <w:rPr>
                <w:b w:val="0"/>
                <w:sz w:val="20"/>
                <w:szCs w:val="20"/>
              </w:rPr>
              <w:t>x (-</w:t>
            </w:r>
            <w:proofErr w:type="spellStart"/>
            <w:r w:rsidRPr="00687FD1">
              <w:rPr>
                <w:b w:val="0"/>
                <w:sz w:val="20"/>
                <w:szCs w:val="20"/>
              </w:rPr>
              <w:t>Pb</w:t>
            </w:r>
            <w:proofErr w:type="spellEnd"/>
            <w:r w:rsidRPr="00687FD1">
              <w:rPr>
                <w:b w:val="0"/>
                <w:sz w:val="20"/>
                <w:szCs w:val="20"/>
              </w:rPr>
              <w:t>)</w:t>
            </w:r>
          </w:p>
        </w:tc>
        <w:tc>
          <w:tcPr>
            <w:tcW w:w="1141" w:type="dxa"/>
            <w:vAlign w:val="center"/>
          </w:tcPr>
          <w:p w:rsidR="00687FD1" w:rsidRPr="00687FD1" w:rsidRDefault="00687FD1" w:rsidP="00687FD1">
            <w:pPr>
              <w:jc w:val="left"/>
              <w:rPr>
                <w:b w:val="0"/>
                <w:sz w:val="20"/>
                <w:szCs w:val="20"/>
              </w:rPr>
            </w:pPr>
            <w:r w:rsidRPr="00687FD1">
              <w:rPr>
                <w:b w:val="0"/>
                <w:sz w:val="20"/>
                <w:szCs w:val="20"/>
              </w:rPr>
              <w:t>CO</w:t>
            </w:r>
          </w:p>
        </w:tc>
        <w:tc>
          <w:tcPr>
            <w:tcW w:w="1120" w:type="dxa"/>
            <w:vAlign w:val="center"/>
          </w:tcPr>
          <w:p w:rsidR="00687FD1" w:rsidRPr="00687FD1" w:rsidRDefault="00687FD1" w:rsidP="00687FD1">
            <w:pPr>
              <w:jc w:val="left"/>
              <w:rPr>
                <w:b w:val="0"/>
                <w:sz w:val="20"/>
                <w:szCs w:val="20"/>
              </w:rPr>
            </w:pPr>
            <w:r w:rsidRPr="00687FD1">
              <w:rPr>
                <w:b w:val="0"/>
                <w:sz w:val="20"/>
                <w:szCs w:val="20"/>
              </w:rPr>
              <w:t>VOC</w:t>
            </w:r>
          </w:p>
        </w:tc>
        <w:tc>
          <w:tcPr>
            <w:tcW w:w="992" w:type="dxa"/>
            <w:vAlign w:val="center"/>
          </w:tcPr>
          <w:p w:rsidR="00687FD1" w:rsidRPr="00687FD1" w:rsidRDefault="00687FD1" w:rsidP="00687FD1">
            <w:pPr>
              <w:jc w:val="left"/>
              <w:rPr>
                <w:b w:val="0"/>
                <w:sz w:val="20"/>
                <w:szCs w:val="20"/>
              </w:rPr>
            </w:pPr>
            <w:r w:rsidRPr="00687FD1">
              <w:rPr>
                <w:b w:val="0"/>
                <w:sz w:val="20"/>
                <w:szCs w:val="20"/>
              </w:rPr>
              <w:t>x</w:t>
            </w:r>
          </w:p>
        </w:tc>
        <w:tc>
          <w:tcPr>
            <w:tcW w:w="1311" w:type="dxa"/>
          </w:tcPr>
          <w:p w:rsidR="00687FD1" w:rsidRDefault="00687FD1">
            <w:r w:rsidRPr="00DC58F1">
              <w:rPr>
                <w:b w:val="0"/>
                <w:sz w:val="20"/>
                <w:szCs w:val="20"/>
              </w:rPr>
              <w:t>x</w:t>
            </w:r>
          </w:p>
        </w:tc>
        <w:tc>
          <w:tcPr>
            <w:tcW w:w="957" w:type="dxa"/>
            <w:vAlign w:val="center"/>
          </w:tcPr>
          <w:p w:rsidR="00687FD1" w:rsidRPr="00687FD1" w:rsidRDefault="00687FD1" w:rsidP="00687FD1">
            <w:pPr>
              <w:jc w:val="left"/>
              <w:rPr>
                <w:b w:val="0"/>
                <w:sz w:val="20"/>
                <w:szCs w:val="20"/>
              </w:rPr>
            </w:pPr>
            <w:r w:rsidRPr="00687FD1">
              <w:rPr>
                <w:b w:val="0"/>
                <w:sz w:val="20"/>
                <w:szCs w:val="20"/>
              </w:rPr>
              <w:t>x</w:t>
            </w:r>
          </w:p>
        </w:tc>
        <w:tc>
          <w:tcPr>
            <w:tcW w:w="1326" w:type="dxa"/>
            <w:vAlign w:val="center"/>
          </w:tcPr>
          <w:p w:rsidR="00687FD1" w:rsidRPr="00687FD1" w:rsidRDefault="00687FD1" w:rsidP="00687FD1">
            <w:pPr>
              <w:jc w:val="left"/>
              <w:rPr>
                <w:b w:val="0"/>
                <w:sz w:val="20"/>
                <w:szCs w:val="20"/>
              </w:rPr>
            </w:pPr>
            <w:r w:rsidRPr="00687FD1">
              <w:rPr>
                <w:b w:val="0"/>
                <w:sz w:val="20"/>
                <w:szCs w:val="20"/>
              </w:rPr>
              <w:t>x</w:t>
            </w:r>
          </w:p>
        </w:tc>
      </w:tr>
    </w:tbl>
    <w:p w:rsidR="004E28FB" w:rsidRPr="00687FD1" w:rsidRDefault="004E28FB" w:rsidP="00687FD1">
      <w:pPr>
        <w:pStyle w:val="Heading2"/>
        <w:rPr>
          <w:rStyle w:val="Strong"/>
          <w:b/>
          <w:bCs w:val="0"/>
        </w:rPr>
      </w:pPr>
      <w:bookmarkStart w:id="642" w:name="_Toc383738824"/>
      <w:bookmarkStart w:id="643" w:name="_Toc392598894"/>
      <w:r w:rsidRPr="00687FD1">
        <w:rPr>
          <w:rStyle w:val="Strong"/>
          <w:b/>
          <w:bCs w:val="0"/>
        </w:rPr>
        <w:t>Methods Evaluation</w:t>
      </w:r>
      <w:bookmarkEnd w:id="642"/>
      <w:bookmarkEnd w:id="643"/>
    </w:p>
    <w:p w:rsidR="004E28FB" w:rsidRPr="00623E33" w:rsidRDefault="004E28FB" w:rsidP="00687FD1">
      <w:r w:rsidRPr="00623E33">
        <w:t>Methods of ambient air measurements employed throughout European ambient air quality networks vary widely, with a residue of manual methods remaining from prior practices. The majority of network methods employ reference methods conforming to the requirements set in EU directives, or considered equivalent to them.</w:t>
      </w:r>
      <w:r>
        <w:t xml:space="preserve"> </w:t>
      </w:r>
      <w:r w:rsidRPr="00623E33">
        <w:t>For the purpose of this analysis several states have been roughly classified according to the following scheme:</w:t>
      </w:r>
    </w:p>
    <w:p w:rsidR="004E28FB" w:rsidRPr="00687FD1" w:rsidRDefault="004E28FB" w:rsidP="00687FD1">
      <w:pPr>
        <w:pStyle w:val="Heading3"/>
      </w:pPr>
      <w:bookmarkStart w:id="644" w:name="_Toc392596396"/>
      <w:r w:rsidRPr="00687FD1">
        <w:t>Standard techniques</w:t>
      </w:r>
      <w:bookmarkEnd w:id="644"/>
    </w:p>
    <w:p w:rsidR="004E28FB" w:rsidRPr="00623E33" w:rsidRDefault="004E28FB" w:rsidP="00687FD1">
      <w:pPr>
        <w:rPr>
          <w:rFonts w:cs="Arial"/>
          <w:color w:val="000000" w:themeColor="text1"/>
        </w:rPr>
      </w:pPr>
      <w:r w:rsidRPr="00623E33">
        <w:rPr>
          <w:rFonts w:cs="Arial"/>
          <w:color w:val="000000" w:themeColor="text1"/>
        </w:rPr>
        <w:t>Conforms to the requirements set in EU directives, or considered equivalent to those.</w:t>
      </w:r>
    </w:p>
    <w:p w:rsidR="004E28FB" w:rsidRPr="00687FD1" w:rsidRDefault="004E28FB" w:rsidP="00687FD1">
      <w:pPr>
        <w:pStyle w:val="Heading3"/>
      </w:pPr>
      <w:bookmarkStart w:id="645" w:name="_Toc392596397"/>
      <w:r w:rsidRPr="00687FD1">
        <w:t>State-of-the-art, or advanced techniques</w:t>
      </w:r>
      <w:bookmarkEnd w:id="645"/>
    </w:p>
    <w:p w:rsidR="004E28FB" w:rsidRPr="00623E33" w:rsidRDefault="004E28FB" w:rsidP="00687FD1">
      <w:pPr>
        <w:rPr>
          <w:rFonts w:cs="Arial"/>
          <w:color w:val="000000" w:themeColor="text1"/>
        </w:rPr>
      </w:pPr>
      <w:r w:rsidRPr="00623E33">
        <w:rPr>
          <w:rFonts w:cs="Arial"/>
          <w:color w:val="000000" w:themeColor="text1"/>
        </w:rPr>
        <w:t>These include e.g. the DOAS technique</w:t>
      </w:r>
      <w:r>
        <w:rPr>
          <w:rFonts w:cs="Arial"/>
          <w:color w:val="000000" w:themeColor="text1"/>
        </w:rPr>
        <w:t xml:space="preserve">, light scattering and beta attenuation PM detection, Gas Chromatography for Benzene/ BTEX detection as well as </w:t>
      </w:r>
      <w:r w:rsidRPr="00623E33">
        <w:rPr>
          <w:rFonts w:cs="Arial"/>
          <w:color w:val="000000" w:themeColor="text1"/>
        </w:rPr>
        <w:t>diffusion tubes for NO</w:t>
      </w:r>
      <w:r w:rsidRPr="00A9520C">
        <w:rPr>
          <w:color w:val="000000" w:themeColor="text1"/>
          <w:vertAlign w:val="subscript"/>
        </w:rPr>
        <w:t>2</w:t>
      </w:r>
      <w:r w:rsidRPr="00623E33">
        <w:rPr>
          <w:rFonts w:cs="Arial"/>
          <w:color w:val="000000" w:themeColor="text1"/>
        </w:rPr>
        <w:t>, BTX etc.</w:t>
      </w:r>
    </w:p>
    <w:p w:rsidR="004E28FB" w:rsidRPr="00687FD1" w:rsidRDefault="004E28FB" w:rsidP="00687FD1">
      <w:pPr>
        <w:pStyle w:val="Heading3"/>
      </w:pPr>
      <w:bookmarkStart w:id="646" w:name="_Toc392596398"/>
      <w:r w:rsidRPr="00687FD1">
        <w:lastRenderedPageBreak/>
        <w:t>Non-standard techniques</w:t>
      </w:r>
      <w:bookmarkEnd w:id="646"/>
    </w:p>
    <w:p w:rsidR="004E28FB" w:rsidRPr="00623E33" w:rsidRDefault="004E28FB" w:rsidP="00687FD1">
      <w:pPr>
        <w:rPr>
          <w:rFonts w:cs="Arial"/>
          <w:color w:val="000000" w:themeColor="text1"/>
        </w:rPr>
      </w:pPr>
      <w:r w:rsidRPr="00623E33">
        <w:rPr>
          <w:rFonts w:cs="Arial"/>
          <w:color w:val="000000" w:themeColor="text1"/>
        </w:rPr>
        <w:t>Techniques not conforming to the requirements of the directives, or not considered equivalent, in terms of required accuracy and specificity.</w:t>
      </w:r>
    </w:p>
    <w:p w:rsidR="004E28FB" w:rsidRPr="00687FD1" w:rsidRDefault="004E28FB" w:rsidP="00687FD1">
      <w:pPr>
        <w:pStyle w:val="Heading3"/>
      </w:pPr>
      <w:bookmarkStart w:id="647" w:name="_Toc392596399"/>
      <w:r w:rsidRPr="00687FD1">
        <w:t>Methods</w:t>
      </w:r>
      <w:bookmarkEnd w:id="647"/>
    </w:p>
    <w:p w:rsidR="004E28FB" w:rsidRPr="00687FD1" w:rsidRDefault="004E28FB" w:rsidP="00687FD1">
      <w:r w:rsidRPr="00623E33">
        <w:t xml:space="preserve">Standard methods, samplers and monitors are used almost exclusively in most of the EU states networks, as described in EU directives. Though a number of Eastern Europe states (e.g. Albania, </w:t>
      </w:r>
      <w:r w:rsidRPr="00687FD1">
        <w:t>Bulgaria, Croatia, Estonia, Romania) have deployed non-standard methods for some of the compounds.</w:t>
      </w:r>
    </w:p>
    <w:p w:rsidR="004E28FB" w:rsidRPr="00687FD1" w:rsidRDefault="004E28FB" w:rsidP="00687FD1">
      <w:r w:rsidRPr="00687FD1">
        <w:t>All countries utilise standard or advanced/state-of-the-art methods for some or all of the compounds measured. In addition a limited number of EU states have deployed advanced monitoring methods routinely at some sites, such as DOAS in Finland, Norway and Sweden, and on-line compound-specific VOC analysis in the UK.</w:t>
      </w:r>
    </w:p>
    <w:p w:rsidR="004E28FB" w:rsidRPr="00623E33" w:rsidRDefault="004E28FB" w:rsidP="00687FD1">
      <w:r w:rsidRPr="00687FD1">
        <w:t xml:space="preserve">Among the new techniques are candidates </w:t>
      </w:r>
      <w:proofErr w:type="gramStart"/>
      <w:r w:rsidRPr="00687FD1">
        <w:t>which</w:t>
      </w:r>
      <w:proofErr w:type="gramEnd"/>
      <w:r w:rsidRPr="00687FD1">
        <w:t xml:space="preserve"> are being introduced soon into air quality directives or as reference</w:t>
      </w:r>
      <w:r w:rsidRPr="00623E33">
        <w:t xml:space="preserve"> methods. These include new PM</w:t>
      </w:r>
      <w:r w:rsidRPr="00623E33">
        <w:rPr>
          <w:vertAlign w:val="subscript"/>
        </w:rPr>
        <w:t>10</w:t>
      </w:r>
      <w:r w:rsidRPr="00623E33">
        <w:t xml:space="preserve"> equivalence methods, Benzene/BTX analysis either manually or by DOAS, or other (UK, see below), passive samplers for SO</w:t>
      </w:r>
      <w:r w:rsidRPr="00623E33">
        <w:rPr>
          <w:vertAlign w:val="subscript"/>
        </w:rPr>
        <w:t>2</w:t>
      </w:r>
      <w:r w:rsidRPr="00623E33">
        <w:t xml:space="preserve">, </w:t>
      </w:r>
      <w:proofErr w:type="gramStart"/>
      <w:r w:rsidRPr="00623E33">
        <w:t>NO</w:t>
      </w:r>
      <w:r w:rsidRPr="00623E33">
        <w:rPr>
          <w:vertAlign w:val="subscript"/>
        </w:rPr>
        <w:t>2</w:t>
      </w:r>
      <w:r w:rsidRPr="00623E33">
        <w:t xml:space="preserve"> ,</w:t>
      </w:r>
      <w:proofErr w:type="gramEnd"/>
      <w:r w:rsidRPr="00623E33">
        <w:t xml:space="preserve"> BTX etc.</w:t>
      </w:r>
    </w:p>
    <w:p w:rsidR="004E28FB" w:rsidRDefault="004E28FB" w:rsidP="00687FD1">
      <w:r w:rsidRPr="00623E33">
        <w:t xml:space="preserve">Table </w:t>
      </w:r>
      <w:r>
        <w:t>3</w:t>
      </w:r>
      <w:r w:rsidRPr="00623E33">
        <w:t>-</w:t>
      </w:r>
      <w:r>
        <w:t>3</w:t>
      </w:r>
      <w:r w:rsidRPr="00623E33">
        <w:t xml:space="preserve"> below </w:t>
      </w:r>
      <w:r>
        <w:t xml:space="preserve">Indicates which European States have succeeded in adopting all required monitoring </w:t>
      </w:r>
      <w:r w:rsidRPr="00623E33">
        <w:t xml:space="preserve">methods </w:t>
      </w:r>
      <w:r>
        <w:t xml:space="preserve">required by </w:t>
      </w:r>
      <w:r w:rsidRPr="00F120FC">
        <w:t>EU Air Quality Directives</w:t>
      </w:r>
      <w:r>
        <w:t>, including state of the art techniques such as DOAS and light scattering techniques</w:t>
      </w:r>
      <w:r w:rsidRPr="00F120FC">
        <w:t>.</w:t>
      </w:r>
    </w:p>
    <w:p w:rsidR="004E28FB" w:rsidRDefault="004E28FB" w:rsidP="00687FD1">
      <w:r w:rsidRPr="00623E33">
        <w:t xml:space="preserve">Table </w:t>
      </w:r>
      <w:r>
        <w:t>3-4 indicates which EU member states have employed</w:t>
      </w:r>
      <w:r w:rsidRPr="00623E33">
        <w:t xml:space="preserve"> new parameters and techniques.</w:t>
      </w:r>
    </w:p>
    <w:p w:rsidR="004E28FB" w:rsidRPr="00F120FC" w:rsidRDefault="004E28FB" w:rsidP="00687FD1">
      <w:pPr>
        <w:pStyle w:val="TOC1"/>
        <w:keepLines/>
      </w:pPr>
      <w:r w:rsidRPr="00F120FC">
        <w:t xml:space="preserve">Table </w:t>
      </w:r>
      <w:r>
        <w:t>3</w:t>
      </w:r>
      <w:r w:rsidRPr="00F120FC">
        <w:t>-3 European States which have succeeded in adopting relevant EU Air Quality Directive Monitoring Methods</w:t>
      </w:r>
    </w:p>
    <w:tbl>
      <w:tblPr>
        <w:tblW w:w="9528" w:type="dxa"/>
        <w:tblInd w:w="93" w:type="dxa"/>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12" w:space="0" w:color="76923C" w:themeColor="accent3" w:themeShade="BF"/>
          <w:insideV w:val="single" w:sz="12" w:space="0" w:color="76923C" w:themeColor="accent3" w:themeShade="BF"/>
        </w:tblBorders>
        <w:tblLayout w:type="fixed"/>
        <w:tblLook w:val="04A0" w:firstRow="1" w:lastRow="0" w:firstColumn="1" w:lastColumn="0" w:noHBand="0" w:noVBand="1"/>
      </w:tblPr>
      <w:tblGrid>
        <w:gridCol w:w="1485"/>
        <w:gridCol w:w="664"/>
        <w:gridCol w:w="665"/>
        <w:gridCol w:w="665"/>
        <w:gridCol w:w="665"/>
        <w:gridCol w:w="549"/>
        <w:gridCol w:w="780"/>
        <w:gridCol w:w="665"/>
        <w:gridCol w:w="823"/>
        <w:gridCol w:w="507"/>
        <w:gridCol w:w="665"/>
        <w:gridCol w:w="529"/>
        <w:gridCol w:w="866"/>
      </w:tblGrid>
      <w:tr w:rsidR="004E28FB" w:rsidRPr="00C53910" w:rsidTr="005B6270">
        <w:trPr>
          <w:trHeight w:val="360"/>
        </w:trPr>
        <w:tc>
          <w:tcPr>
            <w:tcW w:w="1485" w:type="dxa"/>
            <w:vMerge w:val="restart"/>
            <w:shd w:val="clear" w:color="auto" w:fill="1F497D" w:themeFill="text2"/>
            <w:noWrap/>
            <w:vAlign w:val="center"/>
            <w:hideMark/>
          </w:tcPr>
          <w:p w:rsidR="004E28FB" w:rsidRPr="00BB4ACC" w:rsidRDefault="004E28FB" w:rsidP="005B6270">
            <w:pPr>
              <w:keepNext/>
              <w:keepLines/>
              <w:spacing w:line="240" w:lineRule="auto"/>
              <w:jc w:val="center"/>
              <w:rPr>
                <w:rFonts w:cs="Arial"/>
                <w:b/>
                <w:color w:val="FFFFFF" w:themeColor="background1"/>
                <w:sz w:val="20"/>
                <w:lang w:eastAsia="en-GB"/>
              </w:rPr>
            </w:pPr>
            <w:r w:rsidRPr="00BB4ACC">
              <w:rPr>
                <w:rFonts w:cs="Arial"/>
                <w:b/>
                <w:color w:val="FFFFFF" w:themeColor="background1"/>
                <w:sz w:val="20"/>
                <w:lang w:eastAsia="en-GB"/>
              </w:rPr>
              <w:t>European Country</w:t>
            </w:r>
          </w:p>
        </w:tc>
        <w:tc>
          <w:tcPr>
            <w:tcW w:w="7177" w:type="dxa"/>
            <w:gridSpan w:val="11"/>
            <w:shd w:val="clear" w:color="auto" w:fill="1F497D" w:themeFill="text2"/>
            <w:noWrap/>
            <w:vAlign w:val="bottom"/>
            <w:hideMark/>
          </w:tcPr>
          <w:p w:rsidR="004E28FB" w:rsidRPr="00BB4ACC" w:rsidRDefault="004E28FB" w:rsidP="00687FD1">
            <w:pPr>
              <w:keepNext/>
              <w:keepLines/>
              <w:spacing w:line="240" w:lineRule="auto"/>
              <w:jc w:val="center"/>
              <w:rPr>
                <w:rFonts w:cs="Arial"/>
                <w:b/>
                <w:color w:val="FFFFFF" w:themeColor="background1"/>
                <w:sz w:val="20"/>
                <w:lang w:eastAsia="en-GB"/>
              </w:rPr>
            </w:pPr>
            <w:r w:rsidRPr="00BB4ACC">
              <w:rPr>
                <w:rFonts w:cs="Arial"/>
                <w:b/>
                <w:color w:val="FFFFFF" w:themeColor="background1"/>
                <w:sz w:val="20"/>
                <w:lang w:eastAsia="en-GB"/>
              </w:rPr>
              <w:t>Species</w:t>
            </w:r>
          </w:p>
        </w:tc>
        <w:tc>
          <w:tcPr>
            <w:tcW w:w="866" w:type="dxa"/>
            <w:shd w:val="clear" w:color="auto" w:fill="1F497D" w:themeFill="text2"/>
          </w:tcPr>
          <w:p w:rsidR="004E28FB" w:rsidRPr="00BB4ACC" w:rsidRDefault="004E28FB" w:rsidP="00687FD1">
            <w:pPr>
              <w:keepNext/>
              <w:keepLines/>
              <w:spacing w:line="240" w:lineRule="auto"/>
              <w:jc w:val="center"/>
              <w:rPr>
                <w:rFonts w:cs="Arial"/>
                <w:b/>
                <w:color w:val="FFFFFF" w:themeColor="background1"/>
                <w:sz w:val="20"/>
                <w:lang w:eastAsia="en-GB"/>
              </w:rPr>
            </w:pPr>
          </w:p>
        </w:tc>
      </w:tr>
      <w:tr w:rsidR="005B6270" w:rsidRPr="00C53910" w:rsidTr="005B6270">
        <w:trPr>
          <w:trHeight w:val="360"/>
        </w:trPr>
        <w:tc>
          <w:tcPr>
            <w:tcW w:w="1485" w:type="dxa"/>
            <w:vMerge/>
            <w:shd w:val="clear" w:color="auto" w:fill="1F497D" w:themeFill="text2"/>
            <w:noWrap/>
            <w:vAlign w:val="bottom"/>
            <w:hideMark/>
          </w:tcPr>
          <w:p w:rsidR="004E28FB" w:rsidRPr="00BB4ACC" w:rsidRDefault="004E28FB" w:rsidP="00687FD1">
            <w:pPr>
              <w:keepNext/>
              <w:keepLines/>
              <w:spacing w:line="240" w:lineRule="auto"/>
              <w:jc w:val="center"/>
              <w:rPr>
                <w:rFonts w:cs="Arial"/>
                <w:b/>
                <w:color w:val="FFFFFF" w:themeColor="background1"/>
                <w:sz w:val="20"/>
                <w:lang w:eastAsia="en-GB"/>
              </w:rPr>
            </w:pPr>
          </w:p>
        </w:tc>
        <w:tc>
          <w:tcPr>
            <w:tcW w:w="664" w:type="dxa"/>
            <w:shd w:val="clear" w:color="auto" w:fill="1F497D" w:themeFill="text2"/>
            <w:noWrap/>
            <w:vAlign w:val="bottom"/>
            <w:hideMark/>
          </w:tcPr>
          <w:p w:rsidR="004E28FB" w:rsidRPr="00BB4ACC" w:rsidRDefault="004E28FB" w:rsidP="00687FD1">
            <w:pPr>
              <w:keepNext/>
              <w:keepLines/>
              <w:spacing w:line="240" w:lineRule="auto"/>
              <w:jc w:val="center"/>
              <w:rPr>
                <w:rFonts w:cs="Arial"/>
                <w:b/>
                <w:color w:val="FFFFFF" w:themeColor="background1"/>
                <w:sz w:val="20"/>
                <w:lang w:eastAsia="en-GB"/>
              </w:rPr>
            </w:pPr>
            <w:r w:rsidRPr="00BB4ACC">
              <w:rPr>
                <w:rFonts w:cs="Arial"/>
                <w:b/>
                <w:color w:val="FFFFFF" w:themeColor="background1"/>
                <w:sz w:val="20"/>
                <w:lang w:eastAsia="en-GB"/>
              </w:rPr>
              <w:t>SO</w:t>
            </w:r>
            <w:r w:rsidRPr="00BB4ACC">
              <w:rPr>
                <w:rFonts w:cs="Arial"/>
                <w:b/>
                <w:color w:val="FFFFFF" w:themeColor="background1"/>
                <w:sz w:val="20"/>
                <w:vertAlign w:val="subscript"/>
                <w:lang w:eastAsia="en-GB"/>
              </w:rPr>
              <w:t>2</w:t>
            </w:r>
          </w:p>
        </w:tc>
        <w:tc>
          <w:tcPr>
            <w:tcW w:w="665" w:type="dxa"/>
            <w:shd w:val="clear" w:color="auto" w:fill="1F497D" w:themeFill="text2"/>
            <w:noWrap/>
            <w:vAlign w:val="bottom"/>
            <w:hideMark/>
          </w:tcPr>
          <w:p w:rsidR="004E28FB" w:rsidRPr="00BB4ACC" w:rsidRDefault="004E28FB" w:rsidP="00687FD1">
            <w:pPr>
              <w:keepNext/>
              <w:keepLines/>
              <w:spacing w:line="240" w:lineRule="auto"/>
              <w:jc w:val="center"/>
              <w:rPr>
                <w:rFonts w:cs="Arial"/>
                <w:b/>
                <w:color w:val="FFFFFF" w:themeColor="background1"/>
                <w:sz w:val="20"/>
                <w:lang w:eastAsia="en-GB"/>
              </w:rPr>
            </w:pPr>
            <w:r w:rsidRPr="00BB4ACC">
              <w:rPr>
                <w:rFonts w:cs="Arial"/>
                <w:b/>
                <w:color w:val="FFFFFF" w:themeColor="background1"/>
                <w:sz w:val="20"/>
                <w:lang w:eastAsia="en-GB"/>
              </w:rPr>
              <w:t>PM</w:t>
            </w:r>
            <w:r w:rsidRPr="00BB4ACC">
              <w:rPr>
                <w:rFonts w:cs="Arial"/>
                <w:b/>
                <w:color w:val="FFFFFF" w:themeColor="background1"/>
                <w:sz w:val="20"/>
                <w:vertAlign w:val="subscript"/>
                <w:lang w:eastAsia="en-GB"/>
              </w:rPr>
              <w:t>10</w:t>
            </w:r>
          </w:p>
        </w:tc>
        <w:tc>
          <w:tcPr>
            <w:tcW w:w="665" w:type="dxa"/>
            <w:shd w:val="clear" w:color="auto" w:fill="1F497D" w:themeFill="text2"/>
            <w:noWrap/>
            <w:vAlign w:val="bottom"/>
            <w:hideMark/>
          </w:tcPr>
          <w:p w:rsidR="004E28FB" w:rsidRPr="00BB4ACC" w:rsidRDefault="004E28FB" w:rsidP="00687FD1">
            <w:pPr>
              <w:keepNext/>
              <w:keepLines/>
              <w:spacing w:line="240" w:lineRule="auto"/>
              <w:jc w:val="center"/>
              <w:rPr>
                <w:rFonts w:cs="Arial"/>
                <w:b/>
                <w:color w:val="FFFFFF" w:themeColor="background1"/>
                <w:sz w:val="20"/>
                <w:lang w:eastAsia="en-GB"/>
              </w:rPr>
            </w:pPr>
            <w:r w:rsidRPr="00BB4ACC">
              <w:rPr>
                <w:rFonts w:cs="Arial"/>
                <w:b/>
                <w:color w:val="FFFFFF" w:themeColor="background1"/>
                <w:sz w:val="20"/>
                <w:lang w:eastAsia="en-GB"/>
              </w:rPr>
              <w:t>O</w:t>
            </w:r>
            <w:r w:rsidRPr="00BB4ACC">
              <w:rPr>
                <w:rFonts w:cs="Arial"/>
                <w:b/>
                <w:color w:val="FFFFFF" w:themeColor="background1"/>
                <w:sz w:val="20"/>
                <w:vertAlign w:val="subscript"/>
                <w:lang w:eastAsia="en-GB"/>
              </w:rPr>
              <w:t>3</w:t>
            </w:r>
          </w:p>
        </w:tc>
        <w:tc>
          <w:tcPr>
            <w:tcW w:w="665" w:type="dxa"/>
            <w:shd w:val="clear" w:color="auto" w:fill="1F497D" w:themeFill="text2"/>
            <w:noWrap/>
            <w:vAlign w:val="bottom"/>
            <w:hideMark/>
          </w:tcPr>
          <w:p w:rsidR="004E28FB" w:rsidRPr="00BB4ACC" w:rsidRDefault="004E28FB" w:rsidP="00687FD1">
            <w:pPr>
              <w:keepNext/>
              <w:keepLines/>
              <w:spacing w:line="240" w:lineRule="auto"/>
              <w:jc w:val="center"/>
              <w:rPr>
                <w:rFonts w:cs="Arial"/>
                <w:b/>
                <w:color w:val="FFFFFF" w:themeColor="background1"/>
                <w:sz w:val="20"/>
                <w:lang w:eastAsia="en-GB"/>
              </w:rPr>
            </w:pPr>
            <w:r w:rsidRPr="00BB4ACC">
              <w:rPr>
                <w:rFonts w:cs="Arial"/>
                <w:b/>
                <w:color w:val="FFFFFF" w:themeColor="background1"/>
                <w:sz w:val="20"/>
                <w:lang w:eastAsia="en-GB"/>
              </w:rPr>
              <w:t>NO</w:t>
            </w:r>
            <w:r w:rsidRPr="00BB4ACC">
              <w:rPr>
                <w:rFonts w:cs="Arial"/>
                <w:b/>
                <w:color w:val="FFFFFF" w:themeColor="background1"/>
                <w:sz w:val="20"/>
                <w:vertAlign w:val="subscript"/>
                <w:lang w:eastAsia="en-GB"/>
              </w:rPr>
              <w:t>2</w:t>
            </w:r>
          </w:p>
        </w:tc>
        <w:tc>
          <w:tcPr>
            <w:tcW w:w="549" w:type="dxa"/>
            <w:shd w:val="clear" w:color="auto" w:fill="1F497D" w:themeFill="text2"/>
            <w:noWrap/>
            <w:vAlign w:val="bottom"/>
            <w:hideMark/>
          </w:tcPr>
          <w:p w:rsidR="004E28FB" w:rsidRPr="00BB4ACC" w:rsidRDefault="004E28FB" w:rsidP="00687FD1">
            <w:pPr>
              <w:keepNext/>
              <w:keepLines/>
              <w:spacing w:line="240" w:lineRule="auto"/>
              <w:jc w:val="center"/>
              <w:rPr>
                <w:rFonts w:cs="Arial"/>
                <w:b/>
                <w:color w:val="FFFFFF" w:themeColor="background1"/>
                <w:sz w:val="20"/>
                <w:lang w:eastAsia="en-GB"/>
              </w:rPr>
            </w:pPr>
            <w:r w:rsidRPr="00BB4ACC">
              <w:rPr>
                <w:rFonts w:cs="Arial"/>
                <w:b/>
                <w:color w:val="FFFFFF" w:themeColor="background1"/>
                <w:sz w:val="20"/>
                <w:lang w:eastAsia="en-GB"/>
              </w:rPr>
              <w:t>CO</w:t>
            </w:r>
          </w:p>
        </w:tc>
        <w:tc>
          <w:tcPr>
            <w:tcW w:w="780" w:type="dxa"/>
            <w:shd w:val="clear" w:color="auto" w:fill="1F497D" w:themeFill="text2"/>
            <w:noWrap/>
            <w:vAlign w:val="bottom"/>
            <w:hideMark/>
          </w:tcPr>
          <w:p w:rsidR="004E28FB" w:rsidRPr="00BB4ACC" w:rsidRDefault="004E28FB" w:rsidP="00687FD1">
            <w:pPr>
              <w:keepNext/>
              <w:keepLines/>
              <w:spacing w:line="240" w:lineRule="auto"/>
              <w:jc w:val="center"/>
              <w:rPr>
                <w:rFonts w:cs="Arial"/>
                <w:b/>
                <w:color w:val="FFFFFF" w:themeColor="background1"/>
                <w:sz w:val="20"/>
                <w:lang w:eastAsia="en-GB"/>
              </w:rPr>
            </w:pPr>
            <w:r w:rsidRPr="00BB4ACC">
              <w:rPr>
                <w:rFonts w:cs="Arial"/>
                <w:b/>
                <w:color w:val="FFFFFF" w:themeColor="background1"/>
                <w:sz w:val="20"/>
                <w:lang w:eastAsia="en-GB"/>
              </w:rPr>
              <w:t>PM</w:t>
            </w:r>
            <w:r w:rsidRPr="00BB4ACC">
              <w:rPr>
                <w:rFonts w:cs="Arial"/>
                <w:b/>
                <w:color w:val="FFFFFF" w:themeColor="background1"/>
                <w:sz w:val="20"/>
                <w:vertAlign w:val="subscript"/>
                <w:lang w:eastAsia="en-GB"/>
              </w:rPr>
              <w:t>2.5</w:t>
            </w:r>
          </w:p>
        </w:tc>
        <w:tc>
          <w:tcPr>
            <w:tcW w:w="665" w:type="dxa"/>
            <w:shd w:val="clear" w:color="auto" w:fill="1F497D" w:themeFill="text2"/>
            <w:noWrap/>
            <w:vAlign w:val="bottom"/>
            <w:hideMark/>
          </w:tcPr>
          <w:p w:rsidR="004E28FB" w:rsidRPr="00BB4ACC" w:rsidRDefault="004E28FB" w:rsidP="00687FD1">
            <w:pPr>
              <w:keepNext/>
              <w:keepLines/>
              <w:spacing w:line="240" w:lineRule="auto"/>
              <w:jc w:val="center"/>
              <w:rPr>
                <w:rFonts w:cs="Arial"/>
                <w:b/>
                <w:color w:val="FFFFFF" w:themeColor="background1"/>
                <w:sz w:val="20"/>
                <w:lang w:eastAsia="en-GB"/>
              </w:rPr>
            </w:pPr>
            <w:r w:rsidRPr="00BB4ACC">
              <w:rPr>
                <w:rFonts w:cs="Arial"/>
                <w:b/>
                <w:color w:val="FFFFFF" w:themeColor="background1"/>
                <w:sz w:val="20"/>
                <w:lang w:eastAsia="en-GB"/>
              </w:rPr>
              <w:t>Ben</w:t>
            </w:r>
            <w:r w:rsidR="005B6270">
              <w:rPr>
                <w:rFonts w:cs="Arial"/>
                <w:b/>
                <w:color w:val="FFFFFF" w:themeColor="background1"/>
                <w:sz w:val="20"/>
                <w:lang w:eastAsia="en-GB"/>
              </w:rPr>
              <w:t>-</w:t>
            </w:r>
            <w:proofErr w:type="spellStart"/>
            <w:r w:rsidRPr="00BB4ACC">
              <w:rPr>
                <w:rFonts w:cs="Arial"/>
                <w:b/>
                <w:color w:val="FFFFFF" w:themeColor="background1"/>
                <w:sz w:val="20"/>
                <w:lang w:eastAsia="en-GB"/>
              </w:rPr>
              <w:t>zene</w:t>
            </w:r>
            <w:proofErr w:type="spellEnd"/>
          </w:p>
        </w:tc>
        <w:tc>
          <w:tcPr>
            <w:tcW w:w="823" w:type="dxa"/>
            <w:shd w:val="clear" w:color="auto" w:fill="1F497D" w:themeFill="text2"/>
            <w:noWrap/>
            <w:vAlign w:val="bottom"/>
            <w:hideMark/>
          </w:tcPr>
          <w:p w:rsidR="004E28FB" w:rsidRPr="00BB4ACC" w:rsidRDefault="004E28FB" w:rsidP="00687FD1">
            <w:pPr>
              <w:keepNext/>
              <w:keepLines/>
              <w:spacing w:line="240" w:lineRule="auto"/>
              <w:jc w:val="center"/>
              <w:rPr>
                <w:rFonts w:cs="Arial"/>
                <w:b/>
                <w:color w:val="FFFFFF" w:themeColor="background1"/>
                <w:sz w:val="20"/>
                <w:lang w:eastAsia="en-GB"/>
              </w:rPr>
            </w:pPr>
            <w:r w:rsidRPr="00BB4ACC">
              <w:rPr>
                <w:rFonts w:cs="Arial"/>
                <w:b/>
                <w:color w:val="FFFFFF" w:themeColor="background1"/>
                <w:sz w:val="20"/>
                <w:lang w:eastAsia="en-GB"/>
              </w:rPr>
              <w:t>Lead</w:t>
            </w:r>
          </w:p>
        </w:tc>
        <w:tc>
          <w:tcPr>
            <w:tcW w:w="507" w:type="dxa"/>
            <w:shd w:val="clear" w:color="auto" w:fill="1F497D" w:themeFill="text2"/>
            <w:noWrap/>
            <w:vAlign w:val="bottom"/>
            <w:hideMark/>
          </w:tcPr>
          <w:p w:rsidR="004E28FB" w:rsidRPr="00BB4ACC" w:rsidRDefault="004E28FB" w:rsidP="00687FD1">
            <w:pPr>
              <w:keepNext/>
              <w:keepLines/>
              <w:spacing w:line="240" w:lineRule="auto"/>
              <w:jc w:val="center"/>
              <w:rPr>
                <w:rFonts w:cs="Arial"/>
                <w:b/>
                <w:color w:val="FFFFFF" w:themeColor="background1"/>
                <w:sz w:val="20"/>
                <w:lang w:eastAsia="en-GB"/>
              </w:rPr>
            </w:pPr>
            <w:r w:rsidRPr="00BB4ACC">
              <w:rPr>
                <w:rFonts w:cs="Arial"/>
                <w:b/>
                <w:color w:val="FFFFFF" w:themeColor="background1"/>
                <w:sz w:val="20"/>
                <w:lang w:eastAsia="en-GB"/>
              </w:rPr>
              <w:t>Ni</w:t>
            </w:r>
          </w:p>
        </w:tc>
        <w:tc>
          <w:tcPr>
            <w:tcW w:w="665" w:type="dxa"/>
            <w:shd w:val="clear" w:color="auto" w:fill="1F497D" w:themeFill="text2"/>
            <w:noWrap/>
            <w:vAlign w:val="bottom"/>
            <w:hideMark/>
          </w:tcPr>
          <w:p w:rsidR="004E28FB" w:rsidRPr="00BB4ACC" w:rsidRDefault="004E28FB" w:rsidP="00687FD1">
            <w:pPr>
              <w:keepNext/>
              <w:keepLines/>
              <w:spacing w:line="240" w:lineRule="auto"/>
              <w:jc w:val="center"/>
              <w:rPr>
                <w:rFonts w:cs="Arial"/>
                <w:b/>
                <w:color w:val="FFFFFF" w:themeColor="background1"/>
                <w:sz w:val="20"/>
                <w:lang w:eastAsia="en-GB"/>
              </w:rPr>
            </w:pPr>
            <w:r w:rsidRPr="00BB4ACC">
              <w:rPr>
                <w:rFonts w:cs="Arial"/>
                <w:b/>
                <w:color w:val="FFFFFF" w:themeColor="background1"/>
                <w:sz w:val="20"/>
                <w:lang w:eastAsia="en-GB"/>
              </w:rPr>
              <w:t>Cd</w:t>
            </w:r>
          </w:p>
        </w:tc>
        <w:tc>
          <w:tcPr>
            <w:tcW w:w="529" w:type="dxa"/>
            <w:shd w:val="clear" w:color="auto" w:fill="1F497D" w:themeFill="text2"/>
            <w:noWrap/>
            <w:vAlign w:val="bottom"/>
            <w:hideMark/>
          </w:tcPr>
          <w:p w:rsidR="004E28FB" w:rsidRPr="00BB4ACC" w:rsidRDefault="004E28FB" w:rsidP="00687FD1">
            <w:pPr>
              <w:keepNext/>
              <w:keepLines/>
              <w:spacing w:line="240" w:lineRule="auto"/>
              <w:jc w:val="center"/>
              <w:rPr>
                <w:rFonts w:cs="Arial"/>
                <w:b/>
                <w:color w:val="FFFFFF" w:themeColor="background1"/>
                <w:sz w:val="20"/>
                <w:lang w:eastAsia="en-GB"/>
              </w:rPr>
            </w:pPr>
            <w:r w:rsidRPr="00BB4ACC">
              <w:rPr>
                <w:rFonts w:cs="Arial"/>
                <w:b/>
                <w:color w:val="FFFFFF" w:themeColor="background1"/>
                <w:sz w:val="20"/>
                <w:lang w:eastAsia="en-GB"/>
              </w:rPr>
              <w:t>As</w:t>
            </w:r>
          </w:p>
        </w:tc>
        <w:tc>
          <w:tcPr>
            <w:tcW w:w="866" w:type="dxa"/>
            <w:shd w:val="clear" w:color="auto" w:fill="1F497D" w:themeFill="text2"/>
            <w:vAlign w:val="bottom"/>
          </w:tcPr>
          <w:p w:rsidR="004E28FB" w:rsidRPr="00BB4ACC" w:rsidRDefault="004E28FB" w:rsidP="00687FD1">
            <w:pPr>
              <w:keepNext/>
              <w:keepLines/>
              <w:spacing w:line="240" w:lineRule="auto"/>
              <w:jc w:val="center"/>
              <w:rPr>
                <w:rFonts w:cs="Arial"/>
                <w:b/>
                <w:color w:val="FFFFFF" w:themeColor="background1"/>
                <w:sz w:val="20"/>
                <w:lang w:eastAsia="en-GB"/>
              </w:rPr>
            </w:pPr>
            <w:r>
              <w:rPr>
                <w:rFonts w:cs="Arial"/>
                <w:b/>
                <w:color w:val="FFFFFF" w:themeColor="background1"/>
                <w:sz w:val="20"/>
                <w:lang w:eastAsia="en-GB"/>
              </w:rPr>
              <w:t>B(a)P</w:t>
            </w:r>
          </w:p>
        </w:tc>
      </w:tr>
      <w:tr w:rsidR="004E28FB" w:rsidRPr="00C53910" w:rsidTr="005B6270">
        <w:trPr>
          <w:trHeight w:val="170"/>
        </w:trPr>
        <w:tc>
          <w:tcPr>
            <w:tcW w:w="1485" w:type="dxa"/>
            <w:shd w:val="clear" w:color="auto" w:fill="auto"/>
            <w:noWrap/>
            <w:vAlign w:val="bottom"/>
            <w:hideMark/>
          </w:tcPr>
          <w:p w:rsidR="004E28FB" w:rsidRPr="00BB4ACC" w:rsidRDefault="004E28FB" w:rsidP="00687FD1">
            <w:pPr>
              <w:keepNext/>
              <w:keepLines/>
              <w:spacing w:line="240" w:lineRule="auto"/>
              <w:jc w:val="center"/>
              <w:rPr>
                <w:rFonts w:cs="Arial"/>
                <w:b/>
                <w:sz w:val="20"/>
                <w:lang w:eastAsia="en-GB"/>
              </w:rPr>
            </w:pPr>
            <w:r w:rsidRPr="00BB4ACC">
              <w:rPr>
                <w:rFonts w:cs="Arial"/>
                <w:b/>
                <w:sz w:val="20"/>
                <w:lang w:eastAsia="en-GB"/>
              </w:rPr>
              <w:t>Andorra</w:t>
            </w:r>
          </w:p>
        </w:tc>
        <w:tc>
          <w:tcPr>
            <w:tcW w:w="664" w:type="dxa"/>
            <w:shd w:val="clear" w:color="auto" w:fill="auto"/>
            <w:noWrap/>
            <w:vAlign w:val="center"/>
            <w:hideMark/>
          </w:tcPr>
          <w:p w:rsidR="004E28FB" w:rsidRPr="00F120FC" w:rsidRDefault="004E28FB" w:rsidP="00687FD1">
            <w:pPr>
              <w:keepNext/>
              <w:keepLines/>
              <w:spacing w:line="240" w:lineRule="auto"/>
              <w:jc w:val="center"/>
              <w:rPr>
                <w:rFonts w:cs="Arial"/>
                <w:sz w:val="20"/>
                <w:lang w:eastAsia="en-GB"/>
              </w:rPr>
            </w:pPr>
            <w:r w:rsidRPr="00F120FC">
              <w:rPr>
                <w:rFonts w:cs="Arial"/>
                <w:sz w:val="20"/>
                <w:lang w:eastAsia="en-GB"/>
              </w:rPr>
              <w:t>√</w:t>
            </w:r>
          </w:p>
        </w:tc>
        <w:tc>
          <w:tcPr>
            <w:tcW w:w="665" w:type="dxa"/>
            <w:shd w:val="clear" w:color="auto" w:fill="auto"/>
            <w:noWrap/>
            <w:vAlign w:val="bottom"/>
            <w:hideMark/>
          </w:tcPr>
          <w:p w:rsidR="004E28FB" w:rsidRPr="00F120FC" w:rsidRDefault="004E28FB" w:rsidP="00687FD1">
            <w:pPr>
              <w:keepNext/>
              <w:keepLines/>
              <w:spacing w:line="240" w:lineRule="auto"/>
              <w:jc w:val="center"/>
              <w:rPr>
                <w:rFonts w:cs="Arial"/>
                <w:sz w:val="20"/>
                <w:lang w:eastAsia="en-GB"/>
              </w:rPr>
            </w:pPr>
            <w:r w:rsidRPr="00F120FC">
              <w:rPr>
                <w:rFonts w:cs="Arial"/>
                <w:sz w:val="20"/>
                <w:lang w:eastAsia="en-GB"/>
              </w:rPr>
              <w:t>√</w:t>
            </w:r>
          </w:p>
        </w:tc>
        <w:tc>
          <w:tcPr>
            <w:tcW w:w="665" w:type="dxa"/>
            <w:shd w:val="clear" w:color="auto" w:fill="auto"/>
            <w:noWrap/>
            <w:vAlign w:val="bottom"/>
            <w:hideMark/>
          </w:tcPr>
          <w:p w:rsidR="004E28FB" w:rsidRPr="00F120FC" w:rsidRDefault="004E28FB" w:rsidP="00687FD1">
            <w:pPr>
              <w:keepNext/>
              <w:keepLines/>
              <w:spacing w:line="240" w:lineRule="auto"/>
              <w:jc w:val="center"/>
              <w:rPr>
                <w:rFonts w:cs="Arial"/>
                <w:sz w:val="20"/>
                <w:lang w:eastAsia="en-GB"/>
              </w:rPr>
            </w:pPr>
            <w:r w:rsidRPr="00F120FC">
              <w:rPr>
                <w:rFonts w:cs="Arial"/>
                <w:sz w:val="20"/>
                <w:lang w:eastAsia="en-GB"/>
              </w:rPr>
              <w:t>√</w:t>
            </w:r>
          </w:p>
        </w:tc>
        <w:tc>
          <w:tcPr>
            <w:tcW w:w="665" w:type="dxa"/>
            <w:shd w:val="clear" w:color="auto" w:fill="auto"/>
            <w:noWrap/>
            <w:vAlign w:val="bottom"/>
            <w:hideMark/>
          </w:tcPr>
          <w:p w:rsidR="004E28FB" w:rsidRPr="00F120FC" w:rsidRDefault="004E28FB" w:rsidP="00687FD1">
            <w:pPr>
              <w:keepNext/>
              <w:keepLines/>
              <w:spacing w:line="240" w:lineRule="auto"/>
              <w:jc w:val="center"/>
              <w:rPr>
                <w:rFonts w:cs="Arial"/>
                <w:sz w:val="20"/>
                <w:lang w:eastAsia="en-GB"/>
              </w:rPr>
            </w:pPr>
          </w:p>
        </w:tc>
        <w:tc>
          <w:tcPr>
            <w:tcW w:w="549" w:type="dxa"/>
            <w:shd w:val="clear" w:color="auto" w:fill="auto"/>
            <w:noWrap/>
            <w:vAlign w:val="bottom"/>
            <w:hideMark/>
          </w:tcPr>
          <w:p w:rsidR="004E28FB" w:rsidRPr="00F120FC" w:rsidRDefault="004E28FB" w:rsidP="00687FD1">
            <w:pPr>
              <w:keepNext/>
              <w:keepLines/>
              <w:spacing w:line="240" w:lineRule="auto"/>
              <w:jc w:val="center"/>
              <w:rPr>
                <w:rFonts w:cs="Arial"/>
                <w:sz w:val="20"/>
                <w:lang w:eastAsia="en-GB"/>
              </w:rPr>
            </w:pPr>
            <w:r w:rsidRPr="00F120FC">
              <w:rPr>
                <w:rFonts w:cs="Arial"/>
                <w:sz w:val="20"/>
                <w:lang w:eastAsia="en-GB"/>
              </w:rPr>
              <w:t>√</w:t>
            </w:r>
          </w:p>
        </w:tc>
        <w:tc>
          <w:tcPr>
            <w:tcW w:w="780" w:type="dxa"/>
            <w:shd w:val="clear" w:color="auto" w:fill="auto"/>
            <w:noWrap/>
            <w:vAlign w:val="bottom"/>
            <w:hideMark/>
          </w:tcPr>
          <w:p w:rsidR="004E28FB" w:rsidRPr="00F120FC" w:rsidRDefault="004E28FB" w:rsidP="00687FD1">
            <w:pPr>
              <w:keepNext/>
              <w:keepLines/>
              <w:spacing w:line="240" w:lineRule="auto"/>
              <w:jc w:val="center"/>
              <w:rPr>
                <w:rFonts w:cs="Arial"/>
                <w:sz w:val="20"/>
                <w:lang w:eastAsia="en-GB"/>
              </w:rPr>
            </w:pPr>
            <w:r w:rsidRPr="00F120FC">
              <w:rPr>
                <w:rFonts w:cs="Arial"/>
                <w:sz w:val="20"/>
                <w:lang w:eastAsia="en-GB"/>
              </w:rPr>
              <w:t>√</w:t>
            </w:r>
          </w:p>
        </w:tc>
        <w:tc>
          <w:tcPr>
            <w:tcW w:w="665" w:type="dxa"/>
            <w:shd w:val="clear" w:color="auto" w:fill="auto"/>
            <w:noWrap/>
            <w:vAlign w:val="bottom"/>
            <w:hideMark/>
          </w:tcPr>
          <w:p w:rsidR="004E28FB" w:rsidRPr="00F120FC" w:rsidRDefault="004E28FB" w:rsidP="00687FD1">
            <w:pPr>
              <w:keepNext/>
              <w:keepLines/>
              <w:spacing w:line="240" w:lineRule="auto"/>
              <w:jc w:val="center"/>
              <w:rPr>
                <w:rFonts w:cs="Arial"/>
                <w:sz w:val="20"/>
                <w:lang w:eastAsia="en-GB"/>
              </w:rPr>
            </w:pPr>
          </w:p>
        </w:tc>
        <w:tc>
          <w:tcPr>
            <w:tcW w:w="823" w:type="dxa"/>
            <w:shd w:val="clear" w:color="auto" w:fill="auto"/>
            <w:noWrap/>
            <w:vAlign w:val="bottom"/>
            <w:hideMark/>
          </w:tcPr>
          <w:p w:rsidR="004E28FB" w:rsidRPr="00F120FC" w:rsidRDefault="004E28FB" w:rsidP="00687FD1">
            <w:pPr>
              <w:keepNext/>
              <w:keepLines/>
              <w:spacing w:line="240" w:lineRule="auto"/>
              <w:jc w:val="center"/>
              <w:rPr>
                <w:rFonts w:cs="Arial"/>
                <w:sz w:val="20"/>
                <w:lang w:eastAsia="en-GB"/>
              </w:rPr>
            </w:pPr>
          </w:p>
        </w:tc>
        <w:tc>
          <w:tcPr>
            <w:tcW w:w="507" w:type="dxa"/>
            <w:shd w:val="clear" w:color="auto" w:fill="auto"/>
            <w:noWrap/>
            <w:vAlign w:val="bottom"/>
            <w:hideMark/>
          </w:tcPr>
          <w:p w:rsidR="004E28FB" w:rsidRPr="00F120FC" w:rsidRDefault="004E28FB" w:rsidP="00687FD1">
            <w:pPr>
              <w:keepNext/>
              <w:keepLines/>
              <w:spacing w:line="240" w:lineRule="auto"/>
              <w:jc w:val="center"/>
              <w:rPr>
                <w:rFonts w:cs="Arial"/>
                <w:sz w:val="20"/>
                <w:lang w:eastAsia="en-GB"/>
              </w:rPr>
            </w:pPr>
          </w:p>
        </w:tc>
        <w:tc>
          <w:tcPr>
            <w:tcW w:w="665" w:type="dxa"/>
            <w:shd w:val="clear" w:color="auto" w:fill="auto"/>
            <w:noWrap/>
            <w:vAlign w:val="bottom"/>
            <w:hideMark/>
          </w:tcPr>
          <w:p w:rsidR="004E28FB" w:rsidRPr="00F120FC" w:rsidRDefault="004E28FB" w:rsidP="00687FD1">
            <w:pPr>
              <w:keepNext/>
              <w:keepLines/>
              <w:spacing w:line="240" w:lineRule="auto"/>
              <w:jc w:val="center"/>
              <w:rPr>
                <w:rFonts w:cs="Arial"/>
                <w:sz w:val="20"/>
                <w:lang w:eastAsia="en-GB"/>
              </w:rPr>
            </w:pPr>
          </w:p>
        </w:tc>
        <w:tc>
          <w:tcPr>
            <w:tcW w:w="529" w:type="dxa"/>
            <w:shd w:val="clear" w:color="auto" w:fill="auto"/>
            <w:noWrap/>
            <w:vAlign w:val="bottom"/>
            <w:hideMark/>
          </w:tcPr>
          <w:p w:rsidR="004E28FB" w:rsidRPr="00F120FC" w:rsidRDefault="004E28FB" w:rsidP="00687FD1">
            <w:pPr>
              <w:keepNext/>
              <w:keepLines/>
              <w:spacing w:line="240" w:lineRule="auto"/>
              <w:jc w:val="center"/>
              <w:rPr>
                <w:rFonts w:cs="Arial"/>
                <w:sz w:val="20"/>
                <w:lang w:eastAsia="en-GB"/>
              </w:rPr>
            </w:pPr>
          </w:p>
        </w:tc>
        <w:tc>
          <w:tcPr>
            <w:tcW w:w="866" w:type="dxa"/>
            <w:vAlign w:val="bottom"/>
          </w:tcPr>
          <w:p w:rsidR="004E28FB" w:rsidRPr="00F120FC" w:rsidRDefault="004E28FB" w:rsidP="00687FD1">
            <w:pPr>
              <w:keepNext/>
              <w:keepLines/>
              <w:spacing w:line="240" w:lineRule="auto"/>
              <w:jc w:val="center"/>
              <w:rPr>
                <w:rFonts w:cs="Arial"/>
                <w:sz w:val="20"/>
                <w:lang w:eastAsia="en-GB"/>
              </w:rPr>
            </w:pPr>
          </w:p>
        </w:tc>
      </w:tr>
      <w:tr w:rsidR="004E28FB" w:rsidRPr="00C53910" w:rsidTr="005B6270">
        <w:trPr>
          <w:trHeight w:val="17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Albania</w:t>
            </w:r>
          </w:p>
        </w:tc>
        <w:tc>
          <w:tcPr>
            <w:tcW w:w="664"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49"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780"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823" w:type="dxa"/>
            <w:shd w:val="clear" w:color="auto" w:fill="auto"/>
            <w:noWrap/>
            <w:vAlign w:val="bottom"/>
            <w:hideMark/>
          </w:tcPr>
          <w:p w:rsidR="004E28FB" w:rsidRPr="00F120FC" w:rsidRDefault="004E28FB" w:rsidP="004E28FB">
            <w:pPr>
              <w:spacing w:line="240" w:lineRule="auto"/>
              <w:jc w:val="center"/>
              <w:rPr>
                <w:rFonts w:cs="Arial"/>
                <w:sz w:val="20"/>
                <w:lang w:eastAsia="en-GB"/>
              </w:rPr>
            </w:pPr>
          </w:p>
        </w:tc>
        <w:tc>
          <w:tcPr>
            <w:tcW w:w="507" w:type="dxa"/>
            <w:shd w:val="clear" w:color="auto" w:fill="auto"/>
            <w:noWrap/>
            <w:vAlign w:val="bottom"/>
            <w:hideMark/>
          </w:tcPr>
          <w:p w:rsidR="004E28FB" w:rsidRPr="00F120F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F120FC" w:rsidRDefault="004E28FB" w:rsidP="004E28FB">
            <w:pPr>
              <w:spacing w:line="240" w:lineRule="auto"/>
              <w:jc w:val="center"/>
              <w:rPr>
                <w:rFonts w:cs="Arial"/>
                <w:sz w:val="20"/>
                <w:lang w:eastAsia="en-GB"/>
              </w:rPr>
            </w:pPr>
          </w:p>
        </w:tc>
        <w:tc>
          <w:tcPr>
            <w:tcW w:w="529" w:type="dxa"/>
            <w:shd w:val="clear" w:color="auto" w:fill="auto"/>
            <w:noWrap/>
            <w:vAlign w:val="bottom"/>
            <w:hideMark/>
          </w:tcPr>
          <w:p w:rsidR="004E28FB" w:rsidRPr="00F120FC" w:rsidRDefault="004E28FB" w:rsidP="004E28FB">
            <w:pPr>
              <w:spacing w:line="240" w:lineRule="auto"/>
              <w:jc w:val="center"/>
              <w:rPr>
                <w:rFonts w:cs="Arial"/>
                <w:sz w:val="20"/>
                <w:lang w:eastAsia="en-GB"/>
              </w:rPr>
            </w:pP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17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Austria</w:t>
            </w:r>
          </w:p>
        </w:tc>
        <w:tc>
          <w:tcPr>
            <w:tcW w:w="664"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49"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780"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823"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07"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29"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r>
      <w:tr w:rsidR="004E28FB" w:rsidRPr="00C53910" w:rsidTr="005B6270">
        <w:trPr>
          <w:trHeight w:val="17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Cyprus</w:t>
            </w:r>
          </w:p>
        </w:tc>
        <w:tc>
          <w:tcPr>
            <w:tcW w:w="664"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49"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780"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823"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07"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29"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17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Bosnia</w:t>
            </w:r>
          </w:p>
        </w:tc>
        <w:tc>
          <w:tcPr>
            <w:tcW w:w="664"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49"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780"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vAlign w:val="bottom"/>
            <w:hideMark/>
          </w:tcPr>
          <w:p w:rsidR="004E28FB" w:rsidRPr="00F120FC" w:rsidRDefault="004E28FB" w:rsidP="004E28FB">
            <w:pPr>
              <w:spacing w:line="240" w:lineRule="auto"/>
              <w:jc w:val="center"/>
              <w:rPr>
                <w:rFonts w:cs="Arial"/>
                <w:sz w:val="20"/>
                <w:lang w:eastAsia="en-GB"/>
              </w:rPr>
            </w:pPr>
          </w:p>
        </w:tc>
        <w:tc>
          <w:tcPr>
            <w:tcW w:w="823" w:type="dxa"/>
            <w:shd w:val="clear" w:color="auto" w:fill="auto"/>
            <w:noWrap/>
            <w:vAlign w:val="bottom"/>
            <w:hideMark/>
          </w:tcPr>
          <w:p w:rsidR="004E28FB" w:rsidRPr="00F120FC" w:rsidRDefault="004E28FB" w:rsidP="004E28FB">
            <w:pPr>
              <w:spacing w:line="240" w:lineRule="auto"/>
              <w:jc w:val="center"/>
              <w:rPr>
                <w:rFonts w:cs="Arial"/>
                <w:sz w:val="20"/>
                <w:lang w:eastAsia="en-GB"/>
              </w:rPr>
            </w:pPr>
          </w:p>
        </w:tc>
        <w:tc>
          <w:tcPr>
            <w:tcW w:w="507" w:type="dxa"/>
            <w:shd w:val="clear" w:color="auto" w:fill="auto"/>
            <w:noWrap/>
            <w:vAlign w:val="bottom"/>
            <w:hideMark/>
          </w:tcPr>
          <w:p w:rsidR="004E28FB" w:rsidRPr="00F120F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F120FC" w:rsidRDefault="004E28FB" w:rsidP="004E28FB">
            <w:pPr>
              <w:spacing w:line="240" w:lineRule="auto"/>
              <w:jc w:val="center"/>
              <w:rPr>
                <w:rFonts w:cs="Arial"/>
                <w:sz w:val="20"/>
                <w:lang w:eastAsia="en-GB"/>
              </w:rPr>
            </w:pPr>
          </w:p>
        </w:tc>
        <w:tc>
          <w:tcPr>
            <w:tcW w:w="529" w:type="dxa"/>
            <w:shd w:val="clear" w:color="auto" w:fill="auto"/>
            <w:noWrap/>
            <w:vAlign w:val="bottom"/>
            <w:hideMark/>
          </w:tcPr>
          <w:p w:rsidR="004E28FB" w:rsidRPr="00F120FC" w:rsidRDefault="004E28FB" w:rsidP="004E28FB">
            <w:pPr>
              <w:spacing w:line="240" w:lineRule="auto"/>
              <w:jc w:val="center"/>
              <w:rPr>
                <w:rFonts w:cs="Arial"/>
                <w:sz w:val="20"/>
                <w:lang w:eastAsia="en-GB"/>
              </w:rPr>
            </w:pP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17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Belgium</w:t>
            </w:r>
          </w:p>
        </w:tc>
        <w:tc>
          <w:tcPr>
            <w:tcW w:w="664"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49"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780"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823"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07"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29"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Bulgaria</w:t>
            </w:r>
          </w:p>
        </w:tc>
        <w:tc>
          <w:tcPr>
            <w:tcW w:w="664"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49"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780"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823"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07"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29"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Switzerland</w:t>
            </w:r>
          </w:p>
        </w:tc>
        <w:tc>
          <w:tcPr>
            <w:tcW w:w="664"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49"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780"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823"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07" w:type="dxa"/>
            <w:shd w:val="clear" w:color="auto" w:fill="auto"/>
            <w:noWrap/>
            <w:vAlign w:val="bottom"/>
            <w:hideMark/>
          </w:tcPr>
          <w:p w:rsidR="004E28FB" w:rsidRPr="00F120F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29" w:type="dxa"/>
            <w:shd w:val="clear" w:color="auto" w:fill="auto"/>
            <w:noWrap/>
            <w:vAlign w:val="bottom"/>
            <w:hideMark/>
          </w:tcPr>
          <w:p w:rsidR="004E28FB" w:rsidRPr="00F120FC" w:rsidRDefault="004E28FB" w:rsidP="004E28FB">
            <w:pPr>
              <w:spacing w:line="240" w:lineRule="auto"/>
              <w:jc w:val="center"/>
              <w:rPr>
                <w:rFonts w:cs="Arial"/>
                <w:sz w:val="20"/>
                <w:lang w:eastAsia="en-GB"/>
              </w:rPr>
            </w:pP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Czech</w:t>
            </w:r>
          </w:p>
        </w:tc>
        <w:tc>
          <w:tcPr>
            <w:tcW w:w="664"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49"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780"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823"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07"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29"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Germany</w:t>
            </w:r>
          </w:p>
        </w:tc>
        <w:tc>
          <w:tcPr>
            <w:tcW w:w="664"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49"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780"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823"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07" w:type="dxa"/>
            <w:shd w:val="clear" w:color="auto" w:fill="auto"/>
            <w:noWrap/>
            <w:vAlign w:val="bottom"/>
            <w:hideMark/>
          </w:tcPr>
          <w:p w:rsidR="004E28FB" w:rsidRPr="00F120FC" w:rsidRDefault="004E28FB" w:rsidP="004E28FB">
            <w:pPr>
              <w:spacing w:line="240" w:lineRule="auto"/>
              <w:jc w:val="center"/>
              <w:rPr>
                <w:rFonts w:cs="Arial"/>
                <w:sz w:val="20"/>
                <w:lang w:eastAsia="en-GB"/>
              </w:rPr>
            </w:pP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29"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Denmark</w:t>
            </w:r>
          </w:p>
        </w:tc>
        <w:tc>
          <w:tcPr>
            <w:tcW w:w="664"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49"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780"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823"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07"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665"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529" w:type="dxa"/>
            <w:shd w:val="clear" w:color="auto" w:fill="auto"/>
            <w:noWrap/>
            <w:hideMark/>
          </w:tcPr>
          <w:p w:rsidR="004E28FB" w:rsidRPr="00F120FC" w:rsidRDefault="004E28FB" w:rsidP="004E28FB">
            <w:pPr>
              <w:spacing w:line="240" w:lineRule="auto"/>
              <w:jc w:val="center"/>
              <w:rPr>
                <w:rFonts w:cs="Arial"/>
                <w:sz w:val="20"/>
                <w:lang w:eastAsia="en-GB"/>
              </w:rPr>
            </w:pPr>
            <w:r w:rsidRPr="00F120F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Estonia</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07"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2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lastRenderedPageBreak/>
              <w:t>Spain</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07"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2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Finland</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07"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29"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866" w:type="dxa"/>
            <w:vAlign w:val="bottom"/>
          </w:tcPr>
          <w:p w:rsidR="004E28FB" w:rsidRPr="00F120FC" w:rsidRDefault="004E28FB" w:rsidP="004E28FB">
            <w:pPr>
              <w:spacing w:line="240" w:lineRule="auto"/>
              <w:jc w:val="center"/>
              <w:rPr>
                <w:rFonts w:cs="Arial"/>
                <w:sz w:val="20"/>
                <w:lang w:eastAsia="en-GB"/>
              </w:rPr>
            </w:pPr>
            <w:r w:rsidRPr="00BB4ACC">
              <w:rPr>
                <w:rFonts w:cs="Arial"/>
                <w:sz w:val="20"/>
                <w:lang w:eastAsia="en-GB"/>
              </w:rPr>
              <w:t>√</w:t>
            </w: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France</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07"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29"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UK</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07"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2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r w:rsidRPr="00BB4ACC">
              <w:rPr>
                <w:rFonts w:cs="Arial"/>
                <w:sz w:val="20"/>
                <w:lang w:eastAsia="en-GB"/>
              </w:rPr>
              <w:t>√</w:t>
            </w: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Greece</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07"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29"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Croatia</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07"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29"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Hungary</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07"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2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Ireland</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07"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2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r w:rsidRPr="00BB4ACC">
              <w:rPr>
                <w:rFonts w:cs="Arial"/>
                <w:sz w:val="20"/>
                <w:lang w:eastAsia="en-GB"/>
              </w:rPr>
              <w:t>√</w:t>
            </w: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Italy</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07"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29"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Liechtenstein</w:t>
            </w:r>
          </w:p>
        </w:tc>
        <w:tc>
          <w:tcPr>
            <w:tcW w:w="664"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780"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823"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07"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29"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Lithuania</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07"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2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r w:rsidRPr="00BB4ACC">
              <w:rPr>
                <w:rFonts w:cs="Arial"/>
                <w:sz w:val="20"/>
                <w:lang w:eastAsia="en-GB"/>
              </w:rPr>
              <w:t>√</w:t>
            </w: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Luxembourg</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07"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29"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Latvia</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07"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2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r w:rsidRPr="00BB4ACC">
              <w:rPr>
                <w:rFonts w:cs="Arial"/>
                <w:sz w:val="20"/>
                <w:lang w:eastAsia="en-GB"/>
              </w:rPr>
              <w:t>√</w:t>
            </w: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Montenegro</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823"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07"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29"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Macedonia</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07"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29"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Malta</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07"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2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Netherlands</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07"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2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Poland</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07"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29"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Portugal</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07"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2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Romania</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07"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2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Serbia</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07"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29"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Sweden</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07"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2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r w:rsidRPr="00BB4ACC">
              <w:rPr>
                <w:rFonts w:cs="Arial"/>
                <w:sz w:val="20"/>
                <w:lang w:eastAsia="en-GB"/>
              </w:rPr>
              <w:t>√</w:t>
            </w: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Slovenia</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07"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2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Slovakia</w:t>
            </w:r>
          </w:p>
        </w:tc>
        <w:tc>
          <w:tcPr>
            <w:tcW w:w="664"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4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780"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23"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07"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529" w:type="dxa"/>
            <w:shd w:val="clear" w:color="auto" w:fill="auto"/>
            <w:noWrap/>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866" w:type="dxa"/>
            <w:vAlign w:val="bottom"/>
          </w:tcPr>
          <w:p w:rsidR="004E28FB" w:rsidRPr="00F120FC" w:rsidRDefault="004E28FB" w:rsidP="004E28FB">
            <w:pPr>
              <w:spacing w:line="240" w:lineRule="auto"/>
              <w:jc w:val="center"/>
              <w:rPr>
                <w:rFonts w:cs="Arial"/>
                <w:sz w:val="20"/>
                <w:lang w:eastAsia="en-GB"/>
              </w:rPr>
            </w:pPr>
            <w:r w:rsidRPr="00BB4ACC">
              <w:rPr>
                <w:rFonts w:cs="Arial"/>
                <w:sz w:val="20"/>
                <w:lang w:eastAsia="en-GB"/>
              </w:rPr>
              <w:t>√</w:t>
            </w:r>
          </w:p>
        </w:tc>
      </w:tr>
      <w:tr w:rsidR="004E28FB" w:rsidRPr="00C53910" w:rsidTr="005B6270">
        <w:trPr>
          <w:trHeight w:val="300"/>
        </w:trPr>
        <w:tc>
          <w:tcPr>
            <w:tcW w:w="1485" w:type="dxa"/>
            <w:shd w:val="clear" w:color="auto" w:fill="auto"/>
            <w:noWrap/>
            <w:vAlign w:val="bottom"/>
            <w:hideMark/>
          </w:tcPr>
          <w:p w:rsidR="004E28FB" w:rsidRPr="00BB4ACC" w:rsidRDefault="004E28FB" w:rsidP="004E28FB">
            <w:pPr>
              <w:spacing w:line="240" w:lineRule="auto"/>
              <w:jc w:val="center"/>
              <w:rPr>
                <w:rFonts w:cs="Arial"/>
                <w:b/>
                <w:sz w:val="20"/>
                <w:lang w:eastAsia="en-GB"/>
              </w:rPr>
            </w:pPr>
            <w:r w:rsidRPr="00BB4ACC">
              <w:rPr>
                <w:rFonts w:cs="Arial"/>
                <w:b/>
                <w:sz w:val="20"/>
                <w:lang w:eastAsia="en-GB"/>
              </w:rPr>
              <w:t>Turkey</w:t>
            </w:r>
          </w:p>
        </w:tc>
        <w:tc>
          <w:tcPr>
            <w:tcW w:w="664" w:type="dxa"/>
            <w:shd w:val="clear" w:color="auto" w:fill="auto"/>
            <w:noWrap/>
            <w:vAlign w:val="bottom"/>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r w:rsidRPr="00BB4ACC">
              <w:rPr>
                <w:rFonts w:cs="Arial"/>
                <w:sz w:val="20"/>
                <w:lang w:eastAsia="en-GB"/>
              </w:rPr>
              <w:t>√</w:t>
            </w: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49"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780"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823"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07"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665"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529" w:type="dxa"/>
            <w:shd w:val="clear" w:color="auto" w:fill="auto"/>
            <w:noWrap/>
            <w:vAlign w:val="bottom"/>
            <w:hideMark/>
          </w:tcPr>
          <w:p w:rsidR="004E28FB" w:rsidRPr="00BB4ACC" w:rsidRDefault="004E28FB" w:rsidP="004E28FB">
            <w:pPr>
              <w:spacing w:line="240" w:lineRule="auto"/>
              <w:jc w:val="center"/>
              <w:rPr>
                <w:rFonts w:cs="Arial"/>
                <w:sz w:val="20"/>
                <w:lang w:eastAsia="en-GB"/>
              </w:rPr>
            </w:pPr>
          </w:p>
        </w:tc>
        <w:tc>
          <w:tcPr>
            <w:tcW w:w="866" w:type="dxa"/>
            <w:vAlign w:val="bottom"/>
          </w:tcPr>
          <w:p w:rsidR="004E28FB" w:rsidRPr="00F120FC" w:rsidRDefault="004E28FB" w:rsidP="004E28FB">
            <w:pPr>
              <w:spacing w:line="240" w:lineRule="auto"/>
              <w:jc w:val="center"/>
              <w:rPr>
                <w:rFonts w:cs="Arial"/>
                <w:sz w:val="20"/>
                <w:lang w:eastAsia="en-GB"/>
              </w:rPr>
            </w:pPr>
          </w:p>
        </w:tc>
      </w:tr>
    </w:tbl>
    <w:p w:rsidR="005B6270" w:rsidRDefault="005B6270" w:rsidP="005B6270">
      <w:pPr>
        <w:pStyle w:val="TOC1"/>
      </w:pPr>
    </w:p>
    <w:p w:rsidR="004E28FB" w:rsidRPr="00623E33" w:rsidRDefault="004E28FB" w:rsidP="005B6270">
      <w:pPr>
        <w:pStyle w:val="TOC1"/>
      </w:pPr>
      <w:r w:rsidRPr="00623E33">
        <w:t xml:space="preserve">Table </w:t>
      </w:r>
      <w:r w:rsidR="005101F7">
        <w:fldChar w:fldCharType="begin"/>
      </w:r>
      <w:r w:rsidR="005101F7">
        <w:instrText xml:space="preserve"> STYLEREF 1 \s </w:instrText>
      </w:r>
      <w:r w:rsidR="005101F7">
        <w:fldChar w:fldCharType="separate"/>
      </w:r>
      <w:r>
        <w:rPr>
          <w:noProof/>
        </w:rPr>
        <w:t>3</w:t>
      </w:r>
      <w:r w:rsidR="005101F7">
        <w:rPr>
          <w:noProof/>
        </w:rPr>
        <w:fldChar w:fldCharType="end"/>
      </w:r>
      <w:r w:rsidRPr="00623E33">
        <w:noBreakHyphen/>
      </w:r>
      <w:r>
        <w:t xml:space="preserve">4 </w:t>
      </w:r>
      <w:r w:rsidRPr="00623E33">
        <w:t>Countries where New Air Quality Monitoring techniques have been introduced</w:t>
      </w:r>
    </w:p>
    <w:tbl>
      <w:tblPr>
        <w:tblStyle w:val="TableGrid8"/>
        <w:tblW w:w="5000" w:type="pct"/>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12" w:space="0" w:color="76923C" w:themeColor="accent3" w:themeShade="BF"/>
          <w:insideV w:val="single" w:sz="12" w:space="0" w:color="76923C" w:themeColor="accent3" w:themeShade="BF"/>
        </w:tblBorders>
        <w:tblLook w:val="04A0" w:firstRow="1" w:lastRow="0" w:firstColumn="1" w:lastColumn="0" w:noHBand="0" w:noVBand="1"/>
      </w:tblPr>
      <w:tblGrid>
        <w:gridCol w:w="1927"/>
        <w:gridCol w:w="1284"/>
        <w:gridCol w:w="1283"/>
        <w:gridCol w:w="1283"/>
        <w:gridCol w:w="1283"/>
        <w:gridCol w:w="1283"/>
        <w:gridCol w:w="1278"/>
      </w:tblGrid>
      <w:tr w:rsidR="004E28FB" w:rsidRPr="00623E33" w:rsidTr="005B6270">
        <w:trPr>
          <w:cnfStyle w:val="100000000000" w:firstRow="1" w:lastRow="0" w:firstColumn="0" w:lastColumn="0" w:oddVBand="0" w:evenVBand="0" w:oddHBand="0" w:evenHBand="0" w:firstRowFirstColumn="0" w:firstRowLastColumn="0" w:lastRowFirstColumn="0" w:lastRowLastColumn="0"/>
          <w:trHeight w:val="284"/>
        </w:trPr>
        <w:tc>
          <w:tcPr>
            <w:tcW w:w="1001" w:type="pct"/>
            <w:vMerge w:val="restart"/>
            <w:shd w:val="clear" w:color="auto" w:fill="1F497D" w:themeFill="text2"/>
          </w:tcPr>
          <w:p w:rsidR="004E28FB" w:rsidRPr="00623E33" w:rsidRDefault="004E28FB" w:rsidP="004E28FB">
            <w:pPr>
              <w:jc w:val="center"/>
              <w:rPr>
                <w:sz w:val="20"/>
                <w:szCs w:val="20"/>
              </w:rPr>
            </w:pPr>
          </w:p>
        </w:tc>
        <w:tc>
          <w:tcPr>
            <w:tcW w:w="1333" w:type="pct"/>
            <w:gridSpan w:val="2"/>
            <w:shd w:val="clear" w:color="auto" w:fill="1F497D" w:themeFill="text2"/>
          </w:tcPr>
          <w:p w:rsidR="004E28FB" w:rsidRPr="00623E33" w:rsidRDefault="004E28FB" w:rsidP="004E28FB">
            <w:pPr>
              <w:jc w:val="center"/>
              <w:rPr>
                <w:sz w:val="20"/>
                <w:szCs w:val="20"/>
              </w:rPr>
            </w:pPr>
            <w:r w:rsidRPr="00623E33">
              <w:rPr>
                <w:sz w:val="20"/>
                <w:szCs w:val="20"/>
              </w:rPr>
              <w:t>PM</w:t>
            </w:r>
            <w:r w:rsidRPr="00623E33">
              <w:rPr>
                <w:sz w:val="20"/>
                <w:szCs w:val="20"/>
                <w:vertAlign w:val="subscript"/>
              </w:rPr>
              <w:t>10</w:t>
            </w:r>
          </w:p>
        </w:tc>
        <w:tc>
          <w:tcPr>
            <w:tcW w:w="1333" w:type="pct"/>
            <w:gridSpan w:val="2"/>
            <w:shd w:val="clear" w:color="auto" w:fill="1F497D" w:themeFill="text2"/>
          </w:tcPr>
          <w:p w:rsidR="004E28FB" w:rsidRPr="00623E33" w:rsidRDefault="004E28FB" w:rsidP="004E28FB">
            <w:pPr>
              <w:jc w:val="center"/>
              <w:rPr>
                <w:sz w:val="20"/>
                <w:szCs w:val="20"/>
                <w:vertAlign w:val="subscript"/>
              </w:rPr>
            </w:pPr>
            <w:r w:rsidRPr="00623E33">
              <w:rPr>
                <w:sz w:val="20"/>
                <w:szCs w:val="20"/>
              </w:rPr>
              <w:t>Benzene/BTX</w:t>
            </w:r>
          </w:p>
        </w:tc>
        <w:tc>
          <w:tcPr>
            <w:tcW w:w="1333" w:type="pct"/>
            <w:gridSpan w:val="2"/>
            <w:shd w:val="clear" w:color="auto" w:fill="1F497D" w:themeFill="text2"/>
          </w:tcPr>
          <w:p w:rsidR="004E28FB" w:rsidRPr="00623E33" w:rsidRDefault="004E28FB" w:rsidP="004E28FB">
            <w:pPr>
              <w:jc w:val="center"/>
              <w:rPr>
                <w:sz w:val="20"/>
                <w:szCs w:val="20"/>
              </w:rPr>
            </w:pPr>
            <w:r w:rsidRPr="00623E33">
              <w:rPr>
                <w:sz w:val="20"/>
                <w:szCs w:val="20"/>
              </w:rPr>
              <w:t>Passive samplers</w:t>
            </w:r>
          </w:p>
        </w:tc>
      </w:tr>
      <w:tr w:rsidR="004E28FB" w:rsidRPr="00623E33" w:rsidTr="005B6270">
        <w:trPr>
          <w:trHeight w:val="284"/>
        </w:trPr>
        <w:tc>
          <w:tcPr>
            <w:tcW w:w="1001" w:type="pct"/>
            <w:vMerge/>
            <w:shd w:val="clear" w:color="auto" w:fill="1F497D" w:themeFill="text2"/>
          </w:tcPr>
          <w:p w:rsidR="004E28FB" w:rsidRPr="00623E33" w:rsidRDefault="004E28FB" w:rsidP="004E28FB">
            <w:pPr>
              <w:jc w:val="center"/>
              <w:rPr>
                <w:sz w:val="20"/>
                <w:szCs w:val="20"/>
              </w:rPr>
            </w:pPr>
          </w:p>
        </w:tc>
        <w:tc>
          <w:tcPr>
            <w:tcW w:w="667" w:type="pct"/>
            <w:shd w:val="clear" w:color="auto" w:fill="1F497D" w:themeFill="text2"/>
          </w:tcPr>
          <w:p w:rsidR="004E28FB" w:rsidRPr="005B6270" w:rsidRDefault="004E28FB" w:rsidP="004E28FB">
            <w:pPr>
              <w:jc w:val="center"/>
              <w:rPr>
                <w:color w:val="FFFFFF" w:themeColor="background1"/>
                <w:sz w:val="20"/>
                <w:szCs w:val="20"/>
              </w:rPr>
            </w:pPr>
            <w:r w:rsidRPr="005B6270">
              <w:rPr>
                <w:color w:val="FFFFFF" w:themeColor="background1"/>
                <w:sz w:val="20"/>
                <w:szCs w:val="20"/>
              </w:rPr>
              <w:t>Hourly</w:t>
            </w:r>
          </w:p>
        </w:tc>
        <w:tc>
          <w:tcPr>
            <w:tcW w:w="667" w:type="pct"/>
            <w:shd w:val="clear" w:color="auto" w:fill="1F497D" w:themeFill="text2"/>
          </w:tcPr>
          <w:p w:rsidR="004E28FB" w:rsidRPr="005B6270" w:rsidRDefault="004E28FB" w:rsidP="004E28FB">
            <w:pPr>
              <w:jc w:val="center"/>
              <w:rPr>
                <w:color w:val="FFFFFF" w:themeColor="background1"/>
                <w:sz w:val="20"/>
                <w:szCs w:val="20"/>
              </w:rPr>
            </w:pPr>
            <w:r w:rsidRPr="005B6270">
              <w:rPr>
                <w:color w:val="FFFFFF" w:themeColor="background1"/>
                <w:sz w:val="20"/>
                <w:szCs w:val="20"/>
              </w:rPr>
              <w:t>Integrated</w:t>
            </w:r>
          </w:p>
        </w:tc>
        <w:tc>
          <w:tcPr>
            <w:tcW w:w="667" w:type="pct"/>
            <w:shd w:val="clear" w:color="auto" w:fill="1F497D" w:themeFill="text2"/>
          </w:tcPr>
          <w:p w:rsidR="004E28FB" w:rsidRPr="005B6270" w:rsidRDefault="004E28FB" w:rsidP="004E28FB">
            <w:pPr>
              <w:jc w:val="center"/>
              <w:rPr>
                <w:color w:val="FFFFFF" w:themeColor="background1"/>
                <w:sz w:val="20"/>
                <w:szCs w:val="20"/>
              </w:rPr>
            </w:pPr>
            <w:r w:rsidRPr="005B6270">
              <w:rPr>
                <w:color w:val="FFFFFF" w:themeColor="background1"/>
                <w:sz w:val="20"/>
                <w:szCs w:val="20"/>
              </w:rPr>
              <w:t>Hourly</w:t>
            </w:r>
          </w:p>
        </w:tc>
        <w:tc>
          <w:tcPr>
            <w:tcW w:w="667" w:type="pct"/>
            <w:shd w:val="clear" w:color="auto" w:fill="1F497D" w:themeFill="text2"/>
          </w:tcPr>
          <w:p w:rsidR="004E28FB" w:rsidRPr="005B6270" w:rsidRDefault="004E28FB" w:rsidP="004E28FB">
            <w:pPr>
              <w:jc w:val="center"/>
              <w:rPr>
                <w:color w:val="FFFFFF" w:themeColor="background1"/>
                <w:sz w:val="20"/>
                <w:szCs w:val="20"/>
              </w:rPr>
            </w:pPr>
            <w:r w:rsidRPr="005B6270">
              <w:rPr>
                <w:color w:val="FFFFFF" w:themeColor="background1"/>
                <w:sz w:val="20"/>
                <w:szCs w:val="20"/>
              </w:rPr>
              <w:t>Integrated</w:t>
            </w:r>
          </w:p>
        </w:tc>
        <w:tc>
          <w:tcPr>
            <w:tcW w:w="667" w:type="pct"/>
            <w:shd w:val="clear" w:color="auto" w:fill="1F497D" w:themeFill="text2"/>
          </w:tcPr>
          <w:p w:rsidR="004E28FB" w:rsidRPr="005B6270" w:rsidRDefault="004E28FB" w:rsidP="004E28FB">
            <w:pPr>
              <w:jc w:val="center"/>
              <w:rPr>
                <w:color w:val="FFFFFF" w:themeColor="background1"/>
                <w:sz w:val="20"/>
                <w:szCs w:val="20"/>
              </w:rPr>
            </w:pPr>
            <w:r w:rsidRPr="005B6270">
              <w:rPr>
                <w:color w:val="FFFFFF" w:themeColor="background1"/>
                <w:sz w:val="20"/>
                <w:szCs w:val="20"/>
              </w:rPr>
              <w:t>NO</w:t>
            </w:r>
            <w:r w:rsidRPr="005B6270">
              <w:rPr>
                <w:color w:val="FFFFFF" w:themeColor="background1"/>
                <w:sz w:val="20"/>
                <w:szCs w:val="20"/>
                <w:vertAlign w:val="subscript"/>
              </w:rPr>
              <w:t>2</w:t>
            </w:r>
          </w:p>
        </w:tc>
        <w:tc>
          <w:tcPr>
            <w:tcW w:w="667" w:type="pct"/>
            <w:shd w:val="clear" w:color="auto" w:fill="1F497D" w:themeFill="text2"/>
          </w:tcPr>
          <w:p w:rsidR="004E28FB" w:rsidRPr="005B6270" w:rsidRDefault="004E28FB" w:rsidP="004E28FB">
            <w:pPr>
              <w:jc w:val="center"/>
              <w:rPr>
                <w:color w:val="FFFFFF" w:themeColor="background1"/>
                <w:sz w:val="20"/>
                <w:szCs w:val="20"/>
              </w:rPr>
            </w:pPr>
            <w:r w:rsidRPr="005B6270">
              <w:rPr>
                <w:color w:val="FFFFFF" w:themeColor="background1"/>
                <w:sz w:val="20"/>
                <w:szCs w:val="20"/>
              </w:rPr>
              <w:t>BTX</w:t>
            </w:r>
          </w:p>
        </w:tc>
      </w:tr>
      <w:tr w:rsidR="004E28FB" w:rsidRPr="00623E33" w:rsidTr="005B6270">
        <w:trPr>
          <w:trHeight w:val="284"/>
        </w:trPr>
        <w:tc>
          <w:tcPr>
            <w:tcW w:w="1001" w:type="pct"/>
          </w:tcPr>
          <w:p w:rsidR="004E28FB" w:rsidRPr="00623E33" w:rsidRDefault="004E28FB" w:rsidP="004E28FB">
            <w:pPr>
              <w:rPr>
                <w:sz w:val="20"/>
                <w:szCs w:val="20"/>
              </w:rPr>
            </w:pPr>
            <w:r w:rsidRPr="00623E33">
              <w:rPr>
                <w:sz w:val="20"/>
                <w:szCs w:val="20"/>
              </w:rPr>
              <w:t>Austria</w:t>
            </w: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roofErr w:type="spellStart"/>
            <w:r w:rsidRPr="00623E33">
              <w:rPr>
                <w:b w:val="0"/>
                <w:sz w:val="20"/>
                <w:szCs w:val="20"/>
              </w:rPr>
              <w:t>x</w:t>
            </w:r>
            <w:r w:rsidRPr="00623E33">
              <w:rPr>
                <w:b w:val="0"/>
                <w:sz w:val="20"/>
                <w:szCs w:val="20"/>
                <w:vertAlign w:val="superscript"/>
              </w:rPr>
              <w:t>a</w:t>
            </w:r>
            <w:proofErr w:type="spellEnd"/>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r w:rsidRPr="00623E33">
              <w:rPr>
                <w:b w:val="0"/>
                <w:sz w:val="20"/>
                <w:szCs w:val="20"/>
              </w:rPr>
              <w:t>x</w:t>
            </w:r>
            <w:r w:rsidRPr="00623E33">
              <w:rPr>
                <w:b w:val="0"/>
                <w:sz w:val="20"/>
                <w:szCs w:val="20"/>
                <w:vertAlign w:val="superscript"/>
              </w:rPr>
              <w:t>1</w:t>
            </w:r>
          </w:p>
        </w:tc>
        <w:tc>
          <w:tcPr>
            <w:tcW w:w="667" w:type="pct"/>
          </w:tcPr>
          <w:p w:rsidR="004E28FB" w:rsidRPr="00623E33" w:rsidRDefault="004E28FB" w:rsidP="004E28FB">
            <w:pPr>
              <w:jc w:val="center"/>
              <w:rPr>
                <w:b w:val="0"/>
                <w:sz w:val="20"/>
                <w:szCs w:val="20"/>
              </w:rPr>
            </w:pPr>
            <w:r w:rsidRPr="00623E33">
              <w:rPr>
                <w:b w:val="0"/>
                <w:sz w:val="20"/>
                <w:szCs w:val="20"/>
              </w:rPr>
              <w:t>x</w:t>
            </w:r>
            <w:r w:rsidRPr="00623E33">
              <w:rPr>
                <w:b w:val="0"/>
                <w:sz w:val="20"/>
                <w:szCs w:val="20"/>
                <w:vertAlign w:val="superscript"/>
              </w:rPr>
              <w:t>1</w:t>
            </w:r>
          </w:p>
        </w:tc>
      </w:tr>
      <w:tr w:rsidR="004E28FB" w:rsidRPr="00623E33" w:rsidTr="005B6270">
        <w:trPr>
          <w:trHeight w:val="284"/>
        </w:trPr>
        <w:tc>
          <w:tcPr>
            <w:tcW w:w="1001" w:type="pct"/>
          </w:tcPr>
          <w:p w:rsidR="004E28FB" w:rsidRPr="00623E33" w:rsidRDefault="004E28FB" w:rsidP="004E28FB">
            <w:pPr>
              <w:rPr>
                <w:sz w:val="20"/>
                <w:szCs w:val="20"/>
              </w:rPr>
            </w:pPr>
            <w:r w:rsidRPr="00623E33">
              <w:rPr>
                <w:sz w:val="20"/>
                <w:szCs w:val="20"/>
              </w:rPr>
              <w:lastRenderedPageBreak/>
              <w:t>Belgium</w:t>
            </w:r>
          </w:p>
        </w:tc>
        <w:tc>
          <w:tcPr>
            <w:tcW w:w="667" w:type="pct"/>
          </w:tcPr>
          <w:p w:rsidR="004E28FB" w:rsidRPr="00623E33" w:rsidRDefault="004E28FB" w:rsidP="004E28FB">
            <w:pPr>
              <w:jc w:val="center"/>
              <w:rPr>
                <w:b w:val="0"/>
                <w:sz w:val="20"/>
                <w:szCs w:val="20"/>
              </w:rPr>
            </w:pPr>
            <w:r w:rsidRPr="00623E33">
              <w:rPr>
                <w:b w:val="0"/>
                <w:sz w:val="20"/>
                <w:szCs w:val="20"/>
              </w:rPr>
              <w:t>x</w:t>
            </w: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r>
      <w:tr w:rsidR="004E28FB" w:rsidRPr="00623E33" w:rsidTr="005B6270">
        <w:trPr>
          <w:trHeight w:val="284"/>
        </w:trPr>
        <w:tc>
          <w:tcPr>
            <w:tcW w:w="1001" w:type="pct"/>
          </w:tcPr>
          <w:p w:rsidR="004E28FB" w:rsidRPr="00623E33" w:rsidRDefault="004E28FB" w:rsidP="004E28FB">
            <w:pPr>
              <w:rPr>
                <w:sz w:val="20"/>
                <w:szCs w:val="20"/>
              </w:rPr>
            </w:pPr>
            <w:r w:rsidRPr="00623E33">
              <w:rPr>
                <w:sz w:val="20"/>
                <w:szCs w:val="20"/>
              </w:rPr>
              <w:t>Finland</w:t>
            </w:r>
          </w:p>
        </w:tc>
        <w:tc>
          <w:tcPr>
            <w:tcW w:w="667" w:type="pct"/>
          </w:tcPr>
          <w:p w:rsidR="004E28FB" w:rsidRPr="00623E33" w:rsidRDefault="004E28FB" w:rsidP="004E28FB">
            <w:pPr>
              <w:jc w:val="center"/>
              <w:rPr>
                <w:b w:val="0"/>
                <w:sz w:val="20"/>
                <w:szCs w:val="20"/>
              </w:rPr>
            </w:pPr>
            <w:r w:rsidRPr="00623E33">
              <w:rPr>
                <w:b w:val="0"/>
                <w:sz w:val="20"/>
                <w:szCs w:val="20"/>
              </w:rPr>
              <w:t>x</w:t>
            </w:r>
          </w:p>
        </w:tc>
        <w:tc>
          <w:tcPr>
            <w:tcW w:w="667" w:type="pct"/>
          </w:tcPr>
          <w:p w:rsidR="004E28FB" w:rsidRPr="00623E33" w:rsidRDefault="004E28FB" w:rsidP="004E28FB">
            <w:pPr>
              <w:jc w:val="center"/>
              <w:rPr>
                <w:b w:val="0"/>
                <w:sz w:val="20"/>
                <w:szCs w:val="20"/>
              </w:rPr>
            </w:pPr>
            <w:r w:rsidRPr="00623E33">
              <w:rPr>
                <w:b w:val="0"/>
                <w:sz w:val="20"/>
                <w:szCs w:val="20"/>
              </w:rPr>
              <w:t>x</w:t>
            </w:r>
          </w:p>
        </w:tc>
        <w:tc>
          <w:tcPr>
            <w:tcW w:w="667" w:type="pct"/>
          </w:tcPr>
          <w:p w:rsidR="004E28FB" w:rsidRPr="00623E33" w:rsidRDefault="004E28FB" w:rsidP="004E28FB">
            <w:pPr>
              <w:jc w:val="center"/>
              <w:rPr>
                <w:b w:val="0"/>
                <w:sz w:val="20"/>
                <w:szCs w:val="20"/>
              </w:rPr>
            </w:pPr>
            <w:r w:rsidRPr="00623E33">
              <w:rPr>
                <w:b w:val="0"/>
                <w:sz w:val="20"/>
                <w:szCs w:val="20"/>
              </w:rPr>
              <w:t>x</w:t>
            </w: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r>
      <w:tr w:rsidR="004E28FB" w:rsidRPr="00623E33" w:rsidTr="005B6270">
        <w:trPr>
          <w:trHeight w:val="284"/>
        </w:trPr>
        <w:tc>
          <w:tcPr>
            <w:tcW w:w="1001" w:type="pct"/>
          </w:tcPr>
          <w:p w:rsidR="004E28FB" w:rsidRPr="00623E33" w:rsidRDefault="004E28FB" w:rsidP="004E28FB">
            <w:pPr>
              <w:rPr>
                <w:sz w:val="20"/>
                <w:szCs w:val="20"/>
              </w:rPr>
            </w:pPr>
            <w:r w:rsidRPr="00623E33">
              <w:rPr>
                <w:sz w:val="20"/>
                <w:szCs w:val="20"/>
              </w:rPr>
              <w:t>France</w:t>
            </w:r>
          </w:p>
        </w:tc>
        <w:tc>
          <w:tcPr>
            <w:tcW w:w="667" w:type="pct"/>
          </w:tcPr>
          <w:p w:rsidR="004E28FB" w:rsidRPr="00623E33" w:rsidRDefault="004E28FB" w:rsidP="004E28FB">
            <w:pPr>
              <w:jc w:val="center"/>
              <w:rPr>
                <w:b w:val="0"/>
                <w:sz w:val="20"/>
                <w:szCs w:val="20"/>
              </w:rPr>
            </w:pPr>
            <w:r w:rsidRPr="00623E33">
              <w:rPr>
                <w:b w:val="0"/>
                <w:sz w:val="20"/>
                <w:szCs w:val="20"/>
              </w:rPr>
              <w:t>x</w:t>
            </w: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r>
      <w:tr w:rsidR="004E28FB" w:rsidRPr="00623E33" w:rsidTr="005B6270">
        <w:trPr>
          <w:trHeight w:val="284"/>
        </w:trPr>
        <w:tc>
          <w:tcPr>
            <w:tcW w:w="1001" w:type="pct"/>
          </w:tcPr>
          <w:p w:rsidR="004E28FB" w:rsidRPr="00623E33" w:rsidRDefault="004E28FB" w:rsidP="004E28FB">
            <w:pPr>
              <w:rPr>
                <w:sz w:val="20"/>
                <w:szCs w:val="20"/>
              </w:rPr>
            </w:pPr>
            <w:r w:rsidRPr="00623E33">
              <w:rPr>
                <w:sz w:val="20"/>
                <w:szCs w:val="20"/>
              </w:rPr>
              <w:t>Germany</w:t>
            </w:r>
          </w:p>
        </w:tc>
        <w:tc>
          <w:tcPr>
            <w:tcW w:w="667" w:type="pct"/>
          </w:tcPr>
          <w:p w:rsidR="004E28FB" w:rsidRPr="00623E33" w:rsidRDefault="004E28FB" w:rsidP="004E28FB">
            <w:pPr>
              <w:jc w:val="center"/>
              <w:rPr>
                <w:b w:val="0"/>
                <w:sz w:val="20"/>
                <w:szCs w:val="20"/>
              </w:rPr>
            </w:pPr>
            <w:r w:rsidRPr="00623E33">
              <w:rPr>
                <w:b w:val="0"/>
                <w:sz w:val="20"/>
                <w:szCs w:val="20"/>
              </w:rPr>
              <w:t>x</w:t>
            </w: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r>
      <w:tr w:rsidR="004E28FB" w:rsidRPr="00623E33" w:rsidTr="005B6270">
        <w:trPr>
          <w:trHeight w:val="284"/>
        </w:trPr>
        <w:tc>
          <w:tcPr>
            <w:tcW w:w="1001" w:type="pct"/>
          </w:tcPr>
          <w:p w:rsidR="004E28FB" w:rsidRPr="00623E33" w:rsidRDefault="004E28FB" w:rsidP="004E28FB">
            <w:pPr>
              <w:rPr>
                <w:sz w:val="20"/>
                <w:szCs w:val="20"/>
              </w:rPr>
            </w:pPr>
            <w:r w:rsidRPr="00623E33">
              <w:rPr>
                <w:sz w:val="20"/>
                <w:szCs w:val="20"/>
              </w:rPr>
              <w:t>Greece</w:t>
            </w:r>
          </w:p>
        </w:tc>
        <w:tc>
          <w:tcPr>
            <w:tcW w:w="667" w:type="pct"/>
          </w:tcPr>
          <w:p w:rsidR="004E28FB" w:rsidRPr="00623E33" w:rsidRDefault="004E28FB" w:rsidP="004E28FB">
            <w:pPr>
              <w:jc w:val="center"/>
              <w:rPr>
                <w:b w:val="0"/>
                <w:sz w:val="20"/>
                <w:szCs w:val="20"/>
              </w:rPr>
            </w:pPr>
            <w:r w:rsidRPr="00623E33">
              <w:rPr>
                <w:b w:val="0"/>
                <w:sz w:val="20"/>
                <w:szCs w:val="20"/>
              </w:rPr>
              <w:t>x</w:t>
            </w: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r>
      <w:tr w:rsidR="004E28FB" w:rsidRPr="00623E33" w:rsidTr="005B6270">
        <w:trPr>
          <w:trHeight w:val="284"/>
        </w:trPr>
        <w:tc>
          <w:tcPr>
            <w:tcW w:w="1001" w:type="pct"/>
          </w:tcPr>
          <w:p w:rsidR="004E28FB" w:rsidRPr="00623E33" w:rsidRDefault="004E28FB" w:rsidP="004E28FB">
            <w:pPr>
              <w:rPr>
                <w:sz w:val="20"/>
                <w:szCs w:val="20"/>
              </w:rPr>
            </w:pPr>
            <w:r w:rsidRPr="00623E33">
              <w:rPr>
                <w:sz w:val="20"/>
                <w:szCs w:val="20"/>
              </w:rPr>
              <w:t>The Netherlands</w:t>
            </w:r>
          </w:p>
        </w:tc>
        <w:tc>
          <w:tcPr>
            <w:tcW w:w="667" w:type="pct"/>
          </w:tcPr>
          <w:p w:rsidR="004E28FB" w:rsidRPr="00623E33" w:rsidRDefault="004E28FB" w:rsidP="004E28FB">
            <w:pPr>
              <w:jc w:val="center"/>
              <w:rPr>
                <w:b w:val="0"/>
                <w:sz w:val="20"/>
                <w:szCs w:val="20"/>
              </w:rPr>
            </w:pPr>
            <w:r w:rsidRPr="00623E33">
              <w:rPr>
                <w:b w:val="0"/>
                <w:sz w:val="20"/>
                <w:szCs w:val="20"/>
              </w:rPr>
              <w:t>x</w:t>
            </w: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r>
      <w:tr w:rsidR="004E28FB" w:rsidRPr="00623E33" w:rsidTr="005B6270">
        <w:trPr>
          <w:trHeight w:val="284"/>
        </w:trPr>
        <w:tc>
          <w:tcPr>
            <w:tcW w:w="1001" w:type="pct"/>
          </w:tcPr>
          <w:p w:rsidR="004E28FB" w:rsidRPr="00623E33" w:rsidRDefault="004E28FB" w:rsidP="004E28FB">
            <w:pPr>
              <w:rPr>
                <w:sz w:val="20"/>
                <w:szCs w:val="20"/>
              </w:rPr>
            </w:pPr>
            <w:r w:rsidRPr="00623E33">
              <w:rPr>
                <w:sz w:val="20"/>
                <w:szCs w:val="20"/>
              </w:rPr>
              <w:t>Portugal</w:t>
            </w: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r>
      <w:tr w:rsidR="004E28FB" w:rsidRPr="00623E33" w:rsidTr="005B6270">
        <w:trPr>
          <w:trHeight w:val="284"/>
        </w:trPr>
        <w:tc>
          <w:tcPr>
            <w:tcW w:w="1001" w:type="pct"/>
          </w:tcPr>
          <w:p w:rsidR="004E28FB" w:rsidRPr="00623E33" w:rsidRDefault="004E28FB" w:rsidP="004E28FB">
            <w:pPr>
              <w:rPr>
                <w:sz w:val="20"/>
                <w:szCs w:val="20"/>
              </w:rPr>
            </w:pPr>
            <w:r w:rsidRPr="00623E33">
              <w:rPr>
                <w:sz w:val="20"/>
                <w:szCs w:val="20"/>
              </w:rPr>
              <w:t>Spain</w:t>
            </w:r>
          </w:p>
        </w:tc>
        <w:tc>
          <w:tcPr>
            <w:tcW w:w="667" w:type="pct"/>
          </w:tcPr>
          <w:p w:rsidR="004E28FB" w:rsidRPr="00623E33" w:rsidRDefault="004E28FB" w:rsidP="004E28FB">
            <w:pPr>
              <w:jc w:val="center"/>
              <w:rPr>
                <w:b w:val="0"/>
                <w:sz w:val="20"/>
                <w:szCs w:val="20"/>
              </w:rPr>
            </w:pPr>
            <w:r w:rsidRPr="00623E33">
              <w:rPr>
                <w:b w:val="0"/>
                <w:sz w:val="20"/>
                <w:szCs w:val="20"/>
              </w:rPr>
              <w:t>x</w:t>
            </w: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r>
      <w:tr w:rsidR="004E28FB" w:rsidRPr="00623E33" w:rsidTr="005B6270">
        <w:trPr>
          <w:trHeight w:val="284"/>
        </w:trPr>
        <w:tc>
          <w:tcPr>
            <w:tcW w:w="1001" w:type="pct"/>
            <w:shd w:val="clear" w:color="auto" w:fill="FFFFFF" w:themeFill="background1"/>
          </w:tcPr>
          <w:p w:rsidR="004E28FB" w:rsidRPr="00623E33" w:rsidRDefault="004E28FB" w:rsidP="004E28FB">
            <w:pPr>
              <w:rPr>
                <w:sz w:val="20"/>
                <w:szCs w:val="20"/>
              </w:rPr>
            </w:pPr>
            <w:r w:rsidRPr="00623E33">
              <w:rPr>
                <w:sz w:val="20"/>
                <w:szCs w:val="20"/>
              </w:rPr>
              <w:t>Sweden</w:t>
            </w:r>
          </w:p>
        </w:tc>
        <w:tc>
          <w:tcPr>
            <w:tcW w:w="667" w:type="pct"/>
            <w:shd w:val="clear" w:color="auto" w:fill="FFFFFF" w:themeFill="background1"/>
          </w:tcPr>
          <w:p w:rsidR="004E28FB" w:rsidRPr="00623E33" w:rsidRDefault="004E28FB" w:rsidP="004E28FB">
            <w:pPr>
              <w:jc w:val="center"/>
              <w:rPr>
                <w:b w:val="0"/>
                <w:sz w:val="20"/>
                <w:szCs w:val="20"/>
              </w:rPr>
            </w:pPr>
            <w:r w:rsidRPr="00623E33">
              <w:rPr>
                <w:b w:val="0"/>
                <w:sz w:val="20"/>
                <w:szCs w:val="20"/>
              </w:rPr>
              <w:t>x</w:t>
            </w:r>
          </w:p>
        </w:tc>
        <w:tc>
          <w:tcPr>
            <w:tcW w:w="667" w:type="pct"/>
            <w:shd w:val="clear" w:color="auto" w:fill="FFFFFF" w:themeFill="background1"/>
          </w:tcPr>
          <w:p w:rsidR="004E28FB" w:rsidRPr="00623E33" w:rsidRDefault="004E28FB" w:rsidP="004E28FB">
            <w:pPr>
              <w:jc w:val="center"/>
              <w:rPr>
                <w:b w:val="0"/>
                <w:sz w:val="20"/>
                <w:szCs w:val="20"/>
              </w:rPr>
            </w:pPr>
          </w:p>
        </w:tc>
        <w:tc>
          <w:tcPr>
            <w:tcW w:w="667" w:type="pct"/>
            <w:shd w:val="clear" w:color="auto" w:fill="FFFFFF" w:themeFill="background1"/>
          </w:tcPr>
          <w:p w:rsidR="004E28FB" w:rsidRPr="00623E33" w:rsidRDefault="004E28FB" w:rsidP="004E28FB">
            <w:pPr>
              <w:jc w:val="center"/>
              <w:rPr>
                <w:b w:val="0"/>
                <w:sz w:val="20"/>
                <w:szCs w:val="20"/>
              </w:rPr>
            </w:pPr>
            <w:r w:rsidRPr="00623E33">
              <w:rPr>
                <w:b w:val="0"/>
                <w:sz w:val="20"/>
                <w:szCs w:val="20"/>
              </w:rPr>
              <w:t>x</w:t>
            </w:r>
          </w:p>
        </w:tc>
        <w:tc>
          <w:tcPr>
            <w:tcW w:w="667" w:type="pct"/>
            <w:shd w:val="clear" w:color="auto" w:fill="FFFFFF" w:themeFill="background1"/>
          </w:tcPr>
          <w:p w:rsidR="004E28FB" w:rsidRPr="00623E33" w:rsidRDefault="004E28FB" w:rsidP="004E28FB">
            <w:pPr>
              <w:jc w:val="center"/>
              <w:rPr>
                <w:b w:val="0"/>
                <w:sz w:val="20"/>
                <w:szCs w:val="20"/>
              </w:rPr>
            </w:pPr>
          </w:p>
        </w:tc>
        <w:tc>
          <w:tcPr>
            <w:tcW w:w="667" w:type="pct"/>
            <w:shd w:val="clear" w:color="auto" w:fill="FFFFFF" w:themeFill="background1"/>
          </w:tcPr>
          <w:p w:rsidR="004E28FB" w:rsidRPr="00623E33" w:rsidRDefault="004E28FB" w:rsidP="004E28FB">
            <w:pPr>
              <w:jc w:val="center"/>
              <w:rPr>
                <w:b w:val="0"/>
                <w:sz w:val="20"/>
                <w:szCs w:val="20"/>
              </w:rPr>
            </w:pPr>
          </w:p>
        </w:tc>
        <w:tc>
          <w:tcPr>
            <w:tcW w:w="667" w:type="pct"/>
            <w:shd w:val="clear" w:color="auto" w:fill="FFFFFF" w:themeFill="background1"/>
          </w:tcPr>
          <w:p w:rsidR="004E28FB" w:rsidRPr="00623E33" w:rsidRDefault="004E28FB" w:rsidP="004E28FB">
            <w:pPr>
              <w:jc w:val="center"/>
              <w:rPr>
                <w:b w:val="0"/>
                <w:sz w:val="20"/>
                <w:szCs w:val="20"/>
              </w:rPr>
            </w:pPr>
            <w:r w:rsidRPr="00623E33">
              <w:rPr>
                <w:b w:val="0"/>
                <w:sz w:val="20"/>
                <w:szCs w:val="20"/>
              </w:rPr>
              <w:t>x</w:t>
            </w:r>
          </w:p>
        </w:tc>
      </w:tr>
      <w:tr w:rsidR="004E28FB" w:rsidRPr="00623E33" w:rsidTr="005B6270">
        <w:trPr>
          <w:trHeight w:val="284"/>
        </w:trPr>
        <w:tc>
          <w:tcPr>
            <w:tcW w:w="1001" w:type="pct"/>
            <w:shd w:val="clear" w:color="auto" w:fill="FFFFFF" w:themeFill="background1"/>
          </w:tcPr>
          <w:p w:rsidR="004E28FB" w:rsidRPr="00623E33" w:rsidRDefault="004E28FB" w:rsidP="004E28FB">
            <w:pPr>
              <w:rPr>
                <w:sz w:val="20"/>
                <w:szCs w:val="20"/>
              </w:rPr>
            </w:pPr>
            <w:r w:rsidRPr="00623E33">
              <w:rPr>
                <w:sz w:val="20"/>
                <w:szCs w:val="20"/>
              </w:rPr>
              <w:t>U.K.</w:t>
            </w:r>
          </w:p>
        </w:tc>
        <w:tc>
          <w:tcPr>
            <w:tcW w:w="667" w:type="pct"/>
            <w:shd w:val="clear" w:color="auto" w:fill="FFFFFF" w:themeFill="background1"/>
          </w:tcPr>
          <w:p w:rsidR="004E28FB" w:rsidRPr="00623E33" w:rsidRDefault="004E28FB" w:rsidP="004E28FB">
            <w:pPr>
              <w:jc w:val="center"/>
              <w:rPr>
                <w:b w:val="0"/>
                <w:sz w:val="20"/>
                <w:szCs w:val="20"/>
              </w:rPr>
            </w:pPr>
            <w:r w:rsidRPr="00623E33">
              <w:rPr>
                <w:b w:val="0"/>
                <w:sz w:val="20"/>
                <w:szCs w:val="20"/>
              </w:rPr>
              <w:t>x</w:t>
            </w:r>
          </w:p>
        </w:tc>
        <w:tc>
          <w:tcPr>
            <w:tcW w:w="667" w:type="pct"/>
            <w:shd w:val="clear" w:color="auto" w:fill="FFFFFF" w:themeFill="background1"/>
          </w:tcPr>
          <w:p w:rsidR="004E28FB" w:rsidRPr="00623E33" w:rsidRDefault="004E28FB" w:rsidP="004E28FB">
            <w:pPr>
              <w:jc w:val="center"/>
              <w:rPr>
                <w:b w:val="0"/>
                <w:sz w:val="20"/>
                <w:szCs w:val="20"/>
              </w:rPr>
            </w:pPr>
          </w:p>
        </w:tc>
        <w:tc>
          <w:tcPr>
            <w:tcW w:w="667" w:type="pct"/>
            <w:shd w:val="clear" w:color="auto" w:fill="FFFFFF" w:themeFill="background1"/>
          </w:tcPr>
          <w:p w:rsidR="004E28FB" w:rsidRPr="00623E33" w:rsidRDefault="004E28FB" w:rsidP="004E28FB">
            <w:pPr>
              <w:jc w:val="center"/>
              <w:rPr>
                <w:b w:val="0"/>
                <w:sz w:val="20"/>
                <w:szCs w:val="20"/>
              </w:rPr>
            </w:pPr>
            <w:r w:rsidRPr="00623E33">
              <w:rPr>
                <w:b w:val="0"/>
                <w:sz w:val="20"/>
                <w:szCs w:val="20"/>
              </w:rPr>
              <w:t>x</w:t>
            </w:r>
            <w:r w:rsidRPr="00623E33">
              <w:rPr>
                <w:b w:val="0"/>
                <w:sz w:val="20"/>
                <w:szCs w:val="20"/>
                <w:vertAlign w:val="superscript"/>
              </w:rPr>
              <w:t>2</w:t>
            </w:r>
          </w:p>
        </w:tc>
        <w:tc>
          <w:tcPr>
            <w:tcW w:w="667" w:type="pct"/>
            <w:shd w:val="clear" w:color="auto" w:fill="FFFFFF" w:themeFill="background1"/>
          </w:tcPr>
          <w:p w:rsidR="004E28FB" w:rsidRPr="00623E33" w:rsidRDefault="004E28FB" w:rsidP="004E28FB">
            <w:pPr>
              <w:jc w:val="center"/>
              <w:rPr>
                <w:b w:val="0"/>
                <w:sz w:val="20"/>
                <w:szCs w:val="20"/>
              </w:rPr>
            </w:pPr>
          </w:p>
        </w:tc>
        <w:tc>
          <w:tcPr>
            <w:tcW w:w="667" w:type="pct"/>
            <w:shd w:val="clear" w:color="auto" w:fill="FFFFFF" w:themeFill="background1"/>
          </w:tcPr>
          <w:p w:rsidR="004E28FB" w:rsidRPr="00623E33" w:rsidRDefault="004E28FB" w:rsidP="004E28FB">
            <w:pPr>
              <w:jc w:val="center"/>
              <w:rPr>
                <w:b w:val="0"/>
                <w:sz w:val="20"/>
                <w:szCs w:val="20"/>
              </w:rPr>
            </w:pPr>
            <w:r w:rsidRPr="00623E33">
              <w:rPr>
                <w:b w:val="0"/>
                <w:sz w:val="20"/>
                <w:szCs w:val="20"/>
              </w:rPr>
              <w:t>x</w:t>
            </w:r>
          </w:p>
        </w:tc>
        <w:tc>
          <w:tcPr>
            <w:tcW w:w="667" w:type="pct"/>
            <w:shd w:val="clear" w:color="auto" w:fill="FFFFFF" w:themeFill="background1"/>
          </w:tcPr>
          <w:p w:rsidR="004E28FB" w:rsidRPr="00623E33" w:rsidRDefault="004E28FB" w:rsidP="004E28FB">
            <w:pPr>
              <w:jc w:val="center"/>
              <w:rPr>
                <w:b w:val="0"/>
                <w:sz w:val="20"/>
                <w:szCs w:val="20"/>
              </w:rPr>
            </w:pPr>
          </w:p>
        </w:tc>
      </w:tr>
      <w:tr w:rsidR="004E28FB" w:rsidRPr="00623E33" w:rsidTr="005B6270">
        <w:trPr>
          <w:trHeight w:val="284"/>
        </w:trPr>
        <w:tc>
          <w:tcPr>
            <w:tcW w:w="1001" w:type="pct"/>
            <w:shd w:val="clear" w:color="auto" w:fill="FFFFFF" w:themeFill="background1"/>
          </w:tcPr>
          <w:p w:rsidR="004E28FB" w:rsidRPr="00623E33" w:rsidRDefault="004E28FB" w:rsidP="004E28FB">
            <w:pPr>
              <w:rPr>
                <w:sz w:val="20"/>
                <w:szCs w:val="20"/>
              </w:rPr>
            </w:pPr>
            <w:r w:rsidRPr="00623E33">
              <w:rPr>
                <w:sz w:val="20"/>
                <w:szCs w:val="20"/>
              </w:rPr>
              <w:t>Iceland</w:t>
            </w:r>
          </w:p>
        </w:tc>
        <w:tc>
          <w:tcPr>
            <w:tcW w:w="667" w:type="pct"/>
            <w:shd w:val="clear" w:color="auto" w:fill="FFFFFF" w:themeFill="background1"/>
          </w:tcPr>
          <w:p w:rsidR="004E28FB" w:rsidRPr="00623E33" w:rsidRDefault="004E28FB" w:rsidP="004E28FB">
            <w:pPr>
              <w:jc w:val="center"/>
              <w:rPr>
                <w:b w:val="0"/>
                <w:sz w:val="20"/>
                <w:szCs w:val="20"/>
              </w:rPr>
            </w:pPr>
            <w:r w:rsidRPr="00623E33">
              <w:rPr>
                <w:b w:val="0"/>
                <w:sz w:val="20"/>
                <w:szCs w:val="20"/>
              </w:rPr>
              <w:t>x</w:t>
            </w:r>
          </w:p>
        </w:tc>
        <w:tc>
          <w:tcPr>
            <w:tcW w:w="667" w:type="pct"/>
            <w:shd w:val="clear" w:color="auto" w:fill="FFFFFF" w:themeFill="background1"/>
          </w:tcPr>
          <w:p w:rsidR="004E28FB" w:rsidRPr="00623E33" w:rsidRDefault="004E28FB" w:rsidP="004E28FB">
            <w:pPr>
              <w:jc w:val="center"/>
              <w:rPr>
                <w:b w:val="0"/>
                <w:sz w:val="20"/>
                <w:szCs w:val="20"/>
              </w:rPr>
            </w:pPr>
            <w:r w:rsidRPr="00623E33">
              <w:rPr>
                <w:b w:val="0"/>
                <w:sz w:val="20"/>
                <w:szCs w:val="20"/>
              </w:rPr>
              <w:t>x</w:t>
            </w:r>
          </w:p>
        </w:tc>
        <w:tc>
          <w:tcPr>
            <w:tcW w:w="667" w:type="pct"/>
            <w:shd w:val="clear" w:color="auto" w:fill="FFFFFF" w:themeFill="background1"/>
          </w:tcPr>
          <w:p w:rsidR="004E28FB" w:rsidRPr="00623E33" w:rsidRDefault="004E28FB" w:rsidP="004E28FB">
            <w:pPr>
              <w:jc w:val="center"/>
              <w:rPr>
                <w:b w:val="0"/>
                <w:sz w:val="20"/>
                <w:szCs w:val="20"/>
              </w:rPr>
            </w:pPr>
          </w:p>
        </w:tc>
        <w:tc>
          <w:tcPr>
            <w:tcW w:w="667" w:type="pct"/>
            <w:shd w:val="clear" w:color="auto" w:fill="FFFFFF" w:themeFill="background1"/>
          </w:tcPr>
          <w:p w:rsidR="004E28FB" w:rsidRPr="00623E33" w:rsidRDefault="004E28FB" w:rsidP="004E28FB">
            <w:pPr>
              <w:jc w:val="center"/>
              <w:rPr>
                <w:b w:val="0"/>
                <w:sz w:val="20"/>
                <w:szCs w:val="20"/>
              </w:rPr>
            </w:pPr>
          </w:p>
        </w:tc>
        <w:tc>
          <w:tcPr>
            <w:tcW w:w="667" w:type="pct"/>
            <w:shd w:val="clear" w:color="auto" w:fill="FFFFFF" w:themeFill="background1"/>
          </w:tcPr>
          <w:p w:rsidR="004E28FB" w:rsidRPr="00623E33" w:rsidRDefault="004E28FB" w:rsidP="004E28FB">
            <w:pPr>
              <w:jc w:val="center"/>
              <w:rPr>
                <w:b w:val="0"/>
                <w:sz w:val="20"/>
                <w:szCs w:val="20"/>
              </w:rPr>
            </w:pPr>
          </w:p>
        </w:tc>
        <w:tc>
          <w:tcPr>
            <w:tcW w:w="667" w:type="pct"/>
            <w:shd w:val="clear" w:color="auto" w:fill="FFFFFF" w:themeFill="background1"/>
          </w:tcPr>
          <w:p w:rsidR="004E28FB" w:rsidRPr="00623E33" w:rsidRDefault="004E28FB" w:rsidP="004E28FB">
            <w:pPr>
              <w:jc w:val="center"/>
              <w:rPr>
                <w:b w:val="0"/>
                <w:sz w:val="20"/>
                <w:szCs w:val="20"/>
              </w:rPr>
            </w:pPr>
          </w:p>
        </w:tc>
      </w:tr>
      <w:tr w:rsidR="004E28FB" w:rsidRPr="00623E33" w:rsidTr="005B6270">
        <w:trPr>
          <w:trHeight w:val="284"/>
        </w:trPr>
        <w:tc>
          <w:tcPr>
            <w:tcW w:w="1001" w:type="pct"/>
            <w:shd w:val="clear" w:color="auto" w:fill="FFFFFF" w:themeFill="background1"/>
          </w:tcPr>
          <w:p w:rsidR="004E28FB" w:rsidRPr="00623E33" w:rsidRDefault="004E28FB" w:rsidP="004E28FB">
            <w:pPr>
              <w:rPr>
                <w:sz w:val="20"/>
                <w:szCs w:val="20"/>
              </w:rPr>
            </w:pPr>
            <w:r w:rsidRPr="00623E33">
              <w:rPr>
                <w:sz w:val="20"/>
                <w:szCs w:val="20"/>
              </w:rPr>
              <w:t>Norway</w:t>
            </w:r>
          </w:p>
        </w:tc>
        <w:tc>
          <w:tcPr>
            <w:tcW w:w="667" w:type="pct"/>
            <w:shd w:val="clear" w:color="auto" w:fill="FFFFFF" w:themeFill="background1"/>
          </w:tcPr>
          <w:p w:rsidR="004E28FB" w:rsidRPr="00623E33" w:rsidRDefault="004E28FB" w:rsidP="004E28FB">
            <w:pPr>
              <w:jc w:val="center"/>
              <w:rPr>
                <w:b w:val="0"/>
                <w:sz w:val="20"/>
                <w:szCs w:val="20"/>
              </w:rPr>
            </w:pPr>
            <w:r w:rsidRPr="00623E33">
              <w:rPr>
                <w:b w:val="0"/>
                <w:sz w:val="20"/>
                <w:szCs w:val="20"/>
              </w:rPr>
              <w:t>x</w:t>
            </w:r>
          </w:p>
        </w:tc>
        <w:tc>
          <w:tcPr>
            <w:tcW w:w="667" w:type="pct"/>
            <w:shd w:val="clear" w:color="auto" w:fill="FFFFFF" w:themeFill="background1"/>
          </w:tcPr>
          <w:p w:rsidR="004E28FB" w:rsidRPr="00623E33" w:rsidRDefault="004E28FB" w:rsidP="004E28FB">
            <w:pPr>
              <w:jc w:val="center"/>
              <w:rPr>
                <w:b w:val="0"/>
                <w:sz w:val="20"/>
                <w:szCs w:val="20"/>
              </w:rPr>
            </w:pPr>
            <w:r w:rsidRPr="00623E33">
              <w:rPr>
                <w:b w:val="0"/>
                <w:sz w:val="20"/>
                <w:szCs w:val="20"/>
              </w:rPr>
              <w:t>x</w:t>
            </w:r>
          </w:p>
        </w:tc>
        <w:tc>
          <w:tcPr>
            <w:tcW w:w="667" w:type="pct"/>
            <w:shd w:val="clear" w:color="auto" w:fill="FFFFFF" w:themeFill="background1"/>
          </w:tcPr>
          <w:p w:rsidR="004E28FB" w:rsidRPr="00623E33" w:rsidRDefault="004E28FB" w:rsidP="004E28FB">
            <w:pPr>
              <w:jc w:val="center"/>
              <w:rPr>
                <w:b w:val="0"/>
                <w:sz w:val="20"/>
                <w:szCs w:val="20"/>
              </w:rPr>
            </w:pPr>
            <w:r w:rsidRPr="00623E33">
              <w:rPr>
                <w:b w:val="0"/>
                <w:sz w:val="20"/>
                <w:szCs w:val="20"/>
              </w:rPr>
              <w:t>x</w:t>
            </w:r>
          </w:p>
        </w:tc>
        <w:tc>
          <w:tcPr>
            <w:tcW w:w="667" w:type="pct"/>
            <w:shd w:val="clear" w:color="auto" w:fill="FFFFFF" w:themeFill="background1"/>
          </w:tcPr>
          <w:p w:rsidR="004E28FB" w:rsidRPr="00623E33" w:rsidRDefault="004E28FB" w:rsidP="004E28FB">
            <w:pPr>
              <w:jc w:val="center"/>
              <w:rPr>
                <w:b w:val="0"/>
                <w:sz w:val="20"/>
                <w:szCs w:val="20"/>
              </w:rPr>
            </w:pPr>
          </w:p>
        </w:tc>
        <w:tc>
          <w:tcPr>
            <w:tcW w:w="667" w:type="pct"/>
            <w:shd w:val="clear" w:color="auto" w:fill="FFFFFF" w:themeFill="background1"/>
          </w:tcPr>
          <w:p w:rsidR="004E28FB" w:rsidRPr="00623E33" w:rsidRDefault="004E28FB" w:rsidP="004E28FB">
            <w:pPr>
              <w:jc w:val="center"/>
              <w:rPr>
                <w:b w:val="0"/>
                <w:sz w:val="20"/>
                <w:szCs w:val="20"/>
              </w:rPr>
            </w:pPr>
          </w:p>
        </w:tc>
        <w:tc>
          <w:tcPr>
            <w:tcW w:w="667" w:type="pct"/>
            <w:shd w:val="clear" w:color="auto" w:fill="FFFFFF" w:themeFill="background1"/>
          </w:tcPr>
          <w:p w:rsidR="004E28FB" w:rsidRPr="00623E33" w:rsidRDefault="004E28FB" w:rsidP="004E28FB">
            <w:pPr>
              <w:jc w:val="center"/>
              <w:rPr>
                <w:b w:val="0"/>
                <w:sz w:val="20"/>
                <w:szCs w:val="20"/>
              </w:rPr>
            </w:pPr>
            <w:r w:rsidRPr="00623E33">
              <w:rPr>
                <w:b w:val="0"/>
                <w:sz w:val="20"/>
                <w:szCs w:val="20"/>
              </w:rPr>
              <w:t>x</w:t>
            </w:r>
          </w:p>
        </w:tc>
      </w:tr>
      <w:tr w:rsidR="004E28FB" w:rsidRPr="00623E33" w:rsidTr="005B6270">
        <w:trPr>
          <w:trHeight w:val="284"/>
        </w:trPr>
        <w:tc>
          <w:tcPr>
            <w:tcW w:w="1001" w:type="pct"/>
            <w:shd w:val="clear" w:color="auto" w:fill="FFFFFF" w:themeFill="background1"/>
          </w:tcPr>
          <w:p w:rsidR="004E28FB" w:rsidRPr="00623E33" w:rsidRDefault="004E28FB" w:rsidP="004E28FB">
            <w:pPr>
              <w:rPr>
                <w:sz w:val="20"/>
                <w:szCs w:val="20"/>
              </w:rPr>
            </w:pPr>
            <w:r w:rsidRPr="00623E33">
              <w:rPr>
                <w:sz w:val="20"/>
                <w:szCs w:val="20"/>
              </w:rPr>
              <w:t>Cyprus</w:t>
            </w:r>
          </w:p>
        </w:tc>
        <w:tc>
          <w:tcPr>
            <w:tcW w:w="667" w:type="pct"/>
            <w:shd w:val="clear" w:color="auto" w:fill="FFFFFF" w:themeFill="background1"/>
          </w:tcPr>
          <w:p w:rsidR="004E28FB" w:rsidRPr="00623E33" w:rsidRDefault="004E28FB" w:rsidP="004E28FB">
            <w:pPr>
              <w:jc w:val="center"/>
              <w:rPr>
                <w:b w:val="0"/>
                <w:sz w:val="20"/>
                <w:szCs w:val="20"/>
              </w:rPr>
            </w:pPr>
            <w:r w:rsidRPr="00623E33">
              <w:rPr>
                <w:b w:val="0"/>
                <w:sz w:val="20"/>
                <w:szCs w:val="20"/>
              </w:rPr>
              <w:t>x</w:t>
            </w:r>
          </w:p>
        </w:tc>
        <w:tc>
          <w:tcPr>
            <w:tcW w:w="667" w:type="pct"/>
            <w:shd w:val="clear" w:color="auto" w:fill="FFFFFF" w:themeFill="background1"/>
          </w:tcPr>
          <w:p w:rsidR="004E28FB" w:rsidRPr="00623E33" w:rsidRDefault="004E28FB" w:rsidP="004E28FB">
            <w:pPr>
              <w:jc w:val="center"/>
              <w:rPr>
                <w:b w:val="0"/>
                <w:sz w:val="20"/>
                <w:szCs w:val="20"/>
              </w:rPr>
            </w:pPr>
          </w:p>
        </w:tc>
        <w:tc>
          <w:tcPr>
            <w:tcW w:w="667" w:type="pct"/>
            <w:shd w:val="clear" w:color="auto" w:fill="FFFFFF" w:themeFill="background1"/>
          </w:tcPr>
          <w:p w:rsidR="004E28FB" w:rsidRPr="00623E33" w:rsidRDefault="004E28FB" w:rsidP="004E28FB">
            <w:pPr>
              <w:jc w:val="center"/>
              <w:rPr>
                <w:b w:val="0"/>
                <w:sz w:val="20"/>
                <w:szCs w:val="20"/>
              </w:rPr>
            </w:pPr>
          </w:p>
        </w:tc>
        <w:tc>
          <w:tcPr>
            <w:tcW w:w="667" w:type="pct"/>
            <w:shd w:val="clear" w:color="auto" w:fill="FFFFFF" w:themeFill="background1"/>
          </w:tcPr>
          <w:p w:rsidR="004E28FB" w:rsidRPr="00623E33" w:rsidRDefault="004E28FB" w:rsidP="004E28FB">
            <w:pPr>
              <w:jc w:val="center"/>
              <w:rPr>
                <w:b w:val="0"/>
                <w:sz w:val="20"/>
                <w:szCs w:val="20"/>
              </w:rPr>
            </w:pPr>
          </w:p>
        </w:tc>
        <w:tc>
          <w:tcPr>
            <w:tcW w:w="667" w:type="pct"/>
            <w:shd w:val="clear" w:color="auto" w:fill="FFFFFF" w:themeFill="background1"/>
          </w:tcPr>
          <w:p w:rsidR="004E28FB" w:rsidRPr="00623E33" w:rsidRDefault="004E28FB" w:rsidP="004E28FB">
            <w:pPr>
              <w:jc w:val="center"/>
              <w:rPr>
                <w:b w:val="0"/>
                <w:sz w:val="20"/>
                <w:szCs w:val="20"/>
              </w:rPr>
            </w:pPr>
          </w:p>
        </w:tc>
        <w:tc>
          <w:tcPr>
            <w:tcW w:w="667" w:type="pct"/>
            <w:shd w:val="clear" w:color="auto" w:fill="FFFFFF" w:themeFill="background1"/>
          </w:tcPr>
          <w:p w:rsidR="004E28FB" w:rsidRPr="00623E33" w:rsidRDefault="004E28FB" w:rsidP="004E28FB">
            <w:pPr>
              <w:jc w:val="center"/>
              <w:rPr>
                <w:b w:val="0"/>
                <w:sz w:val="20"/>
                <w:szCs w:val="20"/>
              </w:rPr>
            </w:pPr>
          </w:p>
        </w:tc>
      </w:tr>
      <w:tr w:rsidR="004E28FB" w:rsidRPr="00623E33" w:rsidTr="005B6270">
        <w:trPr>
          <w:trHeight w:val="284"/>
        </w:trPr>
        <w:tc>
          <w:tcPr>
            <w:tcW w:w="1001" w:type="pct"/>
          </w:tcPr>
          <w:p w:rsidR="004E28FB" w:rsidRPr="00623E33" w:rsidRDefault="004E28FB" w:rsidP="004E28FB">
            <w:pPr>
              <w:rPr>
                <w:sz w:val="20"/>
                <w:szCs w:val="20"/>
              </w:rPr>
            </w:pPr>
            <w:r w:rsidRPr="00623E33">
              <w:rPr>
                <w:sz w:val="20"/>
                <w:szCs w:val="20"/>
              </w:rPr>
              <w:t>Czech Republic</w:t>
            </w:r>
          </w:p>
        </w:tc>
        <w:tc>
          <w:tcPr>
            <w:tcW w:w="667" w:type="pct"/>
          </w:tcPr>
          <w:p w:rsidR="004E28FB" w:rsidRPr="00623E33" w:rsidRDefault="004E28FB" w:rsidP="004E28FB">
            <w:pPr>
              <w:jc w:val="center"/>
              <w:rPr>
                <w:b w:val="0"/>
                <w:sz w:val="20"/>
                <w:szCs w:val="20"/>
              </w:rPr>
            </w:pPr>
            <w:r w:rsidRPr="00623E33">
              <w:rPr>
                <w:b w:val="0"/>
                <w:sz w:val="20"/>
                <w:szCs w:val="20"/>
              </w:rPr>
              <w:t>x</w:t>
            </w: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r>
      <w:tr w:rsidR="004E28FB" w:rsidRPr="00623E33" w:rsidTr="005B6270">
        <w:trPr>
          <w:trHeight w:val="284"/>
        </w:trPr>
        <w:tc>
          <w:tcPr>
            <w:tcW w:w="1001" w:type="pct"/>
          </w:tcPr>
          <w:p w:rsidR="004E28FB" w:rsidRPr="00623E33" w:rsidRDefault="004E28FB" w:rsidP="004E28FB">
            <w:pPr>
              <w:rPr>
                <w:sz w:val="20"/>
                <w:szCs w:val="20"/>
              </w:rPr>
            </w:pPr>
            <w:r w:rsidRPr="00623E33">
              <w:rPr>
                <w:sz w:val="20"/>
                <w:szCs w:val="20"/>
              </w:rPr>
              <w:t>Estonia</w:t>
            </w: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r w:rsidRPr="00623E33">
              <w:rPr>
                <w:b w:val="0"/>
                <w:sz w:val="20"/>
                <w:szCs w:val="20"/>
              </w:rPr>
              <w:t>x</w:t>
            </w: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r>
      <w:tr w:rsidR="004E28FB" w:rsidRPr="00623E33" w:rsidTr="005B6270">
        <w:trPr>
          <w:trHeight w:val="284"/>
        </w:trPr>
        <w:tc>
          <w:tcPr>
            <w:tcW w:w="1001" w:type="pct"/>
          </w:tcPr>
          <w:p w:rsidR="004E28FB" w:rsidRPr="00623E33" w:rsidRDefault="004E28FB" w:rsidP="004E28FB">
            <w:pPr>
              <w:rPr>
                <w:sz w:val="20"/>
                <w:szCs w:val="20"/>
              </w:rPr>
            </w:pPr>
            <w:r w:rsidRPr="00623E33">
              <w:rPr>
                <w:sz w:val="20"/>
                <w:szCs w:val="20"/>
              </w:rPr>
              <w:t>Poland</w:t>
            </w: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r>
      <w:tr w:rsidR="004E28FB" w:rsidRPr="00623E33" w:rsidTr="005B6270">
        <w:trPr>
          <w:trHeight w:val="284"/>
        </w:trPr>
        <w:tc>
          <w:tcPr>
            <w:tcW w:w="1001" w:type="pct"/>
          </w:tcPr>
          <w:p w:rsidR="004E28FB" w:rsidRPr="00623E33" w:rsidRDefault="004E28FB" w:rsidP="004E28FB">
            <w:pPr>
              <w:rPr>
                <w:sz w:val="20"/>
                <w:szCs w:val="20"/>
              </w:rPr>
            </w:pPr>
            <w:r w:rsidRPr="00623E33">
              <w:rPr>
                <w:sz w:val="20"/>
                <w:szCs w:val="20"/>
              </w:rPr>
              <w:t>Slovakia</w:t>
            </w:r>
          </w:p>
        </w:tc>
        <w:tc>
          <w:tcPr>
            <w:tcW w:w="667" w:type="pct"/>
          </w:tcPr>
          <w:p w:rsidR="004E28FB" w:rsidRPr="00623E33" w:rsidRDefault="004E28FB" w:rsidP="004E28FB">
            <w:pPr>
              <w:jc w:val="center"/>
              <w:rPr>
                <w:b w:val="0"/>
                <w:sz w:val="20"/>
                <w:szCs w:val="20"/>
              </w:rPr>
            </w:pPr>
            <w:r w:rsidRPr="00623E33">
              <w:rPr>
                <w:b w:val="0"/>
                <w:sz w:val="20"/>
                <w:szCs w:val="20"/>
              </w:rPr>
              <w:t>x</w:t>
            </w: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r>
      <w:tr w:rsidR="004E28FB" w:rsidRPr="00623E33" w:rsidTr="005B6270">
        <w:trPr>
          <w:trHeight w:val="284"/>
        </w:trPr>
        <w:tc>
          <w:tcPr>
            <w:tcW w:w="1001" w:type="pct"/>
          </w:tcPr>
          <w:p w:rsidR="004E28FB" w:rsidRPr="00623E33" w:rsidRDefault="004E28FB" w:rsidP="004E28FB">
            <w:pPr>
              <w:rPr>
                <w:sz w:val="20"/>
                <w:szCs w:val="20"/>
              </w:rPr>
            </w:pPr>
            <w:r w:rsidRPr="00623E33">
              <w:rPr>
                <w:sz w:val="20"/>
                <w:szCs w:val="20"/>
              </w:rPr>
              <w:t>Slovenia</w:t>
            </w:r>
          </w:p>
        </w:tc>
        <w:tc>
          <w:tcPr>
            <w:tcW w:w="667" w:type="pct"/>
          </w:tcPr>
          <w:p w:rsidR="004E28FB" w:rsidRPr="00623E33" w:rsidRDefault="004E28FB" w:rsidP="004E28FB">
            <w:pPr>
              <w:jc w:val="center"/>
              <w:rPr>
                <w:b w:val="0"/>
                <w:sz w:val="20"/>
                <w:szCs w:val="20"/>
              </w:rPr>
            </w:pPr>
            <w:r w:rsidRPr="00623E33">
              <w:rPr>
                <w:b w:val="0"/>
                <w:sz w:val="20"/>
                <w:szCs w:val="20"/>
              </w:rPr>
              <w:t>x</w:t>
            </w: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r>
      <w:tr w:rsidR="004E28FB" w:rsidRPr="00623E33" w:rsidTr="005B6270">
        <w:trPr>
          <w:trHeight w:val="284"/>
        </w:trPr>
        <w:tc>
          <w:tcPr>
            <w:tcW w:w="1001" w:type="pct"/>
          </w:tcPr>
          <w:p w:rsidR="004E28FB" w:rsidRPr="00623E33" w:rsidRDefault="004E28FB" w:rsidP="004E28FB">
            <w:pPr>
              <w:rPr>
                <w:sz w:val="20"/>
                <w:szCs w:val="20"/>
              </w:rPr>
            </w:pPr>
            <w:r w:rsidRPr="00623E33">
              <w:rPr>
                <w:sz w:val="20"/>
                <w:szCs w:val="20"/>
              </w:rPr>
              <w:t>Switzerland</w:t>
            </w:r>
          </w:p>
        </w:tc>
        <w:tc>
          <w:tcPr>
            <w:tcW w:w="667" w:type="pct"/>
          </w:tcPr>
          <w:p w:rsidR="004E28FB" w:rsidRPr="00623E33" w:rsidRDefault="004E28FB" w:rsidP="004E28FB">
            <w:pPr>
              <w:jc w:val="center"/>
              <w:rPr>
                <w:b w:val="0"/>
                <w:sz w:val="20"/>
                <w:szCs w:val="20"/>
              </w:rPr>
            </w:pPr>
            <w:r w:rsidRPr="00623E33">
              <w:rPr>
                <w:b w:val="0"/>
                <w:sz w:val="20"/>
                <w:szCs w:val="20"/>
              </w:rPr>
              <w:t>x</w:t>
            </w: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c>
          <w:tcPr>
            <w:tcW w:w="667" w:type="pct"/>
          </w:tcPr>
          <w:p w:rsidR="004E28FB" w:rsidRPr="00623E33" w:rsidRDefault="004E28FB" w:rsidP="004E28FB">
            <w:pPr>
              <w:jc w:val="center"/>
              <w:rPr>
                <w:b w:val="0"/>
                <w:sz w:val="20"/>
                <w:szCs w:val="20"/>
              </w:rPr>
            </w:pPr>
          </w:p>
        </w:tc>
      </w:tr>
    </w:tbl>
    <w:p w:rsidR="004E28FB" w:rsidRPr="00623E33" w:rsidRDefault="004E28FB" w:rsidP="004E28FB">
      <w:pPr>
        <w:spacing w:line="240" w:lineRule="auto"/>
        <w:rPr>
          <w:color w:val="000000" w:themeColor="text1"/>
          <w:sz w:val="18"/>
          <w:szCs w:val="16"/>
        </w:rPr>
      </w:pPr>
      <w:proofErr w:type="gramStart"/>
      <w:r w:rsidRPr="00623E33">
        <w:rPr>
          <w:sz w:val="18"/>
          <w:szCs w:val="16"/>
          <w:vertAlign w:val="superscript"/>
        </w:rPr>
        <w:t>a</w:t>
      </w:r>
      <w:proofErr w:type="gramEnd"/>
      <w:r w:rsidRPr="00623E33">
        <w:rPr>
          <w:sz w:val="18"/>
          <w:szCs w:val="16"/>
        </w:rPr>
        <w:t xml:space="preserve">: </w:t>
      </w:r>
      <w:r w:rsidRPr="00623E33">
        <w:rPr>
          <w:color w:val="000000" w:themeColor="text1"/>
          <w:sz w:val="18"/>
          <w:szCs w:val="16"/>
        </w:rPr>
        <w:t>half-hourly from 1995.</w:t>
      </w:r>
    </w:p>
    <w:p w:rsidR="004E28FB" w:rsidRPr="00623E33" w:rsidRDefault="004E28FB" w:rsidP="004E28FB">
      <w:pPr>
        <w:spacing w:line="240" w:lineRule="auto"/>
        <w:rPr>
          <w:color w:val="000000" w:themeColor="text1"/>
          <w:sz w:val="18"/>
          <w:szCs w:val="16"/>
        </w:rPr>
      </w:pPr>
      <w:proofErr w:type="gramStart"/>
      <w:r w:rsidRPr="00623E33">
        <w:rPr>
          <w:color w:val="000000" w:themeColor="text1"/>
          <w:sz w:val="18"/>
          <w:szCs w:val="16"/>
          <w:vertAlign w:val="superscript"/>
        </w:rPr>
        <w:t>1</w:t>
      </w:r>
      <w:r w:rsidRPr="00623E33">
        <w:rPr>
          <w:color w:val="000000" w:themeColor="text1"/>
          <w:sz w:val="18"/>
          <w:szCs w:val="16"/>
        </w:rPr>
        <w:t xml:space="preserve"> Passive sampling during limited monitoring campaigns.</w:t>
      </w:r>
      <w:proofErr w:type="gramEnd"/>
    </w:p>
    <w:p w:rsidR="004E28FB" w:rsidRDefault="004E28FB" w:rsidP="004E28FB">
      <w:pPr>
        <w:spacing w:line="240" w:lineRule="auto"/>
        <w:rPr>
          <w:color w:val="000000" w:themeColor="text1"/>
          <w:sz w:val="18"/>
          <w:szCs w:val="16"/>
        </w:rPr>
      </w:pPr>
      <w:r w:rsidRPr="00623E33">
        <w:rPr>
          <w:color w:val="000000" w:themeColor="text1"/>
          <w:sz w:val="18"/>
          <w:szCs w:val="16"/>
          <w:vertAlign w:val="superscript"/>
        </w:rPr>
        <w:t>2</w:t>
      </w:r>
      <w:r w:rsidRPr="00623E33">
        <w:rPr>
          <w:color w:val="000000" w:themeColor="text1"/>
          <w:sz w:val="18"/>
          <w:szCs w:val="16"/>
        </w:rPr>
        <w:t xml:space="preserve"> UK has on-line, compound-specific VOC monitoring at 9 sites.</w:t>
      </w:r>
    </w:p>
    <w:p w:rsidR="004E28FB" w:rsidRPr="005B6270" w:rsidRDefault="004E28FB" w:rsidP="005B6270">
      <w:pPr>
        <w:pStyle w:val="Heading2"/>
        <w:rPr>
          <w:rStyle w:val="Strong"/>
          <w:b/>
          <w:bCs w:val="0"/>
        </w:rPr>
      </w:pPr>
      <w:bookmarkStart w:id="648" w:name="_Toc383738825"/>
      <w:bookmarkStart w:id="649" w:name="_Toc392598895"/>
      <w:r w:rsidRPr="005B6270">
        <w:rPr>
          <w:rStyle w:val="Strong"/>
          <w:b/>
          <w:bCs w:val="0"/>
        </w:rPr>
        <w:t>Data Availability in European Networks</w:t>
      </w:r>
      <w:bookmarkEnd w:id="648"/>
      <w:bookmarkEnd w:id="649"/>
    </w:p>
    <w:p w:rsidR="004E28FB" w:rsidRPr="009B4B0A" w:rsidRDefault="004E28FB" w:rsidP="005B6270">
      <w:r w:rsidRPr="009B4B0A">
        <w:t xml:space="preserve">One of the main features of modern monitoring networks is the ability to make the data available to users and the public soon after the measurement has taken place. Where a manual monitoring method is used, analysis is required after sampling, resulting in a significant delay (1-2 months) before data becomes available. </w:t>
      </w:r>
    </w:p>
    <w:p w:rsidR="004E28FB" w:rsidRPr="009B4B0A" w:rsidRDefault="004E28FB" w:rsidP="005B6270">
      <w:r w:rsidRPr="009B4B0A">
        <w:t>With widespread use of automated monitors, there has been an increase in the ability of networks to provide daily (or hourly, or near-real-time) data.</w:t>
      </w:r>
    </w:p>
    <w:p w:rsidR="004E28FB" w:rsidRPr="009B4B0A" w:rsidRDefault="004E28FB" w:rsidP="005B6270">
      <w:r w:rsidRPr="009B4B0A">
        <w:t xml:space="preserve">The following countries are able to make data from monitors available externally, in near-real-time (one to a few hours delay): Austria, Denmark, the Netherlands, UK, Norway, </w:t>
      </w:r>
      <w:proofErr w:type="gramStart"/>
      <w:r w:rsidRPr="009B4B0A">
        <w:t>Cyprus</w:t>
      </w:r>
      <w:proofErr w:type="gramEnd"/>
      <w:r w:rsidRPr="009B4B0A">
        <w:t xml:space="preserve">. Typically, in </w:t>
      </w:r>
      <w:r w:rsidRPr="009B4B0A">
        <w:lastRenderedPageBreak/>
        <w:t>these states validated data are available 1-6 months after measurement, varying between countries and annual reports are available after 2-12 months delay.</w:t>
      </w:r>
    </w:p>
    <w:p w:rsidR="004E28FB" w:rsidRDefault="004E28FB" w:rsidP="005B6270">
      <w:r w:rsidRPr="009B4B0A">
        <w:t xml:space="preserve">Specific information is missing for many countries, as shown in the Tables </w:t>
      </w:r>
      <w:r>
        <w:t>3</w:t>
      </w:r>
      <w:r w:rsidRPr="009B4B0A">
        <w:t xml:space="preserve">-2 and </w:t>
      </w:r>
      <w:r>
        <w:t>3-</w:t>
      </w:r>
      <w:r w:rsidRPr="009B4B0A">
        <w:t>3, specifically with regard to the sampling and analysis of PM</w:t>
      </w:r>
      <w:r w:rsidRPr="009B4B0A">
        <w:rPr>
          <w:vertAlign w:val="subscript"/>
        </w:rPr>
        <w:t>2.5</w:t>
      </w:r>
      <w:r w:rsidRPr="009B4B0A">
        <w:t>, benzene, heavy metals (PB, Ni, Cd, As) and B(a)P.  With only 10 of the 37 countries listed providing information</w:t>
      </w:r>
      <w:r>
        <w:t xml:space="preserve"> on all pollutants species.</w:t>
      </w:r>
    </w:p>
    <w:p w:rsidR="004E28FB" w:rsidRDefault="004E28FB" w:rsidP="005B6270">
      <w:r w:rsidRPr="00623E33">
        <w:t xml:space="preserve">Up to date non-validated monitor data is available at a central data base for one or more networks in the following countries: Austria, Denmark, the Netherlands, UK, Norway, </w:t>
      </w:r>
      <w:proofErr w:type="gramStart"/>
      <w:r w:rsidRPr="00623E33">
        <w:t>Cyprus</w:t>
      </w:r>
      <w:proofErr w:type="gramEnd"/>
      <w:r w:rsidRPr="00623E33">
        <w:t xml:space="preserve">. </w:t>
      </w:r>
    </w:p>
    <w:p w:rsidR="004E28FB" w:rsidRPr="00623E33" w:rsidRDefault="004E28FB" w:rsidP="005B6270">
      <w:r w:rsidRPr="00623E33">
        <w:t>Validated data are in general available after 1-3 months after measurement</w:t>
      </w:r>
      <w:r>
        <w:t xml:space="preserve"> for gas pollutants such as NO</w:t>
      </w:r>
      <w:r w:rsidRPr="006C5290">
        <w:rPr>
          <w:vertAlign w:val="subscript"/>
        </w:rPr>
        <w:t>2</w:t>
      </w:r>
      <w:r>
        <w:t>, SO</w:t>
      </w:r>
      <w:r w:rsidRPr="006C5290">
        <w:rPr>
          <w:vertAlign w:val="subscript"/>
        </w:rPr>
        <w:t>2</w:t>
      </w:r>
      <w:r>
        <w:t>, CO and O</w:t>
      </w:r>
      <w:r w:rsidRPr="006C5290">
        <w:rPr>
          <w:vertAlign w:val="subscript"/>
        </w:rPr>
        <w:t>3</w:t>
      </w:r>
      <w:r w:rsidRPr="00623E33">
        <w:t xml:space="preserve">, but some countries </w:t>
      </w:r>
      <w:r>
        <w:t xml:space="preserve">require more </w:t>
      </w:r>
      <w:r w:rsidRPr="00623E33">
        <w:t>time</w:t>
      </w:r>
      <w:r>
        <w:t xml:space="preserve"> to validate sample data</w:t>
      </w:r>
      <w:r w:rsidRPr="00623E33">
        <w:t>, especially for data from manual samplers and for precipitation data.</w:t>
      </w:r>
    </w:p>
    <w:p w:rsidR="004E28FB" w:rsidRPr="005B6270" w:rsidRDefault="004E28FB" w:rsidP="005B6270">
      <w:r w:rsidRPr="00623E33">
        <w:t>The UK has made the data from the automatic monitor programme available on-line on the internet. The preliminary data are updated with quality controlled data regularly, after a delay of 2-3 months.</w:t>
      </w:r>
    </w:p>
    <w:p w:rsidR="004E28FB" w:rsidRPr="005B6270" w:rsidRDefault="004E28FB" w:rsidP="005B6270">
      <w:pPr>
        <w:pStyle w:val="Heading2"/>
        <w:rPr>
          <w:rStyle w:val="Strong"/>
          <w:b/>
          <w:bCs w:val="0"/>
        </w:rPr>
      </w:pPr>
      <w:bookmarkStart w:id="650" w:name="_Toc383738826"/>
      <w:bookmarkStart w:id="651" w:name="_Toc392598896"/>
      <w:r w:rsidRPr="005B6270">
        <w:rPr>
          <w:rStyle w:val="Strong"/>
          <w:b/>
          <w:bCs w:val="0"/>
        </w:rPr>
        <w:t>Use of Models in the Air Quality Assessment</w:t>
      </w:r>
      <w:bookmarkEnd w:id="650"/>
      <w:bookmarkEnd w:id="651"/>
    </w:p>
    <w:p w:rsidR="004E28FB" w:rsidRPr="00623E33" w:rsidRDefault="004E28FB" w:rsidP="004E28FB">
      <w:pPr>
        <w:shd w:val="clear" w:color="auto" w:fill="FFFFFF"/>
        <w:spacing w:before="120" w:after="120" w:line="240" w:lineRule="auto"/>
        <w:rPr>
          <w:rFonts w:cs="Arial"/>
          <w:color w:val="000000" w:themeColor="text1"/>
        </w:rPr>
      </w:pPr>
      <w:r w:rsidRPr="00623E33">
        <w:rPr>
          <w:rFonts w:cs="Arial"/>
          <w:color w:val="000000" w:themeColor="text1"/>
        </w:rPr>
        <w:t xml:space="preserve">The following countries provided information about their use of dispersion and/or other models as part of their routine surveillance and assessment of air quality: Finland, the Netherlands, Norway, Sweden, </w:t>
      </w:r>
      <w:proofErr w:type="gramStart"/>
      <w:r w:rsidRPr="00623E33">
        <w:rPr>
          <w:rFonts w:cs="Arial"/>
          <w:color w:val="000000" w:themeColor="text1"/>
        </w:rPr>
        <w:t>UK</w:t>
      </w:r>
      <w:proofErr w:type="gramEnd"/>
      <w:r w:rsidRPr="00623E33">
        <w:rPr>
          <w:rFonts w:cs="Arial"/>
          <w:color w:val="000000" w:themeColor="text1"/>
        </w:rPr>
        <w:t>.</w:t>
      </w:r>
    </w:p>
    <w:p w:rsidR="004E28FB" w:rsidRPr="002134F6" w:rsidRDefault="004E28FB" w:rsidP="002134F6">
      <w:pPr>
        <w:pStyle w:val="Heading2"/>
        <w:rPr>
          <w:rStyle w:val="Strong"/>
          <w:b/>
          <w:bCs w:val="0"/>
        </w:rPr>
      </w:pPr>
      <w:bookmarkStart w:id="652" w:name="_Toc383738827"/>
      <w:bookmarkStart w:id="653" w:name="_Toc392598897"/>
      <w:r w:rsidRPr="002134F6">
        <w:rPr>
          <w:rStyle w:val="Strong"/>
          <w:b/>
          <w:bCs w:val="0"/>
        </w:rPr>
        <w:t>Reporting</w:t>
      </w:r>
      <w:bookmarkEnd w:id="652"/>
      <w:bookmarkEnd w:id="653"/>
    </w:p>
    <w:p w:rsidR="004E28FB" w:rsidRPr="00623E33" w:rsidRDefault="004E28FB" w:rsidP="002134F6">
      <w:r w:rsidRPr="00623E33">
        <w:t xml:space="preserve">The time delay before network reports are available varies substantially. </w:t>
      </w:r>
      <w:r w:rsidRPr="008677FE">
        <w:t xml:space="preserve">Ozone represents a special case. For EU countries, the </w:t>
      </w:r>
      <w:r w:rsidR="002134F6">
        <w:t>CAFE</w:t>
      </w:r>
      <w:r w:rsidRPr="008677FE">
        <w:t xml:space="preserve"> directive requires that ozone is reported in principle to the public every day.</w:t>
      </w:r>
    </w:p>
    <w:p w:rsidR="004E28FB" w:rsidRPr="00623E33" w:rsidRDefault="004E28FB" w:rsidP="002134F6">
      <w:r w:rsidRPr="00623E33">
        <w:t>For local air quality, annual reports are available 4 - 12 months after the year, depending upon country.</w:t>
      </w:r>
    </w:p>
    <w:p w:rsidR="004E28FB" w:rsidRPr="008677FE" w:rsidRDefault="004E28FB" w:rsidP="002134F6">
      <w:pPr>
        <w:rPr>
          <w:rStyle w:val="Strong"/>
          <w:rFonts w:asciiTheme="minorHAnsi" w:hAnsiTheme="minorHAnsi"/>
          <w:color w:val="000000" w:themeColor="text1"/>
          <w:sz w:val="22"/>
          <w:szCs w:val="22"/>
        </w:rPr>
      </w:pPr>
      <w:r w:rsidRPr="00623E33">
        <w:t xml:space="preserve">Some countries or networks issue monthly reports after a much shorter time delay. The reports are written in the national language, but some countries issue summary reports in English as well (e.g. Czech Republic, Slovakia, </w:t>
      </w:r>
      <w:proofErr w:type="gramStart"/>
      <w:r w:rsidRPr="00623E33">
        <w:t>Slovenia</w:t>
      </w:r>
      <w:proofErr w:type="gramEnd"/>
      <w:r w:rsidRPr="00623E33">
        <w:t>).</w:t>
      </w:r>
      <w:bookmarkStart w:id="654" w:name="_Toc383736861"/>
      <w:bookmarkStart w:id="655" w:name="_Toc383738828"/>
      <w:bookmarkStart w:id="656" w:name="_Toc383764393"/>
      <w:bookmarkStart w:id="657" w:name="_Toc383736865"/>
      <w:bookmarkStart w:id="658" w:name="_Toc383738832"/>
      <w:bookmarkStart w:id="659" w:name="_Toc383764397"/>
      <w:bookmarkStart w:id="660" w:name="_Toc383736867"/>
      <w:bookmarkStart w:id="661" w:name="_Toc383738834"/>
      <w:bookmarkStart w:id="662" w:name="_Toc383764399"/>
      <w:bookmarkStart w:id="663" w:name="_Toc383738835"/>
      <w:bookmarkEnd w:id="654"/>
      <w:bookmarkEnd w:id="655"/>
      <w:bookmarkEnd w:id="656"/>
      <w:bookmarkEnd w:id="657"/>
      <w:bookmarkEnd w:id="658"/>
      <w:bookmarkEnd w:id="659"/>
      <w:bookmarkEnd w:id="660"/>
      <w:bookmarkEnd w:id="661"/>
      <w:bookmarkEnd w:id="662"/>
    </w:p>
    <w:bookmarkEnd w:id="663"/>
    <w:p w:rsidR="004E28FB" w:rsidRPr="00623E33" w:rsidRDefault="004E28FB" w:rsidP="004E28FB">
      <w:pPr>
        <w:shd w:val="clear" w:color="auto" w:fill="FFFFFF"/>
        <w:spacing w:before="120" w:after="120" w:line="240" w:lineRule="auto"/>
        <w:rPr>
          <w:color w:val="000000" w:themeColor="text1"/>
        </w:rPr>
      </w:pPr>
    </w:p>
    <w:p w:rsidR="001E2306" w:rsidRPr="00623E33" w:rsidRDefault="001E2306" w:rsidP="001E2306">
      <w:pPr>
        <w:shd w:val="clear" w:color="auto" w:fill="FFFFFF"/>
        <w:spacing w:before="120" w:after="120" w:line="240" w:lineRule="auto"/>
        <w:rPr>
          <w:color w:val="000000" w:themeColor="text1"/>
        </w:rPr>
      </w:pPr>
    </w:p>
    <w:bookmarkEnd w:id="6"/>
    <w:bookmarkEnd w:id="7"/>
    <w:bookmarkEnd w:id="8"/>
    <w:p w:rsidR="00866A85" w:rsidRPr="001E2306" w:rsidRDefault="00866A85" w:rsidP="004E28FB">
      <w:pPr>
        <w:pStyle w:val="TOCHeading"/>
      </w:pPr>
    </w:p>
    <w:sectPr w:rsidR="00866A85" w:rsidRPr="001E2306" w:rsidSect="004E28FB">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00C" w:rsidRDefault="00BF100C">
      <w:r>
        <w:separator/>
      </w:r>
    </w:p>
    <w:p w:rsidR="00BF100C" w:rsidRDefault="00BF100C"/>
    <w:p w:rsidR="00BF100C" w:rsidRDefault="00BF100C"/>
    <w:p w:rsidR="00BF100C" w:rsidRDefault="00BF100C"/>
  </w:endnote>
  <w:endnote w:type="continuationSeparator" w:id="0">
    <w:p w:rsidR="00BF100C" w:rsidRDefault="00BF100C">
      <w:r>
        <w:continuationSeparator/>
      </w:r>
    </w:p>
    <w:p w:rsidR="00BF100C" w:rsidRDefault="00BF100C"/>
    <w:p w:rsidR="00BF100C" w:rsidRDefault="00BF100C"/>
    <w:p w:rsidR="00BF100C" w:rsidRDefault="00BF1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Swis721 Cn BT">
    <w:charset w:val="00"/>
    <w:family w:val="swiss"/>
    <w:pitch w:val="variable"/>
    <w:sig w:usb0="00000087" w:usb1="00000000" w:usb2="00000000" w:usb3="00000000" w:csb0="0000001B" w:csb1="00000000"/>
  </w:font>
  <w:font w:name="Swis721 BT">
    <w:charset w:val="00"/>
    <w:family w:val="swiss"/>
    <w:pitch w:val="variable"/>
    <w:sig w:usb0="00000087" w:usb1="00000000" w:usb2="00000000" w:usb3="00000000" w:csb0="0000001B"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13B" w:rsidRDefault="004F613B" w:rsidP="00E45880">
    <w:pPr>
      <w:pStyle w:val="Footer"/>
      <w:rPr>
        <w:b/>
      </w:rPr>
    </w:pPr>
    <w:r>
      <w:tab/>
    </w:r>
    <w:r>
      <w:fldChar w:fldCharType="begin"/>
    </w:r>
    <w:r>
      <w:instrText xml:space="preserve"> STYLEREF  "Cover brol"  \* MERGEFORMAT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13B" w:rsidRDefault="004F613B">
    <w:pPr>
      <w:pStyle w:val="Footer"/>
      <w:jc w:val="right"/>
    </w:pPr>
    <w:r>
      <w:fldChar w:fldCharType="begin"/>
    </w:r>
    <w:r>
      <w:instrText xml:space="preserve"> PAGE   \* MERGEFORMAT </w:instrText>
    </w:r>
    <w:r>
      <w:fldChar w:fldCharType="separate"/>
    </w:r>
    <w:r w:rsidR="001F12F0">
      <w:t>32</w:t>
    </w:r>
    <w:r>
      <w:fldChar w:fldCharType="end"/>
    </w:r>
  </w:p>
  <w:p w:rsidR="004F613B" w:rsidRDefault="004F613B" w:rsidP="00E458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093" w:type="dxa"/>
      <w:tblCellMar>
        <w:left w:w="0" w:type="dxa"/>
        <w:right w:w="0" w:type="dxa"/>
      </w:tblCellMar>
      <w:tblLook w:val="00A0" w:firstRow="1" w:lastRow="0" w:firstColumn="1" w:lastColumn="0" w:noHBand="0" w:noVBand="0"/>
    </w:tblPr>
    <w:tblGrid>
      <w:gridCol w:w="3860"/>
      <w:gridCol w:w="3401"/>
    </w:tblGrid>
    <w:tr w:rsidR="004F613B" w:rsidTr="00291440">
      <w:tc>
        <w:tcPr>
          <w:tcW w:w="3861" w:type="dxa"/>
        </w:tcPr>
        <w:p w:rsidR="004F613B" w:rsidRDefault="004F613B" w:rsidP="00291440">
          <w:pPr>
            <w:pStyle w:val="Coverfooter"/>
          </w:pPr>
          <w:bookmarkStart w:id="0" w:name="OLE_LINK1"/>
          <w:bookmarkStart w:id="1" w:name="OLE_LINK2"/>
          <w:bookmarkStart w:id="2" w:name="_Hlk165100841"/>
          <w:r>
            <w:t>This project is funded</w:t>
          </w:r>
          <w:r>
            <w:br/>
            <w:t>by the European Union</w:t>
          </w:r>
        </w:p>
      </w:tc>
      <w:tc>
        <w:tcPr>
          <w:tcW w:w="3401" w:type="dxa"/>
        </w:tcPr>
        <w:p w:rsidR="004F613B" w:rsidRDefault="004F613B" w:rsidP="00291440">
          <w:pPr>
            <w:pStyle w:val="Coverfooter"/>
          </w:pPr>
          <w:r>
            <w:t>And implemented</w:t>
          </w:r>
          <w:r>
            <w:br/>
            <w:t>by a consortium led by MWH</w:t>
          </w:r>
        </w:p>
      </w:tc>
    </w:tr>
    <w:bookmarkEnd w:id="0"/>
    <w:bookmarkEnd w:id="1"/>
    <w:bookmarkEnd w:id="2"/>
  </w:tbl>
  <w:p w:rsidR="004F613B" w:rsidRDefault="004F613B" w:rsidP="00514979">
    <w:pPr>
      <w:pStyle w:val="Footer"/>
      <w:tabs>
        <w:tab w:val="left" w:pos="16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093" w:type="dxa"/>
      <w:tblCellMar>
        <w:left w:w="0" w:type="dxa"/>
        <w:right w:w="0" w:type="dxa"/>
      </w:tblCellMar>
      <w:tblLook w:val="00A0" w:firstRow="1" w:lastRow="0" w:firstColumn="1" w:lastColumn="0" w:noHBand="0" w:noVBand="0"/>
    </w:tblPr>
    <w:tblGrid>
      <w:gridCol w:w="3698"/>
      <w:gridCol w:w="3280"/>
    </w:tblGrid>
    <w:tr w:rsidR="004F613B" w:rsidTr="00291440">
      <w:tc>
        <w:tcPr>
          <w:tcW w:w="3861" w:type="dxa"/>
        </w:tcPr>
        <w:p w:rsidR="004F613B" w:rsidRDefault="004F613B" w:rsidP="00291440">
          <w:pPr>
            <w:pStyle w:val="Coverfooter"/>
          </w:pPr>
          <w:r>
            <w:t>This project is funded</w:t>
          </w:r>
          <w:r>
            <w:br/>
            <w:t>by the European Union</w:t>
          </w:r>
        </w:p>
      </w:tc>
      <w:tc>
        <w:tcPr>
          <w:tcW w:w="3401" w:type="dxa"/>
        </w:tcPr>
        <w:p w:rsidR="004F613B" w:rsidRDefault="004F613B" w:rsidP="00291440">
          <w:pPr>
            <w:pStyle w:val="Coverfooter"/>
          </w:pPr>
          <w:r>
            <w:t>A project implemented</w:t>
          </w:r>
          <w:r>
            <w:br/>
            <w:t>by a consortium led by MWH</w:t>
          </w:r>
        </w:p>
      </w:tc>
    </w:tr>
  </w:tbl>
  <w:p w:rsidR="004F613B" w:rsidRDefault="004F613B" w:rsidP="00514979">
    <w:pPr>
      <w:pStyle w:val="Footer"/>
      <w:tabs>
        <w:tab w:val="left" w:pos="1653"/>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00C" w:rsidRDefault="00BF100C" w:rsidP="003053EC">
      <w:pPr>
        <w:spacing w:before="0" w:line="240" w:lineRule="auto"/>
      </w:pPr>
      <w:r>
        <w:separator/>
      </w:r>
    </w:p>
    <w:p w:rsidR="00BF100C" w:rsidRDefault="00BF100C"/>
  </w:footnote>
  <w:footnote w:type="continuationSeparator" w:id="0">
    <w:p w:rsidR="00BF100C" w:rsidRDefault="00BF100C">
      <w:r>
        <w:continuationSeparator/>
      </w:r>
    </w:p>
    <w:p w:rsidR="00BF100C" w:rsidRDefault="00BF100C"/>
    <w:p w:rsidR="00BF100C" w:rsidRDefault="00BF100C"/>
    <w:p w:rsidR="00BF100C" w:rsidRDefault="00BF100C"/>
  </w:footnote>
  <w:footnote w:id="1">
    <w:p w:rsidR="004F613B" w:rsidRPr="0009112F" w:rsidRDefault="004F613B" w:rsidP="008513E5">
      <w:pPr>
        <w:pStyle w:val="FootnoteText"/>
        <w:spacing w:before="120" w:line="240" w:lineRule="auto"/>
        <w:ind w:left="0" w:firstLine="0"/>
        <w:rPr>
          <w:sz w:val="16"/>
          <w:szCs w:val="16"/>
        </w:rPr>
      </w:pPr>
      <w:r w:rsidRPr="0009112F">
        <w:rPr>
          <w:rStyle w:val="FootnoteReference"/>
          <w:sz w:val="16"/>
          <w:szCs w:val="16"/>
        </w:rPr>
        <w:footnoteRef/>
      </w:r>
      <w:r w:rsidRPr="0009112F">
        <w:rPr>
          <w:sz w:val="16"/>
          <w:szCs w:val="16"/>
        </w:rPr>
        <w:t xml:space="preserve"> </w:t>
      </w:r>
      <w:r>
        <w:rPr>
          <w:sz w:val="16"/>
          <w:szCs w:val="16"/>
        </w:rPr>
        <w:t>EC,</w:t>
      </w:r>
      <w:r w:rsidRPr="0009112F">
        <w:rPr>
          <w:sz w:val="16"/>
          <w:szCs w:val="16"/>
        </w:rPr>
        <w:t xml:space="preserve"> Guidance on Assessment under the EU Air Quality Directives</w:t>
      </w:r>
    </w:p>
  </w:footnote>
  <w:footnote w:id="2">
    <w:p w:rsidR="004F613B" w:rsidRPr="00641CB8" w:rsidRDefault="004F613B" w:rsidP="008513E5">
      <w:pPr>
        <w:pStyle w:val="FootnoteText"/>
        <w:spacing w:before="120" w:line="240" w:lineRule="auto"/>
        <w:ind w:left="0" w:firstLine="0"/>
        <w:rPr>
          <w:sz w:val="16"/>
          <w:szCs w:val="16"/>
        </w:rPr>
      </w:pPr>
      <w:r w:rsidRPr="0009112F">
        <w:rPr>
          <w:rStyle w:val="FootnoteReference"/>
          <w:sz w:val="16"/>
          <w:szCs w:val="16"/>
        </w:rPr>
        <w:footnoteRef/>
      </w:r>
      <w:r w:rsidRPr="0009112F">
        <w:rPr>
          <w:sz w:val="16"/>
          <w:szCs w:val="16"/>
        </w:rPr>
        <w:t xml:space="preserve"> </w:t>
      </w:r>
      <w:proofErr w:type="gramStart"/>
      <w:r w:rsidRPr="0009112F">
        <w:rPr>
          <w:sz w:val="16"/>
          <w:szCs w:val="16"/>
        </w:rPr>
        <w:t>JRC- AQUILA</w:t>
      </w:r>
      <w:r>
        <w:rPr>
          <w:sz w:val="16"/>
          <w:szCs w:val="16"/>
        </w:rPr>
        <w:t xml:space="preserve">, </w:t>
      </w:r>
      <w:r w:rsidRPr="0009112F">
        <w:rPr>
          <w:sz w:val="16"/>
          <w:szCs w:val="16"/>
        </w:rPr>
        <w:t xml:space="preserve">Position Paper Assessment on sitting criteria, classification and representativeness of </w:t>
      </w:r>
      <w:r>
        <w:rPr>
          <w:sz w:val="16"/>
          <w:szCs w:val="16"/>
        </w:rPr>
        <w:t>air quality monitoring stations.</w:t>
      </w:r>
      <w:proofErr w:type="gramEnd"/>
    </w:p>
  </w:footnote>
  <w:footnote w:id="3">
    <w:p w:rsidR="004F613B" w:rsidRPr="0009112F" w:rsidRDefault="004F613B" w:rsidP="004E28FB">
      <w:pPr>
        <w:pStyle w:val="FootnoteText"/>
        <w:rPr>
          <w:sz w:val="16"/>
          <w:szCs w:val="16"/>
        </w:rPr>
      </w:pPr>
      <w:r w:rsidRPr="0009112F">
        <w:rPr>
          <w:rStyle w:val="FootnoteReference"/>
          <w:sz w:val="16"/>
          <w:szCs w:val="16"/>
        </w:rPr>
        <w:footnoteRef/>
      </w:r>
      <w:r w:rsidRPr="0009112F">
        <w:rPr>
          <w:sz w:val="16"/>
          <w:szCs w:val="16"/>
        </w:rPr>
        <w:t>http://rod.eionet.europa.eu/obligations</w:t>
      </w:r>
    </w:p>
  </w:footnote>
  <w:footnote w:id="4">
    <w:p w:rsidR="004F613B" w:rsidRPr="0009112F" w:rsidRDefault="004F613B" w:rsidP="00687FD1">
      <w:pPr>
        <w:pStyle w:val="FootnoteText"/>
        <w:ind w:left="0" w:firstLine="0"/>
        <w:rPr>
          <w:sz w:val="16"/>
          <w:szCs w:val="16"/>
        </w:rPr>
      </w:pPr>
      <w:r w:rsidRPr="0009112F">
        <w:rPr>
          <w:rStyle w:val="FootnoteReference"/>
          <w:sz w:val="16"/>
          <w:szCs w:val="16"/>
        </w:rPr>
        <w:footnoteRef/>
      </w:r>
      <w:r w:rsidRPr="0009112F">
        <w:rPr>
          <w:sz w:val="16"/>
          <w:szCs w:val="16"/>
        </w:rPr>
        <w:t xml:space="preserve"> List of zones in EU Member States in relation to air quality thresholds laid down in Council Directives 96/62/EC, 1999/30/EC, 2000/69/EC and 2002/3/EC Year 2006 ETC/ACC Technical paper 2008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13B" w:rsidRPr="004C7211" w:rsidRDefault="00BF100C" w:rsidP="00836269">
    <w:pPr>
      <w:pStyle w:val="Header"/>
    </w:pPr>
    <w:r>
      <w:fldChar w:fldCharType="begin"/>
    </w:r>
    <w:r>
      <w:instrText xml:space="preserve"> STYLEREF  "Cover Title 1"  \* MERGEFORMAT </w:instrText>
    </w:r>
    <w:r>
      <w:fldChar w:fldCharType="separate"/>
    </w:r>
    <w:r w:rsidR="004F613B" w:rsidRPr="00786416">
      <w:rPr>
        <w:b/>
        <w:bCs/>
      </w:rPr>
      <w:t>Air Quality Governance in the ENPI East</w:t>
    </w:r>
    <w:r w:rsidR="004F613B">
      <w:t xml:space="preserve"> Countries</w:t>
    </w:r>
    <w:r>
      <w:fldChar w:fldCharType="end"/>
    </w:r>
    <w:r w:rsidR="004F613B">
      <w:tab/>
    </w:r>
    <w:r>
      <w:fldChar w:fldCharType="begin"/>
    </w:r>
    <w:r>
      <w:instrText xml:space="preserve"> STYLEREF  "Cover contract Number"  \* MERGEFORMAT </w:instrText>
    </w:r>
    <w:r>
      <w:fldChar w:fldCharType="separate"/>
    </w:r>
    <w:r w:rsidR="004F613B">
      <w:t>Contract number 2010/232-231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13B" w:rsidRPr="00791588" w:rsidRDefault="004F613B" w:rsidP="00791588">
    <w:pPr>
      <w:pStyle w:val="Header"/>
      <w:pBdr>
        <w:bottom w:val="single" w:sz="2" w:space="3" w:color="auto"/>
      </w:pBdr>
      <w:tabs>
        <w:tab w:val="clear" w:pos="9356"/>
        <w:tab w:val="right" w:pos="5580"/>
      </w:tabs>
    </w:pPr>
    <w:r>
      <w:t>A ir Quality Governance in the ENPI East countries</w:t>
    </w:r>
    <w:r>
      <w:tab/>
    </w:r>
    <w:r>
      <w:tab/>
    </w:r>
    <w:r>
      <w:tab/>
    </w:r>
    <w:r>
      <w:tab/>
    </w:r>
    <w:r>
      <w:tab/>
    </w:r>
    <w:r w:rsidR="00BF100C">
      <w:fldChar w:fldCharType="begin"/>
    </w:r>
    <w:r w:rsidR="00BF100C">
      <w:instrText xml:space="preserve"> STYLEREF  "Cover contract Number"  \* MERGEFORMAT </w:instrText>
    </w:r>
    <w:r w:rsidR="00BF100C">
      <w:fldChar w:fldCharType="separate"/>
    </w:r>
    <w:r w:rsidR="001F12F0">
      <w:t>Contract number 2010/232-231</w:t>
    </w:r>
    <w:r w:rsidR="00BF100C">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13B" w:rsidRDefault="004F613B" w:rsidP="00D1144F">
    <w:pPr>
      <w:pStyle w:val="Header"/>
      <w:pBdr>
        <w:bottom w:val="none" w:sz="0" w:space="0" w:color="auto"/>
      </w:pBdr>
    </w:pPr>
    <w:r>
      <w:rPr>
        <w:lang w:val="en-GB" w:eastAsia="en-GB"/>
      </w:rPr>
      <w:drawing>
        <wp:anchor distT="0" distB="0" distL="114300" distR="114300" simplePos="0" relativeHeight="251657728" behindDoc="1" locked="0" layoutInCell="1" allowOverlap="1" wp14:anchorId="60032624" wp14:editId="73DB2830">
          <wp:simplePos x="0" y="0"/>
          <wp:positionH relativeFrom="page">
            <wp:posOffset>0</wp:posOffset>
          </wp:positionH>
          <wp:positionV relativeFrom="page">
            <wp:posOffset>0</wp:posOffset>
          </wp:positionV>
          <wp:extent cx="7562850" cy="10706100"/>
          <wp:effectExtent l="19050" t="0" r="0" b="0"/>
          <wp:wrapNone/>
          <wp:docPr id="10" name="Picture 10" descr="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Report Bckgr"/>
                  <pic:cNvPicPr>
                    <a:picLocks noChangeAspect="1" noChangeArrowheads="1"/>
                  </pic:cNvPicPr>
                </pic:nvPicPr>
                <pic:blipFill>
                  <a:blip r:embed="rId1"/>
                  <a:srcRect/>
                  <a:stretch>
                    <a:fillRect/>
                  </a:stretch>
                </pic:blipFill>
                <pic:spPr bwMode="auto">
                  <a:xfrm>
                    <a:off x="0" y="0"/>
                    <a:ext cx="7562850" cy="1070610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13B" w:rsidRDefault="004F613B">
    <w:pPr>
      <w:pStyle w:val="Table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919"/>
    <w:multiLevelType w:val="hybridMultilevel"/>
    <w:tmpl w:val="81528894"/>
    <w:lvl w:ilvl="0" w:tplc="3BA8E6D0">
      <w:start w:val="1"/>
      <w:numFmt w:val="bullet"/>
      <w:lvlText w:val="•"/>
      <w:lvlJc w:val="left"/>
      <w:pPr>
        <w:tabs>
          <w:tab w:val="num" w:pos="862"/>
        </w:tabs>
        <w:ind w:left="862" w:hanging="360"/>
      </w:pPr>
      <w:rPr>
        <w:rFonts w:ascii="Arial" w:hAnsi="Arial" w:hint="default"/>
      </w:rPr>
    </w:lvl>
    <w:lvl w:ilvl="1" w:tplc="4FFC0B80" w:tentative="1">
      <w:start w:val="1"/>
      <w:numFmt w:val="bullet"/>
      <w:lvlText w:val="•"/>
      <w:lvlJc w:val="left"/>
      <w:pPr>
        <w:tabs>
          <w:tab w:val="num" w:pos="1582"/>
        </w:tabs>
        <w:ind w:left="1582" w:hanging="360"/>
      </w:pPr>
      <w:rPr>
        <w:rFonts w:ascii="Arial" w:hAnsi="Arial" w:hint="default"/>
      </w:rPr>
    </w:lvl>
    <w:lvl w:ilvl="2" w:tplc="A19EA634" w:tentative="1">
      <w:start w:val="1"/>
      <w:numFmt w:val="bullet"/>
      <w:lvlText w:val="•"/>
      <w:lvlJc w:val="left"/>
      <w:pPr>
        <w:tabs>
          <w:tab w:val="num" w:pos="2302"/>
        </w:tabs>
        <w:ind w:left="2302" w:hanging="360"/>
      </w:pPr>
      <w:rPr>
        <w:rFonts w:ascii="Arial" w:hAnsi="Arial" w:hint="default"/>
      </w:rPr>
    </w:lvl>
    <w:lvl w:ilvl="3" w:tplc="8626D2A6" w:tentative="1">
      <w:start w:val="1"/>
      <w:numFmt w:val="bullet"/>
      <w:lvlText w:val="•"/>
      <w:lvlJc w:val="left"/>
      <w:pPr>
        <w:tabs>
          <w:tab w:val="num" w:pos="3022"/>
        </w:tabs>
        <w:ind w:left="3022" w:hanging="360"/>
      </w:pPr>
      <w:rPr>
        <w:rFonts w:ascii="Arial" w:hAnsi="Arial" w:hint="default"/>
      </w:rPr>
    </w:lvl>
    <w:lvl w:ilvl="4" w:tplc="B45CDF14" w:tentative="1">
      <w:start w:val="1"/>
      <w:numFmt w:val="bullet"/>
      <w:lvlText w:val="•"/>
      <w:lvlJc w:val="left"/>
      <w:pPr>
        <w:tabs>
          <w:tab w:val="num" w:pos="3742"/>
        </w:tabs>
        <w:ind w:left="3742" w:hanging="360"/>
      </w:pPr>
      <w:rPr>
        <w:rFonts w:ascii="Arial" w:hAnsi="Arial" w:hint="default"/>
      </w:rPr>
    </w:lvl>
    <w:lvl w:ilvl="5" w:tplc="A4BE812E" w:tentative="1">
      <w:start w:val="1"/>
      <w:numFmt w:val="bullet"/>
      <w:lvlText w:val="•"/>
      <w:lvlJc w:val="left"/>
      <w:pPr>
        <w:tabs>
          <w:tab w:val="num" w:pos="4462"/>
        </w:tabs>
        <w:ind w:left="4462" w:hanging="360"/>
      </w:pPr>
      <w:rPr>
        <w:rFonts w:ascii="Arial" w:hAnsi="Arial" w:hint="default"/>
      </w:rPr>
    </w:lvl>
    <w:lvl w:ilvl="6" w:tplc="4B0800FE" w:tentative="1">
      <w:start w:val="1"/>
      <w:numFmt w:val="bullet"/>
      <w:lvlText w:val="•"/>
      <w:lvlJc w:val="left"/>
      <w:pPr>
        <w:tabs>
          <w:tab w:val="num" w:pos="5182"/>
        </w:tabs>
        <w:ind w:left="5182" w:hanging="360"/>
      </w:pPr>
      <w:rPr>
        <w:rFonts w:ascii="Arial" w:hAnsi="Arial" w:hint="default"/>
      </w:rPr>
    </w:lvl>
    <w:lvl w:ilvl="7" w:tplc="8E06E53E" w:tentative="1">
      <w:start w:val="1"/>
      <w:numFmt w:val="bullet"/>
      <w:lvlText w:val="•"/>
      <w:lvlJc w:val="left"/>
      <w:pPr>
        <w:tabs>
          <w:tab w:val="num" w:pos="5902"/>
        </w:tabs>
        <w:ind w:left="5902" w:hanging="360"/>
      </w:pPr>
      <w:rPr>
        <w:rFonts w:ascii="Arial" w:hAnsi="Arial" w:hint="default"/>
      </w:rPr>
    </w:lvl>
    <w:lvl w:ilvl="8" w:tplc="36FCBD40" w:tentative="1">
      <w:start w:val="1"/>
      <w:numFmt w:val="bullet"/>
      <w:lvlText w:val="•"/>
      <w:lvlJc w:val="left"/>
      <w:pPr>
        <w:tabs>
          <w:tab w:val="num" w:pos="6622"/>
        </w:tabs>
        <w:ind w:left="6622" w:hanging="360"/>
      </w:pPr>
      <w:rPr>
        <w:rFonts w:ascii="Arial" w:hAnsi="Arial" w:hint="default"/>
      </w:rPr>
    </w:lvl>
  </w:abstractNum>
  <w:abstractNum w:abstractNumId="1">
    <w:nsid w:val="01A8331D"/>
    <w:multiLevelType w:val="hybridMultilevel"/>
    <w:tmpl w:val="5942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4A0A2D"/>
    <w:multiLevelType w:val="hybridMultilevel"/>
    <w:tmpl w:val="12C444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A83AF5"/>
    <w:multiLevelType w:val="multilevel"/>
    <w:tmpl w:val="1CA4392E"/>
    <w:lvl w:ilvl="0">
      <w:start w:val="1"/>
      <w:numFmt w:val="bullet"/>
      <w:lvlText w:val=""/>
      <w:lvlJc w:val="left"/>
      <w:rPr>
        <w:rFonts w:ascii="Wingdings" w:hAnsi="Wingdings" w:hint="default"/>
        <w:b w:val="0"/>
        <w:bCs w:val="0"/>
        <w:i w:val="0"/>
        <w:iCs w:val="0"/>
        <w:smallCaps w:val="0"/>
        <w:strike w:val="0"/>
        <w:color w:val="000000"/>
        <w:spacing w:val="0"/>
        <w:w w:val="100"/>
        <w:position w:val="0"/>
        <w:sz w:val="18"/>
        <w:szCs w:val="18"/>
        <w:u w:val="none"/>
        <w:lang w:val="en-GB"/>
      </w:rPr>
    </w:lvl>
    <w:lvl w:ilvl="1">
      <w:start w:val="1"/>
      <w:numFmt w:val="decimal"/>
      <w:lvlText w:val="%2."/>
      <w:lvlJc w:val="left"/>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en-GB"/>
      </w:rPr>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680952"/>
    <w:multiLevelType w:val="multilevel"/>
    <w:tmpl w:val="F7D69982"/>
    <w:lvl w:ilvl="0">
      <w:start w:val="1"/>
      <w:numFmt w:val="decimal"/>
      <w:lvlText w:val="%1."/>
      <w:lvlJc w:val="left"/>
      <w:pPr>
        <w:ind w:left="360" w:hanging="360"/>
      </w:pPr>
      <w:rPr>
        <w:rFonts w:ascii="Arial" w:hAnsi="Arial" w:cs="Arial" w:hint="default"/>
        <w:color w:val="17365D" w:themeColor="text2" w:themeShade="BF"/>
      </w:rPr>
    </w:lvl>
    <w:lvl w:ilvl="1">
      <w:start w:val="1"/>
      <w:numFmt w:val="decimal"/>
      <w:lvlText w:val="%1.%2."/>
      <w:lvlJc w:val="left"/>
      <w:pPr>
        <w:ind w:left="995" w:hanging="432"/>
      </w:pPr>
      <w:rPr>
        <w:rFonts w:ascii="Arial" w:hAnsi="Arial" w:cs="Arial" w:hint="default"/>
        <w:color w:val="17365D" w:themeColor="text2" w:themeShade="BF"/>
        <w:sz w:val="24"/>
        <w:szCs w:val="2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BB417CC"/>
    <w:multiLevelType w:val="hybridMultilevel"/>
    <w:tmpl w:val="47ECA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FE3040"/>
    <w:multiLevelType w:val="multilevel"/>
    <w:tmpl w:val="9788E0EA"/>
    <w:lvl w:ilvl="0">
      <w:start w:val="1"/>
      <w:numFmt w:val="decimal"/>
      <w:pStyle w:val="AppH1"/>
      <w:lvlText w:val="Annex %1."/>
      <w:lvlJc w:val="left"/>
      <w:pPr>
        <w:tabs>
          <w:tab w:val="num" w:pos="1134"/>
        </w:tabs>
        <w:ind w:left="0" w:firstLine="0"/>
      </w:pPr>
      <w:rPr>
        <w:rFonts w:hint="default"/>
        <w:sz w:val="24"/>
        <w:szCs w:val="24"/>
      </w:rPr>
    </w:lvl>
    <w:lvl w:ilvl="1">
      <w:start w:val="1"/>
      <w:numFmt w:val="decimal"/>
      <w:pStyle w:val="AppH2"/>
      <w:lvlText w:val="%2."/>
      <w:lvlJc w:val="left"/>
      <w:pPr>
        <w:tabs>
          <w:tab w:val="num" w:pos="360"/>
        </w:tabs>
        <w:ind w:left="284" w:hanging="284"/>
      </w:pPr>
      <w:rPr>
        <w:rFonts w:hint="default"/>
      </w:rPr>
    </w:lvl>
    <w:lvl w:ilvl="2">
      <w:start w:val="1"/>
      <w:numFmt w:val="decimal"/>
      <w:lvlText w:val="%2.%3."/>
      <w:lvlJc w:val="left"/>
      <w:pPr>
        <w:tabs>
          <w:tab w:val="num" w:pos="425"/>
        </w:tabs>
        <w:ind w:left="425" w:hanging="425"/>
      </w:pPr>
      <w:rPr>
        <w:rFonts w:hint="default"/>
      </w:rPr>
    </w:lvl>
    <w:lvl w:ilvl="3">
      <w:start w:val="1"/>
      <w:numFmt w:val="none"/>
      <w:pStyle w:val="AppH4"/>
      <w:suff w:val="nothing"/>
      <w:lvlText w:val=""/>
      <w:lvlJc w:val="left"/>
      <w:pPr>
        <w:ind w:left="0" w:firstLine="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nsid w:val="0C6B129B"/>
    <w:multiLevelType w:val="hybridMultilevel"/>
    <w:tmpl w:val="E9C483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0CC92D27"/>
    <w:multiLevelType w:val="hybridMultilevel"/>
    <w:tmpl w:val="D0829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353218"/>
    <w:multiLevelType w:val="hybridMultilevel"/>
    <w:tmpl w:val="1C82ED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0EB605F2"/>
    <w:multiLevelType w:val="hybridMultilevel"/>
    <w:tmpl w:val="A10A690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0EC557BF"/>
    <w:multiLevelType w:val="hybridMultilevel"/>
    <w:tmpl w:val="0E44BCEA"/>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102178A0"/>
    <w:multiLevelType w:val="hybridMultilevel"/>
    <w:tmpl w:val="2D160DD4"/>
    <w:lvl w:ilvl="0" w:tplc="00561C02">
      <w:start w:val="1"/>
      <w:numFmt w:val="bullet"/>
      <w:pStyle w:val="tablebullets"/>
      <w:lvlText w:val=""/>
      <w:lvlJc w:val="left"/>
      <w:pPr>
        <w:tabs>
          <w:tab w:val="num" w:pos="227"/>
        </w:tabs>
        <w:ind w:left="227" w:hanging="22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7E5A9C"/>
    <w:multiLevelType w:val="hybridMultilevel"/>
    <w:tmpl w:val="2C147312"/>
    <w:lvl w:ilvl="0" w:tplc="04260001">
      <w:start w:val="1"/>
      <w:numFmt w:val="bullet"/>
      <w:lvlText w:val=""/>
      <w:lvlJc w:val="left"/>
      <w:pPr>
        <w:ind w:left="720" w:hanging="360"/>
      </w:pPr>
      <w:rPr>
        <w:rFonts w:ascii="Symbol" w:hAnsi="Symbol" w:hint="default"/>
      </w:rPr>
    </w:lvl>
    <w:lvl w:ilvl="1" w:tplc="16A4F1E2">
      <w:numFmt w:val="bullet"/>
      <w:lvlText w:val="-"/>
      <w:lvlJc w:val="left"/>
      <w:pPr>
        <w:ind w:left="1440" w:hanging="360"/>
      </w:pPr>
      <w:rPr>
        <w:rFonts w:ascii="Calibri" w:eastAsia="Calibri" w:hAnsi="Calibri" w:cs="Calibri"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12FD359C"/>
    <w:multiLevelType w:val="hybridMultilevel"/>
    <w:tmpl w:val="C5DAD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4327BC0"/>
    <w:multiLevelType w:val="hybridMultilevel"/>
    <w:tmpl w:val="856E5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149D7B5E"/>
    <w:multiLevelType w:val="hybridMultilevel"/>
    <w:tmpl w:val="5114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56A4378"/>
    <w:multiLevelType w:val="hybridMultilevel"/>
    <w:tmpl w:val="2B18B1E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6CA6886"/>
    <w:multiLevelType w:val="hybridMultilevel"/>
    <w:tmpl w:val="B1A8F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177B089C"/>
    <w:multiLevelType w:val="hybridMultilevel"/>
    <w:tmpl w:val="FEACBBDA"/>
    <w:lvl w:ilvl="0" w:tplc="26B65EE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94D5A9D"/>
    <w:multiLevelType w:val="hybridMultilevel"/>
    <w:tmpl w:val="225A5A4E"/>
    <w:lvl w:ilvl="0" w:tplc="EDE40760">
      <w:start w:val="1"/>
      <w:numFmt w:val="bullet"/>
      <w:pStyle w:val="Tablebullets0"/>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9963AC4"/>
    <w:multiLevelType w:val="hybridMultilevel"/>
    <w:tmpl w:val="7B304C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19C41726"/>
    <w:multiLevelType w:val="multilevel"/>
    <w:tmpl w:val="8314FFCE"/>
    <w:lvl w:ilvl="0">
      <w:start w:val="1"/>
      <w:numFmt w:val="bullet"/>
      <w:pStyle w:val="Bullet1"/>
      <w:lvlText w:val=""/>
      <w:lvlJc w:val="left"/>
      <w:pPr>
        <w:tabs>
          <w:tab w:val="num" w:pos="284"/>
        </w:tabs>
        <w:ind w:left="284" w:hanging="284"/>
      </w:pPr>
      <w:rPr>
        <w:rFonts w:ascii="Symbol" w:hAnsi="Symbol" w:hint="default"/>
        <w:color w:val="0084B6"/>
      </w:rPr>
    </w:lvl>
    <w:lvl w:ilvl="1">
      <w:start w:val="1"/>
      <w:numFmt w:val="bullet"/>
      <w:pStyle w:val="Bullet2"/>
      <w:lvlText w:val=""/>
      <w:lvlJc w:val="left"/>
      <w:pPr>
        <w:tabs>
          <w:tab w:val="num" w:pos="709"/>
        </w:tabs>
        <w:ind w:left="709" w:hanging="284"/>
      </w:pPr>
      <w:rPr>
        <w:rFonts w:ascii="Symbol" w:hAnsi="Symbol" w:hint="default"/>
        <w:color w:val="808080"/>
      </w:rPr>
    </w:lvl>
    <w:lvl w:ilvl="2">
      <w:start w:val="1"/>
      <w:numFmt w:val="bullet"/>
      <w:pStyle w:val="Bullet3"/>
      <w:lvlText w:val="-"/>
      <w:lvlJc w:val="left"/>
      <w:pPr>
        <w:tabs>
          <w:tab w:val="num" w:pos="851"/>
        </w:tabs>
        <w:ind w:left="851" w:hanging="142"/>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1B9C588C"/>
    <w:multiLevelType w:val="hybridMultilevel"/>
    <w:tmpl w:val="63344B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1BBF3138"/>
    <w:multiLevelType w:val="hybridMultilevel"/>
    <w:tmpl w:val="CC72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D1739CE"/>
    <w:multiLevelType w:val="hybridMultilevel"/>
    <w:tmpl w:val="09B491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3B202F"/>
    <w:multiLevelType w:val="multilevel"/>
    <w:tmpl w:val="D3E81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EFA02A0"/>
    <w:multiLevelType w:val="hybridMultilevel"/>
    <w:tmpl w:val="E04C4D46"/>
    <w:lvl w:ilvl="0" w:tplc="FF5E5138">
      <w:start w:val="1"/>
      <w:numFmt w:val="decimal"/>
      <w:pStyle w:val="FigureTitle"/>
      <w:lvlText w:val="Figure %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4174EDF"/>
    <w:multiLevelType w:val="hybridMultilevel"/>
    <w:tmpl w:val="B034628A"/>
    <w:lvl w:ilvl="0" w:tplc="0426000F">
      <w:start w:val="1"/>
      <w:numFmt w:val="decimal"/>
      <w:lvlText w:val="%1."/>
      <w:lvlJc w:val="left"/>
      <w:pPr>
        <w:ind w:left="720" w:hanging="360"/>
      </w:pPr>
      <w:rPr>
        <w:rFonts w:hint="default"/>
      </w:rPr>
    </w:lvl>
    <w:lvl w:ilvl="1" w:tplc="E22AF194">
      <w:numFmt w:val="bullet"/>
      <w:lvlText w:val="•"/>
      <w:lvlJc w:val="left"/>
      <w:pPr>
        <w:ind w:left="1440" w:hanging="360"/>
      </w:pPr>
      <w:rPr>
        <w:rFonts w:ascii="Calibri" w:eastAsia="Calibri" w:hAnsi="Calibri" w:cs="Calibri"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244F25A9"/>
    <w:multiLevelType w:val="hybridMultilevel"/>
    <w:tmpl w:val="474EC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255E3EEB"/>
    <w:multiLevelType w:val="hybridMultilevel"/>
    <w:tmpl w:val="F54E3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6E73769"/>
    <w:multiLevelType w:val="hybridMultilevel"/>
    <w:tmpl w:val="F16C73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271A59C9"/>
    <w:multiLevelType w:val="multilevel"/>
    <w:tmpl w:val="839C6602"/>
    <w:styleLink w:val="Reportstyle"/>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none"/>
      <w:suff w:val="nothing"/>
      <w:lvlText w:val=""/>
      <w:lvlJc w:val="left"/>
      <w:pPr>
        <w:ind w:left="1418" w:firstLine="0"/>
      </w:pPr>
      <w:rPr>
        <w:rFonts w:hint="default"/>
      </w:rPr>
    </w:lvl>
    <w:lvl w:ilvl="5">
      <w:start w:val="1"/>
      <w:numFmt w:val="none"/>
      <w:suff w:val="nothing"/>
      <w:lvlText w:val=""/>
      <w:lvlJc w:val="left"/>
      <w:pPr>
        <w:ind w:left="1418" w:firstLine="0"/>
      </w:pPr>
      <w:rPr>
        <w:rFonts w:hint="default"/>
      </w:rPr>
    </w:lvl>
    <w:lvl w:ilvl="6">
      <w:start w:val="1"/>
      <w:numFmt w:val="lowerLetter"/>
      <w:lvlText w:val="%7"/>
      <w:lvlJc w:val="left"/>
      <w:pPr>
        <w:tabs>
          <w:tab w:val="num" w:pos="1985"/>
        </w:tabs>
        <w:ind w:left="1985" w:hanging="567"/>
      </w:pPr>
      <w:rPr>
        <w:rFonts w:hint="default"/>
      </w:rPr>
    </w:lvl>
    <w:lvl w:ilvl="7">
      <w:start w:val="1"/>
      <w:numFmt w:val="lowerRoman"/>
      <w:lvlText w:val="%8"/>
      <w:lvlJc w:val="left"/>
      <w:pPr>
        <w:tabs>
          <w:tab w:val="num" w:pos="2410"/>
        </w:tabs>
        <w:ind w:left="2410" w:hanging="567"/>
      </w:pPr>
      <w:rPr>
        <w:rFonts w:hint="default"/>
      </w:rPr>
    </w:lvl>
    <w:lvl w:ilvl="8">
      <w:start w:val="1"/>
      <w:numFmt w:val="none"/>
      <w:lvlText w:val=""/>
      <w:lvlJc w:val="left"/>
      <w:pPr>
        <w:tabs>
          <w:tab w:val="num" w:pos="1800"/>
        </w:tabs>
        <w:ind w:left="1418" w:firstLine="0"/>
      </w:pPr>
      <w:rPr>
        <w:rFonts w:hint="default"/>
      </w:rPr>
    </w:lvl>
  </w:abstractNum>
  <w:abstractNum w:abstractNumId="33">
    <w:nsid w:val="27C60DB4"/>
    <w:multiLevelType w:val="hybridMultilevel"/>
    <w:tmpl w:val="7CAE932E"/>
    <w:lvl w:ilvl="0" w:tplc="0405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2B1F1056"/>
    <w:multiLevelType w:val="hybridMultilevel"/>
    <w:tmpl w:val="DEB2F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2C0275EA"/>
    <w:multiLevelType w:val="hybridMultilevel"/>
    <w:tmpl w:val="B86825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2CF333DE"/>
    <w:multiLevelType w:val="hybridMultilevel"/>
    <w:tmpl w:val="377843A8"/>
    <w:lvl w:ilvl="0" w:tplc="FDDC6E66">
      <w:start w:val="1"/>
      <w:numFmt w:val="bullet"/>
      <w:lvlText w:val="•"/>
      <w:lvlJc w:val="left"/>
      <w:pPr>
        <w:tabs>
          <w:tab w:val="num" w:pos="720"/>
        </w:tabs>
        <w:ind w:left="720" w:hanging="360"/>
      </w:pPr>
      <w:rPr>
        <w:rFonts w:ascii="Arial" w:hAnsi="Arial" w:hint="default"/>
      </w:rPr>
    </w:lvl>
    <w:lvl w:ilvl="1" w:tplc="DE2A84E4" w:tentative="1">
      <w:start w:val="1"/>
      <w:numFmt w:val="bullet"/>
      <w:lvlText w:val="•"/>
      <w:lvlJc w:val="left"/>
      <w:pPr>
        <w:tabs>
          <w:tab w:val="num" w:pos="1440"/>
        </w:tabs>
        <w:ind w:left="1440" w:hanging="360"/>
      </w:pPr>
      <w:rPr>
        <w:rFonts w:ascii="Arial" w:hAnsi="Arial" w:hint="default"/>
      </w:rPr>
    </w:lvl>
    <w:lvl w:ilvl="2" w:tplc="C0C4B11A" w:tentative="1">
      <w:start w:val="1"/>
      <w:numFmt w:val="bullet"/>
      <w:lvlText w:val="•"/>
      <w:lvlJc w:val="left"/>
      <w:pPr>
        <w:tabs>
          <w:tab w:val="num" w:pos="2160"/>
        </w:tabs>
        <w:ind w:left="2160" w:hanging="360"/>
      </w:pPr>
      <w:rPr>
        <w:rFonts w:ascii="Arial" w:hAnsi="Arial" w:hint="default"/>
      </w:rPr>
    </w:lvl>
    <w:lvl w:ilvl="3" w:tplc="BF92E090" w:tentative="1">
      <w:start w:val="1"/>
      <w:numFmt w:val="bullet"/>
      <w:lvlText w:val="•"/>
      <w:lvlJc w:val="left"/>
      <w:pPr>
        <w:tabs>
          <w:tab w:val="num" w:pos="2880"/>
        </w:tabs>
        <w:ind w:left="2880" w:hanging="360"/>
      </w:pPr>
      <w:rPr>
        <w:rFonts w:ascii="Arial" w:hAnsi="Arial" w:hint="default"/>
      </w:rPr>
    </w:lvl>
    <w:lvl w:ilvl="4" w:tplc="AC98B3AE" w:tentative="1">
      <w:start w:val="1"/>
      <w:numFmt w:val="bullet"/>
      <w:lvlText w:val="•"/>
      <w:lvlJc w:val="left"/>
      <w:pPr>
        <w:tabs>
          <w:tab w:val="num" w:pos="3600"/>
        </w:tabs>
        <w:ind w:left="3600" w:hanging="360"/>
      </w:pPr>
      <w:rPr>
        <w:rFonts w:ascii="Arial" w:hAnsi="Arial" w:hint="default"/>
      </w:rPr>
    </w:lvl>
    <w:lvl w:ilvl="5" w:tplc="A01E2BE2" w:tentative="1">
      <w:start w:val="1"/>
      <w:numFmt w:val="bullet"/>
      <w:lvlText w:val="•"/>
      <w:lvlJc w:val="left"/>
      <w:pPr>
        <w:tabs>
          <w:tab w:val="num" w:pos="4320"/>
        </w:tabs>
        <w:ind w:left="4320" w:hanging="360"/>
      </w:pPr>
      <w:rPr>
        <w:rFonts w:ascii="Arial" w:hAnsi="Arial" w:hint="default"/>
      </w:rPr>
    </w:lvl>
    <w:lvl w:ilvl="6" w:tplc="EC0E9480" w:tentative="1">
      <w:start w:val="1"/>
      <w:numFmt w:val="bullet"/>
      <w:lvlText w:val="•"/>
      <w:lvlJc w:val="left"/>
      <w:pPr>
        <w:tabs>
          <w:tab w:val="num" w:pos="5040"/>
        </w:tabs>
        <w:ind w:left="5040" w:hanging="360"/>
      </w:pPr>
      <w:rPr>
        <w:rFonts w:ascii="Arial" w:hAnsi="Arial" w:hint="default"/>
      </w:rPr>
    </w:lvl>
    <w:lvl w:ilvl="7" w:tplc="8EB42348" w:tentative="1">
      <w:start w:val="1"/>
      <w:numFmt w:val="bullet"/>
      <w:lvlText w:val="•"/>
      <w:lvlJc w:val="left"/>
      <w:pPr>
        <w:tabs>
          <w:tab w:val="num" w:pos="5760"/>
        </w:tabs>
        <w:ind w:left="5760" w:hanging="360"/>
      </w:pPr>
      <w:rPr>
        <w:rFonts w:ascii="Arial" w:hAnsi="Arial" w:hint="default"/>
      </w:rPr>
    </w:lvl>
    <w:lvl w:ilvl="8" w:tplc="01B0189C" w:tentative="1">
      <w:start w:val="1"/>
      <w:numFmt w:val="bullet"/>
      <w:lvlText w:val="•"/>
      <w:lvlJc w:val="left"/>
      <w:pPr>
        <w:tabs>
          <w:tab w:val="num" w:pos="6480"/>
        </w:tabs>
        <w:ind w:left="6480" w:hanging="360"/>
      </w:pPr>
      <w:rPr>
        <w:rFonts w:ascii="Arial" w:hAnsi="Arial" w:hint="default"/>
      </w:rPr>
    </w:lvl>
  </w:abstractNum>
  <w:abstractNum w:abstractNumId="37">
    <w:nsid w:val="2EB62B0B"/>
    <w:multiLevelType w:val="multilevel"/>
    <w:tmpl w:val="DEAC072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2"/>
      <w:numFmt w:val="bullet"/>
      <w:lvlText w:val="-"/>
      <w:lvlJc w:val="left"/>
      <w:pPr>
        <w:ind w:left="2160" w:hanging="360"/>
      </w:pPr>
      <w:rPr>
        <w:rFonts w:ascii="Calibri" w:eastAsia="Calibr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FFF78A1"/>
    <w:multiLevelType w:val="hybridMultilevel"/>
    <w:tmpl w:val="1C74F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0CE1D35"/>
    <w:multiLevelType w:val="hybridMultilevel"/>
    <w:tmpl w:val="4DF6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2D84441"/>
    <w:multiLevelType w:val="hybridMultilevel"/>
    <w:tmpl w:val="59241D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nsid w:val="3A6B6C94"/>
    <w:multiLevelType w:val="hybridMultilevel"/>
    <w:tmpl w:val="7AC6A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BD774FC"/>
    <w:multiLevelType w:val="hybridMultilevel"/>
    <w:tmpl w:val="840C38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3E82410D"/>
    <w:multiLevelType w:val="hybridMultilevel"/>
    <w:tmpl w:val="9E2A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16B64B4"/>
    <w:multiLevelType w:val="hybridMultilevel"/>
    <w:tmpl w:val="3B50D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3B7067D"/>
    <w:multiLevelType w:val="hybridMultilevel"/>
    <w:tmpl w:val="42DAF6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nsid w:val="48006CC5"/>
    <w:multiLevelType w:val="hybridMultilevel"/>
    <w:tmpl w:val="2698FD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nsid w:val="4B5A069D"/>
    <w:multiLevelType w:val="hybridMultilevel"/>
    <w:tmpl w:val="B306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C400B12"/>
    <w:multiLevelType w:val="multilevel"/>
    <w:tmpl w:val="7EC6FF60"/>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851"/>
        </w:tabs>
        <w:ind w:left="851" w:hanging="567"/>
      </w:pPr>
    </w:lvl>
    <w:lvl w:ilvl="2">
      <w:start w:val="1"/>
      <w:numFmt w:val="decimal"/>
      <w:lvlText w:val="%1.%2.%3."/>
      <w:lvlJc w:val="left"/>
      <w:pPr>
        <w:tabs>
          <w:tab w:val="num" w:pos="709"/>
        </w:tabs>
        <w:ind w:left="709" w:hanging="709"/>
      </w:pPr>
      <w:rPr>
        <w:b w:val="0"/>
        <w:color w:val="auto"/>
      </w:r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49">
    <w:nsid w:val="4D6157B3"/>
    <w:multiLevelType w:val="hybridMultilevel"/>
    <w:tmpl w:val="9242747C"/>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nsid w:val="4E0721DD"/>
    <w:multiLevelType w:val="hybridMultilevel"/>
    <w:tmpl w:val="B2EA70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nsid w:val="4F0D6473"/>
    <w:multiLevelType w:val="hybridMultilevel"/>
    <w:tmpl w:val="49FA8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nsid w:val="507C59F8"/>
    <w:multiLevelType w:val="hybridMultilevel"/>
    <w:tmpl w:val="B582E0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nsid w:val="513B048F"/>
    <w:multiLevelType w:val="hybridMultilevel"/>
    <w:tmpl w:val="011034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nsid w:val="554D4567"/>
    <w:multiLevelType w:val="singleLevel"/>
    <w:tmpl w:val="652E0860"/>
    <w:lvl w:ilvl="0">
      <w:start w:val="1"/>
      <w:numFmt w:val="decimal"/>
      <w:pStyle w:val="Tabletitle"/>
      <w:lvlText w:val="Table %1."/>
      <w:lvlJc w:val="left"/>
      <w:pPr>
        <w:tabs>
          <w:tab w:val="num" w:pos="1980"/>
        </w:tabs>
        <w:ind w:left="1892" w:hanging="992"/>
      </w:pPr>
      <w:rPr>
        <w:rFonts w:cs="Times New Roman" w:hint="default"/>
        <w:b w:val="0"/>
        <w:i/>
      </w:rPr>
    </w:lvl>
  </w:abstractNum>
  <w:abstractNum w:abstractNumId="55">
    <w:nsid w:val="5554443B"/>
    <w:multiLevelType w:val="hybridMultilevel"/>
    <w:tmpl w:val="BC3AB418"/>
    <w:lvl w:ilvl="0" w:tplc="7138CAB0">
      <w:start w:val="1"/>
      <w:numFmt w:val="decimal"/>
      <w:lvlText w:val="%1."/>
      <w:lvlJc w:val="left"/>
      <w:pPr>
        <w:tabs>
          <w:tab w:val="num" w:pos="720"/>
        </w:tabs>
        <w:ind w:left="720" w:hanging="360"/>
      </w:pPr>
    </w:lvl>
    <w:lvl w:ilvl="1" w:tplc="483CB966" w:tentative="1">
      <w:start w:val="1"/>
      <w:numFmt w:val="decimal"/>
      <w:lvlText w:val="%2."/>
      <w:lvlJc w:val="left"/>
      <w:pPr>
        <w:tabs>
          <w:tab w:val="num" w:pos="1440"/>
        </w:tabs>
        <w:ind w:left="1440" w:hanging="360"/>
      </w:pPr>
    </w:lvl>
    <w:lvl w:ilvl="2" w:tplc="34147172" w:tentative="1">
      <w:start w:val="1"/>
      <w:numFmt w:val="decimal"/>
      <w:lvlText w:val="%3."/>
      <w:lvlJc w:val="left"/>
      <w:pPr>
        <w:tabs>
          <w:tab w:val="num" w:pos="2160"/>
        </w:tabs>
        <w:ind w:left="2160" w:hanging="360"/>
      </w:pPr>
    </w:lvl>
    <w:lvl w:ilvl="3" w:tplc="C688DD18" w:tentative="1">
      <w:start w:val="1"/>
      <w:numFmt w:val="decimal"/>
      <w:lvlText w:val="%4."/>
      <w:lvlJc w:val="left"/>
      <w:pPr>
        <w:tabs>
          <w:tab w:val="num" w:pos="2880"/>
        </w:tabs>
        <w:ind w:left="2880" w:hanging="360"/>
      </w:pPr>
    </w:lvl>
    <w:lvl w:ilvl="4" w:tplc="7212A50A" w:tentative="1">
      <w:start w:val="1"/>
      <w:numFmt w:val="decimal"/>
      <w:lvlText w:val="%5."/>
      <w:lvlJc w:val="left"/>
      <w:pPr>
        <w:tabs>
          <w:tab w:val="num" w:pos="3600"/>
        </w:tabs>
        <w:ind w:left="3600" w:hanging="360"/>
      </w:pPr>
    </w:lvl>
    <w:lvl w:ilvl="5" w:tplc="E4FE84FC" w:tentative="1">
      <w:start w:val="1"/>
      <w:numFmt w:val="decimal"/>
      <w:lvlText w:val="%6."/>
      <w:lvlJc w:val="left"/>
      <w:pPr>
        <w:tabs>
          <w:tab w:val="num" w:pos="4320"/>
        </w:tabs>
        <w:ind w:left="4320" w:hanging="360"/>
      </w:pPr>
    </w:lvl>
    <w:lvl w:ilvl="6" w:tplc="1E341428" w:tentative="1">
      <w:start w:val="1"/>
      <w:numFmt w:val="decimal"/>
      <w:lvlText w:val="%7."/>
      <w:lvlJc w:val="left"/>
      <w:pPr>
        <w:tabs>
          <w:tab w:val="num" w:pos="5040"/>
        </w:tabs>
        <w:ind w:left="5040" w:hanging="360"/>
      </w:pPr>
    </w:lvl>
    <w:lvl w:ilvl="7" w:tplc="C81A0E0E" w:tentative="1">
      <w:start w:val="1"/>
      <w:numFmt w:val="decimal"/>
      <w:lvlText w:val="%8."/>
      <w:lvlJc w:val="left"/>
      <w:pPr>
        <w:tabs>
          <w:tab w:val="num" w:pos="5760"/>
        </w:tabs>
        <w:ind w:left="5760" w:hanging="360"/>
      </w:pPr>
    </w:lvl>
    <w:lvl w:ilvl="8" w:tplc="80FCC9D2" w:tentative="1">
      <w:start w:val="1"/>
      <w:numFmt w:val="decimal"/>
      <w:lvlText w:val="%9."/>
      <w:lvlJc w:val="left"/>
      <w:pPr>
        <w:tabs>
          <w:tab w:val="num" w:pos="6480"/>
        </w:tabs>
        <w:ind w:left="6480" w:hanging="360"/>
      </w:pPr>
    </w:lvl>
  </w:abstractNum>
  <w:abstractNum w:abstractNumId="56">
    <w:nsid w:val="56CC0A15"/>
    <w:multiLevelType w:val="hybridMultilevel"/>
    <w:tmpl w:val="DE889900"/>
    <w:lvl w:ilvl="0" w:tplc="FCCA6686">
      <w:start w:val="1"/>
      <w:numFmt w:val="bullet"/>
      <w:lvlText w:val="•"/>
      <w:lvlJc w:val="left"/>
      <w:pPr>
        <w:tabs>
          <w:tab w:val="num" w:pos="720"/>
        </w:tabs>
        <w:ind w:left="720" w:hanging="360"/>
      </w:pPr>
      <w:rPr>
        <w:rFonts w:ascii="Arial" w:hAnsi="Arial" w:hint="default"/>
      </w:rPr>
    </w:lvl>
    <w:lvl w:ilvl="1" w:tplc="B09615FA" w:tentative="1">
      <w:start w:val="1"/>
      <w:numFmt w:val="bullet"/>
      <w:lvlText w:val="•"/>
      <w:lvlJc w:val="left"/>
      <w:pPr>
        <w:tabs>
          <w:tab w:val="num" w:pos="1440"/>
        </w:tabs>
        <w:ind w:left="1440" w:hanging="360"/>
      </w:pPr>
      <w:rPr>
        <w:rFonts w:ascii="Arial" w:hAnsi="Arial" w:hint="default"/>
      </w:rPr>
    </w:lvl>
    <w:lvl w:ilvl="2" w:tplc="9B78C6CA" w:tentative="1">
      <w:start w:val="1"/>
      <w:numFmt w:val="bullet"/>
      <w:lvlText w:val="•"/>
      <w:lvlJc w:val="left"/>
      <w:pPr>
        <w:tabs>
          <w:tab w:val="num" w:pos="2160"/>
        </w:tabs>
        <w:ind w:left="2160" w:hanging="360"/>
      </w:pPr>
      <w:rPr>
        <w:rFonts w:ascii="Arial" w:hAnsi="Arial" w:hint="default"/>
      </w:rPr>
    </w:lvl>
    <w:lvl w:ilvl="3" w:tplc="BA8878E0" w:tentative="1">
      <w:start w:val="1"/>
      <w:numFmt w:val="bullet"/>
      <w:lvlText w:val="•"/>
      <w:lvlJc w:val="left"/>
      <w:pPr>
        <w:tabs>
          <w:tab w:val="num" w:pos="2880"/>
        </w:tabs>
        <w:ind w:left="2880" w:hanging="360"/>
      </w:pPr>
      <w:rPr>
        <w:rFonts w:ascii="Arial" w:hAnsi="Arial" w:hint="default"/>
      </w:rPr>
    </w:lvl>
    <w:lvl w:ilvl="4" w:tplc="C7302706" w:tentative="1">
      <w:start w:val="1"/>
      <w:numFmt w:val="bullet"/>
      <w:lvlText w:val="•"/>
      <w:lvlJc w:val="left"/>
      <w:pPr>
        <w:tabs>
          <w:tab w:val="num" w:pos="3600"/>
        </w:tabs>
        <w:ind w:left="3600" w:hanging="360"/>
      </w:pPr>
      <w:rPr>
        <w:rFonts w:ascii="Arial" w:hAnsi="Arial" w:hint="default"/>
      </w:rPr>
    </w:lvl>
    <w:lvl w:ilvl="5" w:tplc="532418F0" w:tentative="1">
      <w:start w:val="1"/>
      <w:numFmt w:val="bullet"/>
      <w:lvlText w:val="•"/>
      <w:lvlJc w:val="left"/>
      <w:pPr>
        <w:tabs>
          <w:tab w:val="num" w:pos="4320"/>
        </w:tabs>
        <w:ind w:left="4320" w:hanging="360"/>
      </w:pPr>
      <w:rPr>
        <w:rFonts w:ascii="Arial" w:hAnsi="Arial" w:hint="default"/>
      </w:rPr>
    </w:lvl>
    <w:lvl w:ilvl="6" w:tplc="ECFAD350" w:tentative="1">
      <w:start w:val="1"/>
      <w:numFmt w:val="bullet"/>
      <w:lvlText w:val="•"/>
      <w:lvlJc w:val="left"/>
      <w:pPr>
        <w:tabs>
          <w:tab w:val="num" w:pos="5040"/>
        </w:tabs>
        <w:ind w:left="5040" w:hanging="360"/>
      </w:pPr>
      <w:rPr>
        <w:rFonts w:ascii="Arial" w:hAnsi="Arial" w:hint="default"/>
      </w:rPr>
    </w:lvl>
    <w:lvl w:ilvl="7" w:tplc="2DCA2162" w:tentative="1">
      <w:start w:val="1"/>
      <w:numFmt w:val="bullet"/>
      <w:lvlText w:val="•"/>
      <w:lvlJc w:val="left"/>
      <w:pPr>
        <w:tabs>
          <w:tab w:val="num" w:pos="5760"/>
        </w:tabs>
        <w:ind w:left="5760" w:hanging="360"/>
      </w:pPr>
      <w:rPr>
        <w:rFonts w:ascii="Arial" w:hAnsi="Arial" w:hint="default"/>
      </w:rPr>
    </w:lvl>
    <w:lvl w:ilvl="8" w:tplc="224E8082" w:tentative="1">
      <w:start w:val="1"/>
      <w:numFmt w:val="bullet"/>
      <w:lvlText w:val="•"/>
      <w:lvlJc w:val="left"/>
      <w:pPr>
        <w:tabs>
          <w:tab w:val="num" w:pos="6480"/>
        </w:tabs>
        <w:ind w:left="6480" w:hanging="360"/>
      </w:pPr>
      <w:rPr>
        <w:rFonts w:ascii="Arial" w:hAnsi="Arial" w:hint="default"/>
      </w:rPr>
    </w:lvl>
  </w:abstractNum>
  <w:abstractNum w:abstractNumId="57">
    <w:nsid w:val="59AD789B"/>
    <w:multiLevelType w:val="hybridMultilevel"/>
    <w:tmpl w:val="654EC8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5AB056EF"/>
    <w:multiLevelType w:val="hybridMultilevel"/>
    <w:tmpl w:val="8DD226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nsid w:val="5AD8532F"/>
    <w:multiLevelType w:val="hybridMultilevel"/>
    <w:tmpl w:val="089EE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B145971"/>
    <w:multiLevelType w:val="hybridMultilevel"/>
    <w:tmpl w:val="08CA7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5D5D02E7"/>
    <w:multiLevelType w:val="hybridMultilevel"/>
    <w:tmpl w:val="3028C5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nsid w:val="5DAA79FF"/>
    <w:multiLevelType w:val="hybridMultilevel"/>
    <w:tmpl w:val="F3D49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5F492DFE"/>
    <w:multiLevelType w:val="hybridMultilevel"/>
    <w:tmpl w:val="38824C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nsid w:val="5F5D3FD4"/>
    <w:multiLevelType w:val="hybridMultilevel"/>
    <w:tmpl w:val="CE041562"/>
    <w:lvl w:ilvl="0" w:tplc="5B6801FE">
      <w:start w:val="1"/>
      <w:numFmt w:val="bullet"/>
      <w:pStyle w:val="Bullets2"/>
      <w:lvlText w:val=""/>
      <w:lvlJc w:val="left"/>
      <w:pPr>
        <w:tabs>
          <w:tab w:val="num" w:pos="567"/>
        </w:tabs>
        <w:ind w:left="567" w:hanging="283"/>
      </w:pPr>
      <w:rPr>
        <w:rFonts w:ascii="Symbol" w:hAnsi="Symbol" w:hint="default"/>
        <w:color w:val="999999"/>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5">
    <w:nsid w:val="618508C2"/>
    <w:multiLevelType w:val="hybridMultilevel"/>
    <w:tmpl w:val="80828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2343710"/>
    <w:multiLevelType w:val="hybridMultilevel"/>
    <w:tmpl w:val="4CC4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3016496"/>
    <w:multiLevelType w:val="hybridMultilevel"/>
    <w:tmpl w:val="322C15CC"/>
    <w:lvl w:ilvl="0" w:tplc="08842210">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nsid w:val="652D2A0C"/>
    <w:multiLevelType w:val="multilevel"/>
    <w:tmpl w:val="800A9B5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5390A9A"/>
    <w:multiLevelType w:val="hybridMultilevel"/>
    <w:tmpl w:val="C9F42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65454741"/>
    <w:multiLevelType w:val="hybridMultilevel"/>
    <w:tmpl w:val="ADE6E6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nsid w:val="6A1566CB"/>
    <w:multiLevelType w:val="hybridMultilevel"/>
    <w:tmpl w:val="9A5AFB10"/>
    <w:lvl w:ilvl="0" w:tplc="D04EDAA0">
      <w:numFmt w:val="bullet"/>
      <w:lvlText w:val="•"/>
      <w:lvlJc w:val="left"/>
      <w:pPr>
        <w:ind w:left="1152"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D18042F"/>
    <w:multiLevelType w:val="hybridMultilevel"/>
    <w:tmpl w:val="2EFA97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nsid w:val="6DFD6221"/>
    <w:multiLevelType w:val="hybridMultilevel"/>
    <w:tmpl w:val="A368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E493974"/>
    <w:multiLevelType w:val="hybridMultilevel"/>
    <w:tmpl w:val="B916F9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nsid w:val="6E852BC4"/>
    <w:multiLevelType w:val="hybridMultilevel"/>
    <w:tmpl w:val="84BEDA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nsid w:val="711345FB"/>
    <w:multiLevelType w:val="hybridMultilevel"/>
    <w:tmpl w:val="EA94C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nsid w:val="73B1237E"/>
    <w:multiLevelType w:val="hybridMultilevel"/>
    <w:tmpl w:val="C8AE53BC"/>
    <w:lvl w:ilvl="0" w:tplc="0EA08084">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4BF1445"/>
    <w:multiLevelType w:val="hybridMultilevel"/>
    <w:tmpl w:val="91F62A24"/>
    <w:lvl w:ilvl="0" w:tplc="BABAF8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7DEF1E6E"/>
    <w:multiLevelType w:val="hybridMultilevel"/>
    <w:tmpl w:val="5606B4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7E874A06"/>
    <w:multiLevelType w:val="multilevel"/>
    <w:tmpl w:val="1A6AADF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Heading6"/>
      <w:suff w:val="space"/>
      <w:lvlText w:val="%1.%2.%3.%4."/>
      <w:lvlJc w:val="left"/>
      <w:pPr>
        <w:ind w:left="864" w:hanging="864"/>
      </w:pPr>
    </w:lvl>
    <w:lvl w:ilvl="4">
      <w:start w:val="1"/>
      <w:numFmt w:val="decimal"/>
      <w:pStyle w:val="Heading7"/>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num w:numId="1">
    <w:abstractNumId w:val="80"/>
  </w:num>
  <w:num w:numId="2">
    <w:abstractNumId w:val="48"/>
  </w:num>
  <w:num w:numId="3">
    <w:abstractNumId w:val="6"/>
  </w:num>
  <w:num w:numId="4">
    <w:abstractNumId w:val="64"/>
  </w:num>
  <w:num w:numId="5">
    <w:abstractNumId w:val="27"/>
  </w:num>
  <w:num w:numId="6">
    <w:abstractNumId w:val="20"/>
  </w:num>
  <w:num w:numId="7">
    <w:abstractNumId w:val="12"/>
  </w:num>
  <w:num w:numId="8">
    <w:abstractNumId w:val="22"/>
  </w:num>
  <w:num w:numId="9">
    <w:abstractNumId w:val="54"/>
  </w:num>
  <w:num w:numId="10">
    <w:abstractNumId w:val="26"/>
  </w:num>
  <w:num w:numId="11">
    <w:abstractNumId w:val="52"/>
  </w:num>
  <w:num w:numId="12">
    <w:abstractNumId w:val="51"/>
  </w:num>
  <w:num w:numId="13">
    <w:abstractNumId w:val="18"/>
  </w:num>
  <w:num w:numId="14">
    <w:abstractNumId w:val="46"/>
  </w:num>
  <w:num w:numId="15">
    <w:abstractNumId w:val="75"/>
  </w:num>
  <w:num w:numId="16">
    <w:abstractNumId w:val="34"/>
  </w:num>
  <w:num w:numId="17">
    <w:abstractNumId w:val="15"/>
  </w:num>
  <w:num w:numId="18">
    <w:abstractNumId w:val="45"/>
  </w:num>
  <w:num w:numId="19">
    <w:abstractNumId w:val="58"/>
  </w:num>
  <w:num w:numId="20">
    <w:abstractNumId w:val="13"/>
  </w:num>
  <w:num w:numId="21">
    <w:abstractNumId w:val="53"/>
  </w:num>
  <w:num w:numId="22">
    <w:abstractNumId w:val="23"/>
  </w:num>
  <w:num w:numId="23">
    <w:abstractNumId w:val="21"/>
  </w:num>
  <w:num w:numId="24">
    <w:abstractNumId w:val="10"/>
  </w:num>
  <w:num w:numId="25">
    <w:abstractNumId w:val="7"/>
  </w:num>
  <w:num w:numId="26">
    <w:abstractNumId w:val="35"/>
  </w:num>
  <w:num w:numId="27">
    <w:abstractNumId w:val="70"/>
  </w:num>
  <w:num w:numId="28">
    <w:abstractNumId w:val="9"/>
  </w:num>
  <w:num w:numId="29">
    <w:abstractNumId w:val="72"/>
  </w:num>
  <w:num w:numId="30">
    <w:abstractNumId w:val="28"/>
  </w:num>
  <w:num w:numId="31">
    <w:abstractNumId w:val="11"/>
  </w:num>
  <w:num w:numId="32">
    <w:abstractNumId w:val="76"/>
  </w:num>
  <w:num w:numId="33">
    <w:abstractNumId w:val="40"/>
  </w:num>
  <w:num w:numId="34">
    <w:abstractNumId w:val="31"/>
  </w:num>
  <w:num w:numId="35">
    <w:abstractNumId w:val="49"/>
  </w:num>
  <w:num w:numId="36">
    <w:abstractNumId w:val="63"/>
  </w:num>
  <w:num w:numId="37">
    <w:abstractNumId w:val="50"/>
  </w:num>
  <w:num w:numId="38">
    <w:abstractNumId w:val="42"/>
  </w:num>
  <w:num w:numId="39">
    <w:abstractNumId w:val="67"/>
  </w:num>
  <w:num w:numId="40">
    <w:abstractNumId w:val="61"/>
  </w:num>
  <w:num w:numId="41">
    <w:abstractNumId w:val="74"/>
  </w:num>
  <w:num w:numId="4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5"/>
  </w:num>
  <w:num w:numId="44">
    <w:abstractNumId w:val="4"/>
  </w:num>
  <w:num w:numId="45">
    <w:abstractNumId w:val="3"/>
  </w:num>
  <w:num w:numId="46">
    <w:abstractNumId w:val="77"/>
  </w:num>
  <w:num w:numId="47">
    <w:abstractNumId w:val="32"/>
  </w:num>
  <w:num w:numId="48">
    <w:abstractNumId w:val="71"/>
  </w:num>
  <w:num w:numId="49">
    <w:abstractNumId w:val="68"/>
  </w:num>
  <w:num w:numId="50">
    <w:abstractNumId w:val="8"/>
  </w:num>
  <w:num w:numId="51">
    <w:abstractNumId w:val="62"/>
  </w:num>
  <w:num w:numId="52">
    <w:abstractNumId w:val="43"/>
  </w:num>
  <w:num w:numId="53">
    <w:abstractNumId w:val="44"/>
  </w:num>
  <w:num w:numId="54">
    <w:abstractNumId w:val="39"/>
  </w:num>
  <w:num w:numId="55">
    <w:abstractNumId w:val="14"/>
  </w:num>
  <w:num w:numId="56">
    <w:abstractNumId w:val="17"/>
  </w:num>
  <w:num w:numId="57">
    <w:abstractNumId w:val="57"/>
  </w:num>
  <w:num w:numId="58">
    <w:abstractNumId w:val="24"/>
  </w:num>
  <w:num w:numId="59">
    <w:abstractNumId w:val="41"/>
  </w:num>
  <w:num w:numId="60">
    <w:abstractNumId w:val="16"/>
  </w:num>
  <w:num w:numId="61">
    <w:abstractNumId w:val="60"/>
  </w:num>
  <w:num w:numId="62">
    <w:abstractNumId w:val="47"/>
  </w:num>
  <w:num w:numId="63">
    <w:abstractNumId w:val="59"/>
  </w:num>
  <w:num w:numId="64">
    <w:abstractNumId w:val="1"/>
  </w:num>
  <w:num w:numId="65">
    <w:abstractNumId w:val="2"/>
  </w:num>
  <w:num w:numId="66">
    <w:abstractNumId w:val="79"/>
  </w:num>
  <w:num w:numId="67">
    <w:abstractNumId w:val="66"/>
  </w:num>
  <w:num w:numId="68">
    <w:abstractNumId w:val="30"/>
  </w:num>
  <w:num w:numId="69">
    <w:abstractNumId w:val="38"/>
  </w:num>
  <w:num w:numId="70">
    <w:abstractNumId w:val="37"/>
  </w:num>
  <w:num w:numId="71">
    <w:abstractNumId w:val="25"/>
  </w:num>
  <w:num w:numId="72">
    <w:abstractNumId w:val="5"/>
  </w:num>
  <w:num w:numId="73">
    <w:abstractNumId w:val="36"/>
  </w:num>
  <w:num w:numId="74">
    <w:abstractNumId w:val="55"/>
  </w:num>
  <w:num w:numId="75">
    <w:abstractNumId w:val="73"/>
  </w:num>
  <w:num w:numId="76">
    <w:abstractNumId w:val="56"/>
  </w:num>
  <w:num w:numId="77">
    <w:abstractNumId w:val="0"/>
  </w:num>
  <w:num w:numId="78">
    <w:abstractNumId w:val="78"/>
  </w:num>
  <w:num w:numId="79">
    <w:abstractNumId w:val="29"/>
  </w:num>
  <w:num w:numId="80">
    <w:abstractNumId w:val="69"/>
  </w:num>
  <w:num w:numId="81">
    <w:abstractNumId w:val="1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nl-NL" w:vendorID="9" w:dllVersion="512" w:checkStyle="1"/>
  <w:activeWritingStyle w:appName="MSWord" w:lang="en-GB" w:vendorID="8" w:dllVersion="513" w:checkStyle="1"/>
  <w:activeWritingStyle w:appName="MSWord" w:lang="fr-FR" w:vendorID="9" w:dllVersion="512" w:checkStyle="1"/>
  <w:activeWritingStyle w:appName="MSWord" w:lang="ru-RU" w:vendorID="1" w:dllVersion="512" w:checkStyle="1"/>
  <w:activeWritingStyle w:appName="MSWord" w:lang="it-IT" w:vendorID="3" w:dllVersion="517" w:checkStyle="1"/>
  <w:activeWritingStyle w:appName="MSWord" w:lang="fi-FI" w:vendorID="22" w:dllVersion="513" w:checkStyle="1"/>
  <w:activeWritingStyle w:appName="MSWord" w:lang="pt-PT" w:vendorID="13" w:dllVersion="513" w:checkStyle="1"/>
  <w:activeWritingStyle w:appName="MSWord" w:lang="cs-CZ" w:vendorID="7" w:dllVersion="514" w:checkStyle="1"/>
  <w:activeWritingStyle w:appName="MSWord" w:lang="lv-LV" w:vendorID="71" w:dllVersion="512"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LW_DocType" w:val="@WB-RAPPORT"/>
    <w:docVar w:name="varSavedBefore" w:val="T"/>
  </w:docVars>
  <w:rsids>
    <w:rsidRoot w:val="00864B74"/>
    <w:rsid w:val="0000059A"/>
    <w:rsid w:val="00000FBA"/>
    <w:rsid w:val="00001024"/>
    <w:rsid w:val="00001DEE"/>
    <w:rsid w:val="00002ABB"/>
    <w:rsid w:val="00002DFC"/>
    <w:rsid w:val="000034B2"/>
    <w:rsid w:val="00003BE9"/>
    <w:rsid w:val="00004191"/>
    <w:rsid w:val="00004753"/>
    <w:rsid w:val="00005299"/>
    <w:rsid w:val="000055AD"/>
    <w:rsid w:val="00005E2C"/>
    <w:rsid w:val="0000744A"/>
    <w:rsid w:val="00010049"/>
    <w:rsid w:val="000113F7"/>
    <w:rsid w:val="0001169E"/>
    <w:rsid w:val="000120FE"/>
    <w:rsid w:val="00012804"/>
    <w:rsid w:val="00014228"/>
    <w:rsid w:val="000154EA"/>
    <w:rsid w:val="000155BE"/>
    <w:rsid w:val="000156F9"/>
    <w:rsid w:val="00015AA0"/>
    <w:rsid w:val="0001775C"/>
    <w:rsid w:val="00020937"/>
    <w:rsid w:val="00020F10"/>
    <w:rsid w:val="000213DA"/>
    <w:rsid w:val="00023BDB"/>
    <w:rsid w:val="000240BE"/>
    <w:rsid w:val="000257B4"/>
    <w:rsid w:val="0002771C"/>
    <w:rsid w:val="00027DF9"/>
    <w:rsid w:val="0003013F"/>
    <w:rsid w:val="00030BB6"/>
    <w:rsid w:val="00030CBD"/>
    <w:rsid w:val="00033E78"/>
    <w:rsid w:val="000343F5"/>
    <w:rsid w:val="000354AA"/>
    <w:rsid w:val="00037605"/>
    <w:rsid w:val="00037C5B"/>
    <w:rsid w:val="00037FF1"/>
    <w:rsid w:val="00041E16"/>
    <w:rsid w:val="00042C9B"/>
    <w:rsid w:val="00044CE3"/>
    <w:rsid w:val="00045692"/>
    <w:rsid w:val="00046033"/>
    <w:rsid w:val="000465AB"/>
    <w:rsid w:val="00046664"/>
    <w:rsid w:val="00046F9A"/>
    <w:rsid w:val="00050E8D"/>
    <w:rsid w:val="000514A8"/>
    <w:rsid w:val="000518F7"/>
    <w:rsid w:val="0005281C"/>
    <w:rsid w:val="00052C96"/>
    <w:rsid w:val="00053341"/>
    <w:rsid w:val="00054A37"/>
    <w:rsid w:val="00054BD4"/>
    <w:rsid w:val="00054E27"/>
    <w:rsid w:val="0005592F"/>
    <w:rsid w:val="00055BB3"/>
    <w:rsid w:val="00055C99"/>
    <w:rsid w:val="00055C9D"/>
    <w:rsid w:val="0005617C"/>
    <w:rsid w:val="000565BD"/>
    <w:rsid w:val="0005776F"/>
    <w:rsid w:val="00057F11"/>
    <w:rsid w:val="00060387"/>
    <w:rsid w:val="0006045E"/>
    <w:rsid w:val="00062A25"/>
    <w:rsid w:val="00062A95"/>
    <w:rsid w:val="00062EEB"/>
    <w:rsid w:val="0006310F"/>
    <w:rsid w:val="000635CE"/>
    <w:rsid w:val="000655A7"/>
    <w:rsid w:val="000657FF"/>
    <w:rsid w:val="00065B3D"/>
    <w:rsid w:val="00066669"/>
    <w:rsid w:val="00067254"/>
    <w:rsid w:val="00067C70"/>
    <w:rsid w:val="0007178A"/>
    <w:rsid w:val="00071888"/>
    <w:rsid w:val="00071C95"/>
    <w:rsid w:val="0007297F"/>
    <w:rsid w:val="00073944"/>
    <w:rsid w:val="00073EBB"/>
    <w:rsid w:val="00074167"/>
    <w:rsid w:val="000748D8"/>
    <w:rsid w:val="00074ADC"/>
    <w:rsid w:val="00075B77"/>
    <w:rsid w:val="00075DD9"/>
    <w:rsid w:val="00076094"/>
    <w:rsid w:val="0007721C"/>
    <w:rsid w:val="000817C8"/>
    <w:rsid w:val="00081F1D"/>
    <w:rsid w:val="00083B88"/>
    <w:rsid w:val="000841E9"/>
    <w:rsid w:val="00085FCA"/>
    <w:rsid w:val="00086001"/>
    <w:rsid w:val="0008665C"/>
    <w:rsid w:val="000927F0"/>
    <w:rsid w:val="00092DCC"/>
    <w:rsid w:val="000935CF"/>
    <w:rsid w:val="0009362D"/>
    <w:rsid w:val="000939DD"/>
    <w:rsid w:val="000941E3"/>
    <w:rsid w:val="000942AC"/>
    <w:rsid w:val="00094BC3"/>
    <w:rsid w:val="00094D6D"/>
    <w:rsid w:val="000972E7"/>
    <w:rsid w:val="00097429"/>
    <w:rsid w:val="00097822"/>
    <w:rsid w:val="00097FF2"/>
    <w:rsid w:val="000A0096"/>
    <w:rsid w:val="000A04E4"/>
    <w:rsid w:val="000A0E6E"/>
    <w:rsid w:val="000A25B9"/>
    <w:rsid w:val="000A2AC6"/>
    <w:rsid w:val="000A34B5"/>
    <w:rsid w:val="000A40F9"/>
    <w:rsid w:val="000A42CF"/>
    <w:rsid w:val="000A4D6C"/>
    <w:rsid w:val="000A4DEF"/>
    <w:rsid w:val="000A6BD3"/>
    <w:rsid w:val="000A757A"/>
    <w:rsid w:val="000A7FAA"/>
    <w:rsid w:val="000B0120"/>
    <w:rsid w:val="000B0361"/>
    <w:rsid w:val="000B0F42"/>
    <w:rsid w:val="000B2C4D"/>
    <w:rsid w:val="000B48C4"/>
    <w:rsid w:val="000B48E2"/>
    <w:rsid w:val="000B581B"/>
    <w:rsid w:val="000B5F19"/>
    <w:rsid w:val="000C091D"/>
    <w:rsid w:val="000C193D"/>
    <w:rsid w:val="000C1F6B"/>
    <w:rsid w:val="000C4167"/>
    <w:rsid w:val="000C4624"/>
    <w:rsid w:val="000C50AF"/>
    <w:rsid w:val="000C668A"/>
    <w:rsid w:val="000C6691"/>
    <w:rsid w:val="000C7517"/>
    <w:rsid w:val="000D0BA6"/>
    <w:rsid w:val="000D286C"/>
    <w:rsid w:val="000D2E06"/>
    <w:rsid w:val="000D4C64"/>
    <w:rsid w:val="000D5869"/>
    <w:rsid w:val="000D7402"/>
    <w:rsid w:val="000E16B5"/>
    <w:rsid w:val="000E1915"/>
    <w:rsid w:val="000E1DA8"/>
    <w:rsid w:val="000E313D"/>
    <w:rsid w:val="000E3191"/>
    <w:rsid w:val="000E31C5"/>
    <w:rsid w:val="000E3201"/>
    <w:rsid w:val="000E44DB"/>
    <w:rsid w:val="000E6A3F"/>
    <w:rsid w:val="000F015E"/>
    <w:rsid w:val="000F01BA"/>
    <w:rsid w:val="000F0AA4"/>
    <w:rsid w:val="000F0B8E"/>
    <w:rsid w:val="000F0C61"/>
    <w:rsid w:val="000F1BAC"/>
    <w:rsid w:val="000F3136"/>
    <w:rsid w:val="000F536B"/>
    <w:rsid w:val="000F62A3"/>
    <w:rsid w:val="000F6E8E"/>
    <w:rsid w:val="000F7599"/>
    <w:rsid w:val="001001E9"/>
    <w:rsid w:val="001015A3"/>
    <w:rsid w:val="001028AD"/>
    <w:rsid w:val="0010297F"/>
    <w:rsid w:val="00102B5D"/>
    <w:rsid w:val="00104FF6"/>
    <w:rsid w:val="00107317"/>
    <w:rsid w:val="00110AB8"/>
    <w:rsid w:val="00112297"/>
    <w:rsid w:val="00112B5C"/>
    <w:rsid w:val="001146B9"/>
    <w:rsid w:val="001147F2"/>
    <w:rsid w:val="00114F0D"/>
    <w:rsid w:val="001165F4"/>
    <w:rsid w:val="00116B3D"/>
    <w:rsid w:val="00117F5A"/>
    <w:rsid w:val="001206A2"/>
    <w:rsid w:val="00120DDE"/>
    <w:rsid w:val="00122521"/>
    <w:rsid w:val="0012320E"/>
    <w:rsid w:val="00123283"/>
    <w:rsid w:val="00123B36"/>
    <w:rsid w:val="00125DD8"/>
    <w:rsid w:val="00125F58"/>
    <w:rsid w:val="00127D88"/>
    <w:rsid w:val="00127E16"/>
    <w:rsid w:val="00130B66"/>
    <w:rsid w:val="00132014"/>
    <w:rsid w:val="00132A14"/>
    <w:rsid w:val="00132F53"/>
    <w:rsid w:val="001338C9"/>
    <w:rsid w:val="00133BD2"/>
    <w:rsid w:val="001341EE"/>
    <w:rsid w:val="001346FF"/>
    <w:rsid w:val="00134B15"/>
    <w:rsid w:val="001358FF"/>
    <w:rsid w:val="00136D17"/>
    <w:rsid w:val="001405CE"/>
    <w:rsid w:val="00141FB8"/>
    <w:rsid w:val="00142198"/>
    <w:rsid w:val="00142EAA"/>
    <w:rsid w:val="001441F1"/>
    <w:rsid w:val="00144712"/>
    <w:rsid w:val="0014535E"/>
    <w:rsid w:val="00145572"/>
    <w:rsid w:val="00145839"/>
    <w:rsid w:val="0014629E"/>
    <w:rsid w:val="001478D6"/>
    <w:rsid w:val="00151781"/>
    <w:rsid w:val="001519FD"/>
    <w:rsid w:val="00152072"/>
    <w:rsid w:val="0015268A"/>
    <w:rsid w:val="00153839"/>
    <w:rsid w:val="00153CCD"/>
    <w:rsid w:val="00153E3E"/>
    <w:rsid w:val="001556DD"/>
    <w:rsid w:val="0015609D"/>
    <w:rsid w:val="001560FD"/>
    <w:rsid w:val="00156394"/>
    <w:rsid w:val="001602DA"/>
    <w:rsid w:val="00160B88"/>
    <w:rsid w:val="001611E3"/>
    <w:rsid w:val="001612B6"/>
    <w:rsid w:val="001620D7"/>
    <w:rsid w:val="0016325A"/>
    <w:rsid w:val="00164584"/>
    <w:rsid w:val="0016699C"/>
    <w:rsid w:val="00166F83"/>
    <w:rsid w:val="001701DD"/>
    <w:rsid w:val="001702D1"/>
    <w:rsid w:val="00171148"/>
    <w:rsid w:val="0017163B"/>
    <w:rsid w:val="0017356E"/>
    <w:rsid w:val="00173A38"/>
    <w:rsid w:val="00174BEE"/>
    <w:rsid w:val="0017670F"/>
    <w:rsid w:val="00177749"/>
    <w:rsid w:val="00180383"/>
    <w:rsid w:val="00181271"/>
    <w:rsid w:val="00181F5C"/>
    <w:rsid w:val="001823E6"/>
    <w:rsid w:val="00183DAA"/>
    <w:rsid w:val="00184FFA"/>
    <w:rsid w:val="001851AC"/>
    <w:rsid w:val="0018547E"/>
    <w:rsid w:val="00186AC3"/>
    <w:rsid w:val="00186DB4"/>
    <w:rsid w:val="00187AA0"/>
    <w:rsid w:val="00190D43"/>
    <w:rsid w:val="00191951"/>
    <w:rsid w:val="00192ADD"/>
    <w:rsid w:val="001931EF"/>
    <w:rsid w:val="0019321B"/>
    <w:rsid w:val="00193224"/>
    <w:rsid w:val="0019519B"/>
    <w:rsid w:val="001952C4"/>
    <w:rsid w:val="00195351"/>
    <w:rsid w:val="001964D3"/>
    <w:rsid w:val="00197AE4"/>
    <w:rsid w:val="00197DEF"/>
    <w:rsid w:val="00197E49"/>
    <w:rsid w:val="001A0FBA"/>
    <w:rsid w:val="001A0FD8"/>
    <w:rsid w:val="001A133A"/>
    <w:rsid w:val="001A17A7"/>
    <w:rsid w:val="001A2D31"/>
    <w:rsid w:val="001A2E00"/>
    <w:rsid w:val="001A407C"/>
    <w:rsid w:val="001A49E0"/>
    <w:rsid w:val="001A5116"/>
    <w:rsid w:val="001A6E40"/>
    <w:rsid w:val="001A79DB"/>
    <w:rsid w:val="001B0D02"/>
    <w:rsid w:val="001B14AF"/>
    <w:rsid w:val="001B21C8"/>
    <w:rsid w:val="001B26C5"/>
    <w:rsid w:val="001B3188"/>
    <w:rsid w:val="001B3C88"/>
    <w:rsid w:val="001B427C"/>
    <w:rsid w:val="001B4E5B"/>
    <w:rsid w:val="001B622F"/>
    <w:rsid w:val="001B66FC"/>
    <w:rsid w:val="001B6744"/>
    <w:rsid w:val="001B6E93"/>
    <w:rsid w:val="001B7692"/>
    <w:rsid w:val="001C07D9"/>
    <w:rsid w:val="001C0A35"/>
    <w:rsid w:val="001C1AEC"/>
    <w:rsid w:val="001C2227"/>
    <w:rsid w:val="001C2B33"/>
    <w:rsid w:val="001C46A2"/>
    <w:rsid w:val="001C5B6F"/>
    <w:rsid w:val="001C6EEF"/>
    <w:rsid w:val="001D0064"/>
    <w:rsid w:val="001D03E6"/>
    <w:rsid w:val="001D2748"/>
    <w:rsid w:val="001D4426"/>
    <w:rsid w:val="001D4C85"/>
    <w:rsid w:val="001D51A2"/>
    <w:rsid w:val="001D5DD4"/>
    <w:rsid w:val="001D6167"/>
    <w:rsid w:val="001D6868"/>
    <w:rsid w:val="001D6964"/>
    <w:rsid w:val="001E0138"/>
    <w:rsid w:val="001E08E6"/>
    <w:rsid w:val="001E10CD"/>
    <w:rsid w:val="001E12FD"/>
    <w:rsid w:val="001E1A77"/>
    <w:rsid w:val="001E2306"/>
    <w:rsid w:val="001E34A1"/>
    <w:rsid w:val="001E3818"/>
    <w:rsid w:val="001E44C2"/>
    <w:rsid w:val="001E5DD0"/>
    <w:rsid w:val="001E72AA"/>
    <w:rsid w:val="001E76E5"/>
    <w:rsid w:val="001E7899"/>
    <w:rsid w:val="001E7CEB"/>
    <w:rsid w:val="001F087C"/>
    <w:rsid w:val="001F0C26"/>
    <w:rsid w:val="001F0CED"/>
    <w:rsid w:val="001F12F0"/>
    <w:rsid w:val="001F1862"/>
    <w:rsid w:val="001F18F8"/>
    <w:rsid w:val="001F1D5A"/>
    <w:rsid w:val="001F216A"/>
    <w:rsid w:val="001F2AB3"/>
    <w:rsid w:val="001F2B84"/>
    <w:rsid w:val="001F35CA"/>
    <w:rsid w:val="001F3B31"/>
    <w:rsid w:val="001F4DE9"/>
    <w:rsid w:val="001F4FD4"/>
    <w:rsid w:val="001F59D0"/>
    <w:rsid w:val="001F5C79"/>
    <w:rsid w:val="001F64B8"/>
    <w:rsid w:val="001F6938"/>
    <w:rsid w:val="001F7FC9"/>
    <w:rsid w:val="002016AF"/>
    <w:rsid w:val="00201A65"/>
    <w:rsid w:val="002024F2"/>
    <w:rsid w:val="00202E88"/>
    <w:rsid w:val="0020318E"/>
    <w:rsid w:val="00203DB2"/>
    <w:rsid w:val="00203F9C"/>
    <w:rsid w:val="002040D0"/>
    <w:rsid w:val="002048AE"/>
    <w:rsid w:val="002053C3"/>
    <w:rsid w:val="002059F2"/>
    <w:rsid w:val="00206F0D"/>
    <w:rsid w:val="00207161"/>
    <w:rsid w:val="00207182"/>
    <w:rsid w:val="002077F9"/>
    <w:rsid w:val="00210990"/>
    <w:rsid w:val="0021175D"/>
    <w:rsid w:val="002122F8"/>
    <w:rsid w:val="00212BA3"/>
    <w:rsid w:val="002134F6"/>
    <w:rsid w:val="00214053"/>
    <w:rsid w:val="002145DC"/>
    <w:rsid w:val="00216EDD"/>
    <w:rsid w:val="00217393"/>
    <w:rsid w:val="00217CD4"/>
    <w:rsid w:val="002222B6"/>
    <w:rsid w:val="00222B17"/>
    <w:rsid w:val="0022391A"/>
    <w:rsid w:val="00224796"/>
    <w:rsid w:val="00225018"/>
    <w:rsid w:val="0022547A"/>
    <w:rsid w:val="00225553"/>
    <w:rsid w:val="00225FF0"/>
    <w:rsid w:val="00226319"/>
    <w:rsid w:val="0023054D"/>
    <w:rsid w:val="0023094D"/>
    <w:rsid w:val="00230D7F"/>
    <w:rsid w:val="00232437"/>
    <w:rsid w:val="002329E2"/>
    <w:rsid w:val="00232A06"/>
    <w:rsid w:val="00234E2E"/>
    <w:rsid w:val="002355BC"/>
    <w:rsid w:val="00235C19"/>
    <w:rsid w:val="0023607C"/>
    <w:rsid w:val="0023665E"/>
    <w:rsid w:val="00237A05"/>
    <w:rsid w:val="00237A4F"/>
    <w:rsid w:val="00237C03"/>
    <w:rsid w:val="00242BC2"/>
    <w:rsid w:val="0024356D"/>
    <w:rsid w:val="002440A5"/>
    <w:rsid w:val="00244301"/>
    <w:rsid w:val="0024443E"/>
    <w:rsid w:val="00245397"/>
    <w:rsid w:val="00245403"/>
    <w:rsid w:val="0024548A"/>
    <w:rsid w:val="00245A1D"/>
    <w:rsid w:val="00246B26"/>
    <w:rsid w:val="00247033"/>
    <w:rsid w:val="00247FE2"/>
    <w:rsid w:val="002500C4"/>
    <w:rsid w:val="00250C1C"/>
    <w:rsid w:val="0025176E"/>
    <w:rsid w:val="00253D9B"/>
    <w:rsid w:val="002544EE"/>
    <w:rsid w:val="00255729"/>
    <w:rsid w:val="0025591A"/>
    <w:rsid w:val="00255EBF"/>
    <w:rsid w:val="0026004C"/>
    <w:rsid w:val="0026073E"/>
    <w:rsid w:val="00264229"/>
    <w:rsid w:val="00264387"/>
    <w:rsid w:val="002648EC"/>
    <w:rsid w:val="00264BDA"/>
    <w:rsid w:val="00265520"/>
    <w:rsid w:val="00265BDB"/>
    <w:rsid w:val="00265F0E"/>
    <w:rsid w:val="00265F16"/>
    <w:rsid w:val="0026606F"/>
    <w:rsid w:val="00266609"/>
    <w:rsid w:val="002668CF"/>
    <w:rsid w:val="00266D09"/>
    <w:rsid w:val="00266FEE"/>
    <w:rsid w:val="00267412"/>
    <w:rsid w:val="00267C32"/>
    <w:rsid w:val="00267D40"/>
    <w:rsid w:val="00270248"/>
    <w:rsid w:val="002716D4"/>
    <w:rsid w:val="002724AC"/>
    <w:rsid w:val="002737A0"/>
    <w:rsid w:val="00274001"/>
    <w:rsid w:val="0027475D"/>
    <w:rsid w:val="00281A9F"/>
    <w:rsid w:val="002847CA"/>
    <w:rsid w:val="00284DB5"/>
    <w:rsid w:val="002855D3"/>
    <w:rsid w:val="00285A6A"/>
    <w:rsid w:val="00285E4A"/>
    <w:rsid w:val="0028619A"/>
    <w:rsid w:val="00286265"/>
    <w:rsid w:val="0028715A"/>
    <w:rsid w:val="002871B4"/>
    <w:rsid w:val="002878FF"/>
    <w:rsid w:val="00287B36"/>
    <w:rsid w:val="00287EE8"/>
    <w:rsid w:val="00290162"/>
    <w:rsid w:val="00290605"/>
    <w:rsid w:val="00291432"/>
    <w:rsid w:val="00291440"/>
    <w:rsid w:val="00292738"/>
    <w:rsid w:val="00292F88"/>
    <w:rsid w:val="00293C20"/>
    <w:rsid w:val="002946B1"/>
    <w:rsid w:val="002964F2"/>
    <w:rsid w:val="00297B75"/>
    <w:rsid w:val="00297DC4"/>
    <w:rsid w:val="002A0523"/>
    <w:rsid w:val="002A202C"/>
    <w:rsid w:val="002A20F2"/>
    <w:rsid w:val="002A2BE9"/>
    <w:rsid w:val="002A7A0C"/>
    <w:rsid w:val="002A7E0D"/>
    <w:rsid w:val="002B0273"/>
    <w:rsid w:val="002B0F2A"/>
    <w:rsid w:val="002B1503"/>
    <w:rsid w:val="002B239E"/>
    <w:rsid w:val="002C08D9"/>
    <w:rsid w:val="002C0DA6"/>
    <w:rsid w:val="002C1359"/>
    <w:rsid w:val="002C138D"/>
    <w:rsid w:val="002C1EDE"/>
    <w:rsid w:val="002C22E9"/>
    <w:rsid w:val="002C3D71"/>
    <w:rsid w:val="002C4567"/>
    <w:rsid w:val="002C5324"/>
    <w:rsid w:val="002C6466"/>
    <w:rsid w:val="002C6C21"/>
    <w:rsid w:val="002C7008"/>
    <w:rsid w:val="002C760E"/>
    <w:rsid w:val="002D0DAE"/>
    <w:rsid w:val="002D1BBD"/>
    <w:rsid w:val="002D239D"/>
    <w:rsid w:val="002D3C9A"/>
    <w:rsid w:val="002D3F4C"/>
    <w:rsid w:val="002D5BA5"/>
    <w:rsid w:val="002D653D"/>
    <w:rsid w:val="002D7708"/>
    <w:rsid w:val="002E01F5"/>
    <w:rsid w:val="002E0676"/>
    <w:rsid w:val="002E0BF8"/>
    <w:rsid w:val="002E0E1F"/>
    <w:rsid w:val="002E1DAF"/>
    <w:rsid w:val="002E1DE1"/>
    <w:rsid w:val="002E238D"/>
    <w:rsid w:val="002E2450"/>
    <w:rsid w:val="002E297D"/>
    <w:rsid w:val="002E3862"/>
    <w:rsid w:val="002E4A47"/>
    <w:rsid w:val="002E5CA0"/>
    <w:rsid w:val="002E5D63"/>
    <w:rsid w:val="002E5DDF"/>
    <w:rsid w:val="002E64D2"/>
    <w:rsid w:val="002E6532"/>
    <w:rsid w:val="002E6A03"/>
    <w:rsid w:val="002E7185"/>
    <w:rsid w:val="002E7BA4"/>
    <w:rsid w:val="002E7C84"/>
    <w:rsid w:val="002E7F05"/>
    <w:rsid w:val="002F1146"/>
    <w:rsid w:val="002F1DA6"/>
    <w:rsid w:val="002F257C"/>
    <w:rsid w:val="002F3338"/>
    <w:rsid w:val="002F4CC4"/>
    <w:rsid w:val="002F4F5C"/>
    <w:rsid w:val="002F5088"/>
    <w:rsid w:val="002F78AE"/>
    <w:rsid w:val="002F7EFB"/>
    <w:rsid w:val="002F7F07"/>
    <w:rsid w:val="00302453"/>
    <w:rsid w:val="00302519"/>
    <w:rsid w:val="00302F8F"/>
    <w:rsid w:val="003038FA"/>
    <w:rsid w:val="00304996"/>
    <w:rsid w:val="003053EC"/>
    <w:rsid w:val="00305575"/>
    <w:rsid w:val="00305967"/>
    <w:rsid w:val="003059C6"/>
    <w:rsid w:val="00306DE7"/>
    <w:rsid w:val="00306E06"/>
    <w:rsid w:val="00306E8D"/>
    <w:rsid w:val="003072DF"/>
    <w:rsid w:val="003076CB"/>
    <w:rsid w:val="00307D59"/>
    <w:rsid w:val="003101BB"/>
    <w:rsid w:val="00310578"/>
    <w:rsid w:val="00311B3C"/>
    <w:rsid w:val="00311BEC"/>
    <w:rsid w:val="00311D8A"/>
    <w:rsid w:val="00312965"/>
    <w:rsid w:val="00314812"/>
    <w:rsid w:val="00314C96"/>
    <w:rsid w:val="00315D25"/>
    <w:rsid w:val="003169FC"/>
    <w:rsid w:val="003202F3"/>
    <w:rsid w:val="00321060"/>
    <w:rsid w:val="00322336"/>
    <w:rsid w:val="00323453"/>
    <w:rsid w:val="0032369A"/>
    <w:rsid w:val="003237E3"/>
    <w:rsid w:val="003247D8"/>
    <w:rsid w:val="003262E9"/>
    <w:rsid w:val="0033051D"/>
    <w:rsid w:val="0033121B"/>
    <w:rsid w:val="00331487"/>
    <w:rsid w:val="003319FC"/>
    <w:rsid w:val="00332027"/>
    <w:rsid w:val="00332191"/>
    <w:rsid w:val="0033224F"/>
    <w:rsid w:val="003323A6"/>
    <w:rsid w:val="003328B7"/>
    <w:rsid w:val="00332C76"/>
    <w:rsid w:val="00332E51"/>
    <w:rsid w:val="00332E87"/>
    <w:rsid w:val="00332F64"/>
    <w:rsid w:val="0033329F"/>
    <w:rsid w:val="00333687"/>
    <w:rsid w:val="0033426C"/>
    <w:rsid w:val="00336566"/>
    <w:rsid w:val="00337BD5"/>
    <w:rsid w:val="00340A43"/>
    <w:rsid w:val="00340E74"/>
    <w:rsid w:val="0034275D"/>
    <w:rsid w:val="00344B2E"/>
    <w:rsid w:val="00345008"/>
    <w:rsid w:val="003467D9"/>
    <w:rsid w:val="00347127"/>
    <w:rsid w:val="003478B1"/>
    <w:rsid w:val="0034792E"/>
    <w:rsid w:val="00350AD5"/>
    <w:rsid w:val="0035167D"/>
    <w:rsid w:val="00352648"/>
    <w:rsid w:val="003533ED"/>
    <w:rsid w:val="00353744"/>
    <w:rsid w:val="00354A45"/>
    <w:rsid w:val="00357C4E"/>
    <w:rsid w:val="00360771"/>
    <w:rsid w:val="003613FF"/>
    <w:rsid w:val="00363A0A"/>
    <w:rsid w:val="00365327"/>
    <w:rsid w:val="003657AA"/>
    <w:rsid w:val="00365D4F"/>
    <w:rsid w:val="003671E2"/>
    <w:rsid w:val="00370520"/>
    <w:rsid w:val="00370D53"/>
    <w:rsid w:val="00371D7F"/>
    <w:rsid w:val="00372157"/>
    <w:rsid w:val="00372AC2"/>
    <w:rsid w:val="00372E22"/>
    <w:rsid w:val="00373011"/>
    <w:rsid w:val="0037403C"/>
    <w:rsid w:val="00374979"/>
    <w:rsid w:val="00374B96"/>
    <w:rsid w:val="0037509E"/>
    <w:rsid w:val="00375516"/>
    <w:rsid w:val="00375806"/>
    <w:rsid w:val="00376A57"/>
    <w:rsid w:val="003770BA"/>
    <w:rsid w:val="00377B34"/>
    <w:rsid w:val="00380CB8"/>
    <w:rsid w:val="003822BC"/>
    <w:rsid w:val="0038234B"/>
    <w:rsid w:val="003835EF"/>
    <w:rsid w:val="00383969"/>
    <w:rsid w:val="003842FF"/>
    <w:rsid w:val="00384367"/>
    <w:rsid w:val="00384FAD"/>
    <w:rsid w:val="003853AF"/>
    <w:rsid w:val="00390470"/>
    <w:rsid w:val="00390790"/>
    <w:rsid w:val="00391288"/>
    <w:rsid w:val="00392C03"/>
    <w:rsid w:val="003932C8"/>
    <w:rsid w:val="00393B0F"/>
    <w:rsid w:val="0039433D"/>
    <w:rsid w:val="003953B7"/>
    <w:rsid w:val="0039566A"/>
    <w:rsid w:val="00395BBE"/>
    <w:rsid w:val="003A0641"/>
    <w:rsid w:val="003A11A5"/>
    <w:rsid w:val="003A1543"/>
    <w:rsid w:val="003A18A3"/>
    <w:rsid w:val="003A2036"/>
    <w:rsid w:val="003A3D59"/>
    <w:rsid w:val="003A3FA8"/>
    <w:rsid w:val="003A442F"/>
    <w:rsid w:val="003A4B37"/>
    <w:rsid w:val="003A5162"/>
    <w:rsid w:val="003A64B5"/>
    <w:rsid w:val="003A72D7"/>
    <w:rsid w:val="003A7D64"/>
    <w:rsid w:val="003B02F1"/>
    <w:rsid w:val="003B05E6"/>
    <w:rsid w:val="003B0C86"/>
    <w:rsid w:val="003B0D00"/>
    <w:rsid w:val="003B17B0"/>
    <w:rsid w:val="003B2490"/>
    <w:rsid w:val="003B3DCF"/>
    <w:rsid w:val="003B44D3"/>
    <w:rsid w:val="003B4935"/>
    <w:rsid w:val="003B578E"/>
    <w:rsid w:val="003B6461"/>
    <w:rsid w:val="003C125C"/>
    <w:rsid w:val="003C2506"/>
    <w:rsid w:val="003C251A"/>
    <w:rsid w:val="003C28A5"/>
    <w:rsid w:val="003C3CE7"/>
    <w:rsid w:val="003C56DD"/>
    <w:rsid w:val="003C60F6"/>
    <w:rsid w:val="003C6EF8"/>
    <w:rsid w:val="003C7D09"/>
    <w:rsid w:val="003D0B75"/>
    <w:rsid w:val="003D0C91"/>
    <w:rsid w:val="003D1613"/>
    <w:rsid w:val="003D2FFC"/>
    <w:rsid w:val="003D324D"/>
    <w:rsid w:val="003D3281"/>
    <w:rsid w:val="003D494F"/>
    <w:rsid w:val="003D5B87"/>
    <w:rsid w:val="003D65D4"/>
    <w:rsid w:val="003D7680"/>
    <w:rsid w:val="003E0D20"/>
    <w:rsid w:val="003E178E"/>
    <w:rsid w:val="003E211E"/>
    <w:rsid w:val="003E269B"/>
    <w:rsid w:val="003E487A"/>
    <w:rsid w:val="003E4A86"/>
    <w:rsid w:val="003E4E93"/>
    <w:rsid w:val="003F0D78"/>
    <w:rsid w:val="003F139C"/>
    <w:rsid w:val="003F2B0C"/>
    <w:rsid w:val="003F3A35"/>
    <w:rsid w:val="003F485B"/>
    <w:rsid w:val="003F4A5C"/>
    <w:rsid w:val="003F6128"/>
    <w:rsid w:val="00401699"/>
    <w:rsid w:val="004017AB"/>
    <w:rsid w:val="00401D49"/>
    <w:rsid w:val="0040231C"/>
    <w:rsid w:val="004026AC"/>
    <w:rsid w:val="00402B18"/>
    <w:rsid w:val="00404E50"/>
    <w:rsid w:val="00405244"/>
    <w:rsid w:val="004064D0"/>
    <w:rsid w:val="00407542"/>
    <w:rsid w:val="00407A5A"/>
    <w:rsid w:val="00407CAB"/>
    <w:rsid w:val="00410EFF"/>
    <w:rsid w:val="004110A1"/>
    <w:rsid w:val="0041289E"/>
    <w:rsid w:val="00414CCE"/>
    <w:rsid w:val="00414E1F"/>
    <w:rsid w:val="00415132"/>
    <w:rsid w:val="00415D4F"/>
    <w:rsid w:val="00415E47"/>
    <w:rsid w:val="00416771"/>
    <w:rsid w:val="004168BC"/>
    <w:rsid w:val="00417421"/>
    <w:rsid w:val="0042032E"/>
    <w:rsid w:val="004214EC"/>
    <w:rsid w:val="00421940"/>
    <w:rsid w:val="00421977"/>
    <w:rsid w:val="00421D6F"/>
    <w:rsid w:val="00422721"/>
    <w:rsid w:val="00422D23"/>
    <w:rsid w:val="004231BA"/>
    <w:rsid w:val="0043073F"/>
    <w:rsid w:val="00430839"/>
    <w:rsid w:val="00430E04"/>
    <w:rsid w:val="00431AEA"/>
    <w:rsid w:val="00431D42"/>
    <w:rsid w:val="004321B0"/>
    <w:rsid w:val="004328E8"/>
    <w:rsid w:val="004328FB"/>
    <w:rsid w:val="00432B96"/>
    <w:rsid w:val="00433C10"/>
    <w:rsid w:val="00433C7B"/>
    <w:rsid w:val="00433D11"/>
    <w:rsid w:val="00437519"/>
    <w:rsid w:val="00440717"/>
    <w:rsid w:val="0044130F"/>
    <w:rsid w:val="00441C53"/>
    <w:rsid w:val="00444759"/>
    <w:rsid w:val="00445822"/>
    <w:rsid w:val="00445975"/>
    <w:rsid w:val="00445C35"/>
    <w:rsid w:val="00445C4A"/>
    <w:rsid w:val="00446C1D"/>
    <w:rsid w:val="00447968"/>
    <w:rsid w:val="004519FE"/>
    <w:rsid w:val="00451E05"/>
    <w:rsid w:val="00453483"/>
    <w:rsid w:val="00453B50"/>
    <w:rsid w:val="00453BFE"/>
    <w:rsid w:val="00454637"/>
    <w:rsid w:val="00454A36"/>
    <w:rsid w:val="00454C4D"/>
    <w:rsid w:val="0045500F"/>
    <w:rsid w:val="004557D5"/>
    <w:rsid w:val="00456480"/>
    <w:rsid w:val="004602E9"/>
    <w:rsid w:val="0046187E"/>
    <w:rsid w:val="004623F9"/>
    <w:rsid w:val="004624D6"/>
    <w:rsid w:val="00462D83"/>
    <w:rsid w:val="0046426A"/>
    <w:rsid w:val="00464646"/>
    <w:rsid w:val="0046548B"/>
    <w:rsid w:val="004655AA"/>
    <w:rsid w:val="00466503"/>
    <w:rsid w:val="00466A4A"/>
    <w:rsid w:val="00467917"/>
    <w:rsid w:val="004704B0"/>
    <w:rsid w:val="004710B2"/>
    <w:rsid w:val="00471239"/>
    <w:rsid w:val="00471358"/>
    <w:rsid w:val="00472B71"/>
    <w:rsid w:val="004765C8"/>
    <w:rsid w:val="00476619"/>
    <w:rsid w:val="00476EFE"/>
    <w:rsid w:val="00477D29"/>
    <w:rsid w:val="0048081B"/>
    <w:rsid w:val="00480839"/>
    <w:rsid w:val="00480998"/>
    <w:rsid w:val="0048457F"/>
    <w:rsid w:val="00484FC2"/>
    <w:rsid w:val="004857B4"/>
    <w:rsid w:val="0048581A"/>
    <w:rsid w:val="00485910"/>
    <w:rsid w:val="00485BEB"/>
    <w:rsid w:val="004867CF"/>
    <w:rsid w:val="00487904"/>
    <w:rsid w:val="00487963"/>
    <w:rsid w:val="004900E0"/>
    <w:rsid w:val="004901D4"/>
    <w:rsid w:val="00490794"/>
    <w:rsid w:val="004910CB"/>
    <w:rsid w:val="0049350C"/>
    <w:rsid w:val="00494F81"/>
    <w:rsid w:val="004959D9"/>
    <w:rsid w:val="00496640"/>
    <w:rsid w:val="004969F1"/>
    <w:rsid w:val="0049717B"/>
    <w:rsid w:val="00497D8C"/>
    <w:rsid w:val="004A04A8"/>
    <w:rsid w:val="004A1110"/>
    <w:rsid w:val="004A3B2C"/>
    <w:rsid w:val="004A3C20"/>
    <w:rsid w:val="004A3D0D"/>
    <w:rsid w:val="004A423E"/>
    <w:rsid w:val="004A4AE5"/>
    <w:rsid w:val="004A50A4"/>
    <w:rsid w:val="004A51AC"/>
    <w:rsid w:val="004A5B03"/>
    <w:rsid w:val="004A60E0"/>
    <w:rsid w:val="004B0BAB"/>
    <w:rsid w:val="004B0E48"/>
    <w:rsid w:val="004B197D"/>
    <w:rsid w:val="004B2A4D"/>
    <w:rsid w:val="004B40D0"/>
    <w:rsid w:val="004B4279"/>
    <w:rsid w:val="004B60F3"/>
    <w:rsid w:val="004B6DEB"/>
    <w:rsid w:val="004B7302"/>
    <w:rsid w:val="004B7EB7"/>
    <w:rsid w:val="004C0504"/>
    <w:rsid w:val="004C0EA3"/>
    <w:rsid w:val="004C18F3"/>
    <w:rsid w:val="004C2376"/>
    <w:rsid w:val="004C256C"/>
    <w:rsid w:val="004C2BEF"/>
    <w:rsid w:val="004C352A"/>
    <w:rsid w:val="004C3B7A"/>
    <w:rsid w:val="004C3B83"/>
    <w:rsid w:val="004C4BA4"/>
    <w:rsid w:val="004C63C7"/>
    <w:rsid w:val="004C6464"/>
    <w:rsid w:val="004C7147"/>
    <w:rsid w:val="004C7211"/>
    <w:rsid w:val="004D0524"/>
    <w:rsid w:val="004D28B7"/>
    <w:rsid w:val="004D4146"/>
    <w:rsid w:val="004D53AA"/>
    <w:rsid w:val="004D604D"/>
    <w:rsid w:val="004D6E53"/>
    <w:rsid w:val="004D76CF"/>
    <w:rsid w:val="004E033C"/>
    <w:rsid w:val="004E04A1"/>
    <w:rsid w:val="004E17D6"/>
    <w:rsid w:val="004E28FB"/>
    <w:rsid w:val="004E2922"/>
    <w:rsid w:val="004E29EA"/>
    <w:rsid w:val="004E3AF0"/>
    <w:rsid w:val="004E3B0D"/>
    <w:rsid w:val="004E3C2B"/>
    <w:rsid w:val="004E4023"/>
    <w:rsid w:val="004E4449"/>
    <w:rsid w:val="004E4C22"/>
    <w:rsid w:val="004E511B"/>
    <w:rsid w:val="004E5475"/>
    <w:rsid w:val="004E5E6C"/>
    <w:rsid w:val="004F0730"/>
    <w:rsid w:val="004F0A79"/>
    <w:rsid w:val="004F0F41"/>
    <w:rsid w:val="004F3601"/>
    <w:rsid w:val="004F42FF"/>
    <w:rsid w:val="004F523C"/>
    <w:rsid w:val="004F54AB"/>
    <w:rsid w:val="004F566F"/>
    <w:rsid w:val="004F5D73"/>
    <w:rsid w:val="004F6116"/>
    <w:rsid w:val="004F613B"/>
    <w:rsid w:val="004F641B"/>
    <w:rsid w:val="004F7CCB"/>
    <w:rsid w:val="0050126F"/>
    <w:rsid w:val="0050169C"/>
    <w:rsid w:val="00501B17"/>
    <w:rsid w:val="00501C2C"/>
    <w:rsid w:val="005023FD"/>
    <w:rsid w:val="005026D9"/>
    <w:rsid w:val="00503243"/>
    <w:rsid w:val="00503850"/>
    <w:rsid w:val="00503DAB"/>
    <w:rsid w:val="00504284"/>
    <w:rsid w:val="005048FF"/>
    <w:rsid w:val="00505AFD"/>
    <w:rsid w:val="005065DB"/>
    <w:rsid w:val="00507D84"/>
    <w:rsid w:val="005101F7"/>
    <w:rsid w:val="005114B5"/>
    <w:rsid w:val="0051162A"/>
    <w:rsid w:val="005116EE"/>
    <w:rsid w:val="00511D31"/>
    <w:rsid w:val="005130D9"/>
    <w:rsid w:val="00513684"/>
    <w:rsid w:val="00513A18"/>
    <w:rsid w:val="00514979"/>
    <w:rsid w:val="00514CBF"/>
    <w:rsid w:val="005155F0"/>
    <w:rsid w:val="00515A59"/>
    <w:rsid w:val="00515D07"/>
    <w:rsid w:val="00516C64"/>
    <w:rsid w:val="00516EF9"/>
    <w:rsid w:val="005209D8"/>
    <w:rsid w:val="00520A7B"/>
    <w:rsid w:val="00520E6C"/>
    <w:rsid w:val="00522696"/>
    <w:rsid w:val="00523D80"/>
    <w:rsid w:val="005247A7"/>
    <w:rsid w:val="005250D7"/>
    <w:rsid w:val="00527317"/>
    <w:rsid w:val="0052770C"/>
    <w:rsid w:val="0053084E"/>
    <w:rsid w:val="00530F0B"/>
    <w:rsid w:val="00531B3A"/>
    <w:rsid w:val="00531E9D"/>
    <w:rsid w:val="005347D2"/>
    <w:rsid w:val="00534E02"/>
    <w:rsid w:val="005355A9"/>
    <w:rsid w:val="00535A87"/>
    <w:rsid w:val="00536B56"/>
    <w:rsid w:val="00536CEE"/>
    <w:rsid w:val="00536F3F"/>
    <w:rsid w:val="00540589"/>
    <w:rsid w:val="00541797"/>
    <w:rsid w:val="00541846"/>
    <w:rsid w:val="0054254C"/>
    <w:rsid w:val="00542743"/>
    <w:rsid w:val="005428ED"/>
    <w:rsid w:val="00544849"/>
    <w:rsid w:val="00544C79"/>
    <w:rsid w:val="005464B4"/>
    <w:rsid w:val="0054661E"/>
    <w:rsid w:val="005473F0"/>
    <w:rsid w:val="00547689"/>
    <w:rsid w:val="00547D22"/>
    <w:rsid w:val="00550F2B"/>
    <w:rsid w:val="00551D40"/>
    <w:rsid w:val="005532FE"/>
    <w:rsid w:val="00553978"/>
    <w:rsid w:val="0055456F"/>
    <w:rsid w:val="005546E3"/>
    <w:rsid w:val="0055626B"/>
    <w:rsid w:val="00556962"/>
    <w:rsid w:val="00556C13"/>
    <w:rsid w:val="00556FFF"/>
    <w:rsid w:val="00561FCF"/>
    <w:rsid w:val="00562A0A"/>
    <w:rsid w:val="005642FD"/>
    <w:rsid w:val="00564646"/>
    <w:rsid w:val="005651AF"/>
    <w:rsid w:val="005652C2"/>
    <w:rsid w:val="00565994"/>
    <w:rsid w:val="00565FDF"/>
    <w:rsid w:val="005661B1"/>
    <w:rsid w:val="00566BE8"/>
    <w:rsid w:val="00566D4C"/>
    <w:rsid w:val="00567217"/>
    <w:rsid w:val="00567A6D"/>
    <w:rsid w:val="00567D25"/>
    <w:rsid w:val="00574111"/>
    <w:rsid w:val="00574C2C"/>
    <w:rsid w:val="00576640"/>
    <w:rsid w:val="0057686A"/>
    <w:rsid w:val="00577F3D"/>
    <w:rsid w:val="00580490"/>
    <w:rsid w:val="00580919"/>
    <w:rsid w:val="00580989"/>
    <w:rsid w:val="005811EF"/>
    <w:rsid w:val="005813A9"/>
    <w:rsid w:val="0058161B"/>
    <w:rsid w:val="00581A85"/>
    <w:rsid w:val="00581E89"/>
    <w:rsid w:val="00584214"/>
    <w:rsid w:val="0058515A"/>
    <w:rsid w:val="00585A69"/>
    <w:rsid w:val="00586286"/>
    <w:rsid w:val="00586356"/>
    <w:rsid w:val="00586C5E"/>
    <w:rsid w:val="005876E7"/>
    <w:rsid w:val="00587BAF"/>
    <w:rsid w:val="0059138B"/>
    <w:rsid w:val="00591D74"/>
    <w:rsid w:val="005923E4"/>
    <w:rsid w:val="0059388D"/>
    <w:rsid w:val="00593CED"/>
    <w:rsid w:val="00596863"/>
    <w:rsid w:val="00596E31"/>
    <w:rsid w:val="00597595"/>
    <w:rsid w:val="00597D19"/>
    <w:rsid w:val="005A0411"/>
    <w:rsid w:val="005A06BB"/>
    <w:rsid w:val="005A0D08"/>
    <w:rsid w:val="005A1766"/>
    <w:rsid w:val="005A344C"/>
    <w:rsid w:val="005A3FE6"/>
    <w:rsid w:val="005A40F9"/>
    <w:rsid w:val="005A466C"/>
    <w:rsid w:val="005A482B"/>
    <w:rsid w:val="005A4905"/>
    <w:rsid w:val="005A5544"/>
    <w:rsid w:val="005A5D9C"/>
    <w:rsid w:val="005A5F7A"/>
    <w:rsid w:val="005A5FB7"/>
    <w:rsid w:val="005A7BE2"/>
    <w:rsid w:val="005A7CF4"/>
    <w:rsid w:val="005B028F"/>
    <w:rsid w:val="005B02FA"/>
    <w:rsid w:val="005B0BB1"/>
    <w:rsid w:val="005B1FFC"/>
    <w:rsid w:val="005B2114"/>
    <w:rsid w:val="005B2E62"/>
    <w:rsid w:val="005B3188"/>
    <w:rsid w:val="005B3CA2"/>
    <w:rsid w:val="005B4472"/>
    <w:rsid w:val="005B47BB"/>
    <w:rsid w:val="005B4A83"/>
    <w:rsid w:val="005B6270"/>
    <w:rsid w:val="005B639F"/>
    <w:rsid w:val="005B6CF8"/>
    <w:rsid w:val="005B6F8C"/>
    <w:rsid w:val="005C0E3C"/>
    <w:rsid w:val="005C112E"/>
    <w:rsid w:val="005C147C"/>
    <w:rsid w:val="005C3556"/>
    <w:rsid w:val="005C36A9"/>
    <w:rsid w:val="005C3F8A"/>
    <w:rsid w:val="005C4549"/>
    <w:rsid w:val="005C4A80"/>
    <w:rsid w:val="005C4EB8"/>
    <w:rsid w:val="005C6583"/>
    <w:rsid w:val="005C705E"/>
    <w:rsid w:val="005D019C"/>
    <w:rsid w:val="005D0A82"/>
    <w:rsid w:val="005D16AC"/>
    <w:rsid w:val="005D1BCE"/>
    <w:rsid w:val="005D4091"/>
    <w:rsid w:val="005D53B0"/>
    <w:rsid w:val="005D5B40"/>
    <w:rsid w:val="005D61D2"/>
    <w:rsid w:val="005D62F0"/>
    <w:rsid w:val="005D6A11"/>
    <w:rsid w:val="005D6DC1"/>
    <w:rsid w:val="005D7737"/>
    <w:rsid w:val="005E006E"/>
    <w:rsid w:val="005E0953"/>
    <w:rsid w:val="005E0B73"/>
    <w:rsid w:val="005E0C10"/>
    <w:rsid w:val="005E103A"/>
    <w:rsid w:val="005E1B9A"/>
    <w:rsid w:val="005E3307"/>
    <w:rsid w:val="005E35E7"/>
    <w:rsid w:val="005E3A9C"/>
    <w:rsid w:val="005E3C50"/>
    <w:rsid w:val="005E4932"/>
    <w:rsid w:val="005E58D7"/>
    <w:rsid w:val="005E5E7B"/>
    <w:rsid w:val="005E6148"/>
    <w:rsid w:val="005E716E"/>
    <w:rsid w:val="005F2410"/>
    <w:rsid w:val="005F37DC"/>
    <w:rsid w:val="005F4C37"/>
    <w:rsid w:val="005F5477"/>
    <w:rsid w:val="005F5778"/>
    <w:rsid w:val="005F6962"/>
    <w:rsid w:val="005F712D"/>
    <w:rsid w:val="005F7DF1"/>
    <w:rsid w:val="005F7E7C"/>
    <w:rsid w:val="00600905"/>
    <w:rsid w:val="006018CB"/>
    <w:rsid w:val="006025CA"/>
    <w:rsid w:val="00602859"/>
    <w:rsid w:val="00603719"/>
    <w:rsid w:val="006059FD"/>
    <w:rsid w:val="006060DD"/>
    <w:rsid w:val="006062B6"/>
    <w:rsid w:val="0060780E"/>
    <w:rsid w:val="00607D71"/>
    <w:rsid w:val="00611CB0"/>
    <w:rsid w:val="006124E0"/>
    <w:rsid w:val="00613E2F"/>
    <w:rsid w:val="00614D07"/>
    <w:rsid w:val="006159B7"/>
    <w:rsid w:val="0061604C"/>
    <w:rsid w:val="0061662B"/>
    <w:rsid w:val="0061680D"/>
    <w:rsid w:val="00616EF9"/>
    <w:rsid w:val="00617BB0"/>
    <w:rsid w:val="00617EDA"/>
    <w:rsid w:val="00620196"/>
    <w:rsid w:val="00620B96"/>
    <w:rsid w:val="00620F82"/>
    <w:rsid w:val="00621065"/>
    <w:rsid w:val="00621D6D"/>
    <w:rsid w:val="0062322E"/>
    <w:rsid w:val="006238C8"/>
    <w:rsid w:val="006242CC"/>
    <w:rsid w:val="0062639A"/>
    <w:rsid w:val="0062700C"/>
    <w:rsid w:val="00627226"/>
    <w:rsid w:val="006276C0"/>
    <w:rsid w:val="00627815"/>
    <w:rsid w:val="00630215"/>
    <w:rsid w:val="00631653"/>
    <w:rsid w:val="00632124"/>
    <w:rsid w:val="0063264B"/>
    <w:rsid w:val="00632961"/>
    <w:rsid w:val="00633412"/>
    <w:rsid w:val="0063405C"/>
    <w:rsid w:val="00634468"/>
    <w:rsid w:val="00634D1C"/>
    <w:rsid w:val="00634E93"/>
    <w:rsid w:val="00636C7C"/>
    <w:rsid w:val="00637A21"/>
    <w:rsid w:val="00637A51"/>
    <w:rsid w:val="00637DB5"/>
    <w:rsid w:val="006400C5"/>
    <w:rsid w:val="006409F1"/>
    <w:rsid w:val="00640F16"/>
    <w:rsid w:val="00641446"/>
    <w:rsid w:val="006419BF"/>
    <w:rsid w:val="00641AF6"/>
    <w:rsid w:val="006424D9"/>
    <w:rsid w:val="0064265A"/>
    <w:rsid w:val="00642A3C"/>
    <w:rsid w:val="00643816"/>
    <w:rsid w:val="00643A34"/>
    <w:rsid w:val="00645193"/>
    <w:rsid w:val="0064552C"/>
    <w:rsid w:val="006459C9"/>
    <w:rsid w:val="0064658A"/>
    <w:rsid w:val="00647336"/>
    <w:rsid w:val="00647E59"/>
    <w:rsid w:val="0065025A"/>
    <w:rsid w:val="0065075D"/>
    <w:rsid w:val="00651087"/>
    <w:rsid w:val="0065358C"/>
    <w:rsid w:val="00653976"/>
    <w:rsid w:val="006545A4"/>
    <w:rsid w:val="00654887"/>
    <w:rsid w:val="00655F53"/>
    <w:rsid w:val="00656602"/>
    <w:rsid w:val="0065663E"/>
    <w:rsid w:val="0066338F"/>
    <w:rsid w:val="00663477"/>
    <w:rsid w:val="00665640"/>
    <w:rsid w:val="006676F1"/>
    <w:rsid w:val="00667780"/>
    <w:rsid w:val="00670BB6"/>
    <w:rsid w:val="00670CFE"/>
    <w:rsid w:val="00670E53"/>
    <w:rsid w:val="00671B5A"/>
    <w:rsid w:val="0067245D"/>
    <w:rsid w:val="006727D6"/>
    <w:rsid w:val="0067428C"/>
    <w:rsid w:val="00674890"/>
    <w:rsid w:val="006752BB"/>
    <w:rsid w:val="00675487"/>
    <w:rsid w:val="0067646E"/>
    <w:rsid w:val="00677C6D"/>
    <w:rsid w:val="0068009F"/>
    <w:rsid w:val="00680110"/>
    <w:rsid w:val="00680FC8"/>
    <w:rsid w:val="00681357"/>
    <w:rsid w:val="00681826"/>
    <w:rsid w:val="00682AE9"/>
    <w:rsid w:val="006835B7"/>
    <w:rsid w:val="00684267"/>
    <w:rsid w:val="0068513E"/>
    <w:rsid w:val="00685667"/>
    <w:rsid w:val="00685C72"/>
    <w:rsid w:val="0068667B"/>
    <w:rsid w:val="00686911"/>
    <w:rsid w:val="00687FD1"/>
    <w:rsid w:val="006901D6"/>
    <w:rsid w:val="006906EF"/>
    <w:rsid w:val="00690C9D"/>
    <w:rsid w:val="006938AD"/>
    <w:rsid w:val="0069474B"/>
    <w:rsid w:val="006951A4"/>
    <w:rsid w:val="00695BBE"/>
    <w:rsid w:val="00695D0A"/>
    <w:rsid w:val="00695E85"/>
    <w:rsid w:val="00697264"/>
    <w:rsid w:val="006978DE"/>
    <w:rsid w:val="00697D1F"/>
    <w:rsid w:val="006A041B"/>
    <w:rsid w:val="006A1079"/>
    <w:rsid w:val="006A119E"/>
    <w:rsid w:val="006A1585"/>
    <w:rsid w:val="006A176C"/>
    <w:rsid w:val="006A51D3"/>
    <w:rsid w:val="006A593E"/>
    <w:rsid w:val="006A7174"/>
    <w:rsid w:val="006B0795"/>
    <w:rsid w:val="006B08EC"/>
    <w:rsid w:val="006B0A1A"/>
    <w:rsid w:val="006B1E34"/>
    <w:rsid w:val="006B27B3"/>
    <w:rsid w:val="006B356A"/>
    <w:rsid w:val="006B4193"/>
    <w:rsid w:val="006B454E"/>
    <w:rsid w:val="006B4F3D"/>
    <w:rsid w:val="006B5956"/>
    <w:rsid w:val="006B7A6A"/>
    <w:rsid w:val="006C03B0"/>
    <w:rsid w:val="006C04BA"/>
    <w:rsid w:val="006C253D"/>
    <w:rsid w:val="006C31FC"/>
    <w:rsid w:val="006C5D9E"/>
    <w:rsid w:val="006C605C"/>
    <w:rsid w:val="006C6E2C"/>
    <w:rsid w:val="006C718F"/>
    <w:rsid w:val="006C784B"/>
    <w:rsid w:val="006D00AE"/>
    <w:rsid w:val="006D18FB"/>
    <w:rsid w:val="006D4189"/>
    <w:rsid w:val="006D57D0"/>
    <w:rsid w:val="006D5FAF"/>
    <w:rsid w:val="006D6827"/>
    <w:rsid w:val="006D6F26"/>
    <w:rsid w:val="006D70EA"/>
    <w:rsid w:val="006E4888"/>
    <w:rsid w:val="006E4B99"/>
    <w:rsid w:val="006E4D93"/>
    <w:rsid w:val="006E51C2"/>
    <w:rsid w:val="006E54F3"/>
    <w:rsid w:val="006E6DE6"/>
    <w:rsid w:val="006E7001"/>
    <w:rsid w:val="006E7832"/>
    <w:rsid w:val="006F1A57"/>
    <w:rsid w:val="006F2AF9"/>
    <w:rsid w:val="006F5456"/>
    <w:rsid w:val="006F5B47"/>
    <w:rsid w:val="006F7551"/>
    <w:rsid w:val="0070040A"/>
    <w:rsid w:val="00700933"/>
    <w:rsid w:val="0070136F"/>
    <w:rsid w:val="00703103"/>
    <w:rsid w:val="00705899"/>
    <w:rsid w:val="007059BF"/>
    <w:rsid w:val="00705CF3"/>
    <w:rsid w:val="007060A2"/>
    <w:rsid w:val="007072AE"/>
    <w:rsid w:val="007074B1"/>
    <w:rsid w:val="00710BF1"/>
    <w:rsid w:val="00711B09"/>
    <w:rsid w:val="00711C30"/>
    <w:rsid w:val="00712DE8"/>
    <w:rsid w:val="00713068"/>
    <w:rsid w:val="00714471"/>
    <w:rsid w:val="0071532E"/>
    <w:rsid w:val="0071548C"/>
    <w:rsid w:val="00716B45"/>
    <w:rsid w:val="00716C71"/>
    <w:rsid w:val="00717949"/>
    <w:rsid w:val="0072017E"/>
    <w:rsid w:val="007207D1"/>
    <w:rsid w:val="00721988"/>
    <w:rsid w:val="00723107"/>
    <w:rsid w:val="007235A4"/>
    <w:rsid w:val="00723E83"/>
    <w:rsid w:val="007240FF"/>
    <w:rsid w:val="0072499A"/>
    <w:rsid w:val="00724A21"/>
    <w:rsid w:val="007263D9"/>
    <w:rsid w:val="00726F59"/>
    <w:rsid w:val="007277B1"/>
    <w:rsid w:val="00731E6C"/>
    <w:rsid w:val="0073417B"/>
    <w:rsid w:val="007353F2"/>
    <w:rsid w:val="00736569"/>
    <w:rsid w:val="00737100"/>
    <w:rsid w:val="00737D96"/>
    <w:rsid w:val="00737DC0"/>
    <w:rsid w:val="00740C5F"/>
    <w:rsid w:val="0074144A"/>
    <w:rsid w:val="00742FC1"/>
    <w:rsid w:val="0074667F"/>
    <w:rsid w:val="00746E41"/>
    <w:rsid w:val="00747DCC"/>
    <w:rsid w:val="00747EAE"/>
    <w:rsid w:val="007514CF"/>
    <w:rsid w:val="00753280"/>
    <w:rsid w:val="00753A40"/>
    <w:rsid w:val="00753BD6"/>
    <w:rsid w:val="0075402B"/>
    <w:rsid w:val="00754EE2"/>
    <w:rsid w:val="00757900"/>
    <w:rsid w:val="007606C3"/>
    <w:rsid w:val="0076075C"/>
    <w:rsid w:val="007609E0"/>
    <w:rsid w:val="00760B1C"/>
    <w:rsid w:val="00760C2E"/>
    <w:rsid w:val="00761A2B"/>
    <w:rsid w:val="00761CDA"/>
    <w:rsid w:val="0076294B"/>
    <w:rsid w:val="00762C9B"/>
    <w:rsid w:val="00762F60"/>
    <w:rsid w:val="00764317"/>
    <w:rsid w:val="00764FDA"/>
    <w:rsid w:val="007662FA"/>
    <w:rsid w:val="007664A5"/>
    <w:rsid w:val="007675FC"/>
    <w:rsid w:val="00767852"/>
    <w:rsid w:val="00767A9B"/>
    <w:rsid w:val="00767ECC"/>
    <w:rsid w:val="0077085E"/>
    <w:rsid w:val="00770C96"/>
    <w:rsid w:val="00770D0A"/>
    <w:rsid w:val="00771DAA"/>
    <w:rsid w:val="00772116"/>
    <w:rsid w:val="0077237D"/>
    <w:rsid w:val="00772962"/>
    <w:rsid w:val="00773466"/>
    <w:rsid w:val="0077585A"/>
    <w:rsid w:val="00775B7C"/>
    <w:rsid w:val="0077678B"/>
    <w:rsid w:val="007772AD"/>
    <w:rsid w:val="007774C3"/>
    <w:rsid w:val="007800BA"/>
    <w:rsid w:val="00780316"/>
    <w:rsid w:val="00781137"/>
    <w:rsid w:val="0078148A"/>
    <w:rsid w:val="00781E5A"/>
    <w:rsid w:val="0078263C"/>
    <w:rsid w:val="007827B7"/>
    <w:rsid w:val="00784409"/>
    <w:rsid w:val="00784BB9"/>
    <w:rsid w:val="00784BBB"/>
    <w:rsid w:val="00786416"/>
    <w:rsid w:val="00787286"/>
    <w:rsid w:val="007879BD"/>
    <w:rsid w:val="00787EBD"/>
    <w:rsid w:val="00790580"/>
    <w:rsid w:val="007907EF"/>
    <w:rsid w:val="00791404"/>
    <w:rsid w:val="00791588"/>
    <w:rsid w:val="00791CEC"/>
    <w:rsid w:val="00793241"/>
    <w:rsid w:val="0079412E"/>
    <w:rsid w:val="007941D0"/>
    <w:rsid w:val="00795457"/>
    <w:rsid w:val="007A011B"/>
    <w:rsid w:val="007A066C"/>
    <w:rsid w:val="007A1B53"/>
    <w:rsid w:val="007A2205"/>
    <w:rsid w:val="007A2C38"/>
    <w:rsid w:val="007A2C4D"/>
    <w:rsid w:val="007A4191"/>
    <w:rsid w:val="007A4248"/>
    <w:rsid w:val="007A4389"/>
    <w:rsid w:val="007A5BF7"/>
    <w:rsid w:val="007A5D8B"/>
    <w:rsid w:val="007A6307"/>
    <w:rsid w:val="007A6BBF"/>
    <w:rsid w:val="007A6D03"/>
    <w:rsid w:val="007A725F"/>
    <w:rsid w:val="007B0489"/>
    <w:rsid w:val="007B06E9"/>
    <w:rsid w:val="007B0B08"/>
    <w:rsid w:val="007B1214"/>
    <w:rsid w:val="007B3060"/>
    <w:rsid w:val="007B4562"/>
    <w:rsid w:val="007B4A46"/>
    <w:rsid w:val="007B6D53"/>
    <w:rsid w:val="007B7706"/>
    <w:rsid w:val="007C19BA"/>
    <w:rsid w:val="007C2400"/>
    <w:rsid w:val="007C2F1D"/>
    <w:rsid w:val="007C3FC8"/>
    <w:rsid w:val="007C416D"/>
    <w:rsid w:val="007C4B8D"/>
    <w:rsid w:val="007C4C8E"/>
    <w:rsid w:val="007C4DFC"/>
    <w:rsid w:val="007C5201"/>
    <w:rsid w:val="007C5379"/>
    <w:rsid w:val="007C55FC"/>
    <w:rsid w:val="007C5A23"/>
    <w:rsid w:val="007C64F1"/>
    <w:rsid w:val="007C6ADD"/>
    <w:rsid w:val="007C7CAC"/>
    <w:rsid w:val="007D037D"/>
    <w:rsid w:val="007D054F"/>
    <w:rsid w:val="007D1B5A"/>
    <w:rsid w:val="007D2AEC"/>
    <w:rsid w:val="007D3A51"/>
    <w:rsid w:val="007D3DFD"/>
    <w:rsid w:val="007D3E95"/>
    <w:rsid w:val="007D4000"/>
    <w:rsid w:val="007D4779"/>
    <w:rsid w:val="007D4A47"/>
    <w:rsid w:val="007D538F"/>
    <w:rsid w:val="007D67A1"/>
    <w:rsid w:val="007D6B6D"/>
    <w:rsid w:val="007D7778"/>
    <w:rsid w:val="007D7AC0"/>
    <w:rsid w:val="007E008B"/>
    <w:rsid w:val="007E0633"/>
    <w:rsid w:val="007E0F18"/>
    <w:rsid w:val="007E122F"/>
    <w:rsid w:val="007E18C8"/>
    <w:rsid w:val="007E200D"/>
    <w:rsid w:val="007E2C8F"/>
    <w:rsid w:val="007E3701"/>
    <w:rsid w:val="007E4121"/>
    <w:rsid w:val="007E4151"/>
    <w:rsid w:val="007E44CB"/>
    <w:rsid w:val="007E4914"/>
    <w:rsid w:val="007E7CB1"/>
    <w:rsid w:val="007E7E9E"/>
    <w:rsid w:val="007F2BFA"/>
    <w:rsid w:val="007F2FC9"/>
    <w:rsid w:val="007F4293"/>
    <w:rsid w:val="007F445D"/>
    <w:rsid w:val="007F4EE3"/>
    <w:rsid w:val="007F6DF4"/>
    <w:rsid w:val="007F7670"/>
    <w:rsid w:val="007F7AFB"/>
    <w:rsid w:val="0080095A"/>
    <w:rsid w:val="00800975"/>
    <w:rsid w:val="00800EAC"/>
    <w:rsid w:val="0080182B"/>
    <w:rsid w:val="00801E35"/>
    <w:rsid w:val="0080303C"/>
    <w:rsid w:val="00805176"/>
    <w:rsid w:val="008061ED"/>
    <w:rsid w:val="00806588"/>
    <w:rsid w:val="00806752"/>
    <w:rsid w:val="00806D53"/>
    <w:rsid w:val="00806FE1"/>
    <w:rsid w:val="0080775F"/>
    <w:rsid w:val="00807A31"/>
    <w:rsid w:val="00807EED"/>
    <w:rsid w:val="0081052C"/>
    <w:rsid w:val="008116E1"/>
    <w:rsid w:val="008117BD"/>
    <w:rsid w:val="00812782"/>
    <w:rsid w:val="008129FE"/>
    <w:rsid w:val="00812A03"/>
    <w:rsid w:val="00812CB2"/>
    <w:rsid w:val="00812DED"/>
    <w:rsid w:val="00813956"/>
    <w:rsid w:val="008146E9"/>
    <w:rsid w:val="008147DB"/>
    <w:rsid w:val="00814FFE"/>
    <w:rsid w:val="00815087"/>
    <w:rsid w:val="0081519E"/>
    <w:rsid w:val="00815A47"/>
    <w:rsid w:val="008160E6"/>
    <w:rsid w:val="00816E3A"/>
    <w:rsid w:val="008177A2"/>
    <w:rsid w:val="00817E31"/>
    <w:rsid w:val="00820240"/>
    <w:rsid w:val="0082271C"/>
    <w:rsid w:val="0082344E"/>
    <w:rsid w:val="00823479"/>
    <w:rsid w:val="0082567B"/>
    <w:rsid w:val="00827ECA"/>
    <w:rsid w:val="00830271"/>
    <w:rsid w:val="0083040A"/>
    <w:rsid w:val="008319BB"/>
    <w:rsid w:val="00831D53"/>
    <w:rsid w:val="00832CDD"/>
    <w:rsid w:val="00833094"/>
    <w:rsid w:val="00833669"/>
    <w:rsid w:val="00833718"/>
    <w:rsid w:val="008339D7"/>
    <w:rsid w:val="008351E4"/>
    <w:rsid w:val="008353BC"/>
    <w:rsid w:val="00835C70"/>
    <w:rsid w:val="00836269"/>
    <w:rsid w:val="008366C3"/>
    <w:rsid w:val="008374ED"/>
    <w:rsid w:val="00837909"/>
    <w:rsid w:val="00837B1C"/>
    <w:rsid w:val="00837C10"/>
    <w:rsid w:val="008405BB"/>
    <w:rsid w:val="008408DB"/>
    <w:rsid w:val="008415DF"/>
    <w:rsid w:val="00843EF7"/>
    <w:rsid w:val="0084406D"/>
    <w:rsid w:val="008459FB"/>
    <w:rsid w:val="00845A24"/>
    <w:rsid w:val="00845C05"/>
    <w:rsid w:val="00846B79"/>
    <w:rsid w:val="008505EE"/>
    <w:rsid w:val="008513E5"/>
    <w:rsid w:val="00851DAF"/>
    <w:rsid w:val="008525D4"/>
    <w:rsid w:val="00852BB7"/>
    <w:rsid w:val="00853D8C"/>
    <w:rsid w:val="0085427D"/>
    <w:rsid w:val="00854CD4"/>
    <w:rsid w:val="00856784"/>
    <w:rsid w:val="00856FBF"/>
    <w:rsid w:val="0085787A"/>
    <w:rsid w:val="00860100"/>
    <w:rsid w:val="00862481"/>
    <w:rsid w:val="00862CA4"/>
    <w:rsid w:val="008639E0"/>
    <w:rsid w:val="00863B51"/>
    <w:rsid w:val="00864387"/>
    <w:rsid w:val="00864B74"/>
    <w:rsid w:val="008653ED"/>
    <w:rsid w:val="00865F0A"/>
    <w:rsid w:val="00866603"/>
    <w:rsid w:val="00866A85"/>
    <w:rsid w:val="00866CF2"/>
    <w:rsid w:val="0087004F"/>
    <w:rsid w:val="00871A31"/>
    <w:rsid w:val="008733DA"/>
    <w:rsid w:val="00874DDE"/>
    <w:rsid w:val="00874FC9"/>
    <w:rsid w:val="00875073"/>
    <w:rsid w:val="008754AC"/>
    <w:rsid w:val="00875839"/>
    <w:rsid w:val="00876660"/>
    <w:rsid w:val="008767C5"/>
    <w:rsid w:val="00877BC0"/>
    <w:rsid w:val="0088156A"/>
    <w:rsid w:val="008822CD"/>
    <w:rsid w:val="00882338"/>
    <w:rsid w:val="00883395"/>
    <w:rsid w:val="00883404"/>
    <w:rsid w:val="00884070"/>
    <w:rsid w:val="00884153"/>
    <w:rsid w:val="008848D8"/>
    <w:rsid w:val="008861EE"/>
    <w:rsid w:val="00886458"/>
    <w:rsid w:val="00886585"/>
    <w:rsid w:val="00886C4F"/>
    <w:rsid w:val="008878B6"/>
    <w:rsid w:val="0089028F"/>
    <w:rsid w:val="00890AD2"/>
    <w:rsid w:val="00890E10"/>
    <w:rsid w:val="00891D6A"/>
    <w:rsid w:val="00891DE8"/>
    <w:rsid w:val="0089243F"/>
    <w:rsid w:val="008925FA"/>
    <w:rsid w:val="008939CA"/>
    <w:rsid w:val="00895397"/>
    <w:rsid w:val="008973A9"/>
    <w:rsid w:val="008973BE"/>
    <w:rsid w:val="00897E37"/>
    <w:rsid w:val="008A2262"/>
    <w:rsid w:val="008A3948"/>
    <w:rsid w:val="008A3F46"/>
    <w:rsid w:val="008A50E7"/>
    <w:rsid w:val="008A67E1"/>
    <w:rsid w:val="008A712C"/>
    <w:rsid w:val="008B0925"/>
    <w:rsid w:val="008B0BCA"/>
    <w:rsid w:val="008B1C88"/>
    <w:rsid w:val="008B2127"/>
    <w:rsid w:val="008B2666"/>
    <w:rsid w:val="008B3129"/>
    <w:rsid w:val="008B3929"/>
    <w:rsid w:val="008B3B95"/>
    <w:rsid w:val="008B3F92"/>
    <w:rsid w:val="008B4C8C"/>
    <w:rsid w:val="008B5BB7"/>
    <w:rsid w:val="008B6E8F"/>
    <w:rsid w:val="008B76C5"/>
    <w:rsid w:val="008C0C9E"/>
    <w:rsid w:val="008C136D"/>
    <w:rsid w:val="008C15BA"/>
    <w:rsid w:val="008C2B9B"/>
    <w:rsid w:val="008C36C2"/>
    <w:rsid w:val="008C37F9"/>
    <w:rsid w:val="008C709E"/>
    <w:rsid w:val="008C79E8"/>
    <w:rsid w:val="008D0305"/>
    <w:rsid w:val="008D0AA8"/>
    <w:rsid w:val="008D0CDA"/>
    <w:rsid w:val="008D123E"/>
    <w:rsid w:val="008D1D67"/>
    <w:rsid w:val="008D2318"/>
    <w:rsid w:val="008D2C45"/>
    <w:rsid w:val="008D403D"/>
    <w:rsid w:val="008D5C20"/>
    <w:rsid w:val="008D65DC"/>
    <w:rsid w:val="008D6646"/>
    <w:rsid w:val="008D6661"/>
    <w:rsid w:val="008D698A"/>
    <w:rsid w:val="008D6B2F"/>
    <w:rsid w:val="008D6C4F"/>
    <w:rsid w:val="008D6F6D"/>
    <w:rsid w:val="008E05A9"/>
    <w:rsid w:val="008E16F4"/>
    <w:rsid w:val="008E4866"/>
    <w:rsid w:val="008E49E0"/>
    <w:rsid w:val="008E4AA6"/>
    <w:rsid w:val="008E55A3"/>
    <w:rsid w:val="008E7299"/>
    <w:rsid w:val="008E72E5"/>
    <w:rsid w:val="008E732B"/>
    <w:rsid w:val="008F032F"/>
    <w:rsid w:val="008F06C6"/>
    <w:rsid w:val="008F27A3"/>
    <w:rsid w:val="008F2DCA"/>
    <w:rsid w:val="008F2E48"/>
    <w:rsid w:val="008F331C"/>
    <w:rsid w:val="008F3475"/>
    <w:rsid w:val="008F4353"/>
    <w:rsid w:val="008F4880"/>
    <w:rsid w:val="008F4D3C"/>
    <w:rsid w:val="008F7B34"/>
    <w:rsid w:val="009001BF"/>
    <w:rsid w:val="009018F2"/>
    <w:rsid w:val="00901C33"/>
    <w:rsid w:val="0090292A"/>
    <w:rsid w:val="00903270"/>
    <w:rsid w:val="009056D2"/>
    <w:rsid w:val="00905B07"/>
    <w:rsid w:val="00905F6A"/>
    <w:rsid w:val="0090704B"/>
    <w:rsid w:val="00907245"/>
    <w:rsid w:val="009100BA"/>
    <w:rsid w:val="00911397"/>
    <w:rsid w:val="00911F31"/>
    <w:rsid w:val="00913920"/>
    <w:rsid w:val="00913B9A"/>
    <w:rsid w:val="00914786"/>
    <w:rsid w:val="009151EE"/>
    <w:rsid w:val="009155B7"/>
    <w:rsid w:val="009157CE"/>
    <w:rsid w:val="00915C40"/>
    <w:rsid w:val="00916934"/>
    <w:rsid w:val="0091793E"/>
    <w:rsid w:val="0092018F"/>
    <w:rsid w:val="00920D2D"/>
    <w:rsid w:val="00921712"/>
    <w:rsid w:val="009217DB"/>
    <w:rsid w:val="009218AD"/>
    <w:rsid w:val="0092215B"/>
    <w:rsid w:val="00925844"/>
    <w:rsid w:val="009329EF"/>
    <w:rsid w:val="00933978"/>
    <w:rsid w:val="00934146"/>
    <w:rsid w:val="0093414D"/>
    <w:rsid w:val="009344C6"/>
    <w:rsid w:val="00934904"/>
    <w:rsid w:val="00936103"/>
    <w:rsid w:val="00936279"/>
    <w:rsid w:val="00936AAB"/>
    <w:rsid w:val="00936D82"/>
    <w:rsid w:val="009372F9"/>
    <w:rsid w:val="00937716"/>
    <w:rsid w:val="00940A57"/>
    <w:rsid w:val="00941A80"/>
    <w:rsid w:val="00941EDB"/>
    <w:rsid w:val="00942047"/>
    <w:rsid w:val="00942B8F"/>
    <w:rsid w:val="0094379A"/>
    <w:rsid w:val="0094411A"/>
    <w:rsid w:val="00944F93"/>
    <w:rsid w:val="00945870"/>
    <w:rsid w:val="00945AAD"/>
    <w:rsid w:val="0095002E"/>
    <w:rsid w:val="0095015B"/>
    <w:rsid w:val="00950B69"/>
    <w:rsid w:val="009514E3"/>
    <w:rsid w:val="00951EFA"/>
    <w:rsid w:val="009526E6"/>
    <w:rsid w:val="00952F79"/>
    <w:rsid w:val="00954A09"/>
    <w:rsid w:val="00954D13"/>
    <w:rsid w:val="00954D1C"/>
    <w:rsid w:val="0095663C"/>
    <w:rsid w:val="00960804"/>
    <w:rsid w:val="00960E5A"/>
    <w:rsid w:val="009618AD"/>
    <w:rsid w:val="00963841"/>
    <w:rsid w:val="00964A32"/>
    <w:rsid w:val="00964A4D"/>
    <w:rsid w:val="009654CA"/>
    <w:rsid w:val="00970DCB"/>
    <w:rsid w:val="009713A2"/>
    <w:rsid w:val="00972C49"/>
    <w:rsid w:val="00973468"/>
    <w:rsid w:val="009736C7"/>
    <w:rsid w:val="00973CE3"/>
    <w:rsid w:val="009743E1"/>
    <w:rsid w:val="00975A4E"/>
    <w:rsid w:val="00976831"/>
    <w:rsid w:val="009770C5"/>
    <w:rsid w:val="0097786F"/>
    <w:rsid w:val="00977B68"/>
    <w:rsid w:val="009812DC"/>
    <w:rsid w:val="00981903"/>
    <w:rsid w:val="00982161"/>
    <w:rsid w:val="00984D5F"/>
    <w:rsid w:val="0098513A"/>
    <w:rsid w:val="00986389"/>
    <w:rsid w:val="00986C39"/>
    <w:rsid w:val="00986CD1"/>
    <w:rsid w:val="00986D2B"/>
    <w:rsid w:val="0098735C"/>
    <w:rsid w:val="0098747D"/>
    <w:rsid w:val="009902F2"/>
    <w:rsid w:val="00991AA6"/>
    <w:rsid w:val="00991B2A"/>
    <w:rsid w:val="009925EB"/>
    <w:rsid w:val="00992A6D"/>
    <w:rsid w:val="009948C1"/>
    <w:rsid w:val="0099520F"/>
    <w:rsid w:val="009978A5"/>
    <w:rsid w:val="00997960"/>
    <w:rsid w:val="009A00A5"/>
    <w:rsid w:val="009A097E"/>
    <w:rsid w:val="009A102D"/>
    <w:rsid w:val="009A39B2"/>
    <w:rsid w:val="009A641E"/>
    <w:rsid w:val="009A65FF"/>
    <w:rsid w:val="009A71D6"/>
    <w:rsid w:val="009A7317"/>
    <w:rsid w:val="009A7C86"/>
    <w:rsid w:val="009A7DD1"/>
    <w:rsid w:val="009A7E19"/>
    <w:rsid w:val="009A7F13"/>
    <w:rsid w:val="009B0165"/>
    <w:rsid w:val="009B01AB"/>
    <w:rsid w:val="009B0695"/>
    <w:rsid w:val="009B0AE1"/>
    <w:rsid w:val="009B1541"/>
    <w:rsid w:val="009B230E"/>
    <w:rsid w:val="009B2C10"/>
    <w:rsid w:val="009B345A"/>
    <w:rsid w:val="009B34F9"/>
    <w:rsid w:val="009B5938"/>
    <w:rsid w:val="009B5C6D"/>
    <w:rsid w:val="009B61C5"/>
    <w:rsid w:val="009B72B9"/>
    <w:rsid w:val="009C0DD3"/>
    <w:rsid w:val="009C15FE"/>
    <w:rsid w:val="009C1790"/>
    <w:rsid w:val="009C1F6D"/>
    <w:rsid w:val="009C22BA"/>
    <w:rsid w:val="009C3627"/>
    <w:rsid w:val="009C577C"/>
    <w:rsid w:val="009C642E"/>
    <w:rsid w:val="009C77F7"/>
    <w:rsid w:val="009C79F9"/>
    <w:rsid w:val="009D003C"/>
    <w:rsid w:val="009D05B3"/>
    <w:rsid w:val="009D20D0"/>
    <w:rsid w:val="009D24EA"/>
    <w:rsid w:val="009D2671"/>
    <w:rsid w:val="009D280B"/>
    <w:rsid w:val="009D2D05"/>
    <w:rsid w:val="009D509F"/>
    <w:rsid w:val="009D56EF"/>
    <w:rsid w:val="009D7211"/>
    <w:rsid w:val="009D72BD"/>
    <w:rsid w:val="009D772A"/>
    <w:rsid w:val="009D7A50"/>
    <w:rsid w:val="009E00CC"/>
    <w:rsid w:val="009E02D4"/>
    <w:rsid w:val="009E077F"/>
    <w:rsid w:val="009E08EB"/>
    <w:rsid w:val="009E0D83"/>
    <w:rsid w:val="009E14AE"/>
    <w:rsid w:val="009E19AB"/>
    <w:rsid w:val="009E1F56"/>
    <w:rsid w:val="009E254B"/>
    <w:rsid w:val="009E25B1"/>
    <w:rsid w:val="009E35B4"/>
    <w:rsid w:val="009E6067"/>
    <w:rsid w:val="009E630D"/>
    <w:rsid w:val="009E6B8B"/>
    <w:rsid w:val="009E6C1C"/>
    <w:rsid w:val="009E7035"/>
    <w:rsid w:val="009E7D06"/>
    <w:rsid w:val="009F0973"/>
    <w:rsid w:val="009F1871"/>
    <w:rsid w:val="009F3904"/>
    <w:rsid w:val="009F3D86"/>
    <w:rsid w:val="009F4B29"/>
    <w:rsid w:val="009F6BB6"/>
    <w:rsid w:val="009F7062"/>
    <w:rsid w:val="009F7366"/>
    <w:rsid w:val="009F7612"/>
    <w:rsid w:val="009F7636"/>
    <w:rsid w:val="009F7984"/>
    <w:rsid w:val="009F7C66"/>
    <w:rsid w:val="00A00E4D"/>
    <w:rsid w:val="00A014D0"/>
    <w:rsid w:val="00A0164E"/>
    <w:rsid w:val="00A01E4B"/>
    <w:rsid w:val="00A01F0E"/>
    <w:rsid w:val="00A05EBB"/>
    <w:rsid w:val="00A0627A"/>
    <w:rsid w:val="00A124A4"/>
    <w:rsid w:val="00A1363E"/>
    <w:rsid w:val="00A13C9D"/>
    <w:rsid w:val="00A14203"/>
    <w:rsid w:val="00A14E95"/>
    <w:rsid w:val="00A1581A"/>
    <w:rsid w:val="00A159D2"/>
    <w:rsid w:val="00A16DE9"/>
    <w:rsid w:val="00A17AA6"/>
    <w:rsid w:val="00A204C1"/>
    <w:rsid w:val="00A20F88"/>
    <w:rsid w:val="00A211C6"/>
    <w:rsid w:val="00A21CA2"/>
    <w:rsid w:val="00A24501"/>
    <w:rsid w:val="00A247D2"/>
    <w:rsid w:val="00A25E03"/>
    <w:rsid w:val="00A2660D"/>
    <w:rsid w:val="00A266E4"/>
    <w:rsid w:val="00A26953"/>
    <w:rsid w:val="00A26F96"/>
    <w:rsid w:val="00A27326"/>
    <w:rsid w:val="00A302A0"/>
    <w:rsid w:val="00A3278D"/>
    <w:rsid w:val="00A32904"/>
    <w:rsid w:val="00A3290F"/>
    <w:rsid w:val="00A32BF4"/>
    <w:rsid w:val="00A33215"/>
    <w:rsid w:val="00A33BC7"/>
    <w:rsid w:val="00A36477"/>
    <w:rsid w:val="00A37CF1"/>
    <w:rsid w:val="00A4050B"/>
    <w:rsid w:val="00A415AF"/>
    <w:rsid w:val="00A42757"/>
    <w:rsid w:val="00A43C29"/>
    <w:rsid w:val="00A4448F"/>
    <w:rsid w:val="00A445BC"/>
    <w:rsid w:val="00A45102"/>
    <w:rsid w:val="00A465F8"/>
    <w:rsid w:val="00A46885"/>
    <w:rsid w:val="00A47A8C"/>
    <w:rsid w:val="00A539B8"/>
    <w:rsid w:val="00A54540"/>
    <w:rsid w:val="00A54CCA"/>
    <w:rsid w:val="00A55186"/>
    <w:rsid w:val="00A5597D"/>
    <w:rsid w:val="00A5650D"/>
    <w:rsid w:val="00A56E09"/>
    <w:rsid w:val="00A602CC"/>
    <w:rsid w:val="00A6035F"/>
    <w:rsid w:val="00A606F4"/>
    <w:rsid w:val="00A60B65"/>
    <w:rsid w:val="00A61145"/>
    <w:rsid w:val="00A61589"/>
    <w:rsid w:val="00A61EDE"/>
    <w:rsid w:val="00A62529"/>
    <w:rsid w:val="00A62681"/>
    <w:rsid w:val="00A62B7C"/>
    <w:rsid w:val="00A62CF9"/>
    <w:rsid w:val="00A641BD"/>
    <w:rsid w:val="00A663CF"/>
    <w:rsid w:val="00A67785"/>
    <w:rsid w:val="00A70097"/>
    <w:rsid w:val="00A70139"/>
    <w:rsid w:val="00A71079"/>
    <w:rsid w:val="00A725D5"/>
    <w:rsid w:val="00A73C57"/>
    <w:rsid w:val="00A743CF"/>
    <w:rsid w:val="00A7679C"/>
    <w:rsid w:val="00A76838"/>
    <w:rsid w:val="00A7770D"/>
    <w:rsid w:val="00A823E4"/>
    <w:rsid w:val="00A838E0"/>
    <w:rsid w:val="00A83DAB"/>
    <w:rsid w:val="00A83F83"/>
    <w:rsid w:val="00A843D7"/>
    <w:rsid w:val="00A84AA9"/>
    <w:rsid w:val="00A8546D"/>
    <w:rsid w:val="00A85470"/>
    <w:rsid w:val="00A873E9"/>
    <w:rsid w:val="00A87ACC"/>
    <w:rsid w:val="00A908AE"/>
    <w:rsid w:val="00A90BC1"/>
    <w:rsid w:val="00A930BA"/>
    <w:rsid w:val="00A9374C"/>
    <w:rsid w:val="00A937FE"/>
    <w:rsid w:val="00A96634"/>
    <w:rsid w:val="00AA0BAA"/>
    <w:rsid w:val="00AA1762"/>
    <w:rsid w:val="00AA234C"/>
    <w:rsid w:val="00AA2440"/>
    <w:rsid w:val="00AA27C9"/>
    <w:rsid w:val="00AA440D"/>
    <w:rsid w:val="00AA4EDF"/>
    <w:rsid w:val="00AA54F8"/>
    <w:rsid w:val="00AA6A69"/>
    <w:rsid w:val="00AA6F2C"/>
    <w:rsid w:val="00AA70E4"/>
    <w:rsid w:val="00AA79C9"/>
    <w:rsid w:val="00AA7C20"/>
    <w:rsid w:val="00AB017D"/>
    <w:rsid w:val="00AB0393"/>
    <w:rsid w:val="00AB3422"/>
    <w:rsid w:val="00AB34F4"/>
    <w:rsid w:val="00AB37DC"/>
    <w:rsid w:val="00AB4F45"/>
    <w:rsid w:val="00AB66FD"/>
    <w:rsid w:val="00AB6999"/>
    <w:rsid w:val="00AC1179"/>
    <w:rsid w:val="00AC1690"/>
    <w:rsid w:val="00AC3FB4"/>
    <w:rsid w:val="00AC4782"/>
    <w:rsid w:val="00AC4FD0"/>
    <w:rsid w:val="00AC52C9"/>
    <w:rsid w:val="00AC558F"/>
    <w:rsid w:val="00AC5B94"/>
    <w:rsid w:val="00AC68B9"/>
    <w:rsid w:val="00AC6C1E"/>
    <w:rsid w:val="00AD03FB"/>
    <w:rsid w:val="00AD04B9"/>
    <w:rsid w:val="00AD0B9B"/>
    <w:rsid w:val="00AD1606"/>
    <w:rsid w:val="00AD204B"/>
    <w:rsid w:val="00AD366B"/>
    <w:rsid w:val="00AD5433"/>
    <w:rsid w:val="00AD6AEF"/>
    <w:rsid w:val="00AD705E"/>
    <w:rsid w:val="00AD7566"/>
    <w:rsid w:val="00AE0DF2"/>
    <w:rsid w:val="00AE244B"/>
    <w:rsid w:val="00AE24B0"/>
    <w:rsid w:val="00AE42EC"/>
    <w:rsid w:val="00AE4740"/>
    <w:rsid w:val="00AE5646"/>
    <w:rsid w:val="00AE5A27"/>
    <w:rsid w:val="00AE681A"/>
    <w:rsid w:val="00AE7540"/>
    <w:rsid w:val="00AF0808"/>
    <w:rsid w:val="00AF10A9"/>
    <w:rsid w:val="00AF21AA"/>
    <w:rsid w:val="00AF2BC3"/>
    <w:rsid w:val="00AF30FB"/>
    <w:rsid w:val="00AF35B6"/>
    <w:rsid w:val="00AF4145"/>
    <w:rsid w:val="00AF527F"/>
    <w:rsid w:val="00AF5A53"/>
    <w:rsid w:val="00AF6446"/>
    <w:rsid w:val="00AF6894"/>
    <w:rsid w:val="00B009BF"/>
    <w:rsid w:val="00B01A07"/>
    <w:rsid w:val="00B026C9"/>
    <w:rsid w:val="00B04E5A"/>
    <w:rsid w:val="00B05DCE"/>
    <w:rsid w:val="00B066DA"/>
    <w:rsid w:val="00B067B1"/>
    <w:rsid w:val="00B06A8A"/>
    <w:rsid w:val="00B06BE2"/>
    <w:rsid w:val="00B06E17"/>
    <w:rsid w:val="00B077F0"/>
    <w:rsid w:val="00B10399"/>
    <w:rsid w:val="00B1082E"/>
    <w:rsid w:val="00B110A4"/>
    <w:rsid w:val="00B11C3E"/>
    <w:rsid w:val="00B11CE0"/>
    <w:rsid w:val="00B1225E"/>
    <w:rsid w:val="00B122C4"/>
    <w:rsid w:val="00B12A61"/>
    <w:rsid w:val="00B14580"/>
    <w:rsid w:val="00B14D1C"/>
    <w:rsid w:val="00B153D9"/>
    <w:rsid w:val="00B168C0"/>
    <w:rsid w:val="00B16DB1"/>
    <w:rsid w:val="00B17612"/>
    <w:rsid w:val="00B201FE"/>
    <w:rsid w:val="00B204BD"/>
    <w:rsid w:val="00B2076D"/>
    <w:rsid w:val="00B20AD5"/>
    <w:rsid w:val="00B21A92"/>
    <w:rsid w:val="00B223EF"/>
    <w:rsid w:val="00B22673"/>
    <w:rsid w:val="00B22C80"/>
    <w:rsid w:val="00B23259"/>
    <w:rsid w:val="00B2348A"/>
    <w:rsid w:val="00B24D06"/>
    <w:rsid w:val="00B253A5"/>
    <w:rsid w:val="00B255DB"/>
    <w:rsid w:val="00B26244"/>
    <w:rsid w:val="00B27250"/>
    <w:rsid w:val="00B2741C"/>
    <w:rsid w:val="00B30E26"/>
    <w:rsid w:val="00B31203"/>
    <w:rsid w:val="00B316ED"/>
    <w:rsid w:val="00B337B2"/>
    <w:rsid w:val="00B33C5B"/>
    <w:rsid w:val="00B34D27"/>
    <w:rsid w:val="00B3544B"/>
    <w:rsid w:val="00B3575C"/>
    <w:rsid w:val="00B35F57"/>
    <w:rsid w:val="00B403C6"/>
    <w:rsid w:val="00B40CD7"/>
    <w:rsid w:val="00B41C45"/>
    <w:rsid w:val="00B420C7"/>
    <w:rsid w:val="00B420D2"/>
    <w:rsid w:val="00B425E9"/>
    <w:rsid w:val="00B42F1A"/>
    <w:rsid w:val="00B43CEE"/>
    <w:rsid w:val="00B43E3B"/>
    <w:rsid w:val="00B44759"/>
    <w:rsid w:val="00B44881"/>
    <w:rsid w:val="00B44C3B"/>
    <w:rsid w:val="00B44FC9"/>
    <w:rsid w:val="00B45210"/>
    <w:rsid w:val="00B45278"/>
    <w:rsid w:val="00B45F09"/>
    <w:rsid w:val="00B464F1"/>
    <w:rsid w:val="00B46A19"/>
    <w:rsid w:val="00B4739C"/>
    <w:rsid w:val="00B51AB4"/>
    <w:rsid w:val="00B51BB4"/>
    <w:rsid w:val="00B53A9A"/>
    <w:rsid w:val="00B54297"/>
    <w:rsid w:val="00B544D4"/>
    <w:rsid w:val="00B545D8"/>
    <w:rsid w:val="00B55E6A"/>
    <w:rsid w:val="00B56715"/>
    <w:rsid w:val="00B57F34"/>
    <w:rsid w:val="00B6111D"/>
    <w:rsid w:val="00B614BB"/>
    <w:rsid w:val="00B62122"/>
    <w:rsid w:val="00B63155"/>
    <w:rsid w:val="00B63526"/>
    <w:rsid w:val="00B63A26"/>
    <w:rsid w:val="00B63AAC"/>
    <w:rsid w:val="00B63F56"/>
    <w:rsid w:val="00B64373"/>
    <w:rsid w:val="00B64525"/>
    <w:rsid w:val="00B65900"/>
    <w:rsid w:val="00B66899"/>
    <w:rsid w:val="00B70C22"/>
    <w:rsid w:val="00B70CE8"/>
    <w:rsid w:val="00B72584"/>
    <w:rsid w:val="00B748C5"/>
    <w:rsid w:val="00B749A7"/>
    <w:rsid w:val="00B74D00"/>
    <w:rsid w:val="00B76ACC"/>
    <w:rsid w:val="00B77231"/>
    <w:rsid w:val="00B7777E"/>
    <w:rsid w:val="00B779E0"/>
    <w:rsid w:val="00B802F8"/>
    <w:rsid w:val="00B804CE"/>
    <w:rsid w:val="00B81609"/>
    <w:rsid w:val="00B818FE"/>
    <w:rsid w:val="00B81E2C"/>
    <w:rsid w:val="00B834C7"/>
    <w:rsid w:val="00B83F2A"/>
    <w:rsid w:val="00B84CAD"/>
    <w:rsid w:val="00B84CDF"/>
    <w:rsid w:val="00B859A3"/>
    <w:rsid w:val="00B86ABE"/>
    <w:rsid w:val="00B86CAF"/>
    <w:rsid w:val="00B86DFB"/>
    <w:rsid w:val="00B875F9"/>
    <w:rsid w:val="00B9052F"/>
    <w:rsid w:val="00B90EC3"/>
    <w:rsid w:val="00B94377"/>
    <w:rsid w:val="00B97233"/>
    <w:rsid w:val="00B97589"/>
    <w:rsid w:val="00BA219E"/>
    <w:rsid w:val="00BA526C"/>
    <w:rsid w:val="00BA552B"/>
    <w:rsid w:val="00BA5AD9"/>
    <w:rsid w:val="00BA6819"/>
    <w:rsid w:val="00BA683C"/>
    <w:rsid w:val="00BA746E"/>
    <w:rsid w:val="00BA7BA4"/>
    <w:rsid w:val="00BB0178"/>
    <w:rsid w:val="00BB05C6"/>
    <w:rsid w:val="00BB1597"/>
    <w:rsid w:val="00BB1F35"/>
    <w:rsid w:val="00BB2216"/>
    <w:rsid w:val="00BB2DEC"/>
    <w:rsid w:val="00BB3815"/>
    <w:rsid w:val="00BB3AB0"/>
    <w:rsid w:val="00BB3FA3"/>
    <w:rsid w:val="00BB433F"/>
    <w:rsid w:val="00BB57F8"/>
    <w:rsid w:val="00BB59EC"/>
    <w:rsid w:val="00BB5CBA"/>
    <w:rsid w:val="00BB63F4"/>
    <w:rsid w:val="00BB6CF7"/>
    <w:rsid w:val="00BB7C18"/>
    <w:rsid w:val="00BC016D"/>
    <w:rsid w:val="00BC0D0B"/>
    <w:rsid w:val="00BC30C0"/>
    <w:rsid w:val="00BC3D03"/>
    <w:rsid w:val="00BC4C3C"/>
    <w:rsid w:val="00BC6624"/>
    <w:rsid w:val="00BD0302"/>
    <w:rsid w:val="00BD0BFF"/>
    <w:rsid w:val="00BD0C8F"/>
    <w:rsid w:val="00BD1354"/>
    <w:rsid w:val="00BD145F"/>
    <w:rsid w:val="00BD2642"/>
    <w:rsid w:val="00BD3359"/>
    <w:rsid w:val="00BD3730"/>
    <w:rsid w:val="00BD463F"/>
    <w:rsid w:val="00BD4EAD"/>
    <w:rsid w:val="00BD582F"/>
    <w:rsid w:val="00BD6707"/>
    <w:rsid w:val="00BD6E83"/>
    <w:rsid w:val="00BD77ED"/>
    <w:rsid w:val="00BE05DE"/>
    <w:rsid w:val="00BE06C2"/>
    <w:rsid w:val="00BE10C3"/>
    <w:rsid w:val="00BE110A"/>
    <w:rsid w:val="00BE19D4"/>
    <w:rsid w:val="00BE2AFF"/>
    <w:rsid w:val="00BE2FB4"/>
    <w:rsid w:val="00BE3779"/>
    <w:rsid w:val="00BE3B94"/>
    <w:rsid w:val="00BE4C35"/>
    <w:rsid w:val="00BE4EC3"/>
    <w:rsid w:val="00BE5A8F"/>
    <w:rsid w:val="00BE5F47"/>
    <w:rsid w:val="00BE5FDA"/>
    <w:rsid w:val="00BE6B1A"/>
    <w:rsid w:val="00BE6DCD"/>
    <w:rsid w:val="00BE726F"/>
    <w:rsid w:val="00BF012F"/>
    <w:rsid w:val="00BF06D8"/>
    <w:rsid w:val="00BF100C"/>
    <w:rsid w:val="00BF1135"/>
    <w:rsid w:val="00BF1B73"/>
    <w:rsid w:val="00BF1E6C"/>
    <w:rsid w:val="00BF1F20"/>
    <w:rsid w:val="00BF3972"/>
    <w:rsid w:val="00BF4ADB"/>
    <w:rsid w:val="00BF50EA"/>
    <w:rsid w:val="00BF5D9E"/>
    <w:rsid w:val="00BF66ED"/>
    <w:rsid w:val="00BF70AF"/>
    <w:rsid w:val="00C017C1"/>
    <w:rsid w:val="00C019A1"/>
    <w:rsid w:val="00C03D63"/>
    <w:rsid w:val="00C046E7"/>
    <w:rsid w:val="00C049FA"/>
    <w:rsid w:val="00C04E64"/>
    <w:rsid w:val="00C0547A"/>
    <w:rsid w:val="00C05998"/>
    <w:rsid w:val="00C060FE"/>
    <w:rsid w:val="00C0652E"/>
    <w:rsid w:val="00C0696E"/>
    <w:rsid w:val="00C10089"/>
    <w:rsid w:val="00C105AD"/>
    <w:rsid w:val="00C11074"/>
    <w:rsid w:val="00C11260"/>
    <w:rsid w:val="00C11C0C"/>
    <w:rsid w:val="00C122F3"/>
    <w:rsid w:val="00C12CA7"/>
    <w:rsid w:val="00C131CB"/>
    <w:rsid w:val="00C13DEB"/>
    <w:rsid w:val="00C1462C"/>
    <w:rsid w:val="00C14CB3"/>
    <w:rsid w:val="00C14D77"/>
    <w:rsid w:val="00C14E00"/>
    <w:rsid w:val="00C154F3"/>
    <w:rsid w:val="00C16ED4"/>
    <w:rsid w:val="00C17049"/>
    <w:rsid w:val="00C17766"/>
    <w:rsid w:val="00C23894"/>
    <w:rsid w:val="00C23ECC"/>
    <w:rsid w:val="00C23F8D"/>
    <w:rsid w:val="00C248ED"/>
    <w:rsid w:val="00C253EF"/>
    <w:rsid w:val="00C25580"/>
    <w:rsid w:val="00C26804"/>
    <w:rsid w:val="00C26F44"/>
    <w:rsid w:val="00C272EC"/>
    <w:rsid w:val="00C30478"/>
    <w:rsid w:val="00C305D7"/>
    <w:rsid w:val="00C31CE6"/>
    <w:rsid w:val="00C32AA0"/>
    <w:rsid w:val="00C32C40"/>
    <w:rsid w:val="00C32DF8"/>
    <w:rsid w:val="00C34057"/>
    <w:rsid w:val="00C34271"/>
    <w:rsid w:val="00C34611"/>
    <w:rsid w:val="00C34779"/>
    <w:rsid w:val="00C34875"/>
    <w:rsid w:val="00C35908"/>
    <w:rsid w:val="00C359E5"/>
    <w:rsid w:val="00C35EAF"/>
    <w:rsid w:val="00C3634B"/>
    <w:rsid w:val="00C370AC"/>
    <w:rsid w:val="00C40D04"/>
    <w:rsid w:val="00C40F9E"/>
    <w:rsid w:val="00C4157C"/>
    <w:rsid w:val="00C41859"/>
    <w:rsid w:val="00C43675"/>
    <w:rsid w:val="00C43DB7"/>
    <w:rsid w:val="00C440AE"/>
    <w:rsid w:val="00C451FE"/>
    <w:rsid w:val="00C46206"/>
    <w:rsid w:val="00C46D1C"/>
    <w:rsid w:val="00C4712A"/>
    <w:rsid w:val="00C50B1B"/>
    <w:rsid w:val="00C525FC"/>
    <w:rsid w:val="00C544B6"/>
    <w:rsid w:val="00C54B53"/>
    <w:rsid w:val="00C57285"/>
    <w:rsid w:val="00C57AA1"/>
    <w:rsid w:val="00C60764"/>
    <w:rsid w:val="00C61F2C"/>
    <w:rsid w:val="00C6410C"/>
    <w:rsid w:val="00C64BE3"/>
    <w:rsid w:val="00C65962"/>
    <w:rsid w:val="00C672EC"/>
    <w:rsid w:val="00C701BD"/>
    <w:rsid w:val="00C706B2"/>
    <w:rsid w:val="00C7103E"/>
    <w:rsid w:val="00C71D17"/>
    <w:rsid w:val="00C7221C"/>
    <w:rsid w:val="00C7335D"/>
    <w:rsid w:val="00C73D49"/>
    <w:rsid w:val="00C74281"/>
    <w:rsid w:val="00C74C87"/>
    <w:rsid w:val="00C74FC5"/>
    <w:rsid w:val="00C7766F"/>
    <w:rsid w:val="00C77CB9"/>
    <w:rsid w:val="00C803A7"/>
    <w:rsid w:val="00C8118B"/>
    <w:rsid w:val="00C826D8"/>
    <w:rsid w:val="00C82E63"/>
    <w:rsid w:val="00C8455D"/>
    <w:rsid w:val="00C84D35"/>
    <w:rsid w:val="00C860BC"/>
    <w:rsid w:val="00C863B5"/>
    <w:rsid w:val="00C87E61"/>
    <w:rsid w:val="00C9053B"/>
    <w:rsid w:val="00C90C23"/>
    <w:rsid w:val="00C916C7"/>
    <w:rsid w:val="00C91F1D"/>
    <w:rsid w:val="00C933FE"/>
    <w:rsid w:val="00C94D91"/>
    <w:rsid w:val="00C95729"/>
    <w:rsid w:val="00C95C95"/>
    <w:rsid w:val="00C97DE2"/>
    <w:rsid w:val="00CA00A8"/>
    <w:rsid w:val="00CA0AB5"/>
    <w:rsid w:val="00CA14D5"/>
    <w:rsid w:val="00CA1DE1"/>
    <w:rsid w:val="00CA1F3B"/>
    <w:rsid w:val="00CA219F"/>
    <w:rsid w:val="00CA26D2"/>
    <w:rsid w:val="00CA286F"/>
    <w:rsid w:val="00CA4304"/>
    <w:rsid w:val="00CA5289"/>
    <w:rsid w:val="00CA5ABB"/>
    <w:rsid w:val="00CA5EF5"/>
    <w:rsid w:val="00CA6A0A"/>
    <w:rsid w:val="00CB0844"/>
    <w:rsid w:val="00CB3D86"/>
    <w:rsid w:val="00CB3DA1"/>
    <w:rsid w:val="00CB3F75"/>
    <w:rsid w:val="00CB576B"/>
    <w:rsid w:val="00CB63A3"/>
    <w:rsid w:val="00CB6558"/>
    <w:rsid w:val="00CB6745"/>
    <w:rsid w:val="00CC285C"/>
    <w:rsid w:val="00CC313C"/>
    <w:rsid w:val="00CC5087"/>
    <w:rsid w:val="00CC53E0"/>
    <w:rsid w:val="00CC5C09"/>
    <w:rsid w:val="00CC5C58"/>
    <w:rsid w:val="00CC691C"/>
    <w:rsid w:val="00CD005A"/>
    <w:rsid w:val="00CD01BB"/>
    <w:rsid w:val="00CD131A"/>
    <w:rsid w:val="00CD1844"/>
    <w:rsid w:val="00CD2151"/>
    <w:rsid w:val="00CD27B7"/>
    <w:rsid w:val="00CD2A5B"/>
    <w:rsid w:val="00CD2B09"/>
    <w:rsid w:val="00CD3A46"/>
    <w:rsid w:val="00CD459C"/>
    <w:rsid w:val="00CD504F"/>
    <w:rsid w:val="00CD5FDC"/>
    <w:rsid w:val="00CD66D6"/>
    <w:rsid w:val="00CD6D78"/>
    <w:rsid w:val="00CD72C8"/>
    <w:rsid w:val="00CD74E4"/>
    <w:rsid w:val="00CE12C4"/>
    <w:rsid w:val="00CE4D77"/>
    <w:rsid w:val="00CE4DD1"/>
    <w:rsid w:val="00CE5C70"/>
    <w:rsid w:val="00CE5DB4"/>
    <w:rsid w:val="00CE5E91"/>
    <w:rsid w:val="00CF04D8"/>
    <w:rsid w:val="00CF38A9"/>
    <w:rsid w:val="00CF3F0A"/>
    <w:rsid w:val="00CF4261"/>
    <w:rsid w:val="00CF45EC"/>
    <w:rsid w:val="00CF5026"/>
    <w:rsid w:val="00CF5226"/>
    <w:rsid w:val="00CF78B6"/>
    <w:rsid w:val="00CF7F9B"/>
    <w:rsid w:val="00D00453"/>
    <w:rsid w:val="00D00AF6"/>
    <w:rsid w:val="00D0109F"/>
    <w:rsid w:val="00D02078"/>
    <w:rsid w:val="00D020E3"/>
    <w:rsid w:val="00D028CC"/>
    <w:rsid w:val="00D046B4"/>
    <w:rsid w:val="00D052AF"/>
    <w:rsid w:val="00D074DC"/>
    <w:rsid w:val="00D10107"/>
    <w:rsid w:val="00D10177"/>
    <w:rsid w:val="00D1144F"/>
    <w:rsid w:val="00D12374"/>
    <w:rsid w:val="00D12CBA"/>
    <w:rsid w:val="00D1313C"/>
    <w:rsid w:val="00D13E7C"/>
    <w:rsid w:val="00D14556"/>
    <w:rsid w:val="00D14766"/>
    <w:rsid w:val="00D149F7"/>
    <w:rsid w:val="00D14B7A"/>
    <w:rsid w:val="00D14DD7"/>
    <w:rsid w:val="00D15E57"/>
    <w:rsid w:val="00D17346"/>
    <w:rsid w:val="00D173F5"/>
    <w:rsid w:val="00D174E2"/>
    <w:rsid w:val="00D20DA9"/>
    <w:rsid w:val="00D211F7"/>
    <w:rsid w:val="00D21999"/>
    <w:rsid w:val="00D21C3D"/>
    <w:rsid w:val="00D25756"/>
    <w:rsid w:val="00D26964"/>
    <w:rsid w:val="00D27E5F"/>
    <w:rsid w:val="00D3058B"/>
    <w:rsid w:val="00D308D7"/>
    <w:rsid w:val="00D30CEF"/>
    <w:rsid w:val="00D31718"/>
    <w:rsid w:val="00D320BC"/>
    <w:rsid w:val="00D327E5"/>
    <w:rsid w:val="00D3293B"/>
    <w:rsid w:val="00D32985"/>
    <w:rsid w:val="00D32ECE"/>
    <w:rsid w:val="00D32F1E"/>
    <w:rsid w:val="00D33244"/>
    <w:rsid w:val="00D33E9E"/>
    <w:rsid w:val="00D351ED"/>
    <w:rsid w:val="00D35859"/>
    <w:rsid w:val="00D35DE5"/>
    <w:rsid w:val="00D372F6"/>
    <w:rsid w:val="00D373D3"/>
    <w:rsid w:val="00D40AE0"/>
    <w:rsid w:val="00D4167A"/>
    <w:rsid w:val="00D417FD"/>
    <w:rsid w:val="00D419CE"/>
    <w:rsid w:val="00D4322F"/>
    <w:rsid w:val="00D453CE"/>
    <w:rsid w:val="00D45887"/>
    <w:rsid w:val="00D46C29"/>
    <w:rsid w:val="00D50260"/>
    <w:rsid w:val="00D514EC"/>
    <w:rsid w:val="00D517D5"/>
    <w:rsid w:val="00D537B5"/>
    <w:rsid w:val="00D53C27"/>
    <w:rsid w:val="00D542C4"/>
    <w:rsid w:val="00D54456"/>
    <w:rsid w:val="00D568AC"/>
    <w:rsid w:val="00D56B65"/>
    <w:rsid w:val="00D57677"/>
    <w:rsid w:val="00D6004D"/>
    <w:rsid w:val="00D60F6F"/>
    <w:rsid w:val="00D61455"/>
    <w:rsid w:val="00D62017"/>
    <w:rsid w:val="00D62D6E"/>
    <w:rsid w:val="00D63188"/>
    <w:rsid w:val="00D638F3"/>
    <w:rsid w:val="00D64E82"/>
    <w:rsid w:val="00D65A81"/>
    <w:rsid w:val="00D65C95"/>
    <w:rsid w:val="00D667DE"/>
    <w:rsid w:val="00D67ACF"/>
    <w:rsid w:val="00D70941"/>
    <w:rsid w:val="00D70F3C"/>
    <w:rsid w:val="00D7125D"/>
    <w:rsid w:val="00D72139"/>
    <w:rsid w:val="00D73464"/>
    <w:rsid w:val="00D73D25"/>
    <w:rsid w:val="00D7466E"/>
    <w:rsid w:val="00D74671"/>
    <w:rsid w:val="00D74CD0"/>
    <w:rsid w:val="00D759B4"/>
    <w:rsid w:val="00D76FFA"/>
    <w:rsid w:val="00D770D2"/>
    <w:rsid w:val="00D77CE1"/>
    <w:rsid w:val="00D80628"/>
    <w:rsid w:val="00D81173"/>
    <w:rsid w:val="00D811C5"/>
    <w:rsid w:val="00D82E29"/>
    <w:rsid w:val="00D83FF7"/>
    <w:rsid w:val="00D845EA"/>
    <w:rsid w:val="00D86E2D"/>
    <w:rsid w:val="00D90733"/>
    <w:rsid w:val="00D90EDC"/>
    <w:rsid w:val="00D915DF"/>
    <w:rsid w:val="00D91B8E"/>
    <w:rsid w:val="00D92376"/>
    <w:rsid w:val="00D924A4"/>
    <w:rsid w:val="00D926A2"/>
    <w:rsid w:val="00D962AB"/>
    <w:rsid w:val="00D96B97"/>
    <w:rsid w:val="00D96FA2"/>
    <w:rsid w:val="00D9767E"/>
    <w:rsid w:val="00DA2014"/>
    <w:rsid w:val="00DA260E"/>
    <w:rsid w:val="00DA2981"/>
    <w:rsid w:val="00DA33C5"/>
    <w:rsid w:val="00DA35FF"/>
    <w:rsid w:val="00DA3C5F"/>
    <w:rsid w:val="00DA3E6C"/>
    <w:rsid w:val="00DA4CED"/>
    <w:rsid w:val="00DA6835"/>
    <w:rsid w:val="00DA6A66"/>
    <w:rsid w:val="00DA6DF9"/>
    <w:rsid w:val="00DA6FF3"/>
    <w:rsid w:val="00DA732C"/>
    <w:rsid w:val="00DA746F"/>
    <w:rsid w:val="00DA7908"/>
    <w:rsid w:val="00DA7C1F"/>
    <w:rsid w:val="00DB0A6F"/>
    <w:rsid w:val="00DB1687"/>
    <w:rsid w:val="00DB219A"/>
    <w:rsid w:val="00DB2E3D"/>
    <w:rsid w:val="00DB2E57"/>
    <w:rsid w:val="00DB3CAA"/>
    <w:rsid w:val="00DB646D"/>
    <w:rsid w:val="00DB6964"/>
    <w:rsid w:val="00DB7F72"/>
    <w:rsid w:val="00DC048F"/>
    <w:rsid w:val="00DC0B28"/>
    <w:rsid w:val="00DC0D66"/>
    <w:rsid w:val="00DC14DF"/>
    <w:rsid w:val="00DC20CE"/>
    <w:rsid w:val="00DC271D"/>
    <w:rsid w:val="00DC3369"/>
    <w:rsid w:val="00DC3DCB"/>
    <w:rsid w:val="00DC40C8"/>
    <w:rsid w:val="00DC46E2"/>
    <w:rsid w:val="00DC5748"/>
    <w:rsid w:val="00DC6A51"/>
    <w:rsid w:val="00DC7199"/>
    <w:rsid w:val="00DD0E35"/>
    <w:rsid w:val="00DD102F"/>
    <w:rsid w:val="00DD2699"/>
    <w:rsid w:val="00DD2C57"/>
    <w:rsid w:val="00DD2CA6"/>
    <w:rsid w:val="00DD5AE4"/>
    <w:rsid w:val="00DD701E"/>
    <w:rsid w:val="00DD79E0"/>
    <w:rsid w:val="00DD7A6C"/>
    <w:rsid w:val="00DD7CA9"/>
    <w:rsid w:val="00DE27F0"/>
    <w:rsid w:val="00DE4B0F"/>
    <w:rsid w:val="00DE51D2"/>
    <w:rsid w:val="00DE546F"/>
    <w:rsid w:val="00DE5BCF"/>
    <w:rsid w:val="00DE5F92"/>
    <w:rsid w:val="00DE6D1F"/>
    <w:rsid w:val="00DF0905"/>
    <w:rsid w:val="00DF1172"/>
    <w:rsid w:val="00DF29D4"/>
    <w:rsid w:val="00DF432A"/>
    <w:rsid w:val="00DF5142"/>
    <w:rsid w:val="00DF51F4"/>
    <w:rsid w:val="00DF57AB"/>
    <w:rsid w:val="00DF614B"/>
    <w:rsid w:val="00DF65B3"/>
    <w:rsid w:val="00DF68CD"/>
    <w:rsid w:val="00DF7381"/>
    <w:rsid w:val="00E00007"/>
    <w:rsid w:val="00E000ED"/>
    <w:rsid w:val="00E00590"/>
    <w:rsid w:val="00E028A0"/>
    <w:rsid w:val="00E03498"/>
    <w:rsid w:val="00E03C4A"/>
    <w:rsid w:val="00E03C86"/>
    <w:rsid w:val="00E03DA6"/>
    <w:rsid w:val="00E03F24"/>
    <w:rsid w:val="00E03FC9"/>
    <w:rsid w:val="00E047A2"/>
    <w:rsid w:val="00E0510E"/>
    <w:rsid w:val="00E0561B"/>
    <w:rsid w:val="00E05C13"/>
    <w:rsid w:val="00E066A7"/>
    <w:rsid w:val="00E06B92"/>
    <w:rsid w:val="00E06DC4"/>
    <w:rsid w:val="00E06EA1"/>
    <w:rsid w:val="00E06F1E"/>
    <w:rsid w:val="00E07D68"/>
    <w:rsid w:val="00E10439"/>
    <w:rsid w:val="00E10C99"/>
    <w:rsid w:val="00E10E00"/>
    <w:rsid w:val="00E11374"/>
    <w:rsid w:val="00E116B1"/>
    <w:rsid w:val="00E13DA9"/>
    <w:rsid w:val="00E14EE3"/>
    <w:rsid w:val="00E15229"/>
    <w:rsid w:val="00E1533F"/>
    <w:rsid w:val="00E1550E"/>
    <w:rsid w:val="00E161DD"/>
    <w:rsid w:val="00E164C6"/>
    <w:rsid w:val="00E16CAB"/>
    <w:rsid w:val="00E17308"/>
    <w:rsid w:val="00E24638"/>
    <w:rsid w:val="00E24D4E"/>
    <w:rsid w:val="00E25B47"/>
    <w:rsid w:val="00E25FDC"/>
    <w:rsid w:val="00E300E9"/>
    <w:rsid w:val="00E30138"/>
    <w:rsid w:val="00E31704"/>
    <w:rsid w:val="00E33B54"/>
    <w:rsid w:val="00E3435D"/>
    <w:rsid w:val="00E35461"/>
    <w:rsid w:val="00E3676F"/>
    <w:rsid w:val="00E36805"/>
    <w:rsid w:val="00E368E3"/>
    <w:rsid w:val="00E36ED5"/>
    <w:rsid w:val="00E37027"/>
    <w:rsid w:val="00E37572"/>
    <w:rsid w:val="00E4094F"/>
    <w:rsid w:val="00E40BA0"/>
    <w:rsid w:val="00E41342"/>
    <w:rsid w:val="00E415AB"/>
    <w:rsid w:val="00E41ED5"/>
    <w:rsid w:val="00E42B76"/>
    <w:rsid w:val="00E430EE"/>
    <w:rsid w:val="00E43AD9"/>
    <w:rsid w:val="00E45523"/>
    <w:rsid w:val="00E45880"/>
    <w:rsid w:val="00E507E4"/>
    <w:rsid w:val="00E5108D"/>
    <w:rsid w:val="00E51FB0"/>
    <w:rsid w:val="00E52391"/>
    <w:rsid w:val="00E527CE"/>
    <w:rsid w:val="00E52C04"/>
    <w:rsid w:val="00E5485E"/>
    <w:rsid w:val="00E54DD8"/>
    <w:rsid w:val="00E55650"/>
    <w:rsid w:val="00E57639"/>
    <w:rsid w:val="00E5795C"/>
    <w:rsid w:val="00E57967"/>
    <w:rsid w:val="00E5796A"/>
    <w:rsid w:val="00E607C8"/>
    <w:rsid w:val="00E61A4A"/>
    <w:rsid w:val="00E61DBA"/>
    <w:rsid w:val="00E61FD3"/>
    <w:rsid w:val="00E634D8"/>
    <w:rsid w:val="00E641A5"/>
    <w:rsid w:val="00E6458E"/>
    <w:rsid w:val="00E65A41"/>
    <w:rsid w:val="00E65FF9"/>
    <w:rsid w:val="00E66490"/>
    <w:rsid w:val="00E665CC"/>
    <w:rsid w:val="00E70112"/>
    <w:rsid w:val="00E70A11"/>
    <w:rsid w:val="00E72FB1"/>
    <w:rsid w:val="00E73043"/>
    <w:rsid w:val="00E730AC"/>
    <w:rsid w:val="00E734B7"/>
    <w:rsid w:val="00E73D6B"/>
    <w:rsid w:val="00E75541"/>
    <w:rsid w:val="00E773D4"/>
    <w:rsid w:val="00E80E4E"/>
    <w:rsid w:val="00E80FB8"/>
    <w:rsid w:val="00E82D93"/>
    <w:rsid w:val="00E82F5F"/>
    <w:rsid w:val="00E86599"/>
    <w:rsid w:val="00E91315"/>
    <w:rsid w:val="00E92579"/>
    <w:rsid w:val="00E9308E"/>
    <w:rsid w:val="00E9341B"/>
    <w:rsid w:val="00E948F8"/>
    <w:rsid w:val="00E94E7B"/>
    <w:rsid w:val="00E96F4E"/>
    <w:rsid w:val="00E97170"/>
    <w:rsid w:val="00E97BAB"/>
    <w:rsid w:val="00EA1F52"/>
    <w:rsid w:val="00EA285C"/>
    <w:rsid w:val="00EA36E0"/>
    <w:rsid w:val="00EA4509"/>
    <w:rsid w:val="00EA4B17"/>
    <w:rsid w:val="00EA4F1C"/>
    <w:rsid w:val="00EA521B"/>
    <w:rsid w:val="00EA5742"/>
    <w:rsid w:val="00EA5841"/>
    <w:rsid w:val="00EB026B"/>
    <w:rsid w:val="00EB0DBD"/>
    <w:rsid w:val="00EB2754"/>
    <w:rsid w:val="00EB2BD1"/>
    <w:rsid w:val="00EB2DD5"/>
    <w:rsid w:val="00EB3933"/>
    <w:rsid w:val="00EB3B0B"/>
    <w:rsid w:val="00EB4126"/>
    <w:rsid w:val="00EB478E"/>
    <w:rsid w:val="00EB4D92"/>
    <w:rsid w:val="00EB4F72"/>
    <w:rsid w:val="00EB55B2"/>
    <w:rsid w:val="00EB6AF0"/>
    <w:rsid w:val="00EB74D4"/>
    <w:rsid w:val="00EC069E"/>
    <w:rsid w:val="00EC0B12"/>
    <w:rsid w:val="00EC0F0E"/>
    <w:rsid w:val="00EC26D0"/>
    <w:rsid w:val="00EC2A3E"/>
    <w:rsid w:val="00EC361C"/>
    <w:rsid w:val="00EC4D53"/>
    <w:rsid w:val="00EC6015"/>
    <w:rsid w:val="00EC62DE"/>
    <w:rsid w:val="00EC63A2"/>
    <w:rsid w:val="00EC702C"/>
    <w:rsid w:val="00EC72FF"/>
    <w:rsid w:val="00EC7B32"/>
    <w:rsid w:val="00EC7D78"/>
    <w:rsid w:val="00ED0EC7"/>
    <w:rsid w:val="00ED1C01"/>
    <w:rsid w:val="00ED1C93"/>
    <w:rsid w:val="00ED1D16"/>
    <w:rsid w:val="00ED2362"/>
    <w:rsid w:val="00ED3880"/>
    <w:rsid w:val="00ED4BDC"/>
    <w:rsid w:val="00ED5586"/>
    <w:rsid w:val="00ED5982"/>
    <w:rsid w:val="00ED7779"/>
    <w:rsid w:val="00EE070A"/>
    <w:rsid w:val="00EE180C"/>
    <w:rsid w:val="00EE2B3A"/>
    <w:rsid w:val="00EE3BFC"/>
    <w:rsid w:val="00EE44B1"/>
    <w:rsid w:val="00EE7DDE"/>
    <w:rsid w:val="00EF153C"/>
    <w:rsid w:val="00EF3F67"/>
    <w:rsid w:val="00EF40CC"/>
    <w:rsid w:val="00EF428D"/>
    <w:rsid w:val="00EF4B7E"/>
    <w:rsid w:val="00EF4DB8"/>
    <w:rsid w:val="00F0038A"/>
    <w:rsid w:val="00F004DF"/>
    <w:rsid w:val="00F00671"/>
    <w:rsid w:val="00F00DFF"/>
    <w:rsid w:val="00F02967"/>
    <w:rsid w:val="00F02BE3"/>
    <w:rsid w:val="00F0305D"/>
    <w:rsid w:val="00F04E65"/>
    <w:rsid w:val="00F050FE"/>
    <w:rsid w:val="00F05302"/>
    <w:rsid w:val="00F075A3"/>
    <w:rsid w:val="00F11472"/>
    <w:rsid w:val="00F1164B"/>
    <w:rsid w:val="00F1265F"/>
    <w:rsid w:val="00F12927"/>
    <w:rsid w:val="00F12EAF"/>
    <w:rsid w:val="00F13C59"/>
    <w:rsid w:val="00F13E11"/>
    <w:rsid w:val="00F14751"/>
    <w:rsid w:val="00F1517D"/>
    <w:rsid w:val="00F157E5"/>
    <w:rsid w:val="00F15D52"/>
    <w:rsid w:val="00F16DD0"/>
    <w:rsid w:val="00F20389"/>
    <w:rsid w:val="00F20CB0"/>
    <w:rsid w:val="00F21207"/>
    <w:rsid w:val="00F23CAE"/>
    <w:rsid w:val="00F24167"/>
    <w:rsid w:val="00F24980"/>
    <w:rsid w:val="00F25159"/>
    <w:rsid w:val="00F256C3"/>
    <w:rsid w:val="00F25DE0"/>
    <w:rsid w:val="00F2747D"/>
    <w:rsid w:val="00F27755"/>
    <w:rsid w:val="00F3313B"/>
    <w:rsid w:val="00F33CFD"/>
    <w:rsid w:val="00F34161"/>
    <w:rsid w:val="00F347A2"/>
    <w:rsid w:val="00F34AB0"/>
    <w:rsid w:val="00F35058"/>
    <w:rsid w:val="00F352A2"/>
    <w:rsid w:val="00F360A3"/>
    <w:rsid w:val="00F37F53"/>
    <w:rsid w:val="00F4069B"/>
    <w:rsid w:val="00F40ACF"/>
    <w:rsid w:val="00F430CA"/>
    <w:rsid w:val="00F43FDD"/>
    <w:rsid w:val="00F452AE"/>
    <w:rsid w:val="00F452C4"/>
    <w:rsid w:val="00F46404"/>
    <w:rsid w:val="00F46B6B"/>
    <w:rsid w:val="00F47626"/>
    <w:rsid w:val="00F47AC6"/>
    <w:rsid w:val="00F506BD"/>
    <w:rsid w:val="00F5238E"/>
    <w:rsid w:val="00F525FC"/>
    <w:rsid w:val="00F54A16"/>
    <w:rsid w:val="00F55606"/>
    <w:rsid w:val="00F57224"/>
    <w:rsid w:val="00F57290"/>
    <w:rsid w:val="00F5768E"/>
    <w:rsid w:val="00F6099C"/>
    <w:rsid w:val="00F610BC"/>
    <w:rsid w:val="00F6268D"/>
    <w:rsid w:val="00F63C8C"/>
    <w:rsid w:val="00F63EB6"/>
    <w:rsid w:val="00F6402B"/>
    <w:rsid w:val="00F64FFD"/>
    <w:rsid w:val="00F65192"/>
    <w:rsid w:val="00F65ED9"/>
    <w:rsid w:val="00F6621D"/>
    <w:rsid w:val="00F66362"/>
    <w:rsid w:val="00F66413"/>
    <w:rsid w:val="00F705D7"/>
    <w:rsid w:val="00F70954"/>
    <w:rsid w:val="00F7227B"/>
    <w:rsid w:val="00F73026"/>
    <w:rsid w:val="00F7373E"/>
    <w:rsid w:val="00F73D70"/>
    <w:rsid w:val="00F7401C"/>
    <w:rsid w:val="00F743A7"/>
    <w:rsid w:val="00F74913"/>
    <w:rsid w:val="00F7545C"/>
    <w:rsid w:val="00F75BCD"/>
    <w:rsid w:val="00F76213"/>
    <w:rsid w:val="00F76605"/>
    <w:rsid w:val="00F76E3D"/>
    <w:rsid w:val="00F77203"/>
    <w:rsid w:val="00F8066B"/>
    <w:rsid w:val="00F80A58"/>
    <w:rsid w:val="00F81377"/>
    <w:rsid w:val="00F81784"/>
    <w:rsid w:val="00F82B7D"/>
    <w:rsid w:val="00F82D5D"/>
    <w:rsid w:val="00F835C0"/>
    <w:rsid w:val="00F8387D"/>
    <w:rsid w:val="00F857AD"/>
    <w:rsid w:val="00F85928"/>
    <w:rsid w:val="00F85F55"/>
    <w:rsid w:val="00F8611A"/>
    <w:rsid w:val="00F8787D"/>
    <w:rsid w:val="00F9116B"/>
    <w:rsid w:val="00F91C26"/>
    <w:rsid w:val="00F92112"/>
    <w:rsid w:val="00F92C10"/>
    <w:rsid w:val="00F92D0E"/>
    <w:rsid w:val="00F93659"/>
    <w:rsid w:val="00F93EC8"/>
    <w:rsid w:val="00F94AA6"/>
    <w:rsid w:val="00F94F77"/>
    <w:rsid w:val="00F94FAD"/>
    <w:rsid w:val="00F954DD"/>
    <w:rsid w:val="00F9763E"/>
    <w:rsid w:val="00FA1934"/>
    <w:rsid w:val="00FA20A6"/>
    <w:rsid w:val="00FA20FB"/>
    <w:rsid w:val="00FA4E12"/>
    <w:rsid w:val="00FA50F0"/>
    <w:rsid w:val="00FA53CD"/>
    <w:rsid w:val="00FA5773"/>
    <w:rsid w:val="00FA59D6"/>
    <w:rsid w:val="00FA62E9"/>
    <w:rsid w:val="00FA78DD"/>
    <w:rsid w:val="00FA7F37"/>
    <w:rsid w:val="00FB00D3"/>
    <w:rsid w:val="00FB0B51"/>
    <w:rsid w:val="00FB12FD"/>
    <w:rsid w:val="00FB1942"/>
    <w:rsid w:val="00FB26B6"/>
    <w:rsid w:val="00FB34C8"/>
    <w:rsid w:val="00FB36D7"/>
    <w:rsid w:val="00FB3CAF"/>
    <w:rsid w:val="00FB4340"/>
    <w:rsid w:val="00FB53CA"/>
    <w:rsid w:val="00FB56B2"/>
    <w:rsid w:val="00FB623F"/>
    <w:rsid w:val="00FB704F"/>
    <w:rsid w:val="00FC1F36"/>
    <w:rsid w:val="00FC2E31"/>
    <w:rsid w:val="00FC34ED"/>
    <w:rsid w:val="00FC3849"/>
    <w:rsid w:val="00FC3C68"/>
    <w:rsid w:val="00FC574A"/>
    <w:rsid w:val="00FC6B08"/>
    <w:rsid w:val="00FC6EE3"/>
    <w:rsid w:val="00FD0D5A"/>
    <w:rsid w:val="00FD1B81"/>
    <w:rsid w:val="00FD1C60"/>
    <w:rsid w:val="00FD1D5A"/>
    <w:rsid w:val="00FD1F59"/>
    <w:rsid w:val="00FD2297"/>
    <w:rsid w:val="00FD3BBA"/>
    <w:rsid w:val="00FD3EBC"/>
    <w:rsid w:val="00FD4A59"/>
    <w:rsid w:val="00FD5393"/>
    <w:rsid w:val="00FD6BFB"/>
    <w:rsid w:val="00FD7364"/>
    <w:rsid w:val="00FE07A6"/>
    <w:rsid w:val="00FE1831"/>
    <w:rsid w:val="00FE265D"/>
    <w:rsid w:val="00FE42A4"/>
    <w:rsid w:val="00FE4406"/>
    <w:rsid w:val="00FE4DCF"/>
    <w:rsid w:val="00FE5550"/>
    <w:rsid w:val="00FE5BB5"/>
    <w:rsid w:val="00FE759C"/>
    <w:rsid w:val="00FF00CF"/>
    <w:rsid w:val="00FF1099"/>
    <w:rsid w:val="00FF185A"/>
    <w:rsid w:val="00FF1900"/>
    <w:rsid w:val="00FF237B"/>
    <w:rsid w:val="00FF2691"/>
    <w:rsid w:val="00FF2D45"/>
    <w:rsid w:val="00FF4C1B"/>
    <w:rsid w:val="00FF59F9"/>
    <w:rsid w:val="00FF5A38"/>
    <w:rsid w:val="00FF5A40"/>
    <w:rsid w:val="00FF6CF1"/>
    <w:rsid w:val="00FF7F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7FE"/>
    <w:pPr>
      <w:spacing w:before="160" w:line="288" w:lineRule="auto"/>
      <w:jc w:val="both"/>
    </w:pPr>
    <w:rPr>
      <w:rFonts w:ascii="Arial" w:hAnsi="Arial"/>
      <w:sz w:val="21"/>
      <w:lang w:val="en-GB" w:eastAsia="en-US"/>
    </w:rPr>
  </w:style>
  <w:style w:type="paragraph" w:styleId="Heading1">
    <w:name w:val="heading 1"/>
    <w:basedOn w:val="Normal"/>
    <w:next w:val="Normal"/>
    <w:link w:val="Heading1Char"/>
    <w:uiPriority w:val="9"/>
    <w:qFormat/>
    <w:rsid w:val="004E28FB"/>
    <w:pPr>
      <w:keepNext/>
      <w:numPr>
        <w:numId w:val="2"/>
      </w:numPr>
      <w:spacing w:before="120" w:after="480"/>
      <w:outlineLvl w:val="0"/>
    </w:pPr>
    <w:rPr>
      <w:b/>
      <w:caps/>
      <w:color w:val="000080"/>
      <w:sz w:val="24"/>
    </w:rPr>
  </w:style>
  <w:style w:type="paragraph" w:styleId="Heading2">
    <w:name w:val="heading 2"/>
    <w:basedOn w:val="Normal"/>
    <w:next w:val="Normal"/>
    <w:link w:val="Heading2Char"/>
    <w:uiPriority w:val="9"/>
    <w:qFormat/>
    <w:rsid w:val="006A51D3"/>
    <w:pPr>
      <w:keepNext/>
      <w:numPr>
        <w:ilvl w:val="1"/>
        <w:numId w:val="2"/>
      </w:numPr>
      <w:spacing w:before="360" w:after="120" w:line="264" w:lineRule="auto"/>
      <w:jc w:val="left"/>
      <w:outlineLvl w:val="1"/>
    </w:pPr>
    <w:rPr>
      <w:b/>
      <w:smallCaps/>
      <w:color w:val="000080"/>
      <w:sz w:val="22"/>
    </w:rPr>
  </w:style>
  <w:style w:type="paragraph" w:styleId="Heading3">
    <w:name w:val="heading 3"/>
    <w:basedOn w:val="Normal"/>
    <w:next w:val="Normal"/>
    <w:link w:val="Heading3Char"/>
    <w:uiPriority w:val="9"/>
    <w:qFormat/>
    <w:rsid w:val="00CB0844"/>
    <w:pPr>
      <w:keepNext/>
      <w:spacing w:before="240" w:after="120" w:line="240" w:lineRule="exact"/>
      <w:jc w:val="left"/>
      <w:outlineLvl w:val="2"/>
    </w:pPr>
    <w:rPr>
      <w:b/>
      <w:i/>
      <w:color w:val="000080"/>
    </w:rPr>
  </w:style>
  <w:style w:type="paragraph" w:styleId="Heading4">
    <w:name w:val="heading 4"/>
    <w:basedOn w:val="Normal"/>
    <w:next w:val="Normal"/>
    <w:link w:val="Heading4Char"/>
    <w:uiPriority w:val="9"/>
    <w:qFormat/>
    <w:rsid w:val="00CB0844"/>
    <w:pPr>
      <w:keepNext/>
      <w:keepLines/>
      <w:spacing w:before="120" w:after="120" w:line="240" w:lineRule="auto"/>
      <w:jc w:val="left"/>
      <w:outlineLvl w:val="3"/>
    </w:pPr>
    <w:rPr>
      <w:rFonts w:cs="Arial"/>
      <w:b/>
      <w:i/>
      <w:color w:val="000000" w:themeColor="text1"/>
    </w:rPr>
  </w:style>
  <w:style w:type="paragraph" w:styleId="Heading5">
    <w:name w:val="heading 5"/>
    <w:basedOn w:val="Heading1"/>
    <w:next w:val="Normal"/>
    <w:link w:val="Heading5Char"/>
    <w:qFormat/>
    <w:rsid w:val="0082271C"/>
    <w:pPr>
      <w:numPr>
        <w:numId w:val="0"/>
      </w:numPr>
      <w:suppressAutoHyphens/>
      <w:spacing w:before="200" w:after="0"/>
      <w:jc w:val="left"/>
      <w:outlineLvl w:val="4"/>
    </w:pPr>
    <w:rPr>
      <w:bCs/>
      <w:i/>
      <w:iCs/>
      <w:sz w:val="21"/>
      <w:szCs w:val="21"/>
    </w:rPr>
  </w:style>
  <w:style w:type="paragraph" w:styleId="Heading6">
    <w:name w:val="heading 6"/>
    <w:basedOn w:val="Normal"/>
    <w:next w:val="Normal"/>
    <w:link w:val="Heading6Char"/>
    <w:qFormat/>
    <w:rsid w:val="00640F16"/>
    <w:pPr>
      <w:numPr>
        <w:ilvl w:val="3"/>
        <w:numId w:val="1"/>
      </w:numPr>
      <w:spacing w:before="240"/>
      <w:outlineLvl w:val="5"/>
    </w:pPr>
    <w:rPr>
      <w:b/>
    </w:rPr>
  </w:style>
  <w:style w:type="paragraph" w:styleId="Heading7">
    <w:name w:val="heading 7"/>
    <w:basedOn w:val="Normal"/>
    <w:next w:val="Normal"/>
    <w:link w:val="Heading7Char"/>
    <w:qFormat/>
    <w:rsid w:val="00640F16"/>
    <w:pPr>
      <w:numPr>
        <w:ilvl w:val="4"/>
        <w:numId w:val="1"/>
      </w:numPr>
      <w:outlineLvl w:val="6"/>
    </w:pPr>
    <w:rPr>
      <w:b/>
    </w:rPr>
  </w:style>
  <w:style w:type="paragraph" w:styleId="Heading8">
    <w:name w:val="heading 8"/>
    <w:basedOn w:val="Normal"/>
    <w:next w:val="Normal"/>
    <w:link w:val="Heading8Char"/>
    <w:qFormat/>
    <w:rsid w:val="00640F16"/>
    <w:pPr>
      <w:outlineLvl w:val="7"/>
    </w:pPr>
    <w:rPr>
      <w:i/>
    </w:rPr>
  </w:style>
  <w:style w:type="paragraph" w:styleId="Heading9">
    <w:name w:val="heading 9"/>
    <w:basedOn w:val="Normal"/>
    <w:next w:val="Normal"/>
    <w:link w:val="Heading9Char"/>
    <w:qFormat/>
    <w:rsid w:val="00640F16"/>
    <w:p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E28FB"/>
    <w:rPr>
      <w:rFonts w:ascii="Arial" w:hAnsi="Arial"/>
      <w:b/>
      <w:caps/>
      <w:color w:val="000080"/>
      <w:sz w:val="24"/>
      <w:lang w:val="en-GB" w:eastAsia="en-US"/>
    </w:rPr>
  </w:style>
  <w:style w:type="character" w:customStyle="1" w:styleId="Heading2Char">
    <w:name w:val="Heading 2 Char"/>
    <w:link w:val="Heading2"/>
    <w:uiPriority w:val="9"/>
    <w:rsid w:val="006A51D3"/>
    <w:rPr>
      <w:rFonts w:ascii="Arial" w:hAnsi="Arial"/>
      <w:b/>
      <w:smallCaps/>
      <w:color w:val="000080"/>
      <w:sz w:val="22"/>
    </w:rPr>
  </w:style>
  <w:style w:type="character" w:customStyle="1" w:styleId="Heading3Char">
    <w:name w:val="Heading 3 Char"/>
    <w:link w:val="Heading3"/>
    <w:uiPriority w:val="9"/>
    <w:rsid w:val="00CB0844"/>
    <w:rPr>
      <w:rFonts w:ascii="Arial" w:hAnsi="Arial"/>
      <w:b/>
      <w:i/>
      <w:color w:val="000080"/>
      <w:sz w:val="21"/>
      <w:lang w:val="en-GB" w:eastAsia="en-US"/>
    </w:rPr>
  </w:style>
  <w:style w:type="character" w:customStyle="1" w:styleId="Heading4Char">
    <w:name w:val="Heading 4 Char"/>
    <w:link w:val="Heading4"/>
    <w:uiPriority w:val="9"/>
    <w:rsid w:val="00CB0844"/>
    <w:rPr>
      <w:rFonts w:ascii="Arial" w:hAnsi="Arial" w:cs="Arial"/>
      <w:b/>
      <w:i/>
      <w:color w:val="000000" w:themeColor="text1"/>
      <w:sz w:val="21"/>
      <w:lang w:val="en-GB" w:eastAsia="en-US"/>
    </w:rPr>
  </w:style>
  <w:style w:type="character" w:customStyle="1" w:styleId="Heading5Char">
    <w:name w:val="Heading 5 Char"/>
    <w:link w:val="Heading5"/>
    <w:rsid w:val="0082271C"/>
    <w:rPr>
      <w:rFonts w:ascii="Arial" w:hAnsi="Arial"/>
      <w:b/>
      <w:bCs/>
      <w:i/>
      <w:iCs/>
      <w:caps/>
      <w:noProof w:val="0"/>
      <w:color w:val="000080"/>
      <w:sz w:val="21"/>
      <w:szCs w:val="21"/>
      <w:lang w:val="en-GB" w:eastAsia="en-US" w:bidi="ar-SA"/>
    </w:rPr>
  </w:style>
  <w:style w:type="paragraph" w:styleId="Caption">
    <w:name w:val="caption"/>
    <w:basedOn w:val="Normal"/>
    <w:next w:val="Normal"/>
    <w:uiPriority w:val="35"/>
    <w:qFormat/>
    <w:rsid w:val="00640F16"/>
    <w:pPr>
      <w:spacing w:before="120" w:after="120" w:line="240" w:lineRule="exact"/>
      <w:jc w:val="center"/>
    </w:pPr>
    <w:rPr>
      <w:i/>
    </w:rPr>
  </w:style>
  <w:style w:type="paragraph" w:styleId="TOC1">
    <w:name w:val="toc 1"/>
    <w:basedOn w:val="Caption"/>
    <w:next w:val="Normal"/>
    <w:autoRedefine/>
    <w:uiPriority w:val="39"/>
    <w:qFormat/>
    <w:rsid w:val="000E313D"/>
    <w:pPr>
      <w:keepNext/>
      <w:spacing w:line="240" w:lineRule="auto"/>
      <w:jc w:val="both"/>
    </w:pPr>
    <w:rPr>
      <w:rFonts w:eastAsia="Calibri" w:cs="Arial"/>
      <w:b/>
      <w:i w:val="0"/>
      <w:color w:val="000000" w:themeColor="text1"/>
    </w:rPr>
  </w:style>
  <w:style w:type="paragraph" w:styleId="TOC2">
    <w:name w:val="toc 2"/>
    <w:basedOn w:val="Normal"/>
    <w:next w:val="Normal"/>
    <w:autoRedefine/>
    <w:uiPriority w:val="39"/>
    <w:qFormat/>
    <w:rsid w:val="00CE5DB4"/>
    <w:pPr>
      <w:spacing w:before="0"/>
      <w:ind w:left="210"/>
      <w:jc w:val="left"/>
    </w:pPr>
    <w:rPr>
      <w:rFonts w:ascii="Calibri" w:hAnsi="Calibri" w:cs="Calibri"/>
      <w:smallCaps/>
      <w:sz w:val="20"/>
    </w:rPr>
  </w:style>
  <w:style w:type="paragraph" w:styleId="TOC3">
    <w:name w:val="toc 3"/>
    <w:basedOn w:val="Normal"/>
    <w:next w:val="Normal"/>
    <w:autoRedefine/>
    <w:uiPriority w:val="39"/>
    <w:qFormat/>
    <w:rsid w:val="00640F16"/>
    <w:pPr>
      <w:spacing w:before="0"/>
      <w:ind w:left="420"/>
      <w:jc w:val="left"/>
    </w:pPr>
    <w:rPr>
      <w:rFonts w:ascii="Calibri" w:hAnsi="Calibri" w:cs="Calibri"/>
      <w:i/>
      <w:iCs/>
      <w:sz w:val="20"/>
    </w:rPr>
  </w:style>
  <w:style w:type="paragraph" w:customStyle="1" w:styleId="Bullets2">
    <w:name w:val="Bullets 2"/>
    <w:basedOn w:val="Bullets3"/>
    <w:rsid w:val="005D5B40"/>
    <w:pPr>
      <w:numPr>
        <w:numId w:val="4"/>
      </w:numPr>
      <w:spacing w:before="0"/>
    </w:pPr>
  </w:style>
  <w:style w:type="paragraph" w:customStyle="1" w:styleId="Bullets3">
    <w:name w:val="Bullets 3"/>
    <w:basedOn w:val="Normal"/>
    <w:rsid w:val="00640F16"/>
  </w:style>
  <w:style w:type="paragraph" w:customStyle="1" w:styleId="Bullets">
    <w:name w:val="Bullets"/>
    <w:basedOn w:val="Normal"/>
    <w:link w:val="BulletsCharChar"/>
    <w:rsid w:val="00F7401C"/>
    <w:pPr>
      <w:spacing w:before="0"/>
    </w:pPr>
    <w:rPr>
      <w:szCs w:val="21"/>
    </w:rPr>
  </w:style>
  <w:style w:type="character" w:customStyle="1" w:styleId="BulletsCharChar">
    <w:name w:val="Bullets Char Char"/>
    <w:link w:val="Bullets"/>
    <w:rsid w:val="00F7401C"/>
    <w:rPr>
      <w:rFonts w:ascii="Arial" w:hAnsi="Arial" w:cs="Arial"/>
      <w:sz w:val="21"/>
      <w:szCs w:val="21"/>
    </w:rPr>
  </w:style>
  <w:style w:type="paragraph" w:customStyle="1" w:styleId="TableText">
    <w:name w:val="Table Text"/>
    <w:basedOn w:val="Normal"/>
    <w:link w:val="TableTextChar"/>
    <w:rsid w:val="00640F16"/>
    <w:pPr>
      <w:spacing w:before="40"/>
      <w:jc w:val="left"/>
    </w:pPr>
    <w:rPr>
      <w:sz w:val="20"/>
    </w:rPr>
  </w:style>
  <w:style w:type="character" w:customStyle="1" w:styleId="TableTextChar">
    <w:name w:val="Table Text Char"/>
    <w:link w:val="TableText"/>
    <w:rsid w:val="00E03498"/>
    <w:rPr>
      <w:rFonts w:ascii="Arial" w:hAnsi="Arial"/>
      <w:noProof w:val="0"/>
      <w:lang w:val="en-GB" w:eastAsia="en-US" w:bidi="ar-SA"/>
    </w:rPr>
  </w:style>
  <w:style w:type="paragraph" w:customStyle="1" w:styleId="TableHeading">
    <w:name w:val="Table Heading"/>
    <w:basedOn w:val="TableText"/>
    <w:link w:val="TableHeadingChar"/>
    <w:rsid w:val="00640F16"/>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E03498"/>
    <w:rPr>
      <w:rFonts w:ascii="Arial Narrow" w:hAnsi="Arial Narrow"/>
      <w:smallCaps/>
      <w:noProof w:val="0"/>
      <w:color w:val="000080"/>
      <w:lang w:val="en-GB" w:eastAsia="en-US" w:bidi="ar-SA"/>
    </w:rPr>
  </w:style>
  <w:style w:type="paragraph" w:styleId="Footer">
    <w:name w:val="footer"/>
    <w:basedOn w:val="Normal"/>
    <w:link w:val="FooterChar"/>
    <w:rsid w:val="00E45880"/>
    <w:pPr>
      <w:pBdr>
        <w:top w:val="single" w:sz="2" w:space="6" w:color="auto"/>
      </w:pBdr>
      <w:tabs>
        <w:tab w:val="right" w:pos="9356"/>
      </w:tabs>
      <w:spacing w:before="0" w:line="240" w:lineRule="auto"/>
      <w:jc w:val="center"/>
    </w:pPr>
    <w:rPr>
      <w:bCs/>
      <w:noProof/>
      <w:sz w:val="16"/>
      <w:szCs w:val="16"/>
    </w:rPr>
  </w:style>
  <w:style w:type="paragraph" w:styleId="Header">
    <w:name w:val="header"/>
    <w:basedOn w:val="Normal"/>
    <w:link w:val="HeaderChar"/>
    <w:uiPriority w:val="99"/>
    <w:rsid w:val="004F523C"/>
    <w:pPr>
      <w:pBdr>
        <w:bottom w:val="single" w:sz="2" w:space="4" w:color="auto"/>
      </w:pBdr>
      <w:tabs>
        <w:tab w:val="right" w:pos="9356"/>
      </w:tabs>
      <w:spacing w:before="0"/>
      <w:jc w:val="left"/>
    </w:pPr>
    <w:rPr>
      <w:rFonts w:ascii="Arial Narrow" w:hAnsi="Arial Narrow"/>
      <w:noProof/>
      <w:sz w:val="18"/>
      <w:szCs w:val="18"/>
      <w:lang w:val="en-US"/>
    </w:rPr>
  </w:style>
  <w:style w:type="paragraph" w:styleId="TOC4">
    <w:name w:val="toc 4"/>
    <w:basedOn w:val="Normal"/>
    <w:next w:val="Normal"/>
    <w:autoRedefine/>
    <w:uiPriority w:val="39"/>
    <w:rsid w:val="00CE5DB4"/>
    <w:pPr>
      <w:spacing w:before="0"/>
      <w:ind w:left="630"/>
      <w:jc w:val="left"/>
    </w:pPr>
    <w:rPr>
      <w:rFonts w:ascii="Calibri" w:hAnsi="Calibri" w:cs="Calibri"/>
      <w:sz w:val="18"/>
      <w:szCs w:val="18"/>
    </w:rPr>
  </w:style>
  <w:style w:type="paragraph" w:styleId="TOC5">
    <w:name w:val="toc 5"/>
    <w:basedOn w:val="Normal"/>
    <w:next w:val="Normal"/>
    <w:autoRedefine/>
    <w:uiPriority w:val="39"/>
    <w:rsid w:val="00A01F0E"/>
    <w:pPr>
      <w:spacing w:before="0"/>
      <w:ind w:left="840"/>
      <w:jc w:val="left"/>
    </w:pPr>
    <w:rPr>
      <w:rFonts w:ascii="Calibri" w:hAnsi="Calibri" w:cs="Calibri"/>
      <w:sz w:val="18"/>
      <w:szCs w:val="18"/>
    </w:rPr>
  </w:style>
  <w:style w:type="paragraph" w:styleId="TOC6">
    <w:name w:val="toc 6"/>
    <w:basedOn w:val="Normal"/>
    <w:next w:val="Normal"/>
    <w:autoRedefine/>
    <w:uiPriority w:val="39"/>
    <w:rsid w:val="00640F16"/>
    <w:pPr>
      <w:spacing w:before="0"/>
      <w:ind w:left="1050"/>
      <w:jc w:val="left"/>
    </w:pPr>
    <w:rPr>
      <w:rFonts w:ascii="Calibri" w:hAnsi="Calibri" w:cs="Calibri"/>
      <w:sz w:val="18"/>
      <w:szCs w:val="18"/>
    </w:rPr>
  </w:style>
  <w:style w:type="paragraph" w:styleId="TOC7">
    <w:name w:val="toc 7"/>
    <w:basedOn w:val="Normal"/>
    <w:next w:val="Normal"/>
    <w:autoRedefine/>
    <w:uiPriority w:val="39"/>
    <w:rsid w:val="00640F16"/>
    <w:pPr>
      <w:spacing w:before="0"/>
      <w:ind w:left="1260"/>
      <w:jc w:val="left"/>
    </w:pPr>
    <w:rPr>
      <w:rFonts w:ascii="Calibri" w:hAnsi="Calibri" w:cs="Calibri"/>
      <w:sz w:val="18"/>
      <w:szCs w:val="18"/>
    </w:rPr>
  </w:style>
  <w:style w:type="paragraph" w:styleId="TOC8">
    <w:name w:val="toc 8"/>
    <w:basedOn w:val="Normal"/>
    <w:next w:val="Normal"/>
    <w:autoRedefine/>
    <w:uiPriority w:val="39"/>
    <w:rsid w:val="00EC63A2"/>
    <w:pPr>
      <w:spacing w:before="0"/>
      <w:ind w:left="1470"/>
      <w:jc w:val="left"/>
    </w:pPr>
    <w:rPr>
      <w:rFonts w:ascii="Calibri" w:hAnsi="Calibri" w:cs="Calibri"/>
      <w:sz w:val="18"/>
      <w:szCs w:val="18"/>
    </w:rPr>
  </w:style>
  <w:style w:type="paragraph" w:styleId="TOC9">
    <w:name w:val="toc 9"/>
    <w:basedOn w:val="Normal"/>
    <w:next w:val="Normal"/>
    <w:autoRedefine/>
    <w:uiPriority w:val="39"/>
    <w:rsid w:val="00640F16"/>
    <w:pPr>
      <w:spacing w:before="0"/>
      <w:ind w:left="1680"/>
      <w:jc w:val="left"/>
    </w:pPr>
    <w:rPr>
      <w:rFonts w:ascii="Calibri" w:hAnsi="Calibri" w:cs="Calibri"/>
      <w:sz w:val="18"/>
      <w:szCs w:val="18"/>
    </w:rPr>
  </w:style>
  <w:style w:type="paragraph" w:customStyle="1" w:styleId="AppH1">
    <w:name w:val="App H1"/>
    <w:next w:val="Normal"/>
    <w:rsid w:val="0048457F"/>
    <w:pPr>
      <w:pageBreakBefore/>
      <w:numPr>
        <w:numId w:val="3"/>
      </w:numPr>
      <w:pBdr>
        <w:bottom w:val="single" w:sz="2" w:space="3" w:color="C0C0C0"/>
      </w:pBdr>
      <w:tabs>
        <w:tab w:val="left" w:pos="1276"/>
      </w:tabs>
      <w:spacing w:after="240"/>
      <w:jc w:val="center"/>
    </w:pPr>
    <w:rPr>
      <w:rFonts w:ascii="Arial" w:hAnsi="Arial"/>
      <w:b/>
      <w:smallCaps/>
      <w:noProof/>
      <w:color w:val="000080"/>
      <w:sz w:val="24"/>
      <w:szCs w:val="24"/>
      <w:lang w:val="en-US" w:eastAsia="en-US"/>
    </w:rPr>
  </w:style>
  <w:style w:type="paragraph" w:styleId="TableofAuthorities">
    <w:name w:val="table of authorities"/>
    <w:basedOn w:val="Normal"/>
    <w:next w:val="Normal"/>
    <w:semiHidden/>
    <w:rsid w:val="00640F16"/>
    <w:pPr>
      <w:ind w:left="200" w:hanging="200"/>
    </w:pPr>
  </w:style>
  <w:style w:type="character" w:styleId="EndnoteReference">
    <w:name w:val="endnote reference"/>
    <w:semiHidden/>
    <w:rsid w:val="00640F16"/>
    <w:rPr>
      <w:noProof w:val="0"/>
      <w:vertAlign w:val="superscript"/>
      <w:lang w:val="en-GB"/>
    </w:rPr>
  </w:style>
  <w:style w:type="paragraph" w:styleId="EndnoteText">
    <w:name w:val="endnote text"/>
    <w:basedOn w:val="Normal"/>
    <w:link w:val="EndnoteTextChar"/>
    <w:semiHidden/>
    <w:rsid w:val="00640F16"/>
  </w:style>
  <w:style w:type="character" w:styleId="FollowedHyperlink">
    <w:name w:val="FollowedHyperlink"/>
    <w:uiPriority w:val="99"/>
    <w:rsid w:val="00640F16"/>
    <w:rPr>
      <w:noProof w:val="0"/>
      <w:color w:val="800080"/>
      <w:u w:val="single"/>
      <w:lang w:val="en-GB"/>
    </w:rPr>
  </w:style>
  <w:style w:type="character" w:styleId="Hyperlink">
    <w:name w:val="Hyperlink"/>
    <w:aliases w:val="min"/>
    <w:uiPriority w:val="99"/>
    <w:rsid w:val="009D24EA"/>
    <w:rPr>
      <w:rFonts w:cs="Arial"/>
      <w:noProof w:val="0"/>
      <w:color w:val="0000FF"/>
      <w:sz w:val="16"/>
      <w:szCs w:val="16"/>
      <w:u w:val="single"/>
      <w:lang w:val="en-GB"/>
    </w:rPr>
  </w:style>
  <w:style w:type="paragraph" w:styleId="IndexHeading">
    <w:name w:val="index heading"/>
    <w:basedOn w:val="Normal"/>
    <w:next w:val="Normal"/>
    <w:semiHidden/>
    <w:rsid w:val="00640F16"/>
    <w:rPr>
      <w:b/>
    </w:rPr>
  </w:style>
  <w:style w:type="paragraph" w:styleId="TableofFigures">
    <w:name w:val="table of figures"/>
    <w:basedOn w:val="Normal"/>
    <w:next w:val="Normal"/>
    <w:semiHidden/>
    <w:rsid w:val="00640F16"/>
    <w:pPr>
      <w:ind w:left="400" w:hanging="400"/>
    </w:pPr>
  </w:style>
  <w:style w:type="paragraph" w:customStyle="1" w:styleId="tablebullets">
    <w:name w:val="table bullets"/>
    <w:basedOn w:val="Tablenormal0"/>
    <w:rsid w:val="00C14E00"/>
    <w:pPr>
      <w:numPr>
        <w:numId w:val="7"/>
      </w:numPr>
    </w:pPr>
  </w:style>
  <w:style w:type="paragraph" w:customStyle="1" w:styleId="Tablenormal0">
    <w:name w:val="Table normal"/>
    <w:basedOn w:val="Normal"/>
    <w:rsid w:val="00B90EC3"/>
    <w:pPr>
      <w:autoSpaceDE w:val="0"/>
      <w:autoSpaceDN w:val="0"/>
      <w:adjustRightInd w:val="0"/>
      <w:spacing w:before="40" w:after="40" w:line="240" w:lineRule="auto"/>
      <w:jc w:val="left"/>
    </w:pPr>
    <w:rPr>
      <w:color w:val="000000"/>
      <w:sz w:val="20"/>
      <w:lang w:val="en-US" w:eastAsia="ru-RU"/>
    </w:rPr>
  </w:style>
  <w:style w:type="paragraph" w:styleId="CommentText">
    <w:name w:val="annotation text"/>
    <w:basedOn w:val="Normal"/>
    <w:link w:val="CommentTextChar"/>
    <w:uiPriority w:val="99"/>
    <w:rsid w:val="00640F16"/>
  </w:style>
  <w:style w:type="paragraph" w:styleId="Title">
    <w:name w:val="Title"/>
    <w:basedOn w:val="Normal"/>
    <w:link w:val="TitleChar"/>
    <w:uiPriority w:val="10"/>
    <w:qFormat/>
    <w:rsid w:val="00640F16"/>
    <w:pPr>
      <w:tabs>
        <w:tab w:val="left" w:pos="482"/>
      </w:tabs>
      <w:spacing w:before="480"/>
      <w:ind w:left="425" w:hanging="425"/>
      <w:jc w:val="left"/>
      <w:outlineLvl w:val="0"/>
    </w:pPr>
    <w:rPr>
      <w:bCs/>
      <w:i/>
      <w:iCs/>
      <w:color w:val="FFFFFF"/>
      <w:kern w:val="28"/>
      <w:sz w:val="40"/>
      <w:szCs w:val="40"/>
    </w:rPr>
  </w:style>
  <w:style w:type="character" w:styleId="CommentReference">
    <w:name w:val="annotation reference"/>
    <w:uiPriority w:val="99"/>
    <w:semiHidden/>
    <w:rsid w:val="00640F16"/>
    <w:rPr>
      <w:noProof w:val="0"/>
      <w:sz w:val="16"/>
      <w:lang w:val="en-GB"/>
    </w:rPr>
  </w:style>
  <w:style w:type="character" w:styleId="FootnoteReference">
    <w:name w:val="footnote reference"/>
    <w:rsid w:val="00267412"/>
    <w:rPr>
      <w:rFonts w:cs="Arial"/>
      <w:color w:val="000000"/>
      <w:szCs w:val="21"/>
      <w:vertAlign w:val="superscript"/>
    </w:rPr>
  </w:style>
  <w:style w:type="paragraph" w:styleId="FootnoteText">
    <w:name w:val="footnote text"/>
    <w:basedOn w:val="Normal"/>
    <w:link w:val="FootnoteTextChar"/>
    <w:uiPriority w:val="99"/>
    <w:semiHidden/>
    <w:rsid w:val="00547689"/>
    <w:pPr>
      <w:spacing w:before="80"/>
      <w:ind w:left="284" w:hanging="284"/>
    </w:pPr>
    <w:rPr>
      <w:sz w:val="18"/>
      <w:szCs w:val="18"/>
    </w:rPr>
  </w:style>
  <w:style w:type="paragraph" w:customStyle="1" w:styleId="Tablebullets0">
    <w:name w:val="Table bullets"/>
    <w:basedOn w:val="TableText"/>
    <w:link w:val="TablebulletsChar"/>
    <w:rsid w:val="00640F16"/>
    <w:pPr>
      <w:numPr>
        <w:numId w:val="6"/>
      </w:numPr>
    </w:pPr>
  </w:style>
  <w:style w:type="paragraph" w:customStyle="1" w:styleId="AppH2">
    <w:name w:val="App H2"/>
    <w:basedOn w:val="Heading2"/>
    <w:rsid w:val="007F4293"/>
    <w:pPr>
      <w:numPr>
        <w:numId w:val="3"/>
      </w:numPr>
      <w:tabs>
        <w:tab w:val="left" w:pos="284"/>
      </w:tabs>
      <w:suppressAutoHyphens/>
    </w:pPr>
    <w:rPr>
      <w:szCs w:val="22"/>
    </w:rPr>
  </w:style>
  <w:style w:type="paragraph" w:customStyle="1" w:styleId="AppH3">
    <w:name w:val="App H3"/>
    <w:basedOn w:val="Heading3"/>
    <w:rsid w:val="00547689"/>
    <w:pPr>
      <w:tabs>
        <w:tab w:val="left" w:pos="709"/>
        <w:tab w:val="num" w:pos="1134"/>
      </w:tabs>
      <w:spacing w:before="360"/>
    </w:pPr>
    <w:rPr>
      <w:bCs/>
      <w:iCs/>
    </w:rPr>
  </w:style>
  <w:style w:type="paragraph" w:customStyle="1" w:styleId="AppH4">
    <w:name w:val="App H4"/>
    <w:basedOn w:val="Heading4"/>
    <w:rsid w:val="00640F16"/>
    <w:pPr>
      <w:numPr>
        <w:ilvl w:val="3"/>
        <w:numId w:val="3"/>
      </w:numPr>
    </w:pPr>
  </w:style>
  <w:style w:type="paragraph" w:customStyle="1" w:styleId="StyleHeading2Justified">
    <w:name w:val="Style Heading 2 + Justified"/>
    <w:basedOn w:val="Heading2"/>
    <w:semiHidden/>
    <w:rsid w:val="00640F16"/>
    <w:pPr>
      <w:tabs>
        <w:tab w:val="num" w:pos="576"/>
        <w:tab w:val="left" w:pos="709"/>
      </w:tabs>
      <w:overflowPunct w:val="0"/>
      <w:autoSpaceDE w:val="0"/>
      <w:autoSpaceDN w:val="0"/>
      <w:adjustRightInd w:val="0"/>
      <w:spacing w:before="240" w:line="240" w:lineRule="auto"/>
      <w:ind w:left="576" w:hanging="576"/>
      <w:textAlignment w:val="baseline"/>
    </w:pPr>
    <w:rPr>
      <w:color w:val="auto"/>
      <w:sz w:val="28"/>
      <w:lang w:val="en-US"/>
    </w:rPr>
  </w:style>
  <w:style w:type="paragraph" w:customStyle="1" w:styleId="StyleCaptionCentered">
    <w:name w:val="Style Caption + Centered"/>
    <w:basedOn w:val="Caption"/>
    <w:semiHidden/>
    <w:rsid w:val="00640F16"/>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Normal"/>
    <w:semiHidden/>
    <w:rsid w:val="00640F16"/>
    <w:pPr>
      <w:overflowPunct w:val="0"/>
      <w:autoSpaceDE w:val="0"/>
      <w:autoSpaceDN w:val="0"/>
      <w:adjustRightInd w:val="0"/>
      <w:spacing w:before="60" w:line="240" w:lineRule="auto"/>
      <w:textAlignment w:val="baseline"/>
    </w:pPr>
    <w:rPr>
      <w:sz w:val="20"/>
      <w:lang w:val="en-US"/>
    </w:rPr>
  </w:style>
  <w:style w:type="paragraph" w:customStyle="1" w:styleId="footer2">
    <w:name w:val="footer 2"/>
    <w:basedOn w:val="Normal"/>
    <w:semiHidden/>
    <w:rsid w:val="00640F16"/>
    <w:pPr>
      <w:pBdr>
        <w:top w:val="single" w:sz="6" w:space="1" w:color="auto"/>
      </w:pBdr>
      <w:tabs>
        <w:tab w:val="right" w:pos="9071"/>
      </w:tabs>
    </w:pPr>
  </w:style>
  <w:style w:type="paragraph" w:customStyle="1" w:styleId="footer3">
    <w:name w:val="footer 3"/>
    <w:basedOn w:val="Footer"/>
    <w:semiHidden/>
    <w:rsid w:val="00640F16"/>
    <w:pPr>
      <w:tabs>
        <w:tab w:val="clear" w:pos="9356"/>
        <w:tab w:val="right" w:pos="14601"/>
      </w:tabs>
      <w:overflowPunct w:val="0"/>
      <w:autoSpaceDE w:val="0"/>
      <w:autoSpaceDN w:val="0"/>
      <w:adjustRightInd w:val="0"/>
      <w:jc w:val="left"/>
      <w:textAlignment w:val="baseline"/>
    </w:pPr>
    <w:rPr>
      <w:b/>
      <w:sz w:val="20"/>
      <w:lang w:val="en-US"/>
    </w:rPr>
  </w:style>
  <w:style w:type="paragraph" w:customStyle="1" w:styleId="undhead">
    <w:name w:val="und_head"/>
    <w:basedOn w:val="Normal"/>
    <w:semiHidden/>
    <w:rsid w:val="00640F16"/>
    <w:pPr>
      <w:tabs>
        <w:tab w:val="left" w:pos="426"/>
        <w:tab w:val="left" w:pos="720"/>
      </w:tabs>
      <w:overflowPunct w:val="0"/>
      <w:autoSpaceDE w:val="0"/>
      <w:autoSpaceDN w:val="0"/>
      <w:adjustRightInd w:val="0"/>
      <w:spacing w:before="180" w:line="240" w:lineRule="auto"/>
      <w:ind w:left="426" w:hanging="426"/>
      <w:jc w:val="left"/>
      <w:textAlignment w:val="baseline"/>
    </w:pPr>
    <w:rPr>
      <w:sz w:val="20"/>
      <w:u w:val="single"/>
      <w:lang w:val="en-US"/>
    </w:rPr>
  </w:style>
  <w:style w:type="paragraph" w:customStyle="1" w:styleId="undbullet">
    <w:name w:val="und_bullet"/>
    <w:basedOn w:val="Normal"/>
    <w:semiHidden/>
    <w:rsid w:val="00640F16"/>
    <w:pPr>
      <w:tabs>
        <w:tab w:val="left" w:pos="567"/>
      </w:tabs>
      <w:overflowPunct w:val="0"/>
      <w:autoSpaceDE w:val="0"/>
      <w:autoSpaceDN w:val="0"/>
      <w:adjustRightInd w:val="0"/>
      <w:spacing w:before="120" w:line="240" w:lineRule="auto"/>
      <w:ind w:left="644" w:hanging="360"/>
      <w:jc w:val="left"/>
      <w:textAlignment w:val="baseline"/>
    </w:pPr>
    <w:rPr>
      <w:sz w:val="20"/>
      <w:lang w:val="en-US"/>
    </w:rPr>
  </w:style>
  <w:style w:type="paragraph" w:customStyle="1" w:styleId="undbullet2">
    <w:name w:val="und_bullet 2"/>
    <w:basedOn w:val="undbullet"/>
    <w:semiHidden/>
    <w:rsid w:val="00640F16"/>
    <w:pPr>
      <w:tabs>
        <w:tab w:val="clear" w:pos="567"/>
        <w:tab w:val="left" w:pos="709"/>
      </w:tabs>
      <w:ind w:left="709" w:hanging="425"/>
      <w:jc w:val="both"/>
    </w:pPr>
  </w:style>
  <w:style w:type="paragraph" w:customStyle="1" w:styleId="undbullet3">
    <w:name w:val="und_bullet 3"/>
    <w:basedOn w:val="undbullet2"/>
    <w:semiHidden/>
    <w:rsid w:val="00640F16"/>
  </w:style>
  <w:style w:type="paragraph" w:styleId="DocumentMap">
    <w:name w:val="Document Map"/>
    <w:basedOn w:val="Normal"/>
    <w:semiHidden/>
    <w:rsid w:val="00640F16"/>
    <w:pPr>
      <w:widowControl w:val="0"/>
      <w:shd w:val="clear" w:color="auto" w:fill="000080"/>
      <w:overflowPunct w:val="0"/>
      <w:autoSpaceDE w:val="0"/>
      <w:autoSpaceDN w:val="0"/>
      <w:adjustRightInd w:val="0"/>
      <w:spacing w:before="120" w:after="120" w:line="360" w:lineRule="auto"/>
      <w:jc w:val="left"/>
      <w:textAlignment w:val="baseline"/>
    </w:pPr>
    <w:rPr>
      <w:rFonts w:ascii="Tahoma" w:hAnsi="Tahoma"/>
      <w:color w:val="000000"/>
      <w:sz w:val="24"/>
      <w:lang w:val="en-AU"/>
    </w:rPr>
  </w:style>
  <w:style w:type="paragraph" w:customStyle="1" w:styleId="StyleHeading1Justified">
    <w:name w:val="Style Heading 1 + Justified"/>
    <w:basedOn w:val="Heading1"/>
    <w:semiHidden/>
    <w:rsid w:val="00640F16"/>
    <w:pPr>
      <w:numPr>
        <w:numId w:val="0"/>
      </w:numPr>
      <w:pBdr>
        <w:bottom w:val="single" w:sz="6" w:space="1" w:color="auto"/>
      </w:pBdr>
      <w:tabs>
        <w:tab w:val="num" w:pos="360"/>
        <w:tab w:val="left" w:pos="9180"/>
      </w:tabs>
      <w:overflowPunct w:val="0"/>
      <w:autoSpaceDE w:val="0"/>
      <w:autoSpaceDN w:val="0"/>
      <w:adjustRightInd w:val="0"/>
      <w:spacing w:before="0" w:line="240" w:lineRule="auto"/>
      <w:ind w:left="360" w:hanging="360"/>
      <w:textAlignment w:val="baseline"/>
    </w:pPr>
    <w:rPr>
      <w:caps w:val="0"/>
      <w:smallCaps/>
      <w:color w:val="auto"/>
      <w:kern w:val="32"/>
      <w:sz w:val="40"/>
      <w:lang w:val="en-US"/>
    </w:rPr>
  </w:style>
  <w:style w:type="paragraph" w:customStyle="1" w:styleId="StyleBodyTextIndentArialBlackJustifiedLeft0cmBefoCharCharCharCharCharChar">
    <w:name w:val="Style Body Text Indent + Arial Black Justified Left:  0 cm Befo... Char Char Char Char Char Char"/>
    <w:basedOn w:val="Normal"/>
    <w:semiHidden/>
    <w:rsid w:val="00640F16"/>
    <w:pPr>
      <w:overflowPunct w:val="0"/>
      <w:autoSpaceDE w:val="0"/>
      <w:autoSpaceDN w:val="0"/>
      <w:adjustRightInd w:val="0"/>
      <w:spacing w:before="40" w:after="80" w:line="240" w:lineRule="auto"/>
      <w:textAlignment w:val="baseline"/>
    </w:pPr>
    <w:rPr>
      <w:color w:val="000000"/>
      <w:sz w:val="20"/>
      <w:lang w:val="en-US"/>
    </w:rPr>
  </w:style>
  <w:style w:type="paragraph" w:customStyle="1" w:styleId="StyleStyleBodyTextIndentArialBlackJustifiedLeft0cmBe">
    <w:name w:val="Style Style Body Text Indent + Arial Black Justified Left:  0 cm Be..."/>
    <w:basedOn w:val="StyleBodyTextIndentArialBlackJustifiedLeft0cmBefoCharCharCharCharCharChar"/>
    <w:semiHidden/>
    <w:rsid w:val="00640F16"/>
  </w:style>
  <w:style w:type="paragraph" w:customStyle="1" w:styleId="StyleStyleBodyTextIndentArialBlackJustifiedLeft0cmBe1">
    <w:name w:val="Style Style Body Text Indent + Arial Black Justified Left:  0 cm Be...1"/>
    <w:basedOn w:val="StyleBodyTextIndentArialBlackJustifiedLeft0cmBefoCharCharCharCharCharChar"/>
    <w:semiHidden/>
    <w:rsid w:val="00640F16"/>
    <w:pPr>
      <w:spacing w:before="20" w:after="100"/>
    </w:pPr>
  </w:style>
  <w:style w:type="paragraph" w:customStyle="1" w:styleId="StyleCaptionCentered1">
    <w:name w:val="Style Caption + Centered1"/>
    <w:basedOn w:val="Caption"/>
    <w:semiHidden/>
    <w:rsid w:val="00640F16"/>
    <w:pPr>
      <w:overflowPunct w:val="0"/>
      <w:autoSpaceDE w:val="0"/>
      <w:autoSpaceDN w:val="0"/>
      <w:adjustRightInd w:val="0"/>
      <w:spacing w:before="240" w:after="0" w:line="240" w:lineRule="auto"/>
      <w:textAlignment w:val="baseline"/>
    </w:pPr>
    <w:rPr>
      <w:b/>
      <w:i w:val="0"/>
      <w:sz w:val="20"/>
      <w:lang w:val="en-US"/>
    </w:rPr>
  </w:style>
  <w:style w:type="paragraph" w:customStyle="1" w:styleId="CoverTitle1">
    <w:name w:val="Cover Title 1"/>
    <w:basedOn w:val="Normal"/>
    <w:rsid w:val="00640F16"/>
    <w:pPr>
      <w:jc w:val="left"/>
    </w:pPr>
    <w:rPr>
      <w:rFonts w:ascii="Arial Narrow" w:hAnsi="Arial Narrow"/>
      <w:b/>
      <w:bCs/>
      <w:color w:val="FFFFFF"/>
      <w:spacing w:val="10"/>
      <w:sz w:val="48"/>
      <w:szCs w:val="48"/>
    </w:rPr>
  </w:style>
  <w:style w:type="paragraph" w:customStyle="1" w:styleId="CoverTitle2">
    <w:name w:val="Cover Title 2"/>
    <w:basedOn w:val="Normal"/>
    <w:rsid w:val="006A51D3"/>
    <w:pPr>
      <w:suppressAutoHyphens/>
      <w:spacing w:before="480" w:after="240" w:line="480" w:lineRule="auto"/>
      <w:jc w:val="left"/>
    </w:pPr>
    <w:rPr>
      <w:i/>
      <w:color w:val="FFFFFF"/>
      <w:spacing w:val="10"/>
      <w:sz w:val="40"/>
    </w:rPr>
  </w:style>
  <w:style w:type="paragraph" w:customStyle="1" w:styleId="Coverdate">
    <w:name w:val="Cover date"/>
    <w:basedOn w:val="Normal"/>
    <w:rsid w:val="00640F16"/>
    <w:pPr>
      <w:spacing w:line="480" w:lineRule="auto"/>
    </w:pPr>
    <w:rPr>
      <w:i/>
      <w:color w:val="FFFFFF"/>
      <w:spacing w:val="10"/>
      <w:sz w:val="24"/>
    </w:rPr>
  </w:style>
  <w:style w:type="paragraph" w:customStyle="1" w:styleId="CoverFWCreference">
    <w:name w:val="Cover FWC reference"/>
    <w:basedOn w:val="Normal"/>
    <w:rsid w:val="00640F16"/>
    <w:pPr>
      <w:spacing w:before="0" w:line="240" w:lineRule="auto"/>
      <w:jc w:val="left"/>
    </w:pPr>
    <w:rPr>
      <w:b/>
      <w:color w:val="000080"/>
      <w:sz w:val="22"/>
      <w:szCs w:val="22"/>
    </w:rPr>
  </w:style>
  <w:style w:type="paragraph" w:customStyle="1" w:styleId="CovercontractNumber">
    <w:name w:val="Cover contract Number"/>
    <w:basedOn w:val="Normal"/>
    <w:rsid w:val="00640F16"/>
    <w:pPr>
      <w:spacing w:before="80" w:line="240" w:lineRule="auto"/>
      <w:jc w:val="left"/>
    </w:pPr>
    <w:rPr>
      <w:b/>
      <w:color w:val="000080"/>
      <w:sz w:val="22"/>
      <w:szCs w:val="22"/>
    </w:rPr>
  </w:style>
  <w:style w:type="paragraph" w:customStyle="1" w:styleId="Coverfooter">
    <w:name w:val="Cover footer"/>
    <w:basedOn w:val="Normal"/>
    <w:rsid w:val="00640F16"/>
    <w:pPr>
      <w:jc w:val="left"/>
    </w:pPr>
    <w:rPr>
      <w:color w:val="FFFFFF"/>
    </w:rPr>
  </w:style>
  <w:style w:type="paragraph" w:customStyle="1" w:styleId="Coverbrol">
    <w:name w:val="Cover brol"/>
    <w:rsid w:val="00640F16"/>
    <w:rPr>
      <w:rFonts w:ascii="Arial" w:hAnsi="Arial" w:cs="Arial"/>
      <w:i/>
      <w:iCs/>
      <w:color w:val="FFFFFF"/>
      <w:sz w:val="18"/>
      <w:szCs w:val="18"/>
      <w:lang w:val="fr-BE" w:eastAsia="en-US"/>
    </w:rPr>
  </w:style>
  <w:style w:type="character" w:styleId="PageNumber">
    <w:name w:val="page number"/>
    <w:rsid w:val="00E45880"/>
    <w:rPr>
      <w:b/>
      <w:noProof w:val="0"/>
      <w:lang w:val="en-GB"/>
    </w:rPr>
  </w:style>
  <w:style w:type="paragraph" w:customStyle="1" w:styleId="FigureTitle">
    <w:name w:val="Figure Title"/>
    <w:basedOn w:val="Normal"/>
    <w:rsid w:val="00CD3A46"/>
    <w:pPr>
      <w:numPr>
        <w:numId w:val="5"/>
      </w:numPr>
      <w:jc w:val="center"/>
    </w:pPr>
    <w:rPr>
      <w:i/>
      <w:iCs/>
    </w:rPr>
  </w:style>
  <w:style w:type="paragraph" w:customStyle="1" w:styleId="Picture">
    <w:name w:val="Picture"/>
    <w:basedOn w:val="Normal"/>
    <w:rsid w:val="00640F16"/>
    <w:pPr>
      <w:keepNext/>
      <w:spacing w:before="360" w:line="240" w:lineRule="auto"/>
      <w:jc w:val="center"/>
    </w:pPr>
  </w:style>
  <w:style w:type="paragraph" w:customStyle="1" w:styleId="TableTitle0">
    <w:name w:val="Table Title"/>
    <w:basedOn w:val="Normal"/>
    <w:rsid w:val="00640F16"/>
    <w:pPr>
      <w:keepNext/>
      <w:tabs>
        <w:tab w:val="num" w:pos="851"/>
      </w:tabs>
      <w:spacing w:before="240" w:after="120"/>
      <w:jc w:val="center"/>
    </w:pPr>
    <w:rPr>
      <w:i/>
      <w:iCs/>
    </w:rPr>
  </w:style>
  <w:style w:type="paragraph" w:customStyle="1" w:styleId="TitlenotinTOC">
    <w:name w:val="Title not in TOC"/>
    <w:basedOn w:val="Normal"/>
    <w:rsid w:val="006B08EC"/>
    <w:pPr>
      <w:pageBreakBefore/>
      <w:pBdr>
        <w:bottom w:val="single" w:sz="4" w:space="1" w:color="999999"/>
      </w:pBdr>
      <w:spacing w:after="240"/>
      <w:jc w:val="left"/>
    </w:pPr>
    <w:rPr>
      <w:b/>
      <w:color w:val="000080"/>
      <w:sz w:val="24"/>
    </w:rPr>
  </w:style>
  <w:style w:type="paragraph" w:customStyle="1" w:styleId="Title1">
    <w:name w:val="Title1"/>
    <w:basedOn w:val="Normal"/>
    <w:rsid w:val="00C40F9E"/>
    <w:pPr>
      <w:spacing w:line="264" w:lineRule="auto"/>
      <w:jc w:val="center"/>
    </w:pPr>
    <w:rPr>
      <w:b/>
      <w:bCs/>
      <w:sz w:val="28"/>
      <w:lang w:eastAsia="en-GB"/>
    </w:rPr>
  </w:style>
  <w:style w:type="character" w:customStyle="1" w:styleId="sg">
    <w:name w:val="sg"/>
    <w:basedOn w:val="DefaultParagraphFont"/>
    <w:rsid w:val="0064265A"/>
  </w:style>
  <w:style w:type="paragraph" w:customStyle="1" w:styleId="BoxBullets">
    <w:name w:val="Box Bullets"/>
    <w:basedOn w:val="Normal"/>
    <w:rsid w:val="008F2DCA"/>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ind w:left="227" w:hanging="227"/>
      <w:jc w:val="left"/>
    </w:pPr>
    <w:rPr>
      <w:rFonts w:cs="Arial"/>
      <w:i/>
      <w:iCs/>
      <w:color w:val="000080"/>
      <w:sz w:val="20"/>
      <w:szCs w:val="22"/>
      <w:lang w:eastAsia="fr-BE"/>
    </w:rPr>
  </w:style>
  <w:style w:type="table" w:styleId="TableGrid">
    <w:name w:val="Table Grid"/>
    <w:basedOn w:val="TableNormal"/>
    <w:rsid w:val="00C4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
    <w:name w:val="Box Text"/>
    <w:basedOn w:val="BoxBullets"/>
    <w:rsid w:val="00936AAB"/>
    <w:pPr>
      <w:tabs>
        <w:tab w:val="clear" w:pos="227"/>
      </w:tabs>
      <w:ind w:left="0" w:firstLine="0"/>
    </w:pPr>
  </w:style>
  <w:style w:type="paragraph" w:styleId="BalloonText">
    <w:name w:val="Balloon Text"/>
    <w:basedOn w:val="Normal"/>
    <w:link w:val="BalloonTextChar"/>
    <w:uiPriority w:val="99"/>
    <w:semiHidden/>
    <w:rsid w:val="00AD04B9"/>
    <w:pPr>
      <w:spacing w:before="0" w:line="240" w:lineRule="auto"/>
      <w:jc w:val="left"/>
    </w:pPr>
    <w:rPr>
      <w:rFonts w:ascii="Tahoma" w:hAnsi="Tahoma" w:cs="Tahoma"/>
      <w:sz w:val="16"/>
      <w:szCs w:val="16"/>
      <w:lang w:val="en-US" w:eastAsia="ru-RU"/>
    </w:rPr>
  </w:style>
  <w:style w:type="paragraph" w:customStyle="1" w:styleId="Appendix">
    <w:name w:val="Appendix"/>
    <w:next w:val="Normal"/>
    <w:rsid w:val="00C94D91"/>
    <w:pPr>
      <w:pBdr>
        <w:bottom w:val="single" w:sz="2" w:space="3" w:color="C0C0C0"/>
      </w:pBdr>
      <w:tabs>
        <w:tab w:val="num" w:pos="425"/>
      </w:tabs>
      <w:spacing w:after="240"/>
      <w:ind w:left="1134" w:right="1134"/>
      <w:jc w:val="center"/>
    </w:pPr>
    <w:rPr>
      <w:rFonts w:ascii="Arial" w:hAnsi="Arial"/>
      <w:b/>
      <w:smallCaps/>
      <w:noProof/>
      <w:color w:val="000080"/>
      <w:sz w:val="22"/>
      <w:lang w:val="en-GB" w:eastAsia="en-GB"/>
    </w:rPr>
  </w:style>
  <w:style w:type="paragraph" w:customStyle="1" w:styleId="Boxtitle">
    <w:name w:val="Box title"/>
    <w:basedOn w:val="Normal"/>
    <w:rsid w:val="0026073E"/>
    <w:pPr>
      <w:keepNext/>
      <w:tabs>
        <w:tab w:val="num" w:pos="0"/>
      </w:tabs>
      <w:suppressAutoHyphens/>
      <w:spacing w:before="240" w:after="120" w:line="312" w:lineRule="auto"/>
      <w:jc w:val="center"/>
    </w:pPr>
    <w:rPr>
      <w:rFonts w:cs="Arial"/>
      <w:i/>
      <w:iCs/>
      <w:color w:val="808080"/>
      <w:sz w:val="20"/>
    </w:rPr>
  </w:style>
  <w:style w:type="paragraph" w:customStyle="1" w:styleId="Tableheading0">
    <w:name w:val="Table heading"/>
    <w:basedOn w:val="Normal"/>
    <w:link w:val="TableheadingChar0"/>
    <w:uiPriority w:val="99"/>
    <w:rsid w:val="003C3CE7"/>
    <w:pPr>
      <w:keepNext/>
      <w:suppressAutoHyphens/>
      <w:spacing w:before="40" w:after="20" w:line="264" w:lineRule="auto"/>
      <w:jc w:val="center"/>
    </w:pPr>
    <w:rPr>
      <w:rFonts w:ascii="Swis721 Cn BT" w:hAnsi="Swis721 Cn BT"/>
      <w:smallCaps/>
      <w:color w:val="00CCFF"/>
      <w:spacing w:val="6"/>
      <w:sz w:val="19"/>
      <w:szCs w:val="19"/>
      <w:lang w:eastAsia="fr-BE"/>
    </w:rPr>
  </w:style>
  <w:style w:type="character" w:customStyle="1" w:styleId="Bold">
    <w:name w:val="Bold"/>
    <w:rsid w:val="00112B5C"/>
    <w:rPr>
      <w:rFonts w:ascii="Swis721 BT" w:hAnsi="Swis721 BT"/>
      <w:b/>
      <w:bCs/>
      <w:noProof w:val="0"/>
      <w:lang w:val="en-GB"/>
    </w:rPr>
  </w:style>
  <w:style w:type="paragraph" w:customStyle="1" w:styleId="ActivitiesH1">
    <w:name w:val="Activities H1"/>
    <w:basedOn w:val="Heading4"/>
    <w:rsid w:val="00AA6A69"/>
    <w:pPr>
      <w:keepLines w:val="0"/>
      <w:pBdr>
        <w:bottom w:val="single" w:sz="4" w:space="1" w:color="999999"/>
      </w:pBdr>
      <w:tabs>
        <w:tab w:val="left" w:pos="851"/>
      </w:tabs>
      <w:suppressAutoHyphens/>
      <w:spacing w:before="360" w:line="312" w:lineRule="auto"/>
    </w:pPr>
    <w:rPr>
      <w:bCs/>
      <w:iCs/>
      <w:szCs w:val="21"/>
    </w:rPr>
  </w:style>
  <w:style w:type="character" w:customStyle="1" w:styleId="Blue">
    <w:name w:val="Blue"/>
    <w:rsid w:val="00CD3A46"/>
    <w:rPr>
      <w:rFonts w:cs="Arial"/>
      <w:noProof w:val="0"/>
      <w:color w:val="000080"/>
      <w:lang w:val="en-GB"/>
    </w:rPr>
  </w:style>
  <w:style w:type="paragraph" w:customStyle="1" w:styleId="Tasksub1">
    <w:name w:val="Task sub1"/>
    <w:rsid w:val="005C6583"/>
    <w:pPr>
      <w:keepNext/>
      <w:pBdr>
        <w:bottom w:val="single" w:sz="4" w:space="1" w:color="999999"/>
      </w:pBdr>
      <w:tabs>
        <w:tab w:val="num" w:pos="284"/>
      </w:tabs>
      <w:spacing w:before="240"/>
      <w:ind w:left="284" w:hanging="284"/>
    </w:pPr>
    <w:rPr>
      <w:rFonts w:ascii="Arial" w:hAnsi="Arial"/>
      <w:i/>
      <w:iCs/>
      <w:color w:val="000080"/>
      <w:sz w:val="21"/>
      <w:szCs w:val="21"/>
      <w:lang w:val="en-GB" w:eastAsia="en-US"/>
    </w:rPr>
  </w:style>
  <w:style w:type="character" w:styleId="Emphasis">
    <w:name w:val="Emphasis"/>
    <w:uiPriority w:val="20"/>
    <w:qFormat/>
    <w:rsid w:val="007D2AEC"/>
    <w:rPr>
      <w:i/>
      <w:iCs w:val="0"/>
      <w:noProof w:val="0"/>
      <w:lang w:val="en-GB"/>
    </w:rPr>
  </w:style>
  <w:style w:type="paragraph" w:styleId="NormalWeb">
    <w:name w:val="Normal (Web)"/>
    <w:basedOn w:val="Normal"/>
    <w:uiPriority w:val="99"/>
    <w:rsid w:val="00153E3E"/>
    <w:pPr>
      <w:spacing w:before="100" w:after="100" w:line="240" w:lineRule="auto"/>
      <w:jc w:val="left"/>
    </w:pPr>
    <w:rPr>
      <w:rFonts w:ascii="Times New Roman" w:hAnsi="Times New Roman"/>
      <w:sz w:val="24"/>
      <w:szCs w:val="24"/>
      <w:lang w:eastAsia="en-GB"/>
    </w:rPr>
  </w:style>
  <w:style w:type="paragraph" w:styleId="Index1">
    <w:name w:val="index 1"/>
    <w:basedOn w:val="Normal"/>
    <w:next w:val="Normal"/>
    <w:autoRedefine/>
    <w:semiHidden/>
    <w:rsid w:val="00230D7F"/>
    <w:pPr>
      <w:ind w:left="210" w:hanging="210"/>
    </w:pPr>
  </w:style>
  <w:style w:type="character" w:customStyle="1" w:styleId="shorttext">
    <w:name w:val="short_text"/>
    <w:rsid w:val="006D70EA"/>
  </w:style>
  <w:style w:type="character" w:customStyle="1" w:styleId="hps">
    <w:name w:val="hps"/>
    <w:rsid w:val="006D70EA"/>
  </w:style>
  <w:style w:type="character" w:customStyle="1" w:styleId="apple-style-span">
    <w:name w:val="apple-style-span"/>
    <w:rsid w:val="0065075D"/>
  </w:style>
  <w:style w:type="character" w:styleId="HTMLTypewriter">
    <w:name w:val="HTML Typewriter"/>
    <w:rsid w:val="0065075D"/>
    <w:rPr>
      <w:rFonts w:ascii="Courier New" w:eastAsia="Courier New" w:hAnsi="Courier New" w:cs="Courier New"/>
      <w:noProof w:val="0"/>
      <w:sz w:val="20"/>
      <w:szCs w:val="20"/>
      <w:lang w:val="en-GB"/>
    </w:rPr>
  </w:style>
  <w:style w:type="character" w:customStyle="1" w:styleId="FootnoteTextChar">
    <w:name w:val="Footnote Text Char"/>
    <w:link w:val="FootnoteText"/>
    <w:uiPriority w:val="99"/>
    <w:semiHidden/>
    <w:rsid w:val="00B545D8"/>
    <w:rPr>
      <w:rFonts w:ascii="Arial" w:hAnsi="Arial"/>
      <w:sz w:val="18"/>
      <w:szCs w:val="18"/>
      <w:lang w:val="en-GB" w:eastAsia="en-US"/>
    </w:rPr>
  </w:style>
  <w:style w:type="table" w:styleId="TableContemporary">
    <w:name w:val="Table Contemporary"/>
    <w:basedOn w:val="TableNormal"/>
    <w:rsid w:val="00D453CE"/>
    <w:pPr>
      <w:spacing w:before="160"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9E6C1C"/>
    <w:pPr>
      <w:numPr>
        <w:numId w:val="81"/>
      </w:numPr>
      <w:spacing w:before="0" w:after="200" w:line="276" w:lineRule="auto"/>
      <w:contextualSpacing/>
      <w:jc w:val="left"/>
    </w:pPr>
    <w:rPr>
      <w:rFonts w:eastAsiaTheme="minorEastAsia" w:cs="Arial"/>
      <w:color w:val="000000" w:themeColor="text1"/>
      <w:szCs w:val="22"/>
      <w:lang w:val="en-US"/>
    </w:rPr>
  </w:style>
  <w:style w:type="paragraph" w:customStyle="1" w:styleId="Bullet1">
    <w:name w:val="Bullet 1"/>
    <w:basedOn w:val="Normal"/>
    <w:qFormat/>
    <w:rsid w:val="00F65192"/>
    <w:pPr>
      <w:numPr>
        <w:numId w:val="8"/>
      </w:numPr>
      <w:suppressAutoHyphens/>
      <w:spacing w:before="60" w:line="264" w:lineRule="auto"/>
    </w:pPr>
    <w:rPr>
      <w:sz w:val="20"/>
      <w:lang w:eastAsia="fr-BE"/>
    </w:rPr>
  </w:style>
  <w:style w:type="paragraph" w:customStyle="1" w:styleId="Bullet2">
    <w:name w:val="Bullet 2"/>
    <w:basedOn w:val="Normal"/>
    <w:rsid w:val="00F65192"/>
    <w:pPr>
      <w:numPr>
        <w:ilvl w:val="1"/>
        <w:numId w:val="8"/>
      </w:numPr>
      <w:suppressAutoHyphens/>
      <w:spacing w:before="40" w:line="264" w:lineRule="auto"/>
    </w:pPr>
    <w:rPr>
      <w:sz w:val="20"/>
    </w:rPr>
  </w:style>
  <w:style w:type="paragraph" w:customStyle="1" w:styleId="Bullet3">
    <w:name w:val="Bullet 3"/>
    <w:basedOn w:val="Bullet2"/>
    <w:rsid w:val="00F65192"/>
    <w:pPr>
      <w:numPr>
        <w:ilvl w:val="2"/>
      </w:numPr>
      <w:suppressAutoHyphens w:val="0"/>
      <w:spacing w:before="0"/>
    </w:pPr>
  </w:style>
  <w:style w:type="paragraph" w:styleId="CommentSubject">
    <w:name w:val="annotation subject"/>
    <w:basedOn w:val="CommentText"/>
    <w:next w:val="CommentText"/>
    <w:link w:val="CommentSubjectChar"/>
    <w:uiPriority w:val="99"/>
    <w:rsid w:val="00C97DE2"/>
    <w:rPr>
      <w:b/>
      <w:bCs/>
      <w:sz w:val="20"/>
    </w:rPr>
  </w:style>
  <w:style w:type="character" w:customStyle="1" w:styleId="CommentTextChar">
    <w:name w:val="Comment Text Char"/>
    <w:link w:val="CommentText"/>
    <w:uiPriority w:val="99"/>
    <w:rsid w:val="00C97DE2"/>
    <w:rPr>
      <w:rFonts w:ascii="Arial" w:hAnsi="Arial"/>
      <w:noProof w:val="0"/>
      <w:sz w:val="21"/>
      <w:lang w:val="en-GB" w:eastAsia="en-US"/>
    </w:rPr>
  </w:style>
  <w:style w:type="character" w:customStyle="1" w:styleId="CommentSubjectChar">
    <w:name w:val="Comment Subject Char"/>
    <w:basedOn w:val="CommentTextChar"/>
    <w:link w:val="CommentSubject"/>
    <w:uiPriority w:val="99"/>
    <w:rsid w:val="00C97DE2"/>
    <w:rPr>
      <w:rFonts w:ascii="Arial" w:hAnsi="Arial"/>
      <w:noProof w:val="0"/>
      <w:sz w:val="21"/>
      <w:lang w:val="en-GB" w:eastAsia="en-US"/>
    </w:rPr>
  </w:style>
  <w:style w:type="paragraph" w:styleId="Revision">
    <w:name w:val="Revision"/>
    <w:hidden/>
    <w:uiPriority w:val="99"/>
    <w:semiHidden/>
    <w:rsid w:val="00C97DE2"/>
    <w:rPr>
      <w:rFonts w:ascii="Arial" w:hAnsi="Arial"/>
      <w:sz w:val="21"/>
      <w:lang w:val="en-GB" w:eastAsia="en-US"/>
    </w:rPr>
  </w:style>
  <w:style w:type="character" w:customStyle="1" w:styleId="TableheadingChar0">
    <w:name w:val="Table heading Char"/>
    <w:link w:val="Tableheading0"/>
    <w:uiPriority w:val="99"/>
    <w:locked/>
    <w:rsid w:val="001C2227"/>
    <w:rPr>
      <w:rFonts w:ascii="Swis721 Cn BT" w:hAnsi="Swis721 Cn BT"/>
      <w:smallCaps/>
      <w:color w:val="00CCFF"/>
      <w:spacing w:val="6"/>
      <w:sz w:val="19"/>
      <w:szCs w:val="19"/>
      <w:lang w:val="en-GB" w:eastAsia="fr-BE"/>
    </w:rPr>
  </w:style>
  <w:style w:type="paragraph" w:customStyle="1" w:styleId="TableH2">
    <w:name w:val="Table H2"/>
    <w:basedOn w:val="Tableheading0"/>
    <w:uiPriority w:val="99"/>
    <w:rsid w:val="001C2227"/>
    <w:pPr>
      <w:keepNext w:val="0"/>
      <w:spacing w:before="20" w:afterLines="20" w:line="240" w:lineRule="auto"/>
      <w:jc w:val="left"/>
    </w:pPr>
    <w:rPr>
      <w:rFonts w:ascii="Arial Narrow" w:hAnsi="Arial Narrow"/>
      <w:i/>
      <w:smallCaps w:val="0"/>
      <w:color w:val="0084B6"/>
    </w:rPr>
  </w:style>
  <w:style w:type="character" w:customStyle="1" w:styleId="TablebulletsChar">
    <w:name w:val="Table bullets Char"/>
    <w:link w:val="Tablebullets0"/>
    <w:rsid w:val="001C2227"/>
    <w:rPr>
      <w:rFonts w:ascii="Arial" w:hAnsi="Arial"/>
    </w:rPr>
  </w:style>
  <w:style w:type="paragraph" w:customStyle="1" w:styleId="Logframebullet1">
    <w:name w:val="Logframe bullet 1"/>
    <w:basedOn w:val="Tablebullets0"/>
    <w:uiPriority w:val="99"/>
    <w:rsid w:val="001C2227"/>
    <w:pPr>
      <w:spacing w:before="20" w:line="240" w:lineRule="auto"/>
    </w:pPr>
    <w:rPr>
      <w:rFonts w:ascii="Arial Narrow" w:hAnsi="Arial Narrow" w:cs="Arial"/>
      <w:lang w:eastAsia="fr-BE"/>
    </w:rPr>
  </w:style>
  <w:style w:type="paragraph" w:customStyle="1" w:styleId="Logframenormal">
    <w:name w:val="Logframe normal"/>
    <w:basedOn w:val="Normal"/>
    <w:uiPriority w:val="99"/>
    <w:rsid w:val="001C2227"/>
    <w:pPr>
      <w:spacing w:before="40" w:after="20" w:line="240" w:lineRule="auto"/>
      <w:jc w:val="left"/>
    </w:pPr>
    <w:rPr>
      <w:rFonts w:ascii="Arial Narrow" w:hAnsi="Arial Narrow"/>
      <w:sz w:val="20"/>
      <w:lang w:eastAsia="fr-BE"/>
    </w:rPr>
  </w:style>
  <w:style w:type="character" w:customStyle="1" w:styleId="googqs-tidbit1">
    <w:name w:val="goog_qs-tidbit1"/>
    <w:rsid w:val="00EC2A3E"/>
    <w:rPr>
      <w:noProof w:val="0"/>
      <w:vanish w:val="0"/>
      <w:webHidden w:val="0"/>
      <w:lang w:val="en-GB"/>
      <w:specVanish/>
    </w:rPr>
  </w:style>
  <w:style w:type="character" w:customStyle="1" w:styleId="HeaderChar">
    <w:name w:val="Header Char"/>
    <w:link w:val="Header"/>
    <w:uiPriority w:val="99"/>
    <w:rsid w:val="00EC2A3E"/>
    <w:rPr>
      <w:rFonts w:ascii="Arial Narrow" w:hAnsi="Arial Narrow"/>
      <w:noProof/>
      <w:sz w:val="18"/>
      <w:szCs w:val="18"/>
      <w:lang w:val="en-US" w:eastAsia="en-US"/>
    </w:rPr>
  </w:style>
  <w:style w:type="paragraph" w:customStyle="1" w:styleId="Tabletext0">
    <w:name w:val="Table text"/>
    <w:basedOn w:val="Normal"/>
    <w:link w:val="TabletextChar0"/>
    <w:rsid w:val="00760B1C"/>
    <w:pPr>
      <w:spacing w:before="40" w:after="20" w:line="240" w:lineRule="auto"/>
      <w:jc w:val="left"/>
    </w:pPr>
    <w:rPr>
      <w:sz w:val="19"/>
      <w:szCs w:val="19"/>
      <w:lang w:eastAsia="fr-BE"/>
    </w:rPr>
  </w:style>
  <w:style w:type="character" w:customStyle="1" w:styleId="TabletextChar0">
    <w:name w:val="Table text Char"/>
    <w:link w:val="Tabletext0"/>
    <w:locked/>
    <w:rsid w:val="00760B1C"/>
    <w:rPr>
      <w:rFonts w:ascii="Arial" w:hAnsi="Arial"/>
      <w:sz w:val="19"/>
      <w:szCs w:val="19"/>
      <w:lang w:val="en-GB" w:eastAsia="fr-BE"/>
    </w:rPr>
  </w:style>
  <w:style w:type="paragraph" w:customStyle="1" w:styleId="Tabletitle">
    <w:name w:val="Table title"/>
    <w:basedOn w:val="Normal"/>
    <w:link w:val="TabletitleChar"/>
    <w:uiPriority w:val="99"/>
    <w:rsid w:val="00760B1C"/>
    <w:pPr>
      <w:keepNext/>
      <w:numPr>
        <w:numId w:val="9"/>
      </w:numPr>
      <w:tabs>
        <w:tab w:val="clear" w:pos="1980"/>
        <w:tab w:val="num" w:pos="993"/>
      </w:tabs>
      <w:suppressAutoHyphens/>
      <w:spacing w:before="240" w:after="240" w:line="240" w:lineRule="auto"/>
      <w:ind w:left="992"/>
      <w:jc w:val="center"/>
    </w:pPr>
    <w:rPr>
      <w:rFonts w:ascii="Arial Narrow" w:hAnsi="Arial Narrow"/>
      <w:i/>
      <w:iCs/>
      <w:color w:val="808080"/>
      <w:szCs w:val="21"/>
    </w:rPr>
  </w:style>
  <w:style w:type="character" w:customStyle="1" w:styleId="TabletitleChar">
    <w:name w:val="Table title Char"/>
    <w:link w:val="Tabletitle"/>
    <w:uiPriority w:val="99"/>
    <w:locked/>
    <w:rsid w:val="00760B1C"/>
    <w:rPr>
      <w:rFonts w:ascii="Arial Narrow" w:hAnsi="Arial Narrow"/>
      <w:i/>
      <w:iCs/>
      <w:color w:val="808080"/>
      <w:sz w:val="21"/>
      <w:szCs w:val="21"/>
    </w:rPr>
  </w:style>
  <w:style w:type="character" w:customStyle="1" w:styleId="st1">
    <w:name w:val="st1"/>
    <w:rsid w:val="00C95729"/>
  </w:style>
  <w:style w:type="character" w:customStyle="1" w:styleId="ft">
    <w:name w:val="ft"/>
    <w:rsid w:val="002F1146"/>
  </w:style>
  <w:style w:type="character" w:customStyle="1" w:styleId="pagetitle1">
    <w:name w:val="page_title1"/>
    <w:rsid w:val="00ED5586"/>
    <w:rPr>
      <w:rFonts w:ascii="Verdana" w:hAnsi="Verdana" w:hint="default"/>
      <w:b/>
      <w:bCs/>
      <w:noProof w:val="0"/>
      <w:sz w:val="22"/>
      <w:szCs w:val="22"/>
      <w:lang w:val="en-GB"/>
    </w:rPr>
  </w:style>
  <w:style w:type="paragraph" w:styleId="TOCHeading">
    <w:name w:val="TOC Heading"/>
    <w:basedOn w:val="Heading1"/>
    <w:next w:val="Normal"/>
    <w:uiPriority w:val="39"/>
    <w:unhideWhenUsed/>
    <w:qFormat/>
    <w:rsid w:val="00EA5742"/>
    <w:pPr>
      <w:keepLines/>
      <w:numPr>
        <w:numId w:val="0"/>
      </w:numPr>
      <w:spacing w:before="480" w:after="0" w:line="276" w:lineRule="auto"/>
      <w:jc w:val="left"/>
      <w:outlineLvl w:val="9"/>
    </w:pPr>
    <w:rPr>
      <w:rFonts w:ascii="Cambria" w:hAnsi="Cambria"/>
      <w:bCs/>
      <w:caps w:val="0"/>
      <w:color w:val="365F91"/>
      <w:sz w:val="28"/>
      <w:szCs w:val="28"/>
      <w:lang w:val="en-US"/>
    </w:rPr>
  </w:style>
  <w:style w:type="character" w:styleId="Strong">
    <w:name w:val="Strong"/>
    <w:uiPriority w:val="22"/>
    <w:qFormat/>
    <w:rsid w:val="001C46A2"/>
    <w:rPr>
      <w:b/>
      <w:bCs/>
      <w:noProof w:val="0"/>
      <w:lang w:val="en-GB"/>
    </w:rPr>
  </w:style>
  <w:style w:type="paragraph" w:customStyle="1" w:styleId="font5">
    <w:name w:val="font5"/>
    <w:basedOn w:val="Normal"/>
    <w:rsid w:val="000155BE"/>
    <w:pPr>
      <w:spacing w:before="100" w:beforeAutospacing="1" w:after="100" w:afterAutospacing="1" w:line="240" w:lineRule="auto"/>
      <w:jc w:val="left"/>
    </w:pPr>
    <w:rPr>
      <w:rFonts w:cs="Arial"/>
      <w:sz w:val="18"/>
      <w:szCs w:val="18"/>
      <w:lang w:val="en-US"/>
    </w:rPr>
  </w:style>
  <w:style w:type="paragraph" w:customStyle="1" w:styleId="font6">
    <w:name w:val="font6"/>
    <w:basedOn w:val="Normal"/>
    <w:rsid w:val="000155BE"/>
    <w:pPr>
      <w:spacing w:before="100" w:beforeAutospacing="1" w:after="100" w:afterAutospacing="1" w:line="240" w:lineRule="auto"/>
      <w:jc w:val="left"/>
    </w:pPr>
    <w:rPr>
      <w:rFonts w:cs="Arial"/>
      <w:b/>
      <w:bCs/>
      <w:sz w:val="18"/>
      <w:szCs w:val="18"/>
      <w:lang w:val="en-US"/>
    </w:rPr>
  </w:style>
  <w:style w:type="paragraph" w:customStyle="1" w:styleId="font7">
    <w:name w:val="font7"/>
    <w:basedOn w:val="Normal"/>
    <w:rsid w:val="000155BE"/>
    <w:pPr>
      <w:spacing w:before="100" w:beforeAutospacing="1" w:after="100" w:afterAutospacing="1" w:line="240" w:lineRule="auto"/>
      <w:jc w:val="left"/>
    </w:pPr>
    <w:rPr>
      <w:rFonts w:cs="Arial"/>
      <w:i/>
      <w:iCs/>
      <w:color w:val="1F497D"/>
      <w:sz w:val="18"/>
      <w:szCs w:val="18"/>
      <w:lang w:val="en-US"/>
    </w:rPr>
  </w:style>
  <w:style w:type="paragraph" w:customStyle="1" w:styleId="font8">
    <w:name w:val="font8"/>
    <w:basedOn w:val="Normal"/>
    <w:rsid w:val="000155BE"/>
    <w:pPr>
      <w:spacing w:before="100" w:beforeAutospacing="1" w:after="100" w:afterAutospacing="1" w:line="240" w:lineRule="auto"/>
      <w:jc w:val="left"/>
    </w:pPr>
    <w:rPr>
      <w:rFonts w:cs="Arial"/>
      <w:color w:val="1F497D"/>
      <w:sz w:val="18"/>
      <w:szCs w:val="18"/>
      <w:lang w:val="en-US"/>
    </w:rPr>
  </w:style>
  <w:style w:type="paragraph" w:customStyle="1" w:styleId="font9">
    <w:name w:val="font9"/>
    <w:basedOn w:val="Normal"/>
    <w:rsid w:val="000155BE"/>
    <w:pPr>
      <w:spacing w:before="100" w:beforeAutospacing="1" w:after="100" w:afterAutospacing="1" w:line="240" w:lineRule="auto"/>
      <w:jc w:val="left"/>
    </w:pPr>
    <w:rPr>
      <w:rFonts w:cs="Arial"/>
      <w:i/>
      <w:iCs/>
      <w:color w:val="FF0000"/>
      <w:sz w:val="18"/>
      <w:szCs w:val="18"/>
      <w:lang w:val="en-US"/>
    </w:rPr>
  </w:style>
  <w:style w:type="paragraph" w:customStyle="1" w:styleId="font10">
    <w:name w:val="font10"/>
    <w:basedOn w:val="Normal"/>
    <w:rsid w:val="000155BE"/>
    <w:pPr>
      <w:spacing w:before="100" w:beforeAutospacing="1" w:after="100" w:afterAutospacing="1" w:line="240" w:lineRule="auto"/>
      <w:jc w:val="left"/>
    </w:pPr>
    <w:rPr>
      <w:rFonts w:cs="Arial"/>
      <w:b/>
      <w:bCs/>
      <w:i/>
      <w:iCs/>
      <w:color w:val="1F497D"/>
      <w:sz w:val="18"/>
      <w:szCs w:val="18"/>
      <w:u w:val="single"/>
      <w:lang w:val="en-US"/>
    </w:rPr>
  </w:style>
  <w:style w:type="paragraph" w:customStyle="1" w:styleId="font11">
    <w:name w:val="font11"/>
    <w:basedOn w:val="Normal"/>
    <w:rsid w:val="000155BE"/>
    <w:pPr>
      <w:spacing w:before="100" w:beforeAutospacing="1" w:after="100" w:afterAutospacing="1" w:line="240" w:lineRule="auto"/>
      <w:jc w:val="left"/>
    </w:pPr>
    <w:rPr>
      <w:rFonts w:cs="Arial"/>
      <w:b/>
      <w:bCs/>
      <w:i/>
      <w:iCs/>
      <w:color w:val="FF0000"/>
      <w:sz w:val="18"/>
      <w:szCs w:val="18"/>
      <w:lang w:val="en-US"/>
    </w:rPr>
  </w:style>
  <w:style w:type="paragraph" w:customStyle="1" w:styleId="font12">
    <w:name w:val="font12"/>
    <w:basedOn w:val="Normal"/>
    <w:rsid w:val="000155BE"/>
    <w:pPr>
      <w:spacing w:before="100" w:beforeAutospacing="1" w:after="100" w:afterAutospacing="1" w:line="240" w:lineRule="auto"/>
      <w:jc w:val="left"/>
    </w:pPr>
    <w:rPr>
      <w:rFonts w:cs="Arial"/>
      <w:color w:val="FF0000"/>
      <w:sz w:val="18"/>
      <w:szCs w:val="18"/>
      <w:lang w:val="en-US"/>
    </w:rPr>
  </w:style>
  <w:style w:type="paragraph" w:customStyle="1" w:styleId="font13">
    <w:name w:val="font13"/>
    <w:basedOn w:val="Normal"/>
    <w:rsid w:val="000155BE"/>
    <w:pPr>
      <w:spacing w:before="100" w:beforeAutospacing="1" w:after="100" w:afterAutospacing="1" w:line="240" w:lineRule="auto"/>
      <w:jc w:val="left"/>
    </w:pPr>
    <w:rPr>
      <w:rFonts w:cs="Arial"/>
      <w:b/>
      <w:bCs/>
      <w:color w:val="1F497D"/>
      <w:sz w:val="18"/>
      <w:szCs w:val="18"/>
      <w:lang w:val="en-US"/>
    </w:rPr>
  </w:style>
  <w:style w:type="paragraph" w:customStyle="1" w:styleId="xl68">
    <w:name w:val="xl68"/>
    <w:basedOn w:val="Normal"/>
    <w:rsid w:val="000155BE"/>
    <w:pPr>
      <w:pBdr>
        <w:top w:val="single" w:sz="8" w:space="0" w:color="16365C"/>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69">
    <w:name w:val="xl69"/>
    <w:basedOn w:val="Normal"/>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0">
    <w:name w:val="xl70"/>
    <w:basedOn w:val="Normal"/>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1">
    <w:name w:val="xl71"/>
    <w:basedOn w:val="Normal"/>
    <w:rsid w:val="000155BE"/>
    <w:pPr>
      <w:pBdr>
        <w:top w:val="single" w:sz="8" w:space="0" w:color="16365C"/>
      </w:pBdr>
      <w:spacing w:before="100" w:beforeAutospacing="1" w:after="100" w:afterAutospacing="1" w:line="240" w:lineRule="auto"/>
      <w:jc w:val="right"/>
      <w:textAlignment w:val="center"/>
    </w:pPr>
    <w:rPr>
      <w:rFonts w:cs="Arial"/>
      <w:b/>
      <w:bCs/>
      <w:sz w:val="18"/>
      <w:szCs w:val="18"/>
      <w:lang w:val="en-US"/>
    </w:rPr>
  </w:style>
  <w:style w:type="paragraph" w:customStyle="1" w:styleId="xl72">
    <w:name w:val="xl72"/>
    <w:basedOn w:val="Normal"/>
    <w:rsid w:val="000155BE"/>
    <w:pPr>
      <w:pBdr>
        <w:top w:val="single" w:sz="8" w:space="0" w:color="16365C"/>
        <w:left w:val="single" w:sz="12" w:space="0" w:color="FFFFFF"/>
        <w:bottom w:val="single" w:sz="12" w:space="0" w:color="FFFFFF"/>
        <w:right w:val="single" w:sz="12" w:space="0" w:color="FFFFFF"/>
      </w:pBdr>
      <w:shd w:val="clear" w:color="000000" w:fill="C4D79B"/>
      <w:spacing w:before="100" w:beforeAutospacing="1" w:after="100" w:afterAutospacing="1" w:line="240" w:lineRule="auto"/>
      <w:jc w:val="center"/>
    </w:pPr>
    <w:rPr>
      <w:rFonts w:ascii="Arial Narrow" w:hAnsi="Arial Narrow"/>
      <w:b/>
      <w:bCs/>
      <w:sz w:val="18"/>
      <w:szCs w:val="18"/>
      <w:lang w:val="en-US"/>
    </w:rPr>
  </w:style>
  <w:style w:type="paragraph" w:customStyle="1" w:styleId="xl73">
    <w:name w:val="xl73"/>
    <w:basedOn w:val="Normal"/>
    <w:rsid w:val="000155BE"/>
    <w:pPr>
      <w:pBdr>
        <w:top w:val="single" w:sz="8" w:space="0" w:color="16365C"/>
      </w:pBdr>
      <w:spacing w:before="100" w:beforeAutospacing="1" w:after="100" w:afterAutospacing="1" w:line="240" w:lineRule="auto"/>
      <w:jc w:val="left"/>
    </w:pPr>
    <w:rPr>
      <w:rFonts w:ascii="Arial Narrow" w:hAnsi="Arial Narrow"/>
      <w:sz w:val="18"/>
      <w:szCs w:val="18"/>
      <w:lang w:val="en-US"/>
    </w:rPr>
  </w:style>
  <w:style w:type="paragraph" w:customStyle="1" w:styleId="xl74">
    <w:name w:val="xl74"/>
    <w:basedOn w:val="Normal"/>
    <w:rsid w:val="000155BE"/>
    <w:pP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75">
    <w:name w:val="xl75"/>
    <w:basedOn w:val="Normal"/>
    <w:rsid w:val="000155BE"/>
    <w:pPr>
      <w:pBdr>
        <w:left w:val="single" w:sz="8" w:space="0" w:color="16365C"/>
      </w:pBdr>
      <w:spacing w:before="100" w:beforeAutospacing="1" w:after="100" w:afterAutospacing="1" w:line="240" w:lineRule="auto"/>
      <w:jc w:val="left"/>
      <w:textAlignment w:val="center"/>
    </w:pPr>
    <w:rPr>
      <w:rFonts w:cs="Arial"/>
      <w:b/>
      <w:bCs/>
      <w:sz w:val="18"/>
      <w:szCs w:val="18"/>
      <w:lang w:val="en-US"/>
    </w:rPr>
  </w:style>
  <w:style w:type="paragraph" w:customStyle="1" w:styleId="xl76">
    <w:name w:val="xl76"/>
    <w:basedOn w:val="Normal"/>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7">
    <w:name w:val="xl77"/>
    <w:basedOn w:val="Normal"/>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8">
    <w:name w:val="xl78"/>
    <w:basedOn w:val="Normal"/>
    <w:rsid w:val="000155BE"/>
    <w:pPr>
      <w:spacing w:before="100" w:beforeAutospacing="1" w:after="100" w:afterAutospacing="1" w:line="240" w:lineRule="auto"/>
      <w:jc w:val="right"/>
      <w:textAlignment w:val="center"/>
    </w:pPr>
    <w:rPr>
      <w:rFonts w:cs="Arial"/>
      <w:b/>
      <w:bCs/>
      <w:sz w:val="18"/>
      <w:szCs w:val="18"/>
      <w:lang w:val="en-US"/>
    </w:rPr>
  </w:style>
  <w:style w:type="paragraph" w:customStyle="1" w:styleId="xl79">
    <w:name w:val="xl79"/>
    <w:basedOn w:val="Normal"/>
    <w:rsid w:val="000155BE"/>
    <w:pPr>
      <w:pBdr>
        <w:right w:val="single" w:sz="4" w:space="0" w:color="auto"/>
      </w:pBdr>
      <w:shd w:val="clear" w:color="000000" w:fill="FFFF00"/>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0">
    <w:name w:val="xl80"/>
    <w:basedOn w:val="Normal"/>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1">
    <w:name w:val="xl81"/>
    <w:basedOn w:val="Normal"/>
    <w:rsid w:val="000155BE"/>
    <w:pP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2">
    <w:name w:val="xl82"/>
    <w:basedOn w:val="Normal"/>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3">
    <w:name w:val="xl83"/>
    <w:basedOn w:val="Normal"/>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4">
    <w:name w:val="xl84"/>
    <w:basedOn w:val="Normal"/>
    <w:rsid w:val="000155BE"/>
    <w:pPr>
      <w:pBdr>
        <w:left w:val="single" w:sz="4" w:space="0" w:color="auto"/>
      </w:pBd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5">
    <w:name w:val="xl85"/>
    <w:basedOn w:val="Normal"/>
    <w:rsid w:val="000155BE"/>
    <w:pPr>
      <w:spacing w:before="100" w:beforeAutospacing="1" w:after="100" w:afterAutospacing="1" w:line="240" w:lineRule="auto"/>
      <w:jc w:val="left"/>
      <w:textAlignment w:val="center"/>
    </w:pPr>
    <w:rPr>
      <w:rFonts w:ascii="Arial Narrow" w:hAnsi="Arial Narrow"/>
      <w:b/>
      <w:bCs/>
      <w:sz w:val="18"/>
      <w:szCs w:val="18"/>
      <w:lang w:val="en-US"/>
    </w:rPr>
  </w:style>
  <w:style w:type="paragraph" w:customStyle="1" w:styleId="xl86">
    <w:name w:val="xl86"/>
    <w:basedOn w:val="Normal"/>
    <w:rsid w:val="000155BE"/>
    <w:pPr>
      <w:pBdr>
        <w:top w:val="single" w:sz="12" w:space="0" w:color="FFFFFF"/>
        <w:left w:val="single" w:sz="8" w:space="0" w:color="16365C"/>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7">
    <w:name w:val="xl87"/>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8">
    <w:name w:val="xl88"/>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9">
    <w:name w:val="xl89"/>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90">
    <w:name w:val="xl90"/>
    <w:basedOn w:val="Normal"/>
    <w:rsid w:val="000155BE"/>
    <w:pPr>
      <w:pBdr>
        <w:top w:val="single" w:sz="12" w:space="0" w:color="FFFFFF"/>
        <w:bottom w:val="single" w:sz="12" w:space="0" w:color="FFFFFF"/>
        <w:right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91">
    <w:name w:val="xl91"/>
    <w:basedOn w:val="Normal"/>
    <w:rsid w:val="000155BE"/>
    <w:pPr>
      <w:pBdr>
        <w:top w:val="single" w:sz="12" w:space="0" w:color="FFFFFF"/>
        <w:left w:val="single" w:sz="12" w:space="0" w:color="FFFFFF"/>
        <w:bottom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2">
    <w:name w:val="xl92"/>
    <w:basedOn w:val="Normal"/>
    <w:rsid w:val="000155BE"/>
    <w:pPr>
      <w:pBdr>
        <w:top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3">
    <w:name w:val="xl93"/>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4">
    <w:name w:val="xl94"/>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95">
    <w:name w:val="xl95"/>
    <w:basedOn w:val="Normal"/>
    <w:rsid w:val="000155BE"/>
    <w:pPr>
      <w:spacing w:before="100" w:beforeAutospacing="1" w:after="100" w:afterAutospacing="1" w:line="240" w:lineRule="auto"/>
      <w:jc w:val="left"/>
      <w:textAlignment w:val="center"/>
    </w:pPr>
    <w:rPr>
      <w:rFonts w:ascii="Arial Narrow" w:hAnsi="Arial Narrow"/>
      <w:b/>
      <w:bCs/>
      <w:color w:val="FFFFFF"/>
      <w:sz w:val="18"/>
      <w:szCs w:val="18"/>
      <w:lang w:val="en-US"/>
    </w:rPr>
  </w:style>
  <w:style w:type="paragraph" w:customStyle="1" w:styleId="xl96">
    <w:name w:val="xl96"/>
    <w:basedOn w:val="Normal"/>
    <w:rsid w:val="000155BE"/>
    <w:pPr>
      <w:pBdr>
        <w:top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7">
    <w:name w:val="xl97"/>
    <w:basedOn w:val="Normal"/>
    <w:rsid w:val="000155BE"/>
    <w:pPr>
      <w:pBdr>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8">
    <w:name w:val="xl98"/>
    <w:basedOn w:val="Normal"/>
    <w:rsid w:val="000155BE"/>
    <w:pPr>
      <w:pBdr>
        <w:bottom w:val="single" w:sz="12" w:space="0" w:color="FFFFFF"/>
        <w:right w:val="single" w:sz="4" w:space="0" w:color="auto"/>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9">
    <w:name w:val="xl99"/>
    <w:basedOn w:val="Normal"/>
    <w:rsid w:val="000155BE"/>
    <w:pPr>
      <w:pBdr>
        <w:left w:val="single" w:sz="4" w:space="0" w:color="auto"/>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100">
    <w:name w:val="xl100"/>
    <w:basedOn w:val="Normal"/>
    <w:rsid w:val="000155BE"/>
    <w:pPr>
      <w:spacing w:before="100" w:beforeAutospacing="1" w:after="100" w:afterAutospacing="1" w:line="240" w:lineRule="auto"/>
      <w:jc w:val="left"/>
      <w:textAlignment w:val="center"/>
    </w:pPr>
    <w:rPr>
      <w:rFonts w:ascii="Arial Narrow" w:hAnsi="Arial Narrow"/>
      <w:color w:val="FFFFFF"/>
      <w:sz w:val="18"/>
      <w:szCs w:val="18"/>
      <w:lang w:val="en-US"/>
    </w:rPr>
  </w:style>
  <w:style w:type="paragraph" w:customStyle="1" w:styleId="xl101">
    <w:name w:val="xl101"/>
    <w:basedOn w:val="Normal"/>
    <w:rsid w:val="000155BE"/>
    <w:pPr>
      <w:pBdr>
        <w:top w:val="single" w:sz="12" w:space="0" w:color="FFFFFF"/>
        <w:left w:val="single" w:sz="8" w:space="0" w:color="16365C"/>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2">
    <w:name w:val="xl102"/>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3">
    <w:name w:val="xl103"/>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4">
    <w:name w:val="xl104"/>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5">
    <w:name w:val="xl105"/>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106">
    <w:name w:val="xl106"/>
    <w:basedOn w:val="Normal"/>
    <w:rsid w:val="000155BE"/>
    <w:pPr>
      <w:pBdr>
        <w:right w:val="single" w:sz="4" w:space="0" w:color="auto"/>
      </w:pBdr>
      <w:spacing w:before="100" w:beforeAutospacing="1" w:after="100" w:afterAutospacing="1" w:line="240" w:lineRule="auto"/>
      <w:jc w:val="center"/>
    </w:pPr>
    <w:rPr>
      <w:rFonts w:ascii="Arial Narrow" w:hAnsi="Arial Narrow"/>
      <w:sz w:val="20"/>
      <w:lang w:val="en-US"/>
    </w:rPr>
  </w:style>
  <w:style w:type="paragraph" w:customStyle="1" w:styleId="xl107">
    <w:name w:val="xl107"/>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8">
    <w:name w:val="xl108"/>
    <w:basedOn w:val="Normal"/>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9">
    <w:name w:val="xl109"/>
    <w:basedOn w:val="Normal"/>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10">
    <w:name w:val="xl110"/>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right"/>
      <w:textAlignment w:val="center"/>
    </w:pPr>
    <w:rPr>
      <w:rFonts w:cs="Arial"/>
      <w:sz w:val="18"/>
      <w:szCs w:val="18"/>
      <w:lang w:val="en-US"/>
    </w:rPr>
  </w:style>
  <w:style w:type="paragraph" w:customStyle="1" w:styleId="xl111">
    <w:name w:val="xl111"/>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2">
    <w:name w:val="xl112"/>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3">
    <w:name w:val="xl113"/>
    <w:basedOn w:val="Normal"/>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114">
    <w:name w:val="xl114"/>
    <w:basedOn w:val="Normal"/>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5">
    <w:name w:val="xl115"/>
    <w:basedOn w:val="Normal"/>
    <w:rsid w:val="000155BE"/>
    <w:pPr>
      <w:pBdr>
        <w:top w:val="single" w:sz="12"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16">
    <w:name w:val="xl116"/>
    <w:basedOn w:val="Normal"/>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17">
    <w:name w:val="xl117"/>
    <w:basedOn w:val="Normal"/>
    <w:rsid w:val="000155BE"/>
    <w:pPr>
      <w:pBdr>
        <w:top w:val="single" w:sz="12"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8">
    <w:name w:val="xl11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9">
    <w:name w:val="xl119"/>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20">
    <w:name w:val="xl120"/>
    <w:basedOn w:val="Normal"/>
    <w:rsid w:val="000155BE"/>
    <w:pPr>
      <w:pBdr>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1">
    <w:name w:val="xl12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22">
    <w:name w:val="xl122"/>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3">
    <w:name w:val="xl123"/>
    <w:basedOn w:val="Normal"/>
    <w:rsid w:val="000155BE"/>
    <w:pPr>
      <w:pBdr>
        <w:top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4">
    <w:name w:val="xl124"/>
    <w:basedOn w:val="Normal"/>
    <w:rsid w:val="000155BE"/>
    <w:pPr>
      <w:pBdr>
        <w:left w:val="single" w:sz="8" w:space="0" w:color="16365C"/>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5">
    <w:name w:val="xl125"/>
    <w:basedOn w:val="Normal"/>
    <w:rsid w:val="000155BE"/>
    <w:pPr>
      <w:pBdr>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6">
    <w:name w:val="xl126"/>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7">
    <w:name w:val="xl12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8">
    <w:name w:val="xl128"/>
    <w:basedOn w:val="Normal"/>
    <w:rsid w:val="000155BE"/>
    <w:pPr>
      <w:pBdr>
        <w:top w:val="single" w:sz="12" w:space="0" w:color="FFFFFF"/>
        <w:left w:val="single" w:sz="12" w:space="0" w:color="FFFFFF"/>
        <w:right w:val="single" w:sz="12" w:space="0" w:color="FFFFFF"/>
      </w:pBdr>
      <w:spacing w:before="100" w:beforeAutospacing="1" w:after="100" w:afterAutospacing="1" w:line="240" w:lineRule="auto"/>
      <w:jc w:val="center"/>
      <w:textAlignment w:val="center"/>
    </w:pPr>
    <w:rPr>
      <w:rFonts w:ascii="Arial Narrow" w:hAnsi="Arial Narrow"/>
      <w:color w:val="0084B6"/>
      <w:sz w:val="18"/>
      <w:szCs w:val="18"/>
      <w:lang w:val="en-US"/>
    </w:rPr>
  </w:style>
  <w:style w:type="paragraph" w:customStyle="1" w:styleId="xl129">
    <w:name w:val="xl129"/>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30">
    <w:name w:val="xl130"/>
    <w:basedOn w:val="Normal"/>
    <w:rsid w:val="000155BE"/>
    <w:pPr>
      <w:spacing w:before="100" w:beforeAutospacing="1" w:after="100" w:afterAutospacing="1" w:line="240" w:lineRule="auto"/>
      <w:jc w:val="right"/>
    </w:pPr>
    <w:rPr>
      <w:rFonts w:ascii="Arial Narrow" w:hAnsi="Arial Narrow"/>
      <w:sz w:val="18"/>
      <w:szCs w:val="18"/>
      <w:lang w:val="en-US"/>
    </w:rPr>
  </w:style>
  <w:style w:type="paragraph" w:customStyle="1" w:styleId="xl131">
    <w:name w:val="xl13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32">
    <w:name w:val="xl132"/>
    <w:basedOn w:val="Normal"/>
    <w:rsid w:val="000155BE"/>
    <w:pPr>
      <w:pBdr>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3">
    <w:name w:val="xl133"/>
    <w:basedOn w:val="Normal"/>
    <w:rsid w:val="000155BE"/>
    <w:pP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4">
    <w:name w:val="xl134"/>
    <w:basedOn w:val="Normal"/>
    <w:rsid w:val="000155BE"/>
    <w:pPr>
      <w:pBdr>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5">
    <w:name w:val="xl135"/>
    <w:basedOn w:val="Normal"/>
    <w:rsid w:val="000155BE"/>
    <w:pPr>
      <w:pBdr>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6">
    <w:name w:val="xl136"/>
    <w:basedOn w:val="Normal"/>
    <w:rsid w:val="000155BE"/>
    <w:pPr>
      <w:spacing w:before="100" w:beforeAutospacing="1" w:after="100" w:afterAutospacing="1" w:line="240" w:lineRule="auto"/>
      <w:jc w:val="left"/>
      <w:textAlignment w:val="center"/>
    </w:pPr>
    <w:rPr>
      <w:rFonts w:ascii="Arial Narrow" w:hAnsi="Arial Narrow"/>
      <w:sz w:val="20"/>
      <w:lang w:val="en-US"/>
    </w:rPr>
  </w:style>
  <w:style w:type="paragraph" w:customStyle="1" w:styleId="xl137">
    <w:name w:val="xl137"/>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38">
    <w:name w:val="xl138"/>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sz w:val="18"/>
      <w:szCs w:val="18"/>
      <w:lang w:val="en-US"/>
    </w:rPr>
  </w:style>
  <w:style w:type="paragraph" w:customStyle="1" w:styleId="xl139">
    <w:name w:val="xl139"/>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40">
    <w:name w:val="xl140"/>
    <w:basedOn w:val="Normal"/>
    <w:rsid w:val="000155BE"/>
    <w:pPr>
      <w:pBdr>
        <w:bottom w:val="single" w:sz="4" w:space="0" w:color="BFBFBF"/>
      </w:pBdr>
      <w:spacing w:before="100" w:beforeAutospacing="1" w:after="100" w:afterAutospacing="1" w:line="240" w:lineRule="auto"/>
      <w:jc w:val="left"/>
      <w:textAlignment w:val="top"/>
    </w:pPr>
    <w:rPr>
      <w:rFonts w:cs="Arial"/>
      <w:i/>
      <w:iCs/>
      <w:sz w:val="18"/>
      <w:szCs w:val="18"/>
      <w:lang w:val="en-US"/>
    </w:rPr>
  </w:style>
  <w:style w:type="paragraph" w:customStyle="1" w:styleId="xl141">
    <w:name w:val="xl141"/>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8"/>
      <w:szCs w:val="28"/>
      <w:lang w:val="en-US"/>
    </w:rPr>
  </w:style>
  <w:style w:type="paragraph" w:customStyle="1" w:styleId="xl142">
    <w:name w:val="xl142"/>
    <w:basedOn w:val="Normal"/>
    <w:rsid w:val="000155BE"/>
    <w:pPr>
      <w:pBdr>
        <w:right w:val="single" w:sz="4" w:space="0" w:color="auto"/>
      </w:pBdr>
      <w:spacing w:before="100" w:beforeAutospacing="1" w:after="100" w:afterAutospacing="1" w:line="240" w:lineRule="auto"/>
      <w:jc w:val="center"/>
    </w:pPr>
    <w:rPr>
      <w:rFonts w:ascii="Arial Narrow" w:hAnsi="Arial Narrow"/>
      <w:b/>
      <w:bCs/>
      <w:sz w:val="20"/>
      <w:lang w:val="en-US"/>
    </w:rPr>
  </w:style>
  <w:style w:type="paragraph" w:customStyle="1" w:styleId="xl143">
    <w:name w:val="xl143"/>
    <w:basedOn w:val="Normal"/>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4">
    <w:name w:val="xl144"/>
    <w:basedOn w:val="Normal"/>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5">
    <w:name w:val="xl145"/>
    <w:basedOn w:val="Normal"/>
    <w:rsid w:val="000155BE"/>
    <w:pPr>
      <w:pBdr>
        <w:bottom w:val="single" w:sz="4" w:space="0" w:color="BFBFBF"/>
      </w:pBdr>
      <w:spacing w:before="100" w:beforeAutospacing="1" w:after="100" w:afterAutospacing="1" w:line="240" w:lineRule="auto"/>
      <w:jc w:val="left"/>
      <w:textAlignment w:val="top"/>
    </w:pPr>
    <w:rPr>
      <w:rFonts w:cs="Arial"/>
      <w:i/>
      <w:iCs/>
      <w:color w:val="FF0000"/>
      <w:sz w:val="18"/>
      <w:szCs w:val="18"/>
      <w:lang w:val="en-US"/>
    </w:rPr>
  </w:style>
  <w:style w:type="paragraph" w:customStyle="1" w:styleId="xl146">
    <w:name w:val="xl146"/>
    <w:basedOn w:val="Normal"/>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8"/>
      <w:szCs w:val="28"/>
      <w:lang w:val="en-US"/>
    </w:rPr>
  </w:style>
  <w:style w:type="paragraph" w:customStyle="1" w:styleId="xl147">
    <w:name w:val="xl147"/>
    <w:basedOn w:val="Normal"/>
    <w:rsid w:val="000155BE"/>
    <w:pPr>
      <w:pBdr>
        <w:right w:val="single" w:sz="4" w:space="0" w:color="auto"/>
      </w:pBdr>
      <w:spacing w:before="100" w:beforeAutospacing="1" w:after="100" w:afterAutospacing="1" w:line="240" w:lineRule="auto"/>
      <w:jc w:val="center"/>
    </w:pPr>
    <w:rPr>
      <w:rFonts w:ascii="Arial Narrow" w:hAnsi="Arial Narrow"/>
      <w:color w:val="FF0000"/>
      <w:sz w:val="18"/>
      <w:szCs w:val="18"/>
      <w:lang w:val="en-US"/>
    </w:rPr>
  </w:style>
  <w:style w:type="paragraph" w:customStyle="1" w:styleId="xl148">
    <w:name w:val="xl14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49">
    <w:name w:val="xl149"/>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0">
    <w:name w:val="xl150"/>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1">
    <w:name w:val="xl151"/>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2">
    <w:name w:val="xl152"/>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3">
    <w:name w:val="xl153"/>
    <w:basedOn w:val="Normal"/>
    <w:rsid w:val="000155BE"/>
    <w:pPr>
      <w:spacing w:before="100" w:beforeAutospacing="1" w:after="100" w:afterAutospacing="1" w:line="240" w:lineRule="auto"/>
      <w:jc w:val="left"/>
      <w:textAlignment w:val="center"/>
    </w:pPr>
    <w:rPr>
      <w:rFonts w:ascii="Arial Narrow" w:hAnsi="Arial Narrow"/>
      <w:color w:val="FF0000"/>
      <w:sz w:val="18"/>
      <w:szCs w:val="18"/>
      <w:lang w:val="en-US"/>
    </w:rPr>
  </w:style>
  <w:style w:type="paragraph" w:customStyle="1" w:styleId="xl154">
    <w:name w:val="xl154"/>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b/>
      <w:bCs/>
      <w:sz w:val="28"/>
      <w:szCs w:val="28"/>
      <w:lang w:val="en-US"/>
    </w:rPr>
  </w:style>
  <w:style w:type="paragraph" w:customStyle="1" w:styleId="xl155">
    <w:name w:val="xl155"/>
    <w:basedOn w:val="Normal"/>
    <w:rsid w:val="000155BE"/>
    <w:pPr>
      <w:pBdr>
        <w:top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6">
    <w:name w:val="xl156"/>
    <w:basedOn w:val="Normal"/>
    <w:rsid w:val="000155BE"/>
    <w:pPr>
      <w:pBdr>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8"/>
      <w:szCs w:val="28"/>
      <w:lang w:val="en-US"/>
    </w:rPr>
  </w:style>
  <w:style w:type="paragraph" w:customStyle="1" w:styleId="xl157">
    <w:name w:val="xl157"/>
    <w:basedOn w:val="Normal"/>
    <w:rsid w:val="000155BE"/>
    <w:pPr>
      <w:pBdr>
        <w:top w:val="single" w:sz="12" w:space="0" w:color="FFFFFF"/>
        <w:left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58">
    <w:name w:val="xl158"/>
    <w:basedOn w:val="Normal"/>
    <w:rsid w:val="000155BE"/>
    <w:pPr>
      <w:pBdr>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9">
    <w:name w:val="xl159"/>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60">
    <w:name w:val="xl160"/>
    <w:basedOn w:val="Normal"/>
    <w:rsid w:val="000155BE"/>
    <w:pPr>
      <w:pBdr>
        <w:top w:val="single" w:sz="8" w:space="0" w:color="FFFFFF"/>
        <w:bottom w:val="single" w:sz="8"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1">
    <w:name w:val="xl161"/>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2">
    <w:name w:val="xl162"/>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color w:val="FFC000"/>
      <w:sz w:val="18"/>
      <w:szCs w:val="18"/>
      <w:lang w:val="en-US"/>
    </w:rPr>
  </w:style>
  <w:style w:type="paragraph" w:customStyle="1" w:styleId="xl163">
    <w:name w:val="xl163"/>
    <w:basedOn w:val="Normal"/>
    <w:rsid w:val="000155BE"/>
    <w:pPr>
      <w:pBdr>
        <w:right w:val="single" w:sz="4" w:space="0" w:color="auto"/>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64">
    <w:name w:val="xl164"/>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5">
    <w:name w:val="xl165"/>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6">
    <w:name w:val="xl166"/>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7">
    <w:name w:val="xl167"/>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8">
    <w:name w:val="xl168"/>
    <w:basedOn w:val="Normal"/>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9">
    <w:name w:val="xl169"/>
    <w:basedOn w:val="Normal"/>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0">
    <w:name w:val="xl170"/>
    <w:basedOn w:val="Normal"/>
    <w:rsid w:val="000155BE"/>
    <w:pPr>
      <w:pBdr>
        <w:top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1">
    <w:name w:val="xl171"/>
    <w:basedOn w:val="Normal"/>
    <w:rsid w:val="000155BE"/>
    <w:pPr>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2">
    <w:name w:val="xl172"/>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3">
    <w:name w:val="xl173"/>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4">
    <w:name w:val="xl174"/>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5">
    <w:name w:val="xl175"/>
    <w:basedOn w:val="Normal"/>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6">
    <w:name w:val="xl176"/>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77">
    <w:name w:val="xl177"/>
    <w:basedOn w:val="Normal"/>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178">
    <w:name w:val="xl178"/>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79">
    <w:name w:val="xl179"/>
    <w:basedOn w:val="Normal"/>
    <w:rsid w:val="000155BE"/>
    <w:pPr>
      <w:pBdr>
        <w:top w:val="single" w:sz="12" w:space="0" w:color="FFFFFF"/>
        <w:left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180">
    <w:name w:val="xl180"/>
    <w:basedOn w:val="Normal"/>
    <w:rsid w:val="000155BE"/>
    <w:pPr>
      <w:pBdr>
        <w:top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1">
    <w:name w:val="xl181"/>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82">
    <w:name w:val="xl182"/>
    <w:basedOn w:val="Normal"/>
    <w:rsid w:val="000155BE"/>
    <w:pPr>
      <w:pBdr>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3">
    <w:name w:val="xl183"/>
    <w:basedOn w:val="Normal"/>
    <w:rsid w:val="000155BE"/>
    <w:pPr>
      <w:pBdr>
        <w:left w:val="single" w:sz="8" w:space="0" w:color="16365C"/>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184">
    <w:name w:val="xl184"/>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5">
    <w:name w:val="xl185"/>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6">
    <w:name w:val="xl186"/>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7">
    <w:name w:val="xl18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88">
    <w:name w:val="xl188"/>
    <w:basedOn w:val="Normal"/>
    <w:rsid w:val="000155BE"/>
    <w:pPr>
      <w:pBdr>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89">
    <w:name w:val="xl189"/>
    <w:basedOn w:val="Normal"/>
    <w:rsid w:val="000155BE"/>
    <w:pPr>
      <w:pBdr>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90">
    <w:name w:val="xl190"/>
    <w:basedOn w:val="Normal"/>
    <w:rsid w:val="000155BE"/>
    <w:pPr>
      <w:pBdr>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91">
    <w:name w:val="xl19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2">
    <w:name w:val="xl192"/>
    <w:basedOn w:val="Normal"/>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3">
    <w:name w:val="xl193"/>
    <w:basedOn w:val="Normal"/>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4">
    <w:name w:val="xl194"/>
    <w:basedOn w:val="Normal"/>
    <w:rsid w:val="000155BE"/>
    <w:pPr>
      <w:pBdr>
        <w:top w:val="single" w:sz="12"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5">
    <w:name w:val="xl195"/>
    <w:basedOn w:val="Normal"/>
    <w:rsid w:val="000155BE"/>
    <w:pPr>
      <w:pBdr>
        <w:top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6">
    <w:name w:val="xl196"/>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7">
    <w:name w:val="xl197"/>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8">
    <w:name w:val="xl198"/>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9">
    <w:name w:val="xl199"/>
    <w:basedOn w:val="Normal"/>
    <w:rsid w:val="000155BE"/>
    <w:pPr>
      <w:pBdr>
        <w:left w:val="single" w:sz="12" w:space="0" w:color="FFFFFF"/>
        <w:bottom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200">
    <w:name w:val="xl200"/>
    <w:basedOn w:val="Normal"/>
    <w:rsid w:val="000155BE"/>
    <w:pPr>
      <w:pBdr>
        <w:top w:val="single" w:sz="8" w:space="0" w:color="FFFFFF"/>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1">
    <w:name w:val="xl201"/>
    <w:basedOn w:val="Normal"/>
    <w:rsid w:val="000155BE"/>
    <w:pPr>
      <w:pBdr>
        <w:top w:val="single" w:sz="8" w:space="0" w:color="FFFFFF"/>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02">
    <w:name w:val="xl202"/>
    <w:basedOn w:val="Normal"/>
    <w:rsid w:val="000155BE"/>
    <w:pPr>
      <w:pBdr>
        <w:top w:val="single" w:sz="8" w:space="0" w:color="FFFFFF"/>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3">
    <w:name w:val="xl203"/>
    <w:basedOn w:val="Normal"/>
    <w:rsid w:val="000155BE"/>
    <w:pPr>
      <w:pBdr>
        <w:top w:val="single" w:sz="12"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04">
    <w:name w:val="xl204"/>
    <w:basedOn w:val="Normal"/>
    <w:rsid w:val="000155BE"/>
    <w:pPr>
      <w:pBdr>
        <w:left w:val="single" w:sz="12" w:space="0" w:color="FFFFFF"/>
        <w:bottom w:val="single" w:sz="12" w:space="0" w:color="FFFFFF"/>
      </w:pBdr>
      <w:spacing w:before="100" w:beforeAutospacing="1" w:after="100" w:afterAutospacing="1" w:line="240" w:lineRule="auto"/>
      <w:jc w:val="left"/>
    </w:pPr>
    <w:rPr>
      <w:rFonts w:ascii="Arial Narrow" w:hAnsi="Arial Narrow"/>
      <w:b/>
      <w:bCs/>
      <w:sz w:val="24"/>
      <w:szCs w:val="24"/>
      <w:lang w:val="en-US"/>
    </w:rPr>
  </w:style>
  <w:style w:type="paragraph" w:customStyle="1" w:styleId="xl205">
    <w:name w:val="xl205"/>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206">
    <w:name w:val="xl206"/>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7">
    <w:name w:val="xl207"/>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8">
    <w:name w:val="xl208"/>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9">
    <w:name w:val="xl209"/>
    <w:basedOn w:val="Normal"/>
    <w:rsid w:val="000155BE"/>
    <w:pPr>
      <w:pBdr>
        <w:left w:val="single" w:sz="12" w:space="0" w:color="FFFFFF"/>
        <w:bottom w:val="single" w:sz="12" w:space="0" w:color="FFFFFF"/>
      </w:pBdr>
      <w:shd w:val="clear" w:color="000000" w:fill="FFFF00"/>
      <w:spacing w:before="100" w:beforeAutospacing="1" w:after="100" w:afterAutospacing="1" w:line="240" w:lineRule="auto"/>
      <w:jc w:val="left"/>
    </w:pPr>
    <w:rPr>
      <w:rFonts w:ascii="Arial Narrow" w:hAnsi="Arial Narrow"/>
      <w:b/>
      <w:bCs/>
      <w:sz w:val="24"/>
      <w:szCs w:val="24"/>
      <w:lang w:val="en-US"/>
    </w:rPr>
  </w:style>
  <w:style w:type="paragraph" w:customStyle="1" w:styleId="xl210">
    <w:name w:val="xl210"/>
    <w:basedOn w:val="Normal"/>
    <w:rsid w:val="000155BE"/>
    <w:pPr>
      <w:pBdr>
        <w:top w:val="single" w:sz="12" w:space="0" w:color="FFFFFF"/>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11">
    <w:name w:val="xl211"/>
    <w:basedOn w:val="Normal"/>
    <w:rsid w:val="000155BE"/>
    <w:pPr>
      <w:pBdr>
        <w:top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212">
    <w:name w:val="xl212"/>
    <w:basedOn w:val="Normal"/>
    <w:rsid w:val="000155BE"/>
    <w:pPr>
      <w:pBdr>
        <w:top w:val="single" w:sz="12" w:space="0" w:color="FFFFFF"/>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4"/>
      <w:szCs w:val="24"/>
      <w:lang w:val="en-US"/>
    </w:rPr>
  </w:style>
  <w:style w:type="paragraph" w:customStyle="1" w:styleId="xl213">
    <w:name w:val="xl213"/>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214">
    <w:name w:val="xl214"/>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4"/>
      <w:szCs w:val="24"/>
      <w:lang w:val="en-US"/>
    </w:rPr>
  </w:style>
  <w:style w:type="paragraph" w:customStyle="1" w:styleId="xl215">
    <w:name w:val="xl215"/>
    <w:basedOn w:val="Normal"/>
    <w:rsid w:val="000155BE"/>
    <w:pPr>
      <w:pBdr>
        <w:left w:val="single" w:sz="8" w:space="0" w:color="16365C"/>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216">
    <w:name w:val="xl216"/>
    <w:basedOn w:val="Normal"/>
    <w:rsid w:val="000155BE"/>
    <w:pPr>
      <w:pBdr>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7">
    <w:name w:val="xl217"/>
    <w:basedOn w:val="Normal"/>
    <w:rsid w:val="000155BE"/>
    <w:pPr>
      <w:pBdr>
        <w:lef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8">
    <w:name w:val="xl218"/>
    <w:basedOn w:val="Normal"/>
    <w:rsid w:val="000155BE"/>
    <w:pPr>
      <w:pBdr>
        <w:top w:val="single" w:sz="8" w:space="0" w:color="FFFFFF"/>
        <w:left w:val="single" w:sz="4" w:space="0" w:color="auto"/>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19">
    <w:name w:val="xl219"/>
    <w:basedOn w:val="Normal"/>
    <w:rsid w:val="000155BE"/>
    <w:pPr>
      <w:pBdr>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20">
    <w:name w:val="xl220"/>
    <w:basedOn w:val="Normal"/>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21">
    <w:name w:val="xl22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2">
    <w:name w:val="xl222"/>
    <w:basedOn w:val="Normal"/>
    <w:rsid w:val="000155BE"/>
    <w:pPr>
      <w:pBdr>
        <w:top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3">
    <w:name w:val="xl223"/>
    <w:basedOn w:val="Normal"/>
    <w:rsid w:val="000155BE"/>
    <w:pPr>
      <w:pBdr>
        <w:top w:val="single" w:sz="8" w:space="0" w:color="FFFFFF"/>
        <w:left w:val="single" w:sz="8" w:space="0" w:color="FFFFFF"/>
        <w:bottom w:val="single" w:sz="8" w:space="0" w:color="FFFFFF"/>
        <w:right w:val="single" w:sz="8" w:space="0" w:color="FFFFFF"/>
      </w:pBdr>
      <w:shd w:val="clear" w:color="000000" w:fill="00B050"/>
      <w:spacing w:before="100" w:beforeAutospacing="1" w:after="100" w:afterAutospacing="1" w:line="240" w:lineRule="auto"/>
      <w:jc w:val="center"/>
      <w:textAlignment w:val="center"/>
    </w:pPr>
    <w:rPr>
      <w:rFonts w:cs="Arial"/>
      <w:b/>
      <w:bCs/>
      <w:sz w:val="24"/>
      <w:szCs w:val="24"/>
      <w:lang w:val="en-US"/>
    </w:rPr>
  </w:style>
  <w:style w:type="paragraph" w:customStyle="1" w:styleId="xl224">
    <w:name w:val="xl224"/>
    <w:basedOn w:val="Normal"/>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5">
    <w:name w:val="xl225"/>
    <w:basedOn w:val="Normal"/>
    <w:rsid w:val="000155BE"/>
    <w:pPr>
      <w:pBdr>
        <w:top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6">
    <w:name w:val="xl226"/>
    <w:basedOn w:val="Normal"/>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sz w:val="18"/>
      <w:szCs w:val="18"/>
      <w:lang w:val="en-US"/>
    </w:rPr>
  </w:style>
  <w:style w:type="paragraph" w:customStyle="1" w:styleId="xl227">
    <w:name w:val="xl22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228">
    <w:name w:val="xl228"/>
    <w:basedOn w:val="Normal"/>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29">
    <w:name w:val="xl229"/>
    <w:basedOn w:val="Normal"/>
    <w:rsid w:val="000155BE"/>
    <w:pPr>
      <w:spacing w:before="100" w:beforeAutospacing="1" w:after="100" w:afterAutospacing="1" w:line="240" w:lineRule="auto"/>
      <w:jc w:val="center"/>
    </w:pPr>
    <w:rPr>
      <w:rFonts w:cs="Arial"/>
      <w:color w:val="FFFFFF"/>
      <w:sz w:val="18"/>
      <w:szCs w:val="18"/>
      <w:lang w:val="en-US"/>
    </w:rPr>
  </w:style>
  <w:style w:type="paragraph" w:customStyle="1" w:styleId="xl230">
    <w:name w:val="xl230"/>
    <w:basedOn w:val="Normal"/>
    <w:rsid w:val="000155BE"/>
    <w:pPr>
      <w:spacing w:before="100" w:beforeAutospacing="1" w:after="100" w:afterAutospacing="1" w:line="240" w:lineRule="auto"/>
      <w:jc w:val="center"/>
    </w:pPr>
    <w:rPr>
      <w:rFonts w:cs="Arial"/>
      <w:sz w:val="18"/>
      <w:szCs w:val="18"/>
      <w:lang w:val="en-US"/>
    </w:rPr>
  </w:style>
  <w:style w:type="paragraph" w:customStyle="1" w:styleId="xl231">
    <w:name w:val="xl231"/>
    <w:basedOn w:val="Normal"/>
    <w:rsid w:val="000155BE"/>
    <w:pPr>
      <w:pBdr>
        <w:left w:val="single" w:sz="4" w:space="0" w:color="auto"/>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2">
    <w:name w:val="xl232"/>
    <w:basedOn w:val="Normal"/>
    <w:rsid w:val="000155BE"/>
    <w:pPr>
      <w:pBdr>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3">
    <w:name w:val="xl233"/>
    <w:basedOn w:val="Normal"/>
    <w:rsid w:val="000155BE"/>
    <w:pPr>
      <w:pBdr>
        <w:bottom w:val="single" w:sz="12" w:space="0" w:color="FFFFFF"/>
        <w:right w:val="single" w:sz="4" w:space="0" w:color="auto"/>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4">
    <w:name w:val="xl234"/>
    <w:basedOn w:val="Normal"/>
    <w:rsid w:val="000155BE"/>
    <w:pPr>
      <w:spacing w:before="100" w:beforeAutospacing="1" w:after="100" w:afterAutospacing="1" w:line="240" w:lineRule="auto"/>
      <w:jc w:val="left"/>
      <w:textAlignment w:val="center"/>
    </w:pPr>
    <w:rPr>
      <w:rFonts w:cs="Arial"/>
      <w:color w:val="FFFFFF"/>
      <w:sz w:val="18"/>
      <w:szCs w:val="18"/>
      <w:lang w:val="en-US"/>
    </w:rPr>
  </w:style>
  <w:style w:type="paragraph" w:customStyle="1" w:styleId="xl235">
    <w:name w:val="xl235"/>
    <w:basedOn w:val="Normal"/>
    <w:rsid w:val="000155BE"/>
    <w:pPr>
      <w:pBdr>
        <w:top w:val="single" w:sz="12" w:space="0" w:color="FFFFFF"/>
        <w:left w:val="single" w:sz="8" w:space="0" w:color="16365C"/>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6">
    <w:name w:val="xl236"/>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7">
    <w:name w:val="xl237"/>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8">
    <w:name w:val="xl238"/>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9">
    <w:name w:val="xl239"/>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40">
    <w:name w:val="xl240"/>
    <w:basedOn w:val="Normal"/>
    <w:rsid w:val="000155BE"/>
    <w:pPr>
      <w:pBdr>
        <w:top w:val="single" w:sz="12" w:space="0" w:color="FFFFFF"/>
        <w:lef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1">
    <w:name w:val="xl241"/>
    <w:basedOn w:val="Normal"/>
    <w:rsid w:val="000155BE"/>
    <w:pPr>
      <w:pBdr>
        <w:top w:val="single" w:sz="12" w:space="0" w:color="FFFFFF"/>
      </w:pBdr>
      <w:shd w:val="clear" w:color="000000" w:fill="DDD9C4"/>
      <w:spacing w:before="100" w:beforeAutospacing="1" w:after="100" w:afterAutospacing="1" w:line="240" w:lineRule="auto"/>
      <w:jc w:val="right"/>
    </w:pPr>
    <w:rPr>
      <w:rFonts w:cs="Arial"/>
      <w:sz w:val="18"/>
      <w:szCs w:val="18"/>
      <w:lang w:val="en-US"/>
    </w:rPr>
  </w:style>
  <w:style w:type="paragraph" w:customStyle="1" w:styleId="xl242">
    <w:name w:val="xl242"/>
    <w:basedOn w:val="Normal"/>
    <w:rsid w:val="000155BE"/>
    <w:pPr>
      <w:pBdr>
        <w:top w:val="single" w:sz="12" w:space="0" w:color="FFFFFF"/>
        <w:righ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3">
    <w:name w:val="xl243"/>
    <w:basedOn w:val="Normal"/>
    <w:rsid w:val="000155BE"/>
    <w:pPr>
      <w:shd w:val="clear" w:color="000000" w:fill="DDD9C4"/>
      <w:spacing w:before="100" w:beforeAutospacing="1" w:after="100" w:afterAutospacing="1" w:line="240" w:lineRule="auto"/>
      <w:jc w:val="left"/>
      <w:textAlignment w:val="center"/>
    </w:pPr>
    <w:rPr>
      <w:rFonts w:cs="Arial"/>
      <w:sz w:val="18"/>
      <w:szCs w:val="18"/>
      <w:lang w:val="en-US"/>
    </w:rPr>
  </w:style>
  <w:style w:type="paragraph" w:customStyle="1" w:styleId="xl244">
    <w:name w:val="xl244"/>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5">
    <w:name w:val="xl245"/>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6">
    <w:name w:val="xl246"/>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7">
    <w:name w:val="xl247"/>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48">
    <w:name w:val="xl248"/>
    <w:basedOn w:val="Normal"/>
    <w:rsid w:val="000155BE"/>
    <w:pPr>
      <w:spacing w:before="100" w:beforeAutospacing="1" w:after="100" w:afterAutospacing="1" w:line="240" w:lineRule="auto"/>
      <w:jc w:val="center"/>
    </w:pPr>
    <w:rPr>
      <w:rFonts w:ascii="Arial Narrow" w:hAnsi="Arial Narrow"/>
      <w:sz w:val="18"/>
      <w:szCs w:val="18"/>
      <w:lang w:val="en-US"/>
    </w:rPr>
  </w:style>
  <w:style w:type="paragraph" w:customStyle="1" w:styleId="xl249">
    <w:name w:val="xl249"/>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50">
    <w:name w:val="xl250"/>
    <w:basedOn w:val="Normal"/>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1">
    <w:name w:val="xl251"/>
    <w:basedOn w:val="Normal"/>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52">
    <w:name w:val="xl252"/>
    <w:basedOn w:val="Normal"/>
    <w:rsid w:val="000155BE"/>
    <w:pPr>
      <w:pBdr>
        <w:left w:val="single" w:sz="8" w:space="0" w:color="16365C"/>
      </w:pBdr>
      <w:spacing w:before="100" w:beforeAutospacing="1" w:after="100" w:afterAutospacing="1" w:line="240" w:lineRule="auto"/>
      <w:jc w:val="center"/>
      <w:textAlignment w:val="center"/>
    </w:pPr>
    <w:rPr>
      <w:rFonts w:cs="Arial"/>
      <w:sz w:val="18"/>
      <w:szCs w:val="18"/>
      <w:lang w:val="en-US"/>
    </w:rPr>
  </w:style>
  <w:style w:type="paragraph" w:customStyle="1" w:styleId="xl253">
    <w:name w:val="xl253"/>
    <w:basedOn w:val="Normal"/>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4">
    <w:name w:val="xl254"/>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55">
    <w:name w:val="xl255"/>
    <w:basedOn w:val="Normal"/>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56">
    <w:name w:val="xl256"/>
    <w:basedOn w:val="Normal"/>
    <w:rsid w:val="000155BE"/>
    <w:pPr>
      <w:pBdr>
        <w:top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257">
    <w:name w:val="xl257"/>
    <w:basedOn w:val="Normal"/>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pPr>
    <w:rPr>
      <w:rFonts w:cs="Arial"/>
      <w:color w:val="FF0000"/>
      <w:sz w:val="18"/>
      <w:szCs w:val="18"/>
      <w:lang w:val="en-US"/>
    </w:rPr>
  </w:style>
  <w:style w:type="paragraph" w:customStyle="1" w:styleId="xl258">
    <w:name w:val="xl258"/>
    <w:basedOn w:val="Normal"/>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textAlignment w:val="top"/>
    </w:pPr>
    <w:rPr>
      <w:rFonts w:cs="Arial"/>
      <w:color w:val="FF0000"/>
      <w:sz w:val="18"/>
      <w:szCs w:val="18"/>
      <w:lang w:val="en-US"/>
    </w:rPr>
  </w:style>
  <w:style w:type="paragraph" w:customStyle="1" w:styleId="xl259">
    <w:name w:val="xl259"/>
    <w:basedOn w:val="Normal"/>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4"/>
      <w:szCs w:val="24"/>
      <w:lang w:val="en-US"/>
    </w:rPr>
  </w:style>
  <w:style w:type="paragraph" w:customStyle="1" w:styleId="xl260">
    <w:name w:val="xl260"/>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1">
    <w:name w:val="xl261"/>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2">
    <w:name w:val="xl262"/>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3">
    <w:name w:val="xl263"/>
    <w:basedOn w:val="Normal"/>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264">
    <w:name w:val="xl264"/>
    <w:basedOn w:val="Normal"/>
    <w:rsid w:val="000155BE"/>
    <w:pPr>
      <w:pBdr>
        <w:top w:val="single" w:sz="12" w:space="0" w:color="FFFFFF"/>
        <w:left w:val="single" w:sz="4" w:space="0" w:color="auto"/>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5">
    <w:name w:val="xl265"/>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6">
    <w:name w:val="xl266"/>
    <w:basedOn w:val="Normal"/>
    <w:rsid w:val="000155BE"/>
    <w:pPr>
      <w:pBdr>
        <w:top w:val="single" w:sz="12" w:space="0" w:color="FFFFFF"/>
        <w:bottom w:val="single" w:sz="12" w:space="0" w:color="FFFFFF"/>
        <w:right w:val="single" w:sz="4" w:space="0" w:color="auto"/>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7">
    <w:name w:val="xl267"/>
    <w:basedOn w:val="Normal"/>
    <w:rsid w:val="000155BE"/>
    <w:pPr>
      <w:shd w:val="clear" w:color="000000" w:fill="DDD9C4"/>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68">
    <w:name w:val="xl26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69">
    <w:name w:val="xl269"/>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70">
    <w:name w:val="xl270"/>
    <w:basedOn w:val="Normal"/>
    <w:rsid w:val="000155BE"/>
    <w:pP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1">
    <w:name w:val="xl27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72">
    <w:name w:val="xl272"/>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73">
    <w:name w:val="xl273"/>
    <w:basedOn w:val="Normal"/>
    <w:rsid w:val="000155BE"/>
    <w:pPr>
      <w:pBdr>
        <w:left w:val="single" w:sz="8" w:space="0" w:color="16365C"/>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4">
    <w:name w:val="xl274"/>
    <w:basedOn w:val="Normal"/>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5">
    <w:name w:val="xl275"/>
    <w:basedOn w:val="Normal"/>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6">
    <w:name w:val="xl276"/>
    <w:basedOn w:val="Normal"/>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color w:val="FFFFFF"/>
      <w:sz w:val="12"/>
      <w:szCs w:val="12"/>
      <w:lang w:val="en-US"/>
    </w:rPr>
  </w:style>
  <w:style w:type="paragraph" w:customStyle="1" w:styleId="xl277">
    <w:name w:val="xl277"/>
    <w:basedOn w:val="Normal"/>
    <w:rsid w:val="000155BE"/>
    <w:pPr>
      <w:pBdr>
        <w:top w:val="single" w:sz="12" w:space="0" w:color="FFFFFF"/>
        <w:left w:val="single" w:sz="4" w:space="0" w:color="auto"/>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8">
    <w:name w:val="xl278"/>
    <w:basedOn w:val="Normal"/>
    <w:rsid w:val="000155BE"/>
    <w:pPr>
      <w:pBdr>
        <w:top w:val="single" w:sz="12" w:space="0" w:color="FFFFFF"/>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9">
    <w:name w:val="xl279"/>
    <w:basedOn w:val="Normal"/>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80">
    <w:name w:val="xl280"/>
    <w:basedOn w:val="Normal"/>
    <w:rsid w:val="000155BE"/>
    <w:pPr>
      <w:shd w:val="clear" w:color="000000" w:fill="C0504D"/>
      <w:spacing w:before="100" w:beforeAutospacing="1" w:after="100" w:afterAutospacing="1" w:line="240" w:lineRule="auto"/>
      <w:jc w:val="left"/>
      <w:textAlignment w:val="center"/>
    </w:pPr>
    <w:rPr>
      <w:rFonts w:cs="Arial"/>
      <w:color w:val="FFFFFF"/>
      <w:sz w:val="18"/>
      <w:szCs w:val="18"/>
      <w:lang w:val="en-US"/>
    </w:rPr>
  </w:style>
  <w:style w:type="paragraph" w:customStyle="1" w:styleId="xl281">
    <w:name w:val="xl281"/>
    <w:basedOn w:val="Normal"/>
    <w:rsid w:val="000155BE"/>
    <w:pPr>
      <w:pBdr>
        <w:top w:val="single" w:sz="12" w:space="0" w:color="FFFFFF"/>
        <w:left w:val="single" w:sz="8" w:space="0" w:color="16365C"/>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2">
    <w:name w:val="xl282"/>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3">
    <w:name w:val="xl283"/>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4">
    <w:name w:val="xl284"/>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5">
    <w:name w:val="xl285"/>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86">
    <w:name w:val="xl286"/>
    <w:basedOn w:val="Normal"/>
    <w:rsid w:val="000155BE"/>
    <w:pPr>
      <w:pBdr>
        <w:top w:val="single" w:sz="12"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287">
    <w:name w:val="xl287"/>
    <w:basedOn w:val="Normal"/>
    <w:rsid w:val="000155BE"/>
    <w:pPr>
      <w:pBdr>
        <w:top w:val="single" w:sz="12" w:space="0" w:color="FFFFFF"/>
        <w:lef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88">
    <w:name w:val="xl288"/>
    <w:basedOn w:val="Normal"/>
    <w:rsid w:val="000155BE"/>
    <w:pPr>
      <w:pBdr>
        <w:top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289">
    <w:name w:val="xl289"/>
    <w:basedOn w:val="Normal"/>
    <w:rsid w:val="000155BE"/>
    <w:pPr>
      <w:pBdr>
        <w:top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90">
    <w:name w:val="xl290"/>
    <w:basedOn w:val="Normal"/>
    <w:rsid w:val="000155BE"/>
    <w:pPr>
      <w:shd w:val="clear" w:color="000000" w:fill="E6B8B7"/>
      <w:spacing w:before="100" w:beforeAutospacing="1" w:after="100" w:afterAutospacing="1" w:line="240" w:lineRule="auto"/>
      <w:jc w:val="left"/>
      <w:textAlignment w:val="center"/>
    </w:pPr>
    <w:rPr>
      <w:rFonts w:cs="Arial"/>
      <w:sz w:val="18"/>
      <w:szCs w:val="18"/>
      <w:lang w:val="en-US"/>
    </w:rPr>
  </w:style>
  <w:style w:type="paragraph" w:customStyle="1" w:styleId="xl291">
    <w:name w:val="xl291"/>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2">
    <w:name w:val="xl292"/>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3">
    <w:name w:val="xl293"/>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4">
    <w:name w:val="xl294"/>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5">
    <w:name w:val="xl295"/>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96">
    <w:name w:val="xl296"/>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7">
    <w:name w:val="xl297"/>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98">
    <w:name w:val="xl298"/>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9">
    <w:name w:val="xl299"/>
    <w:basedOn w:val="Normal"/>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0">
    <w:name w:val="xl300"/>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1">
    <w:name w:val="xl30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18"/>
      <w:szCs w:val="18"/>
      <w:lang w:val="en-US"/>
    </w:rPr>
  </w:style>
  <w:style w:type="paragraph" w:customStyle="1" w:styleId="xl302">
    <w:name w:val="xl302"/>
    <w:basedOn w:val="Normal"/>
    <w:rsid w:val="000155BE"/>
    <w:pPr>
      <w:pBdr>
        <w:top w:val="single" w:sz="8" w:space="0" w:color="FFFFFF"/>
        <w:left w:val="single" w:sz="8" w:space="0" w:color="16365C"/>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3">
    <w:name w:val="xl303"/>
    <w:basedOn w:val="Normal"/>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4">
    <w:name w:val="xl304"/>
    <w:basedOn w:val="Normal"/>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5">
    <w:name w:val="xl305"/>
    <w:basedOn w:val="Normal"/>
    <w:rsid w:val="000155BE"/>
    <w:pPr>
      <w:pBdr>
        <w:top w:val="single" w:sz="8" w:space="0" w:color="FFFFFF"/>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6">
    <w:name w:val="xl306"/>
    <w:basedOn w:val="Normal"/>
    <w:rsid w:val="000155BE"/>
    <w:pPr>
      <w:pBdr>
        <w:top w:val="single" w:sz="12" w:space="0" w:color="FFFFFF"/>
        <w:left w:val="single" w:sz="4" w:space="0" w:color="auto"/>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7">
    <w:name w:val="xl307"/>
    <w:basedOn w:val="Normal"/>
    <w:rsid w:val="000155BE"/>
    <w:pPr>
      <w:pBdr>
        <w:top w:val="single" w:sz="12" w:space="0" w:color="FFFFFF"/>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8">
    <w:name w:val="xl308"/>
    <w:basedOn w:val="Normal"/>
    <w:rsid w:val="000155BE"/>
    <w:pPr>
      <w:pBdr>
        <w:top w:val="single" w:sz="12" w:space="0" w:color="FFFFFF"/>
        <w:bottom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309">
    <w:name w:val="xl309"/>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0">
    <w:name w:val="xl310"/>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1">
    <w:name w:val="xl311"/>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2">
    <w:name w:val="xl312"/>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cs="Arial"/>
      <w:sz w:val="2"/>
      <w:szCs w:val="2"/>
      <w:lang w:val="en-US"/>
    </w:rPr>
  </w:style>
  <w:style w:type="paragraph" w:customStyle="1" w:styleId="xl313">
    <w:name w:val="xl313"/>
    <w:basedOn w:val="Normal"/>
    <w:rsid w:val="000155BE"/>
    <w:pPr>
      <w:pBdr>
        <w:top w:val="single" w:sz="8" w:space="0" w:color="FFFFFF"/>
        <w:left w:val="single" w:sz="8" w:space="0" w:color="16365C"/>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4">
    <w:name w:val="xl314"/>
    <w:basedOn w:val="Normal"/>
    <w:rsid w:val="000155BE"/>
    <w:pPr>
      <w:pBdr>
        <w:top w:val="single" w:sz="8" w:space="0" w:color="FFFFFF"/>
        <w:left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5">
    <w:name w:val="xl315"/>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6">
    <w:name w:val="xl316"/>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7">
    <w:name w:val="xl317"/>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8">
    <w:name w:val="xl318"/>
    <w:basedOn w:val="Normal"/>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319">
    <w:name w:val="xl319"/>
    <w:basedOn w:val="Normal"/>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320">
    <w:name w:val="xl320"/>
    <w:basedOn w:val="Normal"/>
    <w:rsid w:val="000155BE"/>
    <w:pP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21">
    <w:name w:val="xl321"/>
    <w:basedOn w:val="Normal"/>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322">
    <w:name w:val="xl322"/>
    <w:basedOn w:val="Normal"/>
    <w:rsid w:val="000155BE"/>
    <w:pPr>
      <w:spacing w:before="100" w:beforeAutospacing="1" w:after="100" w:afterAutospacing="1" w:line="240" w:lineRule="auto"/>
      <w:jc w:val="left"/>
    </w:pPr>
    <w:rPr>
      <w:rFonts w:ascii="Arial Narrow" w:hAnsi="Arial Narrow"/>
      <w:sz w:val="18"/>
      <w:szCs w:val="18"/>
      <w:lang w:val="en-US"/>
    </w:rPr>
  </w:style>
  <w:style w:type="paragraph" w:customStyle="1" w:styleId="xl323">
    <w:name w:val="xl323"/>
    <w:basedOn w:val="Normal"/>
    <w:rsid w:val="000155BE"/>
    <w:pPr>
      <w:pBdr>
        <w:top w:val="single" w:sz="12" w:space="0" w:color="FFFFFF"/>
        <w:left w:val="single" w:sz="8" w:space="0" w:color="16365C"/>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4">
    <w:name w:val="xl324"/>
    <w:basedOn w:val="Normal"/>
    <w:rsid w:val="000155BE"/>
    <w:pPr>
      <w:pBdr>
        <w:top w:val="single" w:sz="12" w:space="0" w:color="FFFFFF"/>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5">
    <w:name w:val="xl325"/>
    <w:basedOn w:val="Normal"/>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6">
    <w:name w:val="xl326"/>
    <w:basedOn w:val="Normal"/>
    <w:rsid w:val="000155BE"/>
    <w:pPr>
      <w:pBdr>
        <w:top w:val="single" w:sz="8" w:space="0" w:color="FFFFFF"/>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7">
    <w:name w:val="xl327"/>
    <w:basedOn w:val="Normal"/>
    <w:rsid w:val="000155BE"/>
    <w:pPr>
      <w:pBdr>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8">
    <w:name w:val="xl328"/>
    <w:basedOn w:val="Normal"/>
    <w:rsid w:val="000155BE"/>
    <w:pPr>
      <w:pBdr>
        <w:left w:val="single" w:sz="8" w:space="0" w:color="16365C"/>
        <w:bottom w:val="single" w:sz="8" w:space="0" w:color="FFFFFF"/>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9">
    <w:name w:val="xl329"/>
    <w:basedOn w:val="Normal"/>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0">
    <w:name w:val="xl330"/>
    <w:basedOn w:val="Normal"/>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1">
    <w:name w:val="xl331"/>
    <w:basedOn w:val="Normal"/>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2">
    <w:name w:val="xl332"/>
    <w:basedOn w:val="Normal"/>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3">
    <w:name w:val="xl333"/>
    <w:basedOn w:val="Normal"/>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4">
    <w:name w:val="xl334"/>
    <w:basedOn w:val="Normal"/>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5">
    <w:name w:val="xl335"/>
    <w:basedOn w:val="Normal"/>
    <w:rsid w:val="000155BE"/>
    <w:pPr>
      <w:pBdr>
        <w:top w:val="single" w:sz="8" w:space="0" w:color="FFFFFF"/>
        <w:left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6">
    <w:name w:val="xl336"/>
    <w:basedOn w:val="Normal"/>
    <w:rsid w:val="000155BE"/>
    <w:pPr>
      <w:pBdr>
        <w:top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7">
    <w:name w:val="xl337"/>
    <w:basedOn w:val="Normal"/>
    <w:rsid w:val="000155BE"/>
    <w:pPr>
      <w:pBdr>
        <w:top w:val="single" w:sz="8" w:space="0" w:color="FFFFFF"/>
        <w:left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8">
    <w:name w:val="xl338"/>
    <w:basedOn w:val="Normal"/>
    <w:rsid w:val="000155BE"/>
    <w:pPr>
      <w:pBdr>
        <w:top w:val="single" w:sz="8" w:space="0" w:color="FFFFFF"/>
      </w:pBdr>
      <w:spacing w:before="100" w:beforeAutospacing="1" w:after="100" w:afterAutospacing="1" w:line="240" w:lineRule="auto"/>
      <w:jc w:val="right"/>
      <w:textAlignment w:val="center"/>
    </w:pPr>
    <w:rPr>
      <w:rFonts w:cs="Arial"/>
      <w:i/>
      <w:iCs/>
      <w:color w:val="FF0000"/>
      <w:sz w:val="18"/>
      <w:szCs w:val="18"/>
      <w:lang w:val="en-US"/>
    </w:rPr>
  </w:style>
  <w:style w:type="paragraph" w:customStyle="1" w:styleId="xl339">
    <w:name w:val="xl339"/>
    <w:basedOn w:val="Normal"/>
    <w:rsid w:val="000155BE"/>
    <w:pPr>
      <w:pBdr>
        <w:top w:val="single" w:sz="12" w:space="0" w:color="FFFFFF"/>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0">
    <w:name w:val="xl340"/>
    <w:basedOn w:val="Normal"/>
    <w:rsid w:val="000155BE"/>
    <w:pPr>
      <w:pBdr>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1">
    <w:name w:val="xl341"/>
    <w:basedOn w:val="Normal"/>
    <w:rsid w:val="000155BE"/>
    <w:pPr>
      <w:pBdr>
        <w:left w:val="single" w:sz="8" w:space="0" w:color="16365C"/>
        <w:bottom w:val="single" w:sz="12" w:space="0" w:color="FFFFFF"/>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2">
    <w:name w:val="xl342"/>
    <w:basedOn w:val="Normal"/>
    <w:rsid w:val="000155BE"/>
    <w:pPr>
      <w:pBdr>
        <w:left w:val="single" w:sz="8" w:space="0" w:color="16365C"/>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3">
    <w:name w:val="xl343"/>
    <w:basedOn w:val="Normal"/>
    <w:rsid w:val="000155BE"/>
    <w:pPr>
      <w:pBdr>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4">
    <w:name w:val="xl344"/>
    <w:basedOn w:val="Normal"/>
    <w:rsid w:val="000155BE"/>
    <w:pPr>
      <w:pBdr>
        <w:bottom w:val="single" w:sz="12" w:space="0" w:color="FFFFFF"/>
        <w:right w:val="single" w:sz="4" w:space="0" w:color="auto"/>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5">
    <w:name w:val="xl345"/>
    <w:basedOn w:val="Normal"/>
    <w:rsid w:val="000155BE"/>
    <w:pPr>
      <w:pBdr>
        <w:top w:val="single" w:sz="8" w:space="0" w:color="16365C"/>
        <w:left w:val="single" w:sz="12" w:space="0" w:color="FFFFFF"/>
        <w:bottom w:val="single" w:sz="12" w:space="0" w:color="FFFFFF"/>
        <w:right w:val="single" w:sz="12" w:space="0" w:color="FFFFFF"/>
      </w:pBdr>
      <w:shd w:val="clear" w:color="000000" w:fill="DAEEF3"/>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346">
    <w:name w:val="xl346"/>
    <w:basedOn w:val="Normal"/>
    <w:rsid w:val="000155BE"/>
    <w:pPr>
      <w:pBdr>
        <w:top w:val="single" w:sz="8" w:space="0" w:color="16365C"/>
        <w:left w:val="single" w:sz="12" w:space="0" w:color="FFFFFF"/>
        <w:bottom w:val="single" w:sz="12" w:space="0" w:color="FFFFFF"/>
        <w:right w:val="single" w:sz="12" w:space="0" w:color="FFFFFF"/>
      </w:pBdr>
      <w:shd w:val="clear" w:color="000000" w:fill="B7DEE8"/>
      <w:spacing w:before="100" w:beforeAutospacing="1" w:after="100" w:afterAutospacing="1" w:line="240" w:lineRule="auto"/>
      <w:jc w:val="center"/>
      <w:textAlignment w:val="center"/>
    </w:pPr>
    <w:rPr>
      <w:rFonts w:ascii="Arial Narrow" w:hAnsi="Arial Narrow"/>
      <w:b/>
      <w:bCs/>
      <w:color w:val="FFFFFF"/>
      <w:sz w:val="18"/>
      <w:szCs w:val="18"/>
      <w:lang w:val="en-US"/>
    </w:rPr>
  </w:style>
  <w:style w:type="paragraph" w:customStyle="1" w:styleId="xl347">
    <w:name w:val="xl347"/>
    <w:basedOn w:val="Normal"/>
    <w:rsid w:val="000155BE"/>
    <w:pPr>
      <w:pBdr>
        <w:left w:val="single" w:sz="8" w:space="0" w:color="16365C"/>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8">
    <w:name w:val="xl348"/>
    <w:basedOn w:val="Normal"/>
    <w:rsid w:val="000155BE"/>
    <w:pPr>
      <w:pBdr>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9">
    <w:name w:val="xl349"/>
    <w:basedOn w:val="Normal"/>
    <w:rsid w:val="000155BE"/>
    <w:pPr>
      <w:pBdr>
        <w:bottom w:val="single" w:sz="12" w:space="0" w:color="FFFFFF"/>
        <w:right w:val="single" w:sz="4" w:space="0" w:color="auto"/>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character" w:customStyle="1" w:styleId="rvts11">
    <w:name w:val="rvts11"/>
    <w:basedOn w:val="DefaultParagraphFont"/>
    <w:rsid w:val="000D7402"/>
  </w:style>
  <w:style w:type="paragraph" w:styleId="BodyText">
    <w:name w:val="Body Text"/>
    <w:basedOn w:val="Normal"/>
    <w:link w:val="BodyTextChar"/>
    <w:rsid w:val="009E6067"/>
    <w:pPr>
      <w:spacing w:before="0" w:line="240" w:lineRule="auto"/>
    </w:pPr>
    <w:rPr>
      <w:rFonts w:ascii="Times New Roman" w:hAnsi="Times New Roman"/>
      <w:bCs/>
      <w:sz w:val="24"/>
      <w:szCs w:val="24"/>
    </w:rPr>
  </w:style>
  <w:style w:type="character" w:customStyle="1" w:styleId="BodyTextChar">
    <w:name w:val="Body Text Char"/>
    <w:link w:val="BodyText"/>
    <w:rsid w:val="009E6067"/>
    <w:rPr>
      <w:bCs/>
      <w:noProof w:val="0"/>
      <w:sz w:val="24"/>
      <w:szCs w:val="24"/>
      <w:lang w:val="en-GB"/>
    </w:rPr>
  </w:style>
  <w:style w:type="character" w:customStyle="1" w:styleId="TitleChar">
    <w:name w:val="Title Char"/>
    <w:link w:val="Title"/>
    <w:uiPriority w:val="10"/>
    <w:rsid w:val="003D1613"/>
    <w:rPr>
      <w:rFonts w:ascii="Arial" w:hAnsi="Arial"/>
      <w:bCs/>
      <w:i/>
      <w:iCs/>
      <w:color w:val="FFFFFF"/>
      <w:kern w:val="28"/>
      <w:sz w:val="40"/>
      <w:szCs w:val="40"/>
      <w:lang w:val="en-GB" w:eastAsia="en-US"/>
    </w:rPr>
  </w:style>
  <w:style w:type="paragraph" w:styleId="NoSpacing">
    <w:name w:val="No Spacing"/>
    <w:uiPriority w:val="1"/>
    <w:qFormat/>
    <w:rsid w:val="00960804"/>
    <w:pPr>
      <w:jc w:val="both"/>
    </w:pPr>
    <w:rPr>
      <w:rFonts w:ascii="Arial" w:hAnsi="Arial"/>
      <w:sz w:val="21"/>
      <w:lang w:val="en-GB" w:eastAsia="en-US"/>
    </w:rPr>
  </w:style>
  <w:style w:type="character" w:customStyle="1" w:styleId="Heading6Char">
    <w:name w:val="Heading 6 Char"/>
    <w:link w:val="Heading6"/>
    <w:rsid w:val="00762C9B"/>
    <w:rPr>
      <w:rFonts w:ascii="Arial" w:hAnsi="Arial"/>
      <w:b/>
      <w:sz w:val="21"/>
      <w:lang w:val="en-GB" w:eastAsia="en-US"/>
    </w:rPr>
  </w:style>
  <w:style w:type="character" w:customStyle="1" w:styleId="Heading7Char">
    <w:name w:val="Heading 7 Char"/>
    <w:link w:val="Heading7"/>
    <w:uiPriority w:val="9"/>
    <w:rsid w:val="00762C9B"/>
    <w:rPr>
      <w:rFonts w:ascii="Arial" w:hAnsi="Arial"/>
      <w:b/>
      <w:sz w:val="21"/>
      <w:lang w:val="en-GB" w:eastAsia="en-US"/>
    </w:rPr>
  </w:style>
  <w:style w:type="character" w:customStyle="1" w:styleId="Heading8Char">
    <w:name w:val="Heading 8 Char"/>
    <w:link w:val="Heading8"/>
    <w:rsid w:val="00762C9B"/>
    <w:rPr>
      <w:rFonts w:ascii="Arial" w:hAnsi="Arial"/>
      <w:i/>
      <w:sz w:val="21"/>
      <w:lang w:val="en-GB" w:eastAsia="en-US"/>
    </w:rPr>
  </w:style>
  <w:style w:type="character" w:customStyle="1" w:styleId="Heading9Char">
    <w:name w:val="Heading 9 Char"/>
    <w:link w:val="Heading9"/>
    <w:rsid w:val="00762C9B"/>
    <w:rPr>
      <w:rFonts w:ascii="Arial" w:hAnsi="Arial"/>
      <w:b/>
      <w:i/>
      <w:sz w:val="18"/>
      <w:lang w:val="en-GB" w:eastAsia="en-US"/>
    </w:rPr>
  </w:style>
  <w:style w:type="character" w:customStyle="1" w:styleId="BalloonTextChar">
    <w:name w:val="Balloon Text Char"/>
    <w:link w:val="BalloonText"/>
    <w:uiPriority w:val="99"/>
    <w:semiHidden/>
    <w:rsid w:val="00762C9B"/>
    <w:rPr>
      <w:rFonts w:ascii="Tahoma" w:hAnsi="Tahoma" w:cs="Tahoma"/>
      <w:sz w:val="16"/>
      <w:szCs w:val="16"/>
      <w:lang w:val="en-US" w:eastAsia="ru-RU"/>
    </w:rPr>
  </w:style>
  <w:style w:type="character" w:customStyle="1" w:styleId="FooterChar">
    <w:name w:val="Footer Char"/>
    <w:link w:val="Footer"/>
    <w:uiPriority w:val="99"/>
    <w:rsid w:val="001165F4"/>
    <w:rPr>
      <w:rFonts w:ascii="Arial" w:hAnsi="Arial"/>
      <w:bCs/>
      <w:noProof/>
      <w:sz w:val="16"/>
      <w:szCs w:val="16"/>
      <w:lang w:val="en-GB" w:eastAsia="en-US"/>
    </w:rPr>
  </w:style>
  <w:style w:type="character" w:customStyle="1" w:styleId="EndnoteTextChar">
    <w:name w:val="Endnote Text Char"/>
    <w:link w:val="EndnoteText"/>
    <w:semiHidden/>
    <w:rsid w:val="00566D4C"/>
    <w:rPr>
      <w:rFonts w:ascii="Arial" w:hAnsi="Arial"/>
      <w:sz w:val="21"/>
      <w:lang w:eastAsia="en-US"/>
    </w:rPr>
  </w:style>
  <w:style w:type="paragraph" w:customStyle="1" w:styleId="Default">
    <w:name w:val="Default"/>
    <w:rsid w:val="001E2306"/>
    <w:pPr>
      <w:autoSpaceDE w:val="0"/>
      <w:autoSpaceDN w:val="0"/>
      <w:adjustRightInd w:val="0"/>
    </w:pPr>
    <w:rPr>
      <w:rFonts w:ascii="Arial" w:eastAsia="Calibri" w:hAnsi="Arial" w:cs="Arial"/>
      <w:color w:val="000000"/>
      <w:sz w:val="24"/>
      <w:szCs w:val="24"/>
      <w:lang w:val="bg-BG" w:eastAsia="en-US"/>
    </w:rPr>
  </w:style>
  <w:style w:type="paragraph" w:customStyle="1" w:styleId="Normal0">
    <w:name w:val="[Normal]"/>
    <w:rsid w:val="001E2306"/>
    <w:pPr>
      <w:widowControl w:val="0"/>
    </w:pPr>
    <w:rPr>
      <w:rFonts w:ascii="Arial" w:eastAsia="Arial" w:hAnsi="Arial" w:cs="Arial"/>
      <w:sz w:val="24"/>
      <w:lang w:val="en-US" w:eastAsia="en-US"/>
    </w:rPr>
  </w:style>
  <w:style w:type="character" w:customStyle="1" w:styleId="apple-converted-space">
    <w:name w:val="apple-converted-space"/>
    <w:basedOn w:val="DefaultParagraphFont"/>
    <w:rsid w:val="001E2306"/>
  </w:style>
  <w:style w:type="table" w:styleId="LightList-Accent3">
    <w:name w:val="Light List Accent 3"/>
    <w:basedOn w:val="TableNormal"/>
    <w:uiPriority w:val="61"/>
    <w:rsid w:val="001E2306"/>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FrontMainTitle">
    <w:name w:val="Front Main Title"/>
    <w:basedOn w:val="Normal"/>
    <w:semiHidden/>
    <w:rsid w:val="001E2306"/>
    <w:pPr>
      <w:spacing w:before="2325" w:line="240" w:lineRule="auto"/>
      <w:ind w:left="1701" w:right="1134"/>
      <w:jc w:val="right"/>
    </w:pPr>
    <w:rPr>
      <w:b/>
      <w:bCs/>
      <w:snapToGrid w:val="0"/>
      <w:sz w:val="48"/>
    </w:rPr>
  </w:style>
  <w:style w:type="table" w:customStyle="1" w:styleId="LightList1">
    <w:name w:val="Light List1"/>
    <w:basedOn w:val="TableNormal"/>
    <w:uiPriority w:val="61"/>
    <w:rsid w:val="001E2306"/>
    <w:rPr>
      <w:rFonts w:ascii="Arial" w:hAnsi="Arial"/>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inTitle">
    <w:name w:val="Main Title"/>
    <w:basedOn w:val="Normal"/>
    <w:next w:val="Normal"/>
    <w:rsid w:val="001E2306"/>
    <w:pPr>
      <w:spacing w:before="0" w:after="240" w:line="240" w:lineRule="auto"/>
      <w:ind w:right="3827"/>
      <w:jc w:val="left"/>
    </w:pPr>
    <w:rPr>
      <w:b/>
      <w:caps/>
      <w:snapToGrid w:val="0"/>
      <w:sz w:val="28"/>
    </w:rPr>
  </w:style>
  <w:style w:type="numbering" w:customStyle="1" w:styleId="Reportstyle">
    <w:name w:val="Report style"/>
    <w:rsid w:val="001E2306"/>
    <w:pPr>
      <w:numPr>
        <w:numId w:val="47"/>
      </w:numPr>
    </w:pPr>
  </w:style>
  <w:style w:type="table" w:styleId="TableColumns4">
    <w:name w:val="Table Columns 4"/>
    <w:basedOn w:val="TableNormal"/>
    <w:rsid w:val="001E2306"/>
    <w:rPr>
      <w:rFonts w:ascii="Arial" w:hAnsi="Arial"/>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mainfont">
    <w:name w:val="mainfont"/>
    <w:basedOn w:val="Normal"/>
    <w:rsid w:val="001E2306"/>
    <w:pPr>
      <w:spacing w:before="100" w:beforeAutospacing="1" w:after="100" w:afterAutospacing="1" w:line="240" w:lineRule="auto"/>
      <w:jc w:val="left"/>
    </w:pPr>
    <w:rPr>
      <w:rFonts w:ascii="Times New Roman" w:hAnsi="Times New Roman"/>
      <w:sz w:val="24"/>
      <w:szCs w:val="24"/>
      <w:lang w:eastAsia="en-GB"/>
    </w:rPr>
  </w:style>
  <w:style w:type="character" w:customStyle="1" w:styleId="head1">
    <w:name w:val="head1"/>
    <w:basedOn w:val="DefaultParagraphFont"/>
    <w:rsid w:val="001E2306"/>
  </w:style>
  <w:style w:type="table" w:styleId="TableGrid8">
    <w:name w:val="Table Grid 8"/>
    <w:basedOn w:val="TableNormal"/>
    <w:rsid w:val="001E2306"/>
    <w:rPr>
      <w:rFonts w:ascii="Calibri" w:hAnsi="Calibri" w:cs="Arial"/>
      <w:b/>
      <w:sz w:val="36"/>
      <w:szCs w:val="24"/>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1w">
    <w:name w:val="head1w"/>
    <w:basedOn w:val="DefaultParagraphFont"/>
    <w:rsid w:val="001E2306"/>
  </w:style>
  <w:style w:type="table" w:customStyle="1" w:styleId="LightShading1">
    <w:name w:val="Light Shading1"/>
    <w:basedOn w:val="TableNormal"/>
    <w:uiPriority w:val="60"/>
    <w:rsid w:val="001E2306"/>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readcrumbseparator">
    <w:name w:val="breadcrumbseparator"/>
    <w:basedOn w:val="DefaultParagraphFont"/>
    <w:rsid w:val="001E2306"/>
  </w:style>
  <w:style w:type="character" w:customStyle="1" w:styleId="portaltype">
    <w:name w:val="portaltype"/>
    <w:basedOn w:val="DefaultParagraphFont"/>
    <w:rsid w:val="001E2306"/>
  </w:style>
  <w:style w:type="character" w:customStyle="1" w:styleId="docdate">
    <w:name w:val="docdate"/>
    <w:basedOn w:val="DefaultParagraphFont"/>
    <w:rsid w:val="001E2306"/>
  </w:style>
  <w:style w:type="character" w:customStyle="1" w:styleId="mainfont1">
    <w:name w:val="mainfont1"/>
    <w:basedOn w:val="DefaultParagraphFont"/>
    <w:rsid w:val="001E2306"/>
  </w:style>
  <w:style w:type="table" w:customStyle="1" w:styleId="LightShading-Accent11">
    <w:name w:val="Light Shading - Accent 11"/>
    <w:basedOn w:val="TableNormal"/>
    <w:uiPriority w:val="60"/>
    <w:rsid w:val="001E2306"/>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ubtitle">
    <w:name w:val="Subtitle"/>
    <w:basedOn w:val="Normal"/>
    <w:next w:val="Normal"/>
    <w:link w:val="SubtitleChar"/>
    <w:uiPriority w:val="11"/>
    <w:qFormat/>
    <w:rsid w:val="001E2306"/>
    <w:pPr>
      <w:numPr>
        <w:ilvl w:val="1"/>
      </w:numPr>
      <w:spacing w:before="0" w:after="200" w:line="276" w:lineRule="auto"/>
      <w:jc w:val="left"/>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1E2306"/>
    <w:rPr>
      <w:rFonts w:asciiTheme="majorHAnsi" w:eastAsiaTheme="majorEastAsia" w:hAnsiTheme="majorHAnsi" w:cstheme="majorBidi"/>
      <w:i/>
      <w:iCs/>
      <w:color w:val="4F81BD" w:themeColor="accent1"/>
      <w:spacing w:val="15"/>
      <w:sz w:val="24"/>
      <w:szCs w:val="24"/>
      <w:lang w:val="en-US" w:eastAsia="en-US"/>
    </w:rPr>
  </w:style>
  <w:style w:type="paragraph" w:customStyle="1" w:styleId="Preparedby">
    <w:name w:val="Prepared by"/>
    <w:basedOn w:val="Normal"/>
    <w:next w:val="Normal"/>
    <w:rsid w:val="001E2306"/>
    <w:pPr>
      <w:framePr w:w="4201" w:h="2903" w:hSpace="181" w:wrap="around" w:vAnchor="page" w:hAnchor="page" w:x="1662" w:y="12475"/>
      <w:spacing w:before="0" w:line="240" w:lineRule="auto"/>
      <w:jc w:val="left"/>
    </w:pPr>
    <w:rPr>
      <w:snapToGrid w:val="0"/>
      <w:sz w:val="20"/>
    </w:rPr>
  </w:style>
  <w:style w:type="paragraph" w:customStyle="1" w:styleId="CENN2">
    <w:name w:val="CENN 2"/>
    <w:basedOn w:val="Normal"/>
    <w:link w:val="CENN2Char"/>
    <w:qFormat/>
    <w:rsid w:val="001E2306"/>
    <w:pPr>
      <w:shd w:val="clear" w:color="auto" w:fill="FFFFFF"/>
      <w:spacing w:before="0" w:after="200" w:line="335" w:lineRule="atLeast"/>
      <w:jc w:val="left"/>
    </w:pPr>
    <w:rPr>
      <w:rFonts w:eastAsiaTheme="minorEastAsia" w:cs="Arial"/>
      <w:color w:val="5E6066"/>
      <w:sz w:val="20"/>
      <w:lang w:val="en-US"/>
    </w:rPr>
  </w:style>
  <w:style w:type="character" w:customStyle="1" w:styleId="CENN2Char">
    <w:name w:val="CENN 2 Char"/>
    <w:basedOn w:val="DefaultParagraphFont"/>
    <w:link w:val="CENN2"/>
    <w:rsid w:val="001E2306"/>
    <w:rPr>
      <w:rFonts w:ascii="Arial" w:eastAsiaTheme="minorEastAsia" w:hAnsi="Arial" w:cs="Arial"/>
      <w:color w:val="5E6066"/>
      <w:shd w:val="clear" w:color="auto" w:fill="FFFFFF"/>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Reportstyle"/>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1409">
      <w:bodyDiv w:val="1"/>
      <w:marLeft w:val="0"/>
      <w:marRight w:val="0"/>
      <w:marTop w:val="0"/>
      <w:marBottom w:val="0"/>
      <w:divBdr>
        <w:top w:val="none" w:sz="0" w:space="0" w:color="auto"/>
        <w:left w:val="none" w:sz="0" w:space="0" w:color="auto"/>
        <w:bottom w:val="none" w:sz="0" w:space="0" w:color="auto"/>
        <w:right w:val="none" w:sz="0" w:space="0" w:color="auto"/>
      </w:divBdr>
    </w:div>
    <w:div w:id="51541929">
      <w:bodyDiv w:val="1"/>
      <w:marLeft w:val="0"/>
      <w:marRight w:val="0"/>
      <w:marTop w:val="0"/>
      <w:marBottom w:val="0"/>
      <w:divBdr>
        <w:top w:val="none" w:sz="0" w:space="0" w:color="auto"/>
        <w:left w:val="none" w:sz="0" w:space="0" w:color="auto"/>
        <w:bottom w:val="none" w:sz="0" w:space="0" w:color="auto"/>
        <w:right w:val="none" w:sz="0" w:space="0" w:color="auto"/>
      </w:divBdr>
    </w:div>
    <w:div w:id="87115784">
      <w:bodyDiv w:val="1"/>
      <w:marLeft w:val="0"/>
      <w:marRight w:val="0"/>
      <w:marTop w:val="0"/>
      <w:marBottom w:val="0"/>
      <w:divBdr>
        <w:top w:val="none" w:sz="0" w:space="0" w:color="auto"/>
        <w:left w:val="none" w:sz="0" w:space="0" w:color="auto"/>
        <w:bottom w:val="none" w:sz="0" w:space="0" w:color="auto"/>
        <w:right w:val="none" w:sz="0" w:space="0" w:color="auto"/>
      </w:divBdr>
    </w:div>
    <w:div w:id="328217141">
      <w:bodyDiv w:val="1"/>
      <w:marLeft w:val="0"/>
      <w:marRight w:val="0"/>
      <w:marTop w:val="0"/>
      <w:marBottom w:val="0"/>
      <w:divBdr>
        <w:top w:val="none" w:sz="0" w:space="0" w:color="auto"/>
        <w:left w:val="none" w:sz="0" w:space="0" w:color="auto"/>
        <w:bottom w:val="none" w:sz="0" w:space="0" w:color="auto"/>
        <w:right w:val="none" w:sz="0" w:space="0" w:color="auto"/>
      </w:divBdr>
    </w:div>
    <w:div w:id="393162631">
      <w:bodyDiv w:val="1"/>
      <w:marLeft w:val="0"/>
      <w:marRight w:val="0"/>
      <w:marTop w:val="0"/>
      <w:marBottom w:val="0"/>
      <w:divBdr>
        <w:top w:val="none" w:sz="0" w:space="0" w:color="auto"/>
        <w:left w:val="none" w:sz="0" w:space="0" w:color="auto"/>
        <w:bottom w:val="none" w:sz="0" w:space="0" w:color="auto"/>
        <w:right w:val="none" w:sz="0" w:space="0" w:color="auto"/>
      </w:divBdr>
    </w:div>
    <w:div w:id="437721264">
      <w:bodyDiv w:val="1"/>
      <w:marLeft w:val="0"/>
      <w:marRight w:val="0"/>
      <w:marTop w:val="0"/>
      <w:marBottom w:val="0"/>
      <w:divBdr>
        <w:top w:val="none" w:sz="0" w:space="0" w:color="auto"/>
        <w:left w:val="none" w:sz="0" w:space="0" w:color="auto"/>
        <w:bottom w:val="none" w:sz="0" w:space="0" w:color="auto"/>
        <w:right w:val="none" w:sz="0" w:space="0" w:color="auto"/>
      </w:divBdr>
    </w:div>
    <w:div w:id="466631364">
      <w:bodyDiv w:val="1"/>
      <w:marLeft w:val="0"/>
      <w:marRight w:val="0"/>
      <w:marTop w:val="0"/>
      <w:marBottom w:val="0"/>
      <w:divBdr>
        <w:top w:val="none" w:sz="0" w:space="0" w:color="auto"/>
        <w:left w:val="none" w:sz="0" w:space="0" w:color="auto"/>
        <w:bottom w:val="none" w:sz="0" w:space="0" w:color="auto"/>
        <w:right w:val="none" w:sz="0" w:space="0" w:color="auto"/>
      </w:divBdr>
    </w:div>
    <w:div w:id="468862222">
      <w:bodyDiv w:val="1"/>
      <w:marLeft w:val="0"/>
      <w:marRight w:val="0"/>
      <w:marTop w:val="0"/>
      <w:marBottom w:val="0"/>
      <w:divBdr>
        <w:top w:val="none" w:sz="0" w:space="0" w:color="auto"/>
        <w:left w:val="none" w:sz="0" w:space="0" w:color="auto"/>
        <w:bottom w:val="none" w:sz="0" w:space="0" w:color="auto"/>
        <w:right w:val="none" w:sz="0" w:space="0" w:color="auto"/>
      </w:divBdr>
    </w:div>
    <w:div w:id="476069279">
      <w:bodyDiv w:val="1"/>
      <w:marLeft w:val="0"/>
      <w:marRight w:val="0"/>
      <w:marTop w:val="0"/>
      <w:marBottom w:val="0"/>
      <w:divBdr>
        <w:top w:val="none" w:sz="0" w:space="0" w:color="auto"/>
        <w:left w:val="none" w:sz="0" w:space="0" w:color="auto"/>
        <w:bottom w:val="none" w:sz="0" w:space="0" w:color="auto"/>
        <w:right w:val="none" w:sz="0" w:space="0" w:color="auto"/>
      </w:divBdr>
    </w:div>
    <w:div w:id="513498049">
      <w:bodyDiv w:val="1"/>
      <w:marLeft w:val="0"/>
      <w:marRight w:val="0"/>
      <w:marTop w:val="0"/>
      <w:marBottom w:val="0"/>
      <w:divBdr>
        <w:top w:val="none" w:sz="0" w:space="0" w:color="auto"/>
        <w:left w:val="none" w:sz="0" w:space="0" w:color="auto"/>
        <w:bottom w:val="none" w:sz="0" w:space="0" w:color="auto"/>
        <w:right w:val="none" w:sz="0" w:space="0" w:color="auto"/>
      </w:divBdr>
    </w:div>
    <w:div w:id="600379700">
      <w:bodyDiv w:val="1"/>
      <w:marLeft w:val="0"/>
      <w:marRight w:val="0"/>
      <w:marTop w:val="0"/>
      <w:marBottom w:val="0"/>
      <w:divBdr>
        <w:top w:val="none" w:sz="0" w:space="0" w:color="auto"/>
        <w:left w:val="none" w:sz="0" w:space="0" w:color="auto"/>
        <w:bottom w:val="none" w:sz="0" w:space="0" w:color="auto"/>
        <w:right w:val="none" w:sz="0" w:space="0" w:color="auto"/>
      </w:divBdr>
    </w:div>
    <w:div w:id="604193418">
      <w:bodyDiv w:val="1"/>
      <w:marLeft w:val="0"/>
      <w:marRight w:val="0"/>
      <w:marTop w:val="0"/>
      <w:marBottom w:val="0"/>
      <w:divBdr>
        <w:top w:val="none" w:sz="0" w:space="0" w:color="auto"/>
        <w:left w:val="none" w:sz="0" w:space="0" w:color="auto"/>
        <w:bottom w:val="none" w:sz="0" w:space="0" w:color="auto"/>
        <w:right w:val="none" w:sz="0" w:space="0" w:color="auto"/>
      </w:divBdr>
    </w:div>
    <w:div w:id="673411945">
      <w:bodyDiv w:val="1"/>
      <w:marLeft w:val="0"/>
      <w:marRight w:val="0"/>
      <w:marTop w:val="0"/>
      <w:marBottom w:val="0"/>
      <w:divBdr>
        <w:top w:val="none" w:sz="0" w:space="0" w:color="auto"/>
        <w:left w:val="none" w:sz="0" w:space="0" w:color="auto"/>
        <w:bottom w:val="none" w:sz="0" w:space="0" w:color="auto"/>
        <w:right w:val="none" w:sz="0" w:space="0" w:color="auto"/>
      </w:divBdr>
    </w:div>
    <w:div w:id="728698475">
      <w:bodyDiv w:val="1"/>
      <w:marLeft w:val="0"/>
      <w:marRight w:val="0"/>
      <w:marTop w:val="0"/>
      <w:marBottom w:val="0"/>
      <w:divBdr>
        <w:top w:val="none" w:sz="0" w:space="0" w:color="auto"/>
        <w:left w:val="none" w:sz="0" w:space="0" w:color="auto"/>
        <w:bottom w:val="none" w:sz="0" w:space="0" w:color="auto"/>
        <w:right w:val="none" w:sz="0" w:space="0" w:color="auto"/>
      </w:divBdr>
      <w:divsChild>
        <w:div w:id="1707556636">
          <w:marLeft w:val="0"/>
          <w:marRight w:val="0"/>
          <w:marTop w:val="0"/>
          <w:marBottom w:val="0"/>
          <w:divBdr>
            <w:top w:val="none" w:sz="0" w:space="0" w:color="auto"/>
            <w:left w:val="none" w:sz="0" w:space="0" w:color="auto"/>
            <w:bottom w:val="none" w:sz="0" w:space="0" w:color="auto"/>
            <w:right w:val="none" w:sz="0" w:space="0" w:color="auto"/>
          </w:divBdr>
          <w:divsChild>
            <w:div w:id="326640405">
              <w:marLeft w:val="0"/>
              <w:marRight w:val="0"/>
              <w:marTop w:val="0"/>
              <w:marBottom w:val="0"/>
              <w:divBdr>
                <w:top w:val="none" w:sz="0" w:space="0" w:color="auto"/>
                <w:left w:val="none" w:sz="0" w:space="0" w:color="auto"/>
                <w:bottom w:val="none" w:sz="0" w:space="0" w:color="auto"/>
                <w:right w:val="none" w:sz="0" w:space="0" w:color="auto"/>
              </w:divBdr>
              <w:divsChild>
                <w:div w:id="491412160">
                  <w:marLeft w:val="0"/>
                  <w:marRight w:val="0"/>
                  <w:marTop w:val="0"/>
                  <w:marBottom w:val="0"/>
                  <w:divBdr>
                    <w:top w:val="none" w:sz="0" w:space="0" w:color="auto"/>
                    <w:left w:val="none" w:sz="0" w:space="0" w:color="auto"/>
                    <w:bottom w:val="none" w:sz="0" w:space="0" w:color="auto"/>
                    <w:right w:val="none" w:sz="0" w:space="0" w:color="auto"/>
                  </w:divBdr>
                  <w:divsChild>
                    <w:div w:id="2145925805">
                      <w:marLeft w:val="0"/>
                      <w:marRight w:val="0"/>
                      <w:marTop w:val="0"/>
                      <w:marBottom w:val="0"/>
                      <w:divBdr>
                        <w:top w:val="none" w:sz="0" w:space="0" w:color="auto"/>
                        <w:left w:val="none" w:sz="0" w:space="0" w:color="auto"/>
                        <w:bottom w:val="none" w:sz="0" w:space="0" w:color="auto"/>
                        <w:right w:val="none" w:sz="0" w:space="0" w:color="auto"/>
                      </w:divBdr>
                      <w:divsChild>
                        <w:div w:id="1088886575">
                          <w:marLeft w:val="0"/>
                          <w:marRight w:val="0"/>
                          <w:marTop w:val="0"/>
                          <w:marBottom w:val="0"/>
                          <w:divBdr>
                            <w:top w:val="none" w:sz="0" w:space="0" w:color="auto"/>
                            <w:left w:val="none" w:sz="0" w:space="0" w:color="auto"/>
                            <w:bottom w:val="none" w:sz="0" w:space="0" w:color="auto"/>
                            <w:right w:val="none" w:sz="0" w:space="0" w:color="auto"/>
                          </w:divBdr>
                          <w:divsChild>
                            <w:div w:id="1618565558">
                              <w:marLeft w:val="0"/>
                              <w:marRight w:val="0"/>
                              <w:marTop w:val="0"/>
                              <w:marBottom w:val="0"/>
                              <w:divBdr>
                                <w:top w:val="none" w:sz="0" w:space="0" w:color="auto"/>
                                <w:left w:val="none" w:sz="0" w:space="0" w:color="auto"/>
                                <w:bottom w:val="none" w:sz="0" w:space="0" w:color="auto"/>
                                <w:right w:val="none" w:sz="0" w:space="0" w:color="auto"/>
                              </w:divBdr>
                              <w:divsChild>
                                <w:div w:id="940844978">
                                  <w:marLeft w:val="0"/>
                                  <w:marRight w:val="0"/>
                                  <w:marTop w:val="0"/>
                                  <w:marBottom w:val="0"/>
                                  <w:divBdr>
                                    <w:top w:val="none" w:sz="0" w:space="0" w:color="auto"/>
                                    <w:left w:val="none" w:sz="0" w:space="0" w:color="auto"/>
                                    <w:bottom w:val="none" w:sz="0" w:space="0" w:color="auto"/>
                                    <w:right w:val="none" w:sz="0" w:space="0" w:color="auto"/>
                                  </w:divBdr>
                                  <w:divsChild>
                                    <w:div w:id="7405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2062">
                  <w:marLeft w:val="0"/>
                  <w:marRight w:val="0"/>
                  <w:marTop w:val="0"/>
                  <w:marBottom w:val="0"/>
                  <w:divBdr>
                    <w:top w:val="none" w:sz="0" w:space="0" w:color="auto"/>
                    <w:left w:val="none" w:sz="0" w:space="0" w:color="auto"/>
                    <w:bottom w:val="none" w:sz="0" w:space="0" w:color="auto"/>
                    <w:right w:val="none" w:sz="0" w:space="0" w:color="auto"/>
                  </w:divBdr>
                  <w:divsChild>
                    <w:div w:id="1386755695">
                      <w:marLeft w:val="0"/>
                      <w:marRight w:val="0"/>
                      <w:marTop w:val="0"/>
                      <w:marBottom w:val="0"/>
                      <w:divBdr>
                        <w:top w:val="none" w:sz="0" w:space="0" w:color="auto"/>
                        <w:left w:val="none" w:sz="0" w:space="0" w:color="auto"/>
                        <w:bottom w:val="none" w:sz="0" w:space="0" w:color="auto"/>
                        <w:right w:val="none" w:sz="0" w:space="0" w:color="auto"/>
                      </w:divBdr>
                      <w:divsChild>
                        <w:div w:id="495656129">
                          <w:marLeft w:val="0"/>
                          <w:marRight w:val="0"/>
                          <w:marTop w:val="0"/>
                          <w:marBottom w:val="0"/>
                          <w:divBdr>
                            <w:top w:val="none" w:sz="0" w:space="0" w:color="auto"/>
                            <w:left w:val="none" w:sz="0" w:space="0" w:color="auto"/>
                            <w:bottom w:val="none" w:sz="0" w:space="0" w:color="auto"/>
                            <w:right w:val="none" w:sz="0" w:space="0" w:color="auto"/>
                          </w:divBdr>
                        </w:div>
                        <w:div w:id="851451235">
                          <w:marLeft w:val="0"/>
                          <w:marRight w:val="0"/>
                          <w:marTop w:val="0"/>
                          <w:marBottom w:val="0"/>
                          <w:divBdr>
                            <w:top w:val="single" w:sz="2" w:space="0" w:color="999999"/>
                            <w:left w:val="single" w:sz="4" w:space="3" w:color="CCCCCC"/>
                            <w:bottom w:val="single" w:sz="4" w:space="4" w:color="999999"/>
                            <w:right w:val="single" w:sz="4" w:space="0" w:color="999999"/>
                          </w:divBdr>
                        </w:div>
                        <w:div w:id="1002198329">
                          <w:marLeft w:val="0"/>
                          <w:marRight w:val="0"/>
                          <w:marTop w:val="0"/>
                          <w:marBottom w:val="0"/>
                          <w:divBdr>
                            <w:top w:val="single" w:sz="4" w:space="12" w:color="999999"/>
                            <w:left w:val="single" w:sz="4" w:space="12" w:color="999999"/>
                            <w:bottom w:val="single" w:sz="4" w:space="12" w:color="999999"/>
                            <w:right w:val="single" w:sz="4" w:space="12" w:color="999999"/>
                          </w:divBdr>
                          <w:divsChild>
                            <w:div w:id="572202448">
                              <w:marLeft w:val="0"/>
                              <w:marRight w:val="0"/>
                              <w:marTop w:val="0"/>
                              <w:marBottom w:val="0"/>
                              <w:divBdr>
                                <w:top w:val="none" w:sz="0" w:space="0" w:color="auto"/>
                                <w:left w:val="none" w:sz="0" w:space="0" w:color="auto"/>
                                <w:bottom w:val="none" w:sz="0" w:space="0" w:color="auto"/>
                                <w:right w:val="none" w:sz="0" w:space="0" w:color="auto"/>
                              </w:divBdr>
                            </w:div>
                          </w:divsChild>
                        </w:div>
                        <w:div w:id="1724062574">
                          <w:marLeft w:val="92"/>
                          <w:marRight w:val="0"/>
                          <w:marTop w:val="23"/>
                          <w:marBottom w:val="0"/>
                          <w:divBdr>
                            <w:top w:val="none" w:sz="0" w:space="0" w:color="auto"/>
                            <w:left w:val="none" w:sz="0" w:space="0" w:color="auto"/>
                            <w:bottom w:val="none" w:sz="0" w:space="0" w:color="auto"/>
                            <w:right w:val="none" w:sz="0" w:space="0" w:color="auto"/>
                          </w:divBdr>
                          <w:divsChild>
                            <w:div w:id="315382478">
                              <w:marLeft w:val="0"/>
                              <w:marRight w:val="0"/>
                              <w:marTop w:val="0"/>
                              <w:marBottom w:val="0"/>
                              <w:divBdr>
                                <w:top w:val="none" w:sz="0" w:space="0" w:color="auto"/>
                                <w:left w:val="none" w:sz="0" w:space="0" w:color="auto"/>
                                <w:bottom w:val="none" w:sz="0" w:space="0" w:color="auto"/>
                                <w:right w:val="none" w:sz="0" w:space="0" w:color="auto"/>
                              </w:divBdr>
                            </w:div>
                            <w:div w:id="569972623">
                              <w:marLeft w:val="0"/>
                              <w:marRight w:val="0"/>
                              <w:marTop w:val="0"/>
                              <w:marBottom w:val="0"/>
                              <w:divBdr>
                                <w:top w:val="none" w:sz="0" w:space="0" w:color="auto"/>
                                <w:left w:val="none" w:sz="0" w:space="0" w:color="auto"/>
                                <w:bottom w:val="none" w:sz="0" w:space="0" w:color="auto"/>
                                <w:right w:val="none" w:sz="0" w:space="0" w:color="auto"/>
                              </w:divBdr>
                            </w:div>
                          </w:divsChild>
                        </w:div>
                        <w:div w:id="1908412980">
                          <w:marLeft w:val="0"/>
                          <w:marRight w:val="0"/>
                          <w:marTop w:val="0"/>
                          <w:marBottom w:val="0"/>
                          <w:divBdr>
                            <w:top w:val="single" w:sz="2" w:space="3" w:color="999999"/>
                            <w:left w:val="single" w:sz="4" w:space="2" w:color="CCCCCC"/>
                            <w:bottom w:val="single" w:sz="4" w:space="3" w:color="999999"/>
                            <w:right w:val="single" w:sz="4" w:space="2" w:color="999999"/>
                          </w:divBdr>
                        </w:div>
                        <w:div w:id="19141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60790">
      <w:bodyDiv w:val="1"/>
      <w:marLeft w:val="0"/>
      <w:marRight w:val="0"/>
      <w:marTop w:val="0"/>
      <w:marBottom w:val="0"/>
      <w:divBdr>
        <w:top w:val="none" w:sz="0" w:space="0" w:color="auto"/>
        <w:left w:val="none" w:sz="0" w:space="0" w:color="auto"/>
        <w:bottom w:val="none" w:sz="0" w:space="0" w:color="auto"/>
        <w:right w:val="none" w:sz="0" w:space="0" w:color="auto"/>
      </w:divBdr>
    </w:div>
    <w:div w:id="836964275">
      <w:bodyDiv w:val="1"/>
      <w:marLeft w:val="0"/>
      <w:marRight w:val="0"/>
      <w:marTop w:val="0"/>
      <w:marBottom w:val="0"/>
      <w:divBdr>
        <w:top w:val="none" w:sz="0" w:space="0" w:color="auto"/>
        <w:left w:val="none" w:sz="0" w:space="0" w:color="auto"/>
        <w:bottom w:val="none" w:sz="0" w:space="0" w:color="auto"/>
        <w:right w:val="none" w:sz="0" w:space="0" w:color="auto"/>
      </w:divBdr>
    </w:div>
    <w:div w:id="963928549">
      <w:bodyDiv w:val="1"/>
      <w:marLeft w:val="0"/>
      <w:marRight w:val="0"/>
      <w:marTop w:val="0"/>
      <w:marBottom w:val="0"/>
      <w:divBdr>
        <w:top w:val="none" w:sz="0" w:space="0" w:color="auto"/>
        <w:left w:val="none" w:sz="0" w:space="0" w:color="auto"/>
        <w:bottom w:val="none" w:sz="0" w:space="0" w:color="auto"/>
        <w:right w:val="none" w:sz="0" w:space="0" w:color="auto"/>
      </w:divBdr>
    </w:div>
    <w:div w:id="976109786">
      <w:bodyDiv w:val="1"/>
      <w:marLeft w:val="0"/>
      <w:marRight w:val="0"/>
      <w:marTop w:val="0"/>
      <w:marBottom w:val="0"/>
      <w:divBdr>
        <w:top w:val="none" w:sz="0" w:space="0" w:color="auto"/>
        <w:left w:val="none" w:sz="0" w:space="0" w:color="auto"/>
        <w:bottom w:val="none" w:sz="0" w:space="0" w:color="auto"/>
        <w:right w:val="none" w:sz="0" w:space="0" w:color="auto"/>
      </w:divBdr>
      <w:divsChild>
        <w:div w:id="1352410329">
          <w:marLeft w:val="0"/>
          <w:marRight w:val="0"/>
          <w:marTop w:val="0"/>
          <w:marBottom w:val="0"/>
          <w:divBdr>
            <w:top w:val="none" w:sz="0" w:space="0" w:color="auto"/>
            <w:left w:val="none" w:sz="0" w:space="0" w:color="auto"/>
            <w:bottom w:val="none" w:sz="0" w:space="0" w:color="auto"/>
            <w:right w:val="none" w:sz="0" w:space="0" w:color="auto"/>
          </w:divBdr>
          <w:divsChild>
            <w:div w:id="1167940259">
              <w:marLeft w:val="0"/>
              <w:marRight w:val="0"/>
              <w:marTop w:val="0"/>
              <w:marBottom w:val="0"/>
              <w:divBdr>
                <w:top w:val="none" w:sz="0" w:space="0" w:color="auto"/>
                <w:left w:val="none" w:sz="0" w:space="0" w:color="auto"/>
                <w:bottom w:val="none" w:sz="0" w:space="0" w:color="auto"/>
                <w:right w:val="none" w:sz="0" w:space="0" w:color="auto"/>
              </w:divBdr>
              <w:divsChild>
                <w:div w:id="1608930408">
                  <w:marLeft w:val="0"/>
                  <w:marRight w:val="0"/>
                  <w:marTop w:val="280"/>
                  <w:marBottom w:val="280"/>
                  <w:divBdr>
                    <w:top w:val="none" w:sz="0" w:space="0" w:color="auto"/>
                    <w:left w:val="none" w:sz="0" w:space="0" w:color="auto"/>
                    <w:bottom w:val="none" w:sz="0" w:space="0" w:color="auto"/>
                    <w:right w:val="none" w:sz="0" w:space="0" w:color="auto"/>
                  </w:divBdr>
                  <w:divsChild>
                    <w:div w:id="235433717">
                      <w:marLeft w:val="0"/>
                      <w:marRight w:val="419"/>
                      <w:marTop w:val="0"/>
                      <w:marBottom w:val="0"/>
                      <w:divBdr>
                        <w:top w:val="none" w:sz="0" w:space="0" w:color="auto"/>
                        <w:left w:val="none" w:sz="0" w:space="0" w:color="auto"/>
                        <w:bottom w:val="none" w:sz="0" w:space="0" w:color="auto"/>
                        <w:right w:val="none" w:sz="0" w:space="0" w:color="auto"/>
                      </w:divBdr>
                      <w:divsChild>
                        <w:div w:id="145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098636">
      <w:bodyDiv w:val="1"/>
      <w:marLeft w:val="0"/>
      <w:marRight w:val="0"/>
      <w:marTop w:val="0"/>
      <w:marBottom w:val="0"/>
      <w:divBdr>
        <w:top w:val="none" w:sz="0" w:space="0" w:color="auto"/>
        <w:left w:val="none" w:sz="0" w:space="0" w:color="auto"/>
        <w:bottom w:val="none" w:sz="0" w:space="0" w:color="auto"/>
        <w:right w:val="none" w:sz="0" w:space="0" w:color="auto"/>
      </w:divBdr>
    </w:div>
    <w:div w:id="1037510560">
      <w:bodyDiv w:val="1"/>
      <w:marLeft w:val="0"/>
      <w:marRight w:val="0"/>
      <w:marTop w:val="0"/>
      <w:marBottom w:val="0"/>
      <w:divBdr>
        <w:top w:val="none" w:sz="0" w:space="0" w:color="auto"/>
        <w:left w:val="none" w:sz="0" w:space="0" w:color="auto"/>
        <w:bottom w:val="none" w:sz="0" w:space="0" w:color="auto"/>
        <w:right w:val="none" w:sz="0" w:space="0" w:color="auto"/>
      </w:divBdr>
    </w:div>
    <w:div w:id="1073157979">
      <w:bodyDiv w:val="1"/>
      <w:marLeft w:val="0"/>
      <w:marRight w:val="0"/>
      <w:marTop w:val="0"/>
      <w:marBottom w:val="0"/>
      <w:divBdr>
        <w:top w:val="none" w:sz="0" w:space="0" w:color="auto"/>
        <w:left w:val="none" w:sz="0" w:space="0" w:color="auto"/>
        <w:bottom w:val="none" w:sz="0" w:space="0" w:color="auto"/>
        <w:right w:val="none" w:sz="0" w:space="0" w:color="auto"/>
      </w:divBdr>
    </w:div>
    <w:div w:id="1076901560">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sChild>
        <w:div w:id="1999461487">
          <w:marLeft w:val="0"/>
          <w:marRight w:val="0"/>
          <w:marTop w:val="0"/>
          <w:marBottom w:val="0"/>
          <w:divBdr>
            <w:top w:val="none" w:sz="0" w:space="0" w:color="auto"/>
            <w:left w:val="none" w:sz="0" w:space="0" w:color="auto"/>
            <w:bottom w:val="none" w:sz="0" w:space="0" w:color="auto"/>
            <w:right w:val="none" w:sz="0" w:space="0" w:color="auto"/>
          </w:divBdr>
          <w:divsChild>
            <w:div w:id="771508295">
              <w:marLeft w:val="0"/>
              <w:marRight w:val="0"/>
              <w:marTop w:val="0"/>
              <w:marBottom w:val="0"/>
              <w:divBdr>
                <w:top w:val="none" w:sz="0" w:space="0" w:color="auto"/>
                <w:left w:val="none" w:sz="0" w:space="0" w:color="auto"/>
                <w:bottom w:val="none" w:sz="0" w:space="0" w:color="auto"/>
                <w:right w:val="none" w:sz="0" w:space="0" w:color="auto"/>
              </w:divBdr>
              <w:divsChild>
                <w:div w:id="122385961">
                  <w:marLeft w:val="0"/>
                  <w:marRight w:val="0"/>
                  <w:marTop w:val="0"/>
                  <w:marBottom w:val="0"/>
                  <w:divBdr>
                    <w:top w:val="none" w:sz="0" w:space="0" w:color="auto"/>
                    <w:left w:val="none" w:sz="0" w:space="0" w:color="auto"/>
                    <w:bottom w:val="none" w:sz="0" w:space="0" w:color="auto"/>
                    <w:right w:val="none" w:sz="0" w:space="0" w:color="auto"/>
                  </w:divBdr>
                  <w:divsChild>
                    <w:div w:id="209271839">
                      <w:marLeft w:val="0"/>
                      <w:marRight w:val="0"/>
                      <w:marTop w:val="0"/>
                      <w:marBottom w:val="0"/>
                      <w:divBdr>
                        <w:top w:val="none" w:sz="0" w:space="0" w:color="auto"/>
                        <w:left w:val="none" w:sz="0" w:space="0" w:color="auto"/>
                        <w:bottom w:val="none" w:sz="0" w:space="0" w:color="auto"/>
                        <w:right w:val="none" w:sz="0" w:space="0" w:color="auto"/>
                      </w:divBdr>
                      <w:divsChild>
                        <w:div w:id="1992831000">
                          <w:marLeft w:val="0"/>
                          <w:marRight w:val="0"/>
                          <w:marTop w:val="0"/>
                          <w:marBottom w:val="0"/>
                          <w:divBdr>
                            <w:top w:val="none" w:sz="0" w:space="0" w:color="auto"/>
                            <w:left w:val="none" w:sz="0" w:space="0" w:color="auto"/>
                            <w:bottom w:val="none" w:sz="0" w:space="0" w:color="auto"/>
                            <w:right w:val="none" w:sz="0" w:space="0" w:color="auto"/>
                          </w:divBdr>
                          <w:divsChild>
                            <w:div w:id="310646480">
                              <w:marLeft w:val="0"/>
                              <w:marRight w:val="0"/>
                              <w:marTop w:val="0"/>
                              <w:marBottom w:val="0"/>
                              <w:divBdr>
                                <w:top w:val="none" w:sz="0" w:space="0" w:color="auto"/>
                                <w:left w:val="none" w:sz="0" w:space="0" w:color="auto"/>
                                <w:bottom w:val="none" w:sz="0" w:space="0" w:color="auto"/>
                                <w:right w:val="none" w:sz="0" w:space="0" w:color="auto"/>
                              </w:divBdr>
                            </w:div>
                            <w:div w:id="1072505918">
                              <w:marLeft w:val="0"/>
                              <w:marRight w:val="0"/>
                              <w:marTop w:val="0"/>
                              <w:marBottom w:val="0"/>
                              <w:divBdr>
                                <w:top w:val="none" w:sz="0" w:space="0" w:color="auto"/>
                                <w:left w:val="none" w:sz="0" w:space="0" w:color="auto"/>
                                <w:bottom w:val="none" w:sz="0" w:space="0" w:color="auto"/>
                                <w:right w:val="none" w:sz="0" w:space="0" w:color="auto"/>
                              </w:divBdr>
                              <w:divsChild>
                                <w:div w:id="1704860102">
                                  <w:marLeft w:val="0"/>
                                  <w:marRight w:val="0"/>
                                  <w:marTop w:val="0"/>
                                  <w:marBottom w:val="0"/>
                                  <w:divBdr>
                                    <w:top w:val="none" w:sz="0" w:space="0" w:color="auto"/>
                                    <w:left w:val="none" w:sz="0" w:space="0" w:color="auto"/>
                                    <w:bottom w:val="none" w:sz="0" w:space="0" w:color="auto"/>
                                    <w:right w:val="none" w:sz="0" w:space="0" w:color="auto"/>
                                  </w:divBdr>
                                  <w:divsChild>
                                    <w:div w:id="908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338367">
                  <w:marLeft w:val="0"/>
                  <w:marRight w:val="0"/>
                  <w:marTop w:val="0"/>
                  <w:marBottom w:val="0"/>
                  <w:divBdr>
                    <w:top w:val="none" w:sz="0" w:space="0" w:color="auto"/>
                    <w:left w:val="none" w:sz="0" w:space="0" w:color="auto"/>
                    <w:bottom w:val="none" w:sz="0" w:space="0" w:color="auto"/>
                    <w:right w:val="none" w:sz="0" w:space="0" w:color="auto"/>
                  </w:divBdr>
                  <w:divsChild>
                    <w:div w:id="621349693">
                      <w:marLeft w:val="0"/>
                      <w:marRight w:val="0"/>
                      <w:marTop w:val="0"/>
                      <w:marBottom w:val="0"/>
                      <w:divBdr>
                        <w:top w:val="none" w:sz="0" w:space="0" w:color="auto"/>
                        <w:left w:val="none" w:sz="0" w:space="0" w:color="auto"/>
                        <w:bottom w:val="none" w:sz="0" w:space="0" w:color="auto"/>
                        <w:right w:val="none" w:sz="0" w:space="0" w:color="auto"/>
                      </w:divBdr>
                      <w:divsChild>
                        <w:div w:id="68239857">
                          <w:marLeft w:val="0"/>
                          <w:marRight w:val="0"/>
                          <w:marTop w:val="0"/>
                          <w:marBottom w:val="0"/>
                          <w:divBdr>
                            <w:top w:val="single" w:sz="2" w:space="0" w:color="999999"/>
                            <w:left w:val="single" w:sz="6" w:space="5" w:color="CCCCCC"/>
                            <w:bottom w:val="single" w:sz="6" w:space="5" w:color="999999"/>
                            <w:right w:val="single" w:sz="6" w:space="0" w:color="999999"/>
                          </w:divBdr>
                        </w:div>
                        <w:div w:id="118499754">
                          <w:marLeft w:val="0"/>
                          <w:marRight w:val="0"/>
                          <w:marTop w:val="0"/>
                          <w:marBottom w:val="0"/>
                          <w:divBdr>
                            <w:top w:val="none" w:sz="0" w:space="0" w:color="auto"/>
                            <w:left w:val="none" w:sz="0" w:space="0" w:color="auto"/>
                            <w:bottom w:val="none" w:sz="0" w:space="0" w:color="auto"/>
                            <w:right w:val="none" w:sz="0" w:space="0" w:color="auto"/>
                          </w:divBdr>
                        </w:div>
                        <w:div w:id="190919958">
                          <w:marLeft w:val="120"/>
                          <w:marRight w:val="0"/>
                          <w:marTop w:val="30"/>
                          <w:marBottom w:val="0"/>
                          <w:divBdr>
                            <w:top w:val="none" w:sz="0" w:space="0" w:color="auto"/>
                            <w:left w:val="none" w:sz="0" w:space="0" w:color="auto"/>
                            <w:bottom w:val="none" w:sz="0" w:space="0" w:color="auto"/>
                            <w:right w:val="none" w:sz="0" w:space="0" w:color="auto"/>
                          </w:divBdr>
                          <w:divsChild>
                            <w:div w:id="822889831">
                              <w:marLeft w:val="0"/>
                              <w:marRight w:val="0"/>
                              <w:marTop w:val="0"/>
                              <w:marBottom w:val="0"/>
                              <w:divBdr>
                                <w:top w:val="none" w:sz="0" w:space="0" w:color="auto"/>
                                <w:left w:val="none" w:sz="0" w:space="0" w:color="auto"/>
                                <w:bottom w:val="none" w:sz="0" w:space="0" w:color="auto"/>
                                <w:right w:val="none" w:sz="0" w:space="0" w:color="auto"/>
                              </w:divBdr>
                            </w:div>
                            <w:div w:id="1688098510">
                              <w:marLeft w:val="0"/>
                              <w:marRight w:val="0"/>
                              <w:marTop w:val="0"/>
                              <w:marBottom w:val="0"/>
                              <w:divBdr>
                                <w:top w:val="none" w:sz="0" w:space="0" w:color="auto"/>
                                <w:left w:val="none" w:sz="0" w:space="0" w:color="auto"/>
                                <w:bottom w:val="none" w:sz="0" w:space="0" w:color="auto"/>
                                <w:right w:val="none" w:sz="0" w:space="0" w:color="auto"/>
                              </w:divBdr>
                            </w:div>
                          </w:divsChild>
                        </w:div>
                        <w:div w:id="1463376799">
                          <w:marLeft w:val="0"/>
                          <w:marRight w:val="0"/>
                          <w:marTop w:val="0"/>
                          <w:marBottom w:val="0"/>
                          <w:divBdr>
                            <w:top w:val="single" w:sz="2" w:space="4" w:color="999999"/>
                            <w:left w:val="single" w:sz="6" w:space="2" w:color="CCCCCC"/>
                            <w:bottom w:val="single" w:sz="6" w:space="4" w:color="999999"/>
                            <w:right w:val="single" w:sz="6" w:space="2" w:color="999999"/>
                          </w:divBdr>
                        </w:div>
                        <w:div w:id="1766611867">
                          <w:marLeft w:val="0"/>
                          <w:marRight w:val="0"/>
                          <w:marTop w:val="0"/>
                          <w:marBottom w:val="0"/>
                          <w:divBdr>
                            <w:top w:val="single" w:sz="6" w:space="12" w:color="999999"/>
                            <w:left w:val="single" w:sz="6" w:space="12" w:color="999999"/>
                            <w:bottom w:val="single" w:sz="6" w:space="12" w:color="999999"/>
                            <w:right w:val="single" w:sz="6" w:space="12" w:color="999999"/>
                          </w:divBdr>
                          <w:divsChild>
                            <w:div w:id="329869225">
                              <w:marLeft w:val="0"/>
                              <w:marRight w:val="0"/>
                              <w:marTop w:val="0"/>
                              <w:marBottom w:val="0"/>
                              <w:divBdr>
                                <w:top w:val="none" w:sz="0" w:space="0" w:color="auto"/>
                                <w:left w:val="none" w:sz="0" w:space="0" w:color="auto"/>
                                <w:bottom w:val="none" w:sz="0" w:space="0" w:color="auto"/>
                                <w:right w:val="none" w:sz="0" w:space="0" w:color="auto"/>
                              </w:divBdr>
                            </w:div>
                          </w:divsChild>
                        </w:div>
                        <w:div w:id="20372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6691">
      <w:bodyDiv w:val="1"/>
      <w:marLeft w:val="0"/>
      <w:marRight w:val="0"/>
      <w:marTop w:val="0"/>
      <w:marBottom w:val="0"/>
      <w:divBdr>
        <w:top w:val="none" w:sz="0" w:space="0" w:color="auto"/>
        <w:left w:val="none" w:sz="0" w:space="0" w:color="auto"/>
        <w:bottom w:val="none" w:sz="0" w:space="0" w:color="auto"/>
        <w:right w:val="none" w:sz="0" w:space="0" w:color="auto"/>
      </w:divBdr>
    </w:div>
    <w:div w:id="1145780878">
      <w:bodyDiv w:val="1"/>
      <w:marLeft w:val="0"/>
      <w:marRight w:val="0"/>
      <w:marTop w:val="0"/>
      <w:marBottom w:val="0"/>
      <w:divBdr>
        <w:top w:val="none" w:sz="0" w:space="0" w:color="auto"/>
        <w:left w:val="none" w:sz="0" w:space="0" w:color="auto"/>
        <w:bottom w:val="none" w:sz="0" w:space="0" w:color="auto"/>
        <w:right w:val="none" w:sz="0" w:space="0" w:color="auto"/>
      </w:divBdr>
    </w:div>
    <w:div w:id="1161582334">
      <w:bodyDiv w:val="1"/>
      <w:marLeft w:val="0"/>
      <w:marRight w:val="0"/>
      <w:marTop w:val="0"/>
      <w:marBottom w:val="0"/>
      <w:divBdr>
        <w:top w:val="none" w:sz="0" w:space="0" w:color="auto"/>
        <w:left w:val="none" w:sz="0" w:space="0" w:color="auto"/>
        <w:bottom w:val="none" w:sz="0" w:space="0" w:color="auto"/>
        <w:right w:val="none" w:sz="0" w:space="0" w:color="auto"/>
      </w:divBdr>
    </w:div>
    <w:div w:id="1214776704">
      <w:bodyDiv w:val="1"/>
      <w:marLeft w:val="0"/>
      <w:marRight w:val="0"/>
      <w:marTop w:val="0"/>
      <w:marBottom w:val="0"/>
      <w:divBdr>
        <w:top w:val="none" w:sz="0" w:space="0" w:color="auto"/>
        <w:left w:val="none" w:sz="0" w:space="0" w:color="auto"/>
        <w:bottom w:val="none" w:sz="0" w:space="0" w:color="auto"/>
        <w:right w:val="none" w:sz="0" w:space="0" w:color="auto"/>
      </w:divBdr>
    </w:div>
    <w:div w:id="1229800071">
      <w:bodyDiv w:val="1"/>
      <w:marLeft w:val="0"/>
      <w:marRight w:val="0"/>
      <w:marTop w:val="0"/>
      <w:marBottom w:val="0"/>
      <w:divBdr>
        <w:top w:val="none" w:sz="0" w:space="0" w:color="auto"/>
        <w:left w:val="none" w:sz="0" w:space="0" w:color="auto"/>
        <w:bottom w:val="none" w:sz="0" w:space="0" w:color="auto"/>
        <w:right w:val="none" w:sz="0" w:space="0" w:color="auto"/>
      </w:divBdr>
    </w:div>
    <w:div w:id="1298416007">
      <w:bodyDiv w:val="1"/>
      <w:marLeft w:val="0"/>
      <w:marRight w:val="0"/>
      <w:marTop w:val="0"/>
      <w:marBottom w:val="0"/>
      <w:divBdr>
        <w:top w:val="none" w:sz="0" w:space="0" w:color="auto"/>
        <w:left w:val="none" w:sz="0" w:space="0" w:color="auto"/>
        <w:bottom w:val="none" w:sz="0" w:space="0" w:color="auto"/>
        <w:right w:val="none" w:sz="0" w:space="0" w:color="auto"/>
      </w:divBdr>
    </w:div>
    <w:div w:id="1372148199">
      <w:bodyDiv w:val="1"/>
      <w:marLeft w:val="0"/>
      <w:marRight w:val="0"/>
      <w:marTop w:val="0"/>
      <w:marBottom w:val="0"/>
      <w:divBdr>
        <w:top w:val="none" w:sz="0" w:space="0" w:color="auto"/>
        <w:left w:val="none" w:sz="0" w:space="0" w:color="auto"/>
        <w:bottom w:val="none" w:sz="0" w:space="0" w:color="auto"/>
        <w:right w:val="none" w:sz="0" w:space="0" w:color="auto"/>
      </w:divBdr>
    </w:div>
    <w:div w:id="1404330940">
      <w:bodyDiv w:val="1"/>
      <w:marLeft w:val="0"/>
      <w:marRight w:val="0"/>
      <w:marTop w:val="0"/>
      <w:marBottom w:val="0"/>
      <w:divBdr>
        <w:top w:val="none" w:sz="0" w:space="0" w:color="auto"/>
        <w:left w:val="none" w:sz="0" w:space="0" w:color="auto"/>
        <w:bottom w:val="none" w:sz="0" w:space="0" w:color="auto"/>
        <w:right w:val="none" w:sz="0" w:space="0" w:color="auto"/>
      </w:divBdr>
    </w:div>
    <w:div w:id="1562861395">
      <w:bodyDiv w:val="1"/>
      <w:marLeft w:val="0"/>
      <w:marRight w:val="0"/>
      <w:marTop w:val="188"/>
      <w:marBottom w:val="188"/>
      <w:divBdr>
        <w:top w:val="none" w:sz="0" w:space="0" w:color="auto"/>
        <w:left w:val="none" w:sz="0" w:space="0" w:color="auto"/>
        <w:bottom w:val="none" w:sz="0" w:space="0" w:color="auto"/>
        <w:right w:val="none" w:sz="0" w:space="0" w:color="auto"/>
      </w:divBdr>
      <w:divsChild>
        <w:div w:id="1448694662">
          <w:marLeft w:val="0"/>
          <w:marRight w:val="0"/>
          <w:marTop w:val="0"/>
          <w:marBottom w:val="0"/>
          <w:divBdr>
            <w:top w:val="none" w:sz="0" w:space="0" w:color="auto"/>
            <w:left w:val="none" w:sz="0" w:space="0" w:color="auto"/>
            <w:bottom w:val="none" w:sz="0" w:space="0" w:color="auto"/>
            <w:right w:val="none" w:sz="0" w:space="0" w:color="auto"/>
          </w:divBdr>
          <w:divsChild>
            <w:div w:id="1143544786">
              <w:marLeft w:val="0"/>
              <w:marRight w:val="0"/>
              <w:marTop w:val="0"/>
              <w:marBottom w:val="0"/>
              <w:divBdr>
                <w:top w:val="single" w:sz="4" w:space="0" w:color="1B3F94"/>
                <w:left w:val="single" w:sz="4" w:space="0" w:color="1B3F94"/>
                <w:bottom w:val="single" w:sz="4" w:space="0" w:color="1B3F94"/>
                <w:right w:val="single" w:sz="4" w:space="0" w:color="1B3F94"/>
              </w:divBdr>
              <w:divsChild>
                <w:div w:id="535702199">
                  <w:marLeft w:val="0"/>
                  <w:marRight w:val="0"/>
                  <w:marTop w:val="0"/>
                  <w:marBottom w:val="0"/>
                  <w:divBdr>
                    <w:top w:val="none" w:sz="0" w:space="0" w:color="auto"/>
                    <w:left w:val="none" w:sz="0" w:space="0" w:color="auto"/>
                    <w:bottom w:val="none" w:sz="0" w:space="0" w:color="auto"/>
                    <w:right w:val="none" w:sz="0" w:space="0" w:color="auto"/>
                  </w:divBdr>
                  <w:divsChild>
                    <w:div w:id="8488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85551">
      <w:bodyDiv w:val="1"/>
      <w:marLeft w:val="0"/>
      <w:marRight w:val="0"/>
      <w:marTop w:val="0"/>
      <w:marBottom w:val="0"/>
      <w:divBdr>
        <w:top w:val="none" w:sz="0" w:space="0" w:color="auto"/>
        <w:left w:val="none" w:sz="0" w:space="0" w:color="auto"/>
        <w:bottom w:val="none" w:sz="0" w:space="0" w:color="auto"/>
        <w:right w:val="none" w:sz="0" w:space="0" w:color="auto"/>
      </w:divBdr>
    </w:div>
    <w:div w:id="1640763060">
      <w:bodyDiv w:val="1"/>
      <w:marLeft w:val="0"/>
      <w:marRight w:val="0"/>
      <w:marTop w:val="0"/>
      <w:marBottom w:val="0"/>
      <w:divBdr>
        <w:top w:val="none" w:sz="0" w:space="0" w:color="auto"/>
        <w:left w:val="none" w:sz="0" w:space="0" w:color="auto"/>
        <w:bottom w:val="none" w:sz="0" w:space="0" w:color="auto"/>
        <w:right w:val="none" w:sz="0" w:space="0" w:color="auto"/>
      </w:divBdr>
    </w:div>
    <w:div w:id="1659963379">
      <w:bodyDiv w:val="1"/>
      <w:marLeft w:val="0"/>
      <w:marRight w:val="0"/>
      <w:marTop w:val="0"/>
      <w:marBottom w:val="0"/>
      <w:divBdr>
        <w:top w:val="none" w:sz="0" w:space="0" w:color="auto"/>
        <w:left w:val="none" w:sz="0" w:space="0" w:color="auto"/>
        <w:bottom w:val="none" w:sz="0" w:space="0" w:color="auto"/>
        <w:right w:val="none" w:sz="0" w:space="0" w:color="auto"/>
      </w:divBdr>
    </w:div>
    <w:div w:id="1818719129">
      <w:bodyDiv w:val="1"/>
      <w:marLeft w:val="0"/>
      <w:marRight w:val="0"/>
      <w:marTop w:val="0"/>
      <w:marBottom w:val="0"/>
      <w:divBdr>
        <w:top w:val="none" w:sz="0" w:space="0" w:color="auto"/>
        <w:left w:val="none" w:sz="0" w:space="0" w:color="auto"/>
        <w:bottom w:val="none" w:sz="0" w:space="0" w:color="auto"/>
        <w:right w:val="none" w:sz="0" w:space="0" w:color="auto"/>
      </w:divBdr>
    </w:div>
    <w:div w:id="1830750823">
      <w:bodyDiv w:val="1"/>
      <w:marLeft w:val="0"/>
      <w:marRight w:val="0"/>
      <w:marTop w:val="0"/>
      <w:marBottom w:val="0"/>
      <w:divBdr>
        <w:top w:val="none" w:sz="0" w:space="0" w:color="auto"/>
        <w:left w:val="none" w:sz="0" w:space="0" w:color="auto"/>
        <w:bottom w:val="none" w:sz="0" w:space="0" w:color="auto"/>
        <w:right w:val="none" w:sz="0" w:space="0" w:color="auto"/>
      </w:divBdr>
    </w:div>
    <w:div w:id="1838425928">
      <w:bodyDiv w:val="1"/>
      <w:marLeft w:val="0"/>
      <w:marRight w:val="0"/>
      <w:marTop w:val="0"/>
      <w:marBottom w:val="0"/>
      <w:divBdr>
        <w:top w:val="none" w:sz="0" w:space="0" w:color="auto"/>
        <w:left w:val="none" w:sz="0" w:space="0" w:color="auto"/>
        <w:bottom w:val="none" w:sz="0" w:space="0" w:color="auto"/>
        <w:right w:val="none" w:sz="0" w:space="0" w:color="auto"/>
      </w:divBdr>
    </w:div>
    <w:div w:id="1845823587">
      <w:bodyDiv w:val="1"/>
      <w:marLeft w:val="0"/>
      <w:marRight w:val="0"/>
      <w:marTop w:val="0"/>
      <w:marBottom w:val="0"/>
      <w:divBdr>
        <w:top w:val="none" w:sz="0" w:space="0" w:color="auto"/>
        <w:left w:val="none" w:sz="0" w:space="0" w:color="auto"/>
        <w:bottom w:val="none" w:sz="0" w:space="0" w:color="auto"/>
        <w:right w:val="none" w:sz="0" w:space="0" w:color="auto"/>
      </w:divBdr>
    </w:div>
    <w:div w:id="1872837866">
      <w:bodyDiv w:val="1"/>
      <w:marLeft w:val="25"/>
      <w:marRight w:val="25"/>
      <w:marTop w:val="0"/>
      <w:marBottom w:val="0"/>
      <w:divBdr>
        <w:top w:val="none" w:sz="0" w:space="0" w:color="auto"/>
        <w:left w:val="none" w:sz="0" w:space="0" w:color="auto"/>
        <w:bottom w:val="none" w:sz="0" w:space="0" w:color="auto"/>
        <w:right w:val="none" w:sz="0" w:space="0" w:color="auto"/>
      </w:divBdr>
      <w:divsChild>
        <w:div w:id="1081609733">
          <w:marLeft w:val="0"/>
          <w:marRight w:val="0"/>
          <w:marTop w:val="0"/>
          <w:marBottom w:val="0"/>
          <w:divBdr>
            <w:top w:val="none" w:sz="0" w:space="0" w:color="auto"/>
            <w:left w:val="none" w:sz="0" w:space="0" w:color="auto"/>
            <w:bottom w:val="none" w:sz="0" w:space="0" w:color="auto"/>
            <w:right w:val="none" w:sz="0" w:space="0" w:color="auto"/>
          </w:divBdr>
          <w:divsChild>
            <w:div w:id="778647641">
              <w:marLeft w:val="0"/>
              <w:marRight w:val="0"/>
              <w:marTop w:val="0"/>
              <w:marBottom w:val="0"/>
              <w:divBdr>
                <w:top w:val="none" w:sz="0" w:space="0" w:color="auto"/>
                <w:left w:val="none" w:sz="0" w:space="0" w:color="auto"/>
                <w:bottom w:val="none" w:sz="0" w:space="0" w:color="auto"/>
                <w:right w:val="none" w:sz="0" w:space="0" w:color="auto"/>
              </w:divBdr>
              <w:divsChild>
                <w:div w:id="1516067737">
                  <w:marLeft w:val="150"/>
                  <w:marRight w:val="0"/>
                  <w:marTop w:val="0"/>
                  <w:marBottom w:val="0"/>
                  <w:divBdr>
                    <w:top w:val="none" w:sz="0" w:space="0" w:color="auto"/>
                    <w:left w:val="none" w:sz="0" w:space="0" w:color="auto"/>
                    <w:bottom w:val="none" w:sz="0" w:space="0" w:color="auto"/>
                    <w:right w:val="none" w:sz="0" w:space="0" w:color="auto"/>
                  </w:divBdr>
                  <w:divsChild>
                    <w:div w:id="11008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842259">
      <w:bodyDiv w:val="1"/>
      <w:marLeft w:val="0"/>
      <w:marRight w:val="0"/>
      <w:marTop w:val="0"/>
      <w:marBottom w:val="0"/>
      <w:divBdr>
        <w:top w:val="none" w:sz="0" w:space="0" w:color="auto"/>
        <w:left w:val="none" w:sz="0" w:space="0" w:color="auto"/>
        <w:bottom w:val="none" w:sz="0" w:space="0" w:color="auto"/>
        <w:right w:val="none" w:sz="0" w:space="0" w:color="auto"/>
      </w:divBdr>
    </w:div>
    <w:div w:id="1901089304">
      <w:bodyDiv w:val="1"/>
      <w:marLeft w:val="0"/>
      <w:marRight w:val="0"/>
      <w:marTop w:val="0"/>
      <w:marBottom w:val="0"/>
      <w:divBdr>
        <w:top w:val="none" w:sz="0" w:space="0" w:color="auto"/>
        <w:left w:val="none" w:sz="0" w:space="0" w:color="auto"/>
        <w:bottom w:val="none" w:sz="0" w:space="0" w:color="auto"/>
        <w:right w:val="none" w:sz="0" w:space="0" w:color="auto"/>
      </w:divBdr>
    </w:div>
    <w:div w:id="1958439846">
      <w:bodyDiv w:val="1"/>
      <w:marLeft w:val="0"/>
      <w:marRight w:val="0"/>
      <w:marTop w:val="0"/>
      <w:marBottom w:val="0"/>
      <w:divBdr>
        <w:top w:val="none" w:sz="0" w:space="0" w:color="auto"/>
        <w:left w:val="none" w:sz="0" w:space="0" w:color="auto"/>
        <w:bottom w:val="none" w:sz="0" w:space="0" w:color="auto"/>
        <w:right w:val="none" w:sz="0" w:space="0" w:color="auto"/>
      </w:divBdr>
    </w:div>
    <w:div w:id="2048219011">
      <w:bodyDiv w:val="1"/>
      <w:marLeft w:val="0"/>
      <w:marRight w:val="0"/>
      <w:marTop w:val="0"/>
      <w:marBottom w:val="0"/>
      <w:divBdr>
        <w:top w:val="none" w:sz="0" w:space="0" w:color="auto"/>
        <w:left w:val="none" w:sz="0" w:space="0" w:color="auto"/>
        <w:bottom w:val="none" w:sz="0" w:space="0" w:color="auto"/>
        <w:right w:val="none" w:sz="0" w:space="0" w:color="auto"/>
      </w:divBdr>
    </w:div>
    <w:div w:id="2053378354">
      <w:bodyDiv w:val="1"/>
      <w:marLeft w:val="0"/>
      <w:marRight w:val="0"/>
      <w:marTop w:val="0"/>
      <w:marBottom w:val="0"/>
      <w:divBdr>
        <w:top w:val="none" w:sz="0" w:space="0" w:color="auto"/>
        <w:left w:val="none" w:sz="0" w:space="0" w:color="auto"/>
        <w:bottom w:val="none" w:sz="0" w:space="0" w:color="auto"/>
        <w:right w:val="none" w:sz="0" w:space="0" w:color="auto"/>
      </w:divBdr>
    </w:div>
    <w:div w:id="2067677279">
      <w:bodyDiv w:val="1"/>
      <w:marLeft w:val="0"/>
      <w:marRight w:val="0"/>
      <w:marTop w:val="0"/>
      <w:marBottom w:val="0"/>
      <w:divBdr>
        <w:top w:val="none" w:sz="0" w:space="0" w:color="auto"/>
        <w:left w:val="none" w:sz="0" w:space="0" w:color="auto"/>
        <w:bottom w:val="none" w:sz="0" w:space="0" w:color="auto"/>
        <w:right w:val="none" w:sz="0" w:space="0" w:color="auto"/>
      </w:divBdr>
    </w:div>
    <w:div w:id="20895773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eur-lex.europa.eu/LexUriServ/LexUriServ.do?uri=CELEX:32004L0107:EN:NO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ur-lex.europa.eu/LexUriServ/LexUriServ.do?uri=CELEX:32004L0107:EN:NOT"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eur-lex.europa.eu/LexUriServ/LexUriServ.do?uri=OJ:L:2008:152:0001:0044:EN:PDF"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eur-lex.europa.eu/LexUriServ/LexUriServ.do?uri=OJ:L:2008:152:0001:0044: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ec.europa.eu/environment/air/pollutants/ceilings.htm"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unece.org/env/lrtap/multi_h1.htm" TargetMode="External"/><Relationship Id="rId10" Type="http://schemas.openxmlformats.org/officeDocument/2006/relationships/header" Target="header2.xml"/><Relationship Id="rId19" Type="http://schemas.openxmlformats.org/officeDocument/2006/relationships/hyperlink" Target="http://eur-lex.europa.eu/LexUriServ/LexUriServ.do?uri=OJ:L:2008:152:0001:0044:EN: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eur-lex.europa.eu/LexUriServ/LexUriServ.do?uri=CELEX:32004L0107:EN:NOT"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yl\wrd8\docs\WB\@WB-Rap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3DBAE-BB47-472B-9FFA-ABDC6B14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@WB-Rapport.dot</Template>
  <TotalTime>1</TotalTime>
  <Pages>41</Pages>
  <Words>11543</Words>
  <Characters>65801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Inception Report</vt:lpstr>
    </vt:vector>
  </TitlesOfParts>
  <Company>ELLE</Company>
  <LinksUpToDate>false</LinksUpToDate>
  <CharactersWithSpaces>77190</CharactersWithSpaces>
  <SharedDoc>false</SharedDoc>
  <HLinks>
    <vt:vector size="870" baseType="variant">
      <vt:variant>
        <vt:i4>2359308</vt:i4>
      </vt:variant>
      <vt:variant>
        <vt:i4>348</vt:i4>
      </vt:variant>
      <vt:variant>
        <vt:i4>0</vt:i4>
      </vt:variant>
      <vt:variant>
        <vt:i4>5</vt:i4>
      </vt:variant>
      <vt:variant>
        <vt:lpwstr>http://ec.europa.eu/environment/emas/about/enviro_en.htm</vt:lpwstr>
      </vt:variant>
      <vt:variant>
        <vt:lpwstr/>
      </vt:variant>
      <vt:variant>
        <vt:i4>655372</vt:i4>
      </vt:variant>
      <vt:variant>
        <vt:i4>345</vt:i4>
      </vt:variant>
      <vt:variant>
        <vt:i4>0</vt:i4>
      </vt:variant>
      <vt:variant>
        <vt:i4>5</vt:i4>
      </vt:variant>
      <vt:variant>
        <vt:lpwstr>http://www.lowemissionzones.eu/what-are-lezs</vt:lpwstr>
      </vt:variant>
      <vt:variant>
        <vt:lpwstr/>
      </vt:variant>
      <vt:variant>
        <vt:i4>1179740</vt:i4>
      </vt:variant>
      <vt:variant>
        <vt:i4>342</vt:i4>
      </vt:variant>
      <vt:variant>
        <vt:i4>0</vt:i4>
      </vt:variant>
      <vt:variant>
        <vt:i4>5</vt:i4>
      </vt:variant>
      <vt:variant>
        <vt:lpwstr>http://www.unep.org/greeneconomy/AboutGEI/WhatisGEI/tabid/29784/Default.aspx</vt:lpwstr>
      </vt:variant>
      <vt:variant>
        <vt:lpwstr/>
      </vt:variant>
      <vt:variant>
        <vt:i4>4718659</vt:i4>
      </vt:variant>
      <vt:variant>
        <vt:i4>339</vt:i4>
      </vt:variant>
      <vt:variant>
        <vt:i4>0</vt:i4>
      </vt:variant>
      <vt:variant>
        <vt:i4>5</vt:i4>
      </vt:variant>
      <vt:variant>
        <vt:lpwstr>http://web.undp.org/gef/do_cc_mitigation.shtml</vt:lpwstr>
      </vt:variant>
      <vt:variant>
        <vt:lpwstr/>
      </vt:variant>
      <vt:variant>
        <vt:i4>4718659</vt:i4>
      </vt:variant>
      <vt:variant>
        <vt:i4>336</vt:i4>
      </vt:variant>
      <vt:variant>
        <vt:i4>0</vt:i4>
      </vt:variant>
      <vt:variant>
        <vt:i4>5</vt:i4>
      </vt:variant>
      <vt:variant>
        <vt:lpwstr>http://web.undp.org/gef/do_cc_mitigation.shtml</vt:lpwstr>
      </vt:variant>
      <vt:variant>
        <vt:lpwstr/>
      </vt:variant>
      <vt:variant>
        <vt:i4>1507358</vt:i4>
      </vt:variant>
      <vt:variant>
        <vt:i4>333</vt:i4>
      </vt:variant>
      <vt:variant>
        <vt:i4>0</vt:i4>
      </vt:variant>
      <vt:variant>
        <vt:i4>5</vt:i4>
      </vt:variant>
      <vt:variant>
        <vt:lpwstr>http://www.ceip.at/overview-of-submissions-under-clrtap/2012-submissions/</vt:lpwstr>
      </vt:variant>
      <vt:variant>
        <vt:lpwstr/>
      </vt:variant>
      <vt:variant>
        <vt:i4>327712</vt:i4>
      </vt:variant>
      <vt:variant>
        <vt:i4>330</vt:i4>
      </vt:variant>
      <vt:variant>
        <vt:i4>0</vt:i4>
      </vt:variant>
      <vt:variant>
        <vt:i4>5</vt:i4>
      </vt:variant>
      <vt:variant>
        <vt:lpwstr>http://ec.europa.eu/clima/publications/docs/factsheet_ets_2013_en.pdf</vt:lpwstr>
      </vt:variant>
      <vt:variant>
        <vt:lpwstr/>
      </vt:variant>
      <vt:variant>
        <vt:i4>5177412</vt:i4>
      </vt:variant>
      <vt:variant>
        <vt:i4>327</vt:i4>
      </vt:variant>
      <vt:variant>
        <vt:i4>0</vt:i4>
      </vt:variant>
      <vt:variant>
        <vt:i4>5</vt:i4>
      </vt:variant>
      <vt:variant>
        <vt:lpwstr>http://icecommittee.org/reports/Tracy_Kitts_Presentation_ICE_Nov_3_10.pdf</vt:lpwstr>
      </vt:variant>
      <vt:variant>
        <vt:lpwstr/>
      </vt:variant>
      <vt:variant>
        <vt:i4>77</vt:i4>
      </vt:variant>
      <vt:variant>
        <vt:i4>324</vt:i4>
      </vt:variant>
      <vt:variant>
        <vt:i4>0</vt:i4>
      </vt:variant>
      <vt:variant>
        <vt:i4>5</vt:i4>
      </vt:variant>
      <vt:variant>
        <vt:lpwstr>http://www.sam.gov.lv/images/modules/items/PDF/item_618_NL_The_table_of_Eleven.pdf</vt:lpwstr>
      </vt:variant>
      <vt:variant>
        <vt:lpwstr/>
      </vt:variant>
      <vt:variant>
        <vt:i4>720982</vt:i4>
      </vt:variant>
      <vt:variant>
        <vt:i4>321</vt:i4>
      </vt:variant>
      <vt:variant>
        <vt:i4>0</vt:i4>
      </vt:variant>
      <vt:variant>
        <vt:i4>5</vt:i4>
      </vt:variant>
      <vt:variant>
        <vt:lpwstr>http://ec.europa.eu/environment/water/water-nitrates/</vt:lpwstr>
      </vt:variant>
      <vt:variant>
        <vt:lpwstr/>
      </vt:variant>
      <vt:variant>
        <vt:i4>8061041</vt:i4>
      </vt:variant>
      <vt:variant>
        <vt:i4>318</vt:i4>
      </vt:variant>
      <vt:variant>
        <vt:i4>0</vt:i4>
      </vt:variant>
      <vt:variant>
        <vt:i4>5</vt:i4>
      </vt:variant>
      <vt:variant>
        <vt:lpwstr>http://pravo.by/main.aspx?guid=3871&amp;p0=H11000204&amp;p2={NRPA}</vt:lpwstr>
      </vt:variant>
      <vt:variant>
        <vt:lpwstr/>
      </vt:variant>
      <vt:variant>
        <vt:i4>524292</vt:i4>
      </vt:variant>
      <vt:variant>
        <vt:i4>315</vt:i4>
      </vt:variant>
      <vt:variant>
        <vt:i4>0</vt:i4>
      </vt:variant>
      <vt:variant>
        <vt:i4>5</vt:i4>
      </vt:variant>
      <vt:variant>
        <vt:lpwstr>http://www.talkas.lv/?lng=en</vt:lpwstr>
      </vt:variant>
      <vt:variant>
        <vt:lpwstr/>
      </vt:variant>
      <vt:variant>
        <vt:i4>393235</vt:i4>
      </vt:variant>
      <vt:variant>
        <vt:i4>312</vt:i4>
      </vt:variant>
      <vt:variant>
        <vt:i4>0</vt:i4>
      </vt:variant>
      <vt:variant>
        <vt:i4>5</vt:i4>
      </vt:variant>
      <vt:variant>
        <vt:lpwstr>http://minsk.gov.by/ru/org/8643/attach/263b953/kontrol_nalog_kodeks.shtml</vt:lpwstr>
      </vt:variant>
      <vt:variant>
        <vt:lpwstr/>
      </vt:variant>
      <vt:variant>
        <vt:i4>65550</vt:i4>
      </vt:variant>
      <vt:variant>
        <vt:i4>309</vt:i4>
      </vt:variant>
      <vt:variant>
        <vt:i4>0</vt:i4>
      </vt:variant>
      <vt:variant>
        <vt:i4>5</vt:i4>
      </vt:variant>
      <vt:variant>
        <vt:lpwstr>http://www.sustainablecity.be/themas/sustainable-building</vt:lpwstr>
      </vt:variant>
      <vt:variant>
        <vt:lpwstr/>
      </vt:variant>
      <vt:variant>
        <vt:i4>4980834</vt:i4>
      </vt:variant>
      <vt:variant>
        <vt:i4>306</vt:i4>
      </vt:variant>
      <vt:variant>
        <vt:i4>0</vt:i4>
      </vt:variant>
      <vt:variant>
        <vt:i4>5</vt:i4>
      </vt:variant>
      <vt:variant>
        <vt:lpwstr>http://enrin.grida.no/htmls/azer/soe/ecology/html/environmental_policy.html</vt:lpwstr>
      </vt:variant>
      <vt:variant>
        <vt:lpwstr/>
      </vt:variant>
      <vt:variant>
        <vt:i4>1179667</vt:i4>
      </vt:variant>
      <vt:variant>
        <vt:i4>303</vt:i4>
      </vt:variant>
      <vt:variant>
        <vt:i4>0</vt:i4>
      </vt:variant>
      <vt:variant>
        <vt:i4>5</vt:i4>
      </vt:variant>
      <vt:variant>
        <vt:lpwstr>http://www.climatefundsupdate.org/listing/special-climate-change-fund</vt:lpwstr>
      </vt:variant>
      <vt:variant>
        <vt:lpwstr/>
      </vt:variant>
      <vt:variant>
        <vt:i4>73</vt:i4>
      </vt:variant>
      <vt:variant>
        <vt:i4>300</vt:i4>
      </vt:variant>
      <vt:variant>
        <vt:i4>0</vt:i4>
      </vt:variant>
      <vt:variant>
        <vt:i4>5</vt:i4>
      </vt:variant>
      <vt:variant>
        <vt:lpwstr>http://www.mnp.am/?p=169</vt:lpwstr>
      </vt:variant>
      <vt:variant>
        <vt:lpwstr/>
      </vt:variant>
      <vt:variant>
        <vt:i4>3276856</vt:i4>
      </vt:variant>
      <vt:variant>
        <vt:i4>297</vt:i4>
      </vt:variant>
      <vt:variant>
        <vt:i4>0</vt:i4>
      </vt:variant>
      <vt:variant>
        <vt:i4>5</vt:i4>
      </vt:variant>
      <vt:variant>
        <vt:lpwstr>http://www.mos.gov.pl/kategoria/4950_programmes_and_rank_lists/</vt:lpwstr>
      </vt:variant>
      <vt:variant>
        <vt:lpwstr/>
      </vt:variant>
      <vt:variant>
        <vt:i4>2359417</vt:i4>
      </vt:variant>
      <vt:variant>
        <vt:i4>294</vt:i4>
      </vt:variant>
      <vt:variant>
        <vt:i4>0</vt:i4>
      </vt:variant>
      <vt:variant>
        <vt:i4>5</vt:i4>
      </vt:variant>
      <vt:variant>
        <vt:lpwstr>http://www.ekoportal.gov.pl/opencms/opencms/ekoportal/en/ForEntrepreneurs/PolishFunds/</vt:lpwstr>
      </vt:variant>
      <vt:variant>
        <vt:lpwstr/>
      </vt:variant>
      <vt:variant>
        <vt:i4>8323116</vt:i4>
      </vt:variant>
      <vt:variant>
        <vt:i4>291</vt:i4>
      </vt:variant>
      <vt:variant>
        <vt:i4>0</vt:i4>
      </vt:variant>
      <vt:variant>
        <vt:i4>5</vt:i4>
      </vt:variant>
      <vt:variant>
        <vt:lpwstr>http://en.wikipedia.org/wiki/Park_and_ride</vt:lpwstr>
      </vt:variant>
      <vt:variant>
        <vt:lpwstr/>
      </vt:variant>
      <vt:variant>
        <vt:i4>7143465</vt:i4>
      </vt:variant>
      <vt:variant>
        <vt:i4>288</vt:i4>
      </vt:variant>
      <vt:variant>
        <vt:i4>0</vt:i4>
      </vt:variant>
      <vt:variant>
        <vt:i4>5</vt:i4>
      </vt:variant>
      <vt:variant>
        <vt:lpwstr>http://www.kslaw.com/imageserver/KSPublic/library/publication/RussianEnvironmental.pdf</vt:lpwstr>
      </vt:variant>
      <vt:variant>
        <vt:lpwstr/>
      </vt:variant>
      <vt:variant>
        <vt:i4>7995498</vt:i4>
      </vt:variant>
      <vt:variant>
        <vt:i4>285</vt:i4>
      </vt:variant>
      <vt:variant>
        <vt:i4>0</vt:i4>
      </vt:variant>
      <vt:variant>
        <vt:i4>5</vt:i4>
      </vt:variant>
      <vt:variant>
        <vt:lpwstr>http://www.nordic-ecolabel.org/</vt:lpwstr>
      </vt:variant>
      <vt:variant>
        <vt:lpwstr/>
      </vt:variant>
      <vt:variant>
        <vt:i4>4259931</vt:i4>
      </vt:variant>
      <vt:variant>
        <vt:i4>282</vt:i4>
      </vt:variant>
      <vt:variant>
        <vt:i4>0</vt:i4>
      </vt:variant>
      <vt:variant>
        <vt:i4>5</vt:i4>
      </vt:variant>
      <vt:variant>
        <vt:lpwstr>http://www.hg.org/article.asp?id=6264</vt:lpwstr>
      </vt:variant>
      <vt:variant>
        <vt:lpwstr/>
      </vt:variant>
      <vt:variant>
        <vt:i4>5898254</vt:i4>
      </vt:variant>
      <vt:variant>
        <vt:i4>279</vt:i4>
      </vt:variant>
      <vt:variant>
        <vt:i4>0</vt:i4>
      </vt:variant>
      <vt:variant>
        <vt:i4>5</vt:i4>
      </vt:variant>
      <vt:variant>
        <vt:lpwstr>http://www.moseff.org/index.php?id=1&amp;L=1</vt:lpwstr>
      </vt:variant>
      <vt:variant>
        <vt:lpwstr/>
      </vt:variant>
      <vt:variant>
        <vt:i4>2031705</vt:i4>
      </vt:variant>
      <vt:variant>
        <vt:i4>276</vt:i4>
      </vt:variant>
      <vt:variant>
        <vt:i4>0</vt:i4>
      </vt:variant>
      <vt:variant>
        <vt:i4>5</vt:i4>
      </vt:variant>
      <vt:variant>
        <vt:lpwstr>http://www.sustainablecity.be/themas/mobility</vt:lpwstr>
      </vt:variant>
      <vt:variant>
        <vt:lpwstr/>
      </vt:variant>
      <vt:variant>
        <vt:i4>4391005</vt:i4>
      </vt:variant>
      <vt:variant>
        <vt:i4>273</vt:i4>
      </vt:variant>
      <vt:variant>
        <vt:i4>0</vt:i4>
      </vt:variant>
      <vt:variant>
        <vt:i4>5</vt:i4>
      </vt:variant>
      <vt:variant>
        <vt:lpwstr>http://www.unece.org/fileadmin/DAM/env/documents/2013/air/wgsr_51/5_Reduction_of_SO2_and_NOx_through_a_voluntary_agreement_with_the_Flemish_power_plant_sector.pdf</vt:lpwstr>
      </vt:variant>
      <vt:variant>
        <vt:lpwstr/>
      </vt:variant>
      <vt:variant>
        <vt:i4>7929879</vt:i4>
      </vt:variant>
      <vt:variant>
        <vt:i4>270</vt:i4>
      </vt:variant>
      <vt:variant>
        <vt:i4>0</vt:i4>
      </vt:variant>
      <vt:variant>
        <vt:i4>5</vt:i4>
      </vt:variant>
      <vt:variant>
        <vt:lpwstr>http://www.belta.by/ru/all_news/society/Memorandum-o-vyrabotke-mexanizmov-vzaimodejstvija-biznes-struktur-i-Minprirody-podpisan-v-Minske_i_580452.html</vt:lpwstr>
      </vt:variant>
      <vt:variant>
        <vt:lpwstr/>
      </vt:variant>
      <vt:variant>
        <vt:i4>5701634</vt:i4>
      </vt:variant>
      <vt:variant>
        <vt:i4>267</vt:i4>
      </vt:variant>
      <vt:variant>
        <vt:i4>0</vt:i4>
      </vt:variant>
      <vt:variant>
        <vt:i4>5</vt:i4>
      </vt:variant>
      <vt:variant>
        <vt:lpwstr>http://www.letsdoitworld.org/</vt:lpwstr>
      </vt:variant>
      <vt:variant>
        <vt:lpwstr/>
      </vt:variant>
      <vt:variant>
        <vt:i4>2818123</vt:i4>
      </vt:variant>
      <vt:variant>
        <vt:i4>264</vt:i4>
      </vt:variant>
      <vt:variant>
        <vt:i4>0</vt:i4>
      </vt:variant>
      <vt:variant>
        <vt:i4>5</vt:i4>
      </vt:variant>
      <vt:variant>
        <vt:lpwstr>http://www.uni-obuda.hu/journal/Lesakova_35.pdf</vt:lpwstr>
      </vt:variant>
      <vt:variant>
        <vt:lpwstr/>
      </vt:variant>
      <vt:variant>
        <vt:i4>6422570</vt:i4>
      </vt:variant>
      <vt:variant>
        <vt:i4>261</vt:i4>
      </vt:variant>
      <vt:variant>
        <vt:i4>0</vt:i4>
      </vt:variant>
      <vt:variant>
        <vt:i4>5</vt:i4>
      </vt:variant>
      <vt:variant>
        <vt:lpwstr>http://www.meinbezirk.at/eisenstadt/leute/kiss-and-ride-bahnfahrer-kuessen-besser-d437212.html</vt:lpwstr>
      </vt:variant>
      <vt:variant>
        <vt:lpwstr/>
      </vt:variant>
      <vt:variant>
        <vt:i4>6422561</vt:i4>
      </vt:variant>
      <vt:variant>
        <vt:i4>258</vt:i4>
      </vt:variant>
      <vt:variant>
        <vt:i4>0</vt:i4>
      </vt:variant>
      <vt:variant>
        <vt:i4>5</vt:i4>
      </vt:variant>
      <vt:variant>
        <vt:lpwstr>http://www.iso.org/iso/home/standards/management-standards/iso14000.htm</vt:lpwstr>
      </vt:variant>
      <vt:variant>
        <vt:lpwstr/>
      </vt:variant>
      <vt:variant>
        <vt:i4>2162794</vt:i4>
      </vt:variant>
      <vt:variant>
        <vt:i4>255</vt:i4>
      </vt:variant>
      <vt:variant>
        <vt:i4>0</vt:i4>
      </vt:variant>
      <vt:variant>
        <vt:i4>5</vt:i4>
      </vt:variant>
      <vt:variant>
        <vt:lpwstr>http://interfax-era.ru/</vt:lpwstr>
      </vt:variant>
      <vt:variant>
        <vt:lpwstr/>
      </vt:variant>
      <vt:variant>
        <vt:i4>7143466</vt:i4>
      </vt:variant>
      <vt:variant>
        <vt:i4>252</vt:i4>
      </vt:variant>
      <vt:variant>
        <vt:i4>0</vt:i4>
      </vt:variant>
      <vt:variant>
        <vt:i4>5</vt:i4>
      </vt:variant>
      <vt:variant>
        <vt:lpwstr>http://siteresources.worldbank.org/EXTABOUTUS/Resources/IBRDResults.pdf</vt:lpwstr>
      </vt:variant>
      <vt:variant>
        <vt:lpwstr/>
      </vt:variant>
      <vt:variant>
        <vt:i4>589944</vt:i4>
      </vt:variant>
      <vt:variant>
        <vt:i4>249</vt:i4>
      </vt:variant>
      <vt:variant>
        <vt:i4>0</vt:i4>
      </vt:variant>
      <vt:variant>
        <vt:i4>5</vt:i4>
      </vt:variant>
      <vt:variant>
        <vt:lpwstr>http://www.mos.gov.pl/kategoria/4945_green_investment_scheme/?j=en</vt:lpwstr>
      </vt:variant>
      <vt:variant>
        <vt:lpwstr/>
      </vt:variant>
      <vt:variant>
        <vt:i4>1441802</vt:i4>
      </vt:variant>
      <vt:variant>
        <vt:i4>246</vt:i4>
      </vt:variant>
      <vt:variant>
        <vt:i4>0</vt:i4>
      </vt:variant>
      <vt:variant>
        <vt:i4>5</vt:i4>
      </vt:variant>
      <vt:variant>
        <vt:lpwstr>http://ec.europa.eu/environment/integration/research/newsalert/pdf/353na5.pdf</vt:lpwstr>
      </vt:variant>
      <vt:variant>
        <vt:lpwstr/>
      </vt:variant>
      <vt:variant>
        <vt:i4>7602193</vt:i4>
      </vt:variant>
      <vt:variant>
        <vt:i4>243</vt:i4>
      </vt:variant>
      <vt:variant>
        <vt:i4>0</vt:i4>
      </vt:variant>
      <vt:variant>
        <vt:i4>5</vt:i4>
      </vt:variant>
      <vt:variant>
        <vt:lpwstr>http://ec.europa.eu/environment/gpp/brochure_en.htm</vt:lpwstr>
      </vt:variant>
      <vt:variant>
        <vt:lpwstr/>
      </vt:variant>
      <vt:variant>
        <vt:i4>327787</vt:i4>
      </vt:variant>
      <vt:variant>
        <vt:i4>240</vt:i4>
      </vt:variant>
      <vt:variant>
        <vt:i4>0</vt:i4>
      </vt:variant>
      <vt:variant>
        <vt:i4>5</vt:i4>
      </vt:variant>
      <vt:variant>
        <vt:lpwstr>http://moe.gov.ge/index.php?lang_id=GEO&amp;sec_id=40&amp;info_id=2411</vt:lpwstr>
      </vt:variant>
      <vt:variant>
        <vt:lpwstr/>
      </vt:variant>
      <vt:variant>
        <vt:i4>5374030</vt:i4>
      </vt:variant>
      <vt:variant>
        <vt:i4>237</vt:i4>
      </vt:variant>
      <vt:variant>
        <vt:i4>0</vt:i4>
      </vt:variant>
      <vt:variant>
        <vt:i4>5</vt:i4>
      </vt:variant>
      <vt:variant>
        <vt:lpwstr>http://www.mobilityweek.eu/join-us/about/</vt:lpwstr>
      </vt:variant>
      <vt:variant>
        <vt:lpwstr/>
      </vt:variant>
      <vt:variant>
        <vt:i4>393243</vt:i4>
      </vt:variant>
      <vt:variant>
        <vt:i4>234</vt:i4>
      </vt:variant>
      <vt:variant>
        <vt:i4>0</vt:i4>
      </vt:variant>
      <vt:variant>
        <vt:i4>5</vt:i4>
      </vt:variant>
      <vt:variant>
        <vt:lpwstr>http://www.lowemissionzones.eu/what-are-lezs?showall=&amp;start=4</vt:lpwstr>
      </vt:variant>
      <vt:variant>
        <vt:lpwstr/>
      </vt:variant>
      <vt:variant>
        <vt:i4>1704032</vt:i4>
      </vt:variant>
      <vt:variant>
        <vt:i4>231</vt:i4>
      </vt:variant>
      <vt:variant>
        <vt:i4>0</vt:i4>
      </vt:variant>
      <vt:variant>
        <vt:i4>5</vt:i4>
      </vt:variant>
      <vt:variant>
        <vt:lpwstr>http://ec.europa.eu/environment/gpp/eu_gpp_criteria_en.htm</vt:lpwstr>
      </vt:variant>
      <vt:variant>
        <vt:lpwstr/>
      </vt:variant>
      <vt:variant>
        <vt:i4>4259889</vt:i4>
      </vt:variant>
      <vt:variant>
        <vt:i4>228</vt:i4>
      </vt:variant>
      <vt:variant>
        <vt:i4>0</vt:i4>
      </vt:variant>
      <vt:variant>
        <vt:i4>5</vt:i4>
      </vt:variant>
      <vt:variant>
        <vt:lpwstr>http://ec.europa.eu/environment/emas/index_en.htm</vt:lpwstr>
      </vt:variant>
      <vt:variant>
        <vt:lpwstr/>
      </vt:variant>
      <vt:variant>
        <vt:i4>5701710</vt:i4>
      </vt:variant>
      <vt:variant>
        <vt:i4>225</vt:i4>
      </vt:variant>
      <vt:variant>
        <vt:i4>0</vt:i4>
      </vt:variant>
      <vt:variant>
        <vt:i4>5</vt:i4>
      </vt:variant>
      <vt:variant>
        <vt:lpwstr>http://www.minpriroda.gov.by/ru/news/p-alignjustifyitogi-6-respublikanskix-konkursov-ekologicheskoj-napravlennosti-podvedeny-v-ministerstve-prirodnyx-resursov-i-oxrany-okruzhajuschej-sredyp_i_1374.html</vt:lpwstr>
      </vt:variant>
      <vt:variant>
        <vt:lpwstr/>
      </vt:variant>
      <vt:variant>
        <vt:i4>5308442</vt:i4>
      </vt:variant>
      <vt:variant>
        <vt:i4>222</vt:i4>
      </vt:variant>
      <vt:variant>
        <vt:i4>0</vt:i4>
      </vt:variant>
      <vt:variant>
        <vt:i4>5</vt:i4>
      </vt:variant>
      <vt:variant>
        <vt:lpwstr>http://www.fao.org/prods/gap/</vt:lpwstr>
      </vt:variant>
      <vt:variant>
        <vt:lpwstr/>
      </vt:variant>
      <vt:variant>
        <vt:i4>1900635</vt:i4>
      </vt:variant>
      <vt:variant>
        <vt:i4>219</vt:i4>
      </vt:variant>
      <vt:variant>
        <vt:i4>0</vt:i4>
      </vt:variant>
      <vt:variant>
        <vt:i4>5</vt:i4>
      </vt:variant>
      <vt:variant>
        <vt:lpwstr>http://ec.europa.eu/clima/policies/roadmap/docs/main_report_en.pdf</vt:lpwstr>
      </vt:variant>
      <vt:variant>
        <vt:lpwstr/>
      </vt:variant>
      <vt:variant>
        <vt:i4>6291527</vt:i4>
      </vt:variant>
      <vt:variant>
        <vt:i4>216</vt:i4>
      </vt:variant>
      <vt:variant>
        <vt:i4>0</vt:i4>
      </vt:variant>
      <vt:variant>
        <vt:i4>5</vt:i4>
      </vt:variant>
      <vt:variant>
        <vt:lpwstr>http://ec.europa.eu/agriculture/direct-support/direct-payments/index_en.htm</vt:lpwstr>
      </vt:variant>
      <vt:variant>
        <vt:lpwstr/>
      </vt:variant>
      <vt:variant>
        <vt:i4>6357026</vt:i4>
      </vt:variant>
      <vt:variant>
        <vt:i4>213</vt:i4>
      </vt:variant>
      <vt:variant>
        <vt:i4>0</vt:i4>
      </vt:variant>
      <vt:variant>
        <vt:i4>5</vt:i4>
      </vt:variant>
      <vt:variant>
        <vt:lpwstr>http://www.pravo.by/main.aspx?guid=3871&amp;p0=P30900510&amp;p2={NRPA}</vt:lpwstr>
      </vt:variant>
      <vt:variant>
        <vt:lpwstr/>
      </vt:variant>
      <vt:variant>
        <vt:i4>7209082</vt:i4>
      </vt:variant>
      <vt:variant>
        <vt:i4>210</vt:i4>
      </vt:variant>
      <vt:variant>
        <vt:i4>0</vt:i4>
      </vt:variant>
      <vt:variant>
        <vt:i4>5</vt:i4>
      </vt:variant>
      <vt:variant>
        <vt:lpwstr>http://eur-lex.europa.eu/LexUriServ/LexUriServ.do?uri=COM:2008:0400:FIN:EN:PDF</vt:lpwstr>
      </vt:variant>
      <vt:variant>
        <vt:lpwstr/>
      </vt:variant>
      <vt:variant>
        <vt:i4>1441800</vt:i4>
      </vt:variant>
      <vt:variant>
        <vt:i4>207</vt:i4>
      </vt:variant>
      <vt:variant>
        <vt:i4>0</vt:i4>
      </vt:variant>
      <vt:variant>
        <vt:i4>5</vt:i4>
      </vt:variant>
      <vt:variant>
        <vt:lpwstr>http://ec.europa.eu/environment/gpp/pdf/handbook.pdf</vt:lpwstr>
      </vt:variant>
      <vt:variant>
        <vt:lpwstr/>
      </vt:variant>
      <vt:variant>
        <vt:i4>8257572</vt:i4>
      </vt:variant>
      <vt:variant>
        <vt:i4>204</vt:i4>
      </vt:variant>
      <vt:variant>
        <vt:i4>0</vt:i4>
      </vt:variant>
      <vt:variant>
        <vt:i4>5</vt:i4>
      </vt:variant>
      <vt:variant>
        <vt:lpwstr>https://www.swedbank.lv/en/jaundibinatiem_uznemumiem/biznesa_inkubatori/</vt:lpwstr>
      </vt:variant>
      <vt:variant>
        <vt:lpwstr/>
      </vt:variant>
      <vt:variant>
        <vt:i4>2949223</vt:i4>
      </vt:variant>
      <vt:variant>
        <vt:i4>201</vt:i4>
      </vt:variant>
      <vt:variant>
        <vt:i4>0</vt:i4>
      </vt:variant>
      <vt:variant>
        <vt:i4>5</vt:i4>
      </vt:variant>
      <vt:variant>
        <vt:lpwstr>http://ec.europa.eu/energy/efficiency/studies/doc/2010_05_jrc_va_study.pdf</vt:lpwstr>
      </vt:variant>
      <vt:variant>
        <vt:lpwstr/>
      </vt:variant>
      <vt:variant>
        <vt:i4>8126502</vt:i4>
      </vt:variant>
      <vt:variant>
        <vt:i4>198</vt:i4>
      </vt:variant>
      <vt:variant>
        <vt:i4>0</vt:i4>
      </vt:variant>
      <vt:variant>
        <vt:i4>5</vt:i4>
      </vt:variant>
      <vt:variant>
        <vt:lpwstr>http://r2e2.am/en/about-us/</vt:lpwstr>
      </vt:variant>
      <vt:variant>
        <vt:lpwstr/>
      </vt:variant>
      <vt:variant>
        <vt:i4>8192012</vt:i4>
      </vt:variant>
      <vt:variant>
        <vt:i4>195</vt:i4>
      </vt:variant>
      <vt:variant>
        <vt:i4>0</vt:i4>
      </vt:variant>
      <vt:variant>
        <vt:i4>5</vt:i4>
      </vt:variant>
      <vt:variant>
        <vt:lpwstr>http://www.eea.europa.eu/soer/countries/pl/soertopic_view?topic=air%20pollution</vt:lpwstr>
      </vt:variant>
      <vt:variant>
        <vt:lpwstr/>
      </vt:variant>
      <vt:variant>
        <vt:i4>1048643</vt:i4>
      </vt:variant>
      <vt:variant>
        <vt:i4>192</vt:i4>
      </vt:variant>
      <vt:variant>
        <vt:i4>0</vt:i4>
      </vt:variant>
      <vt:variant>
        <vt:i4>5</vt:i4>
      </vt:variant>
      <vt:variant>
        <vt:lpwstr>http://ec.europa.eu/environment/life/themes/air/best.htm</vt:lpwstr>
      </vt:variant>
      <vt:variant>
        <vt:lpwstr/>
      </vt:variant>
      <vt:variant>
        <vt:i4>2883616</vt:i4>
      </vt:variant>
      <vt:variant>
        <vt:i4>189</vt:i4>
      </vt:variant>
      <vt:variant>
        <vt:i4>0</vt:i4>
      </vt:variant>
      <vt:variant>
        <vt:i4>5</vt:i4>
      </vt:variant>
      <vt:variant>
        <vt:lpwstr>http://impel.eu/about/</vt:lpwstr>
      </vt:variant>
      <vt:variant>
        <vt:lpwstr/>
      </vt:variant>
      <vt:variant>
        <vt:i4>1572916</vt:i4>
      </vt:variant>
      <vt:variant>
        <vt:i4>182</vt:i4>
      </vt:variant>
      <vt:variant>
        <vt:i4>0</vt:i4>
      </vt:variant>
      <vt:variant>
        <vt:i4>5</vt:i4>
      </vt:variant>
      <vt:variant>
        <vt:lpwstr/>
      </vt:variant>
      <vt:variant>
        <vt:lpwstr>_Toc384654653</vt:lpwstr>
      </vt:variant>
      <vt:variant>
        <vt:i4>1572916</vt:i4>
      </vt:variant>
      <vt:variant>
        <vt:i4>176</vt:i4>
      </vt:variant>
      <vt:variant>
        <vt:i4>0</vt:i4>
      </vt:variant>
      <vt:variant>
        <vt:i4>5</vt:i4>
      </vt:variant>
      <vt:variant>
        <vt:lpwstr/>
      </vt:variant>
      <vt:variant>
        <vt:lpwstr>_Toc384654652</vt:lpwstr>
      </vt:variant>
      <vt:variant>
        <vt:i4>1572916</vt:i4>
      </vt:variant>
      <vt:variant>
        <vt:i4>170</vt:i4>
      </vt:variant>
      <vt:variant>
        <vt:i4>0</vt:i4>
      </vt:variant>
      <vt:variant>
        <vt:i4>5</vt:i4>
      </vt:variant>
      <vt:variant>
        <vt:lpwstr/>
      </vt:variant>
      <vt:variant>
        <vt:lpwstr>_Toc384654651</vt:lpwstr>
      </vt:variant>
      <vt:variant>
        <vt:i4>1572916</vt:i4>
      </vt:variant>
      <vt:variant>
        <vt:i4>164</vt:i4>
      </vt:variant>
      <vt:variant>
        <vt:i4>0</vt:i4>
      </vt:variant>
      <vt:variant>
        <vt:i4>5</vt:i4>
      </vt:variant>
      <vt:variant>
        <vt:lpwstr/>
      </vt:variant>
      <vt:variant>
        <vt:lpwstr>_Toc384654650</vt:lpwstr>
      </vt:variant>
      <vt:variant>
        <vt:i4>1638452</vt:i4>
      </vt:variant>
      <vt:variant>
        <vt:i4>158</vt:i4>
      </vt:variant>
      <vt:variant>
        <vt:i4>0</vt:i4>
      </vt:variant>
      <vt:variant>
        <vt:i4>5</vt:i4>
      </vt:variant>
      <vt:variant>
        <vt:lpwstr/>
      </vt:variant>
      <vt:variant>
        <vt:lpwstr>_Toc384654649</vt:lpwstr>
      </vt:variant>
      <vt:variant>
        <vt:i4>1638452</vt:i4>
      </vt:variant>
      <vt:variant>
        <vt:i4>152</vt:i4>
      </vt:variant>
      <vt:variant>
        <vt:i4>0</vt:i4>
      </vt:variant>
      <vt:variant>
        <vt:i4>5</vt:i4>
      </vt:variant>
      <vt:variant>
        <vt:lpwstr/>
      </vt:variant>
      <vt:variant>
        <vt:lpwstr>_Toc384654648</vt:lpwstr>
      </vt:variant>
      <vt:variant>
        <vt:i4>1638452</vt:i4>
      </vt:variant>
      <vt:variant>
        <vt:i4>146</vt:i4>
      </vt:variant>
      <vt:variant>
        <vt:i4>0</vt:i4>
      </vt:variant>
      <vt:variant>
        <vt:i4>5</vt:i4>
      </vt:variant>
      <vt:variant>
        <vt:lpwstr/>
      </vt:variant>
      <vt:variant>
        <vt:lpwstr>_Toc384654647</vt:lpwstr>
      </vt:variant>
      <vt:variant>
        <vt:i4>1638452</vt:i4>
      </vt:variant>
      <vt:variant>
        <vt:i4>140</vt:i4>
      </vt:variant>
      <vt:variant>
        <vt:i4>0</vt:i4>
      </vt:variant>
      <vt:variant>
        <vt:i4>5</vt:i4>
      </vt:variant>
      <vt:variant>
        <vt:lpwstr/>
      </vt:variant>
      <vt:variant>
        <vt:lpwstr>_Toc384654646</vt:lpwstr>
      </vt:variant>
      <vt:variant>
        <vt:i4>1638452</vt:i4>
      </vt:variant>
      <vt:variant>
        <vt:i4>134</vt:i4>
      </vt:variant>
      <vt:variant>
        <vt:i4>0</vt:i4>
      </vt:variant>
      <vt:variant>
        <vt:i4>5</vt:i4>
      </vt:variant>
      <vt:variant>
        <vt:lpwstr/>
      </vt:variant>
      <vt:variant>
        <vt:lpwstr>_Toc384654645</vt:lpwstr>
      </vt:variant>
      <vt:variant>
        <vt:i4>1638452</vt:i4>
      </vt:variant>
      <vt:variant>
        <vt:i4>128</vt:i4>
      </vt:variant>
      <vt:variant>
        <vt:i4>0</vt:i4>
      </vt:variant>
      <vt:variant>
        <vt:i4>5</vt:i4>
      </vt:variant>
      <vt:variant>
        <vt:lpwstr/>
      </vt:variant>
      <vt:variant>
        <vt:lpwstr>_Toc384654644</vt:lpwstr>
      </vt:variant>
      <vt:variant>
        <vt:i4>1638452</vt:i4>
      </vt:variant>
      <vt:variant>
        <vt:i4>122</vt:i4>
      </vt:variant>
      <vt:variant>
        <vt:i4>0</vt:i4>
      </vt:variant>
      <vt:variant>
        <vt:i4>5</vt:i4>
      </vt:variant>
      <vt:variant>
        <vt:lpwstr/>
      </vt:variant>
      <vt:variant>
        <vt:lpwstr>_Toc384654643</vt:lpwstr>
      </vt:variant>
      <vt:variant>
        <vt:i4>1638452</vt:i4>
      </vt:variant>
      <vt:variant>
        <vt:i4>116</vt:i4>
      </vt:variant>
      <vt:variant>
        <vt:i4>0</vt:i4>
      </vt:variant>
      <vt:variant>
        <vt:i4>5</vt:i4>
      </vt:variant>
      <vt:variant>
        <vt:lpwstr/>
      </vt:variant>
      <vt:variant>
        <vt:lpwstr>_Toc384654642</vt:lpwstr>
      </vt:variant>
      <vt:variant>
        <vt:i4>1638452</vt:i4>
      </vt:variant>
      <vt:variant>
        <vt:i4>110</vt:i4>
      </vt:variant>
      <vt:variant>
        <vt:i4>0</vt:i4>
      </vt:variant>
      <vt:variant>
        <vt:i4>5</vt:i4>
      </vt:variant>
      <vt:variant>
        <vt:lpwstr/>
      </vt:variant>
      <vt:variant>
        <vt:lpwstr>_Toc384654641</vt:lpwstr>
      </vt:variant>
      <vt:variant>
        <vt:i4>1638452</vt:i4>
      </vt:variant>
      <vt:variant>
        <vt:i4>104</vt:i4>
      </vt:variant>
      <vt:variant>
        <vt:i4>0</vt:i4>
      </vt:variant>
      <vt:variant>
        <vt:i4>5</vt:i4>
      </vt:variant>
      <vt:variant>
        <vt:lpwstr/>
      </vt:variant>
      <vt:variant>
        <vt:lpwstr>_Toc384654640</vt:lpwstr>
      </vt:variant>
      <vt:variant>
        <vt:i4>1966132</vt:i4>
      </vt:variant>
      <vt:variant>
        <vt:i4>98</vt:i4>
      </vt:variant>
      <vt:variant>
        <vt:i4>0</vt:i4>
      </vt:variant>
      <vt:variant>
        <vt:i4>5</vt:i4>
      </vt:variant>
      <vt:variant>
        <vt:lpwstr/>
      </vt:variant>
      <vt:variant>
        <vt:lpwstr>_Toc384654639</vt:lpwstr>
      </vt:variant>
      <vt:variant>
        <vt:i4>1966132</vt:i4>
      </vt:variant>
      <vt:variant>
        <vt:i4>92</vt:i4>
      </vt:variant>
      <vt:variant>
        <vt:i4>0</vt:i4>
      </vt:variant>
      <vt:variant>
        <vt:i4>5</vt:i4>
      </vt:variant>
      <vt:variant>
        <vt:lpwstr/>
      </vt:variant>
      <vt:variant>
        <vt:lpwstr>_Toc384654638</vt:lpwstr>
      </vt:variant>
      <vt:variant>
        <vt:i4>1966132</vt:i4>
      </vt:variant>
      <vt:variant>
        <vt:i4>86</vt:i4>
      </vt:variant>
      <vt:variant>
        <vt:i4>0</vt:i4>
      </vt:variant>
      <vt:variant>
        <vt:i4>5</vt:i4>
      </vt:variant>
      <vt:variant>
        <vt:lpwstr/>
      </vt:variant>
      <vt:variant>
        <vt:lpwstr>_Toc384654637</vt:lpwstr>
      </vt:variant>
      <vt:variant>
        <vt:i4>1966132</vt:i4>
      </vt:variant>
      <vt:variant>
        <vt:i4>80</vt:i4>
      </vt:variant>
      <vt:variant>
        <vt:i4>0</vt:i4>
      </vt:variant>
      <vt:variant>
        <vt:i4>5</vt:i4>
      </vt:variant>
      <vt:variant>
        <vt:lpwstr/>
      </vt:variant>
      <vt:variant>
        <vt:lpwstr>_Toc384654636</vt:lpwstr>
      </vt:variant>
      <vt:variant>
        <vt:i4>1966132</vt:i4>
      </vt:variant>
      <vt:variant>
        <vt:i4>74</vt:i4>
      </vt:variant>
      <vt:variant>
        <vt:i4>0</vt:i4>
      </vt:variant>
      <vt:variant>
        <vt:i4>5</vt:i4>
      </vt:variant>
      <vt:variant>
        <vt:lpwstr/>
      </vt:variant>
      <vt:variant>
        <vt:lpwstr>_Toc384654635</vt:lpwstr>
      </vt:variant>
      <vt:variant>
        <vt:i4>1966132</vt:i4>
      </vt:variant>
      <vt:variant>
        <vt:i4>68</vt:i4>
      </vt:variant>
      <vt:variant>
        <vt:i4>0</vt:i4>
      </vt:variant>
      <vt:variant>
        <vt:i4>5</vt:i4>
      </vt:variant>
      <vt:variant>
        <vt:lpwstr/>
      </vt:variant>
      <vt:variant>
        <vt:lpwstr>_Toc384654634</vt:lpwstr>
      </vt:variant>
      <vt:variant>
        <vt:i4>1966132</vt:i4>
      </vt:variant>
      <vt:variant>
        <vt:i4>62</vt:i4>
      </vt:variant>
      <vt:variant>
        <vt:i4>0</vt:i4>
      </vt:variant>
      <vt:variant>
        <vt:i4>5</vt:i4>
      </vt:variant>
      <vt:variant>
        <vt:lpwstr/>
      </vt:variant>
      <vt:variant>
        <vt:lpwstr>_Toc384654633</vt:lpwstr>
      </vt:variant>
      <vt:variant>
        <vt:i4>1966132</vt:i4>
      </vt:variant>
      <vt:variant>
        <vt:i4>56</vt:i4>
      </vt:variant>
      <vt:variant>
        <vt:i4>0</vt:i4>
      </vt:variant>
      <vt:variant>
        <vt:i4>5</vt:i4>
      </vt:variant>
      <vt:variant>
        <vt:lpwstr/>
      </vt:variant>
      <vt:variant>
        <vt:lpwstr>_Toc384654632</vt:lpwstr>
      </vt:variant>
      <vt:variant>
        <vt:i4>1966132</vt:i4>
      </vt:variant>
      <vt:variant>
        <vt:i4>50</vt:i4>
      </vt:variant>
      <vt:variant>
        <vt:i4>0</vt:i4>
      </vt:variant>
      <vt:variant>
        <vt:i4>5</vt:i4>
      </vt:variant>
      <vt:variant>
        <vt:lpwstr/>
      </vt:variant>
      <vt:variant>
        <vt:lpwstr>_Toc384654631</vt:lpwstr>
      </vt:variant>
      <vt:variant>
        <vt:i4>1966132</vt:i4>
      </vt:variant>
      <vt:variant>
        <vt:i4>44</vt:i4>
      </vt:variant>
      <vt:variant>
        <vt:i4>0</vt:i4>
      </vt:variant>
      <vt:variant>
        <vt:i4>5</vt:i4>
      </vt:variant>
      <vt:variant>
        <vt:lpwstr/>
      </vt:variant>
      <vt:variant>
        <vt:lpwstr>_Toc384654630</vt:lpwstr>
      </vt:variant>
      <vt:variant>
        <vt:i4>2031668</vt:i4>
      </vt:variant>
      <vt:variant>
        <vt:i4>38</vt:i4>
      </vt:variant>
      <vt:variant>
        <vt:i4>0</vt:i4>
      </vt:variant>
      <vt:variant>
        <vt:i4>5</vt:i4>
      </vt:variant>
      <vt:variant>
        <vt:lpwstr/>
      </vt:variant>
      <vt:variant>
        <vt:lpwstr>_Toc384654629</vt:lpwstr>
      </vt:variant>
      <vt:variant>
        <vt:i4>2031668</vt:i4>
      </vt:variant>
      <vt:variant>
        <vt:i4>32</vt:i4>
      </vt:variant>
      <vt:variant>
        <vt:i4>0</vt:i4>
      </vt:variant>
      <vt:variant>
        <vt:i4>5</vt:i4>
      </vt:variant>
      <vt:variant>
        <vt:lpwstr/>
      </vt:variant>
      <vt:variant>
        <vt:lpwstr>_Toc384654628</vt:lpwstr>
      </vt:variant>
      <vt:variant>
        <vt:i4>2031668</vt:i4>
      </vt:variant>
      <vt:variant>
        <vt:i4>26</vt:i4>
      </vt:variant>
      <vt:variant>
        <vt:i4>0</vt:i4>
      </vt:variant>
      <vt:variant>
        <vt:i4>5</vt:i4>
      </vt:variant>
      <vt:variant>
        <vt:lpwstr/>
      </vt:variant>
      <vt:variant>
        <vt:lpwstr>_Toc384654627</vt:lpwstr>
      </vt:variant>
      <vt:variant>
        <vt:i4>2031668</vt:i4>
      </vt:variant>
      <vt:variant>
        <vt:i4>20</vt:i4>
      </vt:variant>
      <vt:variant>
        <vt:i4>0</vt:i4>
      </vt:variant>
      <vt:variant>
        <vt:i4>5</vt:i4>
      </vt:variant>
      <vt:variant>
        <vt:lpwstr/>
      </vt:variant>
      <vt:variant>
        <vt:lpwstr>_Toc384654626</vt:lpwstr>
      </vt:variant>
      <vt:variant>
        <vt:i4>2031668</vt:i4>
      </vt:variant>
      <vt:variant>
        <vt:i4>14</vt:i4>
      </vt:variant>
      <vt:variant>
        <vt:i4>0</vt:i4>
      </vt:variant>
      <vt:variant>
        <vt:i4>5</vt:i4>
      </vt:variant>
      <vt:variant>
        <vt:lpwstr/>
      </vt:variant>
      <vt:variant>
        <vt:lpwstr>_Toc384654625</vt:lpwstr>
      </vt:variant>
      <vt:variant>
        <vt:i4>2031668</vt:i4>
      </vt:variant>
      <vt:variant>
        <vt:i4>8</vt:i4>
      </vt:variant>
      <vt:variant>
        <vt:i4>0</vt:i4>
      </vt:variant>
      <vt:variant>
        <vt:i4>5</vt:i4>
      </vt:variant>
      <vt:variant>
        <vt:lpwstr/>
      </vt:variant>
      <vt:variant>
        <vt:lpwstr>_Toc384654624</vt:lpwstr>
      </vt:variant>
      <vt:variant>
        <vt:i4>2031668</vt:i4>
      </vt:variant>
      <vt:variant>
        <vt:i4>2</vt:i4>
      </vt:variant>
      <vt:variant>
        <vt:i4>0</vt:i4>
      </vt:variant>
      <vt:variant>
        <vt:i4>5</vt:i4>
      </vt:variant>
      <vt:variant>
        <vt:lpwstr/>
      </vt:variant>
      <vt:variant>
        <vt:lpwstr>_Toc384654623</vt:lpwstr>
      </vt:variant>
      <vt:variant>
        <vt:i4>1900635</vt:i4>
      </vt:variant>
      <vt:variant>
        <vt:i4>177</vt:i4>
      </vt:variant>
      <vt:variant>
        <vt:i4>0</vt:i4>
      </vt:variant>
      <vt:variant>
        <vt:i4>5</vt:i4>
      </vt:variant>
      <vt:variant>
        <vt:lpwstr>http://ec.europa.eu/clima/policies/roadmap/docs/main_report_en.pdf</vt:lpwstr>
      </vt:variant>
      <vt:variant>
        <vt:lpwstr/>
      </vt:variant>
      <vt:variant>
        <vt:i4>1900635</vt:i4>
      </vt:variant>
      <vt:variant>
        <vt:i4>174</vt:i4>
      </vt:variant>
      <vt:variant>
        <vt:i4>0</vt:i4>
      </vt:variant>
      <vt:variant>
        <vt:i4>5</vt:i4>
      </vt:variant>
      <vt:variant>
        <vt:lpwstr>http://ec.europa.eu/clima/policies/roadmap/docs/main_report_en.pdf</vt:lpwstr>
      </vt:variant>
      <vt:variant>
        <vt:lpwstr/>
      </vt:variant>
      <vt:variant>
        <vt:i4>6422570</vt:i4>
      </vt:variant>
      <vt:variant>
        <vt:i4>171</vt:i4>
      </vt:variant>
      <vt:variant>
        <vt:i4>0</vt:i4>
      </vt:variant>
      <vt:variant>
        <vt:i4>5</vt:i4>
      </vt:variant>
      <vt:variant>
        <vt:lpwstr>http://www.meinbezirk.at/eisenstadt/leute/kiss-and-ride-bahnfahrer-kuessen-besser-d437212.html</vt:lpwstr>
      </vt:variant>
      <vt:variant>
        <vt:lpwstr/>
      </vt:variant>
      <vt:variant>
        <vt:i4>8323116</vt:i4>
      </vt:variant>
      <vt:variant>
        <vt:i4>168</vt:i4>
      </vt:variant>
      <vt:variant>
        <vt:i4>0</vt:i4>
      </vt:variant>
      <vt:variant>
        <vt:i4>5</vt:i4>
      </vt:variant>
      <vt:variant>
        <vt:lpwstr>http://en.wikipedia.org/wiki/Park_and_ride</vt:lpwstr>
      </vt:variant>
      <vt:variant>
        <vt:lpwstr/>
      </vt:variant>
      <vt:variant>
        <vt:i4>393243</vt:i4>
      </vt:variant>
      <vt:variant>
        <vt:i4>165</vt:i4>
      </vt:variant>
      <vt:variant>
        <vt:i4>0</vt:i4>
      </vt:variant>
      <vt:variant>
        <vt:i4>5</vt:i4>
      </vt:variant>
      <vt:variant>
        <vt:lpwstr>http://www.lowemissionzones.eu/what-are-lezs?showall=&amp;start=4</vt:lpwstr>
      </vt:variant>
      <vt:variant>
        <vt:lpwstr/>
      </vt:variant>
      <vt:variant>
        <vt:i4>655372</vt:i4>
      </vt:variant>
      <vt:variant>
        <vt:i4>162</vt:i4>
      </vt:variant>
      <vt:variant>
        <vt:i4>0</vt:i4>
      </vt:variant>
      <vt:variant>
        <vt:i4>5</vt:i4>
      </vt:variant>
      <vt:variant>
        <vt:lpwstr>http://www.lowemissionzones.eu/what-are-lezs</vt:lpwstr>
      </vt:variant>
      <vt:variant>
        <vt:lpwstr/>
      </vt:variant>
      <vt:variant>
        <vt:i4>5701634</vt:i4>
      </vt:variant>
      <vt:variant>
        <vt:i4>159</vt:i4>
      </vt:variant>
      <vt:variant>
        <vt:i4>0</vt:i4>
      </vt:variant>
      <vt:variant>
        <vt:i4>5</vt:i4>
      </vt:variant>
      <vt:variant>
        <vt:lpwstr>http://www.letsdoitworld.org/</vt:lpwstr>
      </vt:variant>
      <vt:variant>
        <vt:lpwstr/>
      </vt:variant>
      <vt:variant>
        <vt:i4>524292</vt:i4>
      </vt:variant>
      <vt:variant>
        <vt:i4>156</vt:i4>
      </vt:variant>
      <vt:variant>
        <vt:i4>0</vt:i4>
      </vt:variant>
      <vt:variant>
        <vt:i4>5</vt:i4>
      </vt:variant>
      <vt:variant>
        <vt:lpwstr>http://www.talkas.lv/?lng=en</vt:lpwstr>
      </vt:variant>
      <vt:variant>
        <vt:lpwstr/>
      </vt:variant>
      <vt:variant>
        <vt:i4>1441802</vt:i4>
      </vt:variant>
      <vt:variant>
        <vt:i4>153</vt:i4>
      </vt:variant>
      <vt:variant>
        <vt:i4>0</vt:i4>
      </vt:variant>
      <vt:variant>
        <vt:i4>5</vt:i4>
      </vt:variant>
      <vt:variant>
        <vt:lpwstr>http://ec.europa.eu/environment/integration/research/newsalert/pdf/353na5.pdf</vt:lpwstr>
      </vt:variant>
      <vt:variant>
        <vt:lpwstr/>
      </vt:variant>
      <vt:variant>
        <vt:i4>2359308</vt:i4>
      </vt:variant>
      <vt:variant>
        <vt:i4>150</vt:i4>
      </vt:variant>
      <vt:variant>
        <vt:i4>0</vt:i4>
      </vt:variant>
      <vt:variant>
        <vt:i4>5</vt:i4>
      </vt:variant>
      <vt:variant>
        <vt:lpwstr>http://ec.europa.eu/environment/emas/about/enviro_en.htm</vt:lpwstr>
      </vt:variant>
      <vt:variant>
        <vt:lpwstr/>
      </vt:variant>
      <vt:variant>
        <vt:i4>4259889</vt:i4>
      </vt:variant>
      <vt:variant>
        <vt:i4>147</vt:i4>
      </vt:variant>
      <vt:variant>
        <vt:i4>0</vt:i4>
      </vt:variant>
      <vt:variant>
        <vt:i4>5</vt:i4>
      </vt:variant>
      <vt:variant>
        <vt:lpwstr>http://ec.europa.eu/environment/emas/index_en.htm</vt:lpwstr>
      </vt:variant>
      <vt:variant>
        <vt:lpwstr/>
      </vt:variant>
      <vt:variant>
        <vt:i4>6422561</vt:i4>
      </vt:variant>
      <vt:variant>
        <vt:i4>144</vt:i4>
      </vt:variant>
      <vt:variant>
        <vt:i4>0</vt:i4>
      </vt:variant>
      <vt:variant>
        <vt:i4>5</vt:i4>
      </vt:variant>
      <vt:variant>
        <vt:lpwstr>http://www.iso.org/iso/home/standards/management-standards/iso14000.htm</vt:lpwstr>
      </vt:variant>
      <vt:variant>
        <vt:lpwstr/>
      </vt:variant>
      <vt:variant>
        <vt:i4>2359308</vt:i4>
      </vt:variant>
      <vt:variant>
        <vt:i4>141</vt:i4>
      </vt:variant>
      <vt:variant>
        <vt:i4>0</vt:i4>
      </vt:variant>
      <vt:variant>
        <vt:i4>5</vt:i4>
      </vt:variant>
      <vt:variant>
        <vt:lpwstr>http://ec.europa.eu/environment/emas/about/enviro_en.htm</vt:lpwstr>
      </vt:variant>
      <vt:variant>
        <vt:lpwstr/>
      </vt:variant>
      <vt:variant>
        <vt:i4>720982</vt:i4>
      </vt:variant>
      <vt:variant>
        <vt:i4>138</vt:i4>
      </vt:variant>
      <vt:variant>
        <vt:i4>0</vt:i4>
      </vt:variant>
      <vt:variant>
        <vt:i4>5</vt:i4>
      </vt:variant>
      <vt:variant>
        <vt:lpwstr>http://ec.europa.eu/environment/water/water-nitrates/</vt:lpwstr>
      </vt:variant>
      <vt:variant>
        <vt:lpwstr/>
      </vt:variant>
      <vt:variant>
        <vt:i4>5308442</vt:i4>
      </vt:variant>
      <vt:variant>
        <vt:i4>135</vt:i4>
      </vt:variant>
      <vt:variant>
        <vt:i4>0</vt:i4>
      </vt:variant>
      <vt:variant>
        <vt:i4>5</vt:i4>
      </vt:variant>
      <vt:variant>
        <vt:lpwstr>http://www.fao.org/prods/gap/</vt:lpwstr>
      </vt:variant>
      <vt:variant>
        <vt:lpwstr/>
      </vt:variant>
      <vt:variant>
        <vt:i4>2949223</vt:i4>
      </vt:variant>
      <vt:variant>
        <vt:i4>132</vt:i4>
      </vt:variant>
      <vt:variant>
        <vt:i4>0</vt:i4>
      </vt:variant>
      <vt:variant>
        <vt:i4>5</vt:i4>
      </vt:variant>
      <vt:variant>
        <vt:lpwstr>http://ec.europa.eu/energy/efficiency/studies/doc/2010_05_jrc_va_study.pdf</vt:lpwstr>
      </vt:variant>
      <vt:variant>
        <vt:lpwstr/>
      </vt:variant>
      <vt:variant>
        <vt:i4>4391005</vt:i4>
      </vt:variant>
      <vt:variant>
        <vt:i4>129</vt:i4>
      </vt:variant>
      <vt:variant>
        <vt:i4>0</vt:i4>
      </vt:variant>
      <vt:variant>
        <vt:i4>5</vt:i4>
      </vt:variant>
      <vt:variant>
        <vt:lpwstr>http://www.unece.org/fileadmin/DAM/env/documents/2013/air/wgsr_51/5_Reduction_of_SO2_and_NOx_through_a_voluntary_agreement_with_the_Flemish_power_plant_sector.pdf</vt:lpwstr>
      </vt:variant>
      <vt:variant>
        <vt:lpwstr/>
      </vt:variant>
      <vt:variant>
        <vt:i4>2818123</vt:i4>
      </vt:variant>
      <vt:variant>
        <vt:i4>126</vt:i4>
      </vt:variant>
      <vt:variant>
        <vt:i4>0</vt:i4>
      </vt:variant>
      <vt:variant>
        <vt:i4>5</vt:i4>
      </vt:variant>
      <vt:variant>
        <vt:lpwstr>http://www.uni-obuda.hu/journal/Lesakova_35.pdf</vt:lpwstr>
      </vt:variant>
      <vt:variant>
        <vt:lpwstr/>
      </vt:variant>
      <vt:variant>
        <vt:i4>5177412</vt:i4>
      </vt:variant>
      <vt:variant>
        <vt:i4>123</vt:i4>
      </vt:variant>
      <vt:variant>
        <vt:i4>0</vt:i4>
      </vt:variant>
      <vt:variant>
        <vt:i4>5</vt:i4>
      </vt:variant>
      <vt:variant>
        <vt:lpwstr>http://icecommittee.org/reports/Tracy_Kitts_Presentation_ICE_Nov_3_10.pdf</vt:lpwstr>
      </vt:variant>
      <vt:variant>
        <vt:lpwstr/>
      </vt:variant>
      <vt:variant>
        <vt:i4>8257572</vt:i4>
      </vt:variant>
      <vt:variant>
        <vt:i4>120</vt:i4>
      </vt:variant>
      <vt:variant>
        <vt:i4>0</vt:i4>
      </vt:variant>
      <vt:variant>
        <vt:i4>5</vt:i4>
      </vt:variant>
      <vt:variant>
        <vt:lpwstr>https://www.swedbank.lv/en/jaundibinatiem_uznemumiem/biznesa_inkubatori/</vt:lpwstr>
      </vt:variant>
      <vt:variant>
        <vt:lpwstr/>
      </vt:variant>
      <vt:variant>
        <vt:i4>1441800</vt:i4>
      </vt:variant>
      <vt:variant>
        <vt:i4>117</vt:i4>
      </vt:variant>
      <vt:variant>
        <vt:i4>0</vt:i4>
      </vt:variant>
      <vt:variant>
        <vt:i4>5</vt:i4>
      </vt:variant>
      <vt:variant>
        <vt:lpwstr>http://ec.europa.eu/environment/gpp/pdf/handbook.pdf</vt:lpwstr>
      </vt:variant>
      <vt:variant>
        <vt:lpwstr/>
      </vt:variant>
      <vt:variant>
        <vt:i4>1704032</vt:i4>
      </vt:variant>
      <vt:variant>
        <vt:i4>114</vt:i4>
      </vt:variant>
      <vt:variant>
        <vt:i4>0</vt:i4>
      </vt:variant>
      <vt:variant>
        <vt:i4>5</vt:i4>
      </vt:variant>
      <vt:variant>
        <vt:lpwstr>http://ec.europa.eu/environment/gpp/eu_gpp_criteria_en.htm</vt:lpwstr>
      </vt:variant>
      <vt:variant>
        <vt:lpwstr/>
      </vt:variant>
      <vt:variant>
        <vt:i4>1900635</vt:i4>
      </vt:variant>
      <vt:variant>
        <vt:i4>111</vt:i4>
      </vt:variant>
      <vt:variant>
        <vt:i4>0</vt:i4>
      </vt:variant>
      <vt:variant>
        <vt:i4>5</vt:i4>
      </vt:variant>
      <vt:variant>
        <vt:lpwstr>http://ec.europa.eu/clima/policies/roadmap/docs/main_report_en.pdf</vt:lpwstr>
      </vt:variant>
      <vt:variant>
        <vt:lpwstr/>
      </vt:variant>
      <vt:variant>
        <vt:i4>655372</vt:i4>
      </vt:variant>
      <vt:variant>
        <vt:i4>108</vt:i4>
      </vt:variant>
      <vt:variant>
        <vt:i4>0</vt:i4>
      </vt:variant>
      <vt:variant>
        <vt:i4>5</vt:i4>
      </vt:variant>
      <vt:variant>
        <vt:lpwstr>http://www.lowemissionzones.eu/what-are-lezs</vt:lpwstr>
      </vt:variant>
      <vt:variant>
        <vt:lpwstr/>
      </vt:variant>
      <vt:variant>
        <vt:i4>2359308</vt:i4>
      </vt:variant>
      <vt:variant>
        <vt:i4>105</vt:i4>
      </vt:variant>
      <vt:variant>
        <vt:i4>0</vt:i4>
      </vt:variant>
      <vt:variant>
        <vt:i4>5</vt:i4>
      </vt:variant>
      <vt:variant>
        <vt:lpwstr>http://ec.europa.eu/environment/emas/about/enviro_en.htm</vt:lpwstr>
      </vt:variant>
      <vt:variant>
        <vt:lpwstr/>
      </vt:variant>
      <vt:variant>
        <vt:i4>2949223</vt:i4>
      </vt:variant>
      <vt:variant>
        <vt:i4>102</vt:i4>
      </vt:variant>
      <vt:variant>
        <vt:i4>0</vt:i4>
      </vt:variant>
      <vt:variant>
        <vt:i4>5</vt:i4>
      </vt:variant>
      <vt:variant>
        <vt:lpwstr>http://ec.europa.eu/energy/efficiency/studies/doc/2010_05_jrc_va_study.pdf</vt:lpwstr>
      </vt:variant>
      <vt:variant>
        <vt:lpwstr/>
      </vt:variant>
      <vt:variant>
        <vt:i4>1179740</vt:i4>
      </vt:variant>
      <vt:variant>
        <vt:i4>99</vt:i4>
      </vt:variant>
      <vt:variant>
        <vt:i4>0</vt:i4>
      </vt:variant>
      <vt:variant>
        <vt:i4>5</vt:i4>
      </vt:variant>
      <vt:variant>
        <vt:lpwstr>http://www.unep.org/greeneconomy/AboutGEI/WhatisGEI/tabid/29784/Default.aspx</vt:lpwstr>
      </vt:variant>
      <vt:variant>
        <vt:lpwstr/>
      </vt:variant>
      <vt:variant>
        <vt:i4>7209082</vt:i4>
      </vt:variant>
      <vt:variant>
        <vt:i4>96</vt:i4>
      </vt:variant>
      <vt:variant>
        <vt:i4>0</vt:i4>
      </vt:variant>
      <vt:variant>
        <vt:i4>5</vt:i4>
      </vt:variant>
      <vt:variant>
        <vt:lpwstr>http://eur-lex.europa.eu/LexUriServ/LexUriServ.do?uri=COM:2008:0400:FIN:EN:PDF</vt:lpwstr>
      </vt:variant>
      <vt:variant>
        <vt:lpwstr/>
      </vt:variant>
      <vt:variant>
        <vt:i4>4259931</vt:i4>
      </vt:variant>
      <vt:variant>
        <vt:i4>93</vt:i4>
      </vt:variant>
      <vt:variant>
        <vt:i4>0</vt:i4>
      </vt:variant>
      <vt:variant>
        <vt:i4>5</vt:i4>
      </vt:variant>
      <vt:variant>
        <vt:lpwstr>http://www.hg.org/article.asp?id=6264</vt:lpwstr>
      </vt:variant>
      <vt:variant>
        <vt:lpwstr/>
      </vt:variant>
      <vt:variant>
        <vt:i4>2162794</vt:i4>
      </vt:variant>
      <vt:variant>
        <vt:i4>90</vt:i4>
      </vt:variant>
      <vt:variant>
        <vt:i4>0</vt:i4>
      </vt:variant>
      <vt:variant>
        <vt:i4>5</vt:i4>
      </vt:variant>
      <vt:variant>
        <vt:lpwstr>http://interfax-era.ru/</vt:lpwstr>
      </vt:variant>
      <vt:variant>
        <vt:lpwstr/>
      </vt:variant>
      <vt:variant>
        <vt:i4>5898254</vt:i4>
      </vt:variant>
      <vt:variant>
        <vt:i4>87</vt:i4>
      </vt:variant>
      <vt:variant>
        <vt:i4>0</vt:i4>
      </vt:variant>
      <vt:variant>
        <vt:i4>5</vt:i4>
      </vt:variant>
      <vt:variant>
        <vt:lpwstr>http://www.moseff.org/index.php?id=1&amp;L=1</vt:lpwstr>
      </vt:variant>
      <vt:variant>
        <vt:lpwstr/>
      </vt:variant>
      <vt:variant>
        <vt:i4>327787</vt:i4>
      </vt:variant>
      <vt:variant>
        <vt:i4>84</vt:i4>
      </vt:variant>
      <vt:variant>
        <vt:i4>0</vt:i4>
      </vt:variant>
      <vt:variant>
        <vt:i4>5</vt:i4>
      </vt:variant>
      <vt:variant>
        <vt:lpwstr>http://moe.gov.ge/index.php?lang_id=GEO&amp;sec_id=40&amp;info_id=2411</vt:lpwstr>
      </vt:variant>
      <vt:variant>
        <vt:lpwstr/>
      </vt:variant>
      <vt:variant>
        <vt:i4>5701710</vt:i4>
      </vt:variant>
      <vt:variant>
        <vt:i4>81</vt:i4>
      </vt:variant>
      <vt:variant>
        <vt:i4>0</vt:i4>
      </vt:variant>
      <vt:variant>
        <vt:i4>5</vt:i4>
      </vt:variant>
      <vt:variant>
        <vt:lpwstr>http://www.minpriroda.gov.by/ru/news/p-alignjustifyitogi-6-respublikanskix-konkursov-ekologicheskoj-napravlennosti-podvedeny-v-ministerstve-prirodnyx-resursov-i-oxrany-okruzhajuschej-sredyp_i_1374.html</vt:lpwstr>
      </vt:variant>
      <vt:variant>
        <vt:lpwstr/>
      </vt:variant>
      <vt:variant>
        <vt:i4>7340154</vt:i4>
      </vt:variant>
      <vt:variant>
        <vt:i4>78</vt:i4>
      </vt:variant>
      <vt:variant>
        <vt:i4>0</vt:i4>
      </vt:variant>
      <vt:variant>
        <vt:i4>5</vt:i4>
      </vt:variant>
      <vt:variant>
        <vt:lpwstr>http://pravo.by/main.aspx?guid=3871&amp;p0=H11000204&amp;p2=%7bNRPA%7d</vt:lpwstr>
      </vt:variant>
      <vt:variant>
        <vt:lpwstr/>
      </vt:variant>
      <vt:variant>
        <vt:i4>7929879</vt:i4>
      </vt:variant>
      <vt:variant>
        <vt:i4>75</vt:i4>
      </vt:variant>
      <vt:variant>
        <vt:i4>0</vt:i4>
      </vt:variant>
      <vt:variant>
        <vt:i4>5</vt:i4>
      </vt:variant>
      <vt:variant>
        <vt:lpwstr>http://www.belta.by/ru/all_news/society/Memorandum-o-vyrabotke-mexanizmov-vzaimodejstvija-biznes-struktur-i-Minprirody-podpisan-v-Minske_i_580452.html</vt:lpwstr>
      </vt:variant>
      <vt:variant>
        <vt:lpwstr/>
      </vt:variant>
      <vt:variant>
        <vt:i4>393235</vt:i4>
      </vt:variant>
      <vt:variant>
        <vt:i4>72</vt:i4>
      </vt:variant>
      <vt:variant>
        <vt:i4>0</vt:i4>
      </vt:variant>
      <vt:variant>
        <vt:i4>5</vt:i4>
      </vt:variant>
      <vt:variant>
        <vt:lpwstr>http://minsk.gov.by/ru/org/8643/attach/263b953/kontrol_nalog_kodeks.shtml</vt:lpwstr>
      </vt:variant>
      <vt:variant>
        <vt:lpwstr/>
      </vt:variant>
      <vt:variant>
        <vt:i4>6946857</vt:i4>
      </vt:variant>
      <vt:variant>
        <vt:i4>69</vt:i4>
      </vt:variant>
      <vt:variant>
        <vt:i4>0</vt:i4>
      </vt:variant>
      <vt:variant>
        <vt:i4>5</vt:i4>
      </vt:variant>
      <vt:variant>
        <vt:lpwstr>http://www.pravo.by/main.aspx?guid=3871&amp;p0=P30900510&amp;p2=%7bNRPA%7d</vt:lpwstr>
      </vt:variant>
      <vt:variant>
        <vt:lpwstr/>
      </vt:variant>
      <vt:variant>
        <vt:i4>4980834</vt:i4>
      </vt:variant>
      <vt:variant>
        <vt:i4>66</vt:i4>
      </vt:variant>
      <vt:variant>
        <vt:i4>0</vt:i4>
      </vt:variant>
      <vt:variant>
        <vt:i4>5</vt:i4>
      </vt:variant>
      <vt:variant>
        <vt:lpwstr>http://enrin.grida.no/htmls/azer/soe/ecology/html/environmental_policy.html</vt:lpwstr>
      </vt:variant>
      <vt:variant>
        <vt:lpwstr/>
      </vt:variant>
      <vt:variant>
        <vt:i4>8126502</vt:i4>
      </vt:variant>
      <vt:variant>
        <vt:i4>63</vt:i4>
      </vt:variant>
      <vt:variant>
        <vt:i4>0</vt:i4>
      </vt:variant>
      <vt:variant>
        <vt:i4>5</vt:i4>
      </vt:variant>
      <vt:variant>
        <vt:lpwstr>http://r2e2.am/en/about-us/</vt:lpwstr>
      </vt:variant>
      <vt:variant>
        <vt:lpwstr/>
      </vt:variant>
      <vt:variant>
        <vt:i4>73</vt:i4>
      </vt:variant>
      <vt:variant>
        <vt:i4>60</vt:i4>
      </vt:variant>
      <vt:variant>
        <vt:i4>0</vt:i4>
      </vt:variant>
      <vt:variant>
        <vt:i4>5</vt:i4>
      </vt:variant>
      <vt:variant>
        <vt:lpwstr>http://www.mnp.am/?p=169</vt:lpwstr>
      </vt:variant>
      <vt:variant>
        <vt:lpwstr/>
      </vt:variant>
      <vt:variant>
        <vt:i4>589944</vt:i4>
      </vt:variant>
      <vt:variant>
        <vt:i4>57</vt:i4>
      </vt:variant>
      <vt:variant>
        <vt:i4>0</vt:i4>
      </vt:variant>
      <vt:variant>
        <vt:i4>5</vt:i4>
      </vt:variant>
      <vt:variant>
        <vt:lpwstr>http://www.mos.gov.pl/kategoria/4945_green_investment_scheme/?j=en</vt:lpwstr>
      </vt:variant>
      <vt:variant>
        <vt:lpwstr/>
      </vt:variant>
      <vt:variant>
        <vt:i4>2359417</vt:i4>
      </vt:variant>
      <vt:variant>
        <vt:i4>54</vt:i4>
      </vt:variant>
      <vt:variant>
        <vt:i4>0</vt:i4>
      </vt:variant>
      <vt:variant>
        <vt:i4>5</vt:i4>
      </vt:variant>
      <vt:variant>
        <vt:lpwstr>http://www.ekoportal.gov.pl/opencms/opencms/ekoportal/en/ForEntrepreneurs/PolishFunds/</vt:lpwstr>
      </vt:variant>
      <vt:variant>
        <vt:lpwstr/>
      </vt:variant>
      <vt:variant>
        <vt:i4>3276856</vt:i4>
      </vt:variant>
      <vt:variant>
        <vt:i4>51</vt:i4>
      </vt:variant>
      <vt:variant>
        <vt:i4>0</vt:i4>
      </vt:variant>
      <vt:variant>
        <vt:i4>5</vt:i4>
      </vt:variant>
      <vt:variant>
        <vt:lpwstr>http://www.mos.gov.pl/kategoria/4950_programmes_and_rank_lists/</vt:lpwstr>
      </vt:variant>
      <vt:variant>
        <vt:lpwstr/>
      </vt:variant>
      <vt:variant>
        <vt:i4>8192012</vt:i4>
      </vt:variant>
      <vt:variant>
        <vt:i4>48</vt:i4>
      </vt:variant>
      <vt:variant>
        <vt:i4>0</vt:i4>
      </vt:variant>
      <vt:variant>
        <vt:i4>5</vt:i4>
      </vt:variant>
      <vt:variant>
        <vt:lpwstr>http://www.eea.europa.eu/soer/countries/pl/soertopic_view?topic=air%20pollution</vt:lpwstr>
      </vt:variant>
      <vt:variant>
        <vt:lpwstr/>
      </vt:variant>
      <vt:variant>
        <vt:i4>6291527</vt:i4>
      </vt:variant>
      <vt:variant>
        <vt:i4>45</vt:i4>
      </vt:variant>
      <vt:variant>
        <vt:i4>0</vt:i4>
      </vt:variant>
      <vt:variant>
        <vt:i4>5</vt:i4>
      </vt:variant>
      <vt:variant>
        <vt:lpwstr>http://ec.europa.eu/agriculture/direct-support/direct-payments/index_en.htm</vt:lpwstr>
      </vt:variant>
      <vt:variant>
        <vt:lpwstr/>
      </vt:variant>
      <vt:variant>
        <vt:i4>2031705</vt:i4>
      </vt:variant>
      <vt:variant>
        <vt:i4>42</vt:i4>
      </vt:variant>
      <vt:variant>
        <vt:i4>0</vt:i4>
      </vt:variant>
      <vt:variant>
        <vt:i4>5</vt:i4>
      </vt:variant>
      <vt:variant>
        <vt:lpwstr>http://www.sustainablecity.be/themas/mobility</vt:lpwstr>
      </vt:variant>
      <vt:variant>
        <vt:lpwstr/>
      </vt:variant>
      <vt:variant>
        <vt:i4>65550</vt:i4>
      </vt:variant>
      <vt:variant>
        <vt:i4>39</vt:i4>
      </vt:variant>
      <vt:variant>
        <vt:i4>0</vt:i4>
      </vt:variant>
      <vt:variant>
        <vt:i4>5</vt:i4>
      </vt:variant>
      <vt:variant>
        <vt:lpwstr>http://www.sustainablecity.be/themas/sustainable-building</vt:lpwstr>
      </vt:variant>
      <vt:variant>
        <vt:lpwstr/>
      </vt:variant>
      <vt:variant>
        <vt:i4>1507358</vt:i4>
      </vt:variant>
      <vt:variant>
        <vt:i4>36</vt:i4>
      </vt:variant>
      <vt:variant>
        <vt:i4>0</vt:i4>
      </vt:variant>
      <vt:variant>
        <vt:i4>5</vt:i4>
      </vt:variant>
      <vt:variant>
        <vt:lpwstr>http://www.ceip.at/overview-of-submissions-under-clrtap/2012-submissions/</vt:lpwstr>
      </vt:variant>
      <vt:variant>
        <vt:lpwstr/>
      </vt:variant>
      <vt:variant>
        <vt:i4>2883616</vt:i4>
      </vt:variant>
      <vt:variant>
        <vt:i4>33</vt:i4>
      </vt:variant>
      <vt:variant>
        <vt:i4>0</vt:i4>
      </vt:variant>
      <vt:variant>
        <vt:i4>5</vt:i4>
      </vt:variant>
      <vt:variant>
        <vt:lpwstr>http://impel.eu/about/</vt:lpwstr>
      </vt:variant>
      <vt:variant>
        <vt:lpwstr/>
      </vt:variant>
      <vt:variant>
        <vt:i4>7602193</vt:i4>
      </vt:variant>
      <vt:variant>
        <vt:i4>30</vt:i4>
      </vt:variant>
      <vt:variant>
        <vt:i4>0</vt:i4>
      </vt:variant>
      <vt:variant>
        <vt:i4>5</vt:i4>
      </vt:variant>
      <vt:variant>
        <vt:lpwstr>http://ec.europa.eu/environment/gpp/brochure_en.htm</vt:lpwstr>
      </vt:variant>
      <vt:variant>
        <vt:lpwstr/>
      </vt:variant>
      <vt:variant>
        <vt:i4>7209082</vt:i4>
      </vt:variant>
      <vt:variant>
        <vt:i4>27</vt:i4>
      </vt:variant>
      <vt:variant>
        <vt:i4>0</vt:i4>
      </vt:variant>
      <vt:variant>
        <vt:i4>5</vt:i4>
      </vt:variant>
      <vt:variant>
        <vt:lpwstr>http://eur-lex.europa.eu/LexUriServ/LexUriServ.do?uri=COM:2008:0400:FIN:EN:PDF</vt:lpwstr>
      </vt:variant>
      <vt:variant>
        <vt:lpwstr/>
      </vt:variant>
      <vt:variant>
        <vt:i4>7995498</vt:i4>
      </vt:variant>
      <vt:variant>
        <vt:i4>24</vt:i4>
      </vt:variant>
      <vt:variant>
        <vt:i4>0</vt:i4>
      </vt:variant>
      <vt:variant>
        <vt:i4>5</vt:i4>
      </vt:variant>
      <vt:variant>
        <vt:lpwstr>http://www.nordic-ecolabel.org/</vt:lpwstr>
      </vt:variant>
      <vt:variant>
        <vt:lpwstr/>
      </vt:variant>
      <vt:variant>
        <vt:i4>4259889</vt:i4>
      </vt:variant>
      <vt:variant>
        <vt:i4>21</vt:i4>
      </vt:variant>
      <vt:variant>
        <vt:i4>0</vt:i4>
      </vt:variant>
      <vt:variant>
        <vt:i4>5</vt:i4>
      </vt:variant>
      <vt:variant>
        <vt:lpwstr>http://ec.europa.eu/environment/emas/index_en.htm</vt:lpwstr>
      </vt:variant>
      <vt:variant>
        <vt:lpwstr/>
      </vt:variant>
      <vt:variant>
        <vt:i4>5374030</vt:i4>
      </vt:variant>
      <vt:variant>
        <vt:i4>18</vt:i4>
      </vt:variant>
      <vt:variant>
        <vt:i4>0</vt:i4>
      </vt:variant>
      <vt:variant>
        <vt:i4>5</vt:i4>
      </vt:variant>
      <vt:variant>
        <vt:lpwstr>http://www.mobilityweek.eu/join-us/about/</vt:lpwstr>
      </vt:variant>
      <vt:variant>
        <vt:lpwstr/>
      </vt:variant>
      <vt:variant>
        <vt:i4>1048643</vt:i4>
      </vt:variant>
      <vt:variant>
        <vt:i4>15</vt:i4>
      </vt:variant>
      <vt:variant>
        <vt:i4>0</vt:i4>
      </vt:variant>
      <vt:variant>
        <vt:i4>5</vt:i4>
      </vt:variant>
      <vt:variant>
        <vt:lpwstr>http://ec.europa.eu/environment/life/themes/air/best.htm</vt:lpwstr>
      </vt:variant>
      <vt:variant>
        <vt:lpwstr/>
      </vt:variant>
      <vt:variant>
        <vt:i4>327712</vt:i4>
      </vt:variant>
      <vt:variant>
        <vt:i4>12</vt:i4>
      </vt:variant>
      <vt:variant>
        <vt:i4>0</vt:i4>
      </vt:variant>
      <vt:variant>
        <vt:i4>5</vt:i4>
      </vt:variant>
      <vt:variant>
        <vt:lpwstr>http://ec.europa.eu/clima/publications/docs/factsheet_ets_2013_en.pdf</vt:lpwstr>
      </vt:variant>
      <vt:variant>
        <vt:lpwstr/>
      </vt:variant>
      <vt:variant>
        <vt:i4>1179667</vt:i4>
      </vt:variant>
      <vt:variant>
        <vt:i4>9</vt:i4>
      </vt:variant>
      <vt:variant>
        <vt:i4>0</vt:i4>
      </vt:variant>
      <vt:variant>
        <vt:i4>5</vt:i4>
      </vt:variant>
      <vt:variant>
        <vt:lpwstr>http://www.climatefundsupdate.org/listing/special-climate-change-fund</vt:lpwstr>
      </vt:variant>
      <vt:variant>
        <vt:lpwstr/>
      </vt:variant>
      <vt:variant>
        <vt:i4>6029385</vt:i4>
      </vt:variant>
      <vt:variant>
        <vt:i4>6</vt:i4>
      </vt:variant>
      <vt:variant>
        <vt:i4>0</vt:i4>
      </vt:variant>
      <vt:variant>
        <vt:i4>5</vt:i4>
      </vt:variant>
      <vt:variant>
        <vt:lpwstr>http://web.undp.org/gef/do_cc_adaptation.shtml</vt:lpwstr>
      </vt:variant>
      <vt:variant>
        <vt:lpwstr/>
      </vt:variant>
      <vt:variant>
        <vt:i4>4718659</vt:i4>
      </vt:variant>
      <vt:variant>
        <vt:i4>3</vt:i4>
      </vt:variant>
      <vt:variant>
        <vt:i4>0</vt:i4>
      </vt:variant>
      <vt:variant>
        <vt:i4>5</vt:i4>
      </vt:variant>
      <vt:variant>
        <vt:lpwstr>http://web.undp.org/gef/do_cc_mitigation.shtml</vt:lpwstr>
      </vt:variant>
      <vt:variant>
        <vt:lpwstr/>
      </vt:variant>
      <vt:variant>
        <vt:i4>77</vt:i4>
      </vt:variant>
      <vt:variant>
        <vt:i4>0</vt:i4>
      </vt:variant>
      <vt:variant>
        <vt:i4>0</vt:i4>
      </vt:variant>
      <vt:variant>
        <vt:i4>5</vt:i4>
      </vt:variant>
      <vt:variant>
        <vt:lpwstr>http://www.sam.gov.lv/images/modules/items/PDF/item_618_NL_The_table_of_Eleven.pdf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Inception Report</dc:title>
  <dc:subject>Inception Report</dc:subject>
  <dc:creator>Aiga Kala</dc:creator>
  <cp:lastModifiedBy>Aiga Kala</cp:lastModifiedBy>
  <cp:revision>2</cp:revision>
  <cp:lastPrinted>2013-02-23T09:50:00Z</cp:lastPrinted>
  <dcterms:created xsi:type="dcterms:W3CDTF">2014-08-01T10:32:00Z</dcterms:created>
  <dcterms:modified xsi:type="dcterms:W3CDTF">2014-08-01T10:32:00Z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4.1.1</vt:lpwstr>
  </property>
  <property fmtid="{D5CDD505-2E9C-101B-9397-08002B2CF9AE}" pid="3" name="logotaalletter">
    <vt:lpwstr>e</vt:lpwstr>
  </property>
  <property fmtid="{D5CDD505-2E9C-101B-9397-08002B2CF9AE}" pid="4" name="Kantoor">
    <vt:lpwstr>DV</vt:lpwstr>
  </property>
  <property fmtid="{D5CDD505-2E9C-101B-9397-08002B2CF9AE}" pid="5" name="Txtpredatum">
    <vt:lpwstr>15-04-2002</vt:lpwstr>
  </property>
  <property fmtid="{D5CDD505-2E9C-101B-9397-08002B2CF9AE}" pid="6" name="Afdruk">
    <vt:lpwstr>enkel</vt:lpwstr>
  </property>
  <property fmtid="{D5CDD505-2E9C-101B-9397-08002B2CF9AE}" pid="7" name="txtregistratie">
    <vt:lpwstr/>
  </property>
  <property fmtid="{D5CDD505-2E9C-101B-9397-08002B2CF9AE}" pid="8" name="registratie">
    <vt:lpwstr>registered</vt:lpwstr>
  </property>
  <property fmtid="{D5CDD505-2E9C-101B-9397-08002B2CF9AE}" pid="9" name="txtprojectcode">
    <vt:lpwstr/>
  </property>
  <property fmtid="{D5CDD505-2E9C-101B-9397-08002B2CF9AE}" pid="10" name="projectcode">
    <vt:lpwstr>projectcode</vt:lpwstr>
  </property>
  <property fmtid="{D5CDD505-2E9C-101B-9397-08002B2CF9AE}" pid="11" name="txtprojectleider">
    <vt:lpwstr/>
  </property>
  <property fmtid="{D5CDD505-2E9C-101B-9397-08002B2CF9AE}" pid="12" name="projectleider">
    <vt:lpwstr>project manager</vt:lpwstr>
  </property>
  <property fmtid="{D5CDD505-2E9C-101B-9397-08002B2CF9AE}" pid="13" name="txtprojectdirecteur">
    <vt:lpwstr/>
  </property>
  <property fmtid="{D5CDD505-2E9C-101B-9397-08002B2CF9AE}" pid="14" name="projectdirecteur">
    <vt:lpwstr>project director</vt:lpwstr>
  </property>
  <property fmtid="{D5CDD505-2E9C-101B-9397-08002B2CF9AE}" pid="15" name="status">
    <vt:lpwstr>status</vt:lpwstr>
  </property>
  <property fmtid="{D5CDD505-2E9C-101B-9397-08002B2CF9AE}" pid="16" name="txtdatum">
    <vt:lpwstr>April 15, 2002</vt:lpwstr>
  </property>
  <property fmtid="{D5CDD505-2E9C-101B-9397-08002B2CF9AE}" pid="17" name="datum">
    <vt:lpwstr>date</vt:lpwstr>
  </property>
  <property fmtid="{D5CDD505-2E9C-101B-9397-08002B2CF9AE}" pid="18" name="txtautorisatie">
    <vt:lpwstr>approved</vt:lpwstr>
  </property>
  <property fmtid="{D5CDD505-2E9C-101B-9397-08002B2CF9AE}" pid="19" name="autorisatie">
    <vt:lpwstr>authorisation</vt:lpwstr>
  </property>
  <property fmtid="{D5CDD505-2E9C-101B-9397-08002B2CF9AE}" pid="20" name="txtautorisatiedoor">
    <vt:lpwstr/>
  </property>
  <property fmtid="{D5CDD505-2E9C-101B-9397-08002B2CF9AE}" pid="21" name="autorisatiedoor">
    <vt:lpwstr>name</vt:lpwstr>
  </property>
  <property fmtid="{D5CDD505-2E9C-101B-9397-08002B2CF9AE}" pid="22" name="paraaf">
    <vt:lpwstr>initials</vt:lpwstr>
  </property>
  <property fmtid="{D5CDD505-2E9C-101B-9397-08002B2CF9AE}" pid="23" name="txtstatus">
    <vt:lpwstr>draft version</vt:lpwstr>
  </property>
  <property fmtid="{D5CDD505-2E9C-101B-9397-08002B2CF9AE}" pid="24" name="statusreg">
    <vt:lpwstr>concept</vt:lpwstr>
  </property>
  <property fmtid="{D5CDD505-2E9C-101B-9397-08002B2CF9AE}" pid="25" name="ISOongecontroleerd">
    <vt:lpwstr/>
  </property>
  <property fmtid="{D5CDD505-2E9C-101B-9397-08002B2CF9AE}" pid="26" name="txtversienummer">
    <vt:lpwstr> </vt:lpwstr>
  </property>
  <property fmtid="{D5CDD505-2E9C-101B-9397-08002B2CF9AE}" pid="27" name="partner">
    <vt:lpwstr/>
  </property>
  <property fmtid="{D5CDD505-2E9C-101B-9397-08002B2CF9AE}" pid="28" name="Taal">
    <vt:lpwstr>taal-en</vt:lpwstr>
  </property>
  <property fmtid="{D5CDD505-2E9C-101B-9397-08002B2CF9AE}" pid="29" name="dedato">
    <vt:lpwstr>dated</vt:lpwstr>
  </property>
</Properties>
</file>