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642" w:rsidRDefault="000A6642" w:rsidP="000A6642">
      <w:pPr>
        <w:ind w:left="0"/>
        <w:rPr>
          <w:lang w:eastAsia="x-none"/>
        </w:rPr>
      </w:pPr>
      <w:bookmarkStart w:id="0" w:name="_GoBack"/>
      <w:bookmarkEnd w:id="0"/>
      <w:r>
        <w:rPr>
          <w:lang w:eastAsia="x-none"/>
        </w:rPr>
        <w:t xml:space="preserve">The objectives of the Regional Pilot Project 3 (RPP3) are in close collaboration with local authorities, staff experts and civil servants to build/implement an air pollution assessment system in the ENPI East countries which can be used for </w:t>
      </w:r>
    </w:p>
    <w:p w:rsidR="000A6642" w:rsidRDefault="000A6642" w:rsidP="000A6642">
      <w:pPr>
        <w:ind w:left="0"/>
        <w:rPr>
          <w:lang w:eastAsia="x-none"/>
        </w:rPr>
      </w:pPr>
      <w:r>
        <w:rPr>
          <w:lang w:eastAsia="x-none"/>
        </w:rPr>
        <w:t>1.</w:t>
      </w:r>
      <w:r>
        <w:rPr>
          <w:lang w:eastAsia="x-none"/>
        </w:rPr>
        <w:tab/>
        <w:t xml:space="preserve">high resolution urban air quality modelling, </w:t>
      </w:r>
    </w:p>
    <w:p w:rsidR="000A6642" w:rsidRDefault="000A6642" w:rsidP="000A6642">
      <w:pPr>
        <w:ind w:left="0"/>
        <w:rPr>
          <w:lang w:eastAsia="x-none"/>
        </w:rPr>
      </w:pPr>
      <w:r>
        <w:rPr>
          <w:lang w:eastAsia="x-none"/>
        </w:rPr>
        <w:t>2.</w:t>
      </w:r>
      <w:r>
        <w:rPr>
          <w:lang w:eastAsia="x-none"/>
        </w:rPr>
        <w:tab/>
        <w:t xml:space="preserve">urban assessment, </w:t>
      </w:r>
    </w:p>
    <w:p w:rsidR="000A6642" w:rsidRDefault="000A6642" w:rsidP="000A6642">
      <w:pPr>
        <w:ind w:left="0"/>
        <w:rPr>
          <w:lang w:eastAsia="x-none"/>
        </w:rPr>
      </w:pPr>
      <w:r>
        <w:rPr>
          <w:lang w:eastAsia="x-none"/>
        </w:rPr>
        <w:t>3.</w:t>
      </w:r>
      <w:r>
        <w:rPr>
          <w:lang w:eastAsia="x-none"/>
        </w:rPr>
        <w:tab/>
        <w:t xml:space="preserve">estimating effects of different urban planning and transportation schemes, </w:t>
      </w:r>
    </w:p>
    <w:p w:rsidR="000A6642" w:rsidRDefault="000A6642" w:rsidP="000A6642">
      <w:pPr>
        <w:ind w:left="0"/>
        <w:rPr>
          <w:lang w:eastAsia="x-none"/>
        </w:rPr>
      </w:pPr>
      <w:r>
        <w:rPr>
          <w:lang w:eastAsia="x-none"/>
        </w:rPr>
        <w:t>4.</w:t>
      </w:r>
      <w:r>
        <w:rPr>
          <w:lang w:eastAsia="x-none"/>
        </w:rPr>
        <w:tab/>
        <w:t xml:space="preserve">etc. </w:t>
      </w:r>
    </w:p>
    <w:p w:rsidR="000A6642" w:rsidRDefault="000A6642" w:rsidP="000A6642">
      <w:pPr>
        <w:ind w:left="0"/>
        <w:rPr>
          <w:lang w:eastAsia="x-none"/>
        </w:rPr>
      </w:pPr>
      <w:r>
        <w:rPr>
          <w:lang w:eastAsia="x-none"/>
        </w:rPr>
        <w:t>and teach local staff in the ENPI East counties to operate the system and setup the system in other cities in their countries.</w:t>
      </w:r>
    </w:p>
    <w:p w:rsidR="000A6642" w:rsidRDefault="000A6642" w:rsidP="000A6642">
      <w:pPr>
        <w:ind w:left="0"/>
        <w:rPr>
          <w:lang w:eastAsia="x-none"/>
        </w:rPr>
      </w:pPr>
      <w:r>
        <w:rPr>
          <w:lang w:eastAsia="x-none"/>
        </w:rPr>
        <w:t>As air pollution assessment system was the THOR model system</w:t>
      </w:r>
      <w:r w:rsidRPr="00476410">
        <w:rPr>
          <w:lang w:eastAsia="x-none"/>
        </w:rPr>
        <w:t xml:space="preserve"> </w:t>
      </w:r>
      <w:r>
        <w:rPr>
          <w:lang w:eastAsia="x-none"/>
        </w:rPr>
        <w:t xml:space="preserve">chosen </w:t>
      </w:r>
      <w:r w:rsidRPr="00476410">
        <w:rPr>
          <w:lang w:eastAsia="x-none"/>
        </w:rPr>
        <w:t>(Bran</w:t>
      </w:r>
      <w:r>
        <w:rPr>
          <w:lang w:eastAsia="x-none"/>
        </w:rPr>
        <w:t xml:space="preserve">dt et al., 2001a,b; 2003; 2012). </w:t>
      </w:r>
      <w:r w:rsidRPr="005651ED">
        <w:rPr>
          <w:rFonts w:eastAsia="Calibri" w:cs="Arial"/>
          <w:szCs w:val="21"/>
        </w:rPr>
        <w:t xml:space="preserve">The reason for this choice </w:t>
      </w:r>
      <w:r>
        <w:rPr>
          <w:rFonts w:eastAsia="Calibri" w:cs="Arial"/>
          <w:szCs w:val="21"/>
        </w:rPr>
        <w:t xml:space="preserve">was </w:t>
      </w:r>
      <w:r w:rsidRPr="005651ED">
        <w:rPr>
          <w:rFonts w:eastAsia="Calibri" w:cs="Arial"/>
          <w:szCs w:val="21"/>
        </w:rPr>
        <w:t xml:space="preserve">that </w:t>
      </w:r>
      <w:r>
        <w:rPr>
          <w:rFonts w:eastAsia="Calibri" w:cs="Arial"/>
          <w:szCs w:val="21"/>
        </w:rPr>
        <w:t>i</w:t>
      </w:r>
      <w:r w:rsidRPr="005651ED">
        <w:rPr>
          <w:rFonts w:eastAsia="Calibri" w:cs="Arial"/>
          <w:szCs w:val="21"/>
        </w:rPr>
        <w:t>t includes several meteorological and air pollution models capable of operating for diffe</w:t>
      </w:r>
      <w:r>
        <w:rPr>
          <w:rFonts w:eastAsia="Calibri" w:cs="Arial"/>
          <w:szCs w:val="21"/>
        </w:rPr>
        <w:t xml:space="preserve">rent applications and </w:t>
      </w:r>
      <w:r w:rsidRPr="005651ED">
        <w:rPr>
          <w:rFonts w:eastAsia="Calibri" w:cs="Arial"/>
          <w:szCs w:val="21"/>
        </w:rPr>
        <w:t xml:space="preserve">scales. The system is unique with respect to the integration of scales and capable of estimating accurate and high resolution </w:t>
      </w:r>
      <w:r>
        <w:rPr>
          <w:rFonts w:eastAsia="Calibri" w:cs="Arial"/>
          <w:szCs w:val="21"/>
        </w:rPr>
        <w:t xml:space="preserve">simulations </w:t>
      </w:r>
      <w:r w:rsidRPr="005651ED">
        <w:rPr>
          <w:rFonts w:eastAsia="Calibri" w:cs="Arial"/>
          <w:szCs w:val="21"/>
        </w:rPr>
        <w:t>of weather and air pollution from regional scale over urban background scale and down to individual street canyons in cities - on both sides of the streets.</w:t>
      </w:r>
    </w:p>
    <w:p w:rsidR="000A6642" w:rsidRDefault="000A6642" w:rsidP="000A6642">
      <w:pPr>
        <w:ind w:left="0"/>
        <w:rPr>
          <w:lang w:eastAsia="x-none"/>
        </w:rPr>
      </w:pPr>
      <w:r>
        <w:rPr>
          <w:lang w:eastAsia="x-none"/>
        </w:rPr>
        <w:t>The goals of RPP3 were achieve though the following steps:</w:t>
      </w:r>
    </w:p>
    <w:p w:rsidR="000A6642" w:rsidRDefault="000A6642" w:rsidP="000A6642">
      <w:pPr>
        <w:numPr>
          <w:ilvl w:val="0"/>
          <w:numId w:val="2"/>
        </w:numPr>
        <w:ind w:left="0" w:firstLine="0"/>
        <w:rPr>
          <w:lang w:eastAsia="x-none"/>
        </w:rPr>
      </w:pPr>
      <w:r>
        <w:rPr>
          <w:lang w:eastAsia="x-none"/>
        </w:rPr>
        <w:t xml:space="preserve">Selection of one pilot city in each of the ENPI East countries (see Figure 4.1) </w:t>
      </w:r>
    </w:p>
    <w:p w:rsidR="000A6642" w:rsidRDefault="000A6642" w:rsidP="000A6642">
      <w:pPr>
        <w:ind w:left="0"/>
        <w:jc w:val="center"/>
        <w:rPr>
          <w:lang w:eastAsia="x-none"/>
        </w:rPr>
      </w:pPr>
      <w:r>
        <w:rPr>
          <w:noProof/>
          <w:lang w:val="en-US"/>
        </w:rPr>
        <w:drawing>
          <wp:inline distT="0" distB="0" distL="0" distR="0" wp14:anchorId="581C956A" wp14:editId="5B9CE9C9">
            <wp:extent cx="3297555" cy="2092325"/>
            <wp:effectExtent l="38100" t="38100" r="36195" b="412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5405"/>
                    <a:stretch>
                      <a:fillRect/>
                    </a:stretch>
                  </pic:blipFill>
                  <pic:spPr bwMode="auto">
                    <a:xfrm>
                      <a:off x="0" y="0"/>
                      <a:ext cx="3297555" cy="2092325"/>
                    </a:xfrm>
                    <a:prstGeom prst="rect">
                      <a:avLst/>
                    </a:prstGeom>
                    <a:noFill/>
                    <a:ln w="38100">
                      <a:solidFill>
                        <a:srgbClr val="000000"/>
                      </a:solidFill>
                      <a:miter lim="800000"/>
                      <a:headEnd/>
                      <a:tailEnd/>
                    </a:ln>
                  </pic:spPr>
                </pic:pic>
              </a:graphicData>
            </a:graphic>
          </wp:inline>
        </w:drawing>
      </w:r>
    </w:p>
    <w:p w:rsidR="000A6642" w:rsidRPr="00AD0183" w:rsidRDefault="000A6642" w:rsidP="000A6642">
      <w:pPr>
        <w:ind w:left="0"/>
        <w:rPr>
          <w:rFonts w:eastAsia="Calibri" w:cs="Arial"/>
          <w:sz w:val="18"/>
          <w:szCs w:val="18"/>
        </w:rPr>
      </w:pPr>
      <w:r>
        <w:rPr>
          <w:rFonts w:eastAsia="Calibri" w:cs="Arial"/>
          <w:b/>
          <w:sz w:val="18"/>
          <w:szCs w:val="18"/>
        </w:rPr>
        <w:t>Figure 4.1</w:t>
      </w:r>
      <w:r w:rsidRPr="00EB6AFE">
        <w:rPr>
          <w:rFonts w:eastAsia="Calibri" w:cs="Arial"/>
          <w:b/>
          <w:sz w:val="18"/>
          <w:szCs w:val="18"/>
        </w:rPr>
        <w:t>:</w:t>
      </w:r>
      <w:r w:rsidRPr="00EB6AFE">
        <w:rPr>
          <w:rFonts w:eastAsia="Calibri" w:cs="Arial"/>
          <w:sz w:val="18"/>
          <w:szCs w:val="18"/>
        </w:rPr>
        <w:t xml:space="preserve"> </w:t>
      </w:r>
      <w:r>
        <w:rPr>
          <w:rFonts w:eastAsia="Calibri" w:cs="Arial"/>
          <w:sz w:val="18"/>
          <w:szCs w:val="18"/>
        </w:rPr>
        <w:t>The s</w:t>
      </w:r>
      <w:r w:rsidRPr="00EB6AFE">
        <w:rPr>
          <w:rFonts w:eastAsia="Calibri" w:cs="Arial"/>
          <w:sz w:val="18"/>
          <w:szCs w:val="18"/>
        </w:rPr>
        <w:t>elected pilot cities</w:t>
      </w:r>
      <w:r>
        <w:rPr>
          <w:rFonts w:eastAsia="Calibri" w:cs="Arial"/>
          <w:sz w:val="18"/>
          <w:szCs w:val="18"/>
        </w:rPr>
        <w:t xml:space="preserve"> by the ENPI East countries</w:t>
      </w:r>
      <w:r w:rsidRPr="00EB6AFE">
        <w:rPr>
          <w:rFonts w:eastAsia="Calibri" w:cs="Arial"/>
          <w:sz w:val="18"/>
          <w:szCs w:val="18"/>
        </w:rPr>
        <w:t>.</w:t>
      </w:r>
    </w:p>
    <w:p w:rsidR="000A6642" w:rsidRDefault="000A6642" w:rsidP="000A6642">
      <w:pPr>
        <w:numPr>
          <w:ilvl w:val="0"/>
          <w:numId w:val="2"/>
        </w:numPr>
        <w:ind w:left="0" w:firstLine="0"/>
        <w:rPr>
          <w:lang w:eastAsia="x-none"/>
        </w:rPr>
      </w:pPr>
      <w:r>
        <w:rPr>
          <w:lang w:eastAsia="x-none"/>
        </w:rPr>
        <w:t>Collection of data by local experts in the pilot cities (</w:t>
      </w:r>
      <w:r w:rsidRPr="001C7286">
        <w:rPr>
          <w:rFonts w:eastAsia="Calibri" w:cs="Arial"/>
          <w:szCs w:val="21"/>
        </w:rPr>
        <w:t xml:space="preserve">point sources, areal sources, traffic data, graphical data, air </w:t>
      </w:r>
      <w:r>
        <w:rPr>
          <w:lang w:eastAsia="x-none"/>
        </w:rPr>
        <w:t xml:space="preserve">pollution measurements data, meteorological data, etc.). </w:t>
      </w:r>
    </w:p>
    <w:p w:rsidR="000A6642" w:rsidRDefault="000A6642" w:rsidP="000A6642">
      <w:pPr>
        <w:numPr>
          <w:ilvl w:val="0"/>
          <w:numId w:val="2"/>
        </w:numPr>
        <w:ind w:left="0" w:firstLine="0"/>
        <w:rPr>
          <w:lang w:eastAsia="x-none"/>
        </w:rPr>
      </w:pPr>
      <w:r>
        <w:rPr>
          <w:lang w:eastAsia="x-none"/>
        </w:rPr>
        <w:t>Development of high resolution emission data for the pilot cities by AU (examples see figure 4.2).</w:t>
      </w:r>
    </w:p>
    <w:p w:rsidR="000A6642" w:rsidRDefault="000A6642" w:rsidP="000A6642">
      <w:pPr>
        <w:ind w:left="0"/>
        <w:rPr>
          <w:lang w:eastAsia="x-none"/>
        </w:rPr>
      </w:pPr>
    </w:p>
    <w:p w:rsidR="000A6642" w:rsidRDefault="000A6642" w:rsidP="000A6642">
      <w:pPr>
        <w:ind w:left="0" w:right="-766"/>
        <w:jc w:val="left"/>
        <w:rPr>
          <w:lang w:eastAsia="x-none"/>
        </w:rPr>
      </w:pPr>
      <w:r>
        <w:rPr>
          <w:noProof/>
          <w:lang w:val="en-US"/>
        </w:rPr>
        <w:lastRenderedPageBreak/>
        <w:drawing>
          <wp:inline distT="0" distB="0" distL="0" distR="0" wp14:anchorId="77856E1E" wp14:editId="54DE6B49">
            <wp:extent cx="1285200" cy="1800000"/>
            <wp:effectExtent l="19050" t="19050" r="10795"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200" cy="1800000"/>
                    </a:xfrm>
                    <a:prstGeom prst="rect">
                      <a:avLst/>
                    </a:prstGeom>
                    <a:noFill/>
                    <a:ln w="9525" cmpd="sng">
                      <a:solidFill>
                        <a:srgbClr val="000000"/>
                      </a:solidFill>
                      <a:miter lim="800000"/>
                      <a:headEnd/>
                      <a:tailEnd/>
                    </a:ln>
                    <a:effectLst/>
                  </pic:spPr>
                </pic:pic>
              </a:graphicData>
            </a:graphic>
          </wp:inline>
        </w:drawing>
      </w:r>
      <w:r>
        <w:rPr>
          <w:b/>
          <w:noProof/>
          <w:color w:val="FF0000"/>
          <w:lang w:val="en-US"/>
        </w:rPr>
        <w:drawing>
          <wp:inline distT="0" distB="0" distL="0" distR="0" wp14:anchorId="73C6A90E" wp14:editId="2750809D">
            <wp:extent cx="2200275" cy="1390650"/>
            <wp:effectExtent l="19050" t="19050" r="2857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2483" t="9842" r="5733" b="11226"/>
                    <a:stretch>
                      <a:fillRect/>
                    </a:stretch>
                  </pic:blipFill>
                  <pic:spPr bwMode="auto">
                    <a:xfrm>
                      <a:off x="0" y="0"/>
                      <a:ext cx="2200275" cy="1390650"/>
                    </a:xfrm>
                    <a:prstGeom prst="rect">
                      <a:avLst/>
                    </a:prstGeom>
                    <a:noFill/>
                    <a:ln w="9525" cmpd="sng">
                      <a:solidFill>
                        <a:srgbClr val="000000"/>
                      </a:solidFill>
                      <a:miter lim="800000"/>
                      <a:headEnd/>
                      <a:tailEnd/>
                    </a:ln>
                    <a:effectLst/>
                  </pic:spPr>
                </pic:pic>
              </a:graphicData>
            </a:graphic>
          </wp:inline>
        </w:drawing>
      </w:r>
      <w:r>
        <w:rPr>
          <w:b/>
          <w:noProof/>
          <w:color w:val="FF0000"/>
          <w:lang w:val="en-US"/>
        </w:rPr>
        <w:drawing>
          <wp:inline distT="0" distB="0" distL="0" distR="0" wp14:anchorId="32922BD8" wp14:editId="2CA8D8BC">
            <wp:extent cx="1857375" cy="1247775"/>
            <wp:effectExtent l="1905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3339" t="5992" r="4355" b="4973"/>
                    <a:stretch>
                      <a:fillRect/>
                    </a:stretch>
                  </pic:blipFill>
                  <pic:spPr bwMode="auto">
                    <a:xfrm>
                      <a:off x="0" y="0"/>
                      <a:ext cx="1857375" cy="1247775"/>
                    </a:xfrm>
                    <a:prstGeom prst="rect">
                      <a:avLst/>
                    </a:prstGeom>
                    <a:noFill/>
                    <a:ln w="9525" cmpd="sng">
                      <a:solidFill>
                        <a:srgbClr val="000000"/>
                      </a:solidFill>
                      <a:miter lim="800000"/>
                      <a:headEnd/>
                      <a:tailEnd/>
                    </a:ln>
                    <a:effectLst/>
                  </pic:spPr>
                </pic:pic>
              </a:graphicData>
            </a:graphic>
          </wp:inline>
        </w:drawing>
      </w:r>
    </w:p>
    <w:p w:rsidR="000A6642" w:rsidRPr="00AD0183" w:rsidRDefault="000A6642" w:rsidP="000A6642">
      <w:pPr>
        <w:ind w:left="0" w:firstLine="6"/>
        <w:rPr>
          <w:rFonts w:eastAsia="Calibri" w:cs="Arial"/>
          <w:sz w:val="18"/>
          <w:szCs w:val="18"/>
        </w:rPr>
      </w:pPr>
      <w:r>
        <w:rPr>
          <w:rFonts w:eastAsia="Calibri" w:cs="Arial"/>
          <w:b/>
          <w:sz w:val="18"/>
          <w:szCs w:val="18"/>
        </w:rPr>
        <w:t>Figure 4.2</w:t>
      </w:r>
      <w:r w:rsidRPr="00EB6AFE">
        <w:rPr>
          <w:rFonts w:eastAsia="Calibri" w:cs="Arial"/>
          <w:b/>
          <w:sz w:val="18"/>
          <w:szCs w:val="18"/>
        </w:rPr>
        <w:t>:</w:t>
      </w:r>
      <w:r w:rsidRPr="00EB6AFE">
        <w:rPr>
          <w:rFonts w:eastAsia="Calibri" w:cs="Arial"/>
          <w:sz w:val="18"/>
          <w:szCs w:val="18"/>
        </w:rPr>
        <w:t xml:space="preserve"> </w:t>
      </w:r>
      <w:r>
        <w:rPr>
          <w:rFonts w:eastAsia="Calibri" w:cs="Arial"/>
          <w:sz w:val="18"/>
          <w:szCs w:val="18"/>
        </w:rPr>
        <w:t>Yearly NOx emission inventories for Batumi (Georgia), Novopolotsk (Belarus) and Chisinau (Moldova) calculated by AU</w:t>
      </w:r>
      <w:r w:rsidRPr="00EB6AFE">
        <w:rPr>
          <w:rFonts w:eastAsia="Calibri" w:cs="Arial"/>
          <w:sz w:val="18"/>
          <w:szCs w:val="18"/>
        </w:rPr>
        <w:t>.</w:t>
      </w:r>
    </w:p>
    <w:p w:rsidR="000A6642" w:rsidRDefault="000A6642" w:rsidP="000A6642">
      <w:pPr>
        <w:numPr>
          <w:ilvl w:val="0"/>
          <w:numId w:val="2"/>
        </w:numPr>
        <w:ind w:left="0"/>
        <w:rPr>
          <w:lang w:eastAsia="x-none"/>
        </w:rPr>
      </w:pPr>
      <w:r>
        <w:rPr>
          <w:lang w:eastAsia="x-none"/>
        </w:rPr>
        <w:t xml:space="preserve">Teaching local staff in operating the THOR system during two training workshops one in June in Yerevan and one in July in Chisinau (se Picture 4.1). </w:t>
      </w:r>
    </w:p>
    <w:p w:rsidR="000A6642" w:rsidRDefault="000A6642" w:rsidP="000A6642">
      <w:pPr>
        <w:ind w:left="0"/>
        <w:jc w:val="center"/>
        <w:rPr>
          <w:lang w:eastAsia="x-none"/>
        </w:rPr>
      </w:pPr>
      <w:r>
        <w:rPr>
          <w:noProof/>
          <w:lang w:val="en-US"/>
        </w:rPr>
        <w:drawing>
          <wp:inline distT="0" distB="0" distL="0" distR="0" wp14:anchorId="2862F931" wp14:editId="77FE8AEA">
            <wp:extent cx="4572635" cy="26384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t="16701" b="6369"/>
                    <a:stretch>
                      <a:fillRect/>
                    </a:stretch>
                  </pic:blipFill>
                  <pic:spPr bwMode="auto">
                    <a:xfrm>
                      <a:off x="0" y="0"/>
                      <a:ext cx="4572635" cy="2638425"/>
                    </a:xfrm>
                    <a:prstGeom prst="rect">
                      <a:avLst/>
                    </a:prstGeom>
                    <a:noFill/>
                  </pic:spPr>
                </pic:pic>
              </a:graphicData>
            </a:graphic>
          </wp:inline>
        </w:drawing>
      </w:r>
    </w:p>
    <w:p w:rsidR="000A6642" w:rsidRPr="00AD0183" w:rsidRDefault="000A6642" w:rsidP="000A6642">
      <w:pPr>
        <w:ind w:left="0"/>
        <w:jc w:val="center"/>
        <w:rPr>
          <w:sz w:val="18"/>
          <w:szCs w:val="18"/>
          <w:lang w:eastAsia="x-none"/>
        </w:rPr>
      </w:pPr>
      <w:r>
        <w:rPr>
          <w:b/>
          <w:sz w:val="18"/>
          <w:szCs w:val="18"/>
          <w:lang w:eastAsia="x-none"/>
        </w:rPr>
        <w:t>Picture 4.1</w:t>
      </w:r>
      <w:r w:rsidRPr="00CD415A">
        <w:rPr>
          <w:b/>
          <w:sz w:val="18"/>
          <w:szCs w:val="18"/>
          <w:lang w:eastAsia="x-none"/>
        </w:rPr>
        <w:t>:</w:t>
      </w:r>
      <w:r>
        <w:rPr>
          <w:sz w:val="18"/>
          <w:szCs w:val="18"/>
          <w:lang w:eastAsia="x-none"/>
        </w:rPr>
        <w:t xml:space="preserve"> </w:t>
      </w:r>
      <w:r w:rsidRPr="00EA44F6">
        <w:rPr>
          <w:sz w:val="18"/>
          <w:szCs w:val="18"/>
          <w:lang w:eastAsia="x-none"/>
        </w:rPr>
        <w:t xml:space="preserve">Pictures </w:t>
      </w:r>
      <w:r>
        <w:rPr>
          <w:sz w:val="18"/>
          <w:szCs w:val="18"/>
          <w:lang w:eastAsia="x-none"/>
        </w:rPr>
        <w:t>of t</w:t>
      </w:r>
      <w:r w:rsidRPr="00EA44F6">
        <w:rPr>
          <w:sz w:val="18"/>
          <w:szCs w:val="18"/>
          <w:lang w:eastAsia="x-none"/>
        </w:rPr>
        <w:t xml:space="preserve">he participants </w:t>
      </w:r>
      <w:r>
        <w:rPr>
          <w:sz w:val="18"/>
          <w:szCs w:val="18"/>
          <w:lang w:eastAsia="x-none"/>
        </w:rPr>
        <w:t xml:space="preserve">of </w:t>
      </w:r>
      <w:r w:rsidRPr="00EA44F6">
        <w:rPr>
          <w:sz w:val="18"/>
          <w:szCs w:val="18"/>
          <w:lang w:eastAsia="x-none"/>
        </w:rPr>
        <w:t xml:space="preserve">the three </w:t>
      </w:r>
      <w:r>
        <w:rPr>
          <w:sz w:val="18"/>
          <w:szCs w:val="18"/>
          <w:lang w:eastAsia="x-none"/>
        </w:rPr>
        <w:t xml:space="preserve">RPP3 </w:t>
      </w:r>
      <w:r w:rsidRPr="00EA44F6">
        <w:rPr>
          <w:sz w:val="18"/>
          <w:szCs w:val="18"/>
          <w:lang w:eastAsia="x-none"/>
        </w:rPr>
        <w:t>training workshops</w:t>
      </w:r>
      <w:r>
        <w:rPr>
          <w:sz w:val="18"/>
          <w:szCs w:val="18"/>
          <w:lang w:eastAsia="x-none"/>
        </w:rPr>
        <w:t xml:space="preserve">. </w:t>
      </w:r>
    </w:p>
    <w:p w:rsidR="000A6642" w:rsidRDefault="000A6642" w:rsidP="000A6642">
      <w:pPr>
        <w:numPr>
          <w:ilvl w:val="0"/>
          <w:numId w:val="2"/>
        </w:numPr>
        <w:ind w:left="0"/>
        <w:rPr>
          <w:lang w:eastAsia="x-none"/>
        </w:rPr>
      </w:pPr>
      <w:r>
        <w:rPr>
          <w:lang w:eastAsia="x-none"/>
        </w:rPr>
        <w:t>From June/July until October the local experts from the ENPI east countries worked with the THOR system:</w:t>
      </w:r>
    </w:p>
    <w:p w:rsidR="000A6642" w:rsidRDefault="000A6642" w:rsidP="000A6642">
      <w:pPr>
        <w:numPr>
          <w:ilvl w:val="1"/>
          <w:numId w:val="2"/>
        </w:numPr>
        <w:ind w:left="0"/>
        <w:rPr>
          <w:lang w:eastAsia="x-none"/>
        </w:rPr>
      </w:pPr>
      <w:r>
        <w:rPr>
          <w:lang w:eastAsia="x-none"/>
        </w:rPr>
        <w:t>Armenia; modelling of the EMEP station of Armenia, the urban background air pollution of Yerevan, and the air pollution of one street in Yerevan.</w:t>
      </w:r>
    </w:p>
    <w:p w:rsidR="000A6642" w:rsidRPr="007C4C65" w:rsidRDefault="000A6642" w:rsidP="000A6642">
      <w:pPr>
        <w:numPr>
          <w:ilvl w:val="1"/>
          <w:numId w:val="2"/>
        </w:numPr>
        <w:ind w:left="0"/>
        <w:rPr>
          <w:lang w:eastAsia="x-none"/>
        </w:rPr>
      </w:pPr>
      <w:r>
        <w:rPr>
          <w:lang w:eastAsia="x-none"/>
        </w:rPr>
        <w:t xml:space="preserve">Azerbaijan; modelling of </w:t>
      </w:r>
      <w:r w:rsidRPr="007C4C65">
        <w:rPr>
          <w:lang w:eastAsia="x-none"/>
        </w:rPr>
        <w:t xml:space="preserve">the urban background air pollution of </w:t>
      </w:r>
      <w:r>
        <w:rPr>
          <w:lang w:eastAsia="x-none"/>
        </w:rPr>
        <w:t>Sumgait</w:t>
      </w:r>
      <w:r w:rsidRPr="007C4C65">
        <w:rPr>
          <w:lang w:eastAsia="x-none"/>
        </w:rPr>
        <w:t xml:space="preserve">, and the air pollution of </w:t>
      </w:r>
      <w:r>
        <w:rPr>
          <w:lang w:eastAsia="x-none"/>
        </w:rPr>
        <w:t xml:space="preserve">two </w:t>
      </w:r>
      <w:r w:rsidRPr="007C4C65">
        <w:rPr>
          <w:lang w:eastAsia="x-none"/>
        </w:rPr>
        <w:t>street</w:t>
      </w:r>
      <w:r>
        <w:rPr>
          <w:lang w:eastAsia="x-none"/>
        </w:rPr>
        <w:t>s</w:t>
      </w:r>
      <w:r w:rsidRPr="007C4C65">
        <w:rPr>
          <w:lang w:eastAsia="x-none"/>
        </w:rPr>
        <w:t xml:space="preserve"> in </w:t>
      </w:r>
      <w:r>
        <w:rPr>
          <w:lang w:eastAsia="x-none"/>
        </w:rPr>
        <w:t>Sumgait.</w:t>
      </w:r>
    </w:p>
    <w:p w:rsidR="000A6642" w:rsidRPr="007C4C65" w:rsidRDefault="000A6642" w:rsidP="000A6642">
      <w:pPr>
        <w:numPr>
          <w:ilvl w:val="1"/>
          <w:numId w:val="2"/>
        </w:numPr>
        <w:ind w:left="0"/>
        <w:rPr>
          <w:lang w:eastAsia="x-none"/>
        </w:rPr>
      </w:pPr>
      <w:r>
        <w:rPr>
          <w:lang w:eastAsia="x-none"/>
        </w:rPr>
        <w:t xml:space="preserve">Moldova; modelling </w:t>
      </w:r>
      <w:r w:rsidRPr="007C4C65">
        <w:rPr>
          <w:lang w:eastAsia="x-none"/>
        </w:rPr>
        <w:t xml:space="preserve">the urban background air pollution of </w:t>
      </w:r>
      <w:r>
        <w:rPr>
          <w:lang w:eastAsia="x-none"/>
        </w:rPr>
        <w:t>Chisinau</w:t>
      </w:r>
      <w:r w:rsidRPr="007C4C65">
        <w:rPr>
          <w:lang w:eastAsia="x-none"/>
        </w:rPr>
        <w:t xml:space="preserve">, and the air pollution of one street in </w:t>
      </w:r>
      <w:r>
        <w:rPr>
          <w:lang w:eastAsia="x-none"/>
        </w:rPr>
        <w:t>Chisinau.</w:t>
      </w:r>
    </w:p>
    <w:p w:rsidR="000A6642" w:rsidRDefault="000A6642" w:rsidP="000A6642">
      <w:pPr>
        <w:numPr>
          <w:ilvl w:val="1"/>
          <w:numId w:val="2"/>
        </w:numPr>
        <w:ind w:left="0"/>
        <w:rPr>
          <w:lang w:eastAsia="x-none"/>
        </w:rPr>
      </w:pPr>
      <w:r>
        <w:rPr>
          <w:lang w:eastAsia="x-none"/>
        </w:rPr>
        <w:t xml:space="preserve">Belarus, Georgia, and Ukraine; </w:t>
      </w:r>
      <w:r w:rsidRPr="007C4C65">
        <w:rPr>
          <w:lang w:eastAsia="x-none"/>
        </w:rPr>
        <w:t xml:space="preserve">the urban background air pollution of </w:t>
      </w:r>
      <w:r>
        <w:rPr>
          <w:lang w:eastAsia="x-none"/>
        </w:rPr>
        <w:t>Novopotsk, Batumi and Kiev, respectively.</w:t>
      </w:r>
    </w:p>
    <w:p w:rsidR="000A6642" w:rsidRDefault="000A6642" w:rsidP="000A6642">
      <w:pPr>
        <w:numPr>
          <w:ilvl w:val="0"/>
          <w:numId w:val="2"/>
        </w:numPr>
        <w:ind w:left="0"/>
        <w:rPr>
          <w:lang w:eastAsia="x-none"/>
        </w:rPr>
      </w:pPr>
      <w:r>
        <w:rPr>
          <w:lang w:eastAsia="x-none"/>
        </w:rPr>
        <w:t>A follow up training workshop in October in Copenhagen (see Picture 4.1) where the local staff presented their results first modelling results from their pilot cities from the THOR system. In Figures 4.3 are presented a few examples of the urban background simulations from the local staff.</w:t>
      </w:r>
    </w:p>
    <w:p w:rsidR="000A6642" w:rsidRDefault="00350B08" w:rsidP="000A6642">
      <w:pPr>
        <w:ind w:left="0"/>
        <w:rPr>
          <w:lang w:val="en-US" w:eastAsia="x-none"/>
        </w:rPr>
      </w:pPr>
      <w:r>
        <w:rPr>
          <w:noProof/>
          <w:lang w:val="en-US"/>
        </w:rPr>
        <w:lastRenderedPageBreak/>
        <w:drawing>
          <wp:inline distT="0" distB="0" distL="0" distR="0" wp14:anchorId="0F23227B" wp14:editId="51EE71F8">
            <wp:extent cx="2000885" cy="1319530"/>
            <wp:effectExtent l="19050" t="19050" r="18415" b="139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l="6421" t="11060" r="10786" b="11302"/>
                    <a:stretch>
                      <a:fillRect/>
                    </a:stretch>
                  </pic:blipFill>
                  <pic:spPr bwMode="auto">
                    <a:xfrm>
                      <a:off x="0" y="0"/>
                      <a:ext cx="2000885" cy="1319530"/>
                    </a:xfrm>
                    <a:prstGeom prst="rect">
                      <a:avLst/>
                    </a:prstGeom>
                    <a:solidFill>
                      <a:srgbClr val="000000"/>
                    </a:solidFill>
                    <a:ln w="3175">
                      <a:solidFill>
                        <a:srgbClr val="000000"/>
                      </a:solidFill>
                      <a:miter lim="800000"/>
                      <a:headEnd/>
                      <a:tailEnd/>
                    </a:ln>
                  </pic:spPr>
                </pic:pic>
              </a:graphicData>
            </a:graphic>
          </wp:inline>
        </w:drawing>
      </w:r>
      <w:r>
        <w:rPr>
          <w:lang w:val="en-US" w:eastAsia="x-none"/>
        </w:rPr>
        <w:t xml:space="preserve">  </w:t>
      </w:r>
      <w:r w:rsidR="000A6642">
        <w:rPr>
          <w:noProof/>
          <w:lang w:val="en-US"/>
        </w:rPr>
        <w:drawing>
          <wp:inline distT="0" distB="0" distL="0" distR="0" wp14:anchorId="6FFD2639" wp14:editId="5DB05DB4">
            <wp:extent cx="1714500" cy="142875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l="5728" t="14012" r="9250"/>
                    <a:stretch>
                      <a:fillRect/>
                    </a:stretch>
                  </pic:blipFill>
                  <pic:spPr bwMode="auto">
                    <a:xfrm>
                      <a:off x="0" y="0"/>
                      <a:ext cx="1714500" cy="1428750"/>
                    </a:xfrm>
                    <a:prstGeom prst="rect">
                      <a:avLst/>
                    </a:prstGeom>
                    <a:noFill/>
                    <a:ln w="9525" cmpd="sng">
                      <a:solidFill>
                        <a:srgbClr val="000000"/>
                      </a:solidFill>
                      <a:miter lim="800000"/>
                      <a:headEnd/>
                      <a:tailEnd/>
                    </a:ln>
                    <a:effectLst/>
                  </pic:spPr>
                </pic:pic>
              </a:graphicData>
            </a:graphic>
          </wp:inline>
        </w:drawing>
      </w:r>
      <w:r>
        <w:rPr>
          <w:lang w:val="en-US" w:eastAsia="x-none"/>
        </w:rPr>
        <w:t xml:space="preserve">  </w:t>
      </w:r>
      <w:r w:rsidR="000A6642">
        <w:rPr>
          <w:noProof/>
          <w:lang w:val="en-US"/>
        </w:rPr>
        <w:drawing>
          <wp:inline distT="0" distB="0" distL="0" distR="0" wp14:anchorId="286E6158" wp14:editId="2D992564">
            <wp:extent cx="1123950" cy="1514475"/>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b="1660"/>
                    <a:stretch>
                      <a:fillRect/>
                    </a:stretch>
                  </pic:blipFill>
                  <pic:spPr bwMode="auto">
                    <a:xfrm>
                      <a:off x="0" y="0"/>
                      <a:ext cx="1123950" cy="1514475"/>
                    </a:xfrm>
                    <a:prstGeom prst="rect">
                      <a:avLst/>
                    </a:prstGeom>
                    <a:noFill/>
                    <a:ln w="9525" cmpd="sng">
                      <a:solidFill>
                        <a:srgbClr val="000000"/>
                      </a:solidFill>
                      <a:miter lim="800000"/>
                      <a:headEnd/>
                      <a:tailEnd/>
                    </a:ln>
                    <a:effectLst/>
                  </pic:spPr>
                </pic:pic>
              </a:graphicData>
            </a:graphic>
          </wp:inline>
        </w:drawing>
      </w:r>
    </w:p>
    <w:p w:rsidR="000A6642" w:rsidRPr="00692212" w:rsidRDefault="000A6642" w:rsidP="000A6642">
      <w:pPr>
        <w:ind w:left="0" w:firstLine="6"/>
        <w:rPr>
          <w:rFonts w:eastAsia="Calibri" w:cs="Arial"/>
          <w:sz w:val="18"/>
          <w:szCs w:val="18"/>
        </w:rPr>
      </w:pPr>
      <w:r>
        <w:rPr>
          <w:rFonts w:eastAsia="Calibri" w:cs="Arial"/>
          <w:b/>
          <w:sz w:val="18"/>
          <w:szCs w:val="18"/>
        </w:rPr>
        <w:t>Figure 4.3</w:t>
      </w:r>
      <w:r w:rsidRPr="00EB6AFE">
        <w:rPr>
          <w:rFonts w:eastAsia="Calibri" w:cs="Arial"/>
          <w:b/>
          <w:sz w:val="18"/>
          <w:szCs w:val="18"/>
        </w:rPr>
        <w:t>:</w:t>
      </w:r>
      <w:r w:rsidRPr="00EB6AFE">
        <w:rPr>
          <w:rFonts w:eastAsia="Calibri" w:cs="Arial"/>
          <w:sz w:val="18"/>
          <w:szCs w:val="18"/>
        </w:rPr>
        <w:t xml:space="preserve"> </w:t>
      </w:r>
      <w:r>
        <w:rPr>
          <w:rFonts w:eastAsia="Calibri" w:cs="Arial"/>
          <w:sz w:val="18"/>
          <w:szCs w:val="18"/>
        </w:rPr>
        <w:t>Yearly average concentration of NOx form Yerevan (middle plot), and of NO2 from Chisinau (left plot) and Batumi (right plot).</w:t>
      </w:r>
    </w:p>
    <w:p w:rsidR="000A6642" w:rsidRDefault="000A6642" w:rsidP="000A6642">
      <w:pPr>
        <w:ind w:left="0"/>
        <w:rPr>
          <w:lang w:eastAsia="x-none"/>
        </w:rPr>
      </w:pPr>
      <w:r>
        <w:rPr>
          <w:rFonts w:cs="Arial"/>
          <w:color w:val="222222"/>
        </w:rPr>
        <w:t>As</w:t>
      </w:r>
      <w:r w:rsidRPr="002B02AD">
        <w:rPr>
          <w:rFonts w:cs="Arial"/>
          <w:color w:val="222222"/>
          <w:lang w:val="en"/>
        </w:rPr>
        <w:t xml:space="preserve"> round off the project</w:t>
      </w:r>
      <w:r>
        <w:rPr>
          <w:rFonts w:cs="Arial"/>
          <w:color w:val="222222"/>
          <w:lang w:val="en"/>
        </w:rPr>
        <w:t xml:space="preserve">; the Danish team made different simple verifications of the model results of the pilot cities, and the EMEP station in Armenia and Moldova. </w:t>
      </w:r>
      <w:r>
        <w:rPr>
          <w:lang w:eastAsia="x-none"/>
        </w:rPr>
        <w:t>In general most of the simulations were in good agreement with observations, but for some of the modelling results the differences with observations were rather different. These differences could for most of the cases be explained by unrealistic measurements.</w:t>
      </w:r>
    </w:p>
    <w:p w:rsidR="000A6642" w:rsidRDefault="000A6642" w:rsidP="000A6642">
      <w:pPr>
        <w:ind w:left="0"/>
        <w:rPr>
          <w:lang w:eastAsia="x-none"/>
        </w:rPr>
      </w:pPr>
      <w:r>
        <w:rPr>
          <w:lang w:eastAsia="x-none"/>
        </w:rPr>
        <w:t>Realising the objectives of RPP3 were very challenging, because many challenging tasks from data collection locally in the pilot cities to setup the THOR system for the pilot cities and training local staff</w:t>
      </w:r>
      <w:r w:rsidRPr="004F5921">
        <w:rPr>
          <w:lang w:eastAsia="x-none"/>
        </w:rPr>
        <w:t xml:space="preserve"> </w:t>
      </w:r>
      <w:r>
        <w:rPr>
          <w:lang w:eastAsia="x-none"/>
        </w:rPr>
        <w:t xml:space="preserve">should be </w:t>
      </w:r>
      <w:r w:rsidRPr="004F5921">
        <w:rPr>
          <w:lang w:eastAsia="x-none"/>
        </w:rPr>
        <w:t>realised during a very short project period (14 months). Examples of these challenges are (i) collection of emission</w:t>
      </w:r>
      <w:r>
        <w:rPr>
          <w:lang w:eastAsia="x-none"/>
        </w:rPr>
        <w:t xml:space="preserve"> data</w:t>
      </w:r>
      <w:r w:rsidRPr="004F5921">
        <w:rPr>
          <w:lang w:eastAsia="x-none"/>
        </w:rPr>
        <w:t xml:space="preserve"> from the pilot cities </w:t>
      </w:r>
      <w:r>
        <w:rPr>
          <w:lang w:eastAsia="x-none"/>
        </w:rPr>
        <w:t xml:space="preserve">necessary </w:t>
      </w:r>
      <w:r w:rsidRPr="004F5921">
        <w:rPr>
          <w:lang w:eastAsia="x-none"/>
        </w:rPr>
        <w:t xml:space="preserve">to make emission inventories for the pilot cities, (ii) collection of detailed traffic information and building information for the street of interests required by the </w:t>
      </w:r>
      <w:r>
        <w:rPr>
          <w:lang w:eastAsia="x-none"/>
        </w:rPr>
        <w:t xml:space="preserve">street canyon </w:t>
      </w:r>
      <w:r w:rsidRPr="004F5921">
        <w:rPr>
          <w:lang w:eastAsia="x-none"/>
        </w:rPr>
        <w:t>model</w:t>
      </w:r>
      <w:r>
        <w:rPr>
          <w:lang w:eastAsia="x-none"/>
        </w:rPr>
        <w:t xml:space="preserve"> in THOR</w:t>
      </w:r>
      <w:r w:rsidRPr="004F5921">
        <w:rPr>
          <w:lang w:eastAsia="x-none"/>
        </w:rPr>
        <w:t xml:space="preserve">, data which </w:t>
      </w:r>
      <w:r>
        <w:rPr>
          <w:lang w:eastAsia="x-none"/>
        </w:rPr>
        <w:t>are not available from many of the pilot cities.</w:t>
      </w:r>
    </w:p>
    <w:p w:rsidR="000A6642" w:rsidRPr="00476410" w:rsidRDefault="000A6642" w:rsidP="000A6642">
      <w:pPr>
        <w:ind w:left="0"/>
        <w:rPr>
          <w:rFonts w:cs="Arial"/>
          <w:szCs w:val="21"/>
          <w:lang w:eastAsia="x-none"/>
        </w:rPr>
      </w:pPr>
      <w:r>
        <w:rPr>
          <w:lang w:eastAsia="x-none"/>
        </w:rPr>
        <w:t xml:space="preserve">Even though the RPP3 project faced many challenges during the project period the overall output from the project is in the line with the overall objectives of the RPP3 project, and all the ENPI East have future plans </w:t>
      </w:r>
      <w:r w:rsidRPr="00476410">
        <w:rPr>
          <w:rFonts w:cs="Arial"/>
          <w:szCs w:val="21"/>
          <w:lang w:eastAsia="x-none"/>
        </w:rPr>
        <w:t xml:space="preserve">with the THOR system: (i) apply THOR for other cities, (ii) apply THOR for to air pollution assessment according to </w:t>
      </w:r>
      <w:r>
        <w:rPr>
          <w:lang w:eastAsia="x-none"/>
        </w:rPr>
        <w:t xml:space="preserve">the </w:t>
      </w:r>
      <w:r w:rsidRPr="003E5F02">
        <w:rPr>
          <w:lang w:eastAsia="x-none"/>
        </w:rPr>
        <w:t>Directive 2008/50/EC: ”Pure air for Europe”</w:t>
      </w:r>
      <w:r w:rsidRPr="00476410">
        <w:rPr>
          <w:rFonts w:cs="Arial"/>
          <w:szCs w:val="21"/>
          <w:lang w:eastAsia="x-none"/>
        </w:rPr>
        <w:t>, (iii) apply THOR for AQ forecasts, (iv) add extra pollutants in to THOR.</w:t>
      </w:r>
    </w:p>
    <w:p w:rsidR="000A6642" w:rsidRPr="00476410" w:rsidRDefault="000A6642" w:rsidP="000A6642">
      <w:pPr>
        <w:pStyle w:val="Default"/>
        <w:spacing w:after="120"/>
        <w:ind w:firstLine="6"/>
        <w:jc w:val="both"/>
        <w:rPr>
          <w:rFonts w:ascii="Arial" w:hAnsi="Arial" w:cs="Arial"/>
          <w:bCs/>
          <w:sz w:val="21"/>
          <w:szCs w:val="21"/>
          <w:lang w:val="en-US"/>
        </w:rPr>
      </w:pPr>
      <w:r w:rsidRPr="00476410">
        <w:rPr>
          <w:rFonts w:ascii="Arial" w:eastAsia="Calibri" w:hAnsi="Arial" w:cs="Arial"/>
          <w:sz w:val="21"/>
          <w:szCs w:val="21"/>
          <w:lang w:val="en-US"/>
        </w:rPr>
        <w:t xml:space="preserve">The local staff, who have been trained in running the THOR system, have demonstrated through the model results presented during the RPP3 project that they are able to operate the system, and a </w:t>
      </w:r>
      <w:r w:rsidRPr="00476410">
        <w:rPr>
          <w:rFonts w:ascii="Arial" w:hAnsi="Arial" w:cs="Arial"/>
          <w:bCs/>
          <w:sz w:val="21"/>
          <w:szCs w:val="21"/>
          <w:lang w:val="en-US"/>
        </w:rPr>
        <w:t>ma</w:t>
      </w:r>
      <w:r w:rsidRPr="00476410">
        <w:rPr>
          <w:rFonts w:ascii="Arial" w:hAnsi="Arial" w:cs="Arial"/>
          <w:bCs/>
          <w:color w:val="auto"/>
          <w:sz w:val="21"/>
          <w:szCs w:val="21"/>
          <w:lang w:val="en-US"/>
        </w:rPr>
        <w:t xml:space="preserve">nual (Jensen et al, 2014a,b) for </w:t>
      </w:r>
      <w:r w:rsidRPr="00476410">
        <w:rPr>
          <w:rFonts w:ascii="Arial" w:hAnsi="Arial" w:cs="Arial"/>
          <w:bCs/>
          <w:sz w:val="21"/>
          <w:szCs w:val="21"/>
          <w:lang w:val="en-US"/>
        </w:rPr>
        <w:t xml:space="preserve">the model system has been written to support the local staff in the future. </w:t>
      </w:r>
      <w:bookmarkStart w:id="1" w:name="_Toc303853178"/>
      <w:r w:rsidRPr="00476410">
        <w:rPr>
          <w:rFonts w:ascii="Arial" w:hAnsi="Arial" w:cs="Arial"/>
          <w:bCs/>
          <w:sz w:val="21"/>
          <w:szCs w:val="21"/>
          <w:lang w:val="en-US"/>
        </w:rPr>
        <w:t>In conclusion, the local staff that has been trained should have enough knowledge and experience with the model system in order to fulfill the overall goal of the RPP3 project.</w:t>
      </w:r>
      <w:bookmarkEnd w:id="1"/>
    </w:p>
    <w:p w:rsidR="006158C3" w:rsidRPr="000A6642" w:rsidRDefault="005C56C4" w:rsidP="000A6642">
      <w:pPr>
        <w:ind w:left="0"/>
        <w:rPr>
          <w:lang w:val="en-US"/>
        </w:rPr>
      </w:pPr>
    </w:p>
    <w:sectPr w:rsidR="006158C3" w:rsidRPr="000A664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74A" w:rsidRDefault="0082274A" w:rsidP="000A6642">
      <w:pPr>
        <w:spacing w:after="0" w:line="240" w:lineRule="auto"/>
      </w:pPr>
      <w:r>
        <w:separator/>
      </w:r>
    </w:p>
  </w:endnote>
  <w:endnote w:type="continuationSeparator" w:id="0">
    <w:p w:rsidR="0082274A" w:rsidRDefault="0082274A" w:rsidP="000A6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74A" w:rsidRDefault="0082274A" w:rsidP="000A6642">
      <w:pPr>
        <w:spacing w:after="0" w:line="240" w:lineRule="auto"/>
      </w:pPr>
      <w:r>
        <w:separator/>
      </w:r>
    </w:p>
  </w:footnote>
  <w:footnote w:type="continuationSeparator" w:id="0">
    <w:p w:rsidR="0082274A" w:rsidRDefault="0082274A" w:rsidP="000A66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00B12"/>
    <w:multiLevelType w:val="multilevel"/>
    <w:tmpl w:val="EB5CB562"/>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851"/>
        </w:tabs>
        <w:ind w:left="851" w:hanging="567"/>
      </w:pPr>
      <w:rPr>
        <w:color w:val="002060"/>
      </w:rPr>
    </w:lvl>
    <w:lvl w:ilvl="2">
      <w:start w:val="1"/>
      <w:numFmt w:val="decimal"/>
      <w:pStyle w:val="Heading3"/>
      <w:lvlText w:val="%1.%2.%3."/>
      <w:lvlJc w:val="left"/>
      <w:pPr>
        <w:tabs>
          <w:tab w:val="num" w:pos="709"/>
        </w:tabs>
        <w:ind w:left="709" w:hanging="709"/>
      </w:pPr>
      <w:rPr>
        <w:b w:val="0"/>
        <w:color w:val="auto"/>
        <w:lang w:val="x-none"/>
      </w:r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1">
    <w:nsid w:val="7B541AF1"/>
    <w:multiLevelType w:val="hybridMultilevel"/>
    <w:tmpl w:val="1A4AF34A"/>
    <w:lvl w:ilvl="0" w:tplc="0406000F">
      <w:start w:val="1"/>
      <w:numFmt w:val="decimal"/>
      <w:lvlText w:val="%1."/>
      <w:lvlJc w:val="left"/>
      <w:pPr>
        <w:ind w:left="1778" w:hanging="360"/>
      </w:pPr>
      <w:rPr>
        <w:rFonts w:hint="default"/>
      </w:rPr>
    </w:lvl>
    <w:lvl w:ilvl="1" w:tplc="04060019">
      <w:start w:val="1"/>
      <w:numFmt w:val="lowerLetter"/>
      <w:lvlText w:val="%2."/>
      <w:lvlJc w:val="left"/>
      <w:pPr>
        <w:ind w:left="2149" w:hanging="360"/>
      </w:pPr>
    </w:lvl>
    <w:lvl w:ilvl="2" w:tplc="0406001B" w:tentative="1">
      <w:start w:val="1"/>
      <w:numFmt w:val="lowerRoman"/>
      <w:lvlText w:val="%3."/>
      <w:lvlJc w:val="right"/>
      <w:pPr>
        <w:ind w:left="2869" w:hanging="180"/>
      </w:pPr>
    </w:lvl>
    <w:lvl w:ilvl="3" w:tplc="0406000F" w:tentative="1">
      <w:start w:val="1"/>
      <w:numFmt w:val="decimal"/>
      <w:lvlText w:val="%4."/>
      <w:lvlJc w:val="left"/>
      <w:pPr>
        <w:ind w:left="3589" w:hanging="360"/>
      </w:pPr>
    </w:lvl>
    <w:lvl w:ilvl="4" w:tplc="04060019" w:tentative="1">
      <w:start w:val="1"/>
      <w:numFmt w:val="lowerLetter"/>
      <w:lvlText w:val="%5."/>
      <w:lvlJc w:val="left"/>
      <w:pPr>
        <w:ind w:left="4309" w:hanging="360"/>
      </w:pPr>
    </w:lvl>
    <w:lvl w:ilvl="5" w:tplc="0406001B" w:tentative="1">
      <w:start w:val="1"/>
      <w:numFmt w:val="lowerRoman"/>
      <w:lvlText w:val="%6."/>
      <w:lvlJc w:val="right"/>
      <w:pPr>
        <w:ind w:left="5029" w:hanging="180"/>
      </w:pPr>
    </w:lvl>
    <w:lvl w:ilvl="6" w:tplc="0406000F" w:tentative="1">
      <w:start w:val="1"/>
      <w:numFmt w:val="decimal"/>
      <w:lvlText w:val="%7."/>
      <w:lvlJc w:val="left"/>
      <w:pPr>
        <w:ind w:left="5749" w:hanging="360"/>
      </w:pPr>
    </w:lvl>
    <w:lvl w:ilvl="7" w:tplc="04060019" w:tentative="1">
      <w:start w:val="1"/>
      <w:numFmt w:val="lowerLetter"/>
      <w:lvlText w:val="%8."/>
      <w:lvlJc w:val="left"/>
      <w:pPr>
        <w:ind w:left="6469" w:hanging="360"/>
      </w:pPr>
    </w:lvl>
    <w:lvl w:ilvl="8" w:tplc="0406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642"/>
    <w:rsid w:val="000A6642"/>
    <w:rsid w:val="00350B08"/>
    <w:rsid w:val="004263E5"/>
    <w:rsid w:val="00581178"/>
    <w:rsid w:val="0082274A"/>
    <w:rsid w:val="00827AA7"/>
    <w:rsid w:val="00A63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642"/>
    <w:pPr>
      <w:spacing w:after="120"/>
      <w:ind w:left="709"/>
      <w:jc w:val="both"/>
    </w:pPr>
    <w:rPr>
      <w:rFonts w:ascii="Arial" w:eastAsia="Times New Roman" w:hAnsi="Arial" w:cs="Times New Roman"/>
      <w:sz w:val="21"/>
      <w:szCs w:val="20"/>
    </w:rPr>
  </w:style>
  <w:style w:type="paragraph" w:styleId="Heading1">
    <w:name w:val="heading 1"/>
    <w:basedOn w:val="Normal"/>
    <w:next w:val="Normal"/>
    <w:link w:val="Heading1Char"/>
    <w:uiPriority w:val="9"/>
    <w:qFormat/>
    <w:rsid w:val="000A6642"/>
    <w:pPr>
      <w:keepNext/>
      <w:numPr>
        <w:numId w:val="1"/>
      </w:numPr>
      <w:pBdr>
        <w:bottom w:val="single" w:sz="2" w:space="1" w:color="000080"/>
      </w:pBdr>
      <w:spacing w:after="480"/>
      <w:outlineLvl w:val="0"/>
    </w:pPr>
    <w:rPr>
      <w:b/>
      <w:caps/>
      <w:color w:val="000080"/>
      <w:sz w:val="24"/>
      <w:lang w:val="x-none" w:eastAsia="x-none"/>
    </w:rPr>
  </w:style>
  <w:style w:type="paragraph" w:styleId="Heading2">
    <w:name w:val="heading 2"/>
    <w:basedOn w:val="Normal"/>
    <w:next w:val="Normal"/>
    <w:link w:val="Heading2Char"/>
    <w:qFormat/>
    <w:rsid w:val="000A6642"/>
    <w:pPr>
      <w:keepNext/>
      <w:numPr>
        <w:ilvl w:val="1"/>
        <w:numId w:val="1"/>
      </w:numPr>
      <w:spacing w:before="360" w:line="264" w:lineRule="auto"/>
      <w:jc w:val="left"/>
      <w:outlineLvl w:val="1"/>
    </w:pPr>
    <w:rPr>
      <w:b/>
      <w:smallCaps/>
      <w:color w:val="000080"/>
      <w:sz w:val="22"/>
      <w:lang w:val="x-none" w:eastAsia="x-none"/>
    </w:rPr>
  </w:style>
  <w:style w:type="paragraph" w:styleId="Heading3">
    <w:name w:val="heading 3"/>
    <w:basedOn w:val="Normal"/>
    <w:next w:val="Normal"/>
    <w:link w:val="Heading3Char"/>
    <w:uiPriority w:val="9"/>
    <w:qFormat/>
    <w:rsid w:val="000A6642"/>
    <w:pPr>
      <w:keepNext/>
      <w:numPr>
        <w:ilvl w:val="2"/>
        <w:numId w:val="1"/>
      </w:numPr>
      <w:spacing w:before="240" w:line="240" w:lineRule="exact"/>
      <w:jc w:val="left"/>
      <w:outlineLvl w:val="2"/>
    </w:pPr>
    <w:rPr>
      <w:b/>
      <w:color w:val="00008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642"/>
    <w:rPr>
      <w:rFonts w:ascii="Arial" w:eastAsia="Times New Roman" w:hAnsi="Arial" w:cs="Times New Roman"/>
      <w:b/>
      <w:caps/>
      <w:color w:val="000080"/>
      <w:sz w:val="24"/>
      <w:szCs w:val="20"/>
      <w:lang w:val="x-none" w:eastAsia="x-none"/>
    </w:rPr>
  </w:style>
  <w:style w:type="character" w:customStyle="1" w:styleId="Heading2Char">
    <w:name w:val="Heading 2 Char"/>
    <w:basedOn w:val="DefaultParagraphFont"/>
    <w:link w:val="Heading2"/>
    <w:rsid w:val="000A6642"/>
    <w:rPr>
      <w:rFonts w:ascii="Arial" w:eastAsia="Times New Roman" w:hAnsi="Arial" w:cs="Times New Roman"/>
      <w:b/>
      <w:smallCaps/>
      <w:color w:val="000080"/>
      <w:szCs w:val="20"/>
      <w:lang w:val="x-none" w:eastAsia="x-none"/>
    </w:rPr>
  </w:style>
  <w:style w:type="character" w:customStyle="1" w:styleId="Heading3Char">
    <w:name w:val="Heading 3 Char"/>
    <w:basedOn w:val="DefaultParagraphFont"/>
    <w:link w:val="Heading3"/>
    <w:uiPriority w:val="9"/>
    <w:rsid w:val="000A6642"/>
    <w:rPr>
      <w:rFonts w:ascii="Arial" w:eastAsia="Times New Roman" w:hAnsi="Arial" w:cs="Times New Roman"/>
      <w:b/>
      <w:color w:val="000080"/>
      <w:sz w:val="21"/>
      <w:szCs w:val="20"/>
      <w:lang w:val="x-none" w:eastAsia="x-none"/>
    </w:rPr>
  </w:style>
  <w:style w:type="paragraph" w:customStyle="1" w:styleId="Default">
    <w:name w:val="Default"/>
    <w:rsid w:val="000A6642"/>
    <w:pPr>
      <w:autoSpaceDE w:val="0"/>
      <w:autoSpaceDN w:val="0"/>
      <w:adjustRightInd w:val="0"/>
      <w:spacing w:after="0" w:line="240" w:lineRule="auto"/>
    </w:pPr>
    <w:rPr>
      <w:rFonts w:ascii="Calibri" w:eastAsia="Times New Roman" w:hAnsi="Calibri" w:cs="Calibri"/>
      <w:color w:val="000000"/>
      <w:sz w:val="24"/>
      <w:szCs w:val="24"/>
      <w:lang w:val="da-DK" w:eastAsia="da-DK"/>
    </w:rPr>
  </w:style>
  <w:style w:type="paragraph" w:styleId="BalloonText">
    <w:name w:val="Balloon Text"/>
    <w:basedOn w:val="Normal"/>
    <w:link w:val="BalloonTextChar"/>
    <w:uiPriority w:val="99"/>
    <w:semiHidden/>
    <w:unhideWhenUsed/>
    <w:rsid w:val="000A6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642"/>
    <w:rPr>
      <w:rFonts w:ascii="Tahoma" w:eastAsia="Times New Roman" w:hAnsi="Tahoma" w:cs="Tahoma"/>
      <w:sz w:val="16"/>
      <w:szCs w:val="16"/>
    </w:rPr>
  </w:style>
  <w:style w:type="paragraph" w:styleId="Header">
    <w:name w:val="header"/>
    <w:basedOn w:val="Normal"/>
    <w:link w:val="HeaderChar"/>
    <w:uiPriority w:val="99"/>
    <w:unhideWhenUsed/>
    <w:rsid w:val="000A66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6642"/>
    <w:rPr>
      <w:rFonts w:ascii="Arial" w:eastAsia="Times New Roman" w:hAnsi="Arial" w:cs="Times New Roman"/>
      <w:sz w:val="21"/>
      <w:szCs w:val="20"/>
    </w:rPr>
  </w:style>
  <w:style w:type="paragraph" w:styleId="Footer">
    <w:name w:val="footer"/>
    <w:basedOn w:val="Normal"/>
    <w:link w:val="FooterChar"/>
    <w:uiPriority w:val="99"/>
    <w:unhideWhenUsed/>
    <w:rsid w:val="000A66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6642"/>
    <w:rPr>
      <w:rFonts w:ascii="Arial" w:eastAsia="Times New Roman" w:hAnsi="Arial" w:cs="Times New Roman"/>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642"/>
    <w:pPr>
      <w:spacing w:after="120"/>
      <w:ind w:left="709"/>
      <w:jc w:val="both"/>
    </w:pPr>
    <w:rPr>
      <w:rFonts w:ascii="Arial" w:eastAsia="Times New Roman" w:hAnsi="Arial" w:cs="Times New Roman"/>
      <w:sz w:val="21"/>
      <w:szCs w:val="20"/>
    </w:rPr>
  </w:style>
  <w:style w:type="paragraph" w:styleId="Heading1">
    <w:name w:val="heading 1"/>
    <w:basedOn w:val="Normal"/>
    <w:next w:val="Normal"/>
    <w:link w:val="Heading1Char"/>
    <w:uiPriority w:val="9"/>
    <w:qFormat/>
    <w:rsid w:val="000A6642"/>
    <w:pPr>
      <w:keepNext/>
      <w:numPr>
        <w:numId w:val="1"/>
      </w:numPr>
      <w:pBdr>
        <w:bottom w:val="single" w:sz="2" w:space="1" w:color="000080"/>
      </w:pBdr>
      <w:spacing w:after="480"/>
      <w:outlineLvl w:val="0"/>
    </w:pPr>
    <w:rPr>
      <w:b/>
      <w:caps/>
      <w:color w:val="000080"/>
      <w:sz w:val="24"/>
      <w:lang w:val="x-none" w:eastAsia="x-none"/>
    </w:rPr>
  </w:style>
  <w:style w:type="paragraph" w:styleId="Heading2">
    <w:name w:val="heading 2"/>
    <w:basedOn w:val="Normal"/>
    <w:next w:val="Normal"/>
    <w:link w:val="Heading2Char"/>
    <w:qFormat/>
    <w:rsid w:val="000A6642"/>
    <w:pPr>
      <w:keepNext/>
      <w:numPr>
        <w:ilvl w:val="1"/>
        <w:numId w:val="1"/>
      </w:numPr>
      <w:spacing w:before="360" w:line="264" w:lineRule="auto"/>
      <w:jc w:val="left"/>
      <w:outlineLvl w:val="1"/>
    </w:pPr>
    <w:rPr>
      <w:b/>
      <w:smallCaps/>
      <w:color w:val="000080"/>
      <w:sz w:val="22"/>
      <w:lang w:val="x-none" w:eastAsia="x-none"/>
    </w:rPr>
  </w:style>
  <w:style w:type="paragraph" w:styleId="Heading3">
    <w:name w:val="heading 3"/>
    <w:basedOn w:val="Normal"/>
    <w:next w:val="Normal"/>
    <w:link w:val="Heading3Char"/>
    <w:uiPriority w:val="9"/>
    <w:qFormat/>
    <w:rsid w:val="000A6642"/>
    <w:pPr>
      <w:keepNext/>
      <w:numPr>
        <w:ilvl w:val="2"/>
        <w:numId w:val="1"/>
      </w:numPr>
      <w:spacing w:before="240" w:line="240" w:lineRule="exact"/>
      <w:jc w:val="left"/>
      <w:outlineLvl w:val="2"/>
    </w:pPr>
    <w:rPr>
      <w:b/>
      <w:color w:val="00008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642"/>
    <w:rPr>
      <w:rFonts w:ascii="Arial" w:eastAsia="Times New Roman" w:hAnsi="Arial" w:cs="Times New Roman"/>
      <w:b/>
      <w:caps/>
      <w:color w:val="000080"/>
      <w:sz w:val="24"/>
      <w:szCs w:val="20"/>
      <w:lang w:val="x-none" w:eastAsia="x-none"/>
    </w:rPr>
  </w:style>
  <w:style w:type="character" w:customStyle="1" w:styleId="Heading2Char">
    <w:name w:val="Heading 2 Char"/>
    <w:basedOn w:val="DefaultParagraphFont"/>
    <w:link w:val="Heading2"/>
    <w:rsid w:val="000A6642"/>
    <w:rPr>
      <w:rFonts w:ascii="Arial" w:eastAsia="Times New Roman" w:hAnsi="Arial" w:cs="Times New Roman"/>
      <w:b/>
      <w:smallCaps/>
      <w:color w:val="000080"/>
      <w:szCs w:val="20"/>
      <w:lang w:val="x-none" w:eastAsia="x-none"/>
    </w:rPr>
  </w:style>
  <w:style w:type="character" w:customStyle="1" w:styleId="Heading3Char">
    <w:name w:val="Heading 3 Char"/>
    <w:basedOn w:val="DefaultParagraphFont"/>
    <w:link w:val="Heading3"/>
    <w:uiPriority w:val="9"/>
    <w:rsid w:val="000A6642"/>
    <w:rPr>
      <w:rFonts w:ascii="Arial" w:eastAsia="Times New Roman" w:hAnsi="Arial" w:cs="Times New Roman"/>
      <w:b/>
      <w:color w:val="000080"/>
      <w:sz w:val="21"/>
      <w:szCs w:val="20"/>
      <w:lang w:val="x-none" w:eastAsia="x-none"/>
    </w:rPr>
  </w:style>
  <w:style w:type="paragraph" w:customStyle="1" w:styleId="Default">
    <w:name w:val="Default"/>
    <w:rsid w:val="000A6642"/>
    <w:pPr>
      <w:autoSpaceDE w:val="0"/>
      <w:autoSpaceDN w:val="0"/>
      <w:adjustRightInd w:val="0"/>
      <w:spacing w:after="0" w:line="240" w:lineRule="auto"/>
    </w:pPr>
    <w:rPr>
      <w:rFonts w:ascii="Calibri" w:eastAsia="Times New Roman" w:hAnsi="Calibri" w:cs="Calibri"/>
      <w:color w:val="000000"/>
      <w:sz w:val="24"/>
      <w:szCs w:val="24"/>
      <w:lang w:val="da-DK" w:eastAsia="da-DK"/>
    </w:rPr>
  </w:style>
  <w:style w:type="paragraph" w:styleId="BalloonText">
    <w:name w:val="Balloon Text"/>
    <w:basedOn w:val="Normal"/>
    <w:link w:val="BalloonTextChar"/>
    <w:uiPriority w:val="99"/>
    <w:semiHidden/>
    <w:unhideWhenUsed/>
    <w:rsid w:val="000A6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642"/>
    <w:rPr>
      <w:rFonts w:ascii="Tahoma" w:eastAsia="Times New Roman" w:hAnsi="Tahoma" w:cs="Tahoma"/>
      <w:sz w:val="16"/>
      <w:szCs w:val="16"/>
    </w:rPr>
  </w:style>
  <w:style w:type="paragraph" w:styleId="Header">
    <w:name w:val="header"/>
    <w:basedOn w:val="Normal"/>
    <w:link w:val="HeaderChar"/>
    <w:uiPriority w:val="99"/>
    <w:unhideWhenUsed/>
    <w:rsid w:val="000A66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6642"/>
    <w:rPr>
      <w:rFonts w:ascii="Arial" w:eastAsia="Times New Roman" w:hAnsi="Arial" w:cs="Times New Roman"/>
      <w:sz w:val="21"/>
      <w:szCs w:val="20"/>
    </w:rPr>
  </w:style>
  <w:style w:type="paragraph" w:styleId="Footer">
    <w:name w:val="footer"/>
    <w:basedOn w:val="Normal"/>
    <w:link w:val="FooterChar"/>
    <w:uiPriority w:val="99"/>
    <w:unhideWhenUsed/>
    <w:rsid w:val="000A66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6642"/>
    <w:rPr>
      <w:rFonts w:ascii="Arial" w:eastAsia="Times New Roman" w:hAnsi="Arial"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ELLE</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Kala</dc:creator>
  <cp:lastModifiedBy>Iliyana Arnaudova</cp:lastModifiedBy>
  <cp:revision>4</cp:revision>
  <dcterms:created xsi:type="dcterms:W3CDTF">2014-12-10T12:11:00Z</dcterms:created>
  <dcterms:modified xsi:type="dcterms:W3CDTF">2014-12-17T12:45:00Z</dcterms:modified>
</cp:coreProperties>
</file>